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B09" w:rsidRPr="004F486E" w:rsidRDefault="00BA343E" w:rsidP="002371B2">
      <w:pPr>
        <w:spacing w:after="0" w:line="240" w:lineRule="auto"/>
        <w:jc w:val="right"/>
        <w:rPr>
          <w:rFonts w:ascii="Arial Narrow" w:hAnsi="Arial Narrow"/>
          <w:b/>
          <w:sz w:val="40"/>
          <w:szCs w:val="40"/>
        </w:rPr>
      </w:pPr>
      <w:r w:rsidRPr="004F486E">
        <w:rPr>
          <w:rFonts w:ascii="Arial Narrow" w:hAnsi="Arial Narrow"/>
          <w:b/>
          <w:noProof/>
          <w:sz w:val="40"/>
          <w:szCs w:val="40"/>
          <w:lang w:eastAsia="en-AU"/>
        </w:rPr>
        <w:drawing>
          <wp:anchor distT="0" distB="0" distL="114300" distR="114300" simplePos="0" relativeHeight="251659264" behindDoc="1" locked="0" layoutInCell="1" allowOverlap="1" wp14:anchorId="737D2368" wp14:editId="5E6A9F12">
            <wp:simplePos x="0" y="0"/>
            <wp:positionH relativeFrom="column">
              <wp:posOffset>-967149</wp:posOffset>
            </wp:positionH>
            <wp:positionV relativeFrom="paragraph">
              <wp:posOffset>-914400</wp:posOffset>
            </wp:positionV>
            <wp:extent cx="7625080" cy="10780395"/>
            <wp:effectExtent l="0" t="0" r="0" b="1905"/>
            <wp:wrapNone/>
            <wp:docPr id="2" name="Picture 5" title="University of Adelaid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Prt_report_v2_col_5-0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5080" cy="10780395"/>
                    </a:xfrm>
                    <a:prstGeom prst="rect">
                      <a:avLst/>
                    </a:prstGeom>
                  </pic:spPr>
                </pic:pic>
              </a:graphicData>
            </a:graphic>
          </wp:anchor>
        </w:drawing>
      </w:r>
    </w:p>
    <w:p w:rsidR="000352A8" w:rsidRPr="004F486E" w:rsidRDefault="000352A8" w:rsidP="000352A8">
      <w:pPr>
        <w:spacing w:after="0"/>
        <w:jc w:val="right"/>
        <w:rPr>
          <w:rFonts w:ascii="Arial Narrow" w:hAnsi="Arial Narrow"/>
          <w:b/>
          <w:color w:val="1F497D"/>
          <w:sz w:val="48"/>
          <w:szCs w:val="48"/>
        </w:rPr>
      </w:pPr>
    </w:p>
    <w:p w:rsidR="000352A8" w:rsidRDefault="000352A8" w:rsidP="000352A8">
      <w:pPr>
        <w:spacing w:after="0" w:line="240" w:lineRule="auto"/>
        <w:jc w:val="right"/>
        <w:rPr>
          <w:rFonts w:ascii="Arial Narrow" w:hAnsi="Arial Narrow"/>
          <w:b/>
          <w:sz w:val="40"/>
          <w:szCs w:val="40"/>
        </w:rPr>
      </w:pPr>
    </w:p>
    <w:p w:rsidR="002833FC" w:rsidRDefault="002833FC" w:rsidP="000352A8">
      <w:pPr>
        <w:spacing w:after="0" w:line="240" w:lineRule="auto"/>
        <w:jc w:val="right"/>
        <w:rPr>
          <w:rFonts w:ascii="Arial Narrow" w:hAnsi="Arial Narrow"/>
          <w:b/>
          <w:sz w:val="40"/>
          <w:szCs w:val="40"/>
        </w:rPr>
      </w:pPr>
    </w:p>
    <w:p w:rsidR="002833FC" w:rsidRPr="004F486E" w:rsidRDefault="002833FC" w:rsidP="000352A8">
      <w:pPr>
        <w:spacing w:after="0" w:line="240" w:lineRule="auto"/>
        <w:jc w:val="right"/>
        <w:rPr>
          <w:rFonts w:ascii="Arial Narrow" w:hAnsi="Arial Narrow"/>
          <w:b/>
          <w:sz w:val="40"/>
          <w:szCs w:val="40"/>
        </w:rPr>
      </w:pPr>
    </w:p>
    <w:p w:rsidR="00A94B09" w:rsidRPr="004F486E" w:rsidRDefault="00A94B09" w:rsidP="002371B2">
      <w:pPr>
        <w:spacing w:after="0" w:line="240" w:lineRule="auto"/>
        <w:jc w:val="right"/>
        <w:rPr>
          <w:rFonts w:ascii="Arial Narrow" w:hAnsi="Arial Narrow"/>
          <w:b/>
          <w:sz w:val="40"/>
          <w:szCs w:val="40"/>
        </w:rPr>
      </w:pPr>
    </w:p>
    <w:p w:rsidR="006B2CB5" w:rsidRPr="004F486E" w:rsidRDefault="006B2CB5" w:rsidP="002371B2">
      <w:pPr>
        <w:spacing w:after="0" w:line="240" w:lineRule="auto"/>
        <w:jc w:val="right"/>
        <w:rPr>
          <w:rFonts w:ascii="Arial Narrow" w:hAnsi="Arial Narrow"/>
          <w:b/>
        </w:rPr>
      </w:pPr>
    </w:p>
    <w:p w:rsidR="006B2CB5" w:rsidRPr="004F486E" w:rsidRDefault="006B2CB5" w:rsidP="002371B2">
      <w:pPr>
        <w:spacing w:after="0" w:line="240" w:lineRule="auto"/>
        <w:jc w:val="right"/>
        <w:rPr>
          <w:rFonts w:ascii="Arial Narrow" w:hAnsi="Arial Narrow"/>
          <w:b/>
        </w:rPr>
      </w:pPr>
    </w:p>
    <w:p w:rsidR="006B2CB5" w:rsidRPr="004F486E" w:rsidRDefault="006B2CB5" w:rsidP="002371B2">
      <w:pPr>
        <w:spacing w:after="0" w:line="240" w:lineRule="auto"/>
        <w:jc w:val="right"/>
        <w:rPr>
          <w:rFonts w:ascii="Arial Narrow" w:hAnsi="Arial Narrow"/>
          <w:b/>
        </w:rPr>
      </w:pPr>
    </w:p>
    <w:p w:rsidR="006B2CB5" w:rsidRPr="004F486E" w:rsidRDefault="006B2CB5" w:rsidP="002371B2">
      <w:pPr>
        <w:spacing w:after="0" w:line="240" w:lineRule="auto"/>
        <w:jc w:val="right"/>
        <w:rPr>
          <w:rFonts w:ascii="Arial Narrow" w:hAnsi="Arial Narrow"/>
          <w:b/>
        </w:rPr>
      </w:pPr>
    </w:p>
    <w:p w:rsidR="006B2CB5" w:rsidRPr="004F486E" w:rsidRDefault="006B2CB5" w:rsidP="002371B2">
      <w:pPr>
        <w:spacing w:after="0" w:line="240" w:lineRule="auto"/>
        <w:jc w:val="right"/>
        <w:rPr>
          <w:rFonts w:ascii="Arial Narrow" w:hAnsi="Arial Narrow"/>
          <w:b/>
        </w:rPr>
      </w:pPr>
    </w:p>
    <w:p w:rsidR="006B2CB5" w:rsidRPr="004F486E" w:rsidRDefault="006B2CB5" w:rsidP="002371B2">
      <w:pPr>
        <w:spacing w:after="0" w:line="240" w:lineRule="auto"/>
        <w:jc w:val="right"/>
        <w:rPr>
          <w:rFonts w:ascii="Arial Narrow" w:hAnsi="Arial Narrow"/>
          <w:b/>
        </w:rPr>
      </w:pPr>
    </w:p>
    <w:p w:rsidR="006B2CB5" w:rsidRPr="004F486E" w:rsidRDefault="006B2CB5" w:rsidP="002371B2">
      <w:pPr>
        <w:spacing w:after="0" w:line="240" w:lineRule="auto"/>
        <w:jc w:val="right"/>
        <w:rPr>
          <w:rFonts w:ascii="Arial Narrow" w:hAnsi="Arial Narrow"/>
          <w:b/>
        </w:rPr>
      </w:pPr>
    </w:p>
    <w:p w:rsidR="00242CA9" w:rsidRPr="004F486E" w:rsidRDefault="00242CA9" w:rsidP="002371B2">
      <w:pPr>
        <w:spacing w:after="0" w:line="240" w:lineRule="auto"/>
        <w:jc w:val="right"/>
        <w:rPr>
          <w:rFonts w:ascii="Arial Narrow" w:hAnsi="Arial Narrow"/>
          <w:b/>
        </w:rPr>
      </w:pPr>
    </w:p>
    <w:p w:rsidR="00242CA9" w:rsidRPr="004F486E" w:rsidRDefault="00242CA9" w:rsidP="001F0D28">
      <w:pPr>
        <w:spacing w:after="0"/>
        <w:jc w:val="right"/>
        <w:rPr>
          <w:rFonts w:ascii="Arial Narrow" w:hAnsi="Arial Narrow"/>
          <w:b/>
        </w:rPr>
      </w:pPr>
    </w:p>
    <w:p w:rsidR="006B2CB5" w:rsidRPr="004F486E" w:rsidRDefault="006B2CB5" w:rsidP="001F0D28">
      <w:pPr>
        <w:spacing w:after="0"/>
        <w:jc w:val="right"/>
        <w:rPr>
          <w:rFonts w:ascii="Arial Narrow" w:hAnsi="Arial Narrow"/>
          <w:b/>
        </w:rPr>
      </w:pPr>
    </w:p>
    <w:p w:rsidR="006F6BC5" w:rsidRPr="004F486E" w:rsidRDefault="006F6BC5" w:rsidP="002371B2">
      <w:pPr>
        <w:spacing w:after="0" w:line="240" w:lineRule="auto"/>
        <w:jc w:val="right"/>
        <w:rPr>
          <w:rFonts w:ascii="Arial Narrow" w:hAnsi="Arial Narrow"/>
          <w:b/>
        </w:rPr>
      </w:pPr>
    </w:p>
    <w:p w:rsidR="006F6BC5" w:rsidRPr="004F486E" w:rsidRDefault="006F6BC5" w:rsidP="002371B2">
      <w:pPr>
        <w:spacing w:after="0" w:line="240" w:lineRule="auto"/>
        <w:jc w:val="right"/>
        <w:rPr>
          <w:rFonts w:ascii="Arial Narrow" w:hAnsi="Arial Narrow"/>
          <w:b/>
        </w:rPr>
      </w:pPr>
    </w:p>
    <w:p w:rsidR="00242CA9" w:rsidRPr="004F486E" w:rsidRDefault="00242CA9" w:rsidP="002371B2">
      <w:pPr>
        <w:spacing w:after="0" w:line="240" w:lineRule="auto"/>
        <w:jc w:val="right"/>
        <w:rPr>
          <w:rFonts w:ascii="Arial Narrow" w:hAnsi="Arial Narrow"/>
          <w:b/>
        </w:rPr>
      </w:pPr>
    </w:p>
    <w:p w:rsidR="00242CA9" w:rsidRPr="004F486E" w:rsidRDefault="00242CA9" w:rsidP="002371B2">
      <w:pPr>
        <w:spacing w:after="0" w:line="240" w:lineRule="auto"/>
        <w:jc w:val="right"/>
        <w:rPr>
          <w:rFonts w:ascii="Arial Narrow" w:hAnsi="Arial Narrow"/>
          <w:b/>
        </w:rPr>
      </w:pPr>
    </w:p>
    <w:p w:rsidR="004E4B55" w:rsidRDefault="004E4B55" w:rsidP="002371B2">
      <w:pPr>
        <w:spacing w:after="0" w:line="240" w:lineRule="auto"/>
        <w:jc w:val="right"/>
        <w:rPr>
          <w:rFonts w:ascii="Arial Narrow" w:hAnsi="Arial Narrow"/>
          <w:b/>
        </w:rPr>
      </w:pPr>
    </w:p>
    <w:p w:rsidR="00200B07" w:rsidRDefault="00200B07" w:rsidP="002371B2">
      <w:pPr>
        <w:spacing w:after="0" w:line="240" w:lineRule="auto"/>
        <w:jc w:val="right"/>
        <w:rPr>
          <w:rFonts w:ascii="Arial Narrow" w:hAnsi="Arial Narrow"/>
          <w:b/>
        </w:rPr>
      </w:pPr>
    </w:p>
    <w:p w:rsidR="00200B07" w:rsidRDefault="00200B07" w:rsidP="002371B2">
      <w:pPr>
        <w:spacing w:after="0" w:line="240" w:lineRule="auto"/>
        <w:jc w:val="right"/>
        <w:rPr>
          <w:rFonts w:ascii="Arial Narrow" w:hAnsi="Arial Narrow"/>
          <w:b/>
        </w:rPr>
      </w:pPr>
    </w:p>
    <w:p w:rsidR="00200B07" w:rsidRDefault="00200B07" w:rsidP="002371B2">
      <w:pPr>
        <w:spacing w:after="0" w:line="240" w:lineRule="auto"/>
        <w:jc w:val="right"/>
        <w:rPr>
          <w:rFonts w:ascii="Arial Narrow" w:hAnsi="Arial Narrow"/>
          <w:b/>
        </w:rPr>
      </w:pPr>
    </w:p>
    <w:p w:rsidR="00200B07" w:rsidRDefault="00200B07" w:rsidP="002371B2">
      <w:pPr>
        <w:spacing w:after="0" w:line="240" w:lineRule="auto"/>
        <w:jc w:val="right"/>
        <w:rPr>
          <w:rFonts w:ascii="Arial Narrow" w:hAnsi="Arial Narrow"/>
          <w:b/>
        </w:rPr>
      </w:pPr>
    </w:p>
    <w:p w:rsidR="00200B07" w:rsidRDefault="00200B07" w:rsidP="002371B2">
      <w:pPr>
        <w:spacing w:after="0" w:line="240" w:lineRule="auto"/>
        <w:jc w:val="right"/>
        <w:rPr>
          <w:rFonts w:ascii="Arial Narrow" w:hAnsi="Arial Narrow"/>
          <w:b/>
        </w:rPr>
      </w:pPr>
    </w:p>
    <w:p w:rsidR="00200B07" w:rsidRDefault="00200B07" w:rsidP="002371B2">
      <w:pPr>
        <w:spacing w:after="0" w:line="240" w:lineRule="auto"/>
        <w:jc w:val="right"/>
        <w:rPr>
          <w:rFonts w:ascii="Arial Narrow" w:hAnsi="Arial Narrow"/>
          <w:b/>
        </w:rPr>
      </w:pPr>
    </w:p>
    <w:p w:rsidR="00200B07" w:rsidRDefault="00200B07" w:rsidP="002371B2">
      <w:pPr>
        <w:spacing w:after="0" w:line="240" w:lineRule="auto"/>
        <w:jc w:val="right"/>
        <w:rPr>
          <w:rFonts w:ascii="Arial Narrow" w:hAnsi="Arial Narrow"/>
          <w:b/>
        </w:rPr>
      </w:pPr>
    </w:p>
    <w:p w:rsidR="00200B07" w:rsidRDefault="00200B07" w:rsidP="002371B2">
      <w:pPr>
        <w:spacing w:after="0" w:line="240" w:lineRule="auto"/>
        <w:jc w:val="right"/>
        <w:rPr>
          <w:rFonts w:ascii="Arial Narrow" w:hAnsi="Arial Narrow"/>
          <w:b/>
        </w:rPr>
      </w:pPr>
    </w:p>
    <w:p w:rsidR="00200B07" w:rsidRDefault="00200B07" w:rsidP="002371B2">
      <w:pPr>
        <w:spacing w:after="0" w:line="240" w:lineRule="auto"/>
        <w:jc w:val="right"/>
        <w:rPr>
          <w:rFonts w:ascii="Arial Narrow" w:hAnsi="Arial Narrow"/>
          <w:b/>
        </w:rPr>
      </w:pPr>
    </w:p>
    <w:p w:rsidR="00200B07" w:rsidRDefault="00200B07" w:rsidP="002371B2">
      <w:pPr>
        <w:spacing w:after="0" w:line="240" w:lineRule="auto"/>
        <w:jc w:val="right"/>
        <w:rPr>
          <w:rFonts w:ascii="Arial Narrow" w:hAnsi="Arial Narrow"/>
          <w:b/>
        </w:rPr>
      </w:pPr>
    </w:p>
    <w:p w:rsidR="00200B07" w:rsidRPr="004F486E" w:rsidRDefault="00200B07" w:rsidP="002371B2">
      <w:pPr>
        <w:spacing w:after="0" w:line="240" w:lineRule="auto"/>
        <w:jc w:val="right"/>
        <w:rPr>
          <w:rFonts w:ascii="Arial Narrow" w:hAnsi="Arial Narrow"/>
          <w:b/>
        </w:rPr>
      </w:pPr>
    </w:p>
    <w:p w:rsidR="004E4B55" w:rsidRPr="004F486E" w:rsidRDefault="004E4B55" w:rsidP="002371B2">
      <w:pPr>
        <w:spacing w:after="0" w:line="240" w:lineRule="auto"/>
        <w:jc w:val="right"/>
        <w:rPr>
          <w:rFonts w:ascii="Arial Narrow" w:hAnsi="Arial Narrow"/>
          <w:b/>
        </w:rPr>
      </w:pPr>
    </w:p>
    <w:p w:rsidR="00200B07" w:rsidRDefault="00200B07" w:rsidP="00200B07">
      <w:pPr>
        <w:pStyle w:val="Title"/>
        <w:jc w:val="right"/>
        <w:rPr>
          <w:color w:val="000000" w:themeColor="text1"/>
        </w:rPr>
      </w:pPr>
      <w:r w:rsidRPr="00B048FB">
        <w:rPr>
          <w:rFonts w:ascii="Arial Narrow" w:hAnsi="Arial Narrow"/>
          <w:b/>
          <w:color w:val="000000" w:themeColor="text1"/>
          <w:sz w:val="72"/>
          <w:szCs w:val="72"/>
        </w:rPr>
        <w:t>Life Saving Drugs Program</w:t>
      </w:r>
      <w:r w:rsidR="00780522">
        <w:rPr>
          <w:rFonts w:ascii="Arial Narrow" w:hAnsi="Arial Narrow"/>
          <w:b/>
          <w:color w:val="000000" w:themeColor="text1"/>
          <w:sz w:val="72"/>
          <w:szCs w:val="72"/>
        </w:rPr>
        <w:t>me</w:t>
      </w:r>
      <w:r w:rsidRPr="00B048FB">
        <w:rPr>
          <w:rFonts w:ascii="Arial Narrow" w:hAnsi="Arial Narrow"/>
          <w:b/>
          <w:color w:val="000000" w:themeColor="text1"/>
          <w:sz w:val="72"/>
          <w:szCs w:val="72"/>
        </w:rPr>
        <w:t xml:space="preserve"> Review</w:t>
      </w:r>
      <w:r w:rsidR="0096206F">
        <w:rPr>
          <w:rFonts w:ascii="Arial Narrow" w:hAnsi="Arial Narrow"/>
          <w:b/>
          <w:color w:val="000000" w:themeColor="text1"/>
          <w:sz w:val="72"/>
          <w:szCs w:val="72"/>
        </w:rPr>
        <w:t>:</w:t>
      </w:r>
      <w:r w:rsidRPr="00CA4C40">
        <w:rPr>
          <w:rFonts w:ascii="Arial Narrow" w:hAnsi="Arial Narrow"/>
          <w:b/>
          <w:color w:val="000000" w:themeColor="text1"/>
          <w:sz w:val="72"/>
          <w:szCs w:val="72"/>
        </w:rPr>
        <w:t xml:space="preserve"> </w:t>
      </w:r>
      <w:r w:rsidR="00CA4C40" w:rsidRPr="00CA4C40">
        <w:rPr>
          <w:rFonts w:ascii="Arial Narrow" w:hAnsi="Arial Narrow"/>
          <w:b/>
          <w:color w:val="000000" w:themeColor="text1"/>
          <w:sz w:val="72"/>
          <w:szCs w:val="72"/>
        </w:rPr>
        <w:t xml:space="preserve">Technical </w:t>
      </w:r>
      <w:r w:rsidR="000653EE">
        <w:rPr>
          <w:rFonts w:ascii="Arial Narrow" w:hAnsi="Arial Narrow"/>
          <w:b/>
          <w:color w:val="000000" w:themeColor="text1"/>
          <w:sz w:val="72"/>
          <w:szCs w:val="72"/>
        </w:rPr>
        <w:t>A</w:t>
      </w:r>
      <w:r w:rsidR="00CA4C40" w:rsidRPr="00CA4C40">
        <w:rPr>
          <w:rFonts w:ascii="Arial Narrow" w:hAnsi="Arial Narrow"/>
          <w:b/>
          <w:color w:val="000000" w:themeColor="text1"/>
          <w:sz w:val="72"/>
          <w:szCs w:val="72"/>
        </w:rPr>
        <w:t>ssessment</w:t>
      </w:r>
    </w:p>
    <w:p w:rsidR="00200B07" w:rsidRDefault="00200B07" w:rsidP="00200B07">
      <w:pPr>
        <w:pStyle w:val="Title"/>
        <w:jc w:val="right"/>
        <w:rPr>
          <w:color w:val="000000" w:themeColor="text1"/>
        </w:rPr>
      </w:pPr>
    </w:p>
    <w:p w:rsidR="00200B07" w:rsidRPr="00811CFD" w:rsidRDefault="00D77469" w:rsidP="00200B07">
      <w:pPr>
        <w:pStyle w:val="Title"/>
        <w:jc w:val="right"/>
        <w:rPr>
          <w:color w:val="000000" w:themeColor="text1"/>
        </w:rPr>
      </w:pPr>
      <w:r>
        <w:rPr>
          <w:color w:val="000000" w:themeColor="text1"/>
        </w:rPr>
        <w:t>April</w:t>
      </w:r>
      <w:r w:rsidR="000B7D07">
        <w:rPr>
          <w:color w:val="000000" w:themeColor="text1"/>
        </w:rPr>
        <w:t xml:space="preserve"> 2015</w:t>
      </w:r>
    </w:p>
    <w:p w:rsidR="002B3A4E" w:rsidRPr="00DB0CFF" w:rsidRDefault="001203B5" w:rsidP="00D60032">
      <w:pPr>
        <w:pStyle w:val="Heading2"/>
        <w:numPr>
          <w:ilvl w:val="0"/>
          <w:numId w:val="0"/>
        </w:numPr>
      </w:pPr>
      <w:bookmarkStart w:id="0" w:name="_Toc393210191"/>
      <w:bookmarkStart w:id="1" w:name="_Toc393210382"/>
      <w:bookmarkStart w:id="2" w:name="_Toc393277028"/>
      <w:bookmarkStart w:id="3" w:name="_Toc394047855"/>
      <w:bookmarkStart w:id="4" w:name="_Toc394667712"/>
      <w:bookmarkStart w:id="5" w:name="_Toc394674585"/>
      <w:bookmarkStart w:id="6" w:name="_Toc404350073"/>
      <w:bookmarkStart w:id="7" w:name="_Toc404974636"/>
      <w:bookmarkStart w:id="8" w:name="_Toc405152112"/>
      <w:bookmarkStart w:id="9" w:name="_Toc405818215"/>
      <w:bookmarkStart w:id="10" w:name="_Toc405846254"/>
      <w:bookmarkStart w:id="11" w:name="_Toc413856372"/>
      <w:bookmarkStart w:id="12" w:name="_Toc413857557"/>
      <w:bookmarkStart w:id="13" w:name="_Toc415141716"/>
      <w:r w:rsidRPr="00DB0CFF">
        <w:lastRenderedPageBreak/>
        <w:t>Research Team</w:t>
      </w:r>
      <w:bookmarkEnd w:id="0"/>
      <w:bookmarkEnd w:id="1"/>
      <w:bookmarkEnd w:id="2"/>
      <w:bookmarkEnd w:id="3"/>
      <w:bookmarkEnd w:id="4"/>
      <w:bookmarkEnd w:id="5"/>
      <w:bookmarkEnd w:id="6"/>
      <w:bookmarkEnd w:id="7"/>
      <w:bookmarkEnd w:id="8"/>
      <w:bookmarkEnd w:id="9"/>
      <w:bookmarkEnd w:id="10"/>
      <w:bookmarkEnd w:id="11"/>
      <w:bookmarkEnd w:id="12"/>
      <w:bookmarkEnd w:id="13"/>
    </w:p>
    <w:p w:rsidR="001852F3" w:rsidRDefault="001852F3" w:rsidP="002F6073">
      <w:pPr>
        <w:pStyle w:val="Header"/>
        <w:tabs>
          <w:tab w:val="clear" w:pos="8306"/>
          <w:tab w:val="right" w:pos="9498"/>
        </w:tabs>
        <w:spacing w:before="60" w:after="60" w:line="240" w:lineRule="auto"/>
        <w:ind w:right="319"/>
        <w:rPr>
          <w:rFonts w:cstheme="minorHAnsi"/>
          <w:sz w:val="22"/>
          <w:szCs w:val="22"/>
          <w:vertAlign w:val="superscript"/>
        </w:rPr>
      </w:pPr>
      <w:r>
        <w:rPr>
          <w:rFonts w:cstheme="minorHAnsi"/>
          <w:i/>
          <w:sz w:val="22"/>
          <w:szCs w:val="22"/>
        </w:rPr>
        <w:t xml:space="preserve">Skye Newton </w:t>
      </w:r>
      <w:r>
        <w:rPr>
          <w:rFonts w:cstheme="minorHAnsi"/>
          <w:sz w:val="22"/>
          <w:szCs w:val="22"/>
        </w:rPr>
        <w:t>- Team Leader, Medical HTA</w:t>
      </w:r>
      <w:r>
        <w:rPr>
          <w:rFonts w:cstheme="minorHAnsi"/>
          <w:sz w:val="22"/>
          <w:szCs w:val="22"/>
          <w:vertAlign w:val="superscript"/>
        </w:rPr>
        <w:t>1</w:t>
      </w:r>
    </w:p>
    <w:p w:rsidR="001852F3" w:rsidRPr="00A50E7C" w:rsidRDefault="001852F3" w:rsidP="002F6073">
      <w:pPr>
        <w:keepLines/>
        <w:spacing w:before="60" w:after="60" w:line="240" w:lineRule="auto"/>
        <w:rPr>
          <w:rFonts w:cstheme="minorHAnsi"/>
          <w:sz w:val="22"/>
          <w:szCs w:val="22"/>
          <w:vertAlign w:val="superscript"/>
        </w:rPr>
      </w:pPr>
      <w:r w:rsidRPr="00442EBD">
        <w:rPr>
          <w:rFonts w:cstheme="minorHAnsi"/>
          <w:i/>
          <w:sz w:val="22"/>
          <w:szCs w:val="22"/>
        </w:rPr>
        <w:t>Benjamin Ellery</w:t>
      </w:r>
      <w:r>
        <w:rPr>
          <w:rFonts w:cstheme="minorHAnsi"/>
          <w:sz w:val="22"/>
          <w:szCs w:val="22"/>
        </w:rPr>
        <w:t xml:space="preserve"> – Research Officer, Horizon Scanning</w:t>
      </w:r>
      <w:r>
        <w:rPr>
          <w:rFonts w:cstheme="minorHAnsi"/>
          <w:sz w:val="22"/>
          <w:szCs w:val="22"/>
          <w:vertAlign w:val="superscript"/>
        </w:rPr>
        <w:t>1</w:t>
      </w:r>
    </w:p>
    <w:p w:rsidR="001852F3" w:rsidRDefault="001852F3" w:rsidP="002F6073">
      <w:pPr>
        <w:spacing w:before="60" w:after="60" w:line="240" w:lineRule="auto"/>
        <w:jc w:val="left"/>
        <w:rPr>
          <w:rFonts w:cstheme="minorHAnsi"/>
          <w:sz w:val="22"/>
          <w:szCs w:val="22"/>
          <w:vertAlign w:val="superscript"/>
        </w:rPr>
      </w:pPr>
      <w:r w:rsidRPr="00394DF4">
        <w:rPr>
          <w:rFonts w:cstheme="minorHAnsi"/>
          <w:i/>
          <w:sz w:val="22"/>
          <w:szCs w:val="22"/>
        </w:rPr>
        <w:t xml:space="preserve">Stefan Fischer </w:t>
      </w:r>
      <w:r>
        <w:rPr>
          <w:rFonts w:cstheme="minorHAnsi"/>
          <w:sz w:val="22"/>
          <w:szCs w:val="22"/>
        </w:rPr>
        <w:t>– Health economist, Visiting Fellow</w:t>
      </w:r>
      <w:r>
        <w:rPr>
          <w:rFonts w:cstheme="minorHAnsi"/>
          <w:sz w:val="22"/>
          <w:szCs w:val="22"/>
          <w:vertAlign w:val="superscript"/>
        </w:rPr>
        <w:t>2</w:t>
      </w:r>
    </w:p>
    <w:p w:rsidR="001852F3" w:rsidRPr="00722E83" w:rsidRDefault="001852F3" w:rsidP="002F6073">
      <w:pPr>
        <w:spacing w:before="60" w:after="60" w:line="240" w:lineRule="auto"/>
        <w:jc w:val="left"/>
        <w:rPr>
          <w:rFonts w:cstheme="minorHAnsi"/>
          <w:i/>
          <w:sz w:val="22"/>
          <w:szCs w:val="22"/>
          <w:vertAlign w:val="superscript"/>
        </w:rPr>
      </w:pPr>
      <w:r w:rsidRPr="00722E83">
        <w:rPr>
          <w:rFonts w:cstheme="minorHAnsi"/>
          <w:i/>
          <w:sz w:val="22"/>
          <w:szCs w:val="22"/>
        </w:rPr>
        <w:t xml:space="preserve">Claude Farah – </w:t>
      </w:r>
      <w:r w:rsidRPr="00722E83">
        <w:rPr>
          <w:rFonts w:cstheme="minorHAnsi"/>
          <w:sz w:val="22"/>
          <w:szCs w:val="22"/>
        </w:rPr>
        <w:t>Senior Research Officer</w:t>
      </w:r>
      <w:r>
        <w:rPr>
          <w:rFonts w:cstheme="minorHAnsi"/>
          <w:sz w:val="22"/>
          <w:szCs w:val="22"/>
          <w:vertAlign w:val="superscript"/>
        </w:rPr>
        <w:t>1</w:t>
      </w:r>
    </w:p>
    <w:p w:rsidR="001852F3" w:rsidRPr="00A50E7C" w:rsidRDefault="001852F3" w:rsidP="002F6073">
      <w:pPr>
        <w:keepLines/>
        <w:spacing w:before="60" w:after="60" w:line="240" w:lineRule="auto"/>
        <w:rPr>
          <w:rFonts w:cstheme="minorHAnsi"/>
          <w:sz w:val="22"/>
          <w:szCs w:val="22"/>
          <w:vertAlign w:val="superscript"/>
        </w:rPr>
      </w:pPr>
      <w:r w:rsidRPr="00675C7A">
        <w:rPr>
          <w:rFonts w:cstheme="minorHAnsi"/>
          <w:i/>
          <w:sz w:val="22"/>
          <w:szCs w:val="22"/>
        </w:rPr>
        <w:t>Debra Gum</w:t>
      </w:r>
      <w:r>
        <w:rPr>
          <w:rFonts w:cstheme="minorHAnsi"/>
          <w:sz w:val="22"/>
          <w:szCs w:val="22"/>
        </w:rPr>
        <w:t xml:space="preserve"> – Senior Research Officer</w:t>
      </w:r>
      <w:r>
        <w:rPr>
          <w:rFonts w:cstheme="minorHAnsi"/>
          <w:sz w:val="22"/>
          <w:szCs w:val="22"/>
          <w:vertAlign w:val="superscript"/>
        </w:rPr>
        <w:t>1</w:t>
      </w:r>
    </w:p>
    <w:p w:rsidR="001852F3" w:rsidRPr="00A50E7C" w:rsidRDefault="001852F3" w:rsidP="002F6073">
      <w:pPr>
        <w:keepLines/>
        <w:spacing w:before="60" w:after="60" w:line="240" w:lineRule="auto"/>
        <w:rPr>
          <w:rFonts w:cstheme="minorHAnsi"/>
          <w:sz w:val="22"/>
          <w:szCs w:val="22"/>
          <w:vertAlign w:val="superscript"/>
        </w:rPr>
      </w:pPr>
      <w:r>
        <w:rPr>
          <w:rFonts w:cstheme="minorHAnsi"/>
          <w:i/>
          <w:sz w:val="22"/>
          <w:szCs w:val="22"/>
        </w:rPr>
        <w:t>Zhaohui (</w:t>
      </w:r>
      <w:r w:rsidRPr="000F75BA">
        <w:rPr>
          <w:rFonts w:cstheme="minorHAnsi"/>
          <w:i/>
          <w:sz w:val="22"/>
          <w:szCs w:val="22"/>
        </w:rPr>
        <w:t>Vivian</w:t>
      </w:r>
      <w:r>
        <w:rPr>
          <w:rFonts w:cstheme="minorHAnsi"/>
          <w:i/>
          <w:sz w:val="22"/>
          <w:szCs w:val="22"/>
        </w:rPr>
        <w:t>)</w:t>
      </w:r>
      <w:r w:rsidRPr="000F75BA">
        <w:rPr>
          <w:rFonts w:cstheme="minorHAnsi"/>
          <w:i/>
          <w:sz w:val="22"/>
          <w:szCs w:val="22"/>
        </w:rPr>
        <w:t xml:space="preserve"> Liufu</w:t>
      </w:r>
      <w:r>
        <w:rPr>
          <w:rFonts w:cstheme="minorHAnsi"/>
          <w:sz w:val="22"/>
          <w:szCs w:val="22"/>
        </w:rPr>
        <w:t xml:space="preserve"> – Senior Research Officer</w:t>
      </w:r>
      <w:r>
        <w:rPr>
          <w:rFonts w:cstheme="minorHAnsi"/>
          <w:sz w:val="22"/>
          <w:szCs w:val="22"/>
          <w:vertAlign w:val="superscript"/>
        </w:rPr>
        <w:t>1</w:t>
      </w:r>
    </w:p>
    <w:p w:rsidR="001852F3" w:rsidRDefault="001852F3" w:rsidP="002F6073">
      <w:pPr>
        <w:keepLines/>
        <w:spacing w:before="60" w:after="60" w:line="240" w:lineRule="auto"/>
        <w:rPr>
          <w:rFonts w:cstheme="minorHAnsi"/>
          <w:sz w:val="22"/>
          <w:szCs w:val="22"/>
          <w:vertAlign w:val="superscript"/>
        </w:rPr>
      </w:pPr>
      <w:r w:rsidRPr="00675C7A">
        <w:rPr>
          <w:rFonts w:cstheme="minorHAnsi"/>
          <w:i/>
          <w:sz w:val="22"/>
          <w:szCs w:val="22"/>
        </w:rPr>
        <w:t>Joanne Milverton</w:t>
      </w:r>
      <w:r>
        <w:rPr>
          <w:rFonts w:cstheme="minorHAnsi"/>
          <w:sz w:val="22"/>
          <w:szCs w:val="22"/>
        </w:rPr>
        <w:t xml:space="preserve"> - Research Officer</w:t>
      </w:r>
      <w:r>
        <w:rPr>
          <w:rFonts w:cstheme="minorHAnsi"/>
          <w:sz w:val="22"/>
          <w:szCs w:val="22"/>
          <w:vertAlign w:val="superscript"/>
        </w:rPr>
        <w:t>1</w:t>
      </w:r>
    </w:p>
    <w:p w:rsidR="001852F3" w:rsidRPr="00A50E7C" w:rsidRDefault="001852F3" w:rsidP="002F6073">
      <w:pPr>
        <w:spacing w:before="60" w:after="60" w:line="240" w:lineRule="auto"/>
        <w:jc w:val="left"/>
        <w:rPr>
          <w:rFonts w:cstheme="minorHAnsi"/>
          <w:sz w:val="22"/>
          <w:szCs w:val="22"/>
          <w:vertAlign w:val="superscript"/>
        </w:rPr>
      </w:pPr>
      <w:r w:rsidRPr="00442EBD">
        <w:rPr>
          <w:rFonts w:cstheme="minorHAnsi"/>
          <w:i/>
          <w:sz w:val="22"/>
          <w:szCs w:val="22"/>
        </w:rPr>
        <w:t>Jac</w:t>
      </w:r>
      <w:r>
        <w:rPr>
          <w:rFonts w:cstheme="minorHAnsi"/>
          <w:i/>
          <w:sz w:val="22"/>
          <w:szCs w:val="22"/>
        </w:rPr>
        <w:t>queline</w:t>
      </w:r>
      <w:r w:rsidRPr="00442EBD">
        <w:rPr>
          <w:rFonts w:cstheme="minorHAnsi"/>
          <w:i/>
          <w:sz w:val="22"/>
          <w:szCs w:val="22"/>
        </w:rPr>
        <w:t xml:space="preserve"> Parsons</w:t>
      </w:r>
      <w:r>
        <w:rPr>
          <w:rFonts w:cstheme="minorHAnsi"/>
          <w:sz w:val="22"/>
          <w:szCs w:val="22"/>
        </w:rPr>
        <w:t xml:space="preserve"> – Team Leader, Special Projects</w:t>
      </w:r>
      <w:r>
        <w:rPr>
          <w:rFonts w:cstheme="minorHAnsi"/>
          <w:sz w:val="22"/>
          <w:szCs w:val="22"/>
          <w:vertAlign w:val="superscript"/>
        </w:rPr>
        <w:t>1</w:t>
      </w:r>
    </w:p>
    <w:p w:rsidR="001852F3" w:rsidRPr="00A50E7C" w:rsidRDefault="001852F3" w:rsidP="002F6073">
      <w:pPr>
        <w:keepLines/>
        <w:spacing w:before="60" w:after="60" w:line="240" w:lineRule="auto"/>
        <w:rPr>
          <w:rFonts w:cstheme="minorHAnsi"/>
          <w:sz w:val="22"/>
          <w:szCs w:val="22"/>
          <w:vertAlign w:val="superscript"/>
        </w:rPr>
      </w:pPr>
      <w:r w:rsidRPr="000F75BA">
        <w:rPr>
          <w:rFonts w:cstheme="minorHAnsi"/>
          <w:i/>
          <w:sz w:val="22"/>
          <w:szCs w:val="22"/>
        </w:rPr>
        <w:t>Leesa Pridham</w:t>
      </w:r>
      <w:r>
        <w:rPr>
          <w:rFonts w:cstheme="minorHAnsi"/>
          <w:sz w:val="22"/>
          <w:szCs w:val="22"/>
        </w:rPr>
        <w:t xml:space="preserve"> - Senior Research Officer</w:t>
      </w:r>
      <w:r>
        <w:rPr>
          <w:rFonts w:cstheme="minorHAnsi"/>
          <w:sz w:val="22"/>
          <w:szCs w:val="22"/>
          <w:vertAlign w:val="superscript"/>
        </w:rPr>
        <w:t>1</w:t>
      </w:r>
    </w:p>
    <w:p w:rsidR="001852F3" w:rsidRPr="00A50E7C" w:rsidRDefault="001852F3" w:rsidP="002F6073">
      <w:pPr>
        <w:spacing w:before="60" w:after="60" w:line="240" w:lineRule="auto"/>
        <w:jc w:val="left"/>
        <w:rPr>
          <w:rFonts w:cstheme="minorHAnsi"/>
          <w:sz w:val="22"/>
          <w:szCs w:val="22"/>
          <w:vertAlign w:val="superscript"/>
        </w:rPr>
      </w:pPr>
      <w:r w:rsidRPr="00AB618A">
        <w:rPr>
          <w:rFonts w:cstheme="minorHAnsi"/>
          <w:i/>
          <w:sz w:val="22"/>
          <w:szCs w:val="22"/>
        </w:rPr>
        <w:t>Camille Schubert</w:t>
      </w:r>
      <w:r>
        <w:rPr>
          <w:rFonts w:cstheme="minorHAnsi"/>
          <w:sz w:val="22"/>
          <w:szCs w:val="22"/>
        </w:rPr>
        <w:t xml:space="preserve"> – Senior Health </w:t>
      </w:r>
      <w:proofErr w:type="gramStart"/>
      <w:r>
        <w:rPr>
          <w:rFonts w:cstheme="minorHAnsi"/>
          <w:sz w:val="22"/>
          <w:szCs w:val="22"/>
        </w:rPr>
        <w:t>Economist</w:t>
      </w:r>
      <w:r>
        <w:rPr>
          <w:rFonts w:cstheme="minorHAnsi"/>
          <w:sz w:val="22"/>
          <w:szCs w:val="22"/>
          <w:vertAlign w:val="superscript"/>
        </w:rPr>
        <w:t>1</w:t>
      </w:r>
      <w:r w:rsidR="00250B84">
        <w:rPr>
          <w:rFonts w:cstheme="minorHAnsi"/>
          <w:sz w:val="22"/>
          <w:szCs w:val="22"/>
          <w:vertAlign w:val="superscript"/>
        </w:rPr>
        <w:t>{</w:t>
      </w:r>
      <w:proofErr w:type="gramEnd"/>
    </w:p>
    <w:p w:rsidR="001852F3" w:rsidRPr="001852F3" w:rsidRDefault="001852F3" w:rsidP="002F6073">
      <w:pPr>
        <w:spacing w:before="60" w:after="60" w:line="240" w:lineRule="auto"/>
        <w:jc w:val="left"/>
        <w:rPr>
          <w:rFonts w:cstheme="minorHAnsi"/>
          <w:sz w:val="22"/>
          <w:szCs w:val="22"/>
          <w:vertAlign w:val="superscript"/>
        </w:rPr>
      </w:pPr>
      <w:r w:rsidRPr="00D362C8">
        <w:rPr>
          <w:rFonts w:cstheme="minorHAnsi"/>
          <w:i/>
          <w:sz w:val="22"/>
          <w:szCs w:val="22"/>
        </w:rPr>
        <w:t>David Tamblyn</w:t>
      </w:r>
      <w:r>
        <w:rPr>
          <w:rFonts w:cstheme="minorHAnsi"/>
          <w:sz w:val="22"/>
          <w:szCs w:val="22"/>
        </w:rPr>
        <w:t xml:space="preserve"> – Senior Research Officer</w:t>
      </w:r>
      <w:r>
        <w:rPr>
          <w:rFonts w:cstheme="minorHAnsi"/>
          <w:sz w:val="22"/>
          <w:szCs w:val="22"/>
          <w:vertAlign w:val="superscript"/>
        </w:rPr>
        <w:t>1</w:t>
      </w:r>
    </w:p>
    <w:p w:rsidR="00242CA9" w:rsidRPr="004F486E" w:rsidRDefault="001852F3" w:rsidP="002F6073">
      <w:pPr>
        <w:pStyle w:val="Header"/>
        <w:tabs>
          <w:tab w:val="clear" w:pos="8306"/>
          <w:tab w:val="right" w:pos="9498"/>
        </w:tabs>
        <w:spacing w:before="60" w:after="60" w:line="240" w:lineRule="auto"/>
        <w:ind w:right="319"/>
        <w:rPr>
          <w:rFonts w:cs="Calibri"/>
          <w:b/>
          <w:sz w:val="28"/>
          <w:szCs w:val="28"/>
          <w:lang w:val="en-AU"/>
        </w:rPr>
      </w:pPr>
      <w:r w:rsidRPr="00A50E7C">
        <w:rPr>
          <w:rFonts w:cstheme="minorHAnsi"/>
          <w:i/>
          <w:sz w:val="22"/>
          <w:szCs w:val="22"/>
        </w:rPr>
        <w:t>Tracy Merlin</w:t>
      </w:r>
      <w:r>
        <w:rPr>
          <w:rFonts w:cs="Calibri"/>
        </w:rPr>
        <w:t xml:space="preserve"> – </w:t>
      </w:r>
      <w:r w:rsidRPr="00CB33FA">
        <w:rPr>
          <w:rFonts w:cstheme="minorHAnsi"/>
          <w:sz w:val="22"/>
          <w:szCs w:val="22"/>
        </w:rPr>
        <w:t xml:space="preserve">Associate Professor and </w:t>
      </w:r>
      <w:r w:rsidRPr="00A50E7C">
        <w:rPr>
          <w:rFonts w:cstheme="minorHAnsi"/>
          <w:sz w:val="22"/>
          <w:szCs w:val="22"/>
        </w:rPr>
        <w:t>Managing Director</w:t>
      </w:r>
      <w:r>
        <w:rPr>
          <w:rFonts w:cstheme="minorHAnsi"/>
          <w:sz w:val="22"/>
          <w:szCs w:val="22"/>
          <w:vertAlign w:val="superscript"/>
        </w:rPr>
        <w:t>1</w:t>
      </w:r>
    </w:p>
    <w:p w:rsidR="009A16E7" w:rsidRPr="00917B38" w:rsidRDefault="00A50E7C" w:rsidP="00917B38">
      <w:pPr>
        <w:pStyle w:val="Header"/>
        <w:framePr w:hSpace="180" w:wrap="around" w:vAnchor="text" w:hAnchor="text" w:x="-49" w:y="106"/>
        <w:spacing w:after="0" w:line="240" w:lineRule="auto"/>
        <w:rPr>
          <w:sz w:val="22"/>
          <w:szCs w:val="22"/>
          <w:lang w:val="en-AU"/>
        </w:rPr>
      </w:pPr>
      <w:r w:rsidRPr="008854C5">
        <w:rPr>
          <w:rFonts w:cs="Calibri"/>
          <w:vertAlign w:val="superscript"/>
        </w:rPr>
        <w:t>1</w:t>
      </w:r>
      <w:r w:rsidR="009A16E7" w:rsidRPr="00917B38">
        <w:rPr>
          <w:sz w:val="22"/>
          <w:szCs w:val="22"/>
          <w:lang w:val="en-AU"/>
        </w:rPr>
        <w:t>Adelaide Health Technology Assessment (AHTA)</w:t>
      </w:r>
    </w:p>
    <w:p w:rsidR="009A16E7" w:rsidRPr="00917B38" w:rsidRDefault="009A16E7" w:rsidP="00917B38">
      <w:pPr>
        <w:pStyle w:val="Header"/>
        <w:framePr w:hSpace="180" w:wrap="around" w:vAnchor="text" w:hAnchor="text" w:x="-49" w:y="106"/>
        <w:spacing w:after="0" w:line="240" w:lineRule="auto"/>
        <w:rPr>
          <w:sz w:val="22"/>
          <w:szCs w:val="22"/>
          <w:lang w:val="en-AU"/>
        </w:rPr>
      </w:pPr>
      <w:r w:rsidRPr="00917B38">
        <w:rPr>
          <w:sz w:val="22"/>
          <w:szCs w:val="22"/>
          <w:lang w:val="en-AU"/>
        </w:rPr>
        <w:t xml:space="preserve">School of Population Health </w:t>
      </w:r>
    </w:p>
    <w:p w:rsidR="009A16E7" w:rsidRDefault="009A16E7" w:rsidP="00917B38">
      <w:pPr>
        <w:pStyle w:val="Header"/>
        <w:framePr w:hSpace="180" w:wrap="around" w:vAnchor="text" w:hAnchor="text" w:x="-49" w:y="106"/>
        <w:spacing w:after="0" w:line="240" w:lineRule="auto"/>
        <w:rPr>
          <w:sz w:val="22"/>
          <w:szCs w:val="22"/>
          <w:lang w:val="en-AU"/>
        </w:rPr>
      </w:pPr>
      <w:r w:rsidRPr="00917B38">
        <w:rPr>
          <w:sz w:val="22"/>
          <w:szCs w:val="22"/>
          <w:lang w:val="en-AU"/>
        </w:rPr>
        <w:t>University of Adelaide</w:t>
      </w:r>
      <w:r w:rsidRPr="00917B38" w:rsidDel="00C22755">
        <w:rPr>
          <w:sz w:val="22"/>
          <w:szCs w:val="22"/>
          <w:lang w:val="en-AU"/>
        </w:rPr>
        <w:t xml:space="preserve"> </w:t>
      </w:r>
    </w:p>
    <w:p w:rsidR="00917B38" w:rsidRPr="00917B38" w:rsidRDefault="00917B38" w:rsidP="00917B38">
      <w:pPr>
        <w:pStyle w:val="Header"/>
        <w:framePr w:hSpace="180" w:wrap="around" w:vAnchor="text" w:hAnchor="text" w:x="-49" w:y="106"/>
        <w:spacing w:after="0" w:line="240" w:lineRule="auto"/>
        <w:rPr>
          <w:sz w:val="22"/>
          <w:szCs w:val="22"/>
          <w:lang w:val="en-AU"/>
        </w:rPr>
      </w:pPr>
      <w:r w:rsidRPr="00917B38">
        <w:rPr>
          <w:sz w:val="22"/>
          <w:szCs w:val="22"/>
          <w:lang w:val="en-AU"/>
        </w:rPr>
        <w:t>Adelaide, South Australia</w:t>
      </w:r>
    </w:p>
    <w:p w:rsidR="009A16E7" w:rsidRPr="008854C5" w:rsidRDefault="009A16E7" w:rsidP="009A16E7">
      <w:pPr>
        <w:pStyle w:val="Header"/>
        <w:tabs>
          <w:tab w:val="clear" w:pos="8306"/>
          <w:tab w:val="right" w:pos="9498"/>
        </w:tabs>
        <w:spacing w:after="0" w:line="240" w:lineRule="auto"/>
        <w:ind w:right="319"/>
        <w:rPr>
          <w:rFonts w:cs="Calibri"/>
          <w:sz w:val="28"/>
          <w:szCs w:val="28"/>
          <w:lang w:val="en-AU"/>
        </w:rPr>
      </w:pPr>
    </w:p>
    <w:p w:rsidR="00A50E7C" w:rsidRPr="00CB33FA" w:rsidRDefault="00A50E7C" w:rsidP="009A16E7">
      <w:pPr>
        <w:pStyle w:val="Header"/>
        <w:tabs>
          <w:tab w:val="clear" w:pos="8306"/>
          <w:tab w:val="right" w:pos="9498"/>
        </w:tabs>
        <w:spacing w:after="0" w:line="240" w:lineRule="auto"/>
        <w:ind w:right="319"/>
        <w:rPr>
          <w:rFonts w:cs="Calibri"/>
          <w:sz w:val="22"/>
          <w:szCs w:val="22"/>
          <w:vertAlign w:val="superscript"/>
          <w:lang w:val="en-AU"/>
        </w:rPr>
      </w:pPr>
      <w:r w:rsidRPr="00CB33FA">
        <w:rPr>
          <w:rFonts w:cs="Calibri"/>
          <w:sz w:val="22"/>
          <w:szCs w:val="22"/>
          <w:vertAlign w:val="superscript"/>
          <w:lang w:val="en-AU"/>
        </w:rPr>
        <w:t>2</w:t>
      </w:r>
      <w:r w:rsidRPr="00CB33FA">
        <w:rPr>
          <w:rFonts w:cs="Calibri"/>
          <w:sz w:val="22"/>
          <w:szCs w:val="22"/>
          <w:lang w:val="en-AU"/>
        </w:rPr>
        <w:t>Ludwig Boltzmann Institut für Health Technology Assessment, Austria</w:t>
      </w:r>
    </w:p>
    <w:p w:rsidR="00A50E7C" w:rsidRPr="004F486E" w:rsidRDefault="00A50E7C" w:rsidP="009A16E7">
      <w:pPr>
        <w:pStyle w:val="Header"/>
        <w:tabs>
          <w:tab w:val="clear" w:pos="8306"/>
          <w:tab w:val="right" w:pos="9498"/>
        </w:tabs>
        <w:spacing w:after="0" w:line="240" w:lineRule="auto"/>
        <w:ind w:right="319"/>
        <w:rPr>
          <w:rFonts w:cs="Calibri"/>
          <w:b/>
          <w:sz w:val="28"/>
          <w:szCs w:val="28"/>
          <w:lang w:val="en-AU"/>
        </w:rPr>
      </w:pPr>
    </w:p>
    <w:p w:rsidR="00242CA9" w:rsidRPr="004F486E" w:rsidRDefault="00300A9D" w:rsidP="002371B2">
      <w:pPr>
        <w:pStyle w:val="Header"/>
        <w:spacing w:after="0" w:line="240" w:lineRule="auto"/>
        <w:rPr>
          <w:b/>
          <w:lang w:val="en-AU"/>
        </w:rPr>
      </w:pPr>
      <w:r w:rsidRPr="004F486E">
        <w:rPr>
          <w:b/>
          <w:lang w:val="en-AU"/>
        </w:rPr>
        <w:t xml:space="preserve">Conflicts of </w:t>
      </w:r>
      <w:r w:rsidR="00DF6768" w:rsidRPr="004F486E">
        <w:rPr>
          <w:b/>
          <w:lang w:val="en-AU"/>
        </w:rPr>
        <w:t>i</w:t>
      </w:r>
      <w:r w:rsidRPr="004F486E">
        <w:rPr>
          <w:b/>
          <w:lang w:val="en-AU"/>
        </w:rPr>
        <w:t>nterest</w:t>
      </w:r>
    </w:p>
    <w:p w:rsidR="00300A9D" w:rsidRPr="004F486E" w:rsidRDefault="00300A9D" w:rsidP="002371B2">
      <w:pPr>
        <w:pStyle w:val="Header"/>
        <w:spacing w:after="0" w:line="240" w:lineRule="auto"/>
        <w:rPr>
          <w:sz w:val="22"/>
          <w:szCs w:val="22"/>
          <w:lang w:val="en-AU"/>
        </w:rPr>
      </w:pPr>
      <w:r w:rsidRPr="004F486E">
        <w:rPr>
          <w:sz w:val="22"/>
          <w:szCs w:val="22"/>
          <w:lang w:val="en-AU"/>
        </w:rPr>
        <w:t xml:space="preserve">The authors of this </w:t>
      </w:r>
      <w:r w:rsidR="00FD4E37">
        <w:rPr>
          <w:sz w:val="22"/>
          <w:szCs w:val="22"/>
          <w:lang w:val="en-AU"/>
        </w:rPr>
        <w:t>document</w:t>
      </w:r>
      <w:r w:rsidRPr="004F486E">
        <w:rPr>
          <w:sz w:val="22"/>
          <w:szCs w:val="22"/>
          <w:lang w:val="en-AU"/>
        </w:rPr>
        <w:t xml:space="preserve"> have no financial or other conflicts of interest pertaining </w:t>
      </w:r>
      <w:r w:rsidR="00A50E7C">
        <w:rPr>
          <w:sz w:val="22"/>
          <w:szCs w:val="22"/>
          <w:lang w:val="en-AU"/>
        </w:rPr>
        <w:t>t</w:t>
      </w:r>
      <w:r w:rsidR="00462C00">
        <w:rPr>
          <w:sz w:val="22"/>
          <w:szCs w:val="22"/>
          <w:lang w:val="en-AU"/>
        </w:rPr>
        <w:t>o the Life Saving Drug Program</w:t>
      </w:r>
      <w:r w:rsidR="00780522">
        <w:rPr>
          <w:sz w:val="22"/>
          <w:szCs w:val="22"/>
          <w:lang w:val="en-AU"/>
        </w:rPr>
        <w:t>me</w:t>
      </w:r>
      <w:r w:rsidR="00462C00">
        <w:rPr>
          <w:sz w:val="22"/>
          <w:szCs w:val="22"/>
          <w:lang w:val="en-AU"/>
        </w:rPr>
        <w:t xml:space="preserve">, the drugs </w:t>
      </w:r>
      <w:r w:rsidR="0096206F">
        <w:rPr>
          <w:sz w:val="22"/>
          <w:szCs w:val="22"/>
          <w:lang w:val="en-AU"/>
        </w:rPr>
        <w:t xml:space="preserve">reviewed </w:t>
      </w:r>
      <w:r w:rsidR="00462C00">
        <w:rPr>
          <w:sz w:val="22"/>
          <w:szCs w:val="22"/>
          <w:lang w:val="en-AU"/>
        </w:rPr>
        <w:t xml:space="preserve">or the conditions assessed. </w:t>
      </w:r>
    </w:p>
    <w:p w:rsidR="003E678B" w:rsidRPr="004F486E" w:rsidRDefault="003E678B" w:rsidP="007D34AD">
      <w:pPr>
        <w:pStyle w:val="Header"/>
        <w:tabs>
          <w:tab w:val="clear" w:pos="8306"/>
          <w:tab w:val="right" w:pos="9498"/>
        </w:tabs>
        <w:spacing w:after="0" w:line="240" w:lineRule="auto"/>
        <w:ind w:right="319"/>
        <w:rPr>
          <w:rFonts w:cs="Calibri"/>
          <w:b/>
          <w:sz w:val="28"/>
          <w:szCs w:val="28"/>
          <w:lang w:val="en-AU"/>
        </w:rPr>
      </w:pPr>
    </w:p>
    <w:p w:rsidR="00CB6B51" w:rsidRPr="00F05B58" w:rsidRDefault="00CB6B51" w:rsidP="00CB6B51">
      <w:pPr>
        <w:pStyle w:val="Header"/>
        <w:tabs>
          <w:tab w:val="clear" w:pos="8306"/>
          <w:tab w:val="right" w:pos="9498"/>
        </w:tabs>
        <w:spacing w:after="0" w:line="240" w:lineRule="auto"/>
        <w:ind w:right="319"/>
        <w:rPr>
          <w:b/>
          <w:lang w:val="en-AU"/>
        </w:rPr>
      </w:pPr>
      <w:r w:rsidRPr="00F05B58">
        <w:rPr>
          <w:b/>
          <w:lang w:val="en-AU"/>
        </w:rPr>
        <w:t>Acknowledgements</w:t>
      </w:r>
    </w:p>
    <w:p w:rsidR="00D575D2" w:rsidRDefault="00D575D2" w:rsidP="00CB6B51">
      <w:pPr>
        <w:pStyle w:val="Header"/>
        <w:tabs>
          <w:tab w:val="clear" w:pos="8306"/>
          <w:tab w:val="right" w:pos="9498"/>
        </w:tabs>
        <w:spacing w:after="0" w:line="240" w:lineRule="auto"/>
        <w:ind w:right="319"/>
        <w:rPr>
          <w:sz w:val="22"/>
          <w:szCs w:val="22"/>
          <w:lang w:val="en-AU"/>
        </w:rPr>
      </w:pPr>
      <w:r>
        <w:rPr>
          <w:sz w:val="22"/>
          <w:szCs w:val="22"/>
          <w:lang w:val="en-AU"/>
        </w:rPr>
        <w:t xml:space="preserve">Thank you very much to Ms Jenny Ramson from Ampersand Health Science Writing for the plain language summary. </w:t>
      </w:r>
    </w:p>
    <w:p w:rsidR="00CB6B51" w:rsidRPr="00F05B58" w:rsidRDefault="00CB6B51" w:rsidP="00CB6B51">
      <w:pPr>
        <w:pStyle w:val="Header"/>
        <w:tabs>
          <w:tab w:val="clear" w:pos="8306"/>
          <w:tab w:val="right" w:pos="9498"/>
        </w:tabs>
        <w:spacing w:after="0" w:line="240" w:lineRule="auto"/>
        <w:ind w:right="319"/>
        <w:rPr>
          <w:sz w:val="22"/>
          <w:szCs w:val="22"/>
          <w:lang w:val="en-AU"/>
        </w:rPr>
      </w:pPr>
      <w:r>
        <w:rPr>
          <w:sz w:val="22"/>
          <w:szCs w:val="22"/>
          <w:lang w:val="en-AU"/>
        </w:rPr>
        <w:t>Thank you very much to Professor Deborah Elstein and Professor Raphael Schiffmann for responding so quickly to request</w:t>
      </w:r>
      <w:r w:rsidR="0096206F">
        <w:rPr>
          <w:sz w:val="22"/>
          <w:szCs w:val="22"/>
          <w:lang w:val="en-AU"/>
        </w:rPr>
        <w:t>s</w:t>
      </w:r>
      <w:r>
        <w:rPr>
          <w:sz w:val="22"/>
          <w:szCs w:val="22"/>
          <w:lang w:val="en-AU"/>
        </w:rPr>
        <w:t xml:space="preserve"> for </w:t>
      </w:r>
      <w:r w:rsidR="0096206F">
        <w:rPr>
          <w:sz w:val="22"/>
          <w:szCs w:val="22"/>
          <w:lang w:val="en-AU"/>
        </w:rPr>
        <w:t xml:space="preserve">unpublished </w:t>
      </w:r>
      <w:r>
        <w:rPr>
          <w:sz w:val="22"/>
          <w:szCs w:val="22"/>
          <w:lang w:val="en-AU"/>
        </w:rPr>
        <w:t xml:space="preserve">information, and to Professor Schiffmann for providing additional data from his 2002 study. </w:t>
      </w:r>
    </w:p>
    <w:p w:rsidR="007D34AD" w:rsidRPr="00BC57BD" w:rsidRDefault="00BC57BD" w:rsidP="007D34AD">
      <w:pPr>
        <w:pStyle w:val="Header"/>
        <w:tabs>
          <w:tab w:val="clear" w:pos="8306"/>
          <w:tab w:val="right" w:pos="9498"/>
        </w:tabs>
        <w:spacing w:after="0" w:line="240" w:lineRule="auto"/>
        <w:ind w:right="319"/>
        <w:rPr>
          <w:sz w:val="22"/>
          <w:szCs w:val="22"/>
          <w:lang w:val="en-AU"/>
        </w:rPr>
      </w:pPr>
      <w:r>
        <w:rPr>
          <w:sz w:val="22"/>
          <w:szCs w:val="22"/>
          <w:lang w:val="en-AU"/>
        </w:rPr>
        <w:t xml:space="preserve">Thank you very much to </w:t>
      </w:r>
      <w:r w:rsidR="00D27A68">
        <w:rPr>
          <w:sz w:val="22"/>
          <w:szCs w:val="22"/>
          <w:lang w:val="en-AU"/>
        </w:rPr>
        <w:t xml:space="preserve">Mr </w:t>
      </w:r>
      <w:r>
        <w:rPr>
          <w:sz w:val="22"/>
          <w:szCs w:val="22"/>
          <w:lang w:val="en-AU"/>
        </w:rPr>
        <w:t xml:space="preserve">Thomas Sullivan and </w:t>
      </w:r>
      <w:r w:rsidR="00D27A68">
        <w:rPr>
          <w:sz w:val="22"/>
          <w:szCs w:val="22"/>
          <w:lang w:val="en-AU"/>
        </w:rPr>
        <w:t xml:space="preserve">Mr </w:t>
      </w:r>
      <w:r>
        <w:rPr>
          <w:sz w:val="22"/>
          <w:szCs w:val="22"/>
          <w:lang w:val="en-AU"/>
        </w:rPr>
        <w:t xml:space="preserve">Drew Carter for their input on the framework for data collection. </w:t>
      </w:r>
    </w:p>
    <w:p w:rsidR="00516EF3" w:rsidRDefault="00535A1B" w:rsidP="00DB0CFF">
      <w:pPr>
        <w:tabs>
          <w:tab w:val="left" w:pos="5670"/>
        </w:tabs>
        <w:spacing w:after="240" w:line="240" w:lineRule="auto"/>
        <w:rPr>
          <w:rFonts w:ascii="Cambria" w:hAnsi="Cambria"/>
          <w:b/>
          <w:bCs/>
          <w:caps/>
          <w:color w:val="C00000"/>
          <w:sz w:val="28"/>
          <w:szCs w:val="28"/>
        </w:rPr>
      </w:pPr>
      <w:r w:rsidRPr="004F486E">
        <w:rPr>
          <w:rFonts w:ascii="Arial Narrow" w:hAnsi="Arial Narrow"/>
          <w:b/>
          <w:noProof/>
          <w:lang w:eastAsia="en-AU"/>
        </w:rPr>
        <w:drawing>
          <wp:inline distT="0" distB="0" distL="0" distR="0" wp14:anchorId="3D883894" wp14:editId="66FBE6CA">
            <wp:extent cx="2019300" cy="619125"/>
            <wp:effectExtent l="0" t="0" r="0" b="9525"/>
            <wp:docPr id="3" name="Picture 1" descr="UoA_logo_cmyk.png" title="Unvirsity of Adelai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A_logo_cmyk.png"/>
                    <pic:cNvPicPr>
                      <a:picLocks noChangeAspect="1" noChangeArrowheads="1"/>
                    </pic:cNvPicPr>
                  </pic:nvPicPr>
                  <pic:blipFill>
                    <a:blip r:embed="rId11" cstate="print"/>
                    <a:srcRect/>
                    <a:stretch>
                      <a:fillRect/>
                    </a:stretch>
                  </pic:blipFill>
                  <pic:spPr bwMode="auto">
                    <a:xfrm>
                      <a:off x="0" y="0"/>
                      <a:ext cx="2019300" cy="619125"/>
                    </a:xfrm>
                    <a:prstGeom prst="rect">
                      <a:avLst/>
                    </a:prstGeom>
                    <a:noFill/>
                    <a:ln w="9525">
                      <a:noFill/>
                      <a:miter lim="800000"/>
                      <a:headEnd/>
                      <a:tailEnd/>
                    </a:ln>
                  </pic:spPr>
                </pic:pic>
              </a:graphicData>
            </a:graphic>
          </wp:inline>
        </w:drawing>
      </w:r>
      <w:r w:rsidR="00281F9A" w:rsidRPr="004F486E">
        <w:rPr>
          <w:rFonts w:ascii="Arial Narrow" w:hAnsi="Arial Narrow"/>
          <w:b/>
          <w:noProof/>
          <w:lang w:eastAsia="en-AU"/>
        </w:rPr>
        <w:t xml:space="preserve">   </w:t>
      </w:r>
      <w:r w:rsidR="006E2AFB">
        <w:rPr>
          <w:rFonts w:ascii="Arial Narrow" w:hAnsi="Arial Narrow"/>
          <w:b/>
          <w:noProof/>
          <w:lang w:eastAsia="en-AU"/>
        </w:rPr>
        <w:tab/>
      </w:r>
      <w:r w:rsidR="00B82C6E" w:rsidRPr="004F486E">
        <w:rPr>
          <w:rFonts w:ascii="Arial Narrow" w:hAnsi="Arial Narrow"/>
          <w:b/>
          <w:noProof/>
          <w:lang w:eastAsia="en-AU"/>
        </w:rPr>
        <w:t xml:space="preserve"> </w:t>
      </w:r>
      <w:r w:rsidRPr="004F486E">
        <w:rPr>
          <w:rFonts w:ascii="Arial Narrow" w:hAnsi="Arial Narrow"/>
          <w:b/>
          <w:i/>
          <w:noProof/>
          <w:sz w:val="28"/>
          <w:szCs w:val="28"/>
          <w:lang w:eastAsia="en-AU"/>
        </w:rPr>
        <w:drawing>
          <wp:inline distT="0" distB="0" distL="0" distR="0" wp14:anchorId="5486BFB8" wp14:editId="6ED95964">
            <wp:extent cx="1905000" cy="971550"/>
            <wp:effectExtent l="0" t="0" r="0" b="0"/>
            <wp:docPr id="4" name="Picture 1" descr="ahta_logo2.jpg" title="AH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ta_logo2.jpg"/>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905000" cy="971550"/>
                    </a:xfrm>
                    <a:prstGeom prst="rect">
                      <a:avLst/>
                    </a:prstGeom>
                    <a:noFill/>
                    <a:ln w="9525">
                      <a:noFill/>
                      <a:miter lim="800000"/>
                      <a:headEnd/>
                      <a:tailEnd/>
                    </a:ln>
                  </pic:spPr>
                </pic:pic>
              </a:graphicData>
            </a:graphic>
          </wp:inline>
        </w:drawing>
      </w:r>
      <w:r w:rsidR="00516EF3">
        <w:rPr>
          <w:rFonts w:ascii="Cambria" w:hAnsi="Cambria"/>
          <w:b/>
          <w:bCs/>
          <w:caps/>
          <w:color w:val="C00000"/>
          <w:sz w:val="28"/>
          <w:szCs w:val="28"/>
        </w:rPr>
        <w:br w:type="page"/>
      </w:r>
    </w:p>
    <w:p w:rsidR="00301134" w:rsidRDefault="006F6BC5" w:rsidP="00416907">
      <w:pPr>
        <w:pStyle w:val="TOC2"/>
        <w:tabs>
          <w:tab w:val="right" w:leader="dot" w:pos="9040"/>
        </w:tabs>
        <w:ind w:left="142"/>
        <w:rPr>
          <w:noProof/>
        </w:rPr>
      </w:pPr>
      <w:r w:rsidRPr="005A6BFE">
        <w:rPr>
          <w:rFonts w:ascii="Cambria" w:hAnsi="Cambria"/>
          <w:b/>
          <w:bCs/>
          <w:caps/>
          <w:color w:val="002060"/>
          <w:sz w:val="28"/>
          <w:szCs w:val="28"/>
        </w:rPr>
        <w:lastRenderedPageBreak/>
        <w:t>contents</w:t>
      </w:r>
    </w:p>
    <w:p w:rsidR="00301134" w:rsidRDefault="00301134">
      <w:pPr>
        <w:pStyle w:val="TOC1"/>
        <w:rPr>
          <w:rFonts w:eastAsiaTheme="minorEastAsia" w:cstheme="minorBidi"/>
          <w:b w:val="0"/>
          <w:bCs w:val="0"/>
          <w:caps w:val="0"/>
          <w:noProof/>
          <w:sz w:val="22"/>
          <w:szCs w:val="22"/>
          <w:lang w:eastAsia="en-AU"/>
        </w:rPr>
      </w:pPr>
      <w:r>
        <w:rPr>
          <w:noProof/>
        </w:rPr>
        <w:t>1.</w:t>
      </w:r>
      <w:r>
        <w:rPr>
          <w:rFonts w:eastAsiaTheme="minorEastAsia" w:cstheme="minorBidi"/>
          <w:b w:val="0"/>
          <w:bCs w:val="0"/>
          <w:caps w:val="0"/>
          <w:noProof/>
          <w:sz w:val="22"/>
          <w:szCs w:val="22"/>
          <w:lang w:eastAsia="en-AU"/>
        </w:rPr>
        <w:tab/>
      </w:r>
      <w:r>
        <w:rPr>
          <w:noProof/>
        </w:rPr>
        <w:t>Plain language summary</w:t>
      </w:r>
      <w:r>
        <w:rPr>
          <w:noProof/>
        </w:rPr>
        <w:tab/>
      </w:r>
      <w:r w:rsidR="00A72B26">
        <w:rPr>
          <w:noProof/>
        </w:rPr>
        <w:t>11</w:t>
      </w:r>
    </w:p>
    <w:p w:rsidR="00301134" w:rsidRDefault="00301134">
      <w:pPr>
        <w:pStyle w:val="TOC1"/>
        <w:rPr>
          <w:rFonts w:eastAsiaTheme="minorEastAsia" w:cstheme="minorBidi"/>
          <w:b w:val="0"/>
          <w:bCs w:val="0"/>
          <w:caps w:val="0"/>
          <w:noProof/>
          <w:sz w:val="22"/>
          <w:szCs w:val="22"/>
          <w:lang w:eastAsia="en-AU"/>
        </w:rPr>
      </w:pPr>
      <w:r>
        <w:rPr>
          <w:noProof/>
        </w:rPr>
        <w:t>2.</w:t>
      </w:r>
      <w:r>
        <w:rPr>
          <w:rFonts w:eastAsiaTheme="minorEastAsia" w:cstheme="minorBidi"/>
          <w:b w:val="0"/>
          <w:bCs w:val="0"/>
          <w:caps w:val="0"/>
          <w:noProof/>
          <w:sz w:val="22"/>
          <w:szCs w:val="22"/>
          <w:lang w:eastAsia="en-AU"/>
        </w:rPr>
        <w:tab/>
      </w:r>
      <w:r>
        <w:rPr>
          <w:noProof/>
        </w:rPr>
        <w:t>Technical summary</w:t>
      </w:r>
      <w:r>
        <w:rPr>
          <w:noProof/>
        </w:rPr>
        <w:tab/>
      </w:r>
      <w:r w:rsidR="00A72B26">
        <w:rPr>
          <w:noProof/>
        </w:rPr>
        <w:t>18</w:t>
      </w:r>
    </w:p>
    <w:p w:rsidR="00301134" w:rsidRDefault="00301134">
      <w:pPr>
        <w:pStyle w:val="TOC1"/>
        <w:rPr>
          <w:rFonts w:eastAsiaTheme="minorEastAsia" w:cstheme="minorBidi"/>
          <w:b w:val="0"/>
          <w:bCs w:val="0"/>
          <w:caps w:val="0"/>
          <w:noProof/>
          <w:sz w:val="22"/>
          <w:szCs w:val="22"/>
          <w:lang w:eastAsia="en-AU"/>
        </w:rPr>
      </w:pPr>
      <w:r>
        <w:rPr>
          <w:noProof/>
        </w:rPr>
        <w:t>3.</w:t>
      </w:r>
      <w:r>
        <w:rPr>
          <w:rFonts w:eastAsiaTheme="minorEastAsia" w:cstheme="minorBidi"/>
          <w:b w:val="0"/>
          <w:bCs w:val="0"/>
          <w:caps w:val="0"/>
          <w:noProof/>
          <w:sz w:val="22"/>
          <w:szCs w:val="22"/>
          <w:lang w:eastAsia="en-AU"/>
        </w:rPr>
        <w:tab/>
      </w:r>
      <w:r>
        <w:rPr>
          <w:noProof/>
        </w:rPr>
        <w:t>INTRODUCTION</w:t>
      </w:r>
      <w:r>
        <w:rPr>
          <w:noProof/>
        </w:rPr>
        <w:tab/>
      </w:r>
      <w:r w:rsidR="00A72B26">
        <w:rPr>
          <w:noProof/>
        </w:rPr>
        <w:t>34</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3.1.</w:t>
      </w:r>
      <w:r>
        <w:rPr>
          <w:rFonts w:eastAsiaTheme="minorEastAsia" w:cstheme="minorBidi"/>
          <w:smallCaps w:val="0"/>
          <w:noProof/>
          <w:sz w:val="22"/>
          <w:szCs w:val="22"/>
          <w:lang w:eastAsia="en-AU"/>
        </w:rPr>
        <w:tab/>
      </w:r>
      <w:r>
        <w:rPr>
          <w:noProof/>
        </w:rPr>
        <w:t>The Life Saving Drugs Programme</w:t>
      </w:r>
      <w:r>
        <w:rPr>
          <w:noProof/>
        </w:rPr>
        <w:tab/>
      </w:r>
      <w:r w:rsidR="00A72B26">
        <w:rPr>
          <w:noProof/>
        </w:rPr>
        <w:t>34</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3.2.</w:t>
      </w:r>
      <w:r>
        <w:rPr>
          <w:rFonts w:eastAsiaTheme="minorEastAsia" w:cstheme="minorBidi"/>
          <w:smallCaps w:val="0"/>
          <w:noProof/>
          <w:sz w:val="22"/>
          <w:szCs w:val="22"/>
          <w:lang w:eastAsia="en-AU"/>
        </w:rPr>
        <w:tab/>
      </w:r>
      <w:r>
        <w:rPr>
          <w:noProof/>
        </w:rPr>
        <w:t>Objective of the LSDP Review</w:t>
      </w:r>
      <w:r>
        <w:rPr>
          <w:noProof/>
        </w:rPr>
        <w:tab/>
      </w:r>
      <w:r w:rsidR="00A72B26">
        <w:rPr>
          <w:noProof/>
        </w:rPr>
        <w:t>35</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3.3.</w:t>
      </w:r>
      <w:r>
        <w:rPr>
          <w:rFonts w:eastAsiaTheme="minorEastAsia" w:cstheme="minorBidi"/>
          <w:smallCaps w:val="0"/>
          <w:noProof/>
          <w:sz w:val="22"/>
          <w:szCs w:val="22"/>
          <w:lang w:eastAsia="en-AU"/>
        </w:rPr>
        <w:tab/>
      </w:r>
      <w:r>
        <w:rPr>
          <w:noProof/>
        </w:rPr>
        <w:t>Scope of the technical assessment</w:t>
      </w:r>
      <w:r>
        <w:rPr>
          <w:noProof/>
        </w:rPr>
        <w:tab/>
      </w:r>
      <w:r w:rsidR="00A72B26">
        <w:rPr>
          <w:noProof/>
        </w:rPr>
        <w:t>35</w:t>
      </w:r>
    </w:p>
    <w:p w:rsidR="00301134" w:rsidRDefault="00301134">
      <w:pPr>
        <w:pStyle w:val="TOC1"/>
        <w:rPr>
          <w:rFonts w:eastAsiaTheme="minorEastAsia" w:cstheme="minorBidi"/>
          <w:b w:val="0"/>
          <w:bCs w:val="0"/>
          <w:caps w:val="0"/>
          <w:noProof/>
          <w:sz w:val="22"/>
          <w:szCs w:val="22"/>
          <w:lang w:eastAsia="en-AU"/>
        </w:rPr>
      </w:pPr>
      <w:r>
        <w:rPr>
          <w:noProof/>
        </w:rPr>
        <w:t>4.</w:t>
      </w:r>
      <w:r>
        <w:rPr>
          <w:rFonts w:eastAsiaTheme="minorEastAsia" w:cstheme="minorBidi"/>
          <w:b w:val="0"/>
          <w:bCs w:val="0"/>
          <w:caps w:val="0"/>
          <w:noProof/>
          <w:sz w:val="22"/>
          <w:szCs w:val="22"/>
          <w:lang w:eastAsia="en-AU"/>
        </w:rPr>
        <w:tab/>
      </w:r>
      <w:r>
        <w:rPr>
          <w:noProof/>
        </w:rPr>
        <w:t>Systematic literature REVIEW</w:t>
      </w:r>
      <w:r>
        <w:rPr>
          <w:noProof/>
        </w:rPr>
        <w:tab/>
      </w:r>
      <w:r w:rsidR="00A72B26">
        <w:rPr>
          <w:noProof/>
        </w:rPr>
        <w:t>37</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4.1.</w:t>
      </w:r>
      <w:r>
        <w:rPr>
          <w:rFonts w:eastAsiaTheme="minorEastAsia" w:cstheme="minorBidi"/>
          <w:smallCaps w:val="0"/>
          <w:noProof/>
          <w:sz w:val="22"/>
          <w:szCs w:val="22"/>
          <w:lang w:eastAsia="en-AU"/>
        </w:rPr>
        <w:tab/>
      </w:r>
      <w:r>
        <w:rPr>
          <w:noProof/>
        </w:rPr>
        <w:t>Systematic review methodology</w:t>
      </w:r>
      <w:r>
        <w:rPr>
          <w:noProof/>
        </w:rPr>
        <w:tab/>
      </w:r>
      <w:r w:rsidR="00A72B26">
        <w:rPr>
          <w:noProof/>
        </w:rPr>
        <w:t>37</w:t>
      </w:r>
    </w:p>
    <w:p w:rsidR="0098593D" w:rsidRDefault="00301134">
      <w:pPr>
        <w:pStyle w:val="TOC2"/>
        <w:tabs>
          <w:tab w:val="left" w:pos="1276"/>
          <w:tab w:val="right" w:leader="dot" w:pos="9040"/>
        </w:tabs>
        <w:rPr>
          <w:noProof/>
        </w:rPr>
      </w:pPr>
      <w:r>
        <w:rPr>
          <w:noProof/>
        </w:rPr>
        <w:t>4.2.</w:t>
      </w:r>
      <w:r>
        <w:rPr>
          <w:rFonts w:eastAsiaTheme="minorEastAsia" w:cstheme="minorBidi"/>
          <w:smallCaps w:val="0"/>
          <w:noProof/>
          <w:sz w:val="22"/>
          <w:szCs w:val="22"/>
          <w:lang w:eastAsia="en-AU"/>
        </w:rPr>
        <w:tab/>
      </w:r>
      <w:r>
        <w:rPr>
          <w:noProof/>
        </w:rPr>
        <w:t>Critical appraisal of selecte</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d evidence</w:t>
      </w:r>
      <w:r>
        <w:rPr>
          <w:noProof/>
        </w:rPr>
        <w:tab/>
      </w:r>
      <w:r w:rsidR="00A72B26">
        <w:rPr>
          <w:noProof/>
        </w:rPr>
        <w:t>40</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4.3.</w:t>
      </w:r>
      <w:r>
        <w:rPr>
          <w:rFonts w:eastAsiaTheme="minorEastAsia" w:cstheme="minorBidi"/>
          <w:smallCaps w:val="0"/>
          <w:noProof/>
          <w:sz w:val="22"/>
          <w:szCs w:val="22"/>
          <w:lang w:eastAsia="en-AU"/>
        </w:rPr>
        <w:tab/>
      </w:r>
      <w:r>
        <w:rPr>
          <w:noProof/>
        </w:rPr>
        <w:t>Data extraction and synthesis</w:t>
      </w:r>
      <w:r>
        <w:rPr>
          <w:noProof/>
        </w:rPr>
        <w:tab/>
      </w:r>
      <w:r w:rsidR="00A72B26">
        <w:rPr>
          <w:noProof/>
        </w:rPr>
        <w:t>41</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4.4.</w:t>
      </w:r>
      <w:r>
        <w:rPr>
          <w:rFonts w:eastAsiaTheme="minorEastAsia" w:cstheme="minorBidi"/>
          <w:smallCaps w:val="0"/>
          <w:noProof/>
          <w:sz w:val="22"/>
          <w:szCs w:val="22"/>
          <w:lang w:eastAsia="en-AU"/>
        </w:rPr>
        <w:tab/>
      </w:r>
      <w:r>
        <w:rPr>
          <w:noProof/>
        </w:rPr>
        <w:t>Method of review and analysis of currently held data</w:t>
      </w:r>
      <w:r>
        <w:rPr>
          <w:noProof/>
        </w:rPr>
        <w:tab/>
      </w:r>
      <w:r w:rsidR="00A72B26">
        <w:rPr>
          <w:noProof/>
        </w:rPr>
        <w:t>41</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4.5.</w:t>
      </w:r>
      <w:r>
        <w:rPr>
          <w:rFonts w:eastAsiaTheme="minorEastAsia" w:cstheme="minorBidi"/>
          <w:smallCaps w:val="0"/>
          <w:noProof/>
          <w:sz w:val="22"/>
          <w:szCs w:val="22"/>
          <w:lang w:eastAsia="en-AU"/>
        </w:rPr>
        <w:tab/>
      </w:r>
      <w:r>
        <w:rPr>
          <w:noProof/>
        </w:rPr>
        <w:t>Data retention and storage</w:t>
      </w:r>
      <w:r>
        <w:rPr>
          <w:noProof/>
        </w:rPr>
        <w:tab/>
      </w:r>
      <w:r w:rsidR="00A72B26">
        <w:rPr>
          <w:noProof/>
        </w:rPr>
        <w:t>43</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4.6.</w:t>
      </w:r>
      <w:r>
        <w:rPr>
          <w:rFonts w:eastAsiaTheme="minorEastAsia" w:cstheme="minorBidi"/>
          <w:smallCaps w:val="0"/>
          <w:noProof/>
          <w:sz w:val="22"/>
          <w:szCs w:val="22"/>
          <w:lang w:eastAsia="en-AU"/>
        </w:rPr>
        <w:tab/>
      </w:r>
      <w:r>
        <w:rPr>
          <w:noProof/>
        </w:rPr>
        <w:t>Systematic review results</w:t>
      </w:r>
      <w:r>
        <w:rPr>
          <w:noProof/>
        </w:rPr>
        <w:tab/>
      </w:r>
      <w:r w:rsidR="00A72B26">
        <w:rPr>
          <w:noProof/>
        </w:rPr>
        <w:t>44</w:t>
      </w:r>
    </w:p>
    <w:p w:rsidR="00301134" w:rsidRDefault="00301134">
      <w:pPr>
        <w:pStyle w:val="TOC1"/>
        <w:rPr>
          <w:rFonts w:eastAsiaTheme="minorEastAsia" w:cstheme="minorBidi"/>
          <w:b w:val="0"/>
          <w:bCs w:val="0"/>
          <w:caps w:val="0"/>
          <w:noProof/>
          <w:sz w:val="22"/>
          <w:szCs w:val="22"/>
          <w:lang w:eastAsia="en-AU"/>
        </w:rPr>
      </w:pPr>
      <w:r>
        <w:rPr>
          <w:noProof/>
        </w:rPr>
        <w:t>5.</w:t>
      </w:r>
      <w:r>
        <w:rPr>
          <w:rFonts w:eastAsiaTheme="minorEastAsia" w:cstheme="minorBidi"/>
          <w:b w:val="0"/>
          <w:bCs w:val="0"/>
          <w:caps w:val="0"/>
          <w:noProof/>
          <w:sz w:val="22"/>
          <w:szCs w:val="22"/>
          <w:lang w:eastAsia="en-AU"/>
        </w:rPr>
        <w:tab/>
      </w:r>
      <w:r>
        <w:rPr>
          <w:noProof/>
        </w:rPr>
        <w:t>Horizon scanning</w:t>
      </w:r>
      <w:r>
        <w:rPr>
          <w:noProof/>
        </w:rPr>
        <w:tab/>
      </w:r>
      <w:r w:rsidR="00A72B26">
        <w:rPr>
          <w:noProof/>
        </w:rPr>
        <w:t>215</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5.1.</w:t>
      </w:r>
      <w:r>
        <w:rPr>
          <w:rFonts w:eastAsiaTheme="minorEastAsia" w:cstheme="minorBidi"/>
          <w:smallCaps w:val="0"/>
          <w:noProof/>
          <w:sz w:val="22"/>
          <w:szCs w:val="22"/>
          <w:lang w:eastAsia="en-AU"/>
        </w:rPr>
        <w:tab/>
      </w:r>
      <w:r>
        <w:rPr>
          <w:noProof/>
        </w:rPr>
        <w:t>What is horizon scanning?</w:t>
      </w:r>
      <w:r>
        <w:rPr>
          <w:noProof/>
        </w:rPr>
        <w:tab/>
      </w:r>
      <w:r w:rsidR="00A72B26">
        <w:rPr>
          <w:noProof/>
        </w:rPr>
        <w:t>215</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5.2.</w:t>
      </w:r>
      <w:r>
        <w:rPr>
          <w:rFonts w:eastAsiaTheme="minorEastAsia" w:cstheme="minorBidi"/>
          <w:smallCaps w:val="0"/>
          <w:noProof/>
          <w:sz w:val="22"/>
          <w:szCs w:val="22"/>
          <w:lang w:eastAsia="en-AU"/>
        </w:rPr>
        <w:tab/>
      </w:r>
      <w:r>
        <w:rPr>
          <w:noProof/>
        </w:rPr>
        <w:t>Topic eligibility</w:t>
      </w:r>
      <w:r>
        <w:rPr>
          <w:noProof/>
        </w:rPr>
        <w:tab/>
      </w:r>
      <w:r w:rsidR="00A72B26">
        <w:rPr>
          <w:noProof/>
        </w:rPr>
        <w:t>215</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5.3.</w:t>
      </w:r>
      <w:r>
        <w:rPr>
          <w:rFonts w:eastAsiaTheme="minorEastAsia" w:cstheme="minorBidi"/>
          <w:smallCaps w:val="0"/>
          <w:noProof/>
          <w:sz w:val="22"/>
          <w:szCs w:val="22"/>
          <w:lang w:eastAsia="en-AU"/>
        </w:rPr>
        <w:tab/>
      </w:r>
      <w:r>
        <w:rPr>
          <w:noProof/>
        </w:rPr>
        <w:t>Method</w:t>
      </w:r>
      <w:r>
        <w:rPr>
          <w:noProof/>
        </w:rPr>
        <w:tab/>
      </w:r>
      <w:r w:rsidR="00A72B26">
        <w:rPr>
          <w:noProof/>
        </w:rPr>
        <w:t>217</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5.4.</w:t>
      </w:r>
      <w:r>
        <w:rPr>
          <w:rFonts w:eastAsiaTheme="minorEastAsia" w:cstheme="minorBidi"/>
          <w:smallCaps w:val="0"/>
          <w:noProof/>
          <w:sz w:val="22"/>
          <w:szCs w:val="22"/>
          <w:lang w:eastAsia="en-AU"/>
        </w:rPr>
        <w:tab/>
      </w:r>
      <w:r>
        <w:rPr>
          <w:noProof/>
        </w:rPr>
        <w:t>Results</w:t>
      </w:r>
      <w:r>
        <w:rPr>
          <w:noProof/>
        </w:rPr>
        <w:tab/>
      </w:r>
      <w:r w:rsidR="00A72B26">
        <w:rPr>
          <w:noProof/>
        </w:rPr>
        <w:t>218</w:t>
      </w:r>
    </w:p>
    <w:p w:rsidR="00301134" w:rsidRDefault="00301134">
      <w:pPr>
        <w:pStyle w:val="TOC1"/>
        <w:rPr>
          <w:rFonts w:eastAsiaTheme="minorEastAsia" w:cstheme="minorBidi"/>
          <w:b w:val="0"/>
          <w:bCs w:val="0"/>
          <w:caps w:val="0"/>
          <w:noProof/>
          <w:sz w:val="22"/>
          <w:szCs w:val="22"/>
          <w:lang w:eastAsia="en-AU"/>
        </w:rPr>
      </w:pPr>
      <w:r>
        <w:rPr>
          <w:noProof/>
        </w:rPr>
        <w:t>6.</w:t>
      </w:r>
      <w:r>
        <w:rPr>
          <w:rFonts w:eastAsiaTheme="minorEastAsia" w:cstheme="minorBidi"/>
          <w:b w:val="0"/>
          <w:bCs w:val="0"/>
          <w:caps w:val="0"/>
          <w:noProof/>
          <w:sz w:val="22"/>
          <w:szCs w:val="22"/>
          <w:lang w:eastAsia="en-AU"/>
        </w:rPr>
        <w:tab/>
      </w:r>
      <w:r>
        <w:rPr>
          <w:noProof/>
        </w:rPr>
        <w:t>International systems comparison</w:t>
      </w:r>
      <w:r>
        <w:rPr>
          <w:noProof/>
        </w:rPr>
        <w:tab/>
      </w:r>
      <w:r w:rsidR="00A72B26">
        <w:rPr>
          <w:noProof/>
        </w:rPr>
        <w:t>231</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6.1.</w:t>
      </w:r>
      <w:r>
        <w:rPr>
          <w:rFonts w:eastAsiaTheme="minorEastAsia" w:cstheme="minorBidi"/>
          <w:smallCaps w:val="0"/>
          <w:noProof/>
          <w:sz w:val="22"/>
          <w:szCs w:val="22"/>
          <w:lang w:eastAsia="en-AU"/>
        </w:rPr>
        <w:tab/>
      </w:r>
      <w:r>
        <w:rPr>
          <w:noProof/>
        </w:rPr>
        <w:t>International comparison objective</w:t>
      </w:r>
      <w:r>
        <w:rPr>
          <w:noProof/>
        </w:rPr>
        <w:tab/>
      </w:r>
      <w:r w:rsidR="00A72B26">
        <w:rPr>
          <w:noProof/>
        </w:rPr>
        <w:t>231</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6.2.</w:t>
      </w:r>
      <w:r>
        <w:rPr>
          <w:rFonts w:eastAsiaTheme="minorEastAsia" w:cstheme="minorBidi"/>
          <w:smallCaps w:val="0"/>
          <w:noProof/>
          <w:sz w:val="22"/>
          <w:szCs w:val="22"/>
          <w:lang w:eastAsia="en-AU"/>
        </w:rPr>
        <w:tab/>
      </w:r>
      <w:r>
        <w:rPr>
          <w:noProof/>
        </w:rPr>
        <w:t>Research questions</w:t>
      </w:r>
      <w:r>
        <w:rPr>
          <w:noProof/>
        </w:rPr>
        <w:tab/>
      </w:r>
      <w:r w:rsidR="00A72B26">
        <w:rPr>
          <w:noProof/>
        </w:rPr>
        <w:t>231</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6.3.</w:t>
      </w:r>
      <w:r>
        <w:rPr>
          <w:rFonts w:eastAsiaTheme="minorEastAsia" w:cstheme="minorBidi"/>
          <w:smallCaps w:val="0"/>
          <w:noProof/>
          <w:sz w:val="22"/>
          <w:szCs w:val="22"/>
          <w:lang w:eastAsia="en-AU"/>
        </w:rPr>
        <w:tab/>
      </w:r>
      <w:r>
        <w:rPr>
          <w:noProof/>
        </w:rPr>
        <w:t>Method</w:t>
      </w:r>
      <w:r>
        <w:rPr>
          <w:noProof/>
        </w:rPr>
        <w:tab/>
      </w:r>
      <w:r w:rsidR="00A72B26">
        <w:rPr>
          <w:noProof/>
        </w:rPr>
        <w:t>232</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6.4.</w:t>
      </w:r>
      <w:r>
        <w:rPr>
          <w:rFonts w:eastAsiaTheme="minorEastAsia" w:cstheme="minorBidi"/>
          <w:smallCaps w:val="0"/>
          <w:noProof/>
          <w:sz w:val="22"/>
          <w:szCs w:val="22"/>
          <w:lang w:eastAsia="en-AU"/>
        </w:rPr>
        <w:tab/>
      </w:r>
      <w:r>
        <w:rPr>
          <w:noProof/>
        </w:rPr>
        <w:t>International comparison results</w:t>
      </w:r>
      <w:r>
        <w:rPr>
          <w:noProof/>
        </w:rPr>
        <w:tab/>
      </w:r>
      <w:r w:rsidR="00A72B26">
        <w:rPr>
          <w:noProof/>
        </w:rPr>
        <w:t>234</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6.5.</w:t>
      </w:r>
      <w:r>
        <w:rPr>
          <w:rFonts w:eastAsiaTheme="minorEastAsia" w:cstheme="minorBidi"/>
          <w:smallCaps w:val="0"/>
          <w:noProof/>
          <w:sz w:val="22"/>
          <w:szCs w:val="22"/>
          <w:lang w:eastAsia="en-AU"/>
        </w:rPr>
        <w:tab/>
      </w:r>
      <w:r>
        <w:rPr>
          <w:noProof/>
        </w:rPr>
        <w:t>Mechanisms for subsidy</w:t>
      </w:r>
      <w:r>
        <w:rPr>
          <w:noProof/>
        </w:rPr>
        <w:tab/>
      </w:r>
      <w:r w:rsidR="00A72B26">
        <w:rPr>
          <w:noProof/>
        </w:rPr>
        <w:t>235</w:t>
      </w:r>
    </w:p>
    <w:p w:rsidR="00301134" w:rsidRDefault="00301134">
      <w:pPr>
        <w:pStyle w:val="TOC1"/>
        <w:rPr>
          <w:rFonts w:eastAsiaTheme="minorEastAsia" w:cstheme="minorBidi"/>
          <w:b w:val="0"/>
          <w:bCs w:val="0"/>
          <w:caps w:val="0"/>
          <w:noProof/>
          <w:sz w:val="22"/>
          <w:szCs w:val="22"/>
          <w:lang w:eastAsia="en-AU"/>
        </w:rPr>
      </w:pPr>
      <w:r>
        <w:rPr>
          <w:noProof/>
        </w:rPr>
        <w:t>7.</w:t>
      </w:r>
      <w:r>
        <w:rPr>
          <w:rFonts w:eastAsiaTheme="minorEastAsia" w:cstheme="minorBidi"/>
          <w:b w:val="0"/>
          <w:bCs w:val="0"/>
          <w:caps w:val="0"/>
          <w:noProof/>
          <w:sz w:val="22"/>
          <w:szCs w:val="22"/>
          <w:lang w:eastAsia="en-AU"/>
        </w:rPr>
        <w:tab/>
      </w:r>
      <w:r>
        <w:rPr>
          <w:noProof/>
        </w:rPr>
        <w:t>Appraisal of value metrics</w:t>
      </w:r>
      <w:r>
        <w:rPr>
          <w:noProof/>
        </w:rPr>
        <w:tab/>
      </w:r>
      <w:r w:rsidR="00A72B26">
        <w:rPr>
          <w:noProof/>
        </w:rPr>
        <w:t>244</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7.1.</w:t>
      </w:r>
      <w:r>
        <w:rPr>
          <w:rFonts w:eastAsiaTheme="minorEastAsia" w:cstheme="minorBidi"/>
          <w:smallCaps w:val="0"/>
          <w:noProof/>
          <w:sz w:val="22"/>
          <w:szCs w:val="22"/>
          <w:lang w:eastAsia="en-AU"/>
        </w:rPr>
        <w:tab/>
      </w:r>
      <w:r>
        <w:rPr>
          <w:noProof/>
        </w:rPr>
        <w:t>Purpose</w:t>
      </w:r>
      <w:r>
        <w:rPr>
          <w:noProof/>
        </w:rPr>
        <w:tab/>
      </w:r>
      <w:r w:rsidR="00A72B26">
        <w:rPr>
          <w:noProof/>
        </w:rPr>
        <w:t>244</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7.2.</w:t>
      </w:r>
      <w:r>
        <w:rPr>
          <w:rFonts w:eastAsiaTheme="minorEastAsia" w:cstheme="minorBidi"/>
          <w:smallCaps w:val="0"/>
          <w:noProof/>
          <w:sz w:val="22"/>
          <w:szCs w:val="22"/>
          <w:lang w:eastAsia="en-AU"/>
        </w:rPr>
        <w:tab/>
      </w:r>
      <w:r>
        <w:rPr>
          <w:noProof/>
        </w:rPr>
        <w:t>Background: Principles of value in the PBS and the LSDP</w:t>
      </w:r>
      <w:r>
        <w:rPr>
          <w:noProof/>
        </w:rPr>
        <w:tab/>
      </w:r>
      <w:r w:rsidR="00A72B26">
        <w:rPr>
          <w:noProof/>
        </w:rPr>
        <w:t>244</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7.3.</w:t>
      </w:r>
      <w:r>
        <w:rPr>
          <w:rFonts w:eastAsiaTheme="minorEastAsia" w:cstheme="minorBidi"/>
          <w:smallCaps w:val="0"/>
          <w:noProof/>
          <w:sz w:val="22"/>
          <w:szCs w:val="22"/>
          <w:lang w:eastAsia="en-AU"/>
        </w:rPr>
        <w:tab/>
      </w:r>
      <w:r>
        <w:rPr>
          <w:noProof/>
        </w:rPr>
        <w:t>Method of assessing alternative value metrics</w:t>
      </w:r>
      <w:r>
        <w:rPr>
          <w:noProof/>
        </w:rPr>
        <w:tab/>
      </w:r>
      <w:r w:rsidR="00A72B26">
        <w:rPr>
          <w:noProof/>
        </w:rPr>
        <w:t>247</w:t>
      </w:r>
    </w:p>
    <w:p w:rsidR="00301134" w:rsidRDefault="00301134" w:rsidP="001C6741">
      <w:pPr>
        <w:pStyle w:val="TOC2"/>
        <w:tabs>
          <w:tab w:val="left" w:pos="1276"/>
          <w:tab w:val="right" w:leader="dot" w:pos="9040"/>
        </w:tabs>
        <w:ind w:left="1276" w:hanging="1036"/>
        <w:rPr>
          <w:rFonts w:eastAsiaTheme="minorEastAsia" w:cstheme="minorBidi"/>
          <w:smallCaps w:val="0"/>
          <w:noProof/>
          <w:sz w:val="22"/>
          <w:szCs w:val="22"/>
          <w:lang w:eastAsia="en-AU"/>
        </w:rPr>
      </w:pPr>
      <w:r>
        <w:rPr>
          <w:noProof/>
        </w:rPr>
        <w:t>7.4.</w:t>
      </w:r>
      <w:r>
        <w:rPr>
          <w:rFonts w:eastAsiaTheme="minorEastAsia" w:cstheme="minorBidi"/>
          <w:smallCaps w:val="0"/>
          <w:noProof/>
          <w:sz w:val="22"/>
          <w:szCs w:val="22"/>
          <w:lang w:eastAsia="en-AU"/>
        </w:rPr>
        <w:tab/>
      </w:r>
      <w:r>
        <w:rPr>
          <w:noProof/>
        </w:rPr>
        <w:t>Cost-utility evaluation using QALYs with improved measurement tools and incorporating a broader (societal) perspective</w:t>
      </w:r>
      <w:r>
        <w:rPr>
          <w:noProof/>
        </w:rPr>
        <w:tab/>
      </w:r>
      <w:r w:rsidR="00A72B26">
        <w:rPr>
          <w:noProof/>
        </w:rPr>
        <w:t>248</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7.5.</w:t>
      </w:r>
      <w:r>
        <w:rPr>
          <w:rFonts w:eastAsiaTheme="minorEastAsia" w:cstheme="minorBidi"/>
          <w:smallCaps w:val="0"/>
          <w:noProof/>
          <w:sz w:val="22"/>
          <w:szCs w:val="22"/>
          <w:lang w:eastAsia="en-AU"/>
        </w:rPr>
        <w:tab/>
      </w:r>
      <w:r>
        <w:rPr>
          <w:noProof/>
        </w:rPr>
        <w:t>Adjusted Cost-utility analysis: Equity weighted cost-effectiveness</w:t>
      </w:r>
      <w:r>
        <w:rPr>
          <w:noProof/>
        </w:rPr>
        <w:tab/>
      </w:r>
      <w:r w:rsidR="00A72B26">
        <w:rPr>
          <w:noProof/>
        </w:rPr>
        <w:t>250</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7.6.</w:t>
      </w:r>
      <w:r>
        <w:rPr>
          <w:rFonts w:eastAsiaTheme="minorEastAsia" w:cstheme="minorBidi"/>
          <w:smallCaps w:val="0"/>
          <w:noProof/>
          <w:sz w:val="22"/>
          <w:szCs w:val="22"/>
          <w:lang w:eastAsia="en-AU"/>
        </w:rPr>
        <w:tab/>
      </w:r>
      <w:r>
        <w:rPr>
          <w:noProof/>
        </w:rPr>
        <w:t>Multi-Criteria Decision Analysis (MCDA)</w:t>
      </w:r>
      <w:r>
        <w:rPr>
          <w:noProof/>
        </w:rPr>
        <w:tab/>
      </w:r>
      <w:r w:rsidR="00A72B26">
        <w:rPr>
          <w:noProof/>
        </w:rPr>
        <w:t>254</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7.7.</w:t>
      </w:r>
      <w:r>
        <w:rPr>
          <w:rFonts w:eastAsiaTheme="minorEastAsia" w:cstheme="minorBidi"/>
          <w:smallCaps w:val="0"/>
          <w:noProof/>
          <w:sz w:val="22"/>
          <w:szCs w:val="22"/>
          <w:lang w:eastAsia="en-AU"/>
        </w:rPr>
        <w:tab/>
      </w:r>
      <w:r>
        <w:rPr>
          <w:noProof/>
        </w:rPr>
        <w:t>Input-based pricing</w:t>
      </w:r>
      <w:r>
        <w:rPr>
          <w:noProof/>
        </w:rPr>
        <w:tab/>
      </w:r>
      <w:r w:rsidR="00A72B26">
        <w:rPr>
          <w:noProof/>
        </w:rPr>
        <w:t>256</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7.8.</w:t>
      </w:r>
      <w:r>
        <w:rPr>
          <w:rFonts w:eastAsiaTheme="minorEastAsia" w:cstheme="minorBidi"/>
          <w:smallCaps w:val="0"/>
          <w:noProof/>
          <w:sz w:val="22"/>
          <w:szCs w:val="22"/>
          <w:lang w:eastAsia="en-AU"/>
        </w:rPr>
        <w:tab/>
      </w:r>
      <w:r>
        <w:rPr>
          <w:noProof/>
        </w:rPr>
        <w:t>Combined Methods</w:t>
      </w:r>
      <w:r>
        <w:rPr>
          <w:noProof/>
        </w:rPr>
        <w:tab/>
      </w:r>
      <w:r w:rsidR="00A72B26">
        <w:rPr>
          <w:noProof/>
        </w:rPr>
        <w:t>256</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7.9.</w:t>
      </w:r>
      <w:r>
        <w:rPr>
          <w:rFonts w:eastAsiaTheme="minorEastAsia" w:cstheme="minorBidi"/>
          <w:smallCaps w:val="0"/>
          <w:noProof/>
          <w:sz w:val="22"/>
          <w:szCs w:val="22"/>
          <w:lang w:eastAsia="en-AU"/>
        </w:rPr>
        <w:tab/>
      </w:r>
      <w:r>
        <w:rPr>
          <w:noProof/>
        </w:rPr>
        <w:t>Summary of advantages and disadvantages of alternative value metrics</w:t>
      </w:r>
      <w:r>
        <w:rPr>
          <w:noProof/>
        </w:rPr>
        <w:tab/>
      </w:r>
      <w:r w:rsidR="00A72B26">
        <w:rPr>
          <w:noProof/>
        </w:rPr>
        <w:t>256</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7.10.</w:t>
      </w:r>
      <w:r>
        <w:rPr>
          <w:rFonts w:eastAsiaTheme="minorEastAsia" w:cstheme="minorBidi"/>
          <w:smallCaps w:val="0"/>
          <w:noProof/>
          <w:sz w:val="22"/>
          <w:szCs w:val="22"/>
          <w:lang w:eastAsia="en-AU"/>
        </w:rPr>
        <w:tab/>
      </w:r>
      <w:r>
        <w:rPr>
          <w:noProof/>
        </w:rPr>
        <w:t>Application of value metrics to LSDP drugs</w:t>
      </w:r>
      <w:r>
        <w:rPr>
          <w:noProof/>
        </w:rPr>
        <w:tab/>
      </w:r>
      <w:r w:rsidR="00A72B26">
        <w:rPr>
          <w:noProof/>
        </w:rPr>
        <w:t>258</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7.11.</w:t>
      </w:r>
      <w:r>
        <w:rPr>
          <w:rFonts w:eastAsiaTheme="minorEastAsia" w:cstheme="minorBidi"/>
          <w:smallCaps w:val="0"/>
          <w:noProof/>
          <w:sz w:val="22"/>
          <w:szCs w:val="22"/>
          <w:lang w:eastAsia="en-AU"/>
        </w:rPr>
        <w:tab/>
      </w:r>
      <w:r>
        <w:rPr>
          <w:noProof/>
        </w:rPr>
        <w:t>Adjustment to value on basis of uncertainty or risk</w:t>
      </w:r>
      <w:r>
        <w:rPr>
          <w:noProof/>
        </w:rPr>
        <w:tab/>
      </w:r>
      <w:r w:rsidR="00A72B26">
        <w:rPr>
          <w:noProof/>
        </w:rPr>
        <w:t>264</w:t>
      </w:r>
    </w:p>
    <w:p w:rsidR="00301134" w:rsidRDefault="00301134">
      <w:pPr>
        <w:pStyle w:val="TOC1"/>
        <w:rPr>
          <w:rFonts w:eastAsiaTheme="minorEastAsia" w:cstheme="minorBidi"/>
          <w:b w:val="0"/>
          <w:bCs w:val="0"/>
          <w:caps w:val="0"/>
          <w:noProof/>
          <w:sz w:val="22"/>
          <w:szCs w:val="22"/>
          <w:lang w:eastAsia="en-AU"/>
        </w:rPr>
      </w:pPr>
      <w:r>
        <w:rPr>
          <w:noProof/>
        </w:rPr>
        <w:t>8.</w:t>
      </w:r>
      <w:r>
        <w:rPr>
          <w:rFonts w:eastAsiaTheme="minorEastAsia" w:cstheme="minorBidi"/>
          <w:b w:val="0"/>
          <w:bCs w:val="0"/>
          <w:caps w:val="0"/>
          <w:noProof/>
          <w:sz w:val="22"/>
          <w:szCs w:val="22"/>
          <w:lang w:eastAsia="en-AU"/>
        </w:rPr>
        <w:tab/>
      </w:r>
      <w:r>
        <w:rPr>
          <w:noProof/>
        </w:rPr>
        <w:t>Framework for data collection on rare diseases in Australia</w:t>
      </w:r>
      <w:r>
        <w:rPr>
          <w:noProof/>
        </w:rPr>
        <w:tab/>
      </w:r>
      <w:r w:rsidR="00A72B26">
        <w:rPr>
          <w:noProof/>
        </w:rPr>
        <w:t>266</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8.1.</w:t>
      </w:r>
      <w:r>
        <w:rPr>
          <w:rFonts w:eastAsiaTheme="minorEastAsia" w:cstheme="minorBidi"/>
          <w:smallCaps w:val="0"/>
          <w:noProof/>
          <w:sz w:val="22"/>
          <w:szCs w:val="22"/>
          <w:lang w:eastAsia="en-AU"/>
        </w:rPr>
        <w:tab/>
      </w:r>
      <w:r>
        <w:rPr>
          <w:noProof/>
        </w:rPr>
        <w:t>Purpose</w:t>
      </w:r>
      <w:r>
        <w:rPr>
          <w:noProof/>
        </w:rPr>
        <w:tab/>
      </w:r>
      <w:r w:rsidR="00A72B26">
        <w:rPr>
          <w:noProof/>
        </w:rPr>
        <w:t>266</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8.2.</w:t>
      </w:r>
      <w:r>
        <w:rPr>
          <w:rFonts w:eastAsiaTheme="minorEastAsia" w:cstheme="minorBidi"/>
          <w:smallCaps w:val="0"/>
          <w:noProof/>
          <w:sz w:val="22"/>
          <w:szCs w:val="22"/>
          <w:lang w:eastAsia="en-AU"/>
        </w:rPr>
        <w:tab/>
      </w:r>
      <w:r>
        <w:rPr>
          <w:noProof/>
        </w:rPr>
        <w:t>Method</w:t>
      </w:r>
      <w:r>
        <w:rPr>
          <w:noProof/>
        </w:rPr>
        <w:tab/>
      </w:r>
      <w:r w:rsidR="00A72B26">
        <w:rPr>
          <w:noProof/>
        </w:rPr>
        <w:t>266</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t>8.3.</w:t>
      </w:r>
      <w:r>
        <w:rPr>
          <w:rFonts w:eastAsiaTheme="minorEastAsia" w:cstheme="minorBidi"/>
          <w:smallCaps w:val="0"/>
          <w:noProof/>
          <w:sz w:val="22"/>
          <w:szCs w:val="22"/>
          <w:lang w:eastAsia="en-AU"/>
        </w:rPr>
        <w:tab/>
      </w:r>
      <w:r>
        <w:rPr>
          <w:noProof/>
        </w:rPr>
        <w:t>Results</w:t>
      </w:r>
      <w:r>
        <w:rPr>
          <w:noProof/>
        </w:rPr>
        <w:tab/>
      </w:r>
      <w:r w:rsidR="00A72B26">
        <w:rPr>
          <w:noProof/>
        </w:rPr>
        <w:t>267</w:t>
      </w:r>
    </w:p>
    <w:p w:rsidR="00301134" w:rsidRDefault="00301134">
      <w:pPr>
        <w:pStyle w:val="TOC2"/>
        <w:tabs>
          <w:tab w:val="left" w:pos="1276"/>
          <w:tab w:val="right" w:leader="dot" w:pos="9040"/>
        </w:tabs>
        <w:rPr>
          <w:rFonts w:eastAsiaTheme="minorEastAsia" w:cstheme="minorBidi"/>
          <w:smallCaps w:val="0"/>
          <w:noProof/>
          <w:sz w:val="22"/>
          <w:szCs w:val="22"/>
          <w:lang w:eastAsia="en-AU"/>
        </w:rPr>
      </w:pPr>
      <w:r>
        <w:rPr>
          <w:noProof/>
        </w:rPr>
        <w:lastRenderedPageBreak/>
        <w:t>8.4.</w:t>
      </w:r>
      <w:r>
        <w:rPr>
          <w:rFonts w:eastAsiaTheme="minorEastAsia" w:cstheme="minorBidi"/>
          <w:smallCaps w:val="0"/>
          <w:noProof/>
          <w:sz w:val="22"/>
          <w:szCs w:val="22"/>
          <w:lang w:eastAsia="en-AU"/>
        </w:rPr>
        <w:tab/>
      </w:r>
      <w:r>
        <w:rPr>
          <w:noProof/>
        </w:rPr>
        <w:t>Proposed Registry Framework</w:t>
      </w:r>
      <w:r>
        <w:rPr>
          <w:noProof/>
        </w:rPr>
        <w:tab/>
      </w:r>
      <w:r w:rsidR="00A72B26">
        <w:rPr>
          <w:noProof/>
        </w:rPr>
        <w:t>270</w:t>
      </w:r>
    </w:p>
    <w:p w:rsidR="00301134" w:rsidRDefault="00301134">
      <w:pPr>
        <w:pStyle w:val="TOC1"/>
        <w:rPr>
          <w:rFonts w:eastAsiaTheme="minorEastAsia" w:cstheme="minorBidi"/>
          <w:b w:val="0"/>
          <w:bCs w:val="0"/>
          <w:caps w:val="0"/>
          <w:noProof/>
          <w:sz w:val="22"/>
          <w:szCs w:val="22"/>
          <w:lang w:eastAsia="en-AU"/>
        </w:rPr>
      </w:pPr>
      <w:r>
        <w:rPr>
          <w:noProof/>
        </w:rPr>
        <w:t>9.</w:t>
      </w:r>
      <w:r>
        <w:rPr>
          <w:rFonts w:eastAsiaTheme="minorEastAsia" w:cstheme="minorBidi"/>
          <w:b w:val="0"/>
          <w:bCs w:val="0"/>
          <w:caps w:val="0"/>
          <w:noProof/>
          <w:sz w:val="22"/>
          <w:szCs w:val="22"/>
          <w:lang w:eastAsia="en-AU"/>
        </w:rPr>
        <w:tab/>
      </w:r>
      <w:r>
        <w:rPr>
          <w:noProof/>
        </w:rPr>
        <w:t>Conclusion</w:t>
      </w:r>
      <w:r>
        <w:rPr>
          <w:noProof/>
        </w:rPr>
        <w:tab/>
      </w:r>
      <w:r w:rsidR="00A72B26">
        <w:rPr>
          <w:noProof/>
        </w:rPr>
        <w:t>289</w:t>
      </w:r>
    </w:p>
    <w:p w:rsidR="00301134" w:rsidRDefault="00301134">
      <w:pPr>
        <w:pStyle w:val="TOC1"/>
        <w:rPr>
          <w:rFonts w:eastAsiaTheme="minorEastAsia" w:cstheme="minorBidi"/>
          <w:b w:val="0"/>
          <w:bCs w:val="0"/>
          <w:caps w:val="0"/>
          <w:noProof/>
          <w:sz w:val="22"/>
          <w:szCs w:val="22"/>
          <w:lang w:eastAsia="en-AU"/>
        </w:rPr>
      </w:pPr>
      <w:r>
        <w:rPr>
          <w:noProof/>
        </w:rPr>
        <w:t>10.</w:t>
      </w:r>
      <w:r>
        <w:rPr>
          <w:rFonts w:eastAsiaTheme="minorEastAsia" w:cstheme="minorBidi"/>
          <w:b w:val="0"/>
          <w:bCs w:val="0"/>
          <w:caps w:val="0"/>
          <w:noProof/>
          <w:sz w:val="22"/>
          <w:szCs w:val="22"/>
          <w:lang w:eastAsia="en-AU"/>
        </w:rPr>
        <w:tab/>
      </w:r>
      <w:r>
        <w:rPr>
          <w:noProof/>
        </w:rPr>
        <w:t>REFERENCES</w:t>
      </w:r>
      <w:r>
        <w:rPr>
          <w:noProof/>
        </w:rPr>
        <w:tab/>
      </w:r>
      <w:r w:rsidR="00A72B26">
        <w:rPr>
          <w:noProof/>
        </w:rPr>
        <w:t>293</w:t>
      </w:r>
    </w:p>
    <w:p w:rsidR="00301134" w:rsidRDefault="00301134">
      <w:pPr>
        <w:pStyle w:val="TOC1"/>
        <w:rPr>
          <w:rFonts w:eastAsiaTheme="minorEastAsia" w:cstheme="minorBidi"/>
          <w:b w:val="0"/>
          <w:bCs w:val="0"/>
          <w:caps w:val="0"/>
          <w:noProof/>
          <w:sz w:val="22"/>
          <w:szCs w:val="22"/>
          <w:lang w:eastAsia="en-AU"/>
        </w:rPr>
      </w:pPr>
      <w:r>
        <w:rPr>
          <w:noProof/>
        </w:rPr>
        <w:t>GLOSSARY AND ABBREVIATIONS</w:t>
      </w:r>
      <w:r>
        <w:rPr>
          <w:noProof/>
        </w:rPr>
        <w:tab/>
      </w:r>
      <w:r w:rsidR="00A72B26">
        <w:rPr>
          <w:noProof/>
        </w:rPr>
        <w:t>323</w:t>
      </w:r>
    </w:p>
    <w:p w:rsidR="00301134" w:rsidRDefault="00301134">
      <w:pPr>
        <w:pStyle w:val="TOC1"/>
        <w:rPr>
          <w:rFonts w:eastAsiaTheme="minorEastAsia" w:cstheme="minorBidi"/>
          <w:b w:val="0"/>
          <w:bCs w:val="0"/>
          <w:caps w:val="0"/>
          <w:noProof/>
          <w:sz w:val="22"/>
          <w:szCs w:val="22"/>
          <w:lang w:eastAsia="en-AU"/>
        </w:rPr>
      </w:pPr>
      <w:r>
        <w:rPr>
          <w:noProof/>
        </w:rPr>
        <w:t xml:space="preserve">APPENDIX A </w:t>
      </w:r>
      <w:r>
        <w:rPr>
          <w:rFonts w:eastAsiaTheme="minorEastAsia" w:cstheme="minorBidi"/>
          <w:b w:val="0"/>
          <w:bCs w:val="0"/>
          <w:caps w:val="0"/>
          <w:noProof/>
          <w:sz w:val="22"/>
          <w:szCs w:val="22"/>
          <w:lang w:eastAsia="en-AU"/>
        </w:rPr>
        <w:tab/>
      </w:r>
      <w:r>
        <w:rPr>
          <w:noProof/>
        </w:rPr>
        <w:t>2009 Outcomes of Life Saving Drugs Programme Review</w:t>
      </w:r>
      <w:r>
        <w:rPr>
          <w:noProof/>
        </w:rPr>
        <w:tab/>
      </w:r>
      <w:r w:rsidR="00A72B26">
        <w:rPr>
          <w:noProof/>
        </w:rPr>
        <w:t>325</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Background</w:t>
      </w:r>
      <w:r>
        <w:rPr>
          <w:noProof/>
        </w:rPr>
        <w:tab/>
      </w:r>
      <w:r w:rsidR="00A72B26">
        <w:rPr>
          <w:noProof/>
        </w:rPr>
        <w:t>325</w:t>
      </w:r>
    </w:p>
    <w:p w:rsidR="00301134" w:rsidRDefault="00301134">
      <w:pPr>
        <w:pStyle w:val="TOC1"/>
        <w:rPr>
          <w:rFonts w:eastAsiaTheme="minorEastAsia" w:cstheme="minorBidi"/>
          <w:b w:val="0"/>
          <w:bCs w:val="0"/>
          <w:caps w:val="0"/>
          <w:noProof/>
          <w:sz w:val="22"/>
          <w:szCs w:val="22"/>
          <w:lang w:eastAsia="en-AU"/>
        </w:rPr>
      </w:pPr>
      <w:r>
        <w:rPr>
          <w:noProof/>
        </w:rPr>
        <w:t>Appendix B</w:t>
      </w:r>
      <w:r>
        <w:rPr>
          <w:rFonts w:eastAsiaTheme="minorEastAsia" w:cstheme="minorBidi"/>
          <w:b w:val="0"/>
          <w:bCs w:val="0"/>
          <w:caps w:val="0"/>
          <w:noProof/>
          <w:sz w:val="22"/>
          <w:szCs w:val="22"/>
          <w:lang w:eastAsia="en-AU"/>
        </w:rPr>
        <w:tab/>
      </w:r>
      <w:r>
        <w:rPr>
          <w:noProof/>
        </w:rPr>
        <w:t xml:space="preserve"> PRISMA flowcharts (ToR 1)</w:t>
      </w:r>
      <w:r>
        <w:rPr>
          <w:noProof/>
        </w:rPr>
        <w:tab/>
      </w:r>
      <w:r w:rsidR="00A72B26">
        <w:rPr>
          <w:noProof/>
        </w:rPr>
        <w:t>328</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Gaucher disease</w:t>
      </w:r>
      <w:r>
        <w:rPr>
          <w:noProof/>
        </w:rPr>
        <w:tab/>
      </w:r>
      <w:r w:rsidR="00A72B26">
        <w:rPr>
          <w:noProof/>
        </w:rPr>
        <w:t>328</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Fabry disease</w:t>
      </w:r>
      <w:r>
        <w:rPr>
          <w:noProof/>
        </w:rPr>
        <w:tab/>
      </w:r>
      <w:r w:rsidR="00A72B26">
        <w:rPr>
          <w:noProof/>
        </w:rPr>
        <w:t>329</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Infantile Onset Pompe Disease</w:t>
      </w:r>
      <w:r>
        <w:rPr>
          <w:noProof/>
        </w:rPr>
        <w:tab/>
      </w:r>
      <w:r w:rsidR="00A72B26">
        <w:rPr>
          <w:noProof/>
        </w:rPr>
        <w:t>330</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Juvenile Onset Pompe Disease</w:t>
      </w:r>
      <w:r>
        <w:rPr>
          <w:noProof/>
        </w:rPr>
        <w:tab/>
      </w:r>
      <w:r w:rsidR="00A72B26">
        <w:rPr>
          <w:noProof/>
        </w:rPr>
        <w:t>331</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Mucopolysaccharidosis Types I, II and VI</w:t>
      </w:r>
      <w:r>
        <w:rPr>
          <w:noProof/>
        </w:rPr>
        <w:tab/>
      </w:r>
      <w:r w:rsidR="00A72B26">
        <w:rPr>
          <w:noProof/>
        </w:rPr>
        <w:t>332</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Paroxysmal Nocturnal Haematuria</w:t>
      </w:r>
      <w:r>
        <w:rPr>
          <w:noProof/>
        </w:rPr>
        <w:tab/>
      </w:r>
      <w:r w:rsidR="00A72B26">
        <w:rPr>
          <w:noProof/>
        </w:rPr>
        <w:t>333</w:t>
      </w:r>
    </w:p>
    <w:p w:rsidR="00301134" w:rsidRDefault="00301134">
      <w:pPr>
        <w:pStyle w:val="TOC1"/>
        <w:rPr>
          <w:rFonts w:eastAsiaTheme="minorEastAsia" w:cstheme="minorBidi"/>
          <w:b w:val="0"/>
          <w:bCs w:val="0"/>
          <w:caps w:val="0"/>
          <w:noProof/>
          <w:sz w:val="22"/>
          <w:szCs w:val="22"/>
          <w:lang w:eastAsia="en-AU"/>
        </w:rPr>
      </w:pPr>
      <w:r>
        <w:rPr>
          <w:noProof/>
        </w:rPr>
        <w:t>Appendix C</w:t>
      </w:r>
      <w:r>
        <w:rPr>
          <w:rFonts w:eastAsiaTheme="minorEastAsia" w:cstheme="minorBidi"/>
          <w:b w:val="0"/>
          <w:bCs w:val="0"/>
          <w:caps w:val="0"/>
          <w:noProof/>
          <w:sz w:val="22"/>
          <w:szCs w:val="22"/>
          <w:lang w:eastAsia="en-AU"/>
        </w:rPr>
        <w:tab/>
      </w:r>
      <w:r>
        <w:rPr>
          <w:noProof/>
        </w:rPr>
        <w:t>excluded studies (ToR 1)</w:t>
      </w:r>
      <w:r>
        <w:rPr>
          <w:noProof/>
        </w:rPr>
        <w:tab/>
      </w:r>
      <w:r w:rsidR="00A72B26">
        <w:rPr>
          <w:noProof/>
        </w:rPr>
        <w:t>334</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Type I Gaucher disease (imiglucerase and velaglucerase alfa)</w:t>
      </w:r>
      <w:r>
        <w:rPr>
          <w:noProof/>
        </w:rPr>
        <w:tab/>
      </w:r>
      <w:r w:rsidR="00A72B26">
        <w:rPr>
          <w:noProof/>
        </w:rPr>
        <w:t>334</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Miglustat</w:t>
      </w:r>
      <w:r>
        <w:rPr>
          <w:noProof/>
        </w:rPr>
        <w:tab/>
      </w:r>
      <w:r w:rsidR="00A72B26">
        <w:rPr>
          <w:noProof/>
        </w:rPr>
        <w:t>352</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Enzyme Replacement Therapy</w:t>
      </w:r>
      <w:r>
        <w:rPr>
          <w:noProof/>
        </w:rPr>
        <w:tab/>
      </w:r>
      <w:r w:rsidR="00A72B26">
        <w:rPr>
          <w:noProof/>
        </w:rPr>
        <w:t>357</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Fabry disease</w:t>
      </w:r>
      <w:r>
        <w:rPr>
          <w:noProof/>
        </w:rPr>
        <w:tab/>
      </w:r>
      <w:r w:rsidR="00A72B26">
        <w:rPr>
          <w:noProof/>
        </w:rPr>
        <w:t>368</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Infantile Onset Pompe Disease</w:t>
      </w:r>
      <w:r>
        <w:rPr>
          <w:noProof/>
        </w:rPr>
        <w:tab/>
      </w:r>
      <w:r w:rsidR="00A72B26">
        <w:rPr>
          <w:noProof/>
        </w:rPr>
        <w:t>384</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Juvenile Onset Pompe Disease</w:t>
      </w:r>
      <w:r>
        <w:rPr>
          <w:noProof/>
        </w:rPr>
        <w:tab/>
      </w:r>
      <w:r w:rsidR="00A72B26">
        <w:rPr>
          <w:noProof/>
        </w:rPr>
        <w:t>391</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Mucopolysaccharidosis Types I, II &amp; VI</w:t>
      </w:r>
      <w:r>
        <w:rPr>
          <w:noProof/>
        </w:rPr>
        <w:tab/>
      </w:r>
      <w:r w:rsidR="00A72B26">
        <w:rPr>
          <w:noProof/>
        </w:rPr>
        <w:t>399</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Paroxysmal Nocturnal Haematuria</w:t>
      </w:r>
      <w:r>
        <w:rPr>
          <w:noProof/>
        </w:rPr>
        <w:tab/>
      </w:r>
      <w:r w:rsidR="00A72B26">
        <w:rPr>
          <w:noProof/>
        </w:rPr>
        <w:t>408</w:t>
      </w:r>
    </w:p>
    <w:p w:rsidR="00301134" w:rsidRDefault="00301134">
      <w:pPr>
        <w:pStyle w:val="TOC1"/>
        <w:rPr>
          <w:rFonts w:eastAsiaTheme="minorEastAsia" w:cstheme="minorBidi"/>
          <w:b w:val="0"/>
          <w:bCs w:val="0"/>
          <w:caps w:val="0"/>
          <w:noProof/>
          <w:sz w:val="22"/>
          <w:szCs w:val="22"/>
          <w:lang w:eastAsia="en-AU"/>
        </w:rPr>
      </w:pPr>
      <w:r>
        <w:rPr>
          <w:noProof/>
        </w:rPr>
        <w:t>APPENDIX D</w:t>
      </w:r>
      <w:r>
        <w:rPr>
          <w:rFonts w:eastAsiaTheme="minorEastAsia" w:cstheme="minorBidi"/>
          <w:b w:val="0"/>
          <w:bCs w:val="0"/>
          <w:caps w:val="0"/>
          <w:noProof/>
          <w:sz w:val="22"/>
          <w:szCs w:val="22"/>
          <w:lang w:eastAsia="en-AU"/>
        </w:rPr>
        <w:tab/>
      </w:r>
      <w:r>
        <w:rPr>
          <w:noProof/>
        </w:rPr>
        <w:t>critical appraisal checklists to determine risk of bias (ToR 1)</w:t>
      </w:r>
      <w:r>
        <w:rPr>
          <w:noProof/>
        </w:rPr>
        <w:tab/>
      </w:r>
      <w:r w:rsidR="00A72B26">
        <w:rPr>
          <w:noProof/>
        </w:rPr>
        <w:t>421</w:t>
      </w:r>
    </w:p>
    <w:p w:rsidR="00301134" w:rsidRDefault="00301134">
      <w:pPr>
        <w:pStyle w:val="TOC1"/>
        <w:rPr>
          <w:rFonts w:eastAsiaTheme="minorEastAsia" w:cstheme="minorBidi"/>
          <w:b w:val="0"/>
          <w:bCs w:val="0"/>
          <w:caps w:val="0"/>
          <w:noProof/>
          <w:sz w:val="22"/>
          <w:szCs w:val="22"/>
          <w:lang w:eastAsia="en-AU"/>
        </w:rPr>
      </w:pPr>
      <w:r>
        <w:rPr>
          <w:noProof/>
        </w:rPr>
        <w:t>Appendix E</w:t>
      </w:r>
      <w:r>
        <w:rPr>
          <w:rFonts w:eastAsiaTheme="minorEastAsia" w:cstheme="minorBidi"/>
          <w:b w:val="0"/>
          <w:bCs w:val="0"/>
          <w:caps w:val="0"/>
          <w:noProof/>
          <w:sz w:val="22"/>
          <w:szCs w:val="22"/>
          <w:lang w:eastAsia="en-AU"/>
        </w:rPr>
        <w:tab/>
      </w:r>
      <w:r>
        <w:rPr>
          <w:noProof/>
        </w:rPr>
        <w:t>study profiles (ToR 1)</w:t>
      </w:r>
      <w:r>
        <w:rPr>
          <w:noProof/>
        </w:rPr>
        <w:tab/>
      </w:r>
      <w:r w:rsidR="00A72B26">
        <w:rPr>
          <w:noProof/>
        </w:rPr>
        <w:t>426</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Medicines to treat Gaucher disease</w:t>
      </w:r>
      <w:r>
        <w:rPr>
          <w:noProof/>
        </w:rPr>
        <w:tab/>
      </w:r>
      <w:r w:rsidR="00A72B26">
        <w:rPr>
          <w:noProof/>
        </w:rPr>
        <w:t>426</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Medicines to treat Fabry disease</w:t>
      </w:r>
      <w:r>
        <w:rPr>
          <w:noProof/>
        </w:rPr>
        <w:tab/>
      </w:r>
      <w:r w:rsidR="00A72B26">
        <w:rPr>
          <w:noProof/>
        </w:rPr>
        <w:t>430</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Alglucosidase alfa to treat Juvenile Onset Pompe disease</w:t>
      </w:r>
      <w:r>
        <w:rPr>
          <w:noProof/>
        </w:rPr>
        <w:tab/>
      </w:r>
      <w:r w:rsidR="00A72B26">
        <w:rPr>
          <w:noProof/>
        </w:rPr>
        <w:t>439</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Medicines to treat MPS I, II, VI</w:t>
      </w:r>
      <w:r>
        <w:rPr>
          <w:noProof/>
        </w:rPr>
        <w:tab/>
      </w:r>
      <w:r w:rsidR="00A72B26">
        <w:rPr>
          <w:noProof/>
        </w:rPr>
        <w:t>447</w:t>
      </w:r>
    </w:p>
    <w:p w:rsidR="00301134" w:rsidRDefault="00301134">
      <w:pPr>
        <w:pStyle w:val="TOC2"/>
        <w:tabs>
          <w:tab w:val="right" w:leader="dot" w:pos="9040"/>
        </w:tabs>
        <w:rPr>
          <w:rFonts w:eastAsiaTheme="minorEastAsia" w:cstheme="minorBidi"/>
          <w:smallCaps w:val="0"/>
          <w:noProof/>
          <w:sz w:val="22"/>
          <w:szCs w:val="22"/>
          <w:lang w:eastAsia="en-AU"/>
        </w:rPr>
      </w:pPr>
      <w:r>
        <w:rPr>
          <w:noProof/>
        </w:rPr>
        <w:t>Eculizumab to treat Paroxysmal Nocturnal Haematuria</w:t>
      </w:r>
      <w:r>
        <w:rPr>
          <w:noProof/>
        </w:rPr>
        <w:tab/>
      </w:r>
      <w:r w:rsidR="00A72B26">
        <w:rPr>
          <w:noProof/>
        </w:rPr>
        <w:t>450</w:t>
      </w:r>
    </w:p>
    <w:p w:rsidR="00301134" w:rsidRDefault="00301134">
      <w:pPr>
        <w:pStyle w:val="TOC1"/>
        <w:rPr>
          <w:rFonts w:eastAsiaTheme="minorEastAsia" w:cstheme="minorBidi"/>
          <w:b w:val="0"/>
          <w:bCs w:val="0"/>
          <w:caps w:val="0"/>
          <w:noProof/>
          <w:sz w:val="22"/>
          <w:szCs w:val="22"/>
          <w:lang w:eastAsia="en-AU"/>
        </w:rPr>
      </w:pPr>
      <w:r>
        <w:rPr>
          <w:noProof/>
        </w:rPr>
        <w:t>APPENDIX F</w:t>
      </w:r>
      <w:r>
        <w:rPr>
          <w:rFonts w:eastAsiaTheme="minorEastAsia" w:cstheme="minorBidi"/>
          <w:b w:val="0"/>
          <w:bCs w:val="0"/>
          <w:caps w:val="0"/>
          <w:noProof/>
          <w:sz w:val="22"/>
          <w:szCs w:val="22"/>
          <w:lang w:eastAsia="en-AU"/>
        </w:rPr>
        <w:tab/>
      </w:r>
      <w:r>
        <w:rPr>
          <w:noProof/>
        </w:rPr>
        <w:t>Horizon scanning sources (ToR 2)</w:t>
      </w:r>
      <w:r>
        <w:rPr>
          <w:noProof/>
        </w:rPr>
        <w:tab/>
      </w:r>
      <w:r w:rsidR="00A72B26">
        <w:rPr>
          <w:noProof/>
        </w:rPr>
        <w:t>465</w:t>
      </w:r>
    </w:p>
    <w:p w:rsidR="00301134" w:rsidRDefault="00301134">
      <w:pPr>
        <w:pStyle w:val="TOC1"/>
        <w:rPr>
          <w:rFonts w:eastAsiaTheme="minorEastAsia" w:cstheme="minorBidi"/>
          <w:b w:val="0"/>
          <w:bCs w:val="0"/>
          <w:caps w:val="0"/>
          <w:noProof/>
          <w:sz w:val="22"/>
          <w:szCs w:val="22"/>
          <w:lang w:eastAsia="en-AU"/>
        </w:rPr>
      </w:pPr>
      <w:r>
        <w:rPr>
          <w:noProof/>
        </w:rPr>
        <w:t>Appendix G</w:t>
      </w:r>
      <w:r>
        <w:rPr>
          <w:rFonts w:eastAsiaTheme="minorEastAsia" w:cstheme="minorBidi"/>
          <w:b w:val="0"/>
          <w:bCs w:val="0"/>
          <w:caps w:val="0"/>
          <w:noProof/>
          <w:sz w:val="22"/>
          <w:szCs w:val="22"/>
          <w:lang w:eastAsia="en-AU"/>
        </w:rPr>
        <w:tab/>
      </w:r>
      <w:r>
        <w:rPr>
          <w:noProof/>
        </w:rPr>
        <w:t>Summary table of drugs which may be relevant to the LSDP (ToR 2)</w:t>
      </w:r>
      <w:r>
        <w:rPr>
          <w:noProof/>
        </w:rPr>
        <w:tab/>
      </w:r>
      <w:r w:rsidR="00A72B26">
        <w:rPr>
          <w:noProof/>
        </w:rPr>
        <w:t>473</w:t>
      </w:r>
    </w:p>
    <w:p w:rsidR="00301134" w:rsidRDefault="00301134">
      <w:pPr>
        <w:pStyle w:val="TOC1"/>
        <w:rPr>
          <w:rFonts w:eastAsiaTheme="minorEastAsia" w:cstheme="minorBidi"/>
          <w:b w:val="0"/>
          <w:bCs w:val="0"/>
          <w:caps w:val="0"/>
          <w:noProof/>
          <w:sz w:val="22"/>
          <w:szCs w:val="22"/>
          <w:lang w:eastAsia="en-AU"/>
        </w:rPr>
      </w:pPr>
      <w:r>
        <w:rPr>
          <w:noProof/>
        </w:rPr>
        <w:t>Appendix H</w:t>
      </w:r>
      <w:r>
        <w:rPr>
          <w:rFonts w:eastAsiaTheme="minorEastAsia" w:cstheme="minorBidi"/>
          <w:b w:val="0"/>
          <w:bCs w:val="0"/>
          <w:caps w:val="0"/>
          <w:noProof/>
          <w:sz w:val="22"/>
          <w:szCs w:val="22"/>
          <w:lang w:eastAsia="en-AU"/>
        </w:rPr>
        <w:tab/>
      </w:r>
      <w:r>
        <w:rPr>
          <w:noProof/>
        </w:rPr>
        <w:t>International systems comparison data template (ToR 3)</w:t>
      </w:r>
      <w:r>
        <w:rPr>
          <w:noProof/>
        </w:rPr>
        <w:tab/>
      </w:r>
      <w:r w:rsidR="00A72B26">
        <w:rPr>
          <w:noProof/>
        </w:rPr>
        <w:t>486</w:t>
      </w:r>
    </w:p>
    <w:p w:rsidR="00301134" w:rsidRDefault="00301134">
      <w:pPr>
        <w:pStyle w:val="TOC1"/>
        <w:rPr>
          <w:rFonts w:eastAsiaTheme="minorEastAsia" w:cstheme="minorBidi"/>
          <w:b w:val="0"/>
          <w:bCs w:val="0"/>
          <w:caps w:val="0"/>
          <w:noProof/>
          <w:sz w:val="22"/>
          <w:szCs w:val="22"/>
          <w:lang w:eastAsia="en-AU"/>
        </w:rPr>
      </w:pPr>
      <w:r>
        <w:rPr>
          <w:noProof/>
        </w:rPr>
        <w:t>Appendix I</w:t>
      </w:r>
      <w:r>
        <w:rPr>
          <w:rFonts w:eastAsiaTheme="minorEastAsia" w:cstheme="minorBidi"/>
          <w:b w:val="0"/>
          <w:bCs w:val="0"/>
          <w:caps w:val="0"/>
          <w:noProof/>
          <w:sz w:val="22"/>
          <w:szCs w:val="22"/>
          <w:lang w:eastAsia="en-AU"/>
        </w:rPr>
        <w:tab/>
      </w:r>
      <w:r>
        <w:rPr>
          <w:noProof/>
        </w:rPr>
        <w:t>Summary tables for international comparison</w:t>
      </w:r>
      <w:r>
        <w:rPr>
          <w:noProof/>
        </w:rPr>
        <w:tab/>
      </w:r>
      <w:r w:rsidR="00A72B26">
        <w:rPr>
          <w:noProof/>
        </w:rPr>
        <w:t>487</w:t>
      </w:r>
    </w:p>
    <w:p w:rsidR="00301134" w:rsidRDefault="00301134">
      <w:pPr>
        <w:pStyle w:val="TOC1"/>
        <w:rPr>
          <w:rFonts w:eastAsiaTheme="minorEastAsia" w:cstheme="minorBidi"/>
          <w:b w:val="0"/>
          <w:bCs w:val="0"/>
          <w:caps w:val="0"/>
          <w:noProof/>
          <w:sz w:val="22"/>
          <w:szCs w:val="22"/>
          <w:lang w:eastAsia="en-AU"/>
        </w:rPr>
      </w:pPr>
      <w:r>
        <w:rPr>
          <w:noProof/>
        </w:rPr>
        <w:t>Appendix J</w:t>
      </w:r>
      <w:r>
        <w:rPr>
          <w:rFonts w:eastAsiaTheme="minorEastAsia" w:cstheme="minorBidi"/>
          <w:b w:val="0"/>
          <w:bCs w:val="0"/>
          <w:caps w:val="0"/>
          <w:noProof/>
          <w:sz w:val="22"/>
          <w:szCs w:val="22"/>
          <w:lang w:eastAsia="en-AU"/>
        </w:rPr>
        <w:tab/>
      </w:r>
      <w:r>
        <w:rPr>
          <w:noProof/>
        </w:rPr>
        <w:t>Quality assurance documentation (ToR 7)</w:t>
      </w:r>
      <w:r>
        <w:rPr>
          <w:noProof/>
        </w:rPr>
        <w:tab/>
      </w:r>
      <w:r w:rsidR="00A72B26">
        <w:rPr>
          <w:noProof/>
        </w:rPr>
        <w:t>507</w:t>
      </w:r>
    </w:p>
    <w:p w:rsidR="00301134" w:rsidRDefault="00301134">
      <w:pPr>
        <w:pStyle w:val="TOC1"/>
        <w:rPr>
          <w:rFonts w:eastAsiaTheme="minorEastAsia" w:cstheme="minorBidi"/>
          <w:b w:val="0"/>
          <w:bCs w:val="0"/>
          <w:caps w:val="0"/>
          <w:noProof/>
          <w:sz w:val="22"/>
          <w:szCs w:val="22"/>
          <w:lang w:eastAsia="en-AU"/>
        </w:rPr>
      </w:pPr>
      <w:r>
        <w:rPr>
          <w:noProof/>
        </w:rPr>
        <w:t>Appendix K</w:t>
      </w:r>
      <w:r>
        <w:rPr>
          <w:rFonts w:eastAsiaTheme="minorEastAsia" w:cstheme="minorBidi"/>
          <w:b w:val="0"/>
          <w:bCs w:val="0"/>
          <w:caps w:val="0"/>
          <w:noProof/>
          <w:sz w:val="22"/>
          <w:szCs w:val="22"/>
          <w:lang w:eastAsia="en-AU"/>
        </w:rPr>
        <w:tab/>
      </w:r>
      <w:r>
        <w:rPr>
          <w:noProof/>
        </w:rPr>
        <w:t>Example of patient information and consent form for rare diseases registry (ToR 7)</w:t>
      </w:r>
      <w:r>
        <w:rPr>
          <w:noProof/>
        </w:rPr>
        <w:tab/>
      </w:r>
      <w:r w:rsidR="00A72B26">
        <w:rPr>
          <w:noProof/>
        </w:rPr>
        <w:t>508</w:t>
      </w:r>
    </w:p>
    <w:p w:rsidR="000858A7" w:rsidRPr="004F486E" w:rsidRDefault="000858A7" w:rsidP="00E965BD">
      <w:pPr>
        <w:pStyle w:val="TOC2"/>
        <w:ind w:left="142"/>
        <w:rPr>
          <w:rFonts w:cstheme="minorHAnsi"/>
          <w:noProof/>
        </w:rPr>
      </w:pPr>
    </w:p>
    <w:p w:rsidR="0089751C" w:rsidRDefault="0089751C">
      <w:pPr>
        <w:spacing w:after="0" w:line="240" w:lineRule="auto"/>
        <w:jc w:val="left"/>
        <w:rPr>
          <w:rFonts w:ascii="Cambria" w:hAnsi="Cambria"/>
          <w:b/>
          <w:bCs/>
          <w:caps/>
          <w:color w:val="C00000"/>
          <w:sz w:val="28"/>
          <w:szCs w:val="28"/>
        </w:rPr>
      </w:pPr>
      <w:r>
        <w:rPr>
          <w:rFonts w:ascii="Cambria" w:hAnsi="Cambria"/>
          <w:b/>
          <w:bCs/>
          <w:caps/>
          <w:color w:val="C00000"/>
          <w:sz w:val="28"/>
          <w:szCs w:val="28"/>
        </w:rPr>
        <w:br w:type="page"/>
      </w:r>
    </w:p>
    <w:p w:rsidR="0004128C" w:rsidRPr="0004128C" w:rsidRDefault="0004128C" w:rsidP="0004128C">
      <w:pPr>
        <w:tabs>
          <w:tab w:val="left" w:pos="6096"/>
        </w:tabs>
        <w:spacing w:after="240" w:line="240" w:lineRule="auto"/>
        <w:ind w:left="1418" w:hanging="1418"/>
        <w:rPr>
          <w:rFonts w:ascii="Cambria" w:hAnsi="Cambria"/>
          <w:b/>
          <w:bCs/>
          <w:caps/>
          <w:color w:val="002060"/>
          <w:sz w:val="28"/>
          <w:szCs w:val="28"/>
        </w:rPr>
      </w:pPr>
      <w:r w:rsidRPr="0004128C">
        <w:rPr>
          <w:rFonts w:ascii="Cambria" w:hAnsi="Cambria"/>
          <w:b/>
          <w:bCs/>
          <w:caps/>
          <w:color w:val="002060"/>
          <w:sz w:val="28"/>
          <w:szCs w:val="28"/>
        </w:rPr>
        <w:lastRenderedPageBreak/>
        <w:t>Tables</w:t>
      </w:r>
    </w:p>
    <w:p w:rsidR="00301134" w:rsidRPr="00AE4125" w:rsidRDefault="00301134" w:rsidP="00AE4125">
      <w:pPr>
        <w:pStyle w:val="TableofFigures"/>
        <w:tabs>
          <w:tab w:val="left" w:pos="1276"/>
          <w:tab w:val="right" w:leader="dot" w:pos="9040"/>
        </w:tabs>
        <w:ind w:left="1276" w:hanging="1276"/>
        <w:rPr>
          <w:rStyle w:val="Hyperlink"/>
        </w:rPr>
      </w:pPr>
      <w:bookmarkStart w:id="14" w:name="_Toc358277785"/>
      <w:r w:rsidRPr="00A62C97">
        <w:rPr>
          <w:noProof/>
        </w:rPr>
        <w:t>Table 1</w:t>
      </w:r>
      <w:r w:rsidRPr="00A62C97">
        <w:tab/>
      </w:r>
      <w:r w:rsidRPr="00A62C97">
        <w:rPr>
          <w:noProof/>
        </w:rPr>
        <w:t>Terms used to search for evidence to inform the Systematic Review questions (PubMed example)</w:t>
      </w:r>
      <w:r w:rsidRPr="00A62C97">
        <w:rPr>
          <w:webHidden/>
        </w:rPr>
        <w:tab/>
      </w:r>
      <w:r w:rsidR="00A72B26" w:rsidRPr="00A62C97">
        <w:rPr>
          <w:noProof/>
          <w:webHidden/>
        </w:rPr>
        <w:t>38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2</w:t>
      </w:r>
      <w:r w:rsidRPr="00A62C97">
        <w:tab/>
      </w:r>
      <w:r w:rsidRPr="00A62C97">
        <w:rPr>
          <w:noProof/>
        </w:rPr>
        <w:t>NHMRC evidence hierarchy: designations of levels of evidence – (interventional research questions only)</w:t>
      </w:r>
      <w:r w:rsidRPr="00A62C97">
        <w:rPr>
          <w:webHidden/>
        </w:rPr>
        <w:tab/>
      </w:r>
      <w:r w:rsidR="00A72B26" w:rsidRPr="00A62C97">
        <w:rPr>
          <w:noProof/>
          <w:webHidden/>
        </w:rPr>
        <w:t>39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3</w:t>
      </w:r>
      <w:r w:rsidRPr="00A62C97">
        <w:tab/>
      </w:r>
      <w:r w:rsidRPr="00A62C97">
        <w:rPr>
          <w:noProof/>
        </w:rPr>
        <w:t>Interpretation of GRADE evidence ratings (Guyatt et al. 2013)</w:t>
      </w:r>
      <w:r w:rsidRPr="00A62C97">
        <w:rPr>
          <w:webHidden/>
        </w:rPr>
        <w:tab/>
      </w:r>
      <w:r w:rsidR="00A72B26" w:rsidRPr="00A62C97">
        <w:rPr>
          <w:noProof/>
          <w:webHidden/>
        </w:rPr>
        <w:t>41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4</w:t>
      </w:r>
      <w:r w:rsidRPr="00A62C97">
        <w:tab/>
      </w:r>
      <w:r w:rsidRPr="00A62C97">
        <w:rPr>
          <w:noProof/>
        </w:rPr>
        <w:t>Data provided by sponsors</w:t>
      </w:r>
      <w:r w:rsidRPr="00A62C97">
        <w:rPr>
          <w:webHidden/>
        </w:rPr>
        <w:tab/>
      </w:r>
      <w:r w:rsidR="00A72B26" w:rsidRPr="00A62C97">
        <w:rPr>
          <w:noProof/>
          <w:webHidden/>
        </w:rPr>
        <w:t>43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5</w:t>
      </w:r>
      <w:r w:rsidRPr="00A62C97">
        <w:tab/>
      </w:r>
      <w:r w:rsidRPr="00A62C97">
        <w:rPr>
          <w:noProof/>
        </w:rPr>
        <w:t>Criteria for selecting studies to assess the safety and effectiveness of imiglucerase, velaglucerase alfa, and miglustat</w:t>
      </w:r>
      <w:r w:rsidRPr="00A62C97">
        <w:rPr>
          <w:webHidden/>
        </w:rPr>
        <w:tab/>
      </w:r>
      <w:r w:rsidR="00A72B26" w:rsidRPr="00A62C97">
        <w:rPr>
          <w:noProof/>
          <w:webHidden/>
        </w:rPr>
        <w:t>47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6 </w:t>
      </w:r>
      <w:r w:rsidRPr="00A62C97">
        <w:tab/>
      </w:r>
      <w:r w:rsidRPr="00A62C97">
        <w:rPr>
          <w:noProof/>
        </w:rPr>
        <w:t>Infection and bleeding risk markers for patients receiving ERT, Vitamin D or a combination</w:t>
      </w:r>
      <w:r w:rsidRPr="00A62C97">
        <w:rPr>
          <w:webHidden/>
        </w:rPr>
        <w:tab/>
      </w:r>
      <w:r w:rsidR="00A72B26" w:rsidRPr="00A62C97">
        <w:rPr>
          <w:noProof/>
          <w:webHidden/>
        </w:rPr>
        <w:t>50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7</w:t>
      </w:r>
      <w:r w:rsidRPr="00A62C97">
        <w:tab/>
      </w:r>
      <w:r w:rsidRPr="00A62C97">
        <w:rPr>
          <w:noProof/>
        </w:rPr>
        <w:t>Adverse events of treatment and Gaucher disease during study period</w:t>
      </w:r>
      <w:r w:rsidRPr="00A62C97">
        <w:rPr>
          <w:webHidden/>
        </w:rPr>
        <w:tab/>
      </w:r>
      <w:r w:rsidR="00A72B26" w:rsidRPr="00A62C97">
        <w:rPr>
          <w:noProof/>
          <w:webHidden/>
        </w:rPr>
        <w:t>50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8</w:t>
      </w:r>
      <w:r w:rsidRPr="00A62C97">
        <w:tab/>
      </w:r>
      <w:r w:rsidRPr="00A62C97">
        <w:rPr>
          <w:noProof/>
        </w:rPr>
        <w:t>Comparison of velaglucerase alfa and imiglucerase on secondary effectiveness measures</w:t>
      </w:r>
      <w:r w:rsidRPr="00A62C97">
        <w:rPr>
          <w:webHidden/>
        </w:rPr>
        <w:tab/>
      </w:r>
      <w:r w:rsidR="00A72B26" w:rsidRPr="00A62C97">
        <w:rPr>
          <w:noProof/>
          <w:webHidden/>
        </w:rPr>
        <w:t>52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9</w:t>
      </w:r>
      <w:r w:rsidRPr="00A62C97">
        <w:tab/>
      </w:r>
      <w:r w:rsidRPr="00A62C97">
        <w:rPr>
          <w:noProof/>
        </w:rPr>
        <w:t>Comparison of adverse events following velaglucerase alfa and imiglucerase</w:t>
      </w:r>
      <w:r w:rsidRPr="00A62C97">
        <w:rPr>
          <w:webHidden/>
        </w:rPr>
        <w:tab/>
      </w:r>
      <w:r w:rsidR="00A72B26" w:rsidRPr="00A62C97">
        <w:rPr>
          <w:noProof/>
          <w:webHidden/>
        </w:rPr>
        <w:t>53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10</w:t>
      </w:r>
      <w:r w:rsidRPr="00A62C97">
        <w:tab/>
      </w:r>
      <w:r w:rsidRPr="00A62C97">
        <w:rPr>
          <w:noProof/>
        </w:rPr>
        <w:t>Quality of life comparison between miglustat and imiglucerase</w:t>
      </w:r>
      <w:r w:rsidRPr="00A62C97">
        <w:rPr>
          <w:webHidden/>
        </w:rPr>
        <w:tab/>
      </w:r>
      <w:r w:rsidR="00A72B26" w:rsidRPr="00A62C97">
        <w:rPr>
          <w:noProof/>
          <w:webHidden/>
        </w:rPr>
        <w:t>54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11</w:t>
      </w:r>
      <w:r w:rsidRPr="00A62C97">
        <w:tab/>
      </w:r>
      <w:r w:rsidRPr="00A62C97">
        <w:rPr>
          <w:noProof/>
        </w:rPr>
        <w:t>Comparison of miglustat and imiglucerase on bone disease markers and bleeding risk</w:t>
      </w:r>
      <w:r w:rsidRPr="00A62C97">
        <w:rPr>
          <w:webHidden/>
        </w:rPr>
        <w:tab/>
      </w:r>
      <w:r w:rsidR="00A72B26" w:rsidRPr="00A62C97">
        <w:rPr>
          <w:noProof/>
          <w:webHidden/>
        </w:rPr>
        <w:t>55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12</w:t>
      </w:r>
      <w:r w:rsidRPr="00A62C97">
        <w:tab/>
      </w:r>
      <w:r w:rsidRPr="00A62C97">
        <w:rPr>
          <w:noProof/>
        </w:rPr>
        <w:t>Comparison of miglustat and imiglucerase on secondary effectiveness measures</w:t>
      </w:r>
      <w:r w:rsidRPr="00A62C97">
        <w:rPr>
          <w:webHidden/>
        </w:rPr>
        <w:tab/>
      </w:r>
      <w:r w:rsidR="00A72B26" w:rsidRPr="00A62C97">
        <w:rPr>
          <w:noProof/>
          <w:webHidden/>
        </w:rPr>
        <w:t>56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13</w:t>
      </w:r>
      <w:r w:rsidRPr="00A62C97">
        <w:tab/>
      </w:r>
      <w:r w:rsidRPr="00A62C97">
        <w:rPr>
          <w:noProof/>
        </w:rPr>
        <w:t>Comparative harms from miglustat and imiglucerase</w:t>
      </w:r>
      <w:r w:rsidRPr="00A62C97">
        <w:rPr>
          <w:webHidden/>
        </w:rPr>
        <w:tab/>
      </w:r>
      <w:r w:rsidR="00A72B26" w:rsidRPr="00A62C97">
        <w:rPr>
          <w:noProof/>
          <w:webHidden/>
        </w:rPr>
        <w:t>56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14</w:t>
      </w:r>
      <w:r w:rsidRPr="00A62C97">
        <w:tab/>
      </w:r>
      <w:r w:rsidRPr="00A62C97">
        <w:rPr>
          <w:noProof/>
        </w:rPr>
        <w:t>Long-term blood count changes with miglustat (after imiglucerase withdrawal)</w:t>
      </w:r>
      <w:r w:rsidRPr="00A62C97">
        <w:rPr>
          <w:webHidden/>
        </w:rPr>
        <w:tab/>
      </w:r>
      <w:r w:rsidR="00A72B26" w:rsidRPr="00A62C97">
        <w:rPr>
          <w:noProof/>
          <w:webHidden/>
        </w:rPr>
        <w:t>57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15</w:t>
      </w:r>
      <w:r w:rsidRPr="00A62C97">
        <w:tab/>
      </w:r>
      <w:r w:rsidRPr="00A62C97">
        <w:rPr>
          <w:noProof/>
        </w:rPr>
        <w:t>Long-term organ volume changes with miglustat (after imiglucerase withdrawal)</w:t>
      </w:r>
      <w:r w:rsidRPr="00A62C97">
        <w:rPr>
          <w:webHidden/>
        </w:rPr>
        <w:tab/>
      </w:r>
      <w:r w:rsidR="00A72B26" w:rsidRPr="00A62C97">
        <w:rPr>
          <w:noProof/>
          <w:webHidden/>
        </w:rPr>
        <w:t>58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16</w:t>
      </w:r>
      <w:r w:rsidRPr="00A62C97">
        <w:tab/>
      </w:r>
      <w:r w:rsidRPr="00A62C97">
        <w:rPr>
          <w:noProof/>
        </w:rPr>
        <w:t>Patients experiencing adverse events during randomised and extension treatment with miglustat</w:t>
      </w:r>
      <w:r w:rsidRPr="00A62C97">
        <w:rPr>
          <w:webHidden/>
        </w:rPr>
        <w:tab/>
      </w:r>
      <w:r w:rsidR="00A72B26" w:rsidRPr="00A62C97">
        <w:rPr>
          <w:noProof/>
          <w:webHidden/>
        </w:rPr>
        <w:t>59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17</w:t>
      </w:r>
      <w:r w:rsidRPr="00A62C97">
        <w:tab/>
      </w:r>
      <w:r w:rsidRPr="00A62C97">
        <w:rPr>
          <w:noProof/>
        </w:rPr>
        <w:t>Most common adverse events from imiglucerase by system organ class (1997-2004)</w:t>
      </w:r>
      <w:r w:rsidRPr="00A62C97">
        <w:rPr>
          <w:webHidden/>
        </w:rPr>
        <w:tab/>
      </w:r>
      <w:r w:rsidR="00A72B26" w:rsidRPr="00A62C97">
        <w:rPr>
          <w:noProof/>
          <w:webHidden/>
        </w:rPr>
        <w:t>61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18</w:t>
      </w:r>
      <w:r w:rsidRPr="00A62C97">
        <w:tab/>
      </w:r>
      <w:r w:rsidRPr="00A62C97">
        <w:rPr>
          <w:noProof/>
        </w:rPr>
        <w:t>Summary of adverse drug reactions associated with velaglucerase alfa</w:t>
      </w:r>
      <w:r w:rsidRPr="00A62C97">
        <w:rPr>
          <w:webHidden/>
        </w:rPr>
        <w:tab/>
      </w:r>
      <w:r w:rsidR="00A72B26" w:rsidRPr="00A62C97">
        <w:rPr>
          <w:noProof/>
          <w:webHidden/>
        </w:rPr>
        <w:t>62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19</w:t>
      </w:r>
      <w:r w:rsidRPr="00A62C97">
        <w:tab/>
      </w:r>
      <w:r w:rsidRPr="00A62C97">
        <w:rPr>
          <w:noProof/>
        </w:rPr>
        <w:t>Summary of adverse drug reactions associated with miglustat</w:t>
      </w:r>
      <w:r w:rsidRPr="00A62C97">
        <w:rPr>
          <w:webHidden/>
        </w:rPr>
        <w:tab/>
      </w:r>
      <w:r w:rsidR="00A72B26" w:rsidRPr="00A62C97">
        <w:rPr>
          <w:noProof/>
          <w:webHidden/>
        </w:rPr>
        <w:t>63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20</w:t>
      </w:r>
      <w:r w:rsidRPr="00A62C97">
        <w:tab/>
      </w:r>
      <w:r w:rsidRPr="00A62C97">
        <w:rPr>
          <w:noProof/>
        </w:rPr>
        <w:t>Number of patients currently treated under the LSDP for Gaucher disease</w:t>
      </w:r>
      <w:r w:rsidRPr="00A62C97">
        <w:rPr>
          <w:webHidden/>
        </w:rPr>
        <w:tab/>
      </w:r>
      <w:r w:rsidR="00A72B26" w:rsidRPr="00A62C97">
        <w:rPr>
          <w:noProof/>
          <w:webHidden/>
        </w:rPr>
        <w:t>65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21 </w:t>
      </w:r>
      <w:r w:rsidRPr="00A62C97">
        <w:tab/>
      </w:r>
      <w:r w:rsidRPr="00A62C97">
        <w:rPr>
          <w:noProof/>
        </w:rPr>
        <w:t>Age of those currently receiving treatment on the LSDP</w:t>
      </w:r>
      <w:r w:rsidRPr="00A62C97">
        <w:rPr>
          <w:webHidden/>
        </w:rPr>
        <w:tab/>
      </w:r>
      <w:r w:rsidR="00A72B26" w:rsidRPr="00A62C97">
        <w:rPr>
          <w:noProof/>
          <w:webHidden/>
        </w:rPr>
        <w:t>65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22 </w:t>
      </w:r>
      <w:r w:rsidRPr="00A62C97">
        <w:tab/>
      </w:r>
      <w:r w:rsidRPr="00A62C97">
        <w:rPr>
          <w:noProof/>
        </w:rPr>
        <w:t>Gender of patients currently receiving treatment under the LSDP for Gaucher disease</w:t>
      </w:r>
      <w:r w:rsidRPr="00A62C97">
        <w:rPr>
          <w:webHidden/>
        </w:rPr>
        <w:tab/>
      </w:r>
      <w:r w:rsidR="00A72B26" w:rsidRPr="00A62C97">
        <w:rPr>
          <w:noProof/>
          <w:webHidden/>
        </w:rPr>
        <w:t>65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23 </w:t>
      </w:r>
      <w:r w:rsidRPr="00A62C97">
        <w:tab/>
      </w:r>
      <w:r w:rsidRPr="00A62C97">
        <w:rPr>
          <w:noProof/>
        </w:rPr>
        <w:t>Doses of imiglucerase on the LSDP for the treatment of Gaucher disease</w:t>
      </w:r>
      <w:r w:rsidRPr="00A62C97">
        <w:rPr>
          <w:webHidden/>
        </w:rPr>
        <w:tab/>
      </w:r>
      <w:r w:rsidR="00A72B26" w:rsidRPr="00A62C97">
        <w:rPr>
          <w:noProof/>
          <w:webHidden/>
        </w:rPr>
        <w:t>66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24 </w:t>
      </w:r>
      <w:r w:rsidRPr="00A62C97">
        <w:tab/>
      </w:r>
      <w:r w:rsidRPr="00A62C97">
        <w:rPr>
          <w:noProof/>
        </w:rPr>
        <w:t>Doses of velaglucerase on the LSDP for the treatment of Gaucher disease</w:t>
      </w:r>
      <w:r w:rsidRPr="00A62C97">
        <w:rPr>
          <w:webHidden/>
        </w:rPr>
        <w:tab/>
      </w:r>
      <w:r w:rsidR="00A72B26" w:rsidRPr="00A62C97">
        <w:rPr>
          <w:noProof/>
          <w:webHidden/>
        </w:rPr>
        <w:t>66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25</w:t>
      </w:r>
      <w:r w:rsidRPr="00A62C97">
        <w:tab/>
      </w:r>
      <w:r w:rsidRPr="00A62C97">
        <w:rPr>
          <w:noProof/>
        </w:rPr>
        <w:t>Proportion of Patients with Normal Haemoglobin (g/dL) and improvement from baseline</w:t>
      </w:r>
      <w:r w:rsidRPr="00A62C97">
        <w:rPr>
          <w:webHidden/>
        </w:rPr>
        <w:tab/>
      </w:r>
      <w:r w:rsidR="00A72B26" w:rsidRPr="00A62C97">
        <w:rPr>
          <w:noProof/>
          <w:webHidden/>
        </w:rPr>
        <w:t>67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26</w:t>
      </w:r>
      <w:r w:rsidRPr="00A62C97">
        <w:tab/>
      </w:r>
      <w:r w:rsidRPr="00A62C97">
        <w:rPr>
          <w:noProof/>
        </w:rPr>
        <w:t>Proportion of normal values for Platelet count</w:t>
      </w:r>
      <w:r w:rsidRPr="00A62C97">
        <w:rPr>
          <w:webHidden/>
        </w:rPr>
        <w:tab/>
      </w:r>
      <w:r w:rsidR="00A72B26" w:rsidRPr="00A62C97">
        <w:rPr>
          <w:noProof/>
          <w:webHidden/>
        </w:rPr>
        <w:t>67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27 </w:t>
      </w:r>
      <w:r w:rsidRPr="00A62C97">
        <w:tab/>
      </w:r>
      <w:r w:rsidRPr="00A62C97">
        <w:rPr>
          <w:noProof/>
        </w:rPr>
        <w:t>Proportion of patients with normal organ volumes</w:t>
      </w:r>
      <w:r w:rsidRPr="00A62C97">
        <w:rPr>
          <w:webHidden/>
        </w:rPr>
        <w:tab/>
      </w:r>
      <w:r w:rsidR="00A72B26" w:rsidRPr="00A62C97">
        <w:rPr>
          <w:noProof/>
          <w:webHidden/>
        </w:rPr>
        <w:t>68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28 </w:t>
      </w:r>
      <w:r w:rsidRPr="00A62C97">
        <w:tab/>
      </w:r>
      <w:r w:rsidRPr="00A62C97">
        <w:rPr>
          <w:noProof/>
        </w:rPr>
        <w:t>Studies included assessing drugs to treat Gaucher disease Type 1</w:t>
      </w:r>
      <w:r w:rsidRPr="00A62C97">
        <w:rPr>
          <w:webHidden/>
        </w:rPr>
        <w:tab/>
      </w:r>
      <w:r w:rsidR="00A72B26" w:rsidRPr="00A62C97">
        <w:rPr>
          <w:noProof/>
          <w:webHidden/>
        </w:rPr>
        <w:t>68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29</w:t>
      </w:r>
      <w:r w:rsidRPr="00A62C97">
        <w:tab/>
      </w:r>
      <w:r w:rsidRPr="00A62C97">
        <w:rPr>
          <w:noProof/>
        </w:rPr>
        <w:t>Criteria for selecting studies to assess the safety and effectiveness of agalsidase alfa and agalsidase beta</w:t>
      </w:r>
      <w:r w:rsidRPr="00A62C97">
        <w:rPr>
          <w:webHidden/>
        </w:rPr>
        <w:tab/>
      </w:r>
      <w:r w:rsidR="00A72B26" w:rsidRPr="00A62C97">
        <w:rPr>
          <w:noProof/>
          <w:webHidden/>
        </w:rPr>
        <w:t>73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30</w:t>
      </w:r>
      <w:r w:rsidRPr="00A62C97">
        <w:tab/>
      </w:r>
      <w:r w:rsidRPr="00A62C97">
        <w:rPr>
          <w:noProof/>
        </w:rPr>
        <w:t>Summary of risk of bias for RCTs assessing the effectiveness and safety of agalsidase-alfa and agalsidase-beta as reported by El Dib 2013 (El Dib, R P, Nascimento &amp; Pastores 2013)</w:t>
      </w:r>
      <w:r w:rsidRPr="00A62C97">
        <w:rPr>
          <w:webHidden/>
        </w:rPr>
        <w:tab/>
      </w:r>
      <w:r w:rsidR="00A72B26" w:rsidRPr="00A62C97">
        <w:rPr>
          <w:noProof/>
          <w:webHidden/>
        </w:rPr>
        <w:t>76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31 </w:t>
      </w:r>
      <w:r w:rsidRPr="00A62C97">
        <w:tab/>
      </w:r>
      <w:r w:rsidRPr="00A62C97">
        <w:rPr>
          <w:noProof/>
        </w:rPr>
        <w:t>Comparison of Gb3 levels in patients randomised to receive either agalsidase alfa or placebo (El Dib, R P, Nascimento &amp; Pastores 2013)</w:t>
      </w:r>
      <w:r w:rsidRPr="00A62C97">
        <w:rPr>
          <w:webHidden/>
        </w:rPr>
        <w:tab/>
      </w:r>
      <w:r w:rsidR="00A72B26" w:rsidRPr="00A62C97">
        <w:rPr>
          <w:noProof/>
          <w:webHidden/>
        </w:rPr>
        <w:t>78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32 </w:t>
      </w:r>
      <w:r w:rsidRPr="00A62C97">
        <w:tab/>
      </w:r>
      <w:r w:rsidRPr="00A62C97">
        <w:rPr>
          <w:noProof/>
        </w:rPr>
        <w:t>Creatinine clearance and inulin clearance in patients randomised to receive either agalsidase alfa or placebo (El Dib, R P, Nascimento &amp; Pastores 2013; Schaefer, Tylki-Szymanska &amp; Hilz 2009; Schiffmann et al. 2001)</w:t>
      </w:r>
      <w:r w:rsidRPr="00A62C97">
        <w:rPr>
          <w:webHidden/>
        </w:rPr>
        <w:tab/>
      </w:r>
      <w:r w:rsidR="00A72B26" w:rsidRPr="00A62C97">
        <w:rPr>
          <w:noProof/>
          <w:webHidden/>
        </w:rPr>
        <w:t>79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33 </w:t>
      </w:r>
      <w:r w:rsidRPr="00A62C97">
        <w:tab/>
      </w:r>
      <w:r w:rsidRPr="00A62C97">
        <w:rPr>
          <w:noProof/>
        </w:rPr>
        <w:t>Comparison of changes to glomeruli in patients randomised to receive either agalsidase alfa or placebo (El Dib, R P, Nascimento &amp; Pastores 2013) (Schiffmann et al. 2001)</w:t>
      </w:r>
      <w:r w:rsidRPr="00A62C97">
        <w:rPr>
          <w:webHidden/>
        </w:rPr>
        <w:tab/>
      </w:r>
      <w:r w:rsidR="00A72B26" w:rsidRPr="00A62C97">
        <w:rPr>
          <w:noProof/>
          <w:webHidden/>
        </w:rPr>
        <w:t>80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34 </w:t>
      </w:r>
      <w:r w:rsidRPr="00A62C97">
        <w:tab/>
      </w:r>
      <w:r w:rsidRPr="00A62C97">
        <w:rPr>
          <w:noProof/>
        </w:rPr>
        <w:t>Comparison of ventricular changes in patients randomised to receive either agalsidase alfa or placebo (El Dib, R P, Nascimento &amp; Pastores 2013; Schaefer, Tylki-Szymanska &amp; Hilz 2009) (Hughes et al. 2008)</w:t>
      </w:r>
      <w:r w:rsidRPr="00A62C97">
        <w:rPr>
          <w:webHidden/>
        </w:rPr>
        <w:tab/>
      </w:r>
      <w:r w:rsidR="00A72B26" w:rsidRPr="00A62C97">
        <w:rPr>
          <w:noProof/>
          <w:webHidden/>
        </w:rPr>
        <w:t>81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35 </w:t>
      </w:r>
      <w:r w:rsidRPr="00A62C97">
        <w:tab/>
      </w:r>
      <w:r w:rsidRPr="00A62C97">
        <w:rPr>
          <w:noProof/>
        </w:rPr>
        <w:t>Cardiac outcomes for Fabry patients randomised to receive either agalsidase alfa or placebo (Schaefer, Tylki-Szymanska &amp; Hilz 2009)</w:t>
      </w:r>
      <w:r w:rsidRPr="00A62C97">
        <w:rPr>
          <w:webHidden/>
        </w:rPr>
        <w:tab/>
      </w:r>
      <w:r w:rsidR="00A72B26" w:rsidRPr="00A62C97">
        <w:rPr>
          <w:noProof/>
          <w:webHidden/>
        </w:rPr>
        <w:t>82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lastRenderedPageBreak/>
        <w:t xml:space="preserve">Table 36 </w:t>
      </w:r>
      <w:r w:rsidRPr="00A62C97">
        <w:tab/>
      </w:r>
      <w:r w:rsidRPr="00A62C97">
        <w:rPr>
          <w:noProof/>
        </w:rPr>
        <w:t>Comparison of Brief Pain Inventory outcomes in patients randomised to receive either agalsidase alfa or placebo (El Dib, R P, Nascimento &amp; Pastores 2013; Schiffmann et al. 2001)</w:t>
      </w:r>
      <w:r w:rsidRPr="00A62C97">
        <w:rPr>
          <w:webHidden/>
        </w:rPr>
        <w:tab/>
      </w:r>
      <w:r w:rsidR="00A72B26" w:rsidRPr="00A62C97">
        <w:rPr>
          <w:noProof/>
          <w:webHidden/>
        </w:rPr>
        <w:t>84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37</w:t>
      </w:r>
      <w:r w:rsidRPr="00A62C97">
        <w:tab/>
      </w:r>
      <w:r w:rsidRPr="00A62C97">
        <w:rPr>
          <w:noProof/>
        </w:rPr>
        <w:t>Death, Renal events, Cardiac events and cerebrovascular events in Fabry patients randomised to receive either agalsidase beta or placebo (El Dib, R P, Nascimento &amp; Pastores 2013)</w:t>
      </w:r>
      <w:r w:rsidRPr="00A62C97">
        <w:rPr>
          <w:webHidden/>
        </w:rPr>
        <w:tab/>
      </w:r>
      <w:r w:rsidR="00A72B26" w:rsidRPr="00A62C97">
        <w:rPr>
          <w:noProof/>
          <w:webHidden/>
        </w:rPr>
        <w:t>86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38</w:t>
      </w:r>
      <w:r w:rsidRPr="00A62C97">
        <w:tab/>
      </w:r>
      <w:r w:rsidRPr="00A62C97">
        <w:rPr>
          <w:noProof/>
        </w:rPr>
        <w:t>Microvascular endothelial Gb3 deposits in patients randomised to receive either agalsidase beta or placebo (El Dib, R P, Nascimento &amp; Pastores 2013) (Eng et al. 2001)</w:t>
      </w:r>
      <w:r w:rsidRPr="00A62C97">
        <w:rPr>
          <w:webHidden/>
        </w:rPr>
        <w:tab/>
      </w:r>
      <w:r w:rsidR="00A72B26" w:rsidRPr="00A62C97">
        <w:rPr>
          <w:noProof/>
          <w:webHidden/>
        </w:rPr>
        <w:t>87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39</w:t>
      </w:r>
      <w:r w:rsidRPr="00A62C97">
        <w:tab/>
      </w:r>
      <w:r w:rsidRPr="00A62C97">
        <w:rPr>
          <w:noProof/>
        </w:rPr>
        <w:t>Skin tissue Gb3 deposits in Fabry patients randomised to receive either agalsidase beta or placebo (El Dib, R P, Nascimento &amp; Pastores 2013)</w:t>
      </w:r>
      <w:r w:rsidRPr="00A62C97">
        <w:rPr>
          <w:webHidden/>
        </w:rPr>
        <w:tab/>
      </w:r>
      <w:r w:rsidR="00A72B26" w:rsidRPr="00A62C97">
        <w:rPr>
          <w:noProof/>
          <w:webHidden/>
        </w:rPr>
        <w:t>88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40 </w:t>
      </w:r>
      <w:r w:rsidRPr="00A62C97">
        <w:tab/>
      </w:r>
      <w:r w:rsidRPr="00A62C97">
        <w:rPr>
          <w:noProof/>
        </w:rPr>
        <w:t>Cardiopulmonary exercise test outcomes in patients randomised to receive either agalsidase beta or placebo (El Dib, R P, Nascimento &amp; Pastores 2013) (Schaefer, Tylki-Szymanska &amp; Hilz 2009)</w:t>
      </w:r>
      <w:r w:rsidRPr="00A62C97">
        <w:rPr>
          <w:webHidden/>
        </w:rPr>
        <w:tab/>
      </w:r>
      <w:r w:rsidR="00A72B26" w:rsidRPr="00A62C97">
        <w:rPr>
          <w:noProof/>
          <w:webHidden/>
        </w:rPr>
        <w:t>89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41 </w:t>
      </w:r>
      <w:r w:rsidRPr="00A62C97">
        <w:tab/>
      </w:r>
      <w:r w:rsidRPr="00A62C97">
        <w:rPr>
          <w:noProof/>
        </w:rPr>
        <w:t>Pain reported by Fabry patients randomised to receive either agalsidase beta or placebo (Schaefer, Tylki-Szymanska &amp; Hilz 2009)</w:t>
      </w:r>
      <w:r w:rsidRPr="00A62C97">
        <w:rPr>
          <w:webHidden/>
        </w:rPr>
        <w:tab/>
      </w:r>
      <w:r w:rsidR="00A72B26" w:rsidRPr="00A62C97">
        <w:rPr>
          <w:noProof/>
          <w:webHidden/>
        </w:rPr>
        <w:t>90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42 </w:t>
      </w:r>
      <w:r w:rsidRPr="00A62C97">
        <w:tab/>
      </w:r>
      <w:r w:rsidRPr="00A62C97">
        <w:rPr>
          <w:noProof/>
        </w:rPr>
        <w:t>Adverse events (rigors, fever, temperature changed sensation and chills) for Fabry patients randomised to receive agalsidase beta or placebo (El Dib, R P, Nascimento &amp; Pastores 2013)</w:t>
      </w:r>
      <w:r w:rsidRPr="00A62C97">
        <w:rPr>
          <w:webHidden/>
        </w:rPr>
        <w:tab/>
      </w:r>
      <w:r w:rsidR="00A72B26" w:rsidRPr="00A62C97">
        <w:rPr>
          <w:noProof/>
          <w:webHidden/>
        </w:rPr>
        <w:t>92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43 </w:t>
      </w:r>
      <w:r w:rsidRPr="00A62C97">
        <w:tab/>
      </w:r>
      <w:r w:rsidRPr="00A62C97">
        <w:rPr>
          <w:noProof/>
        </w:rPr>
        <w:t>Adverse events (hypertension, vomiting, chest pain, fatigue, headache and pain related to Fabry disease) in Fabry patients randomised to receive either agalsidase beta or placebo (El Dib, R P, Nascimento &amp; Pastores 2013)</w:t>
      </w:r>
      <w:r w:rsidRPr="00A62C97">
        <w:rPr>
          <w:webHidden/>
        </w:rPr>
        <w:tab/>
      </w:r>
      <w:r w:rsidR="00A72B26" w:rsidRPr="00A62C97">
        <w:rPr>
          <w:noProof/>
          <w:webHidden/>
        </w:rPr>
        <w:t>93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44 </w:t>
      </w:r>
      <w:r w:rsidRPr="00A62C97">
        <w:tab/>
      </w:r>
      <w:r w:rsidRPr="00A62C97">
        <w:rPr>
          <w:noProof/>
        </w:rPr>
        <w:t>Death, cardiac and serious adverse events in Fabry patients randomised to receive either agalsidase alfa or agalsidase beta (El Dib, R P, Nascimento &amp; Pastores 2013)</w:t>
      </w:r>
      <w:r w:rsidRPr="00A62C97">
        <w:rPr>
          <w:webHidden/>
        </w:rPr>
        <w:tab/>
      </w:r>
      <w:r w:rsidR="00A72B26" w:rsidRPr="00A62C97">
        <w:rPr>
          <w:noProof/>
          <w:webHidden/>
        </w:rPr>
        <w:t>95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45 </w:t>
      </w:r>
      <w:r w:rsidRPr="00A62C97">
        <w:tab/>
      </w:r>
      <w:r w:rsidRPr="00A62C97">
        <w:rPr>
          <w:noProof/>
        </w:rPr>
        <w:t>Comparison of Gb3 levels in Fabry patients randomised to receive either agalsidase alfa or agalsidase beta (Vedder et al. 2007)</w:t>
      </w:r>
      <w:r w:rsidRPr="00A62C97">
        <w:rPr>
          <w:webHidden/>
        </w:rPr>
        <w:tab/>
      </w:r>
      <w:r w:rsidR="00A72B26" w:rsidRPr="00A62C97">
        <w:rPr>
          <w:noProof/>
          <w:webHidden/>
        </w:rPr>
        <w:t>96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46 </w:t>
      </w:r>
      <w:r w:rsidRPr="00A62C97">
        <w:tab/>
      </w:r>
      <w:r w:rsidRPr="00A62C97">
        <w:rPr>
          <w:noProof/>
        </w:rPr>
        <w:t>Changes in creatinine clearance in Fabry patients randomised to receive either agalsidase alfa or agalsidase beta (Vedder et al. 2007)</w:t>
      </w:r>
      <w:r w:rsidRPr="00A62C97">
        <w:rPr>
          <w:webHidden/>
        </w:rPr>
        <w:tab/>
      </w:r>
      <w:r w:rsidR="00A72B26" w:rsidRPr="00A62C97">
        <w:rPr>
          <w:noProof/>
          <w:webHidden/>
        </w:rPr>
        <w:t>97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47 </w:t>
      </w:r>
      <w:r w:rsidRPr="00A62C97">
        <w:tab/>
      </w:r>
      <w:r w:rsidRPr="00A62C97">
        <w:rPr>
          <w:noProof/>
        </w:rPr>
        <w:t>Comparison of proteinuria in patients randomised to receive either agalsidase alfa or beta (Schaefer, Tylki-Szymanska &amp; Hilz 2009) (Vedder et al. 2007)</w:t>
      </w:r>
      <w:r w:rsidRPr="00A62C97">
        <w:rPr>
          <w:webHidden/>
        </w:rPr>
        <w:tab/>
      </w:r>
      <w:r w:rsidR="00A72B26" w:rsidRPr="00A62C97">
        <w:rPr>
          <w:noProof/>
          <w:webHidden/>
        </w:rPr>
        <w:t>97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48 </w:t>
      </w:r>
      <w:r w:rsidRPr="00A62C97">
        <w:tab/>
      </w:r>
      <w:r w:rsidRPr="00A62C97">
        <w:rPr>
          <w:noProof/>
        </w:rPr>
        <w:t>Left ventricular change in Fabry patients randomised to receive either agalsidase alfa or beta (Vedder et al. 2007)</w:t>
      </w:r>
      <w:r w:rsidRPr="00A62C97">
        <w:rPr>
          <w:webHidden/>
        </w:rPr>
        <w:tab/>
      </w:r>
      <w:r w:rsidR="00A72B26" w:rsidRPr="00A62C97">
        <w:rPr>
          <w:noProof/>
          <w:webHidden/>
        </w:rPr>
        <w:t>98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49 </w:t>
      </w:r>
      <w:r w:rsidRPr="00A62C97">
        <w:tab/>
      </w:r>
      <w:r w:rsidRPr="00A62C97">
        <w:rPr>
          <w:noProof/>
        </w:rPr>
        <w:t>Adverse events in Fabry patients randomised to receive agalsidase alfa or agalsidase beta (El Dib, R P, Nascimento &amp; Pastores 2013)</w:t>
      </w:r>
      <w:r w:rsidRPr="00A62C97">
        <w:rPr>
          <w:webHidden/>
        </w:rPr>
        <w:tab/>
      </w:r>
      <w:r w:rsidR="00A72B26" w:rsidRPr="00A62C97">
        <w:rPr>
          <w:noProof/>
          <w:webHidden/>
        </w:rPr>
        <w:t>98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50</w:t>
      </w:r>
      <w:r w:rsidRPr="00A62C97">
        <w:tab/>
      </w:r>
      <w:r w:rsidRPr="00A62C97">
        <w:rPr>
          <w:noProof/>
        </w:rPr>
        <w:t>Summary of safety concerns regarding agalsidase alfa</w:t>
      </w:r>
      <w:r w:rsidRPr="00A62C97">
        <w:rPr>
          <w:webHidden/>
        </w:rPr>
        <w:tab/>
      </w:r>
      <w:r w:rsidR="00A72B26" w:rsidRPr="00A62C97">
        <w:rPr>
          <w:noProof/>
          <w:webHidden/>
        </w:rPr>
        <w:t>100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w:t>
      </w:r>
      <w:proofErr w:type="gramStart"/>
      <w:r w:rsidRPr="00A62C97">
        <w:rPr>
          <w:noProof/>
        </w:rPr>
        <w:t>51</w:t>
      </w:r>
      <w:r w:rsidRPr="00A62C97">
        <w:tab/>
      </w:r>
      <w:r w:rsidRPr="00A62C97">
        <w:rPr>
          <w:noProof/>
        </w:rPr>
        <w:t>Drug-relateda adverse events from Phase III extension studies one Phase IV double-blind study</w:t>
      </w:r>
      <w:proofErr w:type="gramEnd"/>
      <w:r w:rsidRPr="00A62C97">
        <w:rPr>
          <w:noProof/>
        </w:rPr>
        <w:t>.</w:t>
      </w:r>
      <w:r w:rsidRPr="00A62C97">
        <w:rPr>
          <w:webHidden/>
        </w:rPr>
        <w:tab/>
      </w:r>
      <w:r w:rsidR="00A72B26" w:rsidRPr="00A62C97">
        <w:rPr>
          <w:noProof/>
          <w:webHidden/>
        </w:rPr>
        <w:t>102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52 </w:t>
      </w:r>
      <w:r w:rsidRPr="00A62C97">
        <w:tab/>
      </w:r>
      <w:r w:rsidRPr="00A62C97">
        <w:rPr>
          <w:noProof/>
        </w:rPr>
        <w:t>Age of patients currently accessing treatments for Fabry disease on the LSDP</w:t>
      </w:r>
      <w:r w:rsidRPr="00A62C97">
        <w:rPr>
          <w:webHidden/>
        </w:rPr>
        <w:tab/>
      </w:r>
      <w:r w:rsidR="00A72B26" w:rsidRPr="00A62C97">
        <w:rPr>
          <w:noProof/>
          <w:webHidden/>
        </w:rPr>
        <w:t>103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53 </w:t>
      </w:r>
      <w:r w:rsidRPr="00A62C97">
        <w:tab/>
      </w:r>
      <w:r w:rsidRPr="00A62C97">
        <w:rPr>
          <w:noProof/>
        </w:rPr>
        <w:t>Average age of first treatment for patients currently accessing treatments for Fabry disease on the LSDP</w:t>
      </w:r>
      <w:r w:rsidRPr="00A62C97">
        <w:rPr>
          <w:webHidden/>
        </w:rPr>
        <w:tab/>
      </w:r>
      <w:r w:rsidR="00A72B26" w:rsidRPr="00A62C97">
        <w:rPr>
          <w:noProof/>
          <w:webHidden/>
        </w:rPr>
        <w:t>103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54 </w:t>
      </w:r>
      <w:r w:rsidRPr="00A62C97">
        <w:tab/>
      </w:r>
      <w:r w:rsidRPr="00A62C97">
        <w:rPr>
          <w:noProof/>
        </w:rPr>
        <w:t>Gender of those currently receiving treatment on the LSDP</w:t>
      </w:r>
      <w:r w:rsidRPr="00A62C97">
        <w:rPr>
          <w:webHidden/>
        </w:rPr>
        <w:tab/>
      </w:r>
      <w:r w:rsidR="00A72B26" w:rsidRPr="00A62C97">
        <w:rPr>
          <w:noProof/>
          <w:webHidden/>
        </w:rPr>
        <w:t>103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55 </w:t>
      </w:r>
      <w:r w:rsidRPr="00A62C97">
        <w:tab/>
      </w:r>
      <w:r w:rsidRPr="00A62C97">
        <w:rPr>
          <w:noProof/>
        </w:rPr>
        <w:t>Dosing information (mg/kg/2 weeks) for patients currently receiving treatment with agalsidase alfa on the LSDP</w:t>
      </w:r>
      <w:r w:rsidRPr="00A62C97">
        <w:rPr>
          <w:webHidden/>
        </w:rPr>
        <w:tab/>
      </w:r>
      <w:r w:rsidR="00A72B26" w:rsidRPr="00A62C97">
        <w:rPr>
          <w:noProof/>
          <w:webHidden/>
        </w:rPr>
        <w:t>104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56 </w:t>
      </w:r>
      <w:r w:rsidRPr="00A62C97">
        <w:tab/>
      </w:r>
      <w:r w:rsidRPr="00A62C97">
        <w:rPr>
          <w:noProof/>
        </w:rPr>
        <w:t>Dosing information (mg/kg/2 weeks) for patients currently receiving treatment with agalsidase beta on the LSDP</w:t>
      </w:r>
      <w:r w:rsidRPr="00A62C97">
        <w:rPr>
          <w:webHidden/>
        </w:rPr>
        <w:tab/>
      </w:r>
      <w:r w:rsidR="00A72B26" w:rsidRPr="00A62C97">
        <w:rPr>
          <w:noProof/>
          <w:webHidden/>
        </w:rPr>
        <w:t>104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57 </w:t>
      </w:r>
      <w:r w:rsidRPr="00A62C97">
        <w:tab/>
      </w:r>
      <w:r w:rsidRPr="00A62C97">
        <w:rPr>
          <w:noProof/>
        </w:rPr>
        <w:t>GFR Measures from baseline and 1-2 years after initiation of therapy (first observation only).</w:t>
      </w:r>
      <w:r w:rsidRPr="00A62C97">
        <w:rPr>
          <w:webHidden/>
        </w:rPr>
        <w:tab/>
      </w:r>
      <w:r w:rsidR="00A72B26" w:rsidRPr="00A62C97">
        <w:rPr>
          <w:noProof/>
          <w:webHidden/>
        </w:rPr>
        <w:t>105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58</w:t>
      </w:r>
      <w:r w:rsidRPr="00A62C97">
        <w:tab/>
      </w:r>
      <w:r w:rsidRPr="00A62C97">
        <w:rPr>
          <w:noProof/>
        </w:rPr>
        <w:t>Proportion of patients with normal serum creatinine (SCr) at beginning and last observation by gender</w:t>
      </w:r>
      <w:r w:rsidRPr="00A62C97">
        <w:rPr>
          <w:webHidden/>
        </w:rPr>
        <w:tab/>
      </w:r>
      <w:r w:rsidR="00A72B26" w:rsidRPr="00A62C97">
        <w:rPr>
          <w:noProof/>
          <w:webHidden/>
        </w:rPr>
        <w:t>106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59 </w:t>
      </w:r>
      <w:r w:rsidRPr="00A62C97">
        <w:tab/>
      </w:r>
      <w:r w:rsidRPr="00A62C97">
        <w:rPr>
          <w:noProof/>
        </w:rPr>
        <w:t>Concomitant therapies</w:t>
      </w:r>
      <w:r w:rsidRPr="00A62C97">
        <w:rPr>
          <w:webHidden/>
        </w:rPr>
        <w:tab/>
      </w:r>
      <w:r w:rsidR="00A72B26" w:rsidRPr="00A62C97">
        <w:rPr>
          <w:noProof/>
          <w:webHidden/>
        </w:rPr>
        <w:t>107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60 </w:t>
      </w:r>
      <w:r w:rsidRPr="00A62C97">
        <w:tab/>
      </w:r>
      <w:r w:rsidRPr="00A62C97">
        <w:rPr>
          <w:noProof/>
        </w:rPr>
        <w:t>Studies included assessing drugs to treat Fabry disease</w:t>
      </w:r>
      <w:r w:rsidRPr="00A62C97">
        <w:rPr>
          <w:webHidden/>
        </w:rPr>
        <w:tab/>
      </w:r>
      <w:r w:rsidR="00A72B26" w:rsidRPr="00A62C97">
        <w:rPr>
          <w:noProof/>
          <w:webHidden/>
        </w:rPr>
        <w:t>108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61</w:t>
      </w:r>
      <w:r w:rsidRPr="00A62C97">
        <w:tab/>
      </w:r>
      <w:r w:rsidRPr="00A62C97">
        <w:rPr>
          <w:noProof/>
        </w:rPr>
        <w:t>Criteria for selecting studies to assess the safety and effectiveness of alglucosidase alfa</w:t>
      </w:r>
      <w:r w:rsidRPr="00A62C97">
        <w:rPr>
          <w:webHidden/>
        </w:rPr>
        <w:tab/>
      </w:r>
      <w:r w:rsidR="00A72B26" w:rsidRPr="00A62C97">
        <w:rPr>
          <w:noProof/>
          <w:webHidden/>
        </w:rPr>
        <w:t>111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62</w:t>
      </w:r>
      <w:r w:rsidRPr="00A62C97">
        <w:tab/>
      </w:r>
      <w:r w:rsidRPr="00A62C97">
        <w:rPr>
          <w:noProof/>
        </w:rPr>
        <w:t>Summary of the results for survival in patients receiving alglucosidase alfa</w:t>
      </w:r>
      <w:r w:rsidRPr="00A62C97">
        <w:rPr>
          <w:webHidden/>
        </w:rPr>
        <w:tab/>
      </w:r>
      <w:r w:rsidR="00A72B26" w:rsidRPr="00A62C97">
        <w:rPr>
          <w:noProof/>
          <w:webHidden/>
        </w:rPr>
        <w:t>118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63</w:t>
      </w:r>
      <w:r w:rsidRPr="00A62C97">
        <w:tab/>
      </w:r>
      <w:r w:rsidRPr="00A62C97">
        <w:rPr>
          <w:noProof/>
        </w:rPr>
        <w:t>Summary of results for ventilation-free survival in patients receiving alglucosidase alfa</w:t>
      </w:r>
      <w:r w:rsidRPr="00A62C97">
        <w:rPr>
          <w:webHidden/>
        </w:rPr>
        <w:tab/>
      </w:r>
      <w:r w:rsidR="00A72B26" w:rsidRPr="00A62C97">
        <w:rPr>
          <w:noProof/>
          <w:webHidden/>
        </w:rPr>
        <w:t>119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64</w:t>
      </w:r>
      <w:r w:rsidRPr="00A62C97">
        <w:tab/>
      </w:r>
      <w:r w:rsidRPr="00A62C97">
        <w:rPr>
          <w:noProof/>
        </w:rPr>
        <w:t>Summary of serious listed adverse events over the period 29 September 2010 to 28 September 2011</w:t>
      </w:r>
      <w:r w:rsidRPr="00A62C97">
        <w:rPr>
          <w:webHidden/>
        </w:rPr>
        <w:tab/>
      </w:r>
      <w:r w:rsidR="00A72B26" w:rsidRPr="00A62C97">
        <w:rPr>
          <w:noProof/>
          <w:webHidden/>
        </w:rPr>
        <w:t>123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lastRenderedPageBreak/>
        <w:t>Table 65</w:t>
      </w:r>
      <w:r w:rsidRPr="00A62C97">
        <w:tab/>
      </w:r>
      <w:r w:rsidRPr="00A62C97">
        <w:rPr>
          <w:noProof/>
        </w:rPr>
        <w:t>Summary of ADRs– Infantile onset pooled population (Hillmen et al 2007, Nicolino et al 2009)</w:t>
      </w:r>
      <w:r w:rsidRPr="00A62C97">
        <w:rPr>
          <w:webHidden/>
        </w:rPr>
        <w:tab/>
      </w:r>
      <w:r w:rsidR="00A72B26" w:rsidRPr="00A62C97">
        <w:rPr>
          <w:noProof/>
          <w:webHidden/>
        </w:rPr>
        <w:t>125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66</w:t>
      </w:r>
      <w:r w:rsidRPr="00A62C97">
        <w:tab/>
      </w:r>
      <w:r w:rsidRPr="00A62C97">
        <w:rPr>
          <w:noProof/>
        </w:rPr>
        <w:t>Doses of alglucosidase alfa received by Australian patients with infantile onset Pompe disease</w:t>
      </w:r>
      <w:r w:rsidRPr="00A62C97">
        <w:rPr>
          <w:webHidden/>
        </w:rPr>
        <w:tab/>
      </w:r>
      <w:r w:rsidR="00A72B26" w:rsidRPr="00A62C97">
        <w:rPr>
          <w:noProof/>
          <w:webHidden/>
        </w:rPr>
        <w:t>129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67 </w:t>
      </w:r>
      <w:r w:rsidRPr="00A62C97">
        <w:tab/>
      </w:r>
      <w:r w:rsidRPr="00A62C97">
        <w:rPr>
          <w:noProof/>
        </w:rPr>
        <w:t>Studies included assessing drug to treat infantile onset Pompe disease</w:t>
      </w:r>
      <w:r w:rsidRPr="00A62C97">
        <w:rPr>
          <w:webHidden/>
        </w:rPr>
        <w:tab/>
      </w:r>
      <w:r w:rsidR="00A72B26" w:rsidRPr="00A62C97">
        <w:rPr>
          <w:noProof/>
          <w:webHidden/>
        </w:rPr>
        <w:t>130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68</w:t>
      </w:r>
      <w:r w:rsidRPr="00A62C97">
        <w:tab/>
      </w:r>
      <w:r w:rsidRPr="00A62C97">
        <w:rPr>
          <w:noProof/>
        </w:rPr>
        <w:t>Natural history survival data for patients with non-classic Pompe’s disease (Winkel, LP et al. 2005)</w:t>
      </w:r>
      <w:r w:rsidRPr="00A62C97">
        <w:rPr>
          <w:webHidden/>
        </w:rPr>
        <w:tab/>
      </w:r>
      <w:r w:rsidR="00A72B26" w:rsidRPr="00A62C97">
        <w:rPr>
          <w:noProof/>
          <w:webHidden/>
        </w:rPr>
        <w:t>132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69</w:t>
      </w:r>
      <w:r w:rsidRPr="00A62C97">
        <w:tab/>
      </w:r>
      <w:r w:rsidRPr="00A62C97">
        <w:rPr>
          <w:noProof/>
        </w:rPr>
        <w:t>Criteria for selecting studies to assess the safety and effectiveness of alglucosidase alfa</w:t>
      </w:r>
      <w:r w:rsidRPr="00A62C97">
        <w:rPr>
          <w:webHidden/>
        </w:rPr>
        <w:tab/>
      </w:r>
      <w:r w:rsidR="00A72B26" w:rsidRPr="00A62C97">
        <w:rPr>
          <w:noProof/>
          <w:webHidden/>
        </w:rPr>
        <w:t>133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70 </w:t>
      </w:r>
      <w:r w:rsidRPr="00A62C97">
        <w:tab/>
      </w:r>
      <w:r w:rsidRPr="00A62C97">
        <w:rPr>
          <w:noProof/>
        </w:rPr>
        <w:t>Self-reported physical and mental health scores before and after alglucosidase alfa in patients with JOPD</w:t>
      </w:r>
      <w:r w:rsidRPr="00A62C97">
        <w:rPr>
          <w:webHidden/>
        </w:rPr>
        <w:tab/>
      </w:r>
      <w:r w:rsidR="00A72B26" w:rsidRPr="00A62C97">
        <w:rPr>
          <w:noProof/>
          <w:webHidden/>
        </w:rPr>
        <w:t>135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71</w:t>
      </w:r>
      <w:r w:rsidRPr="00A62C97">
        <w:tab/>
      </w:r>
      <w:r w:rsidRPr="00A62C97">
        <w:rPr>
          <w:noProof/>
        </w:rPr>
        <w:t>Vital capacity before and after alglucosidase alfa in patients with JOPD</w:t>
      </w:r>
      <w:r w:rsidRPr="00A62C97">
        <w:rPr>
          <w:webHidden/>
        </w:rPr>
        <w:tab/>
      </w:r>
      <w:r w:rsidR="00A72B26" w:rsidRPr="00A62C97">
        <w:rPr>
          <w:noProof/>
          <w:webHidden/>
        </w:rPr>
        <w:t>136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72</w:t>
      </w:r>
      <w:r w:rsidRPr="00A62C97">
        <w:tab/>
      </w:r>
      <w:r w:rsidRPr="00A62C97">
        <w:rPr>
          <w:noProof/>
        </w:rPr>
        <w:t>Forced vital capacity before and after alglucosidase alfa in patients with JOPD</w:t>
      </w:r>
      <w:r w:rsidRPr="00A62C97">
        <w:rPr>
          <w:webHidden/>
        </w:rPr>
        <w:tab/>
      </w:r>
      <w:r w:rsidR="00A72B26" w:rsidRPr="00A62C97">
        <w:rPr>
          <w:noProof/>
          <w:webHidden/>
        </w:rPr>
        <w:t>137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73</w:t>
      </w:r>
      <w:r w:rsidRPr="00A62C97">
        <w:tab/>
      </w:r>
      <w:r w:rsidRPr="00A62C97">
        <w:rPr>
          <w:noProof/>
        </w:rPr>
        <w:t>Peak expiratory flow (PEF) and maximum expiratory flow at 50% (MEF 50%) before and after alglucosidase alfa in patients with JOPD</w:t>
      </w:r>
      <w:r w:rsidRPr="00A62C97">
        <w:rPr>
          <w:webHidden/>
        </w:rPr>
        <w:tab/>
      </w:r>
      <w:r w:rsidR="00A72B26" w:rsidRPr="00A62C97">
        <w:rPr>
          <w:noProof/>
          <w:webHidden/>
        </w:rPr>
        <w:t>138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74</w:t>
      </w:r>
      <w:r w:rsidRPr="00A62C97">
        <w:tab/>
      </w:r>
      <w:r w:rsidRPr="00A62C97">
        <w:rPr>
          <w:noProof/>
        </w:rPr>
        <w:t>Forced expiratory volume in 1 second (FEV1) before and after alglucosidase alfa in patients with JOPD</w:t>
      </w:r>
      <w:r w:rsidRPr="00A62C97">
        <w:rPr>
          <w:webHidden/>
        </w:rPr>
        <w:tab/>
      </w:r>
      <w:r w:rsidR="00A72B26" w:rsidRPr="00A62C97">
        <w:rPr>
          <w:noProof/>
          <w:webHidden/>
        </w:rPr>
        <w:t>138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75</w:t>
      </w:r>
      <w:r w:rsidRPr="00A62C97">
        <w:tab/>
      </w:r>
      <w:r w:rsidRPr="00A62C97">
        <w:rPr>
          <w:noProof/>
        </w:rPr>
        <w:t>Pressure, expiratory and inspiratory before and after alglucosidase alfa in patients with JOPD</w:t>
      </w:r>
      <w:r w:rsidRPr="00A62C97">
        <w:rPr>
          <w:webHidden/>
        </w:rPr>
        <w:tab/>
      </w:r>
      <w:r w:rsidR="00A72B26" w:rsidRPr="00A62C97">
        <w:rPr>
          <w:noProof/>
          <w:webHidden/>
        </w:rPr>
        <w:t>139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76  </w:t>
      </w:r>
      <w:r w:rsidRPr="00A62C97">
        <w:tab/>
      </w:r>
      <w:r w:rsidRPr="00A62C97">
        <w:rPr>
          <w:noProof/>
        </w:rPr>
        <w:t>Ventilation time before and after alglucosidase alfa in patients with JOPD</w:t>
      </w:r>
      <w:r w:rsidRPr="00A62C97">
        <w:rPr>
          <w:webHidden/>
        </w:rPr>
        <w:tab/>
      </w:r>
      <w:r w:rsidR="00A72B26" w:rsidRPr="00A62C97">
        <w:rPr>
          <w:noProof/>
          <w:webHidden/>
        </w:rPr>
        <w:t>140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77 </w:t>
      </w:r>
      <w:r w:rsidRPr="00A62C97">
        <w:tab/>
      </w:r>
      <w:r w:rsidRPr="00A62C97">
        <w:rPr>
          <w:noProof/>
        </w:rPr>
        <w:t>Assisted ventilation requirements before and after alglucosidase alfa in patients with JOPD</w:t>
      </w:r>
      <w:r w:rsidRPr="00A62C97">
        <w:rPr>
          <w:webHidden/>
        </w:rPr>
        <w:tab/>
      </w:r>
      <w:r w:rsidR="00A72B26" w:rsidRPr="00A62C97">
        <w:rPr>
          <w:noProof/>
          <w:webHidden/>
        </w:rPr>
        <w:t>140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78  </w:t>
      </w:r>
      <w:r w:rsidRPr="00A62C97">
        <w:tab/>
      </w:r>
      <w:r w:rsidRPr="00A62C97">
        <w:rPr>
          <w:noProof/>
        </w:rPr>
        <w:t>Overnight O2 saturation before and after alglucosidase alfa in patients with JOPD</w:t>
      </w:r>
      <w:r w:rsidRPr="00A62C97">
        <w:rPr>
          <w:webHidden/>
        </w:rPr>
        <w:tab/>
      </w:r>
      <w:r w:rsidR="00A72B26" w:rsidRPr="00A62C97">
        <w:rPr>
          <w:noProof/>
          <w:webHidden/>
        </w:rPr>
        <w:t>141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79  </w:t>
      </w:r>
      <w:r w:rsidRPr="00A62C97">
        <w:tab/>
      </w:r>
      <w:r w:rsidRPr="00A62C97">
        <w:rPr>
          <w:noProof/>
        </w:rPr>
        <w:t>Time until hypercapnia before and after alglucosidase alfa in patients with JOPD</w:t>
      </w:r>
      <w:r w:rsidRPr="00A62C97">
        <w:rPr>
          <w:webHidden/>
        </w:rPr>
        <w:tab/>
      </w:r>
      <w:r w:rsidR="00A72B26" w:rsidRPr="00A62C97">
        <w:rPr>
          <w:noProof/>
          <w:webHidden/>
        </w:rPr>
        <w:t>141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80</w:t>
      </w:r>
      <w:r w:rsidRPr="00A62C97">
        <w:tab/>
      </w:r>
      <w:r w:rsidRPr="00A62C97">
        <w:rPr>
          <w:noProof/>
        </w:rPr>
        <w:t>Walking performance on 6MWT (metres) or 10MWT (metres) before and after alglucosidase alfa in patients with JOPD</w:t>
      </w:r>
      <w:r w:rsidRPr="00A62C97">
        <w:rPr>
          <w:webHidden/>
        </w:rPr>
        <w:tab/>
      </w:r>
      <w:r w:rsidR="00A72B26" w:rsidRPr="00A62C97">
        <w:rPr>
          <w:noProof/>
          <w:webHidden/>
        </w:rPr>
        <w:t>143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81</w:t>
      </w:r>
      <w:r w:rsidRPr="00A62C97">
        <w:tab/>
      </w:r>
      <w:r w:rsidRPr="00A62C97">
        <w:rPr>
          <w:noProof/>
        </w:rPr>
        <w:t>Global motor disability on the Modified Walton Scale before and after alglucosidase alfa in patients with JOPD</w:t>
      </w:r>
      <w:r w:rsidRPr="00A62C97">
        <w:rPr>
          <w:webHidden/>
        </w:rPr>
        <w:tab/>
      </w:r>
      <w:r w:rsidR="00A72B26" w:rsidRPr="00A62C97">
        <w:rPr>
          <w:noProof/>
          <w:webHidden/>
        </w:rPr>
        <w:t>143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82</w:t>
      </w:r>
      <w:r w:rsidRPr="00A62C97">
        <w:tab/>
      </w:r>
      <w:r w:rsidRPr="00A62C97">
        <w:rPr>
          <w:noProof/>
        </w:rPr>
        <w:t>Gross motor functioning before and after alglucosidase alfa in patients with JOPD</w:t>
      </w:r>
      <w:r w:rsidRPr="00A62C97">
        <w:rPr>
          <w:webHidden/>
        </w:rPr>
        <w:tab/>
      </w:r>
      <w:r w:rsidR="00A72B26" w:rsidRPr="00A62C97">
        <w:rPr>
          <w:noProof/>
          <w:webHidden/>
        </w:rPr>
        <w:t>144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83</w:t>
      </w:r>
      <w:r w:rsidRPr="00A62C97">
        <w:tab/>
      </w:r>
      <w:r w:rsidRPr="00A62C97">
        <w:rPr>
          <w:noProof/>
        </w:rPr>
        <w:t>Muscle strength measured using hand held dynamometry (HHD) before and after alglucosidase alfa in patients with JOPD</w:t>
      </w:r>
      <w:r w:rsidRPr="00A62C97">
        <w:rPr>
          <w:webHidden/>
        </w:rPr>
        <w:tab/>
      </w:r>
      <w:r w:rsidR="00A72B26" w:rsidRPr="00A62C97">
        <w:rPr>
          <w:noProof/>
          <w:webHidden/>
        </w:rPr>
        <w:t>145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84</w:t>
      </w:r>
      <w:r w:rsidRPr="00A62C97">
        <w:tab/>
      </w:r>
      <w:r w:rsidRPr="00A62C97">
        <w:rPr>
          <w:noProof/>
        </w:rPr>
        <w:t>Manual muscle testing before and after alglucosidase alfa in patients with JOPD</w:t>
      </w:r>
      <w:r w:rsidRPr="00A62C97">
        <w:rPr>
          <w:webHidden/>
        </w:rPr>
        <w:tab/>
      </w:r>
      <w:r w:rsidR="00A72B26" w:rsidRPr="00A62C97">
        <w:rPr>
          <w:noProof/>
          <w:webHidden/>
        </w:rPr>
        <w:t>146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85</w:t>
      </w:r>
      <w:r w:rsidRPr="00A62C97">
        <w:tab/>
      </w:r>
      <w:r w:rsidRPr="00A62C97">
        <w:rPr>
          <w:noProof/>
        </w:rPr>
        <w:t>Muscle functioning outcomes before and after alglucosidase alfa in patients with JOPD</w:t>
      </w:r>
      <w:r w:rsidRPr="00A62C97">
        <w:rPr>
          <w:webHidden/>
        </w:rPr>
        <w:tab/>
      </w:r>
      <w:r w:rsidR="00A72B26" w:rsidRPr="00A62C97">
        <w:rPr>
          <w:noProof/>
          <w:webHidden/>
        </w:rPr>
        <w:t>146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86</w:t>
      </w:r>
      <w:r w:rsidRPr="00A62C97">
        <w:tab/>
      </w:r>
      <w:r w:rsidRPr="00A62C97">
        <w:rPr>
          <w:noProof/>
        </w:rPr>
        <w:t>Motor function measure scale before and after alglucosidase alfa in patients with JOPD</w:t>
      </w:r>
      <w:r w:rsidRPr="00A62C97">
        <w:rPr>
          <w:webHidden/>
        </w:rPr>
        <w:tab/>
      </w:r>
      <w:r w:rsidR="00A72B26" w:rsidRPr="00A62C97">
        <w:rPr>
          <w:noProof/>
          <w:webHidden/>
        </w:rPr>
        <w:t>147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87</w:t>
      </w:r>
      <w:r w:rsidRPr="00A62C97">
        <w:tab/>
      </w:r>
      <w:r w:rsidRPr="00A62C97">
        <w:rPr>
          <w:noProof/>
        </w:rPr>
        <w:t>Grip power before and after alglucosidase alfa in patients with JOPD</w:t>
      </w:r>
      <w:r w:rsidRPr="00A62C97">
        <w:rPr>
          <w:webHidden/>
        </w:rPr>
        <w:tab/>
      </w:r>
      <w:r w:rsidR="00A72B26" w:rsidRPr="00A62C97">
        <w:rPr>
          <w:noProof/>
          <w:webHidden/>
        </w:rPr>
        <w:t>147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88 </w:t>
      </w:r>
      <w:r w:rsidRPr="00A62C97">
        <w:tab/>
      </w:r>
      <w:r w:rsidRPr="00A62C97">
        <w:rPr>
          <w:noProof/>
        </w:rPr>
        <w:t>Self- reported fatigue in JOPD patients on FSS before and after alglucosidase alfa</w:t>
      </w:r>
      <w:r w:rsidRPr="00A62C97">
        <w:rPr>
          <w:webHidden/>
        </w:rPr>
        <w:tab/>
      </w:r>
      <w:r w:rsidR="00A72B26" w:rsidRPr="00A62C97">
        <w:rPr>
          <w:noProof/>
          <w:webHidden/>
        </w:rPr>
        <w:t>148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89 </w:t>
      </w:r>
      <w:r w:rsidRPr="00A62C97">
        <w:tab/>
      </w:r>
      <w:r w:rsidRPr="00A62C97">
        <w:rPr>
          <w:noProof/>
        </w:rPr>
        <w:t>Changes to gastrointestinal symptoms after alglucosidase alfa in JOPD patients</w:t>
      </w:r>
      <w:r w:rsidRPr="00A62C97">
        <w:rPr>
          <w:webHidden/>
        </w:rPr>
        <w:tab/>
      </w:r>
      <w:r w:rsidR="00A72B26" w:rsidRPr="00A62C97">
        <w:rPr>
          <w:noProof/>
          <w:webHidden/>
        </w:rPr>
        <w:t>149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90 </w:t>
      </w:r>
      <w:r w:rsidRPr="00A62C97">
        <w:tab/>
      </w:r>
      <w:r w:rsidRPr="00A62C97">
        <w:rPr>
          <w:noProof/>
        </w:rPr>
        <w:t>Weight changes in JOPD patients after alglucosidase alfa</w:t>
      </w:r>
      <w:r w:rsidRPr="00A62C97">
        <w:rPr>
          <w:webHidden/>
        </w:rPr>
        <w:tab/>
      </w:r>
      <w:r w:rsidR="00A72B26" w:rsidRPr="00A62C97">
        <w:rPr>
          <w:noProof/>
          <w:webHidden/>
        </w:rPr>
        <w:t>149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91 </w:t>
      </w:r>
      <w:r w:rsidRPr="00A62C97">
        <w:tab/>
      </w:r>
      <w:r w:rsidRPr="00A62C97">
        <w:rPr>
          <w:noProof/>
        </w:rPr>
        <w:t>Swallowing function before and after alglucosidase alfa in a patient with JOPD</w:t>
      </w:r>
      <w:r w:rsidRPr="00A62C97">
        <w:rPr>
          <w:webHidden/>
        </w:rPr>
        <w:tab/>
      </w:r>
      <w:r w:rsidR="00A72B26" w:rsidRPr="00A62C97">
        <w:rPr>
          <w:noProof/>
          <w:webHidden/>
        </w:rPr>
        <w:t>150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92</w:t>
      </w:r>
      <w:r w:rsidRPr="00A62C97">
        <w:tab/>
      </w:r>
      <w:r w:rsidRPr="00A62C97">
        <w:rPr>
          <w:noProof/>
        </w:rPr>
        <w:t>Walking performance on 6MWT (metres) or 10MWT (metres) before and after alglucosidase alfa in patients with JOPD and adult-onset Pompe disease</w:t>
      </w:r>
      <w:r w:rsidRPr="00A62C97">
        <w:rPr>
          <w:webHidden/>
        </w:rPr>
        <w:tab/>
      </w:r>
      <w:r w:rsidR="00A72B26" w:rsidRPr="00A62C97">
        <w:rPr>
          <w:noProof/>
          <w:webHidden/>
        </w:rPr>
        <w:t>150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93</w:t>
      </w:r>
      <w:r w:rsidRPr="00A62C97">
        <w:tab/>
      </w:r>
      <w:r w:rsidRPr="00A62C97">
        <w:rPr>
          <w:noProof/>
        </w:rPr>
        <w:t>Studies included assessing alglucosidase alfa for juvenile onset Pompe disease</w:t>
      </w:r>
      <w:r w:rsidRPr="00A62C97">
        <w:rPr>
          <w:webHidden/>
        </w:rPr>
        <w:tab/>
      </w:r>
      <w:r w:rsidR="00A72B26" w:rsidRPr="00A62C97">
        <w:rPr>
          <w:noProof/>
          <w:webHidden/>
        </w:rPr>
        <w:t>153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94</w:t>
      </w:r>
      <w:r w:rsidRPr="00A62C97">
        <w:tab/>
      </w:r>
      <w:r w:rsidRPr="00A62C97">
        <w:rPr>
          <w:noProof/>
        </w:rPr>
        <w:t>Criteria for selecting studies to assess the safety and effectiveness of laronidase, idursulfase, and galsulfase</w:t>
      </w:r>
      <w:r w:rsidRPr="00A62C97">
        <w:rPr>
          <w:webHidden/>
        </w:rPr>
        <w:tab/>
      </w:r>
      <w:r w:rsidR="00A72B26" w:rsidRPr="00A62C97">
        <w:rPr>
          <w:noProof/>
          <w:webHidden/>
        </w:rPr>
        <w:t>158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95</w:t>
      </w:r>
      <w:r w:rsidRPr="00A62C97">
        <w:tab/>
      </w:r>
      <w:r w:rsidRPr="00A62C97">
        <w:rPr>
          <w:noProof/>
        </w:rPr>
        <w:t>Lung function and exercise tolerance after laronidase and placebo</w:t>
      </w:r>
      <w:r w:rsidRPr="00A62C97">
        <w:rPr>
          <w:webHidden/>
        </w:rPr>
        <w:tab/>
      </w:r>
      <w:r w:rsidR="00A72B26" w:rsidRPr="00A62C97">
        <w:rPr>
          <w:noProof/>
          <w:webHidden/>
        </w:rPr>
        <w:t>161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96</w:t>
      </w:r>
      <w:r w:rsidRPr="00A62C97">
        <w:tab/>
      </w:r>
      <w:r w:rsidRPr="00A62C97">
        <w:rPr>
          <w:noProof/>
        </w:rPr>
        <w:t>Sleep evaluation, joint movement and level of disability after receiving laronidase or placebo</w:t>
      </w:r>
      <w:r w:rsidRPr="00A62C97">
        <w:rPr>
          <w:webHidden/>
        </w:rPr>
        <w:tab/>
      </w:r>
      <w:r w:rsidR="00A72B26" w:rsidRPr="00A62C97">
        <w:rPr>
          <w:noProof/>
          <w:webHidden/>
        </w:rPr>
        <w:t>162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97</w:t>
      </w:r>
      <w:r w:rsidRPr="00A62C97">
        <w:tab/>
      </w:r>
      <w:r w:rsidRPr="00A62C97">
        <w:rPr>
          <w:noProof/>
        </w:rPr>
        <w:t>Infusion-related reactions to laronidase or placebo</w:t>
      </w:r>
      <w:r w:rsidRPr="00A62C97">
        <w:rPr>
          <w:webHidden/>
        </w:rPr>
        <w:tab/>
      </w:r>
      <w:r w:rsidR="00A72B26" w:rsidRPr="00A62C97">
        <w:rPr>
          <w:noProof/>
          <w:webHidden/>
        </w:rPr>
        <w:t>163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98</w:t>
      </w:r>
      <w:r w:rsidRPr="00A62C97">
        <w:tab/>
      </w:r>
      <w:r w:rsidRPr="00A62C97">
        <w:rPr>
          <w:noProof/>
        </w:rPr>
        <w:t>Development of antibodies and compliance with laronidase or placebo treatment</w:t>
      </w:r>
      <w:r w:rsidRPr="00A62C97">
        <w:rPr>
          <w:webHidden/>
        </w:rPr>
        <w:tab/>
      </w:r>
      <w:r w:rsidR="00A72B26" w:rsidRPr="00A62C97">
        <w:rPr>
          <w:noProof/>
          <w:webHidden/>
        </w:rPr>
        <w:t>163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99 </w:t>
      </w:r>
      <w:r w:rsidRPr="00A62C97">
        <w:tab/>
      </w:r>
      <w:r w:rsidRPr="00A62C97">
        <w:rPr>
          <w:noProof/>
        </w:rPr>
        <w:t>Change in liver volume in MPS I patients treated with laronidase (Clarke et al. 2009)</w:t>
      </w:r>
      <w:r w:rsidRPr="00A62C97">
        <w:rPr>
          <w:webHidden/>
        </w:rPr>
        <w:tab/>
      </w:r>
      <w:r w:rsidR="00A72B26" w:rsidRPr="00A62C97">
        <w:rPr>
          <w:noProof/>
          <w:webHidden/>
        </w:rPr>
        <w:t>164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100 </w:t>
      </w:r>
      <w:r w:rsidRPr="00A62C97">
        <w:tab/>
      </w:r>
      <w:r w:rsidRPr="00A62C97">
        <w:rPr>
          <w:noProof/>
        </w:rPr>
        <w:t>Changes in clinical endpoints for MPS I patients treated with laronidase (Clarke et al. 2009)</w:t>
      </w:r>
      <w:r w:rsidRPr="00A62C97">
        <w:rPr>
          <w:webHidden/>
        </w:rPr>
        <w:tab/>
      </w:r>
      <w:r w:rsidR="00A72B26" w:rsidRPr="00A62C97">
        <w:rPr>
          <w:noProof/>
          <w:webHidden/>
        </w:rPr>
        <w:t>165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101 </w:t>
      </w:r>
      <w:r w:rsidRPr="00A62C97">
        <w:tab/>
      </w:r>
      <w:r w:rsidRPr="00A62C97">
        <w:rPr>
          <w:noProof/>
        </w:rPr>
        <w:t>Summary of changes from baseline to week 53 for MPS II patients randomised to idursulfase weekly, idursulfase every other week or placebo (Muenzer et al. 2006)</w:t>
      </w:r>
      <w:r w:rsidRPr="00A62C97">
        <w:rPr>
          <w:webHidden/>
        </w:rPr>
        <w:tab/>
      </w:r>
      <w:r w:rsidR="00A72B26" w:rsidRPr="00A62C97">
        <w:rPr>
          <w:noProof/>
          <w:webHidden/>
        </w:rPr>
        <w:t>168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102 </w:t>
      </w:r>
      <w:r w:rsidRPr="00A62C97">
        <w:tab/>
      </w:r>
      <w:r w:rsidRPr="00A62C97">
        <w:rPr>
          <w:noProof/>
        </w:rPr>
        <w:t>Treatment difference in primary efficacy outcome for MPS II patients randomised to idursulfase weekly, idursulfase fortnightly, or placebo (Muenzer et al. 2006)</w:t>
      </w:r>
      <w:r w:rsidRPr="00A62C97">
        <w:rPr>
          <w:webHidden/>
        </w:rPr>
        <w:tab/>
      </w:r>
      <w:r w:rsidR="00A72B26" w:rsidRPr="00A62C97">
        <w:rPr>
          <w:noProof/>
          <w:webHidden/>
        </w:rPr>
        <w:t>169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lastRenderedPageBreak/>
        <w:t xml:space="preserve">Table 103 </w:t>
      </w:r>
      <w:r w:rsidRPr="00A62C97">
        <w:tab/>
      </w:r>
      <w:r w:rsidRPr="00A62C97">
        <w:rPr>
          <w:noProof/>
        </w:rPr>
        <w:t>Change in liver and spleen volumes in MPS II patients randomised to idursulfase weekly, idursulfase every other week or placebo (Muenzer et al. 2006)</w:t>
      </w:r>
      <w:r w:rsidRPr="00A62C97">
        <w:rPr>
          <w:webHidden/>
        </w:rPr>
        <w:tab/>
      </w:r>
      <w:r w:rsidR="00A72B26" w:rsidRPr="00A62C97">
        <w:rPr>
          <w:noProof/>
          <w:webHidden/>
        </w:rPr>
        <w:t>169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104 </w:t>
      </w:r>
      <w:r w:rsidRPr="00A62C97">
        <w:tab/>
      </w:r>
      <w:r w:rsidRPr="00A62C97">
        <w:rPr>
          <w:noProof/>
        </w:rPr>
        <w:t>Number and percentage of MPS II patients with adverse events occurring at least 9% more frequently in idursulfase-treated patients than in placebo-treated patients (Muenzer et al. 2006)</w:t>
      </w:r>
      <w:r w:rsidRPr="00A62C97">
        <w:rPr>
          <w:webHidden/>
        </w:rPr>
        <w:tab/>
      </w:r>
      <w:r w:rsidR="00A72B26" w:rsidRPr="00A62C97">
        <w:rPr>
          <w:noProof/>
          <w:webHidden/>
        </w:rPr>
        <w:t>170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105 </w:t>
      </w:r>
      <w:r w:rsidRPr="00A62C97">
        <w:tab/>
      </w:r>
      <w:r w:rsidRPr="00A62C97">
        <w:rPr>
          <w:noProof/>
        </w:rPr>
        <w:t>Long-term outcomes for MPS II patients receiving idursulfase in a 2 year open label extension study (Muenzer et al. 2011)</w:t>
      </w:r>
      <w:r w:rsidRPr="00A62C97">
        <w:rPr>
          <w:webHidden/>
        </w:rPr>
        <w:tab/>
      </w:r>
      <w:r w:rsidR="00A72B26" w:rsidRPr="00A62C97">
        <w:rPr>
          <w:noProof/>
          <w:webHidden/>
        </w:rPr>
        <w:t>171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106 </w:t>
      </w:r>
      <w:r w:rsidRPr="00A62C97">
        <w:tab/>
      </w:r>
      <w:r w:rsidRPr="00A62C97">
        <w:rPr>
          <w:noProof/>
        </w:rPr>
        <w:t>Distance walked in a 12 minute walk test for MPS VI patients randomised to either galsulfase or placebo (Harmatz et al. 2006)</w:t>
      </w:r>
      <w:r w:rsidRPr="00A62C97">
        <w:rPr>
          <w:webHidden/>
        </w:rPr>
        <w:tab/>
      </w:r>
      <w:r w:rsidR="00A72B26" w:rsidRPr="00A62C97">
        <w:rPr>
          <w:noProof/>
          <w:webHidden/>
        </w:rPr>
        <w:t>173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107 </w:t>
      </w:r>
      <w:r w:rsidRPr="00A62C97">
        <w:tab/>
      </w:r>
      <w:r w:rsidRPr="00A62C97">
        <w:rPr>
          <w:noProof/>
        </w:rPr>
        <w:t>Distance walked in a 12 minute walk test for MPS VI patients receiving galsulfase in extension study (Harmatz et al. 2006)</w:t>
      </w:r>
      <w:r w:rsidRPr="00A62C97">
        <w:rPr>
          <w:webHidden/>
        </w:rPr>
        <w:tab/>
      </w:r>
      <w:r w:rsidR="00A72B26" w:rsidRPr="00A62C97">
        <w:rPr>
          <w:noProof/>
          <w:webHidden/>
        </w:rPr>
        <w:t>173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108 </w:t>
      </w:r>
      <w:r w:rsidRPr="00A62C97">
        <w:tab/>
      </w:r>
      <w:r w:rsidRPr="00A62C97">
        <w:rPr>
          <w:noProof/>
        </w:rPr>
        <w:t>Comparison of 3 minute stair climb for MPS VI patients randomised to either galsulfase or placebo (Harmatz et al. 2006)</w:t>
      </w:r>
      <w:r w:rsidRPr="00A62C97">
        <w:rPr>
          <w:webHidden/>
        </w:rPr>
        <w:tab/>
      </w:r>
      <w:r w:rsidR="00A72B26" w:rsidRPr="00A62C97">
        <w:rPr>
          <w:noProof/>
          <w:webHidden/>
        </w:rPr>
        <w:t>174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109 </w:t>
      </w:r>
      <w:r w:rsidRPr="00A62C97">
        <w:tab/>
      </w:r>
      <w:r w:rsidRPr="00A62C97">
        <w:rPr>
          <w:noProof/>
        </w:rPr>
        <w:t>Comparison of 3 minute stair climb for MPS VI patients receiving galsulfase in extension study (El Dib, R P. &amp; Pastores 2009)</w:t>
      </w:r>
      <w:r w:rsidRPr="00A62C97">
        <w:rPr>
          <w:webHidden/>
        </w:rPr>
        <w:tab/>
      </w:r>
      <w:r w:rsidR="00A72B26" w:rsidRPr="00A62C97">
        <w:rPr>
          <w:noProof/>
          <w:webHidden/>
        </w:rPr>
        <w:t>174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110</w:t>
      </w:r>
      <w:r w:rsidRPr="00A62C97">
        <w:tab/>
      </w:r>
      <w:r w:rsidRPr="00A62C97">
        <w:rPr>
          <w:noProof/>
        </w:rPr>
        <w:t>Forced vital capacity and maximum voluntary ventilation in patients randomised to either galsulfase or placebo (Harmatz et al. 2006)</w:t>
      </w:r>
      <w:r w:rsidRPr="00A62C97">
        <w:rPr>
          <w:webHidden/>
        </w:rPr>
        <w:tab/>
      </w:r>
      <w:r w:rsidR="00A72B26" w:rsidRPr="00A62C97">
        <w:rPr>
          <w:noProof/>
          <w:webHidden/>
        </w:rPr>
        <w:t>175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111 </w:t>
      </w:r>
      <w:r w:rsidRPr="00A62C97">
        <w:tab/>
      </w:r>
      <w:r w:rsidRPr="00A62C97">
        <w:rPr>
          <w:noProof/>
        </w:rPr>
        <w:t>Number of patients experiencing adverse events during weeks 1 to 24 in MPS VI patients randomised to either galsulfase or placebo  (Harmatz et al. 2006)</w:t>
      </w:r>
      <w:r w:rsidRPr="00A62C97">
        <w:rPr>
          <w:webHidden/>
        </w:rPr>
        <w:tab/>
      </w:r>
      <w:r w:rsidR="00A72B26" w:rsidRPr="00A62C97">
        <w:rPr>
          <w:noProof/>
          <w:webHidden/>
        </w:rPr>
        <w:t>175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112</w:t>
      </w:r>
      <w:r w:rsidRPr="00A62C97">
        <w:tab/>
      </w:r>
      <w:r w:rsidRPr="00A62C97">
        <w:rPr>
          <w:noProof/>
        </w:rPr>
        <w:t>Adverse drug reactions to laronidase (Genzyme 2007)</w:t>
      </w:r>
      <w:r w:rsidRPr="00A62C97">
        <w:rPr>
          <w:webHidden/>
        </w:rPr>
        <w:tab/>
      </w:r>
      <w:r w:rsidR="00A72B26" w:rsidRPr="00A62C97">
        <w:rPr>
          <w:noProof/>
          <w:webHidden/>
        </w:rPr>
        <w:t>176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113</w:t>
      </w:r>
      <w:r w:rsidRPr="00A62C97">
        <w:tab/>
      </w:r>
      <w:r w:rsidRPr="00A62C97">
        <w:rPr>
          <w:noProof/>
        </w:rPr>
        <w:t>Adverse reactions to idursulfase during reporting period (Shire Pharmaceuticals 2011)</w:t>
      </w:r>
      <w:r w:rsidRPr="00A62C97">
        <w:rPr>
          <w:webHidden/>
        </w:rPr>
        <w:tab/>
      </w:r>
      <w:r w:rsidR="00A72B26" w:rsidRPr="00A62C97">
        <w:rPr>
          <w:noProof/>
          <w:webHidden/>
        </w:rPr>
        <w:t>179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114</w:t>
      </w:r>
      <w:r w:rsidRPr="00A62C97">
        <w:tab/>
      </w:r>
      <w:r w:rsidRPr="00A62C97">
        <w:rPr>
          <w:noProof/>
        </w:rPr>
        <w:t>Frequency of adverse drug reactions to idursulfase (Shire Pharmaceuticals 2011)</w:t>
      </w:r>
      <w:r w:rsidRPr="00A62C97">
        <w:rPr>
          <w:webHidden/>
        </w:rPr>
        <w:tab/>
      </w:r>
      <w:r w:rsidR="00A72B26" w:rsidRPr="00A62C97">
        <w:rPr>
          <w:noProof/>
          <w:webHidden/>
        </w:rPr>
        <w:t>180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115</w:t>
      </w:r>
      <w:r w:rsidRPr="00A62C97">
        <w:tab/>
      </w:r>
      <w:r w:rsidRPr="00A62C97">
        <w:rPr>
          <w:noProof/>
        </w:rPr>
        <w:t>Summary of important identified and potential risks and missing information for galsulfase (BioMarin Pharmaceuticals Inc. 2014)</w:t>
      </w:r>
      <w:r w:rsidRPr="00A62C97">
        <w:rPr>
          <w:webHidden/>
        </w:rPr>
        <w:tab/>
      </w:r>
      <w:r w:rsidR="00A72B26" w:rsidRPr="00A62C97">
        <w:rPr>
          <w:noProof/>
          <w:webHidden/>
        </w:rPr>
        <w:t>181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116</w:t>
      </w:r>
      <w:r w:rsidRPr="00A62C97">
        <w:tab/>
      </w:r>
      <w:r w:rsidRPr="00A62C97">
        <w:rPr>
          <w:noProof/>
        </w:rPr>
        <w:t>Frequency of adverse drug reactions with galsulfase (BioMarin Pharmaceuticals Inc. 2014)</w:t>
      </w:r>
      <w:r w:rsidRPr="00A62C97">
        <w:rPr>
          <w:webHidden/>
        </w:rPr>
        <w:tab/>
      </w:r>
      <w:r w:rsidR="00A72B26" w:rsidRPr="00A62C97">
        <w:rPr>
          <w:noProof/>
          <w:webHidden/>
        </w:rPr>
        <w:t>182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117</w:t>
      </w:r>
      <w:r w:rsidRPr="00A62C97">
        <w:tab/>
      </w:r>
      <w:r w:rsidRPr="00A62C97">
        <w:rPr>
          <w:noProof/>
        </w:rPr>
        <w:t>Characteristics of patients with MPS and treatment through LSDP</w:t>
      </w:r>
      <w:r w:rsidRPr="00A62C97">
        <w:rPr>
          <w:webHidden/>
        </w:rPr>
        <w:tab/>
      </w:r>
      <w:r w:rsidR="00A72B26" w:rsidRPr="00A62C97">
        <w:rPr>
          <w:noProof/>
          <w:webHidden/>
        </w:rPr>
        <w:t>184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118 </w:t>
      </w:r>
      <w:r w:rsidRPr="00A62C97">
        <w:tab/>
      </w:r>
      <w:r w:rsidRPr="00A62C97">
        <w:rPr>
          <w:noProof/>
        </w:rPr>
        <w:t>Studies included assessing drugs to treat mucopolysaccharidoses (MPS) I, II and VI</w:t>
      </w:r>
      <w:r w:rsidRPr="00A62C97">
        <w:rPr>
          <w:webHidden/>
        </w:rPr>
        <w:tab/>
      </w:r>
      <w:r w:rsidR="00A72B26" w:rsidRPr="00A62C97">
        <w:rPr>
          <w:noProof/>
          <w:webHidden/>
        </w:rPr>
        <w:t>185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119</w:t>
      </w:r>
      <w:r w:rsidRPr="00A62C97">
        <w:tab/>
      </w:r>
      <w:r w:rsidRPr="00A62C97">
        <w:rPr>
          <w:noProof/>
        </w:rPr>
        <w:t>Criteria for selecting studies to assess the safety and effectiveness of eculizumab</w:t>
      </w:r>
      <w:r w:rsidRPr="00A62C97">
        <w:rPr>
          <w:webHidden/>
        </w:rPr>
        <w:tab/>
      </w:r>
      <w:r w:rsidR="00A72B26" w:rsidRPr="00A62C97">
        <w:rPr>
          <w:noProof/>
          <w:webHidden/>
        </w:rPr>
        <w:t>189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120</w:t>
      </w:r>
      <w:r w:rsidRPr="00A62C97">
        <w:tab/>
      </w:r>
      <w:r w:rsidRPr="00A62C97">
        <w:rPr>
          <w:noProof/>
        </w:rPr>
        <w:t>The effect of eculizumab on survival in PNH patients</w:t>
      </w:r>
      <w:r w:rsidRPr="00A62C97">
        <w:rPr>
          <w:webHidden/>
        </w:rPr>
        <w:tab/>
      </w:r>
      <w:r w:rsidR="00A72B26" w:rsidRPr="00A62C97">
        <w:rPr>
          <w:noProof/>
          <w:webHidden/>
        </w:rPr>
        <w:t>195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121</w:t>
      </w:r>
      <w:r w:rsidRPr="00A62C97">
        <w:tab/>
      </w:r>
      <w:r w:rsidRPr="00A62C97">
        <w:rPr>
          <w:noProof/>
        </w:rPr>
        <w:t>Effectiveness of eculizumab on transfusion requirements in the TRIUMPH trial</w:t>
      </w:r>
      <w:r w:rsidRPr="00A62C97">
        <w:rPr>
          <w:webHidden/>
        </w:rPr>
        <w:tab/>
      </w:r>
      <w:r w:rsidR="00A72B26" w:rsidRPr="00A62C97">
        <w:rPr>
          <w:noProof/>
          <w:webHidden/>
        </w:rPr>
        <w:t>196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122</w:t>
      </w:r>
      <w:r w:rsidRPr="00A62C97">
        <w:tab/>
      </w:r>
      <w:r w:rsidRPr="00A62C97">
        <w:rPr>
          <w:noProof/>
        </w:rPr>
        <w:t>Mean number of packed red blood cells administered to patients receiving transfusions over the course of the study</w:t>
      </w:r>
      <w:r w:rsidRPr="00A62C97">
        <w:rPr>
          <w:webHidden/>
        </w:rPr>
        <w:tab/>
      </w:r>
      <w:r w:rsidR="00A72B26" w:rsidRPr="00A62C97">
        <w:rPr>
          <w:noProof/>
          <w:webHidden/>
        </w:rPr>
        <w:t>197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123</w:t>
      </w:r>
      <w:r w:rsidRPr="00A62C97">
        <w:tab/>
      </w:r>
      <w:r w:rsidRPr="00A62C97">
        <w:rPr>
          <w:noProof/>
        </w:rPr>
        <w:t>The effect of eculizumab on quality of life in the TRIUMPH trial</w:t>
      </w:r>
      <w:r w:rsidRPr="00A62C97">
        <w:rPr>
          <w:webHidden/>
        </w:rPr>
        <w:tab/>
      </w:r>
      <w:r w:rsidR="00A72B26" w:rsidRPr="00A62C97">
        <w:rPr>
          <w:noProof/>
          <w:webHidden/>
        </w:rPr>
        <w:t>199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124</w:t>
      </w:r>
      <w:r w:rsidRPr="00A62C97">
        <w:tab/>
      </w:r>
      <w:r w:rsidRPr="00A62C97">
        <w:rPr>
          <w:noProof/>
        </w:rPr>
        <w:t>Thromboembolism events in patients with and without eculizumaba</w:t>
      </w:r>
      <w:r w:rsidRPr="00A62C97">
        <w:rPr>
          <w:webHidden/>
        </w:rPr>
        <w:tab/>
      </w:r>
      <w:r w:rsidR="00A72B26" w:rsidRPr="00A62C97">
        <w:rPr>
          <w:noProof/>
          <w:webHidden/>
        </w:rPr>
        <w:t>201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125</w:t>
      </w:r>
      <w:r w:rsidRPr="00A62C97">
        <w:tab/>
      </w:r>
      <w:r w:rsidRPr="00A62C97">
        <w:rPr>
          <w:noProof/>
        </w:rPr>
        <w:t>Effect of 6-month eculizumab treatment on renal function (change in stage of CKD with treatment)*</w:t>
      </w:r>
      <w:r w:rsidRPr="00A62C97">
        <w:rPr>
          <w:webHidden/>
        </w:rPr>
        <w:tab/>
      </w:r>
      <w:r w:rsidR="00A72B26" w:rsidRPr="00A62C97">
        <w:rPr>
          <w:noProof/>
          <w:webHidden/>
        </w:rPr>
        <w:t>202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126</w:t>
      </w:r>
      <w:r w:rsidRPr="00A62C97">
        <w:tab/>
      </w:r>
      <w:r w:rsidRPr="00A62C97">
        <w:rPr>
          <w:noProof/>
        </w:rPr>
        <w:t>Effect of long-term eculizumab treatment on renal function</w:t>
      </w:r>
      <w:r w:rsidRPr="00A62C97">
        <w:rPr>
          <w:webHidden/>
        </w:rPr>
        <w:tab/>
      </w:r>
      <w:r w:rsidR="00A72B26" w:rsidRPr="00A62C97">
        <w:rPr>
          <w:noProof/>
          <w:webHidden/>
        </w:rPr>
        <w:t>203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127</w:t>
      </w:r>
      <w:r w:rsidRPr="00A62C97">
        <w:tab/>
      </w:r>
      <w:r w:rsidRPr="00A62C97">
        <w:rPr>
          <w:noProof/>
        </w:rPr>
        <w:t>Adverse events in the TRIUMPH trial</w:t>
      </w:r>
      <w:r w:rsidRPr="00A62C97">
        <w:rPr>
          <w:webHidden/>
        </w:rPr>
        <w:tab/>
      </w:r>
      <w:r w:rsidR="00A72B26" w:rsidRPr="00A62C97">
        <w:rPr>
          <w:noProof/>
          <w:webHidden/>
        </w:rPr>
        <w:t>205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128</w:t>
      </w:r>
      <w:r w:rsidRPr="00A62C97">
        <w:tab/>
      </w:r>
      <w:r w:rsidRPr="00A62C97">
        <w:rPr>
          <w:noProof/>
        </w:rPr>
        <w:t>Baseline characteristics across the data sources for patients receiving eculizumab</w:t>
      </w:r>
      <w:r w:rsidRPr="00A62C97">
        <w:rPr>
          <w:webHidden/>
        </w:rPr>
        <w:tab/>
      </w:r>
      <w:r w:rsidR="00A72B26" w:rsidRPr="00A62C97">
        <w:rPr>
          <w:noProof/>
          <w:webHidden/>
        </w:rPr>
        <w:t>210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129</w:t>
      </w:r>
      <w:r w:rsidRPr="00A62C97">
        <w:tab/>
      </w:r>
      <w:r w:rsidRPr="00A62C97">
        <w:rPr>
          <w:noProof/>
        </w:rPr>
        <w:t>Dosing across the data sources for patients receiving eculizumab</w:t>
      </w:r>
      <w:r w:rsidRPr="00A62C97">
        <w:rPr>
          <w:webHidden/>
        </w:rPr>
        <w:tab/>
      </w:r>
      <w:r w:rsidR="00A72B26" w:rsidRPr="00A62C97">
        <w:rPr>
          <w:noProof/>
          <w:webHidden/>
        </w:rPr>
        <w:t>211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130</w:t>
      </w:r>
      <w:r w:rsidRPr="00A62C97">
        <w:tab/>
      </w:r>
      <w:r w:rsidRPr="00A62C97">
        <w:rPr>
          <w:noProof/>
        </w:rPr>
        <w:t>Laboratory outcomes: LDH and Haemoglobin</w:t>
      </w:r>
      <w:r w:rsidRPr="00A62C97">
        <w:rPr>
          <w:webHidden/>
        </w:rPr>
        <w:tab/>
      </w:r>
      <w:r w:rsidR="00A72B26" w:rsidRPr="00A62C97">
        <w:rPr>
          <w:noProof/>
          <w:webHidden/>
        </w:rPr>
        <w:t>213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131</w:t>
      </w:r>
      <w:r w:rsidRPr="00A62C97">
        <w:tab/>
      </w:r>
      <w:r w:rsidRPr="00A62C97">
        <w:rPr>
          <w:noProof/>
        </w:rPr>
        <w:t>Fatigue and hospitalisations</w:t>
      </w:r>
      <w:r w:rsidRPr="00A62C97">
        <w:rPr>
          <w:webHidden/>
        </w:rPr>
        <w:tab/>
      </w:r>
      <w:r w:rsidR="00A72B26" w:rsidRPr="00A62C97">
        <w:rPr>
          <w:noProof/>
          <w:webHidden/>
        </w:rPr>
        <w:t>214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132 </w:t>
      </w:r>
      <w:r w:rsidRPr="00A62C97">
        <w:tab/>
      </w:r>
      <w:r w:rsidRPr="00A62C97">
        <w:rPr>
          <w:noProof/>
        </w:rPr>
        <w:t>Studies included assessing drugs to treat paroxysmal nocturnal haemoglobinuria (PNH)</w:t>
      </w:r>
      <w:r w:rsidRPr="00A62C97">
        <w:rPr>
          <w:webHidden/>
        </w:rPr>
        <w:tab/>
      </w:r>
      <w:r w:rsidR="00A72B26" w:rsidRPr="00A62C97">
        <w:rPr>
          <w:noProof/>
          <w:webHidden/>
        </w:rPr>
        <w:t>214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133</w:t>
      </w:r>
      <w:r w:rsidRPr="00A62C97">
        <w:tab/>
      </w:r>
      <w:r w:rsidRPr="00A62C97">
        <w:rPr>
          <w:noProof/>
        </w:rPr>
        <w:t>Incidence of conditions that could be considered rare</w:t>
      </w:r>
      <w:r w:rsidRPr="00A62C97">
        <w:rPr>
          <w:webHidden/>
        </w:rPr>
        <w:tab/>
      </w:r>
      <w:r w:rsidR="00A72B26" w:rsidRPr="00A62C97">
        <w:rPr>
          <w:noProof/>
          <w:webHidden/>
        </w:rPr>
        <w:t>216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134</w:t>
      </w:r>
      <w:r w:rsidRPr="00A62C97">
        <w:tab/>
      </w:r>
      <w:r w:rsidRPr="00A62C97">
        <w:rPr>
          <w:noProof/>
        </w:rPr>
        <w:t>Search terms for horizon scanning</w:t>
      </w:r>
      <w:r w:rsidRPr="00A62C97">
        <w:rPr>
          <w:webHidden/>
        </w:rPr>
        <w:tab/>
      </w:r>
      <w:r w:rsidR="00A72B26" w:rsidRPr="00A62C97">
        <w:rPr>
          <w:noProof/>
          <w:webHidden/>
        </w:rPr>
        <w:t>217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135</w:t>
      </w:r>
      <w:r w:rsidRPr="00A62C97">
        <w:tab/>
      </w:r>
      <w:r w:rsidRPr="00A62C97">
        <w:rPr>
          <w:noProof/>
        </w:rPr>
        <w:t>Direct therapeutic approaches to treat rare genetic diseases</w:t>
      </w:r>
      <w:r w:rsidRPr="00A62C97">
        <w:rPr>
          <w:webHidden/>
        </w:rPr>
        <w:tab/>
      </w:r>
      <w:r w:rsidR="00A72B26" w:rsidRPr="00A62C97">
        <w:rPr>
          <w:noProof/>
          <w:webHidden/>
        </w:rPr>
        <w:t>222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136</w:t>
      </w:r>
      <w:r w:rsidRPr="00A62C97">
        <w:tab/>
      </w:r>
      <w:r w:rsidRPr="00A62C97">
        <w:rPr>
          <w:noProof/>
        </w:rPr>
        <w:t>Search terms to identify policy approaches by international systems (Embase.com example)</w:t>
      </w:r>
      <w:r w:rsidRPr="00A62C97">
        <w:rPr>
          <w:webHidden/>
        </w:rPr>
        <w:tab/>
      </w:r>
      <w:r w:rsidR="00A72B26" w:rsidRPr="00A62C97">
        <w:rPr>
          <w:noProof/>
          <w:webHidden/>
        </w:rPr>
        <w:t>233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137</w:t>
      </w:r>
      <w:r w:rsidRPr="00A62C97">
        <w:tab/>
      </w:r>
      <w:r w:rsidRPr="00A62C97">
        <w:rPr>
          <w:noProof/>
        </w:rPr>
        <w:t>Definition of rare and/or ultra-rare diseases</w:t>
      </w:r>
      <w:r w:rsidRPr="00A62C97">
        <w:rPr>
          <w:webHidden/>
        </w:rPr>
        <w:tab/>
      </w:r>
      <w:r w:rsidR="00A72B26" w:rsidRPr="00A62C97">
        <w:rPr>
          <w:noProof/>
          <w:webHidden/>
        </w:rPr>
        <w:t>237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138</w:t>
      </w:r>
      <w:r w:rsidRPr="00A62C97">
        <w:tab/>
      </w:r>
      <w:r w:rsidRPr="00A62C97">
        <w:rPr>
          <w:noProof/>
        </w:rPr>
        <w:t>Incentives to seek orphan drug designation in Australia, the EU and USA</w:t>
      </w:r>
      <w:r w:rsidRPr="00A62C97">
        <w:rPr>
          <w:webHidden/>
        </w:rPr>
        <w:tab/>
      </w:r>
      <w:r w:rsidR="00A72B26" w:rsidRPr="00A62C97">
        <w:rPr>
          <w:noProof/>
          <w:webHidden/>
        </w:rPr>
        <w:t>238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lastRenderedPageBreak/>
        <w:t xml:space="preserve">Table 139 </w:t>
      </w:r>
      <w:r w:rsidRPr="00A62C97">
        <w:tab/>
      </w:r>
      <w:r w:rsidRPr="00A62C97">
        <w:rPr>
          <w:noProof/>
        </w:rPr>
        <w:t>Overview of Managed Entry Arrangements (MEAs) identified across five European countries, described by country and design</w:t>
      </w:r>
      <w:r w:rsidRPr="00A62C97">
        <w:rPr>
          <w:webHidden/>
        </w:rPr>
        <w:tab/>
      </w:r>
      <w:r w:rsidR="00A72B26" w:rsidRPr="00A62C97">
        <w:rPr>
          <w:noProof/>
          <w:webHidden/>
        </w:rPr>
        <w:t>243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140</w:t>
      </w:r>
      <w:r w:rsidRPr="00A62C97">
        <w:tab/>
      </w:r>
      <w:r w:rsidRPr="00A62C97">
        <w:rPr>
          <w:noProof/>
        </w:rPr>
        <w:t>Example of different domains included in published MCDA applicable to drug evaluations.</w:t>
      </w:r>
      <w:r w:rsidRPr="00A62C97">
        <w:rPr>
          <w:webHidden/>
        </w:rPr>
        <w:tab/>
      </w:r>
      <w:r w:rsidR="00A72B26" w:rsidRPr="00A62C97">
        <w:rPr>
          <w:noProof/>
          <w:webHidden/>
        </w:rPr>
        <w:t>255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141</w:t>
      </w:r>
      <w:r w:rsidRPr="00A62C97">
        <w:tab/>
      </w:r>
      <w:r w:rsidRPr="00A62C97">
        <w:rPr>
          <w:noProof/>
        </w:rPr>
        <w:t>Advantages and disadvantages of alternative value metrics for the assessment of orphan drugs for reimbursement decisions</w:t>
      </w:r>
      <w:r w:rsidRPr="00A62C97">
        <w:rPr>
          <w:webHidden/>
        </w:rPr>
        <w:tab/>
      </w:r>
      <w:r w:rsidR="00A72B26" w:rsidRPr="00A62C97">
        <w:rPr>
          <w:noProof/>
          <w:webHidden/>
        </w:rPr>
        <w:t>257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142</w:t>
      </w:r>
      <w:r w:rsidRPr="00A62C97">
        <w:tab/>
      </w:r>
      <w:r w:rsidRPr="00A62C97">
        <w:rPr>
          <w:noProof/>
        </w:rPr>
        <w:t>Summary of the value metrics discussed</w:t>
      </w:r>
      <w:r w:rsidRPr="00A62C97">
        <w:rPr>
          <w:webHidden/>
        </w:rPr>
        <w:tab/>
      </w:r>
      <w:r w:rsidR="00A72B26" w:rsidRPr="00A62C97">
        <w:rPr>
          <w:noProof/>
          <w:webHidden/>
        </w:rPr>
        <w:t>258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143</w:t>
      </w:r>
      <w:r w:rsidRPr="00A62C97">
        <w:tab/>
      </w:r>
      <w:r w:rsidRPr="00A62C97">
        <w:rPr>
          <w:noProof/>
        </w:rPr>
        <w:t>Relevant considerations of alternative value methodologies for existing LSDP drugs</w:t>
      </w:r>
      <w:r w:rsidRPr="00A62C97">
        <w:rPr>
          <w:webHidden/>
        </w:rPr>
        <w:tab/>
      </w:r>
      <w:r w:rsidR="00A72B26" w:rsidRPr="00A62C97">
        <w:rPr>
          <w:noProof/>
          <w:webHidden/>
        </w:rPr>
        <w:t>259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144</w:t>
      </w:r>
      <w:r w:rsidRPr="00A62C97">
        <w:tab/>
      </w:r>
      <w:r w:rsidRPr="00A62C97">
        <w:rPr>
          <w:noProof/>
        </w:rPr>
        <w:t>Identification of outcomes identified in the systematic review of clinical evidence, their applicability to quantitative value assessment and other available economic analyses for existing drugs on the LSDP</w:t>
      </w:r>
      <w:r w:rsidRPr="00A62C97">
        <w:rPr>
          <w:webHidden/>
        </w:rPr>
        <w:tab/>
      </w:r>
      <w:r w:rsidR="00A72B26" w:rsidRPr="00A62C97">
        <w:rPr>
          <w:noProof/>
          <w:webHidden/>
        </w:rPr>
        <w:t>262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145</w:t>
      </w:r>
      <w:r w:rsidRPr="00A62C97">
        <w:tab/>
      </w:r>
      <w:r w:rsidRPr="00A62C97">
        <w:rPr>
          <w:noProof/>
        </w:rPr>
        <w:t>Questions to consider regarding the necessity of a registry</w:t>
      </w:r>
      <w:r w:rsidRPr="00A62C97">
        <w:rPr>
          <w:webHidden/>
        </w:rPr>
        <w:tab/>
      </w:r>
      <w:r w:rsidR="00A72B26" w:rsidRPr="00A62C97">
        <w:rPr>
          <w:noProof/>
          <w:webHidden/>
        </w:rPr>
        <w:t>272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146</w:t>
      </w:r>
      <w:r w:rsidRPr="00A62C97">
        <w:tab/>
      </w:r>
      <w:r w:rsidRPr="00A62C97">
        <w:rPr>
          <w:noProof/>
        </w:rPr>
        <w:t>Questions to consider regarding the collection of eligibility data</w:t>
      </w:r>
      <w:r w:rsidRPr="00A62C97">
        <w:rPr>
          <w:webHidden/>
        </w:rPr>
        <w:tab/>
      </w:r>
      <w:r w:rsidR="00A72B26" w:rsidRPr="00A62C97">
        <w:rPr>
          <w:noProof/>
          <w:webHidden/>
        </w:rPr>
        <w:t>273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147</w:t>
      </w:r>
      <w:r w:rsidRPr="00A62C97">
        <w:tab/>
      </w:r>
      <w:r w:rsidRPr="00A62C97">
        <w:rPr>
          <w:noProof/>
        </w:rPr>
        <w:t>Questions to consider regarding the collection of cost data</w:t>
      </w:r>
      <w:r w:rsidRPr="00A62C97">
        <w:rPr>
          <w:webHidden/>
        </w:rPr>
        <w:tab/>
      </w:r>
      <w:r w:rsidR="00A72B26" w:rsidRPr="00A62C97">
        <w:rPr>
          <w:noProof/>
          <w:webHidden/>
        </w:rPr>
        <w:t>274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148</w:t>
      </w:r>
      <w:r w:rsidRPr="00A62C97">
        <w:tab/>
      </w:r>
      <w:r w:rsidRPr="00A62C97">
        <w:rPr>
          <w:noProof/>
        </w:rPr>
        <w:t>Questions to consider regarding the collection of efficacy data</w:t>
      </w:r>
      <w:r w:rsidRPr="00A62C97">
        <w:rPr>
          <w:webHidden/>
        </w:rPr>
        <w:tab/>
      </w:r>
      <w:r w:rsidR="00A72B26" w:rsidRPr="00A62C97">
        <w:rPr>
          <w:noProof/>
          <w:webHidden/>
        </w:rPr>
        <w:t>276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149</w:t>
      </w:r>
      <w:r w:rsidRPr="00A62C97">
        <w:tab/>
      </w:r>
      <w:r w:rsidRPr="00A62C97">
        <w:rPr>
          <w:noProof/>
        </w:rPr>
        <w:t>Commonwealth and State privacy legislation</w:t>
      </w:r>
      <w:r w:rsidRPr="00A62C97">
        <w:rPr>
          <w:webHidden/>
        </w:rPr>
        <w:tab/>
      </w:r>
      <w:r w:rsidR="00A72B26" w:rsidRPr="00A62C97">
        <w:rPr>
          <w:noProof/>
          <w:webHidden/>
        </w:rPr>
        <w:t>284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150</w:t>
      </w:r>
      <w:r w:rsidRPr="00A62C97">
        <w:tab/>
      </w:r>
      <w:r w:rsidRPr="00A62C97">
        <w:rPr>
          <w:noProof/>
        </w:rPr>
        <w:t>Proposed data elements for a drug surveillance register</w:t>
      </w:r>
      <w:r w:rsidRPr="00A62C97">
        <w:rPr>
          <w:webHidden/>
        </w:rPr>
        <w:tab/>
      </w:r>
      <w:r w:rsidR="00A72B26" w:rsidRPr="00A62C97">
        <w:rPr>
          <w:noProof/>
          <w:webHidden/>
        </w:rPr>
        <w:t>287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151</w:t>
      </w:r>
      <w:r w:rsidRPr="00A62C97">
        <w:tab/>
      </w:r>
      <w:r w:rsidRPr="00A62C97">
        <w:rPr>
          <w:noProof/>
        </w:rPr>
        <w:t>Methodological checklist: systematic reviews (AMSTAR; Shea et al 2009)</w:t>
      </w:r>
      <w:r w:rsidRPr="00A62C97">
        <w:rPr>
          <w:webHidden/>
        </w:rPr>
        <w:tab/>
      </w:r>
      <w:r w:rsidR="00A72B26" w:rsidRPr="00A62C97">
        <w:rPr>
          <w:noProof/>
          <w:webHidden/>
        </w:rPr>
        <w:t>421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152</w:t>
      </w:r>
      <w:r w:rsidRPr="00A62C97">
        <w:tab/>
      </w:r>
      <w:r w:rsidRPr="00A62C97">
        <w:rPr>
          <w:noProof/>
        </w:rPr>
        <w:t>Methodology checklist: randomised controlled trials (SIGN 50)</w:t>
      </w:r>
      <w:r w:rsidRPr="00A62C97">
        <w:rPr>
          <w:webHidden/>
        </w:rPr>
        <w:tab/>
      </w:r>
      <w:r w:rsidR="00A72B26" w:rsidRPr="00A62C97">
        <w:rPr>
          <w:noProof/>
          <w:webHidden/>
        </w:rPr>
        <w:t>423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153</w:t>
      </w:r>
      <w:r w:rsidRPr="00A62C97">
        <w:tab/>
      </w:r>
      <w:r w:rsidRPr="00A62C97">
        <w:rPr>
          <w:noProof/>
        </w:rPr>
        <w:t>Methodology checklist: cohort studies (SIGN 50)</w:t>
      </w:r>
      <w:r w:rsidRPr="00A62C97">
        <w:rPr>
          <w:webHidden/>
        </w:rPr>
        <w:tab/>
      </w:r>
      <w:r w:rsidR="00A72B26" w:rsidRPr="00A62C97">
        <w:rPr>
          <w:noProof/>
          <w:webHidden/>
        </w:rPr>
        <w:t>424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154</w:t>
      </w:r>
      <w:r w:rsidRPr="00A62C97">
        <w:tab/>
      </w:r>
      <w:r w:rsidRPr="00A62C97">
        <w:rPr>
          <w:noProof/>
        </w:rPr>
        <w:t>Methodology checklist: case series (NHS CRD; Khan 2001)</w:t>
      </w:r>
      <w:r w:rsidRPr="00A62C97">
        <w:rPr>
          <w:webHidden/>
        </w:rPr>
        <w:tab/>
      </w:r>
      <w:r w:rsidR="00A72B26" w:rsidRPr="00A62C97">
        <w:rPr>
          <w:noProof/>
          <w:webHidden/>
        </w:rPr>
        <w:t>425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155</w:t>
      </w:r>
      <w:r w:rsidRPr="00A62C97">
        <w:tab/>
      </w:r>
      <w:r w:rsidRPr="00A62C97">
        <w:rPr>
          <w:noProof/>
        </w:rPr>
        <w:t>Study profiles for studies on alglucerase/imiglucerase vs standard therapy</w:t>
      </w:r>
      <w:r w:rsidRPr="00A62C97">
        <w:rPr>
          <w:webHidden/>
        </w:rPr>
        <w:tab/>
      </w:r>
      <w:r w:rsidR="00A72B26" w:rsidRPr="00A62C97">
        <w:rPr>
          <w:noProof/>
          <w:webHidden/>
        </w:rPr>
        <w:t>426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156</w:t>
      </w:r>
      <w:r w:rsidRPr="00A62C97">
        <w:tab/>
      </w:r>
      <w:r w:rsidRPr="00A62C97">
        <w:rPr>
          <w:noProof/>
        </w:rPr>
        <w:t>Study profiles for studies on velaglucerase alfa (compared to imiglucerase or extension studies subsequent to trial)</w:t>
      </w:r>
      <w:r w:rsidRPr="00A62C97">
        <w:rPr>
          <w:webHidden/>
        </w:rPr>
        <w:tab/>
      </w:r>
      <w:r w:rsidR="00A72B26" w:rsidRPr="00A62C97">
        <w:rPr>
          <w:noProof/>
          <w:webHidden/>
        </w:rPr>
        <w:t>428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157</w:t>
      </w:r>
      <w:r w:rsidRPr="00A62C97">
        <w:tab/>
      </w:r>
      <w:r w:rsidRPr="00A62C97">
        <w:rPr>
          <w:noProof/>
        </w:rPr>
        <w:t>Study profiles for studies on miglustat (compared to imiglucerase or extension study)</w:t>
      </w:r>
      <w:r w:rsidRPr="00A62C97">
        <w:rPr>
          <w:webHidden/>
        </w:rPr>
        <w:tab/>
      </w:r>
      <w:r w:rsidR="00A72B26" w:rsidRPr="00A62C97">
        <w:rPr>
          <w:noProof/>
          <w:webHidden/>
        </w:rPr>
        <w:t>429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158 </w:t>
      </w:r>
      <w:r w:rsidRPr="00A62C97">
        <w:tab/>
      </w:r>
      <w:r w:rsidRPr="00A62C97">
        <w:rPr>
          <w:noProof/>
        </w:rPr>
        <w:t>Study Profiles for systematic reviews assessing agalsidase alfa and agalsidase beta</w:t>
      </w:r>
      <w:r w:rsidRPr="00A62C97">
        <w:rPr>
          <w:webHidden/>
        </w:rPr>
        <w:tab/>
      </w:r>
      <w:r w:rsidR="00A72B26" w:rsidRPr="00A62C97">
        <w:rPr>
          <w:noProof/>
          <w:webHidden/>
        </w:rPr>
        <w:t>430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159 </w:t>
      </w:r>
      <w:r w:rsidRPr="00A62C97">
        <w:tab/>
      </w:r>
      <w:r w:rsidRPr="00A62C97">
        <w:rPr>
          <w:noProof/>
        </w:rPr>
        <w:t>Study profiles for studies on alglucosidase alfa</w:t>
      </w:r>
      <w:r w:rsidRPr="00A62C97">
        <w:rPr>
          <w:webHidden/>
        </w:rPr>
        <w:tab/>
      </w:r>
      <w:r w:rsidR="00A72B26" w:rsidRPr="00A62C97">
        <w:rPr>
          <w:noProof/>
          <w:webHidden/>
        </w:rPr>
        <w:t>432</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160 </w:t>
      </w:r>
      <w:r w:rsidRPr="00A62C97">
        <w:tab/>
      </w:r>
      <w:r w:rsidRPr="00A62C97">
        <w:rPr>
          <w:noProof/>
        </w:rPr>
        <w:t>Study profiles alglucosidase alfa to treat juvenile onset Pompe disease</w:t>
      </w:r>
      <w:r w:rsidRPr="00A62C97">
        <w:rPr>
          <w:webHidden/>
        </w:rPr>
        <w:tab/>
      </w:r>
      <w:r w:rsidR="00A72B26" w:rsidRPr="00A62C97">
        <w:rPr>
          <w:noProof/>
          <w:webHidden/>
        </w:rPr>
        <w:t>439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161 </w:t>
      </w:r>
      <w:r w:rsidRPr="00A62C97">
        <w:tab/>
      </w:r>
      <w:r w:rsidRPr="00A62C97">
        <w:rPr>
          <w:noProof/>
        </w:rPr>
        <w:t>Study profiles for studies on laronidase for MPS I</w:t>
      </w:r>
      <w:r w:rsidRPr="00A62C97">
        <w:rPr>
          <w:webHidden/>
        </w:rPr>
        <w:tab/>
      </w:r>
      <w:r w:rsidR="00A72B26" w:rsidRPr="00A62C97">
        <w:rPr>
          <w:noProof/>
          <w:webHidden/>
        </w:rPr>
        <w:t>447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162</w:t>
      </w:r>
      <w:r w:rsidRPr="00A62C97">
        <w:tab/>
      </w:r>
      <w:r w:rsidRPr="00A62C97">
        <w:rPr>
          <w:noProof/>
        </w:rPr>
        <w:t>Study profiles for studies on idursulfase for MPS II</w:t>
      </w:r>
      <w:r w:rsidRPr="00A62C97">
        <w:rPr>
          <w:webHidden/>
        </w:rPr>
        <w:tab/>
      </w:r>
      <w:r w:rsidR="00A72B26" w:rsidRPr="00A62C97">
        <w:rPr>
          <w:noProof/>
          <w:webHidden/>
        </w:rPr>
        <w:t>448</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163</w:t>
      </w:r>
      <w:r w:rsidRPr="00A62C97">
        <w:tab/>
      </w:r>
      <w:r w:rsidRPr="00A62C97">
        <w:rPr>
          <w:noProof/>
        </w:rPr>
        <w:t>Study profiles for studies on galsulfase for MPS VI</w:t>
      </w:r>
      <w:r w:rsidRPr="00A62C97">
        <w:rPr>
          <w:webHidden/>
        </w:rPr>
        <w:tab/>
      </w:r>
      <w:r w:rsidR="00A72B26" w:rsidRPr="00A62C97">
        <w:rPr>
          <w:noProof/>
          <w:webHidden/>
        </w:rPr>
        <w:t>449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164</w:t>
      </w:r>
      <w:r w:rsidRPr="00A62C97">
        <w:tab/>
      </w:r>
      <w:r w:rsidRPr="00A62C97">
        <w:rPr>
          <w:noProof/>
        </w:rPr>
        <w:t>Study profiles for included studies on eculizumab</w:t>
      </w:r>
      <w:r w:rsidRPr="00A62C97">
        <w:rPr>
          <w:webHidden/>
        </w:rPr>
        <w:tab/>
      </w:r>
      <w:r w:rsidR="00A72B26" w:rsidRPr="00A62C97">
        <w:rPr>
          <w:noProof/>
          <w:webHidden/>
        </w:rPr>
        <w:t>450</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165</w:t>
      </w:r>
      <w:r w:rsidRPr="00A62C97">
        <w:tab/>
      </w:r>
      <w:r w:rsidRPr="00A62C97">
        <w:rPr>
          <w:noProof/>
        </w:rPr>
        <w:t xml:space="preserve"> Demographic and baseline characteristics for patients in the TRIUMPH trial</w:t>
      </w:r>
      <w:r w:rsidRPr="00A62C97">
        <w:rPr>
          <w:webHidden/>
        </w:rPr>
        <w:tab/>
      </w:r>
      <w:r w:rsidR="00A72B26" w:rsidRPr="00A62C97">
        <w:rPr>
          <w:noProof/>
          <w:webHidden/>
        </w:rPr>
        <w:t>459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166</w:t>
      </w:r>
      <w:r w:rsidRPr="00A62C97">
        <w:tab/>
      </w:r>
      <w:r w:rsidRPr="00A62C97">
        <w:rPr>
          <w:noProof/>
        </w:rPr>
        <w:t xml:space="preserve"> Kidney disease outcomes quality initiative (CKD stages)</w:t>
      </w:r>
      <w:r w:rsidRPr="00A62C97">
        <w:rPr>
          <w:webHidden/>
        </w:rPr>
        <w:tab/>
      </w:r>
      <w:r w:rsidR="00A72B26" w:rsidRPr="00A62C97">
        <w:rPr>
          <w:noProof/>
          <w:webHidden/>
        </w:rPr>
        <w:t>461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167</w:t>
      </w:r>
      <w:r w:rsidRPr="00A62C97">
        <w:tab/>
      </w:r>
      <w:r w:rsidRPr="00A62C97">
        <w:rPr>
          <w:noProof/>
        </w:rPr>
        <w:t xml:space="preserve"> Body of evidence profiles (modified GRADE output)</w:t>
      </w:r>
      <w:r w:rsidRPr="00A62C97">
        <w:rPr>
          <w:webHidden/>
        </w:rPr>
        <w:tab/>
      </w:r>
      <w:r w:rsidR="00A72B26" w:rsidRPr="00A62C97">
        <w:rPr>
          <w:noProof/>
          <w:webHidden/>
        </w:rPr>
        <w:t>461</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168</w:t>
      </w:r>
      <w:r w:rsidRPr="00A62C97">
        <w:tab/>
      </w:r>
      <w:r w:rsidRPr="00A62C97">
        <w:rPr>
          <w:noProof/>
        </w:rPr>
        <w:t>Summary of findings table (modified GRADE output)</w:t>
      </w:r>
      <w:r w:rsidRPr="00A62C97">
        <w:rPr>
          <w:webHidden/>
        </w:rPr>
        <w:tab/>
      </w:r>
      <w:r w:rsidR="00A72B26" w:rsidRPr="00A62C97">
        <w:rPr>
          <w:noProof/>
          <w:webHidden/>
        </w:rPr>
        <w:t>463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169</w:t>
      </w:r>
      <w:r w:rsidRPr="00A62C97">
        <w:tab/>
      </w:r>
      <w:r w:rsidRPr="00A62C97">
        <w:rPr>
          <w:noProof/>
        </w:rPr>
        <w:t xml:space="preserve"> Overview of systematic reviews (modified GRADE output)</w:t>
      </w:r>
      <w:r w:rsidRPr="00A62C97">
        <w:rPr>
          <w:webHidden/>
        </w:rPr>
        <w:tab/>
      </w:r>
      <w:r w:rsidR="00A72B26" w:rsidRPr="00A62C97">
        <w:rPr>
          <w:noProof/>
          <w:webHidden/>
        </w:rPr>
        <w:t>464</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170</w:t>
      </w:r>
      <w:r w:rsidRPr="00A62C97">
        <w:tab/>
      </w:r>
      <w:r w:rsidRPr="00A62C97">
        <w:rPr>
          <w:noProof/>
        </w:rPr>
        <w:t>Horizon scanning sources used to address ToR 2</w:t>
      </w:r>
      <w:r w:rsidRPr="00A62C97">
        <w:rPr>
          <w:webHidden/>
        </w:rPr>
        <w:tab/>
      </w:r>
      <w:r w:rsidR="00A72B26" w:rsidRPr="00A62C97">
        <w:rPr>
          <w:noProof/>
          <w:webHidden/>
        </w:rPr>
        <w:t>465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 xml:space="preserve">Table 171 </w:t>
      </w:r>
      <w:r w:rsidRPr="00A62C97">
        <w:tab/>
      </w:r>
      <w:r w:rsidRPr="00A62C97">
        <w:rPr>
          <w:noProof/>
        </w:rPr>
        <w:t>Summary table of selected new and emerging drugs that target diseases/conditions of potential relevance to the Life Saving Drugs Program in the future (ToR 2)</w:t>
      </w:r>
      <w:r w:rsidRPr="00A62C97">
        <w:rPr>
          <w:webHidden/>
        </w:rPr>
        <w:tab/>
      </w:r>
      <w:r w:rsidR="00A72B26" w:rsidRPr="00A62C97">
        <w:rPr>
          <w:noProof/>
          <w:webHidden/>
        </w:rPr>
        <w:t>473</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172</w:t>
      </w:r>
      <w:r w:rsidRPr="00A62C97">
        <w:tab/>
      </w:r>
      <w:r w:rsidRPr="00A62C97">
        <w:rPr>
          <w:noProof/>
        </w:rPr>
        <w:t xml:space="preserve"> Example of evidence table (ToR 3)</w:t>
      </w:r>
      <w:r w:rsidRPr="00A62C97">
        <w:rPr>
          <w:webHidden/>
        </w:rPr>
        <w:tab/>
      </w:r>
      <w:r w:rsidR="00A72B26" w:rsidRPr="00A62C97">
        <w:rPr>
          <w:noProof/>
          <w:webHidden/>
        </w:rPr>
        <w:t>486</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173</w:t>
      </w:r>
      <w:r w:rsidRPr="00A62C97">
        <w:tab/>
      </w:r>
      <w:r w:rsidRPr="00A62C97">
        <w:rPr>
          <w:noProof/>
        </w:rPr>
        <w:t xml:space="preserve"> Funding bodies and coverage</w:t>
      </w:r>
      <w:r w:rsidRPr="00A62C97">
        <w:rPr>
          <w:webHidden/>
        </w:rPr>
        <w:tab/>
      </w:r>
      <w:r w:rsidR="00A72B26" w:rsidRPr="00A62C97">
        <w:rPr>
          <w:noProof/>
          <w:webHidden/>
        </w:rPr>
        <w:t>487</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174</w:t>
      </w:r>
      <w:r w:rsidRPr="00A62C97">
        <w:tab/>
      </w:r>
      <w:r w:rsidRPr="00A62C97">
        <w:rPr>
          <w:noProof/>
        </w:rPr>
        <w:t xml:space="preserve"> Mechanisms for the evaluation of drugs for rare diseases, summary by country</w:t>
      </w:r>
      <w:r w:rsidRPr="00A62C97">
        <w:rPr>
          <w:webHidden/>
        </w:rPr>
        <w:tab/>
      </w:r>
      <w:r w:rsidR="00A72B26" w:rsidRPr="00A62C97">
        <w:rPr>
          <w:noProof/>
          <w:webHidden/>
        </w:rPr>
        <w:t>489</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175</w:t>
      </w:r>
      <w:r w:rsidRPr="00A62C97">
        <w:tab/>
      </w:r>
      <w:r w:rsidRPr="00A62C97">
        <w:rPr>
          <w:noProof/>
        </w:rPr>
        <w:t xml:space="preserve"> Basis of the decision to reimburse drugs for orphan diseases, summary by country</w:t>
      </w:r>
      <w:r w:rsidRPr="00A62C97">
        <w:rPr>
          <w:webHidden/>
        </w:rPr>
        <w:tab/>
      </w:r>
      <w:r w:rsidR="00A72B26" w:rsidRPr="00A62C97">
        <w:rPr>
          <w:noProof/>
          <w:webHidden/>
        </w:rPr>
        <w:t>495</w:t>
      </w:r>
    </w:p>
    <w:p w:rsidR="00301134" w:rsidRPr="00AE4125" w:rsidRDefault="00301134" w:rsidP="00AE4125">
      <w:pPr>
        <w:pStyle w:val="TableofFigures"/>
        <w:tabs>
          <w:tab w:val="left" w:pos="1276"/>
          <w:tab w:val="right" w:leader="dot" w:pos="9040"/>
        </w:tabs>
        <w:ind w:left="1276" w:hanging="1276"/>
        <w:rPr>
          <w:rStyle w:val="Hyperlink"/>
        </w:rPr>
      </w:pPr>
      <w:r w:rsidRPr="00A62C97">
        <w:rPr>
          <w:noProof/>
        </w:rPr>
        <w:t>Table 176</w:t>
      </w:r>
      <w:r w:rsidRPr="00A62C97">
        <w:tab/>
      </w:r>
      <w:r w:rsidRPr="00A62C97">
        <w:rPr>
          <w:noProof/>
        </w:rPr>
        <w:t xml:space="preserve"> Monitoring outcomes of the decision to reimburse, summary by country.</w:t>
      </w:r>
      <w:r w:rsidRPr="00A62C97">
        <w:rPr>
          <w:webHidden/>
        </w:rPr>
        <w:tab/>
      </w:r>
      <w:r w:rsidR="00A72B26" w:rsidRPr="00A62C97">
        <w:rPr>
          <w:noProof/>
          <w:webHidden/>
        </w:rPr>
        <w:t>505</w:t>
      </w:r>
    </w:p>
    <w:p w:rsidR="00301134" w:rsidRDefault="00301134" w:rsidP="00AE4125">
      <w:pPr>
        <w:pStyle w:val="TableofFigures"/>
        <w:tabs>
          <w:tab w:val="left" w:pos="1276"/>
          <w:tab w:val="right" w:leader="dot" w:pos="9040"/>
        </w:tabs>
        <w:ind w:left="1276" w:hanging="1276"/>
        <w:rPr>
          <w:rFonts w:eastAsiaTheme="minorEastAsia" w:cstheme="minorBidi"/>
          <w:smallCaps w:val="0"/>
          <w:noProof/>
          <w:sz w:val="22"/>
          <w:szCs w:val="22"/>
          <w:lang w:eastAsia="en-AU"/>
        </w:rPr>
      </w:pPr>
      <w:r w:rsidRPr="00A62C97">
        <w:rPr>
          <w:noProof/>
        </w:rPr>
        <w:t>Table 177</w:t>
      </w:r>
      <w:r w:rsidRPr="00A62C97">
        <w:tab/>
      </w:r>
      <w:r w:rsidRPr="00A62C97">
        <w:rPr>
          <w:noProof/>
        </w:rPr>
        <w:t>Example of quality assurance documentation</w:t>
      </w:r>
      <w:r w:rsidRPr="00A62C97">
        <w:rPr>
          <w:webHidden/>
        </w:rPr>
        <w:tab/>
      </w:r>
      <w:r w:rsidR="00A72B26" w:rsidRPr="00A62C97">
        <w:rPr>
          <w:noProof/>
          <w:webHidden/>
        </w:rPr>
        <w:t>507</w:t>
      </w:r>
    </w:p>
    <w:p w:rsidR="001D2216" w:rsidRPr="004805F5" w:rsidRDefault="001D2216" w:rsidP="00AE4125">
      <w:pPr>
        <w:pStyle w:val="TableofFigures"/>
        <w:tabs>
          <w:tab w:val="left" w:pos="1276"/>
          <w:tab w:val="right" w:leader="dot" w:pos="9040"/>
        </w:tabs>
        <w:ind w:left="1276" w:hanging="1276"/>
        <w:rPr>
          <w:rStyle w:val="Hyperlink"/>
        </w:rPr>
      </w:pPr>
    </w:p>
    <w:p w:rsidR="00992DC2" w:rsidRDefault="00992DC2" w:rsidP="001D2216">
      <w:pPr>
        <w:tabs>
          <w:tab w:val="left" w:pos="6096"/>
        </w:tabs>
        <w:spacing w:after="240" w:line="240" w:lineRule="auto"/>
        <w:ind w:left="1418" w:hanging="1418"/>
        <w:rPr>
          <w:rFonts w:asciiTheme="minorHAnsi" w:hAnsiTheme="minorHAnsi"/>
          <w:noProof/>
          <w:color w:val="0000FF"/>
          <w:sz w:val="22"/>
          <w:szCs w:val="22"/>
          <w:u w:val="single"/>
          <w:lang w:eastAsia="en-AU"/>
        </w:rPr>
      </w:pPr>
      <w:r>
        <w:rPr>
          <w:rFonts w:asciiTheme="minorHAnsi" w:hAnsiTheme="minorHAnsi"/>
          <w:noProof/>
          <w:color w:val="0000FF"/>
          <w:sz w:val="22"/>
          <w:szCs w:val="22"/>
          <w:u w:val="single"/>
          <w:lang w:eastAsia="en-AU"/>
        </w:rPr>
        <w:br w:type="page"/>
      </w:r>
    </w:p>
    <w:p w:rsidR="001D2216" w:rsidRPr="0004128C" w:rsidRDefault="001D2216" w:rsidP="001D2216">
      <w:pPr>
        <w:tabs>
          <w:tab w:val="left" w:pos="6096"/>
        </w:tabs>
        <w:spacing w:after="240" w:line="240" w:lineRule="auto"/>
        <w:ind w:left="1418" w:hanging="1418"/>
        <w:rPr>
          <w:rFonts w:ascii="Cambria" w:hAnsi="Cambria"/>
          <w:b/>
          <w:bCs/>
          <w:caps/>
          <w:color w:val="002060"/>
          <w:sz w:val="28"/>
          <w:szCs w:val="28"/>
        </w:rPr>
      </w:pPr>
      <w:r>
        <w:rPr>
          <w:rFonts w:ascii="Cambria" w:hAnsi="Cambria"/>
          <w:b/>
          <w:bCs/>
          <w:caps/>
          <w:color w:val="002060"/>
          <w:sz w:val="28"/>
          <w:szCs w:val="28"/>
        </w:rPr>
        <w:lastRenderedPageBreak/>
        <w:t>figur</w:t>
      </w:r>
      <w:r w:rsidRPr="0004128C">
        <w:rPr>
          <w:rFonts w:ascii="Cambria" w:hAnsi="Cambria"/>
          <w:b/>
          <w:bCs/>
          <w:caps/>
          <w:color w:val="002060"/>
          <w:sz w:val="28"/>
          <w:szCs w:val="28"/>
        </w:rPr>
        <w:t>es</w:t>
      </w:r>
    </w:p>
    <w:p w:rsidR="00301134" w:rsidRDefault="00301134" w:rsidP="00AE4125">
      <w:pPr>
        <w:pStyle w:val="TableofFigures"/>
        <w:tabs>
          <w:tab w:val="left" w:pos="1276"/>
          <w:tab w:val="right" w:leader="dot" w:pos="9040"/>
        </w:tabs>
        <w:ind w:left="1276" w:hanging="1276"/>
        <w:rPr>
          <w:rFonts w:eastAsiaTheme="minorEastAsia" w:cstheme="minorBidi"/>
          <w:smallCaps w:val="0"/>
          <w:noProof/>
          <w:sz w:val="22"/>
          <w:szCs w:val="22"/>
          <w:lang w:eastAsia="en-AU"/>
        </w:rPr>
      </w:pPr>
      <w:r w:rsidRPr="00A62C97">
        <w:rPr>
          <w:noProof/>
        </w:rPr>
        <w:t>Figure 1</w:t>
      </w:r>
      <w:r>
        <w:rPr>
          <w:rFonts w:eastAsiaTheme="minorEastAsia" w:cstheme="minorBidi"/>
          <w:smallCaps w:val="0"/>
          <w:noProof/>
          <w:sz w:val="22"/>
          <w:szCs w:val="22"/>
          <w:lang w:eastAsia="en-AU"/>
        </w:rPr>
        <w:tab/>
      </w:r>
      <w:r w:rsidRPr="00A62C97">
        <w:rPr>
          <w:noProof/>
        </w:rPr>
        <w:t>Sex distribution across MPS Types for patients receiving drugs through the LSDP</w:t>
      </w:r>
      <w:r>
        <w:rPr>
          <w:noProof/>
          <w:webHidden/>
        </w:rPr>
        <w:tab/>
      </w:r>
      <w:r w:rsidR="00A72B26">
        <w:rPr>
          <w:noProof/>
          <w:webHidden/>
        </w:rPr>
        <w:t>183</w:t>
      </w:r>
    </w:p>
    <w:p w:rsidR="00301134" w:rsidRDefault="00301134" w:rsidP="00AE4125">
      <w:pPr>
        <w:pStyle w:val="TableofFigures"/>
        <w:tabs>
          <w:tab w:val="left" w:pos="1276"/>
          <w:tab w:val="right" w:leader="dot" w:pos="9040"/>
        </w:tabs>
        <w:ind w:left="1276" w:hanging="1276"/>
        <w:rPr>
          <w:rFonts w:eastAsiaTheme="minorEastAsia" w:cstheme="minorBidi"/>
          <w:smallCaps w:val="0"/>
          <w:noProof/>
          <w:sz w:val="22"/>
          <w:szCs w:val="22"/>
          <w:lang w:eastAsia="en-AU"/>
        </w:rPr>
      </w:pPr>
      <w:r w:rsidRPr="00A62C97">
        <w:rPr>
          <w:noProof/>
        </w:rPr>
        <w:t>Figure 2</w:t>
      </w:r>
      <w:r>
        <w:rPr>
          <w:rFonts w:eastAsiaTheme="minorEastAsia" w:cstheme="minorBidi"/>
          <w:smallCaps w:val="0"/>
          <w:noProof/>
          <w:sz w:val="22"/>
          <w:szCs w:val="22"/>
          <w:lang w:eastAsia="en-AU"/>
        </w:rPr>
        <w:tab/>
      </w:r>
      <w:r w:rsidRPr="00A62C97">
        <w:rPr>
          <w:noProof/>
        </w:rPr>
        <w:t>Governance structure and direction of information flow</w:t>
      </w:r>
      <w:r>
        <w:rPr>
          <w:noProof/>
          <w:webHidden/>
        </w:rPr>
        <w:tab/>
      </w:r>
      <w:r w:rsidR="00A72B26">
        <w:rPr>
          <w:noProof/>
          <w:webHidden/>
        </w:rPr>
        <w:t>282</w:t>
      </w:r>
    </w:p>
    <w:p w:rsidR="00301134" w:rsidRDefault="00301134" w:rsidP="00AE4125">
      <w:pPr>
        <w:pStyle w:val="TableofFigures"/>
        <w:tabs>
          <w:tab w:val="left" w:pos="1276"/>
          <w:tab w:val="right" w:leader="dot" w:pos="9040"/>
        </w:tabs>
        <w:ind w:left="1276" w:hanging="1276"/>
        <w:rPr>
          <w:rFonts w:eastAsiaTheme="minorEastAsia" w:cstheme="minorBidi"/>
          <w:smallCaps w:val="0"/>
          <w:noProof/>
          <w:sz w:val="22"/>
          <w:szCs w:val="22"/>
          <w:lang w:eastAsia="en-AU"/>
        </w:rPr>
      </w:pPr>
      <w:r w:rsidRPr="00A62C97">
        <w:rPr>
          <w:noProof/>
        </w:rPr>
        <w:t>Figure 3</w:t>
      </w:r>
      <w:r>
        <w:rPr>
          <w:rFonts w:eastAsiaTheme="minorEastAsia" w:cstheme="minorBidi"/>
          <w:smallCaps w:val="0"/>
          <w:noProof/>
          <w:sz w:val="22"/>
          <w:szCs w:val="22"/>
          <w:lang w:eastAsia="en-AU"/>
        </w:rPr>
        <w:tab/>
      </w:r>
      <w:r w:rsidRPr="00A62C97">
        <w:rPr>
          <w:noProof/>
        </w:rPr>
        <w:t>PRISMA flowchart for literature on Gaucher Type I disease (imiglucerase, velaglucerase alfa and miglustat)</w:t>
      </w:r>
      <w:r>
        <w:rPr>
          <w:noProof/>
          <w:webHidden/>
        </w:rPr>
        <w:tab/>
      </w:r>
      <w:r w:rsidR="00A72B26">
        <w:rPr>
          <w:noProof/>
          <w:webHidden/>
        </w:rPr>
        <w:t>328</w:t>
      </w:r>
    </w:p>
    <w:p w:rsidR="00301134" w:rsidRDefault="00301134" w:rsidP="00AE4125">
      <w:pPr>
        <w:pStyle w:val="TableofFigures"/>
        <w:tabs>
          <w:tab w:val="left" w:pos="1276"/>
          <w:tab w:val="right" w:leader="dot" w:pos="9040"/>
        </w:tabs>
        <w:ind w:left="1276" w:hanging="1276"/>
        <w:rPr>
          <w:rFonts w:eastAsiaTheme="minorEastAsia" w:cstheme="minorBidi"/>
          <w:smallCaps w:val="0"/>
          <w:noProof/>
          <w:sz w:val="22"/>
          <w:szCs w:val="22"/>
          <w:lang w:eastAsia="en-AU"/>
        </w:rPr>
      </w:pPr>
      <w:r w:rsidRPr="00A62C97">
        <w:rPr>
          <w:noProof/>
        </w:rPr>
        <w:t>Figure 4</w:t>
      </w:r>
      <w:r>
        <w:rPr>
          <w:rFonts w:eastAsiaTheme="minorEastAsia" w:cstheme="minorBidi"/>
          <w:smallCaps w:val="0"/>
          <w:noProof/>
          <w:sz w:val="22"/>
          <w:szCs w:val="22"/>
          <w:lang w:eastAsia="en-AU"/>
        </w:rPr>
        <w:tab/>
      </w:r>
      <w:r w:rsidRPr="00A62C97">
        <w:rPr>
          <w:noProof/>
        </w:rPr>
        <w:t>PRISMA flowchart for literature on Fabry disease (agalsidase alfa, agalsidase beta)</w:t>
      </w:r>
      <w:r>
        <w:rPr>
          <w:noProof/>
          <w:webHidden/>
        </w:rPr>
        <w:tab/>
      </w:r>
      <w:r w:rsidR="00A72B26">
        <w:rPr>
          <w:noProof/>
          <w:webHidden/>
        </w:rPr>
        <w:t>329</w:t>
      </w:r>
    </w:p>
    <w:p w:rsidR="00301134" w:rsidRDefault="00301134" w:rsidP="00AE4125">
      <w:pPr>
        <w:pStyle w:val="TableofFigures"/>
        <w:tabs>
          <w:tab w:val="left" w:pos="1276"/>
          <w:tab w:val="right" w:leader="dot" w:pos="9040"/>
        </w:tabs>
        <w:ind w:left="1276" w:hanging="1276"/>
        <w:rPr>
          <w:rFonts w:eastAsiaTheme="minorEastAsia" w:cstheme="minorBidi"/>
          <w:smallCaps w:val="0"/>
          <w:noProof/>
          <w:sz w:val="22"/>
          <w:szCs w:val="22"/>
          <w:lang w:eastAsia="en-AU"/>
        </w:rPr>
      </w:pPr>
      <w:r w:rsidRPr="00A62C97">
        <w:rPr>
          <w:noProof/>
        </w:rPr>
        <w:t>Figure 5</w:t>
      </w:r>
      <w:r>
        <w:rPr>
          <w:rFonts w:eastAsiaTheme="minorEastAsia" w:cstheme="minorBidi"/>
          <w:smallCaps w:val="0"/>
          <w:noProof/>
          <w:sz w:val="22"/>
          <w:szCs w:val="22"/>
          <w:lang w:eastAsia="en-AU"/>
        </w:rPr>
        <w:tab/>
      </w:r>
      <w:r w:rsidRPr="00A62C97">
        <w:rPr>
          <w:noProof/>
        </w:rPr>
        <w:t>PRISMA flowchart for Infantile Onset Pompe Disease (alglucosidase alfa)</w:t>
      </w:r>
      <w:r>
        <w:rPr>
          <w:noProof/>
          <w:webHidden/>
        </w:rPr>
        <w:tab/>
      </w:r>
      <w:r w:rsidR="00A72B26">
        <w:rPr>
          <w:noProof/>
          <w:webHidden/>
        </w:rPr>
        <w:t>330</w:t>
      </w:r>
    </w:p>
    <w:p w:rsidR="00301134" w:rsidRDefault="00301134" w:rsidP="00AE4125">
      <w:pPr>
        <w:pStyle w:val="TableofFigures"/>
        <w:tabs>
          <w:tab w:val="left" w:pos="1276"/>
          <w:tab w:val="right" w:leader="dot" w:pos="9040"/>
        </w:tabs>
        <w:ind w:left="1276" w:hanging="1276"/>
        <w:rPr>
          <w:rFonts w:eastAsiaTheme="minorEastAsia" w:cstheme="minorBidi"/>
          <w:smallCaps w:val="0"/>
          <w:noProof/>
          <w:sz w:val="22"/>
          <w:szCs w:val="22"/>
          <w:lang w:eastAsia="en-AU"/>
        </w:rPr>
      </w:pPr>
      <w:r w:rsidRPr="00A62C97">
        <w:rPr>
          <w:noProof/>
        </w:rPr>
        <w:t xml:space="preserve">Figure 6 </w:t>
      </w:r>
      <w:r>
        <w:rPr>
          <w:rFonts w:eastAsiaTheme="minorEastAsia" w:cstheme="minorBidi"/>
          <w:smallCaps w:val="0"/>
          <w:noProof/>
          <w:sz w:val="22"/>
          <w:szCs w:val="22"/>
          <w:lang w:eastAsia="en-AU"/>
        </w:rPr>
        <w:tab/>
      </w:r>
      <w:r w:rsidRPr="00A62C97">
        <w:rPr>
          <w:noProof/>
        </w:rPr>
        <w:t>PRISMA flowchart for literature on Juvenile Onset Pompe Disease (alglucosidase alfa)</w:t>
      </w:r>
      <w:r>
        <w:rPr>
          <w:noProof/>
          <w:webHidden/>
        </w:rPr>
        <w:tab/>
      </w:r>
      <w:r w:rsidR="00A72B26">
        <w:rPr>
          <w:noProof/>
          <w:webHidden/>
        </w:rPr>
        <w:t>331</w:t>
      </w:r>
    </w:p>
    <w:p w:rsidR="00301134" w:rsidRDefault="00301134" w:rsidP="00AE4125">
      <w:pPr>
        <w:pStyle w:val="TableofFigures"/>
        <w:tabs>
          <w:tab w:val="left" w:pos="1276"/>
          <w:tab w:val="right" w:leader="dot" w:pos="9040"/>
        </w:tabs>
        <w:ind w:left="1276" w:hanging="1276"/>
        <w:rPr>
          <w:rFonts w:eastAsiaTheme="minorEastAsia" w:cstheme="minorBidi"/>
          <w:smallCaps w:val="0"/>
          <w:noProof/>
          <w:sz w:val="22"/>
          <w:szCs w:val="22"/>
          <w:lang w:eastAsia="en-AU"/>
        </w:rPr>
      </w:pPr>
      <w:r w:rsidRPr="00A62C97">
        <w:rPr>
          <w:noProof/>
        </w:rPr>
        <w:t>Figure 7</w:t>
      </w:r>
      <w:r>
        <w:rPr>
          <w:rFonts w:eastAsiaTheme="minorEastAsia" w:cstheme="minorBidi"/>
          <w:smallCaps w:val="0"/>
          <w:noProof/>
          <w:sz w:val="22"/>
          <w:szCs w:val="22"/>
          <w:lang w:eastAsia="en-AU"/>
        </w:rPr>
        <w:tab/>
      </w:r>
      <w:r w:rsidRPr="00A62C97">
        <w:rPr>
          <w:noProof/>
        </w:rPr>
        <w:t>PRISMA flowchart for literature on Mucopolysaccharidosis Types I, II and VI disease (laronidase, idursulfase, galsulfase)</w:t>
      </w:r>
      <w:r>
        <w:rPr>
          <w:noProof/>
          <w:webHidden/>
        </w:rPr>
        <w:tab/>
      </w:r>
      <w:r w:rsidR="00A72B26">
        <w:rPr>
          <w:noProof/>
          <w:webHidden/>
        </w:rPr>
        <w:t>332</w:t>
      </w:r>
    </w:p>
    <w:p w:rsidR="00301134" w:rsidRDefault="00301134" w:rsidP="00AE4125">
      <w:pPr>
        <w:pStyle w:val="TableofFigures"/>
        <w:tabs>
          <w:tab w:val="left" w:pos="1276"/>
          <w:tab w:val="right" w:leader="dot" w:pos="9040"/>
        </w:tabs>
        <w:ind w:left="1276" w:hanging="1276"/>
        <w:rPr>
          <w:rFonts w:eastAsiaTheme="minorEastAsia" w:cstheme="minorBidi"/>
          <w:smallCaps w:val="0"/>
          <w:noProof/>
          <w:sz w:val="22"/>
          <w:szCs w:val="22"/>
          <w:lang w:eastAsia="en-AU"/>
        </w:rPr>
      </w:pPr>
      <w:r w:rsidRPr="00A62C97">
        <w:rPr>
          <w:noProof/>
        </w:rPr>
        <w:t>Figure 8</w:t>
      </w:r>
      <w:r>
        <w:rPr>
          <w:rFonts w:eastAsiaTheme="minorEastAsia" w:cstheme="minorBidi"/>
          <w:smallCaps w:val="0"/>
          <w:noProof/>
          <w:sz w:val="22"/>
          <w:szCs w:val="22"/>
          <w:lang w:eastAsia="en-AU"/>
        </w:rPr>
        <w:tab/>
      </w:r>
      <w:r w:rsidRPr="00A62C97">
        <w:rPr>
          <w:noProof/>
        </w:rPr>
        <w:t>PRISMA flowchart for literature on PNH (eculizumab)</w:t>
      </w:r>
      <w:r>
        <w:rPr>
          <w:noProof/>
          <w:webHidden/>
        </w:rPr>
        <w:tab/>
      </w:r>
      <w:r w:rsidR="00A72B26">
        <w:rPr>
          <w:noProof/>
          <w:webHidden/>
        </w:rPr>
        <w:t>333</w:t>
      </w:r>
    </w:p>
    <w:p w:rsidR="001D2216" w:rsidRDefault="001D2216" w:rsidP="00AE4125">
      <w:pPr>
        <w:tabs>
          <w:tab w:val="left" w:pos="426"/>
          <w:tab w:val="left" w:pos="1134"/>
          <w:tab w:val="left" w:pos="1276"/>
          <w:tab w:val="left" w:pos="1418"/>
          <w:tab w:val="right" w:leader="dot" w:pos="9072"/>
        </w:tabs>
        <w:ind w:left="1276" w:right="828" w:hanging="1276"/>
        <w:rPr>
          <w:rFonts w:cs="Calibri"/>
          <w:b/>
          <w:szCs w:val="20"/>
        </w:rPr>
      </w:pPr>
    </w:p>
    <w:p w:rsidR="001D2216" w:rsidRPr="0004128C" w:rsidRDefault="001D2216" w:rsidP="003E509A">
      <w:pPr>
        <w:tabs>
          <w:tab w:val="left" w:pos="426"/>
          <w:tab w:val="left" w:pos="1134"/>
          <w:tab w:val="left" w:pos="1276"/>
          <w:tab w:val="left" w:pos="1418"/>
          <w:tab w:val="right" w:leader="dot" w:pos="9072"/>
        </w:tabs>
        <w:ind w:left="1134" w:right="828" w:hanging="1134"/>
        <w:rPr>
          <w:rFonts w:cs="Calibri"/>
          <w:b/>
          <w:szCs w:val="20"/>
        </w:rPr>
        <w:sectPr w:rsidR="001D2216" w:rsidRPr="0004128C" w:rsidSect="0004128C">
          <w:headerReference w:type="even" r:id="rId13"/>
          <w:headerReference w:type="default" r:id="rId14"/>
          <w:footerReference w:type="even" r:id="rId15"/>
          <w:footerReference w:type="default" r:id="rId16"/>
          <w:headerReference w:type="first" r:id="rId17"/>
          <w:footerReference w:type="first" r:id="rId18"/>
          <w:pgSz w:w="11906" w:h="16838"/>
          <w:pgMar w:top="1440" w:right="1416" w:bottom="1440" w:left="1440" w:header="708" w:footer="708" w:gutter="0"/>
          <w:cols w:space="708"/>
          <w:docGrid w:linePitch="360"/>
        </w:sectPr>
      </w:pPr>
    </w:p>
    <w:p w:rsidR="003C1255" w:rsidRDefault="003C1255" w:rsidP="003C1255">
      <w:pPr>
        <w:pStyle w:val="Heading1"/>
        <w:numPr>
          <w:ilvl w:val="0"/>
          <w:numId w:val="62"/>
        </w:numPr>
      </w:pPr>
      <w:bookmarkStart w:id="15" w:name="_Toc415141717"/>
      <w:bookmarkStart w:id="16" w:name="_Toc404937233"/>
      <w:bookmarkStart w:id="17" w:name="_Toc358277796"/>
      <w:bookmarkEnd w:id="14"/>
      <w:r>
        <w:lastRenderedPageBreak/>
        <w:t>Plain language summary</w:t>
      </w:r>
      <w:bookmarkEnd w:id="15"/>
    </w:p>
    <w:p w:rsidR="003C1255" w:rsidRDefault="003C1255" w:rsidP="003C1255">
      <w:r>
        <w:t xml:space="preserve">The technical assessment described in this document was carried out to provide information to the Australian Government Department of Health as part of the Life Saving Drugs Programme (LSDP) Review. The objective of the Review was to examine important issues such as access and equity, value for money and the future administration of the LSDP. </w:t>
      </w:r>
    </w:p>
    <w:p w:rsidR="003C1255" w:rsidRDefault="003C1255" w:rsidP="003C1255">
      <w:r>
        <w:t>The technical assessment included consideration of:</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hAnsiTheme="minorHAnsi"/>
        </w:rPr>
      </w:pPr>
      <w:r w:rsidRPr="003C1255">
        <w:rPr>
          <w:rFonts w:asciiTheme="minorHAnsi" w:hAnsiTheme="minorHAnsi"/>
        </w:rPr>
        <w:t>the effectiveness and safety of drugs currently funded through the LSDP;</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hAnsiTheme="minorHAnsi"/>
        </w:rPr>
      </w:pPr>
      <w:r w:rsidRPr="003C1255">
        <w:rPr>
          <w:rFonts w:asciiTheme="minorHAnsi" w:hAnsiTheme="minorHAnsi"/>
        </w:rPr>
        <w:t>treatments and diseases for which funding through the LSDP may be sought in the future;</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hAnsiTheme="minorHAnsi"/>
        </w:rPr>
      </w:pPr>
      <w:r w:rsidRPr="003C1255">
        <w:rPr>
          <w:rFonts w:asciiTheme="minorHAnsi" w:hAnsiTheme="minorHAnsi"/>
        </w:rPr>
        <w:t>international approaches to defining rare diseases and funding drugs that treat those diseases; and</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hAnsiTheme="minorHAnsi"/>
        </w:rPr>
      </w:pPr>
      <w:proofErr w:type="gramStart"/>
      <w:r w:rsidRPr="003C1255">
        <w:rPr>
          <w:rFonts w:asciiTheme="minorHAnsi" w:hAnsiTheme="minorHAnsi"/>
        </w:rPr>
        <w:t>the</w:t>
      </w:r>
      <w:proofErr w:type="gramEnd"/>
      <w:r w:rsidRPr="003C1255">
        <w:rPr>
          <w:rFonts w:asciiTheme="minorHAnsi" w:hAnsiTheme="minorHAnsi"/>
        </w:rPr>
        <w:t xml:space="preserve"> value for money of the currently funded drugs.</w:t>
      </w:r>
    </w:p>
    <w:p w:rsidR="003C1255" w:rsidRDefault="003C1255" w:rsidP="003C1255">
      <w:r>
        <w:t>The technical assessment also aimed to establish a framework for collecting data on rare diseases in Australia and to assess how this could function internationally.</w:t>
      </w:r>
    </w:p>
    <w:p w:rsidR="003C1255" w:rsidRDefault="003C1255" w:rsidP="003C1255">
      <w:pPr>
        <w:pStyle w:val="Heading3"/>
      </w:pPr>
      <w:r>
        <w:t>What is the LSDP?</w:t>
      </w:r>
    </w:p>
    <w:p w:rsidR="003C1255" w:rsidRDefault="003C1255" w:rsidP="003C1255">
      <w:pPr>
        <w:rPr>
          <w:lang w:eastAsia="en-AU"/>
        </w:rPr>
      </w:pPr>
      <w:r>
        <w:rPr>
          <w:lang w:eastAsia="en-AU"/>
        </w:rPr>
        <w:t>The LSDP provides subsidised access for eligible individuals to expensive and potentially life-saving drugs for rare life-threaten</w:t>
      </w:r>
      <w:r w:rsidR="002734FC">
        <w:rPr>
          <w:lang w:eastAsia="en-AU"/>
        </w:rPr>
        <w:t>ing diseases. The issues considered during the assessment process involve</w:t>
      </w:r>
      <w:r>
        <w:rPr>
          <w:lang w:eastAsia="en-AU"/>
        </w:rPr>
        <w:t xml:space="preserve">: </w:t>
      </w:r>
    </w:p>
    <w:p w:rsidR="003C1255" w:rsidRPr="003C1255" w:rsidRDefault="002734FC" w:rsidP="002D77B8">
      <w:pPr>
        <w:pStyle w:val="Bullet"/>
        <w:numPr>
          <w:ilvl w:val="0"/>
          <w:numId w:val="84"/>
        </w:numPr>
        <w:shd w:val="clear" w:color="auto" w:fill="FFFFFF"/>
        <w:autoSpaceDE w:val="0"/>
        <w:autoSpaceDN w:val="0"/>
        <w:adjustRightInd w:val="0"/>
        <w:spacing w:after="90" w:line="240" w:lineRule="auto"/>
        <w:jc w:val="left"/>
        <w:rPr>
          <w:rFonts w:asciiTheme="minorHAnsi" w:hAnsiTheme="minorHAnsi"/>
        </w:rPr>
      </w:pPr>
      <w:r>
        <w:rPr>
          <w:rFonts w:asciiTheme="minorHAnsi" w:hAnsiTheme="minorHAnsi"/>
        </w:rPr>
        <w:t xml:space="preserve">the review of the </w:t>
      </w:r>
      <w:r w:rsidR="003C1255" w:rsidRPr="003C1255">
        <w:rPr>
          <w:rFonts w:asciiTheme="minorHAnsi" w:hAnsiTheme="minorHAnsi"/>
        </w:rPr>
        <w:t xml:space="preserve">evidence presented by the drug sponsor; </w:t>
      </w:r>
      <w:r w:rsidR="003B6DAB">
        <w:rPr>
          <w:rFonts w:asciiTheme="minorHAnsi" w:hAnsiTheme="minorHAnsi"/>
        </w:rPr>
        <w:t>and</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hAnsiTheme="minorHAnsi"/>
        </w:rPr>
      </w:pPr>
      <w:proofErr w:type="gramStart"/>
      <w:r w:rsidRPr="003C1255">
        <w:rPr>
          <w:rFonts w:asciiTheme="minorHAnsi" w:hAnsiTheme="minorHAnsi"/>
        </w:rPr>
        <w:t>whether</w:t>
      </w:r>
      <w:proofErr w:type="gramEnd"/>
      <w:r w:rsidRPr="003C1255">
        <w:rPr>
          <w:rFonts w:asciiTheme="minorHAnsi" w:hAnsiTheme="minorHAnsi"/>
        </w:rPr>
        <w:t xml:space="preserve"> the drug is suitable for listing on the Pharmaceutical Benefits Scheme (PBS) (drugs considered cost-effective </w:t>
      </w:r>
      <w:r w:rsidR="002734FC">
        <w:rPr>
          <w:rFonts w:asciiTheme="minorHAnsi" w:hAnsiTheme="minorHAnsi"/>
        </w:rPr>
        <w:t>are listed on the PBS</w:t>
      </w:r>
      <w:r w:rsidR="005A6875">
        <w:rPr>
          <w:rFonts w:asciiTheme="minorHAnsi" w:hAnsiTheme="minorHAnsi"/>
        </w:rPr>
        <w:t>).</w:t>
      </w:r>
    </w:p>
    <w:p w:rsidR="003C1255" w:rsidRDefault="003C1255" w:rsidP="003C1255">
      <w:pPr>
        <w:pStyle w:val="Heading3"/>
      </w:pPr>
      <w:r>
        <w:t xml:space="preserve">Clinical effectiveness and safety of currently subsidised medications </w:t>
      </w:r>
    </w:p>
    <w:p w:rsidR="003C1255" w:rsidRDefault="003C1255" w:rsidP="003C1255">
      <w:pPr>
        <w:keepNext/>
        <w:rPr>
          <w:rFonts w:eastAsia="Calibri"/>
        </w:rPr>
      </w:pPr>
      <w:r>
        <w:rPr>
          <w:rFonts w:eastAsia="Calibri"/>
        </w:rPr>
        <w:t xml:space="preserve">To assess </w:t>
      </w:r>
      <w:r>
        <w:t>whether new information on the safety and effectiveness of drugs currently funded through the LSDP supports the original funding recommendation</w:t>
      </w:r>
      <w:r>
        <w:rPr>
          <w:rFonts w:eastAsia="Calibri"/>
        </w:rPr>
        <w:t>:</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eastAsia="Calibri" w:hAnsiTheme="minorHAnsi"/>
        </w:rPr>
      </w:pPr>
      <w:r w:rsidRPr="003C1255">
        <w:rPr>
          <w:rFonts w:asciiTheme="minorHAnsi" w:hAnsiTheme="minorHAnsi"/>
        </w:rPr>
        <w:t>systematic reviews of the evidence on these drugs were carried out; and</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hAnsiTheme="minorHAnsi"/>
        </w:rPr>
      </w:pPr>
      <w:r w:rsidRPr="003C1255">
        <w:rPr>
          <w:rFonts w:asciiTheme="minorHAnsi" w:hAnsiTheme="minorHAnsi"/>
        </w:rPr>
        <w:t xml:space="preserve">Australian data on their use was analysed. </w:t>
      </w:r>
    </w:p>
    <w:p w:rsidR="003C1255" w:rsidRDefault="003C1255" w:rsidP="003C1255">
      <w:r>
        <w:t>The findings of the technical assessment are summarised below.</w:t>
      </w:r>
    </w:p>
    <w:p w:rsidR="003C1255" w:rsidRDefault="003C1255" w:rsidP="003C1255">
      <w:pPr>
        <w:pStyle w:val="Heading4"/>
      </w:pPr>
      <w:r>
        <w:t>Gaucher disease Type I</w:t>
      </w:r>
    </w:p>
    <w:p w:rsidR="003C1255" w:rsidRDefault="003C1255" w:rsidP="003C1255">
      <w:pPr>
        <w:rPr>
          <w:rFonts w:eastAsiaTheme="minorHAnsi"/>
        </w:rPr>
      </w:pPr>
      <w:r>
        <w:t xml:space="preserve">Gaucher disease </w:t>
      </w:r>
      <w:r>
        <w:rPr>
          <w:rFonts w:eastAsiaTheme="minorHAnsi"/>
        </w:rPr>
        <w:t xml:space="preserve">is a rare condition caused by an inherited enzyme deficiency. Type I is the most common form, with symptoms including enlarged spleen and liver, increased risk of bleeding, anaemia and bone complications. Treatments funded through the LSDP include the enzyme-replacement therapies, imiglucerase and velaglucerase, and a substrate reduction therapy, miglustat. The sponsor of </w:t>
      </w:r>
      <w:r>
        <w:t xml:space="preserve">miglustat proposed it as an alternative </w:t>
      </w:r>
      <w:r>
        <w:lastRenderedPageBreak/>
        <w:t>treatment for individuals unable to tolerate or follow a course of enzyme-replacement therapy.</w:t>
      </w:r>
    </w:p>
    <w:p w:rsidR="003C1255" w:rsidRDefault="003C1255" w:rsidP="003C1255">
      <w:pPr>
        <w:rPr>
          <w:rFonts w:eastAsiaTheme="minorHAnsi"/>
        </w:rPr>
      </w:pPr>
      <w:r>
        <w:rPr>
          <w:rFonts w:eastAsiaTheme="minorHAnsi"/>
        </w:rPr>
        <w:t>Findings from the systematic review and analysis of Australian data are as follows.</w:t>
      </w:r>
    </w:p>
    <w:p w:rsidR="003C1255" w:rsidRPr="003C1255" w:rsidRDefault="003C1255" w:rsidP="002D77B8">
      <w:pPr>
        <w:pStyle w:val="Bullet"/>
        <w:numPr>
          <w:ilvl w:val="0"/>
          <w:numId w:val="84"/>
        </w:numPr>
        <w:shd w:val="clear" w:color="auto" w:fill="FFFFFF"/>
        <w:autoSpaceDE w:val="0"/>
        <w:autoSpaceDN w:val="0"/>
        <w:adjustRightInd w:val="0"/>
        <w:spacing w:after="90"/>
        <w:jc w:val="left"/>
        <w:rPr>
          <w:rFonts w:asciiTheme="minorHAnsi" w:eastAsia="Calibri" w:hAnsiTheme="minorHAnsi"/>
        </w:rPr>
      </w:pPr>
      <w:r w:rsidRPr="003C1255">
        <w:rPr>
          <w:rFonts w:asciiTheme="minorHAnsi" w:hAnsiTheme="minorHAnsi"/>
        </w:rPr>
        <w:t xml:space="preserve">A small high quality study found that treatment with imiglucerase reduced the risk of </w:t>
      </w:r>
      <w:r w:rsidR="00AD2714">
        <w:rPr>
          <w:rFonts w:asciiTheme="minorHAnsi" w:hAnsiTheme="minorHAnsi"/>
        </w:rPr>
        <w:t xml:space="preserve">disease-related </w:t>
      </w:r>
      <w:r w:rsidRPr="003C1255">
        <w:rPr>
          <w:rFonts w:asciiTheme="minorHAnsi" w:hAnsiTheme="minorHAnsi"/>
        </w:rPr>
        <w:t xml:space="preserve">complications compared to use of Vitamin D alone. </w:t>
      </w:r>
    </w:p>
    <w:p w:rsidR="003C1255" w:rsidRPr="003C1255" w:rsidRDefault="003C1255" w:rsidP="002D77B8">
      <w:pPr>
        <w:pStyle w:val="Bullet"/>
        <w:numPr>
          <w:ilvl w:val="0"/>
          <w:numId w:val="84"/>
        </w:numPr>
        <w:shd w:val="clear" w:color="auto" w:fill="FFFFFF"/>
        <w:autoSpaceDE w:val="0"/>
        <w:autoSpaceDN w:val="0"/>
        <w:adjustRightInd w:val="0"/>
        <w:spacing w:after="90"/>
        <w:jc w:val="left"/>
        <w:rPr>
          <w:rFonts w:asciiTheme="minorHAnsi" w:hAnsiTheme="minorHAnsi"/>
        </w:rPr>
      </w:pPr>
      <w:r w:rsidRPr="003C1255">
        <w:rPr>
          <w:rFonts w:asciiTheme="minorHAnsi" w:hAnsiTheme="minorHAnsi"/>
        </w:rPr>
        <w:t xml:space="preserve">No new studies on velaglucerase were identified. A study previously submitted to the PBAC found velaglucerase to be similar to imiglucerase in reducing the risk of bleeding, bone complications and enlarged liver and spleen, with a slightly higher risk of mild side effects. </w:t>
      </w:r>
    </w:p>
    <w:p w:rsidR="003C1255" w:rsidRPr="003C1255" w:rsidRDefault="003C1255" w:rsidP="002D77B8">
      <w:pPr>
        <w:pStyle w:val="Bullet"/>
        <w:numPr>
          <w:ilvl w:val="0"/>
          <w:numId w:val="84"/>
        </w:numPr>
        <w:shd w:val="clear" w:color="auto" w:fill="FFFFFF"/>
        <w:autoSpaceDE w:val="0"/>
        <w:autoSpaceDN w:val="0"/>
        <w:adjustRightInd w:val="0"/>
        <w:spacing w:after="90"/>
        <w:jc w:val="left"/>
        <w:rPr>
          <w:rFonts w:asciiTheme="minorHAnsi" w:hAnsiTheme="minorHAnsi"/>
        </w:rPr>
      </w:pPr>
      <w:r w:rsidRPr="003C1255">
        <w:rPr>
          <w:rFonts w:asciiTheme="minorHAnsi" w:hAnsiTheme="minorHAnsi"/>
        </w:rPr>
        <w:t xml:space="preserve">No new studies on miglustat were identified. Some data that had not been submitted to the PBAC showed </w:t>
      </w:r>
      <w:r w:rsidR="00AD2714">
        <w:rPr>
          <w:rFonts w:asciiTheme="minorHAnsi" w:hAnsiTheme="minorHAnsi"/>
        </w:rPr>
        <w:t xml:space="preserve">that patients receiving </w:t>
      </w:r>
      <w:r w:rsidRPr="003C1255">
        <w:rPr>
          <w:rFonts w:asciiTheme="minorHAnsi" w:hAnsiTheme="minorHAnsi"/>
        </w:rPr>
        <w:t xml:space="preserve">miglustat </w:t>
      </w:r>
      <w:r w:rsidR="00AD2714">
        <w:rPr>
          <w:rFonts w:asciiTheme="minorHAnsi" w:hAnsiTheme="minorHAnsi"/>
        </w:rPr>
        <w:t>had higher chitotriosidase (a marker of disease burden) than patients receiving</w:t>
      </w:r>
      <w:r w:rsidRPr="003C1255">
        <w:rPr>
          <w:rFonts w:asciiTheme="minorHAnsi" w:hAnsiTheme="minorHAnsi"/>
        </w:rPr>
        <w:t xml:space="preserve"> imiglucerase. </w:t>
      </w:r>
    </w:p>
    <w:p w:rsidR="003C1255" w:rsidRPr="003C1255" w:rsidRDefault="003C1255" w:rsidP="002D77B8">
      <w:pPr>
        <w:pStyle w:val="Bullet"/>
        <w:numPr>
          <w:ilvl w:val="0"/>
          <w:numId w:val="84"/>
        </w:numPr>
        <w:shd w:val="clear" w:color="auto" w:fill="FFFFFF"/>
        <w:autoSpaceDE w:val="0"/>
        <w:autoSpaceDN w:val="0"/>
        <w:adjustRightInd w:val="0"/>
        <w:jc w:val="left"/>
        <w:rPr>
          <w:rFonts w:asciiTheme="minorHAnsi" w:hAnsiTheme="minorHAnsi"/>
        </w:rPr>
      </w:pPr>
      <w:r w:rsidRPr="003C1255">
        <w:rPr>
          <w:rFonts w:asciiTheme="minorHAnsi" w:hAnsiTheme="minorHAnsi"/>
        </w:rPr>
        <w:t>Australian data showed that individuals receiving enzyme-replacement therapy for Type 1 Gaucher disease have improvements in bleeding risk, anaemia and spleen and liver size following treatment. No patients in Australia are currently receiving miglustat.</w:t>
      </w:r>
    </w:p>
    <w:p w:rsidR="003C1255" w:rsidRDefault="003C1255" w:rsidP="003C1255">
      <w:pPr>
        <w:pStyle w:val="Fundingsummary"/>
      </w:pPr>
      <w:r>
        <w:t>The evidence supports the funding of imiglucerase and velaglucerase. The evidence on miglustat did not include any data on the treatment group proposed by the drug’s sponsor.</w:t>
      </w:r>
    </w:p>
    <w:p w:rsidR="003C1255" w:rsidRDefault="003C1255" w:rsidP="003C1255">
      <w:pPr>
        <w:pStyle w:val="Heading4"/>
        <w:rPr>
          <w:rFonts w:eastAsia="Calibri"/>
        </w:rPr>
      </w:pPr>
      <w:r>
        <w:rPr>
          <w:rFonts w:eastAsia="Calibri"/>
        </w:rPr>
        <w:t xml:space="preserve">Fabry disease </w:t>
      </w:r>
    </w:p>
    <w:p w:rsidR="003C1255" w:rsidRDefault="003C1255" w:rsidP="003C1255">
      <w:pPr>
        <w:keepNext/>
        <w:keepLines/>
        <w:rPr>
          <w:rFonts w:eastAsiaTheme="minorHAnsi"/>
        </w:rPr>
      </w:pPr>
      <w:r>
        <w:t xml:space="preserve">Fabry disease is a very rare condition caused by an inherited enzyme deficiency. Due to the lack of the enzyme, a substance builds up in multiple organs and tissues and causes </w:t>
      </w:r>
      <w:r>
        <w:rPr>
          <w:rFonts w:eastAsiaTheme="minorHAnsi"/>
        </w:rPr>
        <w:t>kidney and heart disease, stroke, and pain in the hands and feet. Treatments funded under the LSDP include the enzyme-replacement therapies, agalsidase alfa and agalsidase beta.</w:t>
      </w:r>
    </w:p>
    <w:p w:rsidR="003C1255" w:rsidRDefault="003C1255" w:rsidP="003C1255">
      <w:pPr>
        <w:rPr>
          <w:rFonts w:eastAsiaTheme="minorHAnsi"/>
        </w:rPr>
      </w:pPr>
      <w:r>
        <w:rPr>
          <w:rFonts w:eastAsiaTheme="minorHAnsi"/>
        </w:rPr>
        <w:t>Findings from the systematic review and analysis of Australian data are as follows.</w:t>
      </w:r>
    </w:p>
    <w:p w:rsidR="003C1255" w:rsidRPr="003C1255" w:rsidRDefault="003C1255" w:rsidP="002D77B8">
      <w:pPr>
        <w:pStyle w:val="Bullet"/>
        <w:numPr>
          <w:ilvl w:val="0"/>
          <w:numId w:val="84"/>
        </w:numPr>
        <w:shd w:val="clear" w:color="auto" w:fill="FFFFFF"/>
        <w:autoSpaceDE w:val="0"/>
        <w:autoSpaceDN w:val="0"/>
        <w:adjustRightInd w:val="0"/>
        <w:spacing w:after="90"/>
        <w:jc w:val="left"/>
        <w:rPr>
          <w:rFonts w:asciiTheme="minorHAnsi" w:eastAsia="Calibri" w:hAnsiTheme="minorHAnsi"/>
        </w:rPr>
      </w:pPr>
      <w:r w:rsidRPr="003C1255">
        <w:rPr>
          <w:rFonts w:asciiTheme="minorHAnsi" w:hAnsiTheme="minorHAnsi"/>
        </w:rPr>
        <w:t xml:space="preserve">Moderate quality evidence found reduced pain with agalsidase alfa treatment compared with placebo. Low quality evidence suggested that there was no difference in heart and kidney function between treatment and placebo. </w:t>
      </w:r>
    </w:p>
    <w:p w:rsidR="003C1255" w:rsidRPr="003C1255" w:rsidRDefault="003C1255" w:rsidP="002D77B8">
      <w:pPr>
        <w:pStyle w:val="Bullet"/>
        <w:numPr>
          <w:ilvl w:val="0"/>
          <w:numId w:val="84"/>
        </w:numPr>
        <w:shd w:val="clear" w:color="auto" w:fill="FFFFFF"/>
        <w:autoSpaceDE w:val="0"/>
        <w:autoSpaceDN w:val="0"/>
        <w:adjustRightInd w:val="0"/>
        <w:spacing w:after="90"/>
        <w:jc w:val="left"/>
        <w:rPr>
          <w:rFonts w:asciiTheme="minorHAnsi" w:hAnsiTheme="minorHAnsi"/>
        </w:rPr>
      </w:pPr>
      <w:r w:rsidRPr="003C1255">
        <w:rPr>
          <w:rFonts w:asciiTheme="minorHAnsi" w:hAnsiTheme="minorHAnsi"/>
        </w:rPr>
        <w:t xml:space="preserve">A very small study of low quality found that heart function was better in individuals receiving agalsidase beta than in individuals receiving placebo. </w:t>
      </w:r>
    </w:p>
    <w:p w:rsidR="003C1255" w:rsidRPr="003C1255" w:rsidRDefault="003C1255" w:rsidP="002D77B8">
      <w:pPr>
        <w:pStyle w:val="Bullet"/>
        <w:numPr>
          <w:ilvl w:val="0"/>
          <w:numId w:val="84"/>
        </w:numPr>
        <w:shd w:val="clear" w:color="auto" w:fill="FFFFFF"/>
        <w:autoSpaceDE w:val="0"/>
        <w:autoSpaceDN w:val="0"/>
        <w:adjustRightInd w:val="0"/>
        <w:spacing w:after="90"/>
        <w:jc w:val="left"/>
        <w:rPr>
          <w:rFonts w:asciiTheme="minorHAnsi" w:hAnsiTheme="minorHAnsi"/>
        </w:rPr>
      </w:pPr>
      <w:r w:rsidRPr="003C1255">
        <w:rPr>
          <w:rFonts w:asciiTheme="minorHAnsi" w:hAnsiTheme="minorHAnsi"/>
        </w:rPr>
        <w:t>Limited Australian data showed that kidney function was slightly reduced in individuals receiving agalsidase alfa and slightly improved in individuals receiving agalsidase beta.</w:t>
      </w:r>
    </w:p>
    <w:p w:rsidR="003C1255" w:rsidRDefault="003C1255" w:rsidP="003C1255">
      <w:pPr>
        <w:pStyle w:val="Fundingsummary"/>
      </w:pPr>
      <w:r>
        <w:t>No new evidence was found to change the conclusion on funding of treatments for Fabry disease.</w:t>
      </w:r>
    </w:p>
    <w:p w:rsidR="003C1255" w:rsidRDefault="003C1255" w:rsidP="003C1255">
      <w:pPr>
        <w:pStyle w:val="Heading4"/>
        <w:rPr>
          <w:rFonts w:eastAsia="Calibri"/>
        </w:rPr>
      </w:pPr>
      <w:r>
        <w:rPr>
          <w:rFonts w:eastAsia="Calibri"/>
        </w:rPr>
        <w:t>Infantile-onset and Juvenile-</w:t>
      </w:r>
      <w:r w:rsidR="002734FC">
        <w:rPr>
          <w:rFonts w:eastAsia="Calibri"/>
        </w:rPr>
        <w:t xml:space="preserve">late </w:t>
      </w:r>
      <w:r>
        <w:rPr>
          <w:rFonts w:eastAsia="Calibri"/>
        </w:rPr>
        <w:t xml:space="preserve">onset Pompe disease </w:t>
      </w:r>
    </w:p>
    <w:p w:rsidR="003C1255" w:rsidRDefault="003C1255" w:rsidP="003C1255">
      <w:pPr>
        <w:rPr>
          <w:rFonts w:cstheme="minorHAnsi"/>
        </w:rPr>
      </w:pPr>
      <w:r>
        <w:rPr>
          <w:rFonts w:cstheme="minorHAnsi"/>
        </w:rPr>
        <w:t xml:space="preserve">Pompe disease is caused by an inherited enzyme deficiency, which leads to multisystem disease and often to early death. Symptoms of infantile-onset Pompe disease include </w:t>
      </w:r>
      <w:r>
        <w:rPr>
          <w:rFonts w:cstheme="minorHAnsi"/>
        </w:rPr>
        <w:lastRenderedPageBreak/>
        <w:t xml:space="preserve">enlarged heart, low muscle tone, breathing difficulties, muscle weakness, feeding difficulties and failure to thrive. </w:t>
      </w:r>
      <w:r>
        <w:rPr>
          <w:rFonts w:cs="Calibri"/>
        </w:rPr>
        <w:t>Juvenile-</w:t>
      </w:r>
      <w:r w:rsidR="002734FC">
        <w:rPr>
          <w:rFonts w:cs="Calibri"/>
        </w:rPr>
        <w:t xml:space="preserve">late </w:t>
      </w:r>
      <w:r>
        <w:rPr>
          <w:rFonts w:cs="Calibri"/>
        </w:rPr>
        <w:t xml:space="preserve">onset Pompe disease has milder symptoms and tends to progress more slowly. </w:t>
      </w:r>
      <w:r>
        <w:t>Alglucosidase alfa</w:t>
      </w:r>
      <w:r>
        <w:rPr>
          <w:rFonts w:cstheme="minorHAnsi"/>
        </w:rPr>
        <w:t xml:space="preserve"> is funded under the LSDP for the treatment of infantile-onset and </w:t>
      </w:r>
      <w:r w:rsidR="002734FC">
        <w:rPr>
          <w:rFonts w:cstheme="minorHAnsi"/>
        </w:rPr>
        <w:t>juvenile-late onset</w:t>
      </w:r>
      <w:r>
        <w:rPr>
          <w:rFonts w:cstheme="minorHAnsi"/>
        </w:rPr>
        <w:t xml:space="preserve"> Pompe disease.</w:t>
      </w:r>
    </w:p>
    <w:p w:rsidR="003C1255" w:rsidRDefault="003C1255" w:rsidP="003C1255">
      <w:pPr>
        <w:rPr>
          <w:rFonts w:eastAsiaTheme="minorHAnsi"/>
        </w:rPr>
      </w:pPr>
      <w:r>
        <w:rPr>
          <w:rFonts w:eastAsiaTheme="minorHAnsi"/>
        </w:rPr>
        <w:t>Findings from the systematic review and analysis of Australian data are as follows.</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eastAsia="Calibri" w:hAnsiTheme="minorHAnsi"/>
        </w:rPr>
      </w:pPr>
      <w:r w:rsidRPr="003C1255">
        <w:rPr>
          <w:rFonts w:asciiTheme="minorHAnsi" w:hAnsiTheme="minorHAnsi"/>
        </w:rPr>
        <w:t>No new studies were identified but longer-term data provide low quality but consistent evidence that alglucosidase alfa prolongs survival in infants with infantile Pompe disease.</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hAnsiTheme="minorHAnsi"/>
        </w:rPr>
      </w:pPr>
      <w:r w:rsidRPr="003C1255">
        <w:rPr>
          <w:rFonts w:asciiTheme="minorHAnsi" w:hAnsiTheme="minorHAnsi"/>
        </w:rPr>
        <w:t xml:space="preserve">Very poor quality data suggested that treatment of </w:t>
      </w:r>
      <w:r w:rsidR="002734FC">
        <w:rPr>
          <w:rFonts w:asciiTheme="minorHAnsi" w:hAnsiTheme="minorHAnsi"/>
        </w:rPr>
        <w:t>juvenile-late onset</w:t>
      </w:r>
      <w:r w:rsidRPr="003C1255">
        <w:rPr>
          <w:rFonts w:asciiTheme="minorHAnsi" w:hAnsiTheme="minorHAnsi"/>
        </w:rPr>
        <w:t xml:space="preserve"> Pompe disease with alglucosidase alfa improves lung and muscle function.</w:t>
      </w:r>
    </w:p>
    <w:p w:rsidR="003C1255" w:rsidRPr="003C1255" w:rsidRDefault="003C1255" w:rsidP="002D77B8">
      <w:pPr>
        <w:pStyle w:val="Bullet"/>
        <w:numPr>
          <w:ilvl w:val="0"/>
          <w:numId w:val="84"/>
        </w:numPr>
        <w:shd w:val="clear" w:color="auto" w:fill="FFFFFF"/>
        <w:autoSpaceDE w:val="0"/>
        <w:autoSpaceDN w:val="0"/>
        <w:adjustRightInd w:val="0"/>
        <w:spacing w:after="120" w:line="240" w:lineRule="auto"/>
        <w:jc w:val="left"/>
        <w:rPr>
          <w:rFonts w:asciiTheme="minorHAnsi" w:hAnsiTheme="minorHAnsi"/>
        </w:rPr>
      </w:pPr>
      <w:r w:rsidRPr="003C1255">
        <w:rPr>
          <w:rFonts w:asciiTheme="minorHAnsi" w:hAnsiTheme="minorHAnsi"/>
        </w:rPr>
        <w:t xml:space="preserve">Australian data on infants receiving treatment for infantile-onset Pompe disease were not analysed due to confidentiality concerns. Treatment for </w:t>
      </w:r>
      <w:r w:rsidR="002734FC">
        <w:rPr>
          <w:rFonts w:asciiTheme="minorHAnsi" w:hAnsiTheme="minorHAnsi"/>
        </w:rPr>
        <w:t>juvenile-late onset</w:t>
      </w:r>
      <w:r w:rsidRPr="003C1255">
        <w:rPr>
          <w:rFonts w:asciiTheme="minorHAnsi" w:hAnsiTheme="minorHAnsi"/>
        </w:rPr>
        <w:t xml:space="preserve"> Pompe disease has only recently been made available.</w:t>
      </w:r>
    </w:p>
    <w:p w:rsidR="003C1255" w:rsidRDefault="003C1255" w:rsidP="003C1255">
      <w:pPr>
        <w:pStyle w:val="Fundingsummary"/>
      </w:pPr>
      <w:r>
        <w:t xml:space="preserve">No new evidence was found to change the conclusion on funding of treatments for </w:t>
      </w:r>
      <w:r>
        <w:rPr>
          <w:rFonts w:cstheme="minorHAnsi"/>
        </w:rPr>
        <w:t xml:space="preserve">infantile-onset and </w:t>
      </w:r>
      <w:r w:rsidR="002734FC">
        <w:rPr>
          <w:rFonts w:cstheme="minorHAnsi"/>
        </w:rPr>
        <w:t>juvenile-late onset</w:t>
      </w:r>
      <w:r>
        <w:t xml:space="preserve"> Pompe disease.</w:t>
      </w:r>
    </w:p>
    <w:p w:rsidR="003C1255" w:rsidRDefault="003C1255" w:rsidP="003C1255">
      <w:pPr>
        <w:pStyle w:val="Heading4"/>
        <w:rPr>
          <w:rFonts w:eastAsia="Calibri"/>
        </w:rPr>
      </w:pPr>
      <w:r>
        <w:rPr>
          <w:rFonts w:eastAsia="Calibri"/>
        </w:rPr>
        <w:t xml:space="preserve">Mucopolysaccharidosis Types I, II and </w:t>
      </w:r>
      <w:r w:rsidR="00140217">
        <w:rPr>
          <w:rFonts w:eastAsia="Calibri"/>
        </w:rPr>
        <w:t>VI</w:t>
      </w:r>
    </w:p>
    <w:p w:rsidR="003C1255" w:rsidRDefault="003C1255" w:rsidP="003C1255">
      <w:pPr>
        <w:rPr>
          <w:rFonts w:eastAsiaTheme="majorEastAsia"/>
        </w:rPr>
      </w:pPr>
      <w:r>
        <w:rPr>
          <w:rFonts w:eastAsiaTheme="majorEastAsia"/>
        </w:rPr>
        <w:t xml:space="preserve">Mucopolysaccharidoses are severe conditions caused by the absence or reduced function of specific enzymes, which results from gene mutations and leads to the build-up of substances that cause permanent cell damage and progressive deterioration of organs and tissues. </w:t>
      </w:r>
    </w:p>
    <w:p w:rsidR="003C1255" w:rsidRDefault="003C1255" w:rsidP="003C1255">
      <w:pPr>
        <w:rPr>
          <w:rFonts w:cstheme="minorHAnsi"/>
        </w:rPr>
      </w:pPr>
      <w:r>
        <w:rPr>
          <w:rFonts w:cstheme="minorHAnsi"/>
        </w:rPr>
        <w:t>Symptoms include reduced lung and heart function and joint problems for type I; neurological impairment, bone disease and reduced lung and heart function for type II; and skeletal abnormalities and reduced lung, heart and blood vessel function for type VI. Treatments for mucopolysaccharidosis funded under the LSDP include the enzyme-replacement therapies, laronidase (type I), idursulfase (type II) and galsulfase (type VI).</w:t>
      </w:r>
    </w:p>
    <w:p w:rsidR="003C1255" w:rsidRDefault="003C1255" w:rsidP="003C1255">
      <w:pPr>
        <w:rPr>
          <w:rFonts w:eastAsiaTheme="minorHAnsi"/>
        </w:rPr>
      </w:pPr>
      <w:r>
        <w:rPr>
          <w:rFonts w:eastAsiaTheme="minorHAnsi"/>
        </w:rPr>
        <w:t>Findings from the systematic review and analysis of Australian data are as follows.</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eastAsia="Calibri" w:hAnsiTheme="minorHAnsi"/>
        </w:rPr>
      </w:pPr>
      <w:r w:rsidRPr="003C1255">
        <w:rPr>
          <w:rFonts w:asciiTheme="minorHAnsi" w:hAnsiTheme="minorHAnsi"/>
        </w:rPr>
        <w:t xml:space="preserve">A follow-up study found that lung function, activities of daily living and mobility improved or remained stable among individuals receiving laronidase over 3.5–4 years. </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hAnsiTheme="minorHAnsi"/>
        </w:rPr>
      </w:pPr>
      <w:r w:rsidRPr="003C1255">
        <w:rPr>
          <w:rFonts w:asciiTheme="minorHAnsi" w:hAnsiTheme="minorHAnsi"/>
        </w:rPr>
        <w:t xml:space="preserve">A follow-up study found that </w:t>
      </w:r>
      <w:proofErr w:type="gramStart"/>
      <w:r w:rsidRPr="003C1255">
        <w:rPr>
          <w:rFonts w:asciiTheme="minorHAnsi" w:hAnsiTheme="minorHAnsi"/>
        </w:rPr>
        <w:t>mobility,</w:t>
      </w:r>
      <w:proofErr w:type="gramEnd"/>
      <w:r w:rsidRPr="003C1255">
        <w:rPr>
          <w:rFonts w:asciiTheme="minorHAnsi" w:hAnsiTheme="minorHAnsi"/>
        </w:rPr>
        <w:t xml:space="preserve"> joint flexibility and liver and spleen size improved or remained stable in individuals receiving idursulfase over 3 years. Lung capacity improved among individuals aged ≤18 years and decreased slightly among those aged &gt;18 years. </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hAnsiTheme="minorHAnsi"/>
        </w:rPr>
      </w:pPr>
      <w:r w:rsidRPr="003C1255">
        <w:rPr>
          <w:rFonts w:asciiTheme="minorHAnsi" w:hAnsiTheme="minorHAnsi"/>
        </w:rPr>
        <w:t xml:space="preserve">An extension of a study on </w:t>
      </w:r>
      <w:r w:rsidRPr="003C1255">
        <w:rPr>
          <w:rFonts w:asciiTheme="minorHAnsi" w:hAnsiTheme="minorHAnsi" w:cstheme="minorHAnsi"/>
        </w:rPr>
        <w:t xml:space="preserve">galsulfase </w:t>
      </w:r>
      <w:r w:rsidRPr="003C1255">
        <w:rPr>
          <w:rFonts w:asciiTheme="minorHAnsi" w:hAnsiTheme="minorHAnsi"/>
        </w:rPr>
        <w:t>provided to the PBAC was identified but no new data could be extracted.</w:t>
      </w:r>
    </w:p>
    <w:p w:rsidR="003C1255" w:rsidRPr="003C1255" w:rsidRDefault="003C1255" w:rsidP="002D77B8">
      <w:pPr>
        <w:pStyle w:val="Bullet"/>
        <w:numPr>
          <w:ilvl w:val="0"/>
          <w:numId w:val="84"/>
        </w:numPr>
        <w:shd w:val="clear" w:color="auto" w:fill="FFFFFF"/>
        <w:autoSpaceDE w:val="0"/>
        <w:autoSpaceDN w:val="0"/>
        <w:adjustRightInd w:val="0"/>
        <w:spacing w:after="90" w:line="240" w:lineRule="auto"/>
        <w:jc w:val="left"/>
        <w:rPr>
          <w:rFonts w:asciiTheme="minorHAnsi" w:hAnsiTheme="minorHAnsi"/>
        </w:rPr>
      </w:pPr>
      <w:r w:rsidRPr="003C1255">
        <w:rPr>
          <w:rFonts w:asciiTheme="minorHAnsi" w:hAnsiTheme="minorHAnsi"/>
        </w:rPr>
        <w:t>Australian data on individuals with mucopolysaccharidosis types I, II and VI were insufficient to allow conclusions to be made about the effectiveness or safety of treatments.</w:t>
      </w:r>
    </w:p>
    <w:p w:rsidR="003C1255" w:rsidRDefault="003C1255" w:rsidP="003C1255">
      <w:pPr>
        <w:pStyle w:val="Fundingsummary"/>
      </w:pPr>
      <w:r>
        <w:t xml:space="preserve">The new data are unlikely to change the conclusion on the funding of drug for the treatment of mucopolysaccharidosis types </w:t>
      </w:r>
      <w:proofErr w:type="gramStart"/>
      <w:r>
        <w:t>I</w:t>
      </w:r>
      <w:proofErr w:type="gramEnd"/>
      <w:r>
        <w:t>, II and VI.</w:t>
      </w:r>
    </w:p>
    <w:p w:rsidR="003C1255" w:rsidRDefault="003C1255" w:rsidP="003C1255">
      <w:pPr>
        <w:pStyle w:val="Heading4"/>
        <w:rPr>
          <w:rFonts w:eastAsia="Calibri"/>
        </w:rPr>
      </w:pPr>
      <w:r>
        <w:rPr>
          <w:rFonts w:eastAsia="Calibri"/>
        </w:rPr>
        <w:lastRenderedPageBreak/>
        <w:t>Paroxysmal Nocturnal Haemoglobinuria</w:t>
      </w:r>
    </w:p>
    <w:p w:rsidR="003C1255" w:rsidRDefault="003C1255" w:rsidP="003C1255">
      <w:pPr>
        <w:rPr>
          <w:rFonts w:eastAsia="Calibri"/>
        </w:rPr>
      </w:pPr>
      <w:r>
        <w:t>Paroxysmal nocturnal haemoglobinuria is a rare, genetically acquired,</w:t>
      </w:r>
      <w:r>
        <w:rPr>
          <w:vertAlign w:val="superscript"/>
        </w:rPr>
        <w:t xml:space="preserve"> </w:t>
      </w:r>
      <w:r>
        <w:t xml:space="preserve">life-threatening disease in which red blood cells are destroyed by the immune system. </w:t>
      </w:r>
      <w:r>
        <w:rPr>
          <w:rFonts w:cstheme="minorHAnsi"/>
        </w:rPr>
        <w:t>Common symptoms include fatigue, breathlessness, recurrent abdominal pain, difficulty swallowing, chest pain and high blood pressure in the blood vessels of the lungs. The risk of blood clots is also increased.</w:t>
      </w:r>
    </w:p>
    <w:p w:rsidR="003C1255" w:rsidRDefault="003C1255" w:rsidP="003C1255">
      <w:pPr>
        <w:keepNext/>
        <w:rPr>
          <w:rFonts w:eastAsiaTheme="minorHAnsi"/>
        </w:rPr>
      </w:pPr>
      <w:r>
        <w:rPr>
          <w:rFonts w:eastAsiaTheme="minorHAnsi"/>
        </w:rPr>
        <w:t>Findings from the systematic review and analysis of Australian data are as follows.</w:t>
      </w:r>
    </w:p>
    <w:p w:rsidR="003C1255" w:rsidRPr="003C1255" w:rsidRDefault="003C1255" w:rsidP="002D77B8">
      <w:pPr>
        <w:pStyle w:val="Bullet"/>
        <w:keepNext/>
        <w:numPr>
          <w:ilvl w:val="0"/>
          <w:numId w:val="84"/>
        </w:numPr>
        <w:shd w:val="clear" w:color="auto" w:fill="FFFFFF"/>
        <w:autoSpaceDE w:val="0"/>
        <w:autoSpaceDN w:val="0"/>
        <w:adjustRightInd w:val="0"/>
        <w:spacing w:after="90" w:line="240" w:lineRule="auto"/>
        <w:jc w:val="left"/>
        <w:rPr>
          <w:rFonts w:asciiTheme="minorHAnsi" w:eastAsia="Calibri" w:hAnsiTheme="minorHAnsi"/>
        </w:rPr>
      </w:pPr>
      <w:r w:rsidRPr="003C1255">
        <w:rPr>
          <w:rFonts w:asciiTheme="minorHAnsi" w:hAnsiTheme="minorHAnsi"/>
        </w:rPr>
        <w:t>One new study of poor quality supported the claim that eculizumab treatment extends survival in individuals with paroxysmal nocturnal haemoglobinuria.</w:t>
      </w:r>
    </w:p>
    <w:p w:rsidR="003C1255" w:rsidRPr="003C1255" w:rsidRDefault="003C1255" w:rsidP="002D77B8">
      <w:pPr>
        <w:pStyle w:val="Bullet"/>
        <w:numPr>
          <w:ilvl w:val="0"/>
          <w:numId w:val="84"/>
        </w:numPr>
        <w:shd w:val="clear" w:color="auto" w:fill="FFFFFF"/>
        <w:autoSpaceDE w:val="0"/>
        <w:autoSpaceDN w:val="0"/>
        <w:adjustRightInd w:val="0"/>
        <w:spacing w:after="120" w:line="240" w:lineRule="auto"/>
        <w:jc w:val="left"/>
        <w:rPr>
          <w:rFonts w:asciiTheme="minorHAnsi" w:hAnsiTheme="minorHAnsi"/>
        </w:rPr>
      </w:pPr>
      <w:r w:rsidRPr="003C1255">
        <w:rPr>
          <w:rFonts w:asciiTheme="minorHAnsi" w:hAnsiTheme="minorHAnsi"/>
        </w:rPr>
        <w:t>As no baseline data on individuals receiving eculizumab were available, the effect of treatment could not be assessed.</w:t>
      </w:r>
    </w:p>
    <w:p w:rsidR="003C1255" w:rsidRDefault="003C1255" w:rsidP="003C1255">
      <w:pPr>
        <w:pStyle w:val="Fundingsummary"/>
      </w:pPr>
      <w:r>
        <w:t>No new evidence was found to change the conclusion on funding of treatments for paroxysmal nocturnal haemoglobinuria.</w:t>
      </w:r>
    </w:p>
    <w:p w:rsidR="003C1255" w:rsidRDefault="003C1255" w:rsidP="003C1255">
      <w:pPr>
        <w:pStyle w:val="Heading3"/>
      </w:pPr>
      <w:r>
        <w:t>Treatments and diseases for which funding may be sought in the future</w:t>
      </w:r>
    </w:p>
    <w:p w:rsidR="003C1255" w:rsidRDefault="003C1255" w:rsidP="003C1255">
      <w:r>
        <w:t>The technical assessment considered treatments and diseases that could be relevant to the LSDP in the near future. Factors of relevance to the future sustainability of the LSDP include:</w:t>
      </w:r>
    </w:p>
    <w:p w:rsidR="003C1255" w:rsidRPr="003C1255" w:rsidRDefault="003C1255" w:rsidP="002D77B8">
      <w:pPr>
        <w:pStyle w:val="Bullet"/>
        <w:numPr>
          <w:ilvl w:val="0"/>
          <w:numId w:val="84"/>
        </w:numPr>
        <w:shd w:val="clear" w:color="auto" w:fill="FFFFFF"/>
        <w:autoSpaceDE w:val="0"/>
        <w:autoSpaceDN w:val="0"/>
        <w:adjustRightInd w:val="0"/>
        <w:spacing w:after="90"/>
        <w:jc w:val="left"/>
        <w:rPr>
          <w:rFonts w:asciiTheme="minorHAnsi" w:hAnsiTheme="minorHAnsi"/>
        </w:rPr>
      </w:pPr>
      <w:r w:rsidRPr="003C1255">
        <w:rPr>
          <w:rFonts w:asciiTheme="minorHAnsi" w:hAnsiTheme="minorHAnsi"/>
        </w:rPr>
        <w:t>basing inclusion in the LSDP on rarity of the disease — with growing knowledge of the genetic mutations that cause conditions, diseases previously considered common are being divided into many different rare subtypes that can be individually targeted with drugs that may be considered eligible for the LSDP;</w:t>
      </w:r>
    </w:p>
    <w:p w:rsidR="003C1255" w:rsidRPr="003C1255"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hAnsiTheme="minorHAnsi"/>
        </w:rPr>
      </w:pPr>
      <w:r w:rsidRPr="003C1255">
        <w:rPr>
          <w:rFonts w:asciiTheme="minorHAnsi" w:hAnsiTheme="minorHAnsi"/>
        </w:rPr>
        <w:t>defining ‘rare’ — with a definition of ≤1 in 100,000, some conditions (e.g. cystic fibrosis, Huntingdon’s disease, motor neurone disease) would be too common for drugs to be listed on the LSDP (unless rare subtypes are considered), while with a definition of &lt;1 in 2,000, subtypes of common conditions (e.g. melanoma, lung cancer) could potentially be identified and targeted with drugs that would be eligible for the LSDP;</w:t>
      </w:r>
    </w:p>
    <w:p w:rsidR="003C1255" w:rsidRPr="003C1255"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hAnsiTheme="minorHAnsi"/>
        </w:rPr>
      </w:pPr>
      <w:r w:rsidRPr="003C1255">
        <w:rPr>
          <w:rFonts w:asciiTheme="minorHAnsi" w:hAnsiTheme="minorHAnsi"/>
        </w:rPr>
        <w:t>emerging clinical treatments for severe diseases —treatment types of growing importance are monoclonal antibodies and gene therapies; and</w:t>
      </w:r>
    </w:p>
    <w:p w:rsidR="003C1255" w:rsidRPr="003C1255"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hAnsiTheme="minorHAnsi"/>
        </w:rPr>
      </w:pPr>
      <w:proofErr w:type="gramStart"/>
      <w:r w:rsidRPr="003C1255">
        <w:rPr>
          <w:rFonts w:asciiTheme="minorHAnsi" w:hAnsiTheme="minorHAnsi"/>
        </w:rPr>
        <w:t>treatment</w:t>
      </w:r>
      <w:proofErr w:type="gramEnd"/>
      <w:r w:rsidRPr="003C1255">
        <w:rPr>
          <w:rFonts w:asciiTheme="minorHAnsi" w:hAnsiTheme="minorHAnsi"/>
        </w:rPr>
        <w:t xml:space="preserve"> of rare diseases with drugs that are already used to treat other more common conditions.  </w:t>
      </w:r>
    </w:p>
    <w:p w:rsidR="003C1255" w:rsidRDefault="003C1255" w:rsidP="003C1255">
      <w:r>
        <w:t>Various drugs were identified that could potentially be relevant to the LSDP. However, the data were too limited to determine the exact nature of the populations being targeted by the sponsors of these drugs.</w:t>
      </w:r>
    </w:p>
    <w:p w:rsidR="003C1255" w:rsidRDefault="003C1255" w:rsidP="003C1255">
      <w:pPr>
        <w:pStyle w:val="Heading3"/>
      </w:pPr>
      <w:r>
        <w:t>International approaches to defining rare diseases and funding drugs</w:t>
      </w:r>
    </w:p>
    <w:p w:rsidR="003C1255" w:rsidRDefault="003C1255" w:rsidP="003C1255">
      <w:r>
        <w:t xml:space="preserve">Internationally, ‘rare disease’ is frequently defined by legislation, which often aims to provide incentives for industry to develop and market drugs to prevent, diagnose or treat rare diseases. The definition of rare disease varies between countries, ranging from 1 in </w:t>
      </w:r>
      <w:r>
        <w:lastRenderedPageBreak/>
        <w:t xml:space="preserve">500,000 in China to &lt;1 in 1,500 in the United States. The European Union defines a rare disease as occurring in ≤1 in 2,000 people. </w:t>
      </w:r>
      <w:r w:rsidR="005C10BE" w:rsidRPr="00883376">
        <w:t xml:space="preserve">For the purpose of orphan drug registration, the Australian Therapeutic Goods Act defines a rare disease as one that has fewer than 2,000 patients, which is approximated as a prevalence of 1 in 10,000 persons. </w:t>
      </w:r>
    </w:p>
    <w:p w:rsidR="003C1255" w:rsidRDefault="003C1255" w:rsidP="003C1255">
      <w:pPr>
        <w:pStyle w:val="Heading4"/>
      </w:pPr>
      <w:r>
        <w:t>Funding drugs for rare diseases</w:t>
      </w:r>
    </w:p>
    <w:p w:rsidR="003C1255" w:rsidRDefault="005C10BE" w:rsidP="003C1255">
      <w:r w:rsidRPr="00883376">
        <w:t xml:space="preserve">Australia has no specific evaluation program for drugs for rare diseases (DRDs). However, a DRD can be considered to be reimbursed through the LSDP if the PBAC accepts its clinical effectiveness but rejects its listing on the PBS as the DRD does not meet the cost-effectiveness criterion. </w:t>
      </w:r>
      <w:r>
        <w:t xml:space="preserve">Many funding bodies in other countries allow special consideration for drugs developed to treat rare diseases (‘orphan drugs’), including relaxed pharmacoeconomic evaluation requirements, higher cost-effectiveness thresholds, consideration of a broader societal perspective, acceptance of poorer quality evidence, or placement of greater weight in decision-making on the lack of alternative treatments. </w:t>
      </w:r>
      <w:r w:rsidR="003C1255">
        <w:t xml:space="preserve"> </w:t>
      </w:r>
    </w:p>
    <w:p w:rsidR="003C1255" w:rsidRDefault="003C1255" w:rsidP="003C1255">
      <w:r>
        <w:t xml:space="preserve">Evaluation and funding mechanisms specific to orphan drugs exist in the Netherlands, Italy, England, Wales, and Canada (Ontario and Alberta). In Japan, 56 diseases are considered eligible for public funding. Managed entry schemes are used for orphan drugs in parts of Europe, using either performance-based risk sharing or financial-based schemes. </w:t>
      </w:r>
    </w:p>
    <w:p w:rsidR="003C1255" w:rsidRDefault="003C1255" w:rsidP="003C1255">
      <w:r>
        <w:t>Approaches to monitoring pricing and funding decisions include requiring submission of a revised report 1.5–3 years after approval (Belgium); reappraisal of evidence after 3 years (the Netherlands) or 5 years (United Kingdom); or limiting listing validity to 5 years (France).</w:t>
      </w:r>
    </w:p>
    <w:p w:rsidR="003C1255" w:rsidRDefault="003C1255" w:rsidP="003C1255">
      <w:pPr>
        <w:pStyle w:val="Heading3"/>
      </w:pPr>
      <w:r>
        <w:t>Assessing value for money</w:t>
      </w:r>
    </w:p>
    <w:p w:rsidR="003C1255" w:rsidRDefault="003C1255" w:rsidP="003C1255">
      <w:r>
        <w:t>The technical assessment identified published literature on methods to determine ‘value’ that could potentially be applied to orphan drugs and the LSDP. Alternative approaches to routine cost-utility analyses identified were:</w:t>
      </w:r>
    </w:p>
    <w:p w:rsidR="003C1255" w:rsidRPr="003C1255"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hAnsiTheme="minorHAnsi"/>
        </w:rPr>
      </w:pPr>
      <w:r w:rsidRPr="003C1255">
        <w:rPr>
          <w:rFonts w:asciiTheme="minorHAnsi" w:hAnsiTheme="minorHAnsi"/>
        </w:rPr>
        <w:t xml:space="preserve">cost-utility evaluation, broadened to include the impact of the disease or condition on family and carers as well as individuals; </w:t>
      </w:r>
    </w:p>
    <w:p w:rsidR="003C1255" w:rsidRPr="003C1255"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hAnsiTheme="minorHAnsi"/>
        </w:rPr>
      </w:pPr>
      <w:r w:rsidRPr="003C1255">
        <w:rPr>
          <w:rFonts w:asciiTheme="minorHAnsi" w:hAnsiTheme="minorHAnsi"/>
        </w:rPr>
        <w:t>equity-weighted cost-utility evaluation incorporating societal preferences for equity and social justice with greater preference on treatments that are: life-saving; treat more severe diseases; and affect the socio-economically disadvantaged, children, people with dependents </w:t>
      </w:r>
      <w:r w:rsidR="00082C10" w:rsidRPr="003C1255">
        <w:rPr>
          <w:rFonts w:asciiTheme="minorHAnsi" w:hAnsiTheme="minorHAnsi"/>
        </w:rPr>
        <w:t>etc.</w:t>
      </w:r>
      <w:r w:rsidRPr="003C1255">
        <w:rPr>
          <w:rFonts w:asciiTheme="minorHAnsi" w:hAnsiTheme="minorHAnsi"/>
        </w:rPr>
        <w:t>;</w:t>
      </w:r>
    </w:p>
    <w:p w:rsidR="003C1255" w:rsidRPr="003C1255"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hAnsiTheme="minorHAnsi"/>
        </w:rPr>
      </w:pPr>
      <w:r w:rsidRPr="003C1255">
        <w:rPr>
          <w:rFonts w:asciiTheme="minorHAnsi" w:hAnsiTheme="minorHAnsi"/>
        </w:rPr>
        <w:t>Multi-Criteria Decision Analysis, an alternative ‘scoring’ framework that assesses treatments across a range of relevant domains (e.g. effectiveness and safety, economic impact and considerations such as severity of the disease, equity/ethical and social implications of the drug, or current health policy goals); and</w:t>
      </w:r>
    </w:p>
    <w:p w:rsidR="003C1255" w:rsidRPr="003C1255"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hAnsiTheme="minorHAnsi"/>
        </w:rPr>
      </w:pPr>
      <w:proofErr w:type="gramStart"/>
      <w:r w:rsidRPr="003C1255">
        <w:rPr>
          <w:rFonts w:asciiTheme="minorHAnsi" w:hAnsiTheme="minorHAnsi"/>
        </w:rPr>
        <w:t>input-based</w:t>
      </w:r>
      <w:proofErr w:type="gramEnd"/>
      <w:r w:rsidRPr="003C1255">
        <w:rPr>
          <w:rFonts w:asciiTheme="minorHAnsi" w:hAnsiTheme="minorHAnsi"/>
        </w:rPr>
        <w:t xml:space="preserve"> costing, which considers only the costs associated with the development and production of the drug (not the health benefits). </w:t>
      </w:r>
    </w:p>
    <w:p w:rsidR="003C1255" w:rsidRDefault="003C1255" w:rsidP="003C1255">
      <w:pPr>
        <w:rPr>
          <w:rFonts w:eastAsia="Calibri"/>
        </w:rPr>
      </w:pPr>
      <w:r>
        <w:rPr>
          <w:rFonts w:eastAsia="Calibri"/>
        </w:rPr>
        <w:lastRenderedPageBreak/>
        <w:t>Combinations of methods could be utilised with careful consideration to avoiding duplication.</w:t>
      </w:r>
    </w:p>
    <w:p w:rsidR="003C1255" w:rsidRDefault="003C1255" w:rsidP="003C1255">
      <w:pPr>
        <w:pStyle w:val="Heading3"/>
      </w:pPr>
      <w:r>
        <w:t>Data collection framework</w:t>
      </w:r>
    </w:p>
    <w:p w:rsidR="003C1255" w:rsidRDefault="003C1255" w:rsidP="003C1255">
      <w:pPr>
        <w:rPr>
          <w:rFonts w:eastAsia="Calibri"/>
        </w:rPr>
      </w:pPr>
      <w:r>
        <w:rPr>
          <w:rFonts w:eastAsia="Calibri"/>
        </w:rPr>
        <w:t xml:space="preserve">Due to the small number of patients with rare diseases in Australia, it is suggested that Australian physicians and individuals with rare diseases be encouraged to participate in international registries, where they exist. </w:t>
      </w:r>
    </w:p>
    <w:p w:rsidR="003C1255" w:rsidRDefault="003C1255" w:rsidP="003C1255">
      <w:pPr>
        <w:rPr>
          <w:rFonts w:eastAsia="Calibri"/>
        </w:rPr>
      </w:pPr>
      <w:r>
        <w:rPr>
          <w:rFonts w:eastAsia="Calibri"/>
        </w:rPr>
        <w:t>Elements that should be considered in developing a registry include:</w:t>
      </w:r>
    </w:p>
    <w:p w:rsidR="003C1255" w:rsidRPr="003C1255"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eastAsia="Calibri" w:hAnsiTheme="minorHAnsi"/>
        </w:rPr>
      </w:pPr>
      <w:r w:rsidRPr="003C1255">
        <w:rPr>
          <w:rFonts w:asciiTheme="minorHAnsi" w:hAnsiTheme="minorHAnsi"/>
        </w:rPr>
        <w:t>the purpose of the registry (i.e. evaluating eligibility for ongoing access to drugs, costs of the drug and management of the condition and safety and effectiveness of a drug; using cost, safety and effectiveness measures to facilitate risk-share agreements between sponsors and Government; and ensuring access to data by key stakeholders);</w:t>
      </w:r>
    </w:p>
    <w:p w:rsidR="003C1255" w:rsidRPr="003C1255"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hAnsiTheme="minorHAnsi"/>
        </w:rPr>
      </w:pPr>
      <w:r w:rsidRPr="003C1255">
        <w:rPr>
          <w:rFonts w:asciiTheme="minorHAnsi" w:hAnsiTheme="minorHAnsi"/>
        </w:rPr>
        <w:t xml:space="preserve"> the best method for data collection (i.e. one that balances ease of use and the amount of detail required, so that the data collected fits the purpose and is not an unreasonable burden on individuals, their families or the treating physician — questions need to be clear and unambiguous, with explicit definitions for each data item);</w:t>
      </w:r>
    </w:p>
    <w:p w:rsidR="003C1255" w:rsidRPr="003C1255"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hAnsiTheme="minorHAnsi"/>
        </w:rPr>
      </w:pPr>
      <w:r w:rsidRPr="003C1255">
        <w:rPr>
          <w:rFonts w:asciiTheme="minorHAnsi" w:hAnsiTheme="minorHAnsi"/>
        </w:rPr>
        <w:t>quality assurance processes to ensure completeness of data and compliance (e.g. prompts, clear instructions, data dictionaries, automated reminders, cross-checking with external sources, clarification with data provider to correct spurious or missing data, an audit trail of changes, and reporting of common errors to enable ongoing improvements);</w:t>
      </w:r>
    </w:p>
    <w:p w:rsidR="003C1255" w:rsidRPr="003C1255"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hAnsiTheme="minorHAnsi"/>
        </w:rPr>
      </w:pPr>
      <w:r w:rsidRPr="003C1255">
        <w:rPr>
          <w:rFonts w:asciiTheme="minorHAnsi" w:hAnsiTheme="minorHAnsi"/>
        </w:rPr>
        <w:t>governance structures (including key stakeholders involved in developing and maintaining the registry and reporting to Government, the public and funders of the registry);</w:t>
      </w:r>
    </w:p>
    <w:p w:rsidR="003C1255" w:rsidRPr="003C1255"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hAnsiTheme="minorHAnsi"/>
        </w:rPr>
      </w:pPr>
      <w:r w:rsidRPr="003C1255">
        <w:rPr>
          <w:rFonts w:asciiTheme="minorHAnsi" w:hAnsiTheme="minorHAnsi"/>
        </w:rPr>
        <w:t>maintenance of privacy and appropriate consent or assent for the collection of data; and</w:t>
      </w:r>
    </w:p>
    <w:p w:rsidR="003C1255" w:rsidRPr="00E502C3" w:rsidRDefault="003C1255" w:rsidP="002D77B8">
      <w:pPr>
        <w:pStyle w:val="Bullet"/>
        <w:numPr>
          <w:ilvl w:val="0"/>
          <w:numId w:val="84"/>
        </w:numPr>
        <w:shd w:val="clear" w:color="auto" w:fill="FFFFFF"/>
        <w:autoSpaceDE w:val="0"/>
        <w:autoSpaceDN w:val="0"/>
        <w:adjustRightInd w:val="0"/>
        <w:spacing w:after="90"/>
        <w:ind w:left="357" w:hanging="357"/>
        <w:jc w:val="left"/>
        <w:rPr>
          <w:rFonts w:asciiTheme="minorHAnsi" w:hAnsiTheme="minorHAnsi"/>
        </w:rPr>
      </w:pPr>
      <w:proofErr w:type="gramStart"/>
      <w:r w:rsidRPr="003C1255">
        <w:rPr>
          <w:rFonts w:asciiTheme="minorHAnsi" w:hAnsiTheme="minorHAnsi"/>
        </w:rPr>
        <w:t>resourcing</w:t>
      </w:r>
      <w:proofErr w:type="gramEnd"/>
      <w:r w:rsidRPr="003C1255">
        <w:rPr>
          <w:rFonts w:asciiTheme="minorHAnsi" w:hAnsiTheme="minorHAnsi"/>
        </w:rPr>
        <w:t xml:space="preserve"> and funding (including initial set-up costs and the ongoing running costs).</w:t>
      </w:r>
      <w:r w:rsidR="00E502C3">
        <w:rPr>
          <w:rFonts w:asciiTheme="minorHAnsi" w:hAnsiTheme="minorHAnsi"/>
        </w:rPr>
        <w:br w:type="page"/>
      </w:r>
    </w:p>
    <w:p w:rsidR="003C1255" w:rsidRDefault="003C1255" w:rsidP="003C1255">
      <w:pPr>
        <w:pStyle w:val="Heading3"/>
      </w:pPr>
      <w:r>
        <w:lastRenderedPageBreak/>
        <w:t>Conclusion</w:t>
      </w:r>
    </w:p>
    <w:p w:rsidR="00937CB0" w:rsidRDefault="003C1255" w:rsidP="003C1255">
      <w:r>
        <w:t xml:space="preserve">This technical assessment has shown that most of the drugs currently funded by the LSDP are </w:t>
      </w:r>
      <w:r w:rsidR="00937CB0">
        <w:t>clinically</w:t>
      </w:r>
      <w:r>
        <w:t xml:space="preserve"> effective</w:t>
      </w:r>
      <w:r w:rsidR="00937CB0">
        <w:t xml:space="preserve"> and with an acceptable safety profile</w:t>
      </w:r>
      <w:r>
        <w:t xml:space="preserve">. However, there are warning signs that the LSDP is </w:t>
      </w:r>
      <w:r w:rsidR="00937CB0">
        <w:t>un</w:t>
      </w:r>
      <w:r>
        <w:t>likely to be sustainable in the future, given current patterns of drug development and marketing. Lessons learned from international experience in the public funding of orphan drugs and from economic theory show a range of approaches that might be adopted to work towards a sustainable LSDP.</w:t>
      </w:r>
      <w:r w:rsidR="00937CB0" w:rsidRPr="00937CB0">
        <w:t xml:space="preserve"> </w:t>
      </w:r>
      <w:r w:rsidR="00937CB0">
        <w:t>One of these approaches could include the development of a drug surveillance registry to help determine whether each drug performs as expected.</w:t>
      </w:r>
    </w:p>
    <w:p w:rsidR="00AE2A2A" w:rsidRDefault="00AE2A2A" w:rsidP="003C1255">
      <w:pPr>
        <w:rPr>
          <w:lang w:eastAsia="en-AU"/>
        </w:rPr>
      </w:pPr>
      <w:r>
        <w:rPr>
          <w:lang w:eastAsia="en-AU"/>
        </w:rPr>
        <w:br w:type="page"/>
      </w:r>
    </w:p>
    <w:p w:rsidR="0004128C" w:rsidRPr="00F24A4C" w:rsidRDefault="00AE2A2A" w:rsidP="000959DF">
      <w:pPr>
        <w:pStyle w:val="Heading1"/>
        <w:numPr>
          <w:ilvl w:val="0"/>
          <w:numId w:val="62"/>
        </w:numPr>
      </w:pPr>
      <w:bookmarkStart w:id="18" w:name="_Toc415141718"/>
      <w:r>
        <w:lastRenderedPageBreak/>
        <w:t>Technical</w:t>
      </w:r>
      <w:r w:rsidR="0004128C" w:rsidRPr="00F24A4C">
        <w:t xml:space="preserve"> summary</w:t>
      </w:r>
      <w:bookmarkEnd w:id="16"/>
      <w:bookmarkEnd w:id="18"/>
    </w:p>
    <w:p w:rsidR="0004128C" w:rsidRPr="0004128C" w:rsidRDefault="0004128C" w:rsidP="0004128C">
      <w:pPr>
        <w:keepNext/>
        <w:keepLines/>
        <w:spacing w:before="240"/>
        <w:outlineLvl w:val="1"/>
        <w:rPr>
          <w:rFonts w:ascii="Cambria" w:hAnsi="Cambria"/>
          <w:bCs/>
          <w:noProof/>
          <w:color w:val="002060"/>
          <w:sz w:val="28"/>
          <w:szCs w:val="26"/>
          <w:lang w:eastAsia="en-AU"/>
        </w:rPr>
      </w:pPr>
      <w:bookmarkStart w:id="19" w:name="_Toc404350075"/>
      <w:bookmarkStart w:id="20" w:name="_Toc404937234"/>
      <w:r w:rsidRPr="0004128C">
        <w:rPr>
          <w:rFonts w:ascii="Cambria" w:hAnsi="Cambria"/>
          <w:bCs/>
          <w:noProof/>
          <w:color w:val="002060"/>
          <w:sz w:val="28"/>
          <w:szCs w:val="26"/>
          <w:lang w:eastAsia="en-AU"/>
        </w:rPr>
        <w:t>Purpose</w:t>
      </w:r>
      <w:bookmarkEnd w:id="19"/>
      <w:bookmarkEnd w:id="20"/>
    </w:p>
    <w:p w:rsidR="00EE6A68" w:rsidRDefault="00EE6A68" w:rsidP="00B765BB">
      <w:r>
        <w:t xml:space="preserve">The purpose of this technical assessment </w:t>
      </w:r>
      <w:r w:rsidR="00E14A82">
        <w:t>wa</w:t>
      </w:r>
      <w:r>
        <w:t xml:space="preserve">s to inform the Life Saving Drugs Programme (LSDP) Review, being undertaken by the Australian Government Department of Health, as part of the Government‘s Post-market Reviews programme. </w:t>
      </w:r>
    </w:p>
    <w:p w:rsidR="0004128C" w:rsidRPr="0004128C" w:rsidRDefault="0039501E" w:rsidP="00B765BB">
      <w:r w:rsidRPr="0004128C">
        <w:t xml:space="preserve">The objective of the LSDP Review </w:t>
      </w:r>
      <w:r w:rsidR="00EE6A68">
        <w:t>is</w:t>
      </w:r>
      <w:r w:rsidRPr="0004128C">
        <w:t xml:space="preserve"> to examine important issues such as access and equity, value for money and the future administration of the Programme.</w:t>
      </w:r>
    </w:p>
    <w:p w:rsidR="0004128C" w:rsidRPr="0004128C" w:rsidRDefault="0004128C" w:rsidP="0004128C">
      <w:pPr>
        <w:keepNext/>
        <w:keepLines/>
        <w:spacing w:before="240"/>
        <w:outlineLvl w:val="1"/>
        <w:rPr>
          <w:rFonts w:ascii="Cambria" w:hAnsi="Cambria"/>
          <w:bCs/>
          <w:noProof/>
          <w:color w:val="002060"/>
          <w:sz w:val="28"/>
          <w:szCs w:val="26"/>
          <w:lang w:eastAsia="en-AU"/>
        </w:rPr>
      </w:pPr>
      <w:bookmarkStart w:id="21" w:name="_Toc404350076"/>
      <w:bookmarkStart w:id="22" w:name="_Toc404937235"/>
      <w:r w:rsidRPr="0004128C">
        <w:rPr>
          <w:rFonts w:ascii="Cambria" w:hAnsi="Cambria"/>
          <w:bCs/>
          <w:noProof/>
          <w:color w:val="002060"/>
          <w:sz w:val="28"/>
          <w:szCs w:val="26"/>
          <w:lang w:eastAsia="en-AU"/>
        </w:rPr>
        <w:t>Review questions</w:t>
      </w:r>
      <w:bookmarkEnd w:id="21"/>
      <w:bookmarkEnd w:id="22"/>
    </w:p>
    <w:p w:rsidR="0004128C" w:rsidRDefault="00EE6A68" w:rsidP="0004128C">
      <w:pPr>
        <w:spacing w:after="0" w:line="240" w:lineRule="auto"/>
        <w:jc w:val="left"/>
      </w:pPr>
      <w:r>
        <w:t xml:space="preserve">The Terms of Reference (ToR) for the LSDP Review are given below. This technical assessment addresses those ToRs which are in bold. </w:t>
      </w:r>
    </w:p>
    <w:p w:rsidR="00EE6A68" w:rsidRPr="0004128C" w:rsidRDefault="00EE6A68" w:rsidP="0004128C">
      <w:pPr>
        <w:spacing w:after="0" w:line="240" w:lineRule="auto"/>
        <w:jc w:val="left"/>
      </w:pPr>
    </w:p>
    <w:p w:rsidR="0004128C" w:rsidRPr="00B765BB" w:rsidRDefault="0004128C" w:rsidP="000959DF">
      <w:pPr>
        <w:pStyle w:val="ListParagraph"/>
        <w:numPr>
          <w:ilvl w:val="0"/>
          <w:numId w:val="81"/>
        </w:numPr>
        <w:rPr>
          <w:b/>
        </w:rPr>
      </w:pPr>
      <w:r w:rsidRPr="00B765BB">
        <w:rPr>
          <w:b/>
        </w:rPr>
        <w:t>Review the clinical effectiveness and safety of medicines currently subsidised through the LSDP.</w:t>
      </w:r>
    </w:p>
    <w:p w:rsidR="0004128C" w:rsidRPr="00B765BB" w:rsidRDefault="0004128C" w:rsidP="000959DF">
      <w:pPr>
        <w:pStyle w:val="ListParagraph"/>
        <w:numPr>
          <w:ilvl w:val="0"/>
          <w:numId w:val="81"/>
        </w:numPr>
        <w:rPr>
          <w:b/>
        </w:rPr>
      </w:pPr>
      <w:r w:rsidRPr="00B765BB">
        <w:rPr>
          <w:b/>
        </w:rPr>
        <w:t>Review emerging clinical treatments and diseases, including those that identify sub-groups by molecular target, which could potentially seek subsidisation through the LSDP in the future.</w:t>
      </w:r>
    </w:p>
    <w:p w:rsidR="0004128C" w:rsidRPr="00B765BB" w:rsidRDefault="0004128C" w:rsidP="000959DF">
      <w:pPr>
        <w:pStyle w:val="ListParagraph"/>
        <w:numPr>
          <w:ilvl w:val="0"/>
          <w:numId w:val="81"/>
        </w:numPr>
        <w:rPr>
          <w:b/>
        </w:rPr>
      </w:pPr>
      <w:r w:rsidRPr="00B765BB">
        <w:rPr>
          <w:b/>
        </w:rPr>
        <w:t>Conduct an international comparison of subsidisation of drugs for rare diseases and the definitions for a rare/ultra-rare disease.</w:t>
      </w:r>
    </w:p>
    <w:p w:rsidR="0004128C" w:rsidRPr="00B765BB" w:rsidRDefault="0004128C" w:rsidP="000959DF">
      <w:pPr>
        <w:pStyle w:val="ListParagraph"/>
        <w:numPr>
          <w:ilvl w:val="0"/>
          <w:numId w:val="81"/>
        </w:numPr>
      </w:pPr>
      <w:r w:rsidRPr="00B765BB">
        <w:t>Compare the subsidisation and equity principles of the Pharmaceutical Benefits Scheme and the LSDP.</w:t>
      </w:r>
    </w:p>
    <w:p w:rsidR="0004128C" w:rsidRPr="00B765BB" w:rsidRDefault="0004128C" w:rsidP="000959DF">
      <w:pPr>
        <w:pStyle w:val="ListParagraph"/>
        <w:numPr>
          <w:ilvl w:val="0"/>
          <w:numId w:val="81"/>
        </w:numPr>
        <w:rPr>
          <w:b/>
        </w:rPr>
      </w:pPr>
      <w:r w:rsidRPr="00B765BB">
        <w:rPr>
          <w:b/>
        </w:rPr>
        <w:t>Assess the value for money of the medicines subsidised on the LSDP by evaluating the benefit of each drug’s treatment outcomes, including in terms of quality of life achieved through the programme, and their cost.</w:t>
      </w:r>
    </w:p>
    <w:p w:rsidR="0004128C" w:rsidRPr="00B765BB" w:rsidRDefault="0004128C" w:rsidP="000959DF">
      <w:pPr>
        <w:pStyle w:val="ListParagraph"/>
        <w:numPr>
          <w:ilvl w:val="0"/>
          <w:numId w:val="81"/>
        </w:numPr>
      </w:pPr>
      <w:r w:rsidRPr="00B765BB">
        <w:t>Review the administration of the LSDP, including the Guidelines with which the programme is administered for each condition, and assess alternative administration systems.</w:t>
      </w:r>
    </w:p>
    <w:p w:rsidR="0004128C" w:rsidRPr="00F94000" w:rsidRDefault="0004128C" w:rsidP="000959DF">
      <w:pPr>
        <w:pStyle w:val="ListParagraph"/>
        <w:numPr>
          <w:ilvl w:val="0"/>
          <w:numId w:val="81"/>
        </w:numPr>
        <w:rPr>
          <w:b/>
        </w:rPr>
      </w:pPr>
      <w:r w:rsidRPr="00B765BB">
        <w:rPr>
          <w:b/>
        </w:rPr>
        <w:t>Establish a framework for data collection on rare diseases in Australia and assess how this could function internationally.</w:t>
      </w:r>
    </w:p>
    <w:p w:rsidR="0004128C" w:rsidRPr="0004128C" w:rsidRDefault="0004128C" w:rsidP="0004128C">
      <w:pPr>
        <w:keepNext/>
        <w:keepLines/>
        <w:spacing w:before="240"/>
        <w:outlineLvl w:val="1"/>
        <w:rPr>
          <w:rFonts w:ascii="Cambria" w:hAnsi="Cambria"/>
          <w:bCs/>
          <w:noProof/>
          <w:color w:val="002060"/>
          <w:sz w:val="28"/>
          <w:szCs w:val="26"/>
          <w:lang w:eastAsia="en-AU"/>
        </w:rPr>
      </w:pPr>
      <w:bookmarkStart w:id="23" w:name="_Toc404350077"/>
      <w:bookmarkStart w:id="24" w:name="_Toc404937236"/>
      <w:r w:rsidRPr="0004128C">
        <w:rPr>
          <w:rFonts w:ascii="Cambria" w:hAnsi="Cambria"/>
          <w:bCs/>
          <w:noProof/>
          <w:color w:val="002060"/>
          <w:sz w:val="28"/>
          <w:szCs w:val="26"/>
          <w:lang w:eastAsia="en-AU"/>
        </w:rPr>
        <w:t>Method</w:t>
      </w:r>
      <w:bookmarkEnd w:id="23"/>
      <w:bookmarkEnd w:id="24"/>
    </w:p>
    <w:p w:rsidR="0004128C" w:rsidRPr="0004128C" w:rsidRDefault="00E14A82" w:rsidP="00C833E5">
      <w:r>
        <w:t>With input from the Reference Group,</w:t>
      </w:r>
      <w:r w:rsidRPr="0004128C">
        <w:t xml:space="preserve"> </w:t>
      </w:r>
      <w:r>
        <w:t>a</w:t>
      </w:r>
      <w:r w:rsidR="0004128C" w:rsidRPr="0004128C">
        <w:t xml:space="preserve"> protocol was developed to guide the conduct of the technical assessment. It outlined the project scope, research questions, and for the systematic review questions it provided the criteria for selecting and critically appraising studies, templates for extracting data and methods for synthesising the results obtained from the evidence-base. The review methods differed depending on the question being addressed. </w:t>
      </w:r>
    </w:p>
    <w:p w:rsidR="0004128C" w:rsidRPr="0004128C" w:rsidRDefault="0004128C" w:rsidP="00C833E5">
      <w:r w:rsidRPr="0004128C">
        <w:lastRenderedPageBreak/>
        <w:t>The protocol was closely followed in order to maintain transparency and, for the systematic review questions, to ensure that there was no bias in study selection, appraisal or interpretation.</w:t>
      </w:r>
    </w:p>
    <w:p w:rsidR="0004128C" w:rsidRPr="0004128C" w:rsidRDefault="0004128C" w:rsidP="00D60032">
      <w:pPr>
        <w:pStyle w:val="Heading2"/>
        <w:numPr>
          <w:ilvl w:val="0"/>
          <w:numId w:val="0"/>
        </w:numPr>
      </w:pPr>
      <w:bookmarkStart w:id="25" w:name="_Toc404350078"/>
      <w:bookmarkStart w:id="26" w:name="_Toc404937237"/>
      <w:bookmarkStart w:id="27" w:name="_Toc413077597"/>
      <w:bookmarkStart w:id="28" w:name="_Toc413857560"/>
      <w:bookmarkStart w:id="29" w:name="_Toc415141719"/>
      <w:r w:rsidRPr="0004128C">
        <w:t xml:space="preserve">Review </w:t>
      </w:r>
      <w:r w:rsidR="00416907">
        <w:t xml:space="preserve">of </w:t>
      </w:r>
      <w:r w:rsidRPr="0004128C">
        <w:t>the clinical effectiveness and safety of medicines currently subsidised through the LSDP</w:t>
      </w:r>
      <w:bookmarkEnd w:id="25"/>
      <w:bookmarkEnd w:id="26"/>
      <w:bookmarkEnd w:id="27"/>
      <w:bookmarkEnd w:id="28"/>
      <w:bookmarkEnd w:id="29"/>
    </w:p>
    <w:p w:rsidR="00AD2714" w:rsidRDefault="00AD2714" w:rsidP="00AD2714">
      <w:bookmarkStart w:id="30" w:name="_Toc404350079"/>
      <w:bookmarkStart w:id="31" w:name="_Toc404937238"/>
      <w:r>
        <w:t xml:space="preserve">All of the evidence on the drugs currently funded through the LSDP was systematically reviewed. The aim was to determine whether new information was available on the safety and effectiveness of these drugs since they were recommended for inclusion on the LSDP. The primary determinant of treatment effectiveness in the systematic reviews was ‘survival’, and secondary outcome measures were ‘quality of life’, other outcomes related to individual disease features, and adverse events related to treatment. Conclusions derived from the evidence were graded according to the degree of confidence in the estimate of effect for each safety and effectiveness outcome. High quality evidence on a directly patient-relevant outcome was rated as GRADE </w:t>
      </w:r>
      <w:r>
        <w:rPr>
          <w:rFonts w:ascii="Cambria Math" w:hAnsi="Cambria Math"/>
          <w:color w:val="00B050"/>
        </w:rPr>
        <w:t>⨁⨁⨁⨁</w:t>
      </w:r>
      <w:r>
        <w:rPr>
          <w:rFonts w:ascii="Cambria Math" w:hAnsi="Cambria Math"/>
        </w:rPr>
        <w:t xml:space="preserve">; </w:t>
      </w:r>
      <w:r>
        <w:t>and low quality evidence was rated as GRADE</w:t>
      </w:r>
      <w:r>
        <w:rPr>
          <w:rFonts w:ascii="Cambria Math" w:hAnsi="Cambria Math"/>
        </w:rPr>
        <w:t xml:space="preserve"> </w:t>
      </w:r>
      <w:r>
        <w:rPr>
          <w:rFonts w:ascii="Cambria Math" w:hAnsi="Cambria Math"/>
          <w:color w:val="00B050"/>
        </w:rPr>
        <w:t>⨁</w:t>
      </w:r>
      <w:r>
        <w:rPr>
          <w:rFonts w:ascii="Cambria Math" w:hAnsi="Cambria Math"/>
          <w:color w:val="C00000"/>
        </w:rPr>
        <w:t>⨀⨀⨀</w:t>
      </w:r>
      <w:r>
        <w:rPr>
          <w:rFonts w:ascii="Cambria Math" w:hAnsi="Cambria Math"/>
        </w:rPr>
        <w:t xml:space="preserve">. </w:t>
      </w:r>
      <w:r>
        <w:t>The new evidence that was obtained (from the literature, as well as an analysis of Australian individual patient data) was assessed as to whether the findings supported, or were likely to change, the original recommendations for these drugs.</w:t>
      </w:r>
    </w:p>
    <w:p w:rsidR="00A7259A" w:rsidRDefault="0004128C" w:rsidP="001D4439">
      <w:pPr>
        <w:pStyle w:val="Heading3"/>
        <w:spacing w:after="240"/>
      </w:pPr>
      <w:r w:rsidRPr="00DB5C55">
        <w:t xml:space="preserve">Medicines to treat </w:t>
      </w:r>
      <w:proofErr w:type="gramStart"/>
      <w:r w:rsidRPr="00DB5C55">
        <w:t>Gaucher</w:t>
      </w:r>
      <w:proofErr w:type="gramEnd"/>
      <w:r w:rsidRPr="00DB5C55">
        <w:t xml:space="preserve"> disease – specifically, imiglucerase, velaglucerase and miglustat</w:t>
      </w:r>
      <w:bookmarkEnd w:id="30"/>
      <w:bookmarkEnd w:id="31"/>
    </w:p>
    <w:tbl>
      <w:tblPr>
        <w:tblStyle w:val="TableGrid"/>
        <w:tblW w:w="0" w:type="auto"/>
        <w:tblInd w:w="108" w:type="dxa"/>
        <w:tblLook w:val="04A0" w:firstRow="1" w:lastRow="0" w:firstColumn="1" w:lastColumn="0" w:noHBand="0" w:noVBand="1"/>
        <w:tblCaption w:val="Summary of new evidence on imiglucerase"/>
      </w:tblPr>
      <w:tblGrid>
        <w:gridCol w:w="9072"/>
      </w:tblGrid>
      <w:tr w:rsidR="00482020" w:rsidRPr="003B77E3" w:rsidTr="00712231">
        <w:trPr>
          <w:tblHeader/>
        </w:trPr>
        <w:tc>
          <w:tcPr>
            <w:tcW w:w="9072" w:type="dxa"/>
            <w:shd w:val="clear" w:color="auto" w:fill="953735"/>
          </w:tcPr>
          <w:p w:rsidR="00482020" w:rsidRPr="003B77E3" w:rsidRDefault="00482020" w:rsidP="00CB33FA">
            <w:pPr>
              <w:pStyle w:val="TableHeading"/>
              <w:ind w:left="176" w:right="175"/>
              <w:rPr>
                <w:sz w:val="22"/>
                <w:szCs w:val="22"/>
              </w:rPr>
            </w:pPr>
            <w:r w:rsidRPr="003B77E3">
              <w:rPr>
                <w:color w:val="FFFFFF" w:themeColor="background1"/>
                <w:sz w:val="22"/>
                <w:szCs w:val="22"/>
              </w:rPr>
              <w:t>Imiglucerase</w:t>
            </w:r>
          </w:p>
        </w:tc>
      </w:tr>
      <w:tr w:rsidR="0065669A" w:rsidRPr="003B77E3" w:rsidTr="00712231">
        <w:tc>
          <w:tcPr>
            <w:tcW w:w="9072" w:type="dxa"/>
          </w:tcPr>
          <w:p w:rsidR="009776C9" w:rsidRPr="003B77E3" w:rsidRDefault="009776C9" w:rsidP="00CB33FA">
            <w:pPr>
              <w:pStyle w:val="TableText0"/>
              <w:ind w:left="176" w:right="175"/>
              <w:rPr>
                <w:sz w:val="22"/>
                <w:szCs w:val="22"/>
              </w:rPr>
            </w:pPr>
            <w:r w:rsidRPr="003B77E3">
              <w:rPr>
                <w:rStyle w:val="TableHeadingChar"/>
                <w:sz w:val="22"/>
                <w:szCs w:val="22"/>
              </w:rPr>
              <w:t>New publications</w:t>
            </w:r>
            <w:r w:rsidR="002A56AD">
              <w:rPr>
                <w:rStyle w:val="TableHeadingChar"/>
                <w:sz w:val="22"/>
                <w:szCs w:val="22"/>
              </w:rPr>
              <w:t xml:space="preserve"> since original recommendations</w:t>
            </w:r>
            <w:r w:rsidRPr="003B77E3">
              <w:rPr>
                <w:rStyle w:val="TableHeadingChar"/>
                <w:sz w:val="22"/>
                <w:szCs w:val="22"/>
              </w:rPr>
              <w:t>:</w:t>
            </w:r>
            <w:r w:rsidRPr="003B77E3">
              <w:rPr>
                <w:sz w:val="22"/>
                <w:szCs w:val="22"/>
              </w:rPr>
              <w:t xml:space="preserve"> </w:t>
            </w:r>
            <w:r w:rsidR="004A03EA" w:rsidRPr="003B77E3">
              <w:rPr>
                <w:sz w:val="22"/>
                <w:szCs w:val="22"/>
              </w:rPr>
              <w:t xml:space="preserve">No formal submission was </w:t>
            </w:r>
            <w:r w:rsidR="002A56AD">
              <w:rPr>
                <w:sz w:val="22"/>
                <w:szCs w:val="22"/>
              </w:rPr>
              <w:t>received for</w:t>
            </w:r>
            <w:r w:rsidR="004A03EA" w:rsidRPr="003B77E3">
              <w:rPr>
                <w:sz w:val="22"/>
                <w:szCs w:val="22"/>
              </w:rPr>
              <w:t xml:space="preserve"> </w:t>
            </w:r>
            <w:r w:rsidR="00C733A3" w:rsidRPr="003B77E3">
              <w:rPr>
                <w:sz w:val="22"/>
                <w:szCs w:val="22"/>
              </w:rPr>
              <w:t xml:space="preserve">consideration of </w:t>
            </w:r>
            <w:r w:rsidR="004A03EA" w:rsidRPr="003B77E3">
              <w:rPr>
                <w:sz w:val="22"/>
                <w:szCs w:val="22"/>
              </w:rPr>
              <w:t>imiglucerase</w:t>
            </w:r>
            <w:r w:rsidR="00C733A3" w:rsidRPr="003B77E3">
              <w:rPr>
                <w:sz w:val="22"/>
                <w:szCs w:val="22"/>
              </w:rPr>
              <w:t xml:space="preserve"> funding</w:t>
            </w:r>
            <w:r w:rsidR="004C22E6">
              <w:rPr>
                <w:sz w:val="22"/>
                <w:szCs w:val="22"/>
              </w:rPr>
              <w:t>. One</w:t>
            </w:r>
            <w:r w:rsidR="004A03EA" w:rsidRPr="003B77E3">
              <w:rPr>
                <w:sz w:val="22"/>
                <w:szCs w:val="22"/>
              </w:rPr>
              <w:t xml:space="preserve"> </w:t>
            </w:r>
            <w:r w:rsidR="00C733A3" w:rsidRPr="003B77E3">
              <w:rPr>
                <w:sz w:val="22"/>
                <w:szCs w:val="22"/>
              </w:rPr>
              <w:t>randomised controlled trial (</w:t>
            </w:r>
            <w:r w:rsidR="004A03EA" w:rsidRPr="003B77E3">
              <w:rPr>
                <w:sz w:val="22"/>
                <w:szCs w:val="22"/>
              </w:rPr>
              <w:t>RCT</w:t>
            </w:r>
            <w:r w:rsidR="00C733A3" w:rsidRPr="003B77E3">
              <w:rPr>
                <w:sz w:val="22"/>
                <w:szCs w:val="22"/>
              </w:rPr>
              <w:t>)</w:t>
            </w:r>
            <w:r w:rsidR="004A03EA" w:rsidRPr="003B77E3">
              <w:rPr>
                <w:sz w:val="22"/>
                <w:szCs w:val="22"/>
              </w:rPr>
              <w:t xml:space="preserve"> was identified </w:t>
            </w:r>
            <w:r w:rsidR="00510D02" w:rsidRPr="003B77E3">
              <w:rPr>
                <w:noProof/>
                <w:sz w:val="22"/>
                <w:szCs w:val="22"/>
              </w:rPr>
              <w:t>(</w:t>
            </w:r>
            <w:r w:rsidR="00184B6F" w:rsidRPr="003B77E3">
              <w:rPr>
                <w:noProof/>
                <w:sz w:val="22"/>
                <w:szCs w:val="22"/>
              </w:rPr>
              <w:t>Schiffmann et al. 2002</w:t>
            </w:r>
            <w:r w:rsidR="00510D02" w:rsidRPr="003B77E3">
              <w:rPr>
                <w:noProof/>
                <w:sz w:val="22"/>
                <w:szCs w:val="22"/>
              </w:rPr>
              <w:t>)</w:t>
            </w:r>
            <w:r w:rsidR="004A03EA" w:rsidRPr="003B77E3">
              <w:rPr>
                <w:sz w:val="22"/>
                <w:szCs w:val="22"/>
              </w:rPr>
              <w:t>.</w:t>
            </w:r>
          </w:p>
          <w:p w:rsidR="009776C9" w:rsidRPr="003B77E3" w:rsidRDefault="009776C9" w:rsidP="00CB33FA">
            <w:pPr>
              <w:pStyle w:val="TableText0"/>
              <w:ind w:left="176" w:right="175"/>
              <w:rPr>
                <w:sz w:val="22"/>
                <w:szCs w:val="22"/>
              </w:rPr>
            </w:pPr>
            <w:r w:rsidRPr="003B77E3">
              <w:rPr>
                <w:rStyle w:val="TableHeadingChar"/>
                <w:sz w:val="22"/>
                <w:szCs w:val="22"/>
              </w:rPr>
              <w:t xml:space="preserve">Impact on </w:t>
            </w:r>
            <w:r w:rsidR="006F6E8D">
              <w:rPr>
                <w:rStyle w:val="TableHeadingChar"/>
                <w:sz w:val="22"/>
                <w:szCs w:val="22"/>
              </w:rPr>
              <w:t>original recommendation</w:t>
            </w:r>
            <w:r w:rsidRPr="003B77E3">
              <w:rPr>
                <w:rStyle w:val="TableHeadingChar"/>
                <w:sz w:val="22"/>
                <w:szCs w:val="22"/>
              </w:rPr>
              <w:t>:</w:t>
            </w:r>
            <w:r w:rsidRPr="003B77E3">
              <w:rPr>
                <w:sz w:val="22"/>
                <w:szCs w:val="22"/>
              </w:rPr>
              <w:t xml:space="preserve"> The trial </w:t>
            </w:r>
            <w:r w:rsidR="00C733A3" w:rsidRPr="003B77E3">
              <w:rPr>
                <w:sz w:val="22"/>
                <w:szCs w:val="22"/>
              </w:rPr>
              <w:t>findings</w:t>
            </w:r>
            <w:r w:rsidRPr="003B77E3">
              <w:rPr>
                <w:sz w:val="22"/>
                <w:szCs w:val="22"/>
              </w:rPr>
              <w:t xml:space="preserve"> supported the decision to fund alglucerase / imiglucerase for patients with Type 1 Gaucher disease</w:t>
            </w:r>
            <w:r w:rsidR="00C733A3" w:rsidRPr="003B77E3">
              <w:rPr>
                <w:sz w:val="22"/>
                <w:szCs w:val="22"/>
              </w:rPr>
              <w:t>;</w:t>
            </w:r>
            <w:r w:rsidRPr="003B77E3">
              <w:rPr>
                <w:sz w:val="22"/>
                <w:szCs w:val="22"/>
              </w:rPr>
              <w:t xml:space="preserve"> demonstrating that alglucerase / imiglucerase was superior at reducing the risk of bleeding and indicators of bone disease</w:t>
            </w:r>
            <w:r w:rsidR="00B67E3A" w:rsidRPr="003B77E3">
              <w:rPr>
                <w:sz w:val="22"/>
                <w:szCs w:val="22"/>
              </w:rPr>
              <w:t xml:space="preserve"> to receiving vitamin D alone</w:t>
            </w:r>
            <w:r w:rsidRPr="003B77E3">
              <w:rPr>
                <w:sz w:val="22"/>
                <w:szCs w:val="22"/>
              </w:rPr>
              <w:t xml:space="preserve">. </w:t>
            </w:r>
            <w:r w:rsidR="005F533A">
              <w:rPr>
                <w:sz w:val="22"/>
                <w:szCs w:val="22"/>
              </w:rPr>
              <w:t>I</w:t>
            </w:r>
            <w:r w:rsidR="00082C10">
              <w:rPr>
                <w:sz w:val="22"/>
                <w:szCs w:val="22"/>
              </w:rPr>
              <w:t>t</w:t>
            </w:r>
            <w:r w:rsidR="005F533A">
              <w:rPr>
                <w:sz w:val="22"/>
                <w:szCs w:val="22"/>
              </w:rPr>
              <w:t xml:space="preserve"> is unknown, based on the current data, whether alglucerase / imiglucerase would result in a substantial extension of lifespan.</w:t>
            </w:r>
          </w:p>
          <w:p w:rsidR="0065669A" w:rsidRPr="003B77E3" w:rsidRDefault="009776C9" w:rsidP="00BA795C">
            <w:pPr>
              <w:pStyle w:val="TableHeading"/>
              <w:ind w:left="176" w:right="175"/>
              <w:rPr>
                <w:sz w:val="22"/>
                <w:szCs w:val="22"/>
              </w:rPr>
            </w:pPr>
            <w:r w:rsidRPr="003B77E3">
              <w:rPr>
                <w:sz w:val="22"/>
                <w:szCs w:val="22"/>
              </w:rPr>
              <w:t xml:space="preserve">Australian data: </w:t>
            </w:r>
            <w:r w:rsidRPr="003B77E3">
              <w:rPr>
                <w:rStyle w:val="TableTextChar0"/>
                <w:b w:val="0"/>
                <w:sz w:val="22"/>
                <w:szCs w:val="22"/>
              </w:rPr>
              <w:t>Patients receiving alglucerase</w:t>
            </w:r>
            <w:r w:rsidR="00A7259A" w:rsidRPr="003B77E3">
              <w:rPr>
                <w:rStyle w:val="TableTextChar0"/>
                <w:b w:val="0"/>
                <w:sz w:val="22"/>
                <w:szCs w:val="22"/>
              </w:rPr>
              <w:t xml:space="preserve"> </w:t>
            </w:r>
            <w:r w:rsidR="00BA795C">
              <w:rPr>
                <w:rStyle w:val="TableTextChar0"/>
                <w:b w:val="0"/>
                <w:sz w:val="22"/>
                <w:szCs w:val="22"/>
              </w:rPr>
              <w:t xml:space="preserve">/ </w:t>
            </w:r>
            <w:r w:rsidRPr="003B77E3">
              <w:rPr>
                <w:rStyle w:val="TableTextChar0"/>
                <w:b w:val="0"/>
                <w:sz w:val="22"/>
                <w:szCs w:val="22"/>
              </w:rPr>
              <w:t>imiglucerase ha</w:t>
            </w:r>
            <w:r w:rsidR="00C733A3" w:rsidRPr="003B77E3">
              <w:rPr>
                <w:rStyle w:val="TableTextChar0"/>
                <w:b w:val="0"/>
                <w:sz w:val="22"/>
                <w:szCs w:val="22"/>
              </w:rPr>
              <w:t>d, on average,</w:t>
            </w:r>
            <w:r w:rsidRPr="003B77E3">
              <w:rPr>
                <w:rStyle w:val="TableTextChar0"/>
                <w:b w:val="0"/>
                <w:sz w:val="22"/>
                <w:szCs w:val="22"/>
              </w:rPr>
              <w:t xml:space="preserve"> improvements in haemoglobin levels, platelet counts and spleen and liver volumes </w:t>
            </w:r>
            <w:r w:rsidR="00C733A3" w:rsidRPr="003B77E3">
              <w:rPr>
                <w:rStyle w:val="TableTextChar0"/>
                <w:b w:val="0"/>
                <w:sz w:val="22"/>
                <w:szCs w:val="22"/>
              </w:rPr>
              <w:t xml:space="preserve">when </w:t>
            </w:r>
            <w:r w:rsidRPr="003B77E3">
              <w:rPr>
                <w:rStyle w:val="TableTextChar0"/>
                <w:b w:val="0"/>
                <w:sz w:val="22"/>
                <w:szCs w:val="22"/>
              </w:rPr>
              <w:t>compared to pre-treatment levels</w:t>
            </w:r>
            <w:r w:rsidR="00C733A3" w:rsidRPr="003B77E3">
              <w:rPr>
                <w:rStyle w:val="TableTextChar0"/>
                <w:b w:val="0"/>
                <w:sz w:val="22"/>
                <w:szCs w:val="22"/>
              </w:rPr>
              <w:t>;</w:t>
            </w:r>
            <w:r w:rsidR="0065669A" w:rsidRPr="003B77E3">
              <w:rPr>
                <w:rStyle w:val="TableTextChar0"/>
                <w:b w:val="0"/>
                <w:sz w:val="22"/>
                <w:szCs w:val="22"/>
              </w:rPr>
              <w:t xml:space="preserve"> supporting the use of </w:t>
            </w:r>
            <w:r w:rsidR="00C733A3" w:rsidRPr="003B77E3">
              <w:rPr>
                <w:rStyle w:val="TableTextChar0"/>
                <w:b w:val="0"/>
                <w:sz w:val="22"/>
                <w:szCs w:val="22"/>
              </w:rPr>
              <w:t xml:space="preserve">these </w:t>
            </w:r>
            <w:r w:rsidR="0065669A" w:rsidRPr="003B77E3">
              <w:rPr>
                <w:rStyle w:val="TableTextChar0"/>
                <w:b w:val="0"/>
                <w:sz w:val="22"/>
                <w:szCs w:val="22"/>
              </w:rPr>
              <w:t>enzyme replacement therapies for Type 1 Gaucher</w:t>
            </w:r>
            <w:r w:rsidR="00C733A3" w:rsidRPr="003B77E3">
              <w:rPr>
                <w:rStyle w:val="TableTextChar0"/>
                <w:b w:val="0"/>
                <w:sz w:val="22"/>
                <w:szCs w:val="22"/>
              </w:rPr>
              <w:t xml:space="preserve"> disease</w:t>
            </w:r>
            <w:r w:rsidRPr="003B77E3">
              <w:rPr>
                <w:rStyle w:val="TableTextChar0"/>
                <w:b w:val="0"/>
                <w:sz w:val="22"/>
                <w:szCs w:val="22"/>
              </w:rPr>
              <w:t>.</w:t>
            </w:r>
            <w:r w:rsidRPr="003B77E3">
              <w:rPr>
                <w:sz w:val="22"/>
                <w:szCs w:val="22"/>
              </w:rPr>
              <w:t xml:space="preserve"> </w:t>
            </w:r>
          </w:p>
        </w:tc>
      </w:tr>
    </w:tbl>
    <w:p w:rsidR="0065669A" w:rsidRDefault="00B67E3A" w:rsidP="00CB33FA">
      <w:pPr>
        <w:spacing w:before="240"/>
      </w:pPr>
      <w:r w:rsidRPr="00B63EFF">
        <w:t xml:space="preserve">The funding request for the first drugs under the LSDP – namely, </w:t>
      </w:r>
      <w:r w:rsidRPr="00A6275B">
        <w:t>alglucerase, or the drug which superseded it, imiglucerase – was not supported by a</w:t>
      </w:r>
      <w:r w:rsidRPr="00B67525">
        <w:t xml:space="preserve"> formal </w:t>
      </w:r>
      <w:r w:rsidRPr="00B63EFF">
        <w:t>industry</w:t>
      </w:r>
      <w:r w:rsidRPr="00A6275B">
        <w:t xml:space="preserve"> submission</w:t>
      </w:r>
      <w:r w:rsidRPr="0004128C">
        <w:t xml:space="preserve">. A small but high quality randomised trial was identified </w:t>
      </w:r>
      <w:r>
        <w:t>during the systematic review that</w:t>
      </w:r>
      <w:r w:rsidRPr="0004128C">
        <w:t xml:space="preserve"> reported that </w:t>
      </w:r>
      <w:r>
        <w:t>the enzyme replacement therapies</w:t>
      </w:r>
      <w:r w:rsidRPr="0004128C">
        <w:t xml:space="preserve"> w</w:t>
      </w:r>
      <w:r>
        <w:t>ere</w:t>
      </w:r>
      <w:r w:rsidRPr="0004128C">
        <w:t xml:space="preserve"> superior to receiving vitamin D alone </w:t>
      </w:r>
      <w:r>
        <w:t>(a component of standard therapy) in terms of</w:t>
      </w:r>
      <w:r w:rsidRPr="0004128C">
        <w:t xml:space="preserve"> reducing bleeding risk (haemoglobin and platelet count) in </w:t>
      </w:r>
      <w:r>
        <w:t xml:space="preserve">splenectomised </w:t>
      </w:r>
      <w:r w:rsidRPr="0004128C">
        <w:t>patients with Type 1 Gaucher disease</w:t>
      </w:r>
      <w:r w:rsidR="00416907" w:rsidRPr="0004128C">
        <w:t xml:space="preserve"> (GRADE </w:t>
      </w:r>
      <w:r w:rsidR="00416907" w:rsidRPr="00D4733A">
        <w:rPr>
          <w:rFonts w:ascii="Cambria Math" w:hAnsi="Cambria Math" w:cs="Cambria Math"/>
          <w:color w:val="00B050"/>
        </w:rPr>
        <w:t>⨁⨁⨁</w:t>
      </w:r>
      <w:r w:rsidR="00416907" w:rsidRPr="00D4733A">
        <w:rPr>
          <w:rFonts w:ascii="Cambria Math" w:hAnsi="Cambria Math" w:cs="Cambria Math"/>
          <w:color w:val="C00000"/>
        </w:rPr>
        <w:t>⨀</w:t>
      </w:r>
      <w:r w:rsidR="00416907" w:rsidRPr="00D4733A">
        <w:t>).</w:t>
      </w:r>
      <w:r w:rsidR="00416907" w:rsidRPr="0004128C">
        <w:t xml:space="preserve"> Other outcomes, such as bone marrow fat fraction (a surrogate marker for bone disease </w:t>
      </w:r>
      <w:r w:rsidR="00416907" w:rsidRPr="0004128C">
        <w:lastRenderedPageBreak/>
        <w:t>risk) also favour</w:t>
      </w:r>
      <w:r w:rsidR="002A359E">
        <w:t>ed treatment with</w:t>
      </w:r>
      <w:r w:rsidR="00416907" w:rsidRPr="0004128C">
        <w:t xml:space="preserve"> alglucerase / imiglucerase. </w:t>
      </w:r>
      <w:r w:rsidR="00F96119">
        <w:t xml:space="preserve">The evidence therefore supported the decision to fund imiglucerase for Type 1 Gaucher disease. </w:t>
      </w:r>
    </w:p>
    <w:tbl>
      <w:tblPr>
        <w:tblStyle w:val="TableGrid"/>
        <w:tblW w:w="0" w:type="auto"/>
        <w:tblInd w:w="108" w:type="dxa"/>
        <w:tblLook w:val="04A0" w:firstRow="1" w:lastRow="0" w:firstColumn="1" w:lastColumn="0" w:noHBand="0" w:noVBand="1"/>
        <w:tblCaption w:val="Summary of new evidence on velaglucerase alfa"/>
      </w:tblPr>
      <w:tblGrid>
        <w:gridCol w:w="9072"/>
      </w:tblGrid>
      <w:tr w:rsidR="0065669A" w:rsidRPr="003B77E3" w:rsidTr="00712231">
        <w:trPr>
          <w:tblHeader/>
        </w:trPr>
        <w:tc>
          <w:tcPr>
            <w:tcW w:w="9072" w:type="dxa"/>
            <w:shd w:val="clear" w:color="auto" w:fill="953735"/>
          </w:tcPr>
          <w:p w:rsidR="0065669A" w:rsidRPr="003B77E3" w:rsidRDefault="0065669A" w:rsidP="003A6876">
            <w:pPr>
              <w:pStyle w:val="TableHeading"/>
              <w:ind w:left="176" w:right="175"/>
              <w:rPr>
                <w:sz w:val="22"/>
                <w:szCs w:val="22"/>
              </w:rPr>
            </w:pPr>
            <w:r w:rsidRPr="003B77E3">
              <w:rPr>
                <w:color w:val="FFFFFF" w:themeColor="background1"/>
                <w:sz w:val="22"/>
                <w:szCs w:val="22"/>
              </w:rPr>
              <w:t>Velaglucerase alfa</w:t>
            </w:r>
          </w:p>
        </w:tc>
      </w:tr>
      <w:tr w:rsidR="0065669A" w:rsidRPr="003B77E3" w:rsidTr="003A6876">
        <w:tc>
          <w:tcPr>
            <w:tcW w:w="9072" w:type="dxa"/>
          </w:tcPr>
          <w:p w:rsidR="0065669A" w:rsidRPr="003B77E3" w:rsidRDefault="00A57FBE" w:rsidP="00CB33FA">
            <w:pPr>
              <w:pStyle w:val="TableText0"/>
              <w:ind w:left="176" w:right="175"/>
              <w:rPr>
                <w:sz w:val="22"/>
                <w:szCs w:val="22"/>
                <w:lang w:val="en-AU" w:eastAsia="en-AU"/>
              </w:rPr>
            </w:pPr>
            <w:r w:rsidRPr="003B77E3">
              <w:rPr>
                <w:rStyle w:val="TableHeadingChar"/>
                <w:sz w:val="22"/>
                <w:szCs w:val="22"/>
              </w:rPr>
              <w:t>New publications</w:t>
            </w:r>
            <w:r>
              <w:rPr>
                <w:rStyle w:val="TableHeadingChar"/>
                <w:sz w:val="22"/>
                <w:szCs w:val="22"/>
              </w:rPr>
              <w:t xml:space="preserve"> since original recommendations</w:t>
            </w:r>
            <w:r w:rsidRPr="003B77E3">
              <w:rPr>
                <w:rStyle w:val="TableHeadingChar"/>
                <w:sz w:val="22"/>
                <w:szCs w:val="22"/>
              </w:rPr>
              <w:t>:</w:t>
            </w:r>
            <w:r w:rsidRPr="003B77E3">
              <w:rPr>
                <w:sz w:val="22"/>
                <w:szCs w:val="22"/>
              </w:rPr>
              <w:t xml:space="preserve"> </w:t>
            </w:r>
            <w:r w:rsidR="00B67E3A" w:rsidRPr="003B77E3">
              <w:rPr>
                <w:sz w:val="22"/>
                <w:szCs w:val="22"/>
                <w:lang w:val="en-AU" w:eastAsia="en-AU"/>
              </w:rPr>
              <w:t>Nil.</w:t>
            </w:r>
          </w:p>
          <w:p w:rsidR="0065669A" w:rsidRPr="003B77E3" w:rsidRDefault="00A57FBE" w:rsidP="00CB33FA">
            <w:pPr>
              <w:pStyle w:val="TableText0"/>
              <w:ind w:left="176" w:right="175"/>
              <w:rPr>
                <w:sz w:val="22"/>
                <w:szCs w:val="22"/>
                <w:lang w:val="en-AU" w:eastAsia="en-AU"/>
              </w:rPr>
            </w:pPr>
            <w:r w:rsidRPr="003B77E3">
              <w:rPr>
                <w:rStyle w:val="TableHeadingChar"/>
                <w:sz w:val="22"/>
                <w:szCs w:val="22"/>
              </w:rPr>
              <w:t xml:space="preserve">Impact on </w:t>
            </w:r>
            <w:r>
              <w:rPr>
                <w:rStyle w:val="TableHeadingChar"/>
                <w:sz w:val="22"/>
                <w:szCs w:val="22"/>
              </w:rPr>
              <w:t>original recommendation</w:t>
            </w:r>
            <w:r w:rsidRPr="003B77E3">
              <w:rPr>
                <w:rStyle w:val="TableHeadingChar"/>
                <w:sz w:val="22"/>
                <w:szCs w:val="22"/>
              </w:rPr>
              <w:t>:</w:t>
            </w:r>
            <w:r w:rsidRPr="003B77E3">
              <w:rPr>
                <w:sz w:val="22"/>
                <w:szCs w:val="22"/>
              </w:rPr>
              <w:t xml:space="preserve"> </w:t>
            </w:r>
            <w:r w:rsidR="00B67E3A" w:rsidRPr="003B77E3">
              <w:rPr>
                <w:sz w:val="22"/>
                <w:szCs w:val="22"/>
                <w:lang w:val="en-AU" w:eastAsia="en-AU"/>
              </w:rPr>
              <w:t>Not applicable.</w:t>
            </w:r>
          </w:p>
          <w:p w:rsidR="0065669A" w:rsidRPr="003B77E3" w:rsidRDefault="0065669A" w:rsidP="00A7259A">
            <w:pPr>
              <w:pStyle w:val="TableHeading"/>
              <w:ind w:left="176" w:right="175"/>
              <w:rPr>
                <w:sz w:val="22"/>
                <w:szCs w:val="22"/>
              </w:rPr>
            </w:pPr>
            <w:r w:rsidRPr="003B77E3">
              <w:rPr>
                <w:sz w:val="22"/>
                <w:szCs w:val="22"/>
              </w:rPr>
              <w:t>Australian data:</w:t>
            </w:r>
            <w:r w:rsidRPr="003B77E3">
              <w:rPr>
                <w:b w:val="0"/>
                <w:sz w:val="22"/>
                <w:szCs w:val="22"/>
              </w:rPr>
              <w:t xml:space="preserve"> </w:t>
            </w:r>
            <w:r w:rsidRPr="003B77E3">
              <w:rPr>
                <w:rStyle w:val="TableTextChar0"/>
                <w:b w:val="0"/>
                <w:sz w:val="22"/>
                <w:szCs w:val="22"/>
              </w:rPr>
              <w:t>Patients receiving velaglucerase alfa ha</w:t>
            </w:r>
            <w:r w:rsidR="00A7259A" w:rsidRPr="003B77E3">
              <w:rPr>
                <w:rStyle w:val="TableTextChar0"/>
                <w:b w:val="0"/>
                <w:sz w:val="22"/>
                <w:szCs w:val="22"/>
              </w:rPr>
              <w:t>d, on average,</w:t>
            </w:r>
            <w:r w:rsidRPr="003B77E3">
              <w:rPr>
                <w:rStyle w:val="TableTextChar0"/>
                <w:b w:val="0"/>
                <w:sz w:val="22"/>
                <w:szCs w:val="22"/>
              </w:rPr>
              <w:t xml:space="preserve"> improvements in haemoglobin levels, platelet counts and spleen and liver volumes compared to pre-treatment levels, supporting the use of </w:t>
            </w:r>
            <w:r w:rsidR="00A7259A" w:rsidRPr="003B77E3">
              <w:rPr>
                <w:rStyle w:val="TableTextChar0"/>
                <w:b w:val="0"/>
                <w:sz w:val="22"/>
                <w:szCs w:val="22"/>
              </w:rPr>
              <w:t xml:space="preserve">this </w:t>
            </w:r>
            <w:r w:rsidRPr="003B77E3">
              <w:rPr>
                <w:rStyle w:val="TableTextChar0"/>
                <w:b w:val="0"/>
                <w:sz w:val="22"/>
                <w:szCs w:val="22"/>
              </w:rPr>
              <w:t>enzyme replacement therap</w:t>
            </w:r>
            <w:r w:rsidR="00A7259A" w:rsidRPr="003B77E3">
              <w:rPr>
                <w:rStyle w:val="TableTextChar0"/>
                <w:b w:val="0"/>
                <w:sz w:val="22"/>
                <w:szCs w:val="22"/>
              </w:rPr>
              <w:t>y</w:t>
            </w:r>
            <w:r w:rsidRPr="003B77E3">
              <w:rPr>
                <w:rStyle w:val="TableTextChar0"/>
                <w:b w:val="0"/>
                <w:sz w:val="22"/>
                <w:szCs w:val="22"/>
              </w:rPr>
              <w:t xml:space="preserve"> for Type 1 Gaucher</w:t>
            </w:r>
            <w:r w:rsidR="00A7259A" w:rsidRPr="003B77E3">
              <w:rPr>
                <w:rStyle w:val="TableTextChar0"/>
                <w:b w:val="0"/>
                <w:sz w:val="22"/>
                <w:szCs w:val="22"/>
              </w:rPr>
              <w:t xml:space="preserve"> disease</w:t>
            </w:r>
            <w:r w:rsidRPr="003B77E3">
              <w:rPr>
                <w:rStyle w:val="TableTextChar0"/>
                <w:b w:val="0"/>
                <w:sz w:val="22"/>
                <w:szCs w:val="22"/>
              </w:rPr>
              <w:t>.</w:t>
            </w:r>
          </w:p>
        </w:tc>
      </w:tr>
    </w:tbl>
    <w:p w:rsidR="003374AD" w:rsidRDefault="00AD2714" w:rsidP="00CB33FA">
      <w:pPr>
        <w:spacing w:before="240" w:after="240"/>
      </w:pPr>
      <w:r>
        <w:t xml:space="preserve">No new randomised trials were identified that assessed velaglucerase alfa. One high quality randomised trial, which was used in the submission to the Pharmaceutical Benefits Advisory Committee (PBAC), showed that velaglucerase alfa was non-inferior to imiglucerase, with no statistically significant differences in measures of bleeding risk (haemoglobin and platelet count), liver or spleen volume, or in a marker of disease burden (chitotriosidase level) (GRADE </w:t>
      </w:r>
      <w:r>
        <w:rPr>
          <w:rFonts w:ascii="Cambria Math" w:hAnsi="Cambria Math" w:cs="Cambria Math"/>
          <w:color w:val="00B050"/>
        </w:rPr>
        <w:t>⨁⨁⨁</w:t>
      </w:r>
      <w:r>
        <w:rPr>
          <w:rFonts w:ascii="Cambria Math" w:hAnsi="Cambria Math" w:cs="Cambria Math"/>
          <w:color w:val="C00000"/>
        </w:rPr>
        <w:t>⨀</w:t>
      </w:r>
      <w:r>
        <w:rPr>
          <w:rFonts w:cs="Cambria Math"/>
          <w:spacing w:val="-20"/>
        </w:rPr>
        <w:t>)</w:t>
      </w:r>
      <w:r>
        <w:rPr>
          <w:rFonts w:ascii="Cambria Math" w:hAnsi="Cambria Math" w:cs="Cambria Math"/>
        </w:rPr>
        <w:t xml:space="preserve">. </w:t>
      </w:r>
      <w:r>
        <w:t xml:space="preserve">Adverse events were marginally higher in the group receiving velaglucerase alfa than imiglucerase, but were reportedly mild in severity. </w:t>
      </w:r>
    </w:p>
    <w:tbl>
      <w:tblPr>
        <w:tblStyle w:val="TableGrid"/>
        <w:tblW w:w="0" w:type="auto"/>
        <w:tblInd w:w="108" w:type="dxa"/>
        <w:tblLook w:val="04A0" w:firstRow="1" w:lastRow="0" w:firstColumn="1" w:lastColumn="0" w:noHBand="0" w:noVBand="1"/>
        <w:tblCaption w:val="Summary of new evidence on miglustat"/>
      </w:tblPr>
      <w:tblGrid>
        <w:gridCol w:w="9072"/>
      </w:tblGrid>
      <w:tr w:rsidR="0065669A" w:rsidRPr="003B77E3" w:rsidTr="00712231">
        <w:trPr>
          <w:tblHeader/>
        </w:trPr>
        <w:tc>
          <w:tcPr>
            <w:tcW w:w="9072" w:type="dxa"/>
            <w:shd w:val="clear" w:color="auto" w:fill="953735"/>
          </w:tcPr>
          <w:p w:rsidR="0065669A" w:rsidRPr="003B77E3" w:rsidRDefault="0065669A" w:rsidP="003A6876">
            <w:pPr>
              <w:pStyle w:val="TableHeading"/>
              <w:ind w:left="176" w:right="175"/>
              <w:rPr>
                <w:sz w:val="22"/>
                <w:szCs w:val="22"/>
              </w:rPr>
            </w:pPr>
            <w:r w:rsidRPr="003B77E3">
              <w:rPr>
                <w:color w:val="FFFFFF" w:themeColor="background1"/>
                <w:sz w:val="22"/>
                <w:szCs w:val="22"/>
              </w:rPr>
              <w:t>Miglustat</w:t>
            </w:r>
          </w:p>
        </w:tc>
      </w:tr>
      <w:tr w:rsidR="0065669A" w:rsidRPr="003B77E3" w:rsidTr="00CB33FA">
        <w:tc>
          <w:tcPr>
            <w:tcW w:w="9072" w:type="dxa"/>
          </w:tcPr>
          <w:p w:rsidR="003B12FE" w:rsidRPr="003B77E3" w:rsidRDefault="0065669A" w:rsidP="003B12FE">
            <w:pPr>
              <w:pStyle w:val="TableText0"/>
              <w:ind w:left="176"/>
              <w:rPr>
                <w:sz w:val="22"/>
                <w:szCs w:val="22"/>
              </w:rPr>
            </w:pPr>
            <w:r w:rsidRPr="003B77E3">
              <w:rPr>
                <w:rStyle w:val="TableHeadingChar"/>
                <w:sz w:val="22"/>
                <w:szCs w:val="22"/>
              </w:rPr>
              <w:t>New publications</w:t>
            </w:r>
            <w:r w:rsidR="002A56AD">
              <w:rPr>
                <w:rStyle w:val="TableHeadingChar"/>
                <w:sz w:val="22"/>
                <w:szCs w:val="22"/>
              </w:rPr>
              <w:t xml:space="preserve"> since original recommendations</w:t>
            </w:r>
            <w:r w:rsidRPr="005376CC">
              <w:rPr>
                <w:rStyle w:val="TableHeadingChar"/>
                <w:sz w:val="22"/>
                <w:szCs w:val="22"/>
              </w:rPr>
              <w:t xml:space="preserve">Impact on </w:t>
            </w:r>
            <w:r w:rsidR="006F6E8D" w:rsidRPr="005376CC">
              <w:rPr>
                <w:rStyle w:val="TableHeadingChar"/>
                <w:sz w:val="22"/>
                <w:szCs w:val="22"/>
              </w:rPr>
              <w:t>original recommendation</w:t>
            </w:r>
            <w:r w:rsidR="003B12FE">
              <w:rPr>
                <w:rStyle w:val="TableHeadingChar"/>
                <w:sz w:val="22"/>
                <w:szCs w:val="22"/>
              </w:rPr>
              <w:t>:</w:t>
            </w:r>
            <w:r w:rsidR="003B12FE" w:rsidRPr="00DB46DE">
              <w:rPr>
                <w:sz w:val="22"/>
                <w:szCs w:val="22"/>
                <w:highlight w:val="yellow"/>
              </w:rPr>
              <w:t xml:space="preserve"> </w:t>
            </w:r>
            <w:r w:rsidR="003B12FE" w:rsidRPr="003B12FE">
              <w:rPr>
                <w:sz w:val="22"/>
                <w:szCs w:val="22"/>
              </w:rPr>
              <w:t xml:space="preserve">No new </w:t>
            </w:r>
            <w:r w:rsidR="003B12FE" w:rsidRPr="003B12FE">
              <w:rPr>
                <w:i/>
                <w:sz w:val="22"/>
                <w:szCs w:val="22"/>
              </w:rPr>
              <w:t>studies</w:t>
            </w:r>
            <w:r w:rsidR="003B12FE" w:rsidRPr="003B12FE">
              <w:rPr>
                <w:sz w:val="22"/>
                <w:szCs w:val="22"/>
              </w:rPr>
              <w:t xml:space="preserve"> were identified, but data that were not provided in the submission to the PBAC were identified in another publication </w:t>
            </w:r>
            <w:r w:rsidR="003B12FE" w:rsidRPr="003B12FE">
              <w:rPr>
                <w:noProof/>
                <w:sz w:val="22"/>
                <w:szCs w:val="22"/>
              </w:rPr>
              <w:t>(European Medicines Agency 2003)</w:t>
            </w:r>
          </w:p>
          <w:p w:rsidR="003B12FE" w:rsidRDefault="003B12FE" w:rsidP="003B12FE">
            <w:pPr>
              <w:pStyle w:val="TableText0"/>
              <w:ind w:left="176"/>
              <w:rPr>
                <w:sz w:val="22"/>
                <w:szCs w:val="22"/>
              </w:rPr>
            </w:pPr>
            <w:r w:rsidRPr="003B77E3">
              <w:rPr>
                <w:rStyle w:val="TableHeadingChar"/>
                <w:sz w:val="22"/>
                <w:szCs w:val="22"/>
              </w:rPr>
              <w:t xml:space="preserve">Impact on </w:t>
            </w:r>
            <w:r>
              <w:rPr>
                <w:rStyle w:val="TableHeadingChar"/>
                <w:sz w:val="22"/>
                <w:szCs w:val="22"/>
              </w:rPr>
              <w:t>original recommendation</w:t>
            </w:r>
            <w:r w:rsidRPr="003B77E3">
              <w:rPr>
                <w:rStyle w:val="TableHeadingChar"/>
                <w:sz w:val="22"/>
                <w:szCs w:val="22"/>
              </w:rPr>
              <w:t>:</w:t>
            </w:r>
            <w:r w:rsidRPr="003B77E3">
              <w:rPr>
                <w:sz w:val="22"/>
                <w:szCs w:val="22"/>
              </w:rPr>
              <w:t xml:space="preserve"> </w:t>
            </w:r>
            <w:r>
              <w:rPr>
                <w:sz w:val="22"/>
                <w:szCs w:val="22"/>
              </w:rPr>
              <w:t xml:space="preserve">Patients </w:t>
            </w:r>
            <w:r w:rsidRPr="003B12FE">
              <w:rPr>
                <w:sz w:val="22"/>
                <w:szCs w:val="22"/>
              </w:rPr>
              <w:t>receiving miglustat had</w:t>
            </w:r>
            <w:r w:rsidRPr="00DB46DE">
              <w:rPr>
                <w:sz w:val="22"/>
                <w:szCs w:val="22"/>
              </w:rPr>
              <w:t xml:space="preserve"> higher chitotriosidase levels (a marker of disease burden) than patients receiving imiglucerase.</w:t>
            </w:r>
          </w:p>
          <w:p w:rsidR="005B2880" w:rsidRPr="003B12FE" w:rsidRDefault="005B2880" w:rsidP="003B12FE">
            <w:pPr>
              <w:pStyle w:val="TableText0"/>
              <w:ind w:left="176"/>
              <w:rPr>
                <w:rStyle w:val="TableHeadingChar"/>
                <w:b w:val="0"/>
                <w:sz w:val="22"/>
                <w:szCs w:val="22"/>
              </w:rPr>
            </w:pPr>
            <w:r>
              <w:rPr>
                <w:rStyle w:val="TableHeadingChar"/>
                <w:sz w:val="22"/>
                <w:szCs w:val="22"/>
              </w:rPr>
              <w:t>Information withheld from this draft report at the request of the drug sponsor.</w:t>
            </w:r>
          </w:p>
          <w:p w:rsidR="0065669A" w:rsidRPr="003B77E3" w:rsidRDefault="0065669A" w:rsidP="00BF357E">
            <w:pPr>
              <w:pStyle w:val="TableHeading"/>
              <w:ind w:left="176" w:right="175"/>
              <w:rPr>
                <w:sz w:val="22"/>
                <w:szCs w:val="22"/>
              </w:rPr>
            </w:pPr>
            <w:r w:rsidRPr="003B77E3">
              <w:rPr>
                <w:sz w:val="22"/>
                <w:szCs w:val="22"/>
              </w:rPr>
              <w:t xml:space="preserve">Australian data: </w:t>
            </w:r>
            <w:r w:rsidR="00A62C97">
              <w:rPr>
                <w:b w:val="0"/>
                <w:noProof/>
                <w:color w:val="000000"/>
                <w:sz w:val="22"/>
                <w:szCs w:val="22"/>
                <w:highlight w:val="black"/>
              </w:rPr>
              <w:t>'''''''' '''''''''''''''''''' ''''' ''''''''''''''''''''''' ''''''''' ''''''''''''''''''' '''''''''''''''''''''' ''''''''''''''''''' ''''''''''''''''''' '''''''' ''''''''''''''</w:t>
            </w:r>
          </w:p>
        </w:tc>
      </w:tr>
    </w:tbl>
    <w:p w:rsidR="00A7259A" w:rsidRDefault="00C55ABD" w:rsidP="00CB33FA">
      <w:pPr>
        <w:spacing w:before="240"/>
      </w:pPr>
      <w:r>
        <w:t xml:space="preserve">No new randomised trials were identified that assessed miglustat. </w:t>
      </w:r>
      <w:r w:rsidR="00F96119">
        <w:t xml:space="preserve">The sponsor for miglustat proposed that </w:t>
      </w:r>
      <w:r w:rsidR="00B67E3A">
        <w:t>the drug</w:t>
      </w:r>
      <w:r w:rsidR="00F96119">
        <w:t xml:space="preserve"> may be used in patients </w:t>
      </w:r>
      <w:r w:rsidR="00DB5C55">
        <w:t xml:space="preserve">with Type 1 Gaucher </w:t>
      </w:r>
      <w:r w:rsidR="00A7259A">
        <w:t xml:space="preserve">disease </w:t>
      </w:r>
      <w:r w:rsidR="00F96119">
        <w:t xml:space="preserve">who </w:t>
      </w:r>
      <w:r w:rsidR="00DB5C55">
        <w:t>c</w:t>
      </w:r>
      <w:r w:rsidR="00A7259A">
        <w:t>an</w:t>
      </w:r>
      <w:r w:rsidR="00DB5C55">
        <w:t xml:space="preserve">not tolerate enzyme replacement therapy (ERT; i.e. imiglucerase or velaglucerase alfa), or who are not able to follow </w:t>
      </w:r>
      <w:r w:rsidR="00A7259A">
        <w:t xml:space="preserve">the </w:t>
      </w:r>
      <w:r w:rsidR="00DB5C55">
        <w:t xml:space="preserve">approved treatment regimen for ERT. </w:t>
      </w:r>
      <w:r w:rsidR="00B67E3A">
        <w:t>There were no trials identified in the systematic review that compared miglustat and standard therapy</w:t>
      </w:r>
      <w:r w:rsidR="00B67E3A" w:rsidRPr="00B67525">
        <w:t xml:space="preserve"> </w:t>
      </w:r>
      <w:r w:rsidR="00B67E3A">
        <w:t>in this proposed population.</w:t>
      </w:r>
    </w:p>
    <w:p w:rsidR="000D7F85" w:rsidRDefault="00416907" w:rsidP="00416907">
      <w:r w:rsidRPr="0004128C">
        <w:t>An open-label randomised trial</w:t>
      </w:r>
      <w:r w:rsidR="004C0C8A">
        <w:t>,</w:t>
      </w:r>
      <w:r w:rsidR="00BD59D5">
        <w:t xml:space="preserve"> </w:t>
      </w:r>
      <w:r w:rsidR="00BC3DEA">
        <w:t xml:space="preserve">that </w:t>
      </w:r>
      <w:r w:rsidRPr="0004128C">
        <w:t xml:space="preserve">compared miglustat to imiglucerase, reported that patients who received miglustat had </w:t>
      </w:r>
      <w:r>
        <w:t xml:space="preserve">a </w:t>
      </w:r>
      <w:r w:rsidRPr="0004128C">
        <w:t xml:space="preserve">higher quality of life, with greater convenience associated with </w:t>
      </w:r>
      <w:r>
        <w:t>use of the</w:t>
      </w:r>
      <w:r w:rsidRPr="0004128C">
        <w:t xml:space="preserve"> oral drug, as compared to </w:t>
      </w:r>
      <w:r w:rsidR="004C0C8A">
        <w:t>the imiglucerase</w:t>
      </w:r>
      <w:r w:rsidR="004C0C8A" w:rsidRPr="0004128C">
        <w:t xml:space="preserve"> </w:t>
      </w:r>
      <w:r w:rsidRPr="0004128C">
        <w:t>infusion which t</w:t>
      </w:r>
      <w:r>
        <w:t>akes</w:t>
      </w:r>
      <w:r w:rsidRPr="0004128C">
        <w:t xml:space="preserve"> one to two </w:t>
      </w:r>
      <w:r w:rsidRPr="00CB33FA">
        <w:rPr>
          <w:rFonts w:asciiTheme="minorHAnsi" w:hAnsiTheme="minorHAnsi"/>
        </w:rPr>
        <w:t>hours</w:t>
      </w:r>
      <w:r w:rsidR="003E6C8A" w:rsidRPr="00CB33FA">
        <w:rPr>
          <w:rFonts w:asciiTheme="minorHAnsi" w:hAnsiTheme="minorHAnsi"/>
        </w:rPr>
        <w:t xml:space="preserve"> (GRADE</w:t>
      </w:r>
      <w:r w:rsidR="003E6C8A" w:rsidRPr="006F24B4">
        <w:rPr>
          <w:rFonts w:ascii="Arial Narrow" w:hAnsi="Arial Narrow"/>
          <w:sz w:val="22"/>
          <w:szCs w:val="22"/>
        </w:rPr>
        <w:t xml:space="preserve"> </w:t>
      </w:r>
      <w:r w:rsidR="003E6C8A" w:rsidRPr="00D4733A">
        <w:rPr>
          <w:rStyle w:val="quality-sign"/>
          <w:rFonts w:ascii="Cambria Math" w:hAnsi="Cambria Math" w:cs="Cambria Math"/>
          <w:color w:val="00B050"/>
          <w:sz w:val="22"/>
          <w:szCs w:val="22"/>
        </w:rPr>
        <w:t>⨁⨁⨁</w:t>
      </w:r>
      <w:r w:rsidR="003E6C8A" w:rsidRPr="00D4733A">
        <w:rPr>
          <w:rStyle w:val="quality-sign"/>
          <w:rFonts w:ascii="Cambria Math" w:hAnsi="Cambria Math" w:cs="Cambria Math"/>
          <w:color w:val="C00000"/>
          <w:sz w:val="22"/>
          <w:szCs w:val="22"/>
        </w:rPr>
        <w:t>⨀</w:t>
      </w:r>
      <w:r w:rsidR="003E6C8A" w:rsidRPr="00D33A33">
        <w:rPr>
          <w:rFonts w:ascii="Arial Narrow" w:hAnsi="Arial Narrow"/>
          <w:sz w:val="22"/>
          <w:szCs w:val="22"/>
        </w:rPr>
        <w:t>)</w:t>
      </w:r>
      <w:r w:rsidRPr="0004128C">
        <w:t xml:space="preserve">. </w:t>
      </w:r>
      <w:r w:rsidR="00AD2714">
        <w:t>T</w:t>
      </w:r>
      <w:r>
        <w:t>here was a disproportionate loss to follow-up in the miglustat treatment a</w:t>
      </w:r>
      <w:r w:rsidR="00B67E3A">
        <w:t>rm, so these results should be interpreted</w:t>
      </w:r>
      <w:r>
        <w:t xml:space="preserve"> cautiously. </w:t>
      </w:r>
      <w:r w:rsidRPr="0004128C">
        <w:t xml:space="preserve">Liver and spleen volume changes </w:t>
      </w:r>
      <w:r w:rsidR="004C0C8A">
        <w:t>and h</w:t>
      </w:r>
      <w:r w:rsidRPr="0004128C">
        <w:t xml:space="preserve">aemoglobin levels did not differ significantly between those receiving miglustat, and those receiving imiglucerase, but </w:t>
      </w:r>
      <w:r>
        <w:t xml:space="preserve">patients receiving imiglucerase had better </w:t>
      </w:r>
      <w:r w:rsidRPr="0004128C">
        <w:t>platelet count</w:t>
      </w:r>
      <w:r>
        <w:t>s</w:t>
      </w:r>
      <w:r w:rsidR="003E6C8A">
        <w:t xml:space="preserve"> </w:t>
      </w:r>
      <w:r w:rsidR="003E6C8A" w:rsidRPr="0004128C">
        <w:t xml:space="preserve">(GRADE </w:t>
      </w:r>
      <w:r w:rsidR="003E6C8A" w:rsidRPr="00D4733A">
        <w:rPr>
          <w:rFonts w:ascii="Cambria Math" w:hAnsi="Cambria Math" w:cs="Cambria Math"/>
          <w:color w:val="00B050"/>
        </w:rPr>
        <w:t>⨁⨁⨁</w:t>
      </w:r>
      <w:r w:rsidR="003E6C8A" w:rsidRPr="00D4733A">
        <w:rPr>
          <w:rFonts w:ascii="Cambria Math" w:hAnsi="Cambria Math" w:cs="Cambria Math"/>
          <w:color w:val="C00000"/>
        </w:rPr>
        <w:t>⨀</w:t>
      </w:r>
      <w:r w:rsidR="003E6C8A" w:rsidRPr="00C92719">
        <w:t>)</w:t>
      </w:r>
      <w:r w:rsidRPr="0004128C">
        <w:t xml:space="preserve">. </w:t>
      </w:r>
      <w:r w:rsidR="00AD2714">
        <w:t xml:space="preserve">Disease burden </w:t>
      </w:r>
      <w:r w:rsidRPr="0004128C">
        <w:t xml:space="preserve">Risk of bone disease (as </w:t>
      </w:r>
      <w:r w:rsidR="00AD2714">
        <w:t xml:space="preserve">measured </w:t>
      </w:r>
      <w:r w:rsidRPr="0004128C">
        <w:t xml:space="preserve">by </w:t>
      </w:r>
      <w:r w:rsidR="00AD2714">
        <w:t xml:space="preserve">a change in </w:t>
      </w:r>
      <w:r w:rsidRPr="0004128C">
        <w:t xml:space="preserve">chitotriosidase levels) </w:t>
      </w:r>
      <w:r w:rsidR="00AD2714">
        <w:t xml:space="preserve">was </w:t>
      </w:r>
      <w:r w:rsidRPr="0004128C">
        <w:t>33%</w:t>
      </w:r>
      <w:r w:rsidR="00AD2714">
        <w:t xml:space="preserve"> higher</w:t>
      </w:r>
      <w:r w:rsidRPr="0004128C">
        <w:t xml:space="preserve"> in those receiving miglustat</w:t>
      </w:r>
      <w:r w:rsidR="00AD2714">
        <w:t xml:space="preserve"> than </w:t>
      </w:r>
      <w:r w:rsidRPr="0004128C">
        <w:t xml:space="preserve">in those </w:t>
      </w:r>
      <w:r w:rsidRPr="0004128C">
        <w:lastRenderedPageBreak/>
        <w:t>receiving imiglucerase</w:t>
      </w:r>
      <w:r w:rsidR="00AD2714">
        <w:t xml:space="preserve"> (0.3% decrease in chitotriosidase)</w:t>
      </w:r>
      <w:r w:rsidR="003E6C8A">
        <w:t xml:space="preserve"> </w:t>
      </w:r>
      <w:r w:rsidR="003E6C8A" w:rsidRPr="0004128C">
        <w:t xml:space="preserve">(GRADE </w:t>
      </w:r>
      <w:r w:rsidR="003E6C8A" w:rsidRPr="00D4733A">
        <w:rPr>
          <w:rFonts w:ascii="Cambria Math" w:hAnsi="Cambria Math" w:cs="Cambria Math"/>
          <w:color w:val="00B050"/>
        </w:rPr>
        <w:t>⨁⨁⨁</w:t>
      </w:r>
      <w:r w:rsidR="003E6C8A" w:rsidRPr="00D4733A">
        <w:rPr>
          <w:rFonts w:ascii="Cambria Math" w:hAnsi="Cambria Math" w:cs="Cambria Math"/>
          <w:color w:val="C00000"/>
        </w:rPr>
        <w:t>⨀</w:t>
      </w:r>
      <w:r w:rsidR="003E6C8A" w:rsidRPr="00C92719">
        <w:t>)</w:t>
      </w:r>
      <w:r w:rsidRPr="0004128C">
        <w:t xml:space="preserve">. Gastrointestinal adverse events occurred in all patients receiving miglustat, and only </w:t>
      </w:r>
      <w:r w:rsidR="00AD2714">
        <w:t xml:space="preserve">in </w:t>
      </w:r>
      <w:r w:rsidRPr="0004128C">
        <w:t xml:space="preserve">half of those receiving imiglucerase. </w:t>
      </w:r>
    </w:p>
    <w:p w:rsidR="00416907" w:rsidRDefault="0030758C" w:rsidP="00CB33FA">
      <w:pPr>
        <w:pStyle w:val="Heading3"/>
      </w:pPr>
      <w:r w:rsidRPr="00DB5C55">
        <w:t>Australian data registry information - imiglucerase, velaglucerase and miglustat</w:t>
      </w:r>
    </w:p>
    <w:p w:rsidR="00AD2714" w:rsidRPr="00AD2714" w:rsidRDefault="00AD2714" w:rsidP="00AD2714">
      <w:r>
        <w:t xml:space="preserve">Data were obtained from the Australian Registry on 61 patients with </w:t>
      </w:r>
      <w:proofErr w:type="gramStart"/>
      <w:r>
        <w:t>Gaucher</w:t>
      </w:r>
      <w:proofErr w:type="gramEnd"/>
      <w:r>
        <w:t xml:space="preserve"> disease currently receiving drugs on the LSDP. The mean age of patients currently receiving treatment is 45±17.7 years, and there are a similar number of male and female patients. More than three quarters of patients experienced an improvement in haemoglobin between baseline and follow-up. Only a quarter of patients had normal values for platelet count at baseline (≥150 x 10</w:t>
      </w:r>
      <w:r>
        <w:rPr>
          <w:vertAlign w:val="superscript"/>
        </w:rPr>
        <w:t>9</w:t>
      </w:r>
      <w:r>
        <w:t xml:space="preserve">/L), compared to 64% at last follow-up. At baseline, less than 10% of patients had normal spleen volumes (≤5 multiples of normal), compared to 93% at follow-up. </w:t>
      </w:r>
    </w:p>
    <w:p w:rsidR="00416907" w:rsidRPr="00DB5C55" w:rsidRDefault="00416907" w:rsidP="00CB33FA">
      <w:pPr>
        <w:pStyle w:val="Heading3"/>
      </w:pPr>
      <w:bookmarkStart w:id="32" w:name="_Toc404937239"/>
      <w:r w:rsidRPr="00DB5C55">
        <w:t>Medicines to treat Fabry disease – algalsidase alfa and agalsidase beta</w:t>
      </w:r>
    </w:p>
    <w:p w:rsidR="003374AD" w:rsidRDefault="00416907" w:rsidP="00CB33FA">
      <w:pPr>
        <w:tabs>
          <w:tab w:val="left" w:pos="1122"/>
        </w:tabs>
        <w:spacing w:after="240"/>
      </w:pPr>
      <w:r w:rsidRPr="00597925">
        <w:t xml:space="preserve">Both agalsidase alfa and agalsidase beta were compared against standard therapy (with/without placebo), and against each other. Two </w:t>
      </w:r>
      <w:r>
        <w:t>randomised controlled trials (</w:t>
      </w:r>
      <w:r w:rsidRPr="00597925">
        <w:t>RCTs</w:t>
      </w:r>
      <w:r>
        <w:t>)</w:t>
      </w:r>
      <w:r w:rsidRPr="00597925">
        <w:t xml:space="preserve"> were identified </w:t>
      </w:r>
      <w:r w:rsidR="00A070B7">
        <w:t xml:space="preserve">in the systematic review </w:t>
      </w:r>
      <w:r w:rsidRPr="00597925">
        <w:t xml:space="preserve">that compared agalsidase alfa with standard therapy, three </w:t>
      </w:r>
      <w:r w:rsidR="00A070B7">
        <w:t xml:space="preserve">RCTs </w:t>
      </w:r>
      <w:r w:rsidRPr="00597925">
        <w:t xml:space="preserve">compared agalsidase beta with standard therapy and one </w:t>
      </w:r>
      <w:r w:rsidR="00A070B7">
        <w:t xml:space="preserve">RCT </w:t>
      </w:r>
      <w:r w:rsidRPr="00597925">
        <w:t>compared agalsidase alfa and beta. All six RCTs and associated open-label extension studies were</w:t>
      </w:r>
      <w:r w:rsidR="00A070B7">
        <w:t xml:space="preserve"> identified</w:t>
      </w:r>
      <w:r w:rsidRPr="00597925">
        <w:t xml:space="preserve"> in two </w:t>
      </w:r>
      <w:r w:rsidR="00A070B7">
        <w:t>published</w:t>
      </w:r>
      <w:r w:rsidRPr="00597925">
        <w:t xml:space="preserve"> systematic reviews. </w:t>
      </w:r>
      <w:r w:rsidR="00E9467B">
        <w:t xml:space="preserve">One of the RCTs identified for agalsidase beta was published after the </w:t>
      </w:r>
      <w:r w:rsidR="00D12B65">
        <w:t>submission to the PBAC</w:t>
      </w:r>
      <w:r w:rsidR="00A070B7">
        <w:t xml:space="preserve"> w</w:t>
      </w:r>
      <w:r w:rsidR="00D12B65">
        <w:t>as</w:t>
      </w:r>
      <w:r w:rsidR="00A070B7">
        <w:t xml:space="preserve"> considered</w:t>
      </w:r>
      <w:r w:rsidRPr="00597925">
        <w:t xml:space="preserve">.  </w:t>
      </w:r>
    </w:p>
    <w:tbl>
      <w:tblPr>
        <w:tblStyle w:val="TableGrid"/>
        <w:tblW w:w="0" w:type="auto"/>
        <w:tblInd w:w="108" w:type="dxa"/>
        <w:tblLook w:val="04A0" w:firstRow="1" w:lastRow="0" w:firstColumn="1" w:lastColumn="0" w:noHBand="0" w:noVBand="1"/>
        <w:tblCaption w:val="Summary of new evidence on agalsidase alfa"/>
      </w:tblPr>
      <w:tblGrid>
        <w:gridCol w:w="9072"/>
      </w:tblGrid>
      <w:tr w:rsidR="00B74D31" w:rsidRPr="003B77E3" w:rsidTr="00712231">
        <w:trPr>
          <w:tblHeader/>
        </w:trPr>
        <w:tc>
          <w:tcPr>
            <w:tcW w:w="9072" w:type="dxa"/>
            <w:shd w:val="clear" w:color="auto" w:fill="953735"/>
          </w:tcPr>
          <w:p w:rsidR="00B74D31" w:rsidRPr="003B77E3" w:rsidRDefault="00B74D31" w:rsidP="003A6876">
            <w:pPr>
              <w:pStyle w:val="TableHeading"/>
              <w:ind w:left="176" w:right="175"/>
              <w:rPr>
                <w:sz w:val="22"/>
                <w:szCs w:val="22"/>
              </w:rPr>
            </w:pPr>
            <w:r w:rsidRPr="003B77E3">
              <w:rPr>
                <w:color w:val="FFFFFF" w:themeColor="background1"/>
                <w:sz w:val="22"/>
                <w:szCs w:val="22"/>
              </w:rPr>
              <w:t>Agalsidase alfa</w:t>
            </w:r>
          </w:p>
        </w:tc>
      </w:tr>
      <w:tr w:rsidR="00B74D31" w:rsidRPr="003B77E3" w:rsidTr="003A6876">
        <w:tc>
          <w:tcPr>
            <w:tcW w:w="9072" w:type="dxa"/>
          </w:tcPr>
          <w:p w:rsidR="00B74D31" w:rsidRPr="003B77E3" w:rsidRDefault="00B74D31" w:rsidP="003A6876">
            <w:pPr>
              <w:pStyle w:val="TableText0"/>
              <w:ind w:left="176" w:right="175"/>
              <w:rPr>
                <w:sz w:val="22"/>
                <w:szCs w:val="22"/>
              </w:rPr>
            </w:pPr>
            <w:r w:rsidRPr="003B77E3">
              <w:rPr>
                <w:rStyle w:val="TableHeadingChar"/>
                <w:sz w:val="22"/>
                <w:szCs w:val="22"/>
              </w:rPr>
              <w:t>New publications</w:t>
            </w:r>
            <w:r w:rsidR="002A56AD">
              <w:rPr>
                <w:rStyle w:val="TableHeadingChar"/>
                <w:sz w:val="22"/>
                <w:szCs w:val="22"/>
              </w:rPr>
              <w:t xml:space="preserve"> since original recommendations</w:t>
            </w:r>
            <w:r w:rsidRPr="003B77E3">
              <w:rPr>
                <w:rStyle w:val="TableHeadingChar"/>
                <w:sz w:val="22"/>
                <w:szCs w:val="22"/>
              </w:rPr>
              <w:t>:</w:t>
            </w:r>
            <w:r w:rsidR="00A070B7" w:rsidRPr="003B77E3">
              <w:rPr>
                <w:sz w:val="22"/>
                <w:szCs w:val="22"/>
              </w:rPr>
              <w:t xml:space="preserve"> Nil.</w:t>
            </w:r>
          </w:p>
          <w:p w:rsidR="00B74D31" w:rsidRPr="003B77E3" w:rsidRDefault="00B74D31" w:rsidP="003A6876">
            <w:pPr>
              <w:pStyle w:val="TableText0"/>
              <w:ind w:left="176" w:right="175"/>
              <w:rPr>
                <w:sz w:val="22"/>
                <w:szCs w:val="22"/>
              </w:rPr>
            </w:pPr>
            <w:r w:rsidRPr="003B77E3">
              <w:rPr>
                <w:rStyle w:val="TableHeadingChar"/>
                <w:sz w:val="22"/>
                <w:szCs w:val="22"/>
              </w:rPr>
              <w:t xml:space="preserve">Impact on </w:t>
            </w:r>
            <w:r w:rsidR="006F6E8D">
              <w:rPr>
                <w:rStyle w:val="TableHeadingChar"/>
                <w:sz w:val="22"/>
                <w:szCs w:val="22"/>
              </w:rPr>
              <w:t>original recommendation</w:t>
            </w:r>
            <w:r w:rsidRPr="003B77E3">
              <w:rPr>
                <w:rStyle w:val="TableHeadingChar"/>
                <w:sz w:val="22"/>
                <w:szCs w:val="22"/>
              </w:rPr>
              <w:t xml:space="preserve">: </w:t>
            </w:r>
            <w:r w:rsidRPr="003B77E3">
              <w:rPr>
                <w:rStyle w:val="TableHeadingChar"/>
                <w:b w:val="0"/>
                <w:sz w:val="22"/>
                <w:szCs w:val="22"/>
              </w:rPr>
              <w:t>N</w:t>
            </w:r>
            <w:r w:rsidR="00A070B7" w:rsidRPr="003B77E3">
              <w:rPr>
                <w:rStyle w:val="TableHeadingChar"/>
                <w:b w:val="0"/>
                <w:sz w:val="22"/>
                <w:szCs w:val="22"/>
              </w:rPr>
              <w:t>ot applicable.</w:t>
            </w:r>
          </w:p>
          <w:p w:rsidR="00B74D31" w:rsidRPr="003B77E3" w:rsidRDefault="00B74D31" w:rsidP="00AD2714">
            <w:pPr>
              <w:pStyle w:val="TableHeading"/>
              <w:ind w:left="176" w:right="175"/>
              <w:rPr>
                <w:sz w:val="22"/>
                <w:szCs w:val="22"/>
              </w:rPr>
            </w:pPr>
            <w:r w:rsidRPr="003B77E3">
              <w:rPr>
                <w:sz w:val="22"/>
                <w:szCs w:val="22"/>
              </w:rPr>
              <w:t xml:space="preserve">Australian data: </w:t>
            </w:r>
            <w:r w:rsidRPr="003B77E3">
              <w:rPr>
                <w:b w:val="0"/>
                <w:sz w:val="22"/>
                <w:szCs w:val="22"/>
              </w:rPr>
              <w:t xml:space="preserve">Patients receiving agalsidase alfa had a slightly reduced average glomerular filtration rate (GFR), which is contrary to the claim made in the </w:t>
            </w:r>
            <w:r w:rsidR="00D12B65">
              <w:rPr>
                <w:b w:val="0"/>
                <w:sz w:val="22"/>
                <w:szCs w:val="22"/>
              </w:rPr>
              <w:t xml:space="preserve">submission </w:t>
            </w:r>
            <w:r w:rsidR="00AD2714">
              <w:rPr>
                <w:b w:val="0"/>
                <w:sz w:val="22"/>
                <w:szCs w:val="22"/>
              </w:rPr>
              <w:t xml:space="preserve">to the </w:t>
            </w:r>
            <w:r w:rsidR="00D12B65">
              <w:rPr>
                <w:b w:val="0"/>
                <w:sz w:val="22"/>
                <w:szCs w:val="22"/>
              </w:rPr>
              <w:t>PBAC</w:t>
            </w:r>
            <w:r w:rsidRPr="003B77E3">
              <w:rPr>
                <w:b w:val="0"/>
                <w:sz w:val="22"/>
                <w:szCs w:val="22"/>
              </w:rPr>
              <w:t xml:space="preserve"> that GFR would improve or remain stable</w:t>
            </w:r>
            <w:r w:rsidR="00C41E11" w:rsidRPr="003B77E3">
              <w:rPr>
                <w:b w:val="0"/>
                <w:sz w:val="22"/>
                <w:szCs w:val="22"/>
              </w:rPr>
              <w:t xml:space="preserve">. </w:t>
            </w:r>
            <w:r w:rsidR="009D18CE" w:rsidRPr="003B77E3">
              <w:rPr>
                <w:b w:val="0"/>
                <w:sz w:val="22"/>
                <w:szCs w:val="22"/>
              </w:rPr>
              <w:t xml:space="preserve">The </w:t>
            </w:r>
            <w:r w:rsidR="00C25BBF" w:rsidRPr="003B77E3">
              <w:rPr>
                <w:b w:val="0"/>
                <w:sz w:val="22"/>
                <w:szCs w:val="22"/>
              </w:rPr>
              <w:t>Australian results</w:t>
            </w:r>
            <w:r w:rsidR="009D18CE" w:rsidRPr="003B77E3">
              <w:rPr>
                <w:b w:val="0"/>
                <w:sz w:val="22"/>
                <w:szCs w:val="22"/>
              </w:rPr>
              <w:t xml:space="preserve"> are difficult to interpret given the small sample sizes and varying follow-up times.</w:t>
            </w:r>
          </w:p>
        </w:tc>
      </w:tr>
    </w:tbl>
    <w:p w:rsidR="009A2D0C" w:rsidRDefault="00416907" w:rsidP="00CB33FA">
      <w:pPr>
        <w:tabs>
          <w:tab w:val="left" w:pos="1122"/>
        </w:tabs>
        <w:spacing w:before="240"/>
      </w:pPr>
      <w:r w:rsidRPr="00597925">
        <w:t xml:space="preserve">There were no direct measures of survival in the trials comparing agalsidase alfa with standard therapy. </w:t>
      </w:r>
      <w:r w:rsidR="009A2D0C" w:rsidRPr="00D4733A">
        <w:t xml:space="preserve">Pain severity was measured in one RCT using the Brief Pain Inventory tool and found that </w:t>
      </w:r>
      <w:r w:rsidR="00C41E11">
        <w:t xml:space="preserve">severe pain </w:t>
      </w:r>
      <w:r w:rsidR="009A2D0C" w:rsidRPr="00D4733A">
        <w:t xml:space="preserve">was significantly </w:t>
      </w:r>
      <w:r w:rsidR="00C41E11">
        <w:t>reduced</w:t>
      </w:r>
      <w:r w:rsidR="009A2D0C" w:rsidRPr="00D4733A">
        <w:t xml:space="preserve"> for patients given agalsidase alfa compared to those given placebo (GRADE </w:t>
      </w:r>
      <w:r w:rsidR="009A2D0C" w:rsidRPr="00D4733A">
        <w:rPr>
          <w:rFonts w:ascii="Cambria Math" w:hAnsi="Cambria Math"/>
          <w:color w:val="00B050"/>
        </w:rPr>
        <w:t>⨁⨁⨁</w:t>
      </w:r>
      <w:r w:rsidR="009A2D0C" w:rsidRPr="00D4733A">
        <w:rPr>
          <w:rFonts w:ascii="Cambria Math" w:hAnsi="Cambria Math"/>
          <w:color w:val="C00000"/>
        </w:rPr>
        <w:t>⨀</w:t>
      </w:r>
      <w:r w:rsidR="009A2D0C" w:rsidRPr="00D4733A">
        <w:t>)</w:t>
      </w:r>
      <w:r w:rsidR="009A2D0C">
        <w:t>. On a scale of 0 to 10, patients receiving agalsidase alfa reported on average 2 points less than those receiving placebo, which is likely to be clinically important</w:t>
      </w:r>
      <w:r w:rsidR="009A2D0C" w:rsidRPr="00D4733A">
        <w:t xml:space="preserve">. </w:t>
      </w:r>
      <w:r w:rsidR="009A2D0C">
        <w:t xml:space="preserve">Patients taking agalsidase alfa lasted </w:t>
      </w:r>
      <w:r w:rsidR="00C41E11">
        <w:t xml:space="preserve">an </w:t>
      </w:r>
      <w:r w:rsidR="009A2D0C">
        <w:t xml:space="preserve">average </w:t>
      </w:r>
      <w:r w:rsidR="00C41E11">
        <w:t xml:space="preserve">of </w:t>
      </w:r>
      <w:r w:rsidR="009A2D0C">
        <w:t>74.5 days without pain medications, compared to those taking placebo, who lasted only 12.9 days without pain medication (p</w:t>
      </w:r>
      <w:r w:rsidR="00652355" w:rsidRPr="00652355">
        <w:rPr>
          <w:spacing w:val="-20"/>
        </w:rPr>
        <w:t xml:space="preserve"> = </w:t>
      </w:r>
      <w:r w:rsidR="009A2D0C">
        <w:t xml:space="preserve">0.02). </w:t>
      </w:r>
      <w:r w:rsidR="009A2D0C" w:rsidRPr="00D4733A">
        <w:t xml:space="preserve">The Brief Pain Inventory was also used to measure quality of life, </w:t>
      </w:r>
      <w:r w:rsidR="009A2D0C">
        <w:t xml:space="preserve">and </w:t>
      </w:r>
      <w:r w:rsidR="009A2D0C" w:rsidRPr="00D4733A">
        <w:t xml:space="preserve">the result </w:t>
      </w:r>
      <w:r w:rsidR="009A2D0C">
        <w:t xml:space="preserve">showed a non-significant trend </w:t>
      </w:r>
      <w:r w:rsidR="009A2D0C" w:rsidRPr="00D4733A">
        <w:t>favour</w:t>
      </w:r>
      <w:r w:rsidR="009A2D0C">
        <w:t>ing</w:t>
      </w:r>
      <w:r w:rsidR="009A2D0C" w:rsidRPr="00D4733A">
        <w:t xml:space="preserve"> the agalsidase alfa group</w:t>
      </w:r>
      <w:r w:rsidR="009A2D0C">
        <w:t xml:space="preserve"> </w:t>
      </w:r>
      <w:r w:rsidR="009A2D0C" w:rsidRPr="00D4733A">
        <w:t xml:space="preserve">(GRADE </w:t>
      </w:r>
      <w:r w:rsidR="009A2D0C" w:rsidRPr="00D4733A">
        <w:rPr>
          <w:rFonts w:ascii="Cambria Math" w:hAnsi="Cambria Math"/>
          <w:color w:val="00B050"/>
        </w:rPr>
        <w:t>⨁⨁⨁</w:t>
      </w:r>
      <w:r w:rsidR="009A2D0C" w:rsidRPr="00D4733A">
        <w:rPr>
          <w:rFonts w:ascii="Cambria Math" w:hAnsi="Cambria Math"/>
          <w:color w:val="C00000"/>
        </w:rPr>
        <w:t>⨀</w:t>
      </w:r>
      <w:r w:rsidR="009A2D0C" w:rsidRPr="00D4733A">
        <w:t>).</w:t>
      </w:r>
    </w:p>
    <w:p w:rsidR="009A2D0C" w:rsidRDefault="00416907" w:rsidP="00416907">
      <w:pPr>
        <w:tabs>
          <w:tab w:val="left" w:pos="1122"/>
        </w:tabs>
      </w:pPr>
      <w:r w:rsidRPr="00597925">
        <w:lastRenderedPageBreak/>
        <w:t xml:space="preserve">Kidney function was assessed with surrogate measures of Gb3 levels in plasma and urine sediment, and tissue Gb3 levels in </w:t>
      </w:r>
      <w:r>
        <w:t xml:space="preserve">the </w:t>
      </w:r>
      <w:r w:rsidRPr="00597925">
        <w:t xml:space="preserve">kidney and myocardium. There was no </w:t>
      </w:r>
      <w:r w:rsidR="009A2D0C">
        <w:t xml:space="preserve">statistically </w:t>
      </w:r>
      <w:r w:rsidRPr="00597925">
        <w:t xml:space="preserve">significant difference found between </w:t>
      </w:r>
      <w:r>
        <w:t>patients receiving agalsidase alfa or placebo</w:t>
      </w:r>
      <w:r w:rsidR="009A2D0C">
        <w:t xml:space="preserve"> in the small studies identified, but </w:t>
      </w:r>
      <w:r w:rsidR="00C41E11">
        <w:t xml:space="preserve">results </w:t>
      </w:r>
      <w:r w:rsidR="009A2D0C">
        <w:t>trend</w:t>
      </w:r>
      <w:r w:rsidR="00C41E11">
        <w:t>ed</w:t>
      </w:r>
      <w:r w:rsidR="009A2D0C">
        <w:t xml:space="preserve"> towards favouring agalsidase alfa </w:t>
      </w:r>
      <w:r w:rsidRPr="00597925">
        <w:t xml:space="preserve">(GRADE </w:t>
      </w:r>
      <w:r w:rsidRPr="00D4733A">
        <w:rPr>
          <w:rFonts w:ascii="Cambria Math" w:hAnsi="Cambria Math"/>
          <w:color w:val="00B050"/>
        </w:rPr>
        <w:t>⨁⨁</w:t>
      </w:r>
      <w:r w:rsidRPr="00D4733A">
        <w:rPr>
          <w:rFonts w:ascii="Cambria Math" w:hAnsi="Cambria Math"/>
          <w:color w:val="C00000"/>
        </w:rPr>
        <w:t>⨀⨀</w:t>
      </w:r>
      <w:r w:rsidRPr="00597925">
        <w:t xml:space="preserve">). </w:t>
      </w:r>
      <w:r w:rsidR="00C41E11">
        <w:t>O</w:t>
      </w:r>
      <w:r w:rsidR="00C41E11" w:rsidRPr="00597925">
        <w:t xml:space="preserve">ther </w:t>
      </w:r>
      <w:r w:rsidRPr="00597925">
        <w:t xml:space="preserve">surrogate measures </w:t>
      </w:r>
      <w:r w:rsidR="00155278">
        <w:t xml:space="preserve">in the trial </w:t>
      </w:r>
      <w:r w:rsidRPr="00597925">
        <w:t xml:space="preserve">also </w:t>
      </w:r>
      <w:r w:rsidR="00155278">
        <w:t>showed</w:t>
      </w:r>
      <w:r w:rsidR="00155278" w:rsidRPr="00597925">
        <w:t xml:space="preserve"> </w:t>
      </w:r>
      <w:r w:rsidRPr="00597925">
        <w:t xml:space="preserve">minimal or no difference between </w:t>
      </w:r>
      <w:r w:rsidR="00C41E11">
        <w:t>agalsidase alfa and placebo</w:t>
      </w:r>
      <w:r w:rsidR="00C41E11" w:rsidRPr="00597925">
        <w:t xml:space="preserve"> </w:t>
      </w:r>
      <w:r w:rsidRPr="00597925">
        <w:t>(creatinine clearance in nmol/g, inulin clearance ml/min, glomeruli nmol/24 hours)</w:t>
      </w:r>
      <w:r w:rsidR="00155278">
        <w:t>;</w:t>
      </w:r>
      <w:r w:rsidR="009A2D0C">
        <w:t xml:space="preserve"> although it is likely that the studies were underpowered</w:t>
      </w:r>
      <w:r w:rsidRPr="00597925">
        <w:t xml:space="preserve"> </w:t>
      </w:r>
      <w:r w:rsidR="00A070B7">
        <w:t xml:space="preserve">to find a difference </w:t>
      </w:r>
      <w:r w:rsidRPr="00597925">
        <w:t xml:space="preserve">(GRADE </w:t>
      </w:r>
      <w:r w:rsidRPr="00D4733A">
        <w:rPr>
          <w:rFonts w:ascii="Cambria Math" w:hAnsi="Cambria Math"/>
          <w:color w:val="00B050"/>
        </w:rPr>
        <w:t>⨁⨁</w:t>
      </w:r>
      <w:r w:rsidRPr="00D4733A">
        <w:rPr>
          <w:rFonts w:ascii="Cambria Math" w:hAnsi="Cambria Math"/>
          <w:color w:val="C00000"/>
        </w:rPr>
        <w:t>⨀⨀</w:t>
      </w:r>
      <w:r w:rsidRPr="00597925">
        <w:t xml:space="preserve">). </w:t>
      </w:r>
      <w:r w:rsidR="009A2D0C">
        <w:t xml:space="preserve">The group receiving placebo had </w:t>
      </w:r>
      <w:r w:rsidR="00C41E11">
        <w:t xml:space="preserve">a </w:t>
      </w:r>
      <w:r w:rsidR="009A2D0C">
        <w:t>reduction in inulin clearance which was three times that in patients receiving agalsidase alfa. Creatinine clearance was marginally improved in those taking agalsidase beta, but significantly declined in those taking placebo (p</w:t>
      </w:r>
      <w:r w:rsidR="00652355" w:rsidRPr="00652355">
        <w:rPr>
          <w:spacing w:val="-20"/>
        </w:rPr>
        <w:t xml:space="preserve"> = </w:t>
      </w:r>
      <w:r w:rsidR="009A2D0C">
        <w:t xml:space="preserve">0.02). </w:t>
      </w:r>
    </w:p>
    <w:p w:rsidR="00416907" w:rsidRDefault="00416907" w:rsidP="003B77E3">
      <w:pPr>
        <w:tabs>
          <w:tab w:val="left" w:pos="1122"/>
        </w:tabs>
        <w:spacing w:before="240" w:after="480"/>
      </w:pPr>
      <w:r w:rsidRPr="00597925">
        <w:t xml:space="preserve">In </w:t>
      </w:r>
      <w:r w:rsidR="00A070B7">
        <w:t>another</w:t>
      </w:r>
      <w:r w:rsidRPr="00597925">
        <w:t xml:space="preserve"> RCT </w:t>
      </w:r>
      <w:r>
        <w:t xml:space="preserve">there was </w:t>
      </w:r>
      <w:r w:rsidRPr="00597925">
        <w:t>no significant difference between groups</w:t>
      </w:r>
      <w:r w:rsidRPr="004C44E7">
        <w:t xml:space="preserve"> </w:t>
      </w:r>
      <w:r>
        <w:t xml:space="preserve">on </w:t>
      </w:r>
      <w:r w:rsidRPr="00597925">
        <w:t>surrogate measures of cardiac function</w:t>
      </w:r>
      <w:r w:rsidR="00FF0F3A">
        <w:t>, however, the study only had a total of 14 patients</w:t>
      </w:r>
      <w:r w:rsidRPr="00597925">
        <w:t xml:space="preserve"> (GRADE </w:t>
      </w:r>
      <w:r w:rsidRPr="00D4733A">
        <w:rPr>
          <w:rFonts w:ascii="Cambria Math" w:hAnsi="Cambria Math"/>
          <w:color w:val="00B050"/>
        </w:rPr>
        <w:t>⨁⨁</w:t>
      </w:r>
      <w:r w:rsidRPr="00D4733A">
        <w:rPr>
          <w:rFonts w:ascii="Cambria Math" w:hAnsi="Cambria Math"/>
          <w:color w:val="C00000"/>
        </w:rPr>
        <w:t>⨀⨀</w:t>
      </w:r>
      <w:r w:rsidRPr="00D4733A">
        <w:t>).</w:t>
      </w:r>
    </w:p>
    <w:tbl>
      <w:tblPr>
        <w:tblStyle w:val="TableGrid"/>
        <w:tblW w:w="0" w:type="auto"/>
        <w:tblInd w:w="108" w:type="dxa"/>
        <w:tblLook w:val="04A0" w:firstRow="1" w:lastRow="0" w:firstColumn="1" w:lastColumn="0" w:noHBand="0" w:noVBand="1"/>
        <w:tblCaption w:val="Summary of new evidence on agalsidase beta"/>
      </w:tblPr>
      <w:tblGrid>
        <w:gridCol w:w="9072"/>
      </w:tblGrid>
      <w:tr w:rsidR="006A6663" w:rsidRPr="003B77E3" w:rsidTr="00712231">
        <w:trPr>
          <w:tblHeader/>
        </w:trPr>
        <w:tc>
          <w:tcPr>
            <w:tcW w:w="9072" w:type="dxa"/>
            <w:shd w:val="clear" w:color="auto" w:fill="953735"/>
          </w:tcPr>
          <w:p w:rsidR="006A6663" w:rsidRPr="003B77E3" w:rsidRDefault="006A6663" w:rsidP="00DC17CA">
            <w:pPr>
              <w:pStyle w:val="TableHeading"/>
              <w:ind w:left="176" w:right="175"/>
              <w:rPr>
                <w:sz w:val="22"/>
                <w:szCs w:val="22"/>
              </w:rPr>
            </w:pPr>
            <w:r w:rsidRPr="003B77E3">
              <w:rPr>
                <w:color w:val="FFFFFF" w:themeColor="background1"/>
                <w:sz w:val="22"/>
                <w:szCs w:val="22"/>
              </w:rPr>
              <w:t>Agalsidase beta</w:t>
            </w:r>
          </w:p>
        </w:tc>
      </w:tr>
      <w:tr w:rsidR="006A6663" w:rsidRPr="003B77E3" w:rsidTr="003A6876">
        <w:tc>
          <w:tcPr>
            <w:tcW w:w="9072" w:type="dxa"/>
          </w:tcPr>
          <w:p w:rsidR="006A6663" w:rsidRPr="003B77E3" w:rsidRDefault="006A6663" w:rsidP="003A6876">
            <w:pPr>
              <w:pStyle w:val="TableText0"/>
              <w:ind w:left="176" w:right="175"/>
              <w:rPr>
                <w:sz w:val="22"/>
                <w:szCs w:val="22"/>
              </w:rPr>
            </w:pPr>
            <w:r w:rsidRPr="003B77E3">
              <w:rPr>
                <w:rStyle w:val="TableHeadingChar"/>
                <w:sz w:val="22"/>
                <w:szCs w:val="22"/>
              </w:rPr>
              <w:t>New publications</w:t>
            </w:r>
            <w:r w:rsidR="002A56AD">
              <w:rPr>
                <w:rStyle w:val="TableHeadingChar"/>
                <w:sz w:val="22"/>
                <w:szCs w:val="22"/>
              </w:rPr>
              <w:t xml:space="preserve"> since original recommendations</w:t>
            </w:r>
            <w:r w:rsidRPr="003B77E3">
              <w:rPr>
                <w:rStyle w:val="TableHeadingChar"/>
                <w:sz w:val="22"/>
                <w:szCs w:val="22"/>
              </w:rPr>
              <w:t>:</w:t>
            </w:r>
            <w:r w:rsidRPr="003B77E3">
              <w:rPr>
                <w:sz w:val="22"/>
                <w:szCs w:val="22"/>
              </w:rPr>
              <w:t xml:space="preserve"> </w:t>
            </w:r>
            <w:r w:rsidR="00A070B7" w:rsidRPr="003B77E3">
              <w:rPr>
                <w:sz w:val="22"/>
                <w:szCs w:val="22"/>
              </w:rPr>
              <w:t>One</w:t>
            </w:r>
            <w:r w:rsidR="009D18CE" w:rsidRPr="003B77E3">
              <w:rPr>
                <w:sz w:val="22"/>
                <w:szCs w:val="22"/>
              </w:rPr>
              <w:t xml:space="preserve"> new RCT </w:t>
            </w:r>
            <w:r w:rsidR="00510D02" w:rsidRPr="003B77E3">
              <w:rPr>
                <w:noProof/>
                <w:sz w:val="22"/>
                <w:szCs w:val="22"/>
              </w:rPr>
              <w:t>(</w:t>
            </w:r>
            <w:r w:rsidR="00184B6F" w:rsidRPr="003B77E3">
              <w:rPr>
                <w:noProof/>
                <w:sz w:val="22"/>
                <w:szCs w:val="22"/>
              </w:rPr>
              <w:t>Bierer et al. 2006</w:t>
            </w:r>
            <w:r w:rsidR="00510D02" w:rsidRPr="003B77E3">
              <w:rPr>
                <w:noProof/>
                <w:sz w:val="22"/>
                <w:szCs w:val="22"/>
              </w:rPr>
              <w:t>)</w:t>
            </w:r>
            <w:r w:rsidR="009D18CE" w:rsidRPr="003B77E3">
              <w:rPr>
                <w:sz w:val="22"/>
                <w:szCs w:val="22"/>
              </w:rPr>
              <w:t xml:space="preserve"> with 6 patients</w:t>
            </w:r>
          </w:p>
          <w:p w:rsidR="006A6663" w:rsidRPr="003B77E3" w:rsidRDefault="006A6663" w:rsidP="003A6876">
            <w:pPr>
              <w:pStyle w:val="TableText0"/>
              <w:ind w:left="176" w:right="175"/>
              <w:rPr>
                <w:sz w:val="22"/>
                <w:szCs w:val="22"/>
              </w:rPr>
            </w:pPr>
            <w:r w:rsidRPr="003B77E3">
              <w:rPr>
                <w:rStyle w:val="TableHeadingChar"/>
                <w:sz w:val="22"/>
                <w:szCs w:val="22"/>
              </w:rPr>
              <w:t xml:space="preserve">Impact on </w:t>
            </w:r>
            <w:r w:rsidR="006F6E8D">
              <w:rPr>
                <w:rStyle w:val="TableHeadingChar"/>
                <w:sz w:val="22"/>
                <w:szCs w:val="22"/>
              </w:rPr>
              <w:t>original recommendation</w:t>
            </w:r>
            <w:r w:rsidR="006F6E8D" w:rsidRPr="003B77E3">
              <w:rPr>
                <w:rStyle w:val="TableHeadingChar"/>
                <w:sz w:val="22"/>
                <w:szCs w:val="22"/>
              </w:rPr>
              <w:t xml:space="preserve"> </w:t>
            </w:r>
            <w:r w:rsidRPr="003B77E3">
              <w:rPr>
                <w:rStyle w:val="TableHeadingChar"/>
                <w:sz w:val="22"/>
                <w:szCs w:val="22"/>
              </w:rPr>
              <w:t xml:space="preserve">: </w:t>
            </w:r>
            <w:r w:rsidR="009D18CE" w:rsidRPr="003B77E3">
              <w:rPr>
                <w:rStyle w:val="TableHeadingChar"/>
                <w:b w:val="0"/>
                <w:sz w:val="22"/>
                <w:szCs w:val="22"/>
              </w:rPr>
              <w:t>The new RCT supported the evidence already provided in the submission</w:t>
            </w:r>
            <w:r w:rsidR="00A070B7" w:rsidRPr="003B77E3">
              <w:rPr>
                <w:rStyle w:val="TableHeadingChar"/>
                <w:b w:val="0"/>
                <w:sz w:val="22"/>
                <w:szCs w:val="22"/>
              </w:rPr>
              <w:t xml:space="preserve"> to the PBAC</w:t>
            </w:r>
            <w:r w:rsidR="009D18CE" w:rsidRPr="003B77E3">
              <w:rPr>
                <w:rStyle w:val="TableHeadingChar"/>
                <w:b w:val="0"/>
                <w:sz w:val="22"/>
                <w:szCs w:val="22"/>
              </w:rPr>
              <w:t xml:space="preserve">, that cardiac function was better in patients receiving agalsidase beta than placebo (although </w:t>
            </w:r>
            <w:r w:rsidR="004A03EA" w:rsidRPr="003B77E3">
              <w:rPr>
                <w:rStyle w:val="TableHeadingChar"/>
                <w:b w:val="0"/>
                <w:sz w:val="22"/>
                <w:szCs w:val="22"/>
              </w:rPr>
              <w:t xml:space="preserve">the study was </w:t>
            </w:r>
            <w:r w:rsidR="009D18CE" w:rsidRPr="003B77E3">
              <w:rPr>
                <w:rStyle w:val="TableHeadingChar"/>
                <w:b w:val="0"/>
                <w:sz w:val="22"/>
                <w:szCs w:val="22"/>
              </w:rPr>
              <w:t xml:space="preserve">too small to detect </w:t>
            </w:r>
            <w:r w:rsidR="005E5D6E" w:rsidRPr="003B77E3">
              <w:rPr>
                <w:rStyle w:val="TableHeadingChar"/>
                <w:b w:val="0"/>
                <w:sz w:val="22"/>
                <w:szCs w:val="22"/>
              </w:rPr>
              <w:t xml:space="preserve">a </w:t>
            </w:r>
            <w:r w:rsidR="009D18CE" w:rsidRPr="003B77E3">
              <w:rPr>
                <w:rStyle w:val="TableHeadingChar"/>
                <w:b w:val="0"/>
                <w:sz w:val="22"/>
                <w:szCs w:val="22"/>
              </w:rPr>
              <w:t>statistical</w:t>
            </w:r>
            <w:r w:rsidR="005E5D6E" w:rsidRPr="003B77E3">
              <w:rPr>
                <w:rStyle w:val="TableHeadingChar"/>
                <w:b w:val="0"/>
                <w:sz w:val="22"/>
                <w:szCs w:val="22"/>
              </w:rPr>
              <w:t>ly</w:t>
            </w:r>
            <w:r w:rsidR="009D18CE" w:rsidRPr="003B77E3">
              <w:rPr>
                <w:rStyle w:val="TableHeadingChar"/>
                <w:b w:val="0"/>
                <w:sz w:val="22"/>
                <w:szCs w:val="22"/>
              </w:rPr>
              <w:t xml:space="preserve"> significan</w:t>
            </w:r>
            <w:r w:rsidR="005E5D6E" w:rsidRPr="003B77E3">
              <w:rPr>
                <w:rStyle w:val="TableHeadingChar"/>
                <w:b w:val="0"/>
                <w:sz w:val="22"/>
                <w:szCs w:val="22"/>
              </w:rPr>
              <w:t>t differen</w:t>
            </w:r>
            <w:r w:rsidR="009D18CE" w:rsidRPr="003B77E3">
              <w:rPr>
                <w:rStyle w:val="TableHeadingChar"/>
                <w:b w:val="0"/>
                <w:sz w:val="22"/>
                <w:szCs w:val="22"/>
              </w:rPr>
              <w:t>ce).</w:t>
            </w:r>
          </w:p>
          <w:p w:rsidR="006A6663" w:rsidRPr="003B77E3" w:rsidRDefault="006A6663" w:rsidP="00C25BBF">
            <w:pPr>
              <w:pStyle w:val="TableHeading"/>
              <w:ind w:left="176" w:right="175"/>
              <w:rPr>
                <w:sz w:val="22"/>
                <w:szCs w:val="22"/>
              </w:rPr>
            </w:pPr>
            <w:r w:rsidRPr="003B77E3">
              <w:rPr>
                <w:sz w:val="22"/>
                <w:szCs w:val="22"/>
              </w:rPr>
              <w:t xml:space="preserve">Australian data: </w:t>
            </w:r>
            <w:r w:rsidRPr="003B77E3">
              <w:rPr>
                <w:b w:val="0"/>
                <w:sz w:val="22"/>
                <w:szCs w:val="22"/>
              </w:rPr>
              <w:t>Patients receiving agalsidase beta had a small absolute improvement in average glomerular filtration rate (GFR), supporting the claim that agalsidase beta has clinical advantages o</w:t>
            </w:r>
            <w:r w:rsidR="004A03EA" w:rsidRPr="003B77E3">
              <w:rPr>
                <w:b w:val="0"/>
                <w:sz w:val="22"/>
                <w:szCs w:val="22"/>
              </w:rPr>
              <w:t>v</w:t>
            </w:r>
            <w:r w:rsidRPr="003B77E3">
              <w:rPr>
                <w:b w:val="0"/>
                <w:sz w:val="22"/>
                <w:szCs w:val="22"/>
              </w:rPr>
              <w:t xml:space="preserve">er standard management. </w:t>
            </w:r>
          </w:p>
        </w:tc>
      </w:tr>
    </w:tbl>
    <w:p w:rsidR="00416907" w:rsidRPr="00597925" w:rsidRDefault="00416907" w:rsidP="003374AD">
      <w:pPr>
        <w:tabs>
          <w:tab w:val="left" w:pos="1122"/>
        </w:tabs>
        <w:spacing w:before="240"/>
        <w:rPr>
          <w:rFonts w:ascii="Cambria Math" w:hAnsi="Cambria Math"/>
        </w:rPr>
      </w:pPr>
      <w:r w:rsidRPr="00D4733A">
        <w:t>One high quality RCT comparing agalsidase beta</w:t>
      </w:r>
      <w:r w:rsidRPr="00597925">
        <w:t xml:space="preserve"> </w:t>
      </w:r>
      <w:r w:rsidR="005E5D6E">
        <w:t>with</w:t>
      </w:r>
      <w:r w:rsidRPr="00597925">
        <w:t xml:space="preserve"> standard treatment </w:t>
      </w:r>
      <w:r w:rsidR="00FF0F3A">
        <w:t xml:space="preserve">plus placebo </w:t>
      </w:r>
      <w:r w:rsidR="00FF0F3A" w:rsidRPr="00597925">
        <w:t xml:space="preserve">found that </w:t>
      </w:r>
      <w:r w:rsidR="00FF0F3A">
        <w:t xml:space="preserve">differences </w:t>
      </w:r>
      <w:r w:rsidR="005E5D6E">
        <w:t xml:space="preserve">in mortality rate </w:t>
      </w:r>
      <w:r w:rsidR="00FF0F3A">
        <w:t>between the treatment groups were small (</w:t>
      </w:r>
      <w:r w:rsidR="005E5D6E">
        <w:t xml:space="preserve">deaths were </w:t>
      </w:r>
      <w:r w:rsidR="00FF0F3A">
        <w:t xml:space="preserve">1/51 in agalsidase beta group and 0/31 in placebo group), and possibly due to chance </w:t>
      </w:r>
      <w:r w:rsidR="00FF0F3A" w:rsidRPr="00597925">
        <w:t xml:space="preserve">(GRADE </w:t>
      </w:r>
      <w:r w:rsidR="00FF0F3A" w:rsidRPr="00D4733A">
        <w:rPr>
          <w:rFonts w:ascii="Cambria Math" w:hAnsi="Cambria Math"/>
          <w:color w:val="00B050"/>
        </w:rPr>
        <w:t>⨁⨁⨁⨁</w:t>
      </w:r>
      <w:r w:rsidR="00FF0F3A" w:rsidRPr="00597925">
        <w:t>).</w:t>
      </w:r>
      <w:r w:rsidR="00FF0F3A">
        <w:t xml:space="preserve"> Ther</w:t>
      </w:r>
      <w:r w:rsidR="00C55ABD">
        <w:t>e were no statistically signific</w:t>
      </w:r>
      <w:r w:rsidR="00FF0F3A">
        <w:t xml:space="preserve">ant differences in the rate of </w:t>
      </w:r>
      <w:r w:rsidRPr="00597925">
        <w:t>serious adverse event rates (cardiac, cerebrovascular and renal events)</w:t>
      </w:r>
      <w:r w:rsidR="00FF0F3A">
        <w:t xml:space="preserve">, although the frequency of renal events, cardiac events and cerebrovascular events </w:t>
      </w:r>
      <w:r w:rsidR="0085690C">
        <w:t>were reduced in the</w:t>
      </w:r>
      <w:r w:rsidR="00FF0F3A">
        <w:t xml:space="preserve"> agalsidase beta</w:t>
      </w:r>
      <w:r w:rsidR="0085690C">
        <w:t xml:space="preserve"> group</w:t>
      </w:r>
      <w:r w:rsidRPr="00597925">
        <w:t xml:space="preserve"> (GRADE </w:t>
      </w:r>
      <w:r w:rsidRPr="00D4733A">
        <w:rPr>
          <w:rFonts w:ascii="Cambria Math" w:hAnsi="Cambria Math"/>
          <w:color w:val="00B050"/>
        </w:rPr>
        <w:t>⨁⨁⨁⨁</w:t>
      </w:r>
      <w:r w:rsidRPr="00597925">
        <w:t xml:space="preserve">). Gb3 levels </w:t>
      </w:r>
      <w:r>
        <w:t xml:space="preserve">(a surrogate for renal function) </w:t>
      </w:r>
      <w:r w:rsidRPr="00597925">
        <w:t>were found to be significantly lower in patients randomised to agalsidase beta compared to standard therapy when measured in several ways (including plasma and urine concentrations, skin histological scores, microvascular endothelial deposits)</w:t>
      </w:r>
      <w:r>
        <w:t>;</w:t>
      </w:r>
      <w:r w:rsidRPr="00597925">
        <w:t xml:space="preserve"> however</w:t>
      </w:r>
      <w:r>
        <w:t>,</w:t>
      </w:r>
      <w:r w:rsidRPr="00597925">
        <w:t xml:space="preserve"> the trial from which these results were reported was assessed as having a serious risk of bias (GRADE </w:t>
      </w:r>
      <w:r w:rsidRPr="00D4733A">
        <w:rPr>
          <w:rFonts w:ascii="Cambria Math" w:hAnsi="Cambria Math"/>
          <w:color w:val="00B050"/>
        </w:rPr>
        <w:t>⨁</w:t>
      </w:r>
      <w:r w:rsidRPr="00D4733A">
        <w:rPr>
          <w:rFonts w:ascii="Cambria Math" w:hAnsi="Cambria Math"/>
          <w:color w:val="C00000"/>
        </w:rPr>
        <w:t>⨀⨀⨀</w:t>
      </w:r>
      <w:r w:rsidRPr="00597925">
        <w:t>)</w:t>
      </w:r>
      <w:r w:rsidRPr="00597925">
        <w:rPr>
          <w:rFonts w:ascii="Cambria Math" w:hAnsi="Cambria Math"/>
        </w:rPr>
        <w:t>.</w:t>
      </w:r>
    </w:p>
    <w:p w:rsidR="00416907" w:rsidRPr="00597925" w:rsidRDefault="00416907" w:rsidP="00416907">
      <w:pPr>
        <w:tabs>
          <w:tab w:val="left" w:pos="1122"/>
        </w:tabs>
      </w:pPr>
      <w:r w:rsidRPr="00597925">
        <w:t xml:space="preserve">Cardiopulmonary outcomes were measured in one </w:t>
      </w:r>
      <w:r w:rsidR="00FF0F3A">
        <w:t>“</w:t>
      </w:r>
      <w:r w:rsidRPr="00597925">
        <w:t>RCT</w:t>
      </w:r>
      <w:r w:rsidR="00FF0F3A">
        <w:t>” of 6 patients</w:t>
      </w:r>
      <w:r w:rsidRPr="00597925">
        <w:t xml:space="preserve"> comparing agalsidase beta and standard therapy, and while favouring the group receiving the drug</w:t>
      </w:r>
      <w:r w:rsidR="00A070B7">
        <w:t>,</w:t>
      </w:r>
      <w:r w:rsidR="00FF0F3A">
        <w:t xml:space="preserve"> the low power of the study</w:t>
      </w:r>
      <w:r w:rsidR="00A070B7">
        <w:t xml:space="preserve"> meant that the difference was not statistically significant</w:t>
      </w:r>
      <w:r w:rsidRPr="00597925">
        <w:t xml:space="preserve"> (GRADE </w:t>
      </w:r>
      <w:r w:rsidRPr="00D4733A">
        <w:rPr>
          <w:rFonts w:ascii="Cambria Math" w:hAnsi="Cambria Math"/>
          <w:color w:val="00B050"/>
        </w:rPr>
        <w:t>⨁</w:t>
      </w:r>
      <w:r w:rsidRPr="00D4733A">
        <w:rPr>
          <w:rFonts w:ascii="Cambria Math" w:hAnsi="Cambria Math"/>
          <w:color w:val="C00000"/>
        </w:rPr>
        <w:t>⨀⨀⨀</w:t>
      </w:r>
      <w:r w:rsidRPr="00597925">
        <w:t xml:space="preserve">). Pain was measured using the McGill Pain Questionnaire in </w:t>
      </w:r>
      <w:r w:rsidR="00A070B7">
        <w:t>another</w:t>
      </w:r>
      <w:r w:rsidRPr="00597925">
        <w:t xml:space="preserve"> RCT and found an improvement in both </w:t>
      </w:r>
      <w:r>
        <w:t>treatment arms</w:t>
      </w:r>
      <w:r w:rsidRPr="00597925">
        <w:t xml:space="preserve">, </w:t>
      </w:r>
      <w:r w:rsidR="005236C0">
        <w:t xml:space="preserve">but no significant difference between </w:t>
      </w:r>
      <w:r w:rsidR="00942EFE">
        <w:t xml:space="preserve">the </w:t>
      </w:r>
      <w:r w:rsidR="005236C0">
        <w:t>groups, so a placebo effect could not be ruled out</w:t>
      </w:r>
      <w:r w:rsidRPr="00597925">
        <w:t xml:space="preserve"> (GRADE </w:t>
      </w:r>
      <w:r w:rsidRPr="00D4733A">
        <w:rPr>
          <w:rFonts w:ascii="Cambria Math" w:hAnsi="Cambria Math"/>
          <w:color w:val="00B050"/>
        </w:rPr>
        <w:t>⨁⨁</w:t>
      </w:r>
      <w:r w:rsidRPr="00D4733A">
        <w:rPr>
          <w:rFonts w:ascii="Cambria Math" w:hAnsi="Cambria Math"/>
          <w:color w:val="C00000"/>
        </w:rPr>
        <w:t>⨀⨀</w:t>
      </w:r>
      <w:r w:rsidRPr="00597925">
        <w:t xml:space="preserve">). Patients randomised to agalsidase </w:t>
      </w:r>
      <w:r w:rsidRPr="00597925">
        <w:lastRenderedPageBreak/>
        <w:t xml:space="preserve">beta </w:t>
      </w:r>
      <w:r w:rsidR="00942EFE">
        <w:t>had a</w:t>
      </w:r>
      <w:r w:rsidRPr="00597925">
        <w:t xml:space="preserve"> significantly higher risk of fever, rigors, chills, hypertension and temperature changed sensation (GRADE </w:t>
      </w:r>
      <w:r w:rsidRPr="00D4733A">
        <w:rPr>
          <w:rFonts w:ascii="Cambria Math" w:hAnsi="Cambria Math"/>
          <w:color w:val="00B050"/>
        </w:rPr>
        <w:t>⨁⨁</w:t>
      </w:r>
      <w:r w:rsidRPr="00D4733A">
        <w:rPr>
          <w:rFonts w:ascii="Cambria Math" w:hAnsi="Cambria Math"/>
          <w:color w:val="C00000"/>
        </w:rPr>
        <w:t>⨀⨀</w:t>
      </w:r>
      <w:r w:rsidRPr="00597925">
        <w:t>).</w:t>
      </w:r>
    </w:p>
    <w:p w:rsidR="00416907" w:rsidRDefault="00416907" w:rsidP="00416907">
      <w:pPr>
        <w:tabs>
          <w:tab w:val="left" w:pos="1122"/>
        </w:tabs>
      </w:pPr>
      <w:r w:rsidRPr="00597925">
        <w:t xml:space="preserve">One low quality RCT compared agalsidase alfa and agalsidase beta. </w:t>
      </w:r>
      <w:r w:rsidR="009D18CE">
        <w:t xml:space="preserve">No significant differences were found on measures of effectiveness </w:t>
      </w:r>
      <w:r w:rsidR="009D18CE" w:rsidRPr="00597925">
        <w:t xml:space="preserve">(GRADE </w:t>
      </w:r>
      <w:r w:rsidR="009D18CE" w:rsidRPr="00D4733A">
        <w:rPr>
          <w:rFonts w:ascii="Cambria Math" w:hAnsi="Cambria Math" w:cs="Cambria Math"/>
          <w:color w:val="00B050"/>
        </w:rPr>
        <w:t>⨁</w:t>
      </w:r>
      <w:r w:rsidR="009D18CE" w:rsidRPr="00D4733A">
        <w:rPr>
          <w:rFonts w:ascii="Cambria Math" w:hAnsi="Cambria Math" w:cs="Cambria Math"/>
          <w:color w:val="C00000"/>
        </w:rPr>
        <w:t>⨀⨀⨀</w:t>
      </w:r>
      <w:r w:rsidR="009D18CE">
        <w:t xml:space="preserve">). </w:t>
      </w:r>
      <w:r w:rsidRPr="00597925">
        <w:t xml:space="preserve">One death reported in the alfa group was considered to be </w:t>
      </w:r>
      <w:r>
        <w:t>un</w:t>
      </w:r>
      <w:r w:rsidRPr="00597925">
        <w:t xml:space="preserve">related to the drug. </w:t>
      </w:r>
      <w:r>
        <w:t>The f</w:t>
      </w:r>
      <w:r w:rsidRPr="00597925">
        <w:t xml:space="preserve">requency of other serious adverse events (atrial fibrillation, other events not requiring hospitalisation), frequency of any adverse event, kidney and cardiac outcomes did not favour either drug (GRADE </w:t>
      </w:r>
      <w:r w:rsidRPr="00D4733A">
        <w:rPr>
          <w:rFonts w:ascii="Cambria Math" w:hAnsi="Cambria Math" w:cs="Cambria Math"/>
          <w:color w:val="00B050"/>
        </w:rPr>
        <w:t>⨁</w:t>
      </w:r>
      <w:r w:rsidRPr="00D4733A">
        <w:rPr>
          <w:rFonts w:ascii="Cambria Math" w:hAnsi="Cambria Math" w:cs="Cambria Math"/>
          <w:color w:val="C00000"/>
        </w:rPr>
        <w:t>⨀⨀⨀</w:t>
      </w:r>
      <w:r w:rsidRPr="00597925">
        <w:t>).</w:t>
      </w:r>
      <w:r w:rsidR="006A6663">
        <w:t xml:space="preserve"> </w:t>
      </w:r>
    </w:p>
    <w:p w:rsidR="00DE3267" w:rsidRPr="00DB5C55" w:rsidRDefault="00DE3267" w:rsidP="00CB33FA">
      <w:pPr>
        <w:pStyle w:val="Heading3"/>
      </w:pPr>
      <w:r w:rsidRPr="00DB5C55">
        <w:t>Australia</w:t>
      </w:r>
      <w:r w:rsidR="00021E89">
        <w:t>n data registry information – a</w:t>
      </w:r>
      <w:r w:rsidRPr="00DB5C55">
        <w:t>galsidase alfa and agalsidase beta</w:t>
      </w:r>
    </w:p>
    <w:p w:rsidR="0085690C" w:rsidRDefault="008E4818" w:rsidP="00416907">
      <w:pPr>
        <w:tabs>
          <w:tab w:val="left" w:pos="1122"/>
        </w:tabs>
      </w:pPr>
      <w:r>
        <w:t xml:space="preserve">Data relating to drugs for Fabry disease on the LSDP were obtained from Australian Registry Data. </w:t>
      </w:r>
      <w:r w:rsidR="00A62C97">
        <w:rPr>
          <w:noProof/>
          <w:color w:val="000000"/>
          <w:highlight w:val="black"/>
        </w:rPr>
        <w:t>''' ''''''''' ''''' ''''' '''''''''''''''' ''''''''' ''''''''''' ''''''''''''' '''''' '''''''''''''''''' '''''''''''''''' ''''''''''''''''' '''''' ''''''' '''''''''' ''''''' '''''''''''''''' ''''' ''''''''''''''''' '''''' ''''''''''''''' '''''''''''''''''''' '''''' '''' ''' '''''''' '''''''''' ''''' '''''' ''''' '''''''''''''''''''' '''''''''</w:t>
      </w:r>
      <w:r>
        <w:t xml:space="preserve"> The mean age of patients at first treatment was 41 years. </w:t>
      </w:r>
      <w:r w:rsidR="00A62C97">
        <w:rPr>
          <w:noProof/>
          <w:color w:val="000000"/>
          <w:highlight w:val="black"/>
        </w:rPr>
        <w:t xml:space="preserve">'''''''' '''''''''' ''''''''' ''''' '''''''''''''''''' ''''''' '''''''' '''''''''' '''''''''''''''''''''''''''''''' ''''''''''' ''''''''''' ''''' '''''' ''''''''''''''''''''''''' ''''''''' ''''' ''''''' '''''''''''''''''''''''''''''''' ''''''' '''''' ''''''''''' ''''''''' ''''' ''''''''''''''''''''' '''''''' ''''''' ''''''''''' '''''''''''''''''''''''''''''''' '''''''''''' '''''' '''''''''''''''''''''''''''''' ''''''''' ''''' ''' ''''''''''''''''''''''''''''''''' </w:t>
      </w:r>
      <w:r w:rsidR="0085690C">
        <w:t xml:space="preserve">Patients receiving agalsidase alfa had a slightly reduced average glomerular filtration rate (GFR), whereas patients receiving agalsidase beta had a small mean absolute increase of GFR. The small sample sizes mean that it is difficult to determine whether these differences are due to chance or whether they are clinically meaningful. </w:t>
      </w:r>
      <w:r w:rsidR="007A02DA">
        <w:t>The majority of patients (84.7%) had normal serum creatinine at baseline (</w:t>
      </w:r>
      <w:r w:rsidR="007A02DA" w:rsidRPr="00495402">
        <w:t>60-130 µ</w:t>
      </w:r>
      <w:r w:rsidR="00082C10" w:rsidRPr="00495402">
        <w:t>Mol</w:t>
      </w:r>
      <w:r w:rsidR="007A02DA" w:rsidRPr="00495402">
        <w:t>/L for male</w:t>
      </w:r>
      <w:r w:rsidR="007A02DA">
        <w:t>s and 40-110 µ</w:t>
      </w:r>
      <w:r w:rsidR="00082C10">
        <w:t>Mol</w:t>
      </w:r>
      <w:r w:rsidR="007A02DA">
        <w:t>/L for females</w:t>
      </w:r>
      <w:r w:rsidR="007A02DA" w:rsidRPr="00495402">
        <w:t>)</w:t>
      </w:r>
      <w:r w:rsidR="007A02DA">
        <w:t xml:space="preserve"> </w:t>
      </w:r>
      <w:r w:rsidR="00BD4A3A">
        <w:rPr>
          <w:noProof/>
        </w:rPr>
        <w:t>(</w:t>
      </w:r>
      <w:r w:rsidR="00184B6F">
        <w:rPr>
          <w:noProof/>
        </w:rPr>
        <w:t>QML Pathology 2009</w:t>
      </w:r>
      <w:r w:rsidR="00BD4A3A">
        <w:rPr>
          <w:noProof/>
        </w:rPr>
        <w:t>)</w:t>
      </w:r>
      <w:r w:rsidR="007A02DA">
        <w:t xml:space="preserve">, which was slightly reduced at last follow-up (77.8%). Anti-platelets were commonly prescribed as secondary therapy (73.1% of Fabry patients received them), and statins were used by 69.8% of patients. </w:t>
      </w:r>
    </w:p>
    <w:p w:rsidR="003374AD" w:rsidRDefault="003374AD" w:rsidP="00416907">
      <w:pPr>
        <w:tabs>
          <w:tab w:val="left" w:pos="1122"/>
        </w:tabs>
      </w:pPr>
    </w:p>
    <w:p w:rsidR="003374AD" w:rsidRDefault="003374AD" w:rsidP="00416907">
      <w:pPr>
        <w:tabs>
          <w:tab w:val="left" w:pos="1122"/>
        </w:tabs>
      </w:pPr>
      <w:r>
        <w:br w:type="page"/>
      </w:r>
    </w:p>
    <w:p w:rsidR="008B310A" w:rsidRPr="008B310A" w:rsidRDefault="00416907" w:rsidP="003B77E3">
      <w:pPr>
        <w:pStyle w:val="Heading3"/>
      </w:pPr>
      <w:bookmarkStart w:id="33" w:name="_Toc404937240"/>
      <w:bookmarkEnd w:id="32"/>
      <w:r w:rsidRPr="00DB5C55">
        <w:lastRenderedPageBreak/>
        <w:t>Alglucosidase alfa to treat Infantile Onset Pompe Disease</w:t>
      </w:r>
      <w:bookmarkEnd w:id="33"/>
    </w:p>
    <w:tbl>
      <w:tblPr>
        <w:tblStyle w:val="TableGrid"/>
        <w:tblW w:w="0" w:type="auto"/>
        <w:tblInd w:w="108" w:type="dxa"/>
        <w:tblLook w:val="04A0" w:firstRow="1" w:lastRow="0" w:firstColumn="1" w:lastColumn="0" w:noHBand="0" w:noVBand="1"/>
        <w:tblCaption w:val="Summary of new evidence on alglucosidase alfa for infantile onset Pompe disease"/>
      </w:tblPr>
      <w:tblGrid>
        <w:gridCol w:w="9072"/>
      </w:tblGrid>
      <w:tr w:rsidR="009D18CE" w:rsidRPr="003B77E3" w:rsidTr="00712231">
        <w:trPr>
          <w:tblHeader/>
        </w:trPr>
        <w:tc>
          <w:tcPr>
            <w:tcW w:w="9072" w:type="dxa"/>
            <w:shd w:val="clear" w:color="auto" w:fill="953735"/>
          </w:tcPr>
          <w:p w:rsidR="009D18CE" w:rsidRPr="003B77E3" w:rsidRDefault="009D18CE" w:rsidP="003A6876">
            <w:pPr>
              <w:pStyle w:val="TableHeading"/>
              <w:ind w:left="176" w:right="175"/>
              <w:rPr>
                <w:sz w:val="22"/>
                <w:szCs w:val="22"/>
              </w:rPr>
            </w:pPr>
            <w:r w:rsidRPr="003B77E3">
              <w:rPr>
                <w:color w:val="FFFFFF" w:themeColor="background1"/>
                <w:sz w:val="22"/>
                <w:szCs w:val="22"/>
              </w:rPr>
              <w:t>Alglucosidase alfa</w:t>
            </w:r>
          </w:p>
        </w:tc>
      </w:tr>
      <w:tr w:rsidR="009D18CE" w:rsidRPr="003B77E3" w:rsidTr="003A6876">
        <w:tc>
          <w:tcPr>
            <w:tcW w:w="9072" w:type="dxa"/>
          </w:tcPr>
          <w:p w:rsidR="00F1371B" w:rsidRPr="003B77E3" w:rsidRDefault="00F1371B" w:rsidP="00F1371B">
            <w:pPr>
              <w:pStyle w:val="TableText0"/>
              <w:ind w:left="176" w:right="175"/>
              <w:rPr>
                <w:sz w:val="22"/>
                <w:szCs w:val="22"/>
              </w:rPr>
            </w:pPr>
            <w:r w:rsidRPr="003B77E3">
              <w:rPr>
                <w:rStyle w:val="TableHeadingChar"/>
                <w:sz w:val="22"/>
                <w:szCs w:val="22"/>
              </w:rPr>
              <w:t>New publications</w:t>
            </w:r>
            <w:r w:rsidR="002A56AD">
              <w:rPr>
                <w:rStyle w:val="TableHeadingChar"/>
                <w:sz w:val="22"/>
                <w:szCs w:val="22"/>
              </w:rPr>
              <w:t xml:space="preserve"> since original recommendations</w:t>
            </w:r>
            <w:r w:rsidRPr="003B77E3">
              <w:rPr>
                <w:rStyle w:val="TableHeadingChar"/>
                <w:sz w:val="22"/>
                <w:szCs w:val="22"/>
              </w:rPr>
              <w:t>:</w:t>
            </w:r>
            <w:r w:rsidRPr="003B77E3">
              <w:rPr>
                <w:sz w:val="22"/>
                <w:szCs w:val="22"/>
              </w:rPr>
              <w:t xml:space="preserve">  No new studies were identified, but two new publications </w:t>
            </w:r>
            <w:r w:rsidR="003B77E3" w:rsidRPr="003B77E3">
              <w:rPr>
                <w:noProof/>
                <w:sz w:val="22"/>
                <w:szCs w:val="22"/>
              </w:rPr>
              <w:t>(</w:t>
            </w:r>
            <w:r w:rsidR="00184B6F" w:rsidRPr="003B77E3">
              <w:rPr>
                <w:noProof/>
                <w:sz w:val="22"/>
                <w:szCs w:val="22"/>
              </w:rPr>
              <w:t>Kishnani, P S et al. 2009</w:t>
            </w:r>
            <w:r w:rsidR="003B77E3" w:rsidRPr="003B77E3">
              <w:rPr>
                <w:noProof/>
                <w:sz w:val="22"/>
                <w:szCs w:val="22"/>
              </w:rPr>
              <w:t xml:space="preserve">; </w:t>
            </w:r>
            <w:r w:rsidR="00184B6F" w:rsidRPr="003B77E3">
              <w:rPr>
                <w:noProof/>
                <w:sz w:val="22"/>
                <w:szCs w:val="22"/>
              </w:rPr>
              <w:t>Nicolino, M. et al. 2009</w:t>
            </w:r>
            <w:r w:rsidR="003B77E3" w:rsidRPr="003B77E3">
              <w:rPr>
                <w:noProof/>
                <w:sz w:val="22"/>
                <w:szCs w:val="22"/>
              </w:rPr>
              <w:t>)</w:t>
            </w:r>
            <w:r w:rsidR="003B77E3" w:rsidRPr="003B77E3">
              <w:rPr>
                <w:sz w:val="22"/>
                <w:szCs w:val="22"/>
              </w:rPr>
              <w:t xml:space="preserve"> </w:t>
            </w:r>
            <w:r w:rsidRPr="003B77E3">
              <w:rPr>
                <w:sz w:val="22"/>
                <w:szCs w:val="22"/>
              </w:rPr>
              <w:t xml:space="preserve">provided longer term data for one of the historical control studies presented in </w:t>
            </w:r>
            <w:r w:rsidR="003B77E3" w:rsidRPr="003B77E3">
              <w:rPr>
                <w:sz w:val="22"/>
                <w:szCs w:val="22"/>
              </w:rPr>
              <w:t xml:space="preserve">the </w:t>
            </w:r>
            <w:r w:rsidRPr="003B77E3">
              <w:rPr>
                <w:sz w:val="22"/>
                <w:szCs w:val="22"/>
              </w:rPr>
              <w:t>submission</w:t>
            </w:r>
            <w:r w:rsidR="003B77E3" w:rsidRPr="003B77E3">
              <w:rPr>
                <w:sz w:val="22"/>
                <w:szCs w:val="22"/>
              </w:rPr>
              <w:t xml:space="preserve"> to the PBAC.</w:t>
            </w:r>
            <w:r w:rsidRPr="003B77E3">
              <w:rPr>
                <w:sz w:val="22"/>
                <w:szCs w:val="22"/>
              </w:rPr>
              <w:t xml:space="preserve"> </w:t>
            </w:r>
          </w:p>
          <w:p w:rsidR="00F1371B" w:rsidRPr="003B77E3" w:rsidRDefault="00F1371B" w:rsidP="00F1371B">
            <w:pPr>
              <w:pStyle w:val="TableText0"/>
              <w:ind w:left="176" w:right="175"/>
              <w:rPr>
                <w:sz w:val="22"/>
                <w:szCs w:val="22"/>
              </w:rPr>
            </w:pPr>
            <w:r w:rsidRPr="003B77E3">
              <w:rPr>
                <w:rStyle w:val="TableHeadingChar"/>
                <w:sz w:val="22"/>
                <w:szCs w:val="22"/>
              </w:rPr>
              <w:t xml:space="preserve">Impact on </w:t>
            </w:r>
            <w:r w:rsidR="006F6E8D">
              <w:rPr>
                <w:rStyle w:val="TableHeadingChar"/>
                <w:sz w:val="22"/>
                <w:szCs w:val="22"/>
              </w:rPr>
              <w:t>original recommendation</w:t>
            </w:r>
            <w:r w:rsidRPr="003B77E3">
              <w:rPr>
                <w:rStyle w:val="TableHeadingChar"/>
                <w:sz w:val="22"/>
                <w:szCs w:val="22"/>
              </w:rPr>
              <w:t xml:space="preserve">: </w:t>
            </w:r>
            <w:r w:rsidRPr="003B77E3">
              <w:rPr>
                <w:rStyle w:val="TableHeadingChar"/>
                <w:b w:val="0"/>
                <w:sz w:val="22"/>
                <w:szCs w:val="22"/>
              </w:rPr>
              <w:t xml:space="preserve">The new data supports the conclusion that alglucosidase alfa prolongs survival in infants with infantile onset Pompe disease. </w:t>
            </w:r>
          </w:p>
          <w:p w:rsidR="003C113D" w:rsidRDefault="00F1371B" w:rsidP="003C113D">
            <w:pPr>
              <w:pStyle w:val="TableText0"/>
              <w:ind w:left="176"/>
              <w:rPr>
                <w:rStyle w:val="TableHeadingChar"/>
                <w:sz w:val="22"/>
                <w:szCs w:val="22"/>
              </w:rPr>
            </w:pPr>
            <w:r w:rsidRPr="003B77E3">
              <w:rPr>
                <w:sz w:val="22"/>
                <w:szCs w:val="22"/>
              </w:rPr>
              <w:t xml:space="preserve">Australian data: </w:t>
            </w:r>
            <w:r w:rsidR="003C113D">
              <w:rPr>
                <w:rStyle w:val="TableHeadingChar"/>
                <w:sz w:val="22"/>
                <w:szCs w:val="22"/>
              </w:rPr>
              <w:t>Information i</w:t>
            </w:r>
            <w:r w:rsidR="005B2880">
              <w:rPr>
                <w:rStyle w:val="TableHeadingChar"/>
                <w:sz w:val="22"/>
                <w:szCs w:val="22"/>
              </w:rPr>
              <w:t xml:space="preserve">n this section has been withheld from this draft </w:t>
            </w:r>
            <w:proofErr w:type="gramStart"/>
            <w:r w:rsidR="005B2880">
              <w:rPr>
                <w:rStyle w:val="TableHeadingChar"/>
                <w:sz w:val="22"/>
                <w:szCs w:val="22"/>
              </w:rPr>
              <w:t xml:space="preserve">report </w:t>
            </w:r>
            <w:r w:rsidR="003C113D">
              <w:rPr>
                <w:rStyle w:val="TableHeadingChar"/>
                <w:sz w:val="22"/>
                <w:szCs w:val="22"/>
              </w:rPr>
              <w:t xml:space="preserve"> at</w:t>
            </w:r>
            <w:proofErr w:type="gramEnd"/>
            <w:r w:rsidR="003C113D">
              <w:rPr>
                <w:rStyle w:val="TableHeadingChar"/>
                <w:sz w:val="22"/>
                <w:szCs w:val="22"/>
              </w:rPr>
              <w:t xml:space="preserve"> the request of the drug sponsor.</w:t>
            </w:r>
          </w:p>
          <w:p w:rsidR="009D18CE" w:rsidRPr="003B77E3" w:rsidRDefault="00A62C97" w:rsidP="009C4207">
            <w:pPr>
              <w:pStyle w:val="TableHeading"/>
              <w:ind w:left="176" w:right="175"/>
              <w:rPr>
                <w:b w:val="0"/>
                <w:sz w:val="22"/>
                <w:szCs w:val="22"/>
              </w:rPr>
            </w:pPr>
            <w:r>
              <w:rPr>
                <w:b w:val="0"/>
                <w:noProof/>
                <w:color w:val="000000"/>
                <w:sz w:val="22"/>
                <w:szCs w:val="22"/>
                <w:highlight w:val="black"/>
              </w:rPr>
              <w:t>''''''''''' '''''''''''''''''''</w:t>
            </w:r>
            <w:r>
              <w:rPr>
                <w:noProof/>
                <w:color w:val="000000"/>
                <w:sz w:val="22"/>
                <w:szCs w:val="22"/>
                <w:highlight w:val="black"/>
              </w:rPr>
              <w:t xml:space="preserve"> </w:t>
            </w:r>
            <w:r>
              <w:rPr>
                <w:b w:val="0"/>
                <w:noProof/>
                <w:color w:val="000000"/>
                <w:sz w:val="22"/>
                <w:szCs w:val="22"/>
                <w:highlight w:val="black"/>
              </w:rPr>
              <w:t xml:space="preserve">''''''''''''''''''''' '''''''''''''''''''''''''''''' ''''''''' ''''''''''''''''''' '''''''' ''''''''''''''''' ''''''''''' ''''''''''''''''' ''''''''''' ''''''''''' ''' ''''''''''''''''' ''''' '''''''''''''''''''''''' '''''''''''' '''''' '''''''''''''''''' ''''''''' '''''''''''' ''' ''''''''''''''''''' ''''''''''' ''''''''''' ''''' '''''''''''''' '''''''''''''''''''''''' ''''' '''''''''''' '''''' '''''''''''''''''' ''' '''''''''''' '''''''' '''''' '''''''''''''' ''''''''''''''''''''''''''''' '''''''''''''' '''''''' ''''''''''' ''''''''''''''''' '''''' ''''''''''''''''''''''''' '''''''''''''''''''' ''''''''' ''''''''''''''''''' ''''''''''''' '''''''''''''''' '''''''''''''''''''' ''' '''' ''''''''''' '''''''' '''''''''''''' ''''''''''''''''' ''''''''''''' '''''''''''''''''''''' ''''''''''' '''''''''''''''''''''''''''''' ''''''''''' </w:t>
            </w:r>
          </w:p>
        </w:tc>
      </w:tr>
    </w:tbl>
    <w:p w:rsidR="009D18CE" w:rsidRDefault="009D18CE" w:rsidP="00416907"/>
    <w:p w:rsidR="00416907" w:rsidRDefault="004A03EA" w:rsidP="00416907">
      <w:r>
        <w:t>Four</w:t>
      </w:r>
      <w:r w:rsidRPr="0004128C">
        <w:t xml:space="preserve"> </w:t>
      </w:r>
      <w:r w:rsidR="00416907" w:rsidRPr="0004128C">
        <w:t xml:space="preserve">historical control studies provided low level but consistent evidence that alglucosidase alfa benefits </w:t>
      </w:r>
      <w:r w:rsidR="003B77E3">
        <w:t>children</w:t>
      </w:r>
      <w:r w:rsidR="00416907" w:rsidRPr="0004128C">
        <w:t xml:space="preserve"> with infantile onset Pompe Disease by extending </w:t>
      </w:r>
      <w:r w:rsidR="00416907">
        <w:t xml:space="preserve">their </w:t>
      </w:r>
      <w:r w:rsidR="00416907" w:rsidRPr="0004128C">
        <w:t>survival</w:t>
      </w:r>
      <w:r w:rsidR="0048378D">
        <w:t>,</w:t>
      </w:r>
      <w:r w:rsidR="00416907" w:rsidRPr="0004128C">
        <w:t xml:space="preserve"> a</w:t>
      </w:r>
      <w:r w:rsidR="0048378D">
        <w:t>s well as their</w:t>
      </w:r>
      <w:r w:rsidR="00416907" w:rsidRPr="0004128C">
        <w:t xml:space="preserve"> ventilation free survival</w:t>
      </w:r>
      <w:r w:rsidR="0048378D">
        <w:t>,</w:t>
      </w:r>
      <w:r w:rsidR="00416907" w:rsidRPr="0004128C">
        <w:t xml:space="preserve"> compared to standard palliative care (GRADE </w:t>
      </w:r>
      <w:r w:rsidR="00416907" w:rsidRPr="00D4733A">
        <w:rPr>
          <w:rFonts w:ascii="Cambria Math" w:hAnsi="Cambria Math" w:cs="Cambria Math"/>
          <w:color w:val="00B050"/>
        </w:rPr>
        <w:t>⨁⨁</w:t>
      </w:r>
      <w:r w:rsidR="00416907" w:rsidRPr="00D4733A">
        <w:rPr>
          <w:rFonts w:ascii="Cambria Math" w:hAnsi="Cambria Math" w:cs="Cambria Math"/>
          <w:color w:val="C00000"/>
        </w:rPr>
        <w:t>⨀⨀</w:t>
      </w:r>
      <w:r w:rsidR="00D67ADB" w:rsidRPr="00D67ADB">
        <w:rPr>
          <w:rFonts w:cs="Cambria Math"/>
          <w:spacing w:val="-20"/>
        </w:rPr>
        <w:t>)</w:t>
      </w:r>
      <w:r w:rsidR="00416907" w:rsidRPr="0004128C">
        <w:t>. Adverse reactions to alglucosidase alfa include</w:t>
      </w:r>
      <w:r w:rsidR="00416907">
        <w:t>d</w:t>
      </w:r>
      <w:r w:rsidR="00416907" w:rsidRPr="0004128C">
        <w:t xml:space="preserve"> life-threatening anaphylactic reactions. </w:t>
      </w:r>
    </w:p>
    <w:p w:rsidR="007A02DA" w:rsidRDefault="007A02DA" w:rsidP="00CB33FA">
      <w:pPr>
        <w:pStyle w:val="Heading3"/>
      </w:pPr>
      <w:r w:rsidRPr="00DB5C55">
        <w:t>Australian data registry information – a</w:t>
      </w:r>
      <w:r w:rsidR="009F2639">
        <w:t>l</w:t>
      </w:r>
      <w:r w:rsidRPr="00DB5C55">
        <w:t>glucosidase alfa</w:t>
      </w:r>
    </w:p>
    <w:p w:rsidR="003C113D" w:rsidRPr="005B2880" w:rsidRDefault="005B2880" w:rsidP="005B2880">
      <w:pPr>
        <w:pStyle w:val="TableText0"/>
        <w:ind w:left="176"/>
        <w:rPr>
          <w:sz w:val="22"/>
          <w:szCs w:val="22"/>
        </w:rPr>
      </w:pPr>
      <w:r>
        <w:rPr>
          <w:rStyle w:val="TableHeadingChar"/>
          <w:sz w:val="22"/>
          <w:szCs w:val="22"/>
        </w:rPr>
        <w:t>Information withheld from this draft report at the request of the drug sponsor.</w:t>
      </w:r>
    </w:p>
    <w:p w:rsidR="008B310A" w:rsidRPr="00A62C97" w:rsidRDefault="00A62C97" w:rsidP="00416907">
      <w:pPr>
        <w:rPr>
          <w:highlight w:val="black"/>
        </w:rPr>
      </w:pPr>
      <w:r>
        <w:rPr>
          <w:noProof/>
          <w:color w:val="000000"/>
          <w:highlight w:val="black"/>
        </w:rPr>
        <w:t xml:space="preserve">'''''''''''' '''''''' '''''''' ''''''''' ''''''''' '''''''''''''''' '''''''''''''' '''''''' ''''''''''''''''''''''''' ''''''' '''''''''''''''' ''''''' ''''''''' '''''' ''''''''''''''''' ''''''''''' ''''''''''''' ''''''''''''''''' '''''''' ''''''''''''''' ''''''''' '''' '''''' '''''''''''''''' ''''''''''' ''' '''''''''''''' '''' ''''''''''''''''''''''' '''''''''' '''''' ''''''''''' ''''''''''' '''''''''''''' '''''''''' ''''''''' '''' ''''''''' ''''' '''''''''''''' ''' '''''''''' '''''''' ''''' '''''''''' '''''''''''''''''''''' ''''''''''''''' '''''''''''' ''''''''' '''''''''' ''''''' ''''''''''''''''' '''''''''''''' ''''''''' '''''''''''''''' ''' '''''' ''''''''''''''''''' '''''''''''''' '''''''''''''''''' '''''''' ''''''' '''''''' '''''''''''''''' ''' ''''' ''''''''''''''''''''' '''''''''''''''''''' ''' '''''''''''' ''' ''' '''''''''''''''''' ''''''''' '''''''' '''''' '''''''''''''''''''' ''''''''''''''''' '''''' '''''''''''''''' '''''''' ''''''''''''''''' ''''''''' ''''''''''''''''''''''''''' '''''''' '''''''' ''''''''''''''''' ''''''''''''''''' '''''''' ''''''''''''''' ''''''''' '''' ''''''''''''''''''''''''''' ''''''' ''''''''''''''''' '''' ''''''''''''''' ''''''''''''''''' '''''' ''''''''' ''''''' '''''''' '''''''''''''''''''''''''''''''' '''''''''''' ''''''' ''''''''''''''''''''''''' '''''''''' '''' '''''' '''''''''''''''''''''''''''' ''''''''' '''''''' '''' ''''''''''''''' ''''''''''''''''''' '''''''''''''''' ''''''''' '''' '''''' ''''''''' </w:t>
      </w:r>
    </w:p>
    <w:p w:rsidR="00BC0234" w:rsidRPr="0004128C" w:rsidRDefault="00BC0234" w:rsidP="00416907"/>
    <w:p w:rsidR="00AA1E77" w:rsidRPr="00AA1E77" w:rsidRDefault="00F1371B" w:rsidP="003B77E3">
      <w:pPr>
        <w:pStyle w:val="Heading3"/>
      </w:pPr>
      <w:bookmarkStart w:id="34" w:name="_Toc404937241"/>
      <w:r w:rsidRPr="00DB5C55">
        <w:t xml:space="preserve">Alglucosidase alfa to treat </w:t>
      </w:r>
      <w:r>
        <w:t>Juvenile</w:t>
      </w:r>
      <w:r w:rsidRPr="00DB5C55">
        <w:t xml:space="preserve"> Onset Pompe Disease</w:t>
      </w:r>
    </w:p>
    <w:tbl>
      <w:tblPr>
        <w:tblStyle w:val="TableGrid"/>
        <w:tblW w:w="0" w:type="auto"/>
        <w:tblInd w:w="108" w:type="dxa"/>
        <w:tblLook w:val="04A0" w:firstRow="1" w:lastRow="0" w:firstColumn="1" w:lastColumn="0" w:noHBand="0" w:noVBand="1"/>
        <w:tblCaption w:val="Summary of new evidence on alglucosidaes alfa for juvenile onset Pompe disease"/>
      </w:tblPr>
      <w:tblGrid>
        <w:gridCol w:w="9072"/>
      </w:tblGrid>
      <w:tr w:rsidR="00F1371B" w:rsidRPr="003B77E3" w:rsidTr="00712231">
        <w:trPr>
          <w:tblHeader/>
        </w:trPr>
        <w:tc>
          <w:tcPr>
            <w:tcW w:w="9072" w:type="dxa"/>
            <w:shd w:val="clear" w:color="auto" w:fill="953735"/>
          </w:tcPr>
          <w:p w:rsidR="00F1371B" w:rsidRPr="003B77E3" w:rsidRDefault="00F1371B" w:rsidP="00BC0234">
            <w:pPr>
              <w:pStyle w:val="TableHeading"/>
              <w:keepNext w:val="0"/>
              <w:ind w:left="176" w:right="176"/>
              <w:rPr>
                <w:sz w:val="22"/>
                <w:szCs w:val="22"/>
              </w:rPr>
            </w:pPr>
            <w:r w:rsidRPr="003B77E3">
              <w:rPr>
                <w:color w:val="FFFFFF" w:themeColor="background1"/>
                <w:sz w:val="22"/>
                <w:szCs w:val="22"/>
              </w:rPr>
              <w:t>Alglucosidase alfa</w:t>
            </w:r>
          </w:p>
        </w:tc>
      </w:tr>
      <w:tr w:rsidR="00F1371B" w:rsidRPr="003B77E3" w:rsidTr="00F1371B">
        <w:tc>
          <w:tcPr>
            <w:tcW w:w="9072" w:type="dxa"/>
          </w:tcPr>
          <w:p w:rsidR="00F1371B" w:rsidRPr="003B77E3" w:rsidRDefault="00F1371B" w:rsidP="00BC0234">
            <w:pPr>
              <w:pStyle w:val="TableText0"/>
              <w:keepNext w:val="0"/>
              <w:ind w:left="176" w:right="176"/>
              <w:rPr>
                <w:sz w:val="22"/>
                <w:szCs w:val="22"/>
              </w:rPr>
            </w:pPr>
            <w:r w:rsidRPr="003B77E3">
              <w:rPr>
                <w:rStyle w:val="TableHeadingChar"/>
                <w:sz w:val="22"/>
                <w:szCs w:val="22"/>
              </w:rPr>
              <w:t>New publications</w:t>
            </w:r>
            <w:r w:rsidR="002A56AD">
              <w:rPr>
                <w:rStyle w:val="TableHeadingChar"/>
                <w:sz w:val="22"/>
                <w:szCs w:val="22"/>
              </w:rPr>
              <w:t xml:space="preserve"> since original recommendations</w:t>
            </w:r>
            <w:r w:rsidRPr="003B77E3">
              <w:rPr>
                <w:rStyle w:val="TableHeadingChar"/>
                <w:sz w:val="22"/>
                <w:szCs w:val="22"/>
              </w:rPr>
              <w:t>:</w:t>
            </w:r>
            <w:r w:rsidRPr="003B77E3">
              <w:rPr>
                <w:sz w:val="22"/>
                <w:szCs w:val="22"/>
              </w:rPr>
              <w:t xml:space="preserve"> </w:t>
            </w:r>
            <w:r w:rsidR="00302E65" w:rsidRPr="00302E65">
              <w:rPr>
                <w:sz w:val="22"/>
                <w:szCs w:val="22"/>
              </w:rPr>
              <w:t>The sponsor did not make a specific request for alglucosidase alfa to be provided through the LSDP for patients with the juvenile for</w:t>
            </w:r>
            <w:r w:rsidR="00D92CF9">
              <w:rPr>
                <w:sz w:val="22"/>
                <w:szCs w:val="22"/>
              </w:rPr>
              <w:t xml:space="preserve">m of late-onset Pompe disease. </w:t>
            </w:r>
            <w:r w:rsidR="00302E65" w:rsidRPr="00302E65">
              <w:rPr>
                <w:sz w:val="22"/>
                <w:szCs w:val="22"/>
              </w:rPr>
              <w:t xml:space="preserve">Submissions to the PBAC for late-onset Pompe disease did not separate data for patients with </w:t>
            </w:r>
            <w:r w:rsidR="002734FC">
              <w:rPr>
                <w:sz w:val="22"/>
                <w:szCs w:val="22"/>
              </w:rPr>
              <w:t>juvenile-late onset</w:t>
            </w:r>
            <w:r w:rsidR="00302E65" w:rsidRPr="00302E65">
              <w:rPr>
                <w:sz w:val="22"/>
                <w:szCs w:val="22"/>
              </w:rPr>
              <w:t xml:space="preserve"> and adult-onset Pompe disease. One case series and 15 case reports were identified.</w:t>
            </w:r>
            <w:r w:rsidRPr="003B77E3">
              <w:rPr>
                <w:sz w:val="22"/>
                <w:szCs w:val="22"/>
              </w:rPr>
              <w:t xml:space="preserve"> </w:t>
            </w:r>
          </w:p>
          <w:p w:rsidR="00F1371B" w:rsidRPr="003B77E3" w:rsidRDefault="00F1371B" w:rsidP="00BC0234">
            <w:pPr>
              <w:pStyle w:val="TableText0"/>
              <w:keepNext w:val="0"/>
              <w:ind w:left="176" w:right="176"/>
              <w:rPr>
                <w:sz w:val="22"/>
                <w:szCs w:val="22"/>
              </w:rPr>
            </w:pPr>
            <w:r w:rsidRPr="003B77E3">
              <w:rPr>
                <w:rStyle w:val="TableHeadingChar"/>
                <w:sz w:val="22"/>
                <w:szCs w:val="22"/>
              </w:rPr>
              <w:t xml:space="preserve">Impact on </w:t>
            </w:r>
            <w:r w:rsidR="006F6E8D">
              <w:rPr>
                <w:rStyle w:val="TableHeadingChar"/>
                <w:sz w:val="22"/>
                <w:szCs w:val="22"/>
              </w:rPr>
              <w:t>original recommendation</w:t>
            </w:r>
            <w:r w:rsidRPr="003B77E3">
              <w:rPr>
                <w:rStyle w:val="TableHeadingChar"/>
                <w:sz w:val="22"/>
                <w:szCs w:val="22"/>
              </w:rPr>
              <w:t xml:space="preserve">: </w:t>
            </w:r>
            <w:r w:rsidRPr="003B77E3">
              <w:rPr>
                <w:rStyle w:val="TableHeadingChar"/>
                <w:b w:val="0"/>
                <w:sz w:val="22"/>
                <w:szCs w:val="22"/>
              </w:rPr>
              <w:t xml:space="preserve">Very poor quality data show that patients improve from baseline when treated with alglucosidase alfa, </w:t>
            </w:r>
            <w:r w:rsidR="003B77E3" w:rsidRPr="003B77E3">
              <w:rPr>
                <w:rStyle w:val="TableHeadingChar"/>
                <w:b w:val="0"/>
                <w:sz w:val="22"/>
                <w:szCs w:val="22"/>
              </w:rPr>
              <w:t>in terms of</w:t>
            </w:r>
            <w:r w:rsidRPr="003B77E3">
              <w:rPr>
                <w:rStyle w:val="TableHeadingChar"/>
                <w:b w:val="0"/>
                <w:sz w:val="22"/>
                <w:szCs w:val="22"/>
              </w:rPr>
              <w:t xml:space="preserve"> respiratory outcomes and muscle functioning. A large amount of heterogeneity between patients and</w:t>
            </w:r>
            <w:r w:rsidR="003B77E3" w:rsidRPr="003B77E3">
              <w:rPr>
                <w:rStyle w:val="TableHeadingChar"/>
                <w:b w:val="0"/>
                <w:sz w:val="22"/>
                <w:szCs w:val="22"/>
              </w:rPr>
              <w:t xml:space="preserve"> the</w:t>
            </w:r>
            <w:r w:rsidRPr="003B77E3">
              <w:rPr>
                <w:rStyle w:val="TableHeadingChar"/>
                <w:b w:val="0"/>
                <w:sz w:val="22"/>
                <w:szCs w:val="22"/>
              </w:rPr>
              <w:t xml:space="preserve"> different outcomes, combined with the low level of </w:t>
            </w:r>
            <w:r w:rsidRPr="003B77E3">
              <w:rPr>
                <w:rStyle w:val="TableHeadingChar"/>
                <w:b w:val="0"/>
                <w:sz w:val="22"/>
                <w:szCs w:val="22"/>
              </w:rPr>
              <w:lastRenderedPageBreak/>
              <w:t>evidence, prevent any strong conclusions being made.</w:t>
            </w:r>
          </w:p>
          <w:p w:rsidR="00F1371B" w:rsidRPr="003B77E3" w:rsidRDefault="00F1371B" w:rsidP="00BC0234">
            <w:pPr>
              <w:pStyle w:val="TableHeading"/>
              <w:keepNext w:val="0"/>
              <w:ind w:left="176" w:right="176"/>
              <w:rPr>
                <w:sz w:val="22"/>
                <w:szCs w:val="22"/>
              </w:rPr>
            </w:pPr>
            <w:r w:rsidRPr="003B77E3">
              <w:rPr>
                <w:sz w:val="22"/>
                <w:szCs w:val="22"/>
              </w:rPr>
              <w:t xml:space="preserve">Australian data: </w:t>
            </w:r>
            <w:r w:rsidR="003B77E3" w:rsidRPr="003B77E3">
              <w:rPr>
                <w:b w:val="0"/>
                <w:sz w:val="22"/>
                <w:szCs w:val="22"/>
              </w:rPr>
              <w:t xml:space="preserve">Only one patient in Australia is currently receiving alglucosidase alfa for juvenile onset Pompe disease. </w:t>
            </w:r>
          </w:p>
        </w:tc>
      </w:tr>
    </w:tbl>
    <w:p w:rsidR="00A910B0" w:rsidRDefault="00151212" w:rsidP="00A37418">
      <w:pPr>
        <w:spacing w:before="240"/>
      </w:pPr>
      <w:r>
        <w:lastRenderedPageBreak/>
        <w:t xml:space="preserve">Studies on late-onset Pompe disease do not often distinguish between </w:t>
      </w:r>
      <w:r w:rsidR="002734FC">
        <w:t>juvenile-late onset</w:t>
      </w:r>
      <w:r>
        <w:t xml:space="preserve"> and adult-onset Pompe disease. For this reason, data on </w:t>
      </w:r>
      <w:r w:rsidR="002734FC">
        <w:t>juvenile-late onset</w:t>
      </w:r>
      <w:r>
        <w:t xml:space="preserve"> Pompe disea</w:t>
      </w:r>
      <w:r w:rsidR="006E04C5">
        <w:t>s</w:t>
      </w:r>
      <w:r>
        <w:t>e (JOPD) were very scant</w:t>
      </w:r>
      <w:r w:rsidR="003B77E3">
        <w:t xml:space="preserve"> in the systematic review</w:t>
      </w:r>
      <w:r>
        <w:t xml:space="preserve">, limited to one case series (n=7) and 15 case reports (discussing a total of 29 patients). </w:t>
      </w:r>
      <w:r w:rsidR="00A37418">
        <w:t>One article discussed the rate of deterioration in the years preceding the init</w:t>
      </w:r>
      <w:r w:rsidR="00095C24">
        <w:t>i</w:t>
      </w:r>
      <w:r w:rsidR="00A37418">
        <w:t xml:space="preserve">ation of alglucosidase alfa, whereas all the other evidence is based on the change between baseline data </w:t>
      </w:r>
      <w:r>
        <w:t>(prior to tre</w:t>
      </w:r>
      <w:r w:rsidR="00AA1E77">
        <w:t>atment with alglucosidase alfa)</w:t>
      </w:r>
      <w:r w:rsidR="00A37418">
        <w:t xml:space="preserve"> and follow-up data, after 6 months to 8 years of treatment. </w:t>
      </w:r>
    </w:p>
    <w:p w:rsidR="006E04C5" w:rsidRDefault="00A37418" w:rsidP="00A910B0">
      <w:pPr>
        <w:spacing w:before="240"/>
      </w:pPr>
      <w:r>
        <w:t xml:space="preserve">Natural history data show that patients with late-onset Pompe disease have a longer life-expectancy than patients with infantile-onset Pompe disease, but a reduced lifespan compared to the broader population. </w:t>
      </w:r>
    </w:p>
    <w:p w:rsidR="00406CB2" w:rsidRDefault="00406CB2" w:rsidP="00A910B0">
      <w:r>
        <w:t xml:space="preserve">The evidence was too poor to be able to make any statements regarding the impact of alglucosidase alfa on survival in patients with JOPD. Quality of life was only measured using a validated questionnaire in two patients with severe JOPD, treated at </w:t>
      </w:r>
      <w:r w:rsidR="00C17757">
        <w:t>ages 28 and 40</w:t>
      </w:r>
      <w:r w:rsidR="003B77E3">
        <w:t xml:space="preserve">. Only </w:t>
      </w:r>
      <w:r>
        <w:t xml:space="preserve">one of </w:t>
      </w:r>
      <w:r w:rsidR="003B77E3">
        <w:t xml:space="preserve">these patients </w:t>
      </w:r>
      <w:r>
        <w:t>reported a clinically meaningful improvement on the mental subscale</w:t>
      </w:r>
      <w:r w:rsidR="00C17757">
        <w:t xml:space="preserve"> of the Short Form-36</w:t>
      </w:r>
      <w:r>
        <w:t xml:space="preserve">. </w:t>
      </w:r>
    </w:p>
    <w:p w:rsidR="00A910B0" w:rsidRDefault="00A37418" w:rsidP="00A910B0">
      <w:r>
        <w:t>Based on the very poor quality data identified, patients improve, on average, on r</w:t>
      </w:r>
      <w:r w:rsidR="00406CB2">
        <w:t>espiratory functioning (measured by outcomes such as percent predicted vital capacity) and muscle functioning (</w:t>
      </w:r>
      <w:r w:rsidR="003B77E3">
        <w:t xml:space="preserve">the </w:t>
      </w:r>
      <w:r w:rsidR="00406CB2">
        <w:t xml:space="preserve">most frequently used outcome was the 6-minute walk test) </w:t>
      </w:r>
      <w:r w:rsidR="00406CB2" w:rsidRPr="0004128C">
        <w:t xml:space="preserve">(GRADE </w:t>
      </w:r>
      <w:r w:rsidR="00406CB2" w:rsidRPr="00D4733A">
        <w:rPr>
          <w:rFonts w:ascii="Cambria Math" w:hAnsi="Cambria Math"/>
          <w:color w:val="00B050"/>
        </w:rPr>
        <w:t>⨁</w:t>
      </w:r>
      <w:r w:rsidR="00406CB2" w:rsidRPr="00D4733A">
        <w:rPr>
          <w:rFonts w:ascii="Cambria Math" w:hAnsi="Cambria Math"/>
          <w:color w:val="C00000"/>
        </w:rPr>
        <w:t>⨀⨀⨀</w:t>
      </w:r>
      <w:r w:rsidR="00406CB2" w:rsidRPr="0004128C">
        <w:t>)</w:t>
      </w:r>
      <w:r w:rsidR="00406CB2">
        <w:t xml:space="preserve">. However, there was a large degree of heterogeneity </w:t>
      </w:r>
      <w:r w:rsidR="003B77E3">
        <w:t xml:space="preserve">in treatment effectiveness </w:t>
      </w:r>
      <w:r w:rsidR="00406CB2">
        <w:t xml:space="preserve">between patients. </w:t>
      </w:r>
      <w:r w:rsidR="00082C10">
        <w:t>P</w:t>
      </w:r>
      <w:r w:rsidR="00406CB2">
        <w:t xml:space="preserve">atients who were most likely to benefit from alglucosidase alfa were those who were treated at a younger age, </w:t>
      </w:r>
      <w:r w:rsidR="003B77E3">
        <w:t xml:space="preserve">and </w:t>
      </w:r>
      <w:r w:rsidR="00406CB2">
        <w:t>with less severe disease at baseline</w:t>
      </w:r>
      <w:r w:rsidR="004D16B1">
        <w:t xml:space="preserve"> </w:t>
      </w:r>
      <w:r w:rsidR="004D16B1" w:rsidRPr="0004128C">
        <w:t xml:space="preserve">(GRADE </w:t>
      </w:r>
      <w:r w:rsidR="004D16B1" w:rsidRPr="00D4733A">
        <w:rPr>
          <w:rFonts w:ascii="Cambria Math" w:hAnsi="Cambria Math"/>
          <w:color w:val="00B050"/>
        </w:rPr>
        <w:t>⨁</w:t>
      </w:r>
      <w:r w:rsidR="004D16B1" w:rsidRPr="00D4733A">
        <w:rPr>
          <w:rFonts w:ascii="Cambria Math" w:hAnsi="Cambria Math"/>
          <w:color w:val="C00000"/>
        </w:rPr>
        <w:t>⨀⨀⨀</w:t>
      </w:r>
      <w:r w:rsidR="004D16B1" w:rsidRPr="0004128C">
        <w:t>)</w:t>
      </w:r>
      <w:r w:rsidR="004D16B1">
        <w:t>.</w:t>
      </w:r>
      <w:r w:rsidR="006654B1">
        <w:t xml:space="preserve"> </w:t>
      </w:r>
    </w:p>
    <w:p w:rsidR="00A37418" w:rsidRDefault="00A37418" w:rsidP="00A910B0"/>
    <w:p w:rsidR="008B310A" w:rsidRPr="008B310A" w:rsidRDefault="00416907" w:rsidP="003B77E3">
      <w:pPr>
        <w:pStyle w:val="Heading3"/>
        <w:spacing w:after="240"/>
      </w:pPr>
      <w:r w:rsidRPr="00DB5C55">
        <w:t xml:space="preserve">Medicines to treat </w:t>
      </w:r>
      <w:r w:rsidR="003B77E3">
        <w:t>Mucopolysaccharidoses (</w:t>
      </w:r>
      <w:r w:rsidRPr="00DB5C55">
        <w:t>MPS</w:t>
      </w:r>
      <w:r w:rsidR="003B77E3">
        <w:t>)</w:t>
      </w:r>
      <w:r w:rsidRPr="00DB5C55">
        <w:t xml:space="preserve"> I, II, VI – respectively, laronidase, idursulfase, galsulfase</w:t>
      </w:r>
      <w:bookmarkEnd w:id="34"/>
    </w:p>
    <w:tbl>
      <w:tblPr>
        <w:tblStyle w:val="TableGrid"/>
        <w:tblW w:w="0" w:type="auto"/>
        <w:tblInd w:w="108" w:type="dxa"/>
        <w:tblLook w:val="04A0" w:firstRow="1" w:lastRow="0" w:firstColumn="1" w:lastColumn="0" w:noHBand="0" w:noVBand="1"/>
        <w:tblCaption w:val="Summary of new evidence on laronidase"/>
      </w:tblPr>
      <w:tblGrid>
        <w:gridCol w:w="9072"/>
      </w:tblGrid>
      <w:tr w:rsidR="00F718D6" w:rsidRPr="00AA4512" w:rsidTr="00712231">
        <w:trPr>
          <w:tblHeader/>
        </w:trPr>
        <w:tc>
          <w:tcPr>
            <w:tcW w:w="9072" w:type="dxa"/>
            <w:shd w:val="clear" w:color="auto" w:fill="953735"/>
          </w:tcPr>
          <w:p w:rsidR="00F718D6" w:rsidRPr="00AA4512" w:rsidRDefault="00F718D6" w:rsidP="0006593F">
            <w:pPr>
              <w:pStyle w:val="TableHeading"/>
              <w:keepNext w:val="0"/>
              <w:ind w:left="176" w:right="176"/>
              <w:rPr>
                <w:sz w:val="22"/>
                <w:szCs w:val="22"/>
              </w:rPr>
            </w:pPr>
            <w:r w:rsidRPr="00AA4512">
              <w:rPr>
                <w:color w:val="FFFFFF" w:themeColor="background1"/>
                <w:sz w:val="22"/>
                <w:szCs w:val="22"/>
              </w:rPr>
              <w:t>Laronidase</w:t>
            </w:r>
          </w:p>
        </w:tc>
      </w:tr>
      <w:tr w:rsidR="00F718D6" w:rsidRPr="00AA4512" w:rsidTr="003A6876">
        <w:tc>
          <w:tcPr>
            <w:tcW w:w="9072" w:type="dxa"/>
          </w:tcPr>
          <w:p w:rsidR="00F718D6" w:rsidRPr="00AA4512" w:rsidRDefault="00F718D6" w:rsidP="0006593F">
            <w:pPr>
              <w:pStyle w:val="TableText0"/>
              <w:keepNext w:val="0"/>
              <w:ind w:left="176" w:right="176"/>
              <w:rPr>
                <w:sz w:val="22"/>
                <w:szCs w:val="22"/>
              </w:rPr>
            </w:pPr>
            <w:r w:rsidRPr="00AA4512">
              <w:rPr>
                <w:rStyle w:val="TableHeadingChar"/>
                <w:sz w:val="22"/>
                <w:szCs w:val="22"/>
              </w:rPr>
              <w:t>New publications</w:t>
            </w:r>
            <w:r w:rsidR="002A56AD">
              <w:rPr>
                <w:rStyle w:val="TableHeadingChar"/>
                <w:sz w:val="22"/>
                <w:szCs w:val="22"/>
              </w:rPr>
              <w:t xml:space="preserve"> since original recommendations</w:t>
            </w:r>
            <w:r w:rsidRPr="00AA4512">
              <w:rPr>
                <w:rStyle w:val="TableHeadingChar"/>
                <w:sz w:val="22"/>
                <w:szCs w:val="22"/>
              </w:rPr>
              <w:t>:</w:t>
            </w:r>
            <w:r w:rsidRPr="00AA4512">
              <w:rPr>
                <w:sz w:val="22"/>
                <w:szCs w:val="22"/>
              </w:rPr>
              <w:t xml:space="preserve">  </w:t>
            </w:r>
            <w:r w:rsidR="003B77E3" w:rsidRPr="00AA4512">
              <w:rPr>
                <w:sz w:val="22"/>
                <w:szCs w:val="22"/>
              </w:rPr>
              <w:t>One</w:t>
            </w:r>
            <w:r w:rsidR="00155C2C" w:rsidRPr="00AA4512">
              <w:rPr>
                <w:sz w:val="22"/>
                <w:szCs w:val="22"/>
              </w:rPr>
              <w:t xml:space="preserve"> new extension to an RCT</w:t>
            </w:r>
            <w:r w:rsidR="003B77E3" w:rsidRPr="00AA4512">
              <w:rPr>
                <w:sz w:val="22"/>
                <w:szCs w:val="22"/>
              </w:rPr>
              <w:t xml:space="preserve"> </w:t>
            </w:r>
            <w:r w:rsidR="003B77E3" w:rsidRPr="00AA4512">
              <w:rPr>
                <w:noProof/>
                <w:sz w:val="22"/>
                <w:szCs w:val="22"/>
              </w:rPr>
              <w:t>(</w:t>
            </w:r>
            <w:r w:rsidR="00184B6F" w:rsidRPr="00AA4512">
              <w:rPr>
                <w:noProof/>
                <w:sz w:val="22"/>
                <w:szCs w:val="22"/>
              </w:rPr>
              <w:t>Clarke et al. 2009</w:t>
            </w:r>
            <w:r w:rsidR="003B77E3" w:rsidRPr="00AA4512">
              <w:rPr>
                <w:noProof/>
                <w:sz w:val="22"/>
                <w:szCs w:val="22"/>
              </w:rPr>
              <w:t>)</w:t>
            </w:r>
            <w:r w:rsidR="00A34210">
              <w:rPr>
                <w:sz w:val="22"/>
                <w:szCs w:val="22"/>
              </w:rPr>
              <w:t>, origin</w:t>
            </w:r>
            <w:r w:rsidR="003B77E3" w:rsidRPr="00AA4512">
              <w:rPr>
                <w:sz w:val="22"/>
                <w:szCs w:val="22"/>
              </w:rPr>
              <w:t xml:space="preserve">ally </w:t>
            </w:r>
            <w:r w:rsidR="00155C2C" w:rsidRPr="00AA4512">
              <w:rPr>
                <w:sz w:val="22"/>
                <w:szCs w:val="22"/>
              </w:rPr>
              <w:t>included in the submission</w:t>
            </w:r>
            <w:r w:rsidR="003B77E3" w:rsidRPr="00AA4512">
              <w:rPr>
                <w:sz w:val="22"/>
                <w:szCs w:val="22"/>
              </w:rPr>
              <w:t xml:space="preserve"> to the PBAC, was identified in the systematic review.</w:t>
            </w:r>
          </w:p>
          <w:p w:rsidR="00F718D6" w:rsidRPr="00AA4512" w:rsidRDefault="00F718D6" w:rsidP="0006593F">
            <w:pPr>
              <w:pStyle w:val="TableText0"/>
              <w:keepNext w:val="0"/>
              <w:ind w:left="176" w:right="176"/>
              <w:rPr>
                <w:sz w:val="22"/>
                <w:szCs w:val="22"/>
              </w:rPr>
            </w:pPr>
            <w:r w:rsidRPr="00AA4512">
              <w:rPr>
                <w:rStyle w:val="TableHeadingChar"/>
                <w:sz w:val="22"/>
                <w:szCs w:val="22"/>
              </w:rPr>
              <w:t xml:space="preserve">Impact on </w:t>
            </w:r>
            <w:r w:rsidR="006F6E8D">
              <w:rPr>
                <w:rStyle w:val="TableHeadingChar"/>
                <w:sz w:val="22"/>
                <w:szCs w:val="22"/>
              </w:rPr>
              <w:t>original recommendation</w:t>
            </w:r>
            <w:r w:rsidRPr="00AA4512">
              <w:rPr>
                <w:rStyle w:val="TableHeadingChar"/>
                <w:sz w:val="22"/>
                <w:szCs w:val="22"/>
              </w:rPr>
              <w:t xml:space="preserve">: </w:t>
            </w:r>
            <w:r w:rsidR="000C5C6B">
              <w:rPr>
                <w:rStyle w:val="TableHeadingChar"/>
                <w:b w:val="0"/>
                <w:sz w:val="22"/>
                <w:szCs w:val="22"/>
              </w:rPr>
              <w:t>Longer term data were not as favourable to laronidase as the trial data were, showing</w:t>
            </w:r>
            <w:r w:rsidR="0006593F">
              <w:rPr>
                <w:rStyle w:val="TableHeadingChar"/>
                <w:b w:val="0"/>
                <w:sz w:val="22"/>
                <w:szCs w:val="22"/>
              </w:rPr>
              <w:t xml:space="preserve"> that</w:t>
            </w:r>
            <w:r w:rsidR="000C5C6B">
              <w:rPr>
                <w:rStyle w:val="TableHeadingChar"/>
                <w:b w:val="0"/>
                <w:sz w:val="22"/>
                <w:szCs w:val="22"/>
              </w:rPr>
              <w:t xml:space="preserve"> the majority of the improvement occurs in the first 6 months. </w:t>
            </w:r>
            <w:r w:rsidR="0006593F">
              <w:rPr>
                <w:rStyle w:val="TableHeadingChar"/>
                <w:b w:val="0"/>
                <w:sz w:val="22"/>
                <w:szCs w:val="22"/>
              </w:rPr>
              <w:t xml:space="preserve">Additional distance walked on the 6 minute walk test after 3.5 – 4 years was less than after 6 months. Forced vital capacity (FVC) was reduced from baseline after 3.5 - 4 years. Other outcomes (liver volume, </w:t>
            </w:r>
            <w:r w:rsidR="0006593F" w:rsidRPr="00AA4512">
              <w:rPr>
                <w:rStyle w:val="TableHeadingChar"/>
                <w:b w:val="0"/>
                <w:sz w:val="22"/>
                <w:szCs w:val="22"/>
              </w:rPr>
              <w:t xml:space="preserve">apnoea symptoms, </w:t>
            </w:r>
            <w:proofErr w:type="gramStart"/>
            <w:r w:rsidR="0006593F" w:rsidRPr="00AA4512">
              <w:rPr>
                <w:rStyle w:val="TableHeadingChar"/>
                <w:b w:val="0"/>
                <w:sz w:val="22"/>
                <w:szCs w:val="22"/>
              </w:rPr>
              <w:t>shoulder</w:t>
            </w:r>
            <w:proofErr w:type="gramEnd"/>
            <w:r w:rsidR="0006593F" w:rsidRPr="00AA4512">
              <w:rPr>
                <w:rStyle w:val="TableHeadingChar"/>
                <w:b w:val="0"/>
                <w:sz w:val="22"/>
                <w:szCs w:val="22"/>
              </w:rPr>
              <w:t xml:space="preserve"> range of motion, visual acuity and disability index</w:t>
            </w:r>
            <w:r w:rsidR="0006593F">
              <w:rPr>
                <w:rStyle w:val="TableHeadingChar"/>
                <w:b w:val="0"/>
                <w:sz w:val="22"/>
                <w:szCs w:val="22"/>
              </w:rPr>
              <w:t>) were improved from baseline. The</w:t>
            </w:r>
            <w:r w:rsidR="00D91E31" w:rsidRPr="00AA4512">
              <w:rPr>
                <w:rStyle w:val="TableHeadingChar"/>
                <w:b w:val="0"/>
                <w:sz w:val="22"/>
                <w:szCs w:val="22"/>
              </w:rPr>
              <w:t xml:space="preserve"> new data </w:t>
            </w:r>
            <w:r w:rsidR="00D91E31" w:rsidRPr="00AA4512">
              <w:rPr>
                <w:rStyle w:val="TableHeadingChar"/>
                <w:b w:val="0"/>
                <w:sz w:val="22"/>
                <w:szCs w:val="22"/>
              </w:rPr>
              <w:lastRenderedPageBreak/>
              <w:t xml:space="preserve">were non-comparative, and it is therefore uncertain how </w:t>
            </w:r>
            <w:r w:rsidR="006A0494" w:rsidRPr="00AA4512">
              <w:rPr>
                <w:rStyle w:val="TableHeadingChar"/>
                <w:b w:val="0"/>
                <w:sz w:val="22"/>
                <w:szCs w:val="22"/>
              </w:rPr>
              <w:t xml:space="preserve">the data compare to an untreated population in the longer-term. </w:t>
            </w:r>
          </w:p>
          <w:p w:rsidR="00F718D6" w:rsidRPr="00AA4512" w:rsidRDefault="00F718D6" w:rsidP="00095C24">
            <w:pPr>
              <w:pStyle w:val="TableHeading"/>
              <w:keepNext w:val="0"/>
              <w:ind w:left="176" w:right="176"/>
              <w:rPr>
                <w:sz w:val="22"/>
                <w:szCs w:val="22"/>
              </w:rPr>
            </w:pPr>
            <w:r w:rsidRPr="00AA4512">
              <w:rPr>
                <w:sz w:val="22"/>
                <w:szCs w:val="22"/>
              </w:rPr>
              <w:t xml:space="preserve">Australian data: </w:t>
            </w:r>
            <w:r w:rsidR="00C731BA" w:rsidRPr="00AA4512">
              <w:rPr>
                <w:b w:val="0"/>
                <w:sz w:val="22"/>
                <w:szCs w:val="22"/>
              </w:rPr>
              <w:t>The</w:t>
            </w:r>
            <w:r w:rsidR="00095C24">
              <w:rPr>
                <w:b w:val="0"/>
                <w:sz w:val="22"/>
                <w:szCs w:val="22"/>
              </w:rPr>
              <w:t xml:space="preserve"> format of the</w:t>
            </w:r>
            <w:r w:rsidR="00C731BA" w:rsidRPr="00AA4512">
              <w:rPr>
                <w:b w:val="0"/>
                <w:sz w:val="22"/>
                <w:szCs w:val="22"/>
              </w:rPr>
              <w:t xml:space="preserve"> </w:t>
            </w:r>
            <w:r w:rsidR="003B77E3" w:rsidRPr="00AA4512">
              <w:rPr>
                <w:b w:val="0"/>
                <w:sz w:val="22"/>
                <w:szCs w:val="22"/>
              </w:rPr>
              <w:t xml:space="preserve">individual </w:t>
            </w:r>
            <w:r w:rsidR="00C731BA" w:rsidRPr="00AA4512">
              <w:rPr>
                <w:b w:val="0"/>
                <w:sz w:val="22"/>
                <w:szCs w:val="22"/>
              </w:rPr>
              <w:t xml:space="preserve">data </w:t>
            </w:r>
            <w:r w:rsidR="00095C24">
              <w:rPr>
                <w:b w:val="0"/>
                <w:sz w:val="22"/>
                <w:szCs w:val="22"/>
              </w:rPr>
              <w:t>prevented analysis</w:t>
            </w:r>
            <w:r w:rsidR="00C731BA" w:rsidRPr="00AA4512">
              <w:rPr>
                <w:b w:val="0"/>
                <w:sz w:val="22"/>
                <w:szCs w:val="22"/>
              </w:rPr>
              <w:t xml:space="preserve"> to determine the clinical benefit of laronidase.</w:t>
            </w:r>
          </w:p>
        </w:tc>
      </w:tr>
    </w:tbl>
    <w:p w:rsidR="005B043B" w:rsidRPr="0004128C" w:rsidRDefault="005B043B" w:rsidP="005B043B">
      <w:pPr>
        <w:spacing w:before="240"/>
      </w:pPr>
      <w:r w:rsidRPr="0004128C">
        <w:lastRenderedPageBreak/>
        <w:t>No new trials were identified for the MPS drugs listed on the LSDP</w:t>
      </w:r>
      <w:r>
        <w:t>. Longer-term data were available for laronidase and idursulfase in extension studies of RCTs included in the submissions to the PBAC</w:t>
      </w:r>
      <w:r w:rsidRPr="0004128C">
        <w:t xml:space="preserve">. </w:t>
      </w:r>
    </w:p>
    <w:p w:rsidR="00416907" w:rsidRDefault="005B043B" w:rsidP="00A02644">
      <w:r w:rsidRPr="0004128C">
        <w:t xml:space="preserve">One </w:t>
      </w:r>
      <w:r>
        <w:t>RCT</w:t>
      </w:r>
      <w:r w:rsidRPr="0004128C">
        <w:t xml:space="preserve"> reported that 6 months of laronidase significantly </w:t>
      </w:r>
      <w:r>
        <w:t xml:space="preserve">improved the distance walked by </w:t>
      </w:r>
      <w:r w:rsidRPr="0004128C">
        <w:t>patients with MPS I, as measured by the 6-minute walk test</w:t>
      </w:r>
      <w:r>
        <w:t xml:space="preserve"> (6MWT) </w:t>
      </w:r>
      <w:r w:rsidRPr="0004128C">
        <w:t xml:space="preserve">(GRADE </w:t>
      </w:r>
      <w:r w:rsidRPr="00D4733A">
        <w:rPr>
          <w:rFonts w:ascii="Cambria Math" w:hAnsi="Cambria Math"/>
          <w:color w:val="00B050"/>
        </w:rPr>
        <w:t>⨁⨁⨁</w:t>
      </w:r>
      <w:r w:rsidRPr="00D4733A">
        <w:rPr>
          <w:rFonts w:ascii="Cambria Math" w:hAnsi="Cambria Math"/>
          <w:color w:val="C00000"/>
        </w:rPr>
        <w:t>⨀</w:t>
      </w:r>
      <w:r>
        <w:t>).</w:t>
      </w:r>
      <w:r w:rsidRPr="0004128C">
        <w:t xml:space="preserve"> </w:t>
      </w:r>
      <w:r>
        <w:t xml:space="preserve">However, differences between the patients receiving laronidase and placebo at baseline make it difficult to determine whether this difference was caused by the drug or due to imbalances in confounding factors. Likewise, although respiratory function (measured by forced vital capacity) improved more in the laronidase treatment arm, baseline differences in the treatment groups prevents strong conclusions from being formed </w:t>
      </w:r>
      <w:r w:rsidRPr="0004128C">
        <w:t xml:space="preserve">(GRADE </w:t>
      </w:r>
      <w:r w:rsidRPr="00D4733A">
        <w:rPr>
          <w:rFonts w:ascii="Cambria Math" w:hAnsi="Cambria Math"/>
          <w:color w:val="00B050"/>
        </w:rPr>
        <w:t>⨁⨁⨁</w:t>
      </w:r>
      <w:r w:rsidRPr="00D4733A">
        <w:rPr>
          <w:rFonts w:ascii="Cambria Math" w:hAnsi="Cambria Math"/>
          <w:color w:val="C00000"/>
        </w:rPr>
        <w:t>⨀</w:t>
      </w:r>
      <w:r w:rsidRPr="0004128C">
        <w:t xml:space="preserve">). There were no statistically significant differences in </w:t>
      </w:r>
      <w:r>
        <w:t xml:space="preserve">the </w:t>
      </w:r>
      <w:r w:rsidRPr="0004128C">
        <w:t xml:space="preserve">frequency of sleep apnoea </w:t>
      </w:r>
      <w:r>
        <w:t>or</w:t>
      </w:r>
      <w:r w:rsidRPr="0004128C">
        <w:t xml:space="preserve"> hypopnea symptoms or </w:t>
      </w:r>
      <w:r>
        <w:t xml:space="preserve">in </w:t>
      </w:r>
      <w:r w:rsidRPr="0004128C">
        <w:t>joint movement</w:t>
      </w:r>
      <w:r>
        <w:t xml:space="preserve">. </w:t>
      </w:r>
      <w:r>
        <w:rPr>
          <w:i/>
        </w:rPr>
        <w:t>P</w:t>
      </w:r>
      <w:r w:rsidRPr="00FC0757">
        <w:rPr>
          <w:i/>
        </w:rPr>
        <w:t>ost hoc</w:t>
      </w:r>
      <w:r w:rsidRPr="0004128C">
        <w:t xml:space="preserve"> analyses of those who had sleep apnoea at baseline, and impaired joint movement at baseline, </w:t>
      </w:r>
      <w:r>
        <w:t>identifie</w:t>
      </w:r>
      <w:r w:rsidRPr="0004128C">
        <w:t>d</w:t>
      </w:r>
      <w:r>
        <w:t xml:space="preserve"> that there were</w:t>
      </w:r>
      <w:r w:rsidRPr="0004128C">
        <w:t xml:space="preserve"> significant differences </w:t>
      </w:r>
      <w:r>
        <w:t xml:space="preserve">in sleep apnoea, hypopnea and joint movement that </w:t>
      </w:r>
      <w:r w:rsidRPr="0004128C">
        <w:t>favour</w:t>
      </w:r>
      <w:r>
        <w:t>ed</w:t>
      </w:r>
      <w:r w:rsidRPr="0004128C">
        <w:t xml:space="preserve"> laronidase</w:t>
      </w:r>
      <w:r>
        <w:t xml:space="preserve"> over placebo </w:t>
      </w:r>
      <w:r w:rsidRPr="0004128C">
        <w:t xml:space="preserve">(GRADE </w:t>
      </w:r>
      <w:r w:rsidRPr="00D4733A">
        <w:rPr>
          <w:rFonts w:ascii="Cambria Math" w:hAnsi="Cambria Math"/>
          <w:color w:val="00B050"/>
        </w:rPr>
        <w:t>⨁⨁</w:t>
      </w:r>
      <w:r w:rsidRPr="00D4733A">
        <w:rPr>
          <w:rFonts w:ascii="Cambria Math" w:hAnsi="Cambria Math"/>
          <w:color w:val="C00000"/>
        </w:rPr>
        <w:t>⨀⨀</w:t>
      </w:r>
      <w:r w:rsidRPr="00D67ADB">
        <w:rPr>
          <w:spacing w:val="-20"/>
        </w:rPr>
        <w:t>)</w:t>
      </w:r>
      <w:r w:rsidRPr="0004128C">
        <w:t xml:space="preserve">. </w:t>
      </w:r>
      <w:r w:rsidRPr="005B043B">
        <w:t>However, after 6 months, the level of disability did not differ between the two treatment groups (</w:t>
      </w:r>
      <w:r w:rsidRPr="0004128C">
        <w:t xml:space="preserve">GRADE </w:t>
      </w:r>
      <w:r w:rsidRPr="00D4733A">
        <w:rPr>
          <w:rFonts w:ascii="Cambria Math" w:hAnsi="Cambria Math"/>
          <w:color w:val="00B050"/>
        </w:rPr>
        <w:t>⨁⨁</w:t>
      </w:r>
      <w:r w:rsidRPr="00D4733A">
        <w:rPr>
          <w:rFonts w:ascii="Cambria Math" w:hAnsi="Cambria Math"/>
          <w:color w:val="C00000"/>
        </w:rPr>
        <w:t>⨀⨀</w:t>
      </w:r>
      <w:r w:rsidRPr="00D67ADB">
        <w:rPr>
          <w:spacing w:val="-20"/>
        </w:rPr>
        <w:t>)</w:t>
      </w:r>
      <w:r w:rsidRPr="0004128C">
        <w:rPr>
          <w:rFonts w:ascii="Cambria Math" w:hAnsi="Cambria Math"/>
        </w:rPr>
        <w:t xml:space="preserve">. </w:t>
      </w:r>
      <w:r w:rsidRPr="0004128C">
        <w:t>Laronidase appeared safe, with a similar safety profile to placebo.</w:t>
      </w:r>
    </w:p>
    <w:p w:rsidR="008B310A" w:rsidRDefault="004029FF" w:rsidP="00CB33FA">
      <w:pPr>
        <w:spacing w:after="240"/>
      </w:pPr>
      <w:r>
        <w:t>An exten</w:t>
      </w:r>
      <w:r w:rsidR="00EB1779">
        <w:t>s</w:t>
      </w:r>
      <w:r>
        <w:t xml:space="preserve">ion </w:t>
      </w:r>
      <w:r w:rsidR="00C6138D">
        <w:t xml:space="preserve">study of the intervention arm in the RCT </w:t>
      </w:r>
      <w:r>
        <w:t>was identified</w:t>
      </w:r>
      <w:r w:rsidR="00C6138D">
        <w:t>. Over</w:t>
      </w:r>
      <w:r w:rsidR="00A53E22">
        <w:t xml:space="preserve"> 3.5 or 4 years of laronidase, </w:t>
      </w:r>
      <w:r w:rsidR="0021508E">
        <w:t xml:space="preserve">measures of respiratory function had </w:t>
      </w:r>
      <w:r w:rsidR="00E76444">
        <w:t>worsened</w:t>
      </w:r>
      <w:r w:rsidR="0021508E">
        <w:t xml:space="preserve"> from baseline</w:t>
      </w:r>
      <w:r w:rsidR="00C6138D">
        <w:t xml:space="preserve"> (a</w:t>
      </w:r>
      <w:r w:rsidR="00064EAE">
        <w:t>n average</w:t>
      </w:r>
      <w:r w:rsidR="00C6138D">
        <w:t xml:space="preserve"> decline of patients’ predicted FVC of 0.78 points per year)</w:t>
      </w:r>
      <w:r w:rsidR="00E76444">
        <w:t>, and the distance walked in the 6MWT was less than the distance reported in the laronidase arm of the RCT after 26 weeks</w:t>
      </w:r>
      <w:r w:rsidR="002370E3">
        <w:t xml:space="preserve"> </w:t>
      </w:r>
      <w:r w:rsidR="00C6138D">
        <w:t xml:space="preserve"> </w:t>
      </w:r>
      <w:r w:rsidR="002370E3">
        <w:t xml:space="preserve">(GRADE </w:t>
      </w:r>
      <w:r w:rsidR="002370E3" w:rsidRPr="00D4733A">
        <w:rPr>
          <w:rFonts w:ascii="Cambria Math" w:hAnsi="Cambria Math"/>
          <w:color w:val="00B050"/>
        </w:rPr>
        <w:t>⨁⨁⨁</w:t>
      </w:r>
      <w:r w:rsidR="002370E3" w:rsidRPr="00D4733A">
        <w:rPr>
          <w:rFonts w:ascii="Cambria Math" w:hAnsi="Cambria Math"/>
          <w:color w:val="C00000"/>
        </w:rPr>
        <w:t>⨀</w:t>
      </w:r>
      <w:r w:rsidR="002370E3">
        <w:t>)</w:t>
      </w:r>
      <w:r w:rsidR="00E76444">
        <w:t xml:space="preserve">. Due to the non-comparative nature of the study, it is unclear whether the clinical efficacy of laronidase reduces over time, or whether patients experienced an expected disease-related decline. </w:t>
      </w:r>
    </w:p>
    <w:tbl>
      <w:tblPr>
        <w:tblStyle w:val="TableGrid"/>
        <w:tblW w:w="0" w:type="auto"/>
        <w:tblInd w:w="108" w:type="dxa"/>
        <w:tblLook w:val="04A0" w:firstRow="1" w:lastRow="0" w:firstColumn="1" w:lastColumn="0" w:noHBand="0" w:noVBand="1"/>
        <w:tblCaption w:val="Summary of new evidence on idursulfase"/>
      </w:tblPr>
      <w:tblGrid>
        <w:gridCol w:w="9072"/>
      </w:tblGrid>
      <w:tr w:rsidR="00F718D6" w:rsidRPr="005B043B" w:rsidTr="00712231">
        <w:trPr>
          <w:tblHeader/>
        </w:trPr>
        <w:tc>
          <w:tcPr>
            <w:tcW w:w="9072" w:type="dxa"/>
            <w:shd w:val="clear" w:color="auto" w:fill="953735"/>
          </w:tcPr>
          <w:p w:rsidR="00F718D6" w:rsidRPr="005B043B" w:rsidRDefault="00F718D6" w:rsidP="00DC17CA">
            <w:pPr>
              <w:pStyle w:val="TableHeading"/>
              <w:ind w:left="176" w:right="175"/>
              <w:rPr>
                <w:sz w:val="22"/>
                <w:szCs w:val="22"/>
              </w:rPr>
            </w:pPr>
            <w:r w:rsidRPr="005B043B">
              <w:rPr>
                <w:color w:val="FFFFFF" w:themeColor="background1"/>
                <w:sz w:val="22"/>
                <w:szCs w:val="22"/>
              </w:rPr>
              <w:lastRenderedPageBreak/>
              <w:t>Idursulfase</w:t>
            </w:r>
          </w:p>
        </w:tc>
      </w:tr>
      <w:tr w:rsidR="00F718D6" w:rsidRPr="005B043B" w:rsidTr="003A6876">
        <w:tc>
          <w:tcPr>
            <w:tcW w:w="9072" w:type="dxa"/>
          </w:tcPr>
          <w:p w:rsidR="005B043B" w:rsidRPr="00B63EFF" w:rsidRDefault="005B043B" w:rsidP="005B043B">
            <w:pPr>
              <w:pStyle w:val="TableText0"/>
              <w:ind w:left="176" w:right="175"/>
              <w:rPr>
                <w:sz w:val="22"/>
                <w:szCs w:val="22"/>
              </w:rPr>
            </w:pPr>
            <w:r w:rsidRPr="00B63EFF">
              <w:rPr>
                <w:rStyle w:val="TableHeadingChar"/>
                <w:sz w:val="22"/>
                <w:szCs w:val="22"/>
              </w:rPr>
              <w:t>New publications</w:t>
            </w:r>
            <w:r w:rsidR="002A56AD">
              <w:rPr>
                <w:rStyle w:val="TableHeadingChar"/>
                <w:sz w:val="22"/>
                <w:szCs w:val="22"/>
              </w:rPr>
              <w:t xml:space="preserve"> since original recommendations</w:t>
            </w:r>
            <w:r w:rsidRPr="00B63EFF">
              <w:rPr>
                <w:rStyle w:val="TableHeadingChar"/>
                <w:sz w:val="22"/>
                <w:szCs w:val="22"/>
              </w:rPr>
              <w:t>:</w:t>
            </w:r>
            <w:r w:rsidRPr="00B63EFF">
              <w:rPr>
                <w:sz w:val="22"/>
                <w:szCs w:val="22"/>
              </w:rPr>
              <w:t xml:space="preserve"> One new extension to an RCT</w:t>
            </w:r>
            <w:r>
              <w:rPr>
                <w:sz w:val="22"/>
                <w:szCs w:val="22"/>
              </w:rPr>
              <w:t xml:space="preserve"> </w:t>
            </w:r>
            <w:r w:rsidRPr="00CE1FDC">
              <w:rPr>
                <w:noProof/>
                <w:sz w:val="22"/>
                <w:szCs w:val="22"/>
              </w:rPr>
              <w:t>(</w:t>
            </w:r>
            <w:r w:rsidR="00184B6F" w:rsidRPr="00CE1FDC">
              <w:rPr>
                <w:noProof/>
                <w:sz w:val="22"/>
                <w:szCs w:val="22"/>
              </w:rPr>
              <w:t>Muenzer et al. 2011</w:t>
            </w:r>
            <w:r w:rsidRPr="00CE1FDC">
              <w:rPr>
                <w:noProof/>
                <w:sz w:val="22"/>
                <w:szCs w:val="22"/>
              </w:rPr>
              <w:t>)</w:t>
            </w:r>
            <w:r w:rsidRPr="00B63EFF">
              <w:rPr>
                <w:sz w:val="22"/>
                <w:szCs w:val="22"/>
              </w:rPr>
              <w:t>,</w:t>
            </w:r>
            <w:r>
              <w:rPr>
                <w:sz w:val="22"/>
                <w:szCs w:val="22"/>
              </w:rPr>
              <w:t xml:space="preserve"> originally</w:t>
            </w:r>
            <w:r w:rsidRPr="00B63EFF">
              <w:rPr>
                <w:sz w:val="22"/>
                <w:szCs w:val="22"/>
              </w:rPr>
              <w:t xml:space="preserve"> included in the submission</w:t>
            </w:r>
            <w:r>
              <w:rPr>
                <w:sz w:val="22"/>
                <w:szCs w:val="22"/>
              </w:rPr>
              <w:t xml:space="preserve"> to the </w:t>
            </w:r>
            <w:r w:rsidRPr="0053590D">
              <w:rPr>
                <w:sz w:val="22"/>
                <w:szCs w:val="22"/>
              </w:rPr>
              <w:t>PBAC</w:t>
            </w:r>
            <w:r>
              <w:rPr>
                <w:sz w:val="22"/>
                <w:szCs w:val="22"/>
              </w:rPr>
              <w:t>, was identified in the systematic review</w:t>
            </w:r>
            <w:r w:rsidRPr="00B63EFF">
              <w:rPr>
                <w:sz w:val="22"/>
                <w:szCs w:val="22"/>
              </w:rPr>
              <w:t>.</w:t>
            </w:r>
          </w:p>
          <w:p w:rsidR="005B043B" w:rsidRPr="00B63EFF" w:rsidRDefault="005B043B" w:rsidP="005B043B">
            <w:pPr>
              <w:pStyle w:val="TableText0"/>
              <w:ind w:left="176" w:right="175"/>
              <w:rPr>
                <w:sz w:val="22"/>
                <w:szCs w:val="22"/>
              </w:rPr>
            </w:pPr>
            <w:r w:rsidRPr="00B63EFF">
              <w:rPr>
                <w:rStyle w:val="TableHeadingChar"/>
                <w:sz w:val="22"/>
                <w:szCs w:val="22"/>
              </w:rPr>
              <w:t xml:space="preserve">Impact on </w:t>
            </w:r>
            <w:r w:rsidR="006F6E8D">
              <w:rPr>
                <w:rStyle w:val="TableHeadingChar"/>
                <w:sz w:val="22"/>
                <w:szCs w:val="22"/>
              </w:rPr>
              <w:t>original recommendation</w:t>
            </w:r>
            <w:r w:rsidRPr="00B63EFF">
              <w:rPr>
                <w:rStyle w:val="TableHeadingChar"/>
                <w:sz w:val="22"/>
                <w:szCs w:val="22"/>
              </w:rPr>
              <w:t xml:space="preserve">: </w:t>
            </w:r>
            <w:r w:rsidRPr="00B63EFF">
              <w:rPr>
                <w:rStyle w:val="TableHeadingChar"/>
                <w:b w:val="0"/>
                <w:sz w:val="22"/>
                <w:szCs w:val="22"/>
              </w:rPr>
              <w:t xml:space="preserve">Absolute forced vital capacity continued to improve for </w:t>
            </w:r>
            <w:proofErr w:type="gramStart"/>
            <w:r w:rsidRPr="00B63EFF">
              <w:rPr>
                <w:rStyle w:val="TableHeadingChar"/>
                <w:b w:val="0"/>
                <w:sz w:val="22"/>
                <w:szCs w:val="22"/>
              </w:rPr>
              <w:t>patients</w:t>
            </w:r>
            <w:proofErr w:type="gramEnd"/>
            <w:r w:rsidRPr="00B63EFF">
              <w:rPr>
                <w:rStyle w:val="TableHeadingChar"/>
                <w:b w:val="0"/>
                <w:sz w:val="22"/>
                <w:szCs w:val="22"/>
              </w:rPr>
              <w:t xml:space="preserve"> ≤18 years old with 3 years of treatment with idursulfase. Adult patients (over 18 years) had a slight decrease in absolute forced vital capacity over 3 years. Results on the 6MWT were reasonably similar between 1 year (the length of the RCT) and 3 years. Liver and spleen volume remained stable between 1 and 3 years, and joint flexibility continued to improve between 1 and 3 years. The extension data are therefore consistent with conclusions to fund idursulfase.  </w:t>
            </w:r>
          </w:p>
          <w:p w:rsidR="00F718D6" w:rsidRPr="005B043B" w:rsidRDefault="005B043B" w:rsidP="005B043B">
            <w:pPr>
              <w:pStyle w:val="TableHeading"/>
              <w:ind w:left="176" w:right="175"/>
              <w:rPr>
                <w:sz w:val="22"/>
                <w:szCs w:val="22"/>
              </w:rPr>
            </w:pPr>
            <w:r w:rsidRPr="00B63EFF">
              <w:rPr>
                <w:sz w:val="22"/>
                <w:szCs w:val="22"/>
              </w:rPr>
              <w:t xml:space="preserve">Australian data:  </w:t>
            </w:r>
            <w:r w:rsidR="00EB1779" w:rsidRPr="00AA4512">
              <w:rPr>
                <w:b w:val="0"/>
                <w:sz w:val="22"/>
                <w:szCs w:val="22"/>
              </w:rPr>
              <w:t xml:space="preserve">The </w:t>
            </w:r>
            <w:r w:rsidR="00EB1779">
              <w:rPr>
                <w:b w:val="0"/>
                <w:sz w:val="22"/>
                <w:szCs w:val="22"/>
              </w:rPr>
              <w:t xml:space="preserve">format of the </w:t>
            </w:r>
            <w:r w:rsidR="00EB1779" w:rsidRPr="00AA4512">
              <w:rPr>
                <w:b w:val="0"/>
                <w:sz w:val="22"/>
                <w:szCs w:val="22"/>
              </w:rPr>
              <w:t xml:space="preserve">individual data </w:t>
            </w:r>
            <w:r w:rsidR="00EB1779">
              <w:rPr>
                <w:b w:val="0"/>
                <w:sz w:val="22"/>
                <w:szCs w:val="22"/>
              </w:rPr>
              <w:t xml:space="preserve">prevented analysis </w:t>
            </w:r>
            <w:r w:rsidR="00EB1779" w:rsidRPr="00AA4512">
              <w:rPr>
                <w:b w:val="0"/>
                <w:sz w:val="22"/>
                <w:szCs w:val="22"/>
              </w:rPr>
              <w:t xml:space="preserve">to determine the clinical benefit of </w:t>
            </w:r>
            <w:r w:rsidRPr="00B63EFF">
              <w:rPr>
                <w:b w:val="0"/>
                <w:sz w:val="22"/>
                <w:szCs w:val="22"/>
              </w:rPr>
              <w:t>idursulfase.</w:t>
            </w:r>
          </w:p>
        </w:tc>
      </w:tr>
    </w:tbl>
    <w:p w:rsidR="005B043B" w:rsidRPr="00597925" w:rsidRDefault="005B043B" w:rsidP="008E4818">
      <w:pPr>
        <w:spacing w:before="240"/>
      </w:pPr>
      <w:r>
        <w:t>The e</w:t>
      </w:r>
      <w:r w:rsidRPr="00597925">
        <w:t>ffectiveness of idursulfase was assessed in one high quality RCT in which MPS II patients received idursulfase weekly</w:t>
      </w:r>
      <w:r>
        <w:t xml:space="preserve"> or</w:t>
      </w:r>
      <w:r w:rsidRPr="00597925">
        <w:t xml:space="preserve"> every other week or </w:t>
      </w:r>
      <w:r>
        <w:t xml:space="preserve">received </w:t>
      </w:r>
      <w:r w:rsidRPr="00597925">
        <w:t xml:space="preserve">placebo. Two deaths in the study population were not </w:t>
      </w:r>
      <w:r>
        <w:t>considered to be related to</w:t>
      </w:r>
      <w:r w:rsidRPr="00597925">
        <w:t xml:space="preserve"> </w:t>
      </w:r>
      <w:r>
        <w:t>treatment</w:t>
      </w:r>
      <w:r w:rsidRPr="00597925">
        <w:t xml:space="preserve">. Participants randomised to receive idursulfase weekly had significantly better exercise tolerance (6 </w:t>
      </w:r>
      <w:r>
        <w:t>MWT</w:t>
      </w:r>
      <w:r w:rsidRPr="00597925">
        <w:t>) and respiratory function (forced vital capacity</w:t>
      </w:r>
      <w:r>
        <w:t>; FVC</w:t>
      </w:r>
      <w:r w:rsidRPr="00597925">
        <w:t xml:space="preserve">) after one year, than those randomised to placebo (GRADE </w:t>
      </w:r>
      <w:r w:rsidRPr="00D4733A">
        <w:rPr>
          <w:rFonts w:ascii="Cambria Math" w:hAnsi="Cambria Math"/>
          <w:color w:val="00B050"/>
        </w:rPr>
        <w:t>⨁⨁⨁</w:t>
      </w:r>
      <w:r w:rsidRPr="00D4733A">
        <w:rPr>
          <w:rFonts w:ascii="Cambria Math" w:hAnsi="Cambria Math"/>
          <w:color w:val="C00000"/>
        </w:rPr>
        <w:t>⨀</w:t>
      </w:r>
      <w:r w:rsidRPr="00597925">
        <w:t xml:space="preserve">).  A composite score for both exercise tolerance and respiratory function was </w:t>
      </w:r>
      <w:r>
        <w:t xml:space="preserve">greater </w:t>
      </w:r>
      <w:r w:rsidRPr="00597925">
        <w:t xml:space="preserve">for all patients receiving idursulfase than </w:t>
      </w:r>
      <w:r>
        <w:t xml:space="preserve">for </w:t>
      </w:r>
      <w:r w:rsidRPr="00597925">
        <w:t xml:space="preserve">those receiving placebo (GRADE </w:t>
      </w:r>
      <w:r w:rsidRPr="00D4733A">
        <w:rPr>
          <w:rFonts w:ascii="Cambria Math" w:hAnsi="Cambria Math"/>
          <w:color w:val="00B050"/>
        </w:rPr>
        <w:t>⨁⨁⨁</w:t>
      </w:r>
      <w:r w:rsidRPr="00D4733A">
        <w:rPr>
          <w:rFonts w:ascii="Cambria Math" w:hAnsi="Cambria Math"/>
          <w:color w:val="C00000"/>
        </w:rPr>
        <w:t>⨀</w:t>
      </w:r>
      <w:r w:rsidRPr="00597925">
        <w:t xml:space="preserve">). Both liver and spleen volumes were reduced significantly in those receiving idursulfase (GRADE </w:t>
      </w:r>
      <w:r w:rsidRPr="00D4733A">
        <w:rPr>
          <w:rFonts w:ascii="Cambria Math" w:hAnsi="Cambria Math"/>
          <w:color w:val="00B050"/>
        </w:rPr>
        <w:t>⨁⨁⨁</w:t>
      </w:r>
      <w:r w:rsidRPr="00D4733A">
        <w:rPr>
          <w:rFonts w:ascii="Cambria Math" w:hAnsi="Cambria Math"/>
          <w:color w:val="C00000"/>
        </w:rPr>
        <w:t>⨀</w:t>
      </w:r>
      <w:r w:rsidRPr="00597925">
        <w:t xml:space="preserve">), as were urine glycosaminoglycan </w:t>
      </w:r>
      <w:r>
        <w:t xml:space="preserve">(GAG) </w:t>
      </w:r>
      <w:r w:rsidRPr="00597925">
        <w:t xml:space="preserve">levels (GRADE </w:t>
      </w:r>
      <w:r w:rsidRPr="00D4733A">
        <w:rPr>
          <w:rFonts w:ascii="Cambria Math" w:hAnsi="Cambria Math"/>
          <w:color w:val="00B050"/>
        </w:rPr>
        <w:t>⨁⨁⨁</w:t>
      </w:r>
      <w:r w:rsidRPr="00D4733A">
        <w:rPr>
          <w:rFonts w:ascii="Cambria Math" w:hAnsi="Cambria Math"/>
          <w:color w:val="C00000"/>
        </w:rPr>
        <w:t>⨀</w:t>
      </w:r>
      <w:r w:rsidRPr="00597925">
        <w:t xml:space="preserve">). </w:t>
      </w:r>
    </w:p>
    <w:p w:rsidR="005B043B" w:rsidRDefault="005B043B" w:rsidP="005B043B">
      <w:r w:rsidRPr="00597925">
        <w:t xml:space="preserve">At 20 months, there was a significant improvement overall in the </w:t>
      </w:r>
      <w:r>
        <w:t xml:space="preserve">distance achieved during a </w:t>
      </w:r>
      <w:r w:rsidRPr="00597925">
        <w:t xml:space="preserve">6 </w:t>
      </w:r>
      <w:r>
        <w:t>MWT</w:t>
      </w:r>
      <w:r w:rsidRPr="00597925">
        <w:t xml:space="preserve"> but stratification of results by age showed that most of the improvement was in th</w:t>
      </w:r>
      <w:r>
        <w:t>os</w:t>
      </w:r>
      <w:r w:rsidRPr="00597925">
        <w:t xml:space="preserve">e aged over 18 (GRADE </w:t>
      </w:r>
      <w:r w:rsidRPr="00D4733A">
        <w:rPr>
          <w:rFonts w:ascii="Cambria Math" w:hAnsi="Cambria Math"/>
          <w:color w:val="00B050"/>
        </w:rPr>
        <w:t>⨁⨁</w:t>
      </w:r>
      <w:r w:rsidRPr="00D4733A">
        <w:rPr>
          <w:rFonts w:ascii="Cambria Math" w:hAnsi="Cambria Math"/>
          <w:color w:val="C00000"/>
        </w:rPr>
        <w:t>⨀⨀</w:t>
      </w:r>
      <w:r w:rsidRPr="00597925">
        <w:t>). At 36 months</w:t>
      </w:r>
      <w:r>
        <w:t>,</w:t>
      </w:r>
      <w:r w:rsidRPr="00597925">
        <w:t xml:space="preserve"> absolute forced vital capacity indicated similar overall improvement</w:t>
      </w:r>
      <w:r>
        <w:t>s</w:t>
      </w:r>
      <w:r w:rsidRPr="00597925">
        <w:t>, but stratification showed improvement was limited to th</w:t>
      </w:r>
      <w:r>
        <w:t>os</w:t>
      </w:r>
      <w:r w:rsidRPr="00597925">
        <w:t xml:space="preserve">e participants </w:t>
      </w:r>
      <w:r>
        <w:t xml:space="preserve">aged </w:t>
      </w:r>
      <w:r w:rsidRPr="00597925">
        <w:t xml:space="preserve">18 years </w:t>
      </w:r>
      <w:r>
        <w:t>or</w:t>
      </w:r>
      <w:r w:rsidRPr="00597925">
        <w:t xml:space="preserve"> younger (GRADE </w:t>
      </w:r>
      <w:r w:rsidRPr="00D4733A">
        <w:rPr>
          <w:rFonts w:ascii="Cambria Math" w:hAnsi="Cambria Math"/>
          <w:color w:val="00B050"/>
        </w:rPr>
        <w:t>⨁⨁</w:t>
      </w:r>
      <w:r w:rsidRPr="00D4733A">
        <w:rPr>
          <w:rFonts w:ascii="Cambria Math" w:hAnsi="Cambria Math"/>
          <w:color w:val="C00000"/>
        </w:rPr>
        <w:t>⨀⨀</w:t>
      </w:r>
      <w:r w:rsidRPr="00597925">
        <w:t xml:space="preserve">). Percent predicted forced vital capacity did not significantly change from baseline. Long-term assessment of GAG concentration showed a consistent decrease with time (GRADE </w:t>
      </w:r>
      <w:r w:rsidRPr="00D4733A">
        <w:rPr>
          <w:rFonts w:ascii="Cambria Math" w:hAnsi="Cambria Math"/>
          <w:color w:val="00B050"/>
        </w:rPr>
        <w:t>⨁⨁</w:t>
      </w:r>
      <w:r w:rsidRPr="00D4733A">
        <w:rPr>
          <w:rFonts w:ascii="Cambria Math" w:hAnsi="Cambria Math"/>
          <w:color w:val="C00000"/>
        </w:rPr>
        <w:t>⨀⨀</w:t>
      </w:r>
      <w:r w:rsidRPr="00597925">
        <w:t>). When the Child Health Assessment Questionnaire was used to measure functional status and disability, there were improvements from baseline for both parent</w:t>
      </w:r>
      <w:r>
        <w:t>-</w:t>
      </w:r>
      <w:r w:rsidRPr="00597925">
        <w:t xml:space="preserve"> and child</w:t>
      </w:r>
      <w:r>
        <w:t>-</w:t>
      </w:r>
      <w:r w:rsidRPr="00597925">
        <w:t>assessed scores. Adverse events (</w:t>
      </w:r>
      <w:r w:rsidRPr="00597925">
        <w:rPr>
          <w:rFonts w:eastAsiaTheme="majorEastAsia"/>
        </w:rPr>
        <w:t xml:space="preserve">pruritic rash, infusion site swelling, urticaria, dyspepsia, anxiety, </w:t>
      </w:r>
      <w:r w:rsidR="00082C10" w:rsidRPr="00597925">
        <w:rPr>
          <w:rFonts w:eastAsiaTheme="majorEastAsia"/>
        </w:rPr>
        <w:t>and chest</w:t>
      </w:r>
      <w:r w:rsidRPr="00597925">
        <w:rPr>
          <w:rFonts w:eastAsiaTheme="majorEastAsia"/>
        </w:rPr>
        <w:t xml:space="preserve"> wall pain)</w:t>
      </w:r>
      <w:r>
        <w:rPr>
          <w:rFonts w:eastAsiaTheme="majorEastAsia"/>
        </w:rPr>
        <w:t xml:space="preserve"> </w:t>
      </w:r>
      <w:r w:rsidRPr="00597925">
        <w:t>reported only in the idursulfase groups</w:t>
      </w:r>
      <w:r>
        <w:t>,</w:t>
      </w:r>
      <w:r w:rsidRPr="00597925">
        <w:t xml:space="preserve"> or rarely in the placebo group</w:t>
      </w:r>
      <w:r>
        <w:t>,</w:t>
      </w:r>
      <w:r w:rsidRPr="00597925">
        <w:t xml:space="preserve"> may indicate drug side effects. </w:t>
      </w:r>
    </w:p>
    <w:tbl>
      <w:tblPr>
        <w:tblStyle w:val="TableGrid"/>
        <w:tblW w:w="0" w:type="auto"/>
        <w:tblInd w:w="108" w:type="dxa"/>
        <w:tblLook w:val="04A0" w:firstRow="1" w:lastRow="0" w:firstColumn="1" w:lastColumn="0" w:noHBand="0" w:noVBand="1"/>
        <w:tblCaption w:val="Summary of new evidence on galsulfase"/>
      </w:tblPr>
      <w:tblGrid>
        <w:gridCol w:w="9072"/>
      </w:tblGrid>
      <w:tr w:rsidR="00F718D6" w:rsidRPr="0006593F" w:rsidTr="00712231">
        <w:trPr>
          <w:tblHeader/>
        </w:trPr>
        <w:tc>
          <w:tcPr>
            <w:tcW w:w="9072" w:type="dxa"/>
            <w:shd w:val="clear" w:color="auto" w:fill="953735"/>
          </w:tcPr>
          <w:p w:rsidR="00F718D6" w:rsidRPr="0006593F" w:rsidRDefault="00F718D6" w:rsidP="003A6876">
            <w:pPr>
              <w:pStyle w:val="TableHeading"/>
              <w:ind w:left="176" w:right="175"/>
              <w:rPr>
                <w:sz w:val="22"/>
                <w:szCs w:val="22"/>
              </w:rPr>
            </w:pPr>
            <w:r w:rsidRPr="0006593F">
              <w:rPr>
                <w:color w:val="FFFFFF" w:themeColor="background1"/>
                <w:sz w:val="22"/>
                <w:szCs w:val="22"/>
              </w:rPr>
              <w:lastRenderedPageBreak/>
              <w:t>Galsulfase</w:t>
            </w:r>
          </w:p>
        </w:tc>
      </w:tr>
      <w:tr w:rsidR="00F718D6" w:rsidRPr="0006593F" w:rsidTr="003A6876">
        <w:tc>
          <w:tcPr>
            <w:tcW w:w="9072" w:type="dxa"/>
          </w:tcPr>
          <w:p w:rsidR="005B043B" w:rsidRPr="00B63EFF" w:rsidRDefault="005B043B" w:rsidP="005B043B">
            <w:pPr>
              <w:pStyle w:val="TableText0"/>
              <w:ind w:left="176" w:right="175"/>
              <w:rPr>
                <w:sz w:val="22"/>
                <w:szCs w:val="22"/>
              </w:rPr>
            </w:pPr>
            <w:r w:rsidRPr="00B63EFF">
              <w:rPr>
                <w:rStyle w:val="TableHeadingChar"/>
                <w:sz w:val="22"/>
                <w:szCs w:val="22"/>
              </w:rPr>
              <w:t>New publications</w:t>
            </w:r>
            <w:r w:rsidR="002A56AD">
              <w:rPr>
                <w:rStyle w:val="TableHeadingChar"/>
                <w:sz w:val="22"/>
                <w:szCs w:val="22"/>
              </w:rPr>
              <w:t xml:space="preserve"> since original recommendations</w:t>
            </w:r>
            <w:r w:rsidRPr="00B63EFF">
              <w:rPr>
                <w:rStyle w:val="TableHeadingChar"/>
                <w:sz w:val="22"/>
                <w:szCs w:val="22"/>
              </w:rPr>
              <w:t>:</w:t>
            </w:r>
            <w:r w:rsidRPr="00B63EFF">
              <w:rPr>
                <w:sz w:val="22"/>
                <w:szCs w:val="22"/>
              </w:rPr>
              <w:t xml:space="preserve">  One new extension study was identified </w:t>
            </w:r>
            <w:r w:rsidR="00A00C3C">
              <w:rPr>
                <w:sz w:val="22"/>
                <w:szCs w:val="22"/>
              </w:rPr>
              <w:t>in the systematic review for</w:t>
            </w:r>
            <w:r w:rsidRPr="00B63EFF">
              <w:rPr>
                <w:sz w:val="22"/>
                <w:szCs w:val="22"/>
              </w:rPr>
              <w:t xml:space="preserve"> the intervention arm of a trial</w:t>
            </w:r>
            <w:r w:rsidR="00A00C3C">
              <w:rPr>
                <w:sz w:val="22"/>
                <w:szCs w:val="22"/>
              </w:rPr>
              <w:t xml:space="preserve"> already</w:t>
            </w:r>
            <w:r w:rsidRPr="00B63EFF">
              <w:rPr>
                <w:sz w:val="22"/>
                <w:szCs w:val="22"/>
              </w:rPr>
              <w:t xml:space="preserve"> included in the </w:t>
            </w:r>
            <w:r w:rsidR="00D12B65">
              <w:rPr>
                <w:sz w:val="22"/>
                <w:szCs w:val="22"/>
              </w:rPr>
              <w:t>submission to PBAC</w:t>
            </w:r>
            <w:r w:rsidRPr="00B63EFF">
              <w:rPr>
                <w:sz w:val="22"/>
                <w:szCs w:val="22"/>
              </w:rPr>
              <w:t>; however, no new data could be extracted.</w:t>
            </w:r>
          </w:p>
          <w:p w:rsidR="005B043B" w:rsidRPr="00B63EFF" w:rsidRDefault="005B043B" w:rsidP="005B043B">
            <w:pPr>
              <w:pStyle w:val="TableText0"/>
              <w:ind w:left="176" w:right="175"/>
              <w:rPr>
                <w:sz w:val="22"/>
                <w:szCs w:val="22"/>
              </w:rPr>
            </w:pPr>
            <w:r w:rsidRPr="00B63EFF">
              <w:rPr>
                <w:rStyle w:val="TableHeadingChar"/>
                <w:sz w:val="22"/>
                <w:szCs w:val="22"/>
              </w:rPr>
              <w:t xml:space="preserve">Impact on </w:t>
            </w:r>
            <w:r w:rsidR="006F6E8D">
              <w:rPr>
                <w:rStyle w:val="TableHeadingChar"/>
                <w:sz w:val="22"/>
                <w:szCs w:val="22"/>
              </w:rPr>
              <w:t>original recommendation</w:t>
            </w:r>
            <w:r w:rsidRPr="00B63EFF">
              <w:rPr>
                <w:rStyle w:val="TableHeadingChar"/>
                <w:sz w:val="22"/>
                <w:szCs w:val="22"/>
              </w:rPr>
              <w:t xml:space="preserve">: </w:t>
            </w:r>
            <w:r w:rsidRPr="00B63EFF">
              <w:rPr>
                <w:rStyle w:val="TableHeadingChar"/>
                <w:b w:val="0"/>
                <w:sz w:val="22"/>
                <w:szCs w:val="22"/>
              </w:rPr>
              <w:t>N</w:t>
            </w:r>
            <w:r>
              <w:rPr>
                <w:rStyle w:val="TableHeadingChar"/>
                <w:b w:val="0"/>
                <w:sz w:val="22"/>
                <w:szCs w:val="22"/>
              </w:rPr>
              <w:t>ot applicable.</w:t>
            </w:r>
          </w:p>
          <w:p w:rsidR="00F718D6" w:rsidRPr="0006593F" w:rsidRDefault="005B043B" w:rsidP="005B043B">
            <w:pPr>
              <w:pStyle w:val="TableHeading"/>
              <w:ind w:left="176" w:right="175"/>
              <w:rPr>
                <w:sz w:val="22"/>
                <w:szCs w:val="22"/>
              </w:rPr>
            </w:pPr>
            <w:r w:rsidRPr="00B63EFF">
              <w:rPr>
                <w:sz w:val="22"/>
                <w:szCs w:val="22"/>
              </w:rPr>
              <w:t xml:space="preserve">Australian data: </w:t>
            </w:r>
            <w:r w:rsidR="00EB1779" w:rsidRPr="00AA4512">
              <w:rPr>
                <w:b w:val="0"/>
                <w:sz w:val="22"/>
                <w:szCs w:val="22"/>
              </w:rPr>
              <w:t xml:space="preserve">The </w:t>
            </w:r>
            <w:r w:rsidR="00EB1779">
              <w:rPr>
                <w:b w:val="0"/>
                <w:sz w:val="22"/>
                <w:szCs w:val="22"/>
              </w:rPr>
              <w:t xml:space="preserve">format of the </w:t>
            </w:r>
            <w:r w:rsidR="00EB1779" w:rsidRPr="00AA4512">
              <w:rPr>
                <w:b w:val="0"/>
                <w:sz w:val="22"/>
                <w:szCs w:val="22"/>
              </w:rPr>
              <w:t xml:space="preserve">individual data </w:t>
            </w:r>
            <w:r w:rsidR="00EB1779">
              <w:rPr>
                <w:b w:val="0"/>
                <w:sz w:val="22"/>
                <w:szCs w:val="22"/>
              </w:rPr>
              <w:t xml:space="preserve">prevented analysis </w:t>
            </w:r>
            <w:r w:rsidR="00EB1779" w:rsidRPr="00AA4512">
              <w:rPr>
                <w:b w:val="0"/>
                <w:sz w:val="22"/>
                <w:szCs w:val="22"/>
              </w:rPr>
              <w:t xml:space="preserve">to determine the clinical benefit of </w:t>
            </w:r>
            <w:r w:rsidRPr="00B63EFF">
              <w:rPr>
                <w:b w:val="0"/>
                <w:sz w:val="22"/>
                <w:szCs w:val="22"/>
              </w:rPr>
              <w:t>galsulfase.</w:t>
            </w:r>
          </w:p>
        </w:tc>
      </w:tr>
    </w:tbl>
    <w:p w:rsidR="00416907" w:rsidRDefault="00416907" w:rsidP="00CB33FA">
      <w:pPr>
        <w:spacing w:before="240"/>
        <w:rPr>
          <w:rFonts w:ascii="Cambria Math" w:hAnsi="Cambria Math"/>
        </w:rPr>
      </w:pPr>
      <w:r w:rsidRPr="00597925">
        <w:t xml:space="preserve">One RCT followed by an open-label extension phase assessed the effectiveness of galsulfase </w:t>
      </w:r>
      <w:r w:rsidR="002A64B1">
        <w:t>over</w:t>
      </w:r>
      <w:r w:rsidRPr="00597925">
        <w:t xml:space="preserve"> placebo in MPS VI patients. </w:t>
      </w:r>
      <w:r w:rsidR="00B80DFB">
        <w:t>Patients receiving galsulfase improved a statistically significantly larger amount on the 12 minute walk test than those receiving placebo (p</w:t>
      </w:r>
      <w:r w:rsidR="004940D5">
        <w:t xml:space="preserve"> </w:t>
      </w:r>
      <w:r w:rsidR="00B80DFB">
        <w:t>=</w:t>
      </w:r>
      <w:r w:rsidR="004940D5">
        <w:t xml:space="preserve"> 0.025) </w:t>
      </w:r>
      <w:r w:rsidRPr="00597925">
        <w:t xml:space="preserve">(GRADE </w:t>
      </w:r>
      <w:r w:rsidRPr="00D4733A">
        <w:rPr>
          <w:rFonts w:ascii="Cambria Math" w:hAnsi="Cambria Math"/>
          <w:color w:val="00B050"/>
        </w:rPr>
        <w:t>⨁⨁</w:t>
      </w:r>
      <w:r w:rsidRPr="00D4733A">
        <w:rPr>
          <w:rFonts w:ascii="Cambria Math" w:hAnsi="Cambria Math"/>
          <w:color w:val="C00000"/>
        </w:rPr>
        <w:t>⨀⨀</w:t>
      </w:r>
      <w:r w:rsidRPr="00597925">
        <w:t xml:space="preserve">). When endurance was measured using the 3 minute stair climb test there was </w:t>
      </w:r>
      <w:r w:rsidR="005F2890">
        <w:t xml:space="preserve">a </w:t>
      </w:r>
      <w:r w:rsidR="004940D5">
        <w:t>non-statistically significant trend favouring galsulfase over placebo</w:t>
      </w:r>
      <w:r w:rsidRPr="00597925">
        <w:t xml:space="preserve"> (GRADE </w:t>
      </w:r>
      <w:r w:rsidRPr="00D4733A">
        <w:rPr>
          <w:rFonts w:ascii="Cambria Math" w:hAnsi="Cambria Math"/>
          <w:color w:val="00B050"/>
        </w:rPr>
        <w:t>⨁⨁</w:t>
      </w:r>
      <w:r w:rsidRPr="00D4733A">
        <w:rPr>
          <w:rFonts w:ascii="Cambria Math" w:hAnsi="Cambria Math"/>
          <w:color w:val="C00000"/>
        </w:rPr>
        <w:t>⨀⨀</w:t>
      </w:r>
      <w:r w:rsidRPr="00597925">
        <w:t xml:space="preserve">). </w:t>
      </w:r>
      <w:r w:rsidR="004940D5">
        <w:t xml:space="preserve">No difference was found over time or between groups on respiratory function </w:t>
      </w:r>
      <w:r w:rsidR="004940D5" w:rsidRPr="00597925">
        <w:t xml:space="preserve">(GRADE </w:t>
      </w:r>
      <w:r w:rsidR="004940D5" w:rsidRPr="00D4733A">
        <w:rPr>
          <w:rFonts w:ascii="Cambria Math" w:hAnsi="Cambria Math"/>
          <w:color w:val="00B050"/>
        </w:rPr>
        <w:t>⨁⨁</w:t>
      </w:r>
      <w:r w:rsidR="004940D5" w:rsidRPr="00D4733A">
        <w:rPr>
          <w:rFonts w:ascii="Cambria Math" w:hAnsi="Cambria Math"/>
          <w:color w:val="C00000"/>
        </w:rPr>
        <w:t>⨀⨀</w:t>
      </w:r>
      <w:r w:rsidR="004940D5">
        <w:t xml:space="preserve">). </w:t>
      </w:r>
      <w:r w:rsidRPr="00597925">
        <w:t>When the number</w:t>
      </w:r>
      <w:r>
        <w:t>s</w:t>
      </w:r>
      <w:r w:rsidRPr="00597925">
        <w:t xml:space="preserve"> of drug-related and infusion-related adverse events were compared between groups at 24 weeks, the outcome favoured the placebo group but was not </w:t>
      </w:r>
      <w:r>
        <w:t xml:space="preserve">statistically </w:t>
      </w:r>
      <w:r w:rsidRPr="00597925">
        <w:t xml:space="preserve">significant (GRADE </w:t>
      </w:r>
      <w:r w:rsidRPr="00D4733A">
        <w:rPr>
          <w:rFonts w:ascii="Cambria Math" w:hAnsi="Cambria Math"/>
          <w:color w:val="00B050"/>
        </w:rPr>
        <w:t>⨁⨁⨁</w:t>
      </w:r>
      <w:r w:rsidRPr="00D4733A">
        <w:rPr>
          <w:rFonts w:ascii="Cambria Math" w:hAnsi="Cambria Math"/>
          <w:color w:val="C00000"/>
        </w:rPr>
        <w:t>⨀</w:t>
      </w:r>
      <w:r w:rsidRPr="00597925">
        <w:t>)</w:t>
      </w:r>
      <w:r w:rsidRPr="00597925">
        <w:rPr>
          <w:rFonts w:ascii="Cambria Math" w:hAnsi="Cambria Math"/>
        </w:rPr>
        <w:t>.</w:t>
      </w:r>
    </w:p>
    <w:p w:rsidR="007A02DA" w:rsidRPr="00DB5C55" w:rsidRDefault="007A02DA" w:rsidP="00CB33FA">
      <w:pPr>
        <w:pStyle w:val="Heading3"/>
      </w:pPr>
      <w:r w:rsidRPr="00DB5C55">
        <w:t>Australian data registry information – laronidase, idursulfase, galsulfase</w:t>
      </w:r>
    </w:p>
    <w:p w:rsidR="00C92F78" w:rsidRDefault="007A02DA" w:rsidP="00416907">
      <w:r w:rsidRPr="00D05B69">
        <w:t>As of June 2014, there were 35 patients treated for either MPS I (7 patients), MPS II (15 patients) or MPS VI (13 patients).</w:t>
      </w:r>
      <w:r w:rsidR="005E5F8D">
        <w:t xml:space="preserve"> The average dose per patient </w:t>
      </w:r>
      <w:r w:rsidR="00C56E7F">
        <w:t xml:space="preserve">(at the most recent review) </w:t>
      </w:r>
      <w:r w:rsidR="005E5F8D">
        <w:t>was 0.5</w:t>
      </w:r>
      <w:r w:rsidR="00C56E7F">
        <w:t>5</w:t>
      </w:r>
      <w:r w:rsidR="005E5F8D">
        <w:t xml:space="preserve"> mg/kg/week for laronidase, 0.</w:t>
      </w:r>
      <w:r w:rsidR="00C56E7F">
        <w:t>54</w:t>
      </w:r>
      <w:r w:rsidR="005E5F8D">
        <w:t xml:space="preserve"> mg/kg/week for idursulfase, and 0.9</w:t>
      </w:r>
      <w:r w:rsidR="00C56E7F">
        <w:t>8</w:t>
      </w:r>
      <w:r w:rsidR="005E5F8D">
        <w:t xml:space="preserve"> mg/kg/week for galsulfase</w:t>
      </w:r>
      <w:r w:rsidR="006C7F64">
        <w:t>, which is close to the recommended dose for these different drugs (0.58 mg/kg/week for laronidase, 0.5 mg/kg/week for idursulfase and 1 mg/kg/week for galsulfase)</w:t>
      </w:r>
      <w:r w:rsidR="005E5F8D">
        <w:t xml:space="preserve">. </w:t>
      </w:r>
      <w:r w:rsidR="00EB1779">
        <w:t>Differences are likely due to the necessity to supply whole vials to enable adequate dosing. The format of h</w:t>
      </w:r>
      <w:r w:rsidR="002A64B1">
        <w:t>ealth outcomes</w:t>
      </w:r>
      <w:r w:rsidR="005E5F8D">
        <w:t xml:space="preserve"> data </w:t>
      </w:r>
      <w:r w:rsidR="00EB1779">
        <w:t>made it difficult</w:t>
      </w:r>
      <w:r w:rsidR="005E5F8D">
        <w:t xml:space="preserve"> to verify the efficacy or the safety of the drugs used for MPS. </w:t>
      </w:r>
      <w:r w:rsidR="00513FFE">
        <w:t xml:space="preserve"> </w:t>
      </w:r>
    </w:p>
    <w:p w:rsidR="008B310A" w:rsidRPr="008B310A" w:rsidRDefault="00416907" w:rsidP="0006593F">
      <w:pPr>
        <w:pStyle w:val="Heading3"/>
        <w:spacing w:after="240"/>
      </w:pPr>
      <w:bookmarkStart w:id="35" w:name="_Toc404937242"/>
      <w:r w:rsidRPr="00DB5C55">
        <w:t xml:space="preserve">Medicine to treat paroxysmal nocturnal haemoglobinuria </w:t>
      </w:r>
      <w:r w:rsidR="006E04C5">
        <w:t>–</w:t>
      </w:r>
      <w:r w:rsidRPr="00DB5C55">
        <w:t xml:space="preserve"> eculizumab </w:t>
      </w:r>
      <w:bookmarkEnd w:id="35"/>
    </w:p>
    <w:tbl>
      <w:tblPr>
        <w:tblStyle w:val="TableGrid"/>
        <w:tblW w:w="0" w:type="auto"/>
        <w:tblInd w:w="108" w:type="dxa"/>
        <w:tblLook w:val="04A0" w:firstRow="1" w:lastRow="0" w:firstColumn="1" w:lastColumn="0" w:noHBand="0" w:noVBand="1"/>
        <w:tblCaption w:val="Summary of new evidence on eculizumab"/>
      </w:tblPr>
      <w:tblGrid>
        <w:gridCol w:w="9072"/>
      </w:tblGrid>
      <w:tr w:rsidR="00F06DC8" w:rsidRPr="0006593F" w:rsidTr="00712231">
        <w:trPr>
          <w:tblHeader/>
        </w:trPr>
        <w:tc>
          <w:tcPr>
            <w:tcW w:w="9072" w:type="dxa"/>
            <w:shd w:val="clear" w:color="auto" w:fill="953735"/>
          </w:tcPr>
          <w:p w:rsidR="00F06DC8" w:rsidRPr="0006593F" w:rsidRDefault="00F06DC8" w:rsidP="007F6EF9">
            <w:pPr>
              <w:pStyle w:val="TableHeading"/>
              <w:ind w:left="176" w:right="175"/>
              <w:rPr>
                <w:sz w:val="22"/>
                <w:szCs w:val="22"/>
              </w:rPr>
            </w:pPr>
            <w:r w:rsidRPr="0006593F">
              <w:rPr>
                <w:color w:val="FFFFFF" w:themeColor="background1"/>
                <w:sz w:val="22"/>
                <w:szCs w:val="22"/>
              </w:rPr>
              <w:t>Eculizumab</w:t>
            </w:r>
          </w:p>
        </w:tc>
      </w:tr>
      <w:tr w:rsidR="00F06DC8" w:rsidRPr="0006593F" w:rsidTr="007F6EF9">
        <w:tc>
          <w:tcPr>
            <w:tcW w:w="9072" w:type="dxa"/>
          </w:tcPr>
          <w:p w:rsidR="00F06DC8" w:rsidRPr="0006593F" w:rsidRDefault="00F06DC8" w:rsidP="007F6EF9">
            <w:pPr>
              <w:pStyle w:val="TableText0"/>
              <w:ind w:left="176" w:right="175"/>
              <w:rPr>
                <w:sz w:val="22"/>
                <w:szCs w:val="22"/>
              </w:rPr>
            </w:pPr>
            <w:r w:rsidRPr="0006593F">
              <w:rPr>
                <w:rStyle w:val="TableHeadingChar"/>
                <w:sz w:val="22"/>
                <w:szCs w:val="22"/>
              </w:rPr>
              <w:t>New publications</w:t>
            </w:r>
            <w:r w:rsidR="002A56AD">
              <w:rPr>
                <w:rStyle w:val="TableHeadingChar"/>
                <w:sz w:val="22"/>
                <w:szCs w:val="22"/>
              </w:rPr>
              <w:t xml:space="preserve"> since original recommendations</w:t>
            </w:r>
            <w:r w:rsidRPr="0006593F">
              <w:rPr>
                <w:rStyle w:val="TableHeadingChar"/>
                <w:sz w:val="22"/>
                <w:szCs w:val="22"/>
              </w:rPr>
              <w:t>:</w:t>
            </w:r>
            <w:r w:rsidRPr="0006593F">
              <w:rPr>
                <w:sz w:val="22"/>
                <w:szCs w:val="22"/>
              </w:rPr>
              <w:t xml:space="preserve">  </w:t>
            </w:r>
            <w:r w:rsidR="002A64B1">
              <w:rPr>
                <w:sz w:val="22"/>
                <w:szCs w:val="22"/>
              </w:rPr>
              <w:t>One</w:t>
            </w:r>
            <w:r w:rsidR="00594E5B" w:rsidRPr="0006593F">
              <w:rPr>
                <w:sz w:val="22"/>
                <w:szCs w:val="22"/>
              </w:rPr>
              <w:t xml:space="preserve"> new historical control study </w:t>
            </w:r>
            <w:r w:rsidR="00510D02" w:rsidRPr="0006593F">
              <w:rPr>
                <w:noProof/>
                <w:sz w:val="22"/>
                <w:szCs w:val="22"/>
              </w:rPr>
              <w:t>(</w:t>
            </w:r>
            <w:r w:rsidR="00184B6F" w:rsidRPr="0006593F">
              <w:rPr>
                <w:noProof/>
                <w:sz w:val="22"/>
                <w:szCs w:val="22"/>
              </w:rPr>
              <w:t>Kelly, RJ et al. 2011</w:t>
            </w:r>
            <w:r w:rsidR="00510D02" w:rsidRPr="0006593F">
              <w:rPr>
                <w:noProof/>
                <w:sz w:val="22"/>
                <w:szCs w:val="22"/>
              </w:rPr>
              <w:t>)</w:t>
            </w:r>
            <w:r w:rsidR="00786AE1">
              <w:rPr>
                <w:sz w:val="22"/>
                <w:szCs w:val="22"/>
              </w:rPr>
              <w:t xml:space="preserve"> was identified in the systematic review.</w:t>
            </w:r>
          </w:p>
          <w:p w:rsidR="00F06DC8" w:rsidRPr="0006593F" w:rsidRDefault="00F06DC8" w:rsidP="007F6EF9">
            <w:pPr>
              <w:pStyle w:val="TableText0"/>
              <w:ind w:left="176" w:right="175"/>
              <w:rPr>
                <w:sz w:val="22"/>
                <w:szCs w:val="22"/>
              </w:rPr>
            </w:pPr>
            <w:r w:rsidRPr="0006593F">
              <w:rPr>
                <w:rStyle w:val="TableHeadingChar"/>
                <w:sz w:val="22"/>
                <w:szCs w:val="22"/>
              </w:rPr>
              <w:t xml:space="preserve">Impact on </w:t>
            </w:r>
            <w:r w:rsidR="006F6E8D">
              <w:rPr>
                <w:rStyle w:val="TableHeadingChar"/>
                <w:sz w:val="22"/>
                <w:szCs w:val="22"/>
              </w:rPr>
              <w:t>original recommendation</w:t>
            </w:r>
            <w:r w:rsidRPr="0006593F">
              <w:rPr>
                <w:rStyle w:val="TableHeadingChar"/>
                <w:sz w:val="22"/>
                <w:szCs w:val="22"/>
              </w:rPr>
              <w:t xml:space="preserve">: </w:t>
            </w:r>
            <w:r w:rsidR="00594E5B" w:rsidRPr="0006593F">
              <w:rPr>
                <w:rStyle w:val="TableHeadingChar"/>
                <w:b w:val="0"/>
                <w:sz w:val="22"/>
                <w:szCs w:val="22"/>
              </w:rPr>
              <w:t>Survival was improved with eculizumab compared to placebo, w</w:t>
            </w:r>
            <w:r w:rsidR="00B20E1D">
              <w:rPr>
                <w:rStyle w:val="TableHeadingChar"/>
                <w:b w:val="0"/>
                <w:sz w:val="22"/>
                <w:szCs w:val="22"/>
              </w:rPr>
              <w:t>i</w:t>
            </w:r>
            <w:r w:rsidR="00594E5B" w:rsidRPr="0006593F">
              <w:rPr>
                <w:rStyle w:val="TableHeadingChar"/>
                <w:b w:val="0"/>
                <w:sz w:val="22"/>
                <w:szCs w:val="22"/>
              </w:rPr>
              <w:t xml:space="preserve">th a 5-year survival HR of 0.21 (95%CI 0.05, 0.88). </w:t>
            </w:r>
            <w:r w:rsidR="000B20E2" w:rsidRPr="0006593F">
              <w:rPr>
                <w:rStyle w:val="TableHeadingChar"/>
                <w:b w:val="0"/>
                <w:sz w:val="22"/>
                <w:szCs w:val="22"/>
              </w:rPr>
              <w:t xml:space="preserve">Although the study was flawed, the results support the clinical claim and short term data provided in the </w:t>
            </w:r>
            <w:r w:rsidR="00D12B65">
              <w:rPr>
                <w:rStyle w:val="TableHeadingChar"/>
                <w:b w:val="0"/>
                <w:sz w:val="22"/>
                <w:szCs w:val="22"/>
              </w:rPr>
              <w:t>submission to the PBAC</w:t>
            </w:r>
            <w:r w:rsidR="000B20E2" w:rsidRPr="0006593F">
              <w:rPr>
                <w:rStyle w:val="TableHeadingChar"/>
                <w:b w:val="0"/>
                <w:sz w:val="22"/>
                <w:szCs w:val="22"/>
              </w:rPr>
              <w:t>, that eculizumab extends survival in patients with paroxysmal nocturnal haemoglobinuria.</w:t>
            </w:r>
            <w:r w:rsidR="00594E5B" w:rsidRPr="0006593F">
              <w:rPr>
                <w:rStyle w:val="TableHeadingChar"/>
                <w:b w:val="0"/>
                <w:sz w:val="22"/>
                <w:szCs w:val="22"/>
              </w:rPr>
              <w:t xml:space="preserve"> </w:t>
            </w:r>
          </w:p>
          <w:p w:rsidR="003C113D" w:rsidRPr="005B2880" w:rsidRDefault="00F06DC8" w:rsidP="005B2880">
            <w:pPr>
              <w:pStyle w:val="TableText0"/>
              <w:ind w:left="176"/>
              <w:rPr>
                <w:rStyle w:val="TableHeadingChar"/>
                <w:b w:val="0"/>
                <w:sz w:val="22"/>
                <w:szCs w:val="22"/>
              </w:rPr>
            </w:pPr>
            <w:r w:rsidRPr="0006593F">
              <w:rPr>
                <w:sz w:val="22"/>
                <w:szCs w:val="22"/>
              </w:rPr>
              <w:t>Australian data:</w:t>
            </w:r>
            <w:r w:rsidR="003C113D">
              <w:rPr>
                <w:rStyle w:val="TableHeadingChar"/>
                <w:sz w:val="22"/>
                <w:szCs w:val="22"/>
              </w:rPr>
              <w:t xml:space="preserve"> </w:t>
            </w:r>
            <w:r w:rsidR="005B2880">
              <w:rPr>
                <w:rStyle w:val="TableHeadingChar"/>
                <w:sz w:val="22"/>
                <w:szCs w:val="22"/>
              </w:rPr>
              <w:t>Information withheld from this draft report at the request of the drug sponsor.</w:t>
            </w:r>
          </w:p>
          <w:p w:rsidR="00F06DC8" w:rsidRPr="00A62C97" w:rsidRDefault="00F06DC8" w:rsidP="00DC17CA">
            <w:pPr>
              <w:pStyle w:val="TableHeading"/>
              <w:ind w:left="176" w:right="175"/>
              <w:rPr>
                <w:sz w:val="22"/>
                <w:szCs w:val="22"/>
                <w:highlight w:val="black"/>
              </w:rPr>
            </w:pPr>
            <w:r w:rsidRPr="0006593F">
              <w:rPr>
                <w:sz w:val="22"/>
                <w:szCs w:val="22"/>
              </w:rPr>
              <w:t xml:space="preserve"> </w:t>
            </w:r>
            <w:r w:rsidR="00A62C97">
              <w:rPr>
                <w:b w:val="0"/>
                <w:noProof/>
                <w:color w:val="000000"/>
                <w:sz w:val="22"/>
                <w:szCs w:val="22"/>
                <w:highlight w:val="black"/>
              </w:rPr>
              <w:t>'''''' ''''''''''''''''''' '''''''''' ''''''''''''' '''''''''''''''''''' '''''' ''''''''''''''''''' '''''''''''''''''''''' '''''''''''''''''''''''''' ''''''''' ''''''''''''''''' ''''''''''''''' ''''' '''''''''''''''''''''' ''''''''''''''''''''''''''' '''''''''''' '''''''''''''''''''''' ''''''' '''''' '''''''''''''''''''''''''</w:t>
            </w:r>
            <w:r w:rsidR="00594E5B" w:rsidRPr="00A62C97">
              <w:rPr>
                <w:sz w:val="22"/>
                <w:szCs w:val="22"/>
                <w:highlight w:val="black"/>
              </w:rPr>
              <w:t xml:space="preserve"> </w:t>
            </w:r>
          </w:p>
        </w:tc>
      </w:tr>
    </w:tbl>
    <w:p w:rsidR="00416907" w:rsidRDefault="00416907" w:rsidP="00CB33FA">
      <w:pPr>
        <w:spacing w:before="240"/>
      </w:pPr>
      <w:r w:rsidRPr="0004128C">
        <w:t xml:space="preserve">One randomised trial provided short term (6 months) evidence that eculizumab improves quality of life and reduces transfusion requirements, compared to placebo, in patients with </w:t>
      </w:r>
      <w:r w:rsidRPr="0004128C">
        <w:lastRenderedPageBreak/>
        <w:t>relatively severe paroxysmal nocturnal haemoglobinuria</w:t>
      </w:r>
      <w:r w:rsidR="008115EF">
        <w:t xml:space="preserve"> (PNH) </w:t>
      </w:r>
      <w:r w:rsidRPr="0004128C">
        <w:t xml:space="preserve">(GRADE </w:t>
      </w:r>
      <w:r w:rsidRPr="00D4733A">
        <w:rPr>
          <w:rFonts w:ascii="Cambria Math" w:hAnsi="Cambria Math"/>
          <w:color w:val="00B050"/>
        </w:rPr>
        <w:t>⨁⨁⨁⨁</w:t>
      </w:r>
      <w:r w:rsidR="00D67ADB" w:rsidRPr="00D67ADB">
        <w:rPr>
          <w:rFonts w:cs="Cambria Math"/>
          <w:spacing w:val="-20"/>
        </w:rPr>
        <w:t>)</w:t>
      </w:r>
      <w:r w:rsidRPr="0004128C">
        <w:t xml:space="preserve">. A before and after study reported that eculizumab reduced the rate of thrombotic events (GRADE </w:t>
      </w:r>
      <w:r w:rsidRPr="00D4733A">
        <w:rPr>
          <w:rFonts w:ascii="Cambria Math" w:hAnsi="Cambria Math"/>
          <w:color w:val="00B050"/>
        </w:rPr>
        <w:t>⨁⨁</w:t>
      </w:r>
      <w:r w:rsidRPr="00D4733A">
        <w:rPr>
          <w:rFonts w:ascii="Cambria Math" w:hAnsi="Cambria Math"/>
          <w:color w:val="C00000"/>
        </w:rPr>
        <w:t>⨀⨀</w:t>
      </w:r>
      <w:r w:rsidRPr="0004128C">
        <w:t xml:space="preserve">). A </w:t>
      </w:r>
      <w:r w:rsidRPr="00FC0757">
        <w:rPr>
          <w:i/>
        </w:rPr>
        <w:t>post hoc</w:t>
      </w:r>
      <w:r w:rsidRPr="0004128C">
        <w:t xml:space="preserve"> analysis showed that patients treated with eculizuma</w:t>
      </w:r>
      <w:r>
        <w:t>b</w:t>
      </w:r>
      <w:r w:rsidRPr="0004128C">
        <w:t xml:space="preserve"> </w:t>
      </w:r>
      <w:r w:rsidR="008115EF">
        <w:t>had</w:t>
      </w:r>
      <w:r w:rsidRPr="0004128C">
        <w:t xml:space="preserve"> better outcomes on average than those receiving placebo (GRADE </w:t>
      </w:r>
      <w:r w:rsidRPr="00D4733A">
        <w:rPr>
          <w:rFonts w:ascii="Cambria Math" w:hAnsi="Cambria Math"/>
          <w:color w:val="00B050"/>
        </w:rPr>
        <w:t>⨁⨁⨁</w:t>
      </w:r>
      <w:r w:rsidRPr="00D4733A">
        <w:rPr>
          <w:rFonts w:ascii="Cambria Math" w:hAnsi="Cambria Math"/>
          <w:color w:val="C00000"/>
        </w:rPr>
        <w:t>⨀</w:t>
      </w:r>
      <w:r w:rsidR="00D67ADB" w:rsidRPr="00D67ADB">
        <w:rPr>
          <w:rFonts w:cs="Cambria Math"/>
          <w:spacing w:val="-20"/>
        </w:rPr>
        <w:t>)</w:t>
      </w:r>
      <w:r w:rsidRPr="0004128C">
        <w:t>. Adverse events were more common in those patients receiving eculizumab than taking placebo. Common adverse events were headache, back ache and fatigue.</w:t>
      </w:r>
      <w:r w:rsidR="008361A8">
        <w:t xml:space="preserve"> </w:t>
      </w:r>
      <w:r w:rsidR="0014102D">
        <w:t>N</w:t>
      </w:r>
      <w:r w:rsidR="008361A8" w:rsidRPr="008361A8">
        <w:t xml:space="preserve">ew evidence identified through the systematic review, </w:t>
      </w:r>
      <w:r w:rsidR="0014102D">
        <w:t>consisted of a single</w:t>
      </w:r>
      <w:r w:rsidR="008361A8" w:rsidRPr="008361A8">
        <w:t xml:space="preserve"> historical control study, which reported on survival. This study reported that eculizumab prolonged overall survival compared to no treatment; however, due to serious flaws in the design of this study, there are major concerns regarding the validity of this analysis</w:t>
      </w:r>
      <w:r w:rsidR="008361A8">
        <w:t xml:space="preserve"> </w:t>
      </w:r>
      <w:r w:rsidR="008361A8" w:rsidRPr="00092F60">
        <w:t xml:space="preserve">(GRADE </w:t>
      </w:r>
      <w:r w:rsidR="008361A8" w:rsidRPr="005E6E1C">
        <w:rPr>
          <w:rFonts w:ascii="Cambria Math" w:hAnsi="Cambria Math" w:cs="Cambria Math"/>
          <w:color w:val="00B050"/>
          <w:sz w:val="22"/>
          <w:szCs w:val="22"/>
        </w:rPr>
        <w:t>⊕</w:t>
      </w:r>
      <w:r w:rsidR="008361A8" w:rsidRPr="00D4733A">
        <w:rPr>
          <w:rFonts w:ascii="Cambria Math" w:hAnsi="Cambria Math" w:cs="Cambria Math"/>
          <w:color w:val="C00000"/>
          <w:sz w:val="22"/>
          <w:szCs w:val="22"/>
        </w:rPr>
        <w:t>⨀⨀⨀</w:t>
      </w:r>
      <w:r w:rsidR="008361A8" w:rsidRPr="008361A8">
        <w:rPr>
          <w:rFonts w:asciiTheme="minorHAnsi" w:hAnsiTheme="minorHAnsi" w:cs="Cambria Math"/>
          <w:sz w:val="22"/>
          <w:szCs w:val="22"/>
        </w:rPr>
        <w:t>)</w:t>
      </w:r>
      <w:r w:rsidR="008361A8">
        <w:rPr>
          <w:rFonts w:asciiTheme="minorHAnsi" w:hAnsiTheme="minorHAnsi" w:cs="Cambria Math"/>
          <w:sz w:val="22"/>
          <w:szCs w:val="22"/>
        </w:rPr>
        <w:t>.</w:t>
      </w:r>
    </w:p>
    <w:p w:rsidR="005E5F8D" w:rsidRPr="00DB5C55" w:rsidRDefault="005E5F8D" w:rsidP="00CB33FA">
      <w:pPr>
        <w:pStyle w:val="Heading3"/>
      </w:pPr>
      <w:r w:rsidRPr="00DB5C55">
        <w:t>Australian data registry information – eculizumab</w:t>
      </w:r>
    </w:p>
    <w:p w:rsidR="005E5F8D" w:rsidRDefault="005E5F8D" w:rsidP="00416907">
      <w:pPr>
        <w:rPr>
          <w:rFonts w:asciiTheme="minorHAnsi" w:hAnsiTheme="minorHAnsi"/>
        </w:rPr>
      </w:pPr>
      <w:r>
        <w:t>LSDP patient summary sheets did not provide data in a format which was easy to aggregate. A registry kept by the sponsor for eculizumab was made available.</w:t>
      </w:r>
      <w:r w:rsidR="003C113D">
        <w:t xml:space="preserve"> Information in this registry has been redacted at the request of the drug company for commercial in confidence purposes.</w:t>
      </w:r>
      <w:r>
        <w:t xml:space="preserve"> </w:t>
      </w:r>
    </w:p>
    <w:p w:rsidR="008B310A" w:rsidRPr="0004128C" w:rsidRDefault="003C113D" w:rsidP="00416907">
      <w:r>
        <w:t xml:space="preserve">Alexion has indicated its willingness to work with Government to collect and conduct analyses of the Alexion registry data in order to prvide more robust data which could not be </w:t>
      </w:r>
      <w:r w:rsidRPr="003B12FE">
        <w:t>submitted to the PBAC.</w:t>
      </w:r>
    </w:p>
    <w:p w:rsidR="00416907" w:rsidRPr="0004128C" w:rsidRDefault="00416907" w:rsidP="00D60032">
      <w:pPr>
        <w:pStyle w:val="Heading2"/>
        <w:numPr>
          <w:ilvl w:val="0"/>
          <w:numId w:val="0"/>
        </w:numPr>
      </w:pPr>
      <w:bookmarkStart w:id="36" w:name="_Toc404350080"/>
      <w:bookmarkStart w:id="37" w:name="_Toc404937243"/>
      <w:bookmarkStart w:id="38" w:name="_Toc413077598"/>
      <w:bookmarkStart w:id="39" w:name="_Toc413857561"/>
      <w:bookmarkStart w:id="40" w:name="_Toc415141720"/>
      <w:r w:rsidRPr="0004128C">
        <w:t>Review emerging clinical treatments and diseases, including those that identify sub-groups by molecular target, which could potentially seek subsidisation through the LSDP in the future.</w:t>
      </w:r>
      <w:bookmarkEnd w:id="36"/>
      <w:bookmarkEnd w:id="37"/>
      <w:bookmarkEnd w:id="38"/>
      <w:bookmarkEnd w:id="39"/>
      <w:bookmarkEnd w:id="40"/>
    </w:p>
    <w:p w:rsidR="002B2067" w:rsidRDefault="00422A12" w:rsidP="00422A12">
      <w:r w:rsidRPr="0004128C">
        <w:t xml:space="preserve">With an increase in knowledge regarding the causative genetic mutations behind many </w:t>
      </w:r>
      <w:r>
        <w:t>condition</w:t>
      </w:r>
      <w:r w:rsidRPr="0004128C">
        <w:t>s, diseases which have pr</w:t>
      </w:r>
      <w:r>
        <w:t>eviously been considered common</w:t>
      </w:r>
      <w:r w:rsidRPr="0004128C">
        <w:t xml:space="preserve"> are now being divided into many different rare subtypes</w:t>
      </w:r>
      <w:r>
        <w:t>. These subtypes</w:t>
      </w:r>
      <w:r w:rsidRPr="0004128C">
        <w:t xml:space="preserve"> can be individually targeted with drugs </w:t>
      </w:r>
      <w:r>
        <w:t xml:space="preserve">that may </w:t>
      </w:r>
      <w:r w:rsidRPr="0004128C">
        <w:t xml:space="preserve">be considered </w:t>
      </w:r>
      <w:r>
        <w:t xml:space="preserve">eligible </w:t>
      </w:r>
      <w:r w:rsidRPr="0004128C">
        <w:t>for the LSDP. It is possible that in the future, the majority of drugs being developed will fit this categor</w:t>
      </w:r>
      <w:r w:rsidRPr="004F6336">
        <w:t>y</w:t>
      </w:r>
      <w:r w:rsidR="002B2067">
        <w:t xml:space="preserve">. Given that the rarity of disease is one of the current criteria for eligibility for the LSDP, an increase in the number of drugs </w:t>
      </w:r>
      <w:r w:rsidR="00A04977">
        <w:t>targeting this</w:t>
      </w:r>
      <w:r w:rsidR="002B2067">
        <w:t xml:space="preserve"> one </w:t>
      </w:r>
      <w:r w:rsidR="00A04977">
        <w:t>criterion</w:t>
      </w:r>
      <w:r w:rsidR="002B2067">
        <w:t xml:space="preserve"> may increase the total number of drugs eligible for the LSDP</w:t>
      </w:r>
      <w:r w:rsidR="00FF5362">
        <w:t xml:space="preserve">. </w:t>
      </w:r>
    </w:p>
    <w:p w:rsidR="00416907" w:rsidRPr="0004128C" w:rsidRDefault="00422A12" w:rsidP="00422A12">
      <w:r>
        <w:t xml:space="preserve">The definition of what is defined as ‘rare’ is also likely to have a large impact on the sustainability of the LSDP. </w:t>
      </w:r>
      <w:r w:rsidR="00416907">
        <w:t>The drugs currently listed on the LSDP have a prevalence ≤1 in 100,000. If only conditions with an incidence this rare are considered, then conditions such as cystic fibrosis, Huntingdon’s disease and motor neurone disease would all be considered too common to have drugs listed on the programme (unless rare subtypes are considered, e.g. patients with cystic fibrosis and at least one G551D mutation). Conversely, if a rare condition is considered to be one which affects less than one in 2,000, then relatively common conditions such as melanoma and lung cancer</w:t>
      </w:r>
      <w:r w:rsidR="00F0105A">
        <w:t>, identified by specific biomarkers,</w:t>
      </w:r>
      <w:r w:rsidR="00416907">
        <w:t xml:space="preserve"> </w:t>
      </w:r>
      <w:r w:rsidR="00416907">
        <w:lastRenderedPageBreak/>
        <w:t xml:space="preserve">could potentially be targeted by drugs that </w:t>
      </w:r>
      <w:r w:rsidR="00FF5362">
        <w:t>may satisfy the LSDP criteria for the funding of a drug.</w:t>
      </w:r>
    </w:p>
    <w:p w:rsidR="00F0105A" w:rsidRDefault="00F0105A" w:rsidP="00416907">
      <w:r>
        <w:t>E</w:t>
      </w:r>
      <w:r w:rsidRPr="0004128C">
        <w:t>merging clinical treatments</w:t>
      </w:r>
      <w:r>
        <w:t xml:space="preserve"> </w:t>
      </w:r>
      <w:r w:rsidRPr="0004128C">
        <w:t>use a variety of mechanism</w:t>
      </w:r>
      <w:r>
        <w:t>s</w:t>
      </w:r>
      <w:r w:rsidRPr="0004128C">
        <w:t xml:space="preserve"> to treat severe diseases. </w:t>
      </w:r>
      <w:r>
        <w:t xml:space="preserve">Treatment types of growing importance are monoclonal antibodies and gene therapies. Some rare conditions are also being targeted with drugs that are already used for different clinical indications, and this could have implications for the public funding of these treatments.  </w:t>
      </w:r>
    </w:p>
    <w:p w:rsidR="008B310A" w:rsidRDefault="00F0105A" w:rsidP="00416907">
      <w:r>
        <w:t>Various drugs were identified which could potentially be relevant to the LSDP. However,</w:t>
      </w:r>
      <w:r w:rsidR="000C31DD">
        <w:t xml:space="preserve"> </w:t>
      </w:r>
      <w:r>
        <w:t>the data were too scant to determine the exact nature of the patient populations being targeted by the sponsors of these drugs.</w:t>
      </w:r>
    </w:p>
    <w:p w:rsidR="00F0105A" w:rsidRPr="0004128C" w:rsidRDefault="00F0105A" w:rsidP="00416907"/>
    <w:p w:rsidR="00416907" w:rsidRPr="0004128C" w:rsidRDefault="00416907" w:rsidP="00D60032">
      <w:pPr>
        <w:pStyle w:val="Heading2"/>
        <w:numPr>
          <w:ilvl w:val="0"/>
          <w:numId w:val="0"/>
        </w:numPr>
      </w:pPr>
      <w:bookmarkStart w:id="41" w:name="_Toc404350081"/>
      <w:bookmarkStart w:id="42" w:name="_Toc404937244"/>
      <w:bookmarkStart w:id="43" w:name="_Toc413077599"/>
      <w:bookmarkStart w:id="44" w:name="_Toc413857562"/>
      <w:bookmarkStart w:id="45" w:name="_Toc415141721"/>
      <w:r w:rsidRPr="0004128C">
        <w:t>Conduct an international comparison of subsidisation of drugs for rare diseases and the definitions for a rare/ultra-rare disease.</w:t>
      </w:r>
      <w:bookmarkEnd w:id="41"/>
      <w:bookmarkEnd w:id="42"/>
      <w:bookmarkEnd w:id="43"/>
      <w:bookmarkEnd w:id="44"/>
      <w:bookmarkEnd w:id="45"/>
    </w:p>
    <w:p w:rsidR="00416907" w:rsidRPr="0004128C" w:rsidRDefault="00C56E7F" w:rsidP="00416907">
      <w:r w:rsidRPr="0004128C">
        <w:t>The definition of rare disease varie</w:t>
      </w:r>
      <w:r>
        <w:t>s</w:t>
      </w:r>
      <w:r w:rsidRPr="0004128C">
        <w:t xml:space="preserve"> between countries. The most restrictive </w:t>
      </w:r>
      <w:r>
        <w:t>i</w:t>
      </w:r>
      <w:r w:rsidRPr="0004128C">
        <w:t xml:space="preserve">s in China, which rare diseases defined as less than 1 in 500,000. The least restrictive </w:t>
      </w:r>
      <w:r>
        <w:t>i</w:t>
      </w:r>
      <w:r w:rsidRPr="0004128C">
        <w:t xml:space="preserve">s in the United States, </w:t>
      </w:r>
      <w:r>
        <w:t xml:space="preserve">with </w:t>
      </w:r>
      <w:r w:rsidRPr="0004128C">
        <w:t>the Food and Drug Administration classif</w:t>
      </w:r>
      <w:r>
        <w:t>ying</w:t>
      </w:r>
      <w:r w:rsidRPr="0004128C">
        <w:t xml:space="preserve"> a rare disease as one which affects less than 200,000 Americans</w:t>
      </w:r>
      <w:r>
        <w:t xml:space="preserve">. </w:t>
      </w:r>
      <w:r w:rsidR="00F0105A">
        <w:t>This</w:t>
      </w:r>
      <w:r w:rsidR="00416907" w:rsidRPr="0004128C">
        <w:t xml:space="preserve"> equates to less than 1 in 1,500 (this definition is also use</w:t>
      </w:r>
      <w:r w:rsidR="00416907">
        <w:t>d</w:t>
      </w:r>
      <w:r w:rsidR="008C7C91">
        <w:t xml:space="preserve"> </w:t>
      </w:r>
      <w:r w:rsidR="00416907" w:rsidRPr="0004128C">
        <w:t xml:space="preserve">to classify </w:t>
      </w:r>
      <w:r w:rsidR="00416907">
        <w:t>‘</w:t>
      </w:r>
      <w:r w:rsidR="00416907" w:rsidRPr="0004128C">
        <w:t>orphan subtypes</w:t>
      </w:r>
      <w:r w:rsidR="00416907">
        <w:t>’</w:t>
      </w:r>
      <w:r w:rsidR="00416907" w:rsidRPr="0004128C">
        <w:t xml:space="preserve"> of </w:t>
      </w:r>
      <w:r w:rsidR="00416907">
        <w:t xml:space="preserve">more </w:t>
      </w:r>
      <w:r w:rsidR="00416907" w:rsidRPr="0004128C">
        <w:t xml:space="preserve">common diseases). The European Union </w:t>
      </w:r>
      <w:r w:rsidR="00F0105A">
        <w:t>defines</w:t>
      </w:r>
      <w:r w:rsidR="00416907" w:rsidRPr="0004128C">
        <w:t xml:space="preserve"> a rare disease as one which occurs in not more than 5 in 10,000 people (i.e. 1:2,000). </w:t>
      </w:r>
      <w:r w:rsidRPr="00C56E7F">
        <w:t xml:space="preserve">For the purpose of orphan drug registration, the Australian Therapeutic Goods Act defines a rare disease as one that has fewer than 2,000 patients, which is approximated as a prevalence of 1 in 10,000 persons. </w:t>
      </w:r>
    </w:p>
    <w:p w:rsidR="00F0105A" w:rsidRDefault="00C56E7F" w:rsidP="00416907">
      <w:r w:rsidRPr="00F33737">
        <w:t>Australia has no specific evaluation program for drugs for rare diseases (DRDs).</w:t>
      </w:r>
      <w:r w:rsidRPr="00A62C97">
        <w:t xml:space="preserve"> </w:t>
      </w:r>
      <w:r w:rsidR="00416907" w:rsidRPr="0004128C">
        <w:t>The Netherlands, Italy, England, Wales, and Ontario (Canada) all have evaluation and funding mechanisms specific to orphan drugs. Alberta has a rare drug program restricted to lysosomal storage disorders</w:t>
      </w:r>
      <w:r w:rsidR="00416907">
        <w:t xml:space="preserve"> and with characteristics similar to the LSDP</w:t>
      </w:r>
      <w:r w:rsidR="00416907" w:rsidRPr="0004128C">
        <w:t xml:space="preserve">. Japan has specified 56 different diseases which are considered eligible for public funding. </w:t>
      </w:r>
    </w:p>
    <w:p w:rsidR="00F0105A" w:rsidRPr="0004128C" w:rsidRDefault="00F0105A" w:rsidP="00F0105A">
      <w:r w:rsidRPr="0004128C">
        <w:t xml:space="preserve">Many funding bodies allow special consideration of orphan drugs, such as a relaxed requirement for pharmacoeconomic evaluation (Belgium, the Netherlands, Germany, Sweden and France), a higher cost-effectiveness threshold (Sweden), consideration of a broader societal perspective (UK), </w:t>
      </w:r>
      <w:r>
        <w:t xml:space="preserve">an </w:t>
      </w:r>
      <w:r w:rsidRPr="0004128C">
        <w:t>accept</w:t>
      </w:r>
      <w:r>
        <w:t>ance</w:t>
      </w:r>
      <w:r w:rsidRPr="0004128C">
        <w:t xml:space="preserve"> </w:t>
      </w:r>
      <w:r>
        <w:t>of poorer quality</w:t>
      </w:r>
      <w:r w:rsidRPr="0004128C">
        <w:t xml:space="preserve"> evidence (Belgium, Sweden and France), </w:t>
      </w:r>
      <w:r>
        <w:t xml:space="preserve">or </w:t>
      </w:r>
      <w:r w:rsidRPr="0004128C">
        <w:t>plac</w:t>
      </w:r>
      <w:r>
        <w:t>ement of</w:t>
      </w:r>
      <w:r w:rsidRPr="0004128C">
        <w:t xml:space="preserve"> greater weight </w:t>
      </w:r>
      <w:r>
        <w:t xml:space="preserve">in decision-making </w:t>
      </w:r>
      <w:r w:rsidRPr="0004128C">
        <w:t xml:space="preserve">on </w:t>
      </w:r>
      <w:r>
        <w:t xml:space="preserve">the </w:t>
      </w:r>
      <w:r w:rsidRPr="0004128C">
        <w:t xml:space="preserve">lack of alternative treatments (Germany, Italy and France). </w:t>
      </w:r>
    </w:p>
    <w:p w:rsidR="00416907" w:rsidRPr="0004128C" w:rsidRDefault="00C56E7F" w:rsidP="00416907">
      <w:r w:rsidRPr="007F6080">
        <w:t xml:space="preserve">In Australia, </w:t>
      </w:r>
      <w:r>
        <w:t xml:space="preserve">the LSDP does not require a re-assessment of the funding decision on a </w:t>
      </w:r>
      <w:r w:rsidRPr="007F6080">
        <w:t>listing</w:t>
      </w:r>
      <w:r>
        <w:t xml:space="preserve"> following its initial approval, although this can occur on an ad hoc basis</w:t>
      </w:r>
      <w:r w:rsidRPr="007F6080">
        <w:t xml:space="preserve">. </w:t>
      </w:r>
      <w:r w:rsidR="00416907" w:rsidRPr="0004128C">
        <w:t>Pricing and funding decisions are monitored in Belgium</w:t>
      </w:r>
      <w:r w:rsidR="00416907">
        <w:t>,</w:t>
      </w:r>
      <w:r w:rsidR="00416907" w:rsidRPr="0004128C">
        <w:t xml:space="preserve"> </w:t>
      </w:r>
      <w:r w:rsidR="00416907">
        <w:t xml:space="preserve">where </w:t>
      </w:r>
      <w:r w:rsidR="00416907" w:rsidRPr="0004128C">
        <w:t>drug companies are expected to submit a revised dossier 1.5</w:t>
      </w:r>
      <w:r w:rsidR="00F0105A">
        <w:t xml:space="preserve"> to </w:t>
      </w:r>
      <w:r w:rsidR="00416907" w:rsidRPr="0004128C">
        <w:t>3 years following initial approval</w:t>
      </w:r>
      <w:r w:rsidR="00416907">
        <w:t>;</w:t>
      </w:r>
      <w:r w:rsidR="00416907" w:rsidRPr="0004128C">
        <w:t xml:space="preserve"> the Netherlands</w:t>
      </w:r>
      <w:r w:rsidR="00416907">
        <w:t xml:space="preserve">, where </w:t>
      </w:r>
      <w:r w:rsidR="00416907" w:rsidRPr="0004128C">
        <w:t xml:space="preserve">evidence </w:t>
      </w:r>
      <w:r w:rsidR="00416907">
        <w:t xml:space="preserve">is </w:t>
      </w:r>
      <w:r w:rsidR="00416907" w:rsidRPr="0004128C">
        <w:lastRenderedPageBreak/>
        <w:t>reappraised after 3 years</w:t>
      </w:r>
      <w:r w:rsidR="00416907">
        <w:t>;</w:t>
      </w:r>
      <w:r w:rsidR="00416907" w:rsidRPr="0004128C">
        <w:t xml:space="preserve"> </w:t>
      </w:r>
      <w:r w:rsidR="00F0105A">
        <w:t xml:space="preserve">in </w:t>
      </w:r>
      <w:r w:rsidR="00416907" w:rsidRPr="0004128C">
        <w:t>France</w:t>
      </w:r>
      <w:r w:rsidR="00416907">
        <w:t>, where a</w:t>
      </w:r>
      <w:r>
        <w:t xml:space="preserve"> </w:t>
      </w:r>
      <w:r w:rsidR="00416907" w:rsidRPr="0004128C">
        <w:t xml:space="preserve">listing </w:t>
      </w:r>
      <w:r w:rsidR="00416907">
        <w:t xml:space="preserve">is </w:t>
      </w:r>
      <w:r w:rsidR="00416907" w:rsidRPr="0004128C">
        <w:t>only valid for 5 years</w:t>
      </w:r>
      <w:r w:rsidR="00416907">
        <w:t>;</w:t>
      </w:r>
      <w:r w:rsidR="00416907" w:rsidRPr="0004128C">
        <w:t xml:space="preserve"> and the United Kingdom</w:t>
      </w:r>
      <w:r w:rsidR="00416907">
        <w:t xml:space="preserve">, where </w:t>
      </w:r>
      <w:r w:rsidR="00416907" w:rsidRPr="0004128C">
        <w:t xml:space="preserve">evidence </w:t>
      </w:r>
      <w:r w:rsidR="00416907">
        <w:t xml:space="preserve">is </w:t>
      </w:r>
      <w:r w:rsidR="00416907" w:rsidRPr="0004128C">
        <w:t xml:space="preserve">assessed after 5 years. </w:t>
      </w:r>
    </w:p>
    <w:p w:rsidR="00AD36A8" w:rsidRDefault="00416907" w:rsidP="00AD36A8">
      <w:r w:rsidRPr="0004128C">
        <w:t xml:space="preserve">Managed entry schemes are used for orphan drugs in Europe (Belgium, England and Wales, Italy, the Netherlands and Sweden). Performance-based risk sharing </w:t>
      </w:r>
      <w:r>
        <w:t>i</w:t>
      </w:r>
      <w:r w:rsidRPr="0004128C">
        <w:t xml:space="preserve">s used in Italy, the Netherlands and Sweden, while financial-based schemes </w:t>
      </w:r>
      <w:r>
        <w:t>a</w:t>
      </w:r>
      <w:r w:rsidRPr="0004128C">
        <w:t xml:space="preserve">re used in Italy, Belgium, England </w:t>
      </w:r>
      <w:r w:rsidR="00AD36A8" w:rsidRPr="0004128C">
        <w:t xml:space="preserve">and Wales. </w:t>
      </w:r>
    </w:p>
    <w:p w:rsidR="008B310A" w:rsidRPr="0004128C" w:rsidRDefault="008B310A" w:rsidP="00416907"/>
    <w:p w:rsidR="00AD36A8" w:rsidRPr="00A5774A" w:rsidRDefault="00AD36A8" w:rsidP="00D60032">
      <w:pPr>
        <w:pStyle w:val="Heading2"/>
        <w:numPr>
          <w:ilvl w:val="0"/>
          <w:numId w:val="0"/>
        </w:numPr>
      </w:pPr>
      <w:bookmarkStart w:id="46" w:name="_Toc404350082"/>
      <w:bookmarkStart w:id="47" w:name="_Toc404937245"/>
      <w:bookmarkStart w:id="48" w:name="_Toc413077600"/>
      <w:bookmarkStart w:id="49" w:name="_Toc413857563"/>
      <w:bookmarkStart w:id="50" w:name="_Toc415141722"/>
      <w:bookmarkStart w:id="51" w:name="_Toc404350083"/>
      <w:bookmarkStart w:id="52" w:name="_Toc404937246"/>
      <w:r w:rsidRPr="00E965BD">
        <w:t>Assess the value for money of the medicines subsidised on the LSDP by evaluating the benefit of each drug’s treatment outcomes, including in terms of quality of life achieved through the programme, and their cost</w:t>
      </w:r>
      <w:r w:rsidRPr="00A5774A">
        <w:t>.</w:t>
      </w:r>
      <w:bookmarkEnd w:id="46"/>
      <w:bookmarkEnd w:id="47"/>
      <w:bookmarkEnd w:id="48"/>
      <w:bookmarkEnd w:id="49"/>
      <w:bookmarkEnd w:id="50"/>
    </w:p>
    <w:p w:rsidR="00416907" w:rsidRPr="0080346F" w:rsidRDefault="00F0105A" w:rsidP="00416907">
      <w:r>
        <w:t>T</w:t>
      </w:r>
      <w:r w:rsidRPr="0080346F">
        <w:t xml:space="preserve">his ToR </w:t>
      </w:r>
      <w:r>
        <w:t>was</w:t>
      </w:r>
      <w:r w:rsidRPr="0080346F">
        <w:t xml:space="preserve"> addressed by identifying published literature on methods </w:t>
      </w:r>
      <w:r>
        <w:t>that</w:t>
      </w:r>
      <w:r w:rsidRPr="0080346F">
        <w:t xml:space="preserve"> determin</w:t>
      </w:r>
      <w:r>
        <w:t>e</w:t>
      </w:r>
      <w:r w:rsidRPr="0080346F">
        <w:t xml:space="preserve"> ‘value’, </w:t>
      </w:r>
      <w:r>
        <w:t>and that</w:t>
      </w:r>
      <w:r w:rsidRPr="0080346F">
        <w:t xml:space="preserve"> could potentially </w:t>
      </w:r>
      <w:r>
        <w:t xml:space="preserve">be </w:t>
      </w:r>
      <w:r w:rsidRPr="0080346F">
        <w:t>appl</w:t>
      </w:r>
      <w:r>
        <w:t>ied</w:t>
      </w:r>
      <w:r w:rsidRPr="0080346F">
        <w:t xml:space="preserve"> to orphan drugs and the LSDP. Other than routine cost-utility analyses, alternative approaches identified </w:t>
      </w:r>
      <w:r w:rsidR="00416907" w:rsidRPr="0080346F">
        <w:t>were:</w:t>
      </w:r>
    </w:p>
    <w:p w:rsidR="00416907" w:rsidRPr="0080346F" w:rsidRDefault="00416907" w:rsidP="000959DF">
      <w:pPr>
        <w:pStyle w:val="ListParagraph"/>
        <w:numPr>
          <w:ilvl w:val="0"/>
          <w:numId w:val="75"/>
        </w:numPr>
        <w:rPr>
          <w:rFonts w:asciiTheme="minorHAnsi" w:hAnsiTheme="minorHAnsi"/>
        </w:rPr>
      </w:pPr>
      <w:r w:rsidRPr="0080346F">
        <w:rPr>
          <w:rFonts w:asciiTheme="minorHAnsi" w:hAnsiTheme="minorHAnsi"/>
        </w:rPr>
        <w:t>Broadened cost-utility evaluation</w:t>
      </w:r>
      <w:r>
        <w:rPr>
          <w:rFonts w:asciiTheme="minorHAnsi" w:hAnsiTheme="minorHAnsi"/>
        </w:rPr>
        <w:t>,</w:t>
      </w:r>
      <w:r w:rsidRPr="0080346F">
        <w:rPr>
          <w:rFonts w:asciiTheme="minorHAnsi" w:hAnsiTheme="minorHAnsi"/>
        </w:rPr>
        <w:t xml:space="preserve"> with improved sensitivity and broadened perspective</w:t>
      </w:r>
      <w:r>
        <w:rPr>
          <w:rFonts w:asciiTheme="minorHAnsi" w:hAnsiTheme="minorHAnsi"/>
        </w:rPr>
        <w:t>;</w:t>
      </w:r>
    </w:p>
    <w:p w:rsidR="00416907" w:rsidRPr="0080346F" w:rsidRDefault="00416907" w:rsidP="000959DF">
      <w:pPr>
        <w:pStyle w:val="ListParagraph"/>
        <w:numPr>
          <w:ilvl w:val="0"/>
          <w:numId w:val="75"/>
        </w:numPr>
        <w:rPr>
          <w:rFonts w:asciiTheme="minorHAnsi" w:hAnsiTheme="minorHAnsi"/>
        </w:rPr>
      </w:pPr>
      <w:r w:rsidRPr="0080346F">
        <w:rPr>
          <w:rFonts w:asciiTheme="minorHAnsi" w:hAnsiTheme="minorHAnsi"/>
        </w:rPr>
        <w:t>Equity-weighted cost-utility evaluation</w:t>
      </w:r>
      <w:r>
        <w:rPr>
          <w:rFonts w:asciiTheme="minorHAnsi" w:hAnsiTheme="minorHAnsi"/>
        </w:rPr>
        <w:t>,</w:t>
      </w:r>
      <w:r w:rsidRPr="0080346F">
        <w:rPr>
          <w:rFonts w:asciiTheme="minorHAnsi" w:hAnsiTheme="minorHAnsi"/>
        </w:rPr>
        <w:t xml:space="preserve"> using various weighting criteria, </w:t>
      </w:r>
      <w:r w:rsidR="00082C10" w:rsidRPr="0080346F">
        <w:rPr>
          <w:rFonts w:asciiTheme="minorHAnsi" w:hAnsiTheme="minorHAnsi"/>
        </w:rPr>
        <w:t>e.g.</w:t>
      </w:r>
      <w:r w:rsidRPr="0080346F">
        <w:rPr>
          <w:rFonts w:asciiTheme="minorHAnsi" w:hAnsiTheme="minorHAnsi"/>
        </w:rPr>
        <w:t xml:space="preserve"> disease severity (non-specific to orphan drugs), or rarity (specific to orphan drugs)</w:t>
      </w:r>
      <w:r>
        <w:rPr>
          <w:rFonts w:asciiTheme="minorHAnsi" w:hAnsiTheme="minorHAnsi"/>
        </w:rPr>
        <w:t>;</w:t>
      </w:r>
    </w:p>
    <w:p w:rsidR="00416907" w:rsidRPr="0080346F" w:rsidRDefault="00416907" w:rsidP="000959DF">
      <w:pPr>
        <w:pStyle w:val="ListParagraph"/>
        <w:numPr>
          <w:ilvl w:val="0"/>
          <w:numId w:val="75"/>
        </w:numPr>
        <w:rPr>
          <w:rFonts w:asciiTheme="minorHAnsi" w:hAnsiTheme="minorHAnsi"/>
        </w:rPr>
      </w:pPr>
      <w:r w:rsidRPr="0080346F">
        <w:rPr>
          <w:rFonts w:asciiTheme="minorHAnsi" w:hAnsiTheme="minorHAnsi"/>
        </w:rPr>
        <w:t>Multi-Criteria Decision Analysis (MCDA)</w:t>
      </w:r>
      <w:r>
        <w:rPr>
          <w:rFonts w:asciiTheme="minorHAnsi" w:hAnsiTheme="minorHAnsi"/>
        </w:rPr>
        <w:t>; and</w:t>
      </w:r>
    </w:p>
    <w:p w:rsidR="00416907" w:rsidRPr="0080346F" w:rsidRDefault="00416907" w:rsidP="000959DF">
      <w:pPr>
        <w:pStyle w:val="ListParagraph"/>
        <w:numPr>
          <w:ilvl w:val="0"/>
          <w:numId w:val="75"/>
        </w:numPr>
        <w:rPr>
          <w:rFonts w:asciiTheme="minorHAnsi" w:hAnsiTheme="minorHAnsi"/>
        </w:rPr>
      </w:pPr>
      <w:r w:rsidRPr="0080346F">
        <w:rPr>
          <w:rFonts w:asciiTheme="minorHAnsi" w:hAnsiTheme="minorHAnsi"/>
        </w:rPr>
        <w:t>Input-based costing</w:t>
      </w:r>
      <w:r>
        <w:rPr>
          <w:rFonts w:asciiTheme="minorHAnsi" w:hAnsiTheme="minorHAnsi"/>
        </w:rPr>
        <w:t>.</w:t>
      </w:r>
    </w:p>
    <w:p w:rsidR="00416907" w:rsidRPr="0080346F" w:rsidRDefault="00F0105A" w:rsidP="00416907">
      <w:r>
        <w:t>T</w:t>
      </w:r>
      <w:r w:rsidRPr="0080346F">
        <w:t xml:space="preserve">here is </w:t>
      </w:r>
      <w:r>
        <w:t xml:space="preserve">an </w:t>
      </w:r>
      <w:r w:rsidRPr="0080346F">
        <w:t xml:space="preserve">argument </w:t>
      </w:r>
      <w:r>
        <w:t>that c</w:t>
      </w:r>
      <w:r w:rsidRPr="0080346F">
        <w:t>ost-utility evaluation, taking a societal perspective, should take into account the costs and quality of life for not only the patient, but also their family members and carers, and that this broader inclusion</w:t>
      </w:r>
      <w:r>
        <w:t xml:space="preserve"> </w:t>
      </w:r>
      <w:r w:rsidRPr="0080346F">
        <w:t xml:space="preserve">would favour drugs on the LSDP more than the </w:t>
      </w:r>
      <w:r>
        <w:t>current use</w:t>
      </w:r>
      <w:r w:rsidRPr="0080346F">
        <w:t xml:space="preserve"> of cost-utility evaluation</w:t>
      </w:r>
      <w:r>
        <w:t>. I</w:t>
      </w:r>
      <w:r w:rsidRPr="0080346F">
        <w:t>t remains unlikely</w:t>
      </w:r>
      <w:r>
        <w:t>, however,</w:t>
      </w:r>
      <w:r w:rsidRPr="0080346F">
        <w:t xml:space="preserve"> that an incremental cost-effectiveness ratio (ICER), using this method, would meet traditional </w:t>
      </w:r>
      <w:r>
        <w:t>willingness-to-pay thresholds</w:t>
      </w:r>
      <w:r w:rsidR="00416907" w:rsidRPr="0080346F">
        <w:t xml:space="preserve">. </w:t>
      </w:r>
    </w:p>
    <w:p w:rsidR="00416907" w:rsidRDefault="00416907" w:rsidP="00416907">
      <w:r w:rsidRPr="0080346F">
        <w:t xml:space="preserve">There is evidence that societal preferences do not always follow a utilitarian approach of maximising quality adjusted life years (QALYs).  Principles such as equity and social justice may cause </w:t>
      </w:r>
      <w:r>
        <w:t xml:space="preserve">a </w:t>
      </w:r>
      <w:r w:rsidRPr="0080346F">
        <w:t>preference for non-utili</w:t>
      </w:r>
      <w:r w:rsidR="00673199">
        <w:t>t</w:t>
      </w:r>
      <w:r w:rsidRPr="0080346F">
        <w:t xml:space="preserve">arian allocation. Preferences have been proposed  </w:t>
      </w:r>
      <w:r>
        <w:t xml:space="preserve">that </w:t>
      </w:r>
      <w:r w:rsidRPr="0080346F">
        <w:t>plac</w:t>
      </w:r>
      <w:r>
        <w:t>e</w:t>
      </w:r>
      <w:r w:rsidRPr="0080346F">
        <w:t xml:space="preserve"> greater value on</w:t>
      </w:r>
      <w:r>
        <w:t>:</w:t>
      </w:r>
      <w:r w:rsidRPr="0080346F">
        <w:t xml:space="preserve"> i) treatments that are life-saving; ii) treatment for patients with more severe disease; </w:t>
      </w:r>
      <w:r>
        <w:t xml:space="preserve">and </w:t>
      </w:r>
      <w:r w:rsidRPr="0080346F">
        <w:t xml:space="preserve">iii) treatments for populations of social concern such as </w:t>
      </w:r>
      <w:r w:rsidR="005B5815">
        <w:t xml:space="preserve">the </w:t>
      </w:r>
      <w:r w:rsidRPr="0080346F">
        <w:t xml:space="preserve">socio-economically disadvantaged, children, </w:t>
      </w:r>
      <w:r w:rsidR="00F0105A">
        <w:t>or people with dependents</w:t>
      </w:r>
      <w:r w:rsidRPr="0080346F">
        <w:t xml:space="preserve">. </w:t>
      </w:r>
    </w:p>
    <w:p w:rsidR="00416907" w:rsidRPr="0080346F" w:rsidRDefault="00F0105A" w:rsidP="00416907">
      <w:r w:rsidRPr="0080346F">
        <w:t xml:space="preserve">Contradictory information was available on whether society </w:t>
      </w:r>
      <w:r>
        <w:t xml:space="preserve">would </w:t>
      </w:r>
      <w:r w:rsidRPr="0080346F">
        <w:t>support additional health spending on the basis of disease rarity. Methods to adapt the equity-adjusted approach to assessing cost-effectiveness include</w:t>
      </w:r>
      <w:r>
        <w:t>:</w:t>
      </w:r>
      <w:r w:rsidRPr="0080346F">
        <w:t xml:space="preserve"> i) adjusting QALYs based on societal preferences, </w:t>
      </w:r>
      <w:r>
        <w:t xml:space="preserve">or </w:t>
      </w:r>
      <w:r w:rsidRPr="0080346F">
        <w:t xml:space="preserve">ii) adjusting the ICER threshold </w:t>
      </w:r>
      <w:r>
        <w:t>that</w:t>
      </w:r>
      <w:r w:rsidRPr="0080346F">
        <w:t xml:space="preserve"> is considered cost-effective</w:t>
      </w:r>
      <w:r>
        <w:t>.</w:t>
      </w:r>
      <w:r w:rsidRPr="0080346F">
        <w:t xml:space="preserve"> </w:t>
      </w:r>
      <w:r>
        <w:t>O</w:t>
      </w:r>
      <w:r w:rsidRPr="0080346F">
        <w:t>nce preference weightings are quantified</w:t>
      </w:r>
      <w:r>
        <w:t>,</w:t>
      </w:r>
      <w:r w:rsidRPr="0080346F">
        <w:t xml:space="preserve"> these approaches </w:t>
      </w:r>
      <w:r>
        <w:t>would be</w:t>
      </w:r>
      <w:r w:rsidRPr="0080346F">
        <w:t xml:space="preserve"> mathematically equiv</w:t>
      </w:r>
      <w:r>
        <w:t>a</w:t>
      </w:r>
      <w:r w:rsidRPr="0080346F">
        <w:t>lent</w:t>
      </w:r>
      <w:r w:rsidR="00416907" w:rsidRPr="0080346F">
        <w:t>.</w:t>
      </w:r>
    </w:p>
    <w:p w:rsidR="00F0105A" w:rsidRPr="0080346F" w:rsidRDefault="00F0105A" w:rsidP="00F0105A">
      <w:r w:rsidRPr="0080346F">
        <w:lastRenderedPageBreak/>
        <w:t>Alternatively, equity concerns can be incorporated into drug assessment</w:t>
      </w:r>
      <w:r>
        <w:t xml:space="preserve"> and decision-making </w:t>
      </w:r>
      <w:r w:rsidRPr="0080346F">
        <w:t>using an alternative assessment tool such as multi-criteria decision analysis (MCDA). MCDA frameworks have been used for pharmaceutical health technology assessment</w:t>
      </w:r>
      <w:r>
        <w:t>s</w:t>
      </w:r>
      <w:r w:rsidRPr="0080346F">
        <w:t xml:space="preserve"> in Canada, Europe, Malaysia and Thailand. Common criteria across these different frameworks are efficacy / effectiveness, safety, and the economic impact of the drug. Additional criteria used by some frameworks include the severity of the disease, equity / ethical and social implications and </w:t>
      </w:r>
      <w:r>
        <w:t xml:space="preserve">a consideration of </w:t>
      </w:r>
      <w:r w:rsidRPr="0080346F">
        <w:t xml:space="preserve">how treatment aligns with current local health policy </w:t>
      </w:r>
      <w:r>
        <w:t>target</w:t>
      </w:r>
      <w:r w:rsidRPr="0080346F">
        <w:t xml:space="preserve">s. Scoring methods for </w:t>
      </w:r>
      <w:r>
        <w:t xml:space="preserve">these </w:t>
      </w:r>
      <w:r w:rsidRPr="0080346F">
        <w:t xml:space="preserve">preferences vary from simple to complex, and can either include the preferences of a committee, or broader societal values derived through surveys. MCDA is an assessment tool which is not specific to health or health technology assessment but has been proposed as a tool which could be useful at quantifying the value of orphan drugs. </w:t>
      </w:r>
    </w:p>
    <w:p w:rsidR="00F0105A" w:rsidRPr="0080346F" w:rsidRDefault="00F0105A" w:rsidP="00F0105A">
      <w:r w:rsidRPr="0080346F">
        <w:t xml:space="preserve">Another method of defining the value of orphan drugs is to base value (price) on the cost of developing and producing drugs </w:t>
      </w:r>
      <w:r>
        <w:t xml:space="preserve">in order </w:t>
      </w:r>
      <w:r w:rsidRPr="0080346F">
        <w:t xml:space="preserve">to determine a fair price. This does not link health impacts to price, but could result in the rarity of a disease being linked to the price function. This methodology has not been used </w:t>
      </w:r>
      <w:r>
        <w:t>to date</w:t>
      </w:r>
      <w:r w:rsidRPr="0080346F">
        <w:t>.</w:t>
      </w:r>
    </w:p>
    <w:p w:rsidR="00AD36A8" w:rsidRDefault="00F0105A" w:rsidP="00F0105A">
      <w:r w:rsidRPr="0080346F">
        <w:t xml:space="preserve">Consideration of the limitations of </w:t>
      </w:r>
      <w:r>
        <w:t xml:space="preserve">the </w:t>
      </w:r>
      <w:r w:rsidRPr="0080346F">
        <w:t xml:space="preserve">available evidence </w:t>
      </w:r>
      <w:r>
        <w:t>to measure</w:t>
      </w:r>
      <w:r w:rsidRPr="0080346F">
        <w:t xml:space="preserve"> </w:t>
      </w:r>
      <w:r>
        <w:t xml:space="preserve">the clinical </w:t>
      </w:r>
      <w:r w:rsidRPr="0080346F">
        <w:t>effectiveness</w:t>
      </w:r>
      <w:r w:rsidRPr="004A76F6">
        <w:t xml:space="preserve"> </w:t>
      </w:r>
      <w:r w:rsidRPr="0080346F">
        <w:t>of existing drugs on the LSDP</w:t>
      </w:r>
      <w:r>
        <w:t xml:space="preserve"> </w:t>
      </w:r>
      <w:r w:rsidR="006E04C5">
        <w:t>–</w:t>
      </w:r>
      <w:r w:rsidRPr="0080346F">
        <w:t xml:space="preserve"> to inform a value assessment</w:t>
      </w:r>
      <w:r>
        <w:t xml:space="preserve"> </w:t>
      </w:r>
      <w:r w:rsidR="006E04C5">
        <w:t>–</w:t>
      </w:r>
      <w:r w:rsidRPr="0080346F">
        <w:t xml:space="preserve"> presents </w:t>
      </w:r>
      <w:r>
        <w:t xml:space="preserve">a </w:t>
      </w:r>
      <w:r w:rsidRPr="0080346F">
        <w:t>difficulty</w:t>
      </w:r>
      <w:r>
        <w:t>,</w:t>
      </w:r>
      <w:r w:rsidRPr="0080346F">
        <w:t xml:space="preserve"> irrespective of the metric used</w:t>
      </w:r>
      <w:r>
        <w:t>. The level of</w:t>
      </w:r>
      <w:r w:rsidRPr="0080346F">
        <w:t xml:space="preserve"> uncertainty</w:t>
      </w:r>
      <w:r>
        <w:t>, or risk,</w:t>
      </w:r>
      <w:r w:rsidRPr="0080346F">
        <w:t xml:space="preserve"> itself may be relevant to incorporate into an alternative value metric</w:t>
      </w:r>
      <w:r w:rsidR="00AD36A8" w:rsidRPr="0080346F">
        <w:t>.</w:t>
      </w:r>
    </w:p>
    <w:p w:rsidR="008B310A" w:rsidRDefault="008B310A" w:rsidP="00416907"/>
    <w:p w:rsidR="00F0105A" w:rsidRPr="00A5774A" w:rsidRDefault="00F0105A" w:rsidP="00D60032">
      <w:pPr>
        <w:pStyle w:val="Heading2"/>
        <w:numPr>
          <w:ilvl w:val="0"/>
          <w:numId w:val="0"/>
        </w:numPr>
      </w:pPr>
      <w:bookmarkStart w:id="53" w:name="_Toc413077601"/>
      <w:bookmarkStart w:id="54" w:name="_Toc413857564"/>
      <w:bookmarkStart w:id="55" w:name="_Toc415141723"/>
      <w:bookmarkEnd w:id="51"/>
      <w:bookmarkEnd w:id="52"/>
      <w:r w:rsidRPr="00627CE1">
        <w:t>Establish a framework for data collection on rare diseases in Australia and assess how this could function internationally.</w:t>
      </w:r>
      <w:bookmarkEnd w:id="53"/>
      <w:bookmarkEnd w:id="54"/>
      <w:bookmarkEnd w:id="55"/>
    </w:p>
    <w:p w:rsidR="00F0105A" w:rsidRDefault="00416907" w:rsidP="00416907">
      <w:r>
        <w:t xml:space="preserve">The evidence base for drugs on the LSDP is often scant. Drug surveillance registries can therefore be useful to collect data to address uncertainties regarding claims of the efficacy and safety of orphan drugs. The purpose of this form of registry is different from a rare disease registry. </w:t>
      </w:r>
    </w:p>
    <w:p w:rsidR="00416907" w:rsidRDefault="00416907" w:rsidP="00416907">
      <w:r>
        <w:t xml:space="preserve">The key purposes of a rare disease registry </w:t>
      </w:r>
      <w:r w:rsidR="005B5815">
        <w:t>are:</w:t>
      </w:r>
      <w:r>
        <w:t xml:space="preserve"> i) to connect affected patients, families and clinicians; ii) to study the natural history of a disease; iii) to support research; and iv) to establish a patient base for evaluating drugs. </w:t>
      </w:r>
      <w:r w:rsidR="005B5815">
        <w:t>The main purpose of a drug surveillance registry is to monitor the impact of a drug on the health of individual patients and aggregate the results for the whole patient cohort.</w:t>
      </w:r>
    </w:p>
    <w:p w:rsidR="00416907" w:rsidRPr="0004128C" w:rsidRDefault="00416907" w:rsidP="00416907">
      <w:r>
        <w:t xml:space="preserve">The following elements need to be considered in the development of a registry </w:t>
      </w:r>
      <w:r w:rsidR="006E04C5">
        <w:t>–</w:t>
      </w:r>
      <w:r>
        <w:t xml:space="preserve"> the purpose of the registry;</w:t>
      </w:r>
      <w:r w:rsidR="00AD36A8">
        <w:t xml:space="preserve"> </w:t>
      </w:r>
      <w:r>
        <w:t>data collection; quality assurance; governance and custodianship; ethics, privacy and data security; information output and reporting; and resources and funding.</w:t>
      </w:r>
    </w:p>
    <w:p w:rsidR="00416907" w:rsidRDefault="00AC7C41" w:rsidP="00416907">
      <w:r>
        <w:t xml:space="preserve">The design of both </w:t>
      </w:r>
      <w:r w:rsidR="005B5815">
        <w:t xml:space="preserve">types of </w:t>
      </w:r>
      <w:r>
        <w:t>registr</w:t>
      </w:r>
      <w:r w:rsidR="005B5815">
        <w:t>y</w:t>
      </w:r>
      <w:r>
        <w:t xml:space="preserve"> must align with </w:t>
      </w:r>
      <w:r w:rsidR="005B5815">
        <w:t>its</w:t>
      </w:r>
      <w:r>
        <w:t xml:space="preserve"> purpose. The likely objectives of the proposed surveillance registry for drugs being reimbursed through the LSDP </w:t>
      </w:r>
      <w:r w:rsidR="00416907">
        <w:t>are:</w:t>
      </w:r>
    </w:p>
    <w:p w:rsidR="00416907" w:rsidRDefault="00416907" w:rsidP="000959DF">
      <w:pPr>
        <w:pStyle w:val="ListParagraph"/>
        <w:numPr>
          <w:ilvl w:val="0"/>
          <w:numId w:val="80"/>
        </w:numPr>
      </w:pPr>
      <w:r>
        <w:lastRenderedPageBreak/>
        <w:t xml:space="preserve">to verify initial and ongoing eligibility of patients receiving subsidised drugs against the </w:t>
      </w:r>
      <w:r w:rsidR="00AC7C41">
        <w:t xml:space="preserve">initially determined </w:t>
      </w:r>
      <w:r>
        <w:t xml:space="preserve">eligibility criteria; </w:t>
      </w:r>
    </w:p>
    <w:p w:rsidR="00416907" w:rsidRDefault="00416907" w:rsidP="000959DF">
      <w:pPr>
        <w:pStyle w:val="ListParagraph"/>
        <w:numPr>
          <w:ilvl w:val="0"/>
          <w:numId w:val="80"/>
        </w:numPr>
      </w:pPr>
      <w:r>
        <w:t>to measure the costs of the drug and management of the program</w:t>
      </w:r>
      <w:r w:rsidR="005B5815">
        <w:t>me</w:t>
      </w:r>
      <w:r>
        <w:t xml:space="preserve">; </w:t>
      </w:r>
    </w:p>
    <w:p w:rsidR="00416907" w:rsidRDefault="00416907" w:rsidP="000959DF">
      <w:pPr>
        <w:pStyle w:val="ListParagraph"/>
        <w:numPr>
          <w:ilvl w:val="0"/>
          <w:numId w:val="80"/>
        </w:numPr>
      </w:pPr>
      <w:r>
        <w:t xml:space="preserve">to evaluate the safety and effectiveness of the drug against the claims made in the submission for funding through the LSDP; </w:t>
      </w:r>
    </w:p>
    <w:p w:rsidR="00416907" w:rsidRDefault="00416907" w:rsidP="000959DF">
      <w:pPr>
        <w:pStyle w:val="ListParagraph"/>
        <w:numPr>
          <w:ilvl w:val="0"/>
          <w:numId w:val="80"/>
        </w:numPr>
      </w:pPr>
      <w:r>
        <w:t xml:space="preserve">to use cost, safety and effectiveness data to support outcome-based risk-share arrangements between sponsors and Government; </w:t>
      </w:r>
    </w:p>
    <w:p w:rsidR="00416907" w:rsidRDefault="00416907" w:rsidP="000959DF">
      <w:pPr>
        <w:pStyle w:val="ListParagraph"/>
        <w:numPr>
          <w:ilvl w:val="0"/>
          <w:numId w:val="80"/>
        </w:numPr>
      </w:pPr>
      <w:r>
        <w:t xml:space="preserve">to </w:t>
      </w:r>
      <w:r w:rsidR="005B5815">
        <w:t>ensure</w:t>
      </w:r>
      <w:r>
        <w:t xml:space="preserve"> adequate data collection to meet the aims of the registry; and </w:t>
      </w:r>
    </w:p>
    <w:p w:rsidR="00416907" w:rsidRDefault="00416907" w:rsidP="000959DF">
      <w:pPr>
        <w:pStyle w:val="ListParagraph"/>
        <w:numPr>
          <w:ilvl w:val="0"/>
          <w:numId w:val="80"/>
        </w:numPr>
      </w:pPr>
      <w:proofErr w:type="gramStart"/>
      <w:r>
        <w:t>to</w:t>
      </w:r>
      <w:proofErr w:type="gramEnd"/>
      <w:r>
        <w:t xml:space="preserve"> ensure access to the data by key stakeholders. </w:t>
      </w:r>
    </w:p>
    <w:p w:rsidR="00416907" w:rsidRDefault="00416907" w:rsidP="00416907">
      <w:r>
        <w:t>Data collection may be from a range of sources, including from scheduled appointments with a single physician, data collection from patients or guardians, and data collections from external sources such as a Births, Deaths and Marriages registry. It is suggested that the eligibility review schedule should be established at the time of entry into the reimbursement program</w:t>
      </w:r>
      <w:r w:rsidR="005B5815">
        <w:t>me</w:t>
      </w:r>
      <w:r>
        <w:t xml:space="preserve">, with pre-scheduled visits </w:t>
      </w:r>
      <w:r w:rsidR="006E04C5">
        <w:t>–</w:t>
      </w:r>
      <w:r>
        <w:t xml:space="preserve"> more aligned with methods used in clinical trials </w:t>
      </w:r>
      <w:r w:rsidR="006E04C5">
        <w:t>–</w:t>
      </w:r>
      <w:r>
        <w:t xml:space="preserve"> in order to ensure completeness of </w:t>
      </w:r>
      <w:r w:rsidR="00AC7C41">
        <w:t xml:space="preserve">the </w:t>
      </w:r>
      <w:r>
        <w:t xml:space="preserve">data. </w:t>
      </w:r>
    </w:p>
    <w:p w:rsidR="00AC7C41" w:rsidRDefault="00AC7C41" w:rsidP="00AC7C41">
      <w:r>
        <w:t xml:space="preserve">The utility of a registry is dependent on its quality, appropriateness and the completeness of data capture. In order to improve compliance with data collection, forms should be easy to complete, have only relevant data fields, have clear and unambiguous questions, have data validation methods inbuilt into the collection method, have clear and explicit definitions for data, and include prompts and reminders to complete data entry. </w:t>
      </w:r>
    </w:p>
    <w:p w:rsidR="00D64D3C" w:rsidRDefault="00AC7C41" w:rsidP="00AC7C41">
      <w:r>
        <w:t xml:space="preserve">The governance of a drug surveillance registry should include the key stakeholders responsible for establishing the registry, as well as those who determine the data </w:t>
      </w:r>
      <w:r w:rsidR="00937CB0">
        <w:t xml:space="preserve">that are </w:t>
      </w:r>
      <w:r>
        <w:t xml:space="preserve">required, those who develop and maintain the technical systems, </w:t>
      </w:r>
      <w:r w:rsidR="00937CB0">
        <w:t xml:space="preserve">and those who </w:t>
      </w:r>
      <w:r>
        <w:t>collate data and deliver reports to Government</w:t>
      </w:r>
      <w:r w:rsidR="00937CB0">
        <w:t xml:space="preserve"> or</w:t>
      </w:r>
      <w:r>
        <w:t xml:space="preserve"> the funders of the registry. </w:t>
      </w:r>
      <w:r w:rsidR="00937CB0">
        <w:t>Other st</w:t>
      </w:r>
      <w:r>
        <w:t xml:space="preserve">akeholders </w:t>
      </w:r>
      <w:r w:rsidR="00937CB0">
        <w:t>who might be responsible for contributing to the registry include</w:t>
      </w:r>
      <w:r>
        <w:t xml:space="preserve"> clinical experts </w:t>
      </w:r>
      <w:r w:rsidR="00937CB0">
        <w:t xml:space="preserve">and </w:t>
      </w:r>
      <w:r>
        <w:t>patient or industry representatives. Data security must be compliant with all Federal and State privacy laws, and clear protocols should be developed regarding who may access the data, as well as procedures to ensure compliance, such as the removal of personal identifiers. Reports for the public should not include sufficient information that someone could be identified. Patient consent (or parental consent and patient assent when patients are under 16 years of age) must be sought with regard to the collection of data.</w:t>
      </w:r>
      <w:r w:rsidR="00D64D3C">
        <w:t xml:space="preserve"> </w:t>
      </w:r>
    </w:p>
    <w:p w:rsidR="00E502C3" w:rsidRDefault="00E502C3" w:rsidP="00AC7C41"/>
    <w:p w:rsidR="005B5815" w:rsidRPr="0004128C" w:rsidRDefault="005B5815" w:rsidP="00D60032">
      <w:pPr>
        <w:pStyle w:val="Heading2"/>
        <w:numPr>
          <w:ilvl w:val="0"/>
          <w:numId w:val="0"/>
        </w:numPr>
      </w:pPr>
      <w:bookmarkStart w:id="56" w:name="_Toc413077602"/>
      <w:bookmarkStart w:id="57" w:name="_Toc413857565"/>
      <w:bookmarkStart w:id="58" w:name="_Toc415141724"/>
      <w:r>
        <w:t>Conclusion</w:t>
      </w:r>
      <w:bookmarkEnd w:id="56"/>
      <w:bookmarkEnd w:id="57"/>
      <w:bookmarkEnd w:id="58"/>
    </w:p>
    <w:p w:rsidR="005B5815" w:rsidRDefault="005B5815" w:rsidP="005B5815">
      <w:r>
        <w:t xml:space="preserve">This technical assessment has shown that most of the drugs currently funded by the LSDP are </w:t>
      </w:r>
      <w:r w:rsidR="00937CB0">
        <w:t>clinically</w:t>
      </w:r>
      <w:r>
        <w:t xml:space="preserve"> effective</w:t>
      </w:r>
      <w:r w:rsidR="00937CB0">
        <w:t xml:space="preserve"> with an acceptable safety profile</w:t>
      </w:r>
      <w:r>
        <w:t xml:space="preserve">. However, there are indications that the LSDP is unlikely to be sustainable in the future, given current patterns of drug development and marketing. Lessons learned from international experience in the public </w:t>
      </w:r>
      <w:r>
        <w:lastRenderedPageBreak/>
        <w:t xml:space="preserve">funding of orphan drugs and from economic theory </w:t>
      </w:r>
      <w:r w:rsidR="00937CB0">
        <w:t>suggest that there are</w:t>
      </w:r>
      <w:r>
        <w:t xml:space="preserve"> a range of approaches that might be adopted to work towards a sustainable LSDP. In cases where there are uncertainties regarding aspects of the safety, effectiveness and cost of the drugs considered eligible for the LSDP, the development of a drug surveillance registry tailored to address these uncertainties would be valuable, particularly when the appropriate governance, technical arrangements and resourcing are in place.</w:t>
      </w:r>
    </w:p>
    <w:p w:rsidR="0004128C" w:rsidRPr="0004128C" w:rsidRDefault="0004128C" w:rsidP="00B523BA">
      <w:pPr>
        <w:rPr>
          <w:rFonts w:ascii="Cambria" w:hAnsi="Cambria"/>
          <w:b/>
          <w:bCs/>
          <w:caps/>
          <w:color w:val="002060"/>
          <w:sz w:val="28"/>
          <w:szCs w:val="28"/>
        </w:rPr>
      </w:pPr>
      <w:r w:rsidRPr="0004128C">
        <w:br w:type="page"/>
      </w:r>
    </w:p>
    <w:p w:rsidR="0004128C" w:rsidRPr="0004128C" w:rsidRDefault="0004128C" w:rsidP="00F24A4C">
      <w:pPr>
        <w:pStyle w:val="Heading1"/>
      </w:pPr>
      <w:bookmarkStart w:id="59" w:name="_Toc404937247"/>
      <w:bookmarkStart w:id="60" w:name="_Toc415141725"/>
      <w:r w:rsidRPr="0004128C">
        <w:lastRenderedPageBreak/>
        <w:t>INTRODUCTION</w:t>
      </w:r>
      <w:bookmarkEnd w:id="17"/>
      <w:bookmarkEnd w:id="59"/>
      <w:bookmarkEnd w:id="60"/>
      <w:r w:rsidRPr="0004128C">
        <w:t xml:space="preserve"> </w:t>
      </w:r>
    </w:p>
    <w:p w:rsidR="004B5545" w:rsidRPr="0004128C" w:rsidRDefault="004B5545" w:rsidP="004B5545">
      <w:r w:rsidRPr="0004128C">
        <w:t xml:space="preserve">Adelaide Health Technology Assessment (AHTA), </w:t>
      </w:r>
      <w:r>
        <w:t xml:space="preserve">at The </w:t>
      </w:r>
      <w:r w:rsidRPr="0004128C">
        <w:t xml:space="preserve">University of Adelaide, was commissioned by the Australian Government Department of Health (the Department), to make a technical contribution to the </w:t>
      </w:r>
      <w:r>
        <w:t>P</w:t>
      </w:r>
      <w:r w:rsidRPr="0004128C">
        <w:t>ost-</w:t>
      </w:r>
      <w:r>
        <w:t>M</w:t>
      </w:r>
      <w:r w:rsidRPr="0004128C">
        <w:t xml:space="preserve">arket </w:t>
      </w:r>
      <w:r>
        <w:t>R</w:t>
      </w:r>
      <w:r w:rsidRPr="0004128C">
        <w:t>eview of the Life Saving Drug</w:t>
      </w:r>
      <w:r>
        <w:t>s</w:t>
      </w:r>
      <w:r w:rsidRPr="0004128C">
        <w:t xml:space="preserve"> Programme (LSDP)</w:t>
      </w:r>
      <w:r w:rsidR="00847CD6">
        <w:rPr>
          <w:rStyle w:val="FootnoteReference"/>
        </w:rPr>
        <w:footnoteReference w:id="1"/>
      </w:r>
      <w:r w:rsidRPr="0004128C">
        <w:t>.</w:t>
      </w:r>
    </w:p>
    <w:p w:rsidR="004B5545" w:rsidRPr="0004128C" w:rsidRDefault="004B5545" w:rsidP="004B5545">
      <w:r w:rsidRPr="0004128C">
        <w:t>Through the LSDP, the Australian Government provides subsidised access to expensive and lifesaving drugs</w:t>
      </w:r>
      <w:r w:rsidRPr="007D0716">
        <w:t xml:space="preserve"> </w:t>
      </w:r>
      <w:r w:rsidRPr="0004128C">
        <w:t>for eligible patients</w:t>
      </w:r>
      <w:r>
        <w:t>. C</w:t>
      </w:r>
      <w:r w:rsidRPr="0004128C">
        <w:t xml:space="preserve">urrently ten medicines </w:t>
      </w:r>
      <w:r>
        <w:t>are funded that treat</w:t>
      </w:r>
      <w:r w:rsidRPr="0004128C">
        <w:t xml:space="preserve"> seven rare conditions. In </w:t>
      </w:r>
      <w:r w:rsidR="00673199">
        <w:t>2013-14</w:t>
      </w:r>
      <w:r w:rsidRPr="0004128C">
        <w:t>, 2</w:t>
      </w:r>
      <w:r w:rsidR="00673199">
        <w:t>57</w:t>
      </w:r>
      <w:r w:rsidRPr="0004128C">
        <w:t xml:space="preserve"> patients were treated through the LSDP at a cost of $</w:t>
      </w:r>
      <w:r w:rsidR="00F0188E">
        <w:t>77.5</w:t>
      </w:r>
      <w:r w:rsidRPr="0004128C">
        <w:t> million</w:t>
      </w:r>
      <w:r w:rsidRPr="0004128C">
        <w:rPr>
          <w:vertAlign w:val="superscript"/>
        </w:rPr>
        <w:footnoteReference w:id="2"/>
      </w:r>
      <w:r w:rsidRPr="0004128C">
        <w:t>.</w:t>
      </w:r>
    </w:p>
    <w:p w:rsidR="0004128C" w:rsidRPr="0004128C" w:rsidRDefault="004B5545" w:rsidP="004B5545">
      <w:r w:rsidRPr="0004128C">
        <w:t>There was an earlier review of the LSDP in 2008 (A</w:t>
      </w:r>
      <w:r>
        <w:t>ppendix</w:t>
      </w:r>
      <w:r w:rsidRPr="0004128C">
        <w:t xml:space="preserve"> A). </w:t>
      </w:r>
      <w:r w:rsidR="0004128C" w:rsidRPr="0004128C">
        <w:t>This resulted in a number of changes to the criteria for the subsidisation of pharmaceuticals on the LSDP.</w:t>
      </w:r>
    </w:p>
    <w:p w:rsidR="0004128C" w:rsidRPr="0047458C" w:rsidRDefault="003E509A" w:rsidP="00D60032">
      <w:pPr>
        <w:pStyle w:val="Heading2"/>
      </w:pPr>
      <w:bookmarkStart w:id="61" w:name="_Toc404937248"/>
      <w:r>
        <w:tab/>
      </w:r>
      <w:bookmarkStart w:id="62" w:name="_Toc415141726"/>
      <w:r w:rsidR="0004128C" w:rsidRPr="0047458C">
        <w:t>The Life Saving Drugs Programme</w:t>
      </w:r>
      <w:bookmarkEnd w:id="61"/>
      <w:bookmarkEnd w:id="62"/>
    </w:p>
    <w:p w:rsidR="004B5545" w:rsidRPr="0004128C" w:rsidRDefault="004B5545" w:rsidP="00475E97">
      <w:r w:rsidRPr="0004128C">
        <w:t xml:space="preserve">The following drugs are subsidised </w:t>
      </w:r>
      <w:r>
        <w:t>by</w:t>
      </w:r>
      <w:r w:rsidRPr="0004128C">
        <w:t xml:space="preserve"> the LSDP</w:t>
      </w:r>
      <w:r>
        <w:t>:</w:t>
      </w:r>
    </w:p>
    <w:p w:rsidR="004B5545" w:rsidRPr="0004128C" w:rsidRDefault="004B5545" w:rsidP="00E8561A">
      <w:pPr>
        <w:numPr>
          <w:ilvl w:val="0"/>
          <w:numId w:val="28"/>
        </w:numPr>
        <w:shd w:val="clear" w:color="auto" w:fill="FFFFFF"/>
        <w:autoSpaceDE w:val="0"/>
        <w:autoSpaceDN w:val="0"/>
        <w:adjustRightInd w:val="0"/>
        <w:spacing w:after="90" w:line="300" w:lineRule="atLeast"/>
        <w:jc w:val="left"/>
        <w:rPr>
          <w:rFonts w:eastAsia="Calibri"/>
          <w:szCs w:val="22"/>
        </w:rPr>
      </w:pPr>
      <w:r w:rsidRPr="0004128C">
        <w:rPr>
          <w:rFonts w:eastAsia="Calibri"/>
          <w:szCs w:val="22"/>
        </w:rPr>
        <w:t>Imiglucerase (Cerezyme®), Velaglucerase (VPRIV®) and Miglustat (Zavesca®) for the treatment of Gaucher disease (Type 1);</w:t>
      </w:r>
    </w:p>
    <w:p w:rsidR="004B5545" w:rsidRPr="0004128C" w:rsidRDefault="004B5545" w:rsidP="00E8561A">
      <w:pPr>
        <w:numPr>
          <w:ilvl w:val="0"/>
          <w:numId w:val="28"/>
        </w:numPr>
        <w:shd w:val="clear" w:color="auto" w:fill="FFFFFF"/>
        <w:autoSpaceDE w:val="0"/>
        <w:autoSpaceDN w:val="0"/>
        <w:adjustRightInd w:val="0"/>
        <w:spacing w:after="90" w:line="300" w:lineRule="atLeast"/>
        <w:jc w:val="left"/>
        <w:rPr>
          <w:rFonts w:eastAsia="Calibri"/>
          <w:szCs w:val="22"/>
        </w:rPr>
      </w:pPr>
      <w:r w:rsidRPr="0004128C">
        <w:rPr>
          <w:rFonts w:eastAsia="Calibri"/>
          <w:szCs w:val="22"/>
        </w:rPr>
        <w:t>Agalsidase alfa (Replagal®) and Agalsidase beta (Fabrazyme®) for the treatment of Fabry disease;</w:t>
      </w:r>
    </w:p>
    <w:p w:rsidR="004B5545" w:rsidRPr="0004128C" w:rsidRDefault="004B5545" w:rsidP="00E8561A">
      <w:pPr>
        <w:numPr>
          <w:ilvl w:val="0"/>
          <w:numId w:val="28"/>
        </w:numPr>
        <w:shd w:val="clear" w:color="auto" w:fill="FFFFFF"/>
        <w:autoSpaceDE w:val="0"/>
        <w:autoSpaceDN w:val="0"/>
        <w:adjustRightInd w:val="0"/>
        <w:spacing w:after="90" w:line="300" w:lineRule="atLeast"/>
        <w:jc w:val="left"/>
        <w:rPr>
          <w:rFonts w:eastAsia="Calibri"/>
          <w:szCs w:val="22"/>
        </w:rPr>
      </w:pPr>
      <w:r w:rsidRPr="0004128C">
        <w:rPr>
          <w:rFonts w:eastAsia="Calibri"/>
          <w:szCs w:val="22"/>
        </w:rPr>
        <w:t>Laronidase (Aldurazyme®) for the treatment of Mucopolysaccharidosis Type I (MPS I) disease;</w:t>
      </w:r>
    </w:p>
    <w:p w:rsidR="004B5545" w:rsidRPr="0004128C" w:rsidRDefault="004B5545" w:rsidP="00E8561A">
      <w:pPr>
        <w:numPr>
          <w:ilvl w:val="0"/>
          <w:numId w:val="28"/>
        </w:numPr>
        <w:shd w:val="clear" w:color="auto" w:fill="FFFFFF"/>
        <w:autoSpaceDE w:val="0"/>
        <w:autoSpaceDN w:val="0"/>
        <w:adjustRightInd w:val="0"/>
        <w:spacing w:after="90" w:line="300" w:lineRule="atLeast"/>
        <w:jc w:val="left"/>
        <w:rPr>
          <w:rFonts w:eastAsia="Calibri"/>
          <w:szCs w:val="22"/>
        </w:rPr>
      </w:pPr>
      <w:r w:rsidRPr="0004128C">
        <w:rPr>
          <w:rFonts w:eastAsia="Calibri"/>
          <w:szCs w:val="22"/>
        </w:rPr>
        <w:t>Idursulfase (Elaprase®) for the treatment of Mucopolysaccharidosis Type II (MPS II) disease;</w:t>
      </w:r>
    </w:p>
    <w:p w:rsidR="004B5545" w:rsidRPr="0004128C" w:rsidRDefault="004B5545" w:rsidP="00E8561A">
      <w:pPr>
        <w:numPr>
          <w:ilvl w:val="0"/>
          <w:numId w:val="28"/>
        </w:numPr>
        <w:shd w:val="clear" w:color="auto" w:fill="FFFFFF"/>
        <w:autoSpaceDE w:val="0"/>
        <w:autoSpaceDN w:val="0"/>
        <w:adjustRightInd w:val="0"/>
        <w:spacing w:after="90" w:line="300" w:lineRule="atLeast"/>
        <w:jc w:val="left"/>
        <w:rPr>
          <w:rFonts w:eastAsia="Calibri"/>
          <w:szCs w:val="22"/>
        </w:rPr>
      </w:pPr>
      <w:r w:rsidRPr="0004128C">
        <w:rPr>
          <w:rFonts w:eastAsia="Calibri"/>
          <w:szCs w:val="22"/>
        </w:rPr>
        <w:t>Galsulfase (Naglazyme®) for the treatment of Mucopolysaccharidosis Type VI (MPS VI) disease;</w:t>
      </w:r>
    </w:p>
    <w:p w:rsidR="004B5545" w:rsidRPr="0004128C" w:rsidRDefault="004B5545" w:rsidP="00E8561A">
      <w:pPr>
        <w:numPr>
          <w:ilvl w:val="0"/>
          <w:numId w:val="28"/>
        </w:numPr>
        <w:shd w:val="clear" w:color="auto" w:fill="FFFFFF"/>
        <w:autoSpaceDE w:val="0"/>
        <w:autoSpaceDN w:val="0"/>
        <w:adjustRightInd w:val="0"/>
        <w:spacing w:after="90" w:line="300" w:lineRule="atLeast"/>
        <w:jc w:val="left"/>
        <w:rPr>
          <w:rFonts w:eastAsia="Calibri"/>
          <w:szCs w:val="22"/>
        </w:rPr>
      </w:pPr>
      <w:r w:rsidRPr="0004128C">
        <w:rPr>
          <w:rFonts w:eastAsia="Calibri"/>
          <w:szCs w:val="22"/>
        </w:rPr>
        <w:t xml:space="preserve">Alglucosidase alfa (Myozyme®) for the treatment of Infantile-onset </w:t>
      </w:r>
      <w:r w:rsidR="003C6467">
        <w:rPr>
          <w:rFonts w:eastAsia="Calibri"/>
          <w:szCs w:val="22"/>
        </w:rPr>
        <w:t xml:space="preserve">and </w:t>
      </w:r>
      <w:r w:rsidR="002734FC">
        <w:rPr>
          <w:rFonts w:eastAsia="Calibri"/>
          <w:szCs w:val="22"/>
        </w:rPr>
        <w:t>Juvenile-late onset</w:t>
      </w:r>
      <w:r w:rsidR="003C6467">
        <w:rPr>
          <w:rFonts w:eastAsia="Calibri"/>
          <w:szCs w:val="22"/>
        </w:rPr>
        <w:t xml:space="preserve"> </w:t>
      </w:r>
      <w:r w:rsidRPr="0004128C">
        <w:rPr>
          <w:rFonts w:eastAsia="Calibri"/>
          <w:szCs w:val="22"/>
        </w:rPr>
        <w:t>Pompe disease; and</w:t>
      </w:r>
    </w:p>
    <w:p w:rsidR="004B5545" w:rsidRPr="0004128C" w:rsidRDefault="004B5545" w:rsidP="00E8561A">
      <w:pPr>
        <w:numPr>
          <w:ilvl w:val="0"/>
          <w:numId w:val="28"/>
        </w:numPr>
        <w:shd w:val="clear" w:color="auto" w:fill="FFFFFF"/>
        <w:autoSpaceDE w:val="0"/>
        <w:autoSpaceDN w:val="0"/>
        <w:adjustRightInd w:val="0"/>
        <w:spacing w:after="90" w:line="300" w:lineRule="atLeast"/>
        <w:jc w:val="left"/>
        <w:rPr>
          <w:rFonts w:eastAsia="Calibri"/>
          <w:szCs w:val="22"/>
        </w:rPr>
      </w:pPr>
      <w:r w:rsidRPr="0004128C">
        <w:rPr>
          <w:rFonts w:eastAsia="Calibri"/>
          <w:szCs w:val="22"/>
        </w:rPr>
        <w:t>Eculizumab (Soliris®) for the treatment of Paroxysmal Nocturnal Haemoglobinuria (PNH).</w:t>
      </w:r>
    </w:p>
    <w:p w:rsidR="004B5545" w:rsidRPr="0004128C" w:rsidRDefault="004B5545" w:rsidP="004B5545">
      <w:pPr>
        <w:spacing w:before="240" w:after="240"/>
        <w:textAlignment w:val="baseline"/>
      </w:pPr>
      <w:r>
        <w:t>Patient</w:t>
      </w:r>
      <w:r w:rsidRPr="0004128C">
        <w:t xml:space="preserve"> eligib</w:t>
      </w:r>
      <w:r>
        <w:t>i</w:t>
      </w:r>
      <w:r w:rsidRPr="0004128C">
        <w:t>l</w:t>
      </w:r>
      <w:r>
        <w:t>ity</w:t>
      </w:r>
      <w:r w:rsidRPr="0004128C">
        <w:t xml:space="preserve"> to receive subsidised treatment </w:t>
      </w:r>
      <w:r>
        <w:t xml:space="preserve">with these drugs is determined </w:t>
      </w:r>
      <w:r w:rsidRPr="0004128C">
        <w:t xml:space="preserve">in accordance with the </w:t>
      </w:r>
      <w:r w:rsidR="00847CD6">
        <w:t>Patient Conditions for Initial and Ongoin</w:t>
      </w:r>
      <w:r w:rsidR="00F0188E">
        <w:t>g Subsidy through</w:t>
      </w:r>
      <w:r w:rsidR="00847CD6">
        <w:t xml:space="preserve"> the LSDP</w:t>
      </w:r>
      <w:r w:rsidR="00847CD6">
        <w:rPr>
          <w:rStyle w:val="FootnoteReference"/>
        </w:rPr>
        <w:footnoteReference w:id="3"/>
      </w:r>
      <w:r>
        <w:t>.</w:t>
      </w:r>
      <w:r w:rsidRPr="0004128C">
        <w:t xml:space="preserve"> </w:t>
      </w:r>
    </w:p>
    <w:p w:rsidR="0004128C" w:rsidRPr="0004128C" w:rsidRDefault="0004128C" w:rsidP="0004128C">
      <w:pPr>
        <w:spacing w:before="240" w:after="240"/>
        <w:textAlignment w:val="baseline"/>
      </w:pPr>
      <w:r w:rsidRPr="0004128C">
        <w:t>During the Review, patients currently treated through the LSDP continue</w:t>
      </w:r>
      <w:r w:rsidR="00F0188E">
        <w:t>d</w:t>
      </w:r>
      <w:r w:rsidRPr="0004128C">
        <w:t xml:space="preserve"> to receive subsidised access to treatment, new patients </w:t>
      </w:r>
      <w:r w:rsidR="00F0188E">
        <w:t>could</w:t>
      </w:r>
      <w:r w:rsidRPr="0004128C">
        <w:t xml:space="preserve"> continue to apply for access to </w:t>
      </w:r>
      <w:r w:rsidRPr="0004128C">
        <w:lastRenderedPageBreak/>
        <w:t>treatment and applications for new medicines seeking LSDP listing continue</w:t>
      </w:r>
      <w:r w:rsidR="008413BF">
        <w:t>d</w:t>
      </w:r>
      <w:r w:rsidRPr="0004128C">
        <w:t xml:space="preserve"> to be considered.</w:t>
      </w:r>
    </w:p>
    <w:p w:rsidR="0004128C" w:rsidRPr="0004128C" w:rsidRDefault="003E509A" w:rsidP="00D60032">
      <w:pPr>
        <w:pStyle w:val="Heading2"/>
      </w:pPr>
      <w:bookmarkStart w:id="63" w:name="_Toc404937249"/>
      <w:r>
        <w:tab/>
      </w:r>
      <w:bookmarkStart w:id="64" w:name="_Toc415141727"/>
      <w:r w:rsidR="0004128C" w:rsidRPr="0004128C">
        <w:t>Objective of the LSDP Review</w:t>
      </w:r>
      <w:bookmarkEnd w:id="63"/>
      <w:bookmarkEnd w:id="64"/>
      <w:r w:rsidR="0004128C" w:rsidRPr="0004128C">
        <w:t xml:space="preserve"> </w:t>
      </w:r>
    </w:p>
    <w:p w:rsidR="004B5545" w:rsidRPr="0004128C" w:rsidRDefault="004B5545" w:rsidP="00475E97">
      <w:r w:rsidRPr="0004128C">
        <w:t xml:space="preserve">The objective of the LSDP Review </w:t>
      </w:r>
      <w:r w:rsidR="008413BF">
        <w:t>wa</w:t>
      </w:r>
      <w:r w:rsidRPr="0004128C">
        <w:t>s to examine important issues such as access and equity, value for money and the future administration of the Programme.</w:t>
      </w:r>
    </w:p>
    <w:p w:rsidR="004B5545" w:rsidRPr="0004128C" w:rsidRDefault="008413BF" w:rsidP="00475E97">
      <w:r>
        <w:t>It wa</w:t>
      </w:r>
      <w:r w:rsidR="004B5545" w:rsidRPr="0004128C">
        <w:t>s an opportunity to review the current programme in order to ensure that Australians with very rare conditions continue to have subsidised access to much-needed, expensive medicines now and into the future.</w:t>
      </w:r>
    </w:p>
    <w:p w:rsidR="004B5545" w:rsidRPr="0004128C" w:rsidRDefault="004B5545" w:rsidP="00475E97">
      <w:r w:rsidRPr="0004128C">
        <w:t>It also aim</w:t>
      </w:r>
      <w:r w:rsidR="008413BF">
        <w:t>ed</w:t>
      </w:r>
      <w:r w:rsidRPr="0004128C">
        <w:t xml:space="preserve"> to update clinical efficacy and safety data for treatments currently subsidised and to incorporate new and emerging evidence.</w:t>
      </w:r>
    </w:p>
    <w:p w:rsidR="004B5545" w:rsidRPr="0004128C" w:rsidRDefault="004B5545" w:rsidP="00475E97">
      <w:r w:rsidRPr="0004128C">
        <w:t xml:space="preserve">In order to ensure that people who need these drugs will be able to access them, the programme needs to be as efficient and </w:t>
      </w:r>
      <w:r>
        <w:t xml:space="preserve">as </w:t>
      </w:r>
      <w:r w:rsidRPr="0004128C">
        <w:t>evidence-based as possible.</w:t>
      </w:r>
    </w:p>
    <w:p w:rsidR="004B5545" w:rsidRPr="0004128C" w:rsidRDefault="004B5545" w:rsidP="00475E97">
      <w:r w:rsidRPr="0004128C">
        <w:t>The Review examin</w:t>
      </w:r>
      <w:r w:rsidR="008413BF">
        <w:t>ed</w:t>
      </w:r>
      <w:r w:rsidRPr="0004128C">
        <w:t xml:space="preserve"> the existing LSDP Criteria and Conditions for Funding, </w:t>
      </w:r>
      <w:r w:rsidR="00F87099" w:rsidRPr="0004128C">
        <w:t>identif</w:t>
      </w:r>
      <w:r w:rsidR="00F87099">
        <w:t>ied</w:t>
      </w:r>
      <w:r w:rsidRPr="0004128C">
        <w:t xml:space="preserve"> processes to facilitate data collection for rare diseases and look</w:t>
      </w:r>
      <w:r w:rsidR="008413BF">
        <w:t xml:space="preserve">ed </w:t>
      </w:r>
      <w:r w:rsidRPr="0004128C">
        <w:t>at ways to better engage with consumers.</w:t>
      </w:r>
    </w:p>
    <w:p w:rsidR="004B5545" w:rsidRPr="0004128C" w:rsidRDefault="004B5545" w:rsidP="00475E97">
      <w:r w:rsidRPr="0004128C">
        <w:t>In keeping with the Government</w:t>
      </w:r>
      <w:r w:rsidR="006E04C5">
        <w:t>’</w:t>
      </w:r>
      <w:r w:rsidRPr="0004128C">
        <w:t xml:space="preserve">s deregulation agenda, administrative requirements for patients and specialists seeking access to subsidised treatment through the programme </w:t>
      </w:r>
      <w:r>
        <w:t>are</w:t>
      </w:r>
      <w:r w:rsidRPr="0004128C">
        <w:t xml:space="preserve"> also be</w:t>
      </w:r>
      <w:r>
        <w:t>ing</w:t>
      </w:r>
      <w:r w:rsidRPr="0004128C">
        <w:t xml:space="preserve"> reviewed.</w:t>
      </w:r>
    </w:p>
    <w:p w:rsidR="0004128C" w:rsidRPr="0004128C" w:rsidRDefault="0004128C" w:rsidP="00475E97">
      <w:r w:rsidRPr="0004128C">
        <w:t xml:space="preserve">On 3 March </w:t>
      </w:r>
      <w:r w:rsidR="0039501E">
        <w:t xml:space="preserve">2014 </w:t>
      </w:r>
      <w:r w:rsidRPr="0004128C">
        <w:t>the Minister for Health, the Hon Peter Dutton MP</w:t>
      </w:r>
      <w:r w:rsidRPr="0004128C" w:rsidDel="00063B8D">
        <w:t xml:space="preserve"> </w:t>
      </w:r>
      <w:r w:rsidRPr="0004128C">
        <w:t>approved the final terms of reference (ToR) for the Review. These ToR underwent a consultation process during August 2013 prior to consideration and approval by the Minister.</w:t>
      </w:r>
    </w:p>
    <w:p w:rsidR="0004128C" w:rsidRPr="0004128C" w:rsidRDefault="0004128C" w:rsidP="00475E97">
      <w:r w:rsidRPr="0004128C">
        <w:t xml:space="preserve">On 9 April 2014, the Minister announced that the LSDP Review would proceed. </w:t>
      </w:r>
    </w:p>
    <w:p w:rsidR="0004128C" w:rsidRPr="0004128C" w:rsidRDefault="003E509A" w:rsidP="00D60032">
      <w:pPr>
        <w:pStyle w:val="Heading2"/>
      </w:pPr>
      <w:bookmarkStart w:id="65" w:name="_Toc404937250"/>
      <w:r>
        <w:tab/>
      </w:r>
      <w:bookmarkStart w:id="66" w:name="_Toc415141728"/>
      <w:r w:rsidR="0004128C" w:rsidRPr="0004128C">
        <w:t>Scope of the technical assessment</w:t>
      </w:r>
      <w:bookmarkEnd w:id="65"/>
      <w:bookmarkEnd w:id="66"/>
      <w:r w:rsidR="0004128C" w:rsidRPr="0004128C">
        <w:t xml:space="preserve"> </w:t>
      </w:r>
    </w:p>
    <w:p w:rsidR="0004128C" w:rsidRPr="0004128C" w:rsidRDefault="0004128C" w:rsidP="0004128C">
      <w:r w:rsidRPr="0004128C">
        <w:t xml:space="preserve">The ToR </w:t>
      </w:r>
      <w:r w:rsidR="004B5545" w:rsidRPr="004B5545">
        <w:t xml:space="preserve">for the </w:t>
      </w:r>
      <w:r w:rsidR="004B5545" w:rsidRPr="0004128C">
        <w:t xml:space="preserve">LSDP Review </w:t>
      </w:r>
      <w:proofErr w:type="gramStart"/>
      <w:r w:rsidR="004B5545" w:rsidRPr="0004128C">
        <w:t>are</w:t>
      </w:r>
      <w:proofErr w:type="gramEnd"/>
      <w:r w:rsidR="004B5545" w:rsidRPr="0004128C">
        <w:t xml:space="preserve"> listed below. Th</w:t>
      </w:r>
      <w:r w:rsidR="004B5545">
        <w:t>e</w:t>
      </w:r>
      <w:r w:rsidR="004B5545" w:rsidRPr="0004128C">
        <w:t xml:space="preserve"> technical assessment addresse</w:t>
      </w:r>
      <w:r w:rsidR="004B5545">
        <w:t xml:space="preserve">s </w:t>
      </w:r>
      <w:proofErr w:type="gramStart"/>
      <w:r w:rsidR="004B5545" w:rsidRPr="0004128C">
        <w:t>ToR</w:t>
      </w:r>
      <w:r w:rsidR="004B5545">
        <w:t>s</w:t>
      </w:r>
      <w:proofErr w:type="gramEnd"/>
      <w:r w:rsidR="004B5545" w:rsidRPr="0004128C">
        <w:t xml:space="preserve"> one</w:t>
      </w:r>
      <w:r w:rsidR="004B5545">
        <w:t>, two,</w:t>
      </w:r>
      <w:r w:rsidR="004B5545" w:rsidRPr="0004128C">
        <w:t xml:space="preserve"> three, five and seven (bold</w:t>
      </w:r>
      <w:r w:rsidR="004B5545">
        <w:t>ed</w:t>
      </w:r>
      <w:r w:rsidR="004B5545" w:rsidRPr="0004128C">
        <w:t>):</w:t>
      </w:r>
    </w:p>
    <w:p w:rsidR="0004128C" w:rsidRPr="00BA787F" w:rsidRDefault="0004128C" w:rsidP="000959DF">
      <w:pPr>
        <w:pStyle w:val="ListParagraph"/>
        <w:numPr>
          <w:ilvl w:val="0"/>
          <w:numId w:val="82"/>
        </w:numPr>
        <w:rPr>
          <w:b/>
        </w:rPr>
      </w:pPr>
      <w:r w:rsidRPr="00BA787F">
        <w:rPr>
          <w:b/>
        </w:rPr>
        <w:t>Review the clinical effectiveness and safety of medicines currently subsidised through the LSDP.</w:t>
      </w:r>
    </w:p>
    <w:p w:rsidR="0004128C" w:rsidRPr="00BA787F" w:rsidRDefault="0004128C" w:rsidP="000959DF">
      <w:pPr>
        <w:pStyle w:val="ListParagraph"/>
        <w:numPr>
          <w:ilvl w:val="0"/>
          <w:numId w:val="82"/>
        </w:numPr>
        <w:rPr>
          <w:b/>
        </w:rPr>
      </w:pPr>
      <w:r w:rsidRPr="00BA787F">
        <w:rPr>
          <w:b/>
        </w:rPr>
        <w:t>Review emerging clinical treatments and diseases, including those that identify sub-groups by molecular target, which could potentially seek subsidisation through the LSDP in the future.</w:t>
      </w:r>
    </w:p>
    <w:p w:rsidR="0004128C" w:rsidRPr="00BA787F" w:rsidRDefault="0004128C" w:rsidP="000959DF">
      <w:pPr>
        <w:pStyle w:val="ListParagraph"/>
        <w:numPr>
          <w:ilvl w:val="0"/>
          <w:numId w:val="82"/>
        </w:numPr>
        <w:rPr>
          <w:b/>
        </w:rPr>
      </w:pPr>
      <w:r w:rsidRPr="00BA787F">
        <w:rPr>
          <w:b/>
        </w:rPr>
        <w:t>Conduct an international comparison of subsidisation of drugs for rare diseases and the definitions for a rare/ultra-rare disease.</w:t>
      </w:r>
    </w:p>
    <w:p w:rsidR="0004128C" w:rsidRPr="00BA787F" w:rsidRDefault="0004128C" w:rsidP="000959DF">
      <w:pPr>
        <w:pStyle w:val="ListParagraph"/>
        <w:numPr>
          <w:ilvl w:val="0"/>
          <w:numId w:val="82"/>
        </w:numPr>
      </w:pPr>
      <w:r w:rsidRPr="00BA787F">
        <w:t>Compare the subsidisation and equity principles of the Pharmaceutical Benefits Scheme and the LSDP.</w:t>
      </w:r>
    </w:p>
    <w:p w:rsidR="0004128C" w:rsidRPr="00BA787F" w:rsidRDefault="0004128C" w:rsidP="000959DF">
      <w:pPr>
        <w:pStyle w:val="ListParagraph"/>
        <w:numPr>
          <w:ilvl w:val="0"/>
          <w:numId w:val="82"/>
        </w:numPr>
        <w:rPr>
          <w:b/>
        </w:rPr>
      </w:pPr>
      <w:r w:rsidRPr="00BA787F">
        <w:rPr>
          <w:b/>
        </w:rPr>
        <w:lastRenderedPageBreak/>
        <w:t>Assess the value for money of the medicines subsidised on the LSDP by evaluating the benefit of each drug’s treatment outcomes, including in terms of quality of life achieved through the programme, and their cost.</w:t>
      </w:r>
    </w:p>
    <w:p w:rsidR="0004128C" w:rsidRPr="00BA787F" w:rsidRDefault="0004128C" w:rsidP="000959DF">
      <w:pPr>
        <w:pStyle w:val="ListParagraph"/>
        <w:numPr>
          <w:ilvl w:val="0"/>
          <w:numId w:val="82"/>
        </w:numPr>
      </w:pPr>
      <w:r w:rsidRPr="00BA787F">
        <w:t>Review the administration of the LSDP, including the Guidelines with which the programme is administered for each condition, and assess alternative administration systems.</w:t>
      </w:r>
    </w:p>
    <w:p w:rsidR="0004128C" w:rsidRPr="00BA787F" w:rsidRDefault="0004128C" w:rsidP="000959DF">
      <w:pPr>
        <w:pStyle w:val="ListParagraph"/>
        <w:numPr>
          <w:ilvl w:val="0"/>
          <w:numId w:val="82"/>
        </w:numPr>
        <w:rPr>
          <w:b/>
        </w:rPr>
      </w:pPr>
      <w:r w:rsidRPr="00BA787F">
        <w:rPr>
          <w:b/>
        </w:rPr>
        <w:t>Establish a framework for data collection on rare diseases in Australia and assess how this could function internationally.</w:t>
      </w:r>
    </w:p>
    <w:p w:rsidR="0004128C" w:rsidRPr="0004128C" w:rsidRDefault="0004128C" w:rsidP="0004128C">
      <w:pPr>
        <w:autoSpaceDE w:val="0"/>
        <w:autoSpaceDN w:val="0"/>
        <w:adjustRightInd w:val="0"/>
        <w:spacing w:line="240" w:lineRule="auto"/>
        <w:ind w:left="720"/>
        <w:rPr>
          <w:rFonts w:eastAsia="Calibri"/>
          <w:szCs w:val="22"/>
        </w:rPr>
      </w:pPr>
    </w:p>
    <w:p w:rsidR="0004128C" w:rsidRPr="0004128C" w:rsidRDefault="0004128C" w:rsidP="0004128C">
      <w:pPr>
        <w:autoSpaceDE w:val="0"/>
        <w:autoSpaceDN w:val="0"/>
        <w:adjustRightInd w:val="0"/>
        <w:spacing w:after="100" w:afterAutospacing="1" w:line="240" w:lineRule="auto"/>
      </w:pPr>
      <w:r w:rsidRPr="0004128C">
        <w:br w:type="page"/>
      </w:r>
    </w:p>
    <w:p w:rsidR="0004128C" w:rsidRPr="0004128C" w:rsidRDefault="0004128C" w:rsidP="0047458C">
      <w:pPr>
        <w:pStyle w:val="Heading1"/>
      </w:pPr>
      <w:bookmarkStart w:id="67" w:name="_Toc404937251"/>
      <w:bookmarkStart w:id="68" w:name="_Ref405811454"/>
      <w:bookmarkStart w:id="69" w:name="_Toc415141729"/>
      <w:bookmarkStart w:id="70" w:name="_Toc358277805"/>
      <w:r w:rsidRPr="0004128C">
        <w:lastRenderedPageBreak/>
        <w:t>Systematic literature REVIEW</w:t>
      </w:r>
      <w:bookmarkEnd w:id="67"/>
      <w:bookmarkEnd w:id="68"/>
      <w:bookmarkEnd w:id="69"/>
      <w:r w:rsidRPr="0004128C">
        <w:t xml:space="preserve"> </w:t>
      </w:r>
      <w:bookmarkEnd w:id="70"/>
    </w:p>
    <w:p w:rsidR="0004128C" w:rsidRPr="0004128C" w:rsidRDefault="0004128C" w:rsidP="0004128C">
      <w:pPr>
        <w:rPr>
          <w:rFonts w:cstheme="minorHAnsi"/>
        </w:rPr>
      </w:pPr>
      <w:r w:rsidRPr="0004128C">
        <w:rPr>
          <w:rFonts w:cstheme="minorHAnsi"/>
        </w:rPr>
        <w:t>A systematic literature review was performed in order to fulfil ToR 1:</w:t>
      </w:r>
    </w:p>
    <w:p w:rsidR="0004128C" w:rsidRPr="0004128C" w:rsidRDefault="0004128C" w:rsidP="0004128C">
      <w:pPr>
        <w:numPr>
          <w:ilvl w:val="0"/>
          <w:numId w:val="15"/>
        </w:numPr>
        <w:autoSpaceDE w:val="0"/>
        <w:autoSpaceDN w:val="0"/>
        <w:adjustRightInd w:val="0"/>
        <w:spacing w:line="240" w:lineRule="auto"/>
        <w:rPr>
          <w:rFonts w:eastAsia="Calibri"/>
          <w:b/>
          <w:szCs w:val="22"/>
        </w:rPr>
      </w:pPr>
      <w:r w:rsidRPr="0004128C">
        <w:rPr>
          <w:rFonts w:eastAsia="Calibri"/>
          <w:b/>
          <w:szCs w:val="22"/>
        </w:rPr>
        <w:t>Review the clinical effectiveness and safety of medicines currently subsidised through the LSDP</w:t>
      </w:r>
    </w:p>
    <w:p w:rsidR="0004128C" w:rsidRPr="0004128C" w:rsidRDefault="00286075" w:rsidP="0004128C">
      <w:pPr>
        <w:rPr>
          <w:rFonts w:cstheme="minorHAnsi"/>
        </w:rPr>
      </w:pPr>
      <w:r>
        <w:rPr>
          <w:rFonts w:cstheme="minorHAnsi"/>
        </w:rPr>
        <w:t>Six</w:t>
      </w:r>
      <w:r w:rsidR="0004128C" w:rsidRPr="0004128C">
        <w:rPr>
          <w:rFonts w:cstheme="minorHAnsi"/>
        </w:rPr>
        <w:t xml:space="preserve"> chapters are included in this technical </w:t>
      </w:r>
      <w:r w:rsidR="004B5545">
        <w:rPr>
          <w:rFonts w:cstheme="minorHAnsi"/>
        </w:rPr>
        <w:t>assessment</w:t>
      </w:r>
      <w:r w:rsidR="0004128C" w:rsidRPr="0004128C">
        <w:rPr>
          <w:rFonts w:cstheme="minorHAnsi"/>
        </w:rPr>
        <w:t xml:space="preserve"> – one each on the clinical effectiveness and safety of:</w:t>
      </w:r>
    </w:p>
    <w:p w:rsidR="0004128C" w:rsidRPr="0004128C" w:rsidRDefault="0004128C" w:rsidP="00E8561A">
      <w:pPr>
        <w:numPr>
          <w:ilvl w:val="0"/>
          <w:numId w:val="25"/>
        </w:numPr>
        <w:autoSpaceDE w:val="0"/>
        <w:autoSpaceDN w:val="0"/>
        <w:adjustRightInd w:val="0"/>
        <w:spacing w:line="240" w:lineRule="auto"/>
        <w:rPr>
          <w:rFonts w:eastAsia="Calibri"/>
          <w:szCs w:val="22"/>
        </w:rPr>
      </w:pPr>
      <w:r w:rsidRPr="0004128C">
        <w:rPr>
          <w:rFonts w:eastAsia="Calibri"/>
          <w:szCs w:val="22"/>
        </w:rPr>
        <w:t>Medicines to treat Gaucher disease – specifically, imiglucerase, velaglucerase and miglustat;</w:t>
      </w:r>
    </w:p>
    <w:p w:rsidR="0004128C" w:rsidRPr="0004128C" w:rsidRDefault="0004128C" w:rsidP="00E8561A">
      <w:pPr>
        <w:numPr>
          <w:ilvl w:val="0"/>
          <w:numId w:val="25"/>
        </w:numPr>
        <w:autoSpaceDE w:val="0"/>
        <w:autoSpaceDN w:val="0"/>
        <w:adjustRightInd w:val="0"/>
        <w:spacing w:line="240" w:lineRule="auto"/>
        <w:rPr>
          <w:rFonts w:eastAsia="Calibri"/>
          <w:szCs w:val="22"/>
        </w:rPr>
      </w:pPr>
      <w:r w:rsidRPr="0004128C">
        <w:rPr>
          <w:rFonts w:eastAsia="Calibri"/>
          <w:szCs w:val="22"/>
        </w:rPr>
        <w:t>Medicines to treat Fabry disease – specifically, agalsidase alfa and agalsidase beta;</w:t>
      </w:r>
    </w:p>
    <w:p w:rsidR="0004128C" w:rsidRDefault="0004128C" w:rsidP="00E8561A">
      <w:pPr>
        <w:numPr>
          <w:ilvl w:val="0"/>
          <w:numId w:val="25"/>
        </w:numPr>
        <w:autoSpaceDE w:val="0"/>
        <w:autoSpaceDN w:val="0"/>
        <w:adjustRightInd w:val="0"/>
        <w:spacing w:line="240" w:lineRule="auto"/>
        <w:rPr>
          <w:rFonts w:eastAsia="Calibri"/>
          <w:szCs w:val="22"/>
        </w:rPr>
      </w:pPr>
      <w:r w:rsidRPr="0004128C">
        <w:rPr>
          <w:rFonts w:eastAsia="Calibri"/>
          <w:szCs w:val="22"/>
        </w:rPr>
        <w:t>Alglucosidase alfa to treat Infantile Onset Pompe Disease;</w:t>
      </w:r>
    </w:p>
    <w:p w:rsidR="00286075" w:rsidRPr="0004128C" w:rsidRDefault="00286075" w:rsidP="00E8561A">
      <w:pPr>
        <w:numPr>
          <w:ilvl w:val="0"/>
          <w:numId w:val="25"/>
        </w:numPr>
        <w:autoSpaceDE w:val="0"/>
        <w:autoSpaceDN w:val="0"/>
        <w:adjustRightInd w:val="0"/>
        <w:spacing w:line="240" w:lineRule="auto"/>
        <w:rPr>
          <w:rFonts w:eastAsia="Calibri"/>
          <w:szCs w:val="22"/>
        </w:rPr>
      </w:pPr>
      <w:r>
        <w:rPr>
          <w:rFonts w:eastAsia="Calibri"/>
          <w:szCs w:val="22"/>
        </w:rPr>
        <w:t>Alglucosidase alfa to treat Juvenile Onset Pompe Disease;</w:t>
      </w:r>
    </w:p>
    <w:p w:rsidR="0004128C" w:rsidRPr="0004128C" w:rsidRDefault="0004128C" w:rsidP="00E8561A">
      <w:pPr>
        <w:numPr>
          <w:ilvl w:val="0"/>
          <w:numId w:val="25"/>
        </w:numPr>
        <w:autoSpaceDE w:val="0"/>
        <w:autoSpaceDN w:val="0"/>
        <w:adjustRightInd w:val="0"/>
        <w:spacing w:line="240" w:lineRule="auto"/>
        <w:rPr>
          <w:rFonts w:eastAsia="Calibri"/>
          <w:szCs w:val="22"/>
        </w:rPr>
      </w:pPr>
      <w:r w:rsidRPr="0004128C">
        <w:rPr>
          <w:rFonts w:eastAsia="Calibri"/>
          <w:szCs w:val="22"/>
        </w:rPr>
        <w:t xml:space="preserve">Medicines to treat MPS I, II, VI – respectively, laronidase, idursulfase, galsulfase; and </w:t>
      </w:r>
    </w:p>
    <w:p w:rsidR="0004128C" w:rsidRPr="00286075" w:rsidRDefault="0004128C" w:rsidP="00286075">
      <w:pPr>
        <w:numPr>
          <w:ilvl w:val="0"/>
          <w:numId w:val="25"/>
        </w:numPr>
        <w:autoSpaceDE w:val="0"/>
        <w:autoSpaceDN w:val="0"/>
        <w:adjustRightInd w:val="0"/>
        <w:spacing w:line="240" w:lineRule="auto"/>
        <w:rPr>
          <w:rFonts w:eastAsia="Calibri"/>
          <w:szCs w:val="22"/>
        </w:rPr>
      </w:pPr>
      <w:r w:rsidRPr="0004128C">
        <w:rPr>
          <w:rFonts w:eastAsia="Calibri"/>
          <w:szCs w:val="22"/>
        </w:rPr>
        <w:t>Eculizumab to treat PNH.</w:t>
      </w:r>
    </w:p>
    <w:p w:rsidR="0004128C" w:rsidRPr="0004128C" w:rsidRDefault="003E509A" w:rsidP="00D60032">
      <w:pPr>
        <w:pStyle w:val="Heading2"/>
      </w:pPr>
      <w:bookmarkStart w:id="71" w:name="_Toc404937252"/>
      <w:r>
        <w:tab/>
      </w:r>
      <w:bookmarkStart w:id="72" w:name="_Toc415141730"/>
      <w:r w:rsidR="000D7507">
        <w:t>Systematic r</w:t>
      </w:r>
      <w:r w:rsidR="0004128C" w:rsidRPr="0004128C">
        <w:t>eview methodology</w:t>
      </w:r>
      <w:bookmarkEnd w:id="71"/>
      <w:bookmarkEnd w:id="72"/>
    </w:p>
    <w:p w:rsidR="0004128C" w:rsidRPr="0047458C" w:rsidRDefault="0004128C" w:rsidP="0047458C">
      <w:pPr>
        <w:pStyle w:val="Heading3"/>
      </w:pPr>
      <w:bookmarkStart w:id="73" w:name="_Toc404937253"/>
      <w:r w:rsidRPr="0047458C">
        <w:t>Literature search strategy</w:t>
      </w:r>
      <w:bookmarkEnd w:id="73"/>
    </w:p>
    <w:p w:rsidR="000D7507" w:rsidRDefault="000D7507" w:rsidP="000D7507">
      <w:pPr>
        <w:rPr>
          <w:rFonts w:cstheme="minorHAnsi"/>
        </w:rPr>
      </w:pPr>
      <w:r w:rsidRPr="0004128C">
        <w:rPr>
          <w:rFonts w:cstheme="minorHAnsi"/>
        </w:rPr>
        <w:t xml:space="preserve">The search strategy for the systematic review </w:t>
      </w:r>
      <w:r>
        <w:rPr>
          <w:rFonts w:cstheme="minorHAnsi"/>
        </w:rPr>
        <w:t>canvass</w:t>
      </w:r>
      <w:r w:rsidRPr="0004128C">
        <w:rPr>
          <w:rFonts w:cstheme="minorHAnsi"/>
        </w:rPr>
        <w:t>ed both the peer reviewed (black) literature and grey literature</w:t>
      </w:r>
      <w:r w:rsidRPr="0004128C">
        <w:rPr>
          <w:rFonts w:cstheme="minorHAnsi"/>
          <w:vertAlign w:val="superscript"/>
        </w:rPr>
        <w:footnoteReference w:id="4"/>
      </w:r>
      <w:r w:rsidRPr="0004128C">
        <w:rPr>
          <w:rFonts w:cstheme="minorHAnsi"/>
        </w:rPr>
        <w:t xml:space="preserve"> provided by the sponsors in their original </w:t>
      </w:r>
      <w:r>
        <w:rPr>
          <w:rFonts w:cstheme="minorHAnsi"/>
        </w:rPr>
        <w:t xml:space="preserve">funding </w:t>
      </w:r>
      <w:r w:rsidRPr="0004128C">
        <w:rPr>
          <w:rFonts w:cstheme="minorHAnsi"/>
        </w:rPr>
        <w:t xml:space="preserve">submission documents. </w:t>
      </w:r>
    </w:p>
    <w:p w:rsidR="0004128C" w:rsidRPr="0004128C" w:rsidRDefault="000D7507" w:rsidP="000D7507">
      <w:pPr>
        <w:rPr>
          <w:rFonts w:cstheme="minorHAnsi"/>
        </w:rPr>
      </w:pPr>
      <w:r w:rsidRPr="0004128C">
        <w:rPr>
          <w:rFonts w:cstheme="minorHAnsi"/>
        </w:rPr>
        <w:t>The peer reviewed literature was s</w:t>
      </w:r>
      <w:r>
        <w:rPr>
          <w:rFonts w:cstheme="minorHAnsi"/>
        </w:rPr>
        <w:t>cann</w:t>
      </w:r>
      <w:r w:rsidRPr="0004128C">
        <w:rPr>
          <w:rFonts w:cstheme="minorHAnsi"/>
        </w:rPr>
        <w:t xml:space="preserve">ed for studies that consider the safety and effectiveness of the drugs currently listed on the LSDP. </w:t>
      </w:r>
      <w:r w:rsidR="0004128C" w:rsidRPr="0004128C">
        <w:rPr>
          <w:rFonts w:cstheme="minorHAnsi"/>
        </w:rPr>
        <w:t>Scoping searches revealed limited peer-reviewed evidence for some of the patient indications listed and, as such, the systematic review literature search was kept broad to maximise the available information. No restriction was placed on the time period searched because the searches are based on drug name. The search covered the following databases: Orphanet (</w:t>
      </w:r>
      <w:r w:rsidR="0004128C" w:rsidRPr="0004128C">
        <w:rPr>
          <w:color w:val="0000FF"/>
          <w:u w:val="single"/>
        </w:rPr>
        <w:t xml:space="preserve">www.orphanet.net) </w:t>
      </w:r>
      <w:r w:rsidR="0004128C" w:rsidRPr="0004128C">
        <w:rPr>
          <w:rFonts w:cstheme="minorHAnsi"/>
        </w:rPr>
        <w:t xml:space="preserve">PubMed (pre-Medline only), Embase.com (includes Medline and Embase), The Cochrane Library, CINAHL, Controlled Trials Meta-Register, Web of Science (Web of Knowledge), Scopus, SciFinder and Toxline. Relevant papers had their reference lists pearled for other studies potentially missed in the searches. </w:t>
      </w:r>
    </w:p>
    <w:p w:rsidR="000D7507" w:rsidRPr="0004128C" w:rsidRDefault="0004128C" w:rsidP="000D7507">
      <w:pPr>
        <w:rPr>
          <w:rFonts w:cstheme="minorHAnsi"/>
        </w:rPr>
      </w:pPr>
      <w:r w:rsidRPr="0004128C">
        <w:rPr>
          <w:rFonts w:cstheme="minorHAnsi"/>
        </w:rPr>
        <w:t xml:space="preserve">The formal grey literature search was conducted using Google Scholar. However, the search strategy also included pearling of relevant reviews and reports and snowballing techniques to locate potentially relevant articles and reports in obscure locations. In addition to </w:t>
      </w:r>
      <w:r w:rsidRPr="0004128C">
        <w:rPr>
          <w:rFonts w:cstheme="minorHAnsi"/>
        </w:rPr>
        <w:lastRenderedPageBreak/>
        <w:t xml:space="preserve">literature obtained through these methods, the submissions provided by the sponsors, prior </w:t>
      </w:r>
      <w:r w:rsidR="000D7507" w:rsidRPr="0004128C">
        <w:rPr>
          <w:rFonts w:cstheme="minorHAnsi"/>
        </w:rPr>
        <w:t xml:space="preserve">to </w:t>
      </w:r>
      <w:r w:rsidR="000D7507">
        <w:rPr>
          <w:rFonts w:cstheme="minorHAnsi"/>
        </w:rPr>
        <w:t xml:space="preserve">the </w:t>
      </w:r>
      <w:r w:rsidR="000D7507" w:rsidRPr="0004128C">
        <w:rPr>
          <w:rFonts w:cstheme="minorHAnsi"/>
        </w:rPr>
        <w:t>listing of their drugs on the LSDP w</w:t>
      </w:r>
      <w:r w:rsidR="000D7507">
        <w:rPr>
          <w:rFonts w:cstheme="minorHAnsi"/>
        </w:rPr>
        <w:t>ere</w:t>
      </w:r>
      <w:r w:rsidR="000D7507" w:rsidRPr="0004128C">
        <w:rPr>
          <w:rFonts w:cstheme="minorHAnsi"/>
        </w:rPr>
        <w:t xml:space="preserve"> cross-checked, and all relevant clinical studies were identified and included in the </w:t>
      </w:r>
      <w:r w:rsidR="000D7507">
        <w:rPr>
          <w:rFonts w:cstheme="minorHAnsi"/>
        </w:rPr>
        <w:t xml:space="preserve">systematic </w:t>
      </w:r>
      <w:r w:rsidR="000D7507" w:rsidRPr="0004128C">
        <w:rPr>
          <w:rFonts w:cstheme="minorHAnsi"/>
        </w:rPr>
        <w:t xml:space="preserve">review. </w:t>
      </w:r>
    </w:p>
    <w:p w:rsidR="000D7507" w:rsidRPr="0004128C" w:rsidRDefault="000D7507" w:rsidP="000D7507">
      <w:pPr>
        <w:rPr>
          <w:rFonts w:cstheme="minorHAnsi"/>
        </w:rPr>
      </w:pPr>
      <w:r w:rsidRPr="0004128C">
        <w:rPr>
          <w:rFonts w:cstheme="minorHAnsi"/>
        </w:rPr>
        <w:t xml:space="preserve">The search strategy to identify peer reviewed literature is described in </w:t>
      </w:r>
      <w:r w:rsidR="00A72B26" w:rsidRPr="0004128C">
        <w:t xml:space="preserve">Table </w:t>
      </w:r>
      <w:r w:rsidR="00A72B26">
        <w:rPr>
          <w:noProof/>
        </w:rPr>
        <w:t>1</w:t>
      </w:r>
      <w:r w:rsidRPr="0004128C">
        <w:rPr>
          <w:rFonts w:cstheme="minorHAnsi"/>
        </w:rPr>
        <w:t>. The search strategy suggested was based on instructional material produced by the US National Library of Medicine (PubMed for Trainers Winter 2013)</w:t>
      </w:r>
      <w:r w:rsidRPr="0004128C">
        <w:rPr>
          <w:rFonts w:cstheme="minorHAnsi"/>
          <w:vertAlign w:val="superscript"/>
        </w:rPr>
        <w:footnoteReference w:id="5"/>
      </w:r>
      <w:r w:rsidRPr="0004128C">
        <w:rPr>
          <w:rFonts w:cstheme="minorHAnsi"/>
        </w:rPr>
        <w:t xml:space="preserve">. </w:t>
      </w:r>
    </w:p>
    <w:p w:rsidR="0004128C" w:rsidRPr="0004128C" w:rsidRDefault="000D7507" w:rsidP="000D7507">
      <w:pPr>
        <w:rPr>
          <w:rFonts w:cstheme="minorHAnsi"/>
        </w:rPr>
      </w:pPr>
      <w:r w:rsidRPr="0004128C">
        <w:rPr>
          <w:rFonts w:cstheme="minorHAnsi"/>
        </w:rPr>
        <w:t xml:space="preserve">Conference abstracts were not included. However, if an abstract </w:t>
      </w:r>
      <w:r>
        <w:rPr>
          <w:rFonts w:cstheme="minorHAnsi"/>
        </w:rPr>
        <w:t xml:space="preserve">was identified that </w:t>
      </w:r>
      <w:r w:rsidRPr="0004128C">
        <w:rPr>
          <w:rFonts w:cstheme="minorHAnsi"/>
        </w:rPr>
        <w:t xml:space="preserve">described a relevant high-level study, for which a </w:t>
      </w:r>
      <w:r>
        <w:rPr>
          <w:rFonts w:cstheme="minorHAnsi"/>
        </w:rPr>
        <w:t xml:space="preserve">published </w:t>
      </w:r>
      <w:r w:rsidRPr="0004128C">
        <w:rPr>
          <w:rFonts w:cstheme="minorHAnsi"/>
        </w:rPr>
        <w:t xml:space="preserve">article was not </w:t>
      </w:r>
      <w:r>
        <w:rPr>
          <w:rFonts w:cstheme="minorHAnsi"/>
        </w:rPr>
        <w:t xml:space="preserve">also </w:t>
      </w:r>
      <w:r w:rsidRPr="0004128C">
        <w:rPr>
          <w:rFonts w:cstheme="minorHAnsi"/>
        </w:rPr>
        <w:t xml:space="preserve">identified, the authors </w:t>
      </w:r>
      <w:r>
        <w:rPr>
          <w:rFonts w:cstheme="minorHAnsi"/>
        </w:rPr>
        <w:t xml:space="preserve">of the study </w:t>
      </w:r>
      <w:r w:rsidRPr="0004128C">
        <w:rPr>
          <w:rFonts w:cstheme="minorHAnsi"/>
        </w:rPr>
        <w:t xml:space="preserve">were contacted to see if a full text </w:t>
      </w:r>
      <w:r>
        <w:rPr>
          <w:rFonts w:cstheme="minorHAnsi"/>
        </w:rPr>
        <w:t>report of the study findings</w:t>
      </w:r>
      <w:r w:rsidRPr="0004128C">
        <w:rPr>
          <w:rFonts w:cstheme="minorHAnsi"/>
        </w:rPr>
        <w:t xml:space="preserve"> exists. Likewise, if a relevant study provided information in a graphical format that </w:t>
      </w:r>
      <w:r>
        <w:rPr>
          <w:rFonts w:cstheme="minorHAnsi"/>
        </w:rPr>
        <w:t>wa</w:t>
      </w:r>
      <w:r w:rsidRPr="0004128C">
        <w:rPr>
          <w:rFonts w:cstheme="minorHAnsi"/>
        </w:rPr>
        <w:t xml:space="preserve">s not easy to extract </w:t>
      </w:r>
      <w:r>
        <w:rPr>
          <w:rFonts w:cstheme="minorHAnsi"/>
        </w:rPr>
        <w:t>data</w:t>
      </w:r>
      <w:r w:rsidRPr="0004128C">
        <w:rPr>
          <w:rFonts w:cstheme="minorHAnsi"/>
        </w:rPr>
        <w:t xml:space="preserve"> from, the authors were contacted to see if they could provide the original data. </w:t>
      </w:r>
      <w:r w:rsidR="0004128C" w:rsidRPr="0004128C">
        <w:rPr>
          <w:rFonts w:cstheme="minorHAnsi"/>
        </w:rPr>
        <w:t xml:space="preserve">Three authors were contacted, two replied, and one of these was able to provide further information. </w:t>
      </w:r>
    </w:p>
    <w:p w:rsidR="0004128C" w:rsidRPr="0004128C" w:rsidRDefault="0004128C" w:rsidP="009B5F63">
      <w:pPr>
        <w:pStyle w:val="Caption"/>
        <w:keepNext/>
        <w:tabs>
          <w:tab w:val="clear" w:pos="851"/>
          <w:tab w:val="left" w:pos="993"/>
        </w:tabs>
        <w:ind w:left="993" w:hanging="993"/>
      </w:pPr>
      <w:bookmarkStart w:id="74" w:name="_Ref390430302"/>
      <w:bookmarkStart w:id="75" w:name="_Toc411510385"/>
      <w:bookmarkStart w:id="76" w:name="_Toc415141798"/>
      <w:r w:rsidRPr="0004128C">
        <w:t xml:space="preserve">Table </w:t>
      </w:r>
      <w:r w:rsidR="00A72B26">
        <w:rPr>
          <w:noProof/>
        </w:rPr>
        <w:t>1</w:t>
      </w:r>
      <w:bookmarkEnd w:id="74"/>
      <w:r w:rsidRPr="0004128C">
        <w:tab/>
      </w:r>
      <w:r w:rsidR="000D7507">
        <w:t>T</w:t>
      </w:r>
      <w:r w:rsidRPr="0004128C">
        <w:t xml:space="preserve">erms </w:t>
      </w:r>
      <w:r w:rsidR="000D7507">
        <w:t xml:space="preserve">used to search </w:t>
      </w:r>
      <w:r w:rsidRPr="0004128C">
        <w:t>for evidence to inform the Systematic Review questions (PubMed example)</w:t>
      </w:r>
      <w:bookmarkEnd w:id="75"/>
      <w:bookmarkEnd w:id="76"/>
    </w:p>
    <w:tbl>
      <w:tblPr>
        <w:tblStyle w:val="TableGrid"/>
        <w:tblW w:w="0" w:type="auto"/>
        <w:tblLook w:val="04A0" w:firstRow="1" w:lastRow="0" w:firstColumn="1" w:lastColumn="0" w:noHBand="0" w:noVBand="1"/>
        <w:tblCaption w:val="Table 1 Terms used to search for evidence to inform the Systematic Review questions (PubMed example)"/>
      </w:tblPr>
      <w:tblGrid>
        <w:gridCol w:w="1951"/>
        <w:gridCol w:w="7291"/>
      </w:tblGrid>
      <w:tr w:rsidR="0004128C" w:rsidRPr="0004128C" w:rsidTr="00712231">
        <w:trPr>
          <w:tblHeader/>
        </w:trPr>
        <w:tc>
          <w:tcPr>
            <w:tcW w:w="1951" w:type="dxa"/>
          </w:tcPr>
          <w:p w:rsidR="0004128C" w:rsidRPr="0084450C" w:rsidRDefault="0004128C" w:rsidP="0084450C">
            <w:pPr>
              <w:pStyle w:val="TableHeading"/>
            </w:pPr>
            <w:r w:rsidRPr="0084450C">
              <w:t>Drugs</w:t>
            </w:r>
          </w:p>
        </w:tc>
        <w:tc>
          <w:tcPr>
            <w:tcW w:w="7291" w:type="dxa"/>
          </w:tcPr>
          <w:p w:rsidR="0004128C" w:rsidRPr="0084450C" w:rsidRDefault="0004128C" w:rsidP="0084450C">
            <w:pPr>
              <w:pStyle w:val="TableHeading"/>
            </w:pPr>
            <w:r w:rsidRPr="0084450C">
              <w:t>PubMed search terms</w:t>
            </w:r>
          </w:p>
        </w:tc>
      </w:tr>
      <w:tr w:rsidR="0004128C" w:rsidRPr="0004128C" w:rsidTr="0004128C">
        <w:tc>
          <w:tcPr>
            <w:tcW w:w="1951" w:type="dxa"/>
          </w:tcPr>
          <w:p w:rsidR="0004128C" w:rsidRPr="0084450C" w:rsidRDefault="0004128C" w:rsidP="00A318CD">
            <w:pPr>
              <w:pStyle w:val="TableText0"/>
            </w:pPr>
            <w:r w:rsidRPr="0084450C">
              <w:t>imiglucerase, velaglucerase and miglustat</w:t>
            </w:r>
          </w:p>
        </w:tc>
        <w:tc>
          <w:tcPr>
            <w:tcW w:w="7291" w:type="dxa"/>
          </w:tcPr>
          <w:p w:rsidR="0004128C" w:rsidRPr="0084450C" w:rsidRDefault="0004128C" w:rsidP="00A318CD">
            <w:pPr>
              <w:pStyle w:val="TableText0"/>
            </w:pPr>
            <w:r w:rsidRPr="0084450C">
              <w:t xml:space="preserve">“imiglucerase”[Supplementary Concept] OR “imiglucerase”[All Fields] </w:t>
            </w:r>
            <w:r w:rsidRPr="0084450C">
              <w:rPr>
                <w:lang w:eastAsia="en-AU"/>
              </w:rPr>
              <w:t xml:space="preserve">OR </w:t>
            </w:r>
            <w:r w:rsidR="006E04C5">
              <w:rPr>
                <w:lang w:eastAsia="en-AU"/>
              </w:rPr>
              <w:t>“</w:t>
            </w:r>
            <w:r w:rsidRPr="0084450C">
              <w:rPr>
                <w:lang w:eastAsia="en-AU"/>
              </w:rPr>
              <w:t>cerezyme</w:t>
            </w:r>
            <w:r w:rsidR="006E04C5">
              <w:rPr>
                <w:lang w:eastAsia="en-AU"/>
              </w:rPr>
              <w:t>”</w:t>
            </w:r>
            <w:r w:rsidRPr="0084450C">
              <w:rPr>
                <w:lang w:eastAsia="en-AU"/>
              </w:rPr>
              <w:t xml:space="preserve">[All Fields] </w:t>
            </w:r>
            <w:r w:rsidRPr="0084450C">
              <w:t>OR “velaglucerase”[All Fields] OR “VPRIV”[All Fields] OR “miglustat”[Supplementary Concept] OR “miglustat”[All fields] OR “zavesca”[All Fields] OR</w:t>
            </w:r>
          </w:p>
          <w:p w:rsidR="0004128C" w:rsidRPr="0084450C" w:rsidRDefault="0004128C" w:rsidP="00A318CD">
            <w:pPr>
              <w:pStyle w:val="TableText0"/>
            </w:pPr>
            <w:r w:rsidRPr="0084450C">
              <w:t>(“Gaucher” OR Gaucher’s) AND (“enzyme replacement therapy” OR ERT OR SRT OR “substrate reduction therapy”)</w:t>
            </w:r>
          </w:p>
        </w:tc>
      </w:tr>
      <w:tr w:rsidR="0004128C" w:rsidRPr="0004128C" w:rsidTr="0004128C">
        <w:tc>
          <w:tcPr>
            <w:tcW w:w="1951" w:type="dxa"/>
          </w:tcPr>
          <w:p w:rsidR="0004128C" w:rsidRPr="0084450C" w:rsidRDefault="0004128C" w:rsidP="00A318CD">
            <w:pPr>
              <w:pStyle w:val="TableText0"/>
            </w:pPr>
            <w:r w:rsidRPr="0084450C">
              <w:t>agalsidase alfa and agalsidase beta</w:t>
            </w:r>
          </w:p>
        </w:tc>
        <w:tc>
          <w:tcPr>
            <w:tcW w:w="7291" w:type="dxa"/>
          </w:tcPr>
          <w:p w:rsidR="0004128C" w:rsidRPr="0084450C" w:rsidRDefault="0004128C" w:rsidP="00A318CD">
            <w:pPr>
              <w:pStyle w:val="TableText0"/>
            </w:pPr>
            <w:r w:rsidRPr="0084450C">
              <w:t xml:space="preserve">“agalsidase alfa”[Supplementary Concept] OR “agalsidase alfa”[All Fields] OR “replagal”[All Fields] OR </w:t>
            </w:r>
            <w:r w:rsidR="006E04C5">
              <w:rPr>
                <w:lang w:eastAsia="en-AU"/>
              </w:rPr>
              <w:t>“</w:t>
            </w:r>
            <w:r w:rsidRPr="0084450C">
              <w:rPr>
                <w:lang w:eastAsia="en-AU"/>
              </w:rPr>
              <w:t>agalsidase beta</w:t>
            </w:r>
            <w:r w:rsidR="006E04C5">
              <w:rPr>
                <w:lang w:eastAsia="en-AU"/>
              </w:rPr>
              <w:t>”</w:t>
            </w:r>
            <w:r w:rsidRPr="0084450C">
              <w:rPr>
                <w:lang w:eastAsia="en-AU"/>
              </w:rPr>
              <w:t xml:space="preserve">[Supplementary Concept] OR </w:t>
            </w:r>
            <w:r w:rsidR="006E04C5">
              <w:rPr>
                <w:lang w:eastAsia="en-AU"/>
              </w:rPr>
              <w:t>“</w:t>
            </w:r>
            <w:r w:rsidRPr="0084450C">
              <w:rPr>
                <w:lang w:eastAsia="en-AU"/>
              </w:rPr>
              <w:t>agalsidase beta</w:t>
            </w:r>
            <w:r w:rsidR="006E04C5">
              <w:rPr>
                <w:lang w:eastAsia="en-AU"/>
              </w:rPr>
              <w:t>”</w:t>
            </w:r>
            <w:r w:rsidRPr="0084450C">
              <w:rPr>
                <w:lang w:eastAsia="en-AU"/>
              </w:rPr>
              <w:t>[All Fields] OR “fabrazyme”[All Fields]</w:t>
            </w:r>
          </w:p>
        </w:tc>
      </w:tr>
      <w:tr w:rsidR="0004128C" w:rsidRPr="0004128C" w:rsidTr="0004128C">
        <w:tc>
          <w:tcPr>
            <w:tcW w:w="1951" w:type="dxa"/>
          </w:tcPr>
          <w:p w:rsidR="0004128C" w:rsidRPr="0084450C" w:rsidRDefault="0004128C" w:rsidP="00286075">
            <w:pPr>
              <w:pStyle w:val="TableText0"/>
            </w:pPr>
            <w:r w:rsidRPr="0084450C">
              <w:t>alglucosidase alfa</w:t>
            </w:r>
            <w:r w:rsidR="00286075">
              <w:t xml:space="preserve"> for infantile onset pompe disease</w:t>
            </w:r>
          </w:p>
        </w:tc>
        <w:tc>
          <w:tcPr>
            <w:tcW w:w="7291" w:type="dxa"/>
          </w:tcPr>
          <w:p w:rsidR="0004128C" w:rsidRPr="0084450C" w:rsidRDefault="006E04C5" w:rsidP="00A318CD">
            <w:pPr>
              <w:pStyle w:val="TableText0"/>
            </w:pPr>
            <w:r>
              <w:rPr>
                <w:lang w:eastAsia="en-AU"/>
              </w:rPr>
              <w:t>“</w:t>
            </w:r>
            <w:r w:rsidR="0004128C" w:rsidRPr="0084450C">
              <w:rPr>
                <w:lang w:eastAsia="en-AU"/>
              </w:rPr>
              <w:t>GAA protein, human</w:t>
            </w:r>
            <w:r>
              <w:rPr>
                <w:lang w:eastAsia="en-AU"/>
              </w:rPr>
              <w:t>”</w:t>
            </w:r>
            <w:r w:rsidR="0004128C" w:rsidRPr="0084450C">
              <w:rPr>
                <w:lang w:eastAsia="en-AU"/>
              </w:rPr>
              <w:t xml:space="preserve">[Supplementary Concept] OR </w:t>
            </w:r>
            <w:r>
              <w:rPr>
                <w:lang w:eastAsia="en-AU"/>
              </w:rPr>
              <w:t>“</w:t>
            </w:r>
            <w:r w:rsidR="0004128C" w:rsidRPr="0084450C">
              <w:rPr>
                <w:lang w:eastAsia="en-AU"/>
              </w:rPr>
              <w:t>GAA protein, human</w:t>
            </w:r>
            <w:r>
              <w:rPr>
                <w:lang w:eastAsia="en-AU"/>
              </w:rPr>
              <w:t>”</w:t>
            </w:r>
            <w:r w:rsidR="0004128C" w:rsidRPr="0084450C">
              <w:rPr>
                <w:lang w:eastAsia="en-AU"/>
              </w:rPr>
              <w:t xml:space="preserve">[All Fields] OR </w:t>
            </w:r>
            <w:r>
              <w:rPr>
                <w:lang w:eastAsia="en-AU"/>
              </w:rPr>
              <w:t>“</w:t>
            </w:r>
            <w:r w:rsidR="0004128C" w:rsidRPr="0084450C">
              <w:rPr>
                <w:lang w:eastAsia="en-AU"/>
              </w:rPr>
              <w:t>alglucosidase alfa</w:t>
            </w:r>
            <w:r>
              <w:rPr>
                <w:lang w:eastAsia="en-AU"/>
              </w:rPr>
              <w:t>”</w:t>
            </w:r>
            <w:r w:rsidR="0004128C" w:rsidRPr="0084450C">
              <w:rPr>
                <w:lang w:eastAsia="en-AU"/>
              </w:rPr>
              <w:t xml:space="preserve">[All Fields] OR </w:t>
            </w:r>
            <w:r>
              <w:rPr>
                <w:lang w:eastAsia="en-AU"/>
              </w:rPr>
              <w:t>“</w:t>
            </w:r>
            <w:r w:rsidR="0004128C" w:rsidRPr="0084450C">
              <w:rPr>
                <w:lang w:eastAsia="en-AU"/>
              </w:rPr>
              <w:t>myozyme</w:t>
            </w:r>
            <w:r>
              <w:rPr>
                <w:lang w:eastAsia="en-AU"/>
              </w:rPr>
              <w:t>”</w:t>
            </w:r>
            <w:r w:rsidR="0004128C" w:rsidRPr="0084450C">
              <w:rPr>
                <w:lang w:eastAsia="en-AU"/>
              </w:rPr>
              <w:t>[All Fields]</w:t>
            </w:r>
          </w:p>
        </w:tc>
      </w:tr>
      <w:tr w:rsidR="00286075" w:rsidRPr="0004128C" w:rsidTr="0004128C">
        <w:tc>
          <w:tcPr>
            <w:tcW w:w="1951" w:type="dxa"/>
          </w:tcPr>
          <w:p w:rsidR="00286075" w:rsidRPr="0084450C" w:rsidRDefault="00286075" w:rsidP="00286075">
            <w:pPr>
              <w:pStyle w:val="TableText0"/>
            </w:pPr>
            <w:r w:rsidRPr="0084450C">
              <w:t>alglucosidase alfa</w:t>
            </w:r>
            <w:r>
              <w:t xml:space="preserve"> for juvenile onset pompe disease</w:t>
            </w:r>
          </w:p>
        </w:tc>
        <w:tc>
          <w:tcPr>
            <w:tcW w:w="7291" w:type="dxa"/>
          </w:tcPr>
          <w:p w:rsidR="00286075" w:rsidRPr="0084450C" w:rsidRDefault="00A8624B" w:rsidP="00A318CD">
            <w:pPr>
              <w:pStyle w:val="TableText0"/>
              <w:rPr>
                <w:lang w:eastAsia="en-AU"/>
              </w:rPr>
            </w:pPr>
            <w:r>
              <w:rPr>
                <w:rFonts w:cstheme="minorHAnsi"/>
              </w:rPr>
              <w:t>“</w:t>
            </w:r>
            <w:r w:rsidRPr="00E677E8">
              <w:rPr>
                <w:rFonts w:cstheme="minorHAnsi"/>
              </w:rPr>
              <w:t>myozyme</w:t>
            </w:r>
            <w:r>
              <w:rPr>
                <w:rFonts w:cstheme="minorHAnsi"/>
              </w:rPr>
              <w:t>”[All Fields]</w:t>
            </w:r>
            <w:r w:rsidRPr="00E677E8">
              <w:rPr>
                <w:rFonts w:cstheme="minorHAnsi"/>
              </w:rPr>
              <w:t xml:space="preserve"> OR </w:t>
            </w:r>
            <w:r>
              <w:rPr>
                <w:rFonts w:cstheme="minorHAnsi"/>
              </w:rPr>
              <w:t>“alglucosidase”[All Fields]) OR (Pompe OR Pompe’s OR LOPD OR “glycogen storage disease type II” OR “GAA deficiency”) AND (ERT OR “enzyme replacement therapy”)</w:t>
            </w:r>
          </w:p>
        </w:tc>
      </w:tr>
      <w:tr w:rsidR="0004128C" w:rsidRPr="0004128C" w:rsidTr="0004128C">
        <w:tc>
          <w:tcPr>
            <w:tcW w:w="1951" w:type="dxa"/>
          </w:tcPr>
          <w:p w:rsidR="0004128C" w:rsidRPr="0084450C" w:rsidRDefault="0004128C" w:rsidP="00A318CD">
            <w:pPr>
              <w:pStyle w:val="TableText0"/>
            </w:pPr>
            <w:r w:rsidRPr="0084450C">
              <w:t>laronidase, idursulfase, galsulfase</w:t>
            </w:r>
          </w:p>
        </w:tc>
        <w:tc>
          <w:tcPr>
            <w:tcW w:w="7291" w:type="dxa"/>
          </w:tcPr>
          <w:p w:rsidR="0004128C" w:rsidRPr="0084450C" w:rsidRDefault="0004128C" w:rsidP="00A318CD">
            <w:pPr>
              <w:pStyle w:val="TableText0"/>
            </w:pPr>
            <w:r w:rsidRPr="0084450C">
              <w:rPr>
                <w:lang w:eastAsia="en-AU"/>
              </w:rPr>
              <w:t xml:space="preserve">“laronidase”[All Fields] OR “aldurazyme”[All Fields] OR </w:t>
            </w:r>
            <w:r w:rsidR="006E04C5">
              <w:rPr>
                <w:lang w:eastAsia="en-AU"/>
              </w:rPr>
              <w:t>“</w:t>
            </w:r>
            <w:r w:rsidRPr="0084450C">
              <w:rPr>
                <w:lang w:eastAsia="en-AU"/>
              </w:rPr>
              <w:t>idursulfase</w:t>
            </w:r>
            <w:r w:rsidR="006E04C5">
              <w:rPr>
                <w:lang w:eastAsia="en-AU"/>
              </w:rPr>
              <w:t>”</w:t>
            </w:r>
            <w:r w:rsidRPr="0084450C">
              <w:rPr>
                <w:lang w:eastAsia="en-AU"/>
              </w:rPr>
              <w:t xml:space="preserve">[Supplementary Concept] OR </w:t>
            </w:r>
            <w:r w:rsidR="006E04C5">
              <w:rPr>
                <w:lang w:eastAsia="en-AU"/>
              </w:rPr>
              <w:t>“</w:t>
            </w:r>
            <w:r w:rsidRPr="0084450C">
              <w:rPr>
                <w:lang w:eastAsia="en-AU"/>
              </w:rPr>
              <w:t>idursulfase</w:t>
            </w:r>
            <w:r w:rsidR="006E04C5">
              <w:rPr>
                <w:lang w:eastAsia="en-AU"/>
              </w:rPr>
              <w:t>”</w:t>
            </w:r>
            <w:r w:rsidRPr="0084450C">
              <w:rPr>
                <w:lang w:eastAsia="en-AU"/>
              </w:rPr>
              <w:t xml:space="preserve">[All Fields] OR </w:t>
            </w:r>
            <w:r w:rsidR="006E04C5">
              <w:rPr>
                <w:lang w:eastAsia="en-AU"/>
              </w:rPr>
              <w:t>“</w:t>
            </w:r>
            <w:r w:rsidRPr="0084450C">
              <w:rPr>
                <w:lang w:eastAsia="en-AU"/>
              </w:rPr>
              <w:t>elaprase</w:t>
            </w:r>
            <w:r w:rsidR="006E04C5">
              <w:rPr>
                <w:lang w:eastAsia="en-AU"/>
              </w:rPr>
              <w:t>”</w:t>
            </w:r>
            <w:r w:rsidRPr="0084450C">
              <w:rPr>
                <w:lang w:eastAsia="en-AU"/>
              </w:rPr>
              <w:t xml:space="preserve">[All Fields] OR </w:t>
            </w:r>
            <w:r w:rsidR="006E04C5">
              <w:rPr>
                <w:lang w:eastAsia="en-AU"/>
              </w:rPr>
              <w:t>“</w:t>
            </w:r>
            <w:r w:rsidRPr="0084450C">
              <w:rPr>
                <w:lang w:eastAsia="en-AU"/>
              </w:rPr>
              <w:t>galsulfase</w:t>
            </w:r>
            <w:r w:rsidR="006E04C5">
              <w:rPr>
                <w:lang w:eastAsia="en-AU"/>
              </w:rPr>
              <w:t>”</w:t>
            </w:r>
            <w:r w:rsidRPr="0084450C">
              <w:rPr>
                <w:lang w:eastAsia="en-AU"/>
              </w:rPr>
              <w:t xml:space="preserve">[Supplementary Concept] OR </w:t>
            </w:r>
            <w:r w:rsidR="006E04C5">
              <w:rPr>
                <w:lang w:eastAsia="en-AU"/>
              </w:rPr>
              <w:t>“</w:t>
            </w:r>
            <w:r w:rsidRPr="0084450C">
              <w:rPr>
                <w:lang w:eastAsia="en-AU"/>
              </w:rPr>
              <w:t>galsulfase</w:t>
            </w:r>
            <w:r w:rsidR="006E04C5">
              <w:rPr>
                <w:lang w:eastAsia="en-AU"/>
              </w:rPr>
              <w:t>”</w:t>
            </w:r>
            <w:r w:rsidRPr="0084450C">
              <w:rPr>
                <w:lang w:eastAsia="en-AU"/>
              </w:rPr>
              <w:t xml:space="preserve">[All Fields] OR </w:t>
            </w:r>
            <w:r w:rsidR="006E04C5">
              <w:rPr>
                <w:lang w:eastAsia="en-AU"/>
              </w:rPr>
              <w:t>“</w:t>
            </w:r>
            <w:r w:rsidRPr="0084450C">
              <w:rPr>
                <w:lang w:eastAsia="en-AU"/>
              </w:rPr>
              <w:t>naglazyme</w:t>
            </w:r>
            <w:r w:rsidR="006E04C5">
              <w:rPr>
                <w:lang w:eastAsia="en-AU"/>
              </w:rPr>
              <w:t>”</w:t>
            </w:r>
            <w:r w:rsidRPr="0084450C">
              <w:rPr>
                <w:lang w:eastAsia="en-AU"/>
              </w:rPr>
              <w:t>[All Fields]</w:t>
            </w:r>
          </w:p>
        </w:tc>
      </w:tr>
      <w:tr w:rsidR="0004128C" w:rsidRPr="0004128C" w:rsidTr="0004128C">
        <w:tc>
          <w:tcPr>
            <w:tcW w:w="1951" w:type="dxa"/>
          </w:tcPr>
          <w:p w:rsidR="0004128C" w:rsidRPr="0084450C" w:rsidRDefault="0004128C" w:rsidP="00A318CD">
            <w:pPr>
              <w:pStyle w:val="TableText0"/>
            </w:pPr>
            <w:r w:rsidRPr="0084450C">
              <w:t>eculizumab</w:t>
            </w:r>
          </w:p>
        </w:tc>
        <w:tc>
          <w:tcPr>
            <w:tcW w:w="7291" w:type="dxa"/>
          </w:tcPr>
          <w:p w:rsidR="0004128C" w:rsidRPr="0084450C" w:rsidRDefault="006E04C5" w:rsidP="00A318CD">
            <w:pPr>
              <w:pStyle w:val="TableText0"/>
            </w:pPr>
            <w:r>
              <w:rPr>
                <w:lang w:eastAsia="en-AU"/>
              </w:rPr>
              <w:t>“</w:t>
            </w:r>
            <w:r w:rsidR="0004128C" w:rsidRPr="0084450C">
              <w:rPr>
                <w:lang w:eastAsia="en-AU"/>
              </w:rPr>
              <w:t>eculizumab</w:t>
            </w:r>
            <w:r>
              <w:rPr>
                <w:lang w:eastAsia="en-AU"/>
              </w:rPr>
              <w:t>”</w:t>
            </w:r>
            <w:r w:rsidR="0004128C" w:rsidRPr="0084450C">
              <w:rPr>
                <w:lang w:eastAsia="en-AU"/>
              </w:rPr>
              <w:t xml:space="preserve">[Supplementary Concept] OR </w:t>
            </w:r>
            <w:r>
              <w:rPr>
                <w:lang w:eastAsia="en-AU"/>
              </w:rPr>
              <w:t>“</w:t>
            </w:r>
            <w:r w:rsidR="0004128C" w:rsidRPr="0084450C">
              <w:rPr>
                <w:lang w:eastAsia="en-AU"/>
              </w:rPr>
              <w:t>eculizumab</w:t>
            </w:r>
            <w:r>
              <w:rPr>
                <w:lang w:eastAsia="en-AU"/>
              </w:rPr>
              <w:t>”</w:t>
            </w:r>
            <w:r w:rsidR="0004128C" w:rsidRPr="0084450C">
              <w:rPr>
                <w:lang w:eastAsia="en-AU"/>
              </w:rPr>
              <w:t xml:space="preserve">[All Fields] OR </w:t>
            </w:r>
            <w:r>
              <w:rPr>
                <w:lang w:eastAsia="en-AU"/>
              </w:rPr>
              <w:t>“</w:t>
            </w:r>
            <w:r w:rsidR="0004128C" w:rsidRPr="0084450C">
              <w:rPr>
                <w:lang w:eastAsia="en-AU"/>
              </w:rPr>
              <w:t>soliris</w:t>
            </w:r>
            <w:r>
              <w:rPr>
                <w:lang w:eastAsia="en-AU"/>
              </w:rPr>
              <w:t>”</w:t>
            </w:r>
            <w:r w:rsidR="0004128C" w:rsidRPr="0084450C">
              <w:rPr>
                <w:lang w:eastAsia="en-AU"/>
              </w:rPr>
              <w:t>[All Fields]</w:t>
            </w:r>
          </w:p>
        </w:tc>
      </w:tr>
    </w:tbl>
    <w:p w:rsidR="0004128C" w:rsidRPr="0004128C" w:rsidRDefault="0004128C" w:rsidP="0004128C">
      <w:pPr>
        <w:rPr>
          <w:rFonts w:asciiTheme="minorHAnsi" w:hAnsiTheme="minorHAnsi" w:cstheme="minorHAnsi"/>
        </w:rPr>
      </w:pPr>
    </w:p>
    <w:p w:rsidR="0004128C" w:rsidRPr="0004128C" w:rsidRDefault="0004128C" w:rsidP="0047458C">
      <w:pPr>
        <w:pStyle w:val="Heading3"/>
      </w:pPr>
      <w:bookmarkStart w:id="77" w:name="_Toc404937254"/>
      <w:r w:rsidRPr="0004128C">
        <w:lastRenderedPageBreak/>
        <w:t>Study selection criteria</w:t>
      </w:r>
      <w:bookmarkEnd w:id="77"/>
    </w:p>
    <w:p w:rsidR="000F388E" w:rsidRPr="000F388E" w:rsidRDefault="000D7507" w:rsidP="00DE29A8">
      <w:bookmarkStart w:id="78" w:name="_Ref390432233"/>
      <w:r w:rsidRPr="0004128C">
        <w:t xml:space="preserve">Studies were assessed for eligibility for inclusion in the systematic review </w:t>
      </w:r>
      <w:r>
        <w:t xml:space="preserve">using a staged approach. That is, </w:t>
      </w:r>
      <w:r w:rsidRPr="0004128C">
        <w:t xml:space="preserve">the “highest level of evidence” </w:t>
      </w:r>
      <w:r>
        <w:t xml:space="preserve">available </w:t>
      </w:r>
      <w:r w:rsidRPr="0004128C">
        <w:t>to answer the individual research questions</w:t>
      </w:r>
      <w:r>
        <w:t xml:space="preserve"> was included in the systematic review</w:t>
      </w:r>
      <w:r w:rsidRPr="0004128C">
        <w:t xml:space="preserve">. </w:t>
      </w:r>
      <w:r>
        <w:t xml:space="preserve">This staged approach targets the research most likely to provide unbiased evidence. </w:t>
      </w:r>
      <w:r w:rsidRPr="0004128C">
        <w:t xml:space="preserve">The level of evidence was determined by the NHMRC Evidence Hierarchy for Interventional evidence, as described in </w:t>
      </w:r>
      <w:r w:rsidR="00A72B26">
        <w:t xml:space="preserve">Table </w:t>
      </w:r>
      <w:r w:rsidR="00A72B26">
        <w:rPr>
          <w:noProof/>
        </w:rPr>
        <w:t>2</w:t>
      </w:r>
      <w:r w:rsidR="00E101C1">
        <w:t xml:space="preserve"> </w:t>
      </w:r>
      <w:r w:rsidRPr="0004128C">
        <w:rPr>
          <w:noProof/>
        </w:rPr>
        <w:t>(</w:t>
      </w:r>
      <w:r w:rsidR="00184B6F" w:rsidRPr="0004128C">
        <w:rPr>
          <w:noProof/>
        </w:rPr>
        <w:t>Merlin, Weston &amp; Tooher 2009</w:t>
      </w:r>
      <w:r w:rsidRPr="0004128C">
        <w:rPr>
          <w:noProof/>
        </w:rPr>
        <w:t>)</w:t>
      </w:r>
      <w:r w:rsidRPr="0004128C">
        <w:t xml:space="preserve">. </w:t>
      </w:r>
      <w:r w:rsidR="00F40DA6">
        <w:t xml:space="preserve">Where even sufficient case series data could not be identified, case reports were included. </w:t>
      </w:r>
      <w:r>
        <w:t>This hierarchy is used to estimate the risk of bias in study findings as a consequence of how the research was designed. There are, of course, additional matters that also need to be considered when assessing the reliability of study findings (see Section 3.2).</w:t>
      </w:r>
      <w:bookmarkEnd w:id="78"/>
    </w:p>
    <w:p w:rsidR="00E101C1" w:rsidRPr="00E101C1" w:rsidRDefault="00E101C1" w:rsidP="00E101C1">
      <w:pPr>
        <w:pStyle w:val="Caption"/>
        <w:keepNext/>
        <w:tabs>
          <w:tab w:val="clear" w:pos="851"/>
          <w:tab w:val="left" w:pos="993"/>
        </w:tabs>
        <w:ind w:left="993" w:hanging="993"/>
      </w:pPr>
      <w:bookmarkStart w:id="79" w:name="_Ref407020861"/>
      <w:bookmarkStart w:id="80" w:name="_Toc407021102"/>
      <w:bookmarkStart w:id="81" w:name="_Toc407021518"/>
      <w:bookmarkStart w:id="82" w:name="_Toc411510386"/>
      <w:bookmarkStart w:id="83" w:name="_Toc415141799"/>
      <w:r>
        <w:t xml:space="preserve">Table </w:t>
      </w:r>
      <w:r w:rsidR="00A72B26">
        <w:rPr>
          <w:noProof/>
        </w:rPr>
        <w:t>2</w:t>
      </w:r>
      <w:bookmarkEnd w:id="79"/>
      <w:r>
        <w:tab/>
      </w:r>
      <w:r w:rsidRPr="0004128C">
        <w:t>NHMRC evidence hierarchy: designations of levels of evidence – (interventional research questions only)</w:t>
      </w:r>
      <w:bookmarkEnd w:id="80"/>
      <w:bookmarkEnd w:id="81"/>
      <w:bookmarkEnd w:id="82"/>
      <w:bookmarkEnd w:id="83"/>
    </w:p>
    <w:tbl>
      <w:tblPr>
        <w:tblStyle w:val="TableGrid"/>
        <w:tblW w:w="0" w:type="auto"/>
        <w:tblLook w:val="04A0" w:firstRow="1" w:lastRow="0" w:firstColumn="1" w:lastColumn="0" w:noHBand="0" w:noVBand="1"/>
        <w:tblCaption w:val="Table 2 NHMRC evidence hierarchy: designations of levels of evidence – (interventional research questions only)"/>
      </w:tblPr>
      <w:tblGrid>
        <w:gridCol w:w="1384"/>
        <w:gridCol w:w="7858"/>
      </w:tblGrid>
      <w:tr w:rsidR="0004128C" w:rsidRPr="0004128C" w:rsidTr="00712231">
        <w:trPr>
          <w:tblHeader/>
        </w:trPr>
        <w:tc>
          <w:tcPr>
            <w:tcW w:w="1384" w:type="dxa"/>
          </w:tcPr>
          <w:p w:rsidR="0004128C" w:rsidRPr="0084450C" w:rsidRDefault="0004128C" w:rsidP="0084450C">
            <w:pPr>
              <w:pStyle w:val="TableHeading"/>
            </w:pPr>
            <w:r w:rsidRPr="0084450C">
              <w:t>Level</w:t>
            </w:r>
          </w:p>
        </w:tc>
        <w:tc>
          <w:tcPr>
            <w:tcW w:w="7858" w:type="dxa"/>
          </w:tcPr>
          <w:p w:rsidR="0004128C" w:rsidRPr="0084450C" w:rsidRDefault="0004128C" w:rsidP="0084450C">
            <w:pPr>
              <w:pStyle w:val="TableHeading"/>
              <w:rPr>
                <w:vertAlign w:val="superscript"/>
              </w:rPr>
            </w:pPr>
            <w:r w:rsidRPr="0084450C">
              <w:t>Interventional study design</w:t>
            </w:r>
            <w:r w:rsidRPr="0084450C">
              <w:rPr>
                <w:vertAlign w:val="superscript"/>
              </w:rPr>
              <w:t>1</w:t>
            </w:r>
          </w:p>
        </w:tc>
      </w:tr>
      <w:tr w:rsidR="0004128C" w:rsidRPr="0004128C" w:rsidTr="0004128C">
        <w:tc>
          <w:tcPr>
            <w:tcW w:w="1384" w:type="dxa"/>
          </w:tcPr>
          <w:p w:rsidR="0004128C" w:rsidRPr="0084450C" w:rsidRDefault="0004128C" w:rsidP="0084450C">
            <w:pPr>
              <w:pStyle w:val="TableText0"/>
              <w:rPr>
                <w:vertAlign w:val="superscript"/>
              </w:rPr>
            </w:pPr>
            <w:r w:rsidRPr="0084450C">
              <w:rPr>
                <w:position w:val="-9"/>
              </w:rPr>
              <w:t>I</w:t>
            </w:r>
            <w:r w:rsidRPr="0084450C">
              <w:rPr>
                <w:w w:val="99"/>
                <w:vertAlign w:val="superscript"/>
              </w:rPr>
              <w:t>2</w:t>
            </w:r>
          </w:p>
        </w:tc>
        <w:tc>
          <w:tcPr>
            <w:tcW w:w="7858" w:type="dxa"/>
          </w:tcPr>
          <w:p w:rsidR="0004128C" w:rsidRPr="0084450C" w:rsidRDefault="0004128C" w:rsidP="0084450C">
            <w:pPr>
              <w:pStyle w:val="TableText0"/>
            </w:pPr>
            <w:r w:rsidRPr="0084450C">
              <w:t>A syste</w:t>
            </w:r>
            <w:r w:rsidRPr="0084450C">
              <w:rPr>
                <w:spacing w:val="-2"/>
              </w:rPr>
              <w:t>m</w:t>
            </w:r>
            <w:r w:rsidRPr="0084450C">
              <w:t>atic review</w:t>
            </w:r>
            <w:r w:rsidRPr="0084450C">
              <w:rPr>
                <w:spacing w:val="-1"/>
              </w:rPr>
              <w:t xml:space="preserve"> </w:t>
            </w:r>
            <w:r w:rsidRPr="0084450C">
              <w:t>of level</w:t>
            </w:r>
            <w:r w:rsidRPr="0084450C">
              <w:rPr>
                <w:spacing w:val="-1"/>
              </w:rPr>
              <w:t xml:space="preserve"> </w:t>
            </w:r>
            <w:r w:rsidRPr="0084450C">
              <w:t>II studies</w:t>
            </w:r>
          </w:p>
        </w:tc>
      </w:tr>
      <w:tr w:rsidR="0004128C" w:rsidRPr="0004128C" w:rsidTr="0004128C">
        <w:tc>
          <w:tcPr>
            <w:tcW w:w="1384" w:type="dxa"/>
          </w:tcPr>
          <w:p w:rsidR="0004128C" w:rsidRPr="0084450C" w:rsidRDefault="0004128C" w:rsidP="0084450C">
            <w:pPr>
              <w:pStyle w:val="TableText0"/>
            </w:pPr>
            <w:r w:rsidRPr="0084450C">
              <w:t>II</w:t>
            </w:r>
          </w:p>
        </w:tc>
        <w:tc>
          <w:tcPr>
            <w:tcW w:w="7858" w:type="dxa"/>
          </w:tcPr>
          <w:p w:rsidR="0004128C" w:rsidRPr="0084450C" w:rsidRDefault="0004128C" w:rsidP="0084450C">
            <w:pPr>
              <w:pStyle w:val="TableText0"/>
            </w:pPr>
            <w:r w:rsidRPr="0084450C">
              <w:t>A rando</w:t>
            </w:r>
            <w:r w:rsidRPr="0084450C">
              <w:rPr>
                <w:spacing w:val="-2"/>
              </w:rPr>
              <w:t>m</w:t>
            </w:r>
            <w:r w:rsidRPr="0084450C">
              <w:t>ised con</w:t>
            </w:r>
            <w:r w:rsidRPr="0084450C">
              <w:rPr>
                <w:spacing w:val="-2"/>
              </w:rPr>
              <w:t>t</w:t>
            </w:r>
            <w:r w:rsidRPr="0084450C">
              <w:t>rolled trial</w:t>
            </w:r>
          </w:p>
        </w:tc>
      </w:tr>
      <w:tr w:rsidR="0004128C" w:rsidRPr="0004128C" w:rsidTr="0004128C">
        <w:tc>
          <w:tcPr>
            <w:tcW w:w="1384" w:type="dxa"/>
          </w:tcPr>
          <w:p w:rsidR="0004128C" w:rsidRPr="0084450C" w:rsidRDefault="0004128C" w:rsidP="0084450C">
            <w:pPr>
              <w:pStyle w:val="TableText0"/>
            </w:pPr>
            <w:r w:rsidRPr="0084450C">
              <w:rPr>
                <w:spacing w:val="1"/>
              </w:rPr>
              <w:t>I</w:t>
            </w:r>
            <w:r w:rsidRPr="0084450C">
              <w:rPr>
                <w:spacing w:val="-1"/>
              </w:rPr>
              <w:t>I</w:t>
            </w:r>
            <w:r w:rsidRPr="0084450C">
              <w:rPr>
                <w:spacing w:val="1"/>
              </w:rPr>
              <w:t>I</w:t>
            </w:r>
            <w:r w:rsidRPr="0084450C">
              <w:rPr>
                <w:spacing w:val="-1"/>
              </w:rPr>
              <w:t>-</w:t>
            </w:r>
            <w:r w:rsidRPr="0084450C">
              <w:rPr>
                <w:spacing w:val="1"/>
              </w:rPr>
              <w:t>1</w:t>
            </w:r>
          </w:p>
        </w:tc>
        <w:tc>
          <w:tcPr>
            <w:tcW w:w="7858" w:type="dxa"/>
          </w:tcPr>
          <w:p w:rsidR="0004128C" w:rsidRPr="0084450C" w:rsidRDefault="0004128C" w:rsidP="0084450C">
            <w:pPr>
              <w:pStyle w:val="TableText0"/>
            </w:pPr>
            <w:r w:rsidRPr="0084450C">
              <w:t xml:space="preserve">A </w:t>
            </w:r>
            <w:r w:rsidR="00F87099" w:rsidRPr="0084450C">
              <w:rPr>
                <w:spacing w:val="1"/>
              </w:rPr>
              <w:t>p</w:t>
            </w:r>
            <w:r w:rsidR="00F87099" w:rsidRPr="0084450C">
              <w:t>seud</w:t>
            </w:r>
            <w:r w:rsidR="00F87099" w:rsidRPr="0084450C">
              <w:rPr>
                <w:spacing w:val="1"/>
              </w:rPr>
              <w:t>o</w:t>
            </w:r>
            <w:r w:rsidR="00F87099" w:rsidRPr="0084450C">
              <w:t xml:space="preserve"> </w:t>
            </w:r>
            <w:r w:rsidR="00F87099" w:rsidRPr="0084450C">
              <w:rPr>
                <w:spacing w:val="-1"/>
              </w:rPr>
              <w:t>r</w:t>
            </w:r>
            <w:r w:rsidR="00F87099" w:rsidRPr="0084450C">
              <w:t>a</w:t>
            </w:r>
            <w:r w:rsidR="00F87099" w:rsidRPr="0084450C">
              <w:rPr>
                <w:spacing w:val="1"/>
              </w:rPr>
              <w:t>n</w:t>
            </w:r>
            <w:r w:rsidR="00F87099" w:rsidRPr="0084450C">
              <w:t>domised</w:t>
            </w:r>
            <w:r w:rsidRPr="0084450C">
              <w:rPr>
                <w:spacing w:val="1"/>
              </w:rPr>
              <w:t xml:space="preserve"> </w:t>
            </w:r>
            <w:r w:rsidRPr="0084450C">
              <w:t>co</w:t>
            </w:r>
            <w:r w:rsidRPr="0084450C">
              <w:rPr>
                <w:spacing w:val="1"/>
              </w:rPr>
              <w:t>n</w:t>
            </w:r>
            <w:r w:rsidRPr="0084450C">
              <w:t>tr</w:t>
            </w:r>
            <w:r w:rsidRPr="0084450C">
              <w:rPr>
                <w:spacing w:val="1"/>
              </w:rPr>
              <w:t>o</w:t>
            </w:r>
            <w:r w:rsidRPr="0084450C">
              <w:t>l</w:t>
            </w:r>
            <w:r w:rsidRPr="0084450C">
              <w:rPr>
                <w:spacing w:val="-2"/>
              </w:rPr>
              <w:t>l</w:t>
            </w:r>
            <w:r w:rsidRPr="0084450C">
              <w:t xml:space="preserve">ed trial </w:t>
            </w:r>
          </w:p>
          <w:p w:rsidR="0004128C" w:rsidRPr="0084450C" w:rsidRDefault="0004128C" w:rsidP="0084450C">
            <w:pPr>
              <w:pStyle w:val="TableText0"/>
            </w:pPr>
            <w:r w:rsidRPr="0084450C">
              <w:t>(i.e. alter</w:t>
            </w:r>
            <w:r w:rsidRPr="0084450C">
              <w:rPr>
                <w:spacing w:val="1"/>
              </w:rPr>
              <w:t>n</w:t>
            </w:r>
            <w:r w:rsidRPr="0084450C">
              <w:t>ate all</w:t>
            </w:r>
            <w:r w:rsidRPr="0084450C">
              <w:rPr>
                <w:spacing w:val="1"/>
              </w:rPr>
              <w:t>o</w:t>
            </w:r>
            <w:r w:rsidRPr="0084450C">
              <w:t>cati</w:t>
            </w:r>
            <w:r w:rsidRPr="0084450C">
              <w:rPr>
                <w:spacing w:val="1"/>
              </w:rPr>
              <w:t>o</w:t>
            </w:r>
            <w:r w:rsidRPr="0084450C">
              <w:t xml:space="preserve">n </w:t>
            </w:r>
            <w:r w:rsidRPr="0084450C">
              <w:rPr>
                <w:spacing w:val="1"/>
              </w:rPr>
              <w:t>o</w:t>
            </w:r>
            <w:r w:rsidRPr="0084450C">
              <w:t xml:space="preserve">r some </w:t>
            </w:r>
            <w:r w:rsidRPr="0084450C">
              <w:rPr>
                <w:spacing w:val="1"/>
              </w:rPr>
              <w:t>o</w:t>
            </w:r>
            <w:r w:rsidRPr="0084450C">
              <w:t>t</w:t>
            </w:r>
            <w:r w:rsidRPr="0084450C">
              <w:rPr>
                <w:spacing w:val="1"/>
              </w:rPr>
              <w:t>h</w:t>
            </w:r>
            <w:r w:rsidRPr="0084450C">
              <w:rPr>
                <w:spacing w:val="-1"/>
              </w:rPr>
              <w:t>e</w:t>
            </w:r>
            <w:r w:rsidRPr="0084450C">
              <w:t>r</w:t>
            </w:r>
            <w:r w:rsidRPr="0084450C">
              <w:rPr>
                <w:spacing w:val="1"/>
              </w:rPr>
              <w:t xml:space="preserve"> </w:t>
            </w:r>
            <w:r w:rsidRPr="0084450C">
              <w:rPr>
                <w:spacing w:val="-2"/>
              </w:rPr>
              <w:t>m</w:t>
            </w:r>
            <w:r w:rsidRPr="0084450C">
              <w:t>et</w:t>
            </w:r>
            <w:r w:rsidRPr="0084450C">
              <w:rPr>
                <w:spacing w:val="1"/>
              </w:rPr>
              <w:t>ho</w:t>
            </w:r>
            <w:r w:rsidRPr="0084450C">
              <w:rPr>
                <w:spacing w:val="-1"/>
              </w:rPr>
              <w:t>d</w:t>
            </w:r>
            <w:r w:rsidRPr="0084450C">
              <w:rPr>
                <w:spacing w:val="1"/>
              </w:rPr>
              <w:t>)</w:t>
            </w:r>
          </w:p>
        </w:tc>
      </w:tr>
      <w:tr w:rsidR="0004128C" w:rsidRPr="0004128C" w:rsidTr="0004128C">
        <w:tc>
          <w:tcPr>
            <w:tcW w:w="1384" w:type="dxa"/>
          </w:tcPr>
          <w:p w:rsidR="0004128C" w:rsidRPr="0084450C" w:rsidRDefault="0004128C" w:rsidP="0084450C">
            <w:pPr>
              <w:pStyle w:val="TableText0"/>
            </w:pPr>
            <w:r w:rsidRPr="0084450C">
              <w:rPr>
                <w:spacing w:val="1"/>
              </w:rPr>
              <w:t>I</w:t>
            </w:r>
            <w:r w:rsidRPr="0084450C">
              <w:rPr>
                <w:spacing w:val="-1"/>
              </w:rPr>
              <w:t>I</w:t>
            </w:r>
            <w:r w:rsidRPr="0084450C">
              <w:rPr>
                <w:spacing w:val="1"/>
              </w:rPr>
              <w:t>I</w:t>
            </w:r>
            <w:r w:rsidRPr="0084450C">
              <w:rPr>
                <w:spacing w:val="-1"/>
              </w:rPr>
              <w:t>-</w:t>
            </w:r>
            <w:r w:rsidRPr="0084450C">
              <w:rPr>
                <w:spacing w:val="1"/>
              </w:rPr>
              <w:t>2</w:t>
            </w:r>
          </w:p>
        </w:tc>
        <w:tc>
          <w:tcPr>
            <w:tcW w:w="7858" w:type="dxa"/>
          </w:tcPr>
          <w:p w:rsidR="0004128C" w:rsidRPr="0084450C" w:rsidRDefault="0004128C" w:rsidP="0084450C">
            <w:pPr>
              <w:pStyle w:val="TableText0"/>
            </w:pPr>
            <w:r w:rsidRPr="0084450C">
              <w:t>A c</w:t>
            </w:r>
            <w:r w:rsidRPr="0084450C">
              <w:rPr>
                <w:spacing w:val="1"/>
              </w:rPr>
              <w:t>o</w:t>
            </w:r>
            <w:r w:rsidRPr="0084450C">
              <w:rPr>
                <w:spacing w:val="-2"/>
              </w:rPr>
              <w:t>m</w:t>
            </w:r>
            <w:r w:rsidRPr="0084450C">
              <w:rPr>
                <w:spacing w:val="1"/>
              </w:rPr>
              <w:t>p</w:t>
            </w:r>
            <w:r w:rsidRPr="0084450C">
              <w:t>arati</w:t>
            </w:r>
            <w:r w:rsidRPr="0084450C">
              <w:rPr>
                <w:spacing w:val="1"/>
              </w:rPr>
              <w:t>v</w:t>
            </w:r>
            <w:r w:rsidRPr="0084450C">
              <w:t>e stu</w:t>
            </w:r>
            <w:r w:rsidRPr="0084450C">
              <w:rPr>
                <w:spacing w:val="1"/>
              </w:rPr>
              <w:t>d</w:t>
            </w:r>
            <w:r w:rsidRPr="0084450C">
              <w:t>y with con</w:t>
            </w:r>
            <w:r w:rsidRPr="0084450C">
              <w:rPr>
                <w:spacing w:val="-1"/>
              </w:rPr>
              <w:t>cu</w:t>
            </w:r>
            <w:r w:rsidRPr="0084450C">
              <w:t>rr</w:t>
            </w:r>
            <w:r w:rsidRPr="0084450C">
              <w:rPr>
                <w:spacing w:val="-1"/>
              </w:rPr>
              <w:t>e</w:t>
            </w:r>
            <w:r w:rsidRPr="0084450C">
              <w:t>nt c</w:t>
            </w:r>
            <w:r w:rsidRPr="0084450C">
              <w:rPr>
                <w:spacing w:val="-1"/>
              </w:rPr>
              <w:t>on</w:t>
            </w:r>
            <w:r w:rsidRPr="0084450C">
              <w:t>trols:</w:t>
            </w:r>
          </w:p>
          <w:p w:rsidR="0004128C" w:rsidRPr="0084450C" w:rsidRDefault="0004128C" w:rsidP="0084450C">
            <w:pPr>
              <w:pStyle w:val="TableText0"/>
              <w:rPr>
                <w:vertAlign w:val="superscript"/>
              </w:rPr>
            </w:pPr>
            <w:r w:rsidRPr="0084450C">
              <w:rPr>
                <w:rFonts w:cs="Symbol"/>
              </w:rPr>
              <w:t>▪</w:t>
            </w:r>
            <w:r w:rsidRPr="0084450C">
              <w:t xml:space="preserve">  </w:t>
            </w:r>
            <w:r w:rsidRPr="0084450C">
              <w:rPr>
                <w:spacing w:val="10"/>
              </w:rPr>
              <w:t xml:space="preserve"> </w:t>
            </w:r>
            <w:r w:rsidRPr="0084450C">
              <w:t>N</w:t>
            </w:r>
            <w:r w:rsidRPr="0084450C">
              <w:rPr>
                <w:spacing w:val="-1"/>
              </w:rPr>
              <w:t>o</w:t>
            </w:r>
            <w:r w:rsidRPr="0084450C">
              <w:t>n</w:t>
            </w:r>
            <w:r w:rsidRPr="0084450C">
              <w:rPr>
                <w:spacing w:val="-1"/>
              </w:rPr>
              <w:t>-</w:t>
            </w:r>
            <w:r w:rsidRPr="0084450C">
              <w:t>r</w:t>
            </w:r>
            <w:r w:rsidRPr="0084450C">
              <w:rPr>
                <w:spacing w:val="-1"/>
              </w:rPr>
              <w:t>a</w:t>
            </w:r>
            <w:r w:rsidRPr="0084450C">
              <w:t>n</w:t>
            </w:r>
            <w:r w:rsidRPr="0084450C">
              <w:rPr>
                <w:spacing w:val="-1"/>
              </w:rPr>
              <w:t>d</w:t>
            </w:r>
            <w:r w:rsidRPr="0084450C">
              <w:t>o</w:t>
            </w:r>
            <w:r w:rsidRPr="0084450C">
              <w:rPr>
                <w:spacing w:val="-2"/>
              </w:rPr>
              <w:t>m</w:t>
            </w:r>
            <w:r w:rsidRPr="0084450C">
              <w:t>i</w:t>
            </w:r>
            <w:r w:rsidRPr="0084450C">
              <w:rPr>
                <w:spacing w:val="1"/>
              </w:rPr>
              <w:t>s</w:t>
            </w:r>
            <w:r w:rsidRPr="0084450C">
              <w:t>ed, e</w:t>
            </w:r>
            <w:r w:rsidRPr="0084450C">
              <w:rPr>
                <w:spacing w:val="1"/>
              </w:rPr>
              <w:t>xp</w:t>
            </w:r>
            <w:r w:rsidRPr="0084450C">
              <w:rPr>
                <w:spacing w:val="-1"/>
              </w:rPr>
              <w:t>e</w:t>
            </w:r>
            <w:r w:rsidRPr="0084450C">
              <w:t>ri</w:t>
            </w:r>
            <w:r w:rsidRPr="0084450C">
              <w:rPr>
                <w:spacing w:val="-2"/>
              </w:rPr>
              <w:t>m</w:t>
            </w:r>
            <w:r w:rsidRPr="0084450C">
              <w:t>e</w:t>
            </w:r>
            <w:r w:rsidRPr="0084450C">
              <w:rPr>
                <w:spacing w:val="1"/>
              </w:rPr>
              <w:t>n</w:t>
            </w:r>
            <w:r w:rsidRPr="0084450C">
              <w:t>tal trial</w:t>
            </w:r>
            <w:r w:rsidRPr="0084450C">
              <w:rPr>
                <w:vertAlign w:val="superscript"/>
              </w:rPr>
              <w:t>3</w:t>
            </w:r>
          </w:p>
          <w:p w:rsidR="0004128C" w:rsidRPr="0084450C" w:rsidRDefault="0004128C" w:rsidP="0084450C">
            <w:pPr>
              <w:pStyle w:val="TableText0"/>
            </w:pPr>
            <w:r w:rsidRPr="0084450C">
              <w:rPr>
                <w:rFonts w:cs="Symbol"/>
              </w:rPr>
              <w:t>▪</w:t>
            </w:r>
            <w:r w:rsidRPr="0084450C">
              <w:t xml:space="preserve">  </w:t>
            </w:r>
            <w:r w:rsidRPr="0084450C">
              <w:rPr>
                <w:spacing w:val="10"/>
              </w:rPr>
              <w:t xml:space="preserve"> </w:t>
            </w:r>
            <w:r w:rsidRPr="0084450C">
              <w:rPr>
                <w:spacing w:val="-1"/>
              </w:rPr>
              <w:t>C</w:t>
            </w:r>
            <w:r w:rsidRPr="0084450C">
              <w:rPr>
                <w:spacing w:val="1"/>
              </w:rPr>
              <w:t>o</w:t>
            </w:r>
            <w:r w:rsidRPr="0084450C">
              <w:rPr>
                <w:spacing w:val="-1"/>
              </w:rPr>
              <w:t>h</w:t>
            </w:r>
            <w:r w:rsidRPr="0084450C">
              <w:rPr>
                <w:spacing w:val="1"/>
              </w:rPr>
              <w:t>o</w:t>
            </w:r>
            <w:r w:rsidRPr="0084450C">
              <w:t>rt</w:t>
            </w:r>
            <w:r w:rsidRPr="0084450C">
              <w:rPr>
                <w:spacing w:val="-1"/>
              </w:rPr>
              <w:t xml:space="preserve"> stu</w:t>
            </w:r>
            <w:r w:rsidRPr="0084450C">
              <w:rPr>
                <w:spacing w:val="1"/>
              </w:rPr>
              <w:t>d</w:t>
            </w:r>
            <w:r w:rsidRPr="0084450C">
              <w:rPr>
                <w:spacing w:val="-1"/>
              </w:rPr>
              <w:t>y</w:t>
            </w:r>
          </w:p>
          <w:p w:rsidR="0004128C" w:rsidRPr="0084450C" w:rsidRDefault="0004128C" w:rsidP="0084450C">
            <w:pPr>
              <w:pStyle w:val="TableText0"/>
            </w:pPr>
            <w:r w:rsidRPr="0084450C">
              <w:rPr>
                <w:rFonts w:cs="Symbol"/>
              </w:rPr>
              <w:t>▪</w:t>
            </w:r>
            <w:r w:rsidRPr="0084450C">
              <w:t xml:space="preserve">  </w:t>
            </w:r>
            <w:r w:rsidRPr="0084450C">
              <w:rPr>
                <w:spacing w:val="10"/>
              </w:rPr>
              <w:t xml:space="preserve"> </w:t>
            </w:r>
            <w:r w:rsidRPr="0084450C">
              <w:t>Case-c</w:t>
            </w:r>
            <w:r w:rsidRPr="0084450C">
              <w:rPr>
                <w:spacing w:val="-1"/>
              </w:rPr>
              <w:t>o</w:t>
            </w:r>
            <w:r w:rsidRPr="0084450C">
              <w:rPr>
                <w:spacing w:val="1"/>
              </w:rPr>
              <w:t>n</w:t>
            </w:r>
            <w:r w:rsidRPr="0084450C">
              <w:t>t</w:t>
            </w:r>
            <w:r w:rsidRPr="0084450C">
              <w:rPr>
                <w:spacing w:val="-1"/>
              </w:rPr>
              <w:t>r</w:t>
            </w:r>
            <w:r w:rsidRPr="0084450C">
              <w:t>ol s</w:t>
            </w:r>
            <w:r w:rsidRPr="0084450C">
              <w:rPr>
                <w:spacing w:val="-2"/>
              </w:rPr>
              <w:t>t</w:t>
            </w:r>
            <w:r w:rsidRPr="0084450C">
              <w:t>udy</w:t>
            </w:r>
          </w:p>
          <w:p w:rsidR="0004128C" w:rsidRPr="0084450C" w:rsidRDefault="0004128C" w:rsidP="0084450C">
            <w:pPr>
              <w:pStyle w:val="TableText0"/>
            </w:pPr>
            <w:r w:rsidRPr="0084450C">
              <w:rPr>
                <w:rFonts w:cs="Symbol"/>
              </w:rPr>
              <w:t>▪</w:t>
            </w:r>
            <w:r w:rsidRPr="0084450C">
              <w:t xml:space="preserve">  </w:t>
            </w:r>
            <w:r w:rsidRPr="0084450C">
              <w:rPr>
                <w:spacing w:val="10"/>
              </w:rPr>
              <w:t xml:space="preserve"> </w:t>
            </w:r>
            <w:r w:rsidRPr="0084450C">
              <w:t>I</w:t>
            </w:r>
            <w:r w:rsidRPr="0084450C">
              <w:rPr>
                <w:spacing w:val="1"/>
              </w:rPr>
              <w:t>n</w:t>
            </w:r>
            <w:r w:rsidRPr="0084450C">
              <w:t>terr</w:t>
            </w:r>
            <w:r w:rsidRPr="0084450C">
              <w:rPr>
                <w:spacing w:val="1"/>
              </w:rPr>
              <w:t>up</w:t>
            </w:r>
            <w:r w:rsidRPr="0084450C">
              <w:t>ted</w:t>
            </w:r>
            <w:r w:rsidRPr="0084450C">
              <w:rPr>
                <w:spacing w:val="1"/>
              </w:rPr>
              <w:t xml:space="preserve"> </w:t>
            </w:r>
            <w:r w:rsidRPr="0084450C">
              <w:t>time series</w:t>
            </w:r>
            <w:r w:rsidRPr="0084450C">
              <w:rPr>
                <w:spacing w:val="-1"/>
              </w:rPr>
              <w:t xml:space="preserve"> </w:t>
            </w:r>
            <w:r w:rsidRPr="0084450C">
              <w:t>with</w:t>
            </w:r>
            <w:r w:rsidRPr="0084450C">
              <w:rPr>
                <w:spacing w:val="1"/>
              </w:rPr>
              <w:t xml:space="preserve"> </w:t>
            </w:r>
            <w:r w:rsidRPr="0084450C">
              <w:t xml:space="preserve">a </w:t>
            </w:r>
            <w:r w:rsidRPr="0084450C">
              <w:rPr>
                <w:spacing w:val="1"/>
              </w:rPr>
              <w:t>con</w:t>
            </w:r>
            <w:r w:rsidRPr="0084450C">
              <w:rPr>
                <w:spacing w:val="-2"/>
              </w:rPr>
              <w:t>t</w:t>
            </w:r>
            <w:r w:rsidRPr="0084450C">
              <w:rPr>
                <w:spacing w:val="1"/>
              </w:rPr>
              <w:t>ro</w:t>
            </w:r>
            <w:r w:rsidRPr="0084450C">
              <w:t>l</w:t>
            </w:r>
            <w:r w:rsidRPr="0084450C">
              <w:rPr>
                <w:spacing w:val="-1"/>
              </w:rPr>
              <w:t xml:space="preserve"> </w:t>
            </w:r>
            <w:r w:rsidRPr="0084450C">
              <w:rPr>
                <w:spacing w:val="1"/>
              </w:rPr>
              <w:t>g</w:t>
            </w:r>
            <w:r w:rsidRPr="0084450C">
              <w:rPr>
                <w:spacing w:val="-1"/>
              </w:rPr>
              <w:t>ro</w:t>
            </w:r>
            <w:r w:rsidRPr="0084450C">
              <w:rPr>
                <w:spacing w:val="1"/>
              </w:rPr>
              <w:t>up</w:t>
            </w:r>
          </w:p>
        </w:tc>
      </w:tr>
      <w:tr w:rsidR="0004128C" w:rsidRPr="0004128C" w:rsidTr="0004128C">
        <w:tc>
          <w:tcPr>
            <w:tcW w:w="1384" w:type="dxa"/>
          </w:tcPr>
          <w:p w:rsidR="0004128C" w:rsidRPr="0084450C" w:rsidRDefault="0004128C" w:rsidP="0084450C">
            <w:pPr>
              <w:pStyle w:val="TableText0"/>
            </w:pPr>
            <w:r w:rsidRPr="0084450C">
              <w:rPr>
                <w:spacing w:val="1"/>
              </w:rPr>
              <w:t>I</w:t>
            </w:r>
            <w:r w:rsidRPr="0084450C">
              <w:rPr>
                <w:spacing w:val="-1"/>
              </w:rPr>
              <w:t>I</w:t>
            </w:r>
            <w:r w:rsidRPr="0084450C">
              <w:rPr>
                <w:spacing w:val="1"/>
              </w:rPr>
              <w:t>I</w:t>
            </w:r>
            <w:r w:rsidRPr="0084450C">
              <w:rPr>
                <w:spacing w:val="-1"/>
              </w:rPr>
              <w:t>-</w:t>
            </w:r>
            <w:r w:rsidRPr="0084450C">
              <w:rPr>
                <w:spacing w:val="1"/>
              </w:rPr>
              <w:t>3</w:t>
            </w:r>
          </w:p>
        </w:tc>
        <w:tc>
          <w:tcPr>
            <w:tcW w:w="7858" w:type="dxa"/>
          </w:tcPr>
          <w:p w:rsidR="0004128C" w:rsidRPr="0084450C" w:rsidRDefault="0004128C" w:rsidP="0084450C">
            <w:pPr>
              <w:pStyle w:val="TableText0"/>
            </w:pPr>
            <w:r w:rsidRPr="0084450C">
              <w:t>A</w:t>
            </w:r>
            <w:r w:rsidRPr="0084450C">
              <w:rPr>
                <w:spacing w:val="1"/>
              </w:rPr>
              <w:t xml:space="preserve"> </w:t>
            </w:r>
            <w:r w:rsidRPr="0084450C">
              <w:rPr>
                <w:spacing w:val="-1"/>
              </w:rPr>
              <w:t>c</w:t>
            </w:r>
            <w:r w:rsidRPr="0084450C">
              <w:rPr>
                <w:spacing w:val="1"/>
              </w:rPr>
              <w:t>o</w:t>
            </w:r>
            <w:r w:rsidRPr="0084450C">
              <w:rPr>
                <w:spacing w:val="-2"/>
              </w:rPr>
              <w:t>m</w:t>
            </w:r>
            <w:r w:rsidRPr="0084450C">
              <w:rPr>
                <w:spacing w:val="1"/>
              </w:rPr>
              <w:t>p</w:t>
            </w:r>
            <w:r w:rsidRPr="0084450C">
              <w:rPr>
                <w:spacing w:val="-1"/>
              </w:rPr>
              <w:t>a</w:t>
            </w:r>
            <w:r w:rsidRPr="0084450C">
              <w:t>r</w:t>
            </w:r>
            <w:r w:rsidRPr="0084450C">
              <w:rPr>
                <w:spacing w:val="-1"/>
              </w:rPr>
              <w:t>ati</w:t>
            </w:r>
            <w:r w:rsidRPr="0084450C">
              <w:rPr>
                <w:spacing w:val="1"/>
              </w:rPr>
              <w:t>v</w:t>
            </w:r>
            <w:r w:rsidRPr="0084450C">
              <w:t xml:space="preserve">e </w:t>
            </w:r>
            <w:r w:rsidRPr="0084450C">
              <w:rPr>
                <w:spacing w:val="-1"/>
              </w:rPr>
              <w:t>stu</w:t>
            </w:r>
            <w:r w:rsidRPr="0084450C">
              <w:rPr>
                <w:spacing w:val="1"/>
              </w:rPr>
              <w:t>d</w:t>
            </w:r>
            <w:r w:rsidRPr="0084450C">
              <w:t>y w</w:t>
            </w:r>
            <w:r w:rsidRPr="0084450C">
              <w:rPr>
                <w:spacing w:val="-1"/>
              </w:rPr>
              <w:t>itho</w:t>
            </w:r>
            <w:r w:rsidRPr="0084450C">
              <w:rPr>
                <w:spacing w:val="1"/>
              </w:rPr>
              <w:t>u</w:t>
            </w:r>
            <w:r w:rsidRPr="0084450C">
              <w:rPr>
                <w:spacing w:val="-1"/>
              </w:rPr>
              <w:t xml:space="preserve">t </w:t>
            </w:r>
            <w:r w:rsidRPr="0084450C">
              <w:t>con</w:t>
            </w:r>
            <w:r w:rsidRPr="0084450C">
              <w:rPr>
                <w:spacing w:val="-1"/>
              </w:rPr>
              <w:t>cu</w:t>
            </w:r>
            <w:r w:rsidRPr="0084450C">
              <w:t>rr</w:t>
            </w:r>
            <w:r w:rsidRPr="0084450C">
              <w:rPr>
                <w:spacing w:val="-1"/>
              </w:rPr>
              <w:t>e</w:t>
            </w:r>
            <w:r w:rsidRPr="0084450C">
              <w:t>nt c</w:t>
            </w:r>
            <w:r w:rsidRPr="0084450C">
              <w:rPr>
                <w:spacing w:val="-1"/>
              </w:rPr>
              <w:t>on</w:t>
            </w:r>
            <w:r w:rsidRPr="0084450C">
              <w:t>trols:</w:t>
            </w:r>
          </w:p>
          <w:p w:rsidR="0004128C" w:rsidRPr="0084450C" w:rsidRDefault="0004128C" w:rsidP="0084450C">
            <w:pPr>
              <w:pStyle w:val="TableText0"/>
            </w:pPr>
            <w:r w:rsidRPr="0084450C">
              <w:rPr>
                <w:rFonts w:cs="Symbol"/>
              </w:rPr>
              <w:t>▪</w:t>
            </w:r>
            <w:r w:rsidRPr="0084450C">
              <w:t xml:space="preserve">  </w:t>
            </w:r>
            <w:r w:rsidRPr="0084450C">
              <w:rPr>
                <w:spacing w:val="10"/>
              </w:rPr>
              <w:t xml:space="preserve"> </w:t>
            </w:r>
            <w:r w:rsidRPr="0084450C">
              <w:t xml:space="preserve">Historical </w:t>
            </w:r>
            <w:r w:rsidRPr="0084450C">
              <w:rPr>
                <w:spacing w:val="-1"/>
              </w:rPr>
              <w:t>co</w:t>
            </w:r>
            <w:r w:rsidRPr="0084450C">
              <w:t>ntrol s</w:t>
            </w:r>
            <w:r w:rsidRPr="0084450C">
              <w:rPr>
                <w:spacing w:val="-2"/>
              </w:rPr>
              <w:t>t</w:t>
            </w:r>
            <w:r w:rsidRPr="0084450C">
              <w:t>udy</w:t>
            </w:r>
          </w:p>
          <w:p w:rsidR="0004128C" w:rsidRPr="0084450C" w:rsidRDefault="0004128C" w:rsidP="0084450C">
            <w:pPr>
              <w:pStyle w:val="TableText0"/>
              <w:rPr>
                <w:vertAlign w:val="superscript"/>
              </w:rPr>
            </w:pPr>
            <w:r w:rsidRPr="0084450C">
              <w:rPr>
                <w:rFonts w:cs="Symbol"/>
              </w:rPr>
              <w:t>▪</w:t>
            </w:r>
            <w:r w:rsidRPr="0084450C">
              <w:t xml:space="preserve">  </w:t>
            </w:r>
            <w:r w:rsidRPr="0084450C">
              <w:rPr>
                <w:spacing w:val="10"/>
              </w:rPr>
              <w:t xml:space="preserve"> </w:t>
            </w:r>
            <w:r w:rsidRPr="0084450C">
              <w:t>T</w:t>
            </w:r>
            <w:r w:rsidRPr="0084450C">
              <w:rPr>
                <w:spacing w:val="-1"/>
              </w:rPr>
              <w:t>w</w:t>
            </w:r>
            <w:r w:rsidRPr="0084450C">
              <w:t>o</w:t>
            </w:r>
            <w:r w:rsidRPr="0084450C">
              <w:rPr>
                <w:spacing w:val="-1"/>
              </w:rPr>
              <w:t xml:space="preserve"> </w:t>
            </w:r>
            <w:r w:rsidRPr="0084450C">
              <w:t>or</w:t>
            </w:r>
            <w:r w:rsidRPr="0084450C">
              <w:rPr>
                <w:spacing w:val="1"/>
              </w:rPr>
              <w:t xml:space="preserve"> </w:t>
            </w:r>
            <w:r w:rsidRPr="0084450C">
              <w:rPr>
                <w:spacing w:val="-2"/>
              </w:rPr>
              <w:t>m</w:t>
            </w:r>
            <w:r w:rsidRPr="0084450C">
              <w:rPr>
                <w:spacing w:val="1"/>
              </w:rPr>
              <w:t>o</w:t>
            </w:r>
            <w:r w:rsidRPr="0084450C">
              <w:t>re</w:t>
            </w:r>
            <w:r w:rsidRPr="0084450C">
              <w:rPr>
                <w:spacing w:val="1"/>
              </w:rPr>
              <w:t xml:space="preserve"> </w:t>
            </w:r>
            <w:r w:rsidRPr="0084450C">
              <w:t>s</w:t>
            </w:r>
            <w:r w:rsidRPr="0084450C">
              <w:rPr>
                <w:spacing w:val="-2"/>
              </w:rPr>
              <w:t>i</w:t>
            </w:r>
            <w:r w:rsidRPr="0084450C">
              <w:t>ngle</w:t>
            </w:r>
            <w:r w:rsidRPr="0084450C">
              <w:rPr>
                <w:spacing w:val="1"/>
              </w:rPr>
              <w:t xml:space="preserve"> </w:t>
            </w:r>
            <w:r w:rsidRPr="0084450C">
              <w:rPr>
                <w:spacing w:val="-1"/>
              </w:rPr>
              <w:t>a</w:t>
            </w:r>
            <w:r w:rsidRPr="0084450C">
              <w:t>rm study</w:t>
            </w:r>
            <w:r w:rsidRPr="0084450C">
              <w:rPr>
                <w:vertAlign w:val="superscript"/>
              </w:rPr>
              <w:t>4</w:t>
            </w:r>
          </w:p>
          <w:p w:rsidR="0004128C" w:rsidRPr="0084450C" w:rsidRDefault="0004128C" w:rsidP="0084450C">
            <w:pPr>
              <w:pStyle w:val="TableText0"/>
            </w:pPr>
            <w:r w:rsidRPr="0084450C">
              <w:rPr>
                <w:rFonts w:cs="Symbol"/>
              </w:rPr>
              <w:t xml:space="preserve">  ▪</w:t>
            </w:r>
            <w:r w:rsidRPr="0084450C">
              <w:t xml:space="preserve">  I</w:t>
            </w:r>
            <w:r w:rsidRPr="0084450C">
              <w:rPr>
                <w:spacing w:val="1"/>
              </w:rPr>
              <w:t>n</w:t>
            </w:r>
            <w:r w:rsidRPr="0084450C">
              <w:t>terr</w:t>
            </w:r>
            <w:r w:rsidRPr="0084450C">
              <w:rPr>
                <w:spacing w:val="1"/>
              </w:rPr>
              <w:t>up</w:t>
            </w:r>
            <w:r w:rsidRPr="0084450C">
              <w:t>ted</w:t>
            </w:r>
            <w:r w:rsidRPr="0084450C">
              <w:rPr>
                <w:spacing w:val="1"/>
              </w:rPr>
              <w:t xml:space="preserve"> </w:t>
            </w:r>
            <w:r w:rsidRPr="0084450C">
              <w:t>time series wit</w:t>
            </w:r>
            <w:r w:rsidRPr="0084450C">
              <w:rPr>
                <w:spacing w:val="1"/>
              </w:rPr>
              <w:t>h</w:t>
            </w:r>
            <w:r w:rsidRPr="0084450C">
              <w:t>o</w:t>
            </w:r>
            <w:r w:rsidRPr="0084450C">
              <w:rPr>
                <w:spacing w:val="1"/>
              </w:rPr>
              <w:t>u</w:t>
            </w:r>
            <w:r w:rsidRPr="0084450C">
              <w:t>t a</w:t>
            </w:r>
            <w:r w:rsidRPr="0084450C">
              <w:rPr>
                <w:spacing w:val="-1"/>
              </w:rPr>
              <w:t xml:space="preserve"> </w:t>
            </w:r>
            <w:r w:rsidRPr="0084450C">
              <w:rPr>
                <w:spacing w:val="1"/>
              </w:rPr>
              <w:t>p</w:t>
            </w:r>
            <w:r w:rsidRPr="0084450C">
              <w:rPr>
                <w:spacing w:val="-1"/>
              </w:rPr>
              <w:t>a</w:t>
            </w:r>
            <w:r w:rsidRPr="0084450C">
              <w:t>rallel c</w:t>
            </w:r>
            <w:r w:rsidRPr="0084450C">
              <w:rPr>
                <w:spacing w:val="1"/>
              </w:rPr>
              <w:t>on</w:t>
            </w:r>
            <w:r w:rsidRPr="0084450C">
              <w:t>tr</w:t>
            </w:r>
            <w:r w:rsidRPr="0084450C">
              <w:rPr>
                <w:spacing w:val="1"/>
              </w:rPr>
              <w:t>o</w:t>
            </w:r>
            <w:r w:rsidRPr="0084450C">
              <w:t xml:space="preserve">l </w:t>
            </w:r>
            <w:r w:rsidRPr="0084450C">
              <w:rPr>
                <w:spacing w:val="1"/>
              </w:rPr>
              <w:t>g</w:t>
            </w:r>
            <w:r w:rsidRPr="0084450C">
              <w:rPr>
                <w:spacing w:val="-1"/>
              </w:rPr>
              <w:t>ro</w:t>
            </w:r>
            <w:r w:rsidRPr="0084450C">
              <w:rPr>
                <w:spacing w:val="1"/>
              </w:rPr>
              <w:t>up</w:t>
            </w:r>
          </w:p>
        </w:tc>
      </w:tr>
      <w:tr w:rsidR="0004128C" w:rsidRPr="0004128C" w:rsidTr="0004128C">
        <w:tc>
          <w:tcPr>
            <w:tcW w:w="1384" w:type="dxa"/>
          </w:tcPr>
          <w:p w:rsidR="0004128C" w:rsidRPr="0084450C" w:rsidRDefault="0004128C" w:rsidP="0084450C">
            <w:pPr>
              <w:pStyle w:val="TableText0"/>
            </w:pPr>
            <w:r w:rsidRPr="0084450C">
              <w:t>IV</w:t>
            </w:r>
          </w:p>
        </w:tc>
        <w:tc>
          <w:tcPr>
            <w:tcW w:w="7858" w:type="dxa"/>
          </w:tcPr>
          <w:p w:rsidR="0004128C" w:rsidRPr="0084450C" w:rsidRDefault="0004128C" w:rsidP="0084450C">
            <w:pPr>
              <w:pStyle w:val="TableText0"/>
            </w:pPr>
            <w:r w:rsidRPr="0084450C">
              <w:t>Case series</w:t>
            </w:r>
            <w:r w:rsidRPr="0084450C">
              <w:rPr>
                <w:spacing w:val="-1"/>
              </w:rPr>
              <w:t xml:space="preserve"> </w:t>
            </w:r>
            <w:r w:rsidRPr="0084450C">
              <w:t>with</w:t>
            </w:r>
            <w:r w:rsidRPr="0084450C">
              <w:rPr>
                <w:spacing w:val="1"/>
              </w:rPr>
              <w:t xml:space="preserve"> </w:t>
            </w:r>
            <w:r w:rsidRPr="0084450C">
              <w:t>eit</w:t>
            </w:r>
            <w:r w:rsidRPr="0084450C">
              <w:rPr>
                <w:spacing w:val="1"/>
              </w:rPr>
              <w:t>h</w:t>
            </w:r>
            <w:r w:rsidRPr="0084450C">
              <w:t>er</w:t>
            </w:r>
            <w:r w:rsidRPr="0084450C">
              <w:rPr>
                <w:spacing w:val="-1"/>
              </w:rPr>
              <w:t xml:space="preserve"> </w:t>
            </w:r>
            <w:r w:rsidRPr="0084450C">
              <w:rPr>
                <w:spacing w:val="1"/>
              </w:rPr>
              <w:t>po</w:t>
            </w:r>
            <w:r w:rsidRPr="0084450C">
              <w:t>s</w:t>
            </w:r>
            <w:r w:rsidRPr="0084450C">
              <w:rPr>
                <w:spacing w:val="-2"/>
              </w:rPr>
              <w:t>t</w:t>
            </w:r>
            <w:r w:rsidRPr="0084450C">
              <w:t xml:space="preserve">-test </w:t>
            </w:r>
            <w:r w:rsidRPr="0084450C">
              <w:rPr>
                <w:spacing w:val="1"/>
              </w:rPr>
              <w:t>o</w:t>
            </w:r>
            <w:r w:rsidRPr="0084450C">
              <w:t>r pre-test/p</w:t>
            </w:r>
            <w:r w:rsidRPr="0084450C">
              <w:rPr>
                <w:spacing w:val="1"/>
              </w:rPr>
              <w:t>o</w:t>
            </w:r>
            <w:r w:rsidRPr="0084450C">
              <w:t>s</w:t>
            </w:r>
            <w:r w:rsidRPr="0084450C">
              <w:rPr>
                <w:spacing w:val="-2"/>
              </w:rPr>
              <w:t>t</w:t>
            </w:r>
            <w:r w:rsidRPr="0084450C">
              <w:t>-test o</w:t>
            </w:r>
            <w:r w:rsidRPr="0084450C">
              <w:rPr>
                <w:spacing w:val="1"/>
              </w:rPr>
              <w:t>u</w:t>
            </w:r>
            <w:r w:rsidRPr="0084450C">
              <w:t>tc</w:t>
            </w:r>
            <w:r w:rsidRPr="0084450C">
              <w:rPr>
                <w:spacing w:val="1"/>
              </w:rPr>
              <w:t>o</w:t>
            </w:r>
            <w:r w:rsidRPr="0084450C">
              <w:rPr>
                <w:spacing w:val="-2"/>
              </w:rPr>
              <w:t>m</w:t>
            </w:r>
            <w:r w:rsidRPr="0084450C">
              <w:t>es</w:t>
            </w:r>
          </w:p>
        </w:tc>
      </w:tr>
    </w:tbl>
    <w:p w:rsidR="0004128C" w:rsidRPr="0004128C" w:rsidRDefault="0004128C" w:rsidP="008C7C91">
      <w:pPr>
        <w:spacing w:after="40"/>
        <w:rPr>
          <w:rFonts w:ascii="Arial Narrow" w:hAnsi="Arial Narrow"/>
          <w:sz w:val="20"/>
          <w:szCs w:val="20"/>
        </w:rPr>
      </w:pPr>
      <w:r w:rsidRPr="008C7C91">
        <w:rPr>
          <w:rFonts w:ascii="Arial Narrow" w:hAnsi="Arial Narrow"/>
          <w:position w:val="9"/>
          <w:sz w:val="20"/>
          <w:szCs w:val="20"/>
          <w:vertAlign w:val="subscript"/>
        </w:rPr>
        <w:t xml:space="preserve">1 </w:t>
      </w:r>
      <w:r w:rsidR="000D7507" w:rsidRPr="000D7507">
        <w:rPr>
          <w:rFonts w:ascii="Arial Narrow" w:hAnsi="Arial Narrow"/>
          <w:sz w:val="20"/>
          <w:szCs w:val="20"/>
        </w:rPr>
        <w:t>Definitions of these study designs are provided on pages 7-8 How to use the evidence: assessment and application of scientific evidence (NHMRC 2000b) and in the accompanying Glossary accompanying Merlin, Weston &amp; Tooher, 2009</w:t>
      </w:r>
    </w:p>
    <w:p w:rsidR="0004128C" w:rsidRPr="0004128C" w:rsidRDefault="0004128C" w:rsidP="008C7C91">
      <w:pPr>
        <w:spacing w:after="40"/>
        <w:rPr>
          <w:rFonts w:ascii="Arial Narrow" w:hAnsi="Arial Narrow"/>
          <w:spacing w:val="-1"/>
          <w:sz w:val="20"/>
          <w:szCs w:val="20"/>
        </w:rPr>
      </w:pPr>
      <w:r w:rsidRPr="008C7C91">
        <w:rPr>
          <w:rFonts w:ascii="Arial Narrow" w:hAnsi="Arial Narrow"/>
          <w:w w:val="99"/>
          <w:position w:val="9"/>
          <w:sz w:val="20"/>
          <w:szCs w:val="20"/>
          <w:vertAlign w:val="subscript"/>
        </w:rPr>
        <w:t>2</w:t>
      </w:r>
      <w:r w:rsidRPr="008C7C91">
        <w:rPr>
          <w:rFonts w:ascii="Arial Narrow" w:hAnsi="Arial Narrow"/>
          <w:sz w:val="20"/>
          <w:szCs w:val="20"/>
          <w:vertAlign w:val="subscript"/>
        </w:rPr>
        <w:t xml:space="preserve"> </w:t>
      </w:r>
      <w:r w:rsidRPr="0004128C">
        <w:rPr>
          <w:rFonts w:ascii="Arial Narrow" w:hAnsi="Arial Narrow"/>
          <w:sz w:val="20"/>
          <w:szCs w:val="20"/>
        </w:rPr>
        <w:t>A syste</w:t>
      </w:r>
      <w:r w:rsidRPr="0004128C">
        <w:rPr>
          <w:rFonts w:ascii="Arial Narrow" w:hAnsi="Arial Narrow"/>
          <w:spacing w:val="-2"/>
          <w:sz w:val="20"/>
          <w:szCs w:val="20"/>
        </w:rPr>
        <w:t>m</w:t>
      </w:r>
      <w:r w:rsidRPr="0004128C">
        <w:rPr>
          <w:rFonts w:ascii="Arial Narrow" w:hAnsi="Arial Narrow"/>
          <w:sz w:val="20"/>
          <w:szCs w:val="20"/>
        </w:rPr>
        <w:t>atic</w:t>
      </w:r>
      <w:r w:rsidRPr="0004128C">
        <w:rPr>
          <w:rFonts w:ascii="Arial Narrow" w:hAnsi="Arial Narrow"/>
          <w:spacing w:val="1"/>
          <w:sz w:val="20"/>
          <w:szCs w:val="20"/>
        </w:rPr>
        <w:t xml:space="preserve"> </w:t>
      </w:r>
      <w:r w:rsidRPr="0004128C">
        <w:rPr>
          <w:rFonts w:ascii="Arial Narrow" w:hAnsi="Arial Narrow"/>
          <w:sz w:val="20"/>
          <w:szCs w:val="20"/>
        </w:rPr>
        <w:t>re</w:t>
      </w:r>
      <w:r w:rsidRPr="0004128C">
        <w:rPr>
          <w:rFonts w:ascii="Arial Narrow" w:hAnsi="Arial Narrow"/>
          <w:spacing w:val="1"/>
          <w:sz w:val="20"/>
          <w:szCs w:val="20"/>
        </w:rPr>
        <w:t>v</w:t>
      </w:r>
      <w:r w:rsidRPr="0004128C">
        <w:rPr>
          <w:rFonts w:ascii="Arial Narrow" w:hAnsi="Arial Narrow"/>
          <w:sz w:val="20"/>
          <w:szCs w:val="20"/>
        </w:rPr>
        <w:t>iew</w:t>
      </w:r>
      <w:r w:rsidRPr="0004128C">
        <w:rPr>
          <w:rFonts w:ascii="Arial Narrow" w:hAnsi="Arial Narrow"/>
          <w:spacing w:val="-1"/>
          <w:sz w:val="20"/>
          <w:szCs w:val="20"/>
        </w:rPr>
        <w:t xml:space="preserve"> </w:t>
      </w:r>
      <w:r w:rsidRPr="0004128C">
        <w:rPr>
          <w:rFonts w:ascii="Arial Narrow" w:hAnsi="Arial Narrow"/>
          <w:sz w:val="20"/>
          <w:szCs w:val="20"/>
        </w:rPr>
        <w:t xml:space="preserve">will </w:t>
      </w:r>
      <w:r w:rsidRPr="0004128C">
        <w:rPr>
          <w:rFonts w:ascii="Arial Narrow" w:hAnsi="Arial Narrow"/>
          <w:spacing w:val="1"/>
          <w:sz w:val="20"/>
          <w:szCs w:val="20"/>
        </w:rPr>
        <w:t>on</w:t>
      </w:r>
      <w:r w:rsidRPr="0004128C">
        <w:rPr>
          <w:rFonts w:ascii="Arial Narrow" w:hAnsi="Arial Narrow"/>
          <w:spacing w:val="-2"/>
          <w:sz w:val="20"/>
          <w:szCs w:val="20"/>
        </w:rPr>
        <w:t>l</w:t>
      </w:r>
      <w:r w:rsidRPr="0004128C">
        <w:rPr>
          <w:rFonts w:ascii="Arial Narrow" w:hAnsi="Arial Narrow"/>
          <w:sz w:val="20"/>
          <w:szCs w:val="20"/>
        </w:rPr>
        <w:t xml:space="preserve">y </w:t>
      </w:r>
      <w:r w:rsidRPr="0004128C">
        <w:rPr>
          <w:rFonts w:ascii="Arial Narrow" w:hAnsi="Arial Narrow"/>
          <w:spacing w:val="1"/>
          <w:sz w:val="20"/>
          <w:szCs w:val="20"/>
        </w:rPr>
        <w:t>b</w:t>
      </w:r>
      <w:r w:rsidRPr="0004128C">
        <w:rPr>
          <w:rFonts w:ascii="Arial Narrow" w:hAnsi="Arial Narrow"/>
          <w:sz w:val="20"/>
          <w:szCs w:val="20"/>
        </w:rPr>
        <w:t>e ass</w:t>
      </w:r>
      <w:r w:rsidRPr="0004128C">
        <w:rPr>
          <w:rFonts w:ascii="Arial Narrow" w:hAnsi="Arial Narrow"/>
          <w:spacing w:val="-2"/>
          <w:sz w:val="20"/>
          <w:szCs w:val="20"/>
        </w:rPr>
        <w:t>i</w:t>
      </w:r>
      <w:r w:rsidRPr="0004128C">
        <w:rPr>
          <w:rFonts w:ascii="Arial Narrow" w:hAnsi="Arial Narrow"/>
          <w:spacing w:val="1"/>
          <w:sz w:val="20"/>
          <w:szCs w:val="20"/>
        </w:rPr>
        <w:t>gn</w:t>
      </w:r>
      <w:r w:rsidRPr="0004128C">
        <w:rPr>
          <w:rFonts w:ascii="Arial Narrow" w:hAnsi="Arial Narrow"/>
          <w:spacing w:val="-1"/>
          <w:sz w:val="20"/>
          <w:szCs w:val="20"/>
        </w:rPr>
        <w:t>e</w:t>
      </w:r>
      <w:r w:rsidRPr="0004128C">
        <w:rPr>
          <w:rFonts w:ascii="Arial Narrow" w:hAnsi="Arial Narrow"/>
          <w:sz w:val="20"/>
          <w:szCs w:val="20"/>
        </w:rPr>
        <w:t>d</w:t>
      </w:r>
      <w:r w:rsidRPr="0004128C">
        <w:rPr>
          <w:rFonts w:ascii="Arial Narrow" w:hAnsi="Arial Narrow"/>
          <w:spacing w:val="1"/>
          <w:sz w:val="20"/>
          <w:szCs w:val="20"/>
        </w:rPr>
        <w:t xml:space="preserve"> </w:t>
      </w:r>
      <w:r w:rsidRPr="0004128C">
        <w:rPr>
          <w:rFonts w:ascii="Arial Narrow" w:hAnsi="Arial Narrow"/>
          <w:sz w:val="20"/>
          <w:szCs w:val="20"/>
        </w:rPr>
        <w:t>a le</w:t>
      </w:r>
      <w:r w:rsidRPr="0004128C">
        <w:rPr>
          <w:rFonts w:ascii="Arial Narrow" w:hAnsi="Arial Narrow"/>
          <w:spacing w:val="1"/>
          <w:sz w:val="20"/>
          <w:szCs w:val="20"/>
        </w:rPr>
        <w:t>v</w:t>
      </w:r>
      <w:r w:rsidRPr="0004128C">
        <w:rPr>
          <w:rFonts w:ascii="Arial Narrow" w:hAnsi="Arial Narrow"/>
          <w:sz w:val="20"/>
          <w:szCs w:val="20"/>
        </w:rPr>
        <w:t>el of e</w:t>
      </w:r>
      <w:r w:rsidRPr="0004128C">
        <w:rPr>
          <w:rFonts w:ascii="Arial Narrow" w:hAnsi="Arial Narrow"/>
          <w:spacing w:val="1"/>
          <w:sz w:val="20"/>
          <w:szCs w:val="20"/>
        </w:rPr>
        <w:t>v</w:t>
      </w:r>
      <w:r w:rsidRPr="0004128C">
        <w:rPr>
          <w:rFonts w:ascii="Arial Narrow" w:hAnsi="Arial Narrow"/>
          <w:sz w:val="20"/>
          <w:szCs w:val="20"/>
        </w:rPr>
        <w:t>i</w:t>
      </w:r>
      <w:r w:rsidRPr="0004128C">
        <w:rPr>
          <w:rFonts w:ascii="Arial Narrow" w:hAnsi="Arial Narrow"/>
          <w:spacing w:val="1"/>
          <w:sz w:val="20"/>
          <w:szCs w:val="20"/>
        </w:rPr>
        <w:t>d</w:t>
      </w:r>
      <w:r w:rsidRPr="0004128C">
        <w:rPr>
          <w:rFonts w:ascii="Arial Narrow" w:hAnsi="Arial Narrow"/>
          <w:sz w:val="20"/>
          <w:szCs w:val="20"/>
        </w:rPr>
        <w:t>e</w:t>
      </w:r>
      <w:r w:rsidRPr="0004128C">
        <w:rPr>
          <w:rFonts w:ascii="Arial Narrow" w:hAnsi="Arial Narrow"/>
          <w:spacing w:val="1"/>
          <w:sz w:val="20"/>
          <w:szCs w:val="20"/>
        </w:rPr>
        <w:t>n</w:t>
      </w:r>
      <w:r w:rsidRPr="0004128C">
        <w:rPr>
          <w:rFonts w:ascii="Arial Narrow" w:hAnsi="Arial Narrow"/>
          <w:sz w:val="20"/>
          <w:szCs w:val="20"/>
        </w:rPr>
        <w:t>ce as</w:t>
      </w:r>
      <w:r w:rsidRPr="0004128C">
        <w:rPr>
          <w:rFonts w:ascii="Arial Narrow" w:hAnsi="Arial Narrow"/>
          <w:spacing w:val="-1"/>
          <w:sz w:val="20"/>
          <w:szCs w:val="20"/>
        </w:rPr>
        <w:t xml:space="preserve"> </w:t>
      </w:r>
      <w:r w:rsidRPr="0004128C">
        <w:rPr>
          <w:rFonts w:ascii="Arial Narrow" w:hAnsi="Arial Narrow"/>
          <w:spacing w:val="1"/>
          <w:sz w:val="20"/>
          <w:szCs w:val="20"/>
        </w:rPr>
        <w:t>h</w:t>
      </w:r>
      <w:r w:rsidRPr="0004128C">
        <w:rPr>
          <w:rFonts w:ascii="Arial Narrow" w:hAnsi="Arial Narrow"/>
          <w:spacing w:val="-2"/>
          <w:sz w:val="20"/>
          <w:szCs w:val="20"/>
        </w:rPr>
        <w:t>i</w:t>
      </w:r>
      <w:r w:rsidRPr="0004128C">
        <w:rPr>
          <w:rFonts w:ascii="Arial Narrow" w:hAnsi="Arial Narrow"/>
          <w:spacing w:val="1"/>
          <w:sz w:val="20"/>
          <w:szCs w:val="20"/>
        </w:rPr>
        <w:t>g</w:t>
      </w:r>
      <w:r w:rsidRPr="0004128C">
        <w:rPr>
          <w:rFonts w:ascii="Arial Narrow" w:hAnsi="Arial Narrow"/>
          <w:sz w:val="20"/>
          <w:szCs w:val="20"/>
        </w:rPr>
        <w:t xml:space="preserve">h as </w:t>
      </w:r>
      <w:r w:rsidRPr="0004128C">
        <w:rPr>
          <w:rFonts w:ascii="Arial Narrow" w:hAnsi="Arial Narrow"/>
          <w:spacing w:val="-2"/>
          <w:sz w:val="20"/>
          <w:szCs w:val="20"/>
        </w:rPr>
        <w:t>t</w:t>
      </w:r>
      <w:r w:rsidRPr="0004128C">
        <w:rPr>
          <w:rFonts w:ascii="Arial Narrow" w:hAnsi="Arial Narrow"/>
          <w:spacing w:val="1"/>
          <w:sz w:val="20"/>
          <w:szCs w:val="20"/>
        </w:rPr>
        <w:t>h</w:t>
      </w:r>
      <w:r w:rsidRPr="0004128C">
        <w:rPr>
          <w:rFonts w:ascii="Arial Narrow" w:hAnsi="Arial Narrow"/>
          <w:sz w:val="20"/>
          <w:szCs w:val="20"/>
        </w:rPr>
        <w:t>e s</w:t>
      </w:r>
      <w:r w:rsidRPr="0004128C">
        <w:rPr>
          <w:rFonts w:ascii="Arial Narrow" w:hAnsi="Arial Narrow"/>
          <w:spacing w:val="-2"/>
          <w:sz w:val="20"/>
          <w:szCs w:val="20"/>
        </w:rPr>
        <w:t>t</w:t>
      </w:r>
      <w:r w:rsidRPr="0004128C">
        <w:rPr>
          <w:rFonts w:ascii="Arial Narrow" w:hAnsi="Arial Narrow"/>
          <w:spacing w:val="1"/>
          <w:sz w:val="20"/>
          <w:szCs w:val="20"/>
        </w:rPr>
        <w:t>ud</w:t>
      </w:r>
      <w:r w:rsidRPr="0004128C">
        <w:rPr>
          <w:rFonts w:ascii="Arial Narrow" w:hAnsi="Arial Narrow"/>
          <w:sz w:val="20"/>
          <w:szCs w:val="20"/>
        </w:rPr>
        <w:t>ies it co</w:t>
      </w:r>
      <w:r w:rsidRPr="0004128C">
        <w:rPr>
          <w:rFonts w:ascii="Arial Narrow" w:hAnsi="Arial Narrow"/>
          <w:spacing w:val="1"/>
          <w:sz w:val="20"/>
          <w:szCs w:val="20"/>
        </w:rPr>
        <w:t>n</w:t>
      </w:r>
      <w:r w:rsidRPr="0004128C">
        <w:rPr>
          <w:rFonts w:ascii="Arial Narrow" w:hAnsi="Arial Narrow"/>
          <w:sz w:val="20"/>
          <w:szCs w:val="20"/>
        </w:rPr>
        <w:t>tai</w:t>
      </w:r>
      <w:r w:rsidRPr="0004128C">
        <w:rPr>
          <w:rFonts w:ascii="Arial Narrow" w:hAnsi="Arial Narrow"/>
          <w:spacing w:val="1"/>
          <w:sz w:val="20"/>
          <w:szCs w:val="20"/>
        </w:rPr>
        <w:t>n</w:t>
      </w:r>
      <w:r w:rsidRPr="0004128C">
        <w:rPr>
          <w:rFonts w:ascii="Arial Narrow" w:hAnsi="Arial Narrow"/>
          <w:sz w:val="20"/>
          <w:szCs w:val="20"/>
        </w:rPr>
        <w:t>s, e</w:t>
      </w:r>
      <w:r w:rsidRPr="0004128C">
        <w:rPr>
          <w:rFonts w:ascii="Arial Narrow" w:hAnsi="Arial Narrow"/>
          <w:spacing w:val="1"/>
          <w:sz w:val="20"/>
          <w:szCs w:val="20"/>
        </w:rPr>
        <w:t>x</w:t>
      </w:r>
      <w:r w:rsidRPr="0004128C">
        <w:rPr>
          <w:rFonts w:ascii="Arial Narrow" w:hAnsi="Arial Narrow"/>
          <w:sz w:val="20"/>
          <w:szCs w:val="20"/>
        </w:rPr>
        <w:t>ce</w:t>
      </w:r>
      <w:r w:rsidRPr="0004128C">
        <w:rPr>
          <w:rFonts w:ascii="Arial Narrow" w:hAnsi="Arial Narrow"/>
          <w:spacing w:val="1"/>
          <w:sz w:val="20"/>
          <w:szCs w:val="20"/>
        </w:rPr>
        <w:t>p</w:t>
      </w:r>
      <w:r w:rsidRPr="0004128C">
        <w:rPr>
          <w:rFonts w:ascii="Arial Narrow" w:hAnsi="Arial Narrow"/>
          <w:sz w:val="20"/>
          <w:szCs w:val="20"/>
        </w:rPr>
        <w:t>ti</w:t>
      </w:r>
      <w:r w:rsidRPr="0004128C">
        <w:rPr>
          <w:rFonts w:ascii="Arial Narrow" w:hAnsi="Arial Narrow"/>
          <w:spacing w:val="1"/>
          <w:sz w:val="20"/>
          <w:szCs w:val="20"/>
        </w:rPr>
        <w:t>n</w:t>
      </w:r>
      <w:r w:rsidRPr="0004128C">
        <w:rPr>
          <w:rFonts w:ascii="Arial Narrow" w:hAnsi="Arial Narrow"/>
          <w:sz w:val="20"/>
          <w:szCs w:val="20"/>
        </w:rPr>
        <w:t>g w</w:t>
      </w:r>
      <w:r w:rsidRPr="0004128C">
        <w:rPr>
          <w:rFonts w:ascii="Arial Narrow" w:hAnsi="Arial Narrow"/>
          <w:spacing w:val="1"/>
          <w:sz w:val="20"/>
          <w:szCs w:val="20"/>
        </w:rPr>
        <w:t>h</w:t>
      </w:r>
      <w:r w:rsidRPr="0004128C">
        <w:rPr>
          <w:rFonts w:ascii="Arial Narrow" w:hAnsi="Arial Narrow"/>
          <w:sz w:val="20"/>
          <w:szCs w:val="20"/>
        </w:rPr>
        <w:t>ere th</w:t>
      </w:r>
      <w:r w:rsidRPr="0004128C">
        <w:rPr>
          <w:rFonts w:ascii="Arial Narrow" w:hAnsi="Arial Narrow"/>
          <w:spacing w:val="1"/>
          <w:sz w:val="20"/>
          <w:szCs w:val="20"/>
        </w:rPr>
        <w:t>o</w:t>
      </w:r>
      <w:r w:rsidRPr="0004128C">
        <w:rPr>
          <w:rFonts w:ascii="Arial Narrow" w:hAnsi="Arial Narrow"/>
          <w:sz w:val="20"/>
          <w:szCs w:val="20"/>
        </w:rPr>
        <w:t>se stu</w:t>
      </w:r>
      <w:r w:rsidRPr="0004128C">
        <w:rPr>
          <w:rFonts w:ascii="Arial Narrow" w:hAnsi="Arial Narrow"/>
          <w:spacing w:val="1"/>
          <w:sz w:val="20"/>
          <w:szCs w:val="20"/>
        </w:rPr>
        <w:t>d</w:t>
      </w:r>
      <w:r w:rsidRPr="0004128C">
        <w:rPr>
          <w:rFonts w:ascii="Arial Narrow" w:hAnsi="Arial Narrow"/>
          <w:sz w:val="20"/>
          <w:szCs w:val="20"/>
        </w:rPr>
        <w:t>i</w:t>
      </w:r>
      <w:r w:rsidRPr="0004128C">
        <w:rPr>
          <w:rFonts w:ascii="Arial Narrow" w:hAnsi="Arial Narrow"/>
          <w:spacing w:val="-2"/>
          <w:sz w:val="20"/>
          <w:szCs w:val="20"/>
        </w:rPr>
        <w:t>e</w:t>
      </w:r>
      <w:r w:rsidRPr="0004128C">
        <w:rPr>
          <w:rFonts w:ascii="Arial Narrow" w:hAnsi="Arial Narrow"/>
          <w:sz w:val="20"/>
          <w:szCs w:val="20"/>
        </w:rPr>
        <w:t>s are</w:t>
      </w:r>
      <w:r w:rsidRPr="0004128C">
        <w:rPr>
          <w:rFonts w:ascii="Arial Narrow" w:hAnsi="Arial Narrow"/>
          <w:spacing w:val="-1"/>
          <w:sz w:val="20"/>
          <w:szCs w:val="20"/>
        </w:rPr>
        <w:t xml:space="preserve"> o</w:t>
      </w:r>
      <w:r w:rsidRPr="0004128C">
        <w:rPr>
          <w:rFonts w:ascii="Arial Narrow" w:hAnsi="Arial Narrow"/>
          <w:sz w:val="20"/>
          <w:szCs w:val="20"/>
        </w:rPr>
        <w:t>f</w:t>
      </w:r>
      <w:r w:rsidRPr="0004128C">
        <w:rPr>
          <w:rFonts w:ascii="Arial Narrow" w:hAnsi="Arial Narrow"/>
          <w:spacing w:val="1"/>
          <w:sz w:val="20"/>
          <w:szCs w:val="20"/>
        </w:rPr>
        <w:t xml:space="preserve"> </w:t>
      </w:r>
      <w:r w:rsidRPr="0004128C">
        <w:rPr>
          <w:rFonts w:ascii="Arial Narrow" w:hAnsi="Arial Narrow"/>
          <w:spacing w:val="-1"/>
          <w:sz w:val="20"/>
          <w:szCs w:val="20"/>
        </w:rPr>
        <w:t>l</w:t>
      </w:r>
      <w:r w:rsidRPr="0004128C">
        <w:rPr>
          <w:rFonts w:ascii="Arial Narrow" w:hAnsi="Arial Narrow"/>
          <w:sz w:val="20"/>
          <w:szCs w:val="20"/>
        </w:rPr>
        <w:t>e</w:t>
      </w:r>
      <w:r w:rsidRPr="0004128C">
        <w:rPr>
          <w:rFonts w:ascii="Arial Narrow" w:hAnsi="Arial Narrow"/>
          <w:spacing w:val="1"/>
          <w:sz w:val="20"/>
          <w:szCs w:val="20"/>
        </w:rPr>
        <w:t>v</w:t>
      </w:r>
      <w:r w:rsidRPr="0004128C">
        <w:rPr>
          <w:rFonts w:ascii="Arial Narrow" w:hAnsi="Arial Narrow"/>
          <w:sz w:val="20"/>
          <w:szCs w:val="20"/>
        </w:rPr>
        <w:t>el</w:t>
      </w:r>
      <w:r w:rsidRPr="0004128C">
        <w:rPr>
          <w:rFonts w:ascii="Arial Narrow" w:hAnsi="Arial Narrow"/>
          <w:spacing w:val="-1"/>
          <w:sz w:val="20"/>
          <w:szCs w:val="20"/>
        </w:rPr>
        <w:t xml:space="preserve"> I</w:t>
      </w:r>
      <w:r w:rsidRPr="0004128C">
        <w:rPr>
          <w:rFonts w:ascii="Arial Narrow" w:hAnsi="Arial Narrow"/>
          <w:sz w:val="20"/>
          <w:szCs w:val="20"/>
        </w:rPr>
        <w:t>I</w:t>
      </w:r>
      <w:r w:rsidRPr="0004128C">
        <w:rPr>
          <w:rFonts w:ascii="Arial Narrow" w:hAnsi="Arial Narrow"/>
          <w:spacing w:val="1"/>
          <w:sz w:val="20"/>
          <w:szCs w:val="20"/>
        </w:rPr>
        <w:t xml:space="preserve"> </w:t>
      </w:r>
      <w:r w:rsidRPr="0004128C">
        <w:rPr>
          <w:rFonts w:ascii="Arial Narrow" w:hAnsi="Arial Narrow"/>
          <w:spacing w:val="-1"/>
          <w:sz w:val="20"/>
          <w:szCs w:val="20"/>
        </w:rPr>
        <w:t>e</w:t>
      </w:r>
      <w:r w:rsidRPr="0004128C">
        <w:rPr>
          <w:rFonts w:ascii="Arial Narrow" w:hAnsi="Arial Narrow"/>
          <w:spacing w:val="1"/>
          <w:sz w:val="20"/>
          <w:szCs w:val="20"/>
        </w:rPr>
        <w:t>v</w:t>
      </w:r>
      <w:r w:rsidRPr="0004128C">
        <w:rPr>
          <w:rFonts w:ascii="Arial Narrow" w:hAnsi="Arial Narrow"/>
          <w:spacing w:val="-1"/>
          <w:sz w:val="20"/>
          <w:szCs w:val="20"/>
        </w:rPr>
        <w:t>i</w:t>
      </w:r>
      <w:r w:rsidRPr="0004128C">
        <w:rPr>
          <w:rFonts w:ascii="Arial Narrow" w:hAnsi="Arial Narrow"/>
          <w:spacing w:val="1"/>
          <w:sz w:val="20"/>
          <w:szCs w:val="20"/>
        </w:rPr>
        <w:t>d</w:t>
      </w:r>
      <w:r w:rsidRPr="0004128C">
        <w:rPr>
          <w:rFonts w:ascii="Arial Narrow" w:hAnsi="Arial Narrow"/>
          <w:spacing w:val="-1"/>
          <w:sz w:val="20"/>
          <w:szCs w:val="20"/>
        </w:rPr>
        <w:t>e</w:t>
      </w:r>
      <w:r w:rsidRPr="0004128C">
        <w:rPr>
          <w:rFonts w:ascii="Arial Narrow" w:hAnsi="Arial Narrow"/>
          <w:spacing w:val="1"/>
          <w:sz w:val="20"/>
          <w:szCs w:val="20"/>
        </w:rPr>
        <w:t>n</w:t>
      </w:r>
      <w:r w:rsidRPr="0004128C">
        <w:rPr>
          <w:rFonts w:ascii="Arial Narrow" w:hAnsi="Arial Narrow"/>
          <w:spacing w:val="-1"/>
          <w:sz w:val="20"/>
          <w:szCs w:val="20"/>
        </w:rPr>
        <w:t>c</w:t>
      </w:r>
      <w:r w:rsidRPr="0004128C">
        <w:rPr>
          <w:rFonts w:ascii="Arial Narrow" w:hAnsi="Arial Narrow"/>
          <w:sz w:val="20"/>
          <w:szCs w:val="20"/>
        </w:rPr>
        <w:t>e</w:t>
      </w:r>
      <w:r w:rsidRPr="0004128C">
        <w:rPr>
          <w:rFonts w:ascii="Arial Narrow" w:hAnsi="Arial Narrow"/>
          <w:spacing w:val="-1"/>
          <w:sz w:val="20"/>
          <w:szCs w:val="20"/>
        </w:rPr>
        <w:t xml:space="preserve">. Systematic reviews of level II evidence provide more data than the individual studies and any meta-analyses will increase the precision of the overall results, reducing the likelihood that the results are affected by chance. Systematic reviews of lower level evidence present results of likely poor internal validity and thus are rated on the likelihood that the results have been affected by bias, rather than whether the systematic review itself is of good quality. Systematic review </w:t>
      </w:r>
      <w:r w:rsidRPr="0004128C">
        <w:rPr>
          <w:rFonts w:ascii="Arial Narrow" w:hAnsi="Arial Narrow"/>
          <w:i/>
          <w:spacing w:val="-1"/>
          <w:sz w:val="20"/>
          <w:szCs w:val="20"/>
        </w:rPr>
        <w:t xml:space="preserve">quality </w:t>
      </w:r>
      <w:r w:rsidRPr="0004128C">
        <w:rPr>
          <w:rFonts w:ascii="Arial Narrow" w:hAnsi="Arial Narrow"/>
          <w:spacing w:val="-1"/>
          <w:sz w:val="20"/>
          <w:szCs w:val="20"/>
        </w:rPr>
        <w:t>should be assessed separately. A systematic review should consist of at least two studies. In systematic reviews that include different study designs, the overall level of evidence should relate to each individual outcome/result, as different studies (and study designs) might contribute to each different outcome.</w:t>
      </w:r>
    </w:p>
    <w:p w:rsidR="0004128C" w:rsidRPr="0004128C" w:rsidRDefault="0004128C" w:rsidP="008C7C91">
      <w:pPr>
        <w:spacing w:after="40"/>
        <w:rPr>
          <w:rFonts w:ascii="Arial Narrow" w:hAnsi="Arial Narrow"/>
          <w:sz w:val="20"/>
          <w:szCs w:val="20"/>
        </w:rPr>
      </w:pPr>
      <w:r w:rsidRPr="008C7C91">
        <w:rPr>
          <w:rFonts w:ascii="Arial Narrow" w:hAnsi="Arial Narrow"/>
          <w:w w:val="99"/>
          <w:position w:val="9"/>
          <w:sz w:val="20"/>
          <w:szCs w:val="20"/>
          <w:vertAlign w:val="subscript"/>
        </w:rPr>
        <w:t>3</w:t>
      </w:r>
      <w:r w:rsidRPr="008C7C91">
        <w:rPr>
          <w:rFonts w:ascii="Arial Narrow" w:hAnsi="Arial Narrow"/>
          <w:position w:val="9"/>
          <w:sz w:val="20"/>
          <w:szCs w:val="20"/>
          <w:vertAlign w:val="subscript"/>
        </w:rPr>
        <w:t xml:space="preserve"> </w:t>
      </w:r>
      <w:r w:rsidRPr="0004128C">
        <w:rPr>
          <w:rFonts w:ascii="Arial Narrow" w:hAnsi="Arial Narrow"/>
          <w:sz w:val="20"/>
          <w:szCs w:val="20"/>
        </w:rPr>
        <w:t>T</w:t>
      </w:r>
      <w:r w:rsidRPr="0004128C">
        <w:rPr>
          <w:rFonts w:ascii="Arial Narrow" w:hAnsi="Arial Narrow"/>
          <w:spacing w:val="1"/>
          <w:sz w:val="20"/>
          <w:szCs w:val="20"/>
        </w:rPr>
        <w:t>h</w:t>
      </w:r>
      <w:r w:rsidRPr="0004128C">
        <w:rPr>
          <w:rFonts w:ascii="Arial Narrow" w:hAnsi="Arial Narrow"/>
          <w:sz w:val="20"/>
          <w:szCs w:val="20"/>
        </w:rPr>
        <w:t>is also</w:t>
      </w:r>
      <w:r w:rsidRPr="0004128C">
        <w:rPr>
          <w:rFonts w:ascii="Arial Narrow" w:hAnsi="Arial Narrow"/>
          <w:spacing w:val="1"/>
          <w:sz w:val="20"/>
          <w:szCs w:val="20"/>
        </w:rPr>
        <w:t xml:space="preserve"> </w:t>
      </w:r>
      <w:r w:rsidRPr="0004128C">
        <w:rPr>
          <w:rFonts w:ascii="Arial Narrow" w:hAnsi="Arial Narrow"/>
          <w:sz w:val="20"/>
          <w:szCs w:val="20"/>
        </w:rPr>
        <w:t>i</w:t>
      </w:r>
      <w:r w:rsidRPr="0004128C">
        <w:rPr>
          <w:rFonts w:ascii="Arial Narrow" w:hAnsi="Arial Narrow"/>
          <w:spacing w:val="1"/>
          <w:sz w:val="20"/>
          <w:szCs w:val="20"/>
        </w:rPr>
        <w:t>n</w:t>
      </w:r>
      <w:r w:rsidRPr="0004128C">
        <w:rPr>
          <w:rFonts w:ascii="Arial Narrow" w:hAnsi="Arial Narrow"/>
          <w:sz w:val="20"/>
          <w:szCs w:val="20"/>
        </w:rPr>
        <w:t>c</w:t>
      </w:r>
      <w:r w:rsidRPr="0004128C">
        <w:rPr>
          <w:rFonts w:ascii="Arial Narrow" w:hAnsi="Arial Narrow"/>
          <w:spacing w:val="-2"/>
          <w:sz w:val="20"/>
          <w:szCs w:val="20"/>
        </w:rPr>
        <w:t>l</w:t>
      </w:r>
      <w:r w:rsidRPr="0004128C">
        <w:rPr>
          <w:rFonts w:ascii="Arial Narrow" w:hAnsi="Arial Narrow"/>
          <w:spacing w:val="1"/>
          <w:sz w:val="20"/>
          <w:szCs w:val="20"/>
        </w:rPr>
        <w:t>ud</w:t>
      </w:r>
      <w:r w:rsidRPr="0004128C">
        <w:rPr>
          <w:rFonts w:ascii="Arial Narrow" w:hAnsi="Arial Narrow"/>
          <w:spacing w:val="-1"/>
          <w:sz w:val="20"/>
          <w:szCs w:val="20"/>
        </w:rPr>
        <w:t>e</w:t>
      </w:r>
      <w:r w:rsidRPr="0004128C">
        <w:rPr>
          <w:rFonts w:ascii="Arial Narrow" w:hAnsi="Arial Narrow"/>
          <w:sz w:val="20"/>
          <w:szCs w:val="20"/>
        </w:rPr>
        <w:t>s c</w:t>
      </w:r>
      <w:r w:rsidRPr="0004128C">
        <w:rPr>
          <w:rFonts w:ascii="Arial Narrow" w:hAnsi="Arial Narrow"/>
          <w:spacing w:val="1"/>
          <w:sz w:val="20"/>
          <w:szCs w:val="20"/>
        </w:rPr>
        <w:t>on</w:t>
      </w:r>
      <w:r w:rsidRPr="0004128C">
        <w:rPr>
          <w:rFonts w:ascii="Arial Narrow" w:hAnsi="Arial Narrow"/>
          <w:sz w:val="20"/>
          <w:szCs w:val="20"/>
        </w:rPr>
        <w:t>tr</w:t>
      </w:r>
      <w:r w:rsidRPr="0004128C">
        <w:rPr>
          <w:rFonts w:ascii="Arial Narrow" w:hAnsi="Arial Narrow"/>
          <w:spacing w:val="1"/>
          <w:sz w:val="20"/>
          <w:szCs w:val="20"/>
        </w:rPr>
        <w:t>o</w:t>
      </w:r>
      <w:r w:rsidRPr="0004128C">
        <w:rPr>
          <w:rFonts w:ascii="Arial Narrow" w:hAnsi="Arial Narrow"/>
          <w:sz w:val="20"/>
          <w:szCs w:val="20"/>
        </w:rPr>
        <w:t xml:space="preserve">lled </w:t>
      </w:r>
      <w:r w:rsidRPr="0004128C">
        <w:rPr>
          <w:rFonts w:ascii="Arial Narrow" w:hAnsi="Arial Narrow"/>
          <w:spacing w:val="1"/>
          <w:sz w:val="20"/>
          <w:szCs w:val="20"/>
        </w:rPr>
        <w:t>b</w:t>
      </w:r>
      <w:r w:rsidRPr="0004128C">
        <w:rPr>
          <w:rFonts w:ascii="Arial Narrow" w:hAnsi="Arial Narrow"/>
          <w:spacing w:val="-1"/>
          <w:sz w:val="20"/>
          <w:szCs w:val="20"/>
        </w:rPr>
        <w:t>e</w:t>
      </w:r>
      <w:r w:rsidRPr="0004128C">
        <w:rPr>
          <w:rFonts w:ascii="Arial Narrow" w:hAnsi="Arial Narrow"/>
          <w:sz w:val="20"/>
          <w:szCs w:val="20"/>
        </w:rPr>
        <w:t>fore-an</w:t>
      </w:r>
      <w:r w:rsidRPr="0004128C">
        <w:rPr>
          <w:rFonts w:ascii="Arial Narrow" w:hAnsi="Arial Narrow"/>
          <w:spacing w:val="1"/>
          <w:sz w:val="20"/>
          <w:szCs w:val="20"/>
        </w:rPr>
        <w:t>d</w:t>
      </w:r>
      <w:r w:rsidRPr="0004128C">
        <w:rPr>
          <w:rFonts w:ascii="Arial Narrow" w:hAnsi="Arial Narrow"/>
          <w:sz w:val="20"/>
          <w:szCs w:val="20"/>
        </w:rPr>
        <w:t>-</w:t>
      </w:r>
      <w:r w:rsidRPr="0004128C">
        <w:rPr>
          <w:rFonts w:ascii="Arial Narrow" w:hAnsi="Arial Narrow"/>
          <w:spacing w:val="-3"/>
          <w:sz w:val="20"/>
          <w:szCs w:val="20"/>
        </w:rPr>
        <w:t>a</w:t>
      </w:r>
      <w:r w:rsidRPr="0004128C">
        <w:rPr>
          <w:rFonts w:ascii="Arial Narrow" w:hAnsi="Arial Narrow"/>
          <w:sz w:val="20"/>
          <w:szCs w:val="20"/>
        </w:rPr>
        <w:t>fter (pre-test/p</w:t>
      </w:r>
      <w:r w:rsidRPr="0004128C">
        <w:rPr>
          <w:rFonts w:ascii="Arial Narrow" w:hAnsi="Arial Narrow"/>
          <w:spacing w:val="1"/>
          <w:sz w:val="20"/>
          <w:szCs w:val="20"/>
        </w:rPr>
        <w:t>o</w:t>
      </w:r>
      <w:r w:rsidRPr="0004128C">
        <w:rPr>
          <w:rFonts w:ascii="Arial Narrow" w:hAnsi="Arial Narrow"/>
          <w:spacing w:val="-1"/>
          <w:sz w:val="20"/>
          <w:szCs w:val="20"/>
        </w:rPr>
        <w:t>s</w:t>
      </w:r>
      <w:r w:rsidRPr="0004128C">
        <w:rPr>
          <w:rFonts w:ascii="Arial Narrow" w:hAnsi="Arial Narrow"/>
          <w:sz w:val="20"/>
          <w:szCs w:val="20"/>
        </w:rPr>
        <w:t>t-test) stu</w:t>
      </w:r>
      <w:r w:rsidRPr="0004128C">
        <w:rPr>
          <w:rFonts w:ascii="Arial Narrow" w:hAnsi="Arial Narrow"/>
          <w:spacing w:val="1"/>
          <w:sz w:val="20"/>
          <w:szCs w:val="20"/>
        </w:rPr>
        <w:t>d</w:t>
      </w:r>
      <w:r w:rsidRPr="0004128C">
        <w:rPr>
          <w:rFonts w:ascii="Arial Narrow" w:hAnsi="Arial Narrow"/>
          <w:sz w:val="20"/>
          <w:szCs w:val="20"/>
        </w:rPr>
        <w:t>ies,</w:t>
      </w:r>
      <w:r w:rsidRPr="0004128C">
        <w:rPr>
          <w:rFonts w:ascii="Arial Narrow" w:hAnsi="Arial Narrow"/>
          <w:spacing w:val="-1"/>
          <w:sz w:val="20"/>
          <w:szCs w:val="20"/>
        </w:rPr>
        <w:t xml:space="preserve"> </w:t>
      </w:r>
      <w:r w:rsidRPr="0004128C">
        <w:rPr>
          <w:rFonts w:ascii="Arial Narrow" w:hAnsi="Arial Narrow"/>
          <w:sz w:val="20"/>
          <w:szCs w:val="20"/>
        </w:rPr>
        <w:t xml:space="preserve">as well as adjusted </w:t>
      </w:r>
      <w:r w:rsidRPr="0004128C">
        <w:rPr>
          <w:rFonts w:ascii="Arial Narrow" w:hAnsi="Arial Narrow"/>
          <w:spacing w:val="-2"/>
          <w:sz w:val="20"/>
          <w:szCs w:val="20"/>
        </w:rPr>
        <w:t>i</w:t>
      </w:r>
      <w:r w:rsidRPr="0004128C">
        <w:rPr>
          <w:rFonts w:ascii="Arial Narrow" w:hAnsi="Arial Narrow"/>
          <w:spacing w:val="1"/>
          <w:sz w:val="20"/>
          <w:szCs w:val="20"/>
        </w:rPr>
        <w:t>nd</w:t>
      </w:r>
      <w:r w:rsidRPr="0004128C">
        <w:rPr>
          <w:rFonts w:ascii="Arial Narrow" w:hAnsi="Arial Narrow"/>
          <w:spacing w:val="-2"/>
          <w:sz w:val="20"/>
          <w:szCs w:val="20"/>
        </w:rPr>
        <w:t>i</w:t>
      </w:r>
      <w:r w:rsidRPr="0004128C">
        <w:rPr>
          <w:rFonts w:ascii="Arial Narrow" w:hAnsi="Arial Narrow"/>
          <w:sz w:val="20"/>
          <w:szCs w:val="20"/>
        </w:rPr>
        <w:t>rect c</w:t>
      </w:r>
      <w:r w:rsidRPr="0004128C">
        <w:rPr>
          <w:rFonts w:ascii="Arial Narrow" w:hAnsi="Arial Narrow"/>
          <w:spacing w:val="1"/>
          <w:sz w:val="20"/>
          <w:szCs w:val="20"/>
        </w:rPr>
        <w:t>o</w:t>
      </w:r>
      <w:r w:rsidRPr="0004128C">
        <w:rPr>
          <w:rFonts w:ascii="Arial Narrow" w:hAnsi="Arial Narrow"/>
          <w:spacing w:val="-2"/>
          <w:sz w:val="20"/>
          <w:szCs w:val="20"/>
        </w:rPr>
        <w:t>m</w:t>
      </w:r>
      <w:r w:rsidRPr="0004128C">
        <w:rPr>
          <w:rFonts w:ascii="Arial Narrow" w:hAnsi="Arial Narrow"/>
          <w:spacing w:val="1"/>
          <w:sz w:val="20"/>
          <w:szCs w:val="20"/>
        </w:rPr>
        <w:t>p</w:t>
      </w:r>
      <w:r w:rsidRPr="0004128C">
        <w:rPr>
          <w:rFonts w:ascii="Arial Narrow" w:hAnsi="Arial Narrow"/>
          <w:sz w:val="20"/>
          <w:szCs w:val="20"/>
        </w:rPr>
        <w:t>arisons (</w:t>
      </w:r>
      <w:r w:rsidR="00F87099" w:rsidRPr="0004128C">
        <w:rPr>
          <w:rFonts w:ascii="Arial Narrow" w:hAnsi="Arial Narrow"/>
          <w:sz w:val="20"/>
          <w:szCs w:val="20"/>
        </w:rPr>
        <w:t>i.e.</w:t>
      </w:r>
      <w:r w:rsidRPr="0004128C">
        <w:rPr>
          <w:rFonts w:ascii="Arial Narrow" w:hAnsi="Arial Narrow"/>
          <w:spacing w:val="-1"/>
          <w:sz w:val="20"/>
          <w:szCs w:val="20"/>
        </w:rPr>
        <w:t xml:space="preserve"> </w:t>
      </w:r>
      <w:r w:rsidR="006E04C5" w:rsidRPr="0004128C">
        <w:rPr>
          <w:rFonts w:ascii="Arial Narrow" w:hAnsi="Arial Narrow"/>
          <w:spacing w:val="1"/>
          <w:sz w:val="20"/>
          <w:szCs w:val="20"/>
        </w:rPr>
        <w:t>U</w:t>
      </w:r>
      <w:r w:rsidRPr="0004128C">
        <w:rPr>
          <w:rFonts w:ascii="Arial Narrow" w:hAnsi="Arial Narrow"/>
          <w:sz w:val="20"/>
          <w:szCs w:val="20"/>
        </w:rPr>
        <w:t>tilise A</w:t>
      </w:r>
      <w:r w:rsidRPr="0004128C">
        <w:rPr>
          <w:rFonts w:ascii="Arial Narrow" w:hAnsi="Arial Narrow"/>
          <w:spacing w:val="-1"/>
          <w:sz w:val="20"/>
          <w:szCs w:val="20"/>
        </w:rPr>
        <w:t xml:space="preserve"> </w:t>
      </w:r>
      <w:r w:rsidRPr="0004128C">
        <w:rPr>
          <w:rFonts w:ascii="Arial Narrow" w:hAnsi="Arial Narrow"/>
          <w:spacing w:val="1"/>
          <w:sz w:val="20"/>
          <w:szCs w:val="20"/>
        </w:rPr>
        <w:t>v</w:t>
      </w:r>
      <w:r w:rsidRPr="0004128C">
        <w:rPr>
          <w:rFonts w:ascii="Arial Narrow" w:hAnsi="Arial Narrow"/>
          <w:sz w:val="20"/>
          <w:szCs w:val="20"/>
        </w:rPr>
        <w:t>s</w:t>
      </w:r>
      <w:r w:rsidRPr="0004128C">
        <w:rPr>
          <w:rFonts w:ascii="Arial Narrow" w:hAnsi="Arial Narrow"/>
          <w:spacing w:val="-2"/>
          <w:sz w:val="20"/>
          <w:szCs w:val="20"/>
        </w:rPr>
        <w:t xml:space="preserve"> </w:t>
      </w:r>
      <w:r w:rsidRPr="0004128C">
        <w:rPr>
          <w:rFonts w:ascii="Arial Narrow" w:hAnsi="Arial Narrow"/>
          <w:sz w:val="20"/>
          <w:szCs w:val="20"/>
        </w:rPr>
        <w:t xml:space="preserve">B </w:t>
      </w:r>
      <w:r w:rsidRPr="0004128C">
        <w:rPr>
          <w:rFonts w:ascii="Arial Narrow" w:hAnsi="Arial Narrow"/>
          <w:spacing w:val="-1"/>
          <w:sz w:val="20"/>
          <w:szCs w:val="20"/>
        </w:rPr>
        <w:t>an</w:t>
      </w:r>
      <w:r w:rsidRPr="0004128C">
        <w:rPr>
          <w:rFonts w:ascii="Arial Narrow" w:hAnsi="Arial Narrow"/>
          <w:sz w:val="20"/>
          <w:szCs w:val="20"/>
        </w:rPr>
        <w:t>d</w:t>
      </w:r>
      <w:r w:rsidRPr="0004128C">
        <w:rPr>
          <w:rFonts w:ascii="Arial Narrow" w:hAnsi="Arial Narrow"/>
          <w:spacing w:val="1"/>
          <w:sz w:val="20"/>
          <w:szCs w:val="20"/>
        </w:rPr>
        <w:t xml:space="preserve"> </w:t>
      </w:r>
      <w:r w:rsidRPr="0004128C">
        <w:rPr>
          <w:rFonts w:ascii="Arial Narrow" w:hAnsi="Arial Narrow"/>
          <w:sz w:val="20"/>
          <w:szCs w:val="20"/>
        </w:rPr>
        <w:t>B</w:t>
      </w:r>
      <w:r w:rsidRPr="0004128C">
        <w:rPr>
          <w:rFonts w:ascii="Arial Narrow" w:hAnsi="Arial Narrow"/>
          <w:spacing w:val="-1"/>
          <w:sz w:val="20"/>
          <w:szCs w:val="20"/>
        </w:rPr>
        <w:t xml:space="preserve"> </w:t>
      </w:r>
      <w:r w:rsidRPr="0004128C">
        <w:rPr>
          <w:rFonts w:ascii="Arial Narrow" w:hAnsi="Arial Narrow"/>
          <w:sz w:val="20"/>
          <w:szCs w:val="20"/>
        </w:rPr>
        <w:t>vs C,</w:t>
      </w:r>
      <w:r w:rsidRPr="0004128C">
        <w:rPr>
          <w:rFonts w:ascii="Arial Narrow" w:hAnsi="Arial Narrow"/>
          <w:spacing w:val="1"/>
          <w:sz w:val="20"/>
          <w:szCs w:val="20"/>
        </w:rPr>
        <w:t xml:space="preserve"> </w:t>
      </w:r>
      <w:r w:rsidRPr="0004128C">
        <w:rPr>
          <w:rFonts w:ascii="Arial Narrow" w:hAnsi="Arial Narrow"/>
          <w:sz w:val="20"/>
          <w:szCs w:val="20"/>
        </w:rPr>
        <w:t>to deter</w:t>
      </w:r>
      <w:r w:rsidRPr="0004128C">
        <w:rPr>
          <w:rFonts w:ascii="Arial Narrow" w:hAnsi="Arial Narrow"/>
          <w:spacing w:val="-2"/>
          <w:sz w:val="20"/>
          <w:szCs w:val="20"/>
        </w:rPr>
        <w:t>m</w:t>
      </w:r>
      <w:r w:rsidRPr="0004128C">
        <w:rPr>
          <w:rFonts w:ascii="Arial Narrow" w:hAnsi="Arial Narrow"/>
          <w:sz w:val="20"/>
          <w:szCs w:val="20"/>
        </w:rPr>
        <w:t>i</w:t>
      </w:r>
      <w:r w:rsidRPr="0004128C">
        <w:rPr>
          <w:rFonts w:ascii="Arial Narrow" w:hAnsi="Arial Narrow"/>
          <w:spacing w:val="1"/>
          <w:sz w:val="20"/>
          <w:szCs w:val="20"/>
        </w:rPr>
        <w:t>n</w:t>
      </w:r>
      <w:r w:rsidRPr="0004128C">
        <w:rPr>
          <w:rFonts w:ascii="Arial Narrow" w:hAnsi="Arial Narrow"/>
          <w:sz w:val="20"/>
          <w:szCs w:val="20"/>
        </w:rPr>
        <w:t>e</w:t>
      </w:r>
      <w:r w:rsidRPr="0004128C">
        <w:rPr>
          <w:rFonts w:ascii="Arial Narrow" w:hAnsi="Arial Narrow"/>
          <w:spacing w:val="1"/>
          <w:sz w:val="20"/>
          <w:szCs w:val="20"/>
        </w:rPr>
        <w:t xml:space="preserve"> </w:t>
      </w:r>
      <w:proofErr w:type="gramStart"/>
      <w:r w:rsidRPr="0004128C">
        <w:rPr>
          <w:rFonts w:ascii="Arial Narrow" w:hAnsi="Arial Narrow"/>
          <w:sz w:val="20"/>
          <w:szCs w:val="20"/>
        </w:rPr>
        <w:t>A</w:t>
      </w:r>
      <w:proofErr w:type="gramEnd"/>
      <w:r w:rsidRPr="0004128C">
        <w:rPr>
          <w:rFonts w:ascii="Arial Narrow" w:hAnsi="Arial Narrow"/>
          <w:sz w:val="20"/>
          <w:szCs w:val="20"/>
        </w:rPr>
        <w:t xml:space="preserve"> vs</w:t>
      </w:r>
      <w:r w:rsidRPr="0004128C">
        <w:rPr>
          <w:rFonts w:ascii="Arial Narrow" w:hAnsi="Arial Narrow"/>
          <w:spacing w:val="1"/>
          <w:sz w:val="20"/>
          <w:szCs w:val="20"/>
        </w:rPr>
        <w:t xml:space="preserve"> </w:t>
      </w:r>
      <w:r w:rsidRPr="0004128C">
        <w:rPr>
          <w:rFonts w:ascii="Arial Narrow" w:hAnsi="Arial Narrow"/>
          <w:spacing w:val="-2"/>
          <w:sz w:val="20"/>
          <w:szCs w:val="20"/>
        </w:rPr>
        <w:t>C with statistical adjustment for B</w:t>
      </w:r>
      <w:r w:rsidRPr="0004128C">
        <w:rPr>
          <w:rFonts w:ascii="Arial Narrow" w:hAnsi="Arial Narrow"/>
          <w:sz w:val="20"/>
          <w:szCs w:val="20"/>
        </w:rPr>
        <w:t>).</w:t>
      </w:r>
    </w:p>
    <w:p w:rsidR="0004128C" w:rsidRDefault="0004128C" w:rsidP="008C7C91">
      <w:pPr>
        <w:spacing w:after="40"/>
        <w:rPr>
          <w:rFonts w:ascii="Arial Narrow" w:hAnsi="Arial Narrow" w:cstheme="minorHAnsi"/>
          <w:sz w:val="20"/>
          <w:szCs w:val="20"/>
        </w:rPr>
      </w:pPr>
      <w:r w:rsidRPr="008C7C91">
        <w:rPr>
          <w:rFonts w:ascii="Arial Narrow" w:hAnsi="Arial Narrow"/>
          <w:position w:val="9"/>
          <w:sz w:val="20"/>
          <w:szCs w:val="20"/>
          <w:vertAlign w:val="subscript"/>
        </w:rPr>
        <w:t xml:space="preserve"> 4</w:t>
      </w:r>
      <w:r w:rsidRPr="0004128C">
        <w:rPr>
          <w:rFonts w:ascii="Arial Narrow" w:hAnsi="Arial Narrow"/>
          <w:spacing w:val="-15"/>
          <w:position w:val="9"/>
          <w:sz w:val="20"/>
          <w:szCs w:val="20"/>
        </w:rPr>
        <w:t xml:space="preserve"> </w:t>
      </w:r>
      <w:r w:rsidRPr="0004128C">
        <w:rPr>
          <w:rFonts w:ascii="Arial Narrow" w:hAnsi="Arial Narrow"/>
          <w:sz w:val="20"/>
          <w:szCs w:val="20"/>
        </w:rPr>
        <w:t>Co</w:t>
      </w:r>
      <w:r w:rsidRPr="0004128C">
        <w:rPr>
          <w:rFonts w:ascii="Arial Narrow" w:hAnsi="Arial Narrow"/>
          <w:spacing w:val="-2"/>
          <w:sz w:val="20"/>
          <w:szCs w:val="20"/>
        </w:rPr>
        <w:t>m</w:t>
      </w:r>
      <w:r w:rsidRPr="0004128C">
        <w:rPr>
          <w:rFonts w:ascii="Arial Narrow" w:hAnsi="Arial Narrow"/>
          <w:spacing w:val="1"/>
          <w:sz w:val="20"/>
          <w:szCs w:val="20"/>
        </w:rPr>
        <w:t>p</w:t>
      </w:r>
      <w:r w:rsidRPr="0004128C">
        <w:rPr>
          <w:rFonts w:ascii="Arial Narrow" w:hAnsi="Arial Narrow"/>
          <w:sz w:val="20"/>
          <w:szCs w:val="20"/>
        </w:rPr>
        <w:t xml:space="preserve">aring single </w:t>
      </w:r>
      <w:r w:rsidRPr="0004128C">
        <w:rPr>
          <w:rFonts w:ascii="Arial Narrow" w:hAnsi="Arial Narrow"/>
          <w:spacing w:val="-1"/>
          <w:sz w:val="20"/>
          <w:szCs w:val="20"/>
        </w:rPr>
        <w:t>a</w:t>
      </w:r>
      <w:r w:rsidRPr="0004128C">
        <w:rPr>
          <w:rFonts w:ascii="Arial Narrow" w:hAnsi="Arial Narrow"/>
          <w:sz w:val="20"/>
          <w:szCs w:val="20"/>
        </w:rPr>
        <w:t>rm</w:t>
      </w:r>
      <w:r w:rsidRPr="0004128C">
        <w:rPr>
          <w:rFonts w:ascii="Arial Narrow" w:hAnsi="Arial Narrow"/>
          <w:spacing w:val="-2"/>
          <w:sz w:val="20"/>
          <w:szCs w:val="20"/>
        </w:rPr>
        <w:t xml:space="preserve"> </w:t>
      </w:r>
      <w:r w:rsidRPr="0004128C">
        <w:rPr>
          <w:rFonts w:ascii="Arial Narrow" w:hAnsi="Arial Narrow"/>
          <w:sz w:val="20"/>
          <w:szCs w:val="20"/>
        </w:rPr>
        <w:t>stud</w:t>
      </w:r>
      <w:r w:rsidRPr="0004128C">
        <w:rPr>
          <w:rFonts w:ascii="Arial Narrow" w:hAnsi="Arial Narrow"/>
          <w:spacing w:val="-2"/>
          <w:sz w:val="20"/>
          <w:szCs w:val="20"/>
        </w:rPr>
        <w:t>i</w:t>
      </w:r>
      <w:r w:rsidRPr="0004128C">
        <w:rPr>
          <w:rFonts w:ascii="Arial Narrow" w:hAnsi="Arial Narrow"/>
          <w:sz w:val="20"/>
          <w:szCs w:val="20"/>
        </w:rPr>
        <w:t xml:space="preserve">es </w:t>
      </w:r>
      <w:r w:rsidR="00F87099" w:rsidRPr="0004128C">
        <w:rPr>
          <w:rFonts w:ascii="Arial Narrow" w:hAnsi="Arial Narrow"/>
          <w:sz w:val="20"/>
          <w:szCs w:val="20"/>
        </w:rPr>
        <w:t>i.e.</w:t>
      </w:r>
      <w:r w:rsidRPr="0004128C">
        <w:rPr>
          <w:rFonts w:ascii="Arial Narrow" w:hAnsi="Arial Narrow"/>
          <w:sz w:val="20"/>
          <w:szCs w:val="20"/>
        </w:rPr>
        <w:t xml:space="preserve"> </w:t>
      </w:r>
      <w:r w:rsidR="006E04C5" w:rsidRPr="0004128C">
        <w:rPr>
          <w:rFonts w:ascii="Arial Narrow" w:hAnsi="Arial Narrow"/>
          <w:sz w:val="20"/>
          <w:szCs w:val="20"/>
        </w:rPr>
        <w:t>C</w:t>
      </w:r>
      <w:r w:rsidRPr="0004128C">
        <w:rPr>
          <w:rFonts w:ascii="Arial Narrow" w:hAnsi="Arial Narrow"/>
          <w:sz w:val="20"/>
          <w:szCs w:val="20"/>
        </w:rPr>
        <w:t>ase</w:t>
      </w:r>
      <w:r w:rsidRPr="0004128C">
        <w:rPr>
          <w:rFonts w:ascii="Arial Narrow" w:hAnsi="Arial Narrow"/>
          <w:spacing w:val="-1"/>
          <w:sz w:val="20"/>
          <w:szCs w:val="20"/>
        </w:rPr>
        <w:t xml:space="preserve"> </w:t>
      </w:r>
      <w:r w:rsidRPr="0004128C">
        <w:rPr>
          <w:rFonts w:ascii="Arial Narrow" w:hAnsi="Arial Narrow"/>
          <w:sz w:val="20"/>
          <w:szCs w:val="20"/>
        </w:rPr>
        <w:t>ser</w:t>
      </w:r>
      <w:r w:rsidRPr="0004128C">
        <w:rPr>
          <w:rFonts w:ascii="Arial Narrow" w:hAnsi="Arial Narrow"/>
          <w:spacing w:val="-2"/>
          <w:sz w:val="20"/>
          <w:szCs w:val="20"/>
        </w:rPr>
        <w:t>i</w:t>
      </w:r>
      <w:r w:rsidRPr="0004128C">
        <w:rPr>
          <w:rFonts w:ascii="Arial Narrow" w:hAnsi="Arial Narrow"/>
          <w:sz w:val="20"/>
          <w:szCs w:val="20"/>
        </w:rPr>
        <w:t>es from</w:t>
      </w:r>
      <w:r w:rsidRPr="0004128C">
        <w:rPr>
          <w:rFonts w:ascii="Arial Narrow" w:hAnsi="Arial Narrow"/>
          <w:spacing w:val="-2"/>
          <w:sz w:val="20"/>
          <w:szCs w:val="20"/>
        </w:rPr>
        <w:t xml:space="preserve"> </w:t>
      </w:r>
      <w:r w:rsidRPr="0004128C">
        <w:rPr>
          <w:rFonts w:ascii="Arial Narrow" w:hAnsi="Arial Narrow"/>
          <w:sz w:val="20"/>
          <w:szCs w:val="20"/>
        </w:rPr>
        <w:t>two s</w:t>
      </w:r>
      <w:r w:rsidRPr="0004128C">
        <w:rPr>
          <w:rFonts w:ascii="Arial Narrow" w:hAnsi="Arial Narrow"/>
          <w:spacing w:val="-2"/>
          <w:sz w:val="20"/>
          <w:szCs w:val="20"/>
        </w:rPr>
        <w:t>t</w:t>
      </w:r>
      <w:r w:rsidRPr="0004128C">
        <w:rPr>
          <w:rFonts w:ascii="Arial Narrow" w:hAnsi="Arial Narrow"/>
          <w:sz w:val="20"/>
          <w:szCs w:val="20"/>
        </w:rPr>
        <w:t>udie</w:t>
      </w:r>
      <w:r w:rsidRPr="0004128C">
        <w:rPr>
          <w:rFonts w:ascii="Arial Narrow" w:hAnsi="Arial Narrow"/>
          <w:spacing w:val="-1"/>
          <w:sz w:val="20"/>
          <w:szCs w:val="20"/>
        </w:rPr>
        <w:t>s</w:t>
      </w:r>
      <w:r w:rsidRPr="0004128C">
        <w:rPr>
          <w:rFonts w:ascii="Arial Narrow" w:hAnsi="Arial Narrow"/>
          <w:sz w:val="20"/>
          <w:szCs w:val="20"/>
        </w:rPr>
        <w:t>.</w:t>
      </w:r>
      <w:r w:rsidR="008C7C91">
        <w:rPr>
          <w:rFonts w:ascii="Arial Narrow" w:hAnsi="Arial Narrow"/>
          <w:sz w:val="20"/>
          <w:szCs w:val="20"/>
        </w:rPr>
        <w:t xml:space="preserve"> </w:t>
      </w:r>
      <w:r w:rsidRPr="008765CC">
        <w:rPr>
          <w:rFonts w:ascii="Arial Narrow" w:hAnsi="Arial Narrow"/>
          <w:b/>
          <w:color w:val="000000"/>
          <w:sz w:val="20"/>
          <w:szCs w:val="20"/>
        </w:rPr>
        <w:t xml:space="preserve">Source: </w:t>
      </w:r>
      <w:r w:rsidRPr="009A353C">
        <w:rPr>
          <w:rFonts w:ascii="Arial Narrow" w:hAnsi="Arial Narrow" w:cstheme="minorHAnsi"/>
          <w:noProof/>
          <w:sz w:val="20"/>
          <w:szCs w:val="20"/>
        </w:rPr>
        <w:t>(</w:t>
      </w:r>
      <w:r w:rsidR="00184B6F" w:rsidRPr="009A353C">
        <w:rPr>
          <w:rFonts w:ascii="Arial Narrow" w:hAnsi="Arial Narrow" w:cstheme="minorHAnsi"/>
          <w:noProof/>
          <w:sz w:val="20"/>
          <w:szCs w:val="20"/>
        </w:rPr>
        <w:t>Merlin, Weston &amp; Tooher 2009</w:t>
      </w:r>
      <w:r w:rsidRPr="009A353C">
        <w:rPr>
          <w:rFonts w:ascii="Arial Narrow" w:hAnsi="Arial Narrow" w:cstheme="minorHAnsi"/>
          <w:noProof/>
          <w:sz w:val="20"/>
          <w:szCs w:val="20"/>
        </w:rPr>
        <w:t>)</w:t>
      </w:r>
      <w:r w:rsidRPr="009A353C">
        <w:rPr>
          <w:rFonts w:ascii="Arial Narrow" w:hAnsi="Arial Narrow" w:cstheme="minorHAnsi"/>
          <w:sz w:val="20"/>
          <w:szCs w:val="20"/>
        </w:rPr>
        <w:t>.</w:t>
      </w:r>
    </w:p>
    <w:p w:rsidR="004B64C8" w:rsidRPr="004B64C8" w:rsidRDefault="004B64C8" w:rsidP="00475E97">
      <w:bookmarkStart w:id="84" w:name="_Toc335988138"/>
      <w:bookmarkStart w:id="85" w:name="_Toc404937255"/>
      <w:r w:rsidRPr="004B64C8">
        <w:lastRenderedPageBreak/>
        <w:t>Literature identified as opinion pieces, editorials or other papers without a clear study design and description of method and results were not included. The study eligibility</w:t>
      </w:r>
      <w:r w:rsidR="001256C4">
        <w:t xml:space="preserve"> </w:t>
      </w:r>
      <w:r w:rsidRPr="004B64C8">
        <w:t>selection criteria were</w:t>
      </w:r>
      <w:r w:rsidR="000F388E">
        <w:t xml:space="preserve"> </w:t>
      </w:r>
      <w:r w:rsidRPr="004B64C8">
        <w:t>pre-specified</w:t>
      </w:r>
      <w:r w:rsidR="001256C4">
        <w:t xml:space="preserve"> </w:t>
      </w:r>
      <w:r w:rsidRPr="004B64C8">
        <w:t>delineated using a PICO structure</w:t>
      </w:r>
      <w:r w:rsidR="001256C4">
        <w:t xml:space="preserve"> format </w:t>
      </w:r>
      <w:r w:rsidRPr="004B64C8">
        <w:t>(see each relevant section</w:t>
      </w:r>
      <w:r w:rsidR="001256C4">
        <w:t xml:space="preserve"> </w:t>
      </w:r>
      <w:r w:rsidRPr="004B64C8">
        <w:t>disease chapter in this assessment), based largely on what was provided in the original LSDP funding applications</w:t>
      </w:r>
      <w:r w:rsidR="001256C4">
        <w:t xml:space="preserve"> </w:t>
      </w:r>
      <w:r w:rsidRPr="004B64C8">
        <w:t xml:space="preserve">submissions. </w:t>
      </w:r>
    </w:p>
    <w:p w:rsidR="004B64C8" w:rsidRDefault="004B64C8" w:rsidP="00475E97">
      <w:r w:rsidRPr="004B64C8">
        <w:t>Study eligibility was determined</w:t>
      </w:r>
      <w:r w:rsidR="001256C4">
        <w:t xml:space="preserve">. </w:t>
      </w:r>
      <w:r w:rsidRPr="004B64C8">
        <w:t xml:space="preserve">These criteria were applied independently by two researchers and any differences were resolved by consensus. If consensus could not </w:t>
      </w:r>
      <w:r w:rsidR="008C7C91">
        <w:t>be</w:t>
      </w:r>
      <w:r w:rsidRPr="004B64C8">
        <w:t xml:space="preserve"> achieved the decision on study selection </w:t>
      </w:r>
      <w:r w:rsidR="008C7C91">
        <w:t>was</w:t>
      </w:r>
      <w:r w:rsidRPr="004B64C8">
        <w:t xml:space="preserve"> made by a more senior third party.</w:t>
      </w:r>
    </w:p>
    <w:p w:rsidR="00DF6E57" w:rsidRDefault="00DF6E57" w:rsidP="00475E97">
      <w:r>
        <w:t xml:space="preserve">Only pre-specified outcomes that </w:t>
      </w:r>
      <w:r w:rsidR="006B4442">
        <w:t>were</w:t>
      </w:r>
      <w:r>
        <w:t xml:space="preserve"> reported on have been discussed in the Results section</w:t>
      </w:r>
      <w:r w:rsidR="006B4442">
        <w:t xml:space="preserve">. </w:t>
      </w:r>
    </w:p>
    <w:p w:rsidR="0004128C" w:rsidRPr="0004128C" w:rsidRDefault="0004128C" w:rsidP="004B64C8">
      <w:pPr>
        <w:pStyle w:val="Heading3"/>
      </w:pPr>
      <w:r w:rsidRPr="0004128C">
        <w:t>Documenting the literature search</w:t>
      </w:r>
      <w:bookmarkEnd w:id="84"/>
      <w:bookmarkEnd w:id="85"/>
    </w:p>
    <w:p w:rsidR="0004128C" w:rsidRPr="0004128C" w:rsidRDefault="0004128C" w:rsidP="009F6946">
      <w:pPr>
        <w:rPr>
          <w:color w:val="000000"/>
          <w:lang w:eastAsia="en-AU"/>
        </w:rPr>
      </w:pPr>
      <w:r w:rsidRPr="009F6946">
        <w:t>All literature</w:t>
      </w:r>
      <w:r w:rsidR="004B64C8" w:rsidRPr="009F6946">
        <w:t xml:space="preserve"> located in the search was documented and presented using flowcharts recommended by the Preferred Reporting of Items in Systematic Reviews and Meta-analyses (PRISMA) statement </w:t>
      </w:r>
      <w:r w:rsidR="004B64C8" w:rsidRPr="009F6946">
        <w:rPr>
          <w:noProof/>
        </w:rPr>
        <w:t>(</w:t>
      </w:r>
      <w:r w:rsidR="00184B6F" w:rsidRPr="009F6946">
        <w:rPr>
          <w:noProof/>
        </w:rPr>
        <w:t>Liberati et al. 2009</w:t>
      </w:r>
      <w:r w:rsidR="004B64C8" w:rsidRPr="009F6946">
        <w:rPr>
          <w:noProof/>
        </w:rPr>
        <w:t>)</w:t>
      </w:r>
      <w:r w:rsidR="004B64C8" w:rsidRPr="009F6946">
        <w:t xml:space="preserve">. These flowcharts are given in </w:t>
      </w:r>
      <w:r w:rsidR="00A72B26">
        <w:t>Appendix B</w:t>
      </w:r>
      <w:r w:rsidR="004B64C8" w:rsidRPr="009F6946">
        <w:t xml:space="preserve">. Studies that met the eligibility criteria but were subsequently excluded are listed in </w:t>
      </w:r>
      <w:r w:rsidR="00A72B26" w:rsidRPr="009D2776">
        <w:t xml:space="preserve">Appendix </w:t>
      </w:r>
      <w:r w:rsidR="00A72B26">
        <w:rPr>
          <w:noProof/>
        </w:rPr>
        <w:t>C</w:t>
      </w:r>
      <w:r w:rsidR="009F6946">
        <w:t xml:space="preserve"> </w:t>
      </w:r>
      <w:r w:rsidR="004B64C8">
        <w:rPr>
          <w:color w:val="000000"/>
          <w:lang w:eastAsia="en-AU"/>
        </w:rPr>
        <w:t>according to</w:t>
      </w:r>
      <w:r w:rsidR="004B64C8" w:rsidRPr="0004128C">
        <w:rPr>
          <w:color w:val="000000"/>
          <w:lang w:eastAsia="en-AU"/>
        </w:rPr>
        <w:t xml:space="preserve"> their reason for </w:t>
      </w:r>
      <w:r w:rsidRPr="0004128C">
        <w:rPr>
          <w:color w:val="000000"/>
          <w:lang w:eastAsia="en-AU"/>
        </w:rPr>
        <w:t xml:space="preserve">exclusion. </w:t>
      </w:r>
    </w:p>
    <w:p w:rsidR="002B3A4E" w:rsidRPr="0047458C" w:rsidRDefault="00901DF2" w:rsidP="00D60032">
      <w:pPr>
        <w:pStyle w:val="Heading2"/>
      </w:pPr>
      <w:r>
        <w:tab/>
      </w:r>
      <w:bookmarkStart w:id="86" w:name="_Toc415141731"/>
      <w:r w:rsidR="00B72D9B" w:rsidRPr="0047458C">
        <w:t>Critical appraisal of selected evidence</w:t>
      </w:r>
      <w:bookmarkEnd w:id="86"/>
    </w:p>
    <w:p w:rsidR="004B64C8" w:rsidRDefault="0004128C" w:rsidP="004B64C8">
      <w:pPr>
        <w:rPr>
          <w:rFonts w:cstheme="minorHAnsi"/>
        </w:rPr>
      </w:pPr>
      <w:r w:rsidRPr="003F77AC">
        <w:rPr>
          <w:rFonts w:cstheme="minorHAnsi"/>
        </w:rPr>
        <w:t xml:space="preserve">Studies </w:t>
      </w:r>
      <w:r w:rsidR="004B64C8" w:rsidRPr="004B64C8">
        <w:rPr>
          <w:rFonts w:cstheme="minorHAnsi"/>
        </w:rPr>
        <w:t xml:space="preserve">were critically appraised according to the likelihood that bias had affected their findings. Study design flaws were appraised using NHMRC levels of evidence and the execution of the research was also evaluated. SIGN 50 checklists were used to critically appraise randomised controlled trials and cohort studies (see </w:t>
      </w:r>
      <w:r w:rsidR="00A72B26" w:rsidRPr="003F3F2D">
        <w:t xml:space="preserve">APPENDIX </w:t>
      </w:r>
      <w:r w:rsidR="00A72B26">
        <w:rPr>
          <w:noProof/>
        </w:rPr>
        <w:t>D</w:t>
      </w:r>
      <w:r w:rsidR="004B64C8" w:rsidRPr="004B64C8">
        <w:rPr>
          <w:rFonts w:cstheme="minorHAnsi"/>
        </w:rPr>
        <w:t>), as recommended by a Canadian Agency for Drugs and Technologies in Health (CADTH) systematic review of appraisal tools</w:t>
      </w:r>
      <w:r w:rsidR="004B64C8" w:rsidRPr="004B64C8">
        <w:rPr>
          <w:rFonts w:cstheme="minorHAnsi"/>
          <w:vertAlign w:val="superscript"/>
        </w:rPr>
        <w:footnoteReference w:id="6"/>
      </w:r>
      <w:r w:rsidR="004B64C8" w:rsidRPr="004B64C8">
        <w:rPr>
          <w:rFonts w:cstheme="minorHAnsi"/>
        </w:rPr>
        <w:t xml:space="preserve">. Case series were critically appraised using the UK National Health Service Centre for Reviews and Dissemination checklist (NHS CRD) </w:t>
      </w:r>
      <w:r w:rsidR="004B64C8" w:rsidRPr="004B64C8">
        <w:rPr>
          <w:rFonts w:cstheme="minorHAnsi"/>
          <w:noProof/>
        </w:rPr>
        <w:t>(</w:t>
      </w:r>
      <w:r w:rsidR="00184B6F" w:rsidRPr="004B64C8">
        <w:rPr>
          <w:rFonts w:cstheme="minorHAnsi"/>
          <w:noProof/>
        </w:rPr>
        <w:t>Khan et al. 2001</w:t>
      </w:r>
      <w:r w:rsidR="004B64C8" w:rsidRPr="004B64C8">
        <w:rPr>
          <w:rFonts w:cstheme="minorHAnsi"/>
          <w:noProof/>
        </w:rPr>
        <w:t>)</w:t>
      </w:r>
      <w:r w:rsidR="004B64C8" w:rsidRPr="004B64C8">
        <w:rPr>
          <w:rFonts w:cstheme="minorHAnsi"/>
        </w:rPr>
        <w:t xml:space="preserve">. Systematic reviews were assessed using the AMSTAR checklist (Assessing the Methodological Quality of Systematic Reviews </w:t>
      </w:r>
      <w:r w:rsidR="004B64C8" w:rsidRPr="004B64C8">
        <w:rPr>
          <w:rFonts w:cstheme="minorHAnsi"/>
          <w:noProof/>
        </w:rPr>
        <w:t>(</w:t>
      </w:r>
      <w:r w:rsidR="00184B6F" w:rsidRPr="004B64C8">
        <w:rPr>
          <w:rFonts w:cstheme="minorHAnsi"/>
          <w:noProof/>
        </w:rPr>
        <w:t>Shea et al. 2009</w:t>
      </w:r>
      <w:r w:rsidR="004B64C8" w:rsidRPr="004B64C8">
        <w:rPr>
          <w:rFonts w:cstheme="minorHAnsi"/>
          <w:noProof/>
        </w:rPr>
        <w:t>)</w:t>
      </w:r>
      <w:r w:rsidR="004B64C8" w:rsidRPr="004B64C8">
        <w:rPr>
          <w:rFonts w:cstheme="minorHAnsi"/>
        </w:rPr>
        <w:t xml:space="preserve">). </w:t>
      </w:r>
      <w:r w:rsidR="00F40DA6">
        <w:rPr>
          <w:rFonts w:cstheme="minorHAnsi"/>
        </w:rPr>
        <w:t>Case reports were not assessed as their likelihood of bias.</w:t>
      </w:r>
    </w:p>
    <w:p w:rsidR="009F2CE8" w:rsidRPr="004B64C8" w:rsidRDefault="009F2CE8" w:rsidP="004B64C8">
      <w:pPr>
        <w:rPr>
          <w:rFonts w:cstheme="minorHAnsi"/>
        </w:rPr>
      </w:pPr>
      <w:r>
        <w:rPr>
          <w:rFonts w:cstheme="minorHAnsi"/>
        </w:rPr>
        <w:t xml:space="preserve">The risk of publication bias could not be assessed, due to the small number of trials identified on each drug. </w:t>
      </w:r>
    </w:p>
    <w:p w:rsidR="004B64C8" w:rsidRPr="004B64C8" w:rsidRDefault="004B64C8" w:rsidP="004B64C8">
      <w:pPr>
        <w:rPr>
          <w:rFonts w:cstheme="minorHAnsi"/>
        </w:rPr>
      </w:pPr>
      <w:r w:rsidRPr="004B64C8">
        <w:rPr>
          <w:rFonts w:cstheme="minorHAnsi"/>
        </w:rPr>
        <w:t xml:space="preserve">The quality of the body of evidence reporting on individual health outcomes was rated according to the Grading of Recommendations Assessment, Development, and Evaluation (GRADE) system </w:t>
      </w:r>
      <w:r w:rsidR="00A130D0">
        <w:rPr>
          <w:rFonts w:cstheme="minorHAnsi"/>
          <w:noProof/>
        </w:rPr>
        <w:t>(</w:t>
      </w:r>
      <w:r w:rsidR="00184B6F">
        <w:rPr>
          <w:rFonts w:cstheme="minorHAnsi"/>
          <w:noProof/>
        </w:rPr>
        <w:t>Guyatt et al. 2011</w:t>
      </w:r>
      <w:r w:rsidR="00A130D0">
        <w:rPr>
          <w:rFonts w:cstheme="minorHAnsi"/>
          <w:noProof/>
        </w:rPr>
        <w:t>)</w:t>
      </w:r>
      <w:r w:rsidRPr="004B64C8">
        <w:rPr>
          <w:rFonts w:cstheme="minorHAnsi"/>
        </w:rPr>
        <w:t xml:space="preserve"> (see </w:t>
      </w:r>
      <w:r w:rsidR="00A72B26" w:rsidRPr="003F3F2D">
        <w:t xml:space="preserve">APPENDIX </w:t>
      </w:r>
      <w:r w:rsidR="00A72B26">
        <w:rPr>
          <w:noProof/>
        </w:rPr>
        <w:t>D</w:t>
      </w:r>
      <w:r w:rsidRPr="004B64C8">
        <w:rPr>
          <w:rFonts w:cstheme="minorHAnsi"/>
        </w:rPr>
        <w:t xml:space="preserve">). This summation of the body of evidence was performed using the online Guideline Development Tool </w:t>
      </w:r>
      <w:r w:rsidR="00A130D0">
        <w:rPr>
          <w:rFonts w:cstheme="minorHAnsi"/>
          <w:noProof/>
        </w:rPr>
        <w:t>(</w:t>
      </w:r>
      <w:r w:rsidR="00184B6F">
        <w:rPr>
          <w:rFonts w:cstheme="minorHAnsi"/>
          <w:noProof/>
        </w:rPr>
        <w:t xml:space="preserve">McMaster </w:t>
      </w:r>
      <w:r w:rsidR="00184B6F">
        <w:rPr>
          <w:rFonts w:cstheme="minorHAnsi"/>
          <w:noProof/>
        </w:rPr>
        <w:lastRenderedPageBreak/>
        <w:t>University and Evidence Prime Inc. 2014</w:t>
      </w:r>
      <w:r w:rsidR="00A130D0">
        <w:rPr>
          <w:rFonts w:cstheme="minorHAnsi"/>
          <w:noProof/>
        </w:rPr>
        <w:t>)</w:t>
      </w:r>
      <w:r w:rsidRPr="004B64C8">
        <w:rPr>
          <w:rFonts w:cstheme="minorHAnsi"/>
        </w:rPr>
        <w:t>.</w:t>
      </w:r>
      <w:r w:rsidR="009F2CE8">
        <w:rPr>
          <w:rFonts w:cstheme="minorHAnsi"/>
        </w:rPr>
        <w:t xml:space="preserve"> </w:t>
      </w:r>
      <w:r w:rsidRPr="004B64C8">
        <w:rPr>
          <w:rFonts w:cstheme="minorHAnsi"/>
        </w:rPr>
        <w:t>The interpretation of the pictorial ratings is given in</w:t>
      </w:r>
      <w:r w:rsidR="002D49F9">
        <w:rPr>
          <w:rFonts w:cstheme="minorHAnsi"/>
        </w:rPr>
        <w:t xml:space="preserve"> </w:t>
      </w:r>
      <w:r w:rsidR="00A72B26">
        <w:t xml:space="preserve">Table </w:t>
      </w:r>
      <w:r w:rsidR="00A72B26">
        <w:rPr>
          <w:noProof/>
        </w:rPr>
        <w:t>3</w:t>
      </w:r>
      <w:r w:rsidRPr="004B64C8">
        <w:rPr>
          <w:rFonts w:cstheme="minorHAnsi"/>
        </w:rPr>
        <w:t>.</w:t>
      </w:r>
      <w:r w:rsidR="006D2BA1">
        <w:rPr>
          <w:rFonts w:cstheme="minorHAnsi"/>
        </w:rPr>
        <w:t xml:space="preserve"> </w:t>
      </w:r>
      <w:r w:rsidR="006D2BA1">
        <w:t>Conclusions derived from the evidence were graded according to the degree of confidence in the estimate of effect for each safety and effectiveness outcome.</w:t>
      </w:r>
    </w:p>
    <w:p w:rsidR="004B64C8" w:rsidRPr="004B64C8" w:rsidRDefault="002D49F9" w:rsidP="002D49F9">
      <w:pPr>
        <w:pStyle w:val="Caption"/>
        <w:tabs>
          <w:tab w:val="clear" w:pos="851"/>
          <w:tab w:val="left" w:pos="993"/>
        </w:tabs>
        <w:rPr>
          <w:bCs w:val="0"/>
        </w:rPr>
      </w:pPr>
      <w:bookmarkStart w:id="87" w:name="_Ref407021504"/>
      <w:bookmarkStart w:id="88" w:name="_Toc411510387"/>
      <w:bookmarkStart w:id="89" w:name="_Toc415141800"/>
      <w:r>
        <w:t xml:space="preserve">Table </w:t>
      </w:r>
      <w:r w:rsidR="00A72B26">
        <w:rPr>
          <w:noProof/>
        </w:rPr>
        <w:t>3</w:t>
      </w:r>
      <w:bookmarkEnd w:id="87"/>
      <w:r>
        <w:tab/>
      </w:r>
      <w:r w:rsidRPr="004B64C8">
        <w:rPr>
          <w:bCs w:val="0"/>
        </w:rPr>
        <w:t xml:space="preserve">Interpretation of GRADE evidence ratings </w:t>
      </w:r>
      <w:r>
        <w:rPr>
          <w:bCs w:val="0"/>
          <w:noProof/>
        </w:rPr>
        <w:t>(</w:t>
      </w:r>
      <w:r w:rsidR="00184B6F">
        <w:rPr>
          <w:bCs w:val="0"/>
          <w:noProof/>
        </w:rPr>
        <w:t>Guyatt et al. 2013</w:t>
      </w:r>
      <w:r>
        <w:rPr>
          <w:bCs w:val="0"/>
          <w:noProof/>
        </w:rPr>
        <w:t>)</w:t>
      </w:r>
      <w:bookmarkEnd w:id="88"/>
      <w:bookmarkEnd w:id="89"/>
    </w:p>
    <w:tbl>
      <w:tblPr>
        <w:tblStyle w:val="TableGrid"/>
        <w:tblW w:w="0" w:type="auto"/>
        <w:tblLook w:val="04A0" w:firstRow="1" w:lastRow="0" w:firstColumn="1" w:lastColumn="0" w:noHBand="0" w:noVBand="1"/>
        <w:tblCaption w:val="Table 3 Interpretation of GRADE evidence ratings (Guyatt et al. 2013)"/>
      </w:tblPr>
      <w:tblGrid>
        <w:gridCol w:w="1384"/>
        <w:gridCol w:w="1559"/>
        <w:gridCol w:w="6299"/>
      </w:tblGrid>
      <w:tr w:rsidR="004B64C8" w:rsidRPr="004B64C8" w:rsidTr="00712231">
        <w:trPr>
          <w:tblHeader/>
        </w:trPr>
        <w:tc>
          <w:tcPr>
            <w:tcW w:w="1384" w:type="dxa"/>
            <w:tcBorders>
              <w:bottom w:val="single" w:sz="4" w:space="0" w:color="000000"/>
            </w:tcBorders>
          </w:tcPr>
          <w:p w:rsidR="004B64C8" w:rsidRPr="0084450C" w:rsidRDefault="004B64C8" w:rsidP="0084450C">
            <w:pPr>
              <w:pStyle w:val="TableHeading"/>
            </w:pPr>
            <w:r w:rsidRPr="0084450C">
              <w:t>GRADE</w:t>
            </w:r>
          </w:p>
        </w:tc>
        <w:tc>
          <w:tcPr>
            <w:tcW w:w="1559" w:type="dxa"/>
          </w:tcPr>
          <w:p w:rsidR="004B64C8" w:rsidRPr="0084450C" w:rsidRDefault="004B64C8" w:rsidP="0084450C">
            <w:pPr>
              <w:pStyle w:val="TableHeading"/>
            </w:pPr>
            <w:r w:rsidRPr="0084450C">
              <w:t>Quality</w:t>
            </w:r>
          </w:p>
        </w:tc>
        <w:tc>
          <w:tcPr>
            <w:tcW w:w="6299" w:type="dxa"/>
          </w:tcPr>
          <w:p w:rsidR="004B64C8" w:rsidRPr="0084450C" w:rsidRDefault="004B64C8" w:rsidP="0084450C">
            <w:pPr>
              <w:pStyle w:val="TableHeading"/>
            </w:pPr>
            <w:r w:rsidRPr="0084450C">
              <w:t>Description</w:t>
            </w:r>
          </w:p>
        </w:tc>
      </w:tr>
      <w:tr w:rsidR="004B64C8" w:rsidRPr="00D4733A" w:rsidTr="0084450C">
        <w:tc>
          <w:tcPr>
            <w:tcW w:w="1384" w:type="dxa"/>
            <w:shd w:val="clear" w:color="auto" w:fill="auto"/>
          </w:tcPr>
          <w:p w:rsidR="004B64C8" w:rsidRPr="00D4733A" w:rsidRDefault="003C111F" w:rsidP="004B64C8">
            <w:pPr>
              <w:keepNext/>
              <w:keepLines/>
              <w:tabs>
                <w:tab w:val="left" w:pos="567"/>
              </w:tabs>
              <w:spacing w:before="120"/>
              <w:jc w:val="left"/>
              <w:outlineLvl w:val="0"/>
              <w:rPr>
                <w:rFonts w:ascii="Arial Narrow" w:hAnsi="Arial Narrow" w:cstheme="minorHAnsi"/>
                <w:sz w:val="22"/>
                <w:szCs w:val="22"/>
              </w:rPr>
            </w:pPr>
            <w:r w:rsidRPr="00D4733A">
              <w:rPr>
                <w:rFonts w:ascii="Cambria Math" w:hAnsi="Cambria Math"/>
                <w:color w:val="00B050"/>
              </w:rPr>
              <w:t>⨁⨁⨁⨁</w:t>
            </w:r>
          </w:p>
        </w:tc>
        <w:tc>
          <w:tcPr>
            <w:tcW w:w="1559" w:type="dxa"/>
          </w:tcPr>
          <w:p w:rsidR="004B64C8" w:rsidRPr="0084450C" w:rsidRDefault="004B64C8" w:rsidP="0084450C">
            <w:pPr>
              <w:pStyle w:val="TableText0"/>
            </w:pPr>
            <w:r w:rsidRPr="0084450C">
              <w:t>High quality</w:t>
            </w:r>
          </w:p>
        </w:tc>
        <w:tc>
          <w:tcPr>
            <w:tcW w:w="6299" w:type="dxa"/>
          </w:tcPr>
          <w:p w:rsidR="004B64C8" w:rsidRPr="0084450C" w:rsidRDefault="004B64C8" w:rsidP="0084450C">
            <w:pPr>
              <w:pStyle w:val="TableText0"/>
            </w:pPr>
            <w:r w:rsidRPr="0084450C">
              <w:t>Further research is very unlikely to change our confidence in the estimate of effect.</w:t>
            </w:r>
          </w:p>
        </w:tc>
      </w:tr>
      <w:tr w:rsidR="004B64C8" w:rsidRPr="00D4733A" w:rsidTr="0084450C">
        <w:tc>
          <w:tcPr>
            <w:tcW w:w="1384" w:type="dxa"/>
            <w:shd w:val="clear" w:color="auto" w:fill="auto"/>
          </w:tcPr>
          <w:p w:rsidR="004B64C8" w:rsidRPr="00D4733A" w:rsidRDefault="003C111F" w:rsidP="004B64C8">
            <w:pPr>
              <w:keepNext/>
              <w:keepLines/>
              <w:tabs>
                <w:tab w:val="left" w:pos="567"/>
              </w:tabs>
              <w:spacing w:before="120"/>
              <w:jc w:val="left"/>
              <w:outlineLvl w:val="0"/>
              <w:rPr>
                <w:rFonts w:ascii="Arial Narrow" w:hAnsi="Arial Narrow" w:cstheme="minorHAnsi"/>
                <w:sz w:val="22"/>
                <w:szCs w:val="22"/>
              </w:rPr>
            </w:pPr>
            <w:r w:rsidRPr="00D4733A">
              <w:rPr>
                <w:rFonts w:ascii="Cambria Math" w:hAnsi="Cambria Math"/>
                <w:color w:val="00B050"/>
              </w:rPr>
              <w:t>⨁⨁⨁</w:t>
            </w:r>
            <w:r w:rsidRPr="00D4733A">
              <w:rPr>
                <w:rFonts w:ascii="Cambria Math" w:hAnsi="Cambria Math"/>
                <w:color w:val="C00000"/>
              </w:rPr>
              <w:t>⨀</w:t>
            </w:r>
          </w:p>
        </w:tc>
        <w:tc>
          <w:tcPr>
            <w:tcW w:w="1559" w:type="dxa"/>
          </w:tcPr>
          <w:p w:rsidR="004B64C8" w:rsidRPr="0084450C" w:rsidRDefault="004B64C8" w:rsidP="0084450C">
            <w:pPr>
              <w:pStyle w:val="TableText0"/>
            </w:pPr>
            <w:r w:rsidRPr="0084450C">
              <w:t>Moderate quality</w:t>
            </w:r>
          </w:p>
        </w:tc>
        <w:tc>
          <w:tcPr>
            <w:tcW w:w="6299" w:type="dxa"/>
          </w:tcPr>
          <w:p w:rsidR="004B64C8" w:rsidRPr="0084450C" w:rsidRDefault="004B64C8" w:rsidP="0084450C">
            <w:pPr>
              <w:pStyle w:val="TableText0"/>
            </w:pPr>
            <w:r w:rsidRPr="0084450C">
              <w:t>Further research is likely to have an important impact on our confidence in the estimate of effect and may change the estimate.</w:t>
            </w:r>
          </w:p>
        </w:tc>
      </w:tr>
      <w:tr w:rsidR="004B64C8" w:rsidRPr="00D4733A" w:rsidTr="0084450C">
        <w:tc>
          <w:tcPr>
            <w:tcW w:w="1384" w:type="dxa"/>
          </w:tcPr>
          <w:p w:rsidR="004B64C8" w:rsidRPr="00D4733A" w:rsidRDefault="003C111F" w:rsidP="004B64C8">
            <w:pPr>
              <w:keepNext/>
              <w:keepLines/>
              <w:tabs>
                <w:tab w:val="left" w:pos="567"/>
              </w:tabs>
              <w:spacing w:before="120"/>
              <w:jc w:val="left"/>
              <w:outlineLvl w:val="0"/>
              <w:rPr>
                <w:rFonts w:ascii="Arial Narrow" w:hAnsi="Arial Narrow" w:cstheme="minorHAnsi"/>
                <w:sz w:val="22"/>
                <w:szCs w:val="22"/>
              </w:rPr>
            </w:pPr>
            <w:r w:rsidRPr="00D4733A">
              <w:rPr>
                <w:rFonts w:ascii="Cambria Math" w:hAnsi="Cambria Math"/>
                <w:color w:val="00B050"/>
              </w:rPr>
              <w:t>⨁⨁</w:t>
            </w:r>
            <w:r w:rsidRPr="00D4733A">
              <w:rPr>
                <w:rFonts w:ascii="Cambria Math" w:hAnsi="Cambria Math"/>
                <w:color w:val="C00000"/>
              </w:rPr>
              <w:t>⨀⨀</w:t>
            </w:r>
          </w:p>
        </w:tc>
        <w:tc>
          <w:tcPr>
            <w:tcW w:w="1559" w:type="dxa"/>
          </w:tcPr>
          <w:p w:rsidR="004B64C8" w:rsidRPr="0084450C" w:rsidRDefault="004B64C8" w:rsidP="0084450C">
            <w:pPr>
              <w:pStyle w:val="TableText0"/>
            </w:pPr>
            <w:r w:rsidRPr="0084450C">
              <w:t>Low quality</w:t>
            </w:r>
          </w:p>
        </w:tc>
        <w:tc>
          <w:tcPr>
            <w:tcW w:w="6299" w:type="dxa"/>
          </w:tcPr>
          <w:p w:rsidR="004B64C8" w:rsidRPr="0084450C" w:rsidRDefault="004B64C8" w:rsidP="0084450C">
            <w:pPr>
              <w:pStyle w:val="TableText0"/>
            </w:pPr>
            <w:r w:rsidRPr="0084450C">
              <w:t>Further research is very likely to have an important impact on our confidence in the estimate of effect and is likely to change the estimate.</w:t>
            </w:r>
          </w:p>
        </w:tc>
      </w:tr>
      <w:tr w:rsidR="004B64C8" w:rsidRPr="004B64C8" w:rsidTr="0084450C">
        <w:tc>
          <w:tcPr>
            <w:tcW w:w="1384" w:type="dxa"/>
          </w:tcPr>
          <w:p w:rsidR="004B64C8" w:rsidRPr="00D4733A" w:rsidRDefault="003C111F" w:rsidP="004B64C8">
            <w:pPr>
              <w:keepNext/>
              <w:keepLines/>
              <w:tabs>
                <w:tab w:val="left" w:pos="567"/>
              </w:tabs>
              <w:spacing w:before="120"/>
              <w:jc w:val="left"/>
              <w:outlineLvl w:val="0"/>
              <w:rPr>
                <w:rFonts w:ascii="Arial Narrow" w:hAnsi="Arial Narrow" w:cstheme="minorHAnsi"/>
                <w:sz w:val="22"/>
                <w:szCs w:val="22"/>
              </w:rPr>
            </w:pPr>
            <w:r w:rsidRPr="00D4733A">
              <w:rPr>
                <w:rFonts w:ascii="Cambria Math" w:hAnsi="Cambria Math"/>
                <w:color w:val="00B050"/>
              </w:rPr>
              <w:t>⨁</w:t>
            </w:r>
            <w:r w:rsidRPr="00D4733A">
              <w:rPr>
                <w:rFonts w:ascii="Cambria Math" w:hAnsi="Cambria Math"/>
                <w:color w:val="C00000"/>
              </w:rPr>
              <w:t>⨀⨀⨀</w:t>
            </w:r>
          </w:p>
        </w:tc>
        <w:tc>
          <w:tcPr>
            <w:tcW w:w="1559" w:type="dxa"/>
          </w:tcPr>
          <w:p w:rsidR="004B64C8" w:rsidRPr="0084450C" w:rsidRDefault="004B64C8" w:rsidP="0084450C">
            <w:pPr>
              <w:pStyle w:val="TableText0"/>
            </w:pPr>
            <w:r w:rsidRPr="0084450C">
              <w:t>Very low quality</w:t>
            </w:r>
          </w:p>
        </w:tc>
        <w:tc>
          <w:tcPr>
            <w:tcW w:w="6299" w:type="dxa"/>
          </w:tcPr>
          <w:p w:rsidR="004B64C8" w:rsidRPr="0084450C" w:rsidRDefault="004B64C8" w:rsidP="0084450C">
            <w:pPr>
              <w:pStyle w:val="TableText0"/>
            </w:pPr>
            <w:r w:rsidRPr="0084450C">
              <w:t>We are very uncertain about the estimate.</w:t>
            </w:r>
          </w:p>
        </w:tc>
      </w:tr>
    </w:tbl>
    <w:p w:rsidR="00EA63EF" w:rsidRDefault="00EA63EF" w:rsidP="004B64C8">
      <w:pPr>
        <w:rPr>
          <w:rFonts w:cstheme="minorHAnsi"/>
        </w:rPr>
      </w:pPr>
    </w:p>
    <w:p w:rsidR="002B3A4E" w:rsidRPr="00712792" w:rsidRDefault="00901DF2" w:rsidP="00D60032">
      <w:pPr>
        <w:pStyle w:val="Heading2"/>
      </w:pPr>
      <w:r>
        <w:tab/>
      </w:r>
      <w:bookmarkStart w:id="90" w:name="_Toc415141732"/>
      <w:r w:rsidR="00B72D9B" w:rsidRPr="00712792">
        <w:t>Data extraction and synthesis</w:t>
      </w:r>
      <w:bookmarkEnd w:id="90"/>
    </w:p>
    <w:p w:rsidR="004B64C8" w:rsidRPr="003F77AC" w:rsidRDefault="0004128C" w:rsidP="009F6946">
      <w:r w:rsidRPr="003F77AC">
        <w:t xml:space="preserve">Relevant </w:t>
      </w:r>
      <w:r w:rsidR="004B64C8" w:rsidRPr="003F77AC">
        <w:t xml:space="preserve">data </w:t>
      </w:r>
      <w:r w:rsidR="004B64C8">
        <w:t>were</w:t>
      </w:r>
      <w:r w:rsidR="004B64C8" w:rsidRPr="003F77AC">
        <w:t xml:space="preserve"> extracted from included studies, including </w:t>
      </w:r>
      <w:r w:rsidR="004B64C8">
        <w:t xml:space="preserve">detail on the </w:t>
      </w:r>
      <w:r w:rsidR="004B64C8" w:rsidRPr="003F77AC">
        <w:t xml:space="preserve">study authors, country/setting, population, intervention drug and dosage details, comparator drug and dosage details, level of evidence, risk of bias, relevant outcome measures and results and follow-up period. </w:t>
      </w:r>
      <w:r w:rsidR="004B64C8">
        <w:t xml:space="preserve">These study profiles are shown in </w:t>
      </w:r>
      <w:r w:rsidR="00A72B26" w:rsidRPr="003F3F2D">
        <w:t xml:space="preserve">Appendix </w:t>
      </w:r>
      <w:r w:rsidR="00A72B26">
        <w:rPr>
          <w:noProof/>
        </w:rPr>
        <w:t>E</w:t>
      </w:r>
      <w:r w:rsidR="009F6946">
        <w:t>.</w:t>
      </w:r>
    </w:p>
    <w:p w:rsidR="004B64C8" w:rsidRPr="003F77AC" w:rsidRDefault="004B64C8" w:rsidP="004B64C8">
      <w:r>
        <w:rPr>
          <w:rFonts w:cstheme="minorHAnsi"/>
        </w:rPr>
        <w:t>Key outcome d</w:t>
      </w:r>
      <w:r w:rsidRPr="003F77AC">
        <w:rPr>
          <w:rFonts w:cstheme="minorHAnsi"/>
        </w:rPr>
        <w:t xml:space="preserve">ata </w:t>
      </w:r>
      <w:r>
        <w:rPr>
          <w:rFonts w:cstheme="minorHAnsi"/>
        </w:rPr>
        <w:t>from all of the included studies were</w:t>
      </w:r>
      <w:r w:rsidRPr="003F77AC">
        <w:rPr>
          <w:rFonts w:cstheme="minorHAnsi"/>
        </w:rPr>
        <w:t xml:space="preserve"> extracted in duplicate</w:t>
      </w:r>
      <w:r>
        <w:rPr>
          <w:rFonts w:cstheme="minorHAnsi"/>
        </w:rPr>
        <w:t xml:space="preserve"> and independently by two researchers</w:t>
      </w:r>
      <w:r w:rsidRPr="003F77AC">
        <w:t>.</w:t>
      </w:r>
    </w:p>
    <w:p w:rsidR="002F6AE6" w:rsidRDefault="004B64C8" w:rsidP="002F6AE6">
      <w:r w:rsidRPr="003F77AC">
        <w:t xml:space="preserve">Where appropriate, data extracted from the included studies </w:t>
      </w:r>
      <w:r>
        <w:t>would have been</w:t>
      </w:r>
      <w:r w:rsidRPr="003F77AC">
        <w:t xml:space="preserve"> combined in a meta-analysis, but </w:t>
      </w:r>
      <w:r>
        <w:t>there were insufficient data available</w:t>
      </w:r>
      <w:r w:rsidRPr="003F77AC">
        <w:t xml:space="preserve">. </w:t>
      </w:r>
      <w:r>
        <w:t xml:space="preserve">For each review question, the </w:t>
      </w:r>
      <w:r w:rsidRPr="003F77AC">
        <w:t xml:space="preserve">findings </w:t>
      </w:r>
      <w:r>
        <w:t>were</w:t>
      </w:r>
      <w:r w:rsidRPr="003F77AC">
        <w:t xml:space="preserve"> synthesised into an overall narrative, with better quality studies given greater credence in the development of conclusions. This synthesis </w:t>
      </w:r>
      <w:r>
        <w:t>was</w:t>
      </w:r>
      <w:r w:rsidRPr="003F77AC">
        <w:t xml:space="preserve"> informed by the GRADE method of synthesising evidence </w:t>
      </w:r>
      <w:r w:rsidRPr="003F77AC">
        <w:rPr>
          <w:noProof/>
        </w:rPr>
        <w:t>(</w:t>
      </w:r>
      <w:r w:rsidR="00184B6F" w:rsidRPr="003F77AC">
        <w:rPr>
          <w:noProof/>
        </w:rPr>
        <w:t>Guyatt et al. 2013</w:t>
      </w:r>
      <w:r w:rsidRPr="003F77AC">
        <w:rPr>
          <w:noProof/>
        </w:rPr>
        <w:t>)</w:t>
      </w:r>
      <w:r w:rsidRPr="003F77AC">
        <w:rPr>
          <w:rFonts w:cstheme="minorHAnsi"/>
        </w:rPr>
        <w:t xml:space="preserve"> (see </w:t>
      </w:r>
      <w:r w:rsidR="00A72B26" w:rsidRPr="003F3F2D">
        <w:t xml:space="preserve">Appendix </w:t>
      </w:r>
      <w:r w:rsidR="00A72B26">
        <w:rPr>
          <w:noProof/>
        </w:rPr>
        <w:t>E</w:t>
      </w:r>
      <w:r w:rsidRPr="003F77AC">
        <w:rPr>
          <w:rFonts w:cstheme="minorHAnsi"/>
        </w:rPr>
        <w:t xml:space="preserve">). </w:t>
      </w:r>
      <w:r>
        <w:rPr>
          <w:rFonts w:cstheme="minorHAnsi"/>
        </w:rPr>
        <w:t>The findings in e</w:t>
      </w:r>
      <w:r w:rsidRPr="003F77AC">
        <w:rPr>
          <w:rFonts w:cstheme="minorHAnsi"/>
        </w:rPr>
        <w:t xml:space="preserve">ach systematic review chapter </w:t>
      </w:r>
      <w:r>
        <w:rPr>
          <w:rFonts w:cstheme="minorHAnsi"/>
        </w:rPr>
        <w:t>were</w:t>
      </w:r>
      <w:r w:rsidRPr="003F77AC">
        <w:rPr>
          <w:rFonts w:cstheme="minorHAnsi"/>
        </w:rPr>
        <w:t xml:space="preserve"> reported according to PRISMA reporting standards and incorporate all of the </w:t>
      </w:r>
      <w:r w:rsidRPr="006172FD">
        <w:rPr>
          <w:rFonts w:cstheme="minorHAnsi"/>
        </w:rPr>
        <w:t xml:space="preserve">components required by AMSTAR for a high quality systematic review </w:t>
      </w:r>
      <w:r w:rsidRPr="006172FD">
        <w:rPr>
          <w:rFonts w:cstheme="minorHAnsi"/>
          <w:noProof/>
        </w:rPr>
        <w:t>(</w:t>
      </w:r>
      <w:r w:rsidR="00184B6F" w:rsidRPr="006172FD">
        <w:rPr>
          <w:rFonts w:cstheme="minorHAnsi"/>
          <w:noProof/>
        </w:rPr>
        <w:t>Shea et al. 2009</w:t>
      </w:r>
      <w:r w:rsidRPr="006172FD">
        <w:rPr>
          <w:rFonts w:cstheme="minorHAnsi"/>
          <w:noProof/>
        </w:rPr>
        <w:t>)</w:t>
      </w:r>
      <w:r w:rsidRPr="006172FD">
        <w:rPr>
          <w:rFonts w:cstheme="minorHAnsi"/>
        </w:rPr>
        <w:t>.</w:t>
      </w:r>
    </w:p>
    <w:p w:rsidR="00E46A36" w:rsidRDefault="002F6AE6" w:rsidP="00D60032">
      <w:pPr>
        <w:pStyle w:val="Heading2"/>
      </w:pPr>
      <w:r>
        <w:t xml:space="preserve"> </w:t>
      </w:r>
      <w:r>
        <w:tab/>
      </w:r>
      <w:bookmarkStart w:id="91" w:name="_Toc415141733"/>
      <w:r w:rsidR="00E46A36">
        <w:t>Method of review and analysis of c</w:t>
      </w:r>
      <w:r w:rsidR="00E46A36" w:rsidRPr="001A34F1">
        <w:t xml:space="preserve">urrently held </w:t>
      </w:r>
      <w:r w:rsidR="00E46A36">
        <w:t>data</w:t>
      </w:r>
      <w:bookmarkEnd w:id="91"/>
    </w:p>
    <w:p w:rsidR="004B64C8" w:rsidRPr="006172FD" w:rsidRDefault="0004128C" w:rsidP="004B64C8">
      <w:pPr>
        <w:rPr>
          <w:rFonts w:eastAsia="Calibri"/>
        </w:rPr>
      </w:pPr>
      <w:r w:rsidRPr="006172FD">
        <w:t xml:space="preserve">The </w:t>
      </w:r>
      <w:bookmarkStart w:id="92" w:name="_Toc404937259"/>
      <w:r w:rsidR="004B64C8">
        <w:t>ai</w:t>
      </w:r>
      <w:r w:rsidR="004B64C8">
        <w:rPr>
          <w:rFonts w:eastAsia="Calibri"/>
        </w:rPr>
        <w:t>m of the data analysis portion of the technical assessment was, f</w:t>
      </w:r>
      <w:r w:rsidR="004B64C8" w:rsidRPr="006172FD">
        <w:rPr>
          <w:rFonts w:eastAsia="Calibri"/>
        </w:rPr>
        <w:t xml:space="preserve">or </w:t>
      </w:r>
      <w:r w:rsidR="004B64C8" w:rsidRPr="006172FD">
        <w:rPr>
          <w:rFonts w:eastAsia="Calibri"/>
          <w:u w:val="single"/>
        </w:rPr>
        <w:t>each</w:t>
      </w:r>
      <w:r w:rsidR="004B64C8" w:rsidRPr="006172FD">
        <w:rPr>
          <w:rFonts w:eastAsia="Calibri"/>
        </w:rPr>
        <w:t xml:space="preserve"> </w:t>
      </w:r>
      <w:r w:rsidR="004B64C8">
        <w:rPr>
          <w:rFonts w:eastAsia="Calibri"/>
        </w:rPr>
        <w:t>drug, to</w:t>
      </w:r>
      <w:r w:rsidR="004B64C8" w:rsidRPr="006172FD">
        <w:rPr>
          <w:rFonts w:eastAsia="Calibri"/>
        </w:rPr>
        <w:t>:</w:t>
      </w:r>
    </w:p>
    <w:p w:rsidR="004B64C8" w:rsidRPr="006172FD" w:rsidRDefault="004B64C8" w:rsidP="00E8561A">
      <w:pPr>
        <w:pStyle w:val="ListParagraph"/>
        <w:numPr>
          <w:ilvl w:val="0"/>
          <w:numId w:val="17"/>
        </w:numPr>
        <w:tabs>
          <w:tab w:val="left" w:pos="993"/>
        </w:tabs>
        <w:ind w:left="993" w:hanging="633"/>
      </w:pPr>
      <w:r w:rsidRPr="006172FD">
        <w:t>Identify resource use associated with the listing on the LSDP:</w:t>
      </w:r>
    </w:p>
    <w:p w:rsidR="004B64C8" w:rsidRPr="006172FD" w:rsidRDefault="004B64C8" w:rsidP="00E8561A">
      <w:pPr>
        <w:pStyle w:val="ListParagraph"/>
        <w:numPr>
          <w:ilvl w:val="1"/>
          <w:numId w:val="17"/>
        </w:numPr>
        <w:tabs>
          <w:tab w:val="left" w:pos="1701"/>
        </w:tabs>
        <w:ind w:left="1701" w:hanging="621"/>
      </w:pPr>
      <w:r w:rsidRPr="006172FD">
        <w:t>Identify and cost resource items related to the data set;</w:t>
      </w:r>
    </w:p>
    <w:p w:rsidR="004B64C8" w:rsidRPr="006172FD" w:rsidRDefault="004B64C8" w:rsidP="00E8561A">
      <w:pPr>
        <w:pStyle w:val="ListParagraph"/>
        <w:numPr>
          <w:ilvl w:val="1"/>
          <w:numId w:val="17"/>
        </w:numPr>
        <w:tabs>
          <w:tab w:val="left" w:pos="1701"/>
        </w:tabs>
        <w:ind w:left="1701" w:hanging="621"/>
      </w:pPr>
      <w:r w:rsidRPr="006172FD">
        <w:t>Cross-reference these against the resource items from the submission that are likely to be used for the management of the disease; and</w:t>
      </w:r>
    </w:p>
    <w:p w:rsidR="004B64C8" w:rsidRPr="006172FD" w:rsidRDefault="004B64C8" w:rsidP="00E8561A">
      <w:pPr>
        <w:pStyle w:val="ListParagraph"/>
        <w:numPr>
          <w:ilvl w:val="1"/>
          <w:numId w:val="17"/>
        </w:numPr>
        <w:tabs>
          <w:tab w:val="left" w:pos="1701"/>
        </w:tabs>
        <w:ind w:left="1701" w:hanging="621"/>
      </w:pPr>
      <w:r w:rsidRPr="006172FD">
        <w:t>Determine the excess use of testing / monitoring required (if any) for drug administration.</w:t>
      </w:r>
      <w:r w:rsidR="0031246B">
        <w:t xml:space="preserve"> </w:t>
      </w:r>
    </w:p>
    <w:p w:rsidR="004B64C8" w:rsidRPr="006172FD" w:rsidRDefault="004B64C8" w:rsidP="00E8561A">
      <w:pPr>
        <w:pStyle w:val="ListParagraph"/>
        <w:numPr>
          <w:ilvl w:val="0"/>
          <w:numId w:val="17"/>
        </w:numPr>
        <w:tabs>
          <w:tab w:val="left" w:pos="993"/>
        </w:tabs>
        <w:ind w:left="993" w:hanging="633"/>
      </w:pPr>
      <w:r w:rsidRPr="006172FD">
        <w:lastRenderedPageBreak/>
        <w:t xml:space="preserve">Verify clinical and economic claims in the submission: </w:t>
      </w:r>
    </w:p>
    <w:p w:rsidR="004B64C8" w:rsidRPr="006172FD" w:rsidRDefault="004B64C8" w:rsidP="00E8561A">
      <w:pPr>
        <w:pStyle w:val="ListParagraph"/>
        <w:numPr>
          <w:ilvl w:val="1"/>
          <w:numId w:val="17"/>
        </w:numPr>
        <w:tabs>
          <w:tab w:val="left" w:pos="1701"/>
        </w:tabs>
        <w:ind w:left="1701" w:hanging="621"/>
      </w:pPr>
      <w:r w:rsidRPr="006172FD">
        <w:t>Identify outcome and other variables in the dataset; and</w:t>
      </w:r>
    </w:p>
    <w:p w:rsidR="004B64C8" w:rsidRPr="006172FD" w:rsidRDefault="004B64C8" w:rsidP="00E8561A">
      <w:pPr>
        <w:pStyle w:val="ListParagraph"/>
        <w:numPr>
          <w:ilvl w:val="1"/>
          <w:numId w:val="17"/>
        </w:numPr>
        <w:tabs>
          <w:tab w:val="left" w:pos="1701"/>
        </w:tabs>
        <w:ind w:left="1701" w:hanging="621"/>
      </w:pPr>
      <w:r w:rsidRPr="006172FD">
        <w:t xml:space="preserve">If the data are sufficient, compare actual use / results in Australia with that presented in the submission. </w:t>
      </w:r>
    </w:p>
    <w:p w:rsidR="0031246B" w:rsidRDefault="0031246B" w:rsidP="0031246B">
      <w:r>
        <w:t xml:space="preserve">It was not possible to achieve the aims outlined under point 1, as the data obtained were collected for a different purpose and </w:t>
      </w:r>
      <w:r w:rsidR="00BE6574">
        <w:t xml:space="preserve">were not in a format which could easily be extracted. </w:t>
      </w:r>
    </w:p>
    <w:p w:rsidR="004B64C8" w:rsidRPr="006172FD" w:rsidRDefault="004B64C8" w:rsidP="004B64C8">
      <w:r w:rsidRPr="006172FD">
        <w:t xml:space="preserve">The </w:t>
      </w:r>
      <w:r>
        <w:t>extent and format of the obtained data partially supported the stated goals of the proposed data analysis.</w:t>
      </w:r>
      <w:r w:rsidRPr="006172FD">
        <w:t xml:space="preserve"> </w:t>
      </w:r>
      <w:r>
        <w:t>D</w:t>
      </w:r>
      <w:r w:rsidRPr="006172FD">
        <w:t xml:space="preserve">ata </w:t>
      </w:r>
      <w:r>
        <w:t xml:space="preserve">pertinent to the LSDP that are </w:t>
      </w:r>
      <w:r w:rsidRPr="006172FD">
        <w:t xml:space="preserve">currently held by the Department and in sponsor registries </w:t>
      </w:r>
      <w:r>
        <w:t>was</w:t>
      </w:r>
      <w:r w:rsidRPr="006172FD">
        <w:t xml:space="preserve"> analys</w:t>
      </w:r>
      <w:r>
        <w:t xml:space="preserve">ed </w:t>
      </w:r>
      <w:r w:rsidRPr="006172FD">
        <w:t>i</w:t>
      </w:r>
      <w:r>
        <w:t>n an</w:t>
      </w:r>
      <w:r w:rsidRPr="006172FD">
        <w:t xml:space="preserve"> attempt to assess whether </w:t>
      </w:r>
      <w:r>
        <w:t xml:space="preserve">the </w:t>
      </w:r>
      <w:r w:rsidRPr="006172FD">
        <w:t xml:space="preserve">claims of </w:t>
      </w:r>
      <w:r>
        <w:t xml:space="preserve">drug </w:t>
      </w:r>
      <w:r w:rsidRPr="006172FD">
        <w:t xml:space="preserve">safety and effectiveness </w:t>
      </w:r>
      <w:r>
        <w:t>(</w:t>
      </w:r>
      <w:r w:rsidRPr="006172FD">
        <w:t xml:space="preserve">made in the </w:t>
      </w:r>
      <w:r>
        <w:t xml:space="preserve">sponsors’ funding </w:t>
      </w:r>
      <w:r w:rsidRPr="006172FD">
        <w:t>submission</w:t>
      </w:r>
      <w:r>
        <w:t>s)</w:t>
      </w:r>
      <w:r w:rsidRPr="006172FD">
        <w:t xml:space="preserve"> were realised in the Australian setting. An attempt was </w:t>
      </w:r>
      <w:r>
        <w:t xml:space="preserve">also </w:t>
      </w:r>
      <w:r w:rsidRPr="006172FD">
        <w:t xml:space="preserve">made to </w:t>
      </w:r>
      <w:r>
        <w:t>identify the</w:t>
      </w:r>
      <w:r w:rsidRPr="006172FD">
        <w:t xml:space="preserve"> co-administered treatments</w:t>
      </w:r>
      <w:r>
        <w:t xml:space="preserve">; </w:t>
      </w:r>
      <w:r w:rsidR="00242CB6">
        <w:t xml:space="preserve">however, the format of the data for most drugs could not easily be extracted. </w:t>
      </w:r>
      <w:r w:rsidRPr="006172FD">
        <w:t xml:space="preserve"> </w:t>
      </w:r>
    </w:p>
    <w:p w:rsidR="004B64C8" w:rsidRPr="006172FD" w:rsidRDefault="004B64C8" w:rsidP="004B64C8">
      <w:r>
        <w:t xml:space="preserve">Data were inadequate for the purpose of analysing </w:t>
      </w:r>
      <w:r w:rsidRPr="006172FD">
        <w:t xml:space="preserve">the costs to the Commonwealth for different treatments, administration costs, the setting of treatment, </w:t>
      </w:r>
      <w:r>
        <w:t xml:space="preserve">and </w:t>
      </w:r>
      <w:r w:rsidRPr="006172FD">
        <w:t xml:space="preserve">the rate of adverse events. An analysis </w:t>
      </w:r>
      <w:r w:rsidRPr="008C0B52">
        <w:rPr>
          <w:i/>
        </w:rPr>
        <w:t>was</w:t>
      </w:r>
      <w:r w:rsidRPr="006172FD">
        <w:t xml:space="preserve"> made </w:t>
      </w:r>
      <w:r>
        <w:t>as to</w:t>
      </w:r>
      <w:r w:rsidRPr="006172FD">
        <w:t xml:space="preserve"> whether the </w:t>
      </w:r>
      <w:r>
        <w:t xml:space="preserve">supplied </w:t>
      </w:r>
      <w:r w:rsidRPr="006172FD">
        <w:t xml:space="preserve">doses </w:t>
      </w:r>
      <w:r>
        <w:t xml:space="preserve">of LSDP-subsidised drugs </w:t>
      </w:r>
      <w:r w:rsidRPr="006172FD">
        <w:t>compl</w:t>
      </w:r>
      <w:r>
        <w:t xml:space="preserve">ied </w:t>
      </w:r>
      <w:r w:rsidRPr="006172FD">
        <w:t>with T</w:t>
      </w:r>
      <w:r>
        <w:t xml:space="preserve">herapeutic </w:t>
      </w:r>
      <w:r w:rsidRPr="006172FD">
        <w:t>G</w:t>
      </w:r>
      <w:r>
        <w:t xml:space="preserve">oods </w:t>
      </w:r>
      <w:r w:rsidRPr="006172FD">
        <w:t>A</w:t>
      </w:r>
      <w:r>
        <w:t>dministration (TGA)</w:t>
      </w:r>
      <w:r w:rsidRPr="006172FD">
        <w:t xml:space="preserve"> recommend</w:t>
      </w:r>
      <w:r>
        <w:t xml:space="preserve">ed dosing from Product Information documents. It was also determined whether </w:t>
      </w:r>
      <w:r w:rsidRPr="006172FD">
        <w:t xml:space="preserve">any patient health outcomes could be said to differ </w:t>
      </w:r>
      <w:r>
        <w:t>as a consequence of using</w:t>
      </w:r>
      <w:r w:rsidRPr="006172FD">
        <w:t xml:space="preserve"> </w:t>
      </w:r>
      <w:r>
        <w:t>an</w:t>
      </w:r>
      <w:r w:rsidRPr="006172FD">
        <w:t xml:space="preserve"> </w:t>
      </w:r>
      <w:r>
        <w:t xml:space="preserve">off-label </w:t>
      </w:r>
      <w:r w:rsidRPr="006172FD">
        <w:t>experimental dose</w:t>
      </w:r>
      <w:r w:rsidRPr="008D648B">
        <w:t xml:space="preserve"> </w:t>
      </w:r>
      <w:r>
        <w:t xml:space="preserve">rather than the </w:t>
      </w:r>
      <w:r w:rsidRPr="006172FD">
        <w:t xml:space="preserve">standard </w:t>
      </w:r>
      <w:r>
        <w:t xml:space="preserve">drug </w:t>
      </w:r>
      <w:r w:rsidRPr="006172FD">
        <w:t>dose.</w:t>
      </w:r>
    </w:p>
    <w:p w:rsidR="004B64C8" w:rsidRPr="006172FD" w:rsidRDefault="004B64C8" w:rsidP="004B64C8">
      <w:r>
        <w:t>T</w:t>
      </w:r>
      <w:r w:rsidRPr="006172FD">
        <w:t xml:space="preserve">he </w:t>
      </w:r>
      <w:r>
        <w:t xml:space="preserve">available </w:t>
      </w:r>
      <w:r w:rsidRPr="006172FD">
        <w:t xml:space="preserve">data were </w:t>
      </w:r>
      <w:r>
        <w:t xml:space="preserve">also </w:t>
      </w:r>
      <w:r w:rsidRPr="006172FD">
        <w:t xml:space="preserve">examined to </w:t>
      </w:r>
      <w:r>
        <w:t xml:space="preserve">assess whether </w:t>
      </w:r>
      <w:r w:rsidRPr="006172FD">
        <w:t xml:space="preserve">they were in a format that would allow a determination of quality of life or an alternative ‘value metric’ chosen by the Reference Group (as discussed in 5.2). </w:t>
      </w:r>
    </w:p>
    <w:p w:rsidR="004B64C8" w:rsidRPr="006172FD" w:rsidRDefault="004B64C8" w:rsidP="004B64C8">
      <w:pPr>
        <w:rPr>
          <w:rFonts w:eastAsia="Calibri"/>
        </w:rPr>
      </w:pPr>
      <w:r w:rsidRPr="006172FD">
        <w:rPr>
          <w:rFonts w:eastAsia="Calibri"/>
        </w:rPr>
        <w:t xml:space="preserve">Identified limitations of the data collections were used to inform recommendations for efficient and effective data collection for drugs reimbursed on the LSDP (see Section 6). </w:t>
      </w:r>
    </w:p>
    <w:p w:rsidR="004B64C8" w:rsidRDefault="004B64C8" w:rsidP="004B64C8">
      <w:pPr>
        <w:tabs>
          <w:tab w:val="left" w:pos="993"/>
        </w:tabs>
      </w:pPr>
      <w:r w:rsidRPr="006172FD">
        <w:t xml:space="preserve">The results </w:t>
      </w:r>
      <w:r>
        <w:t xml:space="preserve">of the </w:t>
      </w:r>
      <w:r w:rsidRPr="006172FD">
        <w:t xml:space="preserve">data analysis </w:t>
      </w:r>
      <w:r>
        <w:t>for the LSDP-subsidised drugs treating each disease or condition are reported subsequent to</w:t>
      </w:r>
      <w:r w:rsidRPr="006172FD">
        <w:t xml:space="preserve"> the systematic review</w:t>
      </w:r>
      <w:r>
        <w:t xml:space="preserve"> evaluating management of each disease or condition in this technical assessment</w:t>
      </w:r>
      <w:r w:rsidRPr="006172FD">
        <w:t>.</w:t>
      </w:r>
    </w:p>
    <w:p w:rsidR="007C507E" w:rsidRPr="007C507E" w:rsidRDefault="007C507E" w:rsidP="007C507E">
      <w:pPr>
        <w:tabs>
          <w:tab w:val="left" w:pos="993"/>
        </w:tabs>
      </w:pPr>
      <w:r w:rsidRPr="007C507E">
        <w:t>As part of the review process, observational data stored in company databases was request</w:t>
      </w:r>
      <w:r w:rsidR="009D1677">
        <w:t xml:space="preserve">ed. </w:t>
      </w:r>
      <w:r w:rsidRPr="007C507E">
        <w:t>The data prov</w:t>
      </w:r>
      <w:r>
        <w:t xml:space="preserve">ided directly from the sponsors are outlined in </w:t>
      </w:r>
      <w:r w:rsidR="00A72B26">
        <w:t xml:space="preserve">Table </w:t>
      </w:r>
      <w:r w:rsidR="00A72B26">
        <w:rPr>
          <w:noProof/>
        </w:rPr>
        <w:t>4</w:t>
      </w:r>
      <w:r>
        <w:t>.</w:t>
      </w:r>
    </w:p>
    <w:p w:rsidR="007C507E" w:rsidRDefault="007C507E" w:rsidP="007C507E">
      <w:pPr>
        <w:pStyle w:val="Caption"/>
        <w:keepNext/>
      </w:pPr>
      <w:bookmarkStart w:id="93" w:name="_Ref409188744"/>
      <w:bookmarkStart w:id="94" w:name="_Toc411510388"/>
      <w:bookmarkStart w:id="95" w:name="_Toc415141801"/>
      <w:r>
        <w:lastRenderedPageBreak/>
        <w:t xml:space="preserve">Table </w:t>
      </w:r>
      <w:r w:rsidR="00A72B26">
        <w:rPr>
          <w:noProof/>
        </w:rPr>
        <w:t>4</w:t>
      </w:r>
      <w:bookmarkEnd w:id="93"/>
      <w:r>
        <w:tab/>
        <w:t>Data provided by sponsors</w:t>
      </w:r>
      <w:bookmarkEnd w:id="94"/>
      <w:bookmarkEnd w:id="95"/>
      <w:r>
        <w:t xml:space="preserve"> </w:t>
      </w:r>
    </w:p>
    <w:tbl>
      <w:tblPr>
        <w:tblStyle w:val="TableGrid"/>
        <w:tblW w:w="0" w:type="auto"/>
        <w:tblLook w:val="04A0" w:firstRow="1" w:lastRow="0" w:firstColumn="1" w:lastColumn="0" w:noHBand="0" w:noVBand="1"/>
        <w:tblCaption w:val="Data provided by the sponsors"/>
      </w:tblPr>
      <w:tblGrid>
        <w:gridCol w:w="1951"/>
        <w:gridCol w:w="2552"/>
        <w:gridCol w:w="4739"/>
      </w:tblGrid>
      <w:tr w:rsidR="007C507E" w:rsidRPr="007C507E" w:rsidTr="00712231">
        <w:trPr>
          <w:trHeight w:val="416"/>
          <w:tblHeader/>
        </w:trPr>
        <w:tc>
          <w:tcPr>
            <w:tcW w:w="1951" w:type="dxa"/>
            <w:tcBorders>
              <w:bottom w:val="nil"/>
            </w:tcBorders>
          </w:tcPr>
          <w:p w:rsidR="007C507E" w:rsidRPr="007C507E" w:rsidRDefault="007C507E" w:rsidP="007C507E">
            <w:pPr>
              <w:pStyle w:val="TableHeading"/>
            </w:pPr>
            <w:r>
              <w:t>Disease</w:t>
            </w:r>
          </w:p>
        </w:tc>
        <w:tc>
          <w:tcPr>
            <w:tcW w:w="2552" w:type="dxa"/>
            <w:tcBorders>
              <w:bottom w:val="single" w:sz="4" w:space="0" w:color="auto"/>
              <w:right w:val="single" w:sz="4" w:space="0" w:color="auto"/>
            </w:tcBorders>
          </w:tcPr>
          <w:p w:rsidR="007C507E" w:rsidRPr="007C507E" w:rsidRDefault="007C507E" w:rsidP="007C507E">
            <w:pPr>
              <w:pStyle w:val="TableHeading"/>
            </w:pPr>
            <w:r>
              <w:t>Company and drug</w:t>
            </w:r>
          </w:p>
        </w:tc>
        <w:tc>
          <w:tcPr>
            <w:tcW w:w="4739" w:type="dxa"/>
            <w:tcBorders>
              <w:left w:val="single" w:sz="4" w:space="0" w:color="auto"/>
              <w:bottom w:val="single" w:sz="4" w:space="0" w:color="auto"/>
            </w:tcBorders>
          </w:tcPr>
          <w:p w:rsidR="007C507E" w:rsidRPr="007C507E" w:rsidRDefault="007C507E" w:rsidP="007C507E">
            <w:pPr>
              <w:pStyle w:val="TableHeading"/>
            </w:pPr>
            <w:r>
              <w:t>Data provided</w:t>
            </w:r>
          </w:p>
        </w:tc>
      </w:tr>
      <w:tr w:rsidR="007C507E" w:rsidRPr="007C507E" w:rsidTr="007C507E">
        <w:trPr>
          <w:trHeight w:val="840"/>
        </w:trPr>
        <w:tc>
          <w:tcPr>
            <w:tcW w:w="1951" w:type="dxa"/>
            <w:tcBorders>
              <w:bottom w:val="nil"/>
            </w:tcBorders>
          </w:tcPr>
          <w:p w:rsidR="007C507E" w:rsidRPr="007C507E" w:rsidRDefault="007C507E" w:rsidP="007C507E">
            <w:pPr>
              <w:pStyle w:val="TableText0"/>
            </w:pPr>
            <w:r w:rsidRPr="007C507E">
              <w:t>Gaucher disease</w:t>
            </w:r>
          </w:p>
        </w:tc>
        <w:tc>
          <w:tcPr>
            <w:tcW w:w="2552" w:type="dxa"/>
            <w:tcBorders>
              <w:bottom w:val="single" w:sz="4" w:space="0" w:color="auto"/>
              <w:right w:val="single" w:sz="4" w:space="0" w:color="auto"/>
            </w:tcBorders>
          </w:tcPr>
          <w:p w:rsidR="007C507E" w:rsidRDefault="007C507E" w:rsidP="007C507E">
            <w:pPr>
              <w:pStyle w:val="TableText0"/>
            </w:pPr>
            <w:r w:rsidRPr="007C507E">
              <w:t>Actelion – miglustat</w:t>
            </w:r>
          </w:p>
          <w:p w:rsidR="007C507E" w:rsidRPr="007C507E" w:rsidRDefault="007C507E" w:rsidP="007C507E">
            <w:pPr>
              <w:pStyle w:val="TableText0"/>
            </w:pPr>
          </w:p>
        </w:tc>
        <w:tc>
          <w:tcPr>
            <w:tcW w:w="4739" w:type="dxa"/>
            <w:tcBorders>
              <w:left w:val="single" w:sz="4" w:space="0" w:color="auto"/>
              <w:bottom w:val="single" w:sz="4" w:space="0" w:color="auto"/>
            </w:tcBorders>
          </w:tcPr>
          <w:p w:rsidR="007C507E" w:rsidRPr="007C507E" w:rsidRDefault="007C507E" w:rsidP="007C507E">
            <w:pPr>
              <w:pStyle w:val="TableText0"/>
            </w:pPr>
            <w:r w:rsidRPr="007C507E">
              <w:t>No data available (</w:t>
            </w:r>
            <w:r w:rsidR="00242CB6">
              <w:t xml:space="preserve">currently </w:t>
            </w:r>
            <w:r w:rsidRPr="007C507E">
              <w:t>no Australian Patients through LSDP)</w:t>
            </w:r>
          </w:p>
          <w:p w:rsidR="007C507E" w:rsidRPr="007C507E" w:rsidRDefault="007C507E" w:rsidP="007C507E">
            <w:pPr>
              <w:pStyle w:val="TableText0"/>
            </w:pPr>
            <w:r w:rsidRPr="007C507E">
              <w:t>Clinical safety reports provided</w:t>
            </w:r>
          </w:p>
        </w:tc>
      </w:tr>
      <w:tr w:rsidR="007C507E" w:rsidRPr="007C507E" w:rsidTr="007C507E">
        <w:trPr>
          <w:trHeight w:val="642"/>
        </w:trPr>
        <w:tc>
          <w:tcPr>
            <w:tcW w:w="1951" w:type="dxa"/>
            <w:tcBorders>
              <w:top w:val="nil"/>
              <w:bottom w:val="nil"/>
            </w:tcBorders>
          </w:tcPr>
          <w:p w:rsidR="007C507E" w:rsidRPr="007C507E" w:rsidRDefault="007C507E" w:rsidP="007C507E">
            <w:pPr>
              <w:pStyle w:val="TableText0"/>
              <w:rPr>
                <w:color w:val="FFFFFF" w:themeColor="background1"/>
              </w:rPr>
            </w:pPr>
            <w:r w:rsidRPr="007C507E">
              <w:rPr>
                <w:color w:val="FFFFFF" w:themeColor="background1"/>
              </w:rPr>
              <w:t>-</w:t>
            </w:r>
          </w:p>
        </w:tc>
        <w:tc>
          <w:tcPr>
            <w:tcW w:w="2552" w:type="dxa"/>
            <w:tcBorders>
              <w:top w:val="single" w:sz="4" w:space="0" w:color="auto"/>
              <w:bottom w:val="single" w:sz="4" w:space="0" w:color="auto"/>
              <w:right w:val="single" w:sz="4" w:space="0" w:color="auto"/>
            </w:tcBorders>
          </w:tcPr>
          <w:p w:rsidR="007C507E" w:rsidRPr="007C507E" w:rsidRDefault="007C507E" w:rsidP="007C507E">
            <w:pPr>
              <w:pStyle w:val="TableText0"/>
            </w:pPr>
            <w:r w:rsidRPr="007C507E">
              <w:t xml:space="preserve">Genzyme </w:t>
            </w:r>
            <w:r w:rsidR="006E04C5">
              <w:t>–</w:t>
            </w:r>
            <w:r w:rsidRPr="007C507E">
              <w:t xml:space="preserve"> Imiglucerase</w:t>
            </w:r>
          </w:p>
        </w:tc>
        <w:tc>
          <w:tcPr>
            <w:tcW w:w="4739" w:type="dxa"/>
            <w:tcBorders>
              <w:top w:val="single" w:sz="4" w:space="0" w:color="auto"/>
              <w:left w:val="single" w:sz="4" w:space="0" w:color="auto"/>
              <w:bottom w:val="single" w:sz="4" w:space="0" w:color="auto"/>
            </w:tcBorders>
          </w:tcPr>
          <w:p w:rsidR="007C507E" w:rsidRPr="007C507E" w:rsidRDefault="007C507E" w:rsidP="007C507E">
            <w:pPr>
              <w:pStyle w:val="TableText0"/>
            </w:pPr>
            <w:r w:rsidRPr="007C507E">
              <w:t>Gauc</w:t>
            </w:r>
            <w:r w:rsidR="00561F00">
              <w:t>h</w:t>
            </w:r>
            <w:r w:rsidRPr="007C507E">
              <w:t>er registry Australian annual report 2011 and G</w:t>
            </w:r>
            <w:r w:rsidR="00561F00">
              <w:t>l</w:t>
            </w:r>
            <w:r w:rsidRPr="007C507E">
              <w:t>obal annual report 2014</w:t>
            </w:r>
          </w:p>
        </w:tc>
      </w:tr>
      <w:tr w:rsidR="007C507E" w:rsidRPr="007C507E" w:rsidTr="007C507E">
        <w:trPr>
          <w:trHeight w:val="253"/>
        </w:trPr>
        <w:tc>
          <w:tcPr>
            <w:tcW w:w="1951" w:type="dxa"/>
            <w:tcBorders>
              <w:top w:val="nil"/>
            </w:tcBorders>
          </w:tcPr>
          <w:p w:rsidR="007C507E" w:rsidRPr="007C507E" w:rsidRDefault="007C507E" w:rsidP="007C507E">
            <w:pPr>
              <w:pStyle w:val="TableText0"/>
              <w:rPr>
                <w:color w:val="FFFFFF" w:themeColor="background1"/>
              </w:rPr>
            </w:pPr>
            <w:r w:rsidRPr="007C507E">
              <w:rPr>
                <w:color w:val="FFFFFF" w:themeColor="background1"/>
              </w:rPr>
              <w:t>-</w:t>
            </w:r>
          </w:p>
        </w:tc>
        <w:tc>
          <w:tcPr>
            <w:tcW w:w="2552" w:type="dxa"/>
            <w:tcBorders>
              <w:top w:val="single" w:sz="4" w:space="0" w:color="auto"/>
              <w:right w:val="single" w:sz="4" w:space="0" w:color="auto"/>
            </w:tcBorders>
          </w:tcPr>
          <w:p w:rsidR="007C507E" w:rsidRPr="007C507E" w:rsidRDefault="007C507E" w:rsidP="007C507E">
            <w:pPr>
              <w:pStyle w:val="TableText0"/>
            </w:pPr>
            <w:r w:rsidRPr="007C507E">
              <w:t>Shire – velaglucerase</w:t>
            </w:r>
          </w:p>
        </w:tc>
        <w:tc>
          <w:tcPr>
            <w:tcW w:w="4739" w:type="dxa"/>
            <w:tcBorders>
              <w:top w:val="single" w:sz="4" w:space="0" w:color="auto"/>
              <w:left w:val="single" w:sz="4" w:space="0" w:color="auto"/>
            </w:tcBorders>
          </w:tcPr>
          <w:p w:rsidR="007C507E" w:rsidRPr="007C507E" w:rsidRDefault="007C507E" w:rsidP="007C507E">
            <w:pPr>
              <w:pStyle w:val="TableText0"/>
            </w:pPr>
            <w:r w:rsidRPr="007C507E">
              <w:t>Post-marketing outcome survey</w:t>
            </w:r>
          </w:p>
        </w:tc>
      </w:tr>
      <w:tr w:rsidR="007C507E" w:rsidRPr="007C507E" w:rsidTr="007C507E">
        <w:trPr>
          <w:trHeight w:val="765"/>
        </w:trPr>
        <w:tc>
          <w:tcPr>
            <w:tcW w:w="1951" w:type="dxa"/>
            <w:tcBorders>
              <w:bottom w:val="nil"/>
            </w:tcBorders>
          </w:tcPr>
          <w:p w:rsidR="007C507E" w:rsidRPr="007C507E" w:rsidRDefault="007C507E" w:rsidP="007C507E">
            <w:pPr>
              <w:pStyle w:val="TableText0"/>
            </w:pPr>
            <w:r w:rsidRPr="007C507E">
              <w:t>Fabry disease</w:t>
            </w:r>
          </w:p>
        </w:tc>
        <w:tc>
          <w:tcPr>
            <w:tcW w:w="2552" w:type="dxa"/>
            <w:tcBorders>
              <w:bottom w:val="single" w:sz="4" w:space="0" w:color="auto"/>
              <w:right w:val="single" w:sz="4" w:space="0" w:color="auto"/>
            </w:tcBorders>
          </w:tcPr>
          <w:p w:rsidR="007C507E" w:rsidRPr="007C507E" w:rsidRDefault="007C507E" w:rsidP="007C507E">
            <w:pPr>
              <w:pStyle w:val="TableText0"/>
            </w:pPr>
            <w:r w:rsidRPr="007C507E">
              <w:t>Genzyme – agalsidase beta</w:t>
            </w:r>
          </w:p>
        </w:tc>
        <w:tc>
          <w:tcPr>
            <w:tcW w:w="4739" w:type="dxa"/>
            <w:tcBorders>
              <w:left w:val="single" w:sz="4" w:space="0" w:color="auto"/>
              <w:bottom w:val="single" w:sz="4" w:space="0" w:color="auto"/>
            </w:tcBorders>
          </w:tcPr>
          <w:p w:rsidR="007C507E" w:rsidRPr="007C507E" w:rsidRDefault="007C507E" w:rsidP="007C507E">
            <w:pPr>
              <w:pStyle w:val="TableText0"/>
            </w:pPr>
            <w:r w:rsidRPr="007C507E">
              <w:t>Fabry Registry Annual Report for Australian patients</w:t>
            </w:r>
          </w:p>
        </w:tc>
      </w:tr>
      <w:tr w:rsidR="007C507E" w:rsidRPr="007C507E" w:rsidTr="007C507E">
        <w:trPr>
          <w:trHeight w:val="735"/>
        </w:trPr>
        <w:tc>
          <w:tcPr>
            <w:tcW w:w="1951" w:type="dxa"/>
            <w:tcBorders>
              <w:top w:val="nil"/>
            </w:tcBorders>
          </w:tcPr>
          <w:p w:rsidR="007C507E" w:rsidRPr="007C507E" w:rsidRDefault="007C507E" w:rsidP="007C507E">
            <w:pPr>
              <w:pStyle w:val="TableText0"/>
            </w:pPr>
            <w:r w:rsidRPr="007C507E">
              <w:rPr>
                <w:color w:val="FFFFFF" w:themeColor="background1"/>
              </w:rPr>
              <w:t>-</w:t>
            </w:r>
          </w:p>
        </w:tc>
        <w:tc>
          <w:tcPr>
            <w:tcW w:w="2552" w:type="dxa"/>
            <w:tcBorders>
              <w:top w:val="single" w:sz="4" w:space="0" w:color="auto"/>
              <w:right w:val="single" w:sz="4" w:space="0" w:color="auto"/>
            </w:tcBorders>
          </w:tcPr>
          <w:p w:rsidR="007C507E" w:rsidRPr="007C507E" w:rsidRDefault="007C507E" w:rsidP="007C507E">
            <w:pPr>
              <w:pStyle w:val="TableText0"/>
            </w:pPr>
            <w:r w:rsidRPr="007C507E">
              <w:t>Shire – agalsidase alfa</w:t>
            </w:r>
          </w:p>
        </w:tc>
        <w:tc>
          <w:tcPr>
            <w:tcW w:w="4739" w:type="dxa"/>
            <w:tcBorders>
              <w:top w:val="single" w:sz="4" w:space="0" w:color="auto"/>
              <w:left w:val="single" w:sz="4" w:space="0" w:color="auto"/>
            </w:tcBorders>
          </w:tcPr>
          <w:p w:rsidR="007C507E" w:rsidRPr="007C507E" w:rsidRDefault="007C507E" w:rsidP="007C507E">
            <w:pPr>
              <w:pStyle w:val="TableText0"/>
            </w:pPr>
            <w:r w:rsidRPr="007C507E">
              <w:t>Annual outcome survey 2013</w:t>
            </w:r>
          </w:p>
        </w:tc>
      </w:tr>
      <w:tr w:rsidR="007C507E" w:rsidRPr="007C507E" w:rsidTr="007C507E">
        <w:tc>
          <w:tcPr>
            <w:tcW w:w="1951" w:type="dxa"/>
          </w:tcPr>
          <w:p w:rsidR="007C507E" w:rsidRPr="007C507E" w:rsidRDefault="007C507E" w:rsidP="007C507E">
            <w:pPr>
              <w:pStyle w:val="TableText0"/>
            </w:pPr>
            <w:r w:rsidRPr="007C507E">
              <w:t>MPS I disease</w:t>
            </w:r>
          </w:p>
        </w:tc>
        <w:tc>
          <w:tcPr>
            <w:tcW w:w="2552" w:type="dxa"/>
            <w:tcBorders>
              <w:right w:val="single" w:sz="4" w:space="0" w:color="auto"/>
            </w:tcBorders>
          </w:tcPr>
          <w:p w:rsidR="007C507E" w:rsidRPr="007C507E" w:rsidRDefault="007C507E" w:rsidP="007C507E">
            <w:pPr>
              <w:pStyle w:val="TableText0"/>
            </w:pPr>
            <w:r w:rsidRPr="007C507E">
              <w:t>Genzyme – laronidase</w:t>
            </w:r>
          </w:p>
        </w:tc>
        <w:tc>
          <w:tcPr>
            <w:tcW w:w="4739" w:type="dxa"/>
            <w:tcBorders>
              <w:left w:val="single" w:sz="4" w:space="0" w:color="auto"/>
            </w:tcBorders>
          </w:tcPr>
          <w:p w:rsidR="007C507E" w:rsidRPr="007C507E" w:rsidRDefault="007C507E" w:rsidP="007C507E">
            <w:pPr>
              <w:pStyle w:val="TableText0"/>
            </w:pPr>
            <w:r w:rsidRPr="007C507E">
              <w:t>MPS I Registry annual report</w:t>
            </w:r>
          </w:p>
        </w:tc>
      </w:tr>
      <w:tr w:rsidR="007C507E" w:rsidRPr="007C507E" w:rsidTr="007C507E">
        <w:tc>
          <w:tcPr>
            <w:tcW w:w="1951" w:type="dxa"/>
          </w:tcPr>
          <w:p w:rsidR="007C507E" w:rsidRPr="007C507E" w:rsidRDefault="007C507E" w:rsidP="007C507E">
            <w:pPr>
              <w:pStyle w:val="TableText0"/>
            </w:pPr>
            <w:r w:rsidRPr="007C507E">
              <w:t>MPS II disease</w:t>
            </w:r>
          </w:p>
        </w:tc>
        <w:tc>
          <w:tcPr>
            <w:tcW w:w="2552" w:type="dxa"/>
            <w:tcBorders>
              <w:right w:val="single" w:sz="4" w:space="0" w:color="auto"/>
            </w:tcBorders>
          </w:tcPr>
          <w:p w:rsidR="007C507E" w:rsidRPr="007C507E" w:rsidRDefault="007C507E" w:rsidP="007C507E">
            <w:pPr>
              <w:pStyle w:val="TableText0"/>
            </w:pPr>
            <w:r w:rsidRPr="007C507E">
              <w:t>Genzyme – Idursulfase</w:t>
            </w:r>
          </w:p>
        </w:tc>
        <w:tc>
          <w:tcPr>
            <w:tcW w:w="4739" w:type="dxa"/>
            <w:tcBorders>
              <w:left w:val="single" w:sz="4" w:space="0" w:color="auto"/>
            </w:tcBorders>
          </w:tcPr>
          <w:p w:rsidR="007C507E" w:rsidRPr="007C507E" w:rsidRDefault="007C507E" w:rsidP="007C507E">
            <w:pPr>
              <w:pStyle w:val="TableText0"/>
            </w:pPr>
            <w:r w:rsidRPr="007C507E">
              <w:t>Annual Hunter Outcome Survey</w:t>
            </w:r>
          </w:p>
        </w:tc>
      </w:tr>
      <w:tr w:rsidR="007C507E" w:rsidRPr="007C507E" w:rsidTr="007C507E">
        <w:tc>
          <w:tcPr>
            <w:tcW w:w="1951" w:type="dxa"/>
          </w:tcPr>
          <w:p w:rsidR="007C507E" w:rsidRPr="007C507E" w:rsidRDefault="007C507E" w:rsidP="007C507E">
            <w:pPr>
              <w:pStyle w:val="TableText0"/>
            </w:pPr>
            <w:r w:rsidRPr="007C507E">
              <w:t>MPS VI disease</w:t>
            </w:r>
          </w:p>
        </w:tc>
        <w:tc>
          <w:tcPr>
            <w:tcW w:w="2552" w:type="dxa"/>
            <w:tcBorders>
              <w:right w:val="single" w:sz="4" w:space="0" w:color="auto"/>
            </w:tcBorders>
          </w:tcPr>
          <w:p w:rsidR="007C507E" w:rsidRPr="007C507E" w:rsidRDefault="007C507E" w:rsidP="007C507E">
            <w:pPr>
              <w:pStyle w:val="TableText0"/>
            </w:pPr>
            <w:r w:rsidRPr="007C507E">
              <w:t>BioMarin – Galsulfase</w:t>
            </w:r>
          </w:p>
        </w:tc>
        <w:tc>
          <w:tcPr>
            <w:tcW w:w="4739" w:type="dxa"/>
            <w:tcBorders>
              <w:left w:val="single" w:sz="4" w:space="0" w:color="auto"/>
            </w:tcBorders>
          </w:tcPr>
          <w:p w:rsidR="007C507E" w:rsidRPr="007C507E" w:rsidRDefault="008B685C" w:rsidP="008B685C">
            <w:pPr>
              <w:pStyle w:val="TableText0"/>
            </w:pPr>
            <w:r>
              <w:t xml:space="preserve">Confidential </w:t>
            </w:r>
            <w:r w:rsidR="007C507E" w:rsidRPr="007C507E">
              <w:t xml:space="preserve">Report on </w:t>
            </w:r>
            <w:r>
              <w:t xml:space="preserve">MPSVI global </w:t>
            </w:r>
            <w:r w:rsidR="007C507E" w:rsidRPr="007C507E">
              <w:t xml:space="preserve">clinical surveillance </w:t>
            </w:r>
            <w:r>
              <w:t xml:space="preserve">programme </w:t>
            </w:r>
            <w:r w:rsidR="007C507E" w:rsidRPr="007C507E">
              <w:t xml:space="preserve">registry data </w:t>
            </w:r>
            <w:r>
              <w:t xml:space="preserve">2014 </w:t>
            </w:r>
          </w:p>
        </w:tc>
      </w:tr>
      <w:tr w:rsidR="007C507E" w:rsidRPr="007C507E" w:rsidTr="007C507E">
        <w:tc>
          <w:tcPr>
            <w:tcW w:w="1951" w:type="dxa"/>
          </w:tcPr>
          <w:p w:rsidR="007C507E" w:rsidRPr="007C507E" w:rsidRDefault="007C507E" w:rsidP="007C507E">
            <w:pPr>
              <w:pStyle w:val="TableText0"/>
            </w:pPr>
            <w:r w:rsidRPr="007C507E">
              <w:t>Infantile onset Pompe disease</w:t>
            </w:r>
          </w:p>
        </w:tc>
        <w:tc>
          <w:tcPr>
            <w:tcW w:w="2552" w:type="dxa"/>
            <w:tcBorders>
              <w:right w:val="single" w:sz="4" w:space="0" w:color="auto"/>
            </w:tcBorders>
          </w:tcPr>
          <w:p w:rsidR="007C507E" w:rsidRPr="007C507E" w:rsidRDefault="007C507E" w:rsidP="007C507E">
            <w:pPr>
              <w:pStyle w:val="TableText0"/>
            </w:pPr>
            <w:r w:rsidRPr="007C507E">
              <w:t>Genzyme – Alglucosidase alfa</w:t>
            </w:r>
          </w:p>
          <w:p w:rsidR="007C507E" w:rsidRPr="007C507E" w:rsidRDefault="007C507E" w:rsidP="007C507E">
            <w:pPr>
              <w:pStyle w:val="TableText0"/>
            </w:pPr>
          </w:p>
        </w:tc>
        <w:tc>
          <w:tcPr>
            <w:tcW w:w="4739" w:type="dxa"/>
            <w:tcBorders>
              <w:left w:val="single" w:sz="4" w:space="0" w:color="auto"/>
            </w:tcBorders>
          </w:tcPr>
          <w:p w:rsidR="007C507E" w:rsidRPr="007C507E" w:rsidRDefault="007C507E" w:rsidP="007C507E">
            <w:pPr>
              <w:pStyle w:val="TableText0"/>
            </w:pPr>
            <w:r w:rsidRPr="007C507E">
              <w:t>Global Pompe registry annual report</w:t>
            </w:r>
          </w:p>
        </w:tc>
      </w:tr>
      <w:tr w:rsidR="003C41C8" w:rsidRPr="007C507E" w:rsidTr="007C507E">
        <w:tc>
          <w:tcPr>
            <w:tcW w:w="1951" w:type="dxa"/>
          </w:tcPr>
          <w:p w:rsidR="003C41C8" w:rsidRPr="007C507E" w:rsidRDefault="003C41C8" w:rsidP="007C507E">
            <w:pPr>
              <w:pStyle w:val="TableText0"/>
            </w:pPr>
            <w:r>
              <w:t>Juvenile onset Pompe disease</w:t>
            </w:r>
          </w:p>
        </w:tc>
        <w:tc>
          <w:tcPr>
            <w:tcW w:w="2552" w:type="dxa"/>
            <w:tcBorders>
              <w:right w:val="single" w:sz="4" w:space="0" w:color="auto"/>
            </w:tcBorders>
          </w:tcPr>
          <w:p w:rsidR="003C41C8" w:rsidRPr="007C507E" w:rsidRDefault="003C41C8" w:rsidP="007C507E">
            <w:pPr>
              <w:pStyle w:val="TableText0"/>
            </w:pPr>
            <w:r>
              <w:t>Genzyme – Alglucosidase alfa</w:t>
            </w:r>
          </w:p>
        </w:tc>
        <w:tc>
          <w:tcPr>
            <w:tcW w:w="4739" w:type="dxa"/>
            <w:tcBorders>
              <w:left w:val="single" w:sz="4" w:space="0" w:color="auto"/>
            </w:tcBorders>
          </w:tcPr>
          <w:p w:rsidR="003C41C8" w:rsidRPr="007C507E" w:rsidRDefault="003C41C8" w:rsidP="007C507E">
            <w:pPr>
              <w:pStyle w:val="TableText0"/>
            </w:pPr>
            <w:r>
              <w:t>No data available (only recently available for this patient group through the LSDP)</w:t>
            </w:r>
          </w:p>
        </w:tc>
      </w:tr>
      <w:tr w:rsidR="007C507E" w:rsidRPr="007C507E" w:rsidTr="007C507E">
        <w:tc>
          <w:tcPr>
            <w:tcW w:w="1951" w:type="dxa"/>
          </w:tcPr>
          <w:p w:rsidR="007C507E" w:rsidRPr="007C507E" w:rsidRDefault="007C507E" w:rsidP="007C507E">
            <w:pPr>
              <w:pStyle w:val="TableText0"/>
            </w:pPr>
            <w:r w:rsidRPr="007C507E">
              <w:t>Paroxysmal Nocturnal Haemoglobinuria</w:t>
            </w:r>
          </w:p>
        </w:tc>
        <w:tc>
          <w:tcPr>
            <w:tcW w:w="2552" w:type="dxa"/>
            <w:tcBorders>
              <w:right w:val="single" w:sz="4" w:space="0" w:color="auto"/>
            </w:tcBorders>
          </w:tcPr>
          <w:p w:rsidR="007C507E" w:rsidRPr="007C507E" w:rsidRDefault="007C507E" w:rsidP="007C507E">
            <w:pPr>
              <w:pStyle w:val="TableText0"/>
            </w:pPr>
            <w:r w:rsidRPr="007C507E">
              <w:t>Alexion – Eculizumab</w:t>
            </w:r>
          </w:p>
          <w:p w:rsidR="007C507E" w:rsidRPr="007C507E" w:rsidRDefault="007C507E" w:rsidP="007C507E">
            <w:pPr>
              <w:pStyle w:val="TableText0"/>
            </w:pPr>
          </w:p>
        </w:tc>
        <w:tc>
          <w:tcPr>
            <w:tcW w:w="4739" w:type="dxa"/>
            <w:tcBorders>
              <w:left w:val="single" w:sz="4" w:space="0" w:color="auto"/>
            </w:tcBorders>
          </w:tcPr>
          <w:p w:rsidR="007C507E" w:rsidRPr="007C507E" w:rsidRDefault="007C507E" w:rsidP="007C507E">
            <w:pPr>
              <w:pStyle w:val="TableText0"/>
            </w:pPr>
            <w:r w:rsidRPr="007C507E">
              <w:t>Comprehensive individual patient data from the Alexion PNH registry for patients who have received treatment in Australia (multiple spreadsheets)</w:t>
            </w:r>
            <w:r w:rsidR="008B685C">
              <w:t xml:space="preserve"> </w:t>
            </w:r>
          </w:p>
          <w:p w:rsidR="007C507E" w:rsidRPr="007C507E" w:rsidRDefault="007C507E" w:rsidP="007C507E">
            <w:pPr>
              <w:pStyle w:val="TableText0"/>
            </w:pPr>
            <w:r w:rsidRPr="007C507E">
              <w:t>Report on the Australian cohort from the international PNH registry</w:t>
            </w:r>
          </w:p>
        </w:tc>
      </w:tr>
    </w:tbl>
    <w:p w:rsidR="007C507E" w:rsidRDefault="007C507E" w:rsidP="004B64C8">
      <w:pPr>
        <w:tabs>
          <w:tab w:val="left" w:pos="993"/>
        </w:tabs>
      </w:pPr>
    </w:p>
    <w:p w:rsidR="007C507E" w:rsidRPr="007C507E" w:rsidRDefault="007C507E" w:rsidP="007C507E">
      <w:pPr>
        <w:tabs>
          <w:tab w:val="left" w:pos="993"/>
        </w:tabs>
      </w:pPr>
      <w:r w:rsidRPr="007C507E">
        <w:t>Most sponsors provided reports derived from registries or surveys.</w:t>
      </w:r>
    </w:p>
    <w:p w:rsidR="00561F00" w:rsidRDefault="00561F00" w:rsidP="007C507E">
      <w:pPr>
        <w:tabs>
          <w:tab w:val="left" w:pos="993"/>
        </w:tabs>
      </w:pPr>
      <w:r>
        <w:t xml:space="preserve">For </w:t>
      </w:r>
      <w:r w:rsidRPr="007C507E">
        <w:t xml:space="preserve">Gaucher and Fabry patients, </w:t>
      </w:r>
      <w:r>
        <w:t>registry data that was available to the Department was</w:t>
      </w:r>
      <w:r w:rsidRPr="007C507E">
        <w:t xml:space="preserve"> used in addition to the </w:t>
      </w:r>
      <w:r>
        <w:t>D</w:t>
      </w:r>
      <w:r w:rsidRPr="007C507E">
        <w:t>epartmen</w:t>
      </w:r>
      <w:r>
        <w:t>t’s clinical summary assessment spreadsheets.</w:t>
      </w:r>
    </w:p>
    <w:p w:rsidR="007C507E" w:rsidRDefault="007C507E" w:rsidP="007C507E">
      <w:pPr>
        <w:tabs>
          <w:tab w:val="left" w:pos="993"/>
        </w:tabs>
      </w:pPr>
      <w:r w:rsidRPr="007C507E">
        <w:t>The only sponsor to provide individual patient data on Australian patients was Alexion who prov</w:t>
      </w:r>
      <w:r w:rsidR="00561F00">
        <w:t>ided data from the PNH registry.</w:t>
      </w:r>
      <w:r w:rsidR="008B685C">
        <w:t xml:space="preserve"> Reports on individual patient data in registries are subjected to ethics approval and this can prevent the release of patient data information.  Where applicable patient data has been redacted or deleted. </w:t>
      </w:r>
    </w:p>
    <w:p w:rsidR="007C507E" w:rsidRPr="006172FD" w:rsidRDefault="007C507E" w:rsidP="004B64C8">
      <w:pPr>
        <w:tabs>
          <w:tab w:val="left" w:pos="993"/>
        </w:tabs>
      </w:pPr>
    </w:p>
    <w:p w:rsidR="0004128C" w:rsidRPr="006172FD" w:rsidRDefault="00901DF2" w:rsidP="00D60032">
      <w:pPr>
        <w:pStyle w:val="Heading2"/>
      </w:pPr>
      <w:r>
        <w:tab/>
      </w:r>
      <w:bookmarkStart w:id="96" w:name="_Toc415141734"/>
      <w:r w:rsidR="0004128C" w:rsidRPr="006172FD">
        <w:t>Data retention and storage</w:t>
      </w:r>
      <w:bookmarkEnd w:id="92"/>
      <w:bookmarkEnd w:id="96"/>
    </w:p>
    <w:p w:rsidR="0004128C" w:rsidRDefault="00561F00" w:rsidP="0004128C">
      <w:pPr>
        <w:rPr>
          <w:rFonts w:cstheme="minorHAnsi"/>
        </w:rPr>
      </w:pPr>
      <w:r w:rsidRPr="006172FD">
        <w:t xml:space="preserve">All de-identified data have been treated in the same way as are currently used for commercial or committee-in-confidence material supplied by the PBAC </w:t>
      </w:r>
      <w:r>
        <w:t>(</w:t>
      </w:r>
      <w:r w:rsidR="00F87099" w:rsidRPr="006172FD">
        <w:t>i.e.</w:t>
      </w:r>
      <w:r w:rsidRPr="006172FD">
        <w:t xml:space="preserve"> storage of data in a highly secure location and all personnel with access to the material are required to sign </w:t>
      </w:r>
      <w:r w:rsidRPr="006172FD">
        <w:lastRenderedPageBreak/>
        <w:t>confidentiality agreements</w:t>
      </w:r>
      <w:r>
        <w:t>)</w:t>
      </w:r>
      <w:r w:rsidRPr="006172FD">
        <w:t xml:space="preserve">. Raw data will be returned to the Department – or securely destroyed – upon completion of the </w:t>
      </w:r>
      <w:r>
        <w:t>Post-Market Review</w:t>
      </w:r>
      <w:r w:rsidR="00CA3EBC">
        <w:t>.</w:t>
      </w:r>
      <w:r w:rsidR="0004128C">
        <w:rPr>
          <w:rFonts w:cstheme="minorHAnsi"/>
        </w:rPr>
        <w:br w:type="page"/>
      </w:r>
    </w:p>
    <w:p w:rsidR="00712792" w:rsidRDefault="00901DF2" w:rsidP="00D60032">
      <w:pPr>
        <w:pStyle w:val="Heading2"/>
      </w:pPr>
      <w:r>
        <w:lastRenderedPageBreak/>
        <w:tab/>
      </w:r>
      <w:bookmarkStart w:id="97" w:name="_Toc415141735"/>
      <w:r w:rsidR="00712792">
        <w:t xml:space="preserve">Systematic review </w:t>
      </w:r>
      <w:r w:rsidR="007A162E">
        <w:t>results</w:t>
      </w:r>
      <w:bookmarkEnd w:id="97"/>
    </w:p>
    <w:p w:rsidR="00712792" w:rsidRDefault="00712792" w:rsidP="0047458C">
      <w:pPr>
        <w:pStyle w:val="Heading3"/>
        <w:spacing w:after="240"/>
      </w:pPr>
      <w:r w:rsidRPr="005B58C5">
        <w:t xml:space="preserve">Medicines to treat </w:t>
      </w:r>
      <w:proofErr w:type="gramStart"/>
      <w:r w:rsidRPr="005B58C5">
        <w:t>Gaucher</w:t>
      </w:r>
      <w:proofErr w:type="gramEnd"/>
      <w:r w:rsidRPr="005B58C5">
        <w:t xml:space="preserve"> disease</w:t>
      </w:r>
    </w:p>
    <w:p w:rsidR="002374CE" w:rsidRDefault="002374CE" w:rsidP="002374CE">
      <w:pPr>
        <w:rPr>
          <w:rFonts w:ascii="Arial Narrow" w:hAnsi="Arial Narrow"/>
          <w:b/>
          <w:sz w:val="22"/>
          <w:szCs w:val="22"/>
        </w:rPr>
      </w:pPr>
    </w:p>
    <w:p w:rsidR="002374CE" w:rsidRPr="006F24B4" w:rsidRDefault="002374CE" w:rsidP="00E502C3">
      <w:pPr>
        <w:pBdr>
          <w:top w:val="single" w:sz="4" w:space="4" w:color="auto"/>
          <w:left w:val="single" w:sz="4" w:space="4" w:color="auto"/>
          <w:bottom w:val="single" w:sz="4" w:space="4" w:color="auto"/>
          <w:right w:val="single" w:sz="4" w:space="4" w:color="auto"/>
        </w:pBdr>
        <w:rPr>
          <w:rFonts w:ascii="Arial Narrow" w:hAnsi="Arial Narrow"/>
          <w:b/>
          <w:sz w:val="22"/>
          <w:szCs w:val="22"/>
        </w:rPr>
      </w:pPr>
      <w:r w:rsidRPr="006F24B4">
        <w:rPr>
          <w:rFonts w:ascii="Arial Narrow" w:hAnsi="Arial Narrow"/>
          <w:b/>
          <w:sz w:val="22"/>
          <w:szCs w:val="22"/>
        </w:rPr>
        <w:t>In patients with Type 1 Gaucher disease, what is the safety and effectiveness of imiglucerase, velaglucerase alfa, or miglustat compared to standard therapy?</w:t>
      </w:r>
    </w:p>
    <w:p w:rsidR="002374CE" w:rsidRDefault="002374CE" w:rsidP="00E502C3">
      <w:pPr>
        <w:pBdr>
          <w:top w:val="single" w:sz="4" w:space="4" w:color="auto"/>
          <w:left w:val="single" w:sz="4" w:space="4" w:color="auto"/>
          <w:bottom w:val="single" w:sz="4" w:space="4" w:color="auto"/>
          <w:right w:val="single" w:sz="4" w:space="4" w:color="auto"/>
        </w:pBdr>
        <w:rPr>
          <w:rFonts w:ascii="Arial Narrow" w:hAnsi="Arial Narrow"/>
          <w:sz w:val="22"/>
          <w:szCs w:val="22"/>
        </w:rPr>
      </w:pPr>
      <w:r>
        <w:rPr>
          <w:rFonts w:ascii="Arial Narrow" w:hAnsi="Arial Narrow"/>
          <w:sz w:val="22"/>
          <w:szCs w:val="22"/>
        </w:rPr>
        <w:t xml:space="preserve">No formal submission was made to the PBAC requesting funding of alglucerase/imiglucerase. </w:t>
      </w:r>
      <w:r w:rsidRPr="006F24B4">
        <w:rPr>
          <w:rFonts w:ascii="Arial Narrow" w:hAnsi="Arial Narrow"/>
          <w:sz w:val="22"/>
          <w:szCs w:val="22"/>
        </w:rPr>
        <w:t xml:space="preserve">One double-blind randomised trial </w:t>
      </w:r>
      <w:r>
        <w:rPr>
          <w:rFonts w:ascii="Arial Narrow" w:hAnsi="Arial Narrow"/>
          <w:sz w:val="22"/>
          <w:szCs w:val="22"/>
        </w:rPr>
        <w:t xml:space="preserve">was identified </w:t>
      </w:r>
      <w:r w:rsidR="00D44313">
        <w:rPr>
          <w:rFonts w:ascii="Arial Narrow" w:hAnsi="Arial Narrow"/>
          <w:sz w:val="22"/>
          <w:szCs w:val="22"/>
        </w:rPr>
        <w:t xml:space="preserve">with a combined imiglucerase/alglucerase intervention and it was found to be </w:t>
      </w:r>
      <w:r w:rsidRPr="006F24B4">
        <w:rPr>
          <w:rFonts w:ascii="Arial Narrow" w:hAnsi="Arial Narrow"/>
          <w:sz w:val="22"/>
          <w:szCs w:val="22"/>
        </w:rPr>
        <w:t xml:space="preserve">superior to </w:t>
      </w:r>
      <w:r w:rsidR="00EF2873">
        <w:rPr>
          <w:rFonts w:ascii="Arial Narrow" w:hAnsi="Arial Narrow"/>
          <w:sz w:val="22"/>
          <w:szCs w:val="22"/>
        </w:rPr>
        <w:t>standard therapy (</w:t>
      </w:r>
      <w:r w:rsidRPr="006F24B4">
        <w:rPr>
          <w:rFonts w:ascii="Arial Narrow" w:hAnsi="Arial Narrow"/>
          <w:sz w:val="22"/>
          <w:szCs w:val="22"/>
        </w:rPr>
        <w:t>vitamin D</w:t>
      </w:r>
      <w:r w:rsidR="00EF2873">
        <w:rPr>
          <w:rFonts w:ascii="Arial Narrow" w:hAnsi="Arial Narrow"/>
          <w:sz w:val="22"/>
          <w:szCs w:val="22"/>
        </w:rPr>
        <w:t>)</w:t>
      </w:r>
      <w:r w:rsidRPr="006F24B4">
        <w:rPr>
          <w:rFonts w:ascii="Arial Narrow" w:hAnsi="Arial Narrow"/>
          <w:sz w:val="22"/>
          <w:szCs w:val="22"/>
        </w:rPr>
        <w:t xml:space="preserve"> on surrogate outcome measures of bone disease (bone marrow fat fraction and </w:t>
      </w:r>
      <w:r w:rsidR="006D2BA1">
        <w:rPr>
          <w:rFonts w:ascii="Arial Narrow" w:hAnsi="Arial Narrow"/>
          <w:sz w:val="22"/>
          <w:szCs w:val="22"/>
        </w:rPr>
        <w:t>disease burden (</w:t>
      </w:r>
      <w:r w:rsidRPr="006F24B4">
        <w:rPr>
          <w:rFonts w:ascii="Arial Narrow" w:hAnsi="Arial Narrow"/>
          <w:sz w:val="22"/>
          <w:szCs w:val="22"/>
        </w:rPr>
        <w:t xml:space="preserve">chitotriosidase level), bleeding risk (haemoglobin, platelet count) and liver size (GRADE </w:t>
      </w:r>
      <w:r w:rsidRPr="00D4733A">
        <w:rPr>
          <w:rStyle w:val="quality-sign"/>
          <w:rFonts w:ascii="Cambria Math" w:hAnsi="Cambria Math" w:cs="Cambria Math"/>
          <w:color w:val="00B050"/>
          <w:sz w:val="22"/>
          <w:szCs w:val="22"/>
        </w:rPr>
        <w:t>⨁⨁⨁</w:t>
      </w:r>
      <w:r w:rsidRPr="00D4733A">
        <w:rPr>
          <w:rStyle w:val="quality-sign"/>
          <w:rFonts w:ascii="Cambria Math" w:hAnsi="Cambria Math" w:cs="Cambria Math"/>
          <w:color w:val="C00000"/>
          <w:sz w:val="22"/>
          <w:szCs w:val="22"/>
        </w:rPr>
        <w:t>⨀</w:t>
      </w:r>
      <w:r w:rsidRPr="006F24B4">
        <w:rPr>
          <w:rFonts w:ascii="Arial Narrow" w:hAnsi="Arial Narrow"/>
          <w:sz w:val="22"/>
          <w:szCs w:val="22"/>
        </w:rPr>
        <w:t>).</w:t>
      </w:r>
      <w:r>
        <w:rPr>
          <w:rFonts w:ascii="Arial Narrow" w:hAnsi="Arial Narrow"/>
          <w:sz w:val="22"/>
          <w:szCs w:val="22"/>
        </w:rPr>
        <w:t xml:space="preserve"> The evidence therefore supported the decision to fund imiglucerase for Type 1 Gaucher disease. </w:t>
      </w:r>
    </w:p>
    <w:p w:rsidR="002374CE" w:rsidRPr="006F24B4" w:rsidRDefault="002374CE" w:rsidP="00E502C3">
      <w:pPr>
        <w:pBdr>
          <w:top w:val="single" w:sz="4" w:space="4" w:color="auto"/>
          <w:left w:val="single" w:sz="4" w:space="4" w:color="auto"/>
          <w:bottom w:val="single" w:sz="4" w:space="4" w:color="auto"/>
          <w:right w:val="single" w:sz="4" w:space="4" w:color="auto"/>
        </w:pBdr>
        <w:rPr>
          <w:rFonts w:ascii="Arial Narrow" w:hAnsi="Arial Narrow"/>
          <w:b/>
          <w:bCs/>
          <w:sz w:val="22"/>
          <w:szCs w:val="22"/>
        </w:rPr>
      </w:pPr>
      <w:r w:rsidRPr="006F24B4">
        <w:rPr>
          <w:rFonts w:ascii="Arial Narrow" w:hAnsi="Arial Narrow"/>
          <w:b/>
          <w:bCs/>
          <w:sz w:val="22"/>
          <w:szCs w:val="22"/>
        </w:rPr>
        <w:t>In patients with Type 1 Gaucher disease, what is the safety and effectiveness of imiglucerase, velaglucerase alfa, or miglustat when compared to each other?</w:t>
      </w:r>
    </w:p>
    <w:p w:rsidR="00D44313" w:rsidRDefault="002374CE" w:rsidP="00E502C3">
      <w:pPr>
        <w:pBdr>
          <w:top w:val="single" w:sz="4" w:space="4" w:color="auto"/>
          <w:left w:val="single" w:sz="4" w:space="4" w:color="auto"/>
          <w:bottom w:val="single" w:sz="4" w:space="4" w:color="auto"/>
          <w:right w:val="single" w:sz="4" w:space="4" w:color="auto"/>
        </w:pBdr>
        <w:rPr>
          <w:rFonts w:ascii="Arial Narrow" w:hAnsi="Arial Narrow"/>
          <w:sz w:val="22"/>
          <w:szCs w:val="22"/>
        </w:rPr>
      </w:pPr>
      <w:r>
        <w:rPr>
          <w:rFonts w:ascii="Arial Narrow" w:hAnsi="Arial Narrow"/>
          <w:bCs/>
          <w:sz w:val="22"/>
          <w:szCs w:val="22"/>
        </w:rPr>
        <w:t>The clinical claim made to the PBAC was that velaglucerase alfa was</w:t>
      </w:r>
      <w:r w:rsidR="00D44313">
        <w:rPr>
          <w:rFonts w:ascii="Arial Narrow" w:hAnsi="Arial Narrow"/>
          <w:bCs/>
          <w:sz w:val="22"/>
          <w:szCs w:val="22"/>
        </w:rPr>
        <w:t xml:space="preserve"> non-inferior to imiglucerase. In the systematic review, n</w:t>
      </w:r>
      <w:r>
        <w:rPr>
          <w:rFonts w:ascii="Arial Narrow" w:hAnsi="Arial Narrow"/>
          <w:bCs/>
          <w:sz w:val="22"/>
          <w:szCs w:val="22"/>
        </w:rPr>
        <w:t xml:space="preserve">o new trials were identified that had not already been presented in the submission to the PBAC. </w:t>
      </w:r>
      <w:r w:rsidRPr="006F24B4">
        <w:rPr>
          <w:rFonts w:ascii="Arial Narrow" w:hAnsi="Arial Narrow"/>
          <w:bCs/>
          <w:sz w:val="22"/>
          <w:szCs w:val="22"/>
        </w:rPr>
        <w:t>One high quality double-blind randomised trial</w:t>
      </w:r>
      <w:r w:rsidRPr="006F24B4">
        <w:rPr>
          <w:rFonts w:ascii="Arial Narrow" w:hAnsi="Arial Narrow"/>
          <w:sz w:val="22"/>
          <w:szCs w:val="22"/>
        </w:rPr>
        <w:t xml:space="preserve"> </w:t>
      </w:r>
      <w:r>
        <w:rPr>
          <w:rFonts w:ascii="Arial Narrow" w:hAnsi="Arial Narrow"/>
          <w:sz w:val="22"/>
          <w:szCs w:val="22"/>
        </w:rPr>
        <w:t>indicated that</w:t>
      </w:r>
      <w:r w:rsidRPr="006F24B4">
        <w:rPr>
          <w:rFonts w:ascii="Arial Narrow" w:hAnsi="Arial Narrow"/>
          <w:sz w:val="22"/>
          <w:szCs w:val="22"/>
        </w:rPr>
        <w:t xml:space="preserve"> velaglucerase alfa and imiglucerase </w:t>
      </w:r>
      <w:r>
        <w:rPr>
          <w:rFonts w:ascii="Arial Narrow" w:hAnsi="Arial Narrow"/>
          <w:sz w:val="22"/>
          <w:szCs w:val="22"/>
        </w:rPr>
        <w:t>have</w:t>
      </w:r>
      <w:r w:rsidRPr="006F24B4">
        <w:rPr>
          <w:rFonts w:ascii="Arial Narrow" w:hAnsi="Arial Narrow"/>
          <w:sz w:val="22"/>
          <w:szCs w:val="22"/>
        </w:rPr>
        <w:t xml:space="preserve"> equivalent </w:t>
      </w:r>
      <w:r>
        <w:rPr>
          <w:rFonts w:ascii="Arial Narrow" w:hAnsi="Arial Narrow"/>
          <w:sz w:val="22"/>
          <w:szCs w:val="22"/>
        </w:rPr>
        <w:t>effectiveness at reducing bleeding risk (h</w:t>
      </w:r>
      <w:r w:rsidRPr="00A830CA">
        <w:rPr>
          <w:rFonts w:ascii="Arial Narrow" w:hAnsi="Arial Narrow"/>
          <w:sz w:val="22"/>
          <w:szCs w:val="22"/>
        </w:rPr>
        <w:t>aemoglobin and platel</w:t>
      </w:r>
      <w:r w:rsidR="006D2BA1">
        <w:rPr>
          <w:rFonts w:ascii="Arial Narrow" w:hAnsi="Arial Narrow"/>
          <w:sz w:val="22"/>
          <w:szCs w:val="22"/>
        </w:rPr>
        <w:t xml:space="preserve">et count), </w:t>
      </w:r>
      <w:r w:rsidRPr="00A830CA">
        <w:rPr>
          <w:rFonts w:ascii="Arial Narrow" w:hAnsi="Arial Narrow"/>
          <w:sz w:val="22"/>
          <w:szCs w:val="22"/>
        </w:rPr>
        <w:t>disease</w:t>
      </w:r>
      <w:r w:rsidR="006D2BA1">
        <w:rPr>
          <w:rFonts w:ascii="Arial Narrow" w:hAnsi="Arial Narrow"/>
          <w:sz w:val="22"/>
          <w:szCs w:val="22"/>
        </w:rPr>
        <w:t xml:space="preserve"> burden </w:t>
      </w:r>
      <w:r w:rsidRPr="00A830CA">
        <w:rPr>
          <w:rFonts w:ascii="Arial Narrow" w:hAnsi="Arial Narrow"/>
          <w:sz w:val="22"/>
          <w:szCs w:val="22"/>
        </w:rPr>
        <w:t>(</w:t>
      </w:r>
      <w:r w:rsidR="006D2BA1">
        <w:rPr>
          <w:rFonts w:ascii="Arial Narrow" w:hAnsi="Arial Narrow"/>
          <w:sz w:val="22"/>
          <w:szCs w:val="22"/>
        </w:rPr>
        <w:t xml:space="preserve">as measured by </w:t>
      </w:r>
      <w:r w:rsidRPr="00A830CA">
        <w:rPr>
          <w:rFonts w:ascii="Arial Narrow" w:hAnsi="Arial Narrow"/>
          <w:sz w:val="22"/>
          <w:szCs w:val="22"/>
        </w:rPr>
        <w:t>chitotriosidase</w:t>
      </w:r>
      <w:r w:rsidR="006D2BA1">
        <w:rPr>
          <w:rFonts w:ascii="Arial Narrow" w:hAnsi="Arial Narrow"/>
          <w:sz w:val="22"/>
          <w:szCs w:val="22"/>
        </w:rPr>
        <w:t xml:space="preserve"> levels</w:t>
      </w:r>
      <w:r w:rsidRPr="00A830CA">
        <w:rPr>
          <w:rFonts w:ascii="Arial Narrow" w:hAnsi="Arial Narrow"/>
          <w:sz w:val="22"/>
          <w:szCs w:val="22"/>
        </w:rPr>
        <w:t>), and hepatosplenomegaly</w:t>
      </w:r>
      <w:r w:rsidRPr="0004128C">
        <w:t xml:space="preserve"> </w:t>
      </w:r>
      <w:r w:rsidRPr="006F24B4">
        <w:rPr>
          <w:rFonts w:ascii="Arial Narrow" w:hAnsi="Arial Narrow"/>
          <w:sz w:val="22"/>
          <w:szCs w:val="22"/>
        </w:rPr>
        <w:t xml:space="preserve">(GRADE </w:t>
      </w:r>
      <w:r w:rsidRPr="00D4733A">
        <w:rPr>
          <w:rStyle w:val="quality-sign"/>
          <w:rFonts w:ascii="Cambria Math" w:hAnsi="Cambria Math" w:cs="Cambria Math"/>
          <w:color w:val="00B050"/>
          <w:sz w:val="22"/>
          <w:szCs w:val="22"/>
        </w:rPr>
        <w:t>⨁⨁⨁</w:t>
      </w:r>
      <w:r w:rsidRPr="00D4733A">
        <w:rPr>
          <w:rStyle w:val="quality-sign"/>
          <w:rFonts w:ascii="Cambria Math" w:hAnsi="Cambria Math" w:cs="Cambria Math"/>
          <w:color w:val="C00000"/>
          <w:sz w:val="22"/>
          <w:szCs w:val="22"/>
        </w:rPr>
        <w:t>⨀</w:t>
      </w:r>
      <w:r w:rsidRPr="00D33A33">
        <w:rPr>
          <w:rFonts w:ascii="Arial Narrow" w:hAnsi="Arial Narrow"/>
          <w:sz w:val="22"/>
          <w:szCs w:val="22"/>
        </w:rPr>
        <w:t>).</w:t>
      </w:r>
      <w:r>
        <w:rPr>
          <w:rFonts w:ascii="Arial Narrow" w:hAnsi="Arial Narrow"/>
          <w:sz w:val="22"/>
          <w:szCs w:val="22"/>
        </w:rPr>
        <w:t xml:space="preserve"> Velaglucerase was associated with a slightly higher rate of mild to moderate adverse events (47%) than imiglucerase (35%) </w:t>
      </w:r>
      <w:proofErr w:type="gramStart"/>
      <w:r w:rsidRPr="006F24B4">
        <w:rPr>
          <w:rFonts w:ascii="Arial Narrow" w:hAnsi="Arial Narrow"/>
          <w:sz w:val="22"/>
          <w:szCs w:val="22"/>
        </w:rPr>
        <w:t xml:space="preserve">(GRADE </w:t>
      </w:r>
      <w:r w:rsidRPr="00D4733A">
        <w:rPr>
          <w:rStyle w:val="quality-sign"/>
          <w:rFonts w:ascii="Cambria Math" w:hAnsi="Cambria Math" w:cs="Cambria Math"/>
          <w:color w:val="00B050"/>
          <w:sz w:val="22"/>
          <w:szCs w:val="22"/>
        </w:rPr>
        <w:t>⨁⨁⨁</w:t>
      </w:r>
      <w:r w:rsidRPr="00D4733A">
        <w:rPr>
          <w:rStyle w:val="quality-sign"/>
          <w:rFonts w:ascii="Cambria Math" w:hAnsi="Cambria Math" w:cs="Cambria Math"/>
          <w:color w:val="C00000"/>
          <w:sz w:val="22"/>
          <w:szCs w:val="22"/>
        </w:rPr>
        <w:t>⨀</w:t>
      </w:r>
      <w:r w:rsidRPr="00D33A33">
        <w:rPr>
          <w:rFonts w:ascii="Arial Narrow" w:hAnsi="Arial Narrow"/>
          <w:sz w:val="22"/>
          <w:szCs w:val="22"/>
        </w:rPr>
        <w:t>).</w:t>
      </w:r>
      <w:proofErr w:type="gramEnd"/>
      <w:r w:rsidR="001F2020">
        <w:rPr>
          <w:rFonts w:ascii="Arial Narrow" w:hAnsi="Arial Narrow"/>
          <w:sz w:val="22"/>
          <w:szCs w:val="22"/>
        </w:rPr>
        <w:t xml:space="preserve"> The evidence supports the funding of velaglucerase alfa.</w:t>
      </w:r>
    </w:p>
    <w:p w:rsidR="00CE6720" w:rsidRDefault="00D44313" w:rsidP="00D44313">
      <w:pPr>
        <w:pBdr>
          <w:top w:val="single" w:sz="4" w:space="4" w:color="auto"/>
          <w:left w:val="single" w:sz="4" w:space="4" w:color="auto"/>
          <w:bottom w:val="single" w:sz="4" w:space="4" w:color="auto"/>
          <w:right w:val="single" w:sz="4" w:space="4" w:color="auto"/>
        </w:pBdr>
        <w:rPr>
          <w:rFonts w:ascii="Arial Narrow" w:hAnsi="Arial Narrow"/>
          <w:sz w:val="22"/>
          <w:szCs w:val="22"/>
        </w:rPr>
      </w:pPr>
      <w:r>
        <w:rPr>
          <w:rFonts w:ascii="Arial Narrow" w:hAnsi="Arial Narrow"/>
          <w:sz w:val="22"/>
          <w:szCs w:val="22"/>
        </w:rPr>
        <w:t>The submission to the PBAC proposed that miglustat may be used in patients who cannot tolerate ERT or are not able to follow an approved enzyme replacement therapy (ERT) regimen. The highest level evidence was one open-label RCT</w:t>
      </w:r>
      <w:r w:rsidR="00CE6720">
        <w:rPr>
          <w:rFonts w:ascii="Arial Narrow" w:hAnsi="Arial Narrow"/>
          <w:sz w:val="22"/>
          <w:szCs w:val="22"/>
        </w:rPr>
        <w:t xml:space="preserve"> comparing miglustat against imiglucerase</w:t>
      </w:r>
      <w:r>
        <w:rPr>
          <w:rFonts w:ascii="Arial Narrow" w:hAnsi="Arial Narrow"/>
          <w:sz w:val="22"/>
          <w:szCs w:val="22"/>
        </w:rPr>
        <w:t>, which had been included in the submission to</w:t>
      </w:r>
      <w:r w:rsidR="006D2BA1">
        <w:rPr>
          <w:rFonts w:ascii="Arial Narrow" w:hAnsi="Arial Narrow"/>
          <w:sz w:val="22"/>
          <w:szCs w:val="22"/>
        </w:rPr>
        <w:t xml:space="preserve"> the</w:t>
      </w:r>
      <w:r>
        <w:rPr>
          <w:rFonts w:ascii="Arial Narrow" w:hAnsi="Arial Narrow"/>
          <w:sz w:val="22"/>
          <w:szCs w:val="22"/>
        </w:rPr>
        <w:t xml:space="preserve"> PBAC</w:t>
      </w:r>
      <w:r w:rsidR="00CE6720">
        <w:rPr>
          <w:rFonts w:ascii="Arial Narrow" w:hAnsi="Arial Narrow"/>
          <w:sz w:val="22"/>
          <w:szCs w:val="22"/>
        </w:rPr>
        <w:t xml:space="preserve">. This study did not include any evidence on the group of patients in which miglustat has been proposed. </w:t>
      </w:r>
    </w:p>
    <w:p w:rsidR="002374CE" w:rsidRDefault="00D44313" w:rsidP="00D44313">
      <w:pPr>
        <w:pBdr>
          <w:top w:val="single" w:sz="4" w:space="4" w:color="auto"/>
          <w:left w:val="single" w:sz="4" w:space="4" w:color="auto"/>
          <w:bottom w:val="single" w:sz="4" w:space="4" w:color="auto"/>
          <w:right w:val="single" w:sz="4" w:space="4" w:color="auto"/>
        </w:pBdr>
        <w:rPr>
          <w:rFonts w:ascii="Arial Narrow" w:hAnsi="Arial Narrow"/>
          <w:sz w:val="22"/>
          <w:szCs w:val="22"/>
        </w:rPr>
      </w:pPr>
      <w:r>
        <w:rPr>
          <w:rFonts w:ascii="Arial Narrow" w:hAnsi="Arial Narrow"/>
          <w:sz w:val="22"/>
          <w:szCs w:val="22"/>
        </w:rPr>
        <w:t>No new trials were identified assessing miglustat. However, additional data were identified on one outcome measure, which showed that miglustat</w:t>
      </w:r>
      <w:r w:rsidR="006D2BA1">
        <w:rPr>
          <w:rFonts w:ascii="Arial Narrow" w:hAnsi="Arial Narrow"/>
          <w:sz w:val="22"/>
          <w:szCs w:val="22"/>
        </w:rPr>
        <w:t xml:space="preserve"> was inferior to imiglucerase according to</w:t>
      </w:r>
      <w:r>
        <w:rPr>
          <w:rFonts w:ascii="Arial Narrow" w:hAnsi="Arial Narrow"/>
          <w:sz w:val="22"/>
          <w:szCs w:val="22"/>
        </w:rPr>
        <w:t xml:space="preserve"> a </w:t>
      </w:r>
      <w:r w:rsidR="006D2BA1">
        <w:rPr>
          <w:rFonts w:ascii="Arial Narrow" w:hAnsi="Arial Narrow"/>
          <w:sz w:val="22"/>
          <w:szCs w:val="22"/>
        </w:rPr>
        <w:t xml:space="preserve">marker of </w:t>
      </w:r>
      <w:r>
        <w:rPr>
          <w:rFonts w:ascii="Arial Narrow" w:hAnsi="Arial Narrow"/>
          <w:sz w:val="22"/>
          <w:szCs w:val="22"/>
        </w:rPr>
        <w:t xml:space="preserve">disease </w:t>
      </w:r>
      <w:r w:rsidR="006D2BA1">
        <w:rPr>
          <w:rFonts w:ascii="Arial Narrow" w:hAnsi="Arial Narrow"/>
          <w:sz w:val="22"/>
          <w:szCs w:val="22"/>
        </w:rPr>
        <w:t xml:space="preserve">burden </w:t>
      </w:r>
      <w:r>
        <w:rPr>
          <w:rFonts w:ascii="Arial Narrow" w:hAnsi="Arial Narrow"/>
          <w:sz w:val="22"/>
          <w:szCs w:val="22"/>
        </w:rPr>
        <w:t>(chitotriosidase</w:t>
      </w:r>
      <w:r w:rsidR="006D2BA1">
        <w:rPr>
          <w:rFonts w:ascii="Arial Narrow" w:hAnsi="Arial Narrow"/>
          <w:sz w:val="22"/>
          <w:szCs w:val="22"/>
        </w:rPr>
        <w:t xml:space="preserve"> level</w:t>
      </w:r>
      <w:r>
        <w:rPr>
          <w:rFonts w:ascii="Arial Narrow" w:hAnsi="Arial Narrow"/>
          <w:sz w:val="22"/>
          <w:szCs w:val="22"/>
        </w:rPr>
        <w:t>). Other outcome measures (included in the submission to</w:t>
      </w:r>
      <w:r w:rsidR="006D2BA1">
        <w:rPr>
          <w:rFonts w:ascii="Arial Narrow" w:hAnsi="Arial Narrow"/>
          <w:sz w:val="22"/>
          <w:szCs w:val="22"/>
        </w:rPr>
        <w:t xml:space="preserve"> the</w:t>
      </w:r>
      <w:r>
        <w:rPr>
          <w:rFonts w:ascii="Arial Narrow" w:hAnsi="Arial Narrow"/>
          <w:sz w:val="22"/>
          <w:szCs w:val="22"/>
        </w:rPr>
        <w:t xml:space="preserve"> PBAC) showed that </w:t>
      </w:r>
      <w:r w:rsidR="002374CE" w:rsidRPr="00D33A33">
        <w:rPr>
          <w:rFonts w:ascii="Arial Narrow" w:hAnsi="Arial Narrow"/>
          <w:sz w:val="22"/>
          <w:szCs w:val="22"/>
        </w:rPr>
        <w:t xml:space="preserve">miglustat </w:t>
      </w:r>
      <w:r w:rsidR="002374CE">
        <w:rPr>
          <w:rFonts w:ascii="Arial Narrow" w:hAnsi="Arial Narrow"/>
          <w:sz w:val="22"/>
          <w:szCs w:val="22"/>
        </w:rPr>
        <w:t>was</w:t>
      </w:r>
      <w:r w:rsidR="002374CE" w:rsidRPr="00D33A33">
        <w:rPr>
          <w:rFonts w:ascii="Arial Narrow" w:hAnsi="Arial Narrow"/>
          <w:sz w:val="22"/>
          <w:szCs w:val="22"/>
        </w:rPr>
        <w:t xml:space="preserve"> non-inferior to imiglucerase in regards to one measure of bleeding risk (haemoglobin), </w:t>
      </w:r>
      <w:r w:rsidR="002374CE">
        <w:rPr>
          <w:rFonts w:ascii="Arial Narrow" w:hAnsi="Arial Narrow"/>
          <w:sz w:val="22"/>
          <w:szCs w:val="22"/>
        </w:rPr>
        <w:t>and</w:t>
      </w:r>
      <w:r w:rsidR="002374CE" w:rsidRPr="00D33A33">
        <w:rPr>
          <w:rFonts w:ascii="Arial Narrow" w:hAnsi="Arial Narrow"/>
          <w:sz w:val="22"/>
          <w:szCs w:val="22"/>
        </w:rPr>
        <w:t xml:space="preserve"> inferior in regards to another measure of bleeding risk (platelets). Every patient receiving miglustat had gastrointestinal side effects, which was significantly higher than the proportion of patients who received imiglucerase.</w:t>
      </w:r>
      <w:r w:rsidR="002374CE" w:rsidRPr="006F24B4">
        <w:rPr>
          <w:rFonts w:ascii="Arial Narrow" w:hAnsi="Arial Narrow"/>
          <w:sz w:val="22"/>
          <w:szCs w:val="22"/>
        </w:rPr>
        <w:t xml:space="preserve"> Quality of life was reported to be higher in those taking miglustat than imiglucerase, which likely relates to the mode of administration (an oral treatment rather than infusions</w:t>
      </w:r>
      <w:r w:rsidR="002374CE">
        <w:rPr>
          <w:rFonts w:ascii="Arial Narrow" w:hAnsi="Arial Narrow"/>
          <w:sz w:val="22"/>
          <w:szCs w:val="22"/>
        </w:rPr>
        <w:t xml:space="preserve"> which took one to two hours each week</w:t>
      </w:r>
      <w:r w:rsidR="002374CE" w:rsidRPr="006F24B4">
        <w:rPr>
          <w:rFonts w:ascii="Arial Narrow" w:hAnsi="Arial Narrow"/>
          <w:sz w:val="22"/>
          <w:szCs w:val="22"/>
        </w:rPr>
        <w:t>)</w:t>
      </w:r>
      <w:r w:rsidR="002374CE">
        <w:t xml:space="preserve"> </w:t>
      </w:r>
      <w:r w:rsidR="002374CE" w:rsidRPr="006F24B4">
        <w:rPr>
          <w:rFonts w:ascii="Arial Narrow" w:hAnsi="Arial Narrow"/>
          <w:sz w:val="22"/>
          <w:szCs w:val="22"/>
        </w:rPr>
        <w:t xml:space="preserve">(GRADE </w:t>
      </w:r>
      <w:r w:rsidR="002374CE" w:rsidRPr="00D4733A">
        <w:rPr>
          <w:rStyle w:val="quality-sign"/>
          <w:rFonts w:ascii="Cambria Math" w:hAnsi="Cambria Math" w:cs="Cambria Math"/>
          <w:color w:val="00B050"/>
          <w:sz w:val="22"/>
          <w:szCs w:val="22"/>
        </w:rPr>
        <w:t>⨁⨁⨁</w:t>
      </w:r>
      <w:r w:rsidR="002374CE" w:rsidRPr="00D4733A">
        <w:rPr>
          <w:rStyle w:val="quality-sign"/>
          <w:rFonts w:ascii="Cambria Math" w:hAnsi="Cambria Math" w:cs="Cambria Math"/>
          <w:color w:val="C00000"/>
          <w:sz w:val="22"/>
          <w:szCs w:val="22"/>
        </w:rPr>
        <w:t>⨀</w:t>
      </w:r>
      <w:r w:rsidR="002374CE" w:rsidRPr="006F24B4">
        <w:rPr>
          <w:rFonts w:ascii="Arial Narrow" w:hAnsi="Arial Narrow"/>
          <w:sz w:val="22"/>
          <w:szCs w:val="22"/>
        </w:rPr>
        <w:t>).</w:t>
      </w:r>
      <w:r w:rsidR="002374CE">
        <w:rPr>
          <w:rFonts w:ascii="Arial Narrow" w:hAnsi="Arial Narrow"/>
          <w:sz w:val="22"/>
          <w:szCs w:val="22"/>
        </w:rPr>
        <w:t xml:space="preserve"> It is unknown whether this difference in quality of life would be sustained, given the poorer performance of miglustat compared to imiglucerase on</w:t>
      </w:r>
      <w:r w:rsidR="006D2BA1">
        <w:rPr>
          <w:rFonts w:ascii="Arial Narrow" w:hAnsi="Arial Narrow"/>
          <w:sz w:val="22"/>
          <w:szCs w:val="22"/>
        </w:rPr>
        <w:t xml:space="preserve"> the</w:t>
      </w:r>
      <w:r w:rsidR="002374CE">
        <w:rPr>
          <w:rFonts w:ascii="Arial Narrow" w:hAnsi="Arial Narrow"/>
          <w:sz w:val="22"/>
          <w:szCs w:val="22"/>
        </w:rPr>
        <w:t xml:space="preserve"> other surrogate outcome measures. </w:t>
      </w:r>
    </w:p>
    <w:p w:rsidR="002374CE" w:rsidRPr="006F24B4" w:rsidRDefault="002374CE" w:rsidP="00E502C3">
      <w:pPr>
        <w:pBdr>
          <w:top w:val="single" w:sz="4" w:space="4" w:color="auto"/>
          <w:left w:val="single" w:sz="4" w:space="4" w:color="auto"/>
          <w:bottom w:val="single" w:sz="4" w:space="4" w:color="auto"/>
          <w:right w:val="single" w:sz="4" w:space="4" w:color="auto"/>
        </w:pBdr>
        <w:rPr>
          <w:rFonts w:ascii="Arial Narrow" w:hAnsi="Arial Narrow"/>
          <w:sz w:val="22"/>
          <w:szCs w:val="22"/>
        </w:rPr>
      </w:pPr>
      <w:r>
        <w:rPr>
          <w:rFonts w:ascii="Arial Narrow" w:hAnsi="Arial Narrow"/>
          <w:sz w:val="22"/>
          <w:szCs w:val="22"/>
        </w:rPr>
        <w:t xml:space="preserve">Australian data on the use of imiglucerase and velaglucerase alfa showed that patients receiving ERT for Type 1 Gaucher disease have, on average, improvements in haemoglobin levels, platelet counts, and spleen and liver volumes compared </w:t>
      </w:r>
      <w:r w:rsidR="006D2BA1">
        <w:rPr>
          <w:rFonts w:ascii="Arial Narrow" w:hAnsi="Arial Narrow"/>
          <w:sz w:val="22"/>
          <w:szCs w:val="22"/>
        </w:rPr>
        <w:t>to their pre-treatment levels. There are n</w:t>
      </w:r>
      <w:r>
        <w:rPr>
          <w:rFonts w:ascii="Arial Narrow" w:hAnsi="Arial Narrow"/>
          <w:sz w:val="22"/>
          <w:szCs w:val="22"/>
        </w:rPr>
        <w:t xml:space="preserve">o patients in Australia </w:t>
      </w:r>
      <w:r w:rsidR="00346275">
        <w:rPr>
          <w:rFonts w:ascii="Arial Narrow" w:hAnsi="Arial Narrow"/>
          <w:sz w:val="22"/>
          <w:szCs w:val="22"/>
        </w:rPr>
        <w:t>currently receiving</w:t>
      </w:r>
      <w:r>
        <w:rPr>
          <w:rFonts w:ascii="Arial Narrow" w:hAnsi="Arial Narrow"/>
          <w:sz w:val="22"/>
          <w:szCs w:val="22"/>
        </w:rPr>
        <w:t xml:space="preserve"> </w:t>
      </w:r>
      <w:r w:rsidR="00F02D65">
        <w:rPr>
          <w:rFonts w:ascii="Arial Narrow" w:hAnsi="Arial Narrow"/>
          <w:sz w:val="22"/>
          <w:szCs w:val="22"/>
        </w:rPr>
        <w:t xml:space="preserve">subsidised </w:t>
      </w:r>
      <w:r>
        <w:rPr>
          <w:rFonts w:ascii="Arial Narrow" w:hAnsi="Arial Narrow"/>
          <w:sz w:val="22"/>
          <w:szCs w:val="22"/>
        </w:rPr>
        <w:t>miglustat.</w:t>
      </w:r>
    </w:p>
    <w:p w:rsidR="00561F00" w:rsidRDefault="00561F00" w:rsidP="0047458C">
      <w:r>
        <w:br w:type="page"/>
      </w:r>
    </w:p>
    <w:p w:rsidR="0004128C" w:rsidRPr="0004128C" w:rsidRDefault="0004128C" w:rsidP="00A979FB">
      <w:pPr>
        <w:pStyle w:val="Heading4"/>
      </w:pPr>
      <w:bookmarkStart w:id="98" w:name="_Toc403118795"/>
      <w:bookmarkStart w:id="99" w:name="_Toc404350100"/>
      <w:r w:rsidRPr="0004128C">
        <w:lastRenderedPageBreak/>
        <w:t>Background</w:t>
      </w:r>
    </w:p>
    <w:p w:rsidR="000A4DD2" w:rsidRDefault="000A4DD2" w:rsidP="000A4DD2">
      <w:pPr>
        <w:pStyle w:val="Heading5"/>
      </w:pPr>
      <w:r>
        <w:t>Gaucher disease</w:t>
      </w:r>
    </w:p>
    <w:p w:rsidR="0004128C" w:rsidRPr="0004128C" w:rsidRDefault="0004128C" w:rsidP="00DE29A8">
      <w:r w:rsidRPr="0004128C">
        <w:t>Gaucher disease is the most common lysosomal storage disease, resulting from mutations and rearrangements in the β-glucocerebrosidase gene, located on chromosome 1q21.31 (</w:t>
      </w:r>
      <w:r w:rsidRPr="0004128C">
        <w:rPr>
          <w:i/>
        </w:rPr>
        <w:t>GBA</w:t>
      </w:r>
      <w:r w:rsidRPr="0004128C">
        <w:t xml:space="preserve"> gene). These</w:t>
      </w:r>
      <w:r w:rsidR="001256C4">
        <w:t xml:space="preserve"> abnormalities in the gene lead</w:t>
      </w:r>
      <w:r w:rsidRPr="0004128C">
        <w:t xml:space="preserve"> to decreased enzymatic activity, and an accumulation of unmetabolised substrate glucocerebrosidase in the lysosomes of </w:t>
      </w:r>
      <w:r w:rsidR="00B33C98">
        <w:t>macrophage and monocyte cells, particularly in the liver, spleen and bone marrow</w:t>
      </w:r>
      <w:r w:rsidRPr="0004128C">
        <w:t xml:space="preserve"> </w:t>
      </w:r>
      <w:r w:rsidR="00A130D0">
        <w:rPr>
          <w:noProof/>
        </w:rPr>
        <w:t>(</w:t>
      </w:r>
      <w:r w:rsidR="00184B6F">
        <w:rPr>
          <w:noProof/>
        </w:rPr>
        <w:t>Elstein, Y et al. 2004</w:t>
      </w:r>
      <w:r w:rsidR="00A130D0">
        <w:rPr>
          <w:noProof/>
        </w:rPr>
        <w:t>)</w:t>
      </w:r>
      <w:r w:rsidRPr="0004128C">
        <w:t xml:space="preserve">. There are three clinical sub-types of </w:t>
      </w:r>
      <w:proofErr w:type="gramStart"/>
      <w:r w:rsidRPr="0004128C">
        <w:t>Gaucher</w:t>
      </w:r>
      <w:proofErr w:type="gramEnd"/>
      <w:r w:rsidRPr="0004128C">
        <w:t xml:space="preserve"> disease, defined by the progression of neurological manifestations. Type 1 Gaucher, which does not have neuropathic complications, is the most common form </w:t>
      </w:r>
      <w:r w:rsidR="00A130D0">
        <w:rPr>
          <w:noProof/>
        </w:rPr>
        <w:t>(</w:t>
      </w:r>
      <w:r w:rsidR="00184B6F">
        <w:rPr>
          <w:noProof/>
        </w:rPr>
        <w:t>Elstein, Y et al. 2004</w:t>
      </w:r>
      <w:r w:rsidR="00A130D0">
        <w:rPr>
          <w:noProof/>
        </w:rPr>
        <w:t>)</w:t>
      </w:r>
      <w:r w:rsidRPr="0004128C">
        <w:t xml:space="preserve">. </w:t>
      </w:r>
    </w:p>
    <w:p w:rsidR="0004128C" w:rsidRDefault="0004128C" w:rsidP="0004128C">
      <w:r w:rsidRPr="0004128C">
        <w:t xml:space="preserve">The </w:t>
      </w:r>
      <w:r w:rsidR="00A830CA">
        <w:t>consequences</w:t>
      </w:r>
      <w:r w:rsidRPr="0004128C">
        <w:t xml:space="preserve"> of </w:t>
      </w:r>
      <w:proofErr w:type="gramStart"/>
      <w:r w:rsidRPr="0004128C">
        <w:t>Gaucher</w:t>
      </w:r>
      <w:proofErr w:type="gramEnd"/>
      <w:r w:rsidRPr="0004128C">
        <w:t xml:space="preserve"> disease may vary enormously from death </w:t>
      </w:r>
      <w:r w:rsidRPr="006D2BA1">
        <w:rPr>
          <w:i/>
        </w:rPr>
        <w:t>in utero</w:t>
      </w:r>
      <w:r w:rsidRPr="0004128C">
        <w:t xml:space="preserve">, to </w:t>
      </w:r>
      <w:r w:rsidR="00A830CA">
        <w:t>no symptoms</w:t>
      </w:r>
      <w:r w:rsidRPr="0004128C">
        <w:t xml:space="preserve"> </w:t>
      </w:r>
      <w:r w:rsidR="00A130D0">
        <w:rPr>
          <w:noProof/>
        </w:rPr>
        <w:t>(</w:t>
      </w:r>
      <w:r w:rsidR="00184B6F">
        <w:rPr>
          <w:noProof/>
        </w:rPr>
        <w:t>Giraldo et al. 2011</w:t>
      </w:r>
      <w:r w:rsidR="00A130D0">
        <w:rPr>
          <w:noProof/>
        </w:rPr>
        <w:t>)</w:t>
      </w:r>
      <w:r w:rsidRPr="0004128C">
        <w:t xml:space="preserve">. Common symptoms involve massive hepatosplenomegaly (enlarged spleen and liver), haematological </w:t>
      </w:r>
      <w:r w:rsidR="003F6F89">
        <w:t>symptoms (anaemia</w:t>
      </w:r>
      <w:r w:rsidR="00A830CA">
        <w:t xml:space="preserve"> </w:t>
      </w:r>
      <w:r w:rsidR="003F6F89">
        <w:t xml:space="preserve">and </w:t>
      </w:r>
      <w:r w:rsidR="00F87099">
        <w:t>thrombocytop</w:t>
      </w:r>
      <w:r w:rsidR="00F87099" w:rsidRPr="0004128C">
        <w:t>enia</w:t>
      </w:r>
      <w:r w:rsidR="003F6F89">
        <w:t xml:space="preserve">, resulting from storage of </w:t>
      </w:r>
      <w:r w:rsidR="00F87099">
        <w:t>glucocerebrosidase</w:t>
      </w:r>
      <w:r w:rsidR="003F6F89">
        <w:t xml:space="preserve"> in the spleen</w:t>
      </w:r>
      <w:r w:rsidRPr="0004128C">
        <w:t xml:space="preserve">), and skeletal involvement (bone pain, osteopenia, osteoporosis) </w:t>
      </w:r>
      <w:r w:rsidR="00A130D0">
        <w:rPr>
          <w:noProof/>
        </w:rPr>
        <w:t>(</w:t>
      </w:r>
      <w:r w:rsidR="00184B6F">
        <w:rPr>
          <w:noProof/>
        </w:rPr>
        <w:t>Elstein, Y et al. 2004</w:t>
      </w:r>
      <w:r w:rsidR="00A130D0">
        <w:rPr>
          <w:noProof/>
        </w:rPr>
        <w:t>)</w:t>
      </w:r>
      <w:r w:rsidR="002B105E">
        <w:t>.</w:t>
      </w:r>
    </w:p>
    <w:p w:rsidR="000A4DD2" w:rsidRPr="0004128C" w:rsidRDefault="000A4DD2" w:rsidP="000A4DD2">
      <w:pPr>
        <w:pStyle w:val="Heading5"/>
      </w:pPr>
      <w:r>
        <w:t xml:space="preserve">Pre-enzyme replacement therapy </w:t>
      </w:r>
    </w:p>
    <w:p w:rsidR="000A4DD2" w:rsidRDefault="0004128C" w:rsidP="0004128C">
      <w:r w:rsidRPr="0004128C">
        <w:t>Prior to the introduction of enzyme replacement therapy, Gaucher diseas</w:t>
      </w:r>
      <w:r w:rsidR="006D2BA1">
        <w:t xml:space="preserve">e was managed symptomatically through the </w:t>
      </w:r>
      <w:r w:rsidR="00AF78BF">
        <w:t xml:space="preserve">treatment of pain, </w:t>
      </w:r>
      <w:r w:rsidRPr="0004128C">
        <w:t>splenectomy</w:t>
      </w:r>
      <w:r w:rsidR="00AF78BF">
        <w:t xml:space="preserve"> to relieve the </w:t>
      </w:r>
      <w:r w:rsidR="00F87099">
        <w:t>thrombocytopenia</w:t>
      </w:r>
      <w:r w:rsidR="00AF78BF">
        <w:t xml:space="preserve"> caused by hypersp</w:t>
      </w:r>
      <w:r w:rsidR="00BF6C04">
        <w:t>l</w:t>
      </w:r>
      <w:r w:rsidR="00AF78BF">
        <w:t>enism</w:t>
      </w:r>
      <w:r w:rsidRPr="0004128C">
        <w:t>, blood transfusions</w:t>
      </w:r>
      <w:r w:rsidR="00AF78BF">
        <w:t xml:space="preserve"> to correct the anaemia of the disease</w:t>
      </w:r>
      <w:r w:rsidRPr="0004128C">
        <w:t>, orthopaedic procedures</w:t>
      </w:r>
      <w:r w:rsidR="00AF78BF">
        <w:t xml:space="preserve"> for fractures and avascular necrosis of the bone</w:t>
      </w:r>
      <w:r w:rsidRPr="0004128C">
        <w:t xml:space="preserve">, </w:t>
      </w:r>
      <w:r w:rsidR="00A830CA">
        <w:t xml:space="preserve">vitamin D supplementation </w:t>
      </w:r>
      <w:r w:rsidRPr="0004128C">
        <w:t>and sometimes bone marrow</w:t>
      </w:r>
      <w:r w:rsidR="00AF78BF">
        <w:t xml:space="preserve"> transplantation for patients with very severe disease</w:t>
      </w:r>
      <w:r w:rsidRPr="0004128C">
        <w:t xml:space="preserve"> </w:t>
      </w:r>
      <w:r w:rsidR="00A130D0">
        <w:rPr>
          <w:noProof/>
        </w:rPr>
        <w:t>(</w:t>
      </w:r>
      <w:r w:rsidR="00184B6F">
        <w:rPr>
          <w:noProof/>
        </w:rPr>
        <w:t>Hayes, RP et al. 1998</w:t>
      </w:r>
      <w:r w:rsidR="00A130D0">
        <w:rPr>
          <w:noProof/>
        </w:rPr>
        <w:t>)</w:t>
      </w:r>
      <w:r w:rsidRPr="0004128C">
        <w:t xml:space="preserve">. </w:t>
      </w:r>
      <w:r w:rsidR="000A6218">
        <w:t>Adjunctive therapies of analgesics, anti-inflammatory drugs and bisphosphonates are also used for symptom management.</w:t>
      </w:r>
    </w:p>
    <w:p w:rsidR="000A4DD2" w:rsidRDefault="000A4DD2" w:rsidP="000A4DD2">
      <w:pPr>
        <w:pStyle w:val="Heading5"/>
      </w:pPr>
      <w:r>
        <w:t>Enzyme replacement therapy and substrate reduction therapy</w:t>
      </w:r>
    </w:p>
    <w:p w:rsidR="00BB6F77" w:rsidRDefault="0004128C" w:rsidP="0004128C">
      <w:r w:rsidRPr="0004128C">
        <w:t>Options now include enzyme replacement therapies (ERT), or substrate reduction therapies (SRT)</w:t>
      </w:r>
      <w:r w:rsidR="00F312B3">
        <w:t>, which may possibly improve a patients’ functioning and quality of life, maintain it, or slow deterioration, but are not curative</w:t>
      </w:r>
      <w:r w:rsidRPr="0004128C">
        <w:t xml:space="preserve">. The first enzyme replacement therapy used </w:t>
      </w:r>
      <w:r w:rsidR="00AF78BF">
        <w:t xml:space="preserve">human </w:t>
      </w:r>
      <w:r w:rsidRPr="0004128C">
        <w:t>placenta cells (alglucerase), which was later replaced by recombinant technology (imiglucerase)</w:t>
      </w:r>
      <w:r w:rsidR="00AF78BF">
        <w:t xml:space="preserve">, </w:t>
      </w:r>
      <w:r w:rsidR="00D96B57">
        <w:t>reducing</w:t>
      </w:r>
      <w:r w:rsidR="00AF78BF">
        <w:t xml:space="preserve"> the risk of viral contamination</w:t>
      </w:r>
      <w:r w:rsidRPr="0004128C">
        <w:t xml:space="preserve"> </w:t>
      </w:r>
      <w:r w:rsidR="00A130D0">
        <w:rPr>
          <w:noProof/>
        </w:rPr>
        <w:t>(</w:t>
      </w:r>
      <w:r w:rsidR="00184B6F">
        <w:rPr>
          <w:noProof/>
        </w:rPr>
        <w:t>Giraldo et al. 2011</w:t>
      </w:r>
      <w:r w:rsidR="00A130D0">
        <w:rPr>
          <w:noProof/>
        </w:rPr>
        <w:t>)</w:t>
      </w:r>
      <w:r w:rsidRPr="0004128C">
        <w:t xml:space="preserve">. </w:t>
      </w:r>
      <w:r w:rsidR="009C60FD">
        <w:t xml:space="preserve">Imiglucerase has been subsidised through the LSDP, and precursors to the LSDP, since 1995. </w:t>
      </w:r>
      <w:r w:rsidR="009C60FD" w:rsidRPr="0004128C">
        <w:t xml:space="preserve">Additional enzyme replacement therapies are </w:t>
      </w:r>
      <w:r w:rsidR="00F87099" w:rsidRPr="0004128C">
        <w:t>velaglucerase</w:t>
      </w:r>
      <w:r w:rsidR="009C60FD" w:rsidRPr="0004128C">
        <w:t xml:space="preserve"> </w:t>
      </w:r>
      <w:r w:rsidR="009C60FD" w:rsidRPr="003A0279">
        <w:t xml:space="preserve">alfa, and taliglucerase. </w:t>
      </w:r>
      <w:r w:rsidR="009C60FD" w:rsidRPr="00204342">
        <w:t>Velaglucerase alfa has been subsidised through the LSDP since 2012</w:t>
      </w:r>
      <w:r w:rsidR="00B140B4" w:rsidRPr="00204342">
        <w:t>.</w:t>
      </w:r>
      <w:r w:rsidR="00B33C98" w:rsidRPr="00204342">
        <w:t xml:space="preserve"> </w:t>
      </w:r>
      <w:r w:rsidR="00B140B4" w:rsidRPr="00870EA8">
        <w:t>A submission was made to</w:t>
      </w:r>
      <w:r w:rsidR="006D2BA1">
        <w:t xml:space="preserve"> the</w:t>
      </w:r>
      <w:r w:rsidR="00B140B4" w:rsidRPr="00870EA8">
        <w:t xml:space="preserve"> PBAC in 2012 for funding of taliglucerase alfa through the LSDP or Highly Specialised Drug Program, however, the </w:t>
      </w:r>
      <w:r w:rsidR="008002E6" w:rsidRPr="00870EA8">
        <w:t>submission did not provide any direct comparative information</w:t>
      </w:r>
      <w:r w:rsidR="0073028C" w:rsidRPr="00870EA8">
        <w:t xml:space="preserve"> on taliglucerase alfa compared to placebo or the other forms of ERT for Gaucher disease. </w:t>
      </w:r>
      <w:r w:rsidR="006D2BA1">
        <w:t xml:space="preserve">The </w:t>
      </w:r>
      <w:r w:rsidR="00B140B4" w:rsidRPr="00870EA8">
        <w:t xml:space="preserve">PBAC rejected the submission on the basis of the lack of information on </w:t>
      </w:r>
      <w:r w:rsidR="0073028C" w:rsidRPr="00870EA8">
        <w:t>clinical effectiveness</w:t>
      </w:r>
      <w:r w:rsidR="008002E6" w:rsidRPr="00870EA8">
        <w:t xml:space="preserve"> </w:t>
      </w:r>
      <w:r w:rsidR="00184B6F" w:rsidRPr="00870EA8">
        <w:t>(Department of Health, 2012)</w:t>
      </w:r>
      <w:r w:rsidR="00184B6F" w:rsidRPr="003A0279">
        <w:t>.</w:t>
      </w:r>
    </w:p>
    <w:p w:rsidR="00B33C98" w:rsidRDefault="00BB6F77" w:rsidP="0004128C">
      <w:r>
        <w:lastRenderedPageBreak/>
        <w:t xml:space="preserve">Due to the high cost of the drugs, ERT is prepared and delivered with caution. Treatment carries significant burden to the patient despite government funding through the LSDP. Ideally infusion of imiglucerase or velaglucerase alfa should be prepared once the patient arrives at the treatment site, and the prepared solution should be used within 3 hours. </w:t>
      </w:r>
      <w:r w:rsidR="000A4DD2">
        <w:t>Imiglucerase and velagluceras</w:t>
      </w:r>
      <w:r w:rsidR="00B63EBC">
        <w:t>e</w:t>
      </w:r>
      <w:r w:rsidR="000A4DD2">
        <w:t xml:space="preserve"> alfa are both lyophilised powers that must be recons</w:t>
      </w:r>
      <w:r w:rsidR="00B63EBC">
        <w:t>ti</w:t>
      </w:r>
      <w:r w:rsidR="000A4DD2">
        <w:t xml:space="preserve">tuted with sterile water and sodium chloride prior to infusion. Both imiglucerase and velaglucerase are dosed at </w:t>
      </w:r>
      <w:r w:rsidR="00F312B3">
        <w:t xml:space="preserve">60 U/kg body </w:t>
      </w:r>
      <w:proofErr w:type="gramStart"/>
      <w:r w:rsidR="00F312B3">
        <w:t>weight</w:t>
      </w:r>
      <w:proofErr w:type="gramEnd"/>
      <w:r w:rsidR="00F312B3">
        <w:t xml:space="preserve"> every 2 weeks by intravenous infusion, which takes 1-2 hours. For those who have received at least three infusions within a hospital, and have tolerated it well, it may be possible to receive the drug at home. </w:t>
      </w:r>
    </w:p>
    <w:p w:rsidR="00D96B57" w:rsidRDefault="0004128C" w:rsidP="0004128C">
      <w:r w:rsidRPr="0004128C">
        <w:t>Substrate reduction therapies include miglustat and elig</w:t>
      </w:r>
      <w:r w:rsidR="00F87099">
        <w:t>l</w:t>
      </w:r>
      <w:r w:rsidRPr="0004128C">
        <w:t xml:space="preserve">ustat. </w:t>
      </w:r>
      <w:r w:rsidR="00B33C98">
        <w:t>Miglustat has been subsid</w:t>
      </w:r>
      <w:r w:rsidR="00F87099">
        <w:t>is</w:t>
      </w:r>
      <w:r w:rsidR="00B33C98">
        <w:t xml:space="preserve">ed through the LSDP since 2009 for patients with mild to moderate </w:t>
      </w:r>
      <w:proofErr w:type="gramStart"/>
      <w:r w:rsidR="00B33C98">
        <w:t>Gaucher</w:t>
      </w:r>
      <w:proofErr w:type="gramEnd"/>
      <w:r w:rsidR="00B33C98">
        <w:t xml:space="preserve"> disease, for whom ERT is not a therapeutic option due to poor venous access, severe needle phobia, or hypersensitivity.</w:t>
      </w:r>
      <w:r w:rsidR="000A6218" w:rsidRPr="000A6218">
        <w:t xml:space="preserve"> </w:t>
      </w:r>
      <w:r w:rsidR="000A6218">
        <w:t>Miglustat is an oral medication which is taken at a dose of 100 mg/kg, three times daily. Patients are likely to experience a benefit from not having the inconvenience of attending hospital for delivery, and being able to avoid hours of waiting and infusion time and the risk of infusion reactions. Miglustat does however increase the risk of gastrointestinal side effects and is recommended to be taken without food.</w:t>
      </w:r>
    </w:p>
    <w:p w:rsidR="00C81F16" w:rsidRPr="0004128C" w:rsidRDefault="00C81F16" w:rsidP="0004128C"/>
    <w:p w:rsidR="0004128C" w:rsidRPr="0004128C" w:rsidRDefault="0004128C" w:rsidP="00A979FB">
      <w:pPr>
        <w:pStyle w:val="Heading4"/>
      </w:pPr>
      <w:r w:rsidRPr="0004128C">
        <w:t>Systematic review inclusion criteria</w:t>
      </w:r>
    </w:p>
    <w:p w:rsidR="0004128C" w:rsidRPr="0004128C" w:rsidRDefault="00A72B26" w:rsidP="0004128C">
      <w:pPr>
        <w:rPr>
          <w:rFonts w:cstheme="minorHAnsi"/>
        </w:rPr>
      </w:pPr>
      <w:r w:rsidRPr="0004128C">
        <w:t xml:space="preserve">Table </w:t>
      </w:r>
      <w:r>
        <w:rPr>
          <w:noProof/>
        </w:rPr>
        <w:t>5</w:t>
      </w:r>
      <w:r w:rsidR="0004128C" w:rsidRPr="0004128C">
        <w:rPr>
          <w:rFonts w:cstheme="minorHAnsi"/>
        </w:rPr>
        <w:t xml:space="preserve"> provides the criteria f</w:t>
      </w:r>
      <w:r w:rsidR="00BB01AC">
        <w:rPr>
          <w:rFonts w:cstheme="minorHAnsi"/>
        </w:rPr>
        <w:t>or selecting studies to review</w:t>
      </w:r>
      <w:r w:rsidR="0004128C" w:rsidRPr="0004128C">
        <w:rPr>
          <w:rFonts w:cstheme="minorHAnsi"/>
        </w:rPr>
        <w:t xml:space="preserve"> the safety and effectiveness of imiglucerase, velaglucerase alfa and miglustat for the treatment of patients with Type 1 Gaucher disease.</w:t>
      </w:r>
    </w:p>
    <w:p w:rsidR="0004128C" w:rsidRPr="0004128C" w:rsidRDefault="0004128C" w:rsidP="009B5F63">
      <w:pPr>
        <w:pStyle w:val="Caption"/>
        <w:keepNext/>
        <w:tabs>
          <w:tab w:val="clear" w:pos="851"/>
          <w:tab w:val="left" w:pos="993"/>
        </w:tabs>
        <w:ind w:left="993" w:hanging="993"/>
      </w:pPr>
      <w:bookmarkStart w:id="100" w:name="_Ref390433582"/>
      <w:bookmarkStart w:id="101" w:name="_Toc411510389"/>
      <w:bookmarkStart w:id="102" w:name="_Toc415141802"/>
      <w:r w:rsidRPr="0004128C">
        <w:lastRenderedPageBreak/>
        <w:t xml:space="preserve">Table </w:t>
      </w:r>
      <w:r w:rsidR="00A72B26">
        <w:rPr>
          <w:noProof/>
        </w:rPr>
        <w:t>5</w:t>
      </w:r>
      <w:bookmarkEnd w:id="100"/>
      <w:r w:rsidRPr="0004128C">
        <w:tab/>
        <w:t>Criteria for selecting studies to assess the safety and effectiveness of imiglucerase, velaglucerase alfa, and miglustat</w:t>
      </w:r>
      <w:bookmarkEnd w:id="101"/>
      <w:bookmarkEnd w:id="102"/>
    </w:p>
    <w:tbl>
      <w:tblPr>
        <w:tblStyle w:val="TableGrid"/>
        <w:tblW w:w="0" w:type="auto"/>
        <w:tblLook w:val="04A0" w:firstRow="1" w:lastRow="0" w:firstColumn="1" w:lastColumn="0" w:noHBand="0" w:noVBand="1"/>
        <w:tblCaption w:val="Table 4 Criteria for selecting studies to assess the safety and effectiveness of imiglucerase, velaglucerase alfa, and miglustat"/>
      </w:tblPr>
      <w:tblGrid>
        <w:gridCol w:w="1582"/>
        <w:gridCol w:w="7660"/>
      </w:tblGrid>
      <w:tr w:rsidR="0004128C" w:rsidRPr="0004128C" w:rsidTr="00712231">
        <w:trPr>
          <w:tblHeader/>
        </w:trPr>
        <w:tc>
          <w:tcPr>
            <w:tcW w:w="1582" w:type="dxa"/>
          </w:tcPr>
          <w:p w:rsidR="0004128C" w:rsidRPr="0084450C" w:rsidRDefault="0004128C" w:rsidP="0084450C">
            <w:pPr>
              <w:pStyle w:val="TableHeading"/>
            </w:pPr>
            <w:r w:rsidRPr="0084450C">
              <w:t>Characteristic</w:t>
            </w:r>
          </w:p>
        </w:tc>
        <w:tc>
          <w:tcPr>
            <w:tcW w:w="7660" w:type="dxa"/>
          </w:tcPr>
          <w:p w:rsidR="0004128C" w:rsidRPr="0084450C" w:rsidRDefault="0004128C" w:rsidP="0084450C">
            <w:pPr>
              <w:pStyle w:val="TableHeading"/>
            </w:pPr>
            <w:r w:rsidRPr="0084450C">
              <w:t>Inclusion criteria</w:t>
            </w:r>
          </w:p>
        </w:tc>
      </w:tr>
      <w:tr w:rsidR="0004128C" w:rsidRPr="0004128C" w:rsidTr="008E5C35">
        <w:tc>
          <w:tcPr>
            <w:tcW w:w="1582" w:type="dxa"/>
          </w:tcPr>
          <w:p w:rsidR="0004128C" w:rsidRPr="0084450C" w:rsidRDefault="0004128C" w:rsidP="0084450C">
            <w:pPr>
              <w:pStyle w:val="TableText0"/>
            </w:pPr>
            <w:r w:rsidRPr="0084450C">
              <w:t>Study design</w:t>
            </w:r>
          </w:p>
        </w:tc>
        <w:tc>
          <w:tcPr>
            <w:tcW w:w="7660" w:type="dxa"/>
          </w:tcPr>
          <w:p w:rsidR="0004128C" w:rsidRPr="0084450C" w:rsidRDefault="0004128C" w:rsidP="00DE29A8">
            <w:pPr>
              <w:pStyle w:val="TableText0"/>
            </w:pPr>
            <w:r w:rsidRPr="0084450C">
              <w:t>The highest level of evidence available (from</w:t>
            </w:r>
            <w:r w:rsidR="00DE29A8">
              <w:t xml:space="preserve"> </w:t>
            </w:r>
            <w:r w:rsidR="00A72B26">
              <w:t xml:space="preserve">Table </w:t>
            </w:r>
            <w:r w:rsidR="00A72B26">
              <w:rPr>
                <w:noProof/>
              </w:rPr>
              <w:t>2</w:t>
            </w:r>
            <w:r w:rsidRPr="0084450C">
              <w:t xml:space="preserve">) that addressed the research questions. Case reports would have been included if none of the study designs in </w:t>
            </w:r>
            <w:r w:rsidR="00A72B26">
              <w:t xml:space="preserve">Table </w:t>
            </w:r>
            <w:r w:rsidR="00A72B26">
              <w:rPr>
                <w:noProof/>
              </w:rPr>
              <w:t>2</w:t>
            </w:r>
            <w:r w:rsidR="00DE29A8">
              <w:t xml:space="preserve"> </w:t>
            </w:r>
            <w:r w:rsidRPr="0084450C">
              <w:t>were available.</w:t>
            </w:r>
          </w:p>
        </w:tc>
      </w:tr>
      <w:tr w:rsidR="0004128C" w:rsidRPr="0004128C" w:rsidTr="008E5C35">
        <w:tc>
          <w:tcPr>
            <w:tcW w:w="1582" w:type="dxa"/>
          </w:tcPr>
          <w:p w:rsidR="0004128C" w:rsidRPr="0084450C" w:rsidRDefault="0004128C" w:rsidP="0084450C">
            <w:pPr>
              <w:pStyle w:val="TableText0"/>
            </w:pPr>
            <w:r w:rsidRPr="0084450C">
              <w:t>Population</w:t>
            </w:r>
          </w:p>
        </w:tc>
        <w:tc>
          <w:tcPr>
            <w:tcW w:w="7660" w:type="dxa"/>
          </w:tcPr>
          <w:p w:rsidR="0004128C" w:rsidRPr="0084450C" w:rsidRDefault="0004128C" w:rsidP="0084450C">
            <w:pPr>
              <w:pStyle w:val="TableText0"/>
            </w:pPr>
            <w:r w:rsidRPr="0084450C">
              <w:t>Patients with Type 1 Gaucher disease (absence of CNS involvement), without confounding diagnoses such as Hodgkin lymphoma, or irreversible complications of Gaucher disease (such as avascular necrosis of bone)</w:t>
            </w:r>
          </w:p>
        </w:tc>
      </w:tr>
      <w:tr w:rsidR="0004128C" w:rsidRPr="0004128C" w:rsidTr="008E5C35">
        <w:tc>
          <w:tcPr>
            <w:tcW w:w="1582" w:type="dxa"/>
          </w:tcPr>
          <w:p w:rsidR="0004128C" w:rsidRPr="0084450C" w:rsidRDefault="0004128C" w:rsidP="0084450C">
            <w:pPr>
              <w:pStyle w:val="TableText0"/>
            </w:pPr>
            <w:r w:rsidRPr="0084450C">
              <w:t>Interventions</w:t>
            </w:r>
          </w:p>
        </w:tc>
        <w:tc>
          <w:tcPr>
            <w:tcW w:w="7660" w:type="dxa"/>
          </w:tcPr>
          <w:p w:rsidR="0004128C" w:rsidRPr="0084450C" w:rsidRDefault="0004128C" w:rsidP="0084450C">
            <w:pPr>
              <w:pStyle w:val="TableText0"/>
              <w:rPr>
                <w:rFonts w:eastAsia="Calibri"/>
              </w:rPr>
            </w:pPr>
            <w:r w:rsidRPr="0084450C">
              <w:rPr>
                <w:rFonts w:eastAsia="Calibri"/>
              </w:rPr>
              <w:t>Imiglucerase (Cerezyme®), or</w:t>
            </w:r>
          </w:p>
          <w:p w:rsidR="0004128C" w:rsidRPr="0084450C" w:rsidRDefault="0004128C" w:rsidP="0084450C">
            <w:pPr>
              <w:pStyle w:val="TableText0"/>
              <w:rPr>
                <w:rFonts w:eastAsia="Calibri"/>
              </w:rPr>
            </w:pPr>
            <w:r w:rsidRPr="0084450C">
              <w:rPr>
                <w:rFonts w:eastAsia="Calibri"/>
              </w:rPr>
              <w:t>Velaglucerase alfa (VPRIV®), or</w:t>
            </w:r>
          </w:p>
          <w:p w:rsidR="0004128C" w:rsidRPr="0084450C" w:rsidRDefault="0004128C" w:rsidP="0084450C">
            <w:pPr>
              <w:pStyle w:val="TableText0"/>
              <w:rPr>
                <w:rFonts w:eastAsia="Calibri"/>
              </w:rPr>
            </w:pPr>
            <w:r w:rsidRPr="0084450C">
              <w:rPr>
                <w:rFonts w:eastAsia="Calibri"/>
              </w:rPr>
              <w:t>Miglustat (Zavesca®)</w:t>
            </w:r>
          </w:p>
          <w:p w:rsidR="0004128C" w:rsidRPr="0084450C" w:rsidRDefault="0004128C" w:rsidP="0084450C">
            <w:pPr>
              <w:pStyle w:val="TableText0"/>
            </w:pPr>
            <w:r w:rsidRPr="0084450C">
              <w:t>Subgroup analysis: by dose (e</w:t>
            </w:r>
            <w:r w:rsidR="00B63EBC">
              <w:t>.</w:t>
            </w:r>
            <w:r w:rsidRPr="0084450C">
              <w:t>g</w:t>
            </w:r>
            <w:r w:rsidR="00B63EBC">
              <w:t>.</w:t>
            </w:r>
            <w:r w:rsidRPr="0084450C">
              <w:t xml:space="preserve"> doses consistent with TGA listing, as well as experimental dosing regimens)</w:t>
            </w:r>
          </w:p>
        </w:tc>
      </w:tr>
      <w:tr w:rsidR="0004128C" w:rsidRPr="0004128C" w:rsidTr="008E5C35">
        <w:tc>
          <w:tcPr>
            <w:tcW w:w="1582" w:type="dxa"/>
          </w:tcPr>
          <w:p w:rsidR="0004128C" w:rsidRPr="0084450C" w:rsidRDefault="0004128C" w:rsidP="0084450C">
            <w:pPr>
              <w:pStyle w:val="TableText0"/>
            </w:pPr>
            <w:r w:rsidRPr="0084450C">
              <w:t>Comparators</w:t>
            </w:r>
          </w:p>
        </w:tc>
        <w:tc>
          <w:tcPr>
            <w:tcW w:w="7660" w:type="dxa"/>
          </w:tcPr>
          <w:p w:rsidR="0004128C" w:rsidRPr="0084450C" w:rsidRDefault="0004128C" w:rsidP="0084450C">
            <w:pPr>
              <w:pStyle w:val="TableText0"/>
              <w:rPr>
                <w:rFonts w:eastAsia="Calibri"/>
              </w:rPr>
            </w:pPr>
            <w:r w:rsidRPr="0084450C">
              <w:rPr>
                <w:rFonts w:eastAsia="Calibri"/>
              </w:rPr>
              <w:t>Standard therapy (supportive therapy including total or partial removal of the spleen, blood transfusions, orthopaedic procedures, and occasionally bone marrow transplantation) with/without placebo</w:t>
            </w:r>
          </w:p>
          <w:p w:rsidR="0004128C" w:rsidRPr="0084450C" w:rsidRDefault="0004128C" w:rsidP="0084450C">
            <w:pPr>
              <w:pStyle w:val="TableText0"/>
              <w:rPr>
                <w:rFonts w:eastAsia="Calibri"/>
              </w:rPr>
            </w:pPr>
            <w:r w:rsidRPr="0084450C">
              <w:rPr>
                <w:rFonts w:eastAsia="Calibri"/>
              </w:rPr>
              <w:t>Imiglucerase, Velaglucerase alfa, or Miglustat</w:t>
            </w:r>
          </w:p>
        </w:tc>
      </w:tr>
      <w:tr w:rsidR="0004128C" w:rsidRPr="0004128C" w:rsidTr="008E5C35">
        <w:tc>
          <w:tcPr>
            <w:tcW w:w="1582" w:type="dxa"/>
          </w:tcPr>
          <w:p w:rsidR="0004128C" w:rsidRPr="0084450C" w:rsidRDefault="0004128C" w:rsidP="0084450C">
            <w:pPr>
              <w:pStyle w:val="TableText0"/>
            </w:pPr>
            <w:r w:rsidRPr="0084450C">
              <w:t>Outcomes</w:t>
            </w:r>
          </w:p>
        </w:tc>
        <w:tc>
          <w:tcPr>
            <w:tcW w:w="7660" w:type="dxa"/>
          </w:tcPr>
          <w:p w:rsidR="0004128C" w:rsidRPr="0084450C" w:rsidRDefault="0004128C" w:rsidP="0084450C">
            <w:pPr>
              <w:pStyle w:val="TableText0"/>
            </w:pPr>
            <w:r w:rsidRPr="0084450C">
              <w:rPr>
                <w:i/>
                <w:iCs/>
              </w:rPr>
              <w:t>Safety:</w:t>
            </w:r>
            <w:r w:rsidRPr="0084450C">
              <w:t xml:space="preserve"> adverse events related to treatments – for example, gastrointestinal problems (e.g. diarrhoea, abdominal pain, nausea); neurological effects; (e.g. peripheral neuropathy); skin reactions; headaches; dizziness; compliance with treatment (i.e. treatment withdrawal or suboptimal dosing)</w:t>
            </w:r>
          </w:p>
          <w:p w:rsidR="0004128C" w:rsidRPr="0084450C" w:rsidRDefault="0004128C" w:rsidP="0084450C">
            <w:pPr>
              <w:pStyle w:val="TableText0"/>
            </w:pPr>
            <w:r w:rsidRPr="0084450C">
              <w:rPr>
                <w:i/>
                <w:iCs/>
              </w:rPr>
              <w:t xml:space="preserve">Primary effectiveness: </w:t>
            </w:r>
            <w:r w:rsidRPr="0084450C">
              <w:t>survival</w:t>
            </w:r>
          </w:p>
          <w:p w:rsidR="0004128C" w:rsidRPr="0084450C" w:rsidRDefault="0004128C" w:rsidP="00BB01AC">
            <w:pPr>
              <w:pStyle w:val="TableText0"/>
            </w:pPr>
            <w:r w:rsidRPr="0084450C">
              <w:rPr>
                <w:i/>
                <w:iCs/>
              </w:rPr>
              <w:t>Secondary effectiveness:</w:t>
            </w:r>
            <w:r w:rsidRPr="0084450C">
              <w:t xml:space="preserve"> quality of life; bone disease (aseptic bone necrosis, bone pain, fracture, arthritis) or bone disease markers (signs of bone oedema on MRI);</w:t>
            </w:r>
            <w:r w:rsidR="00BB01AC">
              <w:t xml:space="preserve"> Gaucher disease burden (chitotriosidae level);</w:t>
            </w:r>
            <w:r w:rsidRPr="0084450C">
              <w:t xml:space="preserve"> bleeding events (epistaxis or haemorrhage) or bleeding risk (haemoglobin, platelet counts, thrombocytopenia)</w:t>
            </w:r>
            <w:r w:rsidR="00033915" w:rsidRPr="0084450C">
              <w:t xml:space="preserve"> infection risk (white blood cell counts)</w:t>
            </w:r>
            <w:r w:rsidRPr="0084450C">
              <w:t>; splenomegaly (spleen volume); dysphagia (swallowing function); lung function (FEV</w:t>
            </w:r>
            <w:r w:rsidRPr="0084450C">
              <w:rPr>
                <w:vertAlign w:val="subscript"/>
              </w:rPr>
              <w:t>1</w:t>
            </w:r>
            <w:r w:rsidRPr="0084450C">
              <w:t>, respiratory failure)</w:t>
            </w:r>
          </w:p>
        </w:tc>
      </w:tr>
      <w:tr w:rsidR="0004128C" w:rsidRPr="0004128C" w:rsidTr="008E5C35">
        <w:tc>
          <w:tcPr>
            <w:tcW w:w="1582" w:type="dxa"/>
          </w:tcPr>
          <w:p w:rsidR="0004128C" w:rsidRPr="0084450C" w:rsidRDefault="0004128C" w:rsidP="0084450C">
            <w:pPr>
              <w:pStyle w:val="TableText0"/>
            </w:pPr>
            <w:r w:rsidRPr="0084450C">
              <w:t>Language</w:t>
            </w:r>
          </w:p>
        </w:tc>
        <w:tc>
          <w:tcPr>
            <w:tcW w:w="7660" w:type="dxa"/>
          </w:tcPr>
          <w:p w:rsidR="0004128C" w:rsidRPr="0084450C" w:rsidRDefault="0004128C" w:rsidP="0084450C">
            <w:pPr>
              <w:pStyle w:val="TableText0"/>
            </w:pPr>
            <w:r w:rsidRPr="0084450C">
              <w:t>English language only</w:t>
            </w:r>
          </w:p>
        </w:tc>
      </w:tr>
      <w:tr w:rsidR="0004128C" w:rsidRPr="0004128C" w:rsidTr="008E5C35">
        <w:tc>
          <w:tcPr>
            <w:tcW w:w="1582" w:type="dxa"/>
          </w:tcPr>
          <w:p w:rsidR="0004128C" w:rsidRPr="0084450C" w:rsidRDefault="0004128C" w:rsidP="0084450C">
            <w:pPr>
              <w:pStyle w:val="TableText0"/>
            </w:pPr>
            <w:r w:rsidRPr="0084450C">
              <w:t>Research questions</w:t>
            </w:r>
          </w:p>
        </w:tc>
        <w:tc>
          <w:tcPr>
            <w:tcW w:w="7660" w:type="dxa"/>
          </w:tcPr>
          <w:p w:rsidR="0004128C" w:rsidRPr="0084450C" w:rsidRDefault="0004128C" w:rsidP="0084450C">
            <w:pPr>
              <w:pStyle w:val="TableText0"/>
            </w:pPr>
            <w:r w:rsidRPr="0084450C">
              <w:t>In patients with Type 1 Gaucher disease, what is the safety and effectiveness of imiglucerase, velaglucerase alfa, or miglustat compared to standard therapy?</w:t>
            </w:r>
          </w:p>
          <w:p w:rsidR="0004128C" w:rsidRPr="0084450C" w:rsidRDefault="0004128C" w:rsidP="0084450C">
            <w:pPr>
              <w:pStyle w:val="TableText0"/>
            </w:pPr>
            <w:r w:rsidRPr="0084450C">
              <w:t>In patients with Type 1 Gaucher disease, what is the safety and effectiveness of imiglucerase, velaglucerase alfa, or miglustat when compared to each other?</w:t>
            </w:r>
          </w:p>
        </w:tc>
      </w:tr>
    </w:tbl>
    <w:p w:rsidR="0004128C" w:rsidRDefault="0004128C" w:rsidP="008E5C35">
      <w:pPr>
        <w:pStyle w:val="TableNote"/>
      </w:pPr>
      <w:r w:rsidRPr="0004128C">
        <w:t>CNS</w:t>
      </w:r>
      <w:r w:rsidR="00652355" w:rsidRPr="00652355">
        <w:rPr>
          <w:spacing w:val="-20"/>
        </w:rPr>
        <w:t xml:space="preserve"> = </w:t>
      </w:r>
      <w:r w:rsidRPr="0004128C">
        <w:t>central nervous system; TGA</w:t>
      </w:r>
      <w:r w:rsidR="00652355" w:rsidRPr="00652355">
        <w:rPr>
          <w:spacing w:val="-20"/>
        </w:rPr>
        <w:t xml:space="preserve"> = </w:t>
      </w:r>
      <w:r w:rsidRPr="0004128C">
        <w:t>Therapeutic Goods Administration; FEV</w:t>
      </w:r>
      <w:r w:rsidRPr="0004128C">
        <w:rPr>
          <w:vertAlign w:val="subscript"/>
        </w:rPr>
        <w:t>1</w:t>
      </w:r>
      <w:r w:rsidR="00652355" w:rsidRPr="00652355">
        <w:rPr>
          <w:spacing w:val="-20"/>
        </w:rPr>
        <w:t xml:space="preserve"> = </w:t>
      </w:r>
      <w:r w:rsidRPr="0004128C">
        <w:t>forced expiratory volume in 1 second</w:t>
      </w:r>
    </w:p>
    <w:p w:rsidR="008E5C35" w:rsidRPr="0004128C" w:rsidRDefault="008E5C35" w:rsidP="008E5C35"/>
    <w:p w:rsidR="0004128C" w:rsidRPr="0004128C" w:rsidRDefault="0004128C" w:rsidP="0004128C">
      <w:pPr>
        <w:rPr>
          <w:rFonts w:cstheme="minorHAnsi"/>
        </w:rPr>
      </w:pPr>
      <w:r w:rsidRPr="0004128C">
        <w:rPr>
          <w:rFonts w:cstheme="minorHAnsi"/>
        </w:rPr>
        <w:t xml:space="preserve">Studies </w:t>
      </w:r>
      <w:r w:rsidR="002F21C8">
        <w:rPr>
          <w:rFonts w:cstheme="minorHAnsi"/>
        </w:rPr>
        <w:t>that examined</w:t>
      </w:r>
      <w:r w:rsidRPr="0004128C">
        <w:rPr>
          <w:rFonts w:cstheme="minorHAnsi"/>
        </w:rPr>
        <w:t xml:space="preserve"> a </w:t>
      </w:r>
      <w:r w:rsidR="002F21C8">
        <w:rPr>
          <w:rFonts w:cstheme="minorHAnsi"/>
        </w:rPr>
        <w:t>mix of patients rec</w:t>
      </w:r>
      <w:r w:rsidR="00DB2C61">
        <w:rPr>
          <w:rFonts w:cstheme="minorHAnsi"/>
        </w:rPr>
        <w:t>e</w:t>
      </w:r>
      <w:r w:rsidR="002F21C8">
        <w:rPr>
          <w:rFonts w:cstheme="minorHAnsi"/>
        </w:rPr>
        <w:t>iving</w:t>
      </w:r>
      <w:r w:rsidRPr="0004128C">
        <w:rPr>
          <w:rFonts w:cstheme="minorHAnsi"/>
        </w:rPr>
        <w:t xml:space="preserve"> imiglucerase, velaglucerase alfa or miglustat were excluded</w:t>
      </w:r>
      <w:r w:rsidR="002F21C8">
        <w:rPr>
          <w:rFonts w:cstheme="minorHAnsi"/>
        </w:rPr>
        <w:t>, unless stratified results were presented</w:t>
      </w:r>
      <w:r w:rsidRPr="0004128C">
        <w:rPr>
          <w:rFonts w:cstheme="minorHAnsi"/>
        </w:rPr>
        <w:t xml:space="preserve">. Studies </w:t>
      </w:r>
      <w:r w:rsidR="002F21C8">
        <w:rPr>
          <w:rFonts w:cstheme="minorHAnsi"/>
        </w:rPr>
        <w:t>that</w:t>
      </w:r>
      <w:r w:rsidRPr="0004128C">
        <w:rPr>
          <w:rFonts w:cstheme="minorHAnsi"/>
        </w:rPr>
        <w:t xml:space="preserve"> included a small proportion of patients who received alglucerase, or patients who initially received alglucerase, and </w:t>
      </w:r>
      <w:r w:rsidR="002F21C8">
        <w:rPr>
          <w:rFonts w:cstheme="minorHAnsi"/>
        </w:rPr>
        <w:t xml:space="preserve">then </w:t>
      </w:r>
      <w:r w:rsidRPr="0004128C">
        <w:rPr>
          <w:rFonts w:cstheme="minorHAnsi"/>
        </w:rPr>
        <w:t xml:space="preserve">were switched to imiglucerase, were considered eligible for inclusion. </w:t>
      </w:r>
    </w:p>
    <w:p w:rsidR="0004128C" w:rsidRPr="0004128C" w:rsidRDefault="0004128C" w:rsidP="00A979FB">
      <w:pPr>
        <w:pStyle w:val="Heading4"/>
      </w:pPr>
      <w:bookmarkStart w:id="103" w:name="_Toc402350974"/>
      <w:r w:rsidRPr="0004128C">
        <w:t>Results of the literature search</w:t>
      </w:r>
      <w:bookmarkEnd w:id="103"/>
    </w:p>
    <w:p w:rsidR="0004128C" w:rsidRPr="0004128C" w:rsidRDefault="0004128C" w:rsidP="0004128C">
      <w:r w:rsidRPr="0004128C">
        <w:t>The highest l</w:t>
      </w:r>
      <w:r w:rsidR="002F21C8">
        <w:t>evel of evidence available was</w:t>
      </w:r>
      <w:r w:rsidRPr="0004128C">
        <w:t xml:space="preserve"> from three randomised trials, which addressed the three drugs being assessed:</w:t>
      </w:r>
    </w:p>
    <w:p w:rsidR="0004128C" w:rsidRPr="0004128C" w:rsidRDefault="002F21C8" w:rsidP="000959DF">
      <w:pPr>
        <w:numPr>
          <w:ilvl w:val="0"/>
          <w:numId w:val="37"/>
        </w:numPr>
        <w:autoSpaceDE w:val="0"/>
        <w:autoSpaceDN w:val="0"/>
        <w:adjustRightInd w:val="0"/>
        <w:spacing w:line="240" w:lineRule="auto"/>
        <w:rPr>
          <w:rFonts w:eastAsia="Calibri"/>
          <w:szCs w:val="22"/>
        </w:rPr>
      </w:pPr>
      <w:r>
        <w:rPr>
          <w:rFonts w:eastAsia="Calibri"/>
          <w:szCs w:val="22"/>
        </w:rPr>
        <w:t>A three arm trial that</w:t>
      </w:r>
      <w:r w:rsidR="0004128C" w:rsidRPr="0004128C">
        <w:rPr>
          <w:rFonts w:eastAsia="Calibri"/>
          <w:szCs w:val="22"/>
        </w:rPr>
        <w:t xml:space="preserve"> compared </w:t>
      </w:r>
      <w:r>
        <w:rPr>
          <w:rFonts w:eastAsia="Calibri"/>
          <w:szCs w:val="22"/>
        </w:rPr>
        <w:t xml:space="preserve">(1) </w:t>
      </w:r>
      <w:r w:rsidR="0004128C" w:rsidRPr="0004128C">
        <w:rPr>
          <w:rFonts w:eastAsia="Calibri"/>
          <w:szCs w:val="22"/>
        </w:rPr>
        <w:t xml:space="preserve">alglucerase/imiglucerase (ERT) alone, </w:t>
      </w:r>
      <w:r>
        <w:rPr>
          <w:rFonts w:eastAsia="Calibri"/>
          <w:szCs w:val="22"/>
        </w:rPr>
        <w:t>(2)</w:t>
      </w:r>
      <w:r w:rsidR="0004128C" w:rsidRPr="0004128C">
        <w:rPr>
          <w:rFonts w:eastAsia="Calibri"/>
          <w:szCs w:val="22"/>
        </w:rPr>
        <w:t xml:space="preserve"> vitamin D supplementation and ERT, </w:t>
      </w:r>
      <w:r>
        <w:rPr>
          <w:rFonts w:eastAsia="Calibri"/>
          <w:szCs w:val="22"/>
        </w:rPr>
        <w:t xml:space="preserve">and (3) </w:t>
      </w:r>
      <w:r w:rsidR="0004128C" w:rsidRPr="0004128C">
        <w:rPr>
          <w:rFonts w:eastAsia="Calibri"/>
          <w:szCs w:val="22"/>
        </w:rPr>
        <w:t>vitamin D supplementation alone</w:t>
      </w:r>
      <w:r>
        <w:rPr>
          <w:rFonts w:eastAsia="Calibri"/>
          <w:szCs w:val="22"/>
        </w:rPr>
        <w:t>. After</w:t>
      </w:r>
      <w:r w:rsidR="0004128C" w:rsidRPr="0004128C">
        <w:rPr>
          <w:rFonts w:eastAsia="Calibri"/>
          <w:szCs w:val="22"/>
        </w:rPr>
        <w:t xml:space="preserve"> the first </w:t>
      </w:r>
      <w:r w:rsidR="0004128C" w:rsidRPr="0004128C">
        <w:rPr>
          <w:rFonts w:eastAsia="Calibri"/>
          <w:szCs w:val="22"/>
        </w:rPr>
        <w:lastRenderedPageBreak/>
        <w:t>6 months</w:t>
      </w:r>
      <w:r>
        <w:rPr>
          <w:rFonts w:eastAsia="Calibri"/>
          <w:szCs w:val="22"/>
        </w:rPr>
        <w:t xml:space="preserve"> of allocated treatment, patients in all treatment arms received ERT</w:t>
      </w:r>
      <w:r w:rsidR="0004128C" w:rsidRPr="0004128C">
        <w:rPr>
          <w:rFonts w:eastAsia="Calibri"/>
          <w:szCs w:val="22"/>
        </w:rPr>
        <w:t xml:space="preserve"> </w:t>
      </w:r>
      <w:r w:rsidR="00BC0D72">
        <w:rPr>
          <w:rFonts w:eastAsia="Calibri"/>
          <w:noProof/>
          <w:szCs w:val="22"/>
        </w:rPr>
        <w:t>(</w:t>
      </w:r>
      <w:r w:rsidR="00184B6F">
        <w:rPr>
          <w:rFonts w:eastAsia="Calibri"/>
          <w:noProof/>
          <w:szCs w:val="22"/>
        </w:rPr>
        <w:t>Schiffmann et al. 2002</w:t>
      </w:r>
      <w:r w:rsidR="00BC0D72">
        <w:rPr>
          <w:rFonts w:eastAsia="Calibri"/>
          <w:noProof/>
          <w:szCs w:val="22"/>
        </w:rPr>
        <w:t>)</w:t>
      </w:r>
      <w:r w:rsidR="0004128C" w:rsidRPr="0004128C">
        <w:rPr>
          <w:rFonts w:eastAsia="Calibri"/>
          <w:szCs w:val="22"/>
        </w:rPr>
        <w:t>;</w:t>
      </w:r>
    </w:p>
    <w:p w:rsidR="0004128C" w:rsidRPr="0004128C" w:rsidRDefault="0004128C" w:rsidP="000959DF">
      <w:pPr>
        <w:numPr>
          <w:ilvl w:val="0"/>
          <w:numId w:val="37"/>
        </w:numPr>
        <w:autoSpaceDE w:val="0"/>
        <w:autoSpaceDN w:val="0"/>
        <w:adjustRightInd w:val="0"/>
        <w:spacing w:line="240" w:lineRule="auto"/>
        <w:rPr>
          <w:rFonts w:eastAsia="Calibri"/>
          <w:szCs w:val="22"/>
        </w:rPr>
      </w:pPr>
      <w:r w:rsidRPr="0004128C">
        <w:rPr>
          <w:rFonts w:eastAsia="Calibri"/>
          <w:szCs w:val="22"/>
        </w:rPr>
        <w:t>Trial HGT-GCB-039, which compared imiglucerase and velaglucerase alfa</w:t>
      </w:r>
      <w:r w:rsidR="00A34F42">
        <w:rPr>
          <w:rFonts w:eastAsia="Calibri"/>
          <w:szCs w:val="22"/>
        </w:rPr>
        <w:t xml:space="preserve"> </w:t>
      </w:r>
      <w:r w:rsidR="00BD4A3A">
        <w:rPr>
          <w:rFonts w:eastAsia="Calibri"/>
          <w:noProof/>
          <w:szCs w:val="22"/>
        </w:rPr>
        <w:t>(</w:t>
      </w:r>
      <w:r w:rsidR="00184B6F">
        <w:rPr>
          <w:rFonts w:eastAsia="Calibri"/>
          <w:noProof/>
          <w:szCs w:val="22"/>
        </w:rPr>
        <w:t>Ben Turkia et al. 2013</w:t>
      </w:r>
      <w:r w:rsidR="00BD4A3A">
        <w:rPr>
          <w:rFonts w:eastAsia="Calibri"/>
          <w:noProof/>
          <w:szCs w:val="22"/>
        </w:rPr>
        <w:t xml:space="preserve">; </w:t>
      </w:r>
      <w:r w:rsidR="00184B6F">
        <w:rPr>
          <w:rFonts w:eastAsia="Calibri"/>
          <w:noProof/>
          <w:szCs w:val="22"/>
        </w:rPr>
        <w:t>Centre for Drug Evaluation and Research 2010</w:t>
      </w:r>
      <w:r w:rsidR="00BD4A3A">
        <w:rPr>
          <w:rFonts w:eastAsia="Calibri"/>
          <w:noProof/>
          <w:szCs w:val="22"/>
        </w:rPr>
        <w:t>)</w:t>
      </w:r>
      <w:r w:rsidR="002F21C8">
        <w:rPr>
          <w:rFonts w:eastAsia="Calibri"/>
          <w:szCs w:val="22"/>
        </w:rPr>
        <w:t>;</w:t>
      </w:r>
      <w:r w:rsidRPr="0004128C">
        <w:rPr>
          <w:rFonts w:eastAsia="Calibri"/>
          <w:szCs w:val="22"/>
        </w:rPr>
        <w:t xml:space="preserve"> and</w:t>
      </w:r>
    </w:p>
    <w:p w:rsidR="0004128C" w:rsidRPr="0004128C" w:rsidRDefault="0004128C" w:rsidP="000959DF">
      <w:pPr>
        <w:numPr>
          <w:ilvl w:val="0"/>
          <w:numId w:val="37"/>
        </w:numPr>
        <w:autoSpaceDE w:val="0"/>
        <w:autoSpaceDN w:val="0"/>
        <w:adjustRightInd w:val="0"/>
        <w:spacing w:line="240" w:lineRule="auto"/>
        <w:rPr>
          <w:rFonts w:eastAsia="Calibri"/>
          <w:szCs w:val="22"/>
        </w:rPr>
      </w:pPr>
      <w:r w:rsidRPr="0004128C">
        <w:rPr>
          <w:rFonts w:eastAsia="Calibri"/>
          <w:szCs w:val="22"/>
        </w:rPr>
        <w:t xml:space="preserve">Trial OGT 918-004, </w:t>
      </w:r>
      <w:r w:rsidR="002F21C8">
        <w:rPr>
          <w:rFonts w:eastAsia="Calibri"/>
          <w:szCs w:val="22"/>
        </w:rPr>
        <w:t>which compared</w:t>
      </w:r>
      <w:r w:rsidRPr="0004128C">
        <w:rPr>
          <w:rFonts w:eastAsia="Calibri"/>
          <w:szCs w:val="22"/>
        </w:rPr>
        <w:t xml:space="preserve"> imiglucerase and miglustat </w:t>
      </w:r>
      <w:r w:rsidR="00A130D0">
        <w:rPr>
          <w:rFonts w:eastAsia="Calibri"/>
          <w:noProof/>
          <w:szCs w:val="22"/>
        </w:rPr>
        <w:t>(</w:t>
      </w:r>
      <w:r w:rsidR="00184B6F">
        <w:rPr>
          <w:rFonts w:eastAsia="Calibri"/>
          <w:noProof/>
          <w:szCs w:val="22"/>
        </w:rPr>
        <w:t>Actelion Pharmaceuticals Ltd. 2012</w:t>
      </w:r>
      <w:r w:rsidR="00A130D0">
        <w:rPr>
          <w:rFonts w:eastAsia="Calibri"/>
          <w:noProof/>
          <w:szCs w:val="22"/>
        </w:rPr>
        <w:t xml:space="preserve">; </w:t>
      </w:r>
      <w:r w:rsidR="00184B6F">
        <w:rPr>
          <w:rFonts w:eastAsia="Calibri"/>
          <w:noProof/>
          <w:szCs w:val="22"/>
        </w:rPr>
        <w:t>Dechelotte 2003</w:t>
      </w:r>
      <w:r w:rsidR="00A130D0">
        <w:rPr>
          <w:rFonts w:eastAsia="Calibri"/>
          <w:noProof/>
          <w:szCs w:val="22"/>
        </w:rPr>
        <w:t xml:space="preserve">; </w:t>
      </w:r>
      <w:r w:rsidR="00184B6F">
        <w:rPr>
          <w:rFonts w:eastAsia="Calibri"/>
          <w:noProof/>
          <w:szCs w:val="22"/>
        </w:rPr>
        <w:t>Elstein, D et al. 2007</w:t>
      </w:r>
      <w:r w:rsidR="00A130D0">
        <w:rPr>
          <w:rFonts w:eastAsia="Calibri"/>
          <w:noProof/>
          <w:szCs w:val="22"/>
        </w:rPr>
        <w:t xml:space="preserve">; </w:t>
      </w:r>
      <w:r w:rsidR="00184B6F">
        <w:rPr>
          <w:rFonts w:eastAsia="Calibri"/>
          <w:noProof/>
          <w:szCs w:val="22"/>
        </w:rPr>
        <w:t>Oxford Glycosciences 2002</w:t>
      </w:r>
      <w:r w:rsidR="00A130D0">
        <w:rPr>
          <w:rFonts w:eastAsia="Calibri"/>
          <w:noProof/>
          <w:szCs w:val="22"/>
        </w:rPr>
        <w:t>)</w:t>
      </w:r>
      <w:r w:rsidRPr="0004128C">
        <w:rPr>
          <w:rFonts w:eastAsia="Calibri"/>
          <w:szCs w:val="22"/>
        </w:rPr>
        <w:t xml:space="preserve">. </w:t>
      </w:r>
      <w:r w:rsidR="002F21C8">
        <w:rPr>
          <w:rFonts w:eastAsia="Calibri"/>
          <w:szCs w:val="22"/>
        </w:rPr>
        <w:t>T</w:t>
      </w:r>
      <w:r w:rsidRPr="0004128C">
        <w:rPr>
          <w:rFonts w:eastAsia="Calibri"/>
          <w:szCs w:val="22"/>
        </w:rPr>
        <w:t>his study also included a miglustat plus imiglucerase arm, which was excluded for the pur</w:t>
      </w:r>
      <w:r w:rsidR="002F21C8">
        <w:rPr>
          <w:rFonts w:eastAsia="Calibri"/>
          <w:szCs w:val="22"/>
        </w:rPr>
        <w:t>poses of this systematic review</w:t>
      </w:r>
      <w:r w:rsidRPr="0004128C">
        <w:rPr>
          <w:rFonts w:eastAsia="Calibri"/>
          <w:szCs w:val="22"/>
        </w:rPr>
        <w:t>.</w:t>
      </w:r>
    </w:p>
    <w:p w:rsidR="0004128C" w:rsidRPr="0004128C" w:rsidRDefault="0004128C" w:rsidP="0004128C">
      <w:pPr>
        <w:rPr>
          <w:rFonts w:cstheme="minorHAnsi"/>
        </w:rPr>
      </w:pPr>
      <w:r w:rsidRPr="0004128C">
        <w:t xml:space="preserve">An extension study associated with </w:t>
      </w:r>
      <w:r w:rsidR="002F21C8">
        <w:t xml:space="preserve">Trial </w:t>
      </w:r>
      <w:r w:rsidRPr="0004128C">
        <w:t xml:space="preserve">OGT 918-004 was also included. </w:t>
      </w:r>
      <w:r w:rsidR="002F21C8">
        <w:t>In this extension study, a</w:t>
      </w:r>
      <w:r w:rsidRPr="0004128C">
        <w:rPr>
          <w:rFonts w:cstheme="minorHAnsi"/>
        </w:rPr>
        <w:t xml:space="preserve">fter the 6 month randomised period, all patients were given the option to receive miglustat, or miglustat in combination with imiglucerase. </w:t>
      </w:r>
    </w:p>
    <w:p w:rsidR="0004128C" w:rsidRPr="0004128C" w:rsidRDefault="0004128C" w:rsidP="0004128C">
      <w:pPr>
        <w:rPr>
          <w:rFonts w:cstheme="minorHAnsi"/>
        </w:rPr>
      </w:pPr>
      <w:r w:rsidRPr="0004128C">
        <w:rPr>
          <w:rFonts w:cstheme="minorHAnsi"/>
        </w:rPr>
        <w:t xml:space="preserve">Four systematic reviews were identified as meeting the PICO criteria, but were not recent enough or comprehensive enough to be used </w:t>
      </w:r>
      <w:r w:rsidR="002F21C8">
        <w:rPr>
          <w:rFonts w:cstheme="minorHAnsi"/>
        </w:rPr>
        <w:t xml:space="preserve">as the sole evidence base </w:t>
      </w:r>
      <w:r w:rsidR="00A130D0">
        <w:rPr>
          <w:rFonts w:cstheme="minorHAnsi"/>
          <w:noProof/>
        </w:rPr>
        <w:t>(</w:t>
      </w:r>
      <w:r w:rsidR="00184B6F">
        <w:rPr>
          <w:rFonts w:cstheme="minorHAnsi"/>
          <w:noProof/>
        </w:rPr>
        <w:t>CADTH 2011</w:t>
      </w:r>
      <w:r w:rsidR="00A130D0">
        <w:rPr>
          <w:rFonts w:cstheme="minorHAnsi"/>
          <w:noProof/>
        </w:rPr>
        <w:t xml:space="preserve">; </w:t>
      </w:r>
      <w:r w:rsidR="00184B6F">
        <w:rPr>
          <w:rFonts w:cstheme="minorHAnsi"/>
          <w:noProof/>
        </w:rPr>
        <w:t>Connock, Burls, et al. 2006</w:t>
      </w:r>
      <w:r w:rsidR="00A130D0">
        <w:rPr>
          <w:rFonts w:cstheme="minorHAnsi"/>
          <w:noProof/>
        </w:rPr>
        <w:t xml:space="preserve">; </w:t>
      </w:r>
      <w:r w:rsidR="00184B6F">
        <w:rPr>
          <w:rFonts w:cstheme="minorHAnsi"/>
          <w:noProof/>
        </w:rPr>
        <w:t>HAYES &amp; Inc 2013</w:t>
      </w:r>
      <w:r w:rsidR="00A130D0">
        <w:rPr>
          <w:rFonts w:cstheme="minorHAnsi"/>
          <w:noProof/>
        </w:rPr>
        <w:t xml:space="preserve">; </w:t>
      </w:r>
      <w:r w:rsidR="00184B6F">
        <w:rPr>
          <w:rFonts w:cstheme="minorHAnsi"/>
          <w:noProof/>
        </w:rPr>
        <w:t>Morris 2012</w:t>
      </w:r>
      <w:r w:rsidR="00A130D0">
        <w:rPr>
          <w:rFonts w:cstheme="minorHAnsi"/>
          <w:noProof/>
        </w:rPr>
        <w:t>)</w:t>
      </w:r>
      <w:r w:rsidR="000706A3">
        <w:rPr>
          <w:rFonts w:cstheme="minorHAnsi"/>
        </w:rPr>
        <w:t xml:space="preserve">. </w:t>
      </w:r>
      <w:r w:rsidRPr="0004128C">
        <w:rPr>
          <w:rFonts w:cstheme="minorHAnsi"/>
        </w:rPr>
        <w:t>T</w:t>
      </w:r>
      <w:r w:rsidR="000706A3">
        <w:rPr>
          <w:rFonts w:cstheme="minorHAnsi"/>
        </w:rPr>
        <w:t>he reference lists of these documents</w:t>
      </w:r>
      <w:r w:rsidRPr="0004128C">
        <w:rPr>
          <w:rFonts w:cstheme="minorHAnsi"/>
        </w:rPr>
        <w:t xml:space="preserve"> were pearled to see whether any additional studies were </w:t>
      </w:r>
      <w:r w:rsidR="000706A3">
        <w:rPr>
          <w:rFonts w:cstheme="minorHAnsi"/>
        </w:rPr>
        <w:t>relevant</w:t>
      </w:r>
      <w:r w:rsidRPr="0004128C">
        <w:rPr>
          <w:rFonts w:cstheme="minorHAnsi"/>
        </w:rPr>
        <w:t xml:space="preserve">. </w:t>
      </w:r>
    </w:p>
    <w:p w:rsidR="0004128C" w:rsidRPr="009F6946" w:rsidRDefault="0004128C" w:rsidP="009F6946">
      <w:r w:rsidRPr="0004128C">
        <w:rPr>
          <w:rFonts w:cstheme="minorHAnsi"/>
        </w:rPr>
        <w:t xml:space="preserve">Randomised trials comparing one dose of treatment against another dose of the same treatment were not considered </w:t>
      </w:r>
      <w:r w:rsidR="000706A3">
        <w:rPr>
          <w:rFonts w:cstheme="minorHAnsi"/>
        </w:rPr>
        <w:t>as</w:t>
      </w:r>
      <w:r w:rsidRPr="0004128C">
        <w:rPr>
          <w:rFonts w:cstheme="minorHAnsi"/>
        </w:rPr>
        <w:t xml:space="preserve"> answer</w:t>
      </w:r>
      <w:r w:rsidR="000706A3">
        <w:rPr>
          <w:rFonts w:cstheme="minorHAnsi"/>
        </w:rPr>
        <w:t>ing</w:t>
      </w:r>
      <w:r w:rsidRPr="0004128C">
        <w:rPr>
          <w:rFonts w:cstheme="minorHAnsi"/>
        </w:rPr>
        <w:t xml:space="preserve"> the research questions </w:t>
      </w:r>
      <w:r w:rsidR="000706A3">
        <w:rPr>
          <w:rFonts w:cstheme="minorHAnsi"/>
        </w:rPr>
        <w:t xml:space="preserve">that had been </w:t>
      </w:r>
      <w:r w:rsidRPr="0004128C">
        <w:rPr>
          <w:rFonts w:cstheme="minorHAnsi"/>
        </w:rPr>
        <w:t>posed</w:t>
      </w:r>
      <w:r w:rsidR="000706A3">
        <w:rPr>
          <w:rFonts w:cstheme="minorHAnsi"/>
        </w:rPr>
        <w:t xml:space="preserve"> </w:t>
      </w:r>
      <w:r w:rsidR="00510D02">
        <w:rPr>
          <w:rFonts w:cstheme="minorHAnsi"/>
          <w:noProof/>
        </w:rPr>
        <w:t>(</w:t>
      </w:r>
      <w:r w:rsidR="00184B6F">
        <w:rPr>
          <w:rFonts w:cstheme="minorHAnsi"/>
          <w:noProof/>
        </w:rPr>
        <w:t>de Fost et al. 2007</w:t>
      </w:r>
      <w:r w:rsidR="00510D02">
        <w:rPr>
          <w:rFonts w:cstheme="minorHAnsi"/>
          <w:noProof/>
        </w:rPr>
        <w:t xml:space="preserve">; </w:t>
      </w:r>
      <w:r w:rsidR="00184B6F">
        <w:rPr>
          <w:rFonts w:cstheme="minorHAnsi"/>
          <w:noProof/>
        </w:rPr>
        <w:t>Gonzalez et al. 2013</w:t>
      </w:r>
      <w:r w:rsidR="00510D02">
        <w:rPr>
          <w:rFonts w:cstheme="minorHAnsi"/>
          <w:noProof/>
        </w:rPr>
        <w:t xml:space="preserve">; </w:t>
      </w:r>
      <w:r w:rsidR="00184B6F">
        <w:rPr>
          <w:rFonts w:cstheme="minorHAnsi"/>
          <w:noProof/>
        </w:rPr>
        <w:t>Kishnani, P. S. et al. 2009</w:t>
      </w:r>
      <w:r w:rsidR="00510D02">
        <w:rPr>
          <w:rFonts w:cstheme="minorHAnsi"/>
          <w:noProof/>
        </w:rPr>
        <w:t>)</w:t>
      </w:r>
      <w:r w:rsidR="000706A3">
        <w:rPr>
          <w:rFonts w:cstheme="minorHAnsi"/>
        </w:rPr>
        <w:t>.</w:t>
      </w:r>
      <w:r w:rsidR="009F6946">
        <w:rPr>
          <w:rFonts w:cstheme="minorHAnsi"/>
        </w:rPr>
        <w:t xml:space="preserve"> </w:t>
      </w:r>
      <w:r w:rsidRPr="009F6946">
        <w:t xml:space="preserve">Studies which may have met the </w:t>
      </w:r>
      <w:r w:rsidR="000706A3" w:rsidRPr="009F6946">
        <w:t>study eligibility</w:t>
      </w:r>
      <w:r w:rsidRPr="009F6946">
        <w:t xml:space="preserve"> criteria, but were excluded due to </w:t>
      </w:r>
      <w:r w:rsidR="00A34F42" w:rsidRPr="009F6946">
        <w:t>higher</w:t>
      </w:r>
      <w:r w:rsidRPr="009F6946">
        <w:t xml:space="preserve"> level evidence being available, are listed </w:t>
      </w:r>
      <w:r w:rsidR="009F6946">
        <w:t xml:space="preserve">in </w:t>
      </w:r>
      <w:r w:rsidR="00A72B26" w:rsidRPr="009D2776">
        <w:t xml:space="preserve">Appendix </w:t>
      </w:r>
      <w:r w:rsidR="00A72B26">
        <w:rPr>
          <w:noProof/>
        </w:rPr>
        <w:t>C</w:t>
      </w:r>
      <w:r w:rsidR="009F6946">
        <w:t>.</w:t>
      </w:r>
    </w:p>
    <w:p w:rsidR="0004128C" w:rsidRPr="0004128C" w:rsidRDefault="0004128C" w:rsidP="00A979FB">
      <w:pPr>
        <w:pStyle w:val="Heading4"/>
      </w:pPr>
      <w:bookmarkStart w:id="104" w:name="_Toc402350975"/>
      <w:r w:rsidRPr="0004128C">
        <w:t>Risk of bias assessment</w:t>
      </w:r>
      <w:bookmarkEnd w:id="104"/>
    </w:p>
    <w:p w:rsidR="0004128C" w:rsidRPr="0004128C" w:rsidRDefault="0004128C" w:rsidP="0004128C">
      <w:r w:rsidRPr="0004128C">
        <w:t xml:space="preserve">The </w:t>
      </w:r>
      <w:r w:rsidR="000706A3">
        <w:t>randomised controlled trial (</w:t>
      </w:r>
      <w:r w:rsidRPr="0004128C">
        <w:t>RCT</w:t>
      </w:r>
      <w:r w:rsidR="000706A3">
        <w:t>)</w:t>
      </w:r>
      <w:r w:rsidRPr="0004128C">
        <w:t xml:space="preserve"> by Schiffmann et al (2002) had a low risk of bias. Participants were block randomised based on gender, bone density and liver size, and it was explicit that both patients and investigators were kept blind to </w:t>
      </w:r>
      <w:r w:rsidR="000706A3">
        <w:t>the</w:t>
      </w:r>
      <w:r w:rsidRPr="0004128C">
        <w:t xml:space="preserve"> treatment </w:t>
      </w:r>
      <w:r w:rsidR="000706A3">
        <w:t>allocation</w:t>
      </w:r>
      <w:r w:rsidRPr="0004128C">
        <w:t xml:space="preserve">. It was unclear from the published article whether the results exclude those </w:t>
      </w:r>
      <w:r w:rsidR="000706A3">
        <w:t xml:space="preserve">patients </w:t>
      </w:r>
      <w:r w:rsidRPr="0004128C">
        <w:t xml:space="preserve">who withdrew from the study (due to pulmonary hypertension, insurance problems, and pregnancy). However, additional data were provided by the lead author, which allowed intention-to-treat data to be used (using last observation carried forward). </w:t>
      </w:r>
    </w:p>
    <w:p w:rsidR="0004128C" w:rsidRPr="0004128C" w:rsidRDefault="0004128C" w:rsidP="0004128C">
      <w:r w:rsidRPr="0004128C">
        <w:t>Trial HGT-GCB-039, comparing imiglucerase and velaglucerase alfa, was considered to have a low risk of bias</w:t>
      </w:r>
      <w:r w:rsidR="000706A3">
        <w:t xml:space="preserve">, although it was noted that </w:t>
      </w:r>
      <w:r w:rsidRPr="0004128C">
        <w:t xml:space="preserve">that the method </w:t>
      </w:r>
      <w:r w:rsidR="000706A3">
        <w:t>of randomisation was not stated</w:t>
      </w:r>
      <w:r w:rsidRPr="0004128C">
        <w:t xml:space="preserve"> and</w:t>
      </w:r>
      <w:r w:rsidR="000706A3">
        <w:t>,</w:t>
      </w:r>
      <w:r w:rsidRPr="0004128C">
        <w:t xml:space="preserve"> although </w:t>
      </w:r>
      <w:r w:rsidR="000706A3">
        <w:t>the trial</w:t>
      </w:r>
      <w:r w:rsidRPr="0004128C">
        <w:t xml:space="preserve"> was classed as double-blind, the article did not explicitly state whether treating physicians or study investigators knew which treatment </w:t>
      </w:r>
      <w:r w:rsidR="000706A3">
        <w:t xml:space="preserve">that </w:t>
      </w:r>
      <w:r w:rsidRPr="0004128C">
        <w:t xml:space="preserve">patients received. The main outcome measures were </w:t>
      </w:r>
      <w:r w:rsidR="000706A3">
        <w:t xml:space="preserve">objective so it is unlikely that any lack of blinding would have an impact on the results. Data were </w:t>
      </w:r>
      <w:r w:rsidRPr="0004128C">
        <w:t xml:space="preserve">provided in both intention-to-treat format (last observation carried forward for post-baseline measures), and per-protocol. </w:t>
      </w:r>
    </w:p>
    <w:p w:rsidR="0004128C" w:rsidRPr="0004128C" w:rsidRDefault="0004128C" w:rsidP="0004128C">
      <w:r w:rsidRPr="0004128C">
        <w:t>Trial OGT 918-004</w:t>
      </w:r>
      <w:r w:rsidR="000706A3">
        <w:t>,</w:t>
      </w:r>
      <w:r w:rsidRPr="0004128C">
        <w:t xml:space="preserve"> comparing miglustat and imiglucerase was considered to have poorly addressed </w:t>
      </w:r>
      <w:r w:rsidR="000706A3">
        <w:t xml:space="preserve">the likely </w:t>
      </w:r>
      <w:r w:rsidRPr="0004128C">
        <w:t xml:space="preserve">sources of bias. It was an open-label study, and had a disproportionate </w:t>
      </w:r>
      <w:r w:rsidR="000706A3">
        <w:t xml:space="preserve">number of patients receiving miglustat lost </w:t>
      </w:r>
      <w:r w:rsidRPr="0004128C">
        <w:t xml:space="preserve">to follow-up due to adverse events. Outcome reporting bias was </w:t>
      </w:r>
      <w:r w:rsidR="000706A3">
        <w:t xml:space="preserve">likely as </w:t>
      </w:r>
      <w:r w:rsidRPr="0004128C">
        <w:t xml:space="preserve">some non-significant results </w:t>
      </w:r>
      <w:r w:rsidR="000706A3">
        <w:t>were not reported</w:t>
      </w:r>
      <w:r w:rsidRPr="0004128C">
        <w:t xml:space="preserve">. The small </w:t>
      </w:r>
      <w:r w:rsidRPr="0004128C">
        <w:lastRenderedPageBreak/>
        <w:t xml:space="preserve">sample size increased the likelihood that differences between miglustat and imiglucerase would not be considered statistically significant. </w:t>
      </w:r>
    </w:p>
    <w:p w:rsidR="0004128C" w:rsidRPr="0004128C" w:rsidRDefault="0004128C" w:rsidP="00A979FB">
      <w:pPr>
        <w:pStyle w:val="Heading4"/>
      </w:pPr>
      <w:bookmarkStart w:id="105" w:name="_Toc402350976"/>
      <w:r w:rsidRPr="0004128C">
        <w:t>Effectiveness of alglucerase/ imiglucerase compared to standard therapy</w:t>
      </w:r>
      <w:bookmarkEnd w:id="105"/>
    </w:p>
    <w:p w:rsidR="0004128C" w:rsidRPr="0004128C" w:rsidRDefault="0004128C" w:rsidP="0004128C">
      <w:r w:rsidRPr="0004128C">
        <w:t xml:space="preserve">Schiffmann et al (2002) compared </w:t>
      </w:r>
      <w:r w:rsidR="000706A3">
        <w:t xml:space="preserve">three treatment regimens in patients who had previously undergone a splenectomy. These were </w:t>
      </w:r>
      <w:r w:rsidRPr="0004128C">
        <w:t>ERT (alglucerase / imiglucerase</w:t>
      </w:r>
      <w:r w:rsidR="00CC5B20">
        <w:t xml:space="preserve"> at 60 IU/kg every 2 weeks</w:t>
      </w:r>
      <w:r w:rsidRPr="0004128C">
        <w:t xml:space="preserve">), ERT plus vitamin D, </w:t>
      </w:r>
      <w:r w:rsidR="000706A3">
        <w:t xml:space="preserve">and </w:t>
      </w:r>
      <w:r w:rsidRPr="0004128C">
        <w:t xml:space="preserve">vitamin D alone. </w:t>
      </w:r>
    </w:p>
    <w:p w:rsidR="0004128C" w:rsidRPr="0004128C" w:rsidRDefault="0004128C" w:rsidP="0004128C">
      <w:r w:rsidRPr="0004128C">
        <w:t xml:space="preserve">Patients who </w:t>
      </w:r>
      <w:r w:rsidR="000706A3">
        <w:t>received</w:t>
      </w:r>
      <w:r w:rsidRPr="0004128C">
        <w:t xml:space="preserve"> vitamin D without ERT for the first 6 months had a reduction in their bone marrow fat fraction (a surrogate outcome for bone disease risk), whereas both groups who received ERT had an improved percent of fat fraction over the first 6 months. These results were presented graphically in the publication, and AHTA is still waiting on the author to forward de-identified data on this outcome to present in this technical assessment. </w:t>
      </w:r>
    </w:p>
    <w:p w:rsidR="00CF3D9C" w:rsidRDefault="0004128C" w:rsidP="0004128C">
      <w:r w:rsidRPr="0004128C">
        <w:t xml:space="preserve">Patients receiving ERT (with/without vitamin D) had significantly better outcomes on surrogate markers of </w:t>
      </w:r>
      <w:r w:rsidR="00033915">
        <w:t xml:space="preserve">infection and </w:t>
      </w:r>
      <w:r w:rsidRPr="0004128C">
        <w:t xml:space="preserve">bleeding risk than those who did not receive ERT. On average, patients who received ERT </w:t>
      </w:r>
      <w:r w:rsidR="00033915">
        <w:t>over</w:t>
      </w:r>
      <w:r w:rsidRPr="0004128C">
        <w:t xml:space="preserve"> 6 months had a white blood cell count 2.19 × 10</w:t>
      </w:r>
      <w:r w:rsidRPr="0004128C">
        <w:rPr>
          <w:vertAlign w:val="superscript"/>
        </w:rPr>
        <w:t>9</w:t>
      </w:r>
      <w:r w:rsidRPr="0004128C">
        <w:t>/L lower than those who did not receive ERT over the same time period</w:t>
      </w:r>
      <w:r w:rsidR="00033915">
        <w:t xml:space="preserve"> </w:t>
      </w:r>
      <w:r w:rsidRPr="0004128C">
        <w:t>(p</w:t>
      </w:r>
      <w:r w:rsidR="00652355" w:rsidRPr="00652355">
        <w:rPr>
          <w:spacing w:val="-20"/>
        </w:rPr>
        <w:t xml:space="preserve"> = </w:t>
      </w:r>
      <w:r w:rsidRPr="0004128C">
        <w:t xml:space="preserve">0.01)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Pr="00033915">
        <w:t>)</w:t>
      </w:r>
      <w:r w:rsidRPr="0004128C">
        <w:t xml:space="preserve">. </w:t>
      </w:r>
      <w:r w:rsidR="00CF3D9C">
        <w:t xml:space="preserve">This put the average </w:t>
      </w:r>
      <w:r w:rsidR="008E5C35">
        <w:t xml:space="preserve">white blood cell count </w:t>
      </w:r>
      <w:r w:rsidR="00CF3D9C">
        <w:t>for patients receiving ERT within the normal range</w:t>
      </w:r>
      <w:r w:rsidR="00B62665">
        <w:rPr>
          <w:rStyle w:val="FootnoteReference"/>
        </w:rPr>
        <w:footnoteReference w:id="7"/>
      </w:r>
      <w:r w:rsidR="00B62665">
        <w:t>.</w:t>
      </w:r>
      <w:r w:rsidR="008E5C35">
        <w:t xml:space="preserve"> </w:t>
      </w:r>
      <w:r w:rsidR="00C22B7A">
        <w:t xml:space="preserve">The mean white blood cell count for patients who did not receive ERT remained above the normal </w:t>
      </w:r>
      <w:r w:rsidR="004D5360">
        <w:t xml:space="preserve">white blood cell count of healthy people. </w:t>
      </w:r>
      <w:r w:rsidR="004A3612">
        <w:t>The difference between treatment groups is likely to be clinically important.</w:t>
      </w:r>
    </w:p>
    <w:p w:rsidR="00A41DB5" w:rsidRDefault="0004128C" w:rsidP="0004128C">
      <w:r w:rsidRPr="0004128C">
        <w:t xml:space="preserve">Over </w:t>
      </w:r>
      <w:r w:rsidR="00033915">
        <w:t>the same time period</w:t>
      </w:r>
      <w:r w:rsidRPr="0004128C">
        <w:t xml:space="preserve">, those </w:t>
      </w:r>
      <w:r w:rsidR="00033915">
        <w:t xml:space="preserve">patients </w:t>
      </w:r>
      <w:r w:rsidRPr="0004128C">
        <w:t>receiving ERT had haemoglobi</w:t>
      </w:r>
      <w:r w:rsidR="004A3612">
        <w:t xml:space="preserve">n levels raised an average of </w:t>
      </w:r>
      <w:r w:rsidRPr="0004128C">
        <w:t>9</w:t>
      </w:r>
      <w:r w:rsidR="004A3612">
        <w:t>.5 g/</w:t>
      </w:r>
      <w:r w:rsidRPr="0004128C">
        <w:t>L more than patients without ERT (p</w:t>
      </w:r>
      <w:r w:rsidR="00652355" w:rsidRPr="00652355">
        <w:rPr>
          <w:spacing w:val="-20"/>
        </w:rPr>
        <w:t xml:space="preserve"> = </w:t>
      </w:r>
      <w:r w:rsidRPr="0004128C">
        <w:t xml:space="preserve">0.02)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Pr="00C92719">
        <w:t>)</w:t>
      </w:r>
      <w:r w:rsidRPr="0004128C">
        <w:t xml:space="preserve">. </w:t>
      </w:r>
      <w:r w:rsidR="00A41DB5">
        <w:t>The mean haemoglobin values for all patients were below the normal range for males, but within the normal range for females</w:t>
      </w:r>
      <w:r w:rsidR="00A41DB5">
        <w:rPr>
          <w:rStyle w:val="FootnoteReference"/>
        </w:rPr>
        <w:footnoteReference w:id="8"/>
      </w:r>
      <w:r w:rsidR="00A41DB5">
        <w:t xml:space="preserve">. It is unknown whether the difference between groups would be considered clinically important. </w:t>
      </w:r>
    </w:p>
    <w:p w:rsidR="0004128C" w:rsidRPr="0004128C" w:rsidRDefault="0004128C" w:rsidP="0004128C">
      <w:r w:rsidRPr="0004128C">
        <w:t>Platelets improved on average by 90.45 x 10</w:t>
      </w:r>
      <w:r w:rsidR="004A3612">
        <w:rPr>
          <w:vertAlign w:val="superscript"/>
        </w:rPr>
        <w:t>9</w:t>
      </w:r>
      <w:r w:rsidR="004A3612">
        <w:t>/</w:t>
      </w:r>
      <w:r w:rsidRPr="0004128C">
        <w:t xml:space="preserve">L more in those patients who received ERT over 6 months, compared to those received vitamin D alone (p&lt;0.001)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Pr="00C84F33">
        <w:t>)</w:t>
      </w:r>
      <w:r w:rsidRPr="0004128C">
        <w:t xml:space="preserve">. </w:t>
      </w:r>
      <w:r w:rsidR="00A41DB5">
        <w:t>All t</w:t>
      </w:r>
      <w:r w:rsidR="00CF3D9C">
        <w:t>he mean platelet counts were within the normal range</w:t>
      </w:r>
      <w:r w:rsidR="00B62665">
        <w:rPr>
          <w:rStyle w:val="FootnoteReference"/>
        </w:rPr>
        <w:footnoteReference w:id="9"/>
      </w:r>
      <w:r w:rsidR="00CF3D9C">
        <w:t xml:space="preserve"> so it is unlikely that this difference would be considered clinically important. </w:t>
      </w:r>
    </w:p>
    <w:p w:rsidR="0004128C" w:rsidRPr="0004128C" w:rsidRDefault="0004128C" w:rsidP="009B5F63">
      <w:pPr>
        <w:pStyle w:val="Caption"/>
        <w:keepNext/>
        <w:tabs>
          <w:tab w:val="clear" w:pos="851"/>
          <w:tab w:val="left" w:pos="993"/>
        </w:tabs>
        <w:ind w:left="993" w:hanging="993"/>
      </w:pPr>
      <w:bookmarkStart w:id="106" w:name="_Toc411510390"/>
      <w:bookmarkStart w:id="107" w:name="_Toc415141803"/>
      <w:r w:rsidRPr="0004128C">
        <w:lastRenderedPageBreak/>
        <w:t xml:space="preserve">Table </w:t>
      </w:r>
      <w:r w:rsidR="00A72B26">
        <w:rPr>
          <w:noProof/>
        </w:rPr>
        <w:t>6</w:t>
      </w:r>
      <w:r w:rsidR="009B5F63">
        <w:rPr>
          <w:noProof/>
        </w:rPr>
        <w:t xml:space="preserve"> </w:t>
      </w:r>
      <w:r w:rsidR="009B5F63">
        <w:rPr>
          <w:noProof/>
        </w:rPr>
        <w:tab/>
      </w:r>
      <w:r w:rsidR="00033915">
        <w:t>Infection and b</w:t>
      </w:r>
      <w:r w:rsidRPr="0004128C">
        <w:t>leeding risk markers for patients receiving ERT, Vitamin D or a combination</w:t>
      </w:r>
      <w:bookmarkEnd w:id="106"/>
      <w:bookmarkEnd w:id="107"/>
    </w:p>
    <w:tbl>
      <w:tblPr>
        <w:tblStyle w:val="TableGrid"/>
        <w:tblW w:w="5000" w:type="pct"/>
        <w:tblLayout w:type="fixed"/>
        <w:tblLook w:val="04A0" w:firstRow="1" w:lastRow="0" w:firstColumn="1" w:lastColumn="0" w:noHBand="0" w:noVBand="1"/>
        <w:tblCaption w:val="Table 5  Infection and bleeding risk markers for patients receiving ERT, Vitamin D or a combination"/>
        <w:tblDescription w:val="Change in White blood cell count, Haemoglobin and Platelets after 6 months treatment in Gaucher patients recieving ERT, ERT plus vitamin C, or vitamin D alone."/>
      </w:tblPr>
      <w:tblGrid>
        <w:gridCol w:w="3509"/>
        <w:gridCol w:w="1278"/>
        <w:gridCol w:w="1275"/>
        <w:gridCol w:w="1418"/>
        <w:gridCol w:w="1762"/>
      </w:tblGrid>
      <w:tr w:rsidR="0004128C" w:rsidRPr="0004128C" w:rsidTr="00712231">
        <w:trPr>
          <w:trHeight w:val="1025"/>
          <w:tblHeader/>
        </w:trPr>
        <w:tc>
          <w:tcPr>
            <w:tcW w:w="1898" w:type="pct"/>
          </w:tcPr>
          <w:p w:rsidR="0004128C" w:rsidRPr="0084450C" w:rsidRDefault="0004128C" w:rsidP="008E5C35">
            <w:pPr>
              <w:pStyle w:val="TableHeading"/>
            </w:pPr>
            <w:r w:rsidRPr="0084450C">
              <w:t>Outcome</w:t>
            </w:r>
          </w:p>
        </w:tc>
        <w:tc>
          <w:tcPr>
            <w:tcW w:w="691" w:type="pct"/>
          </w:tcPr>
          <w:p w:rsidR="0004128C" w:rsidRPr="0084450C" w:rsidRDefault="0004128C" w:rsidP="008E5C35">
            <w:pPr>
              <w:pStyle w:val="TableHeading"/>
            </w:pPr>
            <w:r w:rsidRPr="0084450C">
              <w:t>ERT</w:t>
            </w:r>
          </w:p>
          <w:p w:rsidR="0004128C" w:rsidRPr="0084450C" w:rsidRDefault="0004128C" w:rsidP="008E5C35">
            <w:pPr>
              <w:pStyle w:val="TableHeading"/>
            </w:pPr>
            <w:r w:rsidRPr="0084450C">
              <w:t>(N</w:t>
            </w:r>
            <w:r w:rsidR="00652355" w:rsidRPr="00652355">
              <w:rPr>
                <w:spacing w:val="-20"/>
              </w:rPr>
              <w:t xml:space="preserve"> = </w:t>
            </w:r>
            <w:r w:rsidRPr="0084450C">
              <w:t>8)</w:t>
            </w:r>
          </w:p>
        </w:tc>
        <w:tc>
          <w:tcPr>
            <w:tcW w:w="690" w:type="pct"/>
          </w:tcPr>
          <w:p w:rsidR="0004128C" w:rsidRPr="0084450C" w:rsidRDefault="0004128C" w:rsidP="008E5C35">
            <w:pPr>
              <w:pStyle w:val="TableHeading"/>
            </w:pPr>
            <w:r w:rsidRPr="0084450C">
              <w:t xml:space="preserve">ERT plus Vitamin D </w:t>
            </w:r>
          </w:p>
          <w:p w:rsidR="0004128C" w:rsidRPr="0084450C" w:rsidRDefault="0004128C" w:rsidP="008E5C35">
            <w:pPr>
              <w:pStyle w:val="TableHeading"/>
            </w:pPr>
            <w:r w:rsidRPr="0084450C">
              <w:t>(N</w:t>
            </w:r>
            <w:r w:rsidR="00652355" w:rsidRPr="00652355">
              <w:rPr>
                <w:spacing w:val="-20"/>
              </w:rPr>
              <w:t xml:space="preserve"> = </w:t>
            </w:r>
            <w:r w:rsidRPr="0084450C">
              <w:t>12)</w:t>
            </w:r>
          </w:p>
        </w:tc>
        <w:tc>
          <w:tcPr>
            <w:tcW w:w="767" w:type="pct"/>
          </w:tcPr>
          <w:p w:rsidR="0004128C" w:rsidRPr="0084450C" w:rsidRDefault="0004128C" w:rsidP="008E5C35">
            <w:pPr>
              <w:pStyle w:val="TableHeading"/>
            </w:pPr>
            <w:r w:rsidRPr="0084450C">
              <w:t>Vitamin D alone</w:t>
            </w:r>
          </w:p>
          <w:p w:rsidR="0004128C" w:rsidRPr="0084450C" w:rsidRDefault="0004128C" w:rsidP="008E5C35">
            <w:pPr>
              <w:pStyle w:val="TableHeading"/>
            </w:pPr>
            <w:r w:rsidRPr="0084450C">
              <w:t>(N</w:t>
            </w:r>
            <w:r w:rsidR="00652355" w:rsidRPr="00652355">
              <w:rPr>
                <w:spacing w:val="-20"/>
              </w:rPr>
              <w:t xml:space="preserve"> = </w:t>
            </w:r>
            <w:r w:rsidRPr="0084450C">
              <w:t>10)</w:t>
            </w:r>
          </w:p>
        </w:tc>
        <w:tc>
          <w:tcPr>
            <w:tcW w:w="953" w:type="pct"/>
          </w:tcPr>
          <w:p w:rsidR="0004128C" w:rsidRPr="0084450C" w:rsidRDefault="0004128C" w:rsidP="008E5C35">
            <w:pPr>
              <w:pStyle w:val="TableHeading"/>
            </w:pPr>
            <w:r w:rsidRPr="0084450C">
              <w:t>Difference (ERT vs no ERT)</w:t>
            </w:r>
          </w:p>
        </w:tc>
      </w:tr>
      <w:tr w:rsidR="0004128C" w:rsidRPr="0004128C" w:rsidTr="0004128C">
        <w:tc>
          <w:tcPr>
            <w:tcW w:w="1898" w:type="pct"/>
          </w:tcPr>
          <w:p w:rsidR="0004128C" w:rsidRPr="0084450C" w:rsidRDefault="0004128C" w:rsidP="008E5C35">
            <w:pPr>
              <w:pStyle w:val="TableText0"/>
            </w:pPr>
            <w:r w:rsidRPr="0084450C">
              <w:t>White blood cell count (× 10</w:t>
            </w:r>
            <w:r w:rsidRPr="0084450C">
              <w:rPr>
                <w:vertAlign w:val="superscript"/>
              </w:rPr>
              <w:t>9</w:t>
            </w:r>
            <w:r w:rsidRPr="0084450C">
              <w:t>/L mean</w:t>
            </w:r>
            <w:r w:rsidR="00652355" w:rsidRPr="00652355">
              <w:rPr>
                <w:spacing w:val="-20"/>
              </w:rPr>
              <w:t xml:space="preserve"> ± </w:t>
            </w:r>
            <w:r w:rsidRPr="0084450C">
              <w:t>SD)</w:t>
            </w:r>
          </w:p>
          <w:p w:rsidR="0004128C" w:rsidRPr="0084450C" w:rsidRDefault="0004128C" w:rsidP="008E5C35">
            <w:pPr>
              <w:pStyle w:val="TableText0"/>
            </w:pPr>
            <w:r w:rsidRPr="0084450C">
              <w:tab/>
              <w:t>Baseline</w:t>
            </w:r>
          </w:p>
          <w:p w:rsidR="0004128C" w:rsidRPr="0084450C" w:rsidRDefault="0004128C" w:rsidP="008E5C35">
            <w:pPr>
              <w:pStyle w:val="TableText0"/>
            </w:pPr>
            <w:r w:rsidRPr="0084450C">
              <w:tab/>
              <w:t>6 months</w:t>
            </w:r>
          </w:p>
          <w:p w:rsidR="0004128C" w:rsidRPr="0084450C" w:rsidRDefault="0004128C" w:rsidP="008E5C35">
            <w:pPr>
              <w:pStyle w:val="TableText0"/>
            </w:pPr>
            <w:r w:rsidRPr="0084450C">
              <w:tab/>
              <w:t xml:space="preserve">Change </w:t>
            </w:r>
          </w:p>
        </w:tc>
        <w:tc>
          <w:tcPr>
            <w:tcW w:w="691" w:type="pct"/>
          </w:tcPr>
          <w:p w:rsidR="0004128C" w:rsidRPr="0084450C" w:rsidRDefault="0004128C" w:rsidP="008E5C35">
            <w:pPr>
              <w:pStyle w:val="TableText0"/>
            </w:pPr>
          </w:p>
          <w:p w:rsidR="0004128C" w:rsidRPr="0084450C" w:rsidRDefault="0004128C" w:rsidP="008E5C35">
            <w:pPr>
              <w:pStyle w:val="TableText0"/>
            </w:pPr>
            <w:r w:rsidRPr="0084450C">
              <w:t>12.9</w:t>
            </w:r>
            <w:r w:rsidR="00652355" w:rsidRPr="00652355">
              <w:rPr>
                <w:spacing w:val="-20"/>
              </w:rPr>
              <w:t xml:space="preserve"> ± </w:t>
            </w:r>
            <w:r w:rsidRPr="0084450C">
              <w:t>3.86</w:t>
            </w:r>
          </w:p>
          <w:p w:rsidR="0004128C" w:rsidRPr="0084450C" w:rsidRDefault="0004128C" w:rsidP="008E5C35">
            <w:pPr>
              <w:pStyle w:val="TableText0"/>
            </w:pPr>
            <w:r w:rsidRPr="0084450C">
              <w:t>9.7</w:t>
            </w:r>
            <w:r w:rsidR="00652355" w:rsidRPr="00652355">
              <w:rPr>
                <w:spacing w:val="-20"/>
              </w:rPr>
              <w:t xml:space="preserve"> ± </w:t>
            </w:r>
            <w:r w:rsidRPr="0084450C">
              <w:t>2.93</w:t>
            </w:r>
          </w:p>
          <w:p w:rsidR="0004128C" w:rsidRPr="0084450C" w:rsidRDefault="0004128C" w:rsidP="008E5C35">
            <w:pPr>
              <w:pStyle w:val="TableText0"/>
            </w:pPr>
            <w:r w:rsidRPr="0084450C">
              <w:t>-3.3</w:t>
            </w:r>
            <w:r w:rsidR="00652355" w:rsidRPr="00652355">
              <w:rPr>
                <w:spacing w:val="-20"/>
              </w:rPr>
              <w:t xml:space="preserve"> ± </w:t>
            </w:r>
            <w:r w:rsidRPr="0084450C">
              <w:t>1.25</w:t>
            </w:r>
          </w:p>
        </w:tc>
        <w:tc>
          <w:tcPr>
            <w:tcW w:w="690" w:type="pct"/>
          </w:tcPr>
          <w:p w:rsidR="0004128C" w:rsidRPr="0084450C" w:rsidRDefault="0004128C" w:rsidP="008E5C35">
            <w:pPr>
              <w:pStyle w:val="TableText0"/>
            </w:pPr>
          </w:p>
          <w:p w:rsidR="0004128C" w:rsidRPr="0084450C" w:rsidRDefault="0004128C" w:rsidP="008E5C35">
            <w:pPr>
              <w:pStyle w:val="TableText0"/>
            </w:pPr>
            <w:r w:rsidRPr="0084450C">
              <w:t>12.84</w:t>
            </w:r>
            <w:r w:rsidR="00652355" w:rsidRPr="00652355">
              <w:rPr>
                <w:spacing w:val="-20"/>
              </w:rPr>
              <w:t xml:space="preserve"> ± </w:t>
            </w:r>
            <w:r w:rsidRPr="0084450C">
              <w:t>3.28</w:t>
            </w:r>
          </w:p>
          <w:p w:rsidR="0004128C" w:rsidRPr="0084450C" w:rsidRDefault="0004128C" w:rsidP="008E5C35">
            <w:pPr>
              <w:pStyle w:val="TableText0"/>
            </w:pPr>
            <w:r w:rsidRPr="0084450C">
              <w:t>10.5</w:t>
            </w:r>
            <w:r w:rsidR="00652355" w:rsidRPr="00652355">
              <w:rPr>
                <w:spacing w:val="-20"/>
              </w:rPr>
              <w:t xml:space="preserve"> ± </w:t>
            </w:r>
            <w:r w:rsidRPr="0084450C">
              <w:t>2.83</w:t>
            </w:r>
          </w:p>
          <w:p w:rsidR="0004128C" w:rsidRPr="0084450C" w:rsidRDefault="0004128C" w:rsidP="008E5C35">
            <w:pPr>
              <w:pStyle w:val="TableText0"/>
            </w:pPr>
            <w:r w:rsidRPr="0084450C">
              <w:t>-2.34</w:t>
            </w:r>
            <w:r w:rsidR="00652355" w:rsidRPr="00652355">
              <w:rPr>
                <w:spacing w:val="-20"/>
              </w:rPr>
              <w:t xml:space="preserve"> ± </w:t>
            </w:r>
            <w:r w:rsidRPr="0084450C">
              <w:t>2.40</w:t>
            </w:r>
          </w:p>
        </w:tc>
        <w:tc>
          <w:tcPr>
            <w:tcW w:w="767" w:type="pct"/>
          </w:tcPr>
          <w:p w:rsidR="0004128C" w:rsidRPr="0084450C" w:rsidRDefault="0004128C" w:rsidP="008E5C35">
            <w:pPr>
              <w:pStyle w:val="TableText0"/>
            </w:pPr>
          </w:p>
          <w:p w:rsidR="0004128C" w:rsidRPr="0084450C" w:rsidRDefault="0004128C" w:rsidP="008E5C35">
            <w:pPr>
              <w:pStyle w:val="TableText0"/>
            </w:pPr>
            <w:r w:rsidRPr="0084450C">
              <w:t>12.2</w:t>
            </w:r>
            <w:r w:rsidR="00652355" w:rsidRPr="00652355">
              <w:rPr>
                <w:spacing w:val="-20"/>
              </w:rPr>
              <w:t xml:space="preserve"> ± </w:t>
            </w:r>
            <w:r w:rsidRPr="0084450C">
              <w:t>3.35</w:t>
            </w:r>
          </w:p>
          <w:p w:rsidR="0004128C" w:rsidRPr="0084450C" w:rsidRDefault="0004128C" w:rsidP="008E5C35">
            <w:pPr>
              <w:pStyle w:val="TableText0"/>
            </w:pPr>
            <w:r w:rsidRPr="0084450C">
              <w:t>11.7</w:t>
            </w:r>
            <w:r w:rsidR="00652355" w:rsidRPr="00652355">
              <w:rPr>
                <w:spacing w:val="-20"/>
              </w:rPr>
              <w:t xml:space="preserve"> ± </w:t>
            </w:r>
            <w:r w:rsidRPr="0084450C">
              <w:t>4.27</w:t>
            </w:r>
          </w:p>
          <w:p w:rsidR="0004128C" w:rsidRPr="0084450C" w:rsidRDefault="0004128C" w:rsidP="008E5C35">
            <w:pPr>
              <w:pStyle w:val="TableText0"/>
            </w:pPr>
            <w:r w:rsidRPr="0084450C">
              <w:t>-0.5</w:t>
            </w:r>
            <w:r w:rsidR="00652355" w:rsidRPr="00652355">
              <w:rPr>
                <w:spacing w:val="-20"/>
              </w:rPr>
              <w:t xml:space="preserve"> ± </w:t>
            </w:r>
            <w:r w:rsidRPr="0084450C">
              <w:t>2.11</w:t>
            </w:r>
          </w:p>
        </w:tc>
        <w:tc>
          <w:tcPr>
            <w:tcW w:w="953" w:type="pct"/>
          </w:tcPr>
          <w:p w:rsidR="0004128C" w:rsidRPr="0084450C" w:rsidRDefault="0004128C" w:rsidP="008E5C35">
            <w:pPr>
              <w:pStyle w:val="TableText0"/>
            </w:pPr>
            <w:r w:rsidRPr="0084450C">
              <w:t>F(1, 28)</w:t>
            </w:r>
            <w:r w:rsidR="00652355" w:rsidRPr="00652355">
              <w:rPr>
                <w:spacing w:val="-20"/>
              </w:rPr>
              <w:t xml:space="preserve"> = </w:t>
            </w:r>
            <w:r w:rsidRPr="0084450C">
              <w:t>7.55, p</w:t>
            </w:r>
            <w:r w:rsidR="00652355" w:rsidRPr="00652355">
              <w:rPr>
                <w:spacing w:val="-20"/>
              </w:rPr>
              <w:t xml:space="preserve"> = </w:t>
            </w:r>
            <w:r w:rsidRPr="0084450C">
              <w:t>0.01</w:t>
            </w:r>
          </w:p>
          <w:p w:rsidR="0004128C" w:rsidRPr="0084450C" w:rsidRDefault="0004128C" w:rsidP="008E5C35">
            <w:pPr>
              <w:pStyle w:val="TableText0"/>
            </w:pPr>
            <w:r w:rsidRPr="0084450C">
              <w:t>Difference coefficient</w:t>
            </w:r>
            <w:r w:rsidR="00652355" w:rsidRPr="00652355">
              <w:rPr>
                <w:spacing w:val="-20"/>
              </w:rPr>
              <w:t xml:space="preserve"> = </w:t>
            </w:r>
            <w:r w:rsidRPr="0084450C">
              <w:t>-2.19</w:t>
            </w:r>
          </w:p>
          <w:p w:rsidR="0004128C" w:rsidRPr="0084450C" w:rsidRDefault="0004128C" w:rsidP="008E5C35">
            <w:pPr>
              <w:pStyle w:val="TableText0"/>
            </w:pPr>
            <w:r w:rsidRPr="0084450C">
              <w:t>(95%CI -3.82, -0.56)</w:t>
            </w:r>
          </w:p>
        </w:tc>
      </w:tr>
      <w:tr w:rsidR="004A3612" w:rsidRPr="0004128C" w:rsidTr="0004128C">
        <w:tc>
          <w:tcPr>
            <w:tcW w:w="1898" w:type="pct"/>
          </w:tcPr>
          <w:p w:rsidR="004A3612" w:rsidRPr="0084450C" w:rsidRDefault="004A3612" w:rsidP="008E5C35">
            <w:pPr>
              <w:pStyle w:val="TableText0"/>
            </w:pPr>
            <w:r>
              <w:t>Haemoglobin (g/</w:t>
            </w:r>
            <w:r w:rsidRPr="0084450C">
              <w:t>L, mean</w:t>
            </w:r>
            <w:r w:rsidR="00652355" w:rsidRPr="00652355">
              <w:rPr>
                <w:spacing w:val="-20"/>
              </w:rPr>
              <w:t xml:space="preserve"> ± </w:t>
            </w:r>
            <w:r w:rsidRPr="0084450C">
              <w:t>SD)</w:t>
            </w:r>
          </w:p>
          <w:p w:rsidR="004A3612" w:rsidRPr="0084450C" w:rsidRDefault="004A3612" w:rsidP="008E5C35">
            <w:pPr>
              <w:pStyle w:val="TableText0"/>
            </w:pPr>
            <w:r w:rsidRPr="0084450C">
              <w:tab/>
              <w:t>Baseline</w:t>
            </w:r>
          </w:p>
          <w:p w:rsidR="004A3612" w:rsidRPr="0084450C" w:rsidRDefault="004A3612" w:rsidP="008E5C35">
            <w:pPr>
              <w:pStyle w:val="TableText0"/>
            </w:pPr>
            <w:r w:rsidRPr="0084450C">
              <w:tab/>
              <w:t>6 months</w:t>
            </w:r>
          </w:p>
          <w:p w:rsidR="004A3612" w:rsidRPr="0084450C" w:rsidRDefault="004A3612" w:rsidP="008E5C35">
            <w:pPr>
              <w:pStyle w:val="TableText0"/>
            </w:pPr>
            <w:r w:rsidRPr="0084450C">
              <w:tab/>
              <w:t>Change</w:t>
            </w:r>
          </w:p>
        </w:tc>
        <w:tc>
          <w:tcPr>
            <w:tcW w:w="691" w:type="pct"/>
          </w:tcPr>
          <w:p w:rsidR="004A3612" w:rsidRPr="007E6795" w:rsidRDefault="004A3612" w:rsidP="00D35EF3">
            <w:pPr>
              <w:pStyle w:val="TableText0"/>
              <w:rPr>
                <w:rFonts w:cstheme="minorHAnsi"/>
              </w:rPr>
            </w:pPr>
          </w:p>
          <w:p w:rsidR="004A3612" w:rsidRPr="007E6795" w:rsidRDefault="004A3612" w:rsidP="00D35EF3">
            <w:pPr>
              <w:pStyle w:val="TableText0"/>
              <w:rPr>
                <w:rFonts w:cstheme="minorHAnsi"/>
              </w:rPr>
            </w:pPr>
            <w:r w:rsidRPr="007E6795">
              <w:rPr>
                <w:rFonts w:cstheme="minorHAnsi"/>
              </w:rPr>
              <w:t>122</w:t>
            </w:r>
            <w:r w:rsidR="00652355" w:rsidRPr="00652355">
              <w:rPr>
                <w:rFonts w:cstheme="minorHAnsi"/>
                <w:spacing w:val="-20"/>
              </w:rPr>
              <w:t xml:space="preserve"> ± </w:t>
            </w:r>
            <w:r w:rsidRPr="007E6795">
              <w:rPr>
                <w:rFonts w:cstheme="minorHAnsi"/>
              </w:rPr>
              <w:t>15.6</w:t>
            </w:r>
          </w:p>
          <w:p w:rsidR="004A3612" w:rsidRPr="007E6795" w:rsidRDefault="004A3612" w:rsidP="00D35EF3">
            <w:pPr>
              <w:pStyle w:val="TableText0"/>
              <w:rPr>
                <w:rFonts w:cstheme="minorHAnsi"/>
              </w:rPr>
            </w:pPr>
            <w:r w:rsidRPr="007E6795">
              <w:rPr>
                <w:rFonts w:cstheme="minorHAnsi"/>
              </w:rPr>
              <w:t>126</w:t>
            </w:r>
            <w:r w:rsidR="00652355" w:rsidRPr="00652355">
              <w:rPr>
                <w:rFonts w:cstheme="minorHAnsi"/>
                <w:spacing w:val="-20"/>
              </w:rPr>
              <w:t xml:space="preserve"> ± </w:t>
            </w:r>
            <w:r w:rsidRPr="007E6795">
              <w:rPr>
                <w:rFonts w:cstheme="minorHAnsi"/>
              </w:rPr>
              <w:t>13.5</w:t>
            </w:r>
          </w:p>
          <w:p w:rsidR="004A3612" w:rsidRPr="0084450C" w:rsidRDefault="004A3612" w:rsidP="008E5C35">
            <w:pPr>
              <w:pStyle w:val="TableText0"/>
            </w:pPr>
            <w:r w:rsidRPr="007E6795">
              <w:rPr>
                <w:rFonts w:cstheme="minorHAnsi"/>
              </w:rPr>
              <w:t>4</w:t>
            </w:r>
            <w:r>
              <w:rPr>
                <w:rFonts w:cstheme="minorHAnsi"/>
              </w:rPr>
              <w:t>.0</w:t>
            </w:r>
            <w:r w:rsidR="00652355" w:rsidRPr="00652355">
              <w:rPr>
                <w:rFonts w:cstheme="minorHAnsi"/>
                <w:spacing w:val="-20"/>
              </w:rPr>
              <w:t xml:space="preserve"> ± </w:t>
            </w:r>
            <w:r w:rsidRPr="007E6795">
              <w:rPr>
                <w:rFonts w:cstheme="minorHAnsi"/>
              </w:rPr>
              <w:t>13.3</w:t>
            </w:r>
          </w:p>
        </w:tc>
        <w:tc>
          <w:tcPr>
            <w:tcW w:w="690" w:type="pct"/>
          </w:tcPr>
          <w:p w:rsidR="004A3612" w:rsidRPr="007E6795" w:rsidRDefault="004A3612" w:rsidP="00D35EF3">
            <w:pPr>
              <w:pStyle w:val="TableText0"/>
              <w:rPr>
                <w:rFonts w:cstheme="minorHAnsi"/>
              </w:rPr>
            </w:pPr>
          </w:p>
          <w:p w:rsidR="004A3612" w:rsidRPr="007E6795" w:rsidRDefault="004A3612" w:rsidP="00D35EF3">
            <w:pPr>
              <w:pStyle w:val="TableText0"/>
              <w:rPr>
                <w:rFonts w:cstheme="minorHAnsi"/>
              </w:rPr>
            </w:pPr>
            <w:r w:rsidRPr="007E6795">
              <w:rPr>
                <w:rFonts w:cstheme="minorHAnsi"/>
              </w:rPr>
              <w:t>128</w:t>
            </w:r>
            <w:r w:rsidR="00652355" w:rsidRPr="00652355">
              <w:rPr>
                <w:rFonts w:cstheme="minorHAnsi"/>
                <w:spacing w:val="-20"/>
              </w:rPr>
              <w:t xml:space="preserve"> ± </w:t>
            </w:r>
            <w:r w:rsidRPr="007E6795">
              <w:rPr>
                <w:rFonts w:cstheme="minorHAnsi"/>
              </w:rPr>
              <w:t>17.2</w:t>
            </w:r>
          </w:p>
          <w:p w:rsidR="004A3612" w:rsidRDefault="004A3612" w:rsidP="008E5C35">
            <w:pPr>
              <w:pStyle w:val="TableText0"/>
              <w:rPr>
                <w:rFonts w:cstheme="minorHAnsi"/>
              </w:rPr>
            </w:pPr>
            <w:r w:rsidRPr="007E6795">
              <w:rPr>
                <w:rFonts w:cstheme="minorHAnsi"/>
              </w:rPr>
              <w:t>135</w:t>
            </w:r>
            <w:r w:rsidR="00652355" w:rsidRPr="00652355">
              <w:rPr>
                <w:rFonts w:cstheme="minorHAnsi"/>
                <w:spacing w:val="-20"/>
              </w:rPr>
              <w:t xml:space="preserve"> ± </w:t>
            </w:r>
            <w:r w:rsidRPr="007E6795">
              <w:rPr>
                <w:rFonts w:cstheme="minorHAnsi"/>
              </w:rPr>
              <w:t>13.4</w:t>
            </w:r>
          </w:p>
          <w:p w:rsidR="004A3612" w:rsidRPr="0084450C" w:rsidRDefault="004A3612" w:rsidP="008E5C35">
            <w:pPr>
              <w:pStyle w:val="TableText0"/>
            </w:pPr>
            <w:r w:rsidRPr="007E6795">
              <w:rPr>
                <w:rFonts w:cstheme="minorHAnsi"/>
              </w:rPr>
              <w:t>6.7</w:t>
            </w:r>
            <w:r w:rsidR="00652355" w:rsidRPr="00652355">
              <w:rPr>
                <w:rFonts w:cstheme="minorHAnsi"/>
                <w:spacing w:val="-20"/>
              </w:rPr>
              <w:t xml:space="preserve"> ± </w:t>
            </w:r>
            <w:r w:rsidRPr="007E6795">
              <w:rPr>
                <w:rFonts w:cstheme="minorHAnsi"/>
              </w:rPr>
              <w:t>10.8</w:t>
            </w:r>
          </w:p>
        </w:tc>
        <w:tc>
          <w:tcPr>
            <w:tcW w:w="767" w:type="pct"/>
          </w:tcPr>
          <w:p w:rsidR="004A3612" w:rsidRPr="007E6795" w:rsidRDefault="004A3612" w:rsidP="00D35EF3">
            <w:pPr>
              <w:pStyle w:val="TableText0"/>
              <w:rPr>
                <w:rFonts w:cstheme="minorHAnsi"/>
              </w:rPr>
            </w:pPr>
          </w:p>
          <w:p w:rsidR="004A3612" w:rsidRPr="007E6795" w:rsidRDefault="004A3612" w:rsidP="00D35EF3">
            <w:pPr>
              <w:pStyle w:val="TableText0"/>
              <w:rPr>
                <w:rFonts w:cstheme="minorHAnsi"/>
              </w:rPr>
            </w:pPr>
            <w:r w:rsidRPr="007E6795">
              <w:rPr>
                <w:rFonts w:cstheme="minorHAnsi"/>
              </w:rPr>
              <w:t>124</w:t>
            </w:r>
            <w:r w:rsidR="00652355" w:rsidRPr="00652355">
              <w:rPr>
                <w:rFonts w:cstheme="minorHAnsi"/>
                <w:spacing w:val="-20"/>
              </w:rPr>
              <w:t xml:space="preserve"> ± </w:t>
            </w:r>
            <w:r w:rsidRPr="007E6795">
              <w:rPr>
                <w:rFonts w:cstheme="minorHAnsi"/>
              </w:rPr>
              <w:t>13.1</w:t>
            </w:r>
          </w:p>
          <w:p w:rsidR="004A3612" w:rsidRPr="007E6795" w:rsidRDefault="004A3612" w:rsidP="00D35EF3">
            <w:pPr>
              <w:pStyle w:val="TableText0"/>
              <w:rPr>
                <w:rFonts w:cstheme="minorHAnsi"/>
              </w:rPr>
            </w:pPr>
            <w:r w:rsidRPr="007E6795">
              <w:rPr>
                <w:rFonts w:cstheme="minorHAnsi"/>
              </w:rPr>
              <w:t>120</w:t>
            </w:r>
            <w:r w:rsidR="00652355" w:rsidRPr="00652355">
              <w:rPr>
                <w:rFonts w:cstheme="minorHAnsi"/>
                <w:spacing w:val="-20"/>
              </w:rPr>
              <w:t xml:space="preserve"> ± </w:t>
            </w:r>
            <w:r w:rsidRPr="007E6795">
              <w:rPr>
                <w:rFonts w:cstheme="minorHAnsi"/>
              </w:rPr>
              <w:t>11.9</w:t>
            </w:r>
          </w:p>
          <w:p w:rsidR="004A3612" w:rsidRPr="0084450C" w:rsidRDefault="004A3612" w:rsidP="008E5C35">
            <w:pPr>
              <w:pStyle w:val="TableText0"/>
            </w:pPr>
            <w:r w:rsidRPr="007E6795">
              <w:rPr>
                <w:rFonts w:cstheme="minorHAnsi"/>
              </w:rPr>
              <w:t>-4</w:t>
            </w:r>
            <w:r>
              <w:rPr>
                <w:rFonts w:cstheme="minorHAnsi"/>
              </w:rPr>
              <w:t>.0</w:t>
            </w:r>
            <w:r w:rsidR="00652355" w:rsidRPr="00652355">
              <w:rPr>
                <w:rFonts w:cstheme="minorHAnsi"/>
                <w:spacing w:val="-20"/>
              </w:rPr>
              <w:t xml:space="preserve"> ± </w:t>
            </w:r>
            <w:r w:rsidRPr="007E6795">
              <w:rPr>
                <w:rFonts w:cstheme="minorHAnsi"/>
              </w:rPr>
              <w:t>6.3</w:t>
            </w:r>
          </w:p>
        </w:tc>
        <w:tc>
          <w:tcPr>
            <w:tcW w:w="953" w:type="pct"/>
          </w:tcPr>
          <w:p w:rsidR="004A3612" w:rsidRPr="0084450C" w:rsidRDefault="004A3612" w:rsidP="008E5C35">
            <w:pPr>
              <w:pStyle w:val="TableText0"/>
            </w:pPr>
            <w:r w:rsidRPr="0084450C">
              <w:t>F(1, 28)</w:t>
            </w:r>
            <w:r w:rsidR="00652355" w:rsidRPr="00652355">
              <w:rPr>
                <w:spacing w:val="-20"/>
              </w:rPr>
              <w:t xml:space="preserve"> = </w:t>
            </w:r>
            <w:r w:rsidRPr="0084450C">
              <w:t>5.70, p</w:t>
            </w:r>
            <w:r w:rsidR="00652355" w:rsidRPr="00652355">
              <w:rPr>
                <w:spacing w:val="-20"/>
              </w:rPr>
              <w:t xml:space="preserve"> = </w:t>
            </w:r>
            <w:r w:rsidRPr="0084450C">
              <w:t>0.02</w:t>
            </w:r>
          </w:p>
          <w:p w:rsidR="004A3612" w:rsidRPr="0084450C" w:rsidRDefault="004A3612" w:rsidP="008E5C35">
            <w:pPr>
              <w:pStyle w:val="TableText0"/>
            </w:pPr>
            <w:r>
              <w:t>Difference coefficient</w:t>
            </w:r>
            <w:r w:rsidR="00652355" w:rsidRPr="00652355">
              <w:rPr>
                <w:spacing w:val="-20"/>
              </w:rPr>
              <w:t xml:space="preserve"> = </w:t>
            </w:r>
            <w:r w:rsidRPr="0084450C">
              <w:t>9</w:t>
            </w:r>
            <w:r>
              <w:t>.</w:t>
            </w:r>
            <w:r w:rsidRPr="0084450C">
              <w:t>5</w:t>
            </w:r>
          </w:p>
          <w:p w:rsidR="004A3612" w:rsidRPr="0084450C" w:rsidRDefault="004A3612" w:rsidP="008E5C35">
            <w:pPr>
              <w:pStyle w:val="TableText0"/>
            </w:pPr>
            <w:r>
              <w:t xml:space="preserve">(95%CI </w:t>
            </w:r>
            <w:r w:rsidRPr="0084450C">
              <w:t>1</w:t>
            </w:r>
            <w:r>
              <w:t>.3, 1</w:t>
            </w:r>
            <w:r w:rsidRPr="0084450C">
              <w:t>7</w:t>
            </w:r>
            <w:r>
              <w:t>.</w:t>
            </w:r>
            <w:r w:rsidRPr="0084450C">
              <w:t>6)</w:t>
            </w:r>
          </w:p>
        </w:tc>
      </w:tr>
      <w:tr w:rsidR="0004128C" w:rsidRPr="0004128C" w:rsidTr="0004128C">
        <w:tc>
          <w:tcPr>
            <w:tcW w:w="1898" w:type="pct"/>
          </w:tcPr>
          <w:p w:rsidR="0004128C" w:rsidRPr="0084450C" w:rsidRDefault="0004128C" w:rsidP="008E5C35">
            <w:pPr>
              <w:pStyle w:val="TableText0"/>
            </w:pPr>
            <w:r w:rsidRPr="0084450C">
              <w:t>Platelets (10</w:t>
            </w:r>
            <w:r w:rsidR="004A3612">
              <w:rPr>
                <w:vertAlign w:val="superscript"/>
              </w:rPr>
              <w:t>9</w:t>
            </w:r>
            <w:r w:rsidR="004A3612">
              <w:t>/</w:t>
            </w:r>
            <w:r w:rsidRPr="0084450C">
              <w:t>L, mean</w:t>
            </w:r>
            <w:r w:rsidR="00652355" w:rsidRPr="00652355">
              <w:rPr>
                <w:spacing w:val="-20"/>
              </w:rPr>
              <w:t xml:space="preserve"> ± </w:t>
            </w:r>
            <w:r w:rsidRPr="0084450C">
              <w:t>SD)</w:t>
            </w:r>
          </w:p>
          <w:p w:rsidR="0004128C" w:rsidRPr="0084450C" w:rsidRDefault="0004128C" w:rsidP="008E5C35">
            <w:pPr>
              <w:pStyle w:val="TableText0"/>
            </w:pPr>
            <w:r w:rsidRPr="0084450C">
              <w:tab/>
              <w:t>Baseline</w:t>
            </w:r>
          </w:p>
          <w:p w:rsidR="0004128C" w:rsidRPr="0084450C" w:rsidRDefault="0004128C" w:rsidP="008E5C35">
            <w:pPr>
              <w:pStyle w:val="TableText0"/>
            </w:pPr>
            <w:r w:rsidRPr="0084450C">
              <w:tab/>
              <w:t>6 months</w:t>
            </w:r>
          </w:p>
          <w:p w:rsidR="0004128C" w:rsidRPr="0084450C" w:rsidRDefault="0004128C" w:rsidP="008E5C35">
            <w:pPr>
              <w:pStyle w:val="TableText0"/>
            </w:pPr>
            <w:r w:rsidRPr="0084450C">
              <w:tab/>
              <w:t>Change</w:t>
            </w:r>
          </w:p>
        </w:tc>
        <w:tc>
          <w:tcPr>
            <w:tcW w:w="691" w:type="pct"/>
          </w:tcPr>
          <w:p w:rsidR="0004128C" w:rsidRPr="0084450C" w:rsidRDefault="0004128C" w:rsidP="008E5C35">
            <w:pPr>
              <w:pStyle w:val="TableText0"/>
            </w:pPr>
          </w:p>
          <w:p w:rsidR="0004128C" w:rsidRPr="0084450C" w:rsidRDefault="0004128C" w:rsidP="008E5C35">
            <w:pPr>
              <w:pStyle w:val="TableText0"/>
            </w:pPr>
            <w:r w:rsidRPr="0084450C">
              <w:t>252.4</w:t>
            </w:r>
            <w:r w:rsidR="00652355" w:rsidRPr="00652355">
              <w:rPr>
                <w:spacing w:val="-20"/>
              </w:rPr>
              <w:t xml:space="preserve"> ± </w:t>
            </w:r>
            <w:r w:rsidRPr="0084450C">
              <w:t>69.5</w:t>
            </w:r>
          </w:p>
          <w:p w:rsidR="0004128C" w:rsidRPr="0084450C" w:rsidRDefault="0004128C" w:rsidP="008E5C35">
            <w:pPr>
              <w:pStyle w:val="TableText0"/>
            </w:pPr>
            <w:r w:rsidRPr="0084450C">
              <w:t>339.0</w:t>
            </w:r>
            <w:r w:rsidR="00652355" w:rsidRPr="00652355">
              <w:rPr>
                <w:spacing w:val="-20"/>
              </w:rPr>
              <w:t xml:space="preserve"> ± </w:t>
            </w:r>
            <w:r w:rsidRPr="0084450C">
              <w:t>103.5</w:t>
            </w:r>
          </w:p>
          <w:p w:rsidR="0004128C" w:rsidRPr="0084450C" w:rsidRDefault="0004128C" w:rsidP="008E5C35">
            <w:pPr>
              <w:pStyle w:val="TableText0"/>
            </w:pPr>
            <w:r w:rsidRPr="0084450C">
              <w:t>86.6</w:t>
            </w:r>
            <w:r w:rsidR="00652355" w:rsidRPr="00652355">
              <w:rPr>
                <w:spacing w:val="-20"/>
              </w:rPr>
              <w:t xml:space="preserve"> ± </w:t>
            </w:r>
            <w:r w:rsidRPr="0084450C">
              <w:t>69.8</w:t>
            </w:r>
          </w:p>
        </w:tc>
        <w:tc>
          <w:tcPr>
            <w:tcW w:w="690" w:type="pct"/>
          </w:tcPr>
          <w:p w:rsidR="0004128C" w:rsidRPr="0084450C" w:rsidRDefault="0004128C" w:rsidP="008E5C35">
            <w:pPr>
              <w:pStyle w:val="TableText0"/>
            </w:pPr>
          </w:p>
          <w:p w:rsidR="0004128C" w:rsidRPr="0084450C" w:rsidRDefault="0004128C" w:rsidP="008E5C35">
            <w:pPr>
              <w:pStyle w:val="TableText0"/>
            </w:pPr>
            <w:r w:rsidRPr="0084450C">
              <w:t>211.6</w:t>
            </w:r>
            <w:r w:rsidR="00652355" w:rsidRPr="00652355">
              <w:rPr>
                <w:spacing w:val="-20"/>
              </w:rPr>
              <w:t xml:space="preserve"> ± </w:t>
            </w:r>
            <w:r w:rsidRPr="0084450C">
              <w:t>58.1</w:t>
            </w:r>
          </w:p>
          <w:p w:rsidR="0004128C" w:rsidRPr="0084450C" w:rsidRDefault="0004128C" w:rsidP="008E5C35">
            <w:pPr>
              <w:pStyle w:val="TableText0"/>
            </w:pPr>
            <w:r w:rsidRPr="0084450C">
              <w:t>276.9</w:t>
            </w:r>
            <w:r w:rsidR="00652355" w:rsidRPr="00652355">
              <w:rPr>
                <w:spacing w:val="-20"/>
              </w:rPr>
              <w:t xml:space="preserve"> ± </w:t>
            </w:r>
            <w:r w:rsidRPr="0084450C">
              <w:t>70.8</w:t>
            </w:r>
          </w:p>
          <w:p w:rsidR="0004128C" w:rsidRPr="0084450C" w:rsidRDefault="0004128C" w:rsidP="008E5C35">
            <w:pPr>
              <w:pStyle w:val="TableText0"/>
            </w:pPr>
            <w:r w:rsidRPr="0084450C">
              <w:t>65.3</w:t>
            </w:r>
            <w:r w:rsidR="00652355" w:rsidRPr="00652355">
              <w:rPr>
                <w:spacing w:val="-20"/>
              </w:rPr>
              <w:t xml:space="preserve"> ± </w:t>
            </w:r>
            <w:r w:rsidRPr="0084450C">
              <w:t>48.3</w:t>
            </w:r>
          </w:p>
        </w:tc>
        <w:tc>
          <w:tcPr>
            <w:tcW w:w="767" w:type="pct"/>
          </w:tcPr>
          <w:p w:rsidR="0004128C" w:rsidRPr="0084450C" w:rsidRDefault="0004128C" w:rsidP="008E5C35">
            <w:pPr>
              <w:pStyle w:val="TableText0"/>
            </w:pPr>
          </w:p>
          <w:p w:rsidR="0004128C" w:rsidRPr="0084450C" w:rsidRDefault="0004128C" w:rsidP="008E5C35">
            <w:pPr>
              <w:pStyle w:val="TableText0"/>
            </w:pPr>
            <w:r w:rsidRPr="0084450C">
              <w:t>246.9</w:t>
            </w:r>
            <w:r w:rsidR="00652355" w:rsidRPr="00652355">
              <w:rPr>
                <w:spacing w:val="-20"/>
              </w:rPr>
              <w:t xml:space="preserve"> ± </w:t>
            </w:r>
            <w:r w:rsidRPr="0084450C">
              <w:t>82.3</w:t>
            </w:r>
          </w:p>
          <w:p w:rsidR="0004128C" w:rsidRPr="0084450C" w:rsidRDefault="0004128C" w:rsidP="008E5C35">
            <w:pPr>
              <w:pStyle w:val="TableText0"/>
            </w:pPr>
            <w:r w:rsidRPr="0084450C">
              <w:t>230.3</w:t>
            </w:r>
            <w:r w:rsidR="00652355" w:rsidRPr="00652355">
              <w:rPr>
                <w:spacing w:val="-20"/>
              </w:rPr>
              <w:t xml:space="preserve"> ± </w:t>
            </w:r>
            <w:r w:rsidRPr="0084450C">
              <w:t>70.9</w:t>
            </w:r>
          </w:p>
          <w:p w:rsidR="0004128C" w:rsidRPr="0084450C" w:rsidRDefault="0004128C" w:rsidP="008E5C35">
            <w:pPr>
              <w:pStyle w:val="TableText0"/>
            </w:pPr>
            <w:r w:rsidRPr="0084450C">
              <w:t>-16.6</w:t>
            </w:r>
            <w:r w:rsidR="00652355" w:rsidRPr="00652355">
              <w:rPr>
                <w:spacing w:val="-20"/>
              </w:rPr>
              <w:t xml:space="preserve"> ± </w:t>
            </w:r>
            <w:r w:rsidRPr="0084450C">
              <w:t>51.1</w:t>
            </w:r>
          </w:p>
        </w:tc>
        <w:tc>
          <w:tcPr>
            <w:tcW w:w="953" w:type="pct"/>
          </w:tcPr>
          <w:p w:rsidR="0004128C" w:rsidRPr="0084450C" w:rsidRDefault="0004128C" w:rsidP="008E5C35">
            <w:pPr>
              <w:pStyle w:val="TableText0"/>
            </w:pPr>
            <w:r w:rsidRPr="0084450C">
              <w:t>F(1, 28)</w:t>
            </w:r>
            <w:r w:rsidR="00652355">
              <w:rPr>
                <w:spacing w:val="-20"/>
              </w:rPr>
              <w:t xml:space="preserve"> </w:t>
            </w:r>
            <w:r w:rsidR="00652355" w:rsidRPr="00652355">
              <w:rPr>
                <w:spacing w:val="-20"/>
              </w:rPr>
              <w:t xml:space="preserve">= </w:t>
            </w:r>
            <w:r w:rsidRPr="0084450C">
              <w:t>17.89, p&lt;0.001</w:t>
            </w:r>
          </w:p>
          <w:p w:rsidR="0004128C" w:rsidRPr="0084450C" w:rsidRDefault="0004128C" w:rsidP="008E5C35">
            <w:pPr>
              <w:pStyle w:val="TableText0"/>
            </w:pPr>
            <w:r w:rsidRPr="0084450C">
              <w:t>Difference coefficient</w:t>
            </w:r>
            <w:r w:rsidR="00652355" w:rsidRPr="00652355">
              <w:rPr>
                <w:spacing w:val="-20"/>
              </w:rPr>
              <w:t xml:space="preserve"> = </w:t>
            </w:r>
            <w:r w:rsidRPr="0084450C">
              <w:t>90.45 (95%CI 46.64, 134.26</w:t>
            </w:r>
          </w:p>
        </w:tc>
      </w:tr>
    </w:tbl>
    <w:p w:rsidR="0004128C" w:rsidRPr="0004128C" w:rsidRDefault="0004128C" w:rsidP="00144487">
      <w:pPr>
        <w:keepNext/>
        <w:spacing w:after="0" w:line="240" w:lineRule="auto"/>
        <w:rPr>
          <w:rFonts w:ascii="Arial Narrow" w:hAnsi="Arial Narrow"/>
          <w:sz w:val="16"/>
          <w:szCs w:val="16"/>
          <w:lang w:eastAsia="en-AU"/>
        </w:rPr>
      </w:pPr>
      <w:r w:rsidRPr="0004128C">
        <w:rPr>
          <w:rFonts w:ascii="Arial Narrow" w:hAnsi="Arial Narrow"/>
          <w:sz w:val="16"/>
          <w:szCs w:val="16"/>
          <w:lang w:eastAsia="en-AU"/>
        </w:rPr>
        <w:t>Data received via email from Schiffmann, received on 10</w:t>
      </w:r>
      <w:r w:rsidRPr="0004128C">
        <w:rPr>
          <w:rFonts w:ascii="Arial Narrow" w:hAnsi="Arial Narrow"/>
          <w:sz w:val="16"/>
          <w:szCs w:val="16"/>
          <w:vertAlign w:val="superscript"/>
          <w:lang w:eastAsia="en-AU"/>
        </w:rPr>
        <w:t>th</w:t>
      </w:r>
      <w:r w:rsidRPr="0004128C">
        <w:rPr>
          <w:rFonts w:ascii="Arial Narrow" w:hAnsi="Arial Narrow"/>
          <w:sz w:val="16"/>
          <w:szCs w:val="16"/>
          <w:lang w:eastAsia="en-AU"/>
        </w:rPr>
        <w:t xml:space="preserve"> November, 2014. Data are intention-to-treat, using last observation carried forward for missing data (one patient in ERT + vitamin D condition did not have 6 month data).</w:t>
      </w:r>
    </w:p>
    <w:p w:rsidR="0004128C" w:rsidRPr="0004128C" w:rsidRDefault="0004128C" w:rsidP="0004128C">
      <w:pPr>
        <w:keepNext/>
        <w:spacing w:after="0" w:line="240" w:lineRule="auto"/>
        <w:rPr>
          <w:rFonts w:ascii="Arial Narrow" w:hAnsi="Arial Narrow"/>
          <w:sz w:val="16"/>
          <w:szCs w:val="16"/>
          <w:lang w:eastAsia="en-AU"/>
        </w:rPr>
      </w:pPr>
    </w:p>
    <w:p w:rsidR="0004128C" w:rsidRPr="0004128C" w:rsidRDefault="0004128C" w:rsidP="0004128C">
      <w:r w:rsidRPr="0004128C">
        <w:t xml:space="preserve">Over the 2 years of the study (including the period where all three groups received ERT), some patients suffered complications, which are outlined in </w:t>
      </w:r>
      <w:r w:rsidR="00A72B26" w:rsidRPr="0004128C">
        <w:t xml:space="preserve">Table </w:t>
      </w:r>
      <w:r w:rsidR="00A72B26">
        <w:rPr>
          <w:noProof/>
        </w:rPr>
        <w:t>7</w:t>
      </w:r>
      <w:r w:rsidRPr="0004128C">
        <w:t xml:space="preserve">. No distinction was made in the publication regarding whether the adverse events were considered </w:t>
      </w:r>
      <w:r w:rsidR="008E67A4">
        <w:t xml:space="preserve">to be </w:t>
      </w:r>
      <w:r w:rsidRPr="0004128C">
        <w:t xml:space="preserve">related to </w:t>
      </w:r>
      <w:proofErr w:type="gramStart"/>
      <w:r w:rsidRPr="0004128C">
        <w:t>Gaucher</w:t>
      </w:r>
      <w:proofErr w:type="gramEnd"/>
      <w:r w:rsidRPr="0004128C">
        <w:t xml:space="preserve"> disease or a complication of treatment. No comparison can be made between ERT and vitamin D alone due to all groups receiving ERT after the first 6 months. </w:t>
      </w:r>
    </w:p>
    <w:p w:rsidR="0004128C" w:rsidRPr="0004128C" w:rsidRDefault="0004128C" w:rsidP="009B5F63">
      <w:pPr>
        <w:pStyle w:val="Caption"/>
        <w:keepNext/>
        <w:tabs>
          <w:tab w:val="clear" w:pos="851"/>
          <w:tab w:val="left" w:pos="993"/>
        </w:tabs>
      </w:pPr>
      <w:bookmarkStart w:id="108" w:name="_Ref404339019"/>
      <w:bookmarkStart w:id="109" w:name="_Toc411510391"/>
      <w:bookmarkStart w:id="110" w:name="_Toc415141804"/>
      <w:r w:rsidRPr="0004128C">
        <w:t xml:space="preserve">Table </w:t>
      </w:r>
      <w:r w:rsidR="00A72B26">
        <w:rPr>
          <w:noProof/>
        </w:rPr>
        <w:t>7</w:t>
      </w:r>
      <w:bookmarkEnd w:id="108"/>
      <w:r w:rsidRPr="0004128C">
        <w:tab/>
        <w:t xml:space="preserve">Adverse events of treatment and </w:t>
      </w:r>
      <w:proofErr w:type="gramStart"/>
      <w:r w:rsidRPr="0004128C">
        <w:t>Gaucher</w:t>
      </w:r>
      <w:proofErr w:type="gramEnd"/>
      <w:r w:rsidRPr="0004128C">
        <w:t xml:space="preserve"> disease during study period</w:t>
      </w:r>
      <w:bookmarkEnd w:id="109"/>
      <w:bookmarkEnd w:id="110"/>
    </w:p>
    <w:tbl>
      <w:tblPr>
        <w:tblStyle w:val="TableGrid"/>
        <w:tblW w:w="5000" w:type="pct"/>
        <w:tblLayout w:type="fixed"/>
        <w:tblLook w:val="04A0" w:firstRow="1" w:lastRow="0" w:firstColumn="1" w:lastColumn="0" w:noHBand="0" w:noVBand="1"/>
        <w:tblCaption w:val="Table 6 Adverse events of treatment and Gaucher disease during study period"/>
      </w:tblPr>
      <w:tblGrid>
        <w:gridCol w:w="3509"/>
        <w:gridCol w:w="1278"/>
        <w:gridCol w:w="1276"/>
        <w:gridCol w:w="1983"/>
        <w:gridCol w:w="1196"/>
      </w:tblGrid>
      <w:tr w:rsidR="0004128C" w:rsidRPr="0004128C" w:rsidTr="00712231">
        <w:trPr>
          <w:trHeight w:val="1025"/>
          <w:tblHeader/>
        </w:trPr>
        <w:tc>
          <w:tcPr>
            <w:tcW w:w="1898" w:type="pct"/>
          </w:tcPr>
          <w:p w:rsidR="0004128C" w:rsidRPr="0004128C" w:rsidRDefault="0004128C" w:rsidP="008E67A4">
            <w:pPr>
              <w:pStyle w:val="TableHeading"/>
            </w:pPr>
            <w:r w:rsidRPr="0004128C">
              <w:t>Outcome</w:t>
            </w:r>
          </w:p>
        </w:tc>
        <w:tc>
          <w:tcPr>
            <w:tcW w:w="691" w:type="pct"/>
          </w:tcPr>
          <w:p w:rsidR="0004128C" w:rsidRPr="0004128C" w:rsidRDefault="0004128C" w:rsidP="008E67A4">
            <w:pPr>
              <w:pStyle w:val="TableHeading"/>
            </w:pPr>
            <w:r w:rsidRPr="0004128C">
              <w:t>ERT</w:t>
            </w:r>
          </w:p>
          <w:p w:rsidR="0004128C" w:rsidRPr="0004128C" w:rsidRDefault="0004128C" w:rsidP="008E67A4">
            <w:pPr>
              <w:pStyle w:val="TableHeading"/>
            </w:pPr>
            <w:r w:rsidRPr="0004128C">
              <w:t>(N</w:t>
            </w:r>
            <w:r w:rsidR="00652355" w:rsidRPr="00652355">
              <w:rPr>
                <w:spacing w:val="-20"/>
              </w:rPr>
              <w:t xml:space="preserve"> = </w:t>
            </w:r>
            <w:r w:rsidRPr="0004128C">
              <w:t>8)</w:t>
            </w:r>
          </w:p>
        </w:tc>
        <w:tc>
          <w:tcPr>
            <w:tcW w:w="690" w:type="pct"/>
          </w:tcPr>
          <w:p w:rsidR="0004128C" w:rsidRPr="0004128C" w:rsidRDefault="0004128C" w:rsidP="008E67A4">
            <w:pPr>
              <w:pStyle w:val="TableHeading"/>
            </w:pPr>
            <w:r w:rsidRPr="0004128C">
              <w:t xml:space="preserve">ERT plus Vitamin D </w:t>
            </w:r>
          </w:p>
          <w:p w:rsidR="0004128C" w:rsidRPr="0004128C" w:rsidRDefault="0004128C" w:rsidP="008E67A4">
            <w:pPr>
              <w:pStyle w:val="TableHeading"/>
            </w:pPr>
            <w:r w:rsidRPr="0004128C">
              <w:t>(N</w:t>
            </w:r>
            <w:r w:rsidR="00652355" w:rsidRPr="00652355">
              <w:rPr>
                <w:spacing w:val="-20"/>
              </w:rPr>
              <w:t xml:space="preserve"> = </w:t>
            </w:r>
            <w:r w:rsidRPr="0004128C">
              <w:t>12)</w:t>
            </w:r>
          </w:p>
        </w:tc>
        <w:tc>
          <w:tcPr>
            <w:tcW w:w="1073" w:type="pct"/>
          </w:tcPr>
          <w:p w:rsidR="0004128C" w:rsidRPr="0004128C" w:rsidRDefault="0004128C" w:rsidP="008E67A4">
            <w:pPr>
              <w:pStyle w:val="TableHeading"/>
            </w:pPr>
            <w:r w:rsidRPr="0004128C">
              <w:t>Vitamin D alone for 6 months, then plus ERT</w:t>
            </w:r>
          </w:p>
          <w:p w:rsidR="0004128C" w:rsidRPr="0004128C" w:rsidRDefault="0004128C" w:rsidP="008E67A4">
            <w:pPr>
              <w:pStyle w:val="TableHeading"/>
            </w:pPr>
            <w:r w:rsidRPr="0004128C">
              <w:t>(N</w:t>
            </w:r>
            <w:r w:rsidR="00652355" w:rsidRPr="00652355">
              <w:rPr>
                <w:spacing w:val="-20"/>
              </w:rPr>
              <w:t xml:space="preserve"> = </w:t>
            </w:r>
            <w:r w:rsidRPr="0004128C">
              <w:t>10)</w:t>
            </w:r>
          </w:p>
        </w:tc>
        <w:tc>
          <w:tcPr>
            <w:tcW w:w="647" w:type="pct"/>
          </w:tcPr>
          <w:p w:rsidR="0004128C" w:rsidRPr="0004128C" w:rsidRDefault="0004128C" w:rsidP="008E67A4">
            <w:pPr>
              <w:pStyle w:val="TableHeading"/>
            </w:pPr>
            <w:r w:rsidRPr="0004128C">
              <w:t>Not stated</w:t>
            </w:r>
          </w:p>
        </w:tc>
      </w:tr>
      <w:tr w:rsidR="0004128C" w:rsidRPr="0004128C" w:rsidTr="0004128C">
        <w:tc>
          <w:tcPr>
            <w:tcW w:w="1898" w:type="pct"/>
          </w:tcPr>
          <w:p w:rsidR="0004128C" w:rsidRPr="0004128C" w:rsidRDefault="0004128C" w:rsidP="008E67A4">
            <w:pPr>
              <w:pStyle w:val="TableText0"/>
            </w:pPr>
            <w:r w:rsidRPr="0004128C">
              <w:t>Pulmonary hypertension</w:t>
            </w:r>
          </w:p>
        </w:tc>
        <w:tc>
          <w:tcPr>
            <w:tcW w:w="691" w:type="pct"/>
          </w:tcPr>
          <w:p w:rsidR="0004128C" w:rsidRPr="0004128C" w:rsidRDefault="0004128C" w:rsidP="008E67A4">
            <w:pPr>
              <w:pStyle w:val="TableText0"/>
            </w:pPr>
            <w:r w:rsidRPr="0004128C">
              <w:t>1</w:t>
            </w:r>
          </w:p>
        </w:tc>
        <w:tc>
          <w:tcPr>
            <w:tcW w:w="690" w:type="pct"/>
          </w:tcPr>
          <w:p w:rsidR="0004128C" w:rsidRPr="0004128C" w:rsidRDefault="0004128C" w:rsidP="008E67A4">
            <w:pPr>
              <w:pStyle w:val="TableText0"/>
            </w:pPr>
            <w:r w:rsidRPr="0004128C">
              <w:t>0</w:t>
            </w:r>
          </w:p>
        </w:tc>
        <w:tc>
          <w:tcPr>
            <w:tcW w:w="1073" w:type="pct"/>
          </w:tcPr>
          <w:p w:rsidR="0004128C" w:rsidRPr="0004128C" w:rsidRDefault="0004128C" w:rsidP="008E67A4">
            <w:pPr>
              <w:pStyle w:val="TableText0"/>
            </w:pPr>
            <w:r w:rsidRPr="0004128C">
              <w:t>1</w:t>
            </w:r>
          </w:p>
        </w:tc>
        <w:tc>
          <w:tcPr>
            <w:tcW w:w="647" w:type="pct"/>
          </w:tcPr>
          <w:p w:rsidR="0004128C" w:rsidRPr="0004128C" w:rsidRDefault="0004128C" w:rsidP="008E67A4">
            <w:pPr>
              <w:pStyle w:val="TableText0"/>
            </w:pPr>
            <w:r w:rsidRPr="0004128C">
              <w:t>-</w:t>
            </w:r>
          </w:p>
        </w:tc>
      </w:tr>
      <w:tr w:rsidR="0004128C" w:rsidRPr="0004128C" w:rsidTr="0004128C">
        <w:tc>
          <w:tcPr>
            <w:tcW w:w="1898" w:type="pct"/>
          </w:tcPr>
          <w:p w:rsidR="0004128C" w:rsidRPr="0004128C" w:rsidRDefault="0004128C" w:rsidP="008E67A4">
            <w:pPr>
              <w:pStyle w:val="TableText0"/>
            </w:pPr>
            <w:r w:rsidRPr="0004128C">
              <w:t>Osteonecrosis of the hip</w:t>
            </w:r>
          </w:p>
        </w:tc>
        <w:tc>
          <w:tcPr>
            <w:tcW w:w="691" w:type="pct"/>
          </w:tcPr>
          <w:p w:rsidR="0004128C" w:rsidRPr="0004128C" w:rsidRDefault="0004128C" w:rsidP="008E67A4">
            <w:pPr>
              <w:pStyle w:val="TableText0"/>
            </w:pPr>
            <w:r w:rsidRPr="0004128C">
              <w:t>1</w:t>
            </w:r>
          </w:p>
        </w:tc>
        <w:tc>
          <w:tcPr>
            <w:tcW w:w="690" w:type="pct"/>
          </w:tcPr>
          <w:p w:rsidR="0004128C" w:rsidRPr="0004128C" w:rsidRDefault="00325CCF" w:rsidP="008E67A4">
            <w:pPr>
              <w:pStyle w:val="TableText0"/>
            </w:pPr>
            <w:r>
              <w:t>0</w:t>
            </w:r>
          </w:p>
        </w:tc>
        <w:tc>
          <w:tcPr>
            <w:tcW w:w="1073" w:type="pct"/>
          </w:tcPr>
          <w:p w:rsidR="0004128C" w:rsidRPr="0004128C" w:rsidRDefault="0004128C" w:rsidP="008E67A4">
            <w:pPr>
              <w:pStyle w:val="TableText0"/>
            </w:pPr>
            <w:r w:rsidRPr="0004128C">
              <w:t>1</w:t>
            </w:r>
          </w:p>
        </w:tc>
        <w:tc>
          <w:tcPr>
            <w:tcW w:w="647" w:type="pct"/>
          </w:tcPr>
          <w:p w:rsidR="0004128C" w:rsidRPr="0004128C" w:rsidRDefault="0004128C" w:rsidP="008E67A4">
            <w:pPr>
              <w:pStyle w:val="TableText0"/>
            </w:pPr>
            <w:r w:rsidRPr="0004128C">
              <w:t>-</w:t>
            </w:r>
          </w:p>
        </w:tc>
      </w:tr>
      <w:tr w:rsidR="0004128C" w:rsidRPr="0004128C" w:rsidTr="0004128C">
        <w:tc>
          <w:tcPr>
            <w:tcW w:w="1898" w:type="pct"/>
          </w:tcPr>
          <w:p w:rsidR="0004128C" w:rsidRPr="0004128C" w:rsidRDefault="0004128C" w:rsidP="008E67A4">
            <w:pPr>
              <w:pStyle w:val="TableText0"/>
            </w:pPr>
            <w:r w:rsidRPr="0004128C">
              <w:t>Vitamin B12 deficiency</w:t>
            </w:r>
          </w:p>
        </w:tc>
        <w:tc>
          <w:tcPr>
            <w:tcW w:w="691" w:type="pct"/>
          </w:tcPr>
          <w:p w:rsidR="0004128C" w:rsidRPr="0004128C" w:rsidRDefault="0004128C" w:rsidP="008E67A4">
            <w:pPr>
              <w:pStyle w:val="TableText0"/>
            </w:pPr>
            <w:r w:rsidRPr="0004128C">
              <w:t>-</w:t>
            </w:r>
          </w:p>
        </w:tc>
        <w:tc>
          <w:tcPr>
            <w:tcW w:w="690" w:type="pct"/>
          </w:tcPr>
          <w:p w:rsidR="0004128C" w:rsidRPr="0004128C" w:rsidRDefault="0004128C" w:rsidP="008E67A4">
            <w:pPr>
              <w:pStyle w:val="TableText0"/>
            </w:pPr>
            <w:r w:rsidRPr="0004128C">
              <w:t>-</w:t>
            </w:r>
          </w:p>
        </w:tc>
        <w:tc>
          <w:tcPr>
            <w:tcW w:w="1073" w:type="pct"/>
          </w:tcPr>
          <w:p w:rsidR="0004128C" w:rsidRPr="0004128C" w:rsidRDefault="0004128C" w:rsidP="008E67A4">
            <w:pPr>
              <w:pStyle w:val="TableText0"/>
            </w:pPr>
            <w:r w:rsidRPr="0004128C">
              <w:t>-</w:t>
            </w:r>
          </w:p>
        </w:tc>
        <w:tc>
          <w:tcPr>
            <w:tcW w:w="647" w:type="pct"/>
          </w:tcPr>
          <w:p w:rsidR="0004128C" w:rsidRPr="0004128C" w:rsidRDefault="0004128C" w:rsidP="008E67A4">
            <w:pPr>
              <w:pStyle w:val="TableText0"/>
            </w:pPr>
            <w:r w:rsidRPr="0004128C">
              <w:t>1</w:t>
            </w:r>
          </w:p>
        </w:tc>
      </w:tr>
      <w:tr w:rsidR="0004128C" w:rsidRPr="0004128C" w:rsidTr="0004128C">
        <w:tc>
          <w:tcPr>
            <w:tcW w:w="1898" w:type="pct"/>
          </w:tcPr>
          <w:p w:rsidR="0004128C" w:rsidRPr="0004128C" w:rsidRDefault="0004128C" w:rsidP="008E67A4">
            <w:pPr>
              <w:pStyle w:val="TableText0"/>
            </w:pPr>
            <w:r w:rsidRPr="0004128C">
              <w:t>Bone crises (1-3 crises)</w:t>
            </w:r>
          </w:p>
        </w:tc>
        <w:tc>
          <w:tcPr>
            <w:tcW w:w="691" w:type="pct"/>
          </w:tcPr>
          <w:p w:rsidR="0004128C" w:rsidRPr="0004128C" w:rsidRDefault="00691399" w:rsidP="008E67A4">
            <w:pPr>
              <w:pStyle w:val="TableText0"/>
            </w:pPr>
            <w:r>
              <w:t>2</w:t>
            </w:r>
          </w:p>
        </w:tc>
        <w:tc>
          <w:tcPr>
            <w:tcW w:w="690" w:type="pct"/>
          </w:tcPr>
          <w:p w:rsidR="0004128C" w:rsidRPr="0004128C" w:rsidRDefault="0004128C" w:rsidP="008E67A4">
            <w:pPr>
              <w:pStyle w:val="TableText0"/>
            </w:pPr>
            <w:r w:rsidRPr="0004128C">
              <w:t>2</w:t>
            </w:r>
          </w:p>
        </w:tc>
        <w:tc>
          <w:tcPr>
            <w:tcW w:w="1073" w:type="pct"/>
          </w:tcPr>
          <w:p w:rsidR="0004128C" w:rsidRPr="0004128C" w:rsidRDefault="0004128C" w:rsidP="008E67A4">
            <w:pPr>
              <w:pStyle w:val="TableText0"/>
            </w:pPr>
            <w:r w:rsidRPr="0004128C">
              <w:t>3</w:t>
            </w:r>
          </w:p>
        </w:tc>
        <w:tc>
          <w:tcPr>
            <w:tcW w:w="647" w:type="pct"/>
          </w:tcPr>
          <w:p w:rsidR="0004128C" w:rsidRPr="0004128C" w:rsidRDefault="0004128C" w:rsidP="008E67A4">
            <w:pPr>
              <w:pStyle w:val="TableText0"/>
            </w:pPr>
            <w:r w:rsidRPr="0004128C">
              <w:t>-</w:t>
            </w:r>
          </w:p>
        </w:tc>
      </w:tr>
    </w:tbl>
    <w:p w:rsidR="0004128C" w:rsidRPr="0004128C" w:rsidRDefault="0004128C" w:rsidP="0004128C"/>
    <w:p w:rsidR="0004128C" w:rsidRPr="0004128C" w:rsidRDefault="0004128C" w:rsidP="00A979FB">
      <w:pPr>
        <w:pStyle w:val="Heading4"/>
      </w:pPr>
      <w:r w:rsidRPr="0004128C">
        <w:t>Additional evidence on imiglucerase compared to standard therapy</w:t>
      </w:r>
    </w:p>
    <w:p w:rsidR="008E67A4" w:rsidRPr="0004128C" w:rsidRDefault="008E67A4" w:rsidP="00DE29A8">
      <w:r w:rsidRPr="0004128C">
        <w:t xml:space="preserve">Although not formally included in the systematic review due to randomised trial evidence being available, a total of 15 cohort studies were </w:t>
      </w:r>
      <w:r>
        <w:t xml:space="preserve">also </w:t>
      </w:r>
      <w:r w:rsidRPr="0004128C">
        <w:t>identified</w:t>
      </w:r>
      <w:r>
        <w:t>. The findings from these cohort studies</w:t>
      </w:r>
      <w:r w:rsidRPr="0004128C">
        <w:t xml:space="preserve"> support the results of the randomised trial. </w:t>
      </w:r>
      <w:r>
        <w:t>T</w:t>
      </w:r>
      <w:r w:rsidRPr="0004128C">
        <w:t xml:space="preserve">he effectiveness of imiglucerase </w:t>
      </w:r>
      <w:r w:rsidRPr="0004128C">
        <w:lastRenderedPageBreak/>
        <w:t>(with or without some patients having received alglucerase initially)</w:t>
      </w:r>
      <w:r>
        <w:t xml:space="preserve"> was</w:t>
      </w:r>
      <w:r w:rsidRPr="0004128C">
        <w:t xml:space="preserve"> compared to </w:t>
      </w:r>
      <w:r>
        <w:t>receiving standard care</w:t>
      </w:r>
      <w:r w:rsidRPr="0004128C">
        <w:t xml:space="preserve"> </w:t>
      </w:r>
      <w:r w:rsidR="00746F05">
        <w:rPr>
          <w:noProof/>
        </w:rPr>
        <w:t>(</w:t>
      </w:r>
      <w:r w:rsidR="00184B6F">
        <w:rPr>
          <w:noProof/>
        </w:rPr>
        <w:t>Casal et al. 2002</w:t>
      </w:r>
      <w:r w:rsidR="00746F05">
        <w:rPr>
          <w:noProof/>
        </w:rPr>
        <w:t xml:space="preserve">; </w:t>
      </w:r>
      <w:r w:rsidR="00184B6F">
        <w:rPr>
          <w:noProof/>
        </w:rPr>
        <w:t>Donaldson, J et al. 2011</w:t>
      </w:r>
      <w:r w:rsidR="00746F05">
        <w:rPr>
          <w:noProof/>
        </w:rPr>
        <w:t xml:space="preserve">; </w:t>
      </w:r>
      <w:r w:rsidR="00184B6F">
        <w:rPr>
          <w:noProof/>
        </w:rPr>
        <w:t>Elstein, Y et al. 2004</w:t>
      </w:r>
      <w:r w:rsidR="00746F05">
        <w:rPr>
          <w:noProof/>
        </w:rPr>
        <w:t xml:space="preserve">; </w:t>
      </w:r>
      <w:r w:rsidR="00184B6F">
        <w:rPr>
          <w:noProof/>
        </w:rPr>
        <w:t>Giraldo et al. 2011</w:t>
      </w:r>
      <w:r w:rsidR="00746F05">
        <w:rPr>
          <w:noProof/>
        </w:rPr>
        <w:t xml:space="preserve">; </w:t>
      </w:r>
      <w:r w:rsidR="00184B6F">
        <w:rPr>
          <w:noProof/>
        </w:rPr>
        <w:t>Grigorescu-Sido et al. 2010</w:t>
      </w:r>
      <w:r w:rsidR="00746F05">
        <w:rPr>
          <w:noProof/>
        </w:rPr>
        <w:t xml:space="preserve">; </w:t>
      </w:r>
      <w:r w:rsidR="00184B6F">
        <w:rPr>
          <w:noProof/>
        </w:rPr>
        <w:t>Hayes, RP et al. 1998</w:t>
      </w:r>
      <w:r w:rsidR="00746F05">
        <w:rPr>
          <w:noProof/>
        </w:rPr>
        <w:t xml:space="preserve">; </w:t>
      </w:r>
      <w:r w:rsidR="00184B6F">
        <w:rPr>
          <w:noProof/>
        </w:rPr>
        <w:t>Hollak et al. 2001</w:t>
      </w:r>
      <w:r w:rsidR="00746F05">
        <w:rPr>
          <w:noProof/>
        </w:rPr>
        <w:t xml:space="preserve">; </w:t>
      </w:r>
      <w:r w:rsidR="00184B6F">
        <w:rPr>
          <w:noProof/>
        </w:rPr>
        <w:t>Mistry et al. 2002</w:t>
      </w:r>
      <w:r w:rsidR="00746F05">
        <w:rPr>
          <w:noProof/>
        </w:rPr>
        <w:t xml:space="preserve">; </w:t>
      </w:r>
      <w:r w:rsidR="00184B6F">
        <w:rPr>
          <w:noProof/>
        </w:rPr>
        <w:t>Oliveira et al. 2013</w:t>
      </w:r>
      <w:r w:rsidR="00746F05">
        <w:rPr>
          <w:noProof/>
        </w:rPr>
        <w:t xml:space="preserve">; </w:t>
      </w:r>
      <w:r w:rsidR="00184B6F">
        <w:rPr>
          <w:noProof/>
        </w:rPr>
        <w:t>Stirnemann et al. 2010</w:t>
      </w:r>
      <w:r w:rsidR="00746F05">
        <w:rPr>
          <w:noProof/>
        </w:rPr>
        <w:t xml:space="preserve">; </w:t>
      </w:r>
      <w:r w:rsidR="00184B6F">
        <w:rPr>
          <w:noProof/>
        </w:rPr>
        <w:t>Stirnemann et al. 2012</w:t>
      </w:r>
      <w:r w:rsidR="00746F05">
        <w:rPr>
          <w:noProof/>
        </w:rPr>
        <w:t xml:space="preserve">; </w:t>
      </w:r>
      <w:r w:rsidR="00184B6F">
        <w:rPr>
          <w:noProof/>
        </w:rPr>
        <w:t>Terk, Dardashti &amp; Liebman 2000</w:t>
      </w:r>
      <w:r w:rsidR="00746F05">
        <w:rPr>
          <w:noProof/>
        </w:rPr>
        <w:t xml:space="preserve">; </w:t>
      </w:r>
      <w:r w:rsidR="00184B6F">
        <w:rPr>
          <w:noProof/>
        </w:rPr>
        <w:t>van Dussen, Biegstraaten, Dijkgraaf, et al. 2014</w:t>
      </w:r>
      <w:r w:rsidR="00746F05">
        <w:rPr>
          <w:noProof/>
        </w:rPr>
        <w:t xml:space="preserve">; </w:t>
      </w:r>
      <w:r w:rsidR="00184B6F">
        <w:rPr>
          <w:noProof/>
        </w:rPr>
        <w:t>Wyatt et al. 2012b</w:t>
      </w:r>
      <w:r w:rsidR="00746F05">
        <w:rPr>
          <w:noProof/>
        </w:rPr>
        <w:t xml:space="preserve">; </w:t>
      </w:r>
      <w:r w:rsidR="00184B6F">
        <w:rPr>
          <w:noProof/>
        </w:rPr>
        <w:t>Zimran et al. 2009</w:t>
      </w:r>
      <w:r w:rsidR="00746F05">
        <w:rPr>
          <w:noProof/>
        </w:rPr>
        <w:t>)</w:t>
      </w:r>
      <w:r w:rsidRPr="0004128C">
        <w:t xml:space="preserve">. </w:t>
      </w:r>
      <w:r>
        <w:t>In the majority of</w:t>
      </w:r>
      <w:r w:rsidRPr="0004128C">
        <w:t xml:space="preserve"> these studies ERT </w:t>
      </w:r>
      <w:r>
        <w:t>was found</w:t>
      </w:r>
      <w:r w:rsidRPr="0004128C">
        <w:t xml:space="preserve"> t</w:t>
      </w:r>
      <w:r>
        <w:t>o be</w:t>
      </w:r>
      <w:r w:rsidRPr="0004128C">
        <w:t xml:space="preserve"> superior to no ERT (</w:t>
      </w:r>
      <w:r>
        <w:t>and</w:t>
      </w:r>
      <w:r w:rsidRPr="0004128C">
        <w:t xml:space="preserve"> supportive therapy). </w:t>
      </w:r>
    </w:p>
    <w:p w:rsidR="008E67A4" w:rsidRPr="0004128C" w:rsidRDefault="008E67A4" w:rsidP="008E67A4">
      <w:r w:rsidRPr="0004128C">
        <w:t>Cohort studies, where patients are recommended to receive, or not to receive</w:t>
      </w:r>
      <w:r>
        <w:t>,</w:t>
      </w:r>
      <w:r w:rsidRPr="0004128C">
        <w:t xml:space="preserve"> ERT based on how severe their symptoms are, have a high risk of selection bias. Three </w:t>
      </w:r>
      <w:r>
        <w:t xml:space="preserve">of the </w:t>
      </w:r>
      <w:r w:rsidRPr="0004128C">
        <w:t xml:space="preserve">cohort studies reported that health outcomes were worse in those </w:t>
      </w:r>
      <w:r>
        <w:t xml:space="preserve">patients </w:t>
      </w:r>
      <w:r w:rsidRPr="0004128C">
        <w:t xml:space="preserve">who had undergone ERT, than those who had not received ERT </w:t>
      </w:r>
      <w:r w:rsidR="00A130D0">
        <w:rPr>
          <w:noProof/>
        </w:rPr>
        <w:t>(</w:t>
      </w:r>
      <w:r w:rsidR="00184B6F">
        <w:rPr>
          <w:noProof/>
        </w:rPr>
        <w:t>Elstein, Y et al. 2004</w:t>
      </w:r>
      <w:r w:rsidR="00A130D0">
        <w:rPr>
          <w:noProof/>
        </w:rPr>
        <w:t xml:space="preserve">; </w:t>
      </w:r>
      <w:r w:rsidR="00184B6F">
        <w:rPr>
          <w:noProof/>
        </w:rPr>
        <w:t>Giraldo et al. 2011</w:t>
      </w:r>
      <w:r w:rsidR="00A130D0">
        <w:rPr>
          <w:noProof/>
        </w:rPr>
        <w:t xml:space="preserve">; </w:t>
      </w:r>
      <w:r w:rsidR="00184B6F">
        <w:rPr>
          <w:noProof/>
        </w:rPr>
        <w:t>Hayes, RP et al. 1998</w:t>
      </w:r>
      <w:r w:rsidR="00A130D0">
        <w:rPr>
          <w:noProof/>
        </w:rPr>
        <w:t>)</w:t>
      </w:r>
      <w:r w:rsidRPr="0004128C">
        <w:t xml:space="preserve">. Giraldo et al (2011) reported that during an imiglucerase shortage, patients were either given a reduced dose, or discontinued treatment, depending on </w:t>
      </w:r>
      <w:r>
        <w:t xml:space="preserve">the </w:t>
      </w:r>
      <w:r w:rsidRPr="0004128C">
        <w:t xml:space="preserve">severity of </w:t>
      </w:r>
      <w:r>
        <w:t>their symptoms</w:t>
      </w:r>
      <w:r w:rsidRPr="0004128C">
        <w:t xml:space="preserve">. During follow-up, those </w:t>
      </w:r>
      <w:r>
        <w:t>receiving a</w:t>
      </w:r>
      <w:r w:rsidRPr="0004128C">
        <w:t xml:space="preserve"> reduced dose of imiglucerase had more bone pain, and more need for supportive therapy than those who had discontinued ERT treatment. However, given the differences in baseline </w:t>
      </w:r>
      <w:r>
        <w:t xml:space="preserve">disease </w:t>
      </w:r>
      <w:r w:rsidRPr="0004128C">
        <w:t xml:space="preserve">severity, these results should not be considered to reflect </w:t>
      </w:r>
      <w:r>
        <w:t xml:space="preserve">a </w:t>
      </w:r>
      <w:r w:rsidRPr="0004128C">
        <w:t xml:space="preserve">lack of treatment effect. In this same study, </w:t>
      </w:r>
      <w:r>
        <w:t>when</w:t>
      </w:r>
      <w:r w:rsidRPr="0004128C">
        <w:t xml:space="preserve"> baseline differences </w:t>
      </w:r>
      <w:r>
        <w:t xml:space="preserve">were taken </w:t>
      </w:r>
      <w:r w:rsidRPr="0004128C">
        <w:t xml:space="preserve">into account, chitotriosidase levels increased more in </w:t>
      </w:r>
      <w:r>
        <w:t>the</w:t>
      </w:r>
      <w:r w:rsidRPr="0004128C">
        <w:t xml:space="preserve"> group of patients who had discontinued treatment with imiglucerase during the ERT shortage, compared to those who had </w:t>
      </w:r>
      <w:r>
        <w:t xml:space="preserve">been on </w:t>
      </w:r>
      <w:r w:rsidRPr="0004128C">
        <w:t xml:space="preserve">a reduced dose (i.e. favouring ERT) </w:t>
      </w:r>
      <w:r w:rsidR="00A130D0">
        <w:rPr>
          <w:noProof/>
        </w:rPr>
        <w:t>(</w:t>
      </w:r>
      <w:r w:rsidR="00184B6F">
        <w:rPr>
          <w:noProof/>
        </w:rPr>
        <w:t>Giraldo et al. 2011</w:t>
      </w:r>
      <w:r w:rsidR="00A130D0">
        <w:rPr>
          <w:noProof/>
        </w:rPr>
        <w:t>)</w:t>
      </w:r>
      <w:r w:rsidRPr="0004128C">
        <w:t xml:space="preserve">. </w:t>
      </w:r>
    </w:p>
    <w:p w:rsidR="008E67A4" w:rsidRPr="0004128C" w:rsidRDefault="008E67A4" w:rsidP="008E67A4">
      <w:r w:rsidRPr="0004128C">
        <w:t xml:space="preserve">One study reported that postpartum haemorrhage was more common in those </w:t>
      </w:r>
      <w:r>
        <w:t xml:space="preserve">patients with symptoms </w:t>
      </w:r>
      <w:r w:rsidRPr="0004128C">
        <w:t xml:space="preserve">serious enough to continue ERT throughout their pregnancy </w:t>
      </w:r>
      <w:r w:rsidR="00A130D0">
        <w:rPr>
          <w:noProof/>
        </w:rPr>
        <w:t>(</w:t>
      </w:r>
      <w:r w:rsidR="00184B6F">
        <w:rPr>
          <w:noProof/>
        </w:rPr>
        <w:t>Elstein, Y et al. 2004</w:t>
      </w:r>
      <w:r w:rsidR="00A130D0">
        <w:rPr>
          <w:noProof/>
        </w:rPr>
        <w:t>)</w:t>
      </w:r>
      <w:r>
        <w:t>. This was consistent with a</w:t>
      </w:r>
      <w:r w:rsidRPr="0004128C">
        <w:t xml:space="preserve">nother study </w:t>
      </w:r>
      <w:r>
        <w:t xml:space="preserve">that </w:t>
      </w:r>
      <w:r w:rsidRPr="0004128C">
        <w:t xml:space="preserve">reported that Gaucher-related and non-Gaucher related complications were far more common in women who continued to take ERT during pregnancy, compared to those who were untreated </w:t>
      </w:r>
      <w:r w:rsidR="00A130D0">
        <w:rPr>
          <w:noProof/>
        </w:rPr>
        <w:t>(</w:t>
      </w:r>
      <w:r w:rsidR="00184B6F">
        <w:rPr>
          <w:noProof/>
        </w:rPr>
        <w:t>Zimran et al. 2009</w:t>
      </w:r>
      <w:r w:rsidR="00A130D0">
        <w:rPr>
          <w:noProof/>
        </w:rPr>
        <w:t>)</w:t>
      </w:r>
      <w:r w:rsidRPr="0004128C">
        <w:t xml:space="preserve">.  </w:t>
      </w:r>
    </w:p>
    <w:p w:rsidR="00BB01AC" w:rsidRDefault="00BB01AC" w:rsidP="008E67A4">
      <w:r>
        <w:t xml:space="preserve">In a cross-sectional study of 35 patients quality of life was higher in patients who received ERT, although this was only statistically significant on one domain </w:t>
      </w:r>
      <w:r w:rsidRPr="00BB01AC">
        <w:rPr>
          <w:noProof/>
        </w:rPr>
        <w:t>(</w:t>
      </w:r>
      <w:r w:rsidRPr="00500271">
        <w:t>Oliveira et al. 2013</w:t>
      </w:r>
      <w:r w:rsidRPr="00BB01AC">
        <w:rPr>
          <w:noProof/>
        </w:rPr>
        <w:t>)</w:t>
      </w:r>
      <w:r w:rsidRPr="00BB01AC">
        <w:t xml:space="preserve">. Gaucher disease burden, as measured by chitotriosidase activity </w:t>
      </w:r>
      <w:r w:rsidRPr="00BB01AC">
        <w:rPr>
          <w:noProof/>
        </w:rPr>
        <w:t>(</w:t>
      </w:r>
      <w:r w:rsidRPr="00500271">
        <w:t>Casal et al. 2002</w:t>
      </w:r>
      <w:r w:rsidRPr="00BB01AC">
        <w:rPr>
          <w:noProof/>
        </w:rPr>
        <w:t xml:space="preserve">; </w:t>
      </w:r>
      <w:r w:rsidRPr="00500271">
        <w:t>Grigorescu-Sido et al. 2010</w:t>
      </w:r>
      <w:r w:rsidRPr="00BB01AC">
        <w:rPr>
          <w:noProof/>
        </w:rPr>
        <w:t>)</w:t>
      </w:r>
      <w:r w:rsidRPr="00BB01AC">
        <w:t xml:space="preserve">, was reduced. Changes in haemoglobin levels </w:t>
      </w:r>
      <w:r w:rsidRPr="00BB01AC">
        <w:rPr>
          <w:noProof/>
        </w:rPr>
        <w:t>(</w:t>
      </w:r>
      <w:r w:rsidRPr="00500271">
        <w:t>Grigorescu-Sido et al. 2010</w:t>
      </w:r>
      <w:r w:rsidRPr="00BB01AC">
        <w:rPr>
          <w:noProof/>
        </w:rPr>
        <w:t xml:space="preserve">; </w:t>
      </w:r>
      <w:r w:rsidRPr="00500271">
        <w:t>Wyatt et al. 2012b</w:t>
      </w:r>
      <w:r w:rsidRPr="00BB01AC">
        <w:rPr>
          <w:noProof/>
        </w:rPr>
        <w:t xml:space="preserve">; </w:t>
      </w:r>
      <w:r w:rsidRPr="00500271">
        <w:t>Zimran et al. 2009</w:t>
      </w:r>
      <w:r w:rsidRPr="00BB01AC">
        <w:rPr>
          <w:noProof/>
        </w:rPr>
        <w:t>)</w:t>
      </w:r>
      <w:r w:rsidRPr="00BB01AC">
        <w:t xml:space="preserve">, frequency of menorrhagia </w:t>
      </w:r>
      <w:r w:rsidRPr="00BB01AC">
        <w:rPr>
          <w:noProof/>
        </w:rPr>
        <w:t>(</w:t>
      </w:r>
      <w:r w:rsidRPr="00500271">
        <w:t>Zimran et al. 2009</w:t>
      </w:r>
      <w:r w:rsidRPr="00BB01AC">
        <w:rPr>
          <w:noProof/>
        </w:rPr>
        <w:t>)</w:t>
      </w:r>
      <w:r w:rsidRPr="00BB01AC">
        <w:t xml:space="preserve">, and intracerebral bleeding </w:t>
      </w:r>
      <w:r w:rsidRPr="00BB01AC">
        <w:rPr>
          <w:noProof/>
        </w:rPr>
        <w:t>(</w:t>
      </w:r>
      <w:r w:rsidRPr="00500271">
        <w:t>Grigorescu-Sido et al. 2010</w:t>
      </w:r>
      <w:r w:rsidRPr="00BB01AC">
        <w:rPr>
          <w:noProof/>
        </w:rPr>
        <w:t>)</w:t>
      </w:r>
      <w:r w:rsidRPr="00BB01AC">
        <w:t xml:space="preserve"> indicated a lower bleeding</w:t>
      </w:r>
      <w:r>
        <w:t xml:space="preserve"> risk. </w:t>
      </w:r>
    </w:p>
    <w:p w:rsidR="008E67A4" w:rsidRPr="0004128C" w:rsidRDefault="008E67A4" w:rsidP="008E67A4">
      <w:r w:rsidRPr="0004128C">
        <w:t>Bone events were fewer after ERT</w:t>
      </w:r>
      <w:r>
        <w:t xml:space="preserve"> treatment</w:t>
      </w:r>
      <w:r w:rsidRPr="0004128C">
        <w:t xml:space="preserve">, than prior </w:t>
      </w:r>
      <w:r>
        <w:t xml:space="preserve">to receiving </w:t>
      </w:r>
      <w:r w:rsidRPr="0004128C">
        <w:t xml:space="preserve">(or without) ERT </w:t>
      </w:r>
      <w:r w:rsidR="00A130D0">
        <w:rPr>
          <w:noProof/>
        </w:rPr>
        <w:t>(</w:t>
      </w:r>
      <w:r w:rsidR="00184B6F">
        <w:rPr>
          <w:noProof/>
        </w:rPr>
        <w:t>Stirnemann et al. 2010</w:t>
      </w:r>
      <w:r w:rsidR="00A130D0">
        <w:rPr>
          <w:noProof/>
        </w:rPr>
        <w:t xml:space="preserve">; </w:t>
      </w:r>
      <w:r w:rsidR="00184B6F">
        <w:rPr>
          <w:noProof/>
        </w:rPr>
        <w:t>Stirnemann et al. 2012</w:t>
      </w:r>
      <w:r w:rsidR="00A130D0">
        <w:rPr>
          <w:noProof/>
        </w:rPr>
        <w:t xml:space="preserve">; </w:t>
      </w:r>
      <w:r w:rsidR="00184B6F">
        <w:rPr>
          <w:noProof/>
        </w:rPr>
        <w:t>van Dussen, Biegstraaten, Dijkgraaf, et al. 2014</w:t>
      </w:r>
      <w:r w:rsidR="00A130D0">
        <w:rPr>
          <w:noProof/>
        </w:rPr>
        <w:t>)</w:t>
      </w:r>
      <w:r w:rsidRPr="0004128C">
        <w:t xml:space="preserve">. Those </w:t>
      </w:r>
      <w:r>
        <w:t xml:space="preserve">patients </w:t>
      </w:r>
      <w:r w:rsidRPr="0004128C">
        <w:t xml:space="preserve">who had ERT had increased bone marrow fat fractions after treatment, whereas those </w:t>
      </w:r>
      <w:r>
        <w:t xml:space="preserve">who were </w:t>
      </w:r>
      <w:r w:rsidRPr="0004128C">
        <w:t xml:space="preserve">untreated had no increase in fat fraction </w:t>
      </w:r>
      <w:r w:rsidR="00A130D0">
        <w:rPr>
          <w:noProof/>
        </w:rPr>
        <w:t>(</w:t>
      </w:r>
      <w:r w:rsidR="00184B6F">
        <w:rPr>
          <w:noProof/>
        </w:rPr>
        <w:t>Hollak et al. 2001</w:t>
      </w:r>
      <w:r w:rsidR="00A130D0">
        <w:rPr>
          <w:noProof/>
        </w:rPr>
        <w:t>)</w:t>
      </w:r>
      <w:r w:rsidRPr="0004128C">
        <w:t xml:space="preserve">. </w:t>
      </w:r>
    </w:p>
    <w:p w:rsidR="008E67A4" w:rsidRPr="0004128C" w:rsidRDefault="008E67A4" w:rsidP="008E67A4">
      <w:r w:rsidRPr="0004128C">
        <w:lastRenderedPageBreak/>
        <w:t xml:space="preserve">ERT was associated with a reduced risk of an enlarged liver </w:t>
      </w:r>
      <w:r w:rsidR="00746F05">
        <w:rPr>
          <w:noProof/>
        </w:rPr>
        <w:t>(</w:t>
      </w:r>
      <w:r w:rsidR="00184B6F">
        <w:rPr>
          <w:noProof/>
        </w:rPr>
        <w:t>Grigorescu-Sido et al. 2010</w:t>
      </w:r>
      <w:r w:rsidR="00746F05">
        <w:rPr>
          <w:noProof/>
        </w:rPr>
        <w:t xml:space="preserve">; </w:t>
      </w:r>
      <w:r w:rsidR="00184B6F">
        <w:rPr>
          <w:noProof/>
        </w:rPr>
        <w:t>Terk, Dardashti &amp; Liebman 2000</w:t>
      </w:r>
      <w:r w:rsidR="00746F05">
        <w:rPr>
          <w:noProof/>
        </w:rPr>
        <w:t xml:space="preserve">; </w:t>
      </w:r>
      <w:r w:rsidR="00184B6F">
        <w:rPr>
          <w:noProof/>
        </w:rPr>
        <w:t>Wyatt et al. 2012b</w:t>
      </w:r>
      <w:r w:rsidR="00746F05">
        <w:rPr>
          <w:noProof/>
        </w:rPr>
        <w:t>)</w:t>
      </w:r>
      <w:r w:rsidRPr="0004128C">
        <w:t xml:space="preserve"> and an enlarged spleen </w:t>
      </w:r>
      <w:r w:rsidR="00A130D0">
        <w:rPr>
          <w:noProof/>
        </w:rPr>
        <w:t>(</w:t>
      </w:r>
      <w:r w:rsidR="00184B6F">
        <w:rPr>
          <w:noProof/>
        </w:rPr>
        <w:t>Terk, Dardashti &amp; Liebman 2000</w:t>
      </w:r>
      <w:r w:rsidR="00A130D0">
        <w:rPr>
          <w:noProof/>
        </w:rPr>
        <w:t>)</w:t>
      </w:r>
      <w:r w:rsidRPr="0004128C">
        <w:t xml:space="preserve"> and </w:t>
      </w:r>
      <w:r>
        <w:t xml:space="preserve">patients had </w:t>
      </w:r>
      <w:r w:rsidRPr="0004128C">
        <w:t xml:space="preserve">a reduced incidence of a splenectomy </w:t>
      </w:r>
      <w:r w:rsidR="00A130D0">
        <w:rPr>
          <w:noProof/>
        </w:rPr>
        <w:t>(</w:t>
      </w:r>
      <w:r w:rsidR="00184B6F">
        <w:rPr>
          <w:noProof/>
        </w:rPr>
        <w:t>van Dussen, Biegstraaten, Dijkgraaf, et al. 2014</w:t>
      </w:r>
      <w:r w:rsidR="00A130D0">
        <w:rPr>
          <w:noProof/>
        </w:rPr>
        <w:t>)</w:t>
      </w:r>
      <w:r w:rsidRPr="0004128C">
        <w:t>.</w:t>
      </w:r>
    </w:p>
    <w:p w:rsidR="0004128C" w:rsidRPr="0004128C" w:rsidRDefault="008E67A4" w:rsidP="0004128C">
      <w:r w:rsidRPr="0004128C">
        <w:t xml:space="preserve">Patients </w:t>
      </w:r>
      <w:r>
        <w:t>receiving</w:t>
      </w:r>
      <w:r w:rsidRPr="0004128C">
        <w:t xml:space="preserve"> ERT </w:t>
      </w:r>
      <w:r>
        <w:t xml:space="preserve">also </w:t>
      </w:r>
      <w:r w:rsidRPr="0004128C">
        <w:t xml:space="preserve">had a reduced risk of pulmonary hypertension </w:t>
      </w:r>
      <w:r w:rsidR="00A130D0">
        <w:rPr>
          <w:noProof/>
        </w:rPr>
        <w:t>(</w:t>
      </w:r>
      <w:r w:rsidR="00184B6F">
        <w:rPr>
          <w:noProof/>
        </w:rPr>
        <w:t>Mistry et al. 2002</w:t>
      </w:r>
      <w:r w:rsidR="00A130D0">
        <w:rPr>
          <w:noProof/>
        </w:rPr>
        <w:t>)</w:t>
      </w:r>
      <w:r w:rsidRPr="0004128C">
        <w:t>.</w:t>
      </w:r>
    </w:p>
    <w:p w:rsidR="0004128C" w:rsidRPr="0004128C" w:rsidRDefault="0004128C" w:rsidP="00A979FB">
      <w:pPr>
        <w:pStyle w:val="Heading4"/>
      </w:pPr>
      <w:bookmarkStart w:id="111" w:name="_Toc402350977"/>
      <w:r w:rsidRPr="0004128C">
        <w:t xml:space="preserve">Effectiveness of imiglucerase compared to </w:t>
      </w:r>
      <w:bookmarkEnd w:id="111"/>
      <w:r w:rsidRPr="0004128C">
        <w:t>velaglucerase</w:t>
      </w:r>
    </w:p>
    <w:p w:rsidR="0087758F" w:rsidRPr="0004128C" w:rsidRDefault="0087758F" w:rsidP="0087758F">
      <w:bookmarkStart w:id="112" w:name="_Ref406680344"/>
      <w:bookmarkStart w:id="113" w:name="_Toc411510392"/>
      <w:bookmarkStart w:id="114" w:name="_Toc415141805"/>
      <w:r w:rsidRPr="0004128C">
        <w:t xml:space="preserve">Ben Turkia et al (2013) performed a non-inferiority </w:t>
      </w:r>
      <w:r>
        <w:t>trial</w:t>
      </w:r>
      <w:r w:rsidRPr="0004128C">
        <w:t xml:space="preserve"> comparing </w:t>
      </w:r>
      <w:r>
        <w:t xml:space="preserve">60 units/kg/2 weeks of </w:t>
      </w:r>
      <w:r w:rsidRPr="0004128C">
        <w:t>vel</w:t>
      </w:r>
      <w:r>
        <w:t>a</w:t>
      </w:r>
      <w:r w:rsidRPr="0004128C">
        <w:t xml:space="preserve">glucerase alfa and imiglucerase (trial HGT-GCB-039).  </w:t>
      </w:r>
    </w:p>
    <w:p w:rsidR="0087758F" w:rsidRPr="0004128C" w:rsidRDefault="0087758F" w:rsidP="0087758F">
      <w:r>
        <w:t xml:space="preserve">Velaglucerase alfa was pre-specified to be non-inferior to imiglucerase if a one-sided t-test comparison of the haemoglobin levels between treatment groups resulted in a 97.5% confidence interval, with the lower end exceeding -10 g/L. </w:t>
      </w:r>
      <w:r w:rsidRPr="0004128C">
        <w:t xml:space="preserve">Over 9 months patients in both the velaglucerase alfa and imiglucerase groups improved in regards to </w:t>
      </w:r>
      <w:r>
        <w:t xml:space="preserve">haemoglobin levels (a surrogate outcome for bleeding risk), and the difference between the two groups was very small, with the lower confidence limit </w:t>
      </w:r>
      <w:r w:rsidRPr="0004128C">
        <w:t xml:space="preserve"> </w:t>
      </w:r>
      <w:r>
        <w:t xml:space="preserve">exceeding the pre-defined non-inferiority margin. Patients in both treatment groups improved on the other outcome measures, such as platelet count (bleeding risk surrogate), </w:t>
      </w:r>
      <w:r w:rsidRPr="0004128C">
        <w:t>a marker</w:t>
      </w:r>
      <w:r w:rsidR="00BB01AC">
        <w:t xml:space="preserve"> of</w:t>
      </w:r>
      <w:r w:rsidRPr="0004128C">
        <w:t xml:space="preserve"> </w:t>
      </w:r>
      <w:r>
        <w:t xml:space="preserve">disease burden </w:t>
      </w:r>
      <w:r w:rsidRPr="0004128C">
        <w:t xml:space="preserve">(reduced chitotriosidase), and </w:t>
      </w:r>
      <w:r>
        <w:t xml:space="preserve">decreased </w:t>
      </w:r>
      <w:r w:rsidRPr="0004128C">
        <w:t xml:space="preserve">hepatosplenomegaly (reduced spleen and liver volume). No statistically significant differences were detected between the drugs (see Table </w:t>
      </w:r>
      <w:r>
        <w:rPr>
          <w:noProof/>
        </w:rPr>
        <w:t>8</w:t>
      </w:r>
      <w:r w:rsidRPr="0004128C">
        <w:t xml:space="preserve">) (GRADE </w:t>
      </w:r>
      <w:r w:rsidRPr="00D4733A">
        <w:rPr>
          <w:rFonts w:ascii="Cambria Math" w:hAnsi="Cambria Math" w:cs="Cambria Math"/>
          <w:color w:val="00B050"/>
        </w:rPr>
        <w:t>⨁⨁⨁</w:t>
      </w:r>
      <w:r w:rsidRPr="00D4733A">
        <w:rPr>
          <w:rFonts w:ascii="Cambria Math" w:hAnsi="Cambria Math" w:cs="Cambria Math"/>
          <w:color w:val="C00000"/>
        </w:rPr>
        <w:t>⨀</w:t>
      </w:r>
      <w:r w:rsidRPr="0004128C">
        <w:t xml:space="preserve"> for all outcomes). </w:t>
      </w:r>
    </w:p>
    <w:p w:rsidR="0004128C" w:rsidRPr="0004128C" w:rsidRDefault="0004128C" w:rsidP="009B5F63">
      <w:pPr>
        <w:pStyle w:val="Caption"/>
        <w:keepNext/>
        <w:tabs>
          <w:tab w:val="clear" w:pos="851"/>
          <w:tab w:val="left" w:pos="993"/>
        </w:tabs>
        <w:ind w:left="993" w:hanging="993"/>
      </w:pPr>
      <w:r w:rsidRPr="0004128C">
        <w:lastRenderedPageBreak/>
        <w:t xml:space="preserve">Table </w:t>
      </w:r>
      <w:r w:rsidR="00A72B26">
        <w:rPr>
          <w:noProof/>
        </w:rPr>
        <w:t>8</w:t>
      </w:r>
      <w:bookmarkEnd w:id="112"/>
      <w:r w:rsidRPr="0004128C">
        <w:tab/>
        <w:t>Comparison of velaglucerase alfa and imiglucerase on secondary eff</w:t>
      </w:r>
      <w:r w:rsidR="009B5F63">
        <w:t xml:space="preserve">ectiveness </w:t>
      </w:r>
      <w:r w:rsidRPr="0004128C">
        <w:t>measures</w:t>
      </w:r>
      <w:bookmarkEnd w:id="113"/>
      <w:bookmarkEnd w:id="114"/>
    </w:p>
    <w:tbl>
      <w:tblPr>
        <w:tblStyle w:val="TableGrid"/>
        <w:tblW w:w="5000" w:type="pct"/>
        <w:tblLook w:val="04A0" w:firstRow="1" w:lastRow="0" w:firstColumn="1" w:lastColumn="0" w:noHBand="0" w:noVBand="1"/>
        <w:tblCaption w:val="Table 7 Comparison of velaglucerase alfa and imiglucerase on secondary effectiveness measures"/>
        <w:tblDescription w:val="Comparison of velaglucerase alfa and imiglucerase on secondary effectiveness measures of Haemoglobin(g/L), Platelets (x109/L), Liver volume (% body weight), Spleen volume (% body weight), and Chitotriosidase (nmol/ml/h)."/>
      </w:tblPr>
      <w:tblGrid>
        <w:gridCol w:w="2837"/>
        <w:gridCol w:w="1808"/>
        <w:gridCol w:w="1843"/>
        <w:gridCol w:w="1275"/>
        <w:gridCol w:w="1479"/>
      </w:tblGrid>
      <w:tr w:rsidR="0004128C" w:rsidRPr="0004128C" w:rsidTr="00712231">
        <w:trPr>
          <w:tblHeader/>
        </w:trPr>
        <w:tc>
          <w:tcPr>
            <w:tcW w:w="1535" w:type="pct"/>
          </w:tcPr>
          <w:p w:rsidR="0004128C" w:rsidRPr="0004128C" w:rsidRDefault="0004128C" w:rsidP="00EB267D">
            <w:pPr>
              <w:pStyle w:val="TableHeading"/>
            </w:pPr>
            <w:r w:rsidRPr="0004128C">
              <w:t>Outcome</w:t>
            </w:r>
          </w:p>
        </w:tc>
        <w:tc>
          <w:tcPr>
            <w:tcW w:w="978" w:type="pct"/>
          </w:tcPr>
          <w:p w:rsidR="0004128C" w:rsidRPr="0004128C" w:rsidRDefault="0004128C" w:rsidP="00EB267D">
            <w:pPr>
              <w:pStyle w:val="TableHeading"/>
            </w:pPr>
            <w:r w:rsidRPr="0004128C">
              <w:t>Velaglucerase alfa</w:t>
            </w:r>
          </w:p>
        </w:tc>
        <w:tc>
          <w:tcPr>
            <w:tcW w:w="997" w:type="pct"/>
          </w:tcPr>
          <w:p w:rsidR="0004128C" w:rsidRPr="0004128C" w:rsidRDefault="0004128C" w:rsidP="00EB267D">
            <w:pPr>
              <w:pStyle w:val="TableHeading"/>
            </w:pPr>
            <w:r w:rsidRPr="0004128C">
              <w:t>Imiglucerase</w:t>
            </w:r>
          </w:p>
        </w:tc>
        <w:tc>
          <w:tcPr>
            <w:tcW w:w="690" w:type="pct"/>
          </w:tcPr>
          <w:p w:rsidR="0004128C" w:rsidRPr="0004128C" w:rsidRDefault="0004128C" w:rsidP="00EB267D">
            <w:pPr>
              <w:pStyle w:val="TableHeading"/>
            </w:pPr>
            <w:r w:rsidRPr="0004128C">
              <w:t xml:space="preserve">Mean difference </w:t>
            </w:r>
          </w:p>
        </w:tc>
        <w:tc>
          <w:tcPr>
            <w:tcW w:w="800" w:type="pct"/>
          </w:tcPr>
          <w:p w:rsidR="0004128C" w:rsidRPr="0004128C" w:rsidRDefault="0004128C" w:rsidP="00EB267D">
            <w:pPr>
              <w:pStyle w:val="TableHeading"/>
            </w:pPr>
            <w:r w:rsidRPr="0004128C">
              <w:t>One-sided 97.5% CI</w:t>
            </w:r>
          </w:p>
        </w:tc>
      </w:tr>
      <w:tr w:rsidR="0004128C" w:rsidRPr="0004128C" w:rsidTr="0004128C">
        <w:tc>
          <w:tcPr>
            <w:tcW w:w="1535" w:type="pct"/>
          </w:tcPr>
          <w:p w:rsidR="0004128C" w:rsidRPr="0004128C" w:rsidRDefault="00922633" w:rsidP="00EB267D">
            <w:pPr>
              <w:pStyle w:val="TableHeading"/>
            </w:pPr>
            <w:r>
              <w:t>Haemoglobin (g/</w:t>
            </w:r>
            <w:r w:rsidR="0004128C" w:rsidRPr="0004128C">
              <w:t>L)</w:t>
            </w:r>
          </w:p>
          <w:p w:rsidR="0004128C" w:rsidRPr="0004128C" w:rsidRDefault="0004128C" w:rsidP="00EB267D">
            <w:pPr>
              <w:pStyle w:val="TableText0"/>
            </w:pPr>
            <w:r w:rsidRPr="0004128C">
              <w:t>Median baseline (range)</w:t>
            </w:r>
          </w:p>
          <w:p w:rsidR="0004128C" w:rsidRPr="0004128C" w:rsidRDefault="0004128C" w:rsidP="00EB267D">
            <w:pPr>
              <w:pStyle w:val="TableText0"/>
            </w:pPr>
            <w:r w:rsidRPr="0004128C">
              <w:t>Mean change from baseline</w:t>
            </w:r>
          </w:p>
        </w:tc>
        <w:tc>
          <w:tcPr>
            <w:tcW w:w="978" w:type="pct"/>
          </w:tcPr>
          <w:p w:rsidR="0004128C" w:rsidRPr="0004128C" w:rsidRDefault="0004128C" w:rsidP="00EB267D">
            <w:pPr>
              <w:pStyle w:val="TableText0"/>
            </w:pPr>
            <w:r w:rsidRPr="0004128C">
              <w:t>N</w:t>
            </w:r>
            <w:r w:rsidR="00652355" w:rsidRPr="00652355">
              <w:rPr>
                <w:spacing w:val="-20"/>
              </w:rPr>
              <w:t xml:space="preserve"> = </w:t>
            </w:r>
            <w:r w:rsidRPr="0004128C">
              <w:t>17</w:t>
            </w:r>
          </w:p>
          <w:p w:rsidR="0004128C" w:rsidRPr="0004128C" w:rsidRDefault="004A3612" w:rsidP="00EB267D">
            <w:pPr>
              <w:pStyle w:val="TableText0"/>
            </w:pPr>
            <w:r>
              <w:t>114 (97 – 14</w:t>
            </w:r>
            <w:r w:rsidR="0004128C" w:rsidRPr="0004128C">
              <w:t>4)</w:t>
            </w:r>
          </w:p>
          <w:p w:rsidR="0004128C" w:rsidRPr="0004128C" w:rsidRDefault="004A3612" w:rsidP="006426C0">
            <w:pPr>
              <w:pStyle w:val="TableText0"/>
            </w:pPr>
            <w:r>
              <w:t>1</w:t>
            </w:r>
            <w:r w:rsidR="0004128C" w:rsidRPr="0004128C">
              <w:t>6</w:t>
            </w:r>
            <w:r>
              <w:t>.</w:t>
            </w:r>
            <w:r w:rsidR="0004128C" w:rsidRPr="0004128C">
              <w:t>24</w:t>
            </w:r>
          </w:p>
        </w:tc>
        <w:tc>
          <w:tcPr>
            <w:tcW w:w="997" w:type="pct"/>
          </w:tcPr>
          <w:p w:rsidR="0004128C" w:rsidRPr="0004128C" w:rsidRDefault="0004128C" w:rsidP="00EB267D">
            <w:pPr>
              <w:pStyle w:val="TableText0"/>
            </w:pPr>
            <w:r w:rsidRPr="0004128C">
              <w:t>N</w:t>
            </w:r>
            <w:r w:rsidR="00652355" w:rsidRPr="00652355">
              <w:rPr>
                <w:spacing w:val="-20"/>
              </w:rPr>
              <w:t xml:space="preserve"> = </w:t>
            </w:r>
            <w:r w:rsidRPr="0004128C">
              <w:t>17</w:t>
            </w:r>
          </w:p>
          <w:p w:rsidR="0004128C" w:rsidRPr="0004128C" w:rsidRDefault="004A3612" w:rsidP="00EB267D">
            <w:pPr>
              <w:pStyle w:val="TableText0"/>
            </w:pPr>
            <w:r>
              <w:t>10</w:t>
            </w:r>
            <w:r w:rsidR="0004128C" w:rsidRPr="0004128C">
              <w:t>6 (8</w:t>
            </w:r>
            <w:r>
              <w:t>1 – 13</w:t>
            </w:r>
            <w:r w:rsidR="0004128C" w:rsidRPr="0004128C">
              <w:t>1)</w:t>
            </w:r>
          </w:p>
          <w:p w:rsidR="0004128C" w:rsidRPr="0004128C" w:rsidRDefault="004A3612" w:rsidP="00EB267D">
            <w:pPr>
              <w:pStyle w:val="TableText0"/>
            </w:pPr>
            <w:r>
              <w:t>1</w:t>
            </w:r>
            <w:r w:rsidR="0004128C" w:rsidRPr="0004128C">
              <w:t>4</w:t>
            </w:r>
            <w:r>
              <w:t>.</w:t>
            </w:r>
            <w:r w:rsidR="0004128C" w:rsidRPr="0004128C">
              <w:t>88</w:t>
            </w:r>
          </w:p>
        </w:tc>
        <w:tc>
          <w:tcPr>
            <w:tcW w:w="690" w:type="pct"/>
          </w:tcPr>
          <w:p w:rsidR="0004128C" w:rsidRPr="00CB33FA" w:rsidRDefault="0004128C" w:rsidP="00EB267D">
            <w:pPr>
              <w:pStyle w:val="TableText0"/>
              <w:rPr>
                <w:highlight w:val="yellow"/>
              </w:rPr>
            </w:pPr>
          </w:p>
          <w:p w:rsidR="0004128C" w:rsidRPr="00CB33FA" w:rsidRDefault="0004128C" w:rsidP="00EB267D">
            <w:pPr>
              <w:pStyle w:val="TableText0"/>
              <w:rPr>
                <w:highlight w:val="yellow"/>
              </w:rPr>
            </w:pPr>
          </w:p>
          <w:p w:rsidR="0004128C" w:rsidRPr="00CB33FA" w:rsidRDefault="0004128C" w:rsidP="00EB267D">
            <w:pPr>
              <w:pStyle w:val="TableText0"/>
              <w:rPr>
                <w:highlight w:val="yellow"/>
              </w:rPr>
            </w:pPr>
            <w:r w:rsidRPr="00870EA8">
              <w:t>1</w:t>
            </w:r>
            <w:r w:rsidR="004A3612" w:rsidRPr="00870EA8">
              <w:t>.</w:t>
            </w:r>
            <w:r w:rsidRPr="00870EA8">
              <w:t>35</w:t>
            </w:r>
          </w:p>
        </w:tc>
        <w:tc>
          <w:tcPr>
            <w:tcW w:w="800" w:type="pct"/>
          </w:tcPr>
          <w:p w:rsidR="0004128C" w:rsidRPr="00CB33FA" w:rsidRDefault="0004128C" w:rsidP="00EB267D">
            <w:pPr>
              <w:pStyle w:val="TableText0"/>
              <w:rPr>
                <w:highlight w:val="yellow"/>
              </w:rPr>
            </w:pPr>
          </w:p>
          <w:p w:rsidR="0004128C" w:rsidRPr="00CB33FA" w:rsidRDefault="0004128C" w:rsidP="00EB267D">
            <w:pPr>
              <w:pStyle w:val="TableText0"/>
              <w:rPr>
                <w:highlight w:val="yellow"/>
              </w:rPr>
            </w:pPr>
          </w:p>
          <w:p w:rsidR="0004128C" w:rsidRPr="00CB33FA" w:rsidRDefault="004A3612" w:rsidP="00EB267D">
            <w:pPr>
              <w:pStyle w:val="TableText0"/>
              <w:rPr>
                <w:highlight w:val="yellow"/>
              </w:rPr>
            </w:pPr>
            <w:r w:rsidRPr="00870EA8">
              <w:t>(-</w:t>
            </w:r>
            <w:r w:rsidR="0004128C" w:rsidRPr="00870EA8">
              <w:t>5</w:t>
            </w:r>
            <w:r w:rsidRPr="00870EA8">
              <w:t>.</w:t>
            </w:r>
            <w:r w:rsidR="0004128C" w:rsidRPr="00870EA8">
              <w:t>96, ∞)</w:t>
            </w:r>
          </w:p>
        </w:tc>
      </w:tr>
      <w:tr w:rsidR="0004128C" w:rsidRPr="0004128C" w:rsidTr="0004128C">
        <w:tc>
          <w:tcPr>
            <w:tcW w:w="1535" w:type="pct"/>
          </w:tcPr>
          <w:p w:rsidR="0004128C" w:rsidRPr="0004128C" w:rsidRDefault="0004128C" w:rsidP="00EB267D">
            <w:pPr>
              <w:pStyle w:val="TableHeading"/>
            </w:pPr>
            <w:r w:rsidRPr="0004128C">
              <w:t>Platelets (x10</w:t>
            </w:r>
            <w:r w:rsidRPr="0004128C">
              <w:rPr>
                <w:vertAlign w:val="superscript"/>
              </w:rPr>
              <w:t>9</w:t>
            </w:r>
            <w:r w:rsidRPr="0004128C">
              <w:t>/L)</w:t>
            </w:r>
          </w:p>
          <w:p w:rsidR="0004128C" w:rsidRPr="0004128C" w:rsidRDefault="0004128C" w:rsidP="00EB267D">
            <w:pPr>
              <w:pStyle w:val="TableText0"/>
            </w:pPr>
            <w:r w:rsidRPr="0004128C">
              <w:t>Median baseline (range)</w:t>
            </w:r>
          </w:p>
          <w:p w:rsidR="0004128C" w:rsidRPr="0004128C" w:rsidRDefault="0004128C" w:rsidP="00EB267D">
            <w:pPr>
              <w:pStyle w:val="TableText0"/>
            </w:pPr>
            <w:r w:rsidRPr="0004128C">
              <w:t>Mean change from baseline</w:t>
            </w:r>
          </w:p>
        </w:tc>
        <w:tc>
          <w:tcPr>
            <w:tcW w:w="978" w:type="pct"/>
          </w:tcPr>
          <w:p w:rsidR="0004128C" w:rsidRPr="0004128C" w:rsidRDefault="0004128C" w:rsidP="00EB267D">
            <w:pPr>
              <w:pStyle w:val="TableText0"/>
            </w:pPr>
            <w:r w:rsidRPr="0004128C">
              <w:t>N</w:t>
            </w:r>
            <w:r w:rsidR="00652355" w:rsidRPr="00652355">
              <w:rPr>
                <w:spacing w:val="-20"/>
              </w:rPr>
              <w:t xml:space="preserve"> = </w:t>
            </w:r>
            <w:r w:rsidRPr="0004128C">
              <w:t>17</w:t>
            </w:r>
          </w:p>
          <w:p w:rsidR="0004128C" w:rsidRPr="0004128C" w:rsidRDefault="0004128C" w:rsidP="00EB267D">
            <w:pPr>
              <w:pStyle w:val="TableText0"/>
            </w:pPr>
            <w:r w:rsidRPr="0004128C">
              <w:t>172.0 (44.0 – 310.5)</w:t>
            </w:r>
          </w:p>
          <w:p w:rsidR="0004128C" w:rsidRPr="0004128C" w:rsidRDefault="0004128C" w:rsidP="00EB267D">
            <w:pPr>
              <w:pStyle w:val="TableText0"/>
            </w:pPr>
            <w:r w:rsidRPr="0004128C">
              <w:t>108.0</w:t>
            </w:r>
          </w:p>
        </w:tc>
        <w:tc>
          <w:tcPr>
            <w:tcW w:w="997" w:type="pct"/>
          </w:tcPr>
          <w:p w:rsidR="0004128C" w:rsidRPr="0004128C" w:rsidRDefault="0004128C" w:rsidP="00EB267D">
            <w:pPr>
              <w:pStyle w:val="TableText0"/>
            </w:pPr>
            <w:r w:rsidRPr="0004128C">
              <w:t>N</w:t>
            </w:r>
            <w:r w:rsidR="00652355" w:rsidRPr="00652355">
              <w:rPr>
                <w:spacing w:val="-20"/>
              </w:rPr>
              <w:t xml:space="preserve"> = </w:t>
            </w:r>
            <w:r w:rsidRPr="0004128C">
              <w:t>17</w:t>
            </w:r>
          </w:p>
          <w:p w:rsidR="0004128C" w:rsidRPr="0004128C" w:rsidRDefault="0004128C" w:rsidP="00EB267D">
            <w:pPr>
              <w:pStyle w:val="TableText0"/>
            </w:pPr>
            <w:r w:rsidRPr="0004128C">
              <w:t>188 (63.0 – 430.5)</w:t>
            </w:r>
          </w:p>
          <w:p w:rsidR="0004128C" w:rsidRPr="0004128C" w:rsidRDefault="0004128C" w:rsidP="00EB267D">
            <w:pPr>
              <w:pStyle w:val="TableText0"/>
            </w:pPr>
            <w:r w:rsidRPr="0004128C">
              <w:t>146.7</w:t>
            </w:r>
          </w:p>
        </w:tc>
        <w:tc>
          <w:tcPr>
            <w:tcW w:w="690" w:type="pct"/>
          </w:tcPr>
          <w:p w:rsidR="0004128C" w:rsidRPr="0004128C" w:rsidRDefault="0004128C" w:rsidP="00EB267D">
            <w:pPr>
              <w:pStyle w:val="TableText0"/>
            </w:pPr>
          </w:p>
          <w:p w:rsidR="0004128C" w:rsidRPr="0004128C" w:rsidRDefault="0004128C" w:rsidP="00EB267D">
            <w:pPr>
              <w:pStyle w:val="TableText0"/>
            </w:pPr>
          </w:p>
          <w:p w:rsidR="0004128C" w:rsidRPr="0004128C" w:rsidRDefault="0004128C" w:rsidP="00EB267D">
            <w:pPr>
              <w:pStyle w:val="TableText0"/>
            </w:pPr>
            <w:r w:rsidRPr="0004128C">
              <w:t>-38.71</w:t>
            </w:r>
          </w:p>
        </w:tc>
        <w:tc>
          <w:tcPr>
            <w:tcW w:w="800" w:type="pct"/>
          </w:tcPr>
          <w:p w:rsidR="0004128C" w:rsidRPr="0004128C" w:rsidRDefault="0004128C" w:rsidP="00EB267D">
            <w:pPr>
              <w:pStyle w:val="TableText0"/>
            </w:pPr>
            <w:r w:rsidRPr="0004128C">
              <w:t>95% 2-sided CI</w:t>
            </w:r>
          </w:p>
          <w:p w:rsidR="0004128C" w:rsidRPr="0004128C" w:rsidRDefault="0004128C" w:rsidP="00EB267D">
            <w:pPr>
              <w:pStyle w:val="TableText0"/>
            </w:pPr>
          </w:p>
          <w:p w:rsidR="0004128C" w:rsidRPr="0004128C" w:rsidRDefault="0004128C" w:rsidP="00EB267D">
            <w:pPr>
              <w:pStyle w:val="TableText0"/>
            </w:pPr>
            <w:r w:rsidRPr="0004128C">
              <w:t>(-88.42, 10.99)</w:t>
            </w:r>
          </w:p>
        </w:tc>
      </w:tr>
      <w:tr w:rsidR="0004128C" w:rsidRPr="0004128C" w:rsidTr="0004128C">
        <w:tc>
          <w:tcPr>
            <w:tcW w:w="1535" w:type="pct"/>
          </w:tcPr>
          <w:p w:rsidR="0004128C" w:rsidRPr="0004128C" w:rsidRDefault="0004128C" w:rsidP="00EB267D">
            <w:pPr>
              <w:pStyle w:val="TableHeading"/>
            </w:pPr>
            <w:r w:rsidRPr="0004128C">
              <w:t>Liver volume, % body weight</w:t>
            </w:r>
          </w:p>
          <w:p w:rsidR="0004128C" w:rsidRPr="0004128C" w:rsidRDefault="0004128C" w:rsidP="00EB267D">
            <w:pPr>
              <w:pStyle w:val="TableText0"/>
            </w:pPr>
            <w:r w:rsidRPr="0004128C">
              <w:t>Median baseline (range)</w:t>
            </w:r>
          </w:p>
          <w:p w:rsidR="0004128C" w:rsidRPr="0004128C" w:rsidRDefault="0004128C" w:rsidP="00EB267D">
            <w:pPr>
              <w:pStyle w:val="TableText0"/>
            </w:pPr>
            <w:r w:rsidRPr="0004128C">
              <w:t>Mean change from baseline</w:t>
            </w:r>
          </w:p>
        </w:tc>
        <w:tc>
          <w:tcPr>
            <w:tcW w:w="978" w:type="pct"/>
          </w:tcPr>
          <w:p w:rsidR="0004128C" w:rsidRPr="0004128C" w:rsidRDefault="0004128C" w:rsidP="00EB267D">
            <w:pPr>
              <w:pStyle w:val="TableText0"/>
            </w:pPr>
            <w:r w:rsidRPr="0004128C">
              <w:t>N</w:t>
            </w:r>
            <w:r w:rsidR="00652355" w:rsidRPr="00652355">
              <w:rPr>
                <w:spacing w:val="-20"/>
              </w:rPr>
              <w:t xml:space="preserve"> = </w:t>
            </w:r>
            <w:r w:rsidRPr="0004128C">
              <w:t>17</w:t>
            </w:r>
          </w:p>
          <w:p w:rsidR="0004128C" w:rsidRPr="0004128C" w:rsidRDefault="0004128C" w:rsidP="00EB267D">
            <w:pPr>
              <w:pStyle w:val="TableText0"/>
            </w:pPr>
            <w:r w:rsidRPr="0004128C">
              <w:t>3.90 (1.9 – 12.2)</w:t>
            </w:r>
          </w:p>
          <w:p w:rsidR="0004128C" w:rsidRPr="0004128C" w:rsidRDefault="0004128C" w:rsidP="00EB267D">
            <w:pPr>
              <w:pStyle w:val="TableText0"/>
            </w:pPr>
            <w:r w:rsidRPr="0004128C">
              <w:t>-1.24</w:t>
            </w:r>
          </w:p>
        </w:tc>
        <w:tc>
          <w:tcPr>
            <w:tcW w:w="997" w:type="pct"/>
          </w:tcPr>
          <w:p w:rsidR="0004128C" w:rsidRPr="0004128C" w:rsidRDefault="0004128C" w:rsidP="00EB267D">
            <w:pPr>
              <w:pStyle w:val="TableText0"/>
            </w:pPr>
            <w:r w:rsidRPr="0004128C">
              <w:t>N</w:t>
            </w:r>
            <w:r w:rsidR="00652355" w:rsidRPr="00652355">
              <w:rPr>
                <w:spacing w:val="-20"/>
              </w:rPr>
              <w:t xml:space="preserve"> = </w:t>
            </w:r>
            <w:r w:rsidRPr="0004128C">
              <w:t>17</w:t>
            </w:r>
          </w:p>
          <w:p w:rsidR="0004128C" w:rsidRPr="0004128C" w:rsidRDefault="0004128C" w:rsidP="00EB267D">
            <w:pPr>
              <w:pStyle w:val="TableText0"/>
            </w:pPr>
            <w:r w:rsidRPr="0004128C">
              <w:t>4.00 (1.7 – 7.0)</w:t>
            </w:r>
          </w:p>
          <w:p w:rsidR="0004128C" w:rsidRPr="0004128C" w:rsidRDefault="0004128C" w:rsidP="00EB267D">
            <w:pPr>
              <w:pStyle w:val="TableText0"/>
            </w:pPr>
            <w:r w:rsidRPr="0004128C">
              <w:t>-1.17</w:t>
            </w:r>
          </w:p>
        </w:tc>
        <w:tc>
          <w:tcPr>
            <w:tcW w:w="690" w:type="pct"/>
          </w:tcPr>
          <w:p w:rsidR="0004128C" w:rsidRPr="0004128C" w:rsidRDefault="0004128C" w:rsidP="00EB267D">
            <w:pPr>
              <w:pStyle w:val="TableText0"/>
            </w:pPr>
          </w:p>
          <w:p w:rsidR="0004128C" w:rsidRPr="0004128C" w:rsidRDefault="0004128C" w:rsidP="00EB267D">
            <w:pPr>
              <w:pStyle w:val="TableText0"/>
            </w:pPr>
          </w:p>
          <w:p w:rsidR="0004128C" w:rsidRPr="0004128C" w:rsidRDefault="0004128C" w:rsidP="00EB267D">
            <w:pPr>
              <w:pStyle w:val="TableText0"/>
            </w:pPr>
            <w:r w:rsidRPr="0004128C">
              <w:t>-0.07</w:t>
            </w:r>
          </w:p>
        </w:tc>
        <w:tc>
          <w:tcPr>
            <w:tcW w:w="800" w:type="pct"/>
          </w:tcPr>
          <w:p w:rsidR="0004128C" w:rsidRPr="0004128C" w:rsidRDefault="0004128C" w:rsidP="00EB267D">
            <w:pPr>
              <w:pStyle w:val="TableText0"/>
            </w:pPr>
          </w:p>
          <w:p w:rsidR="0004128C" w:rsidRPr="0004128C" w:rsidRDefault="0004128C" w:rsidP="00EB267D">
            <w:pPr>
              <w:pStyle w:val="TableText0"/>
            </w:pPr>
          </w:p>
          <w:p w:rsidR="0004128C" w:rsidRPr="0004128C" w:rsidRDefault="0004128C" w:rsidP="00EB267D">
            <w:pPr>
              <w:pStyle w:val="TableText0"/>
            </w:pPr>
            <w:r w:rsidRPr="0004128C">
              <w:t>(-0.43, 0.29)</w:t>
            </w:r>
          </w:p>
        </w:tc>
      </w:tr>
      <w:tr w:rsidR="0004128C" w:rsidRPr="0004128C" w:rsidTr="0004128C">
        <w:tc>
          <w:tcPr>
            <w:tcW w:w="1535" w:type="pct"/>
          </w:tcPr>
          <w:p w:rsidR="0004128C" w:rsidRPr="0004128C" w:rsidRDefault="0004128C" w:rsidP="00EB267D">
            <w:pPr>
              <w:pStyle w:val="TableHeading"/>
            </w:pPr>
            <w:r w:rsidRPr="0004128C">
              <w:t>Spleen volume, % body weight</w:t>
            </w:r>
          </w:p>
          <w:p w:rsidR="0004128C" w:rsidRPr="0004128C" w:rsidRDefault="0004128C" w:rsidP="00EB267D">
            <w:pPr>
              <w:pStyle w:val="TableText0"/>
            </w:pPr>
            <w:r w:rsidRPr="0004128C">
              <w:t>Median baseline (range)</w:t>
            </w:r>
          </w:p>
          <w:p w:rsidR="0004128C" w:rsidRPr="0004128C" w:rsidRDefault="0004128C" w:rsidP="00EB267D">
            <w:pPr>
              <w:pStyle w:val="TableText0"/>
            </w:pPr>
            <w:r w:rsidRPr="0004128C">
              <w:t>Mean change from baseline</w:t>
            </w:r>
          </w:p>
        </w:tc>
        <w:tc>
          <w:tcPr>
            <w:tcW w:w="978" w:type="pct"/>
          </w:tcPr>
          <w:p w:rsidR="0004128C" w:rsidRPr="0004128C" w:rsidRDefault="0004128C" w:rsidP="00EB267D">
            <w:pPr>
              <w:pStyle w:val="TableText0"/>
            </w:pPr>
            <w:r w:rsidRPr="0004128C">
              <w:t>N</w:t>
            </w:r>
            <w:r w:rsidR="00652355" w:rsidRPr="00652355">
              <w:rPr>
                <w:spacing w:val="-20"/>
              </w:rPr>
              <w:t xml:space="preserve"> = </w:t>
            </w:r>
            <w:r w:rsidRPr="0004128C">
              <w:t>7</w:t>
            </w:r>
          </w:p>
          <w:p w:rsidR="0004128C" w:rsidRPr="0004128C" w:rsidRDefault="0004128C" w:rsidP="00EB267D">
            <w:pPr>
              <w:pStyle w:val="TableText0"/>
            </w:pPr>
            <w:r w:rsidRPr="0004128C">
              <w:t>1.90</w:t>
            </w:r>
            <w:r w:rsidR="0079354F">
              <w:t xml:space="preserve"> (1.4-6.3)</w:t>
            </w:r>
          </w:p>
          <w:p w:rsidR="0004128C" w:rsidRPr="0004128C" w:rsidRDefault="0004128C" w:rsidP="00EB267D">
            <w:pPr>
              <w:pStyle w:val="TableText0"/>
            </w:pPr>
            <w:r w:rsidRPr="0004128C">
              <w:t>-1.86</w:t>
            </w:r>
          </w:p>
        </w:tc>
        <w:tc>
          <w:tcPr>
            <w:tcW w:w="997" w:type="pct"/>
          </w:tcPr>
          <w:p w:rsidR="0004128C" w:rsidRPr="0004128C" w:rsidRDefault="0004128C" w:rsidP="00EB267D">
            <w:pPr>
              <w:pStyle w:val="TableText0"/>
            </w:pPr>
            <w:r w:rsidRPr="0004128C">
              <w:t>N</w:t>
            </w:r>
            <w:r w:rsidR="00652355" w:rsidRPr="00652355">
              <w:rPr>
                <w:spacing w:val="-20"/>
              </w:rPr>
              <w:t xml:space="preserve"> = </w:t>
            </w:r>
            <w:r w:rsidRPr="0004128C">
              <w:t>7</w:t>
            </w:r>
          </w:p>
          <w:p w:rsidR="0004128C" w:rsidRPr="0004128C" w:rsidRDefault="0004128C" w:rsidP="00EB267D">
            <w:pPr>
              <w:pStyle w:val="TableText0"/>
              <w:rPr>
                <w:rFonts w:eastAsia="Calibri"/>
              </w:rPr>
            </w:pPr>
            <w:r w:rsidRPr="0004128C">
              <w:rPr>
                <w:rFonts w:eastAsia="Calibri"/>
              </w:rPr>
              <w:t>1.40</w:t>
            </w:r>
            <w:r w:rsidR="0079354F">
              <w:rPr>
                <w:rFonts w:eastAsia="Calibri"/>
              </w:rPr>
              <w:t xml:space="preserve"> (0.6-8.9)</w:t>
            </w:r>
          </w:p>
          <w:p w:rsidR="0004128C" w:rsidRPr="0004128C" w:rsidRDefault="0004128C" w:rsidP="00EB267D">
            <w:pPr>
              <w:pStyle w:val="TableText0"/>
              <w:rPr>
                <w:rFonts w:eastAsia="Calibri"/>
              </w:rPr>
            </w:pPr>
            <w:r w:rsidRPr="0004128C">
              <w:rPr>
                <w:rFonts w:eastAsia="Calibri"/>
              </w:rPr>
              <w:t>-1.94</w:t>
            </w:r>
          </w:p>
        </w:tc>
        <w:tc>
          <w:tcPr>
            <w:tcW w:w="690" w:type="pct"/>
          </w:tcPr>
          <w:p w:rsidR="0004128C" w:rsidRPr="0004128C" w:rsidRDefault="0004128C" w:rsidP="00EB267D">
            <w:pPr>
              <w:pStyle w:val="TableText0"/>
            </w:pPr>
          </w:p>
          <w:p w:rsidR="0004128C" w:rsidRPr="0004128C" w:rsidRDefault="0004128C" w:rsidP="00EB267D">
            <w:pPr>
              <w:pStyle w:val="TableText0"/>
            </w:pPr>
          </w:p>
          <w:p w:rsidR="0004128C" w:rsidRPr="0004128C" w:rsidRDefault="0004128C" w:rsidP="00EB267D">
            <w:pPr>
              <w:pStyle w:val="TableText0"/>
            </w:pPr>
            <w:r w:rsidRPr="0004128C">
              <w:t>0.08</w:t>
            </w:r>
          </w:p>
        </w:tc>
        <w:tc>
          <w:tcPr>
            <w:tcW w:w="800" w:type="pct"/>
          </w:tcPr>
          <w:p w:rsidR="0004128C" w:rsidRPr="0004128C" w:rsidRDefault="0004128C" w:rsidP="00EB267D">
            <w:pPr>
              <w:pStyle w:val="TableText0"/>
            </w:pPr>
          </w:p>
          <w:p w:rsidR="0004128C" w:rsidRPr="0004128C" w:rsidRDefault="0004128C" w:rsidP="00EB267D">
            <w:pPr>
              <w:pStyle w:val="TableText0"/>
            </w:pPr>
          </w:p>
          <w:p w:rsidR="0004128C" w:rsidRPr="0004128C" w:rsidRDefault="0004128C" w:rsidP="00EB267D">
            <w:pPr>
              <w:pStyle w:val="TableText0"/>
            </w:pPr>
            <w:r w:rsidRPr="0004128C">
              <w:t>(-0.52, 0.68)</w:t>
            </w:r>
          </w:p>
        </w:tc>
      </w:tr>
      <w:tr w:rsidR="0004128C" w:rsidRPr="0004128C" w:rsidTr="0004128C">
        <w:tc>
          <w:tcPr>
            <w:tcW w:w="1535" w:type="pct"/>
          </w:tcPr>
          <w:p w:rsidR="0004128C" w:rsidRPr="0004128C" w:rsidRDefault="0004128C" w:rsidP="00EB267D">
            <w:pPr>
              <w:pStyle w:val="TableHeading"/>
            </w:pPr>
            <w:r w:rsidRPr="0004128C">
              <w:t>Chitotriosidase (nmol/mL/h)</w:t>
            </w:r>
          </w:p>
          <w:p w:rsidR="0004128C" w:rsidRPr="0004128C" w:rsidRDefault="0004128C" w:rsidP="00EB267D">
            <w:pPr>
              <w:pStyle w:val="TableText0"/>
            </w:pPr>
            <w:r w:rsidRPr="0004128C">
              <w:t xml:space="preserve">Median baseline </w:t>
            </w:r>
          </w:p>
          <w:p w:rsidR="0004128C" w:rsidRPr="0004128C" w:rsidRDefault="0004128C" w:rsidP="00EB267D">
            <w:pPr>
              <w:pStyle w:val="TableText0"/>
            </w:pPr>
            <w:r w:rsidRPr="0004128C">
              <w:t>Mean change from baseline</w:t>
            </w:r>
          </w:p>
        </w:tc>
        <w:tc>
          <w:tcPr>
            <w:tcW w:w="978" w:type="pct"/>
          </w:tcPr>
          <w:p w:rsidR="0004128C" w:rsidRPr="0004128C" w:rsidRDefault="0004128C" w:rsidP="00EB267D">
            <w:pPr>
              <w:pStyle w:val="TableText0"/>
            </w:pPr>
            <w:r w:rsidRPr="0004128C">
              <w:t>N</w:t>
            </w:r>
            <w:r w:rsidR="00652355" w:rsidRPr="00652355">
              <w:rPr>
                <w:spacing w:val="-20"/>
              </w:rPr>
              <w:t xml:space="preserve"> = </w:t>
            </w:r>
            <w:r w:rsidRPr="0004128C">
              <w:t>15</w:t>
            </w:r>
          </w:p>
          <w:p w:rsidR="0004128C" w:rsidRPr="0004128C" w:rsidRDefault="0004128C" w:rsidP="00EB267D">
            <w:pPr>
              <w:pStyle w:val="TableText0"/>
            </w:pPr>
            <w:r w:rsidRPr="0004128C">
              <w:t>27 145</w:t>
            </w:r>
          </w:p>
          <w:p w:rsidR="0004128C" w:rsidRPr="0004128C" w:rsidRDefault="0004128C" w:rsidP="00EB267D">
            <w:pPr>
              <w:pStyle w:val="TableText0"/>
            </w:pPr>
            <w:r w:rsidRPr="0004128C">
              <w:t>-27 622</w:t>
            </w:r>
          </w:p>
        </w:tc>
        <w:tc>
          <w:tcPr>
            <w:tcW w:w="997" w:type="pct"/>
          </w:tcPr>
          <w:p w:rsidR="0004128C" w:rsidRPr="0004128C" w:rsidRDefault="0004128C" w:rsidP="00EB267D">
            <w:pPr>
              <w:pStyle w:val="TableText0"/>
            </w:pPr>
            <w:r w:rsidRPr="0004128C">
              <w:t>N</w:t>
            </w:r>
            <w:r w:rsidR="00652355" w:rsidRPr="00652355">
              <w:rPr>
                <w:spacing w:val="-20"/>
              </w:rPr>
              <w:t xml:space="preserve"> = </w:t>
            </w:r>
            <w:r w:rsidRPr="0004128C">
              <w:t>16</w:t>
            </w:r>
          </w:p>
          <w:p w:rsidR="0004128C" w:rsidRPr="0004128C" w:rsidRDefault="0004128C" w:rsidP="00EB267D">
            <w:pPr>
              <w:pStyle w:val="TableText0"/>
            </w:pPr>
            <w:r w:rsidRPr="0004128C">
              <w:t>34 362</w:t>
            </w:r>
          </w:p>
          <w:p w:rsidR="0004128C" w:rsidRPr="0004128C" w:rsidRDefault="0004128C" w:rsidP="00EB267D">
            <w:pPr>
              <w:pStyle w:val="TableText0"/>
            </w:pPr>
            <w:r w:rsidRPr="0004128C">
              <w:t>-28 691</w:t>
            </w:r>
          </w:p>
        </w:tc>
        <w:tc>
          <w:tcPr>
            <w:tcW w:w="690" w:type="pct"/>
          </w:tcPr>
          <w:p w:rsidR="0004128C" w:rsidRPr="0004128C" w:rsidRDefault="0004128C" w:rsidP="00EB267D">
            <w:pPr>
              <w:pStyle w:val="TableText0"/>
            </w:pPr>
          </w:p>
          <w:p w:rsidR="0004128C" w:rsidRPr="0004128C" w:rsidRDefault="0004128C" w:rsidP="00EB267D">
            <w:pPr>
              <w:pStyle w:val="TableText0"/>
            </w:pPr>
          </w:p>
          <w:p w:rsidR="0004128C" w:rsidRPr="0004128C" w:rsidRDefault="0004128C" w:rsidP="00EB267D">
            <w:pPr>
              <w:pStyle w:val="TableText0"/>
            </w:pPr>
            <w:r w:rsidRPr="0004128C">
              <w:t>1069</w:t>
            </w:r>
          </w:p>
        </w:tc>
        <w:tc>
          <w:tcPr>
            <w:tcW w:w="800" w:type="pct"/>
          </w:tcPr>
          <w:p w:rsidR="0004128C" w:rsidRPr="0004128C" w:rsidRDefault="0004128C" w:rsidP="00EB267D">
            <w:pPr>
              <w:pStyle w:val="TableText0"/>
            </w:pPr>
          </w:p>
          <w:p w:rsidR="0004128C" w:rsidRPr="0004128C" w:rsidRDefault="0004128C" w:rsidP="00EB267D">
            <w:pPr>
              <w:pStyle w:val="TableText0"/>
            </w:pPr>
          </w:p>
          <w:p w:rsidR="0004128C" w:rsidRPr="0004128C" w:rsidRDefault="0004128C" w:rsidP="00EB267D">
            <w:pPr>
              <w:pStyle w:val="TableText0"/>
            </w:pPr>
            <w:r w:rsidRPr="0004128C">
              <w:t>(-7446, 9583)</w:t>
            </w:r>
          </w:p>
        </w:tc>
      </w:tr>
    </w:tbl>
    <w:p w:rsidR="0004128C" w:rsidRPr="00CB7E5F" w:rsidRDefault="0004128C" w:rsidP="00144487">
      <w:pPr>
        <w:pStyle w:val="TableNote"/>
        <w:ind w:left="0" w:firstLine="0"/>
      </w:pPr>
      <w:r w:rsidRPr="0004128C">
        <w:rPr>
          <w:sz w:val="16"/>
          <w:szCs w:val="16"/>
        </w:rPr>
        <w:t xml:space="preserve">Data from </w:t>
      </w:r>
      <w:r w:rsidR="00A130D0">
        <w:rPr>
          <w:noProof/>
          <w:sz w:val="16"/>
          <w:szCs w:val="16"/>
        </w:rPr>
        <w:t>(</w:t>
      </w:r>
      <w:r w:rsidR="00184B6F">
        <w:rPr>
          <w:noProof/>
          <w:sz w:val="16"/>
          <w:szCs w:val="16"/>
        </w:rPr>
        <w:t>Centre for Drug Evaluation and Research 2010</w:t>
      </w:r>
      <w:r w:rsidR="00A130D0">
        <w:rPr>
          <w:noProof/>
          <w:sz w:val="16"/>
          <w:szCs w:val="16"/>
        </w:rPr>
        <w:t>)</w:t>
      </w:r>
    </w:p>
    <w:p w:rsidR="0004128C" w:rsidRPr="0004128C" w:rsidRDefault="0004128C" w:rsidP="0004128C"/>
    <w:p w:rsidR="0004128C" w:rsidRPr="0004128C" w:rsidRDefault="00C90FA8" w:rsidP="0004128C">
      <w:r w:rsidRPr="0004128C">
        <w:t xml:space="preserve">A </w:t>
      </w:r>
      <w:r>
        <w:t>slightly higher number of</w:t>
      </w:r>
      <w:r w:rsidRPr="0004128C">
        <w:t xml:space="preserve"> patients </w:t>
      </w:r>
      <w:r>
        <w:t>receiving</w:t>
      </w:r>
      <w:r w:rsidRPr="0004128C">
        <w:t xml:space="preserve"> velaglucerase alfa suffered from </w:t>
      </w:r>
      <w:r>
        <w:t xml:space="preserve">treatment-related </w:t>
      </w:r>
      <w:r w:rsidRPr="0004128C">
        <w:t xml:space="preserve">adverse events </w:t>
      </w:r>
      <w:r>
        <w:t xml:space="preserve">when compared to patients receiving </w:t>
      </w:r>
      <w:r w:rsidRPr="0004128C">
        <w:t xml:space="preserve">imiglucerase </w:t>
      </w:r>
      <w:r w:rsidR="0004128C" w:rsidRPr="0004128C">
        <w:t xml:space="preserve">(GRADE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00D67ADB" w:rsidRPr="00D67ADB">
        <w:rPr>
          <w:rFonts w:cs="Cambria Math"/>
          <w:spacing w:val="-20"/>
        </w:rPr>
        <w:t>)</w:t>
      </w:r>
      <w:r w:rsidR="0004128C" w:rsidRPr="0004128C">
        <w:t xml:space="preserve">. </w:t>
      </w:r>
      <w:r w:rsidRPr="0004128C">
        <w:t xml:space="preserve">The study was not powered to detect differences in adverse event rates </w:t>
      </w:r>
      <w:r>
        <w:t>but</w:t>
      </w:r>
      <w:r w:rsidR="0004128C" w:rsidRPr="0004128C">
        <w:t xml:space="preserve"> the authors report that the majority of adverse events were mild to moderate in severity</w:t>
      </w:r>
      <w:r w:rsidR="006354C9">
        <w:t xml:space="preserve"> </w:t>
      </w:r>
      <w:r w:rsidR="00BD4A3A">
        <w:rPr>
          <w:noProof/>
        </w:rPr>
        <w:t>(</w:t>
      </w:r>
      <w:r w:rsidR="00184B6F">
        <w:rPr>
          <w:noProof/>
        </w:rPr>
        <w:t>Ben Turkia et al. 2013</w:t>
      </w:r>
      <w:r w:rsidR="00BD4A3A">
        <w:rPr>
          <w:noProof/>
        </w:rPr>
        <w:t>)</w:t>
      </w:r>
      <w:r w:rsidR="0004128C" w:rsidRPr="0004128C">
        <w:t>.</w:t>
      </w:r>
    </w:p>
    <w:p w:rsidR="0004128C" w:rsidRPr="0004128C" w:rsidRDefault="0004128C" w:rsidP="009B5F63">
      <w:pPr>
        <w:pStyle w:val="Caption"/>
        <w:keepNext/>
        <w:tabs>
          <w:tab w:val="clear" w:pos="851"/>
          <w:tab w:val="left" w:pos="993"/>
        </w:tabs>
      </w:pPr>
      <w:bookmarkStart w:id="115" w:name="_Toc411510393"/>
      <w:bookmarkStart w:id="116" w:name="_Toc415141806"/>
      <w:r w:rsidRPr="0004128C">
        <w:lastRenderedPageBreak/>
        <w:t xml:space="preserve">Table </w:t>
      </w:r>
      <w:r w:rsidR="00A72B26">
        <w:rPr>
          <w:noProof/>
        </w:rPr>
        <w:t>9</w:t>
      </w:r>
      <w:r w:rsidRPr="0004128C">
        <w:tab/>
        <w:t xml:space="preserve">Comparison of adverse events following </w:t>
      </w:r>
      <w:r w:rsidR="00F87099" w:rsidRPr="0004128C">
        <w:t>velaglucerase</w:t>
      </w:r>
      <w:r w:rsidRPr="0004128C">
        <w:t xml:space="preserve"> alfa and imiglucerase</w:t>
      </w:r>
      <w:bookmarkEnd w:id="115"/>
      <w:bookmarkEnd w:id="116"/>
    </w:p>
    <w:tbl>
      <w:tblPr>
        <w:tblStyle w:val="TableGrid"/>
        <w:tblW w:w="5000" w:type="pct"/>
        <w:tblLook w:val="04A0" w:firstRow="1" w:lastRow="0" w:firstColumn="1" w:lastColumn="0" w:noHBand="0" w:noVBand="1"/>
        <w:tblCaption w:val="Table 8 Comparison of adverse events following velglucerase alfa and imiglucerase"/>
      </w:tblPr>
      <w:tblGrid>
        <w:gridCol w:w="1527"/>
        <w:gridCol w:w="4678"/>
        <w:gridCol w:w="3037"/>
      </w:tblGrid>
      <w:tr w:rsidR="0004128C" w:rsidRPr="0004128C" w:rsidTr="00712231">
        <w:trPr>
          <w:tblHeader/>
        </w:trPr>
        <w:tc>
          <w:tcPr>
            <w:tcW w:w="826" w:type="pct"/>
          </w:tcPr>
          <w:p w:rsidR="0004128C" w:rsidRPr="0004128C" w:rsidRDefault="0004128C" w:rsidP="00C90FA8">
            <w:pPr>
              <w:pStyle w:val="TableHeading"/>
            </w:pPr>
            <w:r w:rsidRPr="0004128C">
              <w:t>Adverse events</w:t>
            </w:r>
          </w:p>
        </w:tc>
        <w:tc>
          <w:tcPr>
            <w:tcW w:w="2531" w:type="pct"/>
          </w:tcPr>
          <w:p w:rsidR="0004128C" w:rsidRPr="0004128C" w:rsidRDefault="0004128C" w:rsidP="00C90FA8">
            <w:pPr>
              <w:pStyle w:val="TableHeading"/>
            </w:pPr>
            <w:r w:rsidRPr="0004128C">
              <w:t>Velaglucerase alfa</w:t>
            </w:r>
          </w:p>
        </w:tc>
        <w:tc>
          <w:tcPr>
            <w:tcW w:w="1644" w:type="pct"/>
          </w:tcPr>
          <w:p w:rsidR="0004128C" w:rsidRPr="0004128C" w:rsidRDefault="0004128C" w:rsidP="00C90FA8">
            <w:pPr>
              <w:pStyle w:val="TableHeading"/>
              <w:rPr>
                <w:vertAlign w:val="superscript"/>
              </w:rPr>
            </w:pPr>
            <w:r w:rsidRPr="0004128C">
              <w:t>Imiglucerase</w:t>
            </w:r>
          </w:p>
        </w:tc>
      </w:tr>
      <w:tr w:rsidR="0004128C" w:rsidRPr="0004128C" w:rsidTr="0004128C">
        <w:tc>
          <w:tcPr>
            <w:tcW w:w="826" w:type="pct"/>
          </w:tcPr>
          <w:p w:rsidR="0004128C" w:rsidRPr="0004128C" w:rsidRDefault="0004128C" w:rsidP="00C90FA8">
            <w:pPr>
              <w:pStyle w:val="TableText0"/>
            </w:pPr>
            <w:r w:rsidRPr="0004128C">
              <w:t>Drug-related adverse events</w:t>
            </w:r>
          </w:p>
        </w:tc>
        <w:tc>
          <w:tcPr>
            <w:tcW w:w="2531" w:type="pct"/>
          </w:tcPr>
          <w:p w:rsidR="0004128C" w:rsidRPr="0004128C" w:rsidRDefault="0004128C" w:rsidP="00C90FA8">
            <w:pPr>
              <w:pStyle w:val="TableText0"/>
            </w:pPr>
            <w:r w:rsidRPr="0004128C">
              <w:t>8/17 (47.1%)  including:</w:t>
            </w:r>
          </w:p>
          <w:p w:rsidR="0004128C" w:rsidRPr="0004128C" w:rsidRDefault="0004128C" w:rsidP="00C90FA8">
            <w:pPr>
              <w:pStyle w:val="TableText0"/>
            </w:pPr>
            <w:r w:rsidRPr="0004128C">
              <w:t>1 patient had allergic dermatitis 30 weeks after first dose (resolved without sequelae)</w:t>
            </w:r>
          </w:p>
          <w:p w:rsidR="0004128C" w:rsidRPr="0004128C" w:rsidRDefault="0004128C" w:rsidP="00C90FA8">
            <w:pPr>
              <w:pStyle w:val="TableText0"/>
            </w:pPr>
            <w:r w:rsidRPr="0004128C">
              <w:t>1 patient had 2 episodes of severe prolonged activated partial thromboplastin time (resolved without sequelae)</w:t>
            </w:r>
          </w:p>
          <w:p w:rsidR="0004128C" w:rsidRPr="0004128C" w:rsidRDefault="0004128C" w:rsidP="00C90FA8">
            <w:pPr>
              <w:pStyle w:val="TableText0"/>
            </w:pPr>
            <w:r w:rsidRPr="0004128C">
              <w:t xml:space="preserve">1 patient had generalised tonic-clonic seizures following week 17 treatment. Recovered within 2 hours following anti-convulsant treatment. Considered unrelated to drug. </w:t>
            </w:r>
          </w:p>
          <w:p w:rsidR="0004128C" w:rsidRPr="0004128C" w:rsidRDefault="0004128C" w:rsidP="00C90FA8">
            <w:pPr>
              <w:pStyle w:val="TableText0"/>
            </w:pPr>
            <w:r w:rsidRPr="0004128C">
              <w:t>0 patients developed anti-drug antibodies</w:t>
            </w:r>
          </w:p>
        </w:tc>
        <w:tc>
          <w:tcPr>
            <w:tcW w:w="1644" w:type="pct"/>
          </w:tcPr>
          <w:p w:rsidR="0004128C" w:rsidRPr="0004128C" w:rsidRDefault="0004128C" w:rsidP="00C90FA8">
            <w:pPr>
              <w:pStyle w:val="TableText0"/>
            </w:pPr>
            <w:r w:rsidRPr="0004128C">
              <w:t>6/17 (35.3%) including:</w:t>
            </w:r>
          </w:p>
          <w:p w:rsidR="0004128C" w:rsidRPr="0004128C" w:rsidRDefault="0004128C" w:rsidP="00C90FA8">
            <w:pPr>
              <w:pStyle w:val="TableText0"/>
            </w:pPr>
            <w:r w:rsidRPr="0004128C">
              <w:t>1 case of severe chills</w:t>
            </w:r>
          </w:p>
          <w:p w:rsidR="0004128C" w:rsidRPr="0004128C" w:rsidRDefault="0004128C" w:rsidP="00361A98">
            <w:pPr>
              <w:pStyle w:val="TableText0"/>
            </w:pPr>
            <w:r w:rsidRPr="0004128C">
              <w:t>4 patients developed anti-drug antibodies</w:t>
            </w:r>
          </w:p>
        </w:tc>
      </w:tr>
      <w:tr w:rsidR="0004128C" w:rsidRPr="0004128C" w:rsidTr="0004128C">
        <w:tc>
          <w:tcPr>
            <w:tcW w:w="826" w:type="pct"/>
          </w:tcPr>
          <w:p w:rsidR="0004128C" w:rsidRPr="0004128C" w:rsidRDefault="0004128C" w:rsidP="00361A98">
            <w:pPr>
              <w:pStyle w:val="TableText0"/>
            </w:pPr>
            <w:r w:rsidRPr="0004128C">
              <w:t>Infusion related events</w:t>
            </w:r>
          </w:p>
        </w:tc>
        <w:tc>
          <w:tcPr>
            <w:tcW w:w="2531" w:type="pct"/>
          </w:tcPr>
          <w:p w:rsidR="0004128C" w:rsidRPr="0004128C" w:rsidRDefault="0004128C" w:rsidP="00C90FA8">
            <w:pPr>
              <w:pStyle w:val="TableText0"/>
            </w:pPr>
            <w:r w:rsidRPr="0004128C">
              <w:t>5/8</w:t>
            </w:r>
          </w:p>
        </w:tc>
        <w:tc>
          <w:tcPr>
            <w:tcW w:w="1644" w:type="pct"/>
          </w:tcPr>
          <w:p w:rsidR="0004128C" w:rsidRPr="0004128C" w:rsidRDefault="0004128C" w:rsidP="00C90FA8">
            <w:pPr>
              <w:pStyle w:val="TableText0"/>
            </w:pPr>
            <w:r w:rsidRPr="0004128C">
              <w:t xml:space="preserve">4/6 </w:t>
            </w:r>
          </w:p>
          <w:p w:rsidR="0004128C" w:rsidRPr="0004128C" w:rsidRDefault="0004128C" w:rsidP="00C90FA8">
            <w:pPr>
              <w:pStyle w:val="TableText0"/>
            </w:pPr>
          </w:p>
        </w:tc>
      </w:tr>
      <w:tr w:rsidR="0004128C" w:rsidRPr="0004128C" w:rsidTr="0004128C">
        <w:tc>
          <w:tcPr>
            <w:tcW w:w="826" w:type="pct"/>
          </w:tcPr>
          <w:p w:rsidR="0004128C" w:rsidRPr="0004128C" w:rsidRDefault="0004128C" w:rsidP="00361A98">
            <w:pPr>
              <w:pStyle w:val="TableText0"/>
            </w:pPr>
            <w:r w:rsidRPr="0004128C">
              <w:t>Deaths or discontinuations due to adverse events</w:t>
            </w:r>
          </w:p>
        </w:tc>
        <w:tc>
          <w:tcPr>
            <w:tcW w:w="2531" w:type="pct"/>
          </w:tcPr>
          <w:p w:rsidR="0004128C" w:rsidRPr="0004128C" w:rsidRDefault="0004128C" w:rsidP="00C90FA8">
            <w:pPr>
              <w:pStyle w:val="TableText0"/>
            </w:pPr>
            <w:r w:rsidRPr="0004128C">
              <w:t>0</w:t>
            </w:r>
          </w:p>
        </w:tc>
        <w:tc>
          <w:tcPr>
            <w:tcW w:w="1644" w:type="pct"/>
          </w:tcPr>
          <w:p w:rsidR="0004128C" w:rsidRPr="0004128C" w:rsidRDefault="0004128C" w:rsidP="00C90FA8">
            <w:pPr>
              <w:pStyle w:val="TableText0"/>
            </w:pPr>
            <w:r w:rsidRPr="0004128C">
              <w:t>0</w:t>
            </w:r>
          </w:p>
          <w:p w:rsidR="0004128C" w:rsidRPr="0004128C" w:rsidRDefault="0004128C" w:rsidP="00361A98">
            <w:pPr>
              <w:pStyle w:val="TableText0"/>
            </w:pPr>
            <w:r w:rsidRPr="0004128C">
              <w:t>1 withdrew consent citing multiple infusion-related reactions</w:t>
            </w:r>
          </w:p>
        </w:tc>
      </w:tr>
    </w:tbl>
    <w:p w:rsidR="0004128C" w:rsidRPr="0004128C" w:rsidRDefault="0004128C" w:rsidP="0004128C"/>
    <w:p w:rsidR="0004128C" w:rsidRPr="0004128C" w:rsidRDefault="0004128C" w:rsidP="00A979FB">
      <w:pPr>
        <w:pStyle w:val="Heading4"/>
      </w:pPr>
      <w:r w:rsidRPr="0004128C">
        <w:t>Effectiveness of imiglucerase compared to miglustat</w:t>
      </w:r>
    </w:p>
    <w:p w:rsidR="006426C0" w:rsidRPr="0004128C" w:rsidRDefault="006426C0" w:rsidP="006426C0">
      <w:bookmarkStart w:id="117" w:name="_Toc402350978"/>
      <w:r w:rsidRPr="0004128C">
        <w:t xml:space="preserve">One randomised trial compared the effectiveness of imiglucerase </w:t>
      </w:r>
      <w:r>
        <w:t>relative to</w:t>
      </w:r>
      <w:r w:rsidRPr="0004128C">
        <w:t xml:space="preserve"> miglustat </w:t>
      </w:r>
      <w:r>
        <w:t>in the treatment of</w:t>
      </w:r>
      <w:r w:rsidRPr="0004128C">
        <w:t xml:space="preserve"> patients with Type 1 Gaucher disease </w:t>
      </w:r>
      <w:r>
        <w:t xml:space="preserve">(Trial OGT 918-004) </w:t>
      </w:r>
      <w:r>
        <w:rPr>
          <w:noProof/>
        </w:rPr>
        <w:t>(</w:t>
      </w:r>
      <w:r w:rsidR="00184B6F">
        <w:rPr>
          <w:noProof/>
        </w:rPr>
        <w:t>Elstein, D et al. 2007</w:t>
      </w:r>
      <w:r>
        <w:rPr>
          <w:noProof/>
        </w:rPr>
        <w:t>)</w:t>
      </w:r>
      <w:r w:rsidRPr="0004128C">
        <w:t xml:space="preserve">. </w:t>
      </w:r>
      <w:r>
        <w:t xml:space="preserve">Patients randomised to miglustat were administered one 100mg capsule 3 times a day, whereas patients randomised to imiglucerase predominantly received an infusion of 30 units/kg/month (n=33), with a small proportion of patients (n=3) receiving 60 units/kg/month. Dosing changes to miglustat due to adverse events were permitted, whereas no changes to the dose or frequency of imiglucerase were allowed. </w:t>
      </w:r>
    </w:p>
    <w:p w:rsidR="0004128C" w:rsidRPr="0004128C" w:rsidRDefault="0004128C" w:rsidP="00A979FB">
      <w:pPr>
        <w:pStyle w:val="Heading5"/>
      </w:pPr>
      <w:r w:rsidRPr="0004128C">
        <w:t>Quality of life</w:t>
      </w:r>
      <w:bookmarkEnd w:id="117"/>
    </w:p>
    <w:p w:rsidR="0004128C" w:rsidRPr="0004128C" w:rsidRDefault="00C90FA8" w:rsidP="0004128C">
      <w:r w:rsidRPr="0004128C">
        <w:t>Patients who switched from imiglucerase to miglustat reported an improvement in quality of life, whereas those who entered the trial and were randomised to continue receiving imiglucerase reported a mean decrease in quality of life</w:t>
      </w:r>
      <w:r>
        <w:t>. Quality of life wa</w:t>
      </w:r>
      <w:r w:rsidRPr="0004128C">
        <w:t xml:space="preserve">s measured </w:t>
      </w:r>
      <w:r>
        <w:t>using</w:t>
      </w:r>
      <w:r w:rsidRPr="0004128C">
        <w:t xml:space="preserve"> the Short Form-36 (SF-36, with a scale of 0 – 100, where higher scores represent better quality of life;</w:t>
      </w:r>
      <w:r w:rsidR="0004128C" w:rsidRPr="0004128C">
        <w:t xml:space="preserve"> </w:t>
      </w:r>
      <w:r w:rsidR="00A72B26" w:rsidRPr="0004128C">
        <w:t xml:space="preserve">Table </w:t>
      </w:r>
      <w:r w:rsidR="00A72B26">
        <w:rPr>
          <w:noProof/>
        </w:rPr>
        <w:t>10</w:t>
      </w:r>
      <w:r w:rsidR="0004128C" w:rsidRPr="0004128C">
        <w:t xml:space="preserve">)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00D67ADB" w:rsidRPr="00D67ADB">
        <w:rPr>
          <w:rFonts w:cs="Cambria Math"/>
          <w:spacing w:val="-20"/>
        </w:rPr>
        <w:t>)</w:t>
      </w:r>
      <w:r w:rsidR="0004128C" w:rsidRPr="0004128C">
        <w:t xml:space="preserve">. These differences were considered statistically significant. Miglustat was considered more convenient (GRADE </w:t>
      </w:r>
      <w:r w:rsidR="00D4733A" w:rsidRPr="00D4733A">
        <w:rPr>
          <w:rFonts w:ascii="Cambria Math" w:hAnsi="Cambria Math" w:cs="Cambria Math"/>
          <w:color w:val="00B050"/>
        </w:rPr>
        <w:t>⨁⨁⨁⨁</w:t>
      </w:r>
      <w:r w:rsidR="00D67ADB" w:rsidRPr="00D67ADB">
        <w:rPr>
          <w:rFonts w:cs="Cambria Math"/>
          <w:spacing w:val="-20"/>
        </w:rPr>
        <w:t>)</w:t>
      </w:r>
      <w:r w:rsidR="0004128C" w:rsidRPr="0004128C">
        <w:t xml:space="preserve">, being able to be taken as an oral treatment, rather than administered intravenously, over one or two hours. </w:t>
      </w:r>
      <w:r>
        <w:t>The r</w:t>
      </w:r>
      <w:r w:rsidRPr="0004128C">
        <w:t>emaining SF-36</w:t>
      </w:r>
      <w:r>
        <w:t xml:space="preserve"> </w:t>
      </w:r>
      <w:r w:rsidRPr="0004128C">
        <w:t xml:space="preserve">items </w:t>
      </w:r>
      <w:r>
        <w:t>and subscales</w:t>
      </w:r>
      <w:r w:rsidRPr="0004128C">
        <w:t xml:space="preserve"> were not statistically different between groups or </w:t>
      </w:r>
      <w:r>
        <w:t>when compared to</w:t>
      </w:r>
      <w:r w:rsidRPr="0004128C">
        <w:t xml:space="preserve"> baseline (data not reported) </w:t>
      </w:r>
      <w:r w:rsidR="00A130D0">
        <w:rPr>
          <w:noProof/>
        </w:rPr>
        <w:t>(</w:t>
      </w:r>
      <w:r w:rsidR="00184B6F">
        <w:rPr>
          <w:noProof/>
        </w:rPr>
        <w:t>Elstein, D et al. 2007</w:t>
      </w:r>
      <w:r w:rsidR="00A130D0">
        <w:rPr>
          <w:noProof/>
        </w:rPr>
        <w:t>)</w:t>
      </w:r>
      <w:r w:rsidRPr="0004128C">
        <w:t xml:space="preserve">. Some caution should be applied when considering these results, given the slightly higher loss to follow-up in the group </w:t>
      </w:r>
      <w:r>
        <w:t>of patients that</w:t>
      </w:r>
      <w:r w:rsidRPr="0004128C">
        <w:t xml:space="preserve"> received miglustat.</w:t>
      </w:r>
    </w:p>
    <w:p w:rsidR="0004128C" w:rsidRPr="0004128C" w:rsidRDefault="0004128C" w:rsidP="009B5F63">
      <w:pPr>
        <w:pStyle w:val="Caption"/>
        <w:keepNext/>
        <w:tabs>
          <w:tab w:val="clear" w:pos="851"/>
          <w:tab w:val="left" w:pos="993"/>
        </w:tabs>
      </w:pPr>
      <w:bookmarkStart w:id="118" w:name="_Ref403119174"/>
      <w:bookmarkStart w:id="119" w:name="_Toc411510394"/>
      <w:bookmarkStart w:id="120" w:name="_Toc415141807"/>
      <w:r w:rsidRPr="0004128C">
        <w:lastRenderedPageBreak/>
        <w:t xml:space="preserve">Table </w:t>
      </w:r>
      <w:r w:rsidR="00A72B26">
        <w:rPr>
          <w:noProof/>
        </w:rPr>
        <w:t>10</w:t>
      </w:r>
      <w:bookmarkEnd w:id="118"/>
      <w:r w:rsidRPr="0004128C">
        <w:tab/>
        <w:t>Quality of life comparison between miglustat and imiglucerase</w:t>
      </w:r>
      <w:bookmarkEnd w:id="119"/>
      <w:bookmarkEnd w:id="120"/>
    </w:p>
    <w:tbl>
      <w:tblPr>
        <w:tblStyle w:val="TableGrid"/>
        <w:tblW w:w="5000" w:type="pct"/>
        <w:tblLook w:val="04A0" w:firstRow="1" w:lastRow="0" w:firstColumn="1" w:lastColumn="0" w:noHBand="0" w:noVBand="1"/>
        <w:tblCaption w:val="Table 9 Quality of life comparison between miglustat and imiglucerase"/>
      </w:tblPr>
      <w:tblGrid>
        <w:gridCol w:w="3228"/>
        <w:gridCol w:w="1865"/>
        <w:gridCol w:w="1702"/>
        <w:gridCol w:w="2447"/>
      </w:tblGrid>
      <w:tr w:rsidR="0004128C" w:rsidRPr="0004128C" w:rsidTr="00712231">
        <w:trPr>
          <w:tblHeader/>
        </w:trPr>
        <w:tc>
          <w:tcPr>
            <w:tcW w:w="1746" w:type="pct"/>
          </w:tcPr>
          <w:p w:rsidR="0004128C" w:rsidRPr="0004128C" w:rsidRDefault="0004128C" w:rsidP="00C90FA8">
            <w:pPr>
              <w:pStyle w:val="TableHeading"/>
            </w:pPr>
            <w:r w:rsidRPr="0004128C">
              <w:t>Quality of life (SF-36)</w:t>
            </w:r>
          </w:p>
        </w:tc>
        <w:tc>
          <w:tcPr>
            <w:tcW w:w="1009" w:type="pct"/>
          </w:tcPr>
          <w:p w:rsidR="0004128C" w:rsidRPr="0004128C" w:rsidRDefault="0004128C" w:rsidP="00C90FA8">
            <w:pPr>
              <w:pStyle w:val="TableHeading"/>
            </w:pPr>
            <w:r w:rsidRPr="0004128C">
              <w:t>Miglustat</w:t>
            </w:r>
          </w:p>
        </w:tc>
        <w:tc>
          <w:tcPr>
            <w:tcW w:w="921" w:type="pct"/>
          </w:tcPr>
          <w:p w:rsidR="0004128C" w:rsidRPr="0004128C" w:rsidRDefault="0004128C" w:rsidP="00C90FA8">
            <w:pPr>
              <w:pStyle w:val="TableHeading"/>
            </w:pPr>
            <w:r w:rsidRPr="0004128C">
              <w:t>Imiglucerase</w:t>
            </w:r>
          </w:p>
        </w:tc>
        <w:tc>
          <w:tcPr>
            <w:tcW w:w="1324" w:type="pct"/>
          </w:tcPr>
          <w:p w:rsidR="0004128C" w:rsidRPr="0004128C" w:rsidRDefault="0004128C" w:rsidP="00C90FA8">
            <w:pPr>
              <w:pStyle w:val="TableHeading"/>
            </w:pPr>
            <w:r w:rsidRPr="0004128C">
              <w:t>p-Value</w:t>
            </w:r>
            <w:r w:rsidRPr="0004128C">
              <w:rPr>
                <w:vertAlign w:val="superscript"/>
              </w:rPr>
              <w:t>b</w:t>
            </w:r>
          </w:p>
        </w:tc>
      </w:tr>
      <w:tr w:rsidR="0004128C" w:rsidRPr="0004128C" w:rsidTr="0004128C">
        <w:tc>
          <w:tcPr>
            <w:tcW w:w="1746" w:type="pct"/>
          </w:tcPr>
          <w:p w:rsidR="0004128C" w:rsidRPr="0004128C" w:rsidRDefault="0004128C" w:rsidP="00C90FA8">
            <w:pPr>
              <w:pStyle w:val="TableText0"/>
            </w:pPr>
            <w:r w:rsidRPr="0004128C">
              <w:t>Overall change from baseline to 6 months</w:t>
            </w:r>
          </w:p>
        </w:tc>
        <w:tc>
          <w:tcPr>
            <w:tcW w:w="1009" w:type="pct"/>
          </w:tcPr>
          <w:p w:rsidR="0004128C" w:rsidRPr="0004128C" w:rsidRDefault="0004128C" w:rsidP="00C90FA8">
            <w:pPr>
              <w:pStyle w:val="TableText0"/>
            </w:pPr>
            <w:r w:rsidRPr="0004128C">
              <w:t>+8.7%</w:t>
            </w:r>
          </w:p>
        </w:tc>
        <w:tc>
          <w:tcPr>
            <w:tcW w:w="921" w:type="pct"/>
          </w:tcPr>
          <w:p w:rsidR="0004128C" w:rsidRPr="0004128C" w:rsidRDefault="0004128C" w:rsidP="00C90FA8">
            <w:pPr>
              <w:pStyle w:val="TableText0"/>
            </w:pPr>
            <w:r w:rsidRPr="0004128C">
              <w:t>-8.5%</w:t>
            </w:r>
          </w:p>
        </w:tc>
        <w:tc>
          <w:tcPr>
            <w:tcW w:w="1324" w:type="pct"/>
          </w:tcPr>
          <w:p w:rsidR="0004128C" w:rsidRPr="0004128C" w:rsidRDefault="0004128C" w:rsidP="00C90FA8">
            <w:pPr>
              <w:pStyle w:val="TableText0"/>
            </w:pPr>
            <w:r w:rsidRPr="0004128C">
              <w:t>p</w:t>
            </w:r>
            <w:r w:rsidR="00652355" w:rsidRPr="00652355">
              <w:rPr>
                <w:spacing w:val="-20"/>
              </w:rPr>
              <w:t xml:space="preserve"> = </w:t>
            </w:r>
            <w:r w:rsidRPr="0004128C">
              <w:t>0.057</w:t>
            </w:r>
          </w:p>
        </w:tc>
      </w:tr>
      <w:tr w:rsidR="0004128C" w:rsidRPr="0004128C" w:rsidTr="0004128C">
        <w:tc>
          <w:tcPr>
            <w:tcW w:w="1746" w:type="pct"/>
          </w:tcPr>
          <w:p w:rsidR="0004128C" w:rsidRPr="0004128C" w:rsidRDefault="0004128C" w:rsidP="00C90FA8">
            <w:pPr>
              <w:pStyle w:val="TableText0"/>
            </w:pPr>
            <w:r w:rsidRPr="0004128C">
              <w:t>Treatment convenient</w:t>
            </w:r>
          </w:p>
        </w:tc>
        <w:tc>
          <w:tcPr>
            <w:tcW w:w="1009" w:type="pct"/>
          </w:tcPr>
          <w:p w:rsidR="0004128C" w:rsidRPr="0004128C" w:rsidRDefault="0004128C" w:rsidP="00C90FA8">
            <w:pPr>
              <w:pStyle w:val="TableText0"/>
            </w:pPr>
            <w:r w:rsidRPr="0004128C">
              <w:t>77.8%</w:t>
            </w:r>
          </w:p>
        </w:tc>
        <w:tc>
          <w:tcPr>
            <w:tcW w:w="921" w:type="pct"/>
          </w:tcPr>
          <w:p w:rsidR="0004128C" w:rsidRPr="0004128C" w:rsidRDefault="0004128C" w:rsidP="00C90FA8">
            <w:pPr>
              <w:pStyle w:val="TableText0"/>
            </w:pPr>
            <w:r w:rsidRPr="0004128C">
              <w:t>33.3%</w:t>
            </w:r>
          </w:p>
        </w:tc>
        <w:tc>
          <w:tcPr>
            <w:tcW w:w="1324" w:type="pct"/>
          </w:tcPr>
          <w:p w:rsidR="0004128C" w:rsidRPr="0004128C" w:rsidRDefault="0004128C" w:rsidP="00C90FA8">
            <w:pPr>
              <w:pStyle w:val="TableText0"/>
            </w:pPr>
            <w:r w:rsidRPr="0004128C">
              <w:t>p</w:t>
            </w:r>
            <w:r w:rsidR="00652355" w:rsidRPr="00652355">
              <w:rPr>
                <w:spacing w:val="-20"/>
              </w:rPr>
              <w:t xml:space="preserve"> = </w:t>
            </w:r>
            <w:r w:rsidRPr="0004128C">
              <w:t>0.028 (Fisher exact test between three arms)</w:t>
            </w:r>
          </w:p>
        </w:tc>
      </w:tr>
      <w:tr w:rsidR="0004128C" w:rsidRPr="0004128C" w:rsidTr="0004128C">
        <w:tc>
          <w:tcPr>
            <w:tcW w:w="1746" w:type="pct"/>
          </w:tcPr>
          <w:p w:rsidR="0004128C" w:rsidRPr="0004128C" w:rsidRDefault="0004128C" w:rsidP="00C90FA8">
            <w:pPr>
              <w:pStyle w:val="TableText0"/>
            </w:pPr>
            <w:r w:rsidRPr="0004128C">
              <w:t>Overall treatment satisfaction</w:t>
            </w:r>
          </w:p>
        </w:tc>
        <w:tc>
          <w:tcPr>
            <w:tcW w:w="1009" w:type="pct"/>
          </w:tcPr>
          <w:p w:rsidR="0004128C" w:rsidRPr="0004128C" w:rsidRDefault="0004128C" w:rsidP="00C90FA8">
            <w:pPr>
              <w:pStyle w:val="TableText0"/>
            </w:pPr>
            <w:r w:rsidRPr="0004128C">
              <w:t>77.8%</w:t>
            </w:r>
          </w:p>
        </w:tc>
        <w:tc>
          <w:tcPr>
            <w:tcW w:w="921" w:type="pct"/>
          </w:tcPr>
          <w:p w:rsidR="0004128C" w:rsidRPr="0004128C" w:rsidRDefault="0004128C" w:rsidP="00C90FA8">
            <w:pPr>
              <w:pStyle w:val="TableText0"/>
            </w:pPr>
            <w:r w:rsidRPr="0004128C">
              <w:t>33.3%</w:t>
            </w:r>
          </w:p>
        </w:tc>
        <w:tc>
          <w:tcPr>
            <w:tcW w:w="1324" w:type="pct"/>
          </w:tcPr>
          <w:p w:rsidR="0004128C" w:rsidRPr="0004128C" w:rsidRDefault="0004128C" w:rsidP="00C90FA8">
            <w:pPr>
              <w:pStyle w:val="TableText0"/>
            </w:pPr>
            <w:r w:rsidRPr="0004128C">
              <w:t>p</w:t>
            </w:r>
            <w:r w:rsidR="00652355" w:rsidRPr="00652355">
              <w:rPr>
                <w:spacing w:val="-20"/>
              </w:rPr>
              <w:t xml:space="preserve"> = </w:t>
            </w:r>
            <w:r w:rsidRPr="0004128C">
              <w:t>0.053</w:t>
            </w:r>
          </w:p>
        </w:tc>
      </w:tr>
    </w:tbl>
    <w:p w:rsidR="0004128C" w:rsidRDefault="0004128C" w:rsidP="00144487">
      <w:pPr>
        <w:pStyle w:val="TableNote"/>
        <w:ind w:left="0" w:firstLine="0"/>
      </w:pPr>
      <w:r w:rsidRPr="0004128C">
        <w:t xml:space="preserve">Note: p-value calculated for comparison between the three arms (i.e. including miglustat plus imiglucerase, which had a mean reduction in SF-36 of 8.1%). </w:t>
      </w:r>
      <w:proofErr w:type="gramStart"/>
      <w:r w:rsidR="00C90FA8">
        <w:t>SF-36 scale: 0 – 100, where a higher score relates to higher quality of life</w:t>
      </w:r>
      <w:r w:rsidR="00C90FA8" w:rsidRPr="0004128C">
        <w:t>).</w:t>
      </w:r>
      <w:proofErr w:type="gramEnd"/>
    </w:p>
    <w:p w:rsidR="00C90FA8" w:rsidRPr="0004128C" w:rsidRDefault="00C90FA8" w:rsidP="0004128C">
      <w:pPr>
        <w:keepNext/>
        <w:spacing w:after="0" w:line="240" w:lineRule="auto"/>
        <w:ind w:left="131" w:hanging="131"/>
        <w:rPr>
          <w:rFonts w:ascii="Arial Narrow" w:hAnsi="Arial Narrow"/>
          <w:sz w:val="16"/>
          <w:szCs w:val="16"/>
          <w:lang w:eastAsia="en-AU"/>
        </w:rPr>
      </w:pPr>
    </w:p>
    <w:p w:rsidR="0087758F" w:rsidRPr="0004128C" w:rsidRDefault="0087758F" w:rsidP="0087758F">
      <w:pPr>
        <w:pStyle w:val="Heading5"/>
      </w:pPr>
      <w:r>
        <w:t>M</w:t>
      </w:r>
      <w:r w:rsidRPr="0004128C">
        <w:t xml:space="preserve">arkers </w:t>
      </w:r>
      <w:r>
        <w:t xml:space="preserve">of disease burden </w:t>
      </w:r>
      <w:r w:rsidRPr="0004128C">
        <w:t>and bleeding risk</w:t>
      </w:r>
    </w:p>
    <w:p w:rsidR="0087758F" w:rsidRDefault="0087758F" w:rsidP="0087758F">
      <w:r w:rsidRPr="0004128C">
        <w:t xml:space="preserve">Indicators of bleeding risk differed as to whether miglustat and imiglucerase were equivalent or not, depending on what surrogate outcome measure was used. Haemoglobin concentration was marginally decreased </w:t>
      </w:r>
      <w:r>
        <w:t xml:space="preserve">(a worsening of bleeding risk) </w:t>
      </w:r>
      <w:r w:rsidRPr="0004128C">
        <w:t xml:space="preserve">from baseline in both groups, but the difference between groups was not considered statistically significant </w:t>
      </w:r>
      <w:r>
        <w:t xml:space="preserve">or likely to have any clinical impact </w:t>
      </w:r>
      <w:r w:rsidRPr="0004128C">
        <w:t xml:space="preserve">(GRADE </w:t>
      </w:r>
      <w:r w:rsidRPr="00D4733A">
        <w:rPr>
          <w:rFonts w:ascii="Cambria Math" w:hAnsi="Cambria Math" w:cs="Cambria Math"/>
          <w:color w:val="00B050"/>
        </w:rPr>
        <w:t>⨁</w:t>
      </w:r>
      <w:r w:rsidRPr="00D4733A">
        <w:rPr>
          <w:rFonts w:ascii="Cambria Math" w:hAnsi="Cambria Math" w:cs="Cambria Math"/>
          <w:color w:val="C00000"/>
        </w:rPr>
        <w:t>⨀⨀⨀</w:t>
      </w:r>
      <w:r w:rsidRPr="00D67ADB">
        <w:rPr>
          <w:rFonts w:cs="Cambria Math"/>
          <w:spacing w:val="-20"/>
        </w:rPr>
        <w:t>)</w:t>
      </w:r>
      <w:r w:rsidRPr="0004128C">
        <w:t xml:space="preserve">. However, platelet count was </w:t>
      </w:r>
      <w:r w:rsidRPr="0004128C">
        <w:rPr>
          <w:i/>
        </w:rPr>
        <w:t>reduced</w:t>
      </w:r>
      <w:r w:rsidRPr="0004128C">
        <w:t xml:space="preserve"> by an average of 21.6 x10</w:t>
      </w:r>
      <w:r w:rsidRPr="0004128C">
        <w:rPr>
          <w:vertAlign w:val="superscript"/>
        </w:rPr>
        <w:t>9</w:t>
      </w:r>
      <w:r w:rsidRPr="0004128C">
        <w:t xml:space="preserve">/L in the group who switched to miglustat, whereas it </w:t>
      </w:r>
      <w:r w:rsidRPr="0004128C">
        <w:rPr>
          <w:i/>
        </w:rPr>
        <w:t xml:space="preserve">increased </w:t>
      </w:r>
      <w:r w:rsidRPr="0004128C">
        <w:t>an average of 15.3 x10</w:t>
      </w:r>
      <w:r w:rsidRPr="0004128C">
        <w:rPr>
          <w:vertAlign w:val="superscript"/>
        </w:rPr>
        <w:t>9</w:t>
      </w:r>
      <w:r w:rsidRPr="0004128C">
        <w:t>/L in the group who remained on imiglucerase</w:t>
      </w:r>
      <w:r>
        <w:t xml:space="preserve">. The loss of platelets in the miglustat group resulted in the average platelet count in this group being less than the healthy reference range of 150 – 450 </w:t>
      </w:r>
      <w:r w:rsidRPr="00BA05CB">
        <w:t>x</w:t>
      </w:r>
      <w:r>
        <w:t xml:space="preserve"> </w:t>
      </w:r>
      <w:r w:rsidRPr="00BA05CB">
        <w:t>10</w:t>
      </w:r>
      <w:r w:rsidRPr="00BA05CB">
        <w:rPr>
          <w:vertAlign w:val="superscript"/>
        </w:rPr>
        <w:t>9</w:t>
      </w:r>
      <w:r w:rsidRPr="00BA05CB">
        <w:t xml:space="preserve">/L </w:t>
      </w:r>
      <w:r>
        <w:rPr>
          <w:noProof/>
        </w:rPr>
        <w:t>(QML Pathology 2009)</w:t>
      </w:r>
      <w:r>
        <w:t xml:space="preserve">. This would potentially have a clinical impact, and was </w:t>
      </w:r>
      <w:r w:rsidRPr="0004128C">
        <w:t xml:space="preserve">statistically significant (p&lt;0.05) (GRADE </w:t>
      </w:r>
      <w:r w:rsidRPr="00D4733A">
        <w:rPr>
          <w:rFonts w:ascii="Cambria Math" w:hAnsi="Cambria Math" w:cs="Cambria Math"/>
          <w:color w:val="00B050"/>
        </w:rPr>
        <w:t>⨁⨁</w:t>
      </w:r>
      <w:r w:rsidRPr="00D4733A">
        <w:rPr>
          <w:rFonts w:ascii="Cambria Math" w:hAnsi="Cambria Math" w:cs="Cambria Math"/>
          <w:color w:val="C00000"/>
        </w:rPr>
        <w:t>⨀⨀</w:t>
      </w:r>
      <w:r w:rsidRPr="00D67ADB">
        <w:rPr>
          <w:rFonts w:cs="Cambria Math"/>
          <w:spacing w:val="-20"/>
        </w:rPr>
        <w:t>)</w:t>
      </w:r>
      <w:r w:rsidRPr="0004128C">
        <w:t xml:space="preserve">. </w:t>
      </w:r>
    </w:p>
    <w:p w:rsidR="00BA05CB" w:rsidRPr="00A62C97" w:rsidRDefault="00A62C97" w:rsidP="0004128C">
      <w:r>
        <w:rPr>
          <w:noProof/>
          <w:color w:val="000000"/>
          <w:highlight w:val="black"/>
        </w:rPr>
        <w:t xml:space="preserve">'''''''''''''''''''''''''' '''''''''''''''' ''''' ''' '''''''''''''' ''''' ''''''''''' '''''''''''''' '''''''' ''''''''''''''''' '''' ''''''''''' ''''''''' ''''''''''''''''' '''' '''''''''''''''''' '''''''''''''''' ''''''''''''' '''''''''''' '''' ''''''''''' '''''' '''''''''''''''''''''''''' ''''''''''''''''' '''''''''''''''''''''''' ''''' ''' '''''''''''' '''''''''''''''''''' ''''''''''''''''''' '''''''''''''' ''''''''''' '''''''''''''''' </w:t>
      </w:r>
      <w:r>
        <w:rPr>
          <w:rFonts w:ascii="Cambria Math" w:hAnsi="Cambria Math" w:cs="Cambria Math"/>
          <w:noProof/>
          <w:color w:val="000000"/>
          <w:highlight w:val="black"/>
        </w:rPr>
        <w:t>''''''''''''''''</w:t>
      </w:r>
      <w:r>
        <w:rPr>
          <w:rFonts w:cs="Cambria Math"/>
          <w:noProof/>
          <w:color w:val="000000"/>
          <w:spacing w:val="-20"/>
          <w:highlight w:val="black"/>
        </w:rPr>
        <w:t xml:space="preserve">''' ''''''''' ''''''''''''''' '''''''' ''''''''' ''''''' ''''''''''''''''''' </w:t>
      </w:r>
    </w:p>
    <w:p w:rsidR="0004128C" w:rsidRPr="0004128C" w:rsidRDefault="0004128C" w:rsidP="00F44176">
      <w:pPr>
        <w:pStyle w:val="Caption"/>
        <w:keepNext/>
        <w:tabs>
          <w:tab w:val="clear" w:pos="851"/>
          <w:tab w:val="left" w:pos="1134"/>
        </w:tabs>
        <w:ind w:left="1134" w:hanging="1134"/>
      </w:pPr>
      <w:bookmarkStart w:id="121" w:name="_Toc411510395"/>
      <w:bookmarkStart w:id="122" w:name="_Toc415141808"/>
      <w:r w:rsidRPr="0004128C">
        <w:lastRenderedPageBreak/>
        <w:t xml:space="preserve">Table </w:t>
      </w:r>
      <w:r w:rsidR="00A72B26">
        <w:rPr>
          <w:noProof/>
        </w:rPr>
        <w:t>11</w:t>
      </w:r>
      <w:r w:rsidRPr="0004128C">
        <w:tab/>
        <w:t>Comparison of miglustat and imiglucerase on markers</w:t>
      </w:r>
      <w:r w:rsidR="00BB01AC">
        <w:t xml:space="preserve">of disease burden </w:t>
      </w:r>
      <w:r w:rsidRPr="0004128C">
        <w:t>and bleeding risk</w:t>
      </w:r>
      <w:bookmarkEnd w:id="121"/>
      <w:bookmarkEnd w:id="122"/>
    </w:p>
    <w:tbl>
      <w:tblPr>
        <w:tblStyle w:val="TableGrid"/>
        <w:tblW w:w="5000" w:type="pct"/>
        <w:tblLook w:val="04A0" w:firstRow="1" w:lastRow="0" w:firstColumn="1" w:lastColumn="0" w:noHBand="0" w:noVBand="1"/>
        <w:tblCaption w:val="Table 10 Comparison of miglustat and imiglucerase on bone disease markers and bleeding risk"/>
      </w:tblPr>
      <w:tblGrid>
        <w:gridCol w:w="3936"/>
        <w:gridCol w:w="1984"/>
        <w:gridCol w:w="1701"/>
        <w:gridCol w:w="1621"/>
      </w:tblGrid>
      <w:tr w:rsidR="0004128C" w:rsidRPr="0004128C" w:rsidTr="00712231">
        <w:trPr>
          <w:tblHeader/>
        </w:trPr>
        <w:tc>
          <w:tcPr>
            <w:tcW w:w="2129" w:type="pct"/>
          </w:tcPr>
          <w:p w:rsidR="0004128C" w:rsidRPr="0004128C" w:rsidRDefault="0004128C" w:rsidP="00C90FA8">
            <w:pPr>
              <w:pStyle w:val="TableHeading"/>
            </w:pPr>
            <w:r w:rsidRPr="0004128C">
              <w:t>Outcome</w:t>
            </w:r>
          </w:p>
        </w:tc>
        <w:tc>
          <w:tcPr>
            <w:tcW w:w="1073" w:type="pct"/>
          </w:tcPr>
          <w:p w:rsidR="0004128C" w:rsidRPr="0004128C" w:rsidRDefault="0004128C" w:rsidP="00C90FA8">
            <w:pPr>
              <w:pStyle w:val="TableHeading"/>
            </w:pPr>
            <w:r w:rsidRPr="0004128C">
              <w:t>Miglustat</w:t>
            </w:r>
          </w:p>
        </w:tc>
        <w:tc>
          <w:tcPr>
            <w:tcW w:w="920" w:type="pct"/>
          </w:tcPr>
          <w:p w:rsidR="0004128C" w:rsidRPr="0004128C" w:rsidRDefault="0004128C" w:rsidP="00C90FA8">
            <w:pPr>
              <w:pStyle w:val="TableHeading"/>
            </w:pPr>
            <w:r w:rsidRPr="0004128C">
              <w:t>Imiglucerase</w:t>
            </w:r>
          </w:p>
        </w:tc>
        <w:tc>
          <w:tcPr>
            <w:tcW w:w="877" w:type="pct"/>
          </w:tcPr>
          <w:p w:rsidR="0004128C" w:rsidRPr="0004128C" w:rsidRDefault="003B0D39" w:rsidP="003B0D39">
            <w:pPr>
              <w:pStyle w:val="TableHeading"/>
            </w:pPr>
            <w:r>
              <w:t>Difference</w:t>
            </w:r>
          </w:p>
        </w:tc>
      </w:tr>
      <w:tr w:rsidR="00F63634" w:rsidRPr="0004128C" w:rsidTr="003B0D39">
        <w:trPr>
          <w:trHeight w:val="710"/>
        </w:trPr>
        <w:tc>
          <w:tcPr>
            <w:tcW w:w="2129" w:type="pct"/>
            <w:tcBorders>
              <w:bottom w:val="nil"/>
            </w:tcBorders>
          </w:tcPr>
          <w:p w:rsidR="00F63634" w:rsidRPr="007E6795" w:rsidRDefault="001C7F99" w:rsidP="00F63634">
            <w:pPr>
              <w:pStyle w:val="TableHeading"/>
            </w:pPr>
            <w:r>
              <w:t>Haemoglobin concentration (g/L</w:t>
            </w:r>
            <w:r w:rsidR="00F63634" w:rsidRPr="007E6795">
              <w:t>)</w:t>
            </w:r>
          </w:p>
          <w:p w:rsidR="00F63634" w:rsidRPr="00A62C97" w:rsidRDefault="00A62C97" w:rsidP="00D35EF3">
            <w:pPr>
              <w:pStyle w:val="TableText0"/>
              <w:rPr>
                <w:rFonts w:cstheme="minorHAnsi"/>
                <w:highlight w:val="black"/>
              </w:rPr>
            </w:pPr>
            <w:r>
              <w:rPr>
                <w:rFonts w:cstheme="minorHAnsi"/>
                <w:noProof/>
                <w:color w:val="000000"/>
                <w:highlight w:val="black"/>
              </w:rPr>
              <w:t>'''''''''''''''''''</w:t>
            </w:r>
          </w:p>
          <w:p w:rsidR="00F63634" w:rsidRPr="0004128C" w:rsidRDefault="00F63634" w:rsidP="00C90FA8">
            <w:pPr>
              <w:pStyle w:val="TableText0"/>
            </w:pPr>
            <w:r w:rsidRPr="007E6795">
              <w:rPr>
                <w:rFonts w:cstheme="minorHAnsi"/>
              </w:rPr>
              <w:t>Absolute change from baseline (g/L, mean±SD)</w:t>
            </w:r>
          </w:p>
        </w:tc>
        <w:tc>
          <w:tcPr>
            <w:tcW w:w="1073" w:type="pct"/>
            <w:tcBorders>
              <w:bottom w:val="nil"/>
            </w:tcBorders>
          </w:tcPr>
          <w:p w:rsidR="00F63634" w:rsidRPr="007E6795" w:rsidRDefault="00F63634" w:rsidP="00D35EF3">
            <w:pPr>
              <w:pStyle w:val="TableText0"/>
              <w:rPr>
                <w:rFonts w:cstheme="minorHAnsi"/>
              </w:rPr>
            </w:pPr>
            <w:r w:rsidRPr="007E6795">
              <w:rPr>
                <w:rFonts w:cstheme="minorHAnsi"/>
              </w:rPr>
              <w:t>N</w:t>
            </w:r>
            <w:r w:rsidR="00652355" w:rsidRPr="00652355">
              <w:rPr>
                <w:rFonts w:cstheme="minorHAnsi"/>
                <w:spacing w:val="-20"/>
              </w:rPr>
              <w:t xml:space="preserve"> = </w:t>
            </w:r>
            <w:r w:rsidRPr="007E6795">
              <w:rPr>
                <w:rFonts w:cstheme="minorHAnsi"/>
              </w:rPr>
              <w:t>10</w:t>
            </w:r>
          </w:p>
          <w:p w:rsidR="00F63634" w:rsidRPr="00A62C97" w:rsidRDefault="00A62C97" w:rsidP="00D35EF3">
            <w:pPr>
              <w:pStyle w:val="TableText0"/>
              <w:rPr>
                <w:rFonts w:cstheme="minorHAnsi"/>
                <w:highlight w:val="black"/>
              </w:rPr>
            </w:pPr>
            <w:r>
              <w:rPr>
                <w:rFonts w:cstheme="minorHAnsi"/>
                <w:noProof/>
                <w:color w:val="000000"/>
                <w:highlight w:val="black"/>
              </w:rPr>
              <w:t>'''''''''''''''''''''''</w:t>
            </w:r>
          </w:p>
          <w:p w:rsidR="00F63634" w:rsidRPr="0004128C" w:rsidRDefault="00F63634" w:rsidP="00C90FA8">
            <w:pPr>
              <w:pStyle w:val="TableText0"/>
            </w:pPr>
            <w:r w:rsidRPr="007E6795">
              <w:rPr>
                <w:rFonts w:cstheme="minorHAnsi"/>
              </w:rPr>
              <w:t>-</w:t>
            </w:r>
            <w:r w:rsidR="001C7F99">
              <w:rPr>
                <w:rFonts w:cstheme="minorHAnsi"/>
              </w:rPr>
              <w:t>3</w:t>
            </w:r>
            <w:r w:rsidR="0055087E">
              <w:rPr>
                <w:rFonts w:cstheme="minorHAnsi"/>
              </w:rPr>
              <w:t>.</w:t>
            </w:r>
            <w:r w:rsidR="001C7F99">
              <w:rPr>
                <w:rFonts w:cstheme="minorHAnsi"/>
              </w:rPr>
              <w:t>1±</w:t>
            </w:r>
            <w:r w:rsidRPr="007E6795">
              <w:rPr>
                <w:rFonts w:cstheme="minorHAnsi"/>
              </w:rPr>
              <w:t>5</w:t>
            </w:r>
            <w:r w:rsidR="001C7F99">
              <w:rPr>
                <w:rFonts w:cstheme="minorHAnsi"/>
              </w:rPr>
              <w:t>.</w:t>
            </w:r>
            <w:r w:rsidRPr="007E6795">
              <w:rPr>
                <w:rFonts w:cstheme="minorHAnsi"/>
              </w:rPr>
              <w:t>5</w:t>
            </w:r>
          </w:p>
        </w:tc>
        <w:tc>
          <w:tcPr>
            <w:tcW w:w="920" w:type="pct"/>
            <w:tcBorders>
              <w:bottom w:val="nil"/>
            </w:tcBorders>
          </w:tcPr>
          <w:p w:rsidR="00F63634" w:rsidRPr="007E6795" w:rsidRDefault="00F63634" w:rsidP="00D35EF3">
            <w:pPr>
              <w:pStyle w:val="TableText0"/>
              <w:rPr>
                <w:rFonts w:cstheme="minorHAnsi"/>
              </w:rPr>
            </w:pPr>
            <w:r w:rsidRPr="007E6795">
              <w:rPr>
                <w:rFonts w:cstheme="minorHAnsi"/>
              </w:rPr>
              <w:t>N</w:t>
            </w:r>
            <w:r w:rsidR="00652355" w:rsidRPr="00652355">
              <w:rPr>
                <w:rFonts w:cstheme="minorHAnsi"/>
                <w:spacing w:val="-20"/>
              </w:rPr>
              <w:t xml:space="preserve"> = </w:t>
            </w:r>
            <w:r w:rsidRPr="007E6795">
              <w:rPr>
                <w:rFonts w:cstheme="minorHAnsi"/>
              </w:rPr>
              <w:t>12</w:t>
            </w:r>
          </w:p>
          <w:p w:rsidR="00F63634" w:rsidRPr="00A62C97" w:rsidRDefault="00A62C97" w:rsidP="00D35EF3">
            <w:pPr>
              <w:pStyle w:val="TableText0"/>
              <w:rPr>
                <w:rFonts w:cstheme="minorHAnsi"/>
                <w:highlight w:val="black"/>
              </w:rPr>
            </w:pPr>
            <w:r>
              <w:rPr>
                <w:rFonts w:cstheme="minorHAnsi"/>
                <w:noProof/>
                <w:color w:val="000000"/>
                <w:highlight w:val="black"/>
              </w:rPr>
              <w:t>'''''''''''''''''''''''''''</w:t>
            </w:r>
          </w:p>
          <w:p w:rsidR="00F63634" w:rsidRPr="0004128C" w:rsidRDefault="00F63634" w:rsidP="00C90FA8">
            <w:pPr>
              <w:pStyle w:val="TableText0"/>
            </w:pPr>
            <w:r w:rsidRPr="007E6795">
              <w:rPr>
                <w:rFonts w:cstheme="minorHAnsi"/>
              </w:rPr>
              <w:t>-</w:t>
            </w:r>
            <w:r w:rsidR="001C7F99">
              <w:rPr>
                <w:rFonts w:cstheme="minorHAnsi"/>
              </w:rPr>
              <w:t>1</w:t>
            </w:r>
            <w:r w:rsidR="0055087E">
              <w:rPr>
                <w:rFonts w:cstheme="minorHAnsi"/>
              </w:rPr>
              <w:t>.</w:t>
            </w:r>
            <w:r w:rsidR="001C7F99">
              <w:rPr>
                <w:rFonts w:cstheme="minorHAnsi"/>
              </w:rPr>
              <w:t>5±</w:t>
            </w:r>
            <w:r w:rsidRPr="007E6795">
              <w:rPr>
                <w:rFonts w:cstheme="minorHAnsi"/>
              </w:rPr>
              <w:t>3</w:t>
            </w:r>
            <w:r w:rsidR="001C7F99">
              <w:rPr>
                <w:rFonts w:cstheme="minorHAnsi"/>
              </w:rPr>
              <w:t>.</w:t>
            </w:r>
            <w:r w:rsidRPr="007E6795">
              <w:rPr>
                <w:rFonts w:cstheme="minorHAnsi"/>
              </w:rPr>
              <w:t>9</w:t>
            </w:r>
          </w:p>
        </w:tc>
        <w:tc>
          <w:tcPr>
            <w:tcW w:w="877" w:type="pct"/>
            <w:tcBorders>
              <w:bottom w:val="nil"/>
            </w:tcBorders>
          </w:tcPr>
          <w:p w:rsidR="00F63634" w:rsidRPr="007E6795" w:rsidRDefault="00F63634" w:rsidP="00D35EF3">
            <w:pPr>
              <w:pStyle w:val="TableText0"/>
              <w:rPr>
                <w:rFonts w:cstheme="minorHAnsi"/>
              </w:rPr>
            </w:pPr>
          </w:p>
          <w:p w:rsidR="001C7F99" w:rsidRDefault="001C7F99" w:rsidP="00C90FA8">
            <w:pPr>
              <w:pStyle w:val="TableText0"/>
              <w:rPr>
                <w:rFonts w:cstheme="minorHAnsi"/>
              </w:rPr>
            </w:pPr>
          </w:p>
          <w:p w:rsidR="00F63634" w:rsidRPr="0004128C" w:rsidRDefault="00F63634" w:rsidP="00C90FA8">
            <w:pPr>
              <w:pStyle w:val="TableText0"/>
            </w:pPr>
            <w:r w:rsidRPr="007E6795">
              <w:rPr>
                <w:rFonts w:cstheme="minorHAnsi"/>
              </w:rPr>
              <w:t>NS</w:t>
            </w:r>
          </w:p>
        </w:tc>
      </w:tr>
      <w:tr w:rsidR="00F63634" w:rsidRPr="0004128C" w:rsidTr="003B0D39">
        <w:trPr>
          <w:trHeight w:val="392"/>
        </w:trPr>
        <w:tc>
          <w:tcPr>
            <w:tcW w:w="2129" w:type="pct"/>
            <w:tcBorders>
              <w:top w:val="nil"/>
            </w:tcBorders>
          </w:tcPr>
          <w:p w:rsidR="00F63634" w:rsidRPr="0004128C" w:rsidRDefault="00F63634" w:rsidP="00C90FA8">
            <w:pPr>
              <w:pStyle w:val="TableText0"/>
            </w:pPr>
            <w:r w:rsidRPr="007E6795">
              <w:rPr>
                <w:rFonts w:cstheme="minorHAnsi"/>
              </w:rPr>
              <w:t>Percent change from baseline (%, mean±SD)</w:t>
            </w:r>
          </w:p>
        </w:tc>
        <w:tc>
          <w:tcPr>
            <w:tcW w:w="1073" w:type="pct"/>
            <w:tcBorders>
              <w:top w:val="nil"/>
            </w:tcBorders>
          </w:tcPr>
          <w:p w:rsidR="00F63634" w:rsidRPr="0004128C" w:rsidRDefault="00F63634" w:rsidP="001C7F99">
            <w:pPr>
              <w:pStyle w:val="TableText0"/>
            </w:pPr>
            <w:r w:rsidRPr="007E6795">
              <w:rPr>
                <w:rFonts w:cstheme="minorHAnsi"/>
              </w:rPr>
              <w:t>-2</w:t>
            </w:r>
            <w:r w:rsidR="0055087E">
              <w:rPr>
                <w:rFonts w:cstheme="minorHAnsi"/>
              </w:rPr>
              <w:t>.</w:t>
            </w:r>
            <w:r w:rsidR="001C7F99">
              <w:rPr>
                <w:rFonts w:cstheme="minorHAnsi"/>
              </w:rPr>
              <w:t>4±4</w:t>
            </w:r>
            <w:r w:rsidR="0055087E">
              <w:rPr>
                <w:rFonts w:cstheme="minorHAnsi"/>
              </w:rPr>
              <w:t>.</w:t>
            </w:r>
            <w:r w:rsidRPr="007E6795">
              <w:rPr>
                <w:rFonts w:cstheme="minorHAnsi"/>
              </w:rPr>
              <w:t>1</w:t>
            </w:r>
          </w:p>
        </w:tc>
        <w:tc>
          <w:tcPr>
            <w:tcW w:w="920" w:type="pct"/>
            <w:tcBorders>
              <w:top w:val="nil"/>
            </w:tcBorders>
          </w:tcPr>
          <w:p w:rsidR="00F63634" w:rsidRPr="0004128C" w:rsidRDefault="001C7F99" w:rsidP="00C90FA8">
            <w:pPr>
              <w:pStyle w:val="TableText0"/>
            </w:pPr>
            <w:r>
              <w:rPr>
                <w:rFonts w:cstheme="minorHAnsi"/>
              </w:rPr>
              <w:t>-</w:t>
            </w:r>
            <w:r w:rsidR="00F63634" w:rsidRPr="007E6795">
              <w:rPr>
                <w:rFonts w:cstheme="minorHAnsi"/>
              </w:rPr>
              <w:t>1</w:t>
            </w:r>
            <w:r>
              <w:rPr>
                <w:rFonts w:cstheme="minorHAnsi"/>
              </w:rPr>
              <w:t>.</w:t>
            </w:r>
            <w:r w:rsidR="00F63634" w:rsidRPr="007E6795">
              <w:rPr>
                <w:rFonts w:cstheme="minorHAnsi"/>
              </w:rPr>
              <w:t>2±3</w:t>
            </w:r>
          </w:p>
        </w:tc>
        <w:tc>
          <w:tcPr>
            <w:tcW w:w="877" w:type="pct"/>
            <w:tcBorders>
              <w:top w:val="nil"/>
            </w:tcBorders>
          </w:tcPr>
          <w:p w:rsidR="00F63634" w:rsidRPr="0004128C" w:rsidRDefault="00F63634" w:rsidP="00C90FA8">
            <w:pPr>
              <w:pStyle w:val="TableText0"/>
            </w:pPr>
            <w:r w:rsidRPr="007E6795">
              <w:rPr>
                <w:rFonts w:cstheme="minorHAnsi"/>
              </w:rPr>
              <w:t>NS</w:t>
            </w:r>
          </w:p>
        </w:tc>
      </w:tr>
      <w:tr w:rsidR="00F63634" w:rsidRPr="0004128C" w:rsidTr="003B0D39">
        <w:trPr>
          <w:trHeight w:val="740"/>
        </w:trPr>
        <w:tc>
          <w:tcPr>
            <w:tcW w:w="2129" w:type="pct"/>
            <w:tcBorders>
              <w:bottom w:val="nil"/>
            </w:tcBorders>
          </w:tcPr>
          <w:p w:rsidR="00F63634" w:rsidRPr="007E6795" w:rsidRDefault="00F63634" w:rsidP="00F63634">
            <w:pPr>
              <w:pStyle w:val="TableHeading"/>
            </w:pPr>
            <w:r w:rsidRPr="007E6795">
              <w:t>Platelet count (x10</w:t>
            </w:r>
            <w:r w:rsidRPr="007E6795">
              <w:rPr>
                <w:vertAlign w:val="superscript"/>
              </w:rPr>
              <w:t>9</w:t>
            </w:r>
            <w:r w:rsidRPr="007E6795">
              <w:t>/L)</w:t>
            </w:r>
          </w:p>
          <w:p w:rsidR="00F63634" w:rsidRPr="00A62C97" w:rsidRDefault="00A62C97" w:rsidP="00D35EF3">
            <w:pPr>
              <w:pStyle w:val="TableText0"/>
              <w:rPr>
                <w:rFonts w:cstheme="minorHAnsi"/>
                <w:highlight w:val="black"/>
              </w:rPr>
            </w:pPr>
            <w:r>
              <w:rPr>
                <w:rFonts w:cstheme="minorHAnsi"/>
                <w:noProof/>
                <w:color w:val="000000"/>
                <w:highlight w:val="black"/>
              </w:rPr>
              <w:t>''''''''''''''''''''''</w:t>
            </w:r>
          </w:p>
          <w:p w:rsidR="00F63634" w:rsidRPr="0004128C" w:rsidRDefault="00F63634" w:rsidP="00C90FA8">
            <w:pPr>
              <w:pStyle w:val="TableText0"/>
            </w:pPr>
            <w:r w:rsidRPr="007E6795">
              <w:rPr>
                <w:rFonts w:cstheme="minorHAnsi"/>
              </w:rPr>
              <w:t>Absolute change from baseline (x10</w:t>
            </w:r>
            <w:r w:rsidRPr="007E6795">
              <w:rPr>
                <w:rFonts w:cstheme="minorHAnsi"/>
                <w:vertAlign w:val="superscript"/>
              </w:rPr>
              <w:t>9</w:t>
            </w:r>
            <w:r w:rsidRPr="007E6795">
              <w:rPr>
                <w:rFonts w:cstheme="minorHAnsi"/>
              </w:rPr>
              <w:t>/L, mean±SD)</w:t>
            </w:r>
          </w:p>
        </w:tc>
        <w:tc>
          <w:tcPr>
            <w:tcW w:w="1073" w:type="pct"/>
            <w:tcBorders>
              <w:bottom w:val="nil"/>
            </w:tcBorders>
          </w:tcPr>
          <w:p w:rsidR="00F63634" w:rsidRPr="007E6795" w:rsidRDefault="00F63634" w:rsidP="00D35EF3">
            <w:pPr>
              <w:pStyle w:val="TableText0"/>
              <w:rPr>
                <w:rFonts w:cstheme="minorHAnsi"/>
              </w:rPr>
            </w:pPr>
            <w:r w:rsidRPr="007E6795">
              <w:rPr>
                <w:rFonts w:cstheme="minorHAnsi"/>
              </w:rPr>
              <w:t>N</w:t>
            </w:r>
            <w:r w:rsidR="00652355" w:rsidRPr="00652355">
              <w:rPr>
                <w:rFonts w:cstheme="minorHAnsi"/>
                <w:spacing w:val="-20"/>
              </w:rPr>
              <w:t xml:space="preserve"> = </w:t>
            </w:r>
            <w:r w:rsidRPr="007E6795">
              <w:rPr>
                <w:rFonts w:cstheme="minorHAnsi"/>
              </w:rPr>
              <w:t>10</w:t>
            </w:r>
          </w:p>
          <w:p w:rsidR="001C7F99" w:rsidRPr="00A62C97" w:rsidRDefault="00A62C97" w:rsidP="00C90FA8">
            <w:pPr>
              <w:pStyle w:val="TableText0"/>
              <w:rPr>
                <w:rFonts w:cstheme="minorHAnsi"/>
                <w:highlight w:val="black"/>
              </w:rPr>
            </w:pPr>
            <w:r>
              <w:rPr>
                <w:rFonts w:cstheme="minorHAnsi"/>
                <w:noProof/>
                <w:color w:val="000000"/>
                <w:highlight w:val="black"/>
              </w:rPr>
              <w:t>'''''''''''''''''''''''''''</w:t>
            </w:r>
          </w:p>
          <w:p w:rsidR="00F63634" w:rsidRPr="0004128C" w:rsidRDefault="00F63634" w:rsidP="00C90FA8">
            <w:pPr>
              <w:pStyle w:val="TableText0"/>
            </w:pPr>
            <w:r w:rsidRPr="007E6795">
              <w:rPr>
                <w:rFonts w:cstheme="minorHAnsi"/>
              </w:rPr>
              <w:t>-21.6±37.4</w:t>
            </w:r>
          </w:p>
        </w:tc>
        <w:tc>
          <w:tcPr>
            <w:tcW w:w="920" w:type="pct"/>
            <w:tcBorders>
              <w:bottom w:val="nil"/>
            </w:tcBorders>
          </w:tcPr>
          <w:p w:rsidR="00F63634" w:rsidRPr="007E6795" w:rsidRDefault="00F63634" w:rsidP="00D35EF3">
            <w:pPr>
              <w:pStyle w:val="TableText0"/>
              <w:rPr>
                <w:rFonts w:cstheme="minorHAnsi"/>
              </w:rPr>
            </w:pPr>
            <w:r w:rsidRPr="007E6795">
              <w:rPr>
                <w:rFonts w:cstheme="minorHAnsi"/>
              </w:rPr>
              <w:t>N</w:t>
            </w:r>
            <w:r w:rsidR="00652355" w:rsidRPr="00652355">
              <w:rPr>
                <w:rFonts w:cstheme="minorHAnsi"/>
                <w:spacing w:val="-20"/>
              </w:rPr>
              <w:t xml:space="preserve"> = </w:t>
            </w:r>
            <w:r w:rsidRPr="007E6795">
              <w:rPr>
                <w:rFonts w:cstheme="minorHAnsi"/>
              </w:rPr>
              <w:t>12</w:t>
            </w:r>
          </w:p>
          <w:p w:rsidR="00F63634" w:rsidRPr="00A62C97" w:rsidRDefault="00A62C97" w:rsidP="00D35EF3">
            <w:pPr>
              <w:pStyle w:val="TableText0"/>
              <w:rPr>
                <w:rFonts w:cstheme="minorHAnsi"/>
                <w:highlight w:val="black"/>
              </w:rPr>
            </w:pPr>
            <w:r>
              <w:rPr>
                <w:rFonts w:cstheme="minorHAnsi"/>
                <w:noProof/>
                <w:color w:val="000000"/>
                <w:highlight w:val="black"/>
              </w:rPr>
              <w:t>'''''''''''''''''''''''''''''</w:t>
            </w:r>
          </w:p>
          <w:p w:rsidR="00F63634" w:rsidRPr="0004128C" w:rsidRDefault="00F63634" w:rsidP="00C90FA8">
            <w:pPr>
              <w:pStyle w:val="TableText0"/>
            </w:pPr>
            <w:r w:rsidRPr="007E6795">
              <w:rPr>
                <w:rFonts w:cstheme="minorHAnsi"/>
              </w:rPr>
              <w:t>15.3±26.2</w:t>
            </w:r>
          </w:p>
        </w:tc>
        <w:tc>
          <w:tcPr>
            <w:tcW w:w="877" w:type="pct"/>
            <w:tcBorders>
              <w:bottom w:val="nil"/>
            </w:tcBorders>
          </w:tcPr>
          <w:p w:rsidR="00F63634" w:rsidRPr="007E6795" w:rsidRDefault="00F63634" w:rsidP="00D35EF3">
            <w:pPr>
              <w:pStyle w:val="TableText0"/>
              <w:rPr>
                <w:rFonts w:cstheme="minorHAnsi"/>
              </w:rPr>
            </w:pPr>
          </w:p>
          <w:p w:rsidR="00F63634" w:rsidRDefault="00F63634" w:rsidP="00D35EF3">
            <w:pPr>
              <w:pStyle w:val="TableText0"/>
              <w:rPr>
                <w:rFonts w:cstheme="minorHAnsi"/>
              </w:rPr>
            </w:pPr>
          </w:p>
          <w:p w:rsidR="003B0D39" w:rsidRPr="00A62C97" w:rsidRDefault="00A62C97" w:rsidP="003B0D39">
            <w:pPr>
              <w:pStyle w:val="TableText0"/>
              <w:rPr>
                <w:rFonts w:cstheme="minorHAnsi"/>
                <w:highlight w:val="black"/>
              </w:rPr>
            </w:pPr>
            <w:r>
              <w:rPr>
                <w:rFonts w:cstheme="minorHAnsi"/>
                <w:noProof/>
                <w:color w:val="000000"/>
                <w:highlight w:val="black"/>
              </w:rPr>
              <w:t>'''''''''''</w:t>
            </w:r>
          </w:p>
          <w:p w:rsidR="00F63634" w:rsidRPr="00A62C97" w:rsidRDefault="00A62C97" w:rsidP="003B0D39">
            <w:pPr>
              <w:pStyle w:val="TableText0"/>
              <w:rPr>
                <w:rFonts w:cstheme="minorHAnsi"/>
                <w:highlight w:val="black"/>
              </w:rPr>
            </w:pPr>
            <w:r>
              <w:rPr>
                <w:rFonts w:cstheme="minorHAnsi"/>
                <w:noProof/>
                <w:color w:val="000000"/>
                <w:highlight w:val="black"/>
              </w:rPr>
              <w:t>''''''''''''''''' ''''''''''''''' ''''''''''''</w:t>
            </w:r>
          </w:p>
        </w:tc>
      </w:tr>
      <w:tr w:rsidR="00F63634" w:rsidRPr="0004128C" w:rsidTr="003B0D39">
        <w:trPr>
          <w:trHeight w:val="488"/>
        </w:trPr>
        <w:tc>
          <w:tcPr>
            <w:tcW w:w="2129" w:type="pct"/>
            <w:tcBorders>
              <w:top w:val="nil"/>
            </w:tcBorders>
          </w:tcPr>
          <w:p w:rsidR="00F63634" w:rsidRPr="0004128C" w:rsidRDefault="00F63634" w:rsidP="00C90FA8">
            <w:pPr>
              <w:pStyle w:val="TableText0"/>
            </w:pPr>
            <w:r w:rsidRPr="007E6795">
              <w:rPr>
                <w:rFonts w:cstheme="minorHAnsi"/>
              </w:rPr>
              <w:t>Percent change from baseline (%, mean±SD)</w:t>
            </w:r>
          </w:p>
        </w:tc>
        <w:tc>
          <w:tcPr>
            <w:tcW w:w="1073" w:type="pct"/>
            <w:tcBorders>
              <w:top w:val="nil"/>
            </w:tcBorders>
          </w:tcPr>
          <w:p w:rsidR="00F63634" w:rsidRPr="0004128C" w:rsidRDefault="00F63634" w:rsidP="00C90FA8">
            <w:pPr>
              <w:pStyle w:val="TableText0"/>
            </w:pPr>
            <w:r w:rsidRPr="007E6795">
              <w:rPr>
                <w:rFonts w:cstheme="minorHAnsi"/>
              </w:rPr>
              <w:t>-9.6±15.1</w:t>
            </w:r>
          </w:p>
        </w:tc>
        <w:tc>
          <w:tcPr>
            <w:tcW w:w="920" w:type="pct"/>
            <w:tcBorders>
              <w:top w:val="nil"/>
            </w:tcBorders>
          </w:tcPr>
          <w:p w:rsidR="00F63634" w:rsidRPr="0004128C" w:rsidRDefault="00F63634" w:rsidP="00C90FA8">
            <w:pPr>
              <w:pStyle w:val="TableText0"/>
            </w:pPr>
            <w:r w:rsidRPr="007E6795">
              <w:rPr>
                <w:rFonts w:cstheme="minorHAnsi"/>
              </w:rPr>
              <w:t>10.1±16.7</w:t>
            </w:r>
          </w:p>
        </w:tc>
        <w:tc>
          <w:tcPr>
            <w:tcW w:w="877" w:type="pct"/>
            <w:tcBorders>
              <w:top w:val="nil"/>
            </w:tcBorders>
          </w:tcPr>
          <w:p w:rsidR="00F63634" w:rsidRPr="0004128C" w:rsidRDefault="003B0D39" w:rsidP="00C90FA8">
            <w:pPr>
              <w:pStyle w:val="TableText0"/>
            </w:pPr>
            <w:r>
              <w:rPr>
                <w:rFonts w:cstheme="minorHAnsi"/>
              </w:rPr>
              <w:t>NR</w:t>
            </w:r>
          </w:p>
        </w:tc>
      </w:tr>
      <w:tr w:rsidR="00F63634" w:rsidRPr="0004128C" w:rsidTr="003B0D39">
        <w:tc>
          <w:tcPr>
            <w:tcW w:w="2129" w:type="pct"/>
          </w:tcPr>
          <w:p w:rsidR="00F63634" w:rsidRPr="007E6795" w:rsidRDefault="00F63634" w:rsidP="00F63634">
            <w:pPr>
              <w:pStyle w:val="TableHeading"/>
            </w:pPr>
            <w:r w:rsidRPr="007E6795">
              <w:t xml:space="preserve">Chitotriosidase activity </w:t>
            </w:r>
          </w:p>
          <w:p w:rsidR="00F63634" w:rsidRPr="007E6795" w:rsidRDefault="00F63634" w:rsidP="00D35EF3">
            <w:pPr>
              <w:pStyle w:val="TableText0"/>
              <w:rPr>
                <w:rFonts w:cstheme="minorHAnsi"/>
              </w:rPr>
            </w:pPr>
            <w:r w:rsidRPr="007E6795">
              <w:rPr>
                <w:rFonts w:cstheme="minorHAnsi"/>
              </w:rPr>
              <w:t>Baseline</w:t>
            </w:r>
            <w:r>
              <w:rPr>
                <w:rFonts w:cstheme="minorHAnsi"/>
              </w:rPr>
              <w:t xml:space="preserve"> range (approximate</w:t>
            </w:r>
            <w:r w:rsidR="00605B9E">
              <w:rPr>
                <w:rFonts w:cstheme="minorHAnsi"/>
              </w:rPr>
              <w:t>;</w:t>
            </w:r>
            <w:r w:rsidR="00605B9E" w:rsidRPr="007E6795">
              <w:t xml:space="preserve"> </w:t>
            </w:r>
            <w:r w:rsidR="00605B9E">
              <w:t>nmol/mL/hr</w:t>
            </w:r>
            <w:r>
              <w:rPr>
                <w:rFonts w:cstheme="minorHAnsi"/>
              </w:rPr>
              <w:t>)</w:t>
            </w:r>
          </w:p>
          <w:p w:rsidR="00F63634" w:rsidRPr="0004128C" w:rsidRDefault="00F63634" w:rsidP="00C90FA8">
            <w:pPr>
              <w:pStyle w:val="TableText0"/>
            </w:pPr>
            <w:r w:rsidRPr="007E6795">
              <w:rPr>
                <w:rFonts w:cstheme="minorHAnsi"/>
              </w:rPr>
              <w:t>Percent change from baseline (% mean)</w:t>
            </w:r>
          </w:p>
        </w:tc>
        <w:tc>
          <w:tcPr>
            <w:tcW w:w="1073" w:type="pct"/>
          </w:tcPr>
          <w:p w:rsidR="00F63634" w:rsidRPr="00A84B42" w:rsidRDefault="00F63634" w:rsidP="00D35EF3">
            <w:pPr>
              <w:pStyle w:val="TableText0"/>
              <w:rPr>
                <w:rFonts w:cstheme="minorHAnsi"/>
              </w:rPr>
            </w:pPr>
          </w:p>
          <w:p w:rsidR="00F63634" w:rsidRPr="00A84B42" w:rsidRDefault="00F63634" w:rsidP="00D35EF3">
            <w:pPr>
              <w:pStyle w:val="TableText0"/>
              <w:rPr>
                <w:rFonts w:cstheme="minorHAnsi"/>
              </w:rPr>
            </w:pPr>
            <w:r w:rsidRPr="00A84B42">
              <w:rPr>
                <w:rFonts w:cstheme="minorHAnsi"/>
              </w:rPr>
              <w:t>1000 – 15 000</w:t>
            </w:r>
          </w:p>
          <w:p w:rsidR="00F63634" w:rsidRPr="00A84B42" w:rsidRDefault="00F63634" w:rsidP="00C90FA8">
            <w:pPr>
              <w:pStyle w:val="TableText0"/>
            </w:pPr>
            <w:r w:rsidRPr="00A84B42">
              <w:rPr>
                <w:rFonts w:cstheme="minorHAnsi"/>
              </w:rPr>
              <w:t>33.0</w:t>
            </w:r>
          </w:p>
        </w:tc>
        <w:tc>
          <w:tcPr>
            <w:tcW w:w="920" w:type="pct"/>
          </w:tcPr>
          <w:p w:rsidR="00F63634" w:rsidRPr="00A84B42" w:rsidRDefault="00F63634" w:rsidP="00D35EF3">
            <w:pPr>
              <w:pStyle w:val="TableText0"/>
              <w:rPr>
                <w:rFonts w:cstheme="minorHAnsi"/>
              </w:rPr>
            </w:pPr>
          </w:p>
          <w:p w:rsidR="00F63634" w:rsidRPr="00A84B42" w:rsidRDefault="00F63634" w:rsidP="00D35EF3">
            <w:pPr>
              <w:pStyle w:val="TableText0"/>
              <w:rPr>
                <w:rFonts w:cstheme="minorHAnsi"/>
              </w:rPr>
            </w:pPr>
            <w:r w:rsidRPr="00A84B42">
              <w:rPr>
                <w:rFonts w:cstheme="minorHAnsi"/>
              </w:rPr>
              <w:t>1000 – 15 000</w:t>
            </w:r>
          </w:p>
          <w:p w:rsidR="00F63634" w:rsidRPr="00A84B42" w:rsidRDefault="00F63634" w:rsidP="00C90FA8">
            <w:pPr>
              <w:pStyle w:val="TableText0"/>
            </w:pPr>
            <w:r w:rsidRPr="00A84B42">
              <w:rPr>
                <w:rFonts w:cstheme="minorHAnsi"/>
              </w:rPr>
              <w:t>-0.3</w:t>
            </w:r>
          </w:p>
        </w:tc>
        <w:tc>
          <w:tcPr>
            <w:tcW w:w="877" w:type="pct"/>
          </w:tcPr>
          <w:p w:rsidR="00F63634" w:rsidRPr="00A84B42" w:rsidRDefault="00F63634" w:rsidP="00D35EF3">
            <w:pPr>
              <w:pStyle w:val="TableText0"/>
              <w:rPr>
                <w:rFonts w:cstheme="minorHAnsi"/>
              </w:rPr>
            </w:pPr>
          </w:p>
          <w:p w:rsidR="00F63634" w:rsidRPr="00A84B42" w:rsidRDefault="00F63634" w:rsidP="00D35EF3">
            <w:pPr>
              <w:pStyle w:val="TableText0"/>
              <w:rPr>
                <w:rFonts w:cstheme="minorHAnsi"/>
              </w:rPr>
            </w:pPr>
          </w:p>
          <w:p w:rsidR="00F63634" w:rsidRPr="00A84B42" w:rsidRDefault="00F63634" w:rsidP="00C90FA8">
            <w:pPr>
              <w:pStyle w:val="TableText0"/>
            </w:pPr>
            <w:r w:rsidRPr="00A84B42">
              <w:rPr>
                <w:rFonts w:cstheme="minorHAnsi"/>
              </w:rPr>
              <w:t>p</w:t>
            </w:r>
            <w:r w:rsidR="00652355" w:rsidRPr="00652355">
              <w:rPr>
                <w:rFonts w:cstheme="minorHAnsi"/>
                <w:spacing w:val="-20"/>
              </w:rPr>
              <w:t xml:space="preserve"> = </w:t>
            </w:r>
            <w:r w:rsidRPr="00A84B42">
              <w:rPr>
                <w:rFonts w:cstheme="minorHAnsi"/>
              </w:rPr>
              <w:t>0.004</w:t>
            </w:r>
          </w:p>
        </w:tc>
      </w:tr>
    </w:tbl>
    <w:p w:rsidR="0004128C" w:rsidRDefault="0004128C" w:rsidP="00144487">
      <w:pPr>
        <w:keepNext/>
        <w:spacing w:after="0" w:line="240" w:lineRule="auto"/>
        <w:rPr>
          <w:rFonts w:ascii="Arial Narrow" w:hAnsi="Arial Narrow"/>
          <w:sz w:val="16"/>
          <w:szCs w:val="16"/>
          <w:lang w:eastAsia="en-AU"/>
        </w:rPr>
      </w:pPr>
      <w:r w:rsidRPr="0004128C">
        <w:rPr>
          <w:rFonts w:ascii="Arial Narrow" w:hAnsi="Arial Narrow"/>
          <w:sz w:val="16"/>
          <w:szCs w:val="16"/>
          <w:lang w:eastAsia="en-AU"/>
        </w:rPr>
        <w:t xml:space="preserve">Data from </w:t>
      </w:r>
      <w:r w:rsidR="00A130D0">
        <w:rPr>
          <w:rFonts w:ascii="Arial Narrow" w:hAnsi="Arial Narrow"/>
          <w:noProof/>
          <w:sz w:val="16"/>
          <w:szCs w:val="16"/>
          <w:lang w:eastAsia="en-AU"/>
        </w:rPr>
        <w:t>(</w:t>
      </w:r>
      <w:r w:rsidR="00184B6F">
        <w:rPr>
          <w:rFonts w:ascii="Arial Narrow" w:hAnsi="Arial Narrow"/>
          <w:noProof/>
          <w:sz w:val="16"/>
          <w:szCs w:val="16"/>
          <w:lang w:eastAsia="en-AU"/>
        </w:rPr>
        <w:t>Actelion Pharmaceuticals Ltd. 2012</w:t>
      </w:r>
      <w:r w:rsidR="00A130D0">
        <w:rPr>
          <w:rFonts w:ascii="Arial Narrow" w:hAnsi="Arial Narrow"/>
          <w:noProof/>
          <w:sz w:val="16"/>
          <w:szCs w:val="16"/>
          <w:lang w:eastAsia="en-AU"/>
        </w:rPr>
        <w:t>)</w:t>
      </w:r>
      <w:r w:rsidR="00F63634" w:rsidRPr="00F63634">
        <w:t xml:space="preserve"> </w:t>
      </w:r>
      <w:r w:rsidR="00A130D0">
        <w:rPr>
          <w:rFonts w:ascii="Arial Narrow" w:hAnsi="Arial Narrow"/>
          <w:noProof/>
          <w:sz w:val="16"/>
          <w:szCs w:val="16"/>
          <w:lang w:eastAsia="en-AU"/>
        </w:rPr>
        <w:t>(</w:t>
      </w:r>
      <w:r w:rsidR="00184B6F">
        <w:rPr>
          <w:rFonts w:ascii="Arial Narrow" w:hAnsi="Arial Narrow"/>
          <w:noProof/>
          <w:sz w:val="16"/>
          <w:szCs w:val="16"/>
          <w:lang w:eastAsia="en-AU"/>
        </w:rPr>
        <w:t>Elstein, D et al. 2007</w:t>
      </w:r>
      <w:r w:rsidR="00A130D0">
        <w:rPr>
          <w:rFonts w:ascii="Arial Narrow" w:hAnsi="Arial Narrow"/>
          <w:noProof/>
          <w:sz w:val="16"/>
          <w:szCs w:val="16"/>
          <w:lang w:eastAsia="en-AU"/>
        </w:rPr>
        <w:t>)</w:t>
      </w:r>
      <w:r w:rsidR="00AF77B1">
        <w:rPr>
          <w:rFonts w:ascii="Arial Narrow" w:hAnsi="Arial Narrow"/>
          <w:sz w:val="16"/>
          <w:szCs w:val="16"/>
          <w:lang w:eastAsia="en-AU"/>
        </w:rPr>
        <w:t xml:space="preserve"> </w:t>
      </w:r>
      <w:r w:rsidR="00A130D0">
        <w:rPr>
          <w:rFonts w:ascii="Arial Narrow" w:hAnsi="Arial Narrow"/>
          <w:noProof/>
          <w:sz w:val="16"/>
          <w:szCs w:val="16"/>
          <w:lang w:eastAsia="en-AU"/>
        </w:rPr>
        <w:t>(</w:t>
      </w:r>
      <w:r w:rsidR="00184B6F">
        <w:rPr>
          <w:rFonts w:ascii="Arial Narrow" w:hAnsi="Arial Narrow"/>
          <w:noProof/>
          <w:sz w:val="16"/>
          <w:szCs w:val="16"/>
          <w:lang w:eastAsia="en-AU"/>
        </w:rPr>
        <w:t>European Medicines Agency 2003</w:t>
      </w:r>
      <w:r w:rsidR="00A130D0">
        <w:rPr>
          <w:rFonts w:ascii="Arial Narrow" w:hAnsi="Arial Narrow"/>
          <w:noProof/>
          <w:sz w:val="16"/>
          <w:szCs w:val="16"/>
          <w:lang w:eastAsia="en-AU"/>
        </w:rPr>
        <w:t>)</w:t>
      </w:r>
      <w:r w:rsidRPr="0004128C">
        <w:rPr>
          <w:rFonts w:ascii="Arial Narrow" w:hAnsi="Arial Narrow"/>
          <w:sz w:val="16"/>
          <w:szCs w:val="16"/>
          <w:lang w:eastAsia="en-AU"/>
        </w:rPr>
        <w:t xml:space="preserve">; NS </w:t>
      </w:r>
      <w:proofErr w:type="gramStart"/>
      <w:r w:rsidR="00652355" w:rsidRPr="00652355">
        <w:rPr>
          <w:rFonts w:ascii="Arial Narrow" w:hAnsi="Arial Narrow"/>
          <w:spacing w:val="-20"/>
          <w:sz w:val="16"/>
          <w:szCs w:val="16"/>
          <w:lang w:eastAsia="en-AU"/>
        </w:rPr>
        <w:t xml:space="preserve">= </w:t>
      </w:r>
      <w:r w:rsidRPr="0004128C">
        <w:rPr>
          <w:rFonts w:ascii="Arial Narrow" w:hAnsi="Arial Narrow"/>
          <w:sz w:val="16"/>
          <w:szCs w:val="16"/>
          <w:lang w:eastAsia="en-AU"/>
        </w:rPr>
        <w:t xml:space="preserve"> not</w:t>
      </w:r>
      <w:proofErr w:type="gramEnd"/>
      <w:r w:rsidRPr="0004128C">
        <w:rPr>
          <w:rFonts w:ascii="Arial Narrow" w:hAnsi="Arial Narrow"/>
          <w:sz w:val="16"/>
          <w:szCs w:val="16"/>
          <w:lang w:eastAsia="en-AU"/>
        </w:rPr>
        <w:t xml:space="preserve"> significant</w:t>
      </w:r>
      <w:r w:rsidR="00C90FA8">
        <w:rPr>
          <w:rFonts w:ascii="Arial Narrow" w:hAnsi="Arial Narrow"/>
          <w:sz w:val="16"/>
          <w:szCs w:val="16"/>
          <w:lang w:eastAsia="en-AU"/>
        </w:rPr>
        <w:t>; NR</w:t>
      </w:r>
      <w:r w:rsidR="00652355" w:rsidRPr="00652355">
        <w:rPr>
          <w:rFonts w:ascii="Arial Narrow" w:hAnsi="Arial Narrow"/>
          <w:spacing w:val="-20"/>
          <w:sz w:val="16"/>
          <w:szCs w:val="16"/>
          <w:lang w:eastAsia="en-AU"/>
        </w:rPr>
        <w:t xml:space="preserve"> = </w:t>
      </w:r>
      <w:r w:rsidR="00C90FA8">
        <w:rPr>
          <w:rFonts w:ascii="Arial Narrow" w:hAnsi="Arial Narrow"/>
          <w:sz w:val="16"/>
          <w:szCs w:val="16"/>
          <w:lang w:eastAsia="en-AU"/>
        </w:rPr>
        <w:t xml:space="preserve"> not reported</w:t>
      </w:r>
    </w:p>
    <w:p w:rsidR="00A84B42" w:rsidRPr="0004128C" w:rsidRDefault="00A84B42" w:rsidP="00144487">
      <w:pPr>
        <w:pStyle w:val="TableNote"/>
        <w:ind w:left="0" w:firstLine="0"/>
      </w:pPr>
      <w:r w:rsidRPr="00F33737">
        <w:t xml:space="preserve">Data extracted from the submission to the PBAC </w:t>
      </w:r>
      <w:r w:rsidR="00A130D0" w:rsidRPr="00F33737">
        <w:rPr>
          <w:noProof/>
        </w:rPr>
        <w:t>(</w:t>
      </w:r>
      <w:r w:rsidR="00184B6F" w:rsidRPr="00F33737">
        <w:rPr>
          <w:noProof/>
        </w:rPr>
        <w:t>Actelion Pharmaceuticals Australia Pty Ltd. 2007</w:t>
      </w:r>
      <w:r w:rsidR="00A130D0" w:rsidRPr="00F33737">
        <w:rPr>
          <w:noProof/>
        </w:rPr>
        <w:t>)</w:t>
      </w:r>
      <w:r w:rsidRPr="00F33737">
        <w:t xml:space="preserve"> and are Committee</w:t>
      </w:r>
      <w:r w:rsidR="0064414A" w:rsidRPr="00F33737">
        <w:t xml:space="preserve"> in Confidence</w:t>
      </w:r>
      <w:r w:rsidR="00E07CBE">
        <w:t xml:space="preserve"> and have</w:t>
      </w:r>
      <w:r w:rsidR="00204342" w:rsidRPr="00F33737">
        <w:t xml:space="preserve"> been redacted</w:t>
      </w:r>
      <w:r w:rsidR="0064414A" w:rsidRPr="00F33737">
        <w:t xml:space="preserve">. </w:t>
      </w:r>
    </w:p>
    <w:p w:rsidR="001C7F99" w:rsidRPr="0004128C" w:rsidRDefault="001C7F99" w:rsidP="0004128C">
      <w:pPr>
        <w:keepNext/>
        <w:spacing w:after="0" w:line="240" w:lineRule="auto"/>
        <w:ind w:left="131" w:hanging="131"/>
        <w:rPr>
          <w:rFonts w:ascii="Arial Narrow" w:hAnsi="Arial Narrow"/>
          <w:sz w:val="16"/>
          <w:szCs w:val="16"/>
          <w:lang w:eastAsia="en-AU"/>
        </w:rPr>
      </w:pPr>
    </w:p>
    <w:p w:rsidR="0004128C" w:rsidRPr="0004128C" w:rsidRDefault="0004128C" w:rsidP="00A979FB">
      <w:pPr>
        <w:pStyle w:val="Heading5"/>
      </w:pPr>
      <w:r w:rsidRPr="0004128C">
        <w:t>Spleen and organ volume</w:t>
      </w:r>
    </w:p>
    <w:p w:rsidR="0004128C" w:rsidRPr="0004128C" w:rsidRDefault="0004128C" w:rsidP="0004128C">
      <w:r w:rsidRPr="0004128C">
        <w:t xml:space="preserve">There were no significant differences in </w:t>
      </w:r>
      <w:r w:rsidR="00981E05">
        <w:t xml:space="preserve">the </w:t>
      </w:r>
      <w:r w:rsidRPr="0004128C">
        <w:t xml:space="preserve">change from baseline values </w:t>
      </w:r>
      <w:r w:rsidR="00981E05">
        <w:t>measuring</w:t>
      </w:r>
      <w:r w:rsidRPr="0004128C">
        <w:t xml:space="preserve"> liver volume or spleen volume between those patients who switched to miglustat, and those who remained on imiglucerase (see </w:t>
      </w:r>
      <w:r w:rsidR="00A72B26" w:rsidRPr="0004128C">
        <w:t xml:space="preserve">Table </w:t>
      </w:r>
      <w:r w:rsidR="00A72B26">
        <w:rPr>
          <w:noProof/>
        </w:rPr>
        <w:t>12</w:t>
      </w:r>
      <w:r w:rsidRPr="0004128C">
        <w:t xml:space="preserve">;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Pr="0004128C">
        <w:rPr>
          <w:rFonts w:ascii="Cambria Math" w:hAnsi="Cambria Math" w:cs="Cambria Math"/>
        </w:rPr>
        <w:t xml:space="preserve"> </w:t>
      </w:r>
      <w:r w:rsidRPr="0004128C">
        <w:t>for both outcomes).</w:t>
      </w:r>
    </w:p>
    <w:p w:rsidR="0004128C" w:rsidRPr="0004128C" w:rsidRDefault="0004128C" w:rsidP="00F44176">
      <w:pPr>
        <w:pStyle w:val="Caption"/>
        <w:keepNext/>
        <w:tabs>
          <w:tab w:val="clear" w:pos="851"/>
          <w:tab w:val="left" w:pos="1134"/>
        </w:tabs>
        <w:ind w:left="1134" w:hanging="1134"/>
      </w:pPr>
      <w:bookmarkStart w:id="123" w:name="_Ref403998767"/>
      <w:bookmarkStart w:id="124" w:name="_Toc411510396"/>
      <w:bookmarkStart w:id="125" w:name="_Toc415141809"/>
      <w:r w:rsidRPr="0004128C">
        <w:lastRenderedPageBreak/>
        <w:t xml:space="preserve">Table </w:t>
      </w:r>
      <w:r w:rsidR="00A72B26">
        <w:rPr>
          <w:noProof/>
        </w:rPr>
        <w:t>12</w:t>
      </w:r>
      <w:bookmarkEnd w:id="123"/>
      <w:r w:rsidRPr="0004128C">
        <w:tab/>
        <w:t>Comparison of miglustat and imiglucerase on secondary effectiveness measures</w:t>
      </w:r>
      <w:bookmarkEnd w:id="124"/>
      <w:bookmarkEnd w:id="125"/>
    </w:p>
    <w:tbl>
      <w:tblPr>
        <w:tblStyle w:val="TableGrid"/>
        <w:tblW w:w="5000" w:type="pct"/>
        <w:tblLook w:val="04A0" w:firstRow="1" w:lastRow="0" w:firstColumn="1" w:lastColumn="0" w:noHBand="0" w:noVBand="1"/>
        <w:tblCaption w:val="Table 11 Comparison of miglustat and imiglucerase on secondary effectiveness measures"/>
      </w:tblPr>
      <w:tblGrid>
        <w:gridCol w:w="3227"/>
        <w:gridCol w:w="1440"/>
        <w:gridCol w:w="1418"/>
        <w:gridCol w:w="3157"/>
      </w:tblGrid>
      <w:tr w:rsidR="0004128C" w:rsidRPr="0004128C" w:rsidTr="00712231">
        <w:trPr>
          <w:tblHeader/>
        </w:trPr>
        <w:tc>
          <w:tcPr>
            <w:tcW w:w="1746" w:type="pct"/>
          </w:tcPr>
          <w:p w:rsidR="0004128C" w:rsidRPr="0004128C" w:rsidRDefault="0004128C" w:rsidP="00981E05">
            <w:pPr>
              <w:pStyle w:val="TableHeading"/>
            </w:pPr>
            <w:r w:rsidRPr="0004128C">
              <w:t>Organ volume</w:t>
            </w:r>
          </w:p>
        </w:tc>
        <w:tc>
          <w:tcPr>
            <w:tcW w:w="779" w:type="pct"/>
          </w:tcPr>
          <w:p w:rsidR="0004128C" w:rsidRPr="0004128C" w:rsidRDefault="0004128C" w:rsidP="00981E05">
            <w:pPr>
              <w:pStyle w:val="TableHeading"/>
            </w:pPr>
            <w:r w:rsidRPr="0004128C">
              <w:t>Miglustat</w:t>
            </w:r>
          </w:p>
        </w:tc>
        <w:tc>
          <w:tcPr>
            <w:tcW w:w="767" w:type="pct"/>
          </w:tcPr>
          <w:p w:rsidR="0004128C" w:rsidRPr="0004128C" w:rsidRDefault="0004128C" w:rsidP="00981E05">
            <w:pPr>
              <w:pStyle w:val="TableHeading"/>
            </w:pPr>
            <w:r w:rsidRPr="0004128C">
              <w:t>Imiglucerase</w:t>
            </w:r>
          </w:p>
        </w:tc>
        <w:tc>
          <w:tcPr>
            <w:tcW w:w="1708" w:type="pct"/>
          </w:tcPr>
          <w:p w:rsidR="0004128C" w:rsidRPr="0004128C" w:rsidRDefault="00093998" w:rsidP="00981E05">
            <w:pPr>
              <w:pStyle w:val="TableHeading"/>
            </w:pPr>
            <w:r>
              <w:t>Difference</w:t>
            </w:r>
          </w:p>
        </w:tc>
      </w:tr>
      <w:tr w:rsidR="0004128C" w:rsidRPr="0004128C" w:rsidTr="00361A98">
        <w:trPr>
          <w:trHeight w:val="704"/>
        </w:trPr>
        <w:tc>
          <w:tcPr>
            <w:tcW w:w="1746" w:type="pct"/>
            <w:tcBorders>
              <w:bottom w:val="nil"/>
            </w:tcBorders>
          </w:tcPr>
          <w:p w:rsidR="0004128C" w:rsidRPr="0004128C" w:rsidRDefault="0004128C" w:rsidP="00361A98">
            <w:pPr>
              <w:pStyle w:val="TableHeading"/>
            </w:pPr>
            <w:r w:rsidRPr="0004128C">
              <w:t>Liver volume, L</w:t>
            </w:r>
          </w:p>
          <w:p w:rsidR="0004128C" w:rsidRPr="0004128C" w:rsidRDefault="0004128C" w:rsidP="00361A98">
            <w:pPr>
              <w:pStyle w:val="TableText0"/>
            </w:pPr>
            <w:r w:rsidRPr="0004128C">
              <w:t>Baseline (mean)</w:t>
            </w:r>
          </w:p>
        </w:tc>
        <w:tc>
          <w:tcPr>
            <w:tcW w:w="779" w:type="pct"/>
            <w:tcBorders>
              <w:bottom w:val="nil"/>
            </w:tcBorders>
          </w:tcPr>
          <w:p w:rsidR="0004128C" w:rsidRPr="0004128C" w:rsidRDefault="0004128C" w:rsidP="00981E05">
            <w:pPr>
              <w:pStyle w:val="TableText0"/>
              <w:rPr>
                <w:vertAlign w:val="superscript"/>
              </w:rPr>
            </w:pPr>
            <w:r w:rsidRPr="0004128C">
              <w:t>N</w:t>
            </w:r>
            <w:r w:rsidR="00652355" w:rsidRPr="00652355">
              <w:rPr>
                <w:spacing w:val="-20"/>
              </w:rPr>
              <w:t xml:space="preserve"> = </w:t>
            </w:r>
            <w:r w:rsidRPr="0004128C">
              <w:t>10</w:t>
            </w:r>
          </w:p>
          <w:p w:rsidR="0004128C" w:rsidRPr="0004128C" w:rsidRDefault="0004128C" w:rsidP="00981E05">
            <w:pPr>
              <w:pStyle w:val="TableText0"/>
            </w:pPr>
            <w:r w:rsidRPr="0004128C">
              <w:t>1.53±0.32</w:t>
            </w:r>
          </w:p>
        </w:tc>
        <w:tc>
          <w:tcPr>
            <w:tcW w:w="767" w:type="pct"/>
            <w:tcBorders>
              <w:bottom w:val="nil"/>
            </w:tcBorders>
          </w:tcPr>
          <w:p w:rsidR="0004128C" w:rsidRPr="0004128C" w:rsidRDefault="0004128C" w:rsidP="00981E05">
            <w:pPr>
              <w:pStyle w:val="TableText0"/>
              <w:rPr>
                <w:vertAlign w:val="superscript"/>
              </w:rPr>
            </w:pPr>
            <w:r w:rsidRPr="0004128C">
              <w:t>N</w:t>
            </w:r>
            <w:r w:rsidR="00652355" w:rsidRPr="00652355">
              <w:rPr>
                <w:spacing w:val="-20"/>
              </w:rPr>
              <w:t xml:space="preserve"> = </w:t>
            </w:r>
            <w:r w:rsidRPr="0004128C">
              <w:t>11</w:t>
            </w:r>
          </w:p>
          <w:p w:rsidR="0004128C" w:rsidRPr="0004128C" w:rsidRDefault="0004128C" w:rsidP="00981E05">
            <w:pPr>
              <w:pStyle w:val="TableText0"/>
            </w:pPr>
            <w:r w:rsidRPr="0004128C">
              <w:t>1.81±0.57</w:t>
            </w:r>
          </w:p>
        </w:tc>
        <w:tc>
          <w:tcPr>
            <w:tcW w:w="1708" w:type="pct"/>
            <w:tcBorders>
              <w:bottom w:val="nil"/>
            </w:tcBorders>
          </w:tcPr>
          <w:p w:rsidR="0004128C" w:rsidRPr="0004128C" w:rsidRDefault="0004128C" w:rsidP="00981E05">
            <w:pPr>
              <w:pStyle w:val="TableText0"/>
            </w:pPr>
          </w:p>
          <w:p w:rsidR="0004128C" w:rsidRPr="0004128C" w:rsidRDefault="0004128C" w:rsidP="00981E05">
            <w:pPr>
              <w:pStyle w:val="TableText0"/>
            </w:pPr>
          </w:p>
        </w:tc>
      </w:tr>
      <w:tr w:rsidR="00093998" w:rsidRPr="0004128C" w:rsidTr="00361A98">
        <w:trPr>
          <w:trHeight w:val="318"/>
        </w:trPr>
        <w:tc>
          <w:tcPr>
            <w:tcW w:w="1746" w:type="pct"/>
            <w:tcBorders>
              <w:top w:val="nil"/>
              <w:bottom w:val="nil"/>
            </w:tcBorders>
          </w:tcPr>
          <w:p w:rsidR="00093998" w:rsidRPr="0004128C" w:rsidRDefault="00093998" w:rsidP="00361A98">
            <w:pPr>
              <w:pStyle w:val="TableText0"/>
            </w:pPr>
            <w:r w:rsidRPr="0004128C">
              <w:t>Absolute change from baseline</w:t>
            </w:r>
          </w:p>
        </w:tc>
        <w:tc>
          <w:tcPr>
            <w:tcW w:w="779" w:type="pct"/>
            <w:tcBorders>
              <w:top w:val="nil"/>
              <w:bottom w:val="nil"/>
            </w:tcBorders>
          </w:tcPr>
          <w:p w:rsidR="00093998" w:rsidRPr="0004128C" w:rsidRDefault="00093998" w:rsidP="00981E05">
            <w:pPr>
              <w:pStyle w:val="TableText0"/>
            </w:pPr>
            <w:r w:rsidRPr="0004128C">
              <w:t>-0.05±0.12</w:t>
            </w:r>
          </w:p>
        </w:tc>
        <w:tc>
          <w:tcPr>
            <w:tcW w:w="767" w:type="pct"/>
            <w:tcBorders>
              <w:top w:val="nil"/>
              <w:bottom w:val="nil"/>
            </w:tcBorders>
          </w:tcPr>
          <w:p w:rsidR="00093998" w:rsidRPr="0004128C" w:rsidRDefault="00093998" w:rsidP="00981E05">
            <w:pPr>
              <w:pStyle w:val="TableText0"/>
            </w:pPr>
            <w:r w:rsidRPr="0004128C">
              <w:t>0.04±0.16</w:t>
            </w:r>
          </w:p>
        </w:tc>
        <w:tc>
          <w:tcPr>
            <w:tcW w:w="1708" w:type="pct"/>
            <w:tcBorders>
              <w:top w:val="nil"/>
              <w:bottom w:val="nil"/>
            </w:tcBorders>
          </w:tcPr>
          <w:p w:rsidR="00093998" w:rsidRPr="00A62C97" w:rsidRDefault="00A62C97" w:rsidP="00981E05">
            <w:pPr>
              <w:pStyle w:val="TableText0"/>
              <w:rPr>
                <w:highlight w:val="black"/>
              </w:rPr>
            </w:pPr>
            <w:r>
              <w:rPr>
                <w:noProof/>
                <w:color w:val="000000"/>
                <w:highlight w:val="black"/>
              </w:rPr>
              <w:t>'''''''''''''' ''''''''''''''''' ''''''''''''''' ''''''''''''''' ''' ''' ''''''''''</w:t>
            </w:r>
          </w:p>
        </w:tc>
      </w:tr>
      <w:tr w:rsidR="00093998" w:rsidRPr="0004128C" w:rsidTr="00361A98">
        <w:trPr>
          <w:trHeight w:val="770"/>
        </w:trPr>
        <w:tc>
          <w:tcPr>
            <w:tcW w:w="1746" w:type="pct"/>
            <w:tcBorders>
              <w:top w:val="nil"/>
            </w:tcBorders>
          </w:tcPr>
          <w:p w:rsidR="00093998" w:rsidRPr="0004128C" w:rsidRDefault="00093998" w:rsidP="00361A98">
            <w:pPr>
              <w:pStyle w:val="TableText0"/>
            </w:pPr>
            <w:r w:rsidRPr="0004128C">
              <w:t>Percent change from baseline (%, mean±SD)</w:t>
            </w:r>
          </w:p>
        </w:tc>
        <w:tc>
          <w:tcPr>
            <w:tcW w:w="779" w:type="pct"/>
            <w:tcBorders>
              <w:top w:val="nil"/>
            </w:tcBorders>
          </w:tcPr>
          <w:p w:rsidR="00093998" w:rsidRPr="0004128C" w:rsidRDefault="00093998" w:rsidP="00981E05">
            <w:pPr>
              <w:pStyle w:val="TableText0"/>
            </w:pPr>
            <w:r w:rsidRPr="0004128C">
              <w:t>-2.9±7.9%</w:t>
            </w:r>
          </w:p>
        </w:tc>
        <w:tc>
          <w:tcPr>
            <w:tcW w:w="767" w:type="pct"/>
            <w:tcBorders>
              <w:top w:val="nil"/>
            </w:tcBorders>
          </w:tcPr>
          <w:p w:rsidR="00093998" w:rsidRPr="0004128C" w:rsidRDefault="00093998" w:rsidP="00981E05">
            <w:pPr>
              <w:pStyle w:val="TableText0"/>
            </w:pPr>
            <w:r w:rsidRPr="0004128C">
              <w:t>3.5±9%</w:t>
            </w:r>
          </w:p>
        </w:tc>
        <w:tc>
          <w:tcPr>
            <w:tcW w:w="1708" w:type="pct"/>
            <w:tcBorders>
              <w:top w:val="nil"/>
            </w:tcBorders>
          </w:tcPr>
          <w:p w:rsidR="00093998" w:rsidRPr="00A62C97" w:rsidRDefault="00A62C97" w:rsidP="00981E05">
            <w:pPr>
              <w:pStyle w:val="TableText0"/>
              <w:rPr>
                <w:highlight w:val="black"/>
              </w:rPr>
            </w:pPr>
            <w:r>
              <w:rPr>
                <w:noProof/>
                <w:color w:val="000000"/>
                <w:highlight w:val="black"/>
              </w:rPr>
              <w:t>''''''''' '''''''''''''''''' ''''''''''''' '''''''''' ''' '''' '''''''''''</w:t>
            </w:r>
          </w:p>
        </w:tc>
      </w:tr>
      <w:tr w:rsidR="0004128C" w:rsidRPr="0004128C" w:rsidTr="00361A98">
        <w:trPr>
          <w:trHeight w:val="704"/>
        </w:trPr>
        <w:tc>
          <w:tcPr>
            <w:tcW w:w="1746" w:type="pct"/>
            <w:tcBorders>
              <w:bottom w:val="nil"/>
            </w:tcBorders>
          </w:tcPr>
          <w:p w:rsidR="0004128C" w:rsidRPr="0004128C" w:rsidRDefault="0004128C" w:rsidP="00361A98">
            <w:pPr>
              <w:pStyle w:val="TableHeading"/>
            </w:pPr>
            <w:r w:rsidRPr="0004128C">
              <w:t>Spleen volume, L</w:t>
            </w:r>
          </w:p>
          <w:p w:rsidR="0004128C" w:rsidRPr="0004128C" w:rsidRDefault="0004128C" w:rsidP="00361A98">
            <w:pPr>
              <w:pStyle w:val="TableText0"/>
            </w:pPr>
            <w:r w:rsidRPr="0004128C">
              <w:t>Baseline (mean)</w:t>
            </w:r>
          </w:p>
        </w:tc>
        <w:tc>
          <w:tcPr>
            <w:tcW w:w="779" w:type="pct"/>
            <w:tcBorders>
              <w:bottom w:val="nil"/>
            </w:tcBorders>
          </w:tcPr>
          <w:p w:rsidR="0004128C" w:rsidRPr="0004128C" w:rsidRDefault="0004128C" w:rsidP="00981E05">
            <w:pPr>
              <w:pStyle w:val="TableText0"/>
            </w:pPr>
            <w:r w:rsidRPr="0004128C">
              <w:t>N</w:t>
            </w:r>
            <w:r w:rsidR="00652355" w:rsidRPr="00652355">
              <w:rPr>
                <w:spacing w:val="-20"/>
              </w:rPr>
              <w:t xml:space="preserve"> = </w:t>
            </w:r>
            <w:r w:rsidRPr="0004128C">
              <w:t>7</w:t>
            </w:r>
          </w:p>
          <w:p w:rsidR="0004128C" w:rsidRPr="0004128C" w:rsidRDefault="0004128C" w:rsidP="00981E05">
            <w:pPr>
              <w:pStyle w:val="TableText0"/>
            </w:pPr>
            <w:r w:rsidRPr="0004128C">
              <w:t>0.63±0.43</w:t>
            </w:r>
          </w:p>
        </w:tc>
        <w:tc>
          <w:tcPr>
            <w:tcW w:w="767" w:type="pct"/>
            <w:tcBorders>
              <w:bottom w:val="nil"/>
            </w:tcBorders>
          </w:tcPr>
          <w:p w:rsidR="0004128C" w:rsidRPr="0004128C" w:rsidRDefault="0004128C" w:rsidP="00981E05">
            <w:pPr>
              <w:pStyle w:val="TableText0"/>
            </w:pPr>
            <w:r w:rsidRPr="0004128C">
              <w:t>N</w:t>
            </w:r>
            <w:r w:rsidR="00652355" w:rsidRPr="00652355">
              <w:rPr>
                <w:spacing w:val="-20"/>
              </w:rPr>
              <w:t xml:space="preserve"> = </w:t>
            </w:r>
            <w:r w:rsidRPr="0004128C">
              <w:t>8</w:t>
            </w:r>
          </w:p>
          <w:p w:rsidR="0004128C" w:rsidRPr="0004128C" w:rsidRDefault="0004128C" w:rsidP="00981E05">
            <w:pPr>
              <w:pStyle w:val="TableText0"/>
            </w:pPr>
            <w:r w:rsidRPr="0004128C">
              <w:t>0.74±0.56</w:t>
            </w:r>
          </w:p>
        </w:tc>
        <w:tc>
          <w:tcPr>
            <w:tcW w:w="1708" w:type="pct"/>
            <w:tcBorders>
              <w:bottom w:val="nil"/>
            </w:tcBorders>
          </w:tcPr>
          <w:p w:rsidR="0004128C" w:rsidRPr="0004128C" w:rsidRDefault="0004128C" w:rsidP="00981E05">
            <w:pPr>
              <w:pStyle w:val="TableText0"/>
            </w:pPr>
          </w:p>
          <w:p w:rsidR="0004128C" w:rsidRPr="0004128C" w:rsidRDefault="0004128C" w:rsidP="00981E05">
            <w:pPr>
              <w:pStyle w:val="TableText0"/>
            </w:pPr>
          </w:p>
        </w:tc>
      </w:tr>
      <w:tr w:rsidR="0004128C" w:rsidRPr="0004128C" w:rsidTr="00361A98">
        <w:trPr>
          <w:trHeight w:val="586"/>
        </w:trPr>
        <w:tc>
          <w:tcPr>
            <w:tcW w:w="1746" w:type="pct"/>
            <w:tcBorders>
              <w:top w:val="nil"/>
              <w:bottom w:val="nil"/>
            </w:tcBorders>
          </w:tcPr>
          <w:p w:rsidR="0004128C" w:rsidRPr="0004128C" w:rsidRDefault="0004128C" w:rsidP="00361A98">
            <w:pPr>
              <w:pStyle w:val="TableText0"/>
            </w:pPr>
            <w:r w:rsidRPr="0004128C">
              <w:t>Absolute c</w:t>
            </w:r>
            <w:r w:rsidR="00F462A2">
              <w:t>hange from baseline (Litre</w:t>
            </w:r>
            <w:r w:rsidRPr="0004128C">
              <w:t>s, mean±SD)</w:t>
            </w:r>
          </w:p>
        </w:tc>
        <w:tc>
          <w:tcPr>
            <w:tcW w:w="779" w:type="pct"/>
            <w:tcBorders>
              <w:top w:val="nil"/>
              <w:bottom w:val="nil"/>
            </w:tcBorders>
          </w:tcPr>
          <w:p w:rsidR="0004128C" w:rsidRPr="0004128C" w:rsidRDefault="0004128C" w:rsidP="00981E05">
            <w:pPr>
              <w:pStyle w:val="TableText0"/>
            </w:pPr>
            <w:r w:rsidRPr="0004128C">
              <w:t>-0.27±0.07</w:t>
            </w:r>
          </w:p>
        </w:tc>
        <w:tc>
          <w:tcPr>
            <w:tcW w:w="767" w:type="pct"/>
            <w:tcBorders>
              <w:top w:val="nil"/>
              <w:bottom w:val="nil"/>
            </w:tcBorders>
          </w:tcPr>
          <w:p w:rsidR="0004128C" w:rsidRPr="0004128C" w:rsidRDefault="0004128C" w:rsidP="00981E05">
            <w:pPr>
              <w:pStyle w:val="TableText0"/>
            </w:pPr>
            <w:r w:rsidRPr="0004128C">
              <w:t>-0.02±0.06</w:t>
            </w:r>
          </w:p>
        </w:tc>
        <w:tc>
          <w:tcPr>
            <w:tcW w:w="1708" w:type="pct"/>
            <w:tcBorders>
              <w:top w:val="nil"/>
              <w:bottom w:val="nil"/>
            </w:tcBorders>
          </w:tcPr>
          <w:p w:rsidR="0004128C" w:rsidRPr="00A62C97" w:rsidRDefault="00A62C97" w:rsidP="00981E05">
            <w:pPr>
              <w:pStyle w:val="TableText0"/>
              <w:rPr>
                <w:highlight w:val="black"/>
              </w:rPr>
            </w:pPr>
            <w:r>
              <w:rPr>
                <w:noProof/>
                <w:color w:val="000000"/>
                <w:highlight w:val="black"/>
              </w:rPr>
              <w:t>'''''''''''' '''''''''''''''''' ''''''''''''' ''''''''''''''' '''' '''' '''''''''''''</w:t>
            </w:r>
          </w:p>
        </w:tc>
      </w:tr>
      <w:tr w:rsidR="0004128C" w:rsidRPr="0004128C" w:rsidTr="00361A98">
        <w:trPr>
          <w:trHeight w:val="770"/>
        </w:trPr>
        <w:tc>
          <w:tcPr>
            <w:tcW w:w="1746" w:type="pct"/>
            <w:tcBorders>
              <w:top w:val="nil"/>
            </w:tcBorders>
          </w:tcPr>
          <w:p w:rsidR="0004128C" w:rsidRPr="0004128C" w:rsidRDefault="0004128C" w:rsidP="00361A98">
            <w:pPr>
              <w:pStyle w:val="TableText0"/>
            </w:pPr>
            <w:r w:rsidRPr="0004128C">
              <w:t>Percent change from baseline (%, mean±SD)</w:t>
            </w:r>
          </w:p>
        </w:tc>
        <w:tc>
          <w:tcPr>
            <w:tcW w:w="779" w:type="pct"/>
            <w:tcBorders>
              <w:top w:val="nil"/>
            </w:tcBorders>
          </w:tcPr>
          <w:p w:rsidR="0004128C" w:rsidRPr="0004128C" w:rsidRDefault="0004128C" w:rsidP="00981E05">
            <w:pPr>
              <w:pStyle w:val="TableText0"/>
            </w:pPr>
            <w:r w:rsidRPr="0004128C">
              <w:t>-4.8±7.8%</w:t>
            </w:r>
          </w:p>
        </w:tc>
        <w:tc>
          <w:tcPr>
            <w:tcW w:w="767" w:type="pct"/>
            <w:tcBorders>
              <w:top w:val="nil"/>
            </w:tcBorders>
          </w:tcPr>
          <w:p w:rsidR="0004128C" w:rsidRPr="0004128C" w:rsidRDefault="0004128C" w:rsidP="00981E05">
            <w:pPr>
              <w:pStyle w:val="TableText0"/>
            </w:pPr>
            <w:r w:rsidRPr="0004128C">
              <w:t>-2.1±4.8%</w:t>
            </w:r>
          </w:p>
        </w:tc>
        <w:tc>
          <w:tcPr>
            <w:tcW w:w="1708" w:type="pct"/>
            <w:tcBorders>
              <w:top w:val="nil"/>
            </w:tcBorders>
          </w:tcPr>
          <w:p w:rsidR="0004128C" w:rsidRPr="00A62C97" w:rsidRDefault="00A62C97" w:rsidP="00981E05">
            <w:pPr>
              <w:pStyle w:val="TableText0"/>
              <w:rPr>
                <w:highlight w:val="black"/>
              </w:rPr>
            </w:pPr>
            <w:r>
              <w:rPr>
                <w:noProof/>
                <w:color w:val="000000"/>
                <w:highlight w:val="black"/>
              </w:rPr>
              <w:t>'''''''' ''''''''''''''''''' '''''''''''''' ''''''''''''''' ''' '''' '''''''''''</w:t>
            </w:r>
          </w:p>
        </w:tc>
      </w:tr>
    </w:tbl>
    <w:p w:rsidR="0004128C" w:rsidRDefault="0004128C" w:rsidP="00093998">
      <w:pPr>
        <w:pStyle w:val="TableNote"/>
      </w:pPr>
      <w:r w:rsidRPr="0004128C">
        <w:t xml:space="preserve">Data from </w:t>
      </w:r>
      <w:r w:rsidR="00A130D0">
        <w:rPr>
          <w:noProof/>
        </w:rPr>
        <w:t>(</w:t>
      </w:r>
      <w:r w:rsidR="00184B6F">
        <w:rPr>
          <w:noProof/>
        </w:rPr>
        <w:t>Actelion Pharmaceuticals Ltd. 2012</w:t>
      </w:r>
      <w:r w:rsidR="00A130D0">
        <w:rPr>
          <w:noProof/>
        </w:rPr>
        <w:t>)</w:t>
      </w:r>
      <w:r w:rsidRPr="0004128C">
        <w:t xml:space="preserve">; </w:t>
      </w:r>
      <w:proofErr w:type="gramStart"/>
      <w:r w:rsidRPr="0004128C">
        <w:t xml:space="preserve">NS </w:t>
      </w:r>
      <w:r w:rsidR="00652355" w:rsidRPr="00652355">
        <w:rPr>
          <w:spacing w:val="-20"/>
        </w:rPr>
        <w:t xml:space="preserve"> =</w:t>
      </w:r>
      <w:proofErr w:type="gramEnd"/>
      <w:r w:rsidR="00652355" w:rsidRPr="00652355">
        <w:rPr>
          <w:spacing w:val="-20"/>
        </w:rPr>
        <w:t xml:space="preserve"> </w:t>
      </w:r>
      <w:r w:rsidRPr="0004128C">
        <w:t xml:space="preserve"> not significant</w:t>
      </w:r>
    </w:p>
    <w:p w:rsidR="00093998" w:rsidRPr="0004128C" w:rsidRDefault="00093998" w:rsidP="00144487">
      <w:pPr>
        <w:pStyle w:val="TableNote"/>
        <w:ind w:left="0" w:firstLine="0"/>
      </w:pPr>
      <w:r w:rsidRPr="00F33737">
        <w:t xml:space="preserve">Data extracted from the submission to the PBAC </w:t>
      </w:r>
      <w:r w:rsidR="00A130D0" w:rsidRPr="00F33737">
        <w:rPr>
          <w:noProof/>
        </w:rPr>
        <w:t>(</w:t>
      </w:r>
      <w:r w:rsidR="00184B6F" w:rsidRPr="00F33737">
        <w:rPr>
          <w:noProof/>
        </w:rPr>
        <w:t>Actelion Pharmaceuticals Australia Pty Ltd. 2007</w:t>
      </w:r>
      <w:r w:rsidR="00A130D0" w:rsidRPr="00F33737">
        <w:rPr>
          <w:noProof/>
        </w:rPr>
        <w:t>)</w:t>
      </w:r>
      <w:r w:rsidR="00A84B42" w:rsidRPr="00F33737">
        <w:t xml:space="preserve"> and are</w:t>
      </w:r>
      <w:r w:rsidRPr="00F33737">
        <w:t xml:space="preserve"> Committe</w:t>
      </w:r>
      <w:r w:rsidR="0064414A" w:rsidRPr="00F33737">
        <w:t>e in Confidence</w:t>
      </w:r>
      <w:r w:rsidR="00204342" w:rsidRPr="00F33737">
        <w:t xml:space="preserve"> and have been redacted</w:t>
      </w:r>
    </w:p>
    <w:p w:rsidR="0004128C" w:rsidRPr="0004128C" w:rsidRDefault="0004128C" w:rsidP="00A979FB">
      <w:pPr>
        <w:pStyle w:val="Heading5"/>
      </w:pPr>
      <w:r w:rsidRPr="0004128C">
        <w:t>Comparative safety</w:t>
      </w:r>
    </w:p>
    <w:p w:rsidR="0004128C" w:rsidRPr="0004128C" w:rsidRDefault="0004128C" w:rsidP="0004128C">
      <w:r w:rsidRPr="0004128C">
        <w:t>Gastrointestinal adverse events (i.e. diarrhoea) occurred in all patients who switched to miglustat, and occurred in only half of those who continued on imiglucerase (RR</w:t>
      </w:r>
      <w:r w:rsidR="00652355" w:rsidRPr="00652355">
        <w:rPr>
          <w:spacing w:val="-20"/>
        </w:rPr>
        <w:t xml:space="preserve"> = </w:t>
      </w:r>
      <w:r w:rsidRPr="0004128C">
        <w:t xml:space="preserve">1.92, 95%CI 1.10, 3.35;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00D67ADB" w:rsidRPr="00D67ADB">
        <w:rPr>
          <w:rFonts w:cs="Cambria Math"/>
          <w:spacing w:val="-20"/>
        </w:rPr>
        <w:t>)</w:t>
      </w:r>
      <w:r w:rsidRPr="0004128C">
        <w:t xml:space="preserve">. The intensity of adverse events was mild to moderate, and diarrhoea decreased from weeks 0-4 to after week 13 of the study </w:t>
      </w:r>
      <w:r w:rsidR="00A130D0">
        <w:rPr>
          <w:noProof/>
        </w:rPr>
        <w:t>(</w:t>
      </w:r>
      <w:r w:rsidR="00184B6F">
        <w:rPr>
          <w:noProof/>
        </w:rPr>
        <w:t>Dechelotte 2003</w:t>
      </w:r>
      <w:r w:rsidR="00A130D0">
        <w:rPr>
          <w:noProof/>
        </w:rPr>
        <w:t>)</w:t>
      </w:r>
      <w:r w:rsidRPr="0004128C">
        <w:t xml:space="preserve">. </w:t>
      </w:r>
    </w:p>
    <w:p w:rsidR="0004128C" w:rsidRPr="0004128C" w:rsidRDefault="00981E05" w:rsidP="0004128C">
      <w:r w:rsidRPr="0004128C">
        <w:t xml:space="preserve">Two patients </w:t>
      </w:r>
      <w:r>
        <w:t xml:space="preserve">receiving miglustat </w:t>
      </w:r>
      <w:r w:rsidRPr="0004128C">
        <w:t xml:space="preserve">withdrew from the </w:t>
      </w:r>
      <w:r>
        <w:t>trial</w:t>
      </w:r>
      <w:r w:rsidRPr="0004128C">
        <w:t xml:space="preserve">. </w:t>
      </w:r>
      <w:r w:rsidR="0004128C" w:rsidRPr="0004128C">
        <w:t xml:space="preserve">One patient wished to start a family, and also had a transient tremor of the hand, while the other withdrew due to </w:t>
      </w:r>
      <w:r>
        <w:t xml:space="preserve">being dissatisfied with her quality of life, having </w:t>
      </w:r>
      <w:r w:rsidR="0004128C" w:rsidRPr="0004128C">
        <w:t xml:space="preserve">malaise and fatigue, which were attributed to infectious mononucleosis </w:t>
      </w:r>
      <w:r w:rsidR="00A130D0">
        <w:rPr>
          <w:noProof/>
        </w:rPr>
        <w:t>(</w:t>
      </w:r>
      <w:r w:rsidR="00184B6F">
        <w:rPr>
          <w:noProof/>
        </w:rPr>
        <w:t>European Medicines Agency 2003</w:t>
      </w:r>
      <w:r w:rsidR="00A130D0">
        <w:rPr>
          <w:noProof/>
        </w:rPr>
        <w:t xml:space="preserve">; </w:t>
      </w:r>
      <w:r w:rsidR="00184B6F">
        <w:rPr>
          <w:noProof/>
        </w:rPr>
        <w:t>Oxford Glycosciences 2002</w:t>
      </w:r>
      <w:r w:rsidR="00A130D0">
        <w:rPr>
          <w:noProof/>
        </w:rPr>
        <w:t>)</w:t>
      </w:r>
      <w:r>
        <w:t>.</w:t>
      </w:r>
    </w:p>
    <w:p w:rsidR="0004128C" w:rsidRPr="00BD10C7" w:rsidRDefault="0004128C" w:rsidP="00F44176">
      <w:pPr>
        <w:pStyle w:val="Caption"/>
        <w:keepNext/>
        <w:tabs>
          <w:tab w:val="clear" w:pos="851"/>
          <w:tab w:val="left" w:pos="1134"/>
        </w:tabs>
        <w:ind w:left="1134" w:hanging="1134"/>
      </w:pPr>
      <w:bookmarkStart w:id="126" w:name="_Toc411510397"/>
      <w:bookmarkStart w:id="127" w:name="_Toc415141810"/>
      <w:r w:rsidRPr="00BD10C7">
        <w:lastRenderedPageBreak/>
        <w:t xml:space="preserve">Table </w:t>
      </w:r>
      <w:r w:rsidR="00A72B26">
        <w:rPr>
          <w:noProof/>
        </w:rPr>
        <w:t>13</w:t>
      </w:r>
      <w:r w:rsidRPr="00BD10C7">
        <w:tab/>
        <w:t>Comparative harms from miglustat and imiglucerase</w:t>
      </w:r>
      <w:bookmarkEnd w:id="126"/>
      <w:bookmarkEnd w:id="127"/>
    </w:p>
    <w:tbl>
      <w:tblPr>
        <w:tblStyle w:val="TableGrid"/>
        <w:tblW w:w="5000" w:type="pct"/>
        <w:tblLook w:val="04A0" w:firstRow="1" w:lastRow="0" w:firstColumn="1" w:lastColumn="0" w:noHBand="0" w:noVBand="1"/>
        <w:tblCaption w:val="Table 12 Comparative harms from miglustat and imiglucerase"/>
      </w:tblPr>
      <w:tblGrid>
        <w:gridCol w:w="4101"/>
        <w:gridCol w:w="1701"/>
        <w:gridCol w:w="1558"/>
        <w:gridCol w:w="1882"/>
      </w:tblGrid>
      <w:tr w:rsidR="0004128C" w:rsidRPr="0004128C" w:rsidTr="00712231">
        <w:trPr>
          <w:tblHeader/>
        </w:trPr>
        <w:tc>
          <w:tcPr>
            <w:tcW w:w="2218" w:type="pct"/>
          </w:tcPr>
          <w:p w:rsidR="0004128C" w:rsidRPr="0004128C" w:rsidRDefault="0004128C" w:rsidP="00981E05">
            <w:pPr>
              <w:pStyle w:val="TableHeading"/>
            </w:pPr>
            <w:r w:rsidRPr="0004128C">
              <w:t>Adverse events</w:t>
            </w:r>
          </w:p>
        </w:tc>
        <w:tc>
          <w:tcPr>
            <w:tcW w:w="920" w:type="pct"/>
          </w:tcPr>
          <w:p w:rsidR="0004128C" w:rsidRPr="0004128C" w:rsidRDefault="0004128C" w:rsidP="00981E05">
            <w:pPr>
              <w:pStyle w:val="TableHeading"/>
            </w:pPr>
            <w:r w:rsidRPr="0004128C">
              <w:t>Miglustat</w:t>
            </w:r>
          </w:p>
        </w:tc>
        <w:tc>
          <w:tcPr>
            <w:tcW w:w="843" w:type="pct"/>
          </w:tcPr>
          <w:p w:rsidR="0004128C" w:rsidRPr="0004128C" w:rsidRDefault="0004128C" w:rsidP="00981E05">
            <w:pPr>
              <w:pStyle w:val="TableHeading"/>
            </w:pPr>
            <w:r w:rsidRPr="0004128C">
              <w:t>Imiglucerase</w:t>
            </w:r>
          </w:p>
        </w:tc>
        <w:tc>
          <w:tcPr>
            <w:tcW w:w="1018" w:type="pct"/>
          </w:tcPr>
          <w:p w:rsidR="0004128C" w:rsidRPr="0004128C" w:rsidRDefault="0004128C" w:rsidP="00981E05">
            <w:pPr>
              <w:pStyle w:val="TableHeading"/>
            </w:pPr>
            <w:r w:rsidRPr="0004128C">
              <w:t>Comparison</w:t>
            </w:r>
          </w:p>
        </w:tc>
      </w:tr>
      <w:tr w:rsidR="0004128C" w:rsidRPr="0004128C" w:rsidTr="0004128C">
        <w:tc>
          <w:tcPr>
            <w:tcW w:w="2218" w:type="pct"/>
          </w:tcPr>
          <w:p w:rsidR="0004128C" w:rsidRPr="0004128C" w:rsidRDefault="0004128C" w:rsidP="00361A98">
            <w:pPr>
              <w:pStyle w:val="TableText0"/>
            </w:pPr>
            <w:r w:rsidRPr="0004128C">
              <w:t>Abnormalities on electromyography and nerve conduction velocity (not associated with symptoms)</w:t>
            </w:r>
          </w:p>
        </w:tc>
        <w:tc>
          <w:tcPr>
            <w:tcW w:w="920" w:type="pct"/>
          </w:tcPr>
          <w:p w:rsidR="0004128C" w:rsidRPr="0004128C" w:rsidRDefault="0004128C" w:rsidP="00981E05">
            <w:pPr>
              <w:pStyle w:val="TableText0"/>
            </w:pPr>
            <w:r w:rsidRPr="0004128C">
              <w:t>3/12 (25%)</w:t>
            </w:r>
          </w:p>
        </w:tc>
        <w:tc>
          <w:tcPr>
            <w:tcW w:w="843" w:type="pct"/>
          </w:tcPr>
          <w:p w:rsidR="0004128C" w:rsidRPr="0004128C" w:rsidRDefault="0004128C" w:rsidP="00981E05">
            <w:pPr>
              <w:pStyle w:val="TableText0"/>
            </w:pPr>
            <w:r w:rsidRPr="0004128C">
              <w:t>2/12 (16.7%)</w:t>
            </w:r>
          </w:p>
        </w:tc>
        <w:tc>
          <w:tcPr>
            <w:tcW w:w="1018" w:type="pct"/>
          </w:tcPr>
          <w:p w:rsidR="0004128C" w:rsidRPr="0004128C" w:rsidRDefault="0004128C" w:rsidP="00981E05">
            <w:pPr>
              <w:pStyle w:val="TableText0"/>
            </w:pPr>
            <w:r w:rsidRPr="0004128C">
              <w:t xml:space="preserve">RR </w:t>
            </w:r>
            <w:r w:rsidR="00652355" w:rsidRPr="00652355">
              <w:rPr>
                <w:spacing w:val="-20"/>
              </w:rPr>
              <w:t xml:space="preserve"> = </w:t>
            </w:r>
            <w:r w:rsidRPr="0004128C">
              <w:t xml:space="preserve"> 1.5 </w:t>
            </w:r>
          </w:p>
          <w:p w:rsidR="0004128C" w:rsidRPr="0004128C" w:rsidRDefault="0004128C" w:rsidP="00981E05">
            <w:pPr>
              <w:pStyle w:val="TableText0"/>
            </w:pPr>
            <w:r w:rsidRPr="0004128C">
              <w:t>(95%CI 0.30, 7.43)</w:t>
            </w:r>
          </w:p>
        </w:tc>
      </w:tr>
      <w:tr w:rsidR="0004128C" w:rsidRPr="0004128C" w:rsidTr="0004128C">
        <w:tc>
          <w:tcPr>
            <w:tcW w:w="2218" w:type="pct"/>
          </w:tcPr>
          <w:p w:rsidR="0004128C" w:rsidRPr="0004128C" w:rsidRDefault="0004128C" w:rsidP="00981E05">
            <w:pPr>
              <w:pStyle w:val="TableText0"/>
            </w:pPr>
            <w:r w:rsidRPr="0004128C">
              <w:t>Severe adverse events</w:t>
            </w:r>
          </w:p>
        </w:tc>
        <w:tc>
          <w:tcPr>
            <w:tcW w:w="920" w:type="pct"/>
          </w:tcPr>
          <w:p w:rsidR="0004128C" w:rsidRPr="0004128C" w:rsidRDefault="0004128C" w:rsidP="00981E05">
            <w:pPr>
              <w:pStyle w:val="TableText0"/>
            </w:pPr>
            <w:r w:rsidRPr="0004128C">
              <w:t>0</w:t>
            </w:r>
          </w:p>
        </w:tc>
        <w:tc>
          <w:tcPr>
            <w:tcW w:w="843" w:type="pct"/>
          </w:tcPr>
          <w:p w:rsidR="0004128C" w:rsidRPr="0004128C" w:rsidRDefault="0004128C" w:rsidP="00981E05">
            <w:pPr>
              <w:pStyle w:val="TableText0"/>
            </w:pPr>
            <w:r w:rsidRPr="0004128C">
              <w:t>0</w:t>
            </w:r>
          </w:p>
        </w:tc>
        <w:tc>
          <w:tcPr>
            <w:tcW w:w="1018" w:type="pct"/>
          </w:tcPr>
          <w:p w:rsidR="0004128C" w:rsidRPr="0004128C" w:rsidRDefault="0004128C" w:rsidP="00981E05">
            <w:pPr>
              <w:pStyle w:val="TableText0"/>
            </w:pPr>
            <w:r w:rsidRPr="0004128C">
              <w:t>-</w:t>
            </w:r>
          </w:p>
        </w:tc>
      </w:tr>
      <w:tr w:rsidR="0004128C" w:rsidRPr="0004128C" w:rsidTr="0004128C">
        <w:tc>
          <w:tcPr>
            <w:tcW w:w="2218" w:type="pct"/>
          </w:tcPr>
          <w:p w:rsidR="0004128C" w:rsidRPr="0004128C" w:rsidRDefault="0004128C" w:rsidP="00361A98">
            <w:pPr>
              <w:pStyle w:val="TableText0"/>
            </w:pPr>
            <w:r w:rsidRPr="0004128C">
              <w:t>At least one adverse event in the gastrointestinal system</w:t>
            </w:r>
          </w:p>
        </w:tc>
        <w:tc>
          <w:tcPr>
            <w:tcW w:w="920" w:type="pct"/>
          </w:tcPr>
          <w:p w:rsidR="0004128C" w:rsidRPr="0004128C" w:rsidRDefault="0004128C" w:rsidP="00981E05">
            <w:pPr>
              <w:pStyle w:val="TableText0"/>
            </w:pPr>
            <w:r w:rsidRPr="0004128C">
              <w:t xml:space="preserve">12/12 (100%) </w:t>
            </w:r>
          </w:p>
        </w:tc>
        <w:tc>
          <w:tcPr>
            <w:tcW w:w="843" w:type="pct"/>
          </w:tcPr>
          <w:p w:rsidR="0004128C" w:rsidRPr="0004128C" w:rsidRDefault="0004128C" w:rsidP="00981E05">
            <w:pPr>
              <w:pStyle w:val="TableText0"/>
            </w:pPr>
            <w:r w:rsidRPr="0004128C">
              <w:t>6/12 (50%)</w:t>
            </w:r>
          </w:p>
        </w:tc>
        <w:tc>
          <w:tcPr>
            <w:tcW w:w="1018" w:type="pct"/>
          </w:tcPr>
          <w:p w:rsidR="0004128C" w:rsidRPr="0004128C" w:rsidRDefault="0004128C" w:rsidP="00D35EF3">
            <w:pPr>
              <w:pStyle w:val="TableText0"/>
            </w:pPr>
            <w:r w:rsidRPr="0004128C">
              <w:t>RR</w:t>
            </w:r>
            <w:r w:rsidR="00652355" w:rsidRPr="00652355">
              <w:rPr>
                <w:spacing w:val="-20"/>
              </w:rPr>
              <w:t xml:space="preserve"> = </w:t>
            </w:r>
            <w:r w:rsidR="00D35EF3">
              <w:t>2.0 (1.14, 3.52)</w:t>
            </w:r>
          </w:p>
        </w:tc>
      </w:tr>
      <w:tr w:rsidR="0004128C" w:rsidRPr="0004128C" w:rsidTr="0004128C">
        <w:tc>
          <w:tcPr>
            <w:tcW w:w="2218" w:type="pct"/>
          </w:tcPr>
          <w:p w:rsidR="0004128C" w:rsidRPr="0004128C" w:rsidRDefault="0004128C" w:rsidP="00981E05">
            <w:pPr>
              <w:pStyle w:val="TableText0"/>
            </w:pPr>
            <w:r w:rsidRPr="0004128C">
              <w:t>Withdrew from study</w:t>
            </w:r>
          </w:p>
        </w:tc>
        <w:tc>
          <w:tcPr>
            <w:tcW w:w="920" w:type="pct"/>
          </w:tcPr>
          <w:p w:rsidR="0004128C" w:rsidRPr="0004128C" w:rsidRDefault="0004128C" w:rsidP="00981E05">
            <w:pPr>
              <w:pStyle w:val="TableText0"/>
            </w:pPr>
            <w:r w:rsidRPr="0004128C">
              <w:t>2/12</w:t>
            </w:r>
          </w:p>
        </w:tc>
        <w:tc>
          <w:tcPr>
            <w:tcW w:w="843" w:type="pct"/>
          </w:tcPr>
          <w:p w:rsidR="0004128C" w:rsidRPr="0004128C" w:rsidRDefault="0004128C" w:rsidP="00981E05">
            <w:pPr>
              <w:pStyle w:val="TableText0"/>
            </w:pPr>
            <w:r w:rsidRPr="0004128C">
              <w:t>0/12</w:t>
            </w:r>
          </w:p>
        </w:tc>
        <w:tc>
          <w:tcPr>
            <w:tcW w:w="1018" w:type="pct"/>
          </w:tcPr>
          <w:p w:rsidR="0004128C" w:rsidRPr="0004128C" w:rsidRDefault="00981E05" w:rsidP="00981E05">
            <w:pPr>
              <w:pStyle w:val="TableText0"/>
            </w:pPr>
            <w:r>
              <w:t>NC</w:t>
            </w:r>
          </w:p>
        </w:tc>
      </w:tr>
    </w:tbl>
    <w:p w:rsidR="0004128C" w:rsidRDefault="00D35EF3" w:rsidP="00981E05">
      <w:pPr>
        <w:pStyle w:val="TableNote"/>
      </w:pPr>
      <w:r>
        <w:t xml:space="preserve">Source: </w:t>
      </w:r>
      <w:r w:rsidR="00A130D0">
        <w:rPr>
          <w:noProof/>
        </w:rPr>
        <w:t>(</w:t>
      </w:r>
      <w:r w:rsidR="00184B6F">
        <w:rPr>
          <w:noProof/>
        </w:rPr>
        <w:t>Dechelotte 2003</w:t>
      </w:r>
      <w:r w:rsidR="00A130D0">
        <w:rPr>
          <w:noProof/>
        </w:rPr>
        <w:t>)</w:t>
      </w:r>
      <w:r>
        <w:t xml:space="preserve">; </w:t>
      </w:r>
      <w:proofErr w:type="gramStart"/>
      <w:r>
        <w:t xml:space="preserve">NC </w:t>
      </w:r>
      <w:r w:rsidR="00652355" w:rsidRPr="00652355">
        <w:rPr>
          <w:spacing w:val="-20"/>
        </w:rPr>
        <w:t xml:space="preserve"> =</w:t>
      </w:r>
      <w:proofErr w:type="gramEnd"/>
      <w:r w:rsidR="00652355" w:rsidRPr="00652355">
        <w:rPr>
          <w:spacing w:val="-20"/>
        </w:rPr>
        <w:t xml:space="preserve"> </w:t>
      </w:r>
      <w:r>
        <w:t xml:space="preserve"> not calculable</w:t>
      </w:r>
    </w:p>
    <w:p w:rsidR="00D35EF3" w:rsidRPr="0004128C" w:rsidRDefault="00D35EF3" w:rsidP="00981E05">
      <w:pPr>
        <w:pStyle w:val="TableNote"/>
      </w:pPr>
    </w:p>
    <w:p w:rsidR="0004128C" w:rsidRPr="0004128C" w:rsidRDefault="0004128C" w:rsidP="00A979FB">
      <w:pPr>
        <w:pStyle w:val="Heading5"/>
      </w:pPr>
      <w:r w:rsidRPr="0004128C">
        <w:t>Extension period</w:t>
      </w:r>
    </w:p>
    <w:p w:rsidR="0004128C" w:rsidRPr="0004128C" w:rsidRDefault="0004128C" w:rsidP="0004128C">
      <w:r w:rsidRPr="0004128C">
        <w:t xml:space="preserve">After the 6 month period of randomisation, all patients enrolled in OGT 918-004 were given the option to receive miglustat for an additional 18 month extension trial. Those who had been originally randomised to receive miglustat therefore had 24 months of miglustat in total. Patients who switched from imiglucerase or combination imiglucerase and miglustat to miglustat alone had 18 months of miglustat treatment in the extension trial. Baseline was defined as </w:t>
      </w:r>
      <w:r w:rsidR="00D35EF3">
        <w:t>the start of the trial</w:t>
      </w:r>
      <w:r w:rsidRPr="0004128C">
        <w:t xml:space="preserve"> for those participants who received miglustat alone in the randomised period, and month 6 for patients who were initially randomised to a condition including imiglucerase. </w:t>
      </w:r>
    </w:p>
    <w:p w:rsidR="0004128C" w:rsidRPr="0004128C" w:rsidRDefault="0004128C" w:rsidP="0004128C">
      <w:r w:rsidRPr="0004128C">
        <w:t xml:space="preserve">Patients on miglustat had deterioration in their mean haemoglobin concentration after imiglucerase withdrawal, to a statistically significant degree at months 6, 9, 12 and 24 (see </w:t>
      </w:r>
      <w:r w:rsidR="00A72B26" w:rsidRPr="00BD10C7">
        <w:t xml:space="preserve">Table </w:t>
      </w:r>
      <w:r w:rsidR="00A72B26">
        <w:rPr>
          <w:noProof/>
        </w:rPr>
        <w:t>14</w:t>
      </w:r>
      <w:r w:rsidRPr="0004128C">
        <w:t xml:space="preserve">;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Pr="0004128C">
        <w:t xml:space="preserve">). It was stated that no patients had haemoglobin </w:t>
      </w:r>
      <w:r w:rsidR="00D35EF3">
        <w:t xml:space="preserve">low enough to be </w:t>
      </w:r>
      <w:r w:rsidRPr="0004128C">
        <w:t xml:space="preserve">considered clinically significant </w:t>
      </w:r>
      <w:r w:rsidR="00A130D0">
        <w:rPr>
          <w:noProof/>
        </w:rPr>
        <w:t>(</w:t>
      </w:r>
      <w:r w:rsidR="00184B6F">
        <w:rPr>
          <w:noProof/>
        </w:rPr>
        <w:t>Actelion Pharmaceuticals Ltd. 2012</w:t>
      </w:r>
      <w:r w:rsidR="00A130D0">
        <w:rPr>
          <w:noProof/>
        </w:rPr>
        <w:t>)</w:t>
      </w:r>
      <w:r w:rsidR="00D35EF3">
        <w:t xml:space="preserve"> although the mean haemoglobin concentration was under the reference range for health males</w:t>
      </w:r>
      <w:r w:rsidR="00D35EF3">
        <w:rPr>
          <w:rStyle w:val="FootnoteReference"/>
        </w:rPr>
        <w:footnoteReference w:id="10"/>
      </w:r>
      <w:r w:rsidRPr="0004128C">
        <w:t xml:space="preserve">. Similarly, a small statistically significant decrease in platelet levels was observed after imiglucerase withdrawal (see </w:t>
      </w:r>
      <w:r w:rsidR="00A72B26" w:rsidRPr="00BD10C7">
        <w:t xml:space="preserve">Table </w:t>
      </w:r>
      <w:r w:rsidR="00A72B26">
        <w:rPr>
          <w:noProof/>
        </w:rPr>
        <w:t>14</w:t>
      </w:r>
      <w:r w:rsidRPr="0004128C">
        <w:t xml:space="preserve">;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Pr="0004128C">
        <w:t xml:space="preserve">). </w:t>
      </w:r>
      <w:r w:rsidR="00D35EF3">
        <w:t>Mean platelet levels dropped from being within the normal range</w:t>
      </w:r>
      <w:r w:rsidR="00D35EF3">
        <w:rPr>
          <w:rStyle w:val="FootnoteReference"/>
        </w:rPr>
        <w:footnoteReference w:id="11"/>
      </w:r>
      <w:r w:rsidR="00D35EF3">
        <w:t xml:space="preserve">, to being under the normal range for three out of four post-baseline time-points. </w:t>
      </w:r>
      <w:r w:rsidRPr="0004128C">
        <w:t xml:space="preserve">One patient had clinically significant low platelet levels, although this was also observed at baseline </w:t>
      </w:r>
      <w:r w:rsidR="00A130D0">
        <w:rPr>
          <w:noProof/>
        </w:rPr>
        <w:t>(</w:t>
      </w:r>
      <w:r w:rsidR="00184B6F">
        <w:rPr>
          <w:noProof/>
        </w:rPr>
        <w:t>Actelion Pharmaceuticals Ltd. 2012</w:t>
      </w:r>
      <w:r w:rsidR="00A130D0">
        <w:rPr>
          <w:noProof/>
        </w:rPr>
        <w:t>)</w:t>
      </w:r>
      <w:r w:rsidRPr="0004128C">
        <w:t>.</w:t>
      </w:r>
    </w:p>
    <w:p w:rsidR="0004128C" w:rsidRPr="00BD10C7" w:rsidRDefault="0004128C" w:rsidP="00F44176">
      <w:pPr>
        <w:pStyle w:val="Caption"/>
        <w:keepNext/>
        <w:tabs>
          <w:tab w:val="clear" w:pos="851"/>
          <w:tab w:val="left" w:pos="1134"/>
        </w:tabs>
        <w:ind w:left="1134" w:hanging="1134"/>
      </w:pPr>
      <w:bookmarkStart w:id="128" w:name="_Ref403118064"/>
      <w:bookmarkStart w:id="129" w:name="_Toc411510398"/>
      <w:bookmarkStart w:id="130" w:name="_Toc415141811"/>
      <w:r w:rsidRPr="00BD10C7">
        <w:lastRenderedPageBreak/>
        <w:t xml:space="preserve">Table </w:t>
      </w:r>
      <w:r w:rsidR="00A72B26">
        <w:rPr>
          <w:noProof/>
        </w:rPr>
        <w:t>14</w:t>
      </w:r>
      <w:bookmarkEnd w:id="128"/>
      <w:r w:rsidRPr="00BD10C7">
        <w:tab/>
        <w:t>Long-term blood count changes with miglustat (after imiglucerase withdrawal)</w:t>
      </w:r>
      <w:bookmarkEnd w:id="129"/>
      <w:bookmarkEnd w:id="130"/>
    </w:p>
    <w:tbl>
      <w:tblPr>
        <w:tblStyle w:val="TableGrid"/>
        <w:tblW w:w="5000" w:type="pct"/>
        <w:tblLook w:val="04A0" w:firstRow="1" w:lastRow="0" w:firstColumn="1" w:lastColumn="0" w:noHBand="0" w:noVBand="1"/>
        <w:tblCaption w:val="Table 13 Long-term blood count changes with miglustat (after imiglucerase withdrawal)"/>
      </w:tblPr>
      <w:tblGrid>
        <w:gridCol w:w="1812"/>
        <w:gridCol w:w="1985"/>
        <w:gridCol w:w="1843"/>
        <w:gridCol w:w="2277"/>
        <w:gridCol w:w="1325"/>
      </w:tblGrid>
      <w:tr w:rsidR="0004128C" w:rsidRPr="0004128C" w:rsidTr="00712231">
        <w:trPr>
          <w:tblHeader/>
        </w:trPr>
        <w:tc>
          <w:tcPr>
            <w:tcW w:w="980" w:type="pct"/>
          </w:tcPr>
          <w:p w:rsidR="0004128C" w:rsidRPr="0004128C" w:rsidRDefault="0004128C" w:rsidP="00477C2C">
            <w:pPr>
              <w:keepNext/>
              <w:spacing w:before="40" w:line="240" w:lineRule="auto"/>
              <w:jc w:val="left"/>
              <w:rPr>
                <w:rFonts w:ascii="Arial Narrow" w:hAnsi="Arial Narrow"/>
                <w:b/>
                <w:sz w:val="20"/>
                <w:szCs w:val="20"/>
              </w:rPr>
            </w:pPr>
            <w:r w:rsidRPr="0004128C">
              <w:rPr>
                <w:rFonts w:ascii="Arial Narrow" w:hAnsi="Arial Narrow"/>
                <w:b/>
                <w:sz w:val="20"/>
                <w:szCs w:val="20"/>
              </w:rPr>
              <w:t>Time</w:t>
            </w:r>
          </w:p>
        </w:tc>
        <w:tc>
          <w:tcPr>
            <w:tcW w:w="1074" w:type="pct"/>
            <w:tcBorders>
              <w:right w:val="nil"/>
            </w:tcBorders>
          </w:tcPr>
          <w:p w:rsidR="0004128C" w:rsidRPr="0004128C" w:rsidRDefault="0004128C" w:rsidP="00477C2C">
            <w:pPr>
              <w:keepNext/>
              <w:spacing w:before="40" w:line="240" w:lineRule="auto"/>
              <w:jc w:val="left"/>
              <w:rPr>
                <w:rFonts w:ascii="Arial Narrow" w:hAnsi="Arial Narrow"/>
                <w:b/>
                <w:sz w:val="20"/>
                <w:szCs w:val="20"/>
              </w:rPr>
            </w:pPr>
            <w:r w:rsidRPr="0004128C">
              <w:rPr>
                <w:rFonts w:ascii="Arial Narrow" w:hAnsi="Arial Narrow"/>
                <w:b/>
                <w:sz w:val="20"/>
                <w:szCs w:val="20"/>
              </w:rPr>
              <w:t>Mean ±S</w:t>
            </w:r>
            <w:r w:rsidR="00D35EF3">
              <w:rPr>
                <w:rFonts w:ascii="Arial Narrow" w:hAnsi="Arial Narrow"/>
                <w:b/>
                <w:sz w:val="20"/>
                <w:szCs w:val="20"/>
              </w:rPr>
              <w:t>D Haemoglobin concentration (g/</w:t>
            </w:r>
            <w:r w:rsidRPr="0004128C">
              <w:rPr>
                <w:rFonts w:ascii="Arial Narrow" w:hAnsi="Arial Narrow"/>
                <w:b/>
                <w:sz w:val="20"/>
                <w:szCs w:val="20"/>
              </w:rPr>
              <w:t>L)</w:t>
            </w:r>
          </w:p>
        </w:tc>
        <w:tc>
          <w:tcPr>
            <w:tcW w:w="997" w:type="pct"/>
            <w:tcBorders>
              <w:left w:val="nil"/>
              <w:right w:val="single" w:sz="4" w:space="0" w:color="auto"/>
            </w:tcBorders>
          </w:tcPr>
          <w:p w:rsidR="0004128C" w:rsidRPr="0004128C" w:rsidRDefault="0004128C" w:rsidP="00477C2C">
            <w:pPr>
              <w:keepNext/>
              <w:spacing w:before="40" w:line="240" w:lineRule="auto"/>
              <w:jc w:val="left"/>
              <w:rPr>
                <w:rFonts w:ascii="Arial Narrow" w:hAnsi="Arial Narrow"/>
                <w:b/>
                <w:sz w:val="20"/>
                <w:szCs w:val="20"/>
              </w:rPr>
            </w:pPr>
            <w:r w:rsidRPr="0004128C">
              <w:rPr>
                <w:rFonts w:ascii="Arial Narrow" w:hAnsi="Arial Narrow"/>
                <w:b/>
                <w:sz w:val="20"/>
                <w:szCs w:val="20"/>
              </w:rPr>
              <w:t xml:space="preserve">Mean ±SD % change from baseline </w:t>
            </w:r>
          </w:p>
        </w:tc>
        <w:tc>
          <w:tcPr>
            <w:tcW w:w="1232" w:type="pct"/>
            <w:tcBorders>
              <w:left w:val="single" w:sz="4" w:space="0" w:color="auto"/>
              <w:right w:val="nil"/>
            </w:tcBorders>
          </w:tcPr>
          <w:p w:rsidR="0004128C" w:rsidRPr="0004128C" w:rsidRDefault="0004128C" w:rsidP="00477C2C">
            <w:pPr>
              <w:keepNext/>
              <w:spacing w:before="40" w:line="240" w:lineRule="auto"/>
              <w:jc w:val="left"/>
              <w:rPr>
                <w:rFonts w:ascii="Arial Narrow" w:hAnsi="Arial Narrow"/>
                <w:b/>
                <w:sz w:val="20"/>
                <w:szCs w:val="20"/>
              </w:rPr>
            </w:pPr>
            <w:r w:rsidRPr="0004128C">
              <w:rPr>
                <w:rFonts w:ascii="Arial Narrow" w:hAnsi="Arial Narrow"/>
                <w:b/>
                <w:sz w:val="20"/>
                <w:szCs w:val="20"/>
              </w:rPr>
              <w:t>Mean ±SD platelet count (x 10</w:t>
            </w:r>
            <w:r w:rsidRPr="0004128C">
              <w:rPr>
                <w:rFonts w:ascii="Arial Narrow" w:hAnsi="Arial Narrow"/>
                <w:b/>
                <w:sz w:val="20"/>
                <w:szCs w:val="20"/>
                <w:vertAlign w:val="superscript"/>
              </w:rPr>
              <w:t>9</w:t>
            </w:r>
            <w:r w:rsidRPr="0004128C">
              <w:rPr>
                <w:rFonts w:ascii="Arial Narrow" w:hAnsi="Arial Narrow"/>
                <w:b/>
                <w:sz w:val="20"/>
                <w:szCs w:val="20"/>
              </w:rPr>
              <w:t>/L)</w:t>
            </w:r>
          </w:p>
        </w:tc>
        <w:tc>
          <w:tcPr>
            <w:tcW w:w="717" w:type="pct"/>
            <w:tcBorders>
              <w:left w:val="nil"/>
            </w:tcBorders>
          </w:tcPr>
          <w:p w:rsidR="0004128C" w:rsidRPr="0004128C" w:rsidRDefault="0004128C" w:rsidP="00477C2C">
            <w:pPr>
              <w:keepNext/>
              <w:spacing w:before="40" w:line="240" w:lineRule="auto"/>
              <w:jc w:val="left"/>
              <w:rPr>
                <w:rFonts w:ascii="Arial Narrow" w:hAnsi="Arial Narrow"/>
                <w:b/>
                <w:sz w:val="20"/>
                <w:szCs w:val="20"/>
              </w:rPr>
            </w:pPr>
            <w:r w:rsidRPr="0004128C">
              <w:rPr>
                <w:rFonts w:ascii="Arial Narrow" w:hAnsi="Arial Narrow"/>
                <w:b/>
                <w:sz w:val="20"/>
                <w:szCs w:val="20"/>
              </w:rPr>
              <w:t>Mean ±SD % change from baseline</w:t>
            </w:r>
          </w:p>
        </w:tc>
      </w:tr>
      <w:tr w:rsidR="0004128C" w:rsidRPr="0004128C" w:rsidTr="0004128C">
        <w:tc>
          <w:tcPr>
            <w:tcW w:w="980" w:type="pct"/>
          </w:tcPr>
          <w:p w:rsidR="0004128C" w:rsidRPr="0004128C" w:rsidRDefault="0004128C" w:rsidP="00477C2C">
            <w:pPr>
              <w:keepNext/>
              <w:spacing w:before="40" w:line="240" w:lineRule="auto"/>
              <w:jc w:val="left"/>
              <w:rPr>
                <w:rFonts w:ascii="Arial Narrow" w:hAnsi="Arial Narrow"/>
                <w:b/>
                <w:sz w:val="20"/>
                <w:szCs w:val="20"/>
              </w:rPr>
            </w:pPr>
            <w:r w:rsidRPr="0004128C">
              <w:rPr>
                <w:rFonts w:ascii="Arial Narrow" w:hAnsi="Arial Narrow"/>
                <w:b/>
                <w:sz w:val="20"/>
                <w:szCs w:val="20"/>
              </w:rPr>
              <w:t>Baseline (n</w:t>
            </w:r>
            <w:r w:rsidR="00652355" w:rsidRPr="00652355">
              <w:rPr>
                <w:rFonts w:ascii="Arial Narrow" w:hAnsi="Arial Narrow"/>
                <w:b/>
                <w:spacing w:val="-20"/>
                <w:sz w:val="20"/>
                <w:szCs w:val="20"/>
              </w:rPr>
              <w:t xml:space="preserve"> = </w:t>
            </w:r>
            <w:r w:rsidRPr="0004128C">
              <w:rPr>
                <w:rFonts w:ascii="Arial Narrow" w:hAnsi="Arial Narrow"/>
                <w:b/>
                <w:sz w:val="20"/>
                <w:szCs w:val="20"/>
              </w:rPr>
              <w:t>31)</w:t>
            </w:r>
          </w:p>
        </w:tc>
        <w:tc>
          <w:tcPr>
            <w:tcW w:w="1074" w:type="pct"/>
            <w:tcBorders>
              <w:right w:val="nil"/>
            </w:tcBorders>
          </w:tcPr>
          <w:p w:rsidR="0004128C" w:rsidRPr="0004128C" w:rsidRDefault="00D35EF3" w:rsidP="00477C2C">
            <w:pPr>
              <w:keepNext/>
              <w:spacing w:before="40" w:line="240" w:lineRule="auto"/>
              <w:jc w:val="left"/>
              <w:rPr>
                <w:rFonts w:ascii="Arial Narrow" w:hAnsi="Arial Narrow"/>
                <w:sz w:val="20"/>
                <w:szCs w:val="20"/>
              </w:rPr>
            </w:pPr>
            <w:r>
              <w:rPr>
                <w:rFonts w:ascii="Arial Narrow" w:hAnsi="Arial Narrow"/>
                <w:sz w:val="20"/>
                <w:szCs w:val="20"/>
              </w:rPr>
              <w:t>12</w:t>
            </w:r>
            <w:r w:rsidR="0004128C" w:rsidRPr="0004128C">
              <w:rPr>
                <w:rFonts w:ascii="Arial Narrow" w:hAnsi="Arial Narrow"/>
                <w:sz w:val="20"/>
                <w:szCs w:val="20"/>
              </w:rPr>
              <w:t>7</w:t>
            </w:r>
            <w:r>
              <w:rPr>
                <w:rFonts w:ascii="Arial Narrow" w:hAnsi="Arial Narrow"/>
                <w:sz w:val="20"/>
                <w:szCs w:val="20"/>
              </w:rPr>
              <w:t>.5±1</w:t>
            </w:r>
            <w:r w:rsidR="0004128C" w:rsidRPr="0004128C">
              <w:rPr>
                <w:rFonts w:ascii="Arial Narrow" w:hAnsi="Arial Narrow"/>
                <w:sz w:val="20"/>
                <w:szCs w:val="20"/>
              </w:rPr>
              <w:t>4</w:t>
            </w:r>
            <w:r>
              <w:rPr>
                <w:rFonts w:ascii="Arial Narrow" w:hAnsi="Arial Narrow"/>
                <w:sz w:val="20"/>
                <w:szCs w:val="20"/>
              </w:rPr>
              <w:t>.</w:t>
            </w:r>
            <w:r w:rsidR="0004128C" w:rsidRPr="0004128C">
              <w:rPr>
                <w:rFonts w:ascii="Arial Narrow" w:hAnsi="Arial Narrow"/>
                <w:sz w:val="20"/>
                <w:szCs w:val="20"/>
              </w:rPr>
              <w:t>6</w:t>
            </w:r>
          </w:p>
        </w:tc>
        <w:tc>
          <w:tcPr>
            <w:tcW w:w="997" w:type="pct"/>
            <w:tcBorders>
              <w:left w:val="nil"/>
              <w:right w:val="single" w:sz="4" w:space="0" w:color="auto"/>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N/A</w:t>
            </w:r>
          </w:p>
        </w:tc>
        <w:tc>
          <w:tcPr>
            <w:tcW w:w="1232" w:type="pct"/>
            <w:tcBorders>
              <w:left w:val="single" w:sz="4" w:space="0" w:color="auto"/>
              <w:right w:val="nil"/>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171.70±86.5</w:t>
            </w:r>
          </w:p>
        </w:tc>
        <w:tc>
          <w:tcPr>
            <w:tcW w:w="717" w:type="pct"/>
            <w:tcBorders>
              <w:left w:val="nil"/>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N/A</w:t>
            </w:r>
          </w:p>
        </w:tc>
      </w:tr>
      <w:tr w:rsidR="0004128C" w:rsidRPr="0004128C" w:rsidTr="0004128C">
        <w:tc>
          <w:tcPr>
            <w:tcW w:w="980" w:type="pct"/>
          </w:tcPr>
          <w:p w:rsidR="0004128C" w:rsidRPr="0004128C" w:rsidRDefault="0004128C" w:rsidP="00477C2C">
            <w:pPr>
              <w:keepNext/>
              <w:spacing w:before="40" w:line="240" w:lineRule="auto"/>
              <w:jc w:val="left"/>
              <w:rPr>
                <w:rFonts w:ascii="Arial Narrow" w:hAnsi="Arial Narrow"/>
                <w:b/>
                <w:sz w:val="20"/>
                <w:szCs w:val="20"/>
              </w:rPr>
            </w:pPr>
            <w:r w:rsidRPr="0004128C">
              <w:rPr>
                <w:rFonts w:ascii="Arial Narrow" w:hAnsi="Arial Narrow"/>
                <w:b/>
                <w:sz w:val="20"/>
                <w:szCs w:val="20"/>
              </w:rPr>
              <w:t>6 months (n</w:t>
            </w:r>
            <w:r w:rsidR="00652355" w:rsidRPr="00652355">
              <w:rPr>
                <w:rFonts w:ascii="Arial Narrow" w:hAnsi="Arial Narrow"/>
                <w:b/>
                <w:spacing w:val="-20"/>
                <w:sz w:val="20"/>
                <w:szCs w:val="20"/>
              </w:rPr>
              <w:t xml:space="preserve"> = </w:t>
            </w:r>
            <w:r w:rsidRPr="0004128C">
              <w:rPr>
                <w:rFonts w:ascii="Arial Narrow" w:hAnsi="Arial Narrow"/>
                <w:b/>
                <w:sz w:val="20"/>
                <w:szCs w:val="20"/>
              </w:rPr>
              <w:t>29)</w:t>
            </w:r>
          </w:p>
        </w:tc>
        <w:tc>
          <w:tcPr>
            <w:tcW w:w="1074" w:type="pct"/>
            <w:tcBorders>
              <w:right w:val="nil"/>
            </w:tcBorders>
          </w:tcPr>
          <w:p w:rsidR="0004128C" w:rsidRPr="0004128C" w:rsidRDefault="00D35EF3" w:rsidP="00477C2C">
            <w:pPr>
              <w:keepNext/>
              <w:spacing w:before="40" w:line="240" w:lineRule="auto"/>
              <w:jc w:val="left"/>
              <w:rPr>
                <w:rFonts w:ascii="Arial Narrow" w:hAnsi="Arial Narrow"/>
                <w:sz w:val="20"/>
                <w:szCs w:val="20"/>
              </w:rPr>
            </w:pPr>
            <w:r>
              <w:rPr>
                <w:rFonts w:ascii="Arial Narrow" w:hAnsi="Arial Narrow"/>
                <w:sz w:val="20"/>
                <w:szCs w:val="20"/>
              </w:rPr>
              <w:t>12</w:t>
            </w:r>
            <w:r w:rsidR="0004128C" w:rsidRPr="0004128C">
              <w:rPr>
                <w:rFonts w:ascii="Arial Narrow" w:hAnsi="Arial Narrow"/>
                <w:sz w:val="20"/>
                <w:szCs w:val="20"/>
              </w:rPr>
              <w:t>4</w:t>
            </w:r>
            <w:r>
              <w:rPr>
                <w:rFonts w:ascii="Arial Narrow" w:hAnsi="Arial Narrow"/>
                <w:sz w:val="20"/>
                <w:szCs w:val="20"/>
              </w:rPr>
              <w:t>.</w:t>
            </w:r>
            <w:r w:rsidR="0004128C" w:rsidRPr="0004128C">
              <w:rPr>
                <w:rFonts w:ascii="Arial Narrow" w:hAnsi="Arial Narrow"/>
                <w:sz w:val="20"/>
                <w:szCs w:val="20"/>
              </w:rPr>
              <w:t>0±11</w:t>
            </w:r>
            <w:r>
              <w:rPr>
                <w:rFonts w:ascii="Arial Narrow" w:hAnsi="Arial Narrow"/>
                <w:sz w:val="20"/>
                <w:szCs w:val="20"/>
              </w:rPr>
              <w:t>.</w:t>
            </w:r>
            <w:r w:rsidR="0004128C" w:rsidRPr="0004128C">
              <w:rPr>
                <w:rFonts w:ascii="Arial Narrow" w:hAnsi="Arial Narrow"/>
                <w:sz w:val="20"/>
                <w:szCs w:val="20"/>
              </w:rPr>
              <w:t>5</w:t>
            </w:r>
          </w:p>
        </w:tc>
        <w:tc>
          <w:tcPr>
            <w:tcW w:w="997" w:type="pct"/>
            <w:tcBorders>
              <w:left w:val="nil"/>
              <w:right w:val="single" w:sz="4" w:space="0" w:color="auto"/>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-2.14±5.51</w:t>
            </w:r>
          </w:p>
        </w:tc>
        <w:tc>
          <w:tcPr>
            <w:tcW w:w="1232" w:type="pct"/>
            <w:tcBorders>
              <w:left w:val="single" w:sz="4" w:space="0" w:color="auto"/>
              <w:right w:val="nil"/>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147.6±78.6</w:t>
            </w:r>
          </w:p>
        </w:tc>
        <w:tc>
          <w:tcPr>
            <w:tcW w:w="717" w:type="pct"/>
            <w:tcBorders>
              <w:left w:val="nil"/>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-12.0±14.2</w:t>
            </w:r>
          </w:p>
        </w:tc>
      </w:tr>
      <w:tr w:rsidR="0004128C" w:rsidRPr="0004128C" w:rsidTr="0004128C">
        <w:tc>
          <w:tcPr>
            <w:tcW w:w="980" w:type="pct"/>
          </w:tcPr>
          <w:p w:rsidR="0004128C" w:rsidRPr="0004128C" w:rsidRDefault="0004128C" w:rsidP="00477C2C">
            <w:pPr>
              <w:keepNext/>
              <w:spacing w:before="40" w:line="240" w:lineRule="auto"/>
              <w:jc w:val="left"/>
              <w:rPr>
                <w:rFonts w:ascii="Arial Narrow" w:hAnsi="Arial Narrow"/>
                <w:b/>
                <w:sz w:val="20"/>
                <w:szCs w:val="20"/>
              </w:rPr>
            </w:pPr>
            <w:r w:rsidRPr="0004128C">
              <w:rPr>
                <w:rFonts w:ascii="Arial Narrow" w:hAnsi="Arial Narrow"/>
                <w:b/>
                <w:sz w:val="20"/>
                <w:szCs w:val="20"/>
              </w:rPr>
              <w:t>12 months (n</w:t>
            </w:r>
            <w:r w:rsidR="00652355" w:rsidRPr="00652355">
              <w:rPr>
                <w:rFonts w:ascii="Arial Narrow" w:hAnsi="Arial Narrow"/>
                <w:b/>
                <w:spacing w:val="-20"/>
                <w:sz w:val="20"/>
                <w:szCs w:val="20"/>
              </w:rPr>
              <w:t xml:space="preserve"> = </w:t>
            </w:r>
            <w:r w:rsidRPr="0004128C">
              <w:rPr>
                <w:rFonts w:ascii="Arial Narrow" w:hAnsi="Arial Narrow"/>
                <w:b/>
                <w:sz w:val="20"/>
                <w:szCs w:val="20"/>
              </w:rPr>
              <w:t>28)</w:t>
            </w:r>
          </w:p>
        </w:tc>
        <w:tc>
          <w:tcPr>
            <w:tcW w:w="1074" w:type="pct"/>
            <w:tcBorders>
              <w:right w:val="nil"/>
            </w:tcBorders>
          </w:tcPr>
          <w:p w:rsidR="0004128C" w:rsidRPr="0004128C" w:rsidRDefault="00D35EF3" w:rsidP="00477C2C">
            <w:pPr>
              <w:keepNext/>
              <w:spacing w:before="40" w:line="240" w:lineRule="auto"/>
              <w:jc w:val="left"/>
              <w:rPr>
                <w:rFonts w:ascii="Arial Narrow" w:hAnsi="Arial Narrow"/>
                <w:sz w:val="20"/>
                <w:szCs w:val="20"/>
              </w:rPr>
            </w:pPr>
            <w:r>
              <w:rPr>
                <w:rFonts w:ascii="Arial Narrow" w:hAnsi="Arial Narrow"/>
                <w:sz w:val="20"/>
                <w:szCs w:val="20"/>
              </w:rPr>
              <w:t>12</w:t>
            </w:r>
            <w:r w:rsidR="0004128C" w:rsidRPr="0004128C">
              <w:rPr>
                <w:rFonts w:ascii="Arial Narrow" w:hAnsi="Arial Narrow"/>
                <w:sz w:val="20"/>
                <w:szCs w:val="20"/>
              </w:rPr>
              <w:t>3</w:t>
            </w:r>
            <w:r>
              <w:rPr>
                <w:rFonts w:ascii="Arial Narrow" w:hAnsi="Arial Narrow"/>
                <w:sz w:val="20"/>
                <w:szCs w:val="20"/>
              </w:rPr>
              <w:t>.8±1</w:t>
            </w:r>
            <w:r w:rsidR="0004128C" w:rsidRPr="0004128C">
              <w:rPr>
                <w:rFonts w:ascii="Arial Narrow" w:hAnsi="Arial Narrow"/>
                <w:sz w:val="20"/>
                <w:szCs w:val="20"/>
              </w:rPr>
              <w:t>2</w:t>
            </w:r>
            <w:r>
              <w:rPr>
                <w:rFonts w:ascii="Arial Narrow" w:hAnsi="Arial Narrow"/>
                <w:sz w:val="20"/>
                <w:szCs w:val="20"/>
              </w:rPr>
              <w:t>.</w:t>
            </w:r>
            <w:r w:rsidR="0004128C" w:rsidRPr="0004128C">
              <w:rPr>
                <w:rFonts w:ascii="Arial Narrow" w:hAnsi="Arial Narrow"/>
                <w:sz w:val="20"/>
                <w:szCs w:val="20"/>
              </w:rPr>
              <w:t>4</w:t>
            </w:r>
          </w:p>
        </w:tc>
        <w:tc>
          <w:tcPr>
            <w:tcW w:w="997" w:type="pct"/>
            <w:tcBorders>
              <w:left w:val="nil"/>
              <w:right w:val="single" w:sz="4" w:space="0" w:color="auto"/>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-2.48±5.59</w:t>
            </w:r>
          </w:p>
        </w:tc>
        <w:tc>
          <w:tcPr>
            <w:tcW w:w="1232" w:type="pct"/>
            <w:tcBorders>
              <w:left w:val="single" w:sz="4" w:space="0" w:color="auto"/>
              <w:right w:val="nil"/>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146.6±77.5</w:t>
            </w:r>
          </w:p>
        </w:tc>
        <w:tc>
          <w:tcPr>
            <w:tcW w:w="717" w:type="pct"/>
            <w:tcBorders>
              <w:left w:val="nil"/>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-14.8±14.9</w:t>
            </w:r>
          </w:p>
        </w:tc>
      </w:tr>
      <w:tr w:rsidR="0004128C" w:rsidRPr="0004128C" w:rsidTr="0004128C">
        <w:tc>
          <w:tcPr>
            <w:tcW w:w="980" w:type="pct"/>
          </w:tcPr>
          <w:p w:rsidR="0004128C" w:rsidRPr="0004128C" w:rsidRDefault="0004128C" w:rsidP="00477C2C">
            <w:pPr>
              <w:keepNext/>
              <w:spacing w:before="40" w:line="240" w:lineRule="auto"/>
              <w:jc w:val="left"/>
              <w:rPr>
                <w:rFonts w:ascii="Arial Narrow" w:hAnsi="Arial Narrow"/>
                <w:b/>
                <w:sz w:val="20"/>
                <w:szCs w:val="20"/>
              </w:rPr>
            </w:pPr>
            <w:r w:rsidRPr="0004128C">
              <w:rPr>
                <w:rFonts w:ascii="Arial Narrow" w:hAnsi="Arial Narrow"/>
                <w:b/>
                <w:sz w:val="20"/>
                <w:szCs w:val="20"/>
              </w:rPr>
              <w:t>18 months (n</w:t>
            </w:r>
            <w:r w:rsidR="00652355" w:rsidRPr="00652355">
              <w:rPr>
                <w:rFonts w:ascii="Arial Narrow" w:hAnsi="Arial Narrow"/>
                <w:b/>
                <w:spacing w:val="-20"/>
                <w:sz w:val="20"/>
                <w:szCs w:val="20"/>
              </w:rPr>
              <w:t xml:space="preserve"> = </w:t>
            </w:r>
            <w:r w:rsidRPr="0004128C">
              <w:rPr>
                <w:rFonts w:ascii="Arial Narrow" w:hAnsi="Arial Narrow"/>
                <w:b/>
                <w:sz w:val="20"/>
                <w:szCs w:val="20"/>
              </w:rPr>
              <w:t>20)</w:t>
            </w:r>
          </w:p>
        </w:tc>
        <w:tc>
          <w:tcPr>
            <w:tcW w:w="1074" w:type="pct"/>
            <w:tcBorders>
              <w:right w:val="nil"/>
            </w:tcBorders>
          </w:tcPr>
          <w:p w:rsidR="0004128C" w:rsidRPr="0004128C" w:rsidRDefault="00D35EF3" w:rsidP="00477C2C">
            <w:pPr>
              <w:keepNext/>
              <w:spacing w:before="40" w:line="240" w:lineRule="auto"/>
              <w:jc w:val="left"/>
              <w:rPr>
                <w:rFonts w:ascii="Arial Narrow" w:hAnsi="Arial Narrow"/>
                <w:sz w:val="20"/>
                <w:szCs w:val="20"/>
              </w:rPr>
            </w:pPr>
            <w:r>
              <w:rPr>
                <w:rFonts w:ascii="Arial Narrow" w:hAnsi="Arial Narrow"/>
                <w:sz w:val="20"/>
                <w:szCs w:val="20"/>
              </w:rPr>
              <w:t>12</w:t>
            </w:r>
            <w:r w:rsidR="0004128C" w:rsidRPr="0004128C">
              <w:rPr>
                <w:rFonts w:ascii="Arial Narrow" w:hAnsi="Arial Narrow"/>
                <w:sz w:val="20"/>
                <w:szCs w:val="20"/>
              </w:rPr>
              <w:t>7</w:t>
            </w:r>
            <w:r>
              <w:rPr>
                <w:rFonts w:ascii="Arial Narrow" w:hAnsi="Arial Narrow"/>
                <w:sz w:val="20"/>
                <w:szCs w:val="20"/>
              </w:rPr>
              <w:t>.6±1</w:t>
            </w:r>
            <w:r w:rsidR="0004128C" w:rsidRPr="0004128C">
              <w:rPr>
                <w:rFonts w:ascii="Arial Narrow" w:hAnsi="Arial Narrow"/>
                <w:sz w:val="20"/>
                <w:szCs w:val="20"/>
              </w:rPr>
              <w:t>4</w:t>
            </w:r>
            <w:r>
              <w:rPr>
                <w:rFonts w:ascii="Arial Narrow" w:hAnsi="Arial Narrow"/>
                <w:sz w:val="20"/>
                <w:szCs w:val="20"/>
              </w:rPr>
              <w:t>.</w:t>
            </w:r>
            <w:r w:rsidR="0004128C" w:rsidRPr="0004128C">
              <w:rPr>
                <w:rFonts w:ascii="Arial Narrow" w:hAnsi="Arial Narrow"/>
                <w:sz w:val="20"/>
                <w:szCs w:val="20"/>
              </w:rPr>
              <w:t>3</w:t>
            </w:r>
          </w:p>
        </w:tc>
        <w:tc>
          <w:tcPr>
            <w:tcW w:w="997" w:type="pct"/>
            <w:tcBorders>
              <w:left w:val="nil"/>
              <w:right w:val="single" w:sz="4" w:space="0" w:color="auto"/>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-1.63±7.69</w:t>
            </w:r>
          </w:p>
        </w:tc>
        <w:tc>
          <w:tcPr>
            <w:tcW w:w="1232" w:type="pct"/>
            <w:tcBorders>
              <w:left w:val="single" w:sz="4" w:space="0" w:color="auto"/>
              <w:right w:val="nil"/>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153.2±77.9</w:t>
            </w:r>
          </w:p>
        </w:tc>
        <w:tc>
          <w:tcPr>
            <w:tcW w:w="717" w:type="pct"/>
            <w:tcBorders>
              <w:left w:val="nil"/>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-16.9±17.6</w:t>
            </w:r>
          </w:p>
        </w:tc>
      </w:tr>
      <w:tr w:rsidR="0004128C" w:rsidRPr="0004128C" w:rsidTr="0004128C">
        <w:tc>
          <w:tcPr>
            <w:tcW w:w="980" w:type="pct"/>
          </w:tcPr>
          <w:p w:rsidR="0004128C" w:rsidRPr="0004128C" w:rsidRDefault="0004128C" w:rsidP="00477C2C">
            <w:pPr>
              <w:keepNext/>
              <w:spacing w:before="40" w:line="240" w:lineRule="auto"/>
              <w:jc w:val="left"/>
              <w:rPr>
                <w:rFonts w:ascii="Arial Narrow" w:hAnsi="Arial Narrow"/>
                <w:b/>
                <w:sz w:val="20"/>
                <w:szCs w:val="20"/>
              </w:rPr>
            </w:pPr>
            <w:r w:rsidRPr="0004128C">
              <w:rPr>
                <w:rFonts w:ascii="Arial Narrow" w:hAnsi="Arial Narrow"/>
                <w:b/>
                <w:sz w:val="20"/>
                <w:szCs w:val="20"/>
              </w:rPr>
              <w:t>24 months (n</w:t>
            </w:r>
            <w:r w:rsidR="00652355" w:rsidRPr="00652355">
              <w:rPr>
                <w:rFonts w:ascii="Arial Narrow" w:hAnsi="Arial Narrow"/>
                <w:b/>
                <w:spacing w:val="-20"/>
                <w:sz w:val="20"/>
                <w:szCs w:val="20"/>
              </w:rPr>
              <w:t xml:space="preserve"> = </w:t>
            </w:r>
            <w:r w:rsidRPr="0004128C">
              <w:rPr>
                <w:rFonts w:ascii="Arial Narrow" w:hAnsi="Arial Narrow"/>
                <w:b/>
                <w:sz w:val="20"/>
                <w:szCs w:val="20"/>
              </w:rPr>
              <w:t>6)</w:t>
            </w:r>
          </w:p>
        </w:tc>
        <w:tc>
          <w:tcPr>
            <w:tcW w:w="1074" w:type="pct"/>
            <w:tcBorders>
              <w:right w:val="nil"/>
            </w:tcBorders>
          </w:tcPr>
          <w:p w:rsidR="0004128C" w:rsidRPr="0004128C" w:rsidRDefault="00D35EF3" w:rsidP="00477C2C">
            <w:pPr>
              <w:keepNext/>
              <w:spacing w:before="40" w:line="240" w:lineRule="auto"/>
              <w:jc w:val="left"/>
              <w:rPr>
                <w:rFonts w:ascii="Arial Narrow" w:hAnsi="Arial Narrow"/>
                <w:sz w:val="20"/>
                <w:szCs w:val="20"/>
              </w:rPr>
            </w:pPr>
            <w:r>
              <w:rPr>
                <w:rFonts w:ascii="Arial Narrow" w:hAnsi="Arial Narrow"/>
                <w:sz w:val="20"/>
                <w:szCs w:val="20"/>
              </w:rPr>
              <w:t>12</w:t>
            </w:r>
            <w:r w:rsidR="0004128C" w:rsidRPr="0004128C">
              <w:rPr>
                <w:rFonts w:ascii="Arial Narrow" w:hAnsi="Arial Narrow"/>
                <w:sz w:val="20"/>
                <w:szCs w:val="20"/>
              </w:rPr>
              <w:t>9</w:t>
            </w:r>
            <w:r>
              <w:rPr>
                <w:rFonts w:ascii="Arial Narrow" w:hAnsi="Arial Narrow"/>
                <w:sz w:val="20"/>
                <w:szCs w:val="20"/>
              </w:rPr>
              <w:t>.7±1</w:t>
            </w:r>
            <w:r w:rsidR="0004128C" w:rsidRPr="0004128C">
              <w:rPr>
                <w:rFonts w:ascii="Arial Narrow" w:hAnsi="Arial Narrow"/>
                <w:sz w:val="20"/>
                <w:szCs w:val="20"/>
              </w:rPr>
              <w:t>0</w:t>
            </w:r>
            <w:r>
              <w:rPr>
                <w:rFonts w:ascii="Arial Narrow" w:hAnsi="Arial Narrow"/>
                <w:sz w:val="20"/>
                <w:szCs w:val="20"/>
              </w:rPr>
              <w:t>.</w:t>
            </w:r>
            <w:r w:rsidR="0004128C" w:rsidRPr="0004128C">
              <w:rPr>
                <w:rFonts w:ascii="Arial Narrow" w:hAnsi="Arial Narrow"/>
                <w:sz w:val="20"/>
                <w:szCs w:val="20"/>
              </w:rPr>
              <w:t>9</w:t>
            </w:r>
          </w:p>
        </w:tc>
        <w:tc>
          <w:tcPr>
            <w:tcW w:w="997" w:type="pct"/>
            <w:tcBorders>
              <w:left w:val="nil"/>
              <w:right w:val="single" w:sz="4" w:space="0" w:color="auto"/>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1.49±5.30</w:t>
            </w:r>
          </w:p>
        </w:tc>
        <w:tc>
          <w:tcPr>
            <w:tcW w:w="1232" w:type="pct"/>
            <w:tcBorders>
              <w:left w:val="single" w:sz="4" w:space="0" w:color="auto"/>
              <w:right w:val="nil"/>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144.2±37.4</w:t>
            </w:r>
          </w:p>
        </w:tc>
        <w:tc>
          <w:tcPr>
            <w:tcW w:w="717" w:type="pct"/>
            <w:tcBorders>
              <w:left w:val="nil"/>
            </w:tcBorders>
          </w:tcPr>
          <w:p w:rsidR="0004128C" w:rsidRPr="0004128C" w:rsidRDefault="0004128C" w:rsidP="00477C2C">
            <w:pPr>
              <w:keepNext/>
              <w:spacing w:before="40" w:line="240" w:lineRule="auto"/>
              <w:jc w:val="left"/>
              <w:rPr>
                <w:rFonts w:ascii="Arial Narrow" w:hAnsi="Arial Narrow"/>
                <w:sz w:val="20"/>
                <w:szCs w:val="20"/>
              </w:rPr>
            </w:pPr>
            <w:r w:rsidRPr="0004128C">
              <w:rPr>
                <w:rFonts w:ascii="Arial Narrow" w:hAnsi="Arial Narrow"/>
                <w:sz w:val="20"/>
                <w:szCs w:val="20"/>
              </w:rPr>
              <w:t>-7.8±19.6</w:t>
            </w:r>
          </w:p>
        </w:tc>
      </w:tr>
    </w:tbl>
    <w:p w:rsidR="0004128C" w:rsidRPr="0004128C" w:rsidRDefault="00A130D0" w:rsidP="0004128C">
      <w:pPr>
        <w:keepNext/>
        <w:spacing w:after="0" w:line="240" w:lineRule="auto"/>
        <w:ind w:left="131" w:hanging="131"/>
        <w:rPr>
          <w:rFonts w:ascii="Arial Narrow" w:hAnsi="Arial Narrow"/>
          <w:sz w:val="16"/>
          <w:szCs w:val="16"/>
          <w:lang w:eastAsia="en-AU"/>
        </w:rPr>
      </w:pPr>
      <w:r>
        <w:rPr>
          <w:rFonts w:ascii="Arial Narrow" w:hAnsi="Arial Narrow"/>
          <w:noProof/>
          <w:sz w:val="16"/>
          <w:szCs w:val="16"/>
          <w:lang w:eastAsia="en-AU"/>
        </w:rPr>
        <w:t>(</w:t>
      </w:r>
      <w:r w:rsidR="00184B6F">
        <w:rPr>
          <w:rFonts w:ascii="Arial Narrow" w:hAnsi="Arial Narrow"/>
          <w:noProof/>
          <w:sz w:val="16"/>
          <w:szCs w:val="16"/>
          <w:lang w:eastAsia="en-AU"/>
        </w:rPr>
        <w:t>Actelion Pharmaceuticals Ltd. 2012</w:t>
      </w:r>
      <w:r>
        <w:rPr>
          <w:rFonts w:ascii="Arial Narrow" w:hAnsi="Arial Narrow"/>
          <w:noProof/>
          <w:sz w:val="16"/>
          <w:szCs w:val="16"/>
          <w:lang w:eastAsia="en-AU"/>
        </w:rPr>
        <w:t>)</w:t>
      </w:r>
      <w:r w:rsidR="00361A98">
        <w:rPr>
          <w:rFonts w:ascii="Arial Narrow" w:hAnsi="Arial Narrow"/>
          <w:sz w:val="16"/>
          <w:szCs w:val="16"/>
          <w:lang w:eastAsia="en-AU"/>
        </w:rPr>
        <w:t>; SD</w:t>
      </w:r>
      <w:r w:rsidR="00652355" w:rsidRPr="00652355">
        <w:rPr>
          <w:rFonts w:ascii="Arial Narrow" w:hAnsi="Arial Narrow"/>
          <w:spacing w:val="-20"/>
          <w:sz w:val="16"/>
          <w:szCs w:val="16"/>
          <w:lang w:eastAsia="en-AU"/>
        </w:rPr>
        <w:t xml:space="preserve"> </w:t>
      </w:r>
      <w:r w:rsidR="00F87099" w:rsidRPr="00652355">
        <w:rPr>
          <w:rFonts w:ascii="Arial Narrow" w:hAnsi="Arial Narrow"/>
          <w:spacing w:val="-20"/>
          <w:sz w:val="16"/>
          <w:szCs w:val="16"/>
          <w:lang w:eastAsia="en-AU"/>
        </w:rPr>
        <w:t xml:space="preserve">= </w:t>
      </w:r>
      <w:r w:rsidR="00F87099">
        <w:rPr>
          <w:rFonts w:ascii="Arial Narrow" w:hAnsi="Arial Narrow"/>
          <w:sz w:val="16"/>
          <w:szCs w:val="16"/>
          <w:lang w:eastAsia="en-AU"/>
        </w:rPr>
        <w:t>standard</w:t>
      </w:r>
      <w:r w:rsidR="00361A98">
        <w:rPr>
          <w:rFonts w:ascii="Arial Narrow" w:hAnsi="Arial Narrow"/>
          <w:sz w:val="16"/>
          <w:szCs w:val="16"/>
          <w:lang w:eastAsia="en-AU"/>
        </w:rPr>
        <w:t xml:space="preserve"> deviation; N/</w:t>
      </w:r>
      <w:r w:rsidR="00F87099">
        <w:rPr>
          <w:rFonts w:ascii="Arial Narrow" w:hAnsi="Arial Narrow"/>
          <w:sz w:val="16"/>
          <w:szCs w:val="16"/>
          <w:lang w:eastAsia="en-AU"/>
        </w:rPr>
        <w:t xml:space="preserve">A </w:t>
      </w:r>
      <w:r w:rsidR="00F87099" w:rsidRPr="00652355">
        <w:rPr>
          <w:rFonts w:ascii="Arial Narrow" w:hAnsi="Arial Narrow"/>
          <w:spacing w:val="-20"/>
          <w:sz w:val="16"/>
          <w:szCs w:val="16"/>
          <w:lang w:eastAsia="en-AU"/>
        </w:rPr>
        <w:t xml:space="preserve">= </w:t>
      </w:r>
      <w:r w:rsidR="00F87099">
        <w:rPr>
          <w:rFonts w:ascii="Arial Narrow" w:hAnsi="Arial Narrow"/>
          <w:sz w:val="16"/>
          <w:szCs w:val="16"/>
          <w:lang w:eastAsia="en-AU"/>
        </w:rPr>
        <w:t>not</w:t>
      </w:r>
      <w:r w:rsidR="00361A98">
        <w:rPr>
          <w:rFonts w:ascii="Arial Narrow" w:hAnsi="Arial Narrow"/>
          <w:sz w:val="16"/>
          <w:szCs w:val="16"/>
          <w:lang w:eastAsia="en-AU"/>
        </w:rPr>
        <w:t xml:space="preserve"> applicable</w:t>
      </w:r>
    </w:p>
    <w:p w:rsidR="0004128C" w:rsidRPr="0004128C" w:rsidRDefault="0004128C" w:rsidP="0004128C">
      <w:pPr>
        <w:keepNext/>
        <w:spacing w:after="0" w:line="240" w:lineRule="auto"/>
        <w:ind w:left="131" w:hanging="131"/>
        <w:rPr>
          <w:rFonts w:ascii="Arial Narrow" w:hAnsi="Arial Narrow"/>
          <w:sz w:val="16"/>
          <w:szCs w:val="16"/>
          <w:lang w:eastAsia="en-AU"/>
        </w:rPr>
      </w:pPr>
    </w:p>
    <w:p w:rsidR="0004128C" w:rsidRPr="0004128C" w:rsidRDefault="0004128C" w:rsidP="0004128C">
      <w:r w:rsidRPr="0004128C">
        <w:t xml:space="preserve">Mean liver and spleen volumes did not significantly over time change while patients were on miglustat (see </w:t>
      </w:r>
      <w:r w:rsidR="00A72B26" w:rsidRPr="00BD10C7">
        <w:t xml:space="preserve">Table </w:t>
      </w:r>
      <w:r w:rsidR="00A72B26">
        <w:rPr>
          <w:noProof/>
        </w:rPr>
        <w:t>15</w:t>
      </w:r>
      <w:r w:rsidRPr="0004128C">
        <w:t xml:space="preserve">;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Pr="0004128C">
        <w:t>).</w:t>
      </w:r>
    </w:p>
    <w:p w:rsidR="0004128C" w:rsidRPr="00BD10C7" w:rsidRDefault="0004128C" w:rsidP="00F44176">
      <w:pPr>
        <w:pStyle w:val="Caption"/>
        <w:keepNext/>
        <w:tabs>
          <w:tab w:val="clear" w:pos="851"/>
          <w:tab w:val="left" w:pos="1134"/>
        </w:tabs>
        <w:ind w:left="1134" w:hanging="1134"/>
      </w:pPr>
      <w:bookmarkStart w:id="131" w:name="_Ref403117934"/>
      <w:bookmarkStart w:id="132" w:name="_Toc411510399"/>
      <w:bookmarkStart w:id="133" w:name="_Toc415141812"/>
      <w:r w:rsidRPr="00BD10C7">
        <w:t xml:space="preserve">Table </w:t>
      </w:r>
      <w:r w:rsidR="00A72B26">
        <w:rPr>
          <w:noProof/>
        </w:rPr>
        <w:t>15</w:t>
      </w:r>
      <w:bookmarkEnd w:id="131"/>
      <w:r w:rsidRPr="00BD10C7">
        <w:tab/>
        <w:t>Long-term organ volume changes with miglustat (after imiglucerase withdrawal)</w:t>
      </w:r>
      <w:bookmarkEnd w:id="132"/>
      <w:bookmarkEnd w:id="133"/>
    </w:p>
    <w:tbl>
      <w:tblPr>
        <w:tblStyle w:val="TableGrid"/>
        <w:tblW w:w="5000" w:type="pct"/>
        <w:tblLook w:val="04A0" w:firstRow="1" w:lastRow="0" w:firstColumn="1" w:lastColumn="0" w:noHBand="0" w:noVBand="1"/>
        <w:tblCaption w:val="Table 14 Long-term organ volume changes with miglustat (after imiglucerase withdrawal)"/>
      </w:tblPr>
      <w:tblGrid>
        <w:gridCol w:w="1528"/>
        <w:gridCol w:w="706"/>
        <w:gridCol w:w="1701"/>
        <w:gridCol w:w="1418"/>
        <w:gridCol w:w="706"/>
        <w:gridCol w:w="1858"/>
        <w:gridCol w:w="1325"/>
      </w:tblGrid>
      <w:tr w:rsidR="0004128C" w:rsidRPr="0004128C" w:rsidTr="00712231">
        <w:trPr>
          <w:tblHeader/>
        </w:trPr>
        <w:tc>
          <w:tcPr>
            <w:tcW w:w="827" w:type="pct"/>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sz w:val="20"/>
                <w:szCs w:val="20"/>
              </w:rPr>
              <w:t>Time</w:t>
            </w:r>
          </w:p>
        </w:tc>
        <w:tc>
          <w:tcPr>
            <w:tcW w:w="382" w:type="pct"/>
            <w:tcBorders>
              <w:top w:val="single" w:sz="4" w:space="0" w:color="auto"/>
              <w:right w:val="nil"/>
            </w:tcBorders>
          </w:tcPr>
          <w:p w:rsidR="0004128C" w:rsidRPr="0004128C" w:rsidRDefault="0004128C" w:rsidP="00477C2C">
            <w:pPr>
              <w:keepNext/>
              <w:spacing w:beforeLines="40" w:before="96" w:afterLines="40" w:after="96" w:line="240" w:lineRule="auto"/>
              <w:jc w:val="center"/>
              <w:rPr>
                <w:rFonts w:ascii="Arial Narrow" w:hAnsi="Arial Narrow"/>
                <w:b/>
                <w:sz w:val="20"/>
                <w:szCs w:val="20"/>
                <w:vertAlign w:val="superscript"/>
              </w:rPr>
            </w:pPr>
            <w:r w:rsidRPr="0004128C">
              <w:rPr>
                <w:rFonts w:ascii="Arial Narrow" w:hAnsi="Arial Narrow"/>
                <w:b/>
                <w:color w:val="FFFFFF" w:themeColor="background1"/>
                <w:sz w:val="20"/>
                <w:szCs w:val="20"/>
                <w:vertAlign w:val="superscript"/>
              </w:rPr>
              <w:t>-</w:t>
            </w:r>
          </w:p>
        </w:tc>
        <w:tc>
          <w:tcPr>
            <w:tcW w:w="920" w:type="pct"/>
            <w:tcBorders>
              <w:top w:val="single" w:sz="4" w:space="0" w:color="auto"/>
              <w:left w:val="nil"/>
              <w:right w:val="nil"/>
            </w:tcBorders>
          </w:tcPr>
          <w:p w:rsidR="0004128C" w:rsidRPr="0004128C" w:rsidRDefault="0004128C" w:rsidP="00477C2C">
            <w:pPr>
              <w:keepNext/>
              <w:spacing w:beforeLines="40" w:before="96" w:afterLines="40" w:after="96" w:line="240" w:lineRule="auto"/>
              <w:jc w:val="center"/>
              <w:rPr>
                <w:rFonts w:ascii="Arial Narrow" w:hAnsi="Arial Narrow"/>
                <w:b/>
                <w:sz w:val="20"/>
                <w:szCs w:val="20"/>
                <w:vertAlign w:val="superscript"/>
              </w:rPr>
            </w:pPr>
            <w:r w:rsidRPr="0004128C">
              <w:rPr>
                <w:rFonts w:ascii="Arial Narrow" w:hAnsi="Arial Narrow"/>
                <w:b/>
                <w:sz w:val="20"/>
                <w:szCs w:val="20"/>
              </w:rPr>
              <w:t>Liver volume (L)</w:t>
            </w:r>
          </w:p>
        </w:tc>
        <w:tc>
          <w:tcPr>
            <w:tcW w:w="767" w:type="pct"/>
            <w:tcBorders>
              <w:top w:val="single" w:sz="4" w:space="0" w:color="auto"/>
              <w:left w:val="nil"/>
              <w:right w:val="single" w:sz="4" w:space="0" w:color="auto"/>
            </w:tcBorders>
          </w:tcPr>
          <w:p w:rsidR="0004128C" w:rsidRPr="0004128C" w:rsidRDefault="0004128C" w:rsidP="00477C2C">
            <w:pPr>
              <w:keepNext/>
              <w:spacing w:beforeLines="40" w:before="96" w:afterLines="40" w:after="96" w:line="240" w:lineRule="auto"/>
              <w:jc w:val="center"/>
              <w:rPr>
                <w:rFonts w:ascii="Arial Narrow" w:hAnsi="Arial Narrow"/>
                <w:b/>
                <w:color w:val="FFFFFF" w:themeColor="background1"/>
                <w:sz w:val="20"/>
                <w:szCs w:val="20"/>
                <w:vertAlign w:val="superscript"/>
              </w:rPr>
            </w:pPr>
            <w:r w:rsidRPr="0004128C">
              <w:rPr>
                <w:rFonts w:ascii="Arial Narrow" w:hAnsi="Arial Narrow"/>
                <w:b/>
                <w:color w:val="FFFFFF" w:themeColor="background1"/>
                <w:sz w:val="20"/>
                <w:szCs w:val="20"/>
                <w:vertAlign w:val="superscript"/>
              </w:rPr>
              <w:t>-</w:t>
            </w:r>
          </w:p>
        </w:tc>
        <w:tc>
          <w:tcPr>
            <w:tcW w:w="382" w:type="pct"/>
            <w:tcBorders>
              <w:left w:val="single" w:sz="4" w:space="0" w:color="auto"/>
              <w:right w:val="nil"/>
            </w:tcBorders>
          </w:tcPr>
          <w:p w:rsidR="0004128C" w:rsidRPr="0004128C" w:rsidRDefault="0004128C" w:rsidP="00477C2C">
            <w:pPr>
              <w:keepNext/>
              <w:spacing w:beforeLines="40" w:before="96" w:afterLines="40" w:after="96" w:line="240" w:lineRule="auto"/>
              <w:jc w:val="center"/>
              <w:rPr>
                <w:rFonts w:ascii="Arial Narrow" w:hAnsi="Arial Narrow"/>
                <w:b/>
                <w:color w:val="FFFFFF" w:themeColor="background1"/>
                <w:sz w:val="20"/>
                <w:szCs w:val="20"/>
                <w:vertAlign w:val="superscript"/>
              </w:rPr>
            </w:pPr>
            <w:r w:rsidRPr="0004128C">
              <w:rPr>
                <w:rFonts w:ascii="Arial Narrow" w:hAnsi="Arial Narrow"/>
                <w:b/>
                <w:color w:val="FFFFFF" w:themeColor="background1"/>
                <w:sz w:val="20"/>
                <w:szCs w:val="20"/>
                <w:vertAlign w:val="superscript"/>
              </w:rPr>
              <w:t>-</w:t>
            </w:r>
          </w:p>
        </w:tc>
        <w:tc>
          <w:tcPr>
            <w:tcW w:w="1005" w:type="pct"/>
            <w:tcBorders>
              <w:left w:val="nil"/>
              <w:right w:val="nil"/>
            </w:tcBorders>
          </w:tcPr>
          <w:p w:rsidR="0004128C" w:rsidRPr="0004128C" w:rsidRDefault="0004128C" w:rsidP="00477C2C">
            <w:pPr>
              <w:keepNext/>
              <w:spacing w:beforeLines="40" w:before="96" w:afterLines="40" w:after="96" w:line="240" w:lineRule="auto"/>
              <w:jc w:val="center"/>
              <w:rPr>
                <w:rFonts w:ascii="Arial Narrow" w:hAnsi="Arial Narrow"/>
                <w:b/>
                <w:sz w:val="20"/>
                <w:szCs w:val="20"/>
                <w:vertAlign w:val="superscript"/>
              </w:rPr>
            </w:pPr>
            <w:r w:rsidRPr="0004128C">
              <w:rPr>
                <w:rFonts w:ascii="Arial Narrow" w:hAnsi="Arial Narrow"/>
                <w:b/>
                <w:sz w:val="20"/>
                <w:szCs w:val="20"/>
              </w:rPr>
              <w:t>Spleen volume (L)</w:t>
            </w:r>
          </w:p>
        </w:tc>
        <w:tc>
          <w:tcPr>
            <w:tcW w:w="717" w:type="pct"/>
            <w:tcBorders>
              <w:left w:val="nil"/>
              <w:right w:val="single" w:sz="4" w:space="0" w:color="auto"/>
            </w:tcBorders>
          </w:tcPr>
          <w:p w:rsidR="0004128C" w:rsidRPr="0004128C" w:rsidRDefault="0004128C" w:rsidP="00477C2C">
            <w:pPr>
              <w:keepNext/>
              <w:spacing w:beforeLines="40" w:before="96" w:afterLines="40" w:after="96" w:line="240" w:lineRule="auto"/>
              <w:jc w:val="center"/>
              <w:rPr>
                <w:rFonts w:ascii="Arial Narrow" w:hAnsi="Arial Narrow"/>
                <w:b/>
                <w:color w:val="FFFFFF" w:themeColor="background1"/>
                <w:sz w:val="20"/>
                <w:szCs w:val="20"/>
                <w:vertAlign w:val="superscript"/>
              </w:rPr>
            </w:pPr>
            <w:r w:rsidRPr="0004128C">
              <w:rPr>
                <w:rFonts w:ascii="Arial Narrow" w:hAnsi="Arial Narrow"/>
                <w:b/>
                <w:color w:val="FFFFFF" w:themeColor="background1"/>
                <w:sz w:val="20"/>
                <w:szCs w:val="20"/>
                <w:vertAlign w:val="superscript"/>
              </w:rPr>
              <w:t>-</w:t>
            </w:r>
          </w:p>
        </w:tc>
      </w:tr>
      <w:tr w:rsidR="0004128C" w:rsidRPr="0004128C" w:rsidTr="00477C2C">
        <w:tc>
          <w:tcPr>
            <w:tcW w:w="827" w:type="pct"/>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color w:val="FFFFFF" w:themeColor="background1"/>
                <w:sz w:val="20"/>
                <w:szCs w:val="20"/>
              </w:rPr>
              <w:t>-</w:t>
            </w:r>
          </w:p>
        </w:tc>
        <w:tc>
          <w:tcPr>
            <w:tcW w:w="382" w:type="pct"/>
            <w:tcBorders>
              <w:right w:val="nil"/>
            </w:tcBorders>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sz w:val="20"/>
                <w:szCs w:val="20"/>
              </w:rPr>
              <w:t>N</w:t>
            </w:r>
          </w:p>
        </w:tc>
        <w:tc>
          <w:tcPr>
            <w:tcW w:w="920" w:type="pct"/>
            <w:tcBorders>
              <w:left w:val="nil"/>
              <w:right w:val="nil"/>
            </w:tcBorders>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sz w:val="20"/>
                <w:szCs w:val="20"/>
              </w:rPr>
              <w:t>Mean ±SD</w:t>
            </w:r>
          </w:p>
        </w:tc>
        <w:tc>
          <w:tcPr>
            <w:tcW w:w="767" w:type="pct"/>
            <w:tcBorders>
              <w:left w:val="nil"/>
              <w:right w:val="single" w:sz="4" w:space="0" w:color="auto"/>
            </w:tcBorders>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sz w:val="20"/>
                <w:szCs w:val="20"/>
              </w:rPr>
              <w:t>% change from baseline</w:t>
            </w:r>
          </w:p>
        </w:tc>
        <w:tc>
          <w:tcPr>
            <w:tcW w:w="382" w:type="pct"/>
            <w:tcBorders>
              <w:left w:val="single" w:sz="4" w:space="0" w:color="auto"/>
              <w:right w:val="nil"/>
            </w:tcBorders>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sz w:val="20"/>
                <w:szCs w:val="20"/>
              </w:rPr>
              <w:t>N</w:t>
            </w:r>
          </w:p>
        </w:tc>
        <w:tc>
          <w:tcPr>
            <w:tcW w:w="1005" w:type="pct"/>
            <w:tcBorders>
              <w:left w:val="nil"/>
              <w:right w:val="nil"/>
            </w:tcBorders>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sz w:val="20"/>
                <w:szCs w:val="20"/>
              </w:rPr>
              <w:t xml:space="preserve">Mean </w:t>
            </w:r>
          </w:p>
        </w:tc>
        <w:tc>
          <w:tcPr>
            <w:tcW w:w="717" w:type="pct"/>
            <w:tcBorders>
              <w:left w:val="nil"/>
            </w:tcBorders>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sz w:val="20"/>
                <w:szCs w:val="20"/>
              </w:rPr>
              <w:t>% change from baseline</w:t>
            </w:r>
          </w:p>
        </w:tc>
      </w:tr>
      <w:tr w:rsidR="0004128C" w:rsidRPr="0004128C" w:rsidTr="00477C2C">
        <w:tc>
          <w:tcPr>
            <w:tcW w:w="827" w:type="pct"/>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sz w:val="20"/>
                <w:szCs w:val="20"/>
              </w:rPr>
              <w:t>Baseline</w:t>
            </w:r>
          </w:p>
        </w:tc>
        <w:tc>
          <w:tcPr>
            <w:tcW w:w="382" w:type="pct"/>
            <w:tcBorders>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29</w:t>
            </w:r>
          </w:p>
        </w:tc>
        <w:tc>
          <w:tcPr>
            <w:tcW w:w="920" w:type="pct"/>
            <w:tcBorders>
              <w:left w:val="nil"/>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1.78±0.46</w:t>
            </w:r>
          </w:p>
        </w:tc>
        <w:tc>
          <w:tcPr>
            <w:tcW w:w="767" w:type="pct"/>
            <w:tcBorders>
              <w:left w:val="nil"/>
              <w:right w:val="single" w:sz="4" w:space="0" w:color="auto"/>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N/A</w:t>
            </w:r>
          </w:p>
        </w:tc>
        <w:tc>
          <w:tcPr>
            <w:tcW w:w="382" w:type="pct"/>
            <w:tcBorders>
              <w:left w:val="single" w:sz="4" w:space="0" w:color="auto"/>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20</w:t>
            </w:r>
          </w:p>
        </w:tc>
        <w:tc>
          <w:tcPr>
            <w:tcW w:w="1005" w:type="pct"/>
            <w:tcBorders>
              <w:left w:val="nil"/>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0.66±0.38</w:t>
            </w:r>
          </w:p>
        </w:tc>
        <w:tc>
          <w:tcPr>
            <w:tcW w:w="717" w:type="pct"/>
            <w:tcBorders>
              <w:lef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N/A</w:t>
            </w:r>
          </w:p>
        </w:tc>
      </w:tr>
      <w:tr w:rsidR="0004128C" w:rsidRPr="0004128C" w:rsidTr="00477C2C">
        <w:tc>
          <w:tcPr>
            <w:tcW w:w="827" w:type="pct"/>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sz w:val="20"/>
                <w:szCs w:val="20"/>
              </w:rPr>
              <w:t>6 months</w:t>
            </w:r>
          </w:p>
        </w:tc>
        <w:tc>
          <w:tcPr>
            <w:tcW w:w="382" w:type="pct"/>
            <w:tcBorders>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 xml:space="preserve">29 </w:t>
            </w:r>
          </w:p>
        </w:tc>
        <w:tc>
          <w:tcPr>
            <w:tcW w:w="920" w:type="pct"/>
            <w:tcBorders>
              <w:left w:val="nil"/>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1.78±0.42</w:t>
            </w:r>
          </w:p>
        </w:tc>
        <w:tc>
          <w:tcPr>
            <w:tcW w:w="767" w:type="pct"/>
            <w:tcBorders>
              <w:left w:val="nil"/>
              <w:right w:val="single" w:sz="4" w:space="0" w:color="auto"/>
            </w:tcBorders>
          </w:tcPr>
          <w:p w:rsidR="002F6AE6" w:rsidRDefault="0004128C" w:rsidP="002F6AE6">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(N</w:t>
            </w:r>
            <w:r w:rsidR="00652355" w:rsidRPr="00652355">
              <w:rPr>
                <w:rFonts w:ascii="Arial Narrow" w:hAnsi="Arial Narrow"/>
                <w:spacing w:val="-20"/>
                <w:sz w:val="20"/>
                <w:szCs w:val="20"/>
              </w:rPr>
              <w:t xml:space="preserve"> = </w:t>
            </w:r>
            <w:r w:rsidRPr="0004128C">
              <w:rPr>
                <w:rFonts w:ascii="Arial Narrow" w:hAnsi="Arial Narrow"/>
                <w:sz w:val="20"/>
                <w:szCs w:val="20"/>
              </w:rPr>
              <w:t>27)</w:t>
            </w:r>
          </w:p>
          <w:p w:rsidR="0004128C" w:rsidRPr="0004128C" w:rsidRDefault="002F6AE6" w:rsidP="002F6AE6">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 xml:space="preserve"> </w:t>
            </w:r>
            <w:r w:rsidR="0004128C" w:rsidRPr="0004128C">
              <w:rPr>
                <w:rFonts w:ascii="Arial Narrow" w:hAnsi="Arial Narrow"/>
                <w:sz w:val="20"/>
                <w:szCs w:val="20"/>
              </w:rPr>
              <w:t>-1.69±10.27</w:t>
            </w:r>
          </w:p>
        </w:tc>
        <w:tc>
          <w:tcPr>
            <w:tcW w:w="382" w:type="pct"/>
            <w:tcBorders>
              <w:left w:val="single" w:sz="4" w:space="0" w:color="auto"/>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21</w:t>
            </w:r>
          </w:p>
        </w:tc>
        <w:tc>
          <w:tcPr>
            <w:tcW w:w="1005" w:type="pct"/>
            <w:tcBorders>
              <w:left w:val="nil"/>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0.86±0.61</w:t>
            </w:r>
          </w:p>
        </w:tc>
        <w:tc>
          <w:tcPr>
            <w:tcW w:w="717" w:type="pct"/>
            <w:tcBorders>
              <w:left w:val="nil"/>
            </w:tcBorders>
          </w:tcPr>
          <w:p w:rsidR="00165E79"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(N</w:t>
            </w:r>
            <w:r w:rsidR="00652355" w:rsidRPr="00652355">
              <w:rPr>
                <w:rFonts w:ascii="Arial Narrow" w:hAnsi="Arial Narrow"/>
                <w:spacing w:val="-20"/>
                <w:sz w:val="20"/>
                <w:szCs w:val="20"/>
              </w:rPr>
              <w:t xml:space="preserve"> = </w:t>
            </w:r>
            <w:r w:rsidRPr="0004128C">
              <w:rPr>
                <w:rFonts w:ascii="Arial Narrow" w:hAnsi="Arial Narrow"/>
                <w:sz w:val="20"/>
                <w:szCs w:val="20"/>
              </w:rPr>
              <w:t xml:space="preserve">19) </w:t>
            </w:r>
          </w:p>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3.32±16.31</w:t>
            </w:r>
          </w:p>
        </w:tc>
      </w:tr>
      <w:tr w:rsidR="0004128C" w:rsidRPr="0004128C" w:rsidTr="00477C2C">
        <w:tc>
          <w:tcPr>
            <w:tcW w:w="827" w:type="pct"/>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sz w:val="20"/>
                <w:szCs w:val="20"/>
              </w:rPr>
              <w:t>12 months</w:t>
            </w:r>
          </w:p>
        </w:tc>
        <w:tc>
          <w:tcPr>
            <w:tcW w:w="382" w:type="pct"/>
            <w:tcBorders>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8</w:t>
            </w:r>
          </w:p>
        </w:tc>
        <w:tc>
          <w:tcPr>
            <w:tcW w:w="920" w:type="pct"/>
            <w:tcBorders>
              <w:left w:val="nil"/>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1.58±0.34</w:t>
            </w:r>
          </w:p>
        </w:tc>
        <w:tc>
          <w:tcPr>
            <w:tcW w:w="767" w:type="pct"/>
            <w:tcBorders>
              <w:left w:val="nil"/>
              <w:right w:val="single" w:sz="4" w:space="0" w:color="auto"/>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-0.75±6.44</w:t>
            </w:r>
          </w:p>
        </w:tc>
        <w:tc>
          <w:tcPr>
            <w:tcW w:w="382" w:type="pct"/>
            <w:tcBorders>
              <w:left w:val="single" w:sz="4" w:space="0" w:color="auto"/>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6</w:t>
            </w:r>
          </w:p>
        </w:tc>
        <w:tc>
          <w:tcPr>
            <w:tcW w:w="1005" w:type="pct"/>
            <w:tcBorders>
              <w:left w:val="nil"/>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0.52±0.25</w:t>
            </w:r>
          </w:p>
        </w:tc>
        <w:tc>
          <w:tcPr>
            <w:tcW w:w="717" w:type="pct"/>
            <w:tcBorders>
              <w:lef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-6.13±6.33</w:t>
            </w:r>
          </w:p>
        </w:tc>
      </w:tr>
      <w:tr w:rsidR="0004128C" w:rsidRPr="0004128C" w:rsidTr="00477C2C">
        <w:tc>
          <w:tcPr>
            <w:tcW w:w="827" w:type="pct"/>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sz w:val="20"/>
                <w:szCs w:val="20"/>
              </w:rPr>
              <w:t>18 months</w:t>
            </w:r>
          </w:p>
        </w:tc>
        <w:tc>
          <w:tcPr>
            <w:tcW w:w="382" w:type="pct"/>
            <w:tcBorders>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9</w:t>
            </w:r>
          </w:p>
        </w:tc>
        <w:tc>
          <w:tcPr>
            <w:tcW w:w="920" w:type="pct"/>
            <w:tcBorders>
              <w:left w:val="nil"/>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2.04±0.43</w:t>
            </w:r>
          </w:p>
        </w:tc>
        <w:tc>
          <w:tcPr>
            <w:tcW w:w="767" w:type="pct"/>
            <w:tcBorders>
              <w:left w:val="nil"/>
              <w:right w:val="single" w:sz="4" w:space="0" w:color="auto"/>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-3.89±7.67</w:t>
            </w:r>
          </w:p>
        </w:tc>
        <w:tc>
          <w:tcPr>
            <w:tcW w:w="382" w:type="pct"/>
            <w:tcBorders>
              <w:left w:val="single" w:sz="4" w:space="0" w:color="auto"/>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6</w:t>
            </w:r>
          </w:p>
        </w:tc>
        <w:tc>
          <w:tcPr>
            <w:tcW w:w="1005" w:type="pct"/>
            <w:tcBorders>
              <w:left w:val="nil"/>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0.74±0.41</w:t>
            </w:r>
          </w:p>
        </w:tc>
        <w:tc>
          <w:tcPr>
            <w:tcW w:w="717" w:type="pct"/>
            <w:tcBorders>
              <w:lef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-0.10±9.69</w:t>
            </w:r>
          </w:p>
        </w:tc>
      </w:tr>
      <w:tr w:rsidR="0004128C" w:rsidRPr="0004128C" w:rsidTr="00477C2C">
        <w:tc>
          <w:tcPr>
            <w:tcW w:w="827" w:type="pct"/>
          </w:tcPr>
          <w:p w:rsidR="0004128C" w:rsidRPr="0004128C" w:rsidRDefault="0004128C" w:rsidP="00477C2C">
            <w:pPr>
              <w:keepNext/>
              <w:spacing w:beforeLines="40" w:before="96" w:afterLines="40" w:after="96" w:line="240" w:lineRule="auto"/>
              <w:jc w:val="left"/>
              <w:rPr>
                <w:rFonts w:ascii="Arial Narrow" w:hAnsi="Arial Narrow"/>
                <w:b/>
                <w:sz w:val="20"/>
                <w:szCs w:val="20"/>
              </w:rPr>
            </w:pPr>
            <w:r w:rsidRPr="0004128C">
              <w:rPr>
                <w:rFonts w:ascii="Arial Narrow" w:hAnsi="Arial Narrow"/>
                <w:b/>
                <w:sz w:val="20"/>
                <w:szCs w:val="20"/>
              </w:rPr>
              <w:t>24 months</w:t>
            </w:r>
          </w:p>
        </w:tc>
        <w:tc>
          <w:tcPr>
            <w:tcW w:w="382" w:type="pct"/>
            <w:tcBorders>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5</w:t>
            </w:r>
          </w:p>
        </w:tc>
        <w:tc>
          <w:tcPr>
            <w:tcW w:w="920" w:type="pct"/>
            <w:tcBorders>
              <w:left w:val="nil"/>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1.47±0.33</w:t>
            </w:r>
          </w:p>
        </w:tc>
        <w:tc>
          <w:tcPr>
            <w:tcW w:w="767" w:type="pct"/>
            <w:tcBorders>
              <w:left w:val="nil"/>
              <w:right w:val="single" w:sz="4" w:space="0" w:color="auto"/>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-2.68±9.19</w:t>
            </w:r>
          </w:p>
        </w:tc>
        <w:tc>
          <w:tcPr>
            <w:tcW w:w="382" w:type="pct"/>
            <w:tcBorders>
              <w:left w:val="single" w:sz="4" w:space="0" w:color="auto"/>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4</w:t>
            </w:r>
          </w:p>
        </w:tc>
        <w:tc>
          <w:tcPr>
            <w:tcW w:w="1005" w:type="pct"/>
            <w:tcBorders>
              <w:left w:val="nil"/>
              <w:righ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0.46±0.27</w:t>
            </w:r>
          </w:p>
        </w:tc>
        <w:tc>
          <w:tcPr>
            <w:tcW w:w="717" w:type="pct"/>
            <w:tcBorders>
              <w:left w:val="nil"/>
            </w:tcBorders>
          </w:tcPr>
          <w:p w:rsidR="0004128C" w:rsidRPr="0004128C" w:rsidRDefault="0004128C" w:rsidP="00477C2C">
            <w:pPr>
              <w:keepNext/>
              <w:spacing w:beforeLines="40" w:before="96" w:afterLines="40" w:after="96" w:line="240" w:lineRule="auto"/>
              <w:jc w:val="left"/>
              <w:rPr>
                <w:rFonts w:ascii="Arial Narrow" w:hAnsi="Arial Narrow"/>
                <w:sz w:val="20"/>
                <w:szCs w:val="20"/>
              </w:rPr>
            </w:pPr>
            <w:r w:rsidRPr="0004128C">
              <w:rPr>
                <w:rFonts w:ascii="Arial Narrow" w:hAnsi="Arial Narrow"/>
                <w:sz w:val="20"/>
                <w:szCs w:val="20"/>
              </w:rPr>
              <w:t>-0.79±15.75</w:t>
            </w:r>
          </w:p>
        </w:tc>
      </w:tr>
    </w:tbl>
    <w:p w:rsidR="0004128C" w:rsidRPr="0004128C" w:rsidRDefault="00A130D0" w:rsidP="0004128C">
      <w:pPr>
        <w:keepNext/>
        <w:spacing w:after="0" w:line="240" w:lineRule="auto"/>
        <w:ind w:left="131" w:hanging="131"/>
        <w:rPr>
          <w:rFonts w:ascii="Arial Narrow" w:hAnsi="Arial Narrow"/>
          <w:sz w:val="16"/>
          <w:szCs w:val="16"/>
          <w:lang w:eastAsia="en-AU"/>
        </w:rPr>
      </w:pPr>
      <w:r>
        <w:rPr>
          <w:rFonts w:ascii="Arial Narrow" w:hAnsi="Arial Narrow"/>
          <w:noProof/>
          <w:sz w:val="16"/>
          <w:szCs w:val="16"/>
          <w:lang w:eastAsia="en-AU"/>
        </w:rPr>
        <w:t>(</w:t>
      </w:r>
      <w:r w:rsidR="00184B6F">
        <w:rPr>
          <w:rFonts w:ascii="Arial Narrow" w:hAnsi="Arial Narrow"/>
          <w:noProof/>
          <w:sz w:val="16"/>
          <w:szCs w:val="16"/>
          <w:lang w:eastAsia="en-AU"/>
        </w:rPr>
        <w:t>Actelion Pharmaceuticals Ltd. 2012</w:t>
      </w:r>
      <w:r>
        <w:rPr>
          <w:rFonts w:ascii="Arial Narrow" w:hAnsi="Arial Narrow"/>
          <w:noProof/>
          <w:sz w:val="16"/>
          <w:szCs w:val="16"/>
          <w:lang w:eastAsia="en-AU"/>
        </w:rPr>
        <w:t>)</w:t>
      </w:r>
      <w:r w:rsidR="00361A98">
        <w:rPr>
          <w:rFonts w:ascii="Arial Narrow" w:hAnsi="Arial Narrow"/>
          <w:sz w:val="16"/>
          <w:szCs w:val="16"/>
          <w:lang w:eastAsia="en-AU"/>
        </w:rPr>
        <w:t>; SD</w:t>
      </w:r>
      <w:r w:rsidR="00652355" w:rsidRPr="00652355">
        <w:rPr>
          <w:rFonts w:ascii="Arial Narrow" w:hAnsi="Arial Narrow"/>
          <w:spacing w:val="-20"/>
          <w:sz w:val="16"/>
          <w:szCs w:val="16"/>
          <w:lang w:eastAsia="en-AU"/>
        </w:rPr>
        <w:t xml:space="preserve"> </w:t>
      </w:r>
      <w:r w:rsidR="00F87099" w:rsidRPr="00652355">
        <w:rPr>
          <w:rFonts w:ascii="Arial Narrow" w:hAnsi="Arial Narrow"/>
          <w:spacing w:val="-20"/>
          <w:sz w:val="16"/>
          <w:szCs w:val="16"/>
          <w:lang w:eastAsia="en-AU"/>
        </w:rPr>
        <w:t xml:space="preserve">= </w:t>
      </w:r>
      <w:r w:rsidR="00F87099">
        <w:rPr>
          <w:rFonts w:ascii="Arial Narrow" w:hAnsi="Arial Narrow"/>
          <w:sz w:val="16"/>
          <w:szCs w:val="16"/>
          <w:lang w:eastAsia="en-AU"/>
        </w:rPr>
        <w:t>standard</w:t>
      </w:r>
      <w:r w:rsidR="00361A98">
        <w:rPr>
          <w:rFonts w:ascii="Arial Narrow" w:hAnsi="Arial Narrow"/>
          <w:sz w:val="16"/>
          <w:szCs w:val="16"/>
          <w:lang w:eastAsia="en-AU"/>
        </w:rPr>
        <w:t xml:space="preserve"> deviation; N/</w:t>
      </w:r>
      <w:r w:rsidR="00F87099">
        <w:rPr>
          <w:rFonts w:ascii="Arial Narrow" w:hAnsi="Arial Narrow"/>
          <w:sz w:val="16"/>
          <w:szCs w:val="16"/>
          <w:lang w:eastAsia="en-AU"/>
        </w:rPr>
        <w:t xml:space="preserve">A </w:t>
      </w:r>
      <w:r w:rsidR="00F87099" w:rsidRPr="00652355">
        <w:rPr>
          <w:rFonts w:ascii="Arial Narrow" w:hAnsi="Arial Narrow"/>
          <w:spacing w:val="-20"/>
          <w:sz w:val="16"/>
          <w:szCs w:val="16"/>
          <w:lang w:eastAsia="en-AU"/>
        </w:rPr>
        <w:t xml:space="preserve">= </w:t>
      </w:r>
      <w:r w:rsidR="00F87099">
        <w:rPr>
          <w:rFonts w:ascii="Arial Narrow" w:hAnsi="Arial Narrow"/>
          <w:sz w:val="16"/>
          <w:szCs w:val="16"/>
          <w:lang w:eastAsia="en-AU"/>
        </w:rPr>
        <w:t>not</w:t>
      </w:r>
      <w:r w:rsidR="00361A98">
        <w:rPr>
          <w:rFonts w:ascii="Arial Narrow" w:hAnsi="Arial Narrow"/>
          <w:sz w:val="16"/>
          <w:szCs w:val="16"/>
          <w:lang w:eastAsia="en-AU"/>
        </w:rPr>
        <w:t xml:space="preserve"> applicable</w:t>
      </w:r>
    </w:p>
    <w:p w:rsidR="0004128C" w:rsidRPr="0004128C" w:rsidRDefault="0004128C" w:rsidP="0004128C">
      <w:pPr>
        <w:keepNext/>
        <w:spacing w:after="0" w:line="240" w:lineRule="auto"/>
        <w:ind w:left="131" w:hanging="131"/>
        <w:rPr>
          <w:rFonts w:ascii="Arial Narrow" w:hAnsi="Arial Narrow"/>
          <w:sz w:val="16"/>
          <w:szCs w:val="16"/>
          <w:lang w:eastAsia="en-AU"/>
        </w:rPr>
      </w:pPr>
    </w:p>
    <w:p w:rsidR="0004128C" w:rsidRPr="0004128C" w:rsidRDefault="00934108" w:rsidP="0004128C">
      <w:r w:rsidRPr="0004128C">
        <w:t>In patients who had stable Type 1 Gaucher disease, maintenance therapy with miglustat was considered effective in 11/15 patients for a</w:t>
      </w:r>
      <w:r>
        <w:t>n average</w:t>
      </w:r>
      <w:r w:rsidRPr="0004128C">
        <w:t xml:space="preserve"> of 19 months. Four patients showed signs of deterioration, i.e. an increase in organ volume </w:t>
      </w:r>
      <w:r>
        <w:t>or</w:t>
      </w:r>
      <w:r w:rsidRPr="0004128C">
        <w:t xml:space="preserve"> chitotriosidase and/or reduction in platelet or haemoglobin level </w:t>
      </w:r>
      <w:r w:rsidR="00A130D0">
        <w:rPr>
          <w:noProof/>
        </w:rPr>
        <w:t>(</w:t>
      </w:r>
      <w:r w:rsidR="00184B6F">
        <w:rPr>
          <w:noProof/>
        </w:rPr>
        <w:t>Actelion Pharmaceuticals Ltd. 2012</w:t>
      </w:r>
      <w:r w:rsidR="00A130D0">
        <w:rPr>
          <w:noProof/>
        </w:rPr>
        <w:t xml:space="preserve">; </w:t>
      </w:r>
      <w:r w:rsidR="00184B6F">
        <w:rPr>
          <w:noProof/>
        </w:rPr>
        <w:t>Elstein, D et al. 2007</w:t>
      </w:r>
      <w:r w:rsidR="00A130D0">
        <w:rPr>
          <w:noProof/>
        </w:rPr>
        <w:t>)</w:t>
      </w:r>
      <w:r w:rsidRPr="0004128C">
        <w:t xml:space="preserve">. No patients had bone events, avascular necrosis or fracture over the time </w:t>
      </w:r>
      <w:r>
        <w:t xml:space="preserve">that </w:t>
      </w:r>
      <w:r w:rsidRPr="0004128C">
        <w:t>they wer</w:t>
      </w:r>
      <w:r>
        <w:t xml:space="preserve">e treated with miglustat </w:t>
      </w:r>
      <w:r w:rsidR="0004128C" w:rsidRPr="0004128C">
        <w:t xml:space="preserve">(GRADE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00D67ADB" w:rsidRPr="00D67ADB">
        <w:rPr>
          <w:rFonts w:cs="Cambria Math"/>
          <w:spacing w:val="-20"/>
        </w:rPr>
        <w:t>)</w:t>
      </w:r>
      <w:r w:rsidR="0004128C" w:rsidRPr="0004128C">
        <w:t xml:space="preserve"> </w:t>
      </w:r>
      <w:r w:rsidR="00A130D0">
        <w:rPr>
          <w:noProof/>
        </w:rPr>
        <w:t>(</w:t>
      </w:r>
      <w:r w:rsidR="00184B6F">
        <w:rPr>
          <w:noProof/>
        </w:rPr>
        <w:t>Actelion Pharmaceuticals Ltd. 2012</w:t>
      </w:r>
      <w:r w:rsidR="00A130D0">
        <w:rPr>
          <w:noProof/>
        </w:rPr>
        <w:t>)</w:t>
      </w:r>
      <w:r w:rsidR="0004128C" w:rsidRPr="0004128C">
        <w:t xml:space="preserve">. </w:t>
      </w:r>
    </w:p>
    <w:p w:rsidR="0004128C" w:rsidRPr="0004128C" w:rsidRDefault="0004128C" w:rsidP="0004128C">
      <w:r w:rsidRPr="0004128C">
        <w:t xml:space="preserve">Side effects from miglustat during either the randomised period or the extension period are shown in </w:t>
      </w:r>
      <w:r w:rsidR="00A72B26" w:rsidRPr="00BD10C7">
        <w:t xml:space="preserve">Table </w:t>
      </w:r>
      <w:r w:rsidR="00A72B26">
        <w:rPr>
          <w:noProof/>
        </w:rPr>
        <w:t>16</w:t>
      </w:r>
      <w:r w:rsidRPr="0004128C">
        <w:t xml:space="preserve">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00D67ADB" w:rsidRPr="00D67ADB">
        <w:rPr>
          <w:rFonts w:cs="Cambria Math"/>
          <w:spacing w:val="-20"/>
        </w:rPr>
        <w:t>)</w:t>
      </w:r>
      <w:r w:rsidRPr="0004128C">
        <w:t xml:space="preserve">. The most common adverse events experienced after miglustat were diarrhoea (88%), decreased weight (82%), musculoskeletal and connective tissue disorders (59%), flatulence (50%), abdominal pain (47%) and tremors (35%). </w:t>
      </w:r>
    </w:p>
    <w:p w:rsidR="0004128C" w:rsidRPr="00BD10C7" w:rsidRDefault="0004128C" w:rsidP="00F44176">
      <w:pPr>
        <w:pStyle w:val="Caption"/>
        <w:keepNext/>
        <w:tabs>
          <w:tab w:val="clear" w:pos="851"/>
          <w:tab w:val="left" w:pos="1134"/>
        </w:tabs>
        <w:ind w:left="1134" w:hanging="1134"/>
      </w:pPr>
      <w:bookmarkStart w:id="134" w:name="_Ref403124384"/>
      <w:bookmarkStart w:id="135" w:name="_Toc411510400"/>
      <w:bookmarkStart w:id="136" w:name="_Toc415141813"/>
      <w:r w:rsidRPr="00BD10C7">
        <w:lastRenderedPageBreak/>
        <w:t xml:space="preserve">Table </w:t>
      </w:r>
      <w:r w:rsidR="00A72B26">
        <w:rPr>
          <w:noProof/>
        </w:rPr>
        <w:t>16</w:t>
      </w:r>
      <w:bookmarkEnd w:id="134"/>
      <w:r w:rsidRPr="00BD10C7">
        <w:tab/>
        <w:t xml:space="preserve">Patients experiencing adverse events during randomised and extension treatment </w:t>
      </w:r>
      <w:r w:rsidR="00934108">
        <w:t>with miglustat</w:t>
      </w:r>
      <w:bookmarkEnd w:id="135"/>
      <w:bookmarkEnd w:id="136"/>
    </w:p>
    <w:tbl>
      <w:tblPr>
        <w:tblStyle w:val="TableGrid"/>
        <w:tblW w:w="5000" w:type="pct"/>
        <w:tblLook w:val="04A0" w:firstRow="1" w:lastRow="0" w:firstColumn="1" w:lastColumn="0" w:noHBand="0" w:noVBand="1"/>
        <w:tblCaption w:val="Table 15 Patients experiencing adverse events during randomised and extension treatment with miglustat"/>
      </w:tblPr>
      <w:tblGrid>
        <w:gridCol w:w="3653"/>
        <w:gridCol w:w="1119"/>
        <w:gridCol w:w="1118"/>
        <w:gridCol w:w="1118"/>
        <w:gridCol w:w="1118"/>
        <w:gridCol w:w="1116"/>
      </w:tblGrid>
      <w:tr w:rsidR="0004128C" w:rsidRPr="0004128C" w:rsidTr="00712231">
        <w:trPr>
          <w:tblHeader/>
        </w:trPr>
        <w:tc>
          <w:tcPr>
            <w:tcW w:w="1976" w:type="pct"/>
            <w:tcBorders>
              <w:top w:val="single" w:sz="4" w:space="0" w:color="auto"/>
            </w:tcBorders>
          </w:tcPr>
          <w:p w:rsidR="0004128C" w:rsidRPr="0004128C" w:rsidRDefault="0004128C" w:rsidP="00934108">
            <w:pPr>
              <w:pStyle w:val="TableHeading"/>
            </w:pPr>
            <w:r w:rsidRPr="0004128C">
              <w:t>Outcome</w:t>
            </w:r>
          </w:p>
        </w:tc>
        <w:tc>
          <w:tcPr>
            <w:tcW w:w="605" w:type="pct"/>
            <w:tcBorders>
              <w:top w:val="single" w:sz="4" w:space="0" w:color="auto"/>
            </w:tcBorders>
          </w:tcPr>
          <w:p w:rsidR="0004128C" w:rsidRPr="0004128C" w:rsidRDefault="0004128C" w:rsidP="00934108">
            <w:pPr>
              <w:pStyle w:val="TableHeading"/>
            </w:pPr>
            <w:r w:rsidRPr="0004128C">
              <w:t>0 to 6 months</w:t>
            </w:r>
          </w:p>
        </w:tc>
        <w:tc>
          <w:tcPr>
            <w:tcW w:w="605" w:type="pct"/>
            <w:tcBorders>
              <w:right w:val="single" w:sz="4" w:space="0" w:color="auto"/>
            </w:tcBorders>
          </w:tcPr>
          <w:p w:rsidR="0004128C" w:rsidRPr="0004128C" w:rsidRDefault="0004128C" w:rsidP="00934108">
            <w:pPr>
              <w:pStyle w:val="TableHeading"/>
            </w:pPr>
            <w:r w:rsidRPr="0004128C">
              <w:t>6 to 12 months</w:t>
            </w:r>
          </w:p>
        </w:tc>
        <w:tc>
          <w:tcPr>
            <w:tcW w:w="605" w:type="pct"/>
            <w:tcBorders>
              <w:right w:val="single" w:sz="4" w:space="0" w:color="auto"/>
            </w:tcBorders>
          </w:tcPr>
          <w:p w:rsidR="0004128C" w:rsidRPr="0004128C" w:rsidRDefault="0004128C" w:rsidP="00934108">
            <w:pPr>
              <w:pStyle w:val="TableHeading"/>
            </w:pPr>
            <w:r w:rsidRPr="0004128C">
              <w:t xml:space="preserve">12 to 18 months </w:t>
            </w:r>
          </w:p>
        </w:tc>
        <w:tc>
          <w:tcPr>
            <w:tcW w:w="605" w:type="pct"/>
            <w:tcBorders>
              <w:left w:val="single" w:sz="4" w:space="0" w:color="auto"/>
            </w:tcBorders>
          </w:tcPr>
          <w:p w:rsidR="0004128C" w:rsidRPr="0004128C" w:rsidRDefault="0004128C" w:rsidP="00934108">
            <w:pPr>
              <w:pStyle w:val="TableHeading"/>
            </w:pPr>
            <w:r w:rsidRPr="0004128C">
              <w:t>18 to 24 months</w:t>
            </w:r>
          </w:p>
        </w:tc>
        <w:tc>
          <w:tcPr>
            <w:tcW w:w="605" w:type="pct"/>
          </w:tcPr>
          <w:p w:rsidR="0004128C" w:rsidRPr="0004128C" w:rsidRDefault="0004128C" w:rsidP="00934108">
            <w:pPr>
              <w:pStyle w:val="TableHeading"/>
            </w:pPr>
            <w:r w:rsidRPr="0004128C">
              <w:t>Overall</w:t>
            </w:r>
          </w:p>
        </w:tc>
      </w:tr>
      <w:tr w:rsidR="0004128C" w:rsidRPr="0004128C" w:rsidTr="00934108">
        <w:tc>
          <w:tcPr>
            <w:tcW w:w="1976" w:type="pct"/>
          </w:tcPr>
          <w:p w:rsidR="0004128C" w:rsidRPr="0004128C" w:rsidRDefault="0004128C" w:rsidP="00934108">
            <w:pPr>
              <w:pStyle w:val="TableText0"/>
            </w:pPr>
            <w:r w:rsidRPr="0004128C">
              <w:t>Subjects at beginning of time interval</w:t>
            </w:r>
          </w:p>
        </w:tc>
        <w:tc>
          <w:tcPr>
            <w:tcW w:w="605" w:type="pct"/>
          </w:tcPr>
          <w:p w:rsidR="0004128C" w:rsidRPr="0004128C" w:rsidRDefault="0004128C" w:rsidP="00934108">
            <w:pPr>
              <w:pStyle w:val="TableText0"/>
            </w:pPr>
            <w:r w:rsidRPr="0004128C">
              <w:t>34</w:t>
            </w:r>
          </w:p>
        </w:tc>
        <w:tc>
          <w:tcPr>
            <w:tcW w:w="605" w:type="pct"/>
            <w:tcBorders>
              <w:right w:val="single" w:sz="4" w:space="0" w:color="auto"/>
            </w:tcBorders>
          </w:tcPr>
          <w:p w:rsidR="0004128C" w:rsidRPr="0004128C" w:rsidRDefault="0004128C" w:rsidP="00934108">
            <w:pPr>
              <w:pStyle w:val="TableText0"/>
            </w:pPr>
            <w:r w:rsidRPr="0004128C">
              <w:t>28</w:t>
            </w:r>
          </w:p>
        </w:tc>
        <w:tc>
          <w:tcPr>
            <w:tcW w:w="605" w:type="pct"/>
            <w:tcBorders>
              <w:right w:val="single" w:sz="4" w:space="0" w:color="auto"/>
            </w:tcBorders>
          </w:tcPr>
          <w:p w:rsidR="0004128C" w:rsidRPr="0004128C" w:rsidRDefault="0004128C" w:rsidP="00934108">
            <w:pPr>
              <w:pStyle w:val="TableText0"/>
            </w:pPr>
            <w:r w:rsidRPr="0004128C">
              <w:t>26</w:t>
            </w:r>
          </w:p>
        </w:tc>
        <w:tc>
          <w:tcPr>
            <w:tcW w:w="605" w:type="pct"/>
            <w:tcBorders>
              <w:left w:val="single" w:sz="4" w:space="0" w:color="auto"/>
            </w:tcBorders>
          </w:tcPr>
          <w:p w:rsidR="0004128C" w:rsidRPr="0004128C" w:rsidRDefault="0004128C" w:rsidP="00934108">
            <w:pPr>
              <w:pStyle w:val="TableText0"/>
            </w:pPr>
            <w:r w:rsidRPr="0004128C">
              <w:t>19</w:t>
            </w:r>
          </w:p>
        </w:tc>
        <w:tc>
          <w:tcPr>
            <w:tcW w:w="605" w:type="pct"/>
          </w:tcPr>
          <w:p w:rsidR="0004128C" w:rsidRPr="0004128C" w:rsidRDefault="0004128C" w:rsidP="00934108">
            <w:pPr>
              <w:pStyle w:val="TableText0"/>
            </w:pPr>
            <w:r w:rsidRPr="0004128C">
              <w:t>34</w:t>
            </w:r>
          </w:p>
        </w:tc>
      </w:tr>
      <w:tr w:rsidR="0004128C" w:rsidRPr="0004128C" w:rsidTr="00934108">
        <w:tc>
          <w:tcPr>
            <w:tcW w:w="1976" w:type="pct"/>
          </w:tcPr>
          <w:p w:rsidR="0004128C" w:rsidRPr="0004128C" w:rsidRDefault="0004128C" w:rsidP="00934108">
            <w:pPr>
              <w:pStyle w:val="TableText0"/>
            </w:pPr>
            <w:r w:rsidRPr="0004128C">
              <w:t>Subjects with at least 1 AE during time interval</w:t>
            </w:r>
          </w:p>
        </w:tc>
        <w:tc>
          <w:tcPr>
            <w:tcW w:w="605" w:type="pct"/>
          </w:tcPr>
          <w:p w:rsidR="0004128C" w:rsidRPr="0004128C" w:rsidRDefault="0004128C" w:rsidP="00934108">
            <w:pPr>
              <w:pStyle w:val="TableText0"/>
            </w:pPr>
            <w:r w:rsidRPr="0004128C">
              <w:t>34 (100)</w:t>
            </w:r>
          </w:p>
        </w:tc>
        <w:tc>
          <w:tcPr>
            <w:tcW w:w="605" w:type="pct"/>
            <w:tcBorders>
              <w:right w:val="single" w:sz="4" w:space="0" w:color="auto"/>
            </w:tcBorders>
          </w:tcPr>
          <w:p w:rsidR="0004128C" w:rsidRPr="0004128C" w:rsidRDefault="0004128C" w:rsidP="00934108">
            <w:pPr>
              <w:pStyle w:val="TableText0"/>
            </w:pPr>
            <w:r w:rsidRPr="0004128C">
              <w:t>27 (96)</w:t>
            </w:r>
          </w:p>
        </w:tc>
        <w:tc>
          <w:tcPr>
            <w:tcW w:w="605" w:type="pct"/>
            <w:tcBorders>
              <w:right w:val="single" w:sz="4" w:space="0" w:color="auto"/>
            </w:tcBorders>
          </w:tcPr>
          <w:p w:rsidR="0004128C" w:rsidRPr="0004128C" w:rsidRDefault="0004128C" w:rsidP="00934108">
            <w:pPr>
              <w:pStyle w:val="TableText0"/>
            </w:pPr>
            <w:r w:rsidRPr="0004128C">
              <w:t>25 (96)</w:t>
            </w:r>
          </w:p>
        </w:tc>
        <w:tc>
          <w:tcPr>
            <w:tcW w:w="605" w:type="pct"/>
            <w:tcBorders>
              <w:left w:val="single" w:sz="4" w:space="0" w:color="auto"/>
            </w:tcBorders>
          </w:tcPr>
          <w:p w:rsidR="0004128C" w:rsidRPr="0004128C" w:rsidRDefault="0004128C" w:rsidP="00934108">
            <w:pPr>
              <w:pStyle w:val="TableText0"/>
            </w:pPr>
            <w:r w:rsidRPr="0004128C">
              <w:t>18 (95)</w:t>
            </w:r>
          </w:p>
        </w:tc>
        <w:tc>
          <w:tcPr>
            <w:tcW w:w="605" w:type="pct"/>
          </w:tcPr>
          <w:p w:rsidR="0004128C" w:rsidRPr="0004128C" w:rsidRDefault="0004128C" w:rsidP="00934108">
            <w:pPr>
              <w:pStyle w:val="TableText0"/>
            </w:pPr>
            <w:r w:rsidRPr="0004128C">
              <w:t>28 (100)</w:t>
            </w:r>
          </w:p>
        </w:tc>
      </w:tr>
      <w:tr w:rsidR="0004128C" w:rsidRPr="0004128C" w:rsidTr="00934108">
        <w:tc>
          <w:tcPr>
            <w:tcW w:w="1976" w:type="pct"/>
          </w:tcPr>
          <w:p w:rsidR="0004128C" w:rsidRPr="00934108" w:rsidRDefault="0004128C" w:rsidP="00934108">
            <w:pPr>
              <w:pStyle w:val="TableText0"/>
              <w:rPr>
                <w:b/>
              </w:rPr>
            </w:pPr>
            <w:r w:rsidRPr="00934108">
              <w:rPr>
                <w:b/>
              </w:rPr>
              <w:t>Gastrointestinal disorders, no. patients (%)</w:t>
            </w:r>
          </w:p>
        </w:tc>
        <w:tc>
          <w:tcPr>
            <w:tcW w:w="605" w:type="pct"/>
          </w:tcPr>
          <w:p w:rsidR="0004128C" w:rsidRPr="0004128C" w:rsidRDefault="0004128C" w:rsidP="00934108">
            <w:pPr>
              <w:pStyle w:val="TableText0"/>
            </w:pPr>
            <w:r w:rsidRPr="0004128C">
              <w:t>32 (94)</w:t>
            </w:r>
          </w:p>
        </w:tc>
        <w:tc>
          <w:tcPr>
            <w:tcW w:w="605" w:type="pct"/>
            <w:tcBorders>
              <w:right w:val="single" w:sz="4" w:space="0" w:color="auto"/>
            </w:tcBorders>
          </w:tcPr>
          <w:p w:rsidR="0004128C" w:rsidRPr="0004128C" w:rsidRDefault="0004128C" w:rsidP="00934108">
            <w:pPr>
              <w:pStyle w:val="TableText0"/>
            </w:pPr>
            <w:r w:rsidRPr="0004128C">
              <w:t>15 (54)</w:t>
            </w:r>
          </w:p>
        </w:tc>
        <w:tc>
          <w:tcPr>
            <w:tcW w:w="605" w:type="pct"/>
            <w:tcBorders>
              <w:right w:val="single" w:sz="4" w:space="0" w:color="auto"/>
            </w:tcBorders>
          </w:tcPr>
          <w:p w:rsidR="0004128C" w:rsidRPr="0004128C" w:rsidRDefault="0004128C" w:rsidP="00934108">
            <w:pPr>
              <w:pStyle w:val="TableText0"/>
            </w:pPr>
            <w:r w:rsidRPr="0004128C">
              <w:t>14 (54)</w:t>
            </w:r>
          </w:p>
        </w:tc>
        <w:tc>
          <w:tcPr>
            <w:tcW w:w="605" w:type="pct"/>
            <w:tcBorders>
              <w:left w:val="single" w:sz="4" w:space="0" w:color="auto"/>
            </w:tcBorders>
          </w:tcPr>
          <w:p w:rsidR="0004128C" w:rsidRPr="0004128C" w:rsidRDefault="0004128C" w:rsidP="00934108">
            <w:pPr>
              <w:pStyle w:val="TableText0"/>
            </w:pPr>
            <w:r w:rsidRPr="0004128C">
              <w:t>11 (58)</w:t>
            </w:r>
          </w:p>
        </w:tc>
        <w:tc>
          <w:tcPr>
            <w:tcW w:w="605" w:type="pct"/>
          </w:tcPr>
          <w:p w:rsidR="0004128C" w:rsidRPr="0004128C" w:rsidRDefault="0004128C" w:rsidP="00934108">
            <w:pPr>
              <w:pStyle w:val="TableText0"/>
            </w:pPr>
            <w:r w:rsidRPr="0004128C">
              <w:t>32 (94)</w:t>
            </w:r>
          </w:p>
        </w:tc>
      </w:tr>
      <w:tr w:rsidR="0004128C" w:rsidRPr="0004128C" w:rsidTr="00934108">
        <w:tc>
          <w:tcPr>
            <w:tcW w:w="1976" w:type="pct"/>
          </w:tcPr>
          <w:p w:rsidR="0004128C" w:rsidRPr="0004128C" w:rsidRDefault="0004128C" w:rsidP="00934108">
            <w:pPr>
              <w:pStyle w:val="TableText0"/>
            </w:pPr>
            <w:r w:rsidRPr="0004128C">
              <w:tab/>
              <w:t>Diarrhoea</w:t>
            </w:r>
          </w:p>
        </w:tc>
        <w:tc>
          <w:tcPr>
            <w:tcW w:w="605" w:type="pct"/>
          </w:tcPr>
          <w:p w:rsidR="0004128C" w:rsidRPr="0004128C" w:rsidRDefault="0004128C" w:rsidP="00934108">
            <w:pPr>
              <w:pStyle w:val="TableText0"/>
            </w:pPr>
            <w:r w:rsidRPr="0004128C">
              <w:t>30 (88)</w:t>
            </w:r>
          </w:p>
        </w:tc>
        <w:tc>
          <w:tcPr>
            <w:tcW w:w="605" w:type="pct"/>
            <w:tcBorders>
              <w:right w:val="single" w:sz="4" w:space="0" w:color="auto"/>
            </w:tcBorders>
          </w:tcPr>
          <w:p w:rsidR="0004128C" w:rsidRPr="0004128C" w:rsidRDefault="0004128C" w:rsidP="00934108">
            <w:pPr>
              <w:pStyle w:val="TableText0"/>
            </w:pPr>
            <w:r w:rsidRPr="0004128C">
              <w:t>14 (50)</w:t>
            </w:r>
          </w:p>
        </w:tc>
        <w:tc>
          <w:tcPr>
            <w:tcW w:w="605" w:type="pct"/>
            <w:tcBorders>
              <w:right w:val="single" w:sz="4" w:space="0" w:color="auto"/>
            </w:tcBorders>
          </w:tcPr>
          <w:p w:rsidR="0004128C" w:rsidRPr="0004128C" w:rsidRDefault="0004128C" w:rsidP="00934108">
            <w:pPr>
              <w:pStyle w:val="TableText0"/>
            </w:pPr>
            <w:r w:rsidRPr="0004128C">
              <w:t>9 (35)</w:t>
            </w:r>
          </w:p>
        </w:tc>
        <w:tc>
          <w:tcPr>
            <w:tcW w:w="605" w:type="pct"/>
            <w:tcBorders>
              <w:left w:val="single" w:sz="4" w:space="0" w:color="auto"/>
            </w:tcBorders>
          </w:tcPr>
          <w:p w:rsidR="0004128C" w:rsidRPr="0004128C" w:rsidRDefault="0004128C" w:rsidP="00934108">
            <w:pPr>
              <w:pStyle w:val="TableText0"/>
            </w:pPr>
            <w:r w:rsidRPr="0004128C">
              <w:t>8 (42)</w:t>
            </w:r>
          </w:p>
        </w:tc>
        <w:tc>
          <w:tcPr>
            <w:tcW w:w="605" w:type="pct"/>
          </w:tcPr>
          <w:p w:rsidR="0004128C" w:rsidRPr="0004128C" w:rsidRDefault="0004128C" w:rsidP="00934108">
            <w:pPr>
              <w:pStyle w:val="TableText0"/>
            </w:pPr>
            <w:r w:rsidRPr="0004128C">
              <w:t>30 (88)</w:t>
            </w:r>
          </w:p>
        </w:tc>
      </w:tr>
      <w:tr w:rsidR="0004128C" w:rsidRPr="0004128C" w:rsidTr="00934108">
        <w:tc>
          <w:tcPr>
            <w:tcW w:w="1976" w:type="pct"/>
          </w:tcPr>
          <w:p w:rsidR="0004128C" w:rsidRPr="0004128C" w:rsidRDefault="0004128C" w:rsidP="00934108">
            <w:pPr>
              <w:pStyle w:val="TableText0"/>
            </w:pPr>
            <w:r w:rsidRPr="0004128C">
              <w:tab/>
              <w:t>Flatulence</w:t>
            </w:r>
          </w:p>
        </w:tc>
        <w:tc>
          <w:tcPr>
            <w:tcW w:w="605" w:type="pct"/>
          </w:tcPr>
          <w:p w:rsidR="0004128C" w:rsidRPr="0004128C" w:rsidRDefault="0004128C" w:rsidP="00934108">
            <w:pPr>
              <w:pStyle w:val="TableText0"/>
            </w:pPr>
            <w:r w:rsidRPr="0004128C">
              <w:t>14 (41)</w:t>
            </w:r>
          </w:p>
        </w:tc>
        <w:tc>
          <w:tcPr>
            <w:tcW w:w="605" w:type="pct"/>
            <w:tcBorders>
              <w:right w:val="single" w:sz="4" w:space="0" w:color="auto"/>
            </w:tcBorders>
          </w:tcPr>
          <w:p w:rsidR="0004128C" w:rsidRPr="0004128C" w:rsidRDefault="0004128C" w:rsidP="00934108">
            <w:pPr>
              <w:pStyle w:val="TableText0"/>
            </w:pPr>
            <w:r w:rsidRPr="0004128C">
              <w:t>6 (21)</w:t>
            </w:r>
          </w:p>
        </w:tc>
        <w:tc>
          <w:tcPr>
            <w:tcW w:w="605" w:type="pct"/>
            <w:tcBorders>
              <w:right w:val="single" w:sz="4" w:space="0" w:color="auto"/>
            </w:tcBorders>
          </w:tcPr>
          <w:p w:rsidR="0004128C" w:rsidRPr="0004128C" w:rsidRDefault="0004128C" w:rsidP="00934108">
            <w:pPr>
              <w:pStyle w:val="TableText0"/>
            </w:pPr>
            <w:r w:rsidRPr="0004128C">
              <w:t>6 (23)</w:t>
            </w:r>
          </w:p>
        </w:tc>
        <w:tc>
          <w:tcPr>
            <w:tcW w:w="605" w:type="pct"/>
            <w:tcBorders>
              <w:left w:val="single" w:sz="4" w:space="0" w:color="auto"/>
            </w:tcBorders>
          </w:tcPr>
          <w:p w:rsidR="0004128C" w:rsidRPr="0004128C" w:rsidRDefault="0004128C" w:rsidP="00934108">
            <w:pPr>
              <w:pStyle w:val="TableText0"/>
            </w:pPr>
            <w:r w:rsidRPr="0004128C">
              <w:t>4 (21)</w:t>
            </w:r>
          </w:p>
        </w:tc>
        <w:tc>
          <w:tcPr>
            <w:tcW w:w="605" w:type="pct"/>
          </w:tcPr>
          <w:p w:rsidR="0004128C" w:rsidRPr="0004128C" w:rsidRDefault="0004128C" w:rsidP="00934108">
            <w:pPr>
              <w:pStyle w:val="TableText0"/>
            </w:pPr>
            <w:r w:rsidRPr="0004128C">
              <w:t>17 (50)</w:t>
            </w:r>
          </w:p>
        </w:tc>
      </w:tr>
      <w:tr w:rsidR="0004128C" w:rsidRPr="0004128C" w:rsidTr="00934108">
        <w:tc>
          <w:tcPr>
            <w:tcW w:w="1976" w:type="pct"/>
          </w:tcPr>
          <w:p w:rsidR="0004128C" w:rsidRPr="0004128C" w:rsidRDefault="0004128C" w:rsidP="00934108">
            <w:pPr>
              <w:pStyle w:val="TableText0"/>
            </w:pPr>
            <w:r w:rsidRPr="0004128C">
              <w:tab/>
              <w:t>Abdominal pain</w:t>
            </w:r>
          </w:p>
        </w:tc>
        <w:tc>
          <w:tcPr>
            <w:tcW w:w="605" w:type="pct"/>
          </w:tcPr>
          <w:p w:rsidR="0004128C" w:rsidRPr="0004128C" w:rsidRDefault="0004128C" w:rsidP="00934108">
            <w:pPr>
              <w:pStyle w:val="TableText0"/>
            </w:pPr>
            <w:r w:rsidRPr="0004128C">
              <w:t>13 (38)</w:t>
            </w:r>
          </w:p>
        </w:tc>
        <w:tc>
          <w:tcPr>
            <w:tcW w:w="605" w:type="pct"/>
            <w:tcBorders>
              <w:right w:val="single" w:sz="4" w:space="0" w:color="auto"/>
            </w:tcBorders>
          </w:tcPr>
          <w:p w:rsidR="0004128C" w:rsidRPr="0004128C" w:rsidRDefault="0004128C" w:rsidP="00934108">
            <w:pPr>
              <w:pStyle w:val="TableText0"/>
            </w:pPr>
            <w:r w:rsidRPr="0004128C">
              <w:t>8 (29)</w:t>
            </w:r>
          </w:p>
        </w:tc>
        <w:tc>
          <w:tcPr>
            <w:tcW w:w="605" w:type="pct"/>
            <w:tcBorders>
              <w:right w:val="single" w:sz="4" w:space="0" w:color="auto"/>
            </w:tcBorders>
          </w:tcPr>
          <w:p w:rsidR="0004128C" w:rsidRPr="0004128C" w:rsidRDefault="0004128C" w:rsidP="00934108">
            <w:pPr>
              <w:pStyle w:val="TableText0"/>
            </w:pPr>
            <w:r w:rsidRPr="0004128C">
              <w:t>6 (23)</w:t>
            </w:r>
          </w:p>
        </w:tc>
        <w:tc>
          <w:tcPr>
            <w:tcW w:w="605" w:type="pct"/>
            <w:tcBorders>
              <w:left w:val="single" w:sz="4" w:space="0" w:color="auto"/>
            </w:tcBorders>
          </w:tcPr>
          <w:p w:rsidR="0004128C" w:rsidRPr="0004128C" w:rsidRDefault="0004128C" w:rsidP="00934108">
            <w:pPr>
              <w:pStyle w:val="TableText0"/>
            </w:pPr>
            <w:r w:rsidRPr="0004128C">
              <w:t>4 (21)</w:t>
            </w:r>
          </w:p>
        </w:tc>
        <w:tc>
          <w:tcPr>
            <w:tcW w:w="605" w:type="pct"/>
          </w:tcPr>
          <w:p w:rsidR="0004128C" w:rsidRPr="0004128C" w:rsidRDefault="0004128C" w:rsidP="00934108">
            <w:pPr>
              <w:pStyle w:val="TableText0"/>
            </w:pPr>
            <w:r w:rsidRPr="0004128C">
              <w:t>16 (47)</w:t>
            </w:r>
          </w:p>
        </w:tc>
      </w:tr>
      <w:tr w:rsidR="0004128C" w:rsidRPr="0004128C" w:rsidTr="00934108">
        <w:tc>
          <w:tcPr>
            <w:tcW w:w="1976" w:type="pct"/>
          </w:tcPr>
          <w:p w:rsidR="0004128C" w:rsidRPr="0004128C" w:rsidRDefault="0004128C" w:rsidP="00934108">
            <w:pPr>
              <w:pStyle w:val="TableText0"/>
            </w:pPr>
            <w:r w:rsidRPr="0004128C">
              <w:tab/>
              <w:t>Constipation</w:t>
            </w:r>
          </w:p>
        </w:tc>
        <w:tc>
          <w:tcPr>
            <w:tcW w:w="605" w:type="pct"/>
          </w:tcPr>
          <w:p w:rsidR="0004128C" w:rsidRPr="0004128C" w:rsidRDefault="0004128C" w:rsidP="00934108">
            <w:pPr>
              <w:pStyle w:val="TableText0"/>
            </w:pPr>
            <w:r w:rsidRPr="0004128C">
              <w:t>6 (18)</w:t>
            </w:r>
          </w:p>
        </w:tc>
        <w:tc>
          <w:tcPr>
            <w:tcW w:w="605" w:type="pct"/>
            <w:tcBorders>
              <w:right w:val="single" w:sz="4" w:space="0" w:color="auto"/>
            </w:tcBorders>
          </w:tcPr>
          <w:p w:rsidR="0004128C" w:rsidRPr="0004128C" w:rsidRDefault="0004128C" w:rsidP="00934108">
            <w:pPr>
              <w:pStyle w:val="TableText0"/>
            </w:pPr>
            <w:r w:rsidRPr="0004128C">
              <w:t>3 (11)</w:t>
            </w:r>
          </w:p>
        </w:tc>
        <w:tc>
          <w:tcPr>
            <w:tcW w:w="605" w:type="pct"/>
            <w:tcBorders>
              <w:right w:val="single" w:sz="4" w:space="0" w:color="auto"/>
            </w:tcBorders>
          </w:tcPr>
          <w:p w:rsidR="0004128C" w:rsidRPr="0004128C" w:rsidRDefault="0004128C" w:rsidP="00934108">
            <w:pPr>
              <w:pStyle w:val="TableText0"/>
            </w:pPr>
            <w:r w:rsidRPr="0004128C">
              <w:t>2 (8)</w:t>
            </w:r>
          </w:p>
        </w:tc>
        <w:tc>
          <w:tcPr>
            <w:tcW w:w="605" w:type="pct"/>
            <w:tcBorders>
              <w:left w:val="single" w:sz="4" w:space="0" w:color="auto"/>
            </w:tcBorders>
          </w:tcPr>
          <w:p w:rsidR="0004128C" w:rsidRPr="0004128C" w:rsidRDefault="0004128C" w:rsidP="00934108">
            <w:pPr>
              <w:pStyle w:val="TableText0"/>
            </w:pPr>
            <w:r w:rsidRPr="0004128C">
              <w:t>2 (11)</w:t>
            </w:r>
          </w:p>
        </w:tc>
        <w:tc>
          <w:tcPr>
            <w:tcW w:w="605" w:type="pct"/>
          </w:tcPr>
          <w:p w:rsidR="0004128C" w:rsidRPr="0004128C" w:rsidRDefault="0004128C" w:rsidP="00934108">
            <w:pPr>
              <w:pStyle w:val="TableText0"/>
            </w:pPr>
            <w:r w:rsidRPr="0004128C">
              <w:t>8 (24)</w:t>
            </w:r>
          </w:p>
        </w:tc>
      </w:tr>
      <w:tr w:rsidR="0004128C" w:rsidRPr="0004128C" w:rsidTr="00934108">
        <w:tc>
          <w:tcPr>
            <w:tcW w:w="1976" w:type="pct"/>
          </w:tcPr>
          <w:p w:rsidR="0004128C" w:rsidRPr="0004128C" w:rsidRDefault="0004128C" w:rsidP="00934108">
            <w:pPr>
              <w:pStyle w:val="TableText0"/>
            </w:pPr>
            <w:r w:rsidRPr="0004128C">
              <w:tab/>
              <w:t>Nausea</w:t>
            </w:r>
          </w:p>
        </w:tc>
        <w:tc>
          <w:tcPr>
            <w:tcW w:w="605" w:type="pct"/>
          </w:tcPr>
          <w:p w:rsidR="0004128C" w:rsidRPr="0004128C" w:rsidRDefault="0004128C" w:rsidP="00934108">
            <w:pPr>
              <w:pStyle w:val="TableText0"/>
            </w:pPr>
            <w:r w:rsidRPr="0004128C">
              <w:t>3 (9)</w:t>
            </w:r>
          </w:p>
        </w:tc>
        <w:tc>
          <w:tcPr>
            <w:tcW w:w="605" w:type="pct"/>
            <w:tcBorders>
              <w:right w:val="single" w:sz="4" w:space="0" w:color="auto"/>
            </w:tcBorders>
          </w:tcPr>
          <w:p w:rsidR="0004128C" w:rsidRPr="0004128C" w:rsidRDefault="0004128C" w:rsidP="00934108">
            <w:pPr>
              <w:pStyle w:val="TableText0"/>
            </w:pPr>
            <w:r w:rsidRPr="0004128C">
              <w:t>1 (4)</w:t>
            </w:r>
          </w:p>
        </w:tc>
        <w:tc>
          <w:tcPr>
            <w:tcW w:w="605" w:type="pct"/>
            <w:tcBorders>
              <w:right w:val="single" w:sz="4" w:space="0" w:color="auto"/>
            </w:tcBorders>
          </w:tcPr>
          <w:p w:rsidR="0004128C" w:rsidRPr="0004128C" w:rsidRDefault="0004128C" w:rsidP="00934108">
            <w:pPr>
              <w:pStyle w:val="TableText0"/>
            </w:pPr>
            <w:r w:rsidRPr="0004128C">
              <w:t>2 (8)</w:t>
            </w:r>
          </w:p>
        </w:tc>
        <w:tc>
          <w:tcPr>
            <w:tcW w:w="605" w:type="pct"/>
            <w:tcBorders>
              <w:left w:val="single" w:sz="4" w:space="0" w:color="auto"/>
            </w:tcBorders>
          </w:tcPr>
          <w:p w:rsidR="0004128C" w:rsidRPr="0004128C" w:rsidRDefault="0004128C" w:rsidP="00934108">
            <w:pPr>
              <w:pStyle w:val="TableText0"/>
            </w:pPr>
            <w:r w:rsidRPr="0004128C">
              <w:t>2 (11)</w:t>
            </w:r>
          </w:p>
        </w:tc>
        <w:tc>
          <w:tcPr>
            <w:tcW w:w="605" w:type="pct"/>
          </w:tcPr>
          <w:p w:rsidR="0004128C" w:rsidRPr="0004128C" w:rsidRDefault="0004128C" w:rsidP="00934108">
            <w:pPr>
              <w:pStyle w:val="TableText0"/>
            </w:pPr>
            <w:r w:rsidRPr="0004128C">
              <w:t>5 (15)</w:t>
            </w:r>
          </w:p>
        </w:tc>
      </w:tr>
      <w:tr w:rsidR="0004128C" w:rsidRPr="0004128C" w:rsidTr="00934108">
        <w:tc>
          <w:tcPr>
            <w:tcW w:w="1976" w:type="pct"/>
          </w:tcPr>
          <w:p w:rsidR="0004128C" w:rsidRPr="0004128C" w:rsidRDefault="0004128C" w:rsidP="00934108">
            <w:pPr>
              <w:pStyle w:val="TableText0"/>
            </w:pPr>
            <w:r w:rsidRPr="0004128C">
              <w:tab/>
              <w:t>Vomiting</w:t>
            </w:r>
          </w:p>
        </w:tc>
        <w:tc>
          <w:tcPr>
            <w:tcW w:w="605" w:type="pct"/>
          </w:tcPr>
          <w:p w:rsidR="0004128C" w:rsidRPr="0004128C" w:rsidRDefault="0004128C" w:rsidP="00934108">
            <w:pPr>
              <w:pStyle w:val="TableText0"/>
            </w:pPr>
            <w:r w:rsidRPr="0004128C">
              <w:t>1 (3)</w:t>
            </w:r>
          </w:p>
        </w:tc>
        <w:tc>
          <w:tcPr>
            <w:tcW w:w="605" w:type="pct"/>
            <w:tcBorders>
              <w:right w:val="single" w:sz="4" w:space="0" w:color="auto"/>
            </w:tcBorders>
          </w:tcPr>
          <w:p w:rsidR="0004128C" w:rsidRPr="0004128C" w:rsidRDefault="0004128C" w:rsidP="00934108">
            <w:pPr>
              <w:pStyle w:val="TableText0"/>
            </w:pPr>
            <w:r w:rsidRPr="0004128C">
              <w:t>2 (7)</w:t>
            </w:r>
          </w:p>
        </w:tc>
        <w:tc>
          <w:tcPr>
            <w:tcW w:w="605" w:type="pct"/>
            <w:tcBorders>
              <w:right w:val="single" w:sz="4" w:space="0" w:color="auto"/>
            </w:tcBorders>
          </w:tcPr>
          <w:p w:rsidR="0004128C" w:rsidRPr="0004128C" w:rsidRDefault="0004128C" w:rsidP="00934108">
            <w:pPr>
              <w:pStyle w:val="TableText0"/>
            </w:pPr>
            <w:r w:rsidRPr="0004128C">
              <w:t>2 (8)</w:t>
            </w:r>
          </w:p>
        </w:tc>
        <w:tc>
          <w:tcPr>
            <w:tcW w:w="605" w:type="pct"/>
            <w:tcBorders>
              <w:left w:val="single" w:sz="4" w:space="0" w:color="auto"/>
            </w:tcBorders>
          </w:tcPr>
          <w:p w:rsidR="0004128C" w:rsidRPr="0004128C" w:rsidRDefault="0004128C" w:rsidP="00934108">
            <w:pPr>
              <w:pStyle w:val="TableText0"/>
            </w:pPr>
            <w:r w:rsidRPr="0004128C">
              <w:t>0</w:t>
            </w:r>
          </w:p>
        </w:tc>
        <w:tc>
          <w:tcPr>
            <w:tcW w:w="605" w:type="pct"/>
          </w:tcPr>
          <w:p w:rsidR="0004128C" w:rsidRPr="0004128C" w:rsidRDefault="0004128C" w:rsidP="00934108">
            <w:pPr>
              <w:pStyle w:val="TableText0"/>
            </w:pPr>
            <w:r w:rsidRPr="0004128C">
              <w:t>5 (15)</w:t>
            </w:r>
          </w:p>
        </w:tc>
      </w:tr>
      <w:tr w:rsidR="0004128C" w:rsidRPr="0004128C" w:rsidTr="00934108">
        <w:tc>
          <w:tcPr>
            <w:tcW w:w="1976" w:type="pct"/>
          </w:tcPr>
          <w:p w:rsidR="0004128C" w:rsidRPr="00934108" w:rsidRDefault="0004128C" w:rsidP="00934108">
            <w:pPr>
              <w:pStyle w:val="TableText0"/>
              <w:rPr>
                <w:b/>
              </w:rPr>
            </w:pPr>
            <w:r w:rsidRPr="00934108">
              <w:rPr>
                <w:b/>
              </w:rPr>
              <w:t>Nervous system disorders, no. patients (%)</w:t>
            </w:r>
          </w:p>
        </w:tc>
        <w:tc>
          <w:tcPr>
            <w:tcW w:w="605" w:type="pct"/>
          </w:tcPr>
          <w:p w:rsidR="0004128C" w:rsidRPr="0004128C" w:rsidRDefault="0004128C" w:rsidP="00934108">
            <w:pPr>
              <w:pStyle w:val="TableText0"/>
            </w:pPr>
            <w:r w:rsidRPr="0004128C">
              <w:t>12 (62)</w:t>
            </w:r>
          </w:p>
        </w:tc>
        <w:tc>
          <w:tcPr>
            <w:tcW w:w="605" w:type="pct"/>
            <w:tcBorders>
              <w:right w:val="single" w:sz="4" w:space="0" w:color="auto"/>
            </w:tcBorders>
          </w:tcPr>
          <w:p w:rsidR="0004128C" w:rsidRPr="0004128C" w:rsidRDefault="0004128C" w:rsidP="00934108">
            <w:pPr>
              <w:pStyle w:val="TableText0"/>
            </w:pPr>
            <w:r w:rsidRPr="0004128C">
              <w:t>7 (25)</w:t>
            </w:r>
          </w:p>
        </w:tc>
        <w:tc>
          <w:tcPr>
            <w:tcW w:w="605" w:type="pct"/>
            <w:tcBorders>
              <w:right w:val="single" w:sz="4" w:space="0" w:color="auto"/>
            </w:tcBorders>
          </w:tcPr>
          <w:p w:rsidR="0004128C" w:rsidRPr="0004128C" w:rsidRDefault="0004128C" w:rsidP="00934108">
            <w:pPr>
              <w:pStyle w:val="TableText0"/>
            </w:pPr>
            <w:r w:rsidRPr="0004128C">
              <w:t>6 (23)</w:t>
            </w:r>
          </w:p>
        </w:tc>
        <w:tc>
          <w:tcPr>
            <w:tcW w:w="605" w:type="pct"/>
            <w:tcBorders>
              <w:left w:val="single" w:sz="4" w:space="0" w:color="auto"/>
            </w:tcBorders>
          </w:tcPr>
          <w:p w:rsidR="0004128C" w:rsidRPr="0004128C" w:rsidRDefault="0004128C" w:rsidP="00934108">
            <w:pPr>
              <w:pStyle w:val="TableText0"/>
            </w:pPr>
            <w:r w:rsidRPr="0004128C">
              <w:t>4 (21)</w:t>
            </w:r>
          </w:p>
        </w:tc>
        <w:tc>
          <w:tcPr>
            <w:tcW w:w="605" w:type="pct"/>
          </w:tcPr>
          <w:p w:rsidR="0004128C" w:rsidRPr="0004128C" w:rsidRDefault="0004128C" w:rsidP="00934108">
            <w:pPr>
              <w:pStyle w:val="TableText0"/>
            </w:pPr>
            <w:r w:rsidRPr="0004128C">
              <w:t>22 (65)</w:t>
            </w:r>
          </w:p>
        </w:tc>
      </w:tr>
      <w:tr w:rsidR="0004128C" w:rsidRPr="0004128C" w:rsidTr="00934108">
        <w:tc>
          <w:tcPr>
            <w:tcW w:w="1976" w:type="pct"/>
          </w:tcPr>
          <w:p w:rsidR="0004128C" w:rsidRPr="0004128C" w:rsidRDefault="0004128C" w:rsidP="00934108">
            <w:pPr>
              <w:pStyle w:val="TableText0"/>
            </w:pPr>
            <w:r w:rsidRPr="0004128C">
              <w:tab/>
              <w:t>Tremor</w:t>
            </w:r>
          </w:p>
        </w:tc>
        <w:tc>
          <w:tcPr>
            <w:tcW w:w="605" w:type="pct"/>
          </w:tcPr>
          <w:p w:rsidR="0004128C" w:rsidRPr="0004128C" w:rsidRDefault="0004128C" w:rsidP="00934108">
            <w:pPr>
              <w:pStyle w:val="TableText0"/>
            </w:pPr>
            <w:r w:rsidRPr="0004128C">
              <w:t>10 (29)</w:t>
            </w:r>
          </w:p>
        </w:tc>
        <w:tc>
          <w:tcPr>
            <w:tcW w:w="605" w:type="pct"/>
            <w:tcBorders>
              <w:right w:val="single" w:sz="4" w:space="0" w:color="auto"/>
            </w:tcBorders>
          </w:tcPr>
          <w:p w:rsidR="0004128C" w:rsidRPr="0004128C" w:rsidRDefault="0004128C" w:rsidP="00934108">
            <w:pPr>
              <w:pStyle w:val="TableText0"/>
            </w:pPr>
            <w:r w:rsidRPr="0004128C">
              <w:t>2 (7)</w:t>
            </w:r>
          </w:p>
        </w:tc>
        <w:tc>
          <w:tcPr>
            <w:tcW w:w="605" w:type="pct"/>
            <w:tcBorders>
              <w:right w:val="single" w:sz="4" w:space="0" w:color="auto"/>
            </w:tcBorders>
          </w:tcPr>
          <w:p w:rsidR="0004128C" w:rsidRPr="0004128C" w:rsidRDefault="0004128C" w:rsidP="00934108">
            <w:pPr>
              <w:pStyle w:val="TableText0"/>
            </w:pPr>
            <w:r w:rsidRPr="0004128C">
              <w:t>3 (12)</w:t>
            </w:r>
          </w:p>
        </w:tc>
        <w:tc>
          <w:tcPr>
            <w:tcW w:w="605" w:type="pct"/>
            <w:tcBorders>
              <w:left w:val="single" w:sz="4" w:space="0" w:color="auto"/>
            </w:tcBorders>
          </w:tcPr>
          <w:p w:rsidR="0004128C" w:rsidRPr="0004128C" w:rsidRDefault="0004128C" w:rsidP="00934108">
            <w:pPr>
              <w:pStyle w:val="TableText0"/>
            </w:pPr>
            <w:r w:rsidRPr="0004128C">
              <w:t>3 (16)</w:t>
            </w:r>
          </w:p>
        </w:tc>
        <w:tc>
          <w:tcPr>
            <w:tcW w:w="605" w:type="pct"/>
          </w:tcPr>
          <w:p w:rsidR="0004128C" w:rsidRPr="0004128C" w:rsidRDefault="0004128C" w:rsidP="00934108">
            <w:pPr>
              <w:pStyle w:val="TableText0"/>
            </w:pPr>
            <w:r w:rsidRPr="0004128C">
              <w:t>12 (35)</w:t>
            </w:r>
          </w:p>
        </w:tc>
      </w:tr>
      <w:tr w:rsidR="0004128C" w:rsidRPr="0004128C" w:rsidTr="00934108">
        <w:tc>
          <w:tcPr>
            <w:tcW w:w="1976" w:type="pct"/>
          </w:tcPr>
          <w:p w:rsidR="0004128C" w:rsidRPr="0004128C" w:rsidRDefault="0004128C" w:rsidP="00934108">
            <w:pPr>
              <w:pStyle w:val="TableText0"/>
            </w:pPr>
            <w:r w:rsidRPr="0004128C">
              <w:tab/>
              <w:t>Dizziness</w:t>
            </w:r>
          </w:p>
        </w:tc>
        <w:tc>
          <w:tcPr>
            <w:tcW w:w="605" w:type="pct"/>
          </w:tcPr>
          <w:p w:rsidR="0004128C" w:rsidRPr="0004128C" w:rsidRDefault="0004128C" w:rsidP="00934108">
            <w:pPr>
              <w:pStyle w:val="TableText0"/>
            </w:pPr>
            <w:r w:rsidRPr="0004128C">
              <w:t>8 (24)</w:t>
            </w:r>
          </w:p>
        </w:tc>
        <w:tc>
          <w:tcPr>
            <w:tcW w:w="605" w:type="pct"/>
            <w:tcBorders>
              <w:right w:val="single" w:sz="4" w:space="0" w:color="auto"/>
            </w:tcBorders>
          </w:tcPr>
          <w:p w:rsidR="0004128C" w:rsidRPr="0004128C" w:rsidRDefault="0004128C" w:rsidP="00934108">
            <w:pPr>
              <w:pStyle w:val="TableText0"/>
            </w:pPr>
            <w:r w:rsidRPr="0004128C">
              <w:t>0</w:t>
            </w:r>
          </w:p>
        </w:tc>
        <w:tc>
          <w:tcPr>
            <w:tcW w:w="605" w:type="pct"/>
            <w:tcBorders>
              <w:right w:val="single" w:sz="4" w:space="0" w:color="auto"/>
            </w:tcBorders>
          </w:tcPr>
          <w:p w:rsidR="0004128C" w:rsidRPr="0004128C" w:rsidRDefault="0004128C" w:rsidP="00934108">
            <w:pPr>
              <w:pStyle w:val="TableText0"/>
            </w:pPr>
            <w:r w:rsidRPr="0004128C">
              <w:t>1 (4)</w:t>
            </w:r>
          </w:p>
        </w:tc>
        <w:tc>
          <w:tcPr>
            <w:tcW w:w="605" w:type="pct"/>
            <w:tcBorders>
              <w:left w:val="single" w:sz="4" w:space="0" w:color="auto"/>
            </w:tcBorders>
          </w:tcPr>
          <w:p w:rsidR="0004128C" w:rsidRPr="0004128C" w:rsidRDefault="0004128C" w:rsidP="00934108">
            <w:pPr>
              <w:pStyle w:val="TableText0"/>
            </w:pPr>
            <w:r w:rsidRPr="0004128C">
              <w:t>0</w:t>
            </w:r>
          </w:p>
        </w:tc>
        <w:tc>
          <w:tcPr>
            <w:tcW w:w="605" w:type="pct"/>
          </w:tcPr>
          <w:p w:rsidR="0004128C" w:rsidRPr="0004128C" w:rsidRDefault="0004128C" w:rsidP="00934108">
            <w:pPr>
              <w:pStyle w:val="TableText0"/>
            </w:pPr>
            <w:r w:rsidRPr="0004128C">
              <w:t>9 (26)</w:t>
            </w:r>
          </w:p>
        </w:tc>
      </w:tr>
      <w:tr w:rsidR="0004128C" w:rsidRPr="0004128C" w:rsidTr="00934108">
        <w:tc>
          <w:tcPr>
            <w:tcW w:w="1976" w:type="pct"/>
          </w:tcPr>
          <w:p w:rsidR="0004128C" w:rsidRPr="0004128C" w:rsidRDefault="0004128C" w:rsidP="00934108">
            <w:pPr>
              <w:pStyle w:val="TableText0"/>
            </w:pPr>
            <w:r w:rsidRPr="0004128C">
              <w:tab/>
              <w:t>Headache</w:t>
            </w:r>
          </w:p>
        </w:tc>
        <w:tc>
          <w:tcPr>
            <w:tcW w:w="605" w:type="pct"/>
          </w:tcPr>
          <w:p w:rsidR="0004128C" w:rsidRPr="0004128C" w:rsidRDefault="0004128C" w:rsidP="00934108">
            <w:pPr>
              <w:pStyle w:val="TableText0"/>
            </w:pPr>
            <w:r w:rsidRPr="0004128C">
              <w:t>8 (24)</w:t>
            </w:r>
          </w:p>
        </w:tc>
        <w:tc>
          <w:tcPr>
            <w:tcW w:w="605" w:type="pct"/>
            <w:tcBorders>
              <w:right w:val="single" w:sz="4" w:space="0" w:color="auto"/>
            </w:tcBorders>
          </w:tcPr>
          <w:p w:rsidR="0004128C" w:rsidRPr="0004128C" w:rsidRDefault="0004128C" w:rsidP="00934108">
            <w:pPr>
              <w:pStyle w:val="TableText0"/>
            </w:pPr>
            <w:r w:rsidRPr="0004128C">
              <w:t>2 (7)</w:t>
            </w:r>
          </w:p>
        </w:tc>
        <w:tc>
          <w:tcPr>
            <w:tcW w:w="605" w:type="pct"/>
            <w:tcBorders>
              <w:right w:val="single" w:sz="4" w:space="0" w:color="auto"/>
            </w:tcBorders>
          </w:tcPr>
          <w:p w:rsidR="0004128C" w:rsidRPr="0004128C" w:rsidRDefault="0004128C" w:rsidP="00934108">
            <w:pPr>
              <w:pStyle w:val="TableText0"/>
            </w:pPr>
            <w:r w:rsidRPr="0004128C">
              <w:t>1 (4)</w:t>
            </w:r>
          </w:p>
        </w:tc>
        <w:tc>
          <w:tcPr>
            <w:tcW w:w="605" w:type="pct"/>
            <w:tcBorders>
              <w:left w:val="single" w:sz="4" w:space="0" w:color="auto"/>
            </w:tcBorders>
          </w:tcPr>
          <w:p w:rsidR="0004128C" w:rsidRPr="0004128C" w:rsidRDefault="0004128C" w:rsidP="00934108">
            <w:pPr>
              <w:pStyle w:val="TableText0"/>
            </w:pPr>
            <w:r w:rsidRPr="0004128C">
              <w:t>1 (5)</w:t>
            </w:r>
          </w:p>
        </w:tc>
        <w:tc>
          <w:tcPr>
            <w:tcW w:w="605" w:type="pct"/>
          </w:tcPr>
          <w:p w:rsidR="0004128C" w:rsidRPr="0004128C" w:rsidRDefault="0004128C" w:rsidP="00934108">
            <w:pPr>
              <w:pStyle w:val="TableText0"/>
            </w:pPr>
            <w:r w:rsidRPr="0004128C">
              <w:t>8 (24)</w:t>
            </w:r>
          </w:p>
        </w:tc>
      </w:tr>
      <w:tr w:rsidR="0004128C" w:rsidRPr="0004128C" w:rsidTr="00934108">
        <w:tc>
          <w:tcPr>
            <w:tcW w:w="1976" w:type="pct"/>
          </w:tcPr>
          <w:p w:rsidR="0004128C" w:rsidRPr="0004128C" w:rsidRDefault="0004128C" w:rsidP="00934108">
            <w:pPr>
              <w:pStyle w:val="TableText0"/>
            </w:pPr>
            <w:r w:rsidRPr="0004128C">
              <w:tab/>
              <w:t>Fatigue</w:t>
            </w:r>
          </w:p>
        </w:tc>
        <w:tc>
          <w:tcPr>
            <w:tcW w:w="605" w:type="pct"/>
          </w:tcPr>
          <w:p w:rsidR="0004128C" w:rsidRPr="0004128C" w:rsidRDefault="0004128C" w:rsidP="00934108">
            <w:pPr>
              <w:pStyle w:val="TableText0"/>
            </w:pPr>
            <w:r w:rsidRPr="0004128C">
              <w:t>5 (15)</w:t>
            </w:r>
          </w:p>
        </w:tc>
        <w:tc>
          <w:tcPr>
            <w:tcW w:w="605" w:type="pct"/>
            <w:tcBorders>
              <w:right w:val="single" w:sz="4" w:space="0" w:color="auto"/>
            </w:tcBorders>
          </w:tcPr>
          <w:p w:rsidR="0004128C" w:rsidRPr="0004128C" w:rsidRDefault="0004128C" w:rsidP="00934108">
            <w:pPr>
              <w:pStyle w:val="TableText0"/>
            </w:pPr>
            <w:r w:rsidRPr="0004128C">
              <w:t>6 (21)</w:t>
            </w:r>
          </w:p>
        </w:tc>
        <w:tc>
          <w:tcPr>
            <w:tcW w:w="605" w:type="pct"/>
            <w:tcBorders>
              <w:right w:val="single" w:sz="4" w:space="0" w:color="auto"/>
            </w:tcBorders>
          </w:tcPr>
          <w:p w:rsidR="0004128C" w:rsidRPr="0004128C" w:rsidRDefault="0004128C" w:rsidP="00934108">
            <w:pPr>
              <w:pStyle w:val="TableText0"/>
            </w:pPr>
            <w:r w:rsidRPr="0004128C">
              <w:t>4 (15)</w:t>
            </w:r>
          </w:p>
        </w:tc>
        <w:tc>
          <w:tcPr>
            <w:tcW w:w="605" w:type="pct"/>
            <w:tcBorders>
              <w:left w:val="single" w:sz="4" w:space="0" w:color="auto"/>
            </w:tcBorders>
          </w:tcPr>
          <w:p w:rsidR="0004128C" w:rsidRPr="0004128C" w:rsidRDefault="0004128C" w:rsidP="00934108">
            <w:pPr>
              <w:pStyle w:val="TableText0"/>
            </w:pPr>
            <w:r w:rsidRPr="0004128C">
              <w:t>1 (5)</w:t>
            </w:r>
          </w:p>
        </w:tc>
        <w:tc>
          <w:tcPr>
            <w:tcW w:w="605" w:type="pct"/>
          </w:tcPr>
          <w:p w:rsidR="0004128C" w:rsidRPr="0004128C" w:rsidRDefault="0004128C" w:rsidP="00934108">
            <w:pPr>
              <w:pStyle w:val="TableText0"/>
            </w:pPr>
            <w:r w:rsidRPr="0004128C">
              <w:t>9 (26)</w:t>
            </w:r>
          </w:p>
        </w:tc>
      </w:tr>
      <w:tr w:rsidR="0004128C" w:rsidRPr="0004128C" w:rsidTr="00934108">
        <w:tc>
          <w:tcPr>
            <w:tcW w:w="1976" w:type="pct"/>
          </w:tcPr>
          <w:p w:rsidR="0004128C" w:rsidRPr="0004128C" w:rsidRDefault="0004128C" w:rsidP="00934108">
            <w:pPr>
              <w:pStyle w:val="TableText0"/>
            </w:pPr>
            <w:r w:rsidRPr="0004128C">
              <w:tab/>
              <w:t>Weakness</w:t>
            </w:r>
          </w:p>
        </w:tc>
        <w:tc>
          <w:tcPr>
            <w:tcW w:w="605" w:type="pct"/>
          </w:tcPr>
          <w:p w:rsidR="0004128C" w:rsidRPr="0004128C" w:rsidRDefault="0004128C" w:rsidP="00934108">
            <w:pPr>
              <w:pStyle w:val="TableText0"/>
            </w:pPr>
            <w:r w:rsidRPr="0004128C">
              <w:t>7 (21)</w:t>
            </w:r>
          </w:p>
        </w:tc>
        <w:tc>
          <w:tcPr>
            <w:tcW w:w="605" w:type="pct"/>
            <w:tcBorders>
              <w:right w:val="single" w:sz="4" w:space="0" w:color="auto"/>
            </w:tcBorders>
          </w:tcPr>
          <w:p w:rsidR="0004128C" w:rsidRPr="0004128C" w:rsidRDefault="0004128C" w:rsidP="00934108">
            <w:pPr>
              <w:pStyle w:val="TableText0"/>
            </w:pPr>
            <w:r w:rsidRPr="0004128C">
              <w:t>2 (7)</w:t>
            </w:r>
          </w:p>
        </w:tc>
        <w:tc>
          <w:tcPr>
            <w:tcW w:w="605" w:type="pct"/>
            <w:tcBorders>
              <w:right w:val="single" w:sz="4" w:space="0" w:color="auto"/>
            </w:tcBorders>
          </w:tcPr>
          <w:p w:rsidR="0004128C" w:rsidRPr="0004128C" w:rsidRDefault="0004128C" w:rsidP="00934108">
            <w:pPr>
              <w:pStyle w:val="TableText0"/>
            </w:pPr>
            <w:r w:rsidRPr="0004128C">
              <w:t>2 (8)</w:t>
            </w:r>
          </w:p>
        </w:tc>
        <w:tc>
          <w:tcPr>
            <w:tcW w:w="605" w:type="pct"/>
            <w:tcBorders>
              <w:left w:val="single" w:sz="4" w:space="0" w:color="auto"/>
            </w:tcBorders>
          </w:tcPr>
          <w:p w:rsidR="0004128C" w:rsidRPr="0004128C" w:rsidRDefault="0004128C" w:rsidP="00934108">
            <w:pPr>
              <w:pStyle w:val="TableText0"/>
            </w:pPr>
            <w:r w:rsidRPr="0004128C">
              <w:t>1 (5)</w:t>
            </w:r>
          </w:p>
        </w:tc>
        <w:tc>
          <w:tcPr>
            <w:tcW w:w="605" w:type="pct"/>
          </w:tcPr>
          <w:p w:rsidR="0004128C" w:rsidRPr="0004128C" w:rsidRDefault="0004128C" w:rsidP="00934108">
            <w:pPr>
              <w:pStyle w:val="TableText0"/>
            </w:pPr>
            <w:r w:rsidRPr="0004128C">
              <w:t>9 (26)</w:t>
            </w:r>
          </w:p>
        </w:tc>
      </w:tr>
      <w:tr w:rsidR="0004128C" w:rsidRPr="0004128C" w:rsidTr="00934108">
        <w:tc>
          <w:tcPr>
            <w:tcW w:w="1976" w:type="pct"/>
          </w:tcPr>
          <w:p w:rsidR="0004128C" w:rsidRPr="0004128C" w:rsidRDefault="0004128C" w:rsidP="00934108">
            <w:pPr>
              <w:pStyle w:val="TableText0"/>
            </w:pPr>
            <w:r w:rsidRPr="0004128C">
              <w:t>Decreased weight, no. patients (%)</w:t>
            </w:r>
          </w:p>
        </w:tc>
        <w:tc>
          <w:tcPr>
            <w:tcW w:w="605" w:type="pct"/>
          </w:tcPr>
          <w:p w:rsidR="0004128C" w:rsidRPr="0004128C" w:rsidRDefault="0004128C" w:rsidP="00934108">
            <w:pPr>
              <w:pStyle w:val="TableText0"/>
            </w:pPr>
            <w:r w:rsidRPr="0004128C">
              <w:t>23 (68)</w:t>
            </w:r>
          </w:p>
        </w:tc>
        <w:tc>
          <w:tcPr>
            <w:tcW w:w="605" w:type="pct"/>
            <w:tcBorders>
              <w:right w:val="single" w:sz="4" w:space="0" w:color="auto"/>
            </w:tcBorders>
          </w:tcPr>
          <w:p w:rsidR="0004128C" w:rsidRPr="0004128C" w:rsidRDefault="0004128C" w:rsidP="00934108">
            <w:pPr>
              <w:pStyle w:val="TableText0"/>
            </w:pPr>
            <w:r w:rsidRPr="0004128C">
              <w:t>25 (89)</w:t>
            </w:r>
          </w:p>
        </w:tc>
        <w:tc>
          <w:tcPr>
            <w:tcW w:w="605" w:type="pct"/>
            <w:tcBorders>
              <w:right w:val="single" w:sz="4" w:space="0" w:color="auto"/>
            </w:tcBorders>
          </w:tcPr>
          <w:p w:rsidR="0004128C" w:rsidRPr="0004128C" w:rsidRDefault="0004128C" w:rsidP="00934108">
            <w:pPr>
              <w:pStyle w:val="TableText0"/>
            </w:pPr>
            <w:r w:rsidRPr="0004128C">
              <w:t>21 (81)</w:t>
            </w:r>
          </w:p>
        </w:tc>
        <w:tc>
          <w:tcPr>
            <w:tcW w:w="605" w:type="pct"/>
            <w:tcBorders>
              <w:left w:val="single" w:sz="4" w:space="0" w:color="auto"/>
            </w:tcBorders>
          </w:tcPr>
          <w:p w:rsidR="0004128C" w:rsidRPr="0004128C" w:rsidRDefault="0004128C" w:rsidP="00934108">
            <w:pPr>
              <w:pStyle w:val="TableText0"/>
            </w:pPr>
            <w:r w:rsidRPr="0004128C">
              <w:t>16 (84)</w:t>
            </w:r>
          </w:p>
        </w:tc>
        <w:tc>
          <w:tcPr>
            <w:tcW w:w="605" w:type="pct"/>
          </w:tcPr>
          <w:p w:rsidR="0004128C" w:rsidRPr="0004128C" w:rsidRDefault="0004128C" w:rsidP="00934108">
            <w:pPr>
              <w:pStyle w:val="TableText0"/>
            </w:pPr>
            <w:r w:rsidRPr="0004128C">
              <w:t>28 (82)</w:t>
            </w:r>
          </w:p>
        </w:tc>
      </w:tr>
      <w:tr w:rsidR="0004128C" w:rsidRPr="0004128C" w:rsidTr="00934108">
        <w:tc>
          <w:tcPr>
            <w:tcW w:w="1976" w:type="pct"/>
          </w:tcPr>
          <w:p w:rsidR="0004128C" w:rsidRPr="0004128C" w:rsidRDefault="0004128C" w:rsidP="00934108">
            <w:pPr>
              <w:pStyle w:val="TableText0"/>
            </w:pPr>
            <w:r w:rsidRPr="0004128C">
              <w:t>Musculoskeletal and connective tissue disorders, no. patients (%)</w:t>
            </w:r>
          </w:p>
        </w:tc>
        <w:tc>
          <w:tcPr>
            <w:tcW w:w="605" w:type="pct"/>
          </w:tcPr>
          <w:p w:rsidR="0004128C" w:rsidRPr="0004128C" w:rsidRDefault="0004128C" w:rsidP="00934108">
            <w:pPr>
              <w:pStyle w:val="TableText0"/>
            </w:pPr>
            <w:r w:rsidRPr="0004128C">
              <w:t>13 (38)</w:t>
            </w:r>
          </w:p>
        </w:tc>
        <w:tc>
          <w:tcPr>
            <w:tcW w:w="605" w:type="pct"/>
            <w:tcBorders>
              <w:right w:val="single" w:sz="4" w:space="0" w:color="auto"/>
            </w:tcBorders>
          </w:tcPr>
          <w:p w:rsidR="0004128C" w:rsidRPr="0004128C" w:rsidRDefault="0004128C" w:rsidP="00934108">
            <w:pPr>
              <w:pStyle w:val="TableText0"/>
            </w:pPr>
            <w:r w:rsidRPr="0004128C">
              <w:t>9 (32)</w:t>
            </w:r>
          </w:p>
        </w:tc>
        <w:tc>
          <w:tcPr>
            <w:tcW w:w="605" w:type="pct"/>
            <w:tcBorders>
              <w:right w:val="single" w:sz="4" w:space="0" w:color="auto"/>
            </w:tcBorders>
          </w:tcPr>
          <w:p w:rsidR="0004128C" w:rsidRPr="0004128C" w:rsidRDefault="0004128C" w:rsidP="00934108">
            <w:pPr>
              <w:pStyle w:val="TableText0"/>
            </w:pPr>
            <w:r w:rsidRPr="0004128C">
              <w:t>7 (27)</w:t>
            </w:r>
          </w:p>
        </w:tc>
        <w:tc>
          <w:tcPr>
            <w:tcW w:w="605" w:type="pct"/>
            <w:tcBorders>
              <w:left w:val="single" w:sz="4" w:space="0" w:color="auto"/>
            </w:tcBorders>
          </w:tcPr>
          <w:p w:rsidR="0004128C" w:rsidRPr="0004128C" w:rsidRDefault="0004128C" w:rsidP="00934108">
            <w:pPr>
              <w:pStyle w:val="TableText0"/>
            </w:pPr>
            <w:r w:rsidRPr="0004128C">
              <w:t>5 (26)</w:t>
            </w:r>
          </w:p>
        </w:tc>
        <w:tc>
          <w:tcPr>
            <w:tcW w:w="605" w:type="pct"/>
          </w:tcPr>
          <w:p w:rsidR="0004128C" w:rsidRPr="0004128C" w:rsidRDefault="0004128C" w:rsidP="00934108">
            <w:pPr>
              <w:pStyle w:val="TableText0"/>
            </w:pPr>
            <w:r w:rsidRPr="0004128C">
              <w:t>20 (59)</w:t>
            </w:r>
          </w:p>
        </w:tc>
      </w:tr>
      <w:tr w:rsidR="0004128C" w:rsidRPr="0004128C" w:rsidTr="00934108">
        <w:tc>
          <w:tcPr>
            <w:tcW w:w="1976" w:type="pct"/>
          </w:tcPr>
          <w:p w:rsidR="0004128C" w:rsidRPr="0004128C" w:rsidRDefault="0004128C" w:rsidP="00934108">
            <w:pPr>
              <w:pStyle w:val="TableText0"/>
            </w:pPr>
            <w:r w:rsidRPr="0004128C">
              <w:t>Respiratory, thoracic, and mediastinal disorders, no. patients (%)</w:t>
            </w:r>
          </w:p>
        </w:tc>
        <w:tc>
          <w:tcPr>
            <w:tcW w:w="605" w:type="pct"/>
          </w:tcPr>
          <w:p w:rsidR="0004128C" w:rsidRPr="0004128C" w:rsidRDefault="0004128C" w:rsidP="00934108">
            <w:pPr>
              <w:pStyle w:val="TableText0"/>
            </w:pPr>
            <w:r w:rsidRPr="0004128C">
              <w:t>4 (12)</w:t>
            </w:r>
          </w:p>
        </w:tc>
        <w:tc>
          <w:tcPr>
            <w:tcW w:w="605" w:type="pct"/>
            <w:tcBorders>
              <w:right w:val="single" w:sz="4" w:space="0" w:color="auto"/>
            </w:tcBorders>
          </w:tcPr>
          <w:p w:rsidR="0004128C" w:rsidRPr="0004128C" w:rsidRDefault="0004128C" w:rsidP="00934108">
            <w:pPr>
              <w:pStyle w:val="TableText0"/>
            </w:pPr>
            <w:r w:rsidRPr="0004128C">
              <w:t>5 (18)</w:t>
            </w:r>
          </w:p>
        </w:tc>
        <w:tc>
          <w:tcPr>
            <w:tcW w:w="605" w:type="pct"/>
            <w:tcBorders>
              <w:right w:val="single" w:sz="4" w:space="0" w:color="auto"/>
            </w:tcBorders>
          </w:tcPr>
          <w:p w:rsidR="0004128C" w:rsidRPr="0004128C" w:rsidRDefault="0004128C" w:rsidP="00934108">
            <w:pPr>
              <w:pStyle w:val="TableText0"/>
            </w:pPr>
            <w:r w:rsidRPr="0004128C">
              <w:t>2 (8)</w:t>
            </w:r>
          </w:p>
        </w:tc>
        <w:tc>
          <w:tcPr>
            <w:tcW w:w="605" w:type="pct"/>
            <w:tcBorders>
              <w:left w:val="single" w:sz="4" w:space="0" w:color="auto"/>
            </w:tcBorders>
          </w:tcPr>
          <w:p w:rsidR="0004128C" w:rsidRPr="0004128C" w:rsidRDefault="0004128C" w:rsidP="00934108">
            <w:pPr>
              <w:pStyle w:val="TableText0"/>
            </w:pPr>
            <w:r w:rsidRPr="0004128C">
              <w:t>3 (16)</w:t>
            </w:r>
          </w:p>
        </w:tc>
        <w:tc>
          <w:tcPr>
            <w:tcW w:w="605" w:type="pct"/>
          </w:tcPr>
          <w:p w:rsidR="0004128C" w:rsidRPr="0004128C" w:rsidRDefault="0004128C" w:rsidP="00934108">
            <w:pPr>
              <w:pStyle w:val="TableText0"/>
            </w:pPr>
            <w:r w:rsidRPr="0004128C">
              <w:t>10 (29)</w:t>
            </w:r>
          </w:p>
        </w:tc>
      </w:tr>
      <w:tr w:rsidR="0004128C" w:rsidRPr="0004128C" w:rsidTr="00934108">
        <w:tc>
          <w:tcPr>
            <w:tcW w:w="1976" w:type="pct"/>
          </w:tcPr>
          <w:p w:rsidR="0004128C" w:rsidRPr="0004128C" w:rsidRDefault="0004128C" w:rsidP="00934108">
            <w:pPr>
              <w:pStyle w:val="TableText0"/>
            </w:pPr>
            <w:r w:rsidRPr="0004128C">
              <w:t>Skin and subcutaneous tissue disorders, no. patients (%)</w:t>
            </w:r>
          </w:p>
        </w:tc>
        <w:tc>
          <w:tcPr>
            <w:tcW w:w="605" w:type="pct"/>
          </w:tcPr>
          <w:p w:rsidR="0004128C" w:rsidRPr="0004128C" w:rsidRDefault="0004128C" w:rsidP="00934108">
            <w:pPr>
              <w:pStyle w:val="TableText0"/>
            </w:pPr>
            <w:r w:rsidRPr="0004128C">
              <w:t>6 (18)</w:t>
            </w:r>
          </w:p>
        </w:tc>
        <w:tc>
          <w:tcPr>
            <w:tcW w:w="605" w:type="pct"/>
            <w:tcBorders>
              <w:right w:val="single" w:sz="4" w:space="0" w:color="auto"/>
            </w:tcBorders>
          </w:tcPr>
          <w:p w:rsidR="0004128C" w:rsidRPr="0004128C" w:rsidRDefault="0004128C" w:rsidP="00934108">
            <w:pPr>
              <w:pStyle w:val="TableText0"/>
            </w:pPr>
            <w:r w:rsidRPr="0004128C">
              <w:t>6 (21)</w:t>
            </w:r>
          </w:p>
        </w:tc>
        <w:tc>
          <w:tcPr>
            <w:tcW w:w="605" w:type="pct"/>
            <w:tcBorders>
              <w:right w:val="single" w:sz="4" w:space="0" w:color="auto"/>
            </w:tcBorders>
          </w:tcPr>
          <w:p w:rsidR="0004128C" w:rsidRPr="0004128C" w:rsidRDefault="0004128C" w:rsidP="00934108">
            <w:pPr>
              <w:pStyle w:val="TableText0"/>
            </w:pPr>
            <w:r w:rsidRPr="0004128C">
              <w:t>4 (15)</w:t>
            </w:r>
          </w:p>
        </w:tc>
        <w:tc>
          <w:tcPr>
            <w:tcW w:w="605" w:type="pct"/>
            <w:tcBorders>
              <w:left w:val="single" w:sz="4" w:space="0" w:color="auto"/>
            </w:tcBorders>
          </w:tcPr>
          <w:p w:rsidR="0004128C" w:rsidRPr="0004128C" w:rsidRDefault="0004128C" w:rsidP="00934108">
            <w:pPr>
              <w:pStyle w:val="TableText0"/>
            </w:pPr>
            <w:r w:rsidRPr="0004128C">
              <w:t>2 (11)</w:t>
            </w:r>
          </w:p>
        </w:tc>
        <w:tc>
          <w:tcPr>
            <w:tcW w:w="605" w:type="pct"/>
          </w:tcPr>
          <w:p w:rsidR="0004128C" w:rsidRPr="0004128C" w:rsidRDefault="0004128C" w:rsidP="00934108">
            <w:pPr>
              <w:pStyle w:val="TableText0"/>
            </w:pPr>
            <w:r w:rsidRPr="0004128C">
              <w:t>9 (26)</w:t>
            </w:r>
          </w:p>
        </w:tc>
      </w:tr>
    </w:tbl>
    <w:p w:rsidR="0004128C" w:rsidRPr="0004128C" w:rsidRDefault="00F87099" w:rsidP="00934108">
      <w:pPr>
        <w:pStyle w:val="TableNote"/>
      </w:pPr>
      <w:r w:rsidRPr="0004128C">
        <w:t xml:space="preserve">AE </w:t>
      </w:r>
      <w:r w:rsidRPr="00652355">
        <w:rPr>
          <w:spacing w:val="-20"/>
        </w:rPr>
        <w:t xml:space="preserve">= </w:t>
      </w:r>
      <w:r w:rsidRPr="0004128C">
        <w:t>adverse</w:t>
      </w:r>
      <w:r w:rsidR="0004128C" w:rsidRPr="0004128C">
        <w:t xml:space="preserve"> event</w:t>
      </w:r>
    </w:p>
    <w:p w:rsidR="0004128C" w:rsidRPr="0004128C" w:rsidRDefault="0004128C" w:rsidP="00A979FB">
      <w:pPr>
        <w:pStyle w:val="Heading4"/>
      </w:pPr>
      <w:bookmarkStart w:id="137" w:name="_Toc402350979"/>
      <w:r w:rsidRPr="0004128C">
        <w:t>Extended assessment of harms</w:t>
      </w:r>
      <w:bookmarkEnd w:id="137"/>
    </w:p>
    <w:p w:rsidR="0004128C" w:rsidRPr="0004128C" w:rsidRDefault="0004128C" w:rsidP="0004128C">
      <w:r w:rsidRPr="0004128C">
        <w:t xml:space="preserve">The summary of safety provided in this section for velaglucerase alfa and miglustat is based on Periodic Safety Update Reports (PSURs) presented in </w:t>
      </w:r>
      <w:r w:rsidR="00204342">
        <w:t>confidential s</w:t>
      </w:r>
      <w:r w:rsidRPr="0004128C">
        <w:t xml:space="preserve">ubmissions to the Post Market Review (PMR) of the Life Savings Drugs program (LSDP). The summary of safety experience with imiglucerase is based on a review of data between 1994 and 2004 by Starzyk et al (2007), which provides more comprehensive data than available in the PSUR for the time period 2001 – 2002. </w:t>
      </w:r>
    </w:p>
    <w:p w:rsidR="0004128C" w:rsidRPr="0004128C" w:rsidRDefault="0004128C" w:rsidP="00A979FB">
      <w:pPr>
        <w:pStyle w:val="Heading5"/>
      </w:pPr>
      <w:r w:rsidRPr="0004128C">
        <w:rPr>
          <w:rFonts w:ascii="Arial Bold" w:hAnsi="Arial Bold"/>
          <w:smallCaps/>
        </w:rPr>
        <w:t xml:space="preserve">Imiglucerase </w:t>
      </w:r>
      <w:r w:rsidRPr="0004128C">
        <w:t xml:space="preserve">(Cerezyme® / Sponsor: Genzyme): </w:t>
      </w:r>
    </w:p>
    <w:p w:rsidR="00477C2C" w:rsidRPr="0004128C" w:rsidRDefault="00477C2C" w:rsidP="00477C2C">
      <w:r w:rsidRPr="0004128C">
        <w:t>Adverse events reported spontaneously between 1994 and 2004 were reviewed and categori</w:t>
      </w:r>
      <w:r>
        <w:t>sed</w:t>
      </w:r>
      <w:r w:rsidRPr="0004128C">
        <w:t xml:space="preserve"> </w:t>
      </w:r>
      <w:r>
        <w:t>using</w:t>
      </w:r>
      <w:r w:rsidRPr="0004128C">
        <w:t xml:space="preserve"> the System Organ Class </w:t>
      </w:r>
      <w:r w:rsidR="0004128C" w:rsidRPr="0004128C">
        <w:t xml:space="preserve">(SOC). Between 1994 and 1997 only limited data were available, and specific rates are not presented. </w:t>
      </w:r>
      <w:r w:rsidRPr="0004128C">
        <w:t xml:space="preserve">A total of 59 adverse events were reported during this period, and 44 of these were reported as related to imiglucerase or not </w:t>
      </w:r>
      <w:r w:rsidRPr="0004128C">
        <w:lastRenderedPageBreak/>
        <w:t xml:space="preserve">able to be assessed. </w:t>
      </w:r>
      <w:r>
        <w:t>A</w:t>
      </w:r>
      <w:r w:rsidRPr="0004128C">
        <w:t xml:space="preserve">dverse events </w:t>
      </w:r>
      <w:r>
        <w:t>that</w:t>
      </w:r>
      <w:r w:rsidRPr="0004128C">
        <w:t xml:space="preserve"> were reported four or more times were: nausea, vomiting, headache, pruritus, urticaria, rash, chest pain or </w:t>
      </w:r>
      <w:r>
        <w:t xml:space="preserve">chest </w:t>
      </w:r>
      <w:r w:rsidRPr="0004128C">
        <w:t>tightness, fatigue or asthenia, malaise, flushing or dys</w:t>
      </w:r>
      <w:r>
        <w:t>p</w:t>
      </w:r>
      <w:r w:rsidRPr="0004128C">
        <w:t xml:space="preserve">noea </w:t>
      </w:r>
      <w:r w:rsidR="00A130D0">
        <w:rPr>
          <w:noProof/>
        </w:rPr>
        <w:t>(</w:t>
      </w:r>
      <w:r w:rsidR="00184B6F">
        <w:rPr>
          <w:noProof/>
        </w:rPr>
        <w:t>Starzyk et al. 2007</w:t>
      </w:r>
      <w:r w:rsidR="00A130D0">
        <w:rPr>
          <w:noProof/>
        </w:rPr>
        <w:t>)</w:t>
      </w:r>
      <w:r w:rsidRPr="0004128C">
        <w:t>. Most of these were managed successfully by using a slower rate of infusion and/or by pre</w:t>
      </w:r>
      <w:r w:rsidR="00F462A2">
        <w:t>-</w:t>
      </w:r>
      <w:r w:rsidRPr="0004128C">
        <w:t>treat</w:t>
      </w:r>
      <w:r>
        <w:t>ing patients with</w:t>
      </w:r>
      <w:r w:rsidRPr="0004128C">
        <w:t xml:space="preserve"> anti-pyretics or antihistamines. </w:t>
      </w:r>
    </w:p>
    <w:p w:rsidR="00477C2C" w:rsidRPr="0004128C" w:rsidRDefault="00477C2C" w:rsidP="00477C2C">
      <w:r w:rsidRPr="0004128C">
        <w:t>Between 1997 and 2004, imiglucerase was used more widely. By the end of 1997, there were 2</w:t>
      </w:r>
      <w:r>
        <w:t>,</w:t>
      </w:r>
      <w:r w:rsidRPr="0004128C">
        <w:t>184 patients receiving enzyme replacement therapy, 753 (34%) with alglucerase, and 1</w:t>
      </w:r>
      <w:r>
        <w:t>,</w:t>
      </w:r>
      <w:r w:rsidRPr="0004128C">
        <w:t xml:space="preserve">431 (66%) with imiglucerase. The majority of patients </w:t>
      </w:r>
      <w:r>
        <w:t>receiving</w:t>
      </w:r>
      <w:r w:rsidRPr="0004128C">
        <w:t xml:space="preserve"> imiglucerase (80%) had transferred from treatment with alglucerase, 17% were ERT naïve prior to imiglucerase</w:t>
      </w:r>
      <w:r>
        <w:t xml:space="preserve"> treatment</w:t>
      </w:r>
      <w:r w:rsidRPr="0004128C">
        <w:t>, and 3% had received imiglucerase during a clinical trial. By 2004, approximately 4</w:t>
      </w:r>
      <w:r>
        <w:t>,</w:t>
      </w:r>
      <w:r w:rsidRPr="0004128C">
        <w:t>200 patients were receiving imiglucerase world-wide</w:t>
      </w:r>
      <w:r>
        <w:t xml:space="preserve"> </w:t>
      </w:r>
      <w:r w:rsidR="00A130D0">
        <w:rPr>
          <w:noProof/>
        </w:rPr>
        <w:t>(</w:t>
      </w:r>
      <w:r w:rsidR="00184B6F">
        <w:rPr>
          <w:noProof/>
        </w:rPr>
        <w:t>Starzyk et al. 2007</w:t>
      </w:r>
      <w:r w:rsidR="00A130D0">
        <w:rPr>
          <w:noProof/>
        </w:rPr>
        <w:t>)</w:t>
      </w:r>
      <w:r w:rsidRPr="0004128C">
        <w:t xml:space="preserve">. </w:t>
      </w:r>
    </w:p>
    <w:p w:rsidR="0004128C" w:rsidRPr="00477C2C" w:rsidRDefault="00477C2C" w:rsidP="00477C2C">
      <w:r w:rsidRPr="0004128C">
        <w:t xml:space="preserve">The most common adverse events reported are shown in </w:t>
      </w:r>
      <w:r w:rsidR="00A72B26" w:rsidRPr="00BD10C7">
        <w:t xml:space="preserve">Table </w:t>
      </w:r>
      <w:r w:rsidR="00A72B26">
        <w:rPr>
          <w:noProof/>
        </w:rPr>
        <w:t>17</w:t>
      </w:r>
      <w:r w:rsidRPr="0004128C">
        <w:t xml:space="preserve">, categorised by System Organ Class, and </w:t>
      </w:r>
      <w:r>
        <w:t xml:space="preserve">by </w:t>
      </w:r>
      <w:r w:rsidRPr="0004128C">
        <w:t>whether the adverse event was likely related to imiglucerase. Each of these adverse events occurred in less than 1% of the total treated patient population. Significant adverse events, such as anaphylaxis</w:t>
      </w:r>
      <w:r>
        <w:t>,</w:t>
      </w:r>
      <w:r w:rsidRPr="0004128C">
        <w:t xml:space="preserve"> were very rare. The most frequent adverse events were non-serious infusion-associated reactions, which were managed by decreasing the rate of infusion</w:t>
      </w:r>
      <w:r>
        <w:t xml:space="preserve"> </w:t>
      </w:r>
      <w:r w:rsidRPr="0004128C">
        <w:t>and through the use of antihistamines. In patients with significant reactions, temporary dose reductions were used, but most patients returned to the regular infusion rate without additional pre</w:t>
      </w:r>
      <w:r w:rsidR="00F462A2">
        <w:t>-</w:t>
      </w:r>
      <w:r w:rsidRPr="0004128C">
        <w:t>treatment. Four patients who had experienced severe infusion reactions discontinued treatment with imiglucerase</w:t>
      </w:r>
      <w:r>
        <w:t>. I</w:t>
      </w:r>
      <w:r w:rsidRPr="0004128C">
        <w:t>t is not known whether the discontinuation was due to</w:t>
      </w:r>
      <w:r w:rsidR="0004128C" w:rsidRPr="0004128C">
        <w:t xml:space="preserve"> tolerability</w:t>
      </w:r>
      <w:r>
        <w:t xml:space="preserve"> </w:t>
      </w:r>
      <w:r w:rsidR="00A130D0">
        <w:rPr>
          <w:noProof/>
        </w:rPr>
        <w:t>(</w:t>
      </w:r>
      <w:r w:rsidR="00184B6F">
        <w:rPr>
          <w:noProof/>
        </w:rPr>
        <w:t>Starzyk et al. 2007</w:t>
      </w:r>
      <w:r w:rsidR="00A130D0">
        <w:rPr>
          <w:noProof/>
        </w:rPr>
        <w:t>)</w:t>
      </w:r>
      <w:r w:rsidR="0004128C" w:rsidRPr="0004128C">
        <w:t xml:space="preserve">. </w:t>
      </w:r>
    </w:p>
    <w:p w:rsidR="0004128C" w:rsidRPr="00BD10C7" w:rsidRDefault="0004128C" w:rsidP="00F44176">
      <w:pPr>
        <w:pStyle w:val="Caption"/>
        <w:keepNext/>
        <w:tabs>
          <w:tab w:val="clear" w:pos="851"/>
          <w:tab w:val="left" w:pos="1134"/>
        </w:tabs>
        <w:ind w:left="1134" w:hanging="1134"/>
      </w:pPr>
      <w:bookmarkStart w:id="138" w:name="_Ref404935944"/>
      <w:bookmarkStart w:id="139" w:name="_Toc411510401"/>
      <w:bookmarkStart w:id="140" w:name="_Toc415141814"/>
      <w:r w:rsidRPr="00BD10C7">
        <w:lastRenderedPageBreak/>
        <w:t xml:space="preserve">Table </w:t>
      </w:r>
      <w:r w:rsidR="00A72B26">
        <w:rPr>
          <w:noProof/>
        </w:rPr>
        <w:t>17</w:t>
      </w:r>
      <w:bookmarkEnd w:id="138"/>
      <w:r w:rsidRPr="00BD10C7">
        <w:tab/>
        <w:t>Most common adverse events from imiglucerase by system organ class (1997-2004)</w:t>
      </w:r>
      <w:bookmarkEnd w:id="139"/>
      <w:bookmarkEnd w:id="140"/>
    </w:p>
    <w:tbl>
      <w:tblPr>
        <w:tblStyle w:val="TableGrid"/>
        <w:tblW w:w="5000" w:type="pct"/>
        <w:tblLook w:val="04A0" w:firstRow="1" w:lastRow="0" w:firstColumn="1" w:lastColumn="0" w:noHBand="0" w:noVBand="1"/>
        <w:tblCaption w:val="Table 16 Most common adverse events from imiglucerase by system organ class (1997-2004)"/>
      </w:tblPr>
      <w:tblGrid>
        <w:gridCol w:w="4785"/>
        <w:gridCol w:w="2268"/>
        <w:gridCol w:w="2189"/>
      </w:tblGrid>
      <w:tr w:rsidR="0004128C" w:rsidRPr="0004128C" w:rsidTr="00712231">
        <w:trPr>
          <w:tblHeader/>
        </w:trPr>
        <w:tc>
          <w:tcPr>
            <w:tcW w:w="2589" w:type="pct"/>
          </w:tcPr>
          <w:p w:rsidR="0004128C" w:rsidRPr="0004128C" w:rsidRDefault="0004128C" w:rsidP="00477C2C">
            <w:pPr>
              <w:keepNext/>
              <w:spacing w:before="40"/>
              <w:jc w:val="left"/>
              <w:rPr>
                <w:rFonts w:ascii="Arial Narrow" w:hAnsi="Arial Narrow"/>
                <w:b/>
                <w:sz w:val="20"/>
                <w:szCs w:val="20"/>
              </w:rPr>
            </w:pPr>
            <w:r w:rsidRPr="0004128C">
              <w:rPr>
                <w:rFonts w:ascii="Arial Narrow" w:hAnsi="Arial Narrow"/>
                <w:b/>
                <w:sz w:val="20"/>
                <w:szCs w:val="20"/>
              </w:rPr>
              <w:t>System organ class and adverse event</w:t>
            </w:r>
          </w:p>
        </w:tc>
        <w:tc>
          <w:tcPr>
            <w:tcW w:w="1227" w:type="pct"/>
            <w:tcBorders>
              <w:bottom w:val="single" w:sz="4" w:space="0" w:color="000000"/>
              <w:right w:val="single" w:sz="4" w:space="0" w:color="auto"/>
            </w:tcBorders>
          </w:tcPr>
          <w:p w:rsidR="0004128C" w:rsidRPr="0004128C" w:rsidRDefault="0004128C" w:rsidP="00477C2C">
            <w:pPr>
              <w:keepNext/>
              <w:spacing w:before="40"/>
              <w:jc w:val="left"/>
              <w:rPr>
                <w:rFonts w:ascii="Arial Narrow" w:hAnsi="Arial Narrow"/>
                <w:b/>
                <w:sz w:val="20"/>
                <w:szCs w:val="20"/>
              </w:rPr>
            </w:pPr>
            <w:r w:rsidRPr="0004128C">
              <w:rPr>
                <w:rFonts w:ascii="Arial Narrow" w:hAnsi="Arial Narrow"/>
                <w:b/>
                <w:sz w:val="20"/>
                <w:szCs w:val="20"/>
              </w:rPr>
              <w:t>Related events</w:t>
            </w:r>
          </w:p>
        </w:tc>
        <w:tc>
          <w:tcPr>
            <w:tcW w:w="1184" w:type="pct"/>
            <w:tcBorders>
              <w:left w:val="single" w:sz="4" w:space="0" w:color="auto"/>
            </w:tcBorders>
          </w:tcPr>
          <w:p w:rsidR="0004128C" w:rsidRPr="0004128C" w:rsidRDefault="0004128C" w:rsidP="00477C2C">
            <w:pPr>
              <w:keepNext/>
              <w:spacing w:before="40"/>
              <w:jc w:val="left"/>
              <w:rPr>
                <w:rFonts w:ascii="Arial Narrow" w:hAnsi="Arial Narrow"/>
                <w:b/>
                <w:sz w:val="20"/>
                <w:szCs w:val="20"/>
              </w:rPr>
            </w:pPr>
            <w:r w:rsidRPr="0004128C">
              <w:rPr>
                <w:rFonts w:ascii="Arial Narrow" w:hAnsi="Arial Narrow"/>
                <w:b/>
                <w:sz w:val="20"/>
                <w:szCs w:val="20"/>
              </w:rPr>
              <w:t xml:space="preserve">All events </w:t>
            </w:r>
          </w:p>
        </w:tc>
      </w:tr>
      <w:tr w:rsidR="0004128C" w:rsidRPr="0004128C" w:rsidTr="0004128C">
        <w:tc>
          <w:tcPr>
            <w:tcW w:w="2589" w:type="pct"/>
            <w:tcBorders>
              <w:bottom w:val="nil"/>
            </w:tcBorders>
          </w:tcPr>
          <w:p w:rsidR="0004128C" w:rsidRPr="0004128C" w:rsidRDefault="0004128C" w:rsidP="00477C2C">
            <w:pPr>
              <w:keepNext/>
              <w:spacing w:before="40"/>
              <w:jc w:val="left"/>
              <w:rPr>
                <w:rFonts w:ascii="Arial Narrow" w:hAnsi="Arial Narrow"/>
                <w:b/>
                <w:sz w:val="20"/>
                <w:szCs w:val="20"/>
              </w:rPr>
            </w:pPr>
            <w:r w:rsidRPr="0004128C">
              <w:rPr>
                <w:rFonts w:ascii="Arial Narrow" w:hAnsi="Arial Narrow"/>
                <w:b/>
                <w:sz w:val="20"/>
                <w:szCs w:val="20"/>
              </w:rPr>
              <w:t>General disorders and administration site reactions</w:t>
            </w:r>
          </w:p>
        </w:tc>
        <w:tc>
          <w:tcPr>
            <w:tcW w:w="1227" w:type="pct"/>
            <w:tcBorders>
              <w:top w:val="nil"/>
              <w:bottom w:val="nil"/>
              <w:righ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161</w:t>
            </w:r>
          </w:p>
        </w:tc>
        <w:tc>
          <w:tcPr>
            <w:tcW w:w="1184" w:type="pct"/>
            <w:tcBorders>
              <w:left w:val="single" w:sz="4" w:space="0" w:color="auto"/>
              <w:bottom w:val="nil"/>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455</w:t>
            </w:r>
          </w:p>
        </w:tc>
      </w:tr>
      <w:tr w:rsidR="0004128C" w:rsidRPr="0004128C" w:rsidTr="0004128C">
        <w:tc>
          <w:tcPr>
            <w:tcW w:w="2589" w:type="pct"/>
            <w:tcBorders>
              <w:top w:val="nil"/>
              <w:bottom w:val="nil"/>
            </w:tcBorders>
          </w:tcPr>
          <w:p w:rsidR="0004128C" w:rsidRPr="0004128C" w:rsidRDefault="0004128C" w:rsidP="00477C2C">
            <w:pPr>
              <w:keepNext/>
              <w:spacing w:before="40"/>
              <w:ind w:left="567"/>
              <w:jc w:val="left"/>
              <w:rPr>
                <w:rFonts w:ascii="Arial Narrow" w:hAnsi="Arial Narrow"/>
                <w:sz w:val="20"/>
                <w:szCs w:val="20"/>
              </w:rPr>
            </w:pPr>
            <w:r w:rsidRPr="0004128C">
              <w:rPr>
                <w:rFonts w:ascii="Arial Narrow" w:hAnsi="Arial Narrow"/>
                <w:sz w:val="20"/>
                <w:szCs w:val="20"/>
              </w:rPr>
              <w:t>Pyrexia</w:t>
            </w:r>
          </w:p>
        </w:tc>
        <w:tc>
          <w:tcPr>
            <w:tcW w:w="1227" w:type="pct"/>
            <w:tcBorders>
              <w:top w:val="nil"/>
              <w:bottom w:val="nil"/>
              <w:righ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25</w:t>
            </w:r>
          </w:p>
        </w:tc>
        <w:tc>
          <w:tcPr>
            <w:tcW w:w="1184" w:type="pct"/>
            <w:tcBorders>
              <w:top w:val="nil"/>
              <w:left w:val="single" w:sz="4" w:space="0" w:color="auto"/>
              <w:bottom w:val="nil"/>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80</w:t>
            </w:r>
          </w:p>
        </w:tc>
      </w:tr>
      <w:tr w:rsidR="0004128C" w:rsidRPr="0004128C" w:rsidTr="0004128C">
        <w:tc>
          <w:tcPr>
            <w:tcW w:w="2589" w:type="pct"/>
            <w:tcBorders>
              <w:top w:val="nil"/>
              <w:bottom w:val="nil"/>
            </w:tcBorders>
          </w:tcPr>
          <w:p w:rsidR="0004128C" w:rsidRPr="0004128C" w:rsidRDefault="0004128C" w:rsidP="00477C2C">
            <w:pPr>
              <w:keepNext/>
              <w:spacing w:before="40"/>
              <w:ind w:left="567"/>
              <w:jc w:val="left"/>
              <w:rPr>
                <w:rFonts w:ascii="Arial Narrow" w:hAnsi="Arial Narrow"/>
                <w:sz w:val="20"/>
                <w:szCs w:val="20"/>
              </w:rPr>
            </w:pPr>
            <w:r w:rsidRPr="0004128C">
              <w:rPr>
                <w:rFonts w:ascii="Arial Narrow" w:hAnsi="Arial Narrow"/>
                <w:sz w:val="20"/>
                <w:szCs w:val="20"/>
              </w:rPr>
              <w:t>Chills</w:t>
            </w:r>
          </w:p>
        </w:tc>
        <w:tc>
          <w:tcPr>
            <w:tcW w:w="1227" w:type="pct"/>
            <w:tcBorders>
              <w:top w:val="nil"/>
              <w:bottom w:val="nil"/>
              <w:righ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21</w:t>
            </w:r>
          </w:p>
        </w:tc>
        <w:tc>
          <w:tcPr>
            <w:tcW w:w="1184" w:type="pct"/>
            <w:tcBorders>
              <w:top w:val="nil"/>
              <w:left w:val="single" w:sz="4" w:space="0" w:color="auto"/>
              <w:bottom w:val="nil"/>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55</w:t>
            </w:r>
          </w:p>
        </w:tc>
      </w:tr>
      <w:tr w:rsidR="0004128C" w:rsidRPr="0004128C" w:rsidTr="0004128C">
        <w:tc>
          <w:tcPr>
            <w:tcW w:w="2589" w:type="pct"/>
            <w:tcBorders>
              <w:top w:val="nil"/>
            </w:tcBorders>
          </w:tcPr>
          <w:p w:rsidR="0004128C" w:rsidRPr="0004128C" w:rsidRDefault="0004128C" w:rsidP="00477C2C">
            <w:pPr>
              <w:keepNext/>
              <w:spacing w:before="40"/>
              <w:ind w:left="567"/>
              <w:jc w:val="left"/>
              <w:rPr>
                <w:rFonts w:ascii="Arial Narrow" w:hAnsi="Arial Narrow"/>
                <w:sz w:val="20"/>
                <w:szCs w:val="20"/>
              </w:rPr>
            </w:pPr>
            <w:r w:rsidRPr="0004128C">
              <w:rPr>
                <w:rFonts w:ascii="Arial Narrow" w:hAnsi="Arial Narrow"/>
                <w:sz w:val="20"/>
                <w:szCs w:val="20"/>
              </w:rPr>
              <w:t>Chest discomfort</w:t>
            </w:r>
          </w:p>
        </w:tc>
        <w:tc>
          <w:tcPr>
            <w:tcW w:w="1227" w:type="pct"/>
            <w:tcBorders>
              <w:top w:val="nil"/>
              <w:bottom w:val="single" w:sz="4" w:space="0" w:color="auto"/>
              <w:righ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22</w:t>
            </w:r>
          </w:p>
        </w:tc>
        <w:tc>
          <w:tcPr>
            <w:tcW w:w="1184" w:type="pct"/>
            <w:tcBorders>
              <w:top w:val="nil"/>
              <w:lef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44</w:t>
            </w:r>
          </w:p>
        </w:tc>
      </w:tr>
      <w:tr w:rsidR="0004128C" w:rsidRPr="0004128C" w:rsidTr="0004128C">
        <w:tc>
          <w:tcPr>
            <w:tcW w:w="2589" w:type="pct"/>
            <w:tcBorders>
              <w:bottom w:val="nil"/>
            </w:tcBorders>
          </w:tcPr>
          <w:p w:rsidR="0004128C" w:rsidRPr="0004128C" w:rsidRDefault="0004128C" w:rsidP="00477C2C">
            <w:pPr>
              <w:keepNext/>
              <w:spacing w:before="40"/>
              <w:jc w:val="left"/>
              <w:rPr>
                <w:rFonts w:ascii="Arial Narrow" w:hAnsi="Arial Narrow"/>
                <w:b/>
                <w:sz w:val="20"/>
                <w:szCs w:val="20"/>
              </w:rPr>
            </w:pPr>
            <w:r w:rsidRPr="0004128C">
              <w:rPr>
                <w:rFonts w:ascii="Arial Narrow" w:hAnsi="Arial Narrow"/>
                <w:b/>
                <w:sz w:val="20"/>
                <w:szCs w:val="20"/>
              </w:rPr>
              <w:t>Skin and subcutaneous tissue disorders</w:t>
            </w:r>
          </w:p>
        </w:tc>
        <w:tc>
          <w:tcPr>
            <w:tcW w:w="1227" w:type="pct"/>
            <w:tcBorders>
              <w:top w:val="single" w:sz="4" w:space="0" w:color="auto"/>
              <w:bottom w:val="nil"/>
              <w:righ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117</w:t>
            </w:r>
          </w:p>
        </w:tc>
        <w:tc>
          <w:tcPr>
            <w:tcW w:w="1184" w:type="pct"/>
            <w:tcBorders>
              <w:left w:val="single" w:sz="4" w:space="0" w:color="auto"/>
              <w:bottom w:val="nil"/>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325</w:t>
            </w:r>
          </w:p>
        </w:tc>
      </w:tr>
      <w:tr w:rsidR="0004128C" w:rsidRPr="0004128C" w:rsidTr="0004128C">
        <w:tc>
          <w:tcPr>
            <w:tcW w:w="2589" w:type="pct"/>
            <w:tcBorders>
              <w:top w:val="nil"/>
              <w:bottom w:val="nil"/>
            </w:tcBorders>
          </w:tcPr>
          <w:p w:rsidR="0004128C" w:rsidRPr="0004128C" w:rsidRDefault="0004128C" w:rsidP="00477C2C">
            <w:pPr>
              <w:keepNext/>
              <w:spacing w:before="40"/>
              <w:ind w:left="567"/>
              <w:jc w:val="left"/>
              <w:rPr>
                <w:rFonts w:ascii="Arial Narrow" w:hAnsi="Arial Narrow"/>
                <w:sz w:val="20"/>
                <w:szCs w:val="20"/>
              </w:rPr>
            </w:pPr>
            <w:r w:rsidRPr="0004128C">
              <w:rPr>
                <w:rFonts w:ascii="Arial Narrow" w:hAnsi="Arial Narrow"/>
                <w:sz w:val="20"/>
                <w:szCs w:val="20"/>
              </w:rPr>
              <w:t>Pruritus</w:t>
            </w:r>
          </w:p>
        </w:tc>
        <w:tc>
          <w:tcPr>
            <w:tcW w:w="1227" w:type="pct"/>
            <w:tcBorders>
              <w:top w:val="nil"/>
              <w:bottom w:val="nil"/>
              <w:righ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28</w:t>
            </w:r>
          </w:p>
        </w:tc>
        <w:tc>
          <w:tcPr>
            <w:tcW w:w="1184" w:type="pct"/>
            <w:tcBorders>
              <w:top w:val="nil"/>
              <w:left w:val="single" w:sz="4" w:space="0" w:color="auto"/>
              <w:bottom w:val="nil"/>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82</w:t>
            </w:r>
          </w:p>
        </w:tc>
      </w:tr>
      <w:tr w:rsidR="0004128C" w:rsidRPr="0004128C" w:rsidTr="0004128C">
        <w:tc>
          <w:tcPr>
            <w:tcW w:w="2589" w:type="pct"/>
            <w:tcBorders>
              <w:top w:val="nil"/>
              <w:bottom w:val="nil"/>
            </w:tcBorders>
          </w:tcPr>
          <w:p w:rsidR="0004128C" w:rsidRPr="0004128C" w:rsidRDefault="0004128C" w:rsidP="00477C2C">
            <w:pPr>
              <w:keepNext/>
              <w:spacing w:before="40"/>
              <w:ind w:left="567"/>
              <w:jc w:val="left"/>
              <w:rPr>
                <w:rFonts w:ascii="Arial Narrow" w:hAnsi="Arial Narrow"/>
                <w:sz w:val="20"/>
                <w:szCs w:val="20"/>
              </w:rPr>
            </w:pPr>
            <w:r w:rsidRPr="0004128C">
              <w:rPr>
                <w:rFonts w:ascii="Arial Narrow" w:hAnsi="Arial Narrow"/>
                <w:sz w:val="20"/>
                <w:szCs w:val="20"/>
              </w:rPr>
              <w:t>Rash</w:t>
            </w:r>
          </w:p>
        </w:tc>
        <w:tc>
          <w:tcPr>
            <w:tcW w:w="1227" w:type="pct"/>
            <w:tcBorders>
              <w:top w:val="nil"/>
              <w:bottom w:val="nil"/>
              <w:righ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23</w:t>
            </w:r>
          </w:p>
        </w:tc>
        <w:tc>
          <w:tcPr>
            <w:tcW w:w="1184" w:type="pct"/>
            <w:tcBorders>
              <w:top w:val="nil"/>
              <w:left w:val="single" w:sz="4" w:space="0" w:color="auto"/>
              <w:bottom w:val="nil"/>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67</w:t>
            </w:r>
          </w:p>
        </w:tc>
      </w:tr>
      <w:tr w:rsidR="0004128C" w:rsidRPr="0004128C" w:rsidTr="0004128C">
        <w:tc>
          <w:tcPr>
            <w:tcW w:w="2589" w:type="pct"/>
            <w:tcBorders>
              <w:top w:val="nil"/>
            </w:tcBorders>
          </w:tcPr>
          <w:p w:rsidR="0004128C" w:rsidRPr="0004128C" w:rsidRDefault="0004128C" w:rsidP="00477C2C">
            <w:pPr>
              <w:keepNext/>
              <w:spacing w:before="40"/>
              <w:ind w:left="567"/>
              <w:jc w:val="left"/>
              <w:rPr>
                <w:rFonts w:ascii="Arial Narrow" w:hAnsi="Arial Narrow"/>
                <w:sz w:val="20"/>
                <w:szCs w:val="20"/>
              </w:rPr>
            </w:pPr>
            <w:r w:rsidRPr="0004128C">
              <w:rPr>
                <w:rFonts w:ascii="Arial Narrow" w:hAnsi="Arial Narrow"/>
                <w:sz w:val="20"/>
                <w:szCs w:val="20"/>
              </w:rPr>
              <w:t>Urticaria</w:t>
            </w:r>
          </w:p>
        </w:tc>
        <w:tc>
          <w:tcPr>
            <w:tcW w:w="1227" w:type="pct"/>
            <w:tcBorders>
              <w:top w:val="nil"/>
              <w:bottom w:val="single" w:sz="4" w:space="0" w:color="auto"/>
              <w:righ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24</w:t>
            </w:r>
          </w:p>
        </w:tc>
        <w:tc>
          <w:tcPr>
            <w:tcW w:w="1184" w:type="pct"/>
            <w:tcBorders>
              <w:top w:val="nil"/>
              <w:lef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60</w:t>
            </w:r>
          </w:p>
        </w:tc>
      </w:tr>
      <w:tr w:rsidR="0004128C" w:rsidRPr="0004128C" w:rsidTr="0004128C">
        <w:tc>
          <w:tcPr>
            <w:tcW w:w="2589" w:type="pct"/>
            <w:tcBorders>
              <w:bottom w:val="nil"/>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b/>
                <w:sz w:val="20"/>
                <w:szCs w:val="20"/>
              </w:rPr>
              <w:t>Respiratory, thoracic, and mediastinal disorders</w:t>
            </w:r>
          </w:p>
        </w:tc>
        <w:tc>
          <w:tcPr>
            <w:tcW w:w="1227" w:type="pct"/>
            <w:tcBorders>
              <w:top w:val="single" w:sz="4" w:space="0" w:color="auto"/>
              <w:bottom w:val="nil"/>
              <w:righ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88</w:t>
            </w:r>
          </w:p>
        </w:tc>
        <w:tc>
          <w:tcPr>
            <w:tcW w:w="1184" w:type="pct"/>
            <w:tcBorders>
              <w:left w:val="single" w:sz="4" w:space="0" w:color="auto"/>
              <w:bottom w:val="nil"/>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75</w:t>
            </w:r>
          </w:p>
        </w:tc>
      </w:tr>
      <w:tr w:rsidR="0004128C" w:rsidRPr="0004128C" w:rsidTr="0004128C">
        <w:tc>
          <w:tcPr>
            <w:tcW w:w="2589" w:type="pct"/>
            <w:tcBorders>
              <w:top w:val="nil"/>
              <w:bottom w:val="nil"/>
            </w:tcBorders>
          </w:tcPr>
          <w:p w:rsidR="0004128C" w:rsidRPr="0004128C" w:rsidRDefault="0004128C" w:rsidP="00477C2C">
            <w:pPr>
              <w:keepNext/>
              <w:spacing w:before="40"/>
              <w:ind w:left="567"/>
              <w:jc w:val="left"/>
              <w:rPr>
                <w:rFonts w:ascii="Arial Narrow" w:hAnsi="Arial Narrow"/>
                <w:sz w:val="20"/>
                <w:szCs w:val="20"/>
              </w:rPr>
            </w:pPr>
            <w:r w:rsidRPr="0004128C">
              <w:rPr>
                <w:rFonts w:ascii="Arial Narrow" w:hAnsi="Arial Narrow"/>
                <w:sz w:val="20"/>
                <w:szCs w:val="20"/>
              </w:rPr>
              <w:t>Dyspnoea</w:t>
            </w:r>
          </w:p>
        </w:tc>
        <w:tc>
          <w:tcPr>
            <w:tcW w:w="1227" w:type="pct"/>
            <w:tcBorders>
              <w:top w:val="nil"/>
              <w:bottom w:val="nil"/>
              <w:righ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28</w:t>
            </w:r>
          </w:p>
        </w:tc>
        <w:tc>
          <w:tcPr>
            <w:tcW w:w="1184" w:type="pct"/>
            <w:tcBorders>
              <w:top w:val="nil"/>
              <w:left w:val="single" w:sz="4" w:space="0" w:color="auto"/>
              <w:bottom w:val="nil"/>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75</w:t>
            </w:r>
          </w:p>
        </w:tc>
      </w:tr>
      <w:tr w:rsidR="0004128C" w:rsidRPr="0004128C" w:rsidTr="0004128C">
        <w:tc>
          <w:tcPr>
            <w:tcW w:w="2589" w:type="pct"/>
            <w:tcBorders>
              <w:top w:val="nil"/>
              <w:bottom w:val="nil"/>
            </w:tcBorders>
          </w:tcPr>
          <w:p w:rsidR="0004128C" w:rsidRPr="0004128C" w:rsidRDefault="0004128C" w:rsidP="00477C2C">
            <w:pPr>
              <w:keepNext/>
              <w:spacing w:before="40"/>
              <w:ind w:left="567"/>
              <w:jc w:val="left"/>
              <w:rPr>
                <w:rFonts w:ascii="Arial Narrow" w:hAnsi="Arial Narrow"/>
                <w:sz w:val="20"/>
                <w:szCs w:val="20"/>
              </w:rPr>
            </w:pPr>
            <w:r w:rsidRPr="0004128C">
              <w:rPr>
                <w:rFonts w:ascii="Arial Narrow" w:hAnsi="Arial Narrow"/>
                <w:sz w:val="20"/>
                <w:szCs w:val="20"/>
              </w:rPr>
              <w:t>Cough</w:t>
            </w:r>
          </w:p>
        </w:tc>
        <w:tc>
          <w:tcPr>
            <w:tcW w:w="1227" w:type="pct"/>
            <w:tcBorders>
              <w:top w:val="nil"/>
              <w:bottom w:val="nil"/>
              <w:righ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12</w:t>
            </w:r>
          </w:p>
        </w:tc>
        <w:tc>
          <w:tcPr>
            <w:tcW w:w="1184" w:type="pct"/>
            <w:tcBorders>
              <w:top w:val="nil"/>
              <w:left w:val="single" w:sz="4" w:space="0" w:color="auto"/>
              <w:bottom w:val="nil"/>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32</w:t>
            </w:r>
          </w:p>
        </w:tc>
      </w:tr>
      <w:tr w:rsidR="0004128C" w:rsidRPr="0004128C" w:rsidTr="0004128C">
        <w:tc>
          <w:tcPr>
            <w:tcW w:w="2589" w:type="pct"/>
            <w:tcBorders>
              <w:top w:val="nil"/>
            </w:tcBorders>
          </w:tcPr>
          <w:p w:rsidR="0004128C" w:rsidRPr="0004128C" w:rsidRDefault="0004128C" w:rsidP="00477C2C">
            <w:pPr>
              <w:keepNext/>
              <w:spacing w:before="40"/>
              <w:ind w:left="567"/>
              <w:jc w:val="left"/>
              <w:rPr>
                <w:rFonts w:ascii="Arial Narrow" w:hAnsi="Arial Narrow"/>
                <w:sz w:val="20"/>
                <w:szCs w:val="20"/>
              </w:rPr>
            </w:pPr>
            <w:r w:rsidRPr="0004128C">
              <w:rPr>
                <w:rFonts w:ascii="Arial Narrow" w:hAnsi="Arial Narrow"/>
                <w:sz w:val="20"/>
                <w:szCs w:val="20"/>
              </w:rPr>
              <w:t>Throat irritation</w:t>
            </w:r>
          </w:p>
        </w:tc>
        <w:tc>
          <w:tcPr>
            <w:tcW w:w="1227" w:type="pct"/>
            <w:tcBorders>
              <w:top w:val="nil"/>
              <w:bottom w:val="single" w:sz="4" w:space="0" w:color="auto"/>
              <w:righ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9</w:t>
            </w:r>
          </w:p>
        </w:tc>
        <w:tc>
          <w:tcPr>
            <w:tcW w:w="1184" w:type="pct"/>
            <w:tcBorders>
              <w:top w:val="nil"/>
              <w:left w:val="single" w:sz="4" w:space="0" w:color="auto"/>
            </w:tcBorders>
          </w:tcPr>
          <w:p w:rsidR="0004128C" w:rsidRPr="0004128C" w:rsidRDefault="0004128C" w:rsidP="00477C2C">
            <w:pPr>
              <w:keepNext/>
              <w:spacing w:before="40"/>
              <w:jc w:val="left"/>
              <w:rPr>
                <w:rFonts w:ascii="Arial Narrow" w:hAnsi="Arial Narrow"/>
                <w:sz w:val="20"/>
                <w:szCs w:val="20"/>
              </w:rPr>
            </w:pPr>
            <w:r w:rsidRPr="0004128C">
              <w:rPr>
                <w:rFonts w:ascii="Arial Narrow" w:hAnsi="Arial Narrow"/>
                <w:sz w:val="20"/>
                <w:szCs w:val="20"/>
              </w:rPr>
              <w:t>11</w:t>
            </w:r>
          </w:p>
        </w:tc>
      </w:tr>
    </w:tbl>
    <w:p w:rsidR="0004128C" w:rsidRDefault="0004128C" w:rsidP="00477C2C">
      <w:pPr>
        <w:pStyle w:val="TableNote"/>
      </w:pPr>
      <w:r w:rsidRPr="0004128C">
        <w:t xml:space="preserve">Source: </w:t>
      </w:r>
      <w:r w:rsidR="00A130D0">
        <w:rPr>
          <w:noProof/>
        </w:rPr>
        <w:t>(</w:t>
      </w:r>
      <w:r w:rsidR="00184B6F">
        <w:rPr>
          <w:noProof/>
        </w:rPr>
        <w:t>Starzyk et al. 2007</w:t>
      </w:r>
      <w:r w:rsidR="00A130D0">
        <w:rPr>
          <w:noProof/>
        </w:rPr>
        <w:t>)</w:t>
      </w:r>
    </w:p>
    <w:p w:rsidR="00477C2C" w:rsidRPr="0004128C" w:rsidRDefault="00477C2C" w:rsidP="00477C2C">
      <w:pPr>
        <w:pStyle w:val="TableNote"/>
      </w:pPr>
    </w:p>
    <w:p w:rsidR="0004128C" w:rsidRPr="0004128C" w:rsidRDefault="00477C2C" w:rsidP="0004128C">
      <w:r w:rsidRPr="0004128C">
        <w:t>Antibody testing was voluntary, so only 1</w:t>
      </w:r>
      <w:r>
        <w:t>,</w:t>
      </w:r>
      <w:r w:rsidRPr="0004128C">
        <w:t>633 patients were tested and 1</w:t>
      </w:r>
      <w:r>
        <w:t>,</w:t>
      </w:r>
      <w:r w:rsidRPr="0004128C">
        <w:t xml:space="preserve">134 patients had </w:t>
      </w:r>
      <w:r>
        <w:t xml:space="preserve">a </w:t>
      </w:r>
      <w:r w:rsidRPr="0004128C">
        <w:t xml:space="preserve">baseline </w:t>
      </w:r>
      <w:r>
        <w:t xml:space="preserve">sample </w:t>
      </w:r>
      <w:r w:rsidRPr="0004128C">
        <w:t>and at least one post-</w:t>
      </w:r>
      <w:r>
        <w:t>treatment</w:t>
      </w:r>
      <w:r w:rsidRPr="0004128C">
        <w:t xml:space="preserve"> sample taken. The cumulative rate of seroconversion for IgG antibody formation was 15.6% between 1994 and 2005. Most patients who developed antibodies did so within the first 6 months of treatment</w:t>
      </w:r>
      <w:r>
        <w:t>. This</w:t>
      </w:r>
      <w:r w:rsidRPr="0004128C">
        <w:t xml:space="preserve"> rarely occurred after 12 months </w:t>
      </w:r>
      <w:r w:rsidR="0004128C" w:rsidRPr="0004128C">
        <w:t>of treatment</w:t>
      </w:r>
      <w:r>
        <w:t xml:space="preserve"> </w:t>
      </w:r>
      <w:r w:rsidR="00A130D0">
        <w:rPr>
          <w:noProof/>
        </w:rPr>
        <w:t>(</w:t>
      </w:r>
      <w:r w:rsidR="00184B6F">
        <w:rPr>
          <w:noProof/>
        </w:rPr>
        <w:t>Starzyk et al. 2007</w:t>
      </w:r>
      <w:r w:rsidR="00A130D0">
        <w:rPr>
          <w:noProof/>
        </w:rPr>
        <w:t>)</w:t>
      </w:r>
      <w:r w:rsidR="0004128C" w:rsidRPr="0004128C">
        <w:t xml:space="preserve">. </w:t>
      </w:r>
    </w:p>
    <w:p w:rsidR="004E3194" w:rsidRDefault="00A15438" w:rsidP="0004128C">
      <w:r>
        <w:t xml:space="preserve">Updated safety data on velaglucerase alfa and miglustat were provided in confidence to the </w:t>
      </w:r>
      <w:r w:rsidR="00FC49AF">
        <w:t xml:space="preserve">LSDP </w:t>
      </w:r>
      <w:r>
        <w:t xml:space="preserve">expert reference </w:t>
      </w:r>
      <w:r w:rsidR="004E3194">
        <w:t xml:space="preserve">group. </w:t>
      </w:r>
    </w:p>
    <w:p w:rsidR="0004128C" w:rsidRDefault="004E3194" w:rsidP="0004128C">
      <w:r>
        <w:t xml:space="preserve">Information was withheld from this draft report </w:t>
      </w:r>
      <w:r w:rsidR="00A15438">
        <w:t xml:space="preserve">at the request of the sponsors. </w:t>
      </w:r>
    </w:p>
    <w:p w:rsidR="004E3194" w:rsidRPr="00E965BD" w:rsidRDefault="004E3194" w:rsidP="004E3194">
      <w:pPr>
        <w:pStyle w:val="Caption"/>
        <w:keepNext/>
        <w:tabs>
          <w:tab w:val="clear" w:pos="851"/>
          <w:tab w:val="left" w:pos="1134"/>
        </w:tabs>
        <w:ind w:left="1134" w:hanging="1134"/>
        <w:rPr>
          <w:bCs w:val="0"/>
        </w:rPr>
      </w:pPr>
      <w:bookmarkStart w:id="141" w:name="_Ref403738194"/>
      <w:bookmarkStart w:id="142" w:name="_Toc411510402"/>
      <w:bookmarkStart w:id="143" w:name="_Toc415141815"/>
      <w:r w:rsidRPr="004E3194">
        <w:lastRenderedPageBreak/>
        <w:t xml:space="preserve">Table </w:t>
      </w:r>
      <w:r w:rsidRPr="004E3194">
        <w:rPr>
          <w:noProof/>
        </w:rPr>
        <w:t>18</w:t>
      </w:r>
      <w:bookmarkEnd w:id="141"/>
      <w:r w:rsidRPr="004E3194">
        <w:tab/>
        <w:t>Summary of adverse drug reactions associated with velaglucerase alfa</w:t>
      </w:r>
      <w:bookmarkEnd w:id="142"/>
      <w:bookmarkEnd w:id="143"/>
    </w:p>
    <w:tbl>
      <w:tblPr>
        <w:tblStyle w:val="TableGrid"/>
        <w:tblW w:w="5000" w:type="pct"/>
        <w:tblLook w:val="04A0" w:firstRow="1" w:lastRow="0" w:firstColumn="1" w:lastColumn="0" w:noHBand="0" w:noVBand="1"/>
        <w:tblCaption w:val="Table 17 Summary of adverse drug reactions associated with velaglucerase alfa"/>
      </w:tblPr>
      <w:tblGrid>
        <w:gridCol w:w="2660"/>
        <w:gridCol w:w="1843"/>
        <w:gridCol w:w="4739"/>
      </w:tblGrid>
      <w:tr w:rsidR="004E3194" w:rsidRPr="0004128C" w:rsidTr="00926546">
        <w:trPr>
          <w:tblHeader/>
        </w:trPr>
        <w:tc>
          <w:tcPr>
            <w:tcW w:w="1439" w:type="pct"/>
          </w:tcPr>
          <w:p w:rsidR="004E3194" w:rsidRPr="004E3194" w:rsidRDefault="004E3194" w:rsidP="00926546">
            <w:pPr>
              <w:pStyle w:val="TableHeading"/>
            </w:pPr>
            <w:r w:rsidRPr="004E3194">
              <w:t>System/Organ class</w:t>
            </w:r>
          </w:p>
        </w:tc>
        <w:tc>
          <w:tcPr>
            <w:tcW w:w="997" w:type="pct"/>
            <w:tcBorders>
              <w:bottom w:val="single" w:sz="4" w:space="0" w:color="000000"/>
              <w:right w:val="single" w:sz="4" w:space="0" w:color="auto"/>
            </w:tcBorders>
          </w:tcPr>
          <w:p w:rsidR="004E3194" w:rsidRPr="004E3194" w:rsidRDefault="004E3194" w:rsidP="00926546">
            <w:pPr>
              <w:pStyle w:val="TableHeading"/>
            </w:pPr>
            <w:r w:rsidRPr="004E3194">
              <w:t>Incidence Category</w:t>
            </w:r>
          </w:p>
        </w:tc>
        <w:tc>
          <w:tcPr>
            <w:tcW w:w="2564" w:type="pct"/>
            <w:tcBorders>
              <w:left w:val="single" w:sz="4" w:space="0" w:color="auto"/>
            </w:tcBorders>
          </w:tcPr>
          <w:p w:rsidR="004E3194" w:rsidRPr="004E3194" w:rsidRDefault="004E3194" w:rsidP="00926546">
            <w:pPr>
              <w:pStyle w:val="TableHeading"/>
            </w:pPr>
            <w:r w:rsidRPr="004E3194">
              <w:t>Adverse Drug Reaction</w:t>
            </w:r>
          </w:p>
        </w:tc>
      </w:tr>
      <w:tr w:rsidR="004E3194" w:rsidRPr="0004128C" w:rsidTr="00926546">
        <w:tc>
          <w:tcPr>
            <w:tcW w:w="1439" w:type="pct"/>
          </w:tcPr>
          <w:p w:rsidR="004E3194" w:rsidRPr="00500271" w:rsidRDefault="00500271" w:rsidP="00926546">
            <w:pPr>
              <w:pStyle w:val="TableText0"/>
              <w:rPr>
                <w:highlight w:val="black"/>
              </w:rPr>
            </w:pPr>
            <w:r>
              <w:rPr>
                <w:noProof/>
                <w:color w:val="000000"/>
                <w:highlight w:val="black"/>
              </w:rPr>
              <w:t>'''''''''''''''''''''' '''''''''''''''''' '''''''''''''''''''''</w:t>
            </w:r>
          </w:p>
        </w:tc>
        <w:tc>
          <w:tcPr>
            <w:tcW w:w="997" w:type="pct"/>
            <w:tcBorders>
              <w:top w:val="nil"/>
              <w:bottom w:val="single" w:sz="4" w:space="0" w:color="auto"/>
              <w:right w:val="single" w:sz="4" w:space="0" w:color="auto"/>
            </w:tcBorders>
          </w:tcPr>
          <w:p w:rsidR="004E3194" w:rsidRPr="00500271" w:rsidRDefault="00500271" w:rsidP="00926546">
            <w:pPr>
              <w:pStyle w:val="TableText0"/>
              <w:rPr>
                <w:highlight w:val="black"/>
              </w:rPr>
            </w:pPr>
            <w:r>
              <w:rPr>
                <w:noProof/>
                <w:color w:val="000000"/>
                <w:highlight w:val="black"/>
              </w:rPr>
              <w:t>'''''''''' ''''''''''''''''''''</w:t>
            </w:r>
          </w:p>
        </w:tc>
        <w:tc>
          <w:tcPr>
            <w:tcW w:w="2564" w:type="pct"/>
            <w:tcBorders>
              <w:left w:val="single" w:sz="4" w:space="0" w:color="auto"/>
            </w:tcBorders>
          </w:tcPr>
          <w:p w:rsidR="004E3194" w:rsidRPr="00500271" w:rsidRDefault="00500271" w:rsidP="00926546">
            <w:pPr>
              <w:pStyle w:val="TableText0"/>
              <w:rPr>
                <w:highlight w:val="black"/>
              </w:rPr>
            </w:pPr>
            <w:r>
              <w:rPr>
                <w:noProof/>
                <w:color w:val="000000"/>
                <w:highlight w:val="black"/>
              </w:rPr>
              <w:t>'''''''''''''''''''''''' ''''''''''''''''''''''</w:t>
            </w:r>
          </w:p>
        </w:tc>
      </w:tr>
      <w:tr w:rsidR="004E3194" w:rsidRPr="0004128C" w:rsidTr="00926546">
        <w:tc>
          <w:tcPr>
            <w:tcW w:w="1439" w:type="pct"/>
          </w:tcPr>
          <w:p w:rsidR="004E3194" w:rsidRPr="00500271" w:rsidRDefault="00500271" w:rsidP="00926546">
            <w:pPr>
              <w:pStyle w:val="TableText0"/>
              <w:rPr>
                <w:highlight w:val="black"/>
              </w:rPr>
            </w:pPr>
            <w:r>
              <w:rPr>
                <w:noProof/>
                <w:color w:val="000000"/>
                <w:highlight w:val="black"/>
              </w:rPr>
              <w:t>'''''''''''''''''''''''''''''''''' ''''''''''''''''''''''''</w:t>
            </w:r>
          </w:p>
        </w:tc>
        <w:tc>
          <w:tcPr>
            <w:tcW w:w="997" w:type="pct"/>
            <w:tcBorders>
              <w:top w:val="single" w:sz="4" w:space="0" w:color="auto"/>
              <w:bottom w:val="single" w:sz="4" w:space="0" w:color="auto"/>
              <w:right w:val="single" w:sz="4" w:space="0" w:color="auto"/>
            </w:tcBorders>
          </w:tcPr>
          <w:p w:rsidR="004E3194" w:rsidRPr="00500271" w:rsidRDefault="00500271" w:rsidP="00926546">
            <w:pPr>
              <w:pStyle w:val="TableText0"/>
              <w:rPr>
                <w:highlight w:val="black"/>
              </w:rPr>
            </w:pPr>
            <w:r>
              <w:rPr>
                <w:noProof/>
                <w:color w:val="000000"/>
                <w:highlight w:val="black"/>
              </w:rPr>
              <w:t>''''''''''' ''''''''''''''''''</w:t>
            </w:r>
          </w:p>
        </w:tc>
        <w:tc>
          <w:tcPr>
            <w:tcW w:w="2564" w:type="pct"/>
            <w:tcBorders>
              <w:left w:val="single" w:sz="4" w:space="0" w:color="auto"/>
              <w:bottom w:val="single" w:sz="4" w:space="0" w:color="000000"/>
            </w:tcBorders>
          </w:tcPr>
          <w:p w:rsidR="004E3194" w:rsidRPr="00500271" w:rsidRDefault="00500271" w:rsidP="00926546">
            <w:pPr>
              <w:pStyle w:val="TableText0"/>
              <w:rPr>
                <w:highlight w:val="black"/>
              </w:rPr>
            </w:pPr>
            <w:r>
              <w:rPr>
                <w:noProof/>
                <w:color w:val="000000"/>
                <w:highlight w:val="black"/>
              </w:rPr>
              <w:t>'''''''''''''''''''''''''' ''''''''' '' ''''''''''''''''''''''''' '''''''''' ''''''''''''''</w:t>
            </w:r>
          </w:p>
        </w:tc>
      </w:tr>
      <w:tr w:rsidR="004E3194" w:rsidRPr="0004128C" w:rsidTr="00926546">
        <w:tc>
          <w:tcPr>
            <w:tcW w:w="1439" w:type="pct"/>
          </w:tcPr>
          <w:p w:rsidR="004E3194" w:rsidRPr="00500271" w:rsidRDefault="004E3194" w:rsidP="00926546">
            <w:pPr>
              <w:pStyle w:val="TableText0"/>
              <w:rPr>
                <w:highlight w:val="yellow"/>
              </w:rPr>
            </w:pPr>
          </w:p>
        </w:tc>
        <w:tc>
          <w:tcPr>
            <w:tcW w:w="997" w:type="pct"/>
            <w:tcBorders>
              <w:top w:val="single" w:sz="4" w:space="0" w:color="auto"/>
              <w:bottom w:val="single" w:sz="4" w:space="0" w:color="auto"/>
              <w:right w:val="single" w:sz="4" w:space="0" w:color="auto"/>
            </w:tcBorders>
          </w:tcPr>
          <w:p w:rsidR="004E3194" w:rsidRPr="00500271" w:rsidRDefault="00500271" w:rsidP="00926546">
            <w:pPr>
              <w:pStyle w:val="TableText0"/>
              <w:rPr>
                <w:highlight w:val="black"/>
              </w:rPr>
            </w:pPr>
            <w:r>
              <w:rPr>
                <w:noProof/>
                <w:color w:val="000000"/>
                <w:highlight w:val="black"/>
              </w:rPr>
              <w:t>'''''''''''''''''''''''</w:t>
            </w:r>
          </w:p>
        </w:tc>
        <w:tc>
          <w:tcPr>
            <w:tcW w:w="2564" w:type="pct"/>
            <w:tcBorders>
              <w:left w:val="single" w:sz="4" w:space="0" w:color="auto"/>
            </w:tcBorders>
          </w:tcPr>
          <w:p w:rsidR="004E3194" w:rsidRPr="00500271" w:rsidRDefault="00500271" w:rsidP="00926546">
            <w:pPr>
              <w:pStyle w:val="TableText0"/>
              <w:rPr>
                <w:highlight w:val="black"/>
              </w:rPr>
            </w:pPr>
            <w:r>
              <w:rPr>
                <w:noProof/>
                <w:color w:val="000000"/>
                <w:highlight w:val="black"/>
              </w:rPr>
              <w:t>''''''''''''''''''''</w:t>
            </w:r>
          </w:p>
        </w:tc>
      </w:tr>
      <w:tr w:rsidR="004E3194" w:rsidRPr="0004128C" w:rsidTr="00926546">
        <w:tc>
          <w:tcPr>
            <w:tcW w:w="1439" w:type="pct"/>
          </w:tcPr>
          <w:p w:rsidR="004E3194" w:rsidRPr="00500271" w:rsidRDefault="00500271" w:rsidP="00926546">
            <w:pPr>
              <w:pStyle w:val="TableText0"/>
              <w:rPr>
                <w:highlight w:val="black"/>
              </w:rPr>
            </w:pPr>
            <w:r>
              <w:rPr>
                <w:noProof/>
                <w:color w:val="000000"/>
                <w:highlight w:val="black"/>
              </w:rPr>
              <w:t>'''''''''''''''''''''''''''''''''' '''''''''' '''''''''''''''''''''''' ''''''''''''' '''''''''''''''''''''''</w:t>
            </w:r>
          </w:p>
        </w:tc>
        <w:tc>
          <w:tcPr>
            <w:tcW w:w="997" w:type="pct"/>
            <w:tcBorders>
              <w:top w:val="single" w:sz="4" w:space="0" w:color="auto"/>
              <w:bottom w:val="single" w:sz="4" w:space="0" w:color="auto"/>
              <w:right w:val="single" w:sz="4" w:space="0" w:color="auto"/>
            </w:tcBorders>
          </w:tcPr>
          <w:p w:rsidR="004E3194" w:rsidRPr="00500271" w:rsidRDefault="00500271" w:rsidP="00926546">
            <w:pPr>
              <w:pStyle w:val="TableText0"/>
              <w:rPr>
                <w:highlight w:val="black"/>
              </w:rPr>
            </w:pPr>
            <w:r>
              <w:rPr>
                <w:noProof/>
                <w:color w:val="000000"/>
                <w:highlight w:val="black"/>
              </w:rPr>
              <w:t>''''''''''' '''''''''''''''''''''</w:t>
            </w:r>
          </w:p>
        </w:tc>
        <w:tc>
          <w:tcPr>
            <w:tcW w:w="2564" w:type="pct"/>
            <w:tcBorders>
              <w:left w:val="single" w:sz="4" w:space="0" w:color="auto"/>
            </w:tcBorders>
          </w:tcPr>
          <w:p w:rsidR="004E3194" w:rsidRPr="00500271" w:rsidRDefault="00500271" w:rsidP="00926546">
            <w:pPr>
              <w:pStyle w:val="TableText0"/>
              <w:rPr>
                <w:highlight w:val="black"/>
              </w:rPr>
            </w:pPr>
            <w:r>
              <w:rPr>
                <w:noProof/>
                <w:color w:val="000000"/>
                <w:highlight w:val="black"/>
              </w:rPr>
              <w:t>'''''''''''''' '''''''''''' ''''''''''''''''''''''' ''''''''''' ''''''''''</w:t>
            </w:r>
          </w:p>
        </w:tc>
      </w:tr>
      <w:tr w:rsidR="004E3194" w:rsidRPr="0004128C" w:rsidTr="00926546">
        <w:tc>
          <w:tcPr>
            <w:tcW w:w="1439" w:type="pct"/>
          </w:tcPr>
          <w:p w:rsidR="004E3194" w:rsidRPr="00500271" w:rsidRDefault="00500271" w:rsidP="00926546">
            <w:pPr>
              <w:pStyle w:val="TableText0"/>
              <w:rPr>
                <w:highlight w:val="black"/>
              </w:rPr>
            </w:pPr>
            <w:r>
              <w:rPr>
                <w:noProof/>
                <w:color w:val="000000"/>
                <w:highlight w:val="black"/>
              </w:rPr>
              <w:t>''''''''''''''''''''''''''''''''''</w:t>
            </w:r>
          </w:p>
        </w:tc>
        <w:tc>
          <w:tcPr>
            <w:tcW w:w="997" w:type="pct"/>
            <w:tcBorders>
              <w:top w:val="single" w:sz="4" w:space="0" w:color="auto"/>
              <w:bottom w:val="single" w:sz="4" w:space="0" w:color="auto"/>
              <w:right w:val="single" w:sz="4" w:space="0" w:color="auto"/>
            </w:tcBorders>
          </w:tcPr>
          <w:p w:rsidR="004E3194" w:rsidRPr="00500271" w:rsidRDefault="00500271" w:rsidP="00926546">
            <w:pPr>
              <w:pStyle w:val="TableText0"/>
              <w:rPr>
                <w:highlight w:val="black"/>
              </w:rPr>
            </w:pPr>
            <w:r>
              <w:rPr>
                <w:noProof/>
                <w:color w:val="000000"/>
                <w:highlight w:val="black"/>
              </w:rPr>
              <w:t>''''''''''''''''''''''''</w:t>
            </w:r>
          </w:p>
        </w:tc>
        <w:tc>
          <w:tcPr>
            <w:tcW w:w="2564" w:type="pct"/>
            <w:tcBorders>
              <w:left w:val="single" w:sz="4" w:space="0" w:color="auto"/>
            </w:tcBorders>
          </w:tcPr>
          <w:p w:rsidR="004E3194" w:rsidRPr="00500271" w:rsidRDefault="00500271" w:rsidP="00926546">
            <w:pPr>
              <w:pStyle w:val="TableText0"/>
              <w:rPr>
                <w:highlight w:val="black"/>
              </w:rPr>
            </w:pPr>
            <w:r>
              <w:rPr>
                <w:noProof/>
                <w:color w:val="000000"/>
                <w:highlight w:val="black"/>
              </w:rPr>
              <w:t>'''''''''''''''''''' '''''''''''''''' '''''''''''''''''''''''''''''''' '''''''''' '''''''''''''''''''''''' ''''''''''''''''''''''''''' '''''''''''''''''' '''''''''''''''''''</w:t>
            </w:r>
          </w:p>
        </w:tc>
      </w:tr>
      <w:tr w:rsidR="004E3194" w:rsidRPr="0004128C" w:rsidTr="00926546">
        <w:tc>
          <w:tcPr>
            <w:tcW w:w="1439" w:type="pct"/>
          </w:tcPr>
          <w:p w:rsidR="004E3194" w:rsidRPr="00500271" w:rsidRDefault="00500271" w:rsidP="00926546">
            <w:pPr>
              <w:pStyle w:val="TableText0"/>
              <w:rPr>
                <w:highlight w:val="black"/>
              </w:rPr>
            </w:pPr>
            <w:r>
              <w:rPr>
                <w:noProof/>
                <w:color w:val="000000"/>
                <w:highlight w:val="black"/>
              </w:rPr>
              <w:t>''''''''''''''''''' ''''''''''''''''''''''' '''''''''' ''''''''''''''''''''''''''''''''' '''''''' '''''''''''''''''''''''</w:t>
            </w:r>
          </w:p>
        </w:tc>
        <w:tc>
          <w:tcPr>
            <w:tcW w:w="997" w:type="pct"/>
            <w:tcBorders>
              <w:top w:val="single" w:sz="4" w:space="0" w:color="auto"/>
              <w:bottom w:val="single" w:sz="4" w:space="0" w:color="auto"/>
              <w:right w:val="single" w:sz="4" w:space="0" w:color="auto"/>
            </w:tcBorders>
          </w:tcPr>
          <w:p w:rsidR="004E3194" w:rsidRPr="00500271" w:rsidRDefault="00500271" w:rsidP="00926546">
            <w:pPr>
              <w:pStyle w:val="TableText0"/>
              <w:rPr>
                <w:highlight w:val="black"/>
              </w:rPr>
            </w:pPr>
            <w:r>
              <w:rPr>
                <w:noProof/>
                <w:color w:val="000000"/>
                <w:highlight w:val="black"/>
              </w:rPr>
              <w:t>'''''''''' '''''''''''''''''''''</w:t>
            </w:r>
          </w:p>
        </w:tc>
        <w:tc>
          <w:tcPr>
            <w:tcW w:w="2564" w:type="pct"/>
            <w:tcBorders>
              <w:left w:val="single" w:sz="4" w:space="0" w:color="auto"/>
            </w:tcBorders>
          </w:tcPr>
          <w:p w:rsidR="004E3194" w:rsidRPr="00500271" w:rsidRDefault="00500271" w:rsidP="00926546">
            <w:pPr>
              <w:pStyle w:val="TableText0"/>
              <w:rPr>
                <w:highlight w:val="black"/>
              </w:rPr>
            </w:pPr>
            <w:r>
              <w:rPr>
                <w:noProof/>
                <w:color w:val="000000"/>
                <w:highlight w:val="black"/>
              </w:rPr>
              <w:t>'''''''''''''''''''''''''''''''''''''' ''''''''''''''''''' ''''''''''''''''''''' '''''' '''' ''''' ''''''''''''''' ''''''''''' '''''''''' ''''' ''''''''''''''''''''''' '''''''''''''''''''' '' '''''''''''''''' '''''''''''''''' '' '''''''''''' '''''''''''''''''''''''''''' '''''''''''''''''''''''</w:t>
            </w:r>
          </w:p>
        </w:tc>
      </w:tr>
      <w:tr w:rsidR="004E3194" w:rsidRPr="0004128C" w:rsidTr="00926546">
        <w:tc>
          <w:tcPr>
            <w:tcW w:w="1439" w:type="pct"/>
          </w:tcPr>
          <w:p w:rsidR="004E3194" w:rsidRPr="00500271" w:rsidRDefault="00500271" w:rsidP="00926546">
            <w:pPr>
              <w:pStyle w:val="TableText0"/>
              <w:rPr>
                <w:highlight w:val="black"/>
              </w:rPr>
            </w:pPr>
            <w:r>
              <w:rPr>
                <w:noProof/>
                <w:color w:val="000000"/>
                <w:highlight w:val="black"/>
              </w:rPr>
              <w:t>'''''''''''''''''''''' ''''''''''''''''''''''''</w:t>
            </w:r>
          </w:p>
        </w:tc>
        <w:tc>
          <w:tcPr>
            <w:tcW w:w="997" w:type="pct"/>
            <w:tcBorders>
              <w:top w:val="single" w:sz="4" w:space="0" w:color="auto"/>
              <w:bottom w:val="single" w:sz="4" w:space="0" w:color="auto"/>
              <w:right w:val="single" w:sz="4" w:space="0" w:color="auto"/>
            </w:tcBorders>
          </w:tcPr>
          <w:p w:rsidR="004E3194" w:rsidRPr="00500271" w:rsidRDefault="00500271" w:rsidP="00926546">
            <w:pPr>
              <w:pStyle w:val="TableText0"/>
              <w:rPr>
                <w:highlight w:val="black"/>
              </w:rPr>
            </w:pPr>
            <w:r>
              <w:rPr>
                <w:noProof/>
                <w:color w:val="000000"/>
                <w:highlight w:val="black"/>
              </w:rPr>
              <w:t>'''''''''''''''''''''''</w:t>
            </w:r>
          </w:p>
        </w:tc>
        <w:tc>
          <w:tcPr>
            <w:tcW w:w="2564" w:type="pct"/>
            <w:tcBorders>
              <w:left w:val="single" w:sz="4" w:space="0" w:color="auto"/>
            </w:tcBorders>
          </w:tcPr>
          <w:p w:rsidR="004E3194" w:rsidRPr="00500271" w:rsidRDefault="00500271" w:rsidP="00926546">
            <w:pPr>
              <w:pStyle w:val="TableText0"/>
              <w:rPr>
                <w:highlight w:val="black"/>
              </w:rPr>
            </w:pPr>
            <w:r>
              <w:rPr>
                <w:noProof/>
                <w:color w:val="000000"/>
                <w:highlight w:val="black"/>
              </w:rPr>
              <w:t>'''''''''''''''''''' ''''''''''''''''''''''''''''''''' '''''''''''''''''''''''''''''''</w:t>
            </w:r>
          </w:p>
        </w:tc>
      </w:tr>
      <w:tr w:rsidR="004E3194" w:rsidRPr="0004128C" w:rsidTr="00926546">
        <w:tc>
          <w:tcPr>
            <w:tcW w:w="1439" w:type="pct"/>
          </w:tcPr>
          <w:p w:rsidR="004E3194" w:rsidRPr="00500271" w:rsidRDefault="00500271" w:rsidP="00926546">
            <w:pPr>
              <w:pStyle w:val="TableText0"/>
              <w:rPr>
                <w:highlight w:val="black"/>
              </w:rPr>
            </w:pPr>
            <w:r>
              <w:rPr>
                <w:noProof/>
                <w:color w:val="000000"/>
                <w:highlight w:val="black"/>
              </w:rPr>
              <w:t>''''''''''''''''''' ''''''''''''''''''''''''</w:t>
            </w:r>
          </w:p>
        </w:tc>
        <w:tc>
          <w:tcPr>
            <w:tcW w:w="997" w:type="pct"/>
            <w:tcBorders>
              <w:top w:val="single" w:sz="4" w:space="0" w:color="auto"/>
              <w:bottom w:val="single" w:sz="4" w:space="0" w:color="auto"/>
              <w:right w:val="single" w:sz="4" w:space="0" w:color="auto"/>
            </w:tcBorders>
          </w:tcPr>
          <w:p w:rsidR="004E3194" w:rsidRPr="00500271" w:rsidRDefault="00500271" w:rsidP="00926546">
            <w:pPr>
              <w:pStyle w:val="TableText0"/>
              <w:rPr>
                <w:highlight w:val="black"/>
              </w:rPr>
            </w:pPr>
            <w:r>
              <w:rPr>
                <w:noProof/>
                <w:color w:val="000000"/>
                <w:highlight w:val="black"/>
              </w:rPr>
              <w:t xml:space="preserve">''''''''''''''''''''' </w:t>
            </w:r>
          </w:p>
        </w:tc>
        <w:tc>
          <w:tcPr>
            <w:tcW w:w="2564" w:type="pct"/>
            <w:tcBorders>
              <w:left w:val="single" w:sz="4" w:space="0" w:color="auto"/>
            </w:tcBorders>
          </w:tcPr>
          <w:p w:rsidR="004E3194" w:rsidRPr="00500271" w:rsidRDefault="00500271" w:rsidP="00926546">
            <w:pPr>
              <w:pStyle w:val="TableText0"/>
              <w:rPr>
                <w:highlight w:val="black"/>
              </w:rPr>
            </w:pPr>
            <w:r>
              <w:rPr>
                <w:noProof/>
                <w:color w:val="000000"/>
                <w:highlight w:val="black"/>
              </w:rPr>
              <w:t>''''''''''''''''''''''''''''</w:t>
            </w:r>
          </w:p>
        </w:tc>
      </w:tr>
      <w:tr w:rsidR="004E3194" w:rsidRPr="0004128C" w:rsidTr="00926546">
        <w:tc>
          <w:tcPr>
            <w:tcW w:w="1439" w:type="pct"/>
          </w:tcPr>
          <w:p w:rsidR="004E3194" w:rsidRPr="00500271" w:rsidRDefault="00500271" w:rsidP="00926546">
            <w:pPr>
              <w:pStyle w:val="TableText0"/>
              <w:rPr>
                <w:highlight w:val="black"/>
              </w:rPr>
            </w:pPr>
            <w:r>
              <w:rPr>
                <w:noProof/>
                <w:color w:val="000000"/>
                <w:highlight w:val="black"/>
              </w:rPr>
              <w:t>''''''''''' ''''''''' ''''''''''''''''''''''''''''''''''' '''''''''''''' ''''''''''''''''''''</w:t>
            </w:r>
          </w:p>
        </w:tc>
        <w:tc>
          <w:tcPr>
            <w:tcW w:w="997" w:type="pct"/>
            <w:tcBorders>
              <w:top w:val="single" w:sz="4" w:space="0" w:color="auto"/>
              <w:bottom w:val="single" w:sz="4" w:space="0" w:color="auto"/>
              <w:right w:val="single" w:sz="4" w:space="0" w:color="auto"/>
            </w:tcBorders>
          </w:tcPr>
          <w:p w:rsidR="004E3194" w:rsidRPr="00500271" w:rsidRDefault="00500271" w:rsidP="00926546">
            <w:pPr>
              <w:pStyle w:val="TableText0"/>
              <w:rPr>
                <w:highlight w:val="black"/>
              </w:rPr>
            </w:pPr>
            <w:r>
              <w:rPr>
                <w:noProof/>
                <w:color w:val="000000"/>
                <w:highlight w:val="black"/>
              </w:rPr>
              <w:t>'''''''''''''''''''''''</w:t>
            </w:r>
          </w:p>
        </w:tc>
        <w:tc>
          <w:tcPr>
            <w:tcW w:w="2564" w:type="pct"/>
            <w:tcBorders>
              <w:left w:val="single" w:sz="4" w:space="0" w:color="auto"/>
              <w:bottom w:val="single" w:sz="4" w:space="0" w:color="000000"/>
            </w:tcBorders>
          </w:tcPr>
          <w:p w:rsidR="004E3194" w:rsidRPr="00500271" w:rsidRDefault="00500271" w:rsidP="00926546">
            <w:pPr>
              <w:pStyle w:val="TableText0"/>
              <w:rPr>
                <w:highlight w:val="black"/>
              </w:rPr>
            </w:pPr>
            <w:r>
              <w:rPr>
                <w:noProof/>
                <w:color w:val="000000"/>
                <w:highlight w:val="black"/>
              </w:rPr>
              <w:t>''''''''''''''' ''''''''''''''''''''</w:t>
            </w:r>
          </w:p>
        </w:tc>
      </w:tr>
      <w:tr w:rsidR="004E3194" w:rsidRPr="0004128C" w:rsidTr="00926546">
        <w:tc>
          <w:tcPr>
            <w:tcW w:w="1439" w:type="pct"/>
          </w:tcPr>
          <w:p w:rsidR="004E3194" w:rsidRPr="00500271" w:rsidRDefault="00500271" w:rsidP="00926546">
            <w:pPr>
              <w:pStyle w:val="TableText0"/>
              <w:rPr>
                <w:highlight w:val="black"/>
              </w:rPr>
            </w:pPr>
            <w:r>
              <w:rPr>
                <w:noProof/>
                <w:color w:val="000000"/>
                <w:highlight w:val="black"/>
              </w:rPr>
              <w:t>''''''''''''''''''' '''''''''''''''' '''''''''''''''''''''</w:t>
            </w:r>
          </w:p>
        </w:tc>
        <w:tc>
          <w:tcPr>
            <w:tcW w:w="997" w:type="pct"/>
            <w:tcBorders>
              <w:top w:val="single" w:sz="4" w:space="0" w:color="auto"/>
              <w:right w:val="single" w:sz="4" w:space="0" w:color="auto"/>
            </w:tcBorders>
          </w:tcPr>
          <w:p w:rsidR="004E3194" w:rsidRPr="00500271" w:rsidRDefault="00500271" w:rsidP="00926546">
            <w:pPr>
              <w:pStyle w:val="TableText0"/>
              <w:rPr>
                <w:highlight w:val="black"/>
              </w:rPr>
            </w:pPr>
            <w:r>
              <w:rPr>
                <w:noProof/>
                <w:color w:val="000000"/>
                <w:highlight w:val="black"/>
              </w:rPr>
              <w:t>''''''''''''''''''''''''</w:t>
            </w:r>
          </w:p>
        </w:tc>
        <w:tc>
          <w:tcPr>
            <w:tcW w:w="2564" w:type="pct"/>
            <w:tcBorders>
              <w:left w:val="single" w:sz="4" w:space="0" w:color="auto"/>
              <w:bottom w:val="single" w:sz="4" w:space="0" w:color="auto"/>
            </w:tcBorders>
          </w:tcPr>
          <w:p w:rsidR="004E3194" w:rsidRPr="00500271" w:rsidRDefault="00500271" w:rsidP="00926546">
            <w:pPr>
              <w:pStyle w:val="TableText0"/>
              <w:rPr>
                <w:highlight w:val="black"/>
              </w:rPr>
            </w:pPr>
            <w:r>
              <w:rPr>
                <w:noProof/>
                <w:color w:val="000000"/>
                <w:highlight w:val="black"/>
              </w:rPr>
              <w:t>''''''''''''''''''''''''''''''''' ''''''''''''''''''' ''''''''''''''''''''' ''''''''''''''''''''''' '''''''''''''''' '''''''''' ''''''''''''''''''''''''''''''''''' ''''''''''''''''''''''</w:t>
            </w:r>
          </w:p>
        </w:tc>
      </w:tr>
    </w:tbl>
    <w:p w:rsidR="004E3194" w:rsidRDefault="004E3194" w:rsidP="0004128C"/>
    <w:p w:rsidR="004E3194" w:rsidRPr="004E3194" w:rsidRDefault="004E3194" w:rsidP="004E3194">
      <w:pPr>
        <w:pStyle w:val="Heading5"/>
      </w:pPr>
      <w:r w:rsidRPr="004E3194">
        <w:rPr>
          <w:rFonts w:ascii="Arial Bold" w:hAnsi="Arial Bold"/>
          <w:smallCaps/>
        </w:rPr>
        <w:t xml:space="preserve">Miglustat </w:t>
      </w:r>
      <w:r w:rsidRPr="004E3194">
        <w:t>(Zavesca® / Sponsor: Actelion Pharmaceuticals)</w:t>
      </w:r>
    </w:p>
    <w:p w:rsidR="004E3194" w:rsidRPr="004E3194" w:rsidRDefault="004E3194" w:rsidP="004E3194">
      <w:pPr>
        <w:pStyle w:val="Heading6"/>
      </w:pPr>
      <w:r w:rsidRPr="004E3194">
        <w:t xml:space="preserve">Exposure from clinical trials and marketing experience: </w:t>
      </w:r>
    </w:p>
    <w:p w:rsidR="004E3194" w:rsidRPr="00500271" w:rsidRDefault="00500271" w:rsidP="004E3194">
      <w:pPr>
        <w:rPr>
          <w:highlight w:val="black"/>
        </w:rPr>
      </w:pPr>
      <w:r>
        <w:rPr>
          <w:noProof/>
          <w:color w:val="000000"/>
          <w:highlight w:val="black"/>
        </w:rPr>
        <w:t>'''''''' '''''''''' ''''' ''''''''''''''''''' ''''''''''''''''' '''''' '''''''''''''' '''''''''''''''''' ''''' '''''''''''''''' ''''''''' '''''''' '''''' ''''''''''''''''' ''''''''''' '''''''' ''''''''''' '''''''' ''''''''' ''''''''''''''''' '''''''' '''''''''''''''''''' ''''''''''''' '''''' ''''''' ''''''''''''''''''' ''''''''''''' ''''''' '''''''''' ''''''' '''''''''''''''''''''' '''' '''''''''''''''''' '''' ''''''''''' ''''''''' ''''''''''' ''' ''' ''''''''''''''''''''' '''''''' '''''''''''' ''''''''''''''''' ''''''''' ''''''''''' ''''''''''''''''' '''' '''''''''''''''''''' '''''''''''''''' '''''' '''''''''' ''''''''''''''''' '''''''''' '' ''''' '''''''''''''''''''''''' '''''''' ''' '''''''''''''' ''''' '''''''''''''''''' ''' '''''''' ''''' ''''''' ''''''''''''''''' '''''''''' ''''''''' ''''''''''''''' '''' '''''''''''''''' '''' '''''''''''''' '''''''''' ''''' ''''''''''' '''''''' ''''''' ''''''''''''''''' ''''''''''''' ''''''''' ''' ''''''''''''''''''' '''''''''''''''''''''''''''' '''''''' ''''''''''''</w:t>
      </w:r>
    </w:p>
    <w:p w:rsidR="004E3194" w:rsidRPr="00500271" w:rsidRDefault="00500271" w:rsidP="004E3194">
      <w:pPr>
        <w:rPr>
          <w:highlight w:val="black"/>
        </w:rPr>
      </w:pPr>
      <w:r>
        <w:rPr>
          <w:noProof/>
          <w:color w:val="000000"/>
          <w:highlight w:val="black"/>
        </w:rPr>
        <w:t xml:space="preserve">'''''''''''''' ''''''' ''''''''''' ''' '''''''''''''''''''''' ''''''''' '''' '''''''''' '''''''' '''''''''''''' '''''''''' '''''''''' '''''''''''''' ''''''''' ''''''' '''''''''''''''''' ''''' ''''''''''' ''''''' ''''''''' ''''''''''''''''' ''''''''''''''''''''''''''''' ''''''''''''''''' '''''''''''''''''''' '''''''''''''''''''' '''''''' ''''''' ''''''''''''''''''' '''''''' ''''''' ''''''''' ''''''''''''''''' '''''''''''''''''' '''''''''' ''''''''''''''' '''' ''''''''''''''''''''''''''''' ''''''' ''''''''''''''''''''' ''' '''''''''' ''''' '''''''' '''''''''' ''''''' ''' '''''''' ''''''''''''''''' ''''''''''''''''' '''''''''''''''''''''''''''' ''''''' '''''''''''' </w:t>
      </w:r>
    </w:p>
    <w:p w:rsidR="004E3194" w:rsidRPr="005776DB" w:rsidRDefault="004E3194" w:rsidP="004E3194">
      <w:pPr>
        <w:rPr>
          <w:highlight w:val="yellow"/>
        </w:rPr>
      </w:pPr>
    </w:p>
    <w:p w:rsidR="004E3194" w:rsidRPr="004E3194" w:rsidRDefault="004E3194" w:rsidP="004E3194">
      <w:pPr>
        <w:pStyle w:val="Heading6"/>
      </w:pPr>
      <w:r w:rsidRPr="004E3194">
        <w:t>Summary of safety concerns</w:t>
      </w:r>
    </w:p>
    <w:p w:rsidR="004E3194" w:rsidRPr="00500271" w:rsidRDefault="00500271" w:rsidP="004E3194">
      <w:pPr>
        <w:rPr>
          <w:highlight w:val="black"/>
        </w:rPr>
      </w:pPr>
      <w:r>
        <w:rPr>
          <w:noProof/>
          <w:color w:val="000000"/>
          <w:highlight w:val="black"/>
        </w:rPr>
        <w:t>''' ''''''''''''''''''' '''' ''''''''''' '''''''''''''''' '''''''''''' '''' '''''' ''''''' ''''' '''''''''''''''''' ''' ''''''''''''''''''' '''' '''''''''' ''''''  ''''''''''''''''''''' ''''''''' ''''''' ''''''''''' ''''' ''''''''''''''' '''''''''''''''' ''''''''''''' ''' ''''''''''''''''' ''''''''''' '''''''''''''''' '''''''''''''''''''''''''''''''' ''''''' ''''''''''''</w:t>
      </w:r>
    </w:p>
    <w:p w:rsidR="004E3194" w:rsidRPr="004E3194" w:rsidRDefault="004E3194" w:rsidP="004E3194">
      <w:pPr>
        <w:pStyle w:val="Caption"/>
        <w:keepNext/>
        <w:tabs>
          <w:tab w:val="clear" w:pos="851"/>
          <w:tab w:val="left" w:pos="1134"/>
        </w:tabs>
        <w:ind w:left="1134" w:hanging="1134"/>
      </w:pPr>
      <w:bookmarkStart w:id="144" w:name="_Ref403752350"/>
      <w:bookmarkStart w:id="145" w:name="_Toc411510403"/>
      <w:bookmarkStart w:id="146" w:name="_Toc415141816"/>
      <w:r w:rsidRPr="004E3194">
        <w:lastRenderedPageBreak/>
        <w:t xml:space="preserve">Table </w:t>
      </w:r>
      <w:r w:rsidRPr="004E3194">
        <w:rPr>
          <w:noProof/>
        </w:rPr>
        <w:t>19</w:t>
      </w:r>
      <w:bookmarkEnd w:id="144"/>
      <w:r w:rsidRPr="004E3194">
        <w:tab/>
        <w:t>Summary of adverse drug reactions associated with miglustat</w:t>
      </w:r>
      <w:bookmarkEnd w:id="145"/>
      <w:bookmarkEnd w:id="146"/>
    </w:p>
    <w:tbl>
      <w:tblPr>
        <w:tblStyle w:val="TableGrid"/>
        <w:tblW w:w="5000" w:type="pct"/>
        <w:tblLayout w:type="fixed"/>
        <w:tblLook w:val="04A0" w:firstRow="1" w:lastRow="0" w:firstColumn="1" w:lastColumn="0" w:noHBand="0" w:noVBand="1"/>
        <w:tblCaption w:val="Table 18 Summary of adverse drug reactions associated with miglustat"/>
      </w:tblPr>
      <w:tblGrid>
        <w:gridCol w:w="1972"/>
        <w:gridCol w:w="7270"/>
      </w:tblGrid>
      <w:tr w:rsidR="004E3194" w:rsidRPr="0004128C" w:rsidTr="00926546">
        <w:trPr>
          <w:tblHeader/>
        </w:trPr>
        <w:tc>
          <w:tcPr>
            <w:tcW w:w="1067" w:type="pct"/>
          </w:tcPr>
          <w:p w:rsidR="004E3194" w:rsidRPr="004E3194" w:rsidRDefault="004E3194" w:rsidP="00926546">
            <w:pPr>
              <w:spacing w:before="40"/>
              <w:jc w:val="left"/>
              <w:rPr>
                <w:rFonts w:ascii="Arial Narrow" w:hAnsi="Arial Narrow"/>
                <w:b/>
                <w:sz w:val="20"/>
                <w:szCs w:val="20"/>
                <w:lang w:val="en-GB"/>
              </w:rPr>
            </w:pPr>
            <w:r w:rsidRPr="004E3194">
              <w:rPr>
                <w:rFonts w:ascii="Arial Narrow" w:hAnsi="Arial Narrow"/>
                <w:b/>
                <w:sz w:val="20"/>
                <w:szCs w:val="20"/>
                <w:lang w:val="en-GB"/>
              </w:rPr>
              <w:t>Classification of risk</w:t>
            </w:r>
          </w:p>
        </w:tc>
        <w:tc>
          <w:tcPr>
            <w:tcW w:w="3933" w:type="pct"/>
            <w:tcBorders>
              <w:bottom w:val="single" w:sz="4" w:space="0" w:color="000000"/>
            </w:tcBorders>
          </w:tcPr>
          <w:p w:rsidR="004E3194" w:rsidRPr="004E3194" w:rsidRDefault="004E3194" w:rsidP="00926546">
            <w:pPr>
              <w:pStyle w:val="TableText0"/>
              <w:rPr>
                <w:b/>
              </w:rPr>
            </w:pPr>
            <w:r w:rsidRPr="004E3194">
              <w:rPr>
                <w:b/>
              </w:rPr>
              <w:t>Adverse drug reactions</w:t>
            </w:r>
          </w:p>
        </w:tc>
      </w:tr>
      <w:tr w:rsidR="004E3194" w:rsidRPr="0004128C" w:rsidTr="00926546">
        <w:tc>
          <w:tcPr>
            <w:tcW w:w="1067" w:type="pct"/>
          </w:tcPr>
          <w:p w:rsidR="004E3194" w:rsidRPr="004E3194" w:rsidRDefault="004E3194" w:rsidP="00926546">
            <w:pPr>
              <w:spacing w:before="40"/>
              <w:jc w:val="left"/>
              <w:rPr>
                <w:rFonts w:ascii="Arial Narrow" w:hAnsi="Arial Narrow"/>
                <w:b/>
                <w:sz w:val="20"/>
                <w:szCs w:val="20"/>
              </w:rPr>
            </w:pPr>
            <w:r w:rsidRPr="004E3194">
              <w:rPr>
                <w:rFonts w:ascii="Arial Narrow" w:hAnsi="Arial Narrow"/>
                <w:b/>
                <w:sz w:val="20"/>
                <w:szCs w:val="20"/>
                <w:lang w:val="en-GB"/>
              </w:rPr>
              <w:t>Important identified risks</w:t>
            </w:r>
          </w:p>
        </w:tc>
        <w:tc>
          <w:tcPr>
            <w:tcW w:w="3933" w:type="pct"/>
            <w:tcBorders>
              <w:bottom w:val="single" w:sz="4" w:space="0" w:color="000000"/>
            </w:tcBorders>
          </w:tcPr>
          <w:p w:rsidR="004E3194" w:rsidRPr="004E3194" w:rsidRDefault="004E3194" w:rsidP="00926546">
            <w:pPr>
              <w:pStyle w:val="TableText0"/>
              <w:rPr>
                <w:b/>
              </w:rPr>
            </w:pPr>
            <w:r w:rsidRPr="004E3194">
              <w:rPr>
                <w:b/>
              </w:rPr>
              <w:t>Clinical</w:t>
            </w:r>
          </w:p>
          <w:p w:rsidR="004E3194" w:rsidRPr="00500271" w:rsidRDefault="00500271" w:rsidP="00926546">
            <w:pPr>
              <w:pStyle w:val="TableText0"/>
              <w:rPr>
                <w:highlight w:val="black"/>
              </w:rPr>
            </w:pPr>
            <w:r>
              <w:rPr>
                <w:noProof/>
                <w:color w:val="000000"/>
                <w:highlight w:val="black"/>
              </w:rPr>
              <w:t>''''''''''''''''''''''' '''''''' ''''''''''''' '''''''''''''''''''''''''''''''''''''' '''''''''''''''''''' '''''''''''''''''''''''</w:t>
            </w:r>
          </w:p>
          <w:p w:rsidR="004E3194" w:rsidRPr="00500271" w:rsidRDefault="00500271" w:rsidP="00926546">
            <w:pPr>
              <w:pStyle w:val="TableText0"/>
              <w:rPr>
                <w:highlight w:val="black"/>
              </w:rPr>
            </w:pPr>
            <w:r>
              <w:rPr>
                <w:noProof/>
                <w:color w:val="000000"/>
                <w:highlight w:val="black"/>
              </w:rPr>
              <w:t>'''''''''''''''''''' '''''''''''''''' ''''''''''''''' '' '''''''''''''''' '''''''''''' ''''' '''''''''''''''' ''''''''''''''''''''''' ''''''''''''''''''''''' ''''''''''''''''''''''''' '''''''''''''''''''</w:t>
            </w:r>
          </w:p>
          <w:p w:rsidR="004E3194" w:rsidRPr="00500271" w:rsidRDefault="00500271" w:rsidP="00926546">
            <w:pPr>
              <w:pStyle w:val="TableText0"/>
              <w:rPr>
                <w:highlight w:val="black"/>
              </w:rPr>
            </w:pPr>
            <w:r>
              <w:rPr>
                <w:noProof/>
                <w:color w:val="000000"/>
                <w:highlight w:val="black"/>
              </w:rPr>
              <w:t>''''''''''''''' ''''''''''</w:t>
            </w:r>
          </w:p>
          <w:p w:rsidR="004E3194" w:rsidRPr="00500271" w:rsidRDefault="00500271" w:rsidP="00926546">
            <w:pPr>
              <w:pStyle w:val="TableText0"/>
              <w:rPr>
                <w:highlight w:val="black"/>
              </w:rPr>
            </w:pPr>
            <w:r>
              <w:rPr>
                <w:noProof/>
                <w:color w:val="000000"/>
                <w:highlight w:val="black"/>
              </w:rPr>
              <w:t>'''''''''''''''''''''' '''''''''''''''' ''''''''''''</w:t>
            </w:r>
          </w:p>
        </w:tc>
      </w:tr>
      <w:tr w:rsidR="004E3194" w:rsidRPr="0004128C" w:rsidTr="00926546">
        <w:tc>
          <w:tcPr>
            <w:tcW w:w="1067" w:type="pct"/>
          </w:tcPr>
          <w:p w:rsidR="004E3194" w:rsidRPr="004E3194" w:rsidRDefault="004E3194" w:rsidP="00926546">
            <w:pPr>
              <w:spacing w:before="40"/>
              <w:jc w:val="left"/>
              <w:rPr>
                <w:rFonts w:ascii="Arial Narrow" w:hAnsi="Arial Narrow"/>
                <w:b/>
                <w:sz w:val="20"/>
                <w:szCs w:val="20"/>
              </w:rPr>
            </w:pPr>
            <w:r w:rsidRPr="004E3194">
              <w:rPr>
                <w:rFonts w:ascii="Arial Narrow" w:hAnsi="Arial Narrow"/>
                <w:b/>
                <w:sz w:val="20"/>
                <w:szCs w:val="20"/>
                <w:lang w:val="en-GB"/>
              </w:rPr>
              <w:t>Important potential risks</w:t>
            </w:r>
          </w:p>
        </w:tc>
        <w:tc>
          <w:tcPr>
            <w:tcW w:w="3933" w:type="pct"/>
            <w:tcBorders>
              <w:top w:val="nil"/>
              <w:bottom w:val="single" w:sz="4" w:space="0" w:color="auto"/>
            </w:tcBorders>
          </w:tcPr>
          <w:p w:rsidR="004E3194" w:rsidRPr="004E3194" w:rsidRDefault="004E3194" w:rsidP="00926546">
            <w:pPr>
              <w:pStyle w:val="TableText0"/>
              <w:rPr>
                <w:b/>
              </w:rPr>
            </w:pPr>
            <w:r w:rsidRPr="004E3194">
              <w:rPr>
                <w:b/>
              </w:rPr>
              <w:t>Non-clinical</w:t>
            </w:r>
          </w:p>
          <w:p w:rsidR="004E3194" w:rsidRPr="00500271" w:rsidRDefault="00500271" w:rsidP="00926546">
            <w:pPr>
              <w:pStyle w:val="TableText0"/>
              <w:rPr>
                <w:highlight w:val="black"/>
              </w:rPr>
            </w:pPr>
            <w:r>
              <w:rPr>
                <w:noProof/>
                <w:color w:val="000000"/>
                <w:highlight w:val="black"/>
              </w:rPr>
              <w:t>''''''''''''''''''''' '''''''''''''''' '''' '''''''''''''''''''''''''''''''''''''''' '''''''''' ''''''''''''''' ''''''''''''''''''''''''''''''' '''''''''' '''''''''''''''''' ''''''''''''''''</w:t>
            </w:r>
          </w:p>
          <w:p w:rsidR="004E3194" w:rsidRPr="00500271" w:rsidRDefault="00500271" w:rsidP="00926546">
            <w:pPr>
              <w:pStyle w:val="TableText0"/>
              <w:rPr>
                <w:highlight w:val="black"/>
              </w:rPr>
            </w:pPr>
            <w:r>
              <w:rPr>
                <w:noProof/>
                <w:color w:val="000000"/>
                <w:highlight w:val="black"/>
              </w:rPr>
              <w:t>'''''''''''''''''''''''''''''' ''''''''''''''''' '''''''''''''''''''''' ''''''''''''''''''</w:t>
            </w:r>
          </w:p>
          <w:p w:rsidR="004E3194" w:rsidRPr="00500271" w:rsidRDefault="00500271" w:rsidP="00926546">
            <w:pPr>
              <w:pStyle w:val="TableText0"/>
              <w:rPr>
                <w:highlight w:val="black"/>
              </w:rPr>
            </w:pPr>
            <w:r>
              <w:rPr>
                <w:noProof/>
                <w:color w:val="000000"/>
                <w:highlight w:val="black"/>
              </w:rPr>
              <w:t>''''''''''''''''''''' '''''''''''''''''''''' '''' ''''''''''' '''''''''''''''''''' ''''''''''''''''''''''''''''' '''''''''''''''''''''''' ''''''''' ''''''''''''''''''''''''''''''''''''''''' ''''' '''''''''''''''' '''''''''''' '''''''' ''''''''''''''''''''''''' '''' ''''''''''''''' '''' '''''''''''''''''''' '''''''''''''''''''''' '''''''''''''''''' '''''''''''''''' ''''' ''''''''''''''''''''''''' ''''''''''''''''''''' '''' '''''''' '''''''''''''''''' ''''''''''''</w:t>
            </w:r>
          </w:p>
        </w:tc>
      </w:tr>
      <w:tr w:rsidR="004E3194" w:rsidRPr="0004128C" w:rsidTr="00926546">
        <w:tc>
          <w:tcPr>
            <w:tcW w:w="1067" w:type="pct"/>
          </w:tcPr>
          <w:p w:rsidR="004E3194" w:rsidRPr="004E3194" w:rsidRDefault="004E3194" w:rsidP="00926546">
            <w:pPr>
              <w:spacing w:before="40"/>
              <w:jc w:val="left"/>
              <w:rPr>
                <w:rFonts w:ascii="Arial Narrow" w:hAnsi="Arial Narrow"/>
                <w:b/>
                <w:sz w:val="20"/>
                <w:szCs w:val="20"/>
              </w:rPr>
            </w:pPr>
            <w:r w:rsidRPr="004E3194">
              <w:rPr>
                <w:rFonts w:ascii="Arial Narrow" w:hAnsi="Arial Narrow"/>
                <w:b/>
                <w:sz w:val="20"/>
                <w:szCs w:val="20"/>
                <w:lang w:val="en-GB"/>
              </w:rPr>
              <w:t>Important missing information</w:t>
            </w:r>
          </w:p>
        </w:tc>
        <w:tc>
          <w:tcPr>
            <w:tcW w:w="3933" w:type="pct"/>
            <w:tcBorders>
              <w:top w:val="single" w:sz="4" w:space="0" w:color="auto"/>
              <w:bottom w:val="single" w:sz="4" w:space="0" w:color="auto"/>
            </w:tcBorders>
          </w:tcPr>
          <w:p w:rsidR="004E3194" w:rsidRPr="00500271" w:rsidRDefault="00500271" w:rsidP="00926546">
            <w:pPr>
              <w:pStyle w:val="TableText0"/>
              <w:rPr>
                <w:highlight w:val="black"/>
              </w:rPr>
            </w:pPr>
            <w:r>
              <w:rPr>
                <w:noProof/>
                <w:color w:val="000000"/>
                <w:highlight w:val="black"/>
              </w:rPr>
              <w:t>''''''''''''' '''' ''''' ''''''''''''''''''''''' '''''''''''''''' ''''''''''''''''''''''' '''''''''''''''''''''''' ''''''''''' '''''''''' '''''''''''''''''''''''''''' '''' '''''''''''''''' '''''''''''''''''''''''''' '''''''''''''''''''''''' ''''''''' ''''''' '''''''''''''''' ''''' ''''''''''''''''' ''''''''''''' '''' ''''''''' ''' ''''''''''''''''''' '''''''''''''''''''''' ''''''''' '''''''''''''''''' ''''''''' '''' '''''''''''''' '''' '''''''''''''''''''''''' ''''''''''''''''''''''''''''''''' '''''''''''''''''''''' '''''''''''''''''''' '''''''''''''''''''''''''''''' '''''''''''''' '''''''''''''''''''''</w:t>
            </w:r>
          </w:p>
        </w:tc>
      </w:tr>
    </w:tbl>
    <w:p w:rsidR="004E3194" w:rsidRPr="00500271" w:rsidRDefault="00500271" w:rsidP="004E3194">
      <w:pPr>
        <w:pStyle w:val="TableNote"/>
        <w:rPr>
          <w:highlight w:val="black"/>
        </w:rPr>
      </w:pPr>
      <w:r>
        <w:rPr>
          <w:noProof/>
          <w:color w:val="000000"/>
          <w:highlight w:val="black"/>
        </w:rPr>
        <w:t>'''''''''''''''''''' '''''''''''''''''''' '''''''''''''''''''''''''''''''''''''''' ''''''''' ''''''''''''</w:t>
      </w:r>
    </w:p>
    <w:p w:rsidR="004E3194" w:rsidRPr="00500271" w:rsidRDefault="004E3194" w:rsidP="004E3194">
      <w:pPr>
        <w:pStyle w:val="TableNote"/>
        <w:rPr>
          <w:highlight w:val="yellow"/>
        </w:rPr>
      </w:pPr>
    </w:p>
    <w:p w:rsidR="004E3194" w:rsidRPr="00500271" w:rsidRDefault="00500271" w:rsidP="004E3194">
      <w:pPr>
        <w:rPr>
          <w:highlight w:val="black"/>
        </w:rPr>
      </w:pPr>
      <w:r>
        <w:rPr>
          <w:noProof/>
          <w:color w:val="000000"/>
          <w:highlight w:val="black"/>
        </w:rPr>
        <w:t xml:space="preserve">''''''''''''' '''''' ''''''''''''''' ''''''''''' ''''''''''''''''' ''''''''''''' ''''''''''''''''''''''''' ''' ''' ''''''''''''''''''' '''''''' ''''''''' ''''''''''''''''' ''''''''''''''''' '''''''''''''''''''' ''''''''''''''''''' ''''''' ''''''' '''''''' ''''''''''''' ''''''''' ''''''''''''''''''' ''''' ''''''''''' '''''' '''''''' ''' ''''''''' ''''''''''''''''' ''''''''''''' '''''' ''''''''''''''''' '''''''''''' '''''''''''' '''' ''''''''''''' ''''''''''''' '''' ''''''''''''''' '''''''''''''' ''''''''''''''''''' ''''''''''''''''''''''''''''''' ''''''''''''''''' ''''''''''' '''''''''''''''''' '''' '''''''''''' '''' ''''''''''' '''''''''''''' ''''''''''''''''' '''''' '''''''''''''''''''''''''''' '''''''' '''''''''''''''''''''' '''' '''''''''''' ''''' ''''''''''''' '''''''' '''''''''''''''''''''''' ''' '''''''''' '''' ''''''''''' '''''''''''''''' '''''''''''''''''''''''''''' ''''''' '''''''''''' </w:t>
      </w:r>
    </w:p>
    <w:p w:rsidR="004E3194" w:rsidRPr="00500271" w:rsidRDefault="00500271" w:rsidP="004E3194">
      <w:pPr>
        <w:rPr>
          <w:highlight w:val="black"/>
        </w:rPr>
      </w:pPr>
      <w:r>
        <w:rPr>
          <w:noProof/>
          <w:color w:val="000000"/>
          <w:highlight w:val="black"/>
        </w:rPr>
        <w:t>''''''' ''''''''' ''''''''''''''''''' '''''''''''''''' '''''''''''''''' ''''''''''' '''''''''' '''''''''''''''' '''''''' '''''''''''''''''' '''''' '''''''''' ''''''''''''' ''''''' '''''''''''''''''' '''''''''''''''' '''''''' ''' '''''''''''''''''''' ''''''''' ''''''' ''''''''''''''''' '''''''' ''''''''' '''''''''''' ''''''''''' '''''''''' '''''''' ''''''''' ''''''''' '''' ''''''''''''''' '''''''''' '''''''''''''''''''''''''''' '''''''''''''' ''''''''''''' '''''''''''''''''''' '''' '''''''''''''' ''''''''''''''''' '''''''' '''''''''''''''''''''''''' '''''''' ''''''''''' ''''''''''''''' '''' '''''''''''' '''''' '''''''''''''''' ''''''''''''' ''''' '''''''''''''''' '''''''''''''' ''''''' '''''''''''' ''''''''''''''''''''''''' ''''''''''' ''''''''''''''''''' ''''''''''''''''' '''''''''''' ''''''''''''' '''''''''''' ''''''''''''''''''''''''''' ''''''''''''''''' ''''''''''''''''''' ''''''''''''''''''''''''''''''''' '''''''' ''''''''''''</w:t>
      </w:r>
    </w:p>
    <w:p w:rsidR="004E3194" w:rsidRPr="00500271" w:rsidRDefault="00500271" w:rsidP="004E3194">
      <w:pPr>
        <w:rPr>
          <w:highlight w:val="black"/>
        </w:rPr>
      </w:pPr>
      <w:r>
        <w:rPr>
          <w:noProof/>
          <w:color w:val="000000"/>
          <w:highlight w:val="black"/>
        </w:rPr>
        <w:t>'''''''''''' '''''''''''' ''''''''' '''''' '''''''' ''''''''''''''' ''''''''''''' ''''' ''''''''''''''''''''''''''''''' '''''''''''''' ''''''''''''''' ''''''''''''''''''''''''''''' '''''''''''''' ''''''''''''''' '''' '''''''''''' ''''' ''''''''''''''' '''''''''''''''''' ''''''''''''''''''' '''''''''''''''' '''''''''''''''''' '''''''''''' '''''''''''''''''' '''''''''''''' ''''''''''''''''''' '''''''' '''''''''''''''' ''''''''''''''''' ''''''''''' ''''''' '''''''''''' '''''''''''''''''''''' ''''''''' ''''''''''''''' ''''''''''''''''''' '''''''''''''''''''''''''''''' ''''''' '''''''''''</w:t>
      </w:r>
    </w:p>
    <w:p w:rsidR="004E3194" w:rsidRPr="00500271" w:rsidRDefault="00500271" w:rsidP="004E3194">
      <w:pPr>
        <w:rPr>
          <w:highlight w:val="black"/>
        </w:rPr>
      </w:pPr>
      <w:r>
        <w:rPr>
          <w:noProof/>
          <w:color w:val="000000"/>
          <w:highlight w:val="black"/>
        </w:rPr>
        <w:t xml:space="preserve">'''''''''''''''' ''''''''''''''' ''''''''''''''''' '''''''''' '''''''''''''''''' '''' ''''''''''''' '''' ''''''' '''''''' ''''''''''''''''' '''''''''''''''''''' '''''''''''''''' ''' ''' '''''''' ''''''''''''''' ''''''''''' '''''''''''''''''' ''''''''''''''' ''''''''''''''''' ''''''''''''''''' '''''''''''''''' '''''''''''''''''''''' '''''''''''' '''''''''''''''' ''''''''''''''' ''''''''''''''''''''' '''''''''''''''''''''' '''''''''''''' '''''''' ''''''''''''' '''''''''''''''''''''' ''''''''''''' '''''''''' '''''''''''''''''''''''''' ''''''''' '''''''''''''' '''''''' ''''''' ''''''''' ''''''''''''''''''' ''''''''''''''''' '''''''''''''''' ''''''''''''''''''''''''''' ''''''' ''''''''''' '''' '''''''''''' ''''''''' ''''''''' '''''''''''''''''' ''''''''''' '''''''''' ''' ''''''''' '''' ''''''' ''''''''' '''' ''''''''''''''''''' '''''''''''''''''''' ''''''''' ''''''' ''''''''' '''''''''''''''' '''''' '''' '''''''''''''''' '''''''' ''''''''' '' '''''''''''''''''' '''''''' '''''''''''''''' ''''''''''''''''' '''' '''''''''' ''''''''''''''' '''''''''''''''' '''''''''''''''''''''' '''''' '''''''''''''' '''''''' </w:t>
      </w:r>
      <w:r>
        <w:rPr>
          <w:noProof/>
          <w:color w:val="000000"/>
          <w:highlight w:val="black"/>
        </w:rPr>
        <w:lastRenderedPageBreak/>
        <w:t xml:space="preserve">''''''''''''''''''' ''''''' '''''''''''''''''''''''' '''''''''''''''''''''''' '''' ''''''''''''''''''''''''''''''' ''''''''''''''''''' ''''''' '''''''' '''''''''''''''''''''''' ''''''''''''''''' '''''''''''''' '''''''' ''''''''''''''''''''' ''''''''''''' ''''''' ''''''''' ''' '''''''''''''''' ''''''''''''''''' '''''''' ''''''''''''''' ''''''''''''' '''''''''''''''''''''''' '' ''''''''''''''''''''''' '''''' '''''''''''' ''''''' ''''''''''''''''''''''' '' ''''''''''' '' '''''''''''' '''''''''''''''''''''' '''' '''''''''''' ''''''''''''''''''' '''''''''''''''''''' '''''' '''''''' ''' ''''''''''''''''''' '''''''''''''''''' ''''''''''' ''''''''''''''''' '''''' '''''''''''''''''' ''''''''''''' ''''''''' '''''''' '''''''''''''''''''''' ''''''''''''''''''''' ''''' '''''''''''''''''''' '''''''''''''''''''''' '''''''''''''''' ''''''''' ''''''''''''''''''' ''' '''''''''' '''' ''''''''''''''''''''''' ''''''''' '' '''''''' '''''''''''''''''''''' ''''''''''''''''''''''' ''''' ''''''''''''''''''''''' '''''''' ''''''''''' ''''''''''''''''''''''''' '''''''''''''''''''''''''''''' ''''''' ''''' ''''''''''' '''''''''''''''' ''''''''''''''' ''''''''''''' '''''''' '''''''' '''''' ''''''''''''''''''''''''''''''''''' ''''''''''''''''' '''''''''''''''''''''''''''''' '''''''' ''''''''''''' </w:t>
      </w:r>
    </w:p>
    <w:p w:rsidR="004E3194" w:rsidRPr="00500271" w:rsidRDefault="00500271" w:rsidP="004E3194">
      <w:pPr>
        <w:rPr>
          <w:highlight w:val="black"/>
        </w:rPr>
      </w:pPr>
      <w:r>
        <w:rPr>
          <w:noProof/>
          <w:color w:val="000000"/>
          <w:highlight w:val="black"/>
        </w:rPr>
        <w:t xml:space="preserve">'''''''''''' '''''''' ''''''''' ''''' ''''''''' '''''''''''''''' ''''''' ''''''''''''''''' ''''''''''''''' ''''''''''''''' '''''''' ''' '''''''''''''' '''''''''''''''''' '''''''''' ''''' ''''''''''''''''' ''''''''''' '''''''''''''' ''''''''''''''''' ''' '''''''' ''''' ''''''''''''''' '''' '''''''''''''''''' '''''''''' '''''''''' '''''''''' '''''' ''''''''' '''''''' ''''''''''''''''' ''''''''''' '''''''''' ''''''''''''''''''''''''''' '''''''''''''' '''' '''''''''''''' ''''''' ''''''' ''''' ''''''''''''''''' '''' ''''''''' '''''''''''''' ''''''''' ''''''' '''''''' ''''' '''''''''' '''''''''''''''''''''''' '''''' '''''''''''''''''' '''''''' '''''''''''''''''''' '''''''' ''''''' '''''''''''' ''''''' ''' '''''''''''''' ''''''' '''' '''''' '''''''''' ''''''''''''''''' '''''''''''''''' '''''''''''''''''''''''''''' '''''''' '''''''''''  </w:t>
      </w:r>
    </w:p>
    <w:p w:rsidR="004E3194" w:rsidRPr="00500271" w:rsidRDefault="00500271" w:rsidP="004E3194">
      <w:pPr>
        <w:rPr>
          <w:highlight w:val="black"/>
        </w:rPr>
      </w:pPr>
      <w:r>
        <w:rPr>
          <w:noProof/>
          <w:color w:val="000000"/>
          <w:highlight w:val="black"/>
        </w:rPr>
        <w:t>''''''''''''''''' '''''''''''''' '''''''''' ''''''''''''''''' '''' ''''''''' '''' '''''''''''''' ''''''''''''' '''''''' ''''''''''''''''''' ''''''''' '''''' '''''''''''''' ''''''''''' '''''''''''''''''''''''''''' '''''''' ''''''''''' '''' '''''''''''''''''''''''''''''''' '''''''''''''' '''''''''''''' ''''''''''''''' '''''''''' ''''''''' ''''''''''''''''' ''''''''''' ''''''''''' ''''' '''''''''''' ''''' '''''''''' '''' ''''''''''''''' '''''''' '''''''''' ''' ''''''''''''''' ''''''''''''' ''''''' '''''''''''''''' ''''' ''''''''''' '''' ''''''''''''''''''''''''''''''''''''' ''''' '''''''''' '''' '''''''''''''''''''' '''''''''''''' '''''''''''' ''' ''''''''' ''''' '''''''''''''''''''''''''''' ''' '''''''''' '''' '''''''''' '''''''''''''' ''''''''''''''''' ''''''' ''' ''''''''' '''' ''''''''''''''''''''''''''' ''''''''''''''''''' ''''' ''' '''''''''''''' ''''''''' ''''''''''' '''''''''''''''' '''''''''''''''''''''''' '''''''''''''''''''''''''''' '''' '''''''''' ''''''''''''' ''' '''''''''''''' '''''''''' ''''''' '''''''''''''' '''''''''''''''' ''''' '''''''''' '' '''''''''''''''' '''''''''''''''' ''''''''''' ''''''''''''''' '''''''''''''''' ''''''' ''''''''''''''''''''''''''''''' ''''''''''''''' '''''''''''''''''''''''''''' '''''''' '''''''''''</w:t>
      </w:r>
    </w:p>
    <w:p w:rsidR="004E3194" w:rsidRPr="00500271" w:rsidRDefault="00500271" w:rsidP="004E3194">
      <w:pPr>
        <w:rPr>
          <w:rFonts w:cstheme="minorHAnsi"/>
          <w:highlight w:val="black"/>
        </w:rPr>
      </w:pPr>
      <w:r>
        <w:rPr>
          <w:noProof/>
          <w:color w:val="000000"/>
          <w:highlight w:val="black"/>
        </w:rPr>
        <w:t>'''''''''''''''' '''''''''' '''''''''' '''''''''''''''''' '''' ''''''''''''''''' '''''''' ''''''''' ''''''''''''''' ''''''''''' ''''''''''''''''''' '''''' '''''''' '''' '''''''''''''' ''''''''' '''''''' ''' ''''''''''''''''' '''''''''''''''' '''''''''''''''' '''''''''' '''''''''' ''''''''' '''''' '''''''''''''''' '''''''''' '''' ''''''''''''''''''' ''''' ''''''''''''''''' '''' '''''''' ''' '''''''''''''''' '''''''''''''''' '''''''''''''''' '''''''''' ''''''''''''''''''' ''''''''''''''''' '''''''''''''''''''''''''''''' ''''''' ''''''''''''</w:t>
      </w:r>
    </w:p>
    <w:p w:rsidR="004E3194" w:rsidRPr="0004128C" w:rsidRDefault="004E3194" w:rsidP="0004128C"/>
    <w:p w:rsidR="0004128C" w:rsidRPr="0004128C" w:rsidRDefault="0004128C" w:rsidP="00A979FB">
      <w:pPr>
        <w:pStyle w:val="Heading4"/>
      </w:pPr>
      <w:bookmarkStart w:id="147" w:name="_Toc404937262"/>
      <w:r w:rsidRPr="0004128C">
        <w:t>Australian data registry information</w:t>
      </w:r>
      <w:bookmarkEnd w:id="147"/>
    </w:p>
    <w:p w:rsidR="008E4818" w:rsidRPr="0004128C" w:rsidRDefault="008E4818" w:rsidP="008E4818">
      <w:r w:rsidRPr="0004128C">
        <w:t>There are currently three drugs listed for the treatment of Gaucher disease on the LSDP</w:t>
      </w:r>
      <w:r>
        <w:t>; namely</w:t>
      </w:r>
      <w:r w:rsidRPr="0004128C">
        <w:t xml:space="preserve">, imiglucerase, velaglucerase and miglustat. </w:t>
      </w:r>
      <w:r>
        <w:t xml:space="preserve">No patients are currently receiving treatment with miglustat under the LSDP. </w:t>
      </w:r>
    </w:p>
    <w:p w:rsidR="004E3194" w:rsidRDefault="008E4818" w:rsidP="004E3194">
      <w:r>
        <w:t>D</w:t>
      </w:r>
      <w:r w:rsidRPr="0004128C">
        <w:t xml:space="preserve">ata relating to </w:t>
      </w:r>
      <w:r>
        <w:t xml:space="preserve">the drugs subsidised through the LSDP for </w:t>
      </w:r>
      <w:r w:rsidRPr="0004128C">
        <w:t>Gaucher Disease w</w:t>
      </w:r>
      <w:r>
        <w:t>ere</w:t>
      </w:r>
      <w:r w:rsidRPr="0004128C">
        <w:t xml:space="preserve"> obtained from registry </w:t>
      </w:r>
      <w:r>
        <w:t>data held by the Australian Government Department of Health</w:t>
      </w:r>
      <w:r w:rsidRPr="0004128C">
        <w:t xml:space="preserve">. </w:t>
      </w:r>
      <w:r w:rsidR="004E3194">
        <w:t xml:space="preserve">The number of patients currently receiving drugs for Type 1 Gaucher disease through the LSDP is shown in </w:t>
      </w:r>
      <w:r w:rsidR="004E3194" w:rsidRPr="0004128C">
        <w:t xml:space="preserve">Table </w:t>
      </w:r>
      <w:r w:rsidR="004E3194">
        <w:rPr>
          <w:noProof/>
        </w:rPr>
        <w:t>20</w:t>
      </w:r>
      <w:r w:rsidR="004E3194">
        <w:t>.</w:t>
      </w:r>
    </w:p>
    <w:p w:rsidR="00F0480B" w:rsidRPr="0004128C" w:rsidRDefault="00F0480B" w:rsidP="004E3194">
      <w:r>
        <w:t>Information withheld from this draft report at the request of the drug sponsor.</w:t>
      </w:r>
    </w:p>
    <w:p w:rsidR="004E3194" w:rsidRDefault="004E3194" w:rsidP="004E3194">
      <w:pPr>
        <w:pStyle w:val="Caption"/>
        <w:keepNext/>
        <w:tabs>
          <w:tab w:val="clear" w:pos="851"/>
          <w:tab w:val="left" w:pos="1134"/>
        </w:tabs>
        <w:ind w:left="1134" w:hanging="1134"/>
      </w:pPr>
      <w:bookmarkStart w:id="148" w:name="_Ref278596138"/>
      <w:bookmarkStart w:id="149" w:name="_Toc411510404"/>
      <w:bookmarkStart w:id="150" w:name="_Toc415141817"/>
    </w:p>
    <w:p w:rsidR="0004128C" w:rsidRDefault="004E3194" w:rsidP="004E3194">
      <w:pPr>
        <w:pStyle w:val="Caption"/>
        <w:keepNext/>
        <w:tabs>
          <w:tab w:val="clear" w:pos="851"/>
          <w:tab w:val="left" w:pos="1134"/>
        </w:tabs>
        <w:ind w:left="1134" w:hanging="1134"/>
      </w:pPr>
      <w:r w:rsidRPr="0004128C">
        <w:t xml:space="preserve">Table </w:t>
      </w:r>
      <w:r>
        <w:rPr>
          <w:noProof/>
        </w:rPr>
        <w:t>20</w:t>
      </w:r>
      <w:bookmarkEnd w:id="148"/>
      <w:r>
        <w:rPr>
          <w:noProof/>
        </w:rPr>
        <w:tab/>
      </w:r>
      <w:bookmarkEnd w:id="149"/>
      <w:r>
        <w:t>Number of patients currently treated under the LSDP for Gaucher diseas</w:t>
      </w:r>
      <w:bookmarkEnd w:id="150"/>
      <w:r>
        <w:t>e</w:t>
      </w:r>
    </w:p>
    <w:tbl>
      <w:tblPr>
        <w:tblStyle w:val="TableGrid"/>
        <w:tblW w:w="9180" w:type="dxa"/>
        <w:tblLook w:val="04A0" w:firstRow="1" w:lastRow="0" w:firstColumn="1" w:lastColumn="0" w:noHBand="0" w:noVBand="1"/>
        <w:tblCaption w:val="Table 19 Current treatment status, clinical and Genzyme registry data"/>
        <w:tblDescription w:val="Current treatment status, clinical and Genzyme registry data for Gaucher patients in Australia."/>
      </w:tblPr>
      <w:tblGrid>
        <w:gridCol w:w="2943"/>
        <w:gridCol w:w="2040"/>
        <w:gridCol w:w="2160"/>
        <w:gridCol w:w="2037"/>
      </w:tblGrid>
      <w:tr w:rsidR="004E3194" w:rsidRPr="0004128C" w:rsidTr="00926546">
        <w:trPr>
          <w:trHeight w:val="280"/>
          <w:tblHeader/>
        </w:trPr>
        <w:tc>
          <w:tcPr>
            <w:tcW w:w="2943" w:type="dxa"/>
            <w:noWrap/>
            <w:hideMark/>
          </w:tcPr>
          <w:p w:rsidR="004E3194" w:rsidRPr="0004128C" w:rsidRDefault="004E3194" w:rsidP="00926546">
            <w:pPr>
              <w:pStyle w:val="TableHeading"/>
              <w:rPr>
                <w:color w:val="000000"/>
                <w:szCs w:val="22"/>
              </w:rPr>
            </w:pPr>
            <w:r>
              <w:t>Outcome</w:t>
            </w:r>
          </w:p>
        </w:tc>
        <w:tc>
          <w:tcPr>
            <w:tcW w:w="2040" w:type="dxa"/>
            <w:tcBorders>
              <w:right w:val="single" w:sz="4" w:space="0" w:color="auto"/>
            </w:tcBorders>
            <w:noWrap/>
            <w:hideMark/>
          </w:tcPr>
          <w:p w:rsidR="004E3194" w:rsidRPr="0004128C" w:rsidRDefault="004E3194" w:rsidP="00926546">
            <w:pPr>
              <w:pStyle w:val="TableHeading"/>
              <w:rPr>
                <w:color w:val="000000"/>
                <w:szCs w:val="22"/>
              </w:rPr>
            </w:pPr>
            <w:r>
              <w:t>Imiglucerase</w:t>
            </w:r>
          </w:p>
        </w:tc>
        <w:tc>
          <w:tcPr>
            <w:tcW w:w="2160" w:type="dxa"/>
            <w:tcBorders>
              <w:left w:val="single" w:sz="4" w:space="0" w:color="auto"/>
              <w:right w:val="single" w:sz="4" w:space="0" w:color="auto"/>
            </w:tcBorders>
          </w:tcPr>
          <w:p w:rsidR="004E3194" w:rsidRPr="0004128C" w:rsidRDefault="004E3194" w:rsidP="00926546">
            <w:pPr>
              <w:pStyle w:val="TableHeading"/>
              <w:rPr>
                <w:color w:val="000000"/>
                <w:szCs w:val="22"/>
              </w:rPr>
            </w:pPr>
            <w:r>
              <w:rPr>
                <w:color w:val="000000"/>
                <w:szCs w:val="22"/>
              </w:rPr>
              <w:t>Velaglucerase</w:t>
            </w:r>
          </w:p>
        </w:tc>
        <w:tc>
          <w:tcPr>
            <w:tcW w:w="2037" w:type="dxa"/>
            <w:tcBorders>
              <w:left w:val="single" w:sz="4" w:space="0" w:color="auto"/>
            </w:tcBorders>
          </w:tcPr>
          <w:p w:rsidR="004E3194" w:rsidRPr="0004128C" w:rsidRDefault="004E3194" w:rsidP="00926546">
            <w:pPr>
              <w:pStyle w:val="TableHeading"/>
              <w:rPr>
                <w:color w:val="000000"/>
                <w:szCs w:val="22"/>
              </w:rPr>
            </w:pPr>
            <w:r>
              <w:rPr>
                <w:color w:val="000000"/>
                <w:szCs w:val="22"/>
              </w:rPr>
              <w:t>All</w:t>
            </w:r>
          </w:p>
        </w:tc>
      </w:tr>
      <w:tr w:rsidR="004E3194" w:rsidRPr="0004128C" w:rsidTr="00926546">
        <w:trPr>
          <w:trHeight w:val="280"/>
        </w:trPr>
        <w:tc>
          <w:tcPr>
            <w:tcW w:w="2943" w:type="dxa"/>
            <w:noWrap/>
            <w:hideMark/>
          </w:tcPr>
          <w:p w:rsidR="004E3194" w:rsidRPr="008E4818" w:rsidRDefault="004E3194" w:rsidP="00926546">
            <w:pPr>
              <w:pStyle w:val="TableText0"/>
              <w:rPr>
                <w:color w:val="000000"/>
                <w:szCs w:val="22"/>
                <w:highlight w:val="yellow"/>
              </w:rPr>
            </w:pPr>
            <w:r w:rsidRPr="00777B3A">
              <w:t>Number of patients receiving treatment</w:t>
            </w:r>
            <w:r>
              <w:t xml:space="preserve"> through LSDP</w:t>
            </w:r>
          </w:p>
        </w:tc>
        <w:tc>
          <w:tcPr>
            <w:tcW w:w="2040" w:type="dxa"/>
            <w:tcBorders>
              <w:right w:val="single" w:sz="4" w:space="0" w:color="auto"/>
            </w:tcBorders>
            <w:noWrap/>
            <w:hideMark/>
          </w:tcPr>
          <w:p w:rsidR="004E3194" w:rsidRPr="008E4818" w:rsidRDefault="004E3194" w:rsidP="00926546">
            <w:pPr>
              <w:pStyle w:val="TableText0"/>
              <w:rPr>
                <w:color w:val="000000"/>
                <w:szCs w:val="22"/>
                <w:highlight w:val="yellow"/>
              </w:rPr>
            </w:pPr>
            <w:r>
              <w:rPr>
                <w:color w:val="000000"/>
                <w:szCs w:val="22"/>
                <w:highlight w:val="yellow"/>
              </w:rPr>
              <w:t>17</w:t>
            </w:r>
          </w:p>
        </w:tc>
        <w:tc>
          <w:tcPr>
            <w:tcW w:w="2160" w:type="dxa"/>
            <w:tcBorders>
              <w:left w:val="single" w:sz="4" w:space="0" w:color="auto"/>
              <w:right w:val="single" w:sz="4" w:space="0" w:color="auto"/>
            </w:tcBorders>
          </w:tcPr>
          <w:p w:rsidR="004E3194" w:rsidRPr="00500271" w:rsidRDefault="00500271" w:rsidP="00926546">
            <w:pPr>
              <w:pStyle w:val="TableText0"/>
              <w:rPr>
                <w:color w:val="000000"/>
                <w:szCs w:val="22"/>
                <w:highlight w:val="black"/>
              </w:rPr>
            </w:pPr>
            <w:r>
              <w:rPr>
                <w:noProof/>
                <w:color w:val="000000"/>
                <w:highlight w:val="black"/>
              </w:rPr>
              <w:t>'''''</w:t>
            </w:r>
          </w:p>
        </w:tc>
        <w:tc>
          <w:tcPr>
            <w:tcW w:w="2037" w:type="dxa"/>
            <w:tcBorders>
              <w:left w:val="single" w:sz="4" w:space="0" w:color="auto"/>
            </w:tcBorders>
          </w:tcPr>
          <w:p w:rsidR="004E3194" w:rsidRPr="00500271" w:rsidRDefault="00500271" w:rsidP="00926546">
            <w:pPr>
              <w:pStyle w:val="TableText0"/>
              <w:rPr>
                <w:color w:val="000000"/>
                <w:szCs w:val="22"/>
                <w:highlight w:val="black"/>
              </w:rPr>
            </w:pPr>
            <w:r>
              <w:rPr>
                <w:noProof/>
                <w:color w:val="000000"/>
                <w:szCs w:val="22"/>
                <w:highlight w:val="black"/>
              </w:rPr>
              <w:t>'''''</w:t>
            </w:r>
          </w:p>
        </w:tc>
      </w:tr>
    </w:tbl>
    <w:p w:rsidR="0004128C" w:rsidRPr="00777B3A" w:rsidRDefault="0004128C" w:rsidP="0004128C">
      <w:pPr>
        <w:rPr>
          <w:b/>
        </w:rPr>
      </w:pPr>
    </w:p>
    <w:p w:rsidR="00777B3A" w:rsidRPr="0004128C" w:rsidRDefault="00777B3A" w:rsidP="00777B3A">
      <w:bookmarkStart w:id="151" w:name="_Toc411510405"/>
      <w:r w:rsidRPr="0004128C">
        <w:t xml:space="preserve">The median age of </w:t>
      </w:r>
      <w:r w:rsidR="00F87099" w:rsidRPr="0004128C">
        <w:t>patients’</w:t>
      </w:r>
      <w:r w:rsidRPr="0004128C">
        <w:t xml:space="preserve"> currently receiving treatment on the</w:t>
      </w:r>
      <w:r>
        <w:t xml:space="preserve"> LSDP for Gaucher disease is 45 years of age. There are currently </w:t>
      </w:r>
      <w:r w:rsidR="00A62C97">
        <w:rPr>
          <w:noProof/>
          <w:color w:val="000000"/>
          <w:highlight w:val="black"/>
        </w:rPr>
        <w:t xml:space="preserve">''''''''' </w:t>
      </w:r>
      <w:r>
        <w:t xml:space="preserve">patients aged less than 18 years currently receiving treatment. </w:t>
      </w:r>
    </w:p>
    <w:p w:rsidR="0004128C" w:rsidRPr="00BD10C7" w:rsidRDefault="0004128C" w:rsidP="00F44176">
      <w:pPr>
        <w:pStyle w:val="Caption"/>
        <w:keepNext/>
        <w:tabs>
          <w:tab w:val="clear" w:pos="851"/>
          <w:tab w:val="left" w:pos="1134"/>
        </w:tabs>
        <w:ind w:left="1134" w:hanging="1134"/>
      </w:pPr>
      <w:bookmarkStart w:id="152" w:name="_Toc415141818"/>
      <w:r w:rsidRPr="00BD10C7">
        <w:t xml:space="preserve">Table </w:t>
      </w:r>
      <w:r w:rsidR="00A72B26">
        <w:rPr>
          <w:noProof/>
        </w:rPr>
        <w:t>21</w:t>
      </w:r>
      <w:r w:rsidRPr="00BD10C7">
        <w:t xml:space="preserve"> </w:t>
      </w:r>
      <w:r w:rsidR="00BD10C7">
        <w:tab/>
      </w:r>
      <w:r w:rsidRPr="00BD10C7">
        <w:t>Age of those currently receiving treatment on the LSDP</w:t>
      </w:r>
      <w:bookmarkEnd w:id="151"/>
      <w:bookmarkEnd w:id="152"/>
    </w:p>
    <w:tbl>
      <w:tblPr>
        <w:tblStyle w:val="TableGrid2"/>
        <w:tblW w:w="9180" w:type="dxa"/>
        <w:tblLayout w:type="fixed"/>
        <w:tblLook w:val="04A0" w:firstRow="1" w:lastRow="0" w:firstColumn="1" w:lastColumn="0" w:noHBand="0" w:noVBand="1"/>
        <w:tblCaption w:val="Table 20  Age of those currently receiving treatment on the LSDP"/>
        <w:tblDescription w:val="Age of Gaucher patients in Australia currently receiving treatment on the LSDP"/>
      </w:tblPr>
      <w:tblGrid>
        <w:gridCol w:w="2943"/>
        <w:gridCol w:w="2079"/>
        <w:gridCol w:w="2079"/>
        <w:gridCol w:w="2079"/>
      </w:tblGrid>
      <w:tr w:rsidR="00777B3A" w:rsidRPr="0004128C" w:rsidTr="00703C09">
        <w:trPr>
          <w:trHeight w:val="280"/>
          <w:tblHeader/>
        </w:trPr>
        <w:tc>
          <w:tcPr>
            <w:tcW w:w="2943" w:type="dxa"/>
            <w:noWrap/>
            <w:hideMark/>
          </w:tcPr>
          <w:p w:rsidR="00777B3A" w:rsidRPr="00910E2B" w:rsidRDefault="00A311E5" w:rsidP="00910E2B">
            <w:pPr>
              <w:pStyle w:val="TableHeading"/>
            </w:pPr>
            <w:r>
              <w:t>Outcome</w:t>
            </w:r>
          </w:p>
        </w:tc>
        <w:tc>
          <w:tcPr>
            <w:tcW w:w="2079" w:type="dxa"/>
            <w:noWrap/>
            <w:hideMark/>
          </w:tcPr>
          <w:p w:rsidR="00777B3A" w:rsidRPr="00A311E5" w:rsidRDefault="00777B3A" w:rsidP="00910E2B">
            <w:pPr>
              <w:pStyle w:val="TableHeading"/>
              <w:jc w:val="center"/>
            </w:pPr>
            <w:r w:rsidRPr="00A311E5">
              <w:t>Imiglucerase</w:t>
            </w:r>
          </w:p>
        </w:tc>
        <w:tc>
          <w:tcPr>
            <w:tcW w:w="2079" w:type="dxa"/>
            <w:noWrap/>
            <w:hideMark/>
          </w:tcPr>
          <w:p w:rsidR="00777B3A" w:rsidRPr="00A311E5" w:rsidRDefault="00777B3A" w:rsidP="00910E2B">
            <w:pPr>
              <w:pStyle w:val="TableHeading"/>
              <w:jc w:val="center"/>
            </w:pPr>
            <w:r w:rsidRPr="00A311E5">
              <w:t>Velaglucerase</w:t>
            </w:r>
          </w:p>
        </w:tc>
        <w:tc>
          <w:tcPr>
            <w:tcW w:w="2079" w:type="dxa"/>
          </w:tcPr>
          <w:p w:rsidR="00777B3A" w:rsidRPr="00910E2B" w:rsidRDefault="00777B3A" w:rsidP="00777B3A">
            <w:pPr>
              <w:pStyle w:val="TableHeading"/>
              <w:jc w:val="center"/>
            </w:pPr>
            <w:r>
              <w:t>All</w:t>
            </w:r>
          </w:p>
        </w:tc>
      </w:tr>
      <w:tr w:rsidR="00777B3A" w:rsidRPr="0004128C" w:rsidTr="00703C09">
        <w:trPr>
          <w:trHeight w:val="280"/>
        </w:trPr>
        <w:tc>
          <w:tcPr>
            <w:tcW w:w="2943" w:type="dxa"/>
            <w:noWrap/>
            <w:hideMark/>
          </w:tcPr>
          <w:p w:rsidR="00777B3A" w:rsidRPr="00910E2B" w:rsidRDefault="00703C09" w:rsidP="00BD7570">
            <w:pPr>
              <w:pStyle w:val="TableText0"/>
            </w:pPr>
            <w:r>
              <w:t>Mean age ± SD</w:t>
            </w:r>
          </w:p>
        </w:tc>
        <w:tc>
          <w:tcPr>
            <w:tcW w:w="2079" w:type="dxa"/>
            <w:noWrap/>
          </w:tcPr>
          <w:p w:rsidR="00777B3A" w:rsidRPr="00A311E5" w:rsidRDefault="00703C09" w:rsidP="00BD7570">
            <w:pPr>
              <w:pStyle w:val="TableText0"/>
            </w:pPr>
            <w:r w:rsidRPr="00A311E5">
              <w:t>40.6±20.2</w:t>
            </w:r>
          </w:p>
        </w:tc>
        <w:tc>
          <w:tcPr>
            <w:tcW w:w="2079" w:type="dxa"/>
            <w:noWrap/>
          </w:tcPr>
          <w:p w:rsidR="00777B3A" w:rsidRPr="00A311E5" w:rsidRDefault="00703C09" w:rsidP="00BD7570">
            <w:pPr>
              <w:pStyle w:val="TableText0"/>
            </w:pPr>
            <w:r w:rsidRPr="00A311E5">
              <w:t>46.3±16.4</w:t>
            </w:r>
          </w:p>
        </w:tc>
        <w:tc>
          <w:tcPr>
            <w:tcW w:w="2079" w:type="dxa"/>
          </w:tcPr>
          <w:p w:rsidR="00777B3A" w:rsidRPr="00910E2B" w:rsidRDefault="00703C09" w:rsidP="00BD7570">
            <w:pPr>
              <w:pStyle w:val="TableText0"/>
            </w:pPr>
            <w:r>
              <w:t>45±17.7</w:t>
            </w:r>
          </w:p>
        </w:tc>
      </w:tr>
      <w:tr w:rsidR="00777B3A" w:rsidRPr="0004128C" w:rsidTr="00703C09">
        <w:trPr>
          <w:trHeight w:val="280"/>
        </w:trPr>
        <w:tc>
          <w:tcPr>
            <w:tcW w:w="2943" w:type="dxa"/>
            <w:noWrap/>
            <w:hideMark/>
          </w:tcPr>
          <w:p w:rsidR="00777B3A" w:rsidRPr="00910E2B" w:rsidRDefault="00777B3A" w:rsidP="00BD7570">
            <w:pPr>
              <w:pStyle w:val="TableText0"/>
            </w:pPr>
            <w:r w:rsidRPr="00910E2B">
              <w:t>Minimum</w:t>
            </w:r>
          </w:p>
        </w:tc>
        <w:tc>
          <w:tcPr>
            <w:tcW w:w="2079" w:type="dxa"/>
            <w:noWrap/>
          </w:tcPr>
          <w:p w:rsidR="00777B3A" w:rsidRPr="00A311E5" w:rsidRDefault="00703C09" w:rsidP="00BD7570">
            <w:pPr>
              <w:pStyle w:val="TableText0"/>
            </w:pPr>
            <w:r w:rsidRPr="00A311E5">
              <w:t>5</w:t>
            </w:r>
          </w:p>
        </w:tc>
        <w:tc>
          <w:tcPr>
            <w:tcW w:w="2079" w:type="dxa"/>
            <w:noWrap/>
          </w:tcPr>
          <w:p w:rsidR="00777B3A" w:rsidRPr="00A311E5" w:rsidRDefault="00703C09" w:rsidP="00BD7570">
            <w:pPr>
              <w:pStyle w:val="TableText0"/>
            </w:pPr>
            <w:r w:rsidRPr="00A311E5">
              <w:t>3</w:t>
            </w:r>
          </w:p>
        </w:tc>
        <w:tc>
          <w:tcPr>
            <w:tcW w:w="2079" w:type="dxa"/>
          </w:tcPr>
          <w:p w:rsidR="00777B3A" w:rsidRPr="00910E2B" w:rsidRDefault="00703C09" w:rsidP="00BD7570">
            <w:pPr>
              <w:pStyle w:val="TableText0"/>
            </w:pPr>
            <w:r>
              <w:t>3</w:t>
            </w:r>
          </w:p>
        </w:tc>
      </w:tr>
      <w:tr w:rsidR="00777B3A" w:rsidRPr="0004128C" w:rsidTr="00703C09">
        <w:trPr>
          <w:trHeight w:val="280"/>
        </w:trPr>
        <w:tc>
          <w:tcPr>
            <w:tcW w:w="2943" w:type="dxa"/>
            <w:noWrap/>
            <w:hideMark/>
          </w:tcPr>
          <w:p w:rsidR="00777B3A" w:rsidRPr="00910E2B" w:rsidRDefault="00777B3A" w:rsidP="00BD7570">
            <w:pPr>
              <w:pStyle w:val="TableText0"/>
            </w:pPr>
            <w:r w:rsidRPr="00910E2B">
              <w:t>Maximum</w:t>
            </w:r>
          </w:p>
        </w:tc>
        <w:tc>
          <w:tcPr>
            <w:tcW w:w="2079" w:type="dxa"/>
            <w:noWrap/>
          </w:tcPr>
          <w:p w:rsidR="00777B3A" w:rsidRPr="00A311E5" w:rsidRDefault="00703C09" w:rsidP="00BD7570">
            <w:pPr>
              <w:pStyle w:val="TableText0"/>
            </w:pPr>
            <w:r w:rsidRPr="00A311E5">
              <w:t>82</w:t>
            </w:r>
          </w:p>
        </w:tc>
        <w:tc>
          <w:tcPr>
            <w:tcW w:w="2079" w:type="dxa"/>
            <w:noWrap/>
          </w:tcPr>
          <w:p w:rsidR="00777B3A" w:rsidRPr="00A311E5" w:rsidRDefault="00703C09" w:rsidP="00BD7570">
            <w:pPr>
              <w:pStyle w:val="TableText0"/>
            </w:pPr>
            <w:r w:rsidRPr="00A311E5">
              <w:t>84</w:t>
            </w:r>
          </w:p>
        </w:tc>
        <w:tc>
          <w:tcPr>
            <w:tcW w:w="2079" w:type="dxa"/>
          </w:tcPr>
          <w:p w:rsidR="00777B3A" w:rsidRPr="00910E2B" w:rsidRDefault="00703C09" w:rsidP="00BD7570">
            <w:pPr>
              <w:pStyle w:val="TableText0"/>
            </w:pPr>
            <w:r>
              <w:t>84</w:t>
            </w:r>
          </w:p>
        </w:tc>
      </w:tr>
      <w:tr w:rsidR="00777B3A" w:rsidRPr="0004128C" w:rsidTr="00703C09">
        <w:trPr>
          <w:trHeight w:val="280"/>
        </w:trPr>
        <w:tc>
          <w:tcPr>
            <w:tcW w:w="2943" w:type="dxa"/>
            <w:noWrap/>
            <w:hideMark/>
          </w:tcPr>
          <w:p w:rsidR="00777B3A" w:rsidRPr="00910E2B" w:rsidRDefault="00703C09" w:rsidP="00BD7570">
            <w:pPr>
              <w:pStyle w:val="TableText0"/>
            </w:pPr>
            <w:r>
              <w:t>Number of patients under 18 years of age</w:t>
            </w:r>
          </w:p>
        </w:tc>
        <w:tc>
          <w:tcPr>
            <w:tcW w:w="2079" w:type="dxa"/>
            <w:noWrap/>
          </w:tcPr>
          <w:p w:rsidR="00777B3A" w:rsidRPr="00A62C97" w:rsidRDefault="00A62C97" w:rsidP="00BD7570">
            <w:pPr>
              <w:pStyle w:val="TableText0"/>
              <w:rPr>
                <w:highlight w:val="black"/>
              </w:rPr>
            </w:pPr>
            <w:r>
              <w:rPr>
                <w:rFonts w:ascii="Calibri" w:hAnsi="Calibri"/>
                <w:noProof/>
                <w:color w:val="000000"/>
                <w:sz w:val="24"/>
                <w:szCs w:val="24"/>
                <w:highlight w:val="black"/>
                <w:lang w:val="en-AU"/>
              </w:rPr>
              <w:t>'''</w:t>
            </w:r>
          </w:p>
        </w:tc>
        <w:tc>
          <w:tcPr>
            <w:tcW w:w="2079" w:type="dxa"/>
            <w:noWrap/>
          </w:tcPr>
          <w:p w:rsidR="00777B3A" w:rsidRPr="00A62C97" w:rsidRDefault="00A62C97" w:rsidP="00BD7570">
            <w:pPr>
              <w:pStyle w:val="TableText0"/>
              <w:rPr>
                <w:highlight w:val="black"/>
              </w:rPr>
            </w:pPr>
            <w:r>
              <w:rPr>
                <w:rFonts w:ascii="Calibri" w:hAnsi="Calibri"/>
                <w:noProof/>
                <w:color w:val="000000"/>
                <w:sz w:val="24"/>
                <w:szCs w:val="24"/>
                <w:highlight w:val="black"/>
                <w:lang w:val="en-AU"/>
              </w:rPr>
              <w:t>'''</w:t>
            </w:r>
          </w:p>
        </w:tc>
        <w:tc>
          <w:tcPr>
            <w:tcW w:w="2079" w:type="dxa"/>
          </w:tcPr>
          <w:p w:rsidR="00777B3A" w:rsidRPr="00A62C97" w:rsidRDefault="00A62C97" w:rsidP="00BD7570">
            <w:pPr>
              <w:pStyle w:val="TableText0"/>
              <w:rPr>
                <w:highlight w:val="black"/>
              </w:rPr>
            </w:pPr>
            <w:r>
              <w:rPr>
                <w:rFonts w:ascii="Calibri" w:hAnsi="Calibri"/>
                <w:noProof/>
                <w:color w:val="000000"/>
                <w:sz w:val="24"/>
                <w:szCs w:val="24"/>
                <w:highlight w:val="black"/>
                <w:lang w:val="en-AU"/>
              </w:rPr>
              <w:t>'''</w:t>
            </w:r>
          </w:p>
        </w:tc>
      </w:tr>
    </w:tbl>
    <w:p w:rsidR="00703C09" w:rsidRPr="0004128C" w:rsidRDefault="00703C09" w:rsidP="00D00F83">
      <w:pPr>
        <w:pStyle w:val="TableNote"/>
        <w:spacing w:after="120"/>
        <w:ind w:left="130" w:hanging="130"/>
      </w:pPr>
      <w:r>
        <w:t xml:space="preserve">Source: Australian registry data; </w:t>
      </w:r>
      <w:r w:rsidR="00910E2B">
        <w:t>SD</w:t>
      </w:r>
      <w:r w:rsidR="00652355" w:rsidRPr="00652355">
        <w:rPr>
          <w:spacing w:val="-20"/>
        </w:rPr>
        <w:t xml:space="preserve"> = </w:t>
      </w:r>
      <w:r w:rsidR="00910E2B" w:rsidRPr="0004128C">
        <w:t>Standard Deviation</w:t>
      </w:r>
    </w:p>
    <w:p w:rsidR="006426C0" w:rsidRDefault="00703C09" w:rsidP="006426C0">
      <w:bookmarkStart w:id="153" w:name="_Ref278596171"/>
      <w:r>
        <w:t xml:space="preserve">Slightly more females (55%; </w:t>
      </w:r>
      <w:r w:rsidR="00A62C97">
        <w:rPr>
          <w:noProof/>
          <w:color w:val="000000"/>
          <w:highlight w:val="black"/>
        </w:rPr>
        <w:t>'''''''''''</w:t>
      </w:r>
      <w:r>
        <w:t xml:space="preserve"> than males (45%; </w:t>
      </w:r>
      <w:r w:rsidR="00A62C97">
        <w:rPr>
          <w:noProof/>
          <w:color w:val="000000"/>
          <w:highlight w:val="black"/>
        </w:rPr>
        <w:t>''''''''''</w:t>
      </w:r>
      <w:r>
        <w:t>) accessed</w:t>
      </w:r>
      <w:r w:rsidR="00D00F83">
        <w:t xml:space="preserve"> drugs used to treat G</w:t>
      </w:r>
      <w:r>
        <w:t xml:space="preserve">aucher disease on the LSDP </w:t>
      </w:r>
      <w:r w:rsidR="006426C0">
        <w:t>(</w:t>
      </w:r>
      <w:r w:rsidR="00A72B26" w:rsidRPr="00BD10C7">
        <w:t xml:space="preserve">Table </w:t>
      </w:r>
      <w:r w:rsidR="00A72B26">
        <w:rPr>
          <w:noProof/>
        </w:rPr>
        <w:t>22</w:t>
      </w:r>
      <w:r w:rsidR="006426C0">
        <w:t>)</w:t>
      </w:r>
      <w:r w:rsidR="006426C0" w:rsidRPr="0004128C">
        <w:t xml:space="preserve">. </w:t>
      </w:r>
    </w:p>
    <w:p w:rsidR="0004128C" w:rsidRPr="00BD10C7" w:rsidRDefault="0004128C" w:rsidP="006426C0">
      <w:pPr>
        <w:pStyle w:val="Caption"/>
        <w:keepNext/>
        <w:tabs>
          <w:tab w:val="clear" w:pos="851"/>
          <w:tab w:val="left" w:pos="1134"/>
        </w:tabs>
        <w:ind w:left="1134" w:hanging="1134"/>
      </w:pPr>
      <w:bookmarkStart w:id="154" w:name="_Ref411498533"/>
      <w:bookmarkStart w:id="155" w:name="_Toc411510406"/>
      <w:bookmarkStart w:id="156" w:name="_Toc415141819"/>
      <w:r w:rsidRPr="00BD10C7">
        <w:t xml:space="preserve">Table </w:t>
      </w:r>
      <w:r w:rsidR="00A72B26">
        <w:rPr>
          <w:noProof/>
        </w:rPr>
        <w:t>22</w:t>
      </w:r>
      <w:bookmarkEnd w:id="153"/>
      <w:bookmarkEnd w:id="154"/>
      <w:r w:rsidRPr="00BD10C7">
        <w:t xml:space="preserve"> </w:t>
      </w:r>
      <w:r w:rsidR="00BD10C7">
        <w:tab/>
      </w:r>
      <w:r w:rsidRPr="00BD10C7">
        <w:t xml:space="preserve">Gender of patients </w:t>
      </w:r>
      <w:bookmarkEnd w:id="155"/>
      <w:r w:rsidR="00D00F83">
        <w:t>currently receiving treatment under the LSDP for Gaucher disease</w:t>
      </w:r>
      <w:bookmarkEnd w:id="156"/>
    </w:p>
    <w:tbl>
      <w:tblPr>
        <w:tblW w:w="9077" w:type="dxa"/>
        <w:tblInd w:w="103" w:type="dxa"/>
        <w:tblLayout w:type="fixed"/>
        <w:tblLook w:val="04A0" w:firstRow="1" w:lastRow="0" w:firstColumn="1" w:lastColumn="0" w:noHBand="0" w:noVBand="1"/>
        <w:tblCaption w:val="Table 21  Gender of patients in the clinical and Genzyme registry "/>
        <w:tblDescription w:val="Gender of Australian Gaucher patients in the clinical and Genzyme registry "/>
      </w:tblPr>
      <w:tblGrid>
        <w:gridCol w:w="2840"/>
        <w:gridCol w:w="2079"/>
        <w:gridCol w:w="2079"/>
        <w:gridCol w:w="2079"/>
      </w:tblGrid>
      <w:tr w:rsidR="00A311E5" w:rsidRPr="0004128C" w:rsidTr="00A311E5">
        <w:trPr>
          <w:trHeight w:val="280"/>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11E5" w:rsidRPr="00BD7570" w:rsidRDefault="00A311E5" w:rsidP="00BD7570">
            <w:pPr>
              <w:pStyle w:val="TableHeading"/>
            </w:pPr>
            <w:r w:rsidRPr="00BD7570">
              <w:t>Outcome</w:t>
            </w:r>
          </w:p>
        </w:tc>
        <w:tc>
          <w:tcPr>
            <w:tcW w:w="2079" w:type="dxa"/>
            <w:tcBorders>
              <w:top w:val="single" w:sz="4" w:space="0" w:color="auto"/>
              <w:left w:val="nil"/>
              <w:bottom w:val="single" w:sz="4" w:space="0" w:color="auto"/>
              <w:right w:val="single" w:sz="4" w:space="0" w:color="auto"/>
            </w:tcBorders>
            <w:shd w:val="clear" w:color="auto" w:fill="auto"/>
            <w:noWrap/>
          </w:tcPr>
          <w:p w:rsidR="00A311E5" w:rsidRPr="00915EA9" w:rsidRDefault="00A311E5" w:rsidP="00BD7570">
            <w:pPr>
              <w:pStyle w:val="TableHeading"/>
            </w:pPr>
            <w:r w:rsidRPr="00915EA9">
              <w:t>Imiglucerase</w:t>
            </w:r>
          </w:p>
        </w:tc>
        <w:tc>
          <w:tcPr>
            <w:tcW w:w="2079" w:type="dxa"/>
            <w:tcBorders>
              <w:top w:val="single" w:sz="4" w:space="0" w:color="auto"/>
              <w:left w:val="nil"/>
              <w:bottom w:val="single" w:sz="4" w:space="0" w:color="auto"/>
              <w:right w:val="single" w:sz="4" w:space="0" w:color="auto"/>
            </w:tcBorders>
            <w:shd w:val="clear" w:color="auto" w:fill="auto"/>
          </w:tcPr>
          <w:p w:rsidR="00A311E5" w:rsidRPr="00915EA9" w:rsidRDefault="00A311E5" w:rsidP="00BD7570">
            <w:pPr>
              <w:pStyle w:val="TableHeading"/>
            </w:pPr>
            <w:r w:rsidRPr="00915EA9">
              <w:t>Velaglucerase</w:t>
            </w:r>
          </w:p>
        </w:tc>
        <w:tc>
          <w:tcPr>
            <w:tcW w:w="2079" w:type="dxa"/>
            <w:tcBorders>
              <w:top w:val="single" w:sz="4" w:space="0" w:color="auto"/>
              <w:left w:val="nil"/>
              <w:bottom w:val="single" w:sz="4" w:space="0" w:color="auto"/>
              <w:right w:val="single" w:sz="4" w:space="0" w:color="auto"/>
            </w:tcBorders>
            <w:shd w:val="clear" w:color="auto" w:fill="auto"/>
            <w:noWrap/>
          </w:tcPr>
          <w:p w:rsidR="00A311E5" w:rsidRPr="00910E2B" w:rsidRDefault="00A311E5" w:rsidP="00BD7570">
            <w:pPr>
              <w:pStyle w:val="TableHeading"/>
            </w:pPr>
            <w:r>
              <w:t>All</w:t>
            </w:r>
          </w:p>
        </w:tc>
      </w:tr>
      <w:tr w:rsidR="00A311E5" w:rsidRPr="0004128C" w:rsidTr="00A311E5">
        <w:trPr>
          <w:trHeight w:val="28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A311E5" w:rsidRPr="00910E2B" w:rsidRDefault="00A311E5" w:rsidP="00BD7570">
            <w:pPr>
              <w:pStyle w:val="TableText0"/>
            </w:pPr>
            <w:r w:rsidRPr="00910E2B">
              <w:t>Female</w:t>
            </w:r>
            <w:r w:rsidR="00915EA9">
              <w:t xml:space="preserve"> </w:t>
            </w:r>
            <w:r w:rsidR="00A62C97">
              <w:rPr>
                <w:rFonts w:ascii="Calibri" w:hAnsi="Calibri"/>
                <w:noProof/>
                <w:color w:val="000000"/>
                <w:sz w:val="24"/>
                <w:szCs w:val="24"/>
                <w:highlight w:val="black"/>
                <w:lang w:val="en-AU"/>
              </w:rPr>
              <w:t>'''''</w:t>
            </w:r>
          </w:p>
        </w:tc>
        <w:tc>
          <w:tcPr>
            <w:tcW w:w="2079" w:type="dxa"/>
            <w:tcBorders>
              <w:top w:val="nil"/>
              <w:left w:val="nil"/>
              <w:bottom w:val="single" w:sz="4" w:space="0" w:color="auto"/>
              <w:right w:val="single" w:sz="4" w:space="0" w:color="auto"/>
            </w:tcBorders>
            <w:shd w:val="clear" w:color="auto" w:fill="auto"/>
            <w:noWrap/>
            <w:vAlign w:val="bottom"/>
          </w:tcPr>
          <w:p w:rsidR="00A311E5" w:rsidRPr="00910E2B" w:rsidRDefault="00A311E5" w:rsidP="00BD7570">
            <w:pPr>
              <w:pStyle w:val="TableText0"/>
            </w:pPr>
            <w:r>
              <w:t xml:space="preserve">52.9% </w:t>
            </w:r>
            <w:r w:rsidR="00A62C97">
              <w:rPr>
                <w:rFonts w:ascii="Calibri" w:hAnsi="Calibri"/>
                <w:noProof/>
                <w:color w:val="000000"/>
                <w:sz w:val="24"/>
                <w:szCs w:val="24"/>
                <w:highlight w:val="black"/>
                <w:lang w:val="en-AU"/>
              </w:rPr>
              <w:t>''''''</w:t>
            </w:r>
          </w:p>
        </w:tc>
        <w:tc>
          <w:tcPr>
            <w:tcW w:w="2079" w:type="dxa"/>
            <w:tcBorders>
              <w:top w:val="nil"/>
              <w:left w:val="nil"/>
              <w:bottom w:val="single" w:sz="4" w:space="0" w:color="auto"/>
              <w:right w:val="single" w:sz="4" w:space="0" w:color="auto"/>
            </w:tcBorders>
            <w:shd w:val="clear" w:color="auto" w:fill="auto"/>
            <w:vAlign w:val="bottom"/>
          </w:tcPr>
          <w:p w:rsidR="00A311E5" w:rsidRPr="00910E2B" w:rsidRDefault="00A311E5" w:rsidP="00BD7570">
            <w:pPr>
              <w:pStyle w:val="TableText0"/>
            </w:pPr>
            <w:r>
              <w:t>56.8%</w:t>
            </w:r>
            <w:r w:rsidR="00A62C97">
              <w:rPr>
                <w:rFonts w:ascii="Calibri" w:hAnsi="Calibri"/>
                <w:noProof/>
                <w:color w:val="000000"/>
                <w:sz w:val="24"/>
                <w:szCs w:val="24"/>
                <w:highlight w:val="black"/>
                <w:lang w:val="en-AU"/>
              </w:rPr>
              <w:t xml:space="preserve"> '''''''</w:t>
            </w:r>
          </w:p>
        </w:tc>
        <w:tc>
          <w:tcPr>
            <w:tcW w:w="2079" w:type="dxa"/>
            <w:tcBorders>
              <w:top w:val="nil"/>
              <w:left w:val="nil"/>
              <w:bottom w:val="single" w:sz="4" w:space="0" w:color="auto"/>
              <w:right w:val="single" w:sz="4" w:space="0" w:color="auto"/>
            </w:tcBorders>
            <w:shd w:val="clear" w:color="auto" w:fill="auto"/>
            <w:noWrap/>
            <w:vAlign w:val="bottom"/>
          </w:tcPr>
          <w:p w:rsidR="00A311E5" w:rsidRPr="00910E2B" w:rsidRDefault="00915EA9" w:rsidP="00BD7570">
            <w:pPr>
              <w:pStyle w:val="TableText0"/>
            </w:pPr>
            <w:r>
              <w:t xml:space="preserve">55.7% </w:t>
            </w:r>
            <w:r w:rsidR="00177729">
              <w:rPr>
                <w:noProof/>
                <w:color w:val="000000"/>
                <w:highlight w:val="black"/>
              </w:rPr>
              <w:t>''''''''''</w:t>
            </w:r>
          </w:p>
        </w:tc>
      </w:tr>
      <w:tr w:rsidR="00A311E5" w:rsidRPr="0004128C" w:rsidTr="00A311E5">
        <w:trPr>
          <w:trHeight w:val="28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rsidR="00A311E5" w:rsidRPr="00910E2B" w:rsidRDefault="00A311E5" w:rsidP="00BD7570">
            <w:pPr>
              <w:pStyle w:val="TableText0"/>
            </w:pPr>
            <w:r w:rsidRPr="00910E2B">
              <w:t>Male</w:t>
            </w:r>
            <w:r w:rsidR="00915EA9">
              <w:t xml:space="preserve"> </w:t>
            </w:r>
            <w:r w:rsidR="00A62C97">
              <w:rPr>
                <w:rFonts w:ascii="Calibri" w:hAnsi="Calibri"/>
                <w:noProof/>
                <w:color w:val="000000"/>
                <w:sz w:val="24"/>
                <w:szCs w:val="24"/>
                <w:highlight w:val="black"/>
                <w:lang w:val="en-AU"/>
              </w:rPr>
              <w:t>'''''</w:t>
            </w:r>
          </w:p>
        </w:tc>
        <w:tc>
          <w:tcPr>
            <w:tcW w:w="2079" w:type="dxa"/>
            <w:tcBorders>
              <w:top w:val="nil"/>
              <w:left w:val="nil"/>
              <w:bottom w:val="single" w:sz="4" w:space="0" w:color="auto"/>
              <w:right w:val="single" w:sz="4" w:space="0" w:color="auto"/>
            </w:tcBorders>
            <w:shd w:val="clear" w:color="auto" w:fill="auto"/>
            <w:noWrap/>
            <w:vAlign w:val="bottom"/>
          </w:tcPr>
          <w:p w:rsidR="00A311E5" w:rsidRPr="00910E2B" w:rsidRDefault="00A311E5" w:rsidP="00BD7570">
            <w:pPr>
              <w:pStyle w:val="TableText0"/>
            </w:pPr>
            <w:r>
              <w:t xml:space="preserve">47.1% </w:t>
            </w:r>
            <w:r w:rsidR="00A62C97">
              <w:rPr>
                <w:rFonts w:ascii="Calibri" w:hAnsi="Calibri"/>
                <w:noProof/>
                <w:color w:val="000000"/>
                <w:sz w:val="24"/>
                <w:szCs w:val="24"/>
                <w:highlight w:val="black"/>
                <w:lang w:val="en-AU"/>
              </w:rPr>
              <w:t>'''''</w:t>
            </w:r>
          </w:p>
        </w:tc>
        <w:tc>
          <w:tcPr>
            <w:tcW w:w="2079" w:type="dxa"/>
            <w:tcBorders>
              <w:top w:val="nil"/>
              <w:left w:val="nil"/>
              <w:bottom w:val="single" w:sz="4" w:space="0" w:color="auto"/>
              <w:right w:val="single" w:sz="4" w:space="0" w:color="auto"/>
            </w:tcBorders>
            <w:shd w:val="clear" w:color="auto" w:fill="auto"/>
            <w:vAlign w:val="bottom"/>
          </w:tcPr>
          <w:p w:rsidR="00A311E5" w:rsidRPr="00910E2B" w:rsidRDefault="00A311E5" w:rsidP="00BD7570">
            <w:pPr>
              <w:pStyle w:val="TableText0"/>
            </w:pPr>
            <w:r>
              <w:t>43.2%</w:t>
            </w:r>
            <w:r w:rsidR="00A62C97">
              <w:rPr>
                <w:rFonts w:ascii="Calibri" w:hAnsi="Calibri"/>
                <w:noProof/>
                <w:color w:val="000000"/>
                <w:sz w:val="24"/>
                <w:szCs w:val="24"/>
                <w:highlight w:val="black"/>
                <w:lang w:val="en-AU"/>
              </w:rPr>
              <w:t xml:space="preserve"> ''''''''</w:t>
            </w:r>
          </w:p>
        </w:tc>
        <w:tc>
          <w:tcPr>
            <w:tcW w:w="2079" w:type="dxa"/>
            <w:tcBorders>
              <w:top w:val="nil"/>
              <w:left w:val="nil"/>
              <w:bottom w:val="single" w:sz="4" w:space="0" w:color="auto"/>
              <w:right w:val="single" w:sz="4" w:space="0" w:color="auto"/>
            </w:tcBorders>
            <w:shd w:val="clear" w:color="auto" w:fill="auto"/>
            <w:noWrap/>
            <w:vAlign w:val="bottom"/>
          </w:tcPr>
          <w:p w:rsidR="00A311E5" w:rsidRPr="00910E2B" w:rsidRDefault="00915EA9" w:rsidP="00BD7570">
            <w:pPr>
              <w:pStyle w:val="TableText0"/>
            </w:pPr>
            <w:r>
              <w:t xml:space="preserve">44.3% </w:t>
            </w:r>
            <w:r w:rsidR="00177729">
              <w:rPr>
                <w:noProof/>
                <w:color w:val="000000"/>
                <w:highlight w:val="black"/>
              </w:rPr>
              <w:t>''''''''''</w:t>
            </w:r>
          </w:p>
        </w:tc>
      </w:tr>
    </w:tbl>
    <w:p w:rsidR="0004128C" w:rsidRPr="0004128C" w:rsidRDefault="0004128C" w:rsidP="0004128C"/>
    <w:p w:rsidR="006426C0" w:rsidRPr="0004128C" w:rsidRDefault="00EA1829" w:rsidP="006426C0">
      <w:bookmarkStart w:id="157" w:name="_Ref404584952"/>
      <w:r>
        <w:t>W</w:t>
      </w:r>
      <w:r w:rsidR="00915EA9">
        <w:t xml:space="preserve">eight and height information was available for all patients and has been used to calculate the average dose per patient (U/kg/fortnight). </w:t>
      </w:r>
      <w:r w:rsidR="00A62C97">
        <w:rPr>
          <w:noProof/>
          <w:color w:val="000000"/>
          <w:highlight w:val="black"/>
        </w:rPr>
        <w:t>''' ''''''''''''''''''' '''' '''''' '''''''''''''''''' ''''''''''''''''' '''''''''''''' ''''''''''''''''''''''''''''''' '''''' ''''' ''''''''' '''''''''''''''' ''''''''' ''' '''''' '''''''''''' ''''''''''' '''''''''''''''' '''''''''''''''' ''''''''''''''''' ''''' '''''' ''''''''''''' '''' ''''''''''' '''' ''''''''''' '''''' ''''''' ''''''''''' '''''</w:t>
      </w:r>
      <w:r w:rsidR="009B6875">
        <w:t xml:space="preserve">. The mean doses received by patients on the </w:t>
      </w:r>
      <w:r w:rsidR="00544A05">
        <w:t>registry</w:t>
      </w:r>
      <w:r w:rsidR="009B6875">
        <w:t xml:space="preserve"> </w:t>
      </w:r>
      <w:r w:rsidR="00A62C97">
        <w:rPr>
          <w:noProof/>
          <w:color w:val="000000"/>
          <w:highlight w:val="black"/>
        </w:rPr>
        <w:t>'''''''''' ''''''''''''''''''''''''''' '''''' ''''''''''''''''''''''' ''''''' '''''''' ''''''''''''''''''''''''''' '''''' ''''''''''''''''''''''''' ''''''''</w:t>
      </w:r>
      <w:r w:rsidR="006426C0">
        <w:t xml:space="preserve"> were lower than the doses used by Schiffma</w:t>
      </w:r>
      <w:r w:rsidR="001F2020">
        <w:t xml:space="preserve">nn et al (2002) and Ben Turkia </w:t>
      </w:r>
      <w:r w:rsidR="006426C0">
        <w:t>et al (2013) (60 U/Kg/</w:t>
      </w:r>
      <w:r w:rsidR="002028EE">
        <w:t>fortnight</w:t>
      </w:r>
      <w:r w:rsidR="006426C0">
        <w:t>) in the key trials assessing imiglucerase and velaglucerase alfa. A lower dose was used in the trial by Elstein et al (2007) (30 U/Kg/month of imiglucerase in 33 patients, 60 U/Kg/month in 3 patients), that compared imiglucerase to a 100mg capsule of miglustat, taken 3 times per day.</w:t>
      </w:r>
      <w:r w:rsidR="00090CE4">
        <w:t xml:space="preserve"> </w:t>
      </w:r>
      <w:r w:rsidR="000B024E">
        <w:t xml:space="preserve">The TGA Product Information states that </w:t>
      </w:r>
      <w:r w:rsidR="0086424E">
        <w:t xml:space="preserve">imiglucerase </w:t>
      </w:r>
      <w:r w:rsidR="000B024E">
        <w:t xml:space="preserve">doses </w:t>
      </w:r>
      <w:r w:rsidR="0086424E">
        <w:t xml:space="preserve">should be individualised and </w:t>
      </w:r>
      <w:r w:rsidR="000B024E">
        <w:t xml:space="preserve">may range from 2.5U/kg 3 times per </w:t>
      </w:r>
      <w:r w:rsidR="000B024E">
        <w:lastRenderedPageBreak/>
        <w:t>week, to 60U/kg/fortnightly</w:t>
      </w:r>
      <w:r w:rsidR="0086424E">
        <w:t xml:space="preserve"> </w:t>
      </w:r>
      <w:r w:rsidR="00746F05">
        <w:rPr>
          <w:noProof/>
        </w:rPr>
        <w:t>(</w:t>
      </w:r>
      <w:r w:rsidR="00184B6F">
        <w:rPr>
          <w:noProof/>
        </w:rPr>
        <w:t>Therapeutic Goods Administration 2010a</w:t>
      </w:r>
      <w:r w:rsidR="00746F05">
        <w:rPr>
          <w:noProof/>
        </w:rPr>
        <w:t>)</w:t>
      </w:r>
      <w:r w:rsidR="000B024E">
        <w:t xml:space="preserve">. The Australian doses </w:t>
      </w:r>
      <w:r w:rsidR="0086424E">
        <w:t xml:space="preserve">are within this range. The TGA Product Information for velaglucerase alfa recommends dosing at 60 U/kg/fortnightly </w:t>
      </w:r>
      <w:r w:rsidR="00746F05">
        <w:rPr>
          <w:noProof/>
        </w:rPr>
        <w:t>(</w:t>
      </w:r>
      <w:r w:rsidR="00184B6F">
        <w:rPr>
          <w:noProof/>
        </w:rPr>
        <w:t>Therapeutic Goods Administration 2012b</w:t>
      </w:r>
      <w:r w:rsidR="00746F05">
        <w:rPr>
          <w:noProof/>
        </w:rPr>
        <w:t>)</w:t>
      </w:r>
      <w:r w:rsidR="0086424E">
        <w:t xml:space="preserve"> </w:t>
      </w:r>
      <w:r w:rsidR="00A62C97">
        <w:rPr>
          <w:noProof/>
          <w:color w:val="000000"/>
          <w:highlight w:val="black"/>
        </w:rPr>
        <w:t>''''''''''' ''' ''''''''''''''''''''' ''''''''''''' '''''' ''''''''' '''''''''''''''' ''''' ''''''' '''''''''''''''''' ''''''''''''''</w:t>
      </w:r>
      <w:r w:rsidR="0086424E">
        <w:t xml:space="preserve">. </w:t>
      </w:r>
    </w:p>
    <w:p w:rsidR="00521ED4" w:rsidRDefault="00521ED4" w:rsidP="00521ED4">
      <w:pPr>
        <w:pStyle w:val="Caption"/>
        <w:keepNext/>
      </w:pPr>
      <w:bookmarkStart w:id="158" w:name="_Ref413062790"/>
      <w:bookmarkStart w:id="159" w:name="_Toc415141820"/>
      <w:bookmarkStart w:id="160" w:name="_Ref411413856"/>
      <w:bookmarkStart w:id="161" w:name="_Toc411510407"/>
      <w:r>
        <w:t xml:space="preserve">Table </w:t>
      </w:r>
      <w:r w:rsidR="00A72B26">
        <w:rPr>
          <w:noProof/>
        </w:rPr>
        <w:t>23</w:t>
      </w:r>
      <w:bookmarkEnd w:id="158"/>
      <w:r>
        <w:t xml:space="preserve"> </w:t>
      </w:r>
      <w:r w:rsidR="00E502C3">
        <w:tab/>
      </w:r>
      <w:r w:rsidR="009B6875">
        <w:t>D</w:t>
      </w:r>
      <w:r w:rsidRPr="00BD10C7">
        <w:t xml:space="preserve">oses of </w:t>
      </w:r>
      <w:r>
        <w:t>imiglucerase</w:t>
      </w:r>
      <w:r w:rsidRPr="00BD10C7">
        <w:t xml:space="preserve"> on the LSDP for the treatment of </w:t>
      </w:r>
      <w:proofErr w:type="gramStart"/>
      <w:r w:rsidRPr="00BD10C7">
        <w:t>Gaucher</w:t>
      </w:r>
      <w:proofErr w:type="gramEnd"/>
      <w:r w:rsidRPr="00BD10C7">
        <w:t xml:space="preserve"> disease</w:t>
      </w:r>
      <w:bookmarkEnd w:id="159"/>
    </w:p>
    <w:tbl>
      <w:tblPr>
        <w:tblStyle w:val="TableGrid1"/>
        <w:tblW w:w="5000" w:type="pct"/>
        <w:tblLook w:val="04A0" w:firstRow="1" w:lastRow="0" w:firstColumn="1" w:lastColumn="0" w:noHBand="0" w:noVBand="1"/>
        <w:tblDescription w:val="Doses of imiglucerase"/>
      </w:tblPr>
      <w:tblGrid>
        <w:gridCol w:w="2485"/>
        <w:gridCol w:w="1431"/>
        <w:gridCol w:w="1331"/>
        <w:gridCol w:w="1331"/>
        <w:gridCol w:w="1233"/>
        <w:gridCol w:w="1431"/>
      </w:tblGrid>
      <w:tr w:rsidR="00521ED4" w:rsidRPr="0062413C" w:rsidTr="00BD7570">
        <w:trPr>
          <w:trHeight w:val="300"/>
          <w:tblHeader/>
        </w:trPr>
        <w:tc>
          <w:tcPr>
            <w:tcW w:w="1345" w:type="pct"/>
            <w:noWrap/>
            <w:hideMark/>
          </w:tcPr>
          <w:p w:rsidR="00521ED4" w:rsidRPr="0062413C" w:rsidRDefault="00521ED4" w:rsidP="00786AE1">
            <w:pPr>
              <w:pStyle w:val="TableText0"/>
            </w:pPr>
          </w:p>
        </w:tc>
        <w:tc>
          <w:tcPr>
            <w:tcW w:w="774" w:type="pct"/>
            <w:noWrap/>
            <w:hideMark/>
          </w:tcPr>
          <w:p w:rsidR="00521ED4" w:rsidRPr="00B63EFF" w:rsidRDefault="00521ED4" w:rsidP="00521ED4">
            <w:pPr>
              <w:pStyle w:val="TableText0"/>
              <w:rPr>
                <w:b/>
              </w:rPr>
            </w:pPr>
            <w:r w:rsidRPr="00B63EFF">
              <w:rPr>
                <w:b/>
              </w:rPr>
              <w:t>BMI &lt;27</w:t>
            </w:r>
          </w:p>
        </w:tc>
        <w:tc>
          <w:tcPr>
            <w:tcW w:w="720" w:type="pct"/>
            <w:noWrap/>
            <w:hideMark/>
          </w:tcPr>
          <w:p w:rsidR="00521ED4" w:rsidRPr="00B63EFF" w:rsidRDefault="00521ED4" w:rsidP="00521ED4">
            <w:pPr>
              <w:pStyle w:val="TableText0"/>
              <w:rPr>
                <w:b/>
              </w:rPr>
            </w:pPr>
            <w:r w:rsidRPr="00B63EFF">
              <w:rPr>
                <w:b/>
              </w:rPr>
              <w:t>BMI &gt;27 (A)</w:t>
            </w:r>
          </w:p>
        </w:tc>
        <w:tc>
          <w:tcPr>
            <w:tcW w:w="720" w:type="pct"/>
            <w:noWrap/>
            <w:hideMark/>
          </w:tcPr>
          <w:p w:rsidR="00521ED4" w:rsidRPr="00B63EFF" w:rsidRDefault="00521ED4" w:rsidP="00521ED4">
            <w:pPr>
              <w:pStyle w:val="TableText0"/>
              <w:rPr>
                <w:b/>
              </w:rPr>
            </w:pPr>
            <w:r w:rsidRPr="00B63EFF">
              <w:rPr>
                <w:b/>
              </w:rPr>
              <w:t>BMI &gt; 27 (B)</w:t>
            </w:r>
          </w:p>
        </w:tc>
        <w:tc>
          <w:tcPr>
            <w:tcW w:w="667" w:type="pct"/>
            <w:noWrap/>
            <w:hideMark/>
          </w:tcPr>
          <w:p w:rsidR="00521ED4" w:rsidRPr="00B63EFF" w:rsidRDefault="00521ED4" w:rsidP="00521ED4">
            <w:pPr>
              <w:pStyle w:val="TableText0"/>
              <w:rPr>
                <w:b/>
              </w:rPr>
            </w:pPr>
            <w:r w:rsidRPr="00B63EFF">
              <w:rPr>
                <w:b/>
              </w:rPr>
              <w:t>ALL (A)</w:t>
            </w:r>
          </w:p>
        </w:tc>
        <w:tc>
          <w:tcPr>
            <w:tcW w:w="774" w:type="pct"/>
            <w:noWrap/>
            <w:hideMark/>
          </w:tcPr>
          <w:p w:rsidR="00521ED4" w:rsidRPr="00B63EFF" w:rsidRDefault="00521ED4" w:rsidP="00521ED4">
            <w:pPr>
              <w:pStyle w:val="TableText0"/>
              <w:rPr>
                <w:b/>
              </w:rPr>
            </w:pPr>
            <w:r w:rsidRPr="00B63EFF">
              <w:rPr>
                <w:b/>
              </w:rPr>
              <w:t>ALL (B)</w:t>
            </w:r>
          </w:p>
        </w:tc>
      </w:tr>
      <w:tr w:rsidR="00521ED4" w:rsidRPr="0062413C" w:rsidTr="00786AE1">
        <w:trPr>
          <w:trHeight w:val="300"/>
        </w:trPr>
        <w:tc>
          <w:tcPr>
            <w:tcW w:w="1345" w:type="pct"/>
            <w:noWrap/>
            <w:hideMark/>
          </w:tcPr>
          <w:p w:rsidR="00521ED4" w:rsidRPr="006D6874" w:rsidRDefault="00521ED4" w:rsidP="00786AE1">
            <w:pPr>
              <w:pStyle w:val="TableText0"/>
            </w:pPr>
            <w:r w:rsidRPr="00F33737">
              <w:t>Number of observations^</w:t>
            </w:r>
          </w:p>
        </w:tc>
        <w:tc>
          <w:tcPr>
            <w:tcW w:w="774" w:type="pct"/>
            <w:noWrap/>
            <w:vAlign w:val="bottom"/>
            <w:hideMark/>
          </w:tcPr>
          <w:p w:rsidR="00521ED4" w:rsidRPr="00F33737" w:rsidRDefault="00521ED4" w:rsidP="00521ED4">
            <w:pPr>
              <w:pStyle w:val="TableText0"/>
            </w:pPr>
            <w:r w:rsidRPr="00F33737">
              <w:t>10</w:t>
            </w:r>
          </w:p>
        </w:tc>
        <w:tc>
          <w:tcPr>
            <w:tcW w:w="720" w:type="pct"/>
            <w:noWrap/>
            <w:vAlign w:val="bottom"/>
            <w:hideMark/>
          </w:tcPr>
          <w:p w:rsidR="00521ED4" w:rsidRPr="00F33737" w:rsidRDefault="00521ED4" w:rsidP="00521ED4">
            <w:pPr>
              <w:pStyle w:val="TableText0"/>
            </w:pPr>
            <w:r w:rsidRPr="00F33737">
              <w:t>4</w:t>
            </w:r>
          </w:p>
        </w:tc>
        <w:tc>
          <w:tcPr>
            <w:tcW w:w="720" w:type="pct"/>
            <w:noWrap/>
            <w:vAlign w:val="bottom"/>
            <w:hideMark/>
          </w:tcPr>
          <w:p w:rsidR="00521ED4" w:rsidRPr="00F33737" w:rsidRDefault="00521ED4" w:rsidP="00521ED4">
            <w:pPr>
              <w:pStyle w:val="TableText0"/>
            </w:pPr>
            <w:r w:rsidRPr="00F33737">
              <w:t>4</w:t>
            </w:r>
          </w:p>
        </w:tc>
        <w:tc>
          <w:tcPr>
            <w:tcW w:w="667" w:type="pct"/>
            <w:noWrap/>
            <w:vAlign w:val="bottom"/>
            <w:hideMark/>
          </w:tcPr>
          <w:p w:rsidR="00521ED4" w:rsidRPr="00F33737" w:rsidRDefault="00521ED4" w:rsidP="00521ED4">
            <w:pPr>
              <w:pStyle w:val="TableText0"/>
            </w:pPr>
            <w:r w:rsidRPr="00F33737">
              <w:t>14</w:t>
            </w:r>
          </w:p>
        </w:tc>
        <w:tc>
          <w:tcPr>
            <w:tcW w:w="774" w:type="pct"/>
            <w:noWrap/>
            <w:vAlign w:val="bottom"/>
            <w:hideMark/>
          </w:tcPr>
          <w:p w:rsidR="00521ED4" w:rsidRPr="00F33737" w:rsidRDefault="00521ED4" w:rsidP="00521ED4">
            <w:pPr>
              <w:pStyle w:val="TableText0"/>
            </w:pPr>
            <w:r w:rsidRPr="00F33737">
              <w:t>14</w:t>
            </w:r>
          </w:p>
        </w:tc>
      </w:tr>
      <w:tr w:rsidR="00521ED4" w:rsidRPr="0062413C" w:rsidTr="00786AE1">
        <w:trPr>
          <w:trHeight w:val="300"/>
        </w:trPr>
        <w:tc>
          <w:tcPr>
            <w:tcW w:w="1345" w:type="pct"/>
            <w:noWrap/>
            <w:hideMark/>
          </w:tcPr>
          <w:p w:rsidR="00521ED4" w:rsidRDefault="00521ED4" w:rsidP="00786AE1">
            <w:pPr>
              <w:pStyle w:val="TableText0"/>
            </w:pPr>
            <w:r>
              <w:t>Mean dose</w:t>
            </w:r>
            <w:r w:rsidRPr="0062413C">
              <w:t xml:space="preserve"> U/kg/fortnight </w:t>
            </w:r>
          </w:p>
          <w:p w:rsidR="00521ED4" w:rsidRPr="0062413C" w:rsidRDefault="00521ED4" w:rsidP="00786AE1">
            <w:pPr>
              <w:pStyle w:val="TableText0"/>
            </w:pPr>
            <w:r w:rsidRPr="0062413C">
              <w:t>(± SD)</w:t>
            </w:r>
          </w:p>
        </w:tc>
        <w:tc>
          <w:tcPr>
            <w:tcW w:w="774" w:type="pct"/>
            <w:noWrap/>
            <w:vAlign w:val="bottom"/>
            <w:hideMark/>
          </w:tcPr>
          <w:p w:rsidR="00521ED4" w:rsidRPr="007A2B88" w:rsidRDefault="00521ED4" w:rsidP="00521ED4">
            <w:pPr>
              <w:pStyle w:val="TableText0"/>
            </w:pPr>
            <w:r>
              <w:t>23.3 ± 11.7</w:t>
            </w:r>
          </w:p>
        </w:tc>
        <w:tc>
          <w:tcPr>
            <w:tcW w:w="720" w:type="pct"/>
            <w:noWrap/>
            <w:vAlign w:val="bottom"/>
            <w:hideMark/>
          </w:tcPr>
          <w:p w:rsidR="00521ED4" w:rsidRPr="00825DA2" w:rsidRDefault="00521ED4" w:rsidP="00521ED4">
            <w:pPr>
              <w:pStyle w:val="TableText0"/>
            </w:pPr>
            <w:r w:rsidRPr="00B63EFF">
              <w:t>22.4</w:t>
            </w:r>
            <w:r>
              <w:t xml:space="preserve"> ± </w:t>
            </w:r>
            <w:r w:rsidRPr="00B63EFF">
              <w:t>2.06</w:t>
            </w:r>
          </w:p>
        </w:tc>
        <w:tc>
          <w:tcPr>
            <w:tcW w:w="720" w:type="pct"/>
            <w:noWrap/>
            <w:vAlign w:val="bottom"/>
            <w:hideMark/>
          </w:tcPr>
          <w:p w:rsidR="00521ED4" w:rsidRPr="00825DA2" w:rsidRDefault="009B6875" w:rsidP="009B6875">
            <w:pPr>
              <w:pStyle w:val="TableText0"/>
            </w:pPr>
            <w:r>
              <w:t xml:space="preserve">19.4 ± </w:t>
            </w:r>
            <w:r w:rsidR="00521ED4" w:rsidRPr="00B63EFF">
              <w:t>2.</w:t>
            </w:r>
            <w:r>
              <w:t>1</w:t>
            </w:r>
          </w:p>
        </w:tc>
        <w:tc>
          <w:tcPr>
            <w:tcW w:w="667" w:type="pct"/>
            <w:noWrap/>
            <w:vAlign w:val="bottom"/>
            <w:hideMark/>
          </w:tcPr>
          <w:p w:rsidR="00521ED4" w:rsidRPr="00825DA2" w:rsidRDefault="009B6875" w:rsidP="00521ED4">
            <w:pPr>
              <w:pStyle w:val="TableText0"/>
            </w:pPr>
            <w:r>
              <w:t>23.1 ± 10.0</w:t>
            </w:r>
          </w:p>
        </w:tc>
        <w:tc>
          <w:tcPr>
            <w:tcW w:w="774" w:type="pct"/>
            <w:noWrap/>
            <w:vAlign w:val="bottom"/>
            <w:hideMark/>
          </w:tcPr>
          <w:p w:rsidR="00521ED4" w:rsidRPr="00825DA2" w:rsidRDefault="009B6875" w:rsidP="00521ED4">
            <w:pPr>
              <w:pStyle w:val="TableText0"/>
            </w:pPr>
            <w:r>
              <w:t>22.2</w:t>
            </w:r>
            <w:r w:rsidR="00521ED4" w:rsidRPr="00B63EFF">
              <w:t xml:space="preserve"> </w:t>
            </w:r>
            <w:r>
              <w:t xml:space="preserve"> ± </w:t>
            </w:r>
            <w:r w:rsidR="00521ED4" w:rsidRPr="00B63EFF">
              <w:t>10.1</w:t>
            </w:r>
          </w:p>
        </w:tc>
      </w:tr>
      <w:tr w:rsidR="00521ED4" w:rsidRPr="0062413C" w:rsidTr="00786AE1">
        <w:trPr>
          <w:trHeight w:val="300"/>
        </w:trPr>
        <w:tc>
          <w:tcPr>
            <w:tcW w:w="1345" w:type="pct"/>
            <w:noWrap/>
            <w:hideMark/>
          </w:tcPr>
          <w:p w:rsidR="00521ED4" w:rsidRPr="0062413C" w:rsidRDefault="00521ED4" w:rsidP="00786AE1">
            <w:pPr>
              <w:pStyle w:val="TableText0"/>
            </w:pPr>
            <w:r w:rsidRPr="0062413C">
              <w:t>Median</w:t>
            </w:r>
          </w:p>
        </w:tc>
        <w:tc>
          <w:tcPr>
            <w:tcW w:w="774" w:type="pct"/>
            <w:noWrap/>
            <w:vAlign w:val="bottom"/>
            <w:hideMark/>
          </w:tcPr>
          <w:p w:rsidR="00521ED4" w:rsidRPr="00825DA2" w:rsidRDefault="00521ED4" w:rsidP="00521ED4">
            <w:pPr>
              <w:pStyle w:val="TableText0"/>
            </w:pPr>
            <w:r w:rsidRPr="00B63EFF">
              <w:t>19.3</w:t>
            </w:r>
          </w:p>
        </w:tc>
        <w:tc>
          <w:tcPr>
            <w:tcW w:w="720" w:type="pct"/>
            <w:noWrap/>
            <w:vAlign w:val="bottom"/>
            <w:hideMark/>
          </w:tcPr>
          <w:p w:rsidR="00521ED4" w:rsidRPr="00825DA2" w:rsidRDefault="00521ED4" w:rsidP="00521ED4">
            <w:pPr>
              <w:pStyle w:val="TableText0"/>
            </w:pPr>
            <w:r w:rsidRPr="00B63EFF">
              <w:t>23.3</w:t>
            </w:r>
          </w:p>
        </w:tc>
        <w:tc>
          <w:tcPr>
            <w:tcW w:w="720" w:type="pct"/>
            <w:noWrap/>
            <w:vAlign w:val="bottom"/>
            <w:hideMark/>
          </w:tcPr>
          <w:p w:rsidR="00521ED4" w:rsidRPr="00825DA2" w:rsidRDefault="00521ED4" w:rsidP="00521ED4">
            <w:pPr>
              <w:pStyle w:val="TableText0"/>
            </w:pPr>
            <w:r w:rsidRPr="00B63EFF">
              <w:t>20.3</w:t>
            </w:r>
          </w:p>
        </w:tc>
        <w:tc>
          <w:tcPr>
            <w:tcW w:w="667" w:type="pct"/>
            <w:noWrap/>
            <w:vAlign w:val="bottom"/>
            <w:hideMark/>
          </w:tcPr>
          <w:p w:rsidR="00521ED4" w:rsidRPr="00825DA2" w:rsidRDefault="009B6875" w:rsidP="00521ED4">
            <w:pPr>
              <w:pStyle w:val="TableText0"/>
            </w:pPr>
            <w:r>
              <w:t>20.2</w:t>
            </w:r>
          </w:p>
        </w:tc>
        <w:tc>
          <w:tcPr>
            <w:tcW w:w="774" w:type="pct"/>
            <w:noWrap/>
            <w:vAlign w:val="bottom"/>
            <w:hideMark/>
          </w:tcPr>
          <w:p w:rsidR="00521ED4" w:rsidRPr="00825DA2" w:rsidRDefault="00521ED4" w:rsidP="00521ED4">
            <w:pPr>
              <w:pStyle w:val="TableText0"/>
            </w:pPr>
            <w:r w:rsidRPr="00B63EFF">
              <w:t>19.</w:t>
            </w:r>
            <w:r w:rsidR="009B6875">
              <w:t>7</w:t>
            </w:r>
          </w:p>
        </w:tc>
      </w:tr>
      <w:tr w:rsidR="00521ED4" w:rsidRPr="0062413C" w:rsidTr="00786AE1">
        <w:trPr>
          <w:trHeight w:val="300"/>
        </w:trPr>
        <w:tc>
          <w:tcPr>
            <w:tcW w:w="1345" w:type="pct"/>
            <w:noWrap/>
            <w:hideMark/>
          </w:tcPr>
          <w:p w:rsidR="00521ED4" w:rsidRPr="0062413C" w:rsidRDefault="00521ED4" w:rsidP="0086424E">
            <w:pPr>
              <w:pStyle w:val="TableText0"/>
            </w:pPr>
            <w:r w:rsidRPr="0062413C">
              <w:t>M</w:t>
            </w:r>
            <w:r w:rsidR="0086424E">
              <w:t>inimum</w:t>
            </w:r>
            <w:r w:rsidRPr="0062413C">
              <w:t xml:space="preserve"> dose</w:t>
            </w:r>
          </w:p>
        </w:tc>
        <w:tc>
          <w:tcPr>
            <w:tcW w:w="774" w:type="pct"/>
            <w:noWrap/>
            <w:vAlign w:val="bottom"/>
            <w:hideMark/>
          </w:tcPr>
          <w:p w:rsidR="00521ED4" w:rsidRPr="00825DA2" w:rsidRDefault="00521ED4" w:rsidP="00521ED4">
            <w:pPr>
              <w:pStyle w:val="TableText0"/>
            </w:pPr>
            <w:r w:rsidRPr="00B63EFF">
              <w:t>14.</w:t>
            </w:r>
            <w:r w:rsidR="009B6875">
              <w:t>3</w:t>
            </w:r>
          </w:p>
        </w:tc>
        <w:tc>
          <w:tcPr>
            <w:tcW w:w="720" w:type="pct"/>
            <w:noWrap/>
            <w:vAlign w:val="bottom"/>
            <w:hideMark/>
          </w:tcPr>
          <w:p w:rsidR="00521ED4" w:rsidRPr="00825DA2" w:rsidRDefault="00521ED4" w:rsidP="00521ED4">
            <w:pPr>
              <w:pStyle w:val="TableText0"/>
            </w:pPr>
            <w:r w:rsidRPr="00B63EFF">
              <w:t>1</w:t>
            </w:r>
            <w:r w:rsidR="009B6875">
              <w:t>9.0</w:t>
            </w:r>
          </w:p>
        </w:tc>
        <w:tc>
          <w:tcPr>
            <w:tcW w:w="720" w:type="pct"/>
            <w:noWrap/>
            <w:vAlign w:val="bottom"/>
            <w:hideMark/>
          </w:tcPr>
          <w:p w:rsidR="00521ED4" w:rsidRPr="00825DA2" w:rsidRDefault="00521ED4" w:rsidP="00521ED4">
            <w:pPr>
              <w:pStyle w:val="TableText0"/>
            </w:pPr>
            <w:r w:rsidRPr="00B63EFF">
              <w:t>15.</w:t>
            </w:r>
            <w:r w:rsidR="009B6875">
              <w:t>8</w:t>
            </w:r>
          </w:p>
        </w:tc>
        <w:tc>
          <w:tcPr>
            <w:tcW w:w="667" w:type="pct"/>
            <w:noWrap/>
            <w:vAlign w:val="bottom"/>
            <w:hideMark/>
          </w:tcPr>
          <w:p w:rsidR="00521ED4" w:rsidRPr="00825DA2" w:rsidRDefault="009B6875" w:rsidP="00521ED4">
            <w:pPr>
              <w:pStyle w:val="TableText0"/>
            </w:pPr>
            <w:r>
              <w:t>14.3</w:t>
            </w:r>
          </w:p>
        </w:tc>
        <w:tc>
          <w:tcPr>
            <w:tcW w:w="774" w:type="pct"/>
            <w:noWrap/>
            <w:vAlign w:val="bottom"/>
            <w:hideMark/>
          </w:tcPr>
          <w:p w:rsidR="00521ED4" w:rsidRPr="00825DA2" w:rsidRDefault="00521ED4" w:rsidP="00521ED4">
            <w:pPr>
              <w:pStyle w:val="TableText0"/>
            </w:pPr>
            <w:r w:rsidRPr="00B63EFF">
              <w:t>14.</w:t>
            </w:r>
            <w:r w:rsidR="009B6875">
              <w:t>3</w:t>
            </w:r>
          </w:p>
        </w:tc>
      </w:tr>
      <w:tr w:rsidR="00521ED4" w:rsidRPr="0062413C" w:rsidTr="00786AE1">
        <w:trPr>
          <w:trHeight w:val="300"/>
        </w:trPr>
        <w:tc>
          <w:tcPr>
            <w:tcW w:w="1345" w:type="pct"/>
            <w:noWrap/>
            <w:hideMark/>
          </w:tcPr>
          <w:p w:rsidR="00521ED4" w:rsidRPr="0062413C" w:rsidRDefault="00521ED4" w:rsidP="0086424E">
            <w:pPr>
              <w:pStyle w:val="TableText0"/>
            </w:pPr>
            <w:r w:rsidRPr="0062413C">
              <w:t>M</w:t>
            </w:r>
            <w:r w:rsidR="0086424E">
              <w:t>aximum</w:t>
            </w:r>
            <w:r w:rsidRPr="0062413C">
              <w:t xml:space="preserve"> dose</w:t>
            </w:r>
          </w:p>
        </w:tc>
        <w:tc>
          <w:tcPr>
            <w:tcW w:w="774" w:type="pct"/>
            <w:noWrap/>
            <w:vAlign w:val="bottom"/>
            <w:hideMark/>
          </w:tcPr>
          <w:p w:rsidR="00521ED4" w:rsidRPr="00825DA2" w:rsidRDefault="00521ED4" w:rsidP="00521ED4">
            <w:pPr>
              <w:pStyle w:val="TableText0"/>
            </w:pPr>
            <w:r w:rsidRPr="00B63EFF">
              <w:t>52.8</w:t>
            </w:r>
          </w:p>
        </w:tc>
        <w:tc>
          <w:tcPr>
            <w:tcW w:w="720" w:type="pct"/>
            <w:noWrap/>
            <w:vAlign w:val="bottom"/>
            <w:hideMark/>
          </w:tcPr>
          <w:p w:rsidR="00521ED4" w:rsidRPr="00825DA2" w:rsidRDefault="00521ED4" w:rsidP="00521ED4">
            <w:pPr>
              <w:pStyle w:val="TableText0"/>
            </w:pPr>
            <w:r w:rsidRPr="00B63EFF">
              <w:t>24.0</w:t>
            </w:r>
          </w:p>
        </w:tc>
        <w:tc>
          <w:tcPr>
            <w:tcW w:w="720" w:type="pct"/>
            <w:noWrap/>
            <w:vAlign w:val="bottom"/>
            <w:hideMark/>
          </w:tcPr>
          <w:p w:rsidR="00521ED4" w:rsidRPr="00825DA2" w:rsidRDefault="00521ED4" w:rsidP="00521ED4">
            <w:pPr>
              <w:pStyle w:val="TableText0"/>
            </w:pPr>
            <w:r w:rsidRPr="00B63EFF">
              <w:t>21.</w:t>
            </w:r>
            <w:r w:rsidR="009B6875">
              <w:t>3</w:t>
            </w:r>
          </w:p>
        </w:tc>
        <w:tc>
          <w:tcPr>
            <w:tcW w:w="667" w:type="pct"/>
            <w:noWrap/>
            <w:vAlign w:val="bottom"/>
            <w:hideMark/>
          </w:tcPr>
          <w:p w:rsidR="00521ED4" w:rsidRPr="00825DA2" w:rsidRDefault="00521ED4" w:rsidP="00521ED4">
            <w:pPr>
              <w:pStyle w:val="TableText0"/>
            </w:pPr>
            <w:r w:rsidRPr="00B63EFF">
              <w:t>52.8</w:t>
            </w:r>
          </w:p>
        </w:tc>
        <w:tc>
          <w:tcPr>
            <w:tcW w:w="774" w:type="pct"/>
            <w:noWrap/>
            <w:vAlign w:val="bottom"/>
            <w:hideMark/>
          </w:tcPr>
          <w:p w:rsidR="00521ED4" w:rsidRPr="00825DA2" w:rsidRDefault="00521ED4" w:rsidP="00521ED4">
            <w:pPr>
              <w:pStyle w:val="TableText0"/>
            </w:pPr>
            <w:r w:rsidRPr="00B63EFF">
              <w:t>52.8</w:t>
            </w:r>
          </w:p>
        </w:tc>
      </w:tr>
    </w:tbl>
    <w:p w:rsidR="00521ED4" w:rsidRPr="00D85948" w:rsidRDefault="00521ED4" w:rsidP="00144487">
      <w:pPr>
        <w:pStyle w:val="TableNote"/>
        <w:ind w:left="0" w:firstLine="0"/>
      </w:pPr>
      <w:r>
        <w:t>SD = standard deviation</w:t>
      </w:r>
    </w:p>
    <w:p w:rsidR="00521ED4" w:rsidRDefault="00521ED4" w:rsidP="00144487">
      <w:pPr>
        <w:pStyle w:val="TableNote"/>
        <w:ind w:left="0" w:firstLine="0"/>
      </w:pPr>
      <w:r>
        <w:t>BMI</w:t>
      </w:r>
      <w:r w:rsidR="00B353B1">
        <w:t>&gt;27 (A) = weight for patients w</w:t>
      </w:r>
      <w:r>
        <w:t xml:space="preserve">ith a BMI greater than 27 was adjusted so that their weight (given their height) would equal a BMI of 27. </w:t>
      </w:r>
    </w:p>
    <w:p w:rsidR="00521ED4" w:rsidRDefault="00521ED4" w:rsidP="00144487">
      <w:pPr>
        <w:pStyle w:val="TableNote"/>
        <w:ind w:left="0" w:firstLine="0"/>
      </w:pPr>
      <w:r>
        <w:t>BMI&gt;27 (B) = the patient’s weight has not been adjusted in this calculation.</w:t>
      </w:r>
    </w:p>
    <w:p w:rsidR="00521ED4" w:rsidRDefault="00521ED4" w:rsidP="00144487">
      <w:pPr>
        <w:pStyle w:val="TableNote"/>
        <w:ind w:left="0" w:firstLine="0"/>
      </w:pPr>
      <w:r>
        <w:t xml:space="preserve">^Analysis has been restricted to those patients aged over 18 years </w:t>
      </w:r>
      <w:r w:rsidR="00A62C97">
        <w:rPr>
          <w:noProof/>
          <w:color w:val="000000"/>
          <w:highlight w:val="black"/>
        </w:rPr>
        <w:t>'''''''''''''</w:t>
      </w:r>
      <w:r w:rsidR="00177729">
        <w:rPr>
          <w:noProof/>
          <w:color w:val="000000"/>
          <w:highlight w:val="black"/>
        </w:rPr>
        <w:t xml:space="preserve">'''' </w:t>
      </w:r>
    </w:p>
    <w:p w:rsidR="00521ED4" w:rsidRDefault="00521ED4" w:rsidP="00144487">
      <w:pPr>
        <w:pStyle w:val="TableNote"/>
        <w:keepNext w:val="0"/>
        <w:ind w:left="0" w:firstLine="0"/>
      </w:pPr>
      <w:r w:rsidRPr="0004128C">
        <w:t xml:space="preserve">Source: </w:t>
      </w:r>
      <w:r>
        <w:t>Australian</w:t>
      </w:r>
      <w:r w:rsidRPr="0004128C">
        <w:t xml:space="preserve"> registry data</w:t>
      </w:r>
    </w:p>
    <w:p w:rsidR="00910E2B" w:rsidRDefault="00910E2B" w:rsidP="00910E2B">
      <w:pPr>
        <w:pStyle w:val="Caption"/>
        <w:keepNext/>
        <w:tabs>
          <w:tab w:val="clear" w:pos="851"/>
          <w:tab w:val="left" w:pos="1134"/>
        </w:tabs>
        <w:ind w:left="1134" w:hanging="1134"/>
      </w:pPr>
      <w:bookmarkStart w:id="162" w:name="_Ref413062793"/>
      <w:bookmarkStart w:id="163" w:name="_Toc415141821"/>
      <w:r w:rsidRPr="00BD10C7">
        <w:t xml:space="preserve">Table </w:t>
      </w:r>
      <w:r w:rsidR="00A72B26">
        <w:rPr>
          <w:noProof/>
        </w:rPr>
        <w:t>24</w:t>
      </w:r>
      <w:bookmarkEnd w:id="157"/>
      <w:bookmarkEnd w:id="160"/>
      <w:bookmarkEnd w:id="162"/>
      <w:r w:rsidRPr="00BD10C7">
        <w:t xml:space="preserve"> </w:t>
      </w:r>
      <w:r>
        <w:tab/>
      </w:r>
      <w:r w:rsidR="009B6875">
        <w:t>D</w:t>
      </w:r>
      <w:r w:rsidRPr="00BD10C7">
        <w:t xml:space="preserve">oses of </w:t>
      </w:r>
      <w:r w:rsidR="00521ED4">
        <w:t>velaglucerase</w:t>
      </w:r>
      <w:r w:rsidRPr="00BD10C7">
        <w:t xml:space="preserve"> on the LSDP for the treatment of </w:t>
      </w:r>
      <w:proofErr w:type="gramStart"/>
      <w:r w:rsidRPr="00BD10C7">
        <w:t>Gaucher</w:t>
      </w:r>
      <w:proofErr w:type="gramEnd"/>
      <w:r w:rsidRPr="00BD10C7">
        <w:t xml:space="preserve"> disease</w:t>
      </w:r>
      <w:bookmarkEnd w:id="161"/>
      <w:bookmarkEnd w:id="163"/>
      <w:r w:rsidRPr="00BD10C7">
        <w:t xml:space="preserve"> </w:t>
      </w:r>
    </w:p>
    <w:p w:rsidR="006D6874" w:rsidRPr="003B12FE" w:rsidRDefault="006D6874" w:rsidP="00F33737">
      <w:pPr>
        <w:rPr>
          <w:b/>
        </w:rPr>
      </w:pPr>
      <w:r w:rsidRPr="003B12FE">
        <w:rPr>
          <w:b/>
        </w:rPr>
        <w:t>Commercial in confidence-redacted at the request of the sponsor</w:t>
      </w:r>
    </w:p>
    <w:tbl>
      <w:tblPr>
        <w:tblStyle w:val="TableGrid1"/>
        <w:tblW w:w="5000" w:type="pct"/>
        <w:tblLook w:val="04A0" w:firstRow="1" w:lastRow="0" w:firstColumn="1" w:lastColumn="0" w:noHBand="0" w:noVBand="1"/>
        <w:tblDescription w:val="Doses of velaglucerase in Australia"/>
      </w:tblPr>
      <w:tblGrid>
        <w:gridCol w:w="2227"/>
        <w:gridCol w:w="1420"/>
        <w:gridCol w:w="1420"/>
        <w:gridCol w:w="1335"/>
        <w:gridCol w:w="1420"/>
        <w:gridCol w:w="1420"/>
      </w:tblGrid>
      <w:tr w:rsidR="00915EA9" w:rsidRPr="006D6874" w:rsidTr="00BD7570">
        <w:trPr>
          <w:trHeight w:val="280"/>
          <w:tblHeader/>
        </w:trPr>
        <w:tc>
          <w:tcPr>
            <w:tcW w:w="1205" w:type="pct"/>
            <w:noWrap/>
            <w:hideMark/>
          </w:tcPr>
          <w:p w:rsidR="00915EA9" w:rsidRPr="00A62C97" w:rsidRDefault="00915EA9" w:rsidP="00786AE1">
            <w:pPr>
              <w:pStyle w:val="TableText0"/>
            </w:pPr>
          </w:p>
        </w:tc>
        <w:tc>
          <w:tcPr>
            <w:tcW w:w="768" w:type="pct"/>
            <w:noWrap/>
            <w:hideMark/>
          </w:tcPr>
          <w:p w:rsidR="00915EA9" w:rsidRPr="00A62C97" w:rsidRDefault="00A62C97" w:rsidP="00786AE1">
            <w:pPr>
              <w:pStyle w:val="TableText0"/>
              <w:rPr>
                <w:b/>
                <w:highlight w:val="black"/>
              </w:rPr>
            </w:pPr>
            <w:r>
              <w:rPr>
                <w:b/>
                <w:noProof/>
                <w:color w:val="000000"/>
                <w:highlight w:val="black"/>
              </w:rPr>
              <w:t>''''''''' '''''''</w:t>
            </w:r>
          </w:p>
        </w:tc>
        <w:tc>
          <w:tcPr>
            <w:tcW w:w="768" w:type="pct"/>
            <w:noWrap/>
            <w:hideMark/>
          </w:tcPr>
          <w:p w:rsidR="00915EA9" w:rsidRPr="00A62C97" w:rsidRDefault="00A62C97" w:rsidP="00786AE1">
            <w:pPr>
              <w:pStyle w:val="TableText0"/>
              <w:rPr>
                <w:b/>
                <w:highlight w:val="black"/>
              </w:rPr>
            </w:pPr>
            <w:r>
              <w:rPr>
                <w:b/>
                <w:noProof/>
                <w:color w:val="000000"/>
                <w:highlight w:val="black"/>
              </w:rPr>
              <w:t>'''''''' ''''''' ''''''</w:t>
            </w:r>
          </w:p>
        </w:tc>
        <w:tc>
          <w:tcPr>
            <w:tcW w:w="722" w:type="pct"/>
            <w:noWrap/>
            <w:hideMark/>
          </w:tcPr>
          <w:p w:rsidR="00915EA9" w:rsidRPr="00A62C97" w:rsidRDefault="00A62C97" w:rsidP="00786AE1">
            <w:pPr>
              <w:pStyle w:val="TableText0"/>
              <w:rPr>
                <w:b/>
                <w:highlight w:val="black"/>
              </w:rPr>
            </w:pPr>
            <w:r>
              <w:rPr>
                <w:b/>
                <w:noProof/>
                <w:color w:val="000000"/>
                <w:highlight w:val="black"/>
              </w:rPr>
              <w:t>''''''' ''' ''''' '''''''</w:t>
            </w:r>
          </w:p>
        </w:tc>
        <w:tc>
          <w:tcPr>
            <w:tcW w:w="768" w:type="pct"/>
            <w:noWrap/>
            <w:hideMark/>
          </w:tcPr>
          <w:p w:rsidR="00915EA9" w:rsidRPr="00A62C97" w:rsidRDefault="00A62C97" w:rsidP="00786AE1">
            <w:pPr>
              <w:pStyle w:val="TableText0"/>
              <w:rPr>
                <w:b/>
                <w:highlight w:val="black"/>
              </w:rPr>
            </w:pPr>
            <w:r>
              <w:rPr>
                <w:b/>
                <w:noProof/>
                <w:color w:val="000000"/>
                <w:highlight w:val="black"/>
              </w:rPr>
              <w:t>''''''''' '''''''</w:t>
            </w:r>
          </w:p>
        </w:tc>
        <w:tc>
          <w:tcPr>
            <w:tcW w:w="768" w:type="pct"/>
            <w:noWrap/>
            <w:hideMark/>
          </w:tcPr>
          <w:p w:rsidR="00915EA9" w:rsidRPr="00A62C97" w:rsidRDefault="00A62C97" w:rsidP="00786AE1">
            <w:pPr>
              <w:pStyle w:val="TableText0"/>
              <w:rPr>
                <w:b/>
                <w:highlight w:val="black"/>
              </w:rPr>
            </w:pPr>
            <w:r>
              <w:rPr>
                <w:b/>
                <w:noProof/>
                <w:color w:val="000000"/>
                <w:highlight w:val="black"/>
              </w:rPr>
              <w:t>''''''''' '''''''</w:t>
            </w:r>
          </w:p>
        </w:tc>
      </w:tr>
      <w:tr w:rsidR="00915EA9" w:rsidRPr="006D6874" w:rsidTr="00915EA9">
        <w:trPr>
          <w:trHeight w:val="280"/>
        </w:trPr>
        <w:tc>
          <w:tcPr>
            <w:tcW w:w="1205" w:type="pct"/>
            <w:noWrap/>
          </w:tcPr>
          <w:p w:rsidR="00915EA9" w:rsidRPr="00A62C97" w:rsidRDefault="00A62C97" w:rsidP="00786AE1">
            <w:pPr>
              <w:pStyle w:val="TableText0"/>
              <w:rPr>
                <w:highlight w:val="black"/>
              </w:rPr>
            </w:pPr>
            <w:r>
              <w:rPr>
                <w:noProof/>
                <w:color w:val="000000"/>
                <w:highlight w:val="black"/>
              </w:rPr>
              <w:t>''''''''''''''''' '''' '''''''''''''''''''''''''''''''''''</w:t>
            </w:r>
          </w:p>
        </w:tc>
        <w:tc>
          <w:tcPr>
            <w:tcW w:w="768" w:type="pct"/>
            <w:noWrap/>
            <w:vAlign w:val="bottom"/>
          </w:tcPr>
          <w:p w:rsidR="00915EA9" w:rsidRPr="00A62C97" w:rsidRDefault="00A62C97" w:rsidP="006C713F">
            <w:pPr>
              <w:pStyle w:val="TableText0"/>
              <w:rPr>
                <w:highlight w:val="black"/>
              </w:rPr>
            </w:pPr>
            <w:r>
              <w:rPr>
                <w:noProof/>
                <w:color w:val="000000"/>
                <w:highlight w:val="black"/>
              </w:rPr>
              <w:t>''''''</w:t>
            </w:r>
          </w:p>
        </w:tc>
        <w:tc>
          <w:tcPr>
            <w:tcW w:w="768" w:type="pct"/>
            <w:noWrap/>
            <w:vAlign w:val="bottom"/>
          </w:tcPr>
          <w:p w:rsidR="00915EA9" w:rsidRPr="00A62C97" w:rsidRDefault="00A62C97" w:rsidP="006C713F">
            <w:pPr>
              <w:pStyle w:val="TableText0"/>
              <w:rPr>
                <w:highlight w:val="black"/>
              </w:rPr>
            </w:pPr>
            <w:r>
              <w:rPr>
                <w:noProof/>
                <w:color w:val="000000"/>
                <w:highlight w:val="black"/>
              </w:rPr>
              <w:t>''''''</w:t>
            </w:r>
          </w:p>
        </w:tc>
        <w:tc>
          <w:tcPr>
            <w:tcW w:w="722" w:type="pct"/>
            <w:noWrap/>
            <w:vAlign w:val="bottom"/>
          </w:tcPr>
          <w:p w:rsidR="00915EA9" w:rsidRPr="00A62C97" w:rsidRDefault="00A62C97" w:rsidP="006C713F">
            <w:pPr>
              <w:pStyle w:val="TableText0"/>
              <w:rPr>
                <w:highlight w:val="black"/>
              </w:rPr>
            </w:pPr>
            <w:r>
              <w:rPr>
                <w:noProof/>
                <w:color w:val="000000"/>
                <w:highlight w:val="black"/>
              </w:rPr>
              <w:t>'''''</w:t>
            </w:r>
          </w:p>
        </w:tc>
        <w:tc>
          <w:tcPr>
            <w:tcW w:w="768" w:type="pct"/>
            <w:noWrap/>
            <w:vAlign w:val="bottom"/>
          </w:tcPr>
          <w:p w:rsidR="00915EA9" w:rsidRPr="00A62C97" w:rsidRDefault="00A62C97" w:rsidP="006C713F">
            <w:pPr>
              <w:pStyle w:val="TableText0"/>
              <w:rPr>
                <w:highlight w:val="black"/>
              </w:rPr>
            </w:pPr>
            <w:r>
              <w:rPr>
                <w:noProof/>
                <w:color w:val="000000"/>
                <w:highlight w:val="black"/>
              </w:rPr>
              <w:t>''''''</w:t>
            </w:r>
          </w:p>
        </w:tc>
        <w:tc>
          <w:tcPr>
            <w:tcW w:w="768" w:type="pct"/>
            <w:noWrap/>
            <w:vAlign w:val="bottom"/>
          </w:tcPr>
          <w:p w:rsidR="00915EA9" w:rsidRPr="00A62C97" w:rsidRDefault="00A62C97" w:rsidP="006C713F">
            <w:pPr>
              <w:pStyle w:val="TableText0"/>
              <w:rPr>
                <w:highlight w:val="black"/>
              </w:rPr>
            </w:pPr>
            <w:r>
              <w:rPr>
                <w:noProof/>
                <w:color w:val="000000"/>
                <w:highlight w:val="black"/>
              </w:rPr>
              <w:t>''''''</w:t>
            </w:r>
          </w:p>
        </w:tc>
      </w:tr>
      <w:tr w:rsidR="006C713F" w:rsidRPr="006D6874" w:rsidTr="00915EA9">
        <w:trPr>
          <w:trHeight w:val="280"/>
        </w:trPr>
        <w:tc>
          <w:tcPr>
            <w:tcW w:w="1205" w:type="pct"/>
            <w:noWrap/>
            <w:hideMark/>
          </w:tcPr>
          <w:p w:rsidR="00915EA9" w:rsidRPr="00A62C97" w:rsidRDefault="00A62C97" w:rsidP="00786AE1">
            <w:pPr>
              <w:pStyle w:val="TableText0"/>
              <w:rPr>
                <w:highlight w:val="black"/>
              </w:rPr>
            </w:pPr>
            <w:r>
              <w:rPr>
                <w:noProof/>
                <w:color w:val="000000"/>
                <w:highlight w:val="black"/>
              </w:rPr>
              <w:t xml:space="preserve">'''''''''''''' '''''''''''' ''''''''''''''''''''''''''''''' </w:t>
            </w:r>
          </w:p>
          <w:p w:rsidR="00915EA9" w:rsidRPr="00A62C97" w:rsidRDefault="00A62C97" w:rsidP="00786AE1">
            <w:pPr>
              <w:pStyle w:val="TableText0"/>
              <w:rPr>
                <w:highlight w:val="black"/>
              </w:rPr>
            </w:pPr>
            <w:r>
              <w:rPr>
                <w:noProof/>
                <w:color w:val="000000"/>
                <w:highlight w:val="black"/>
              </w:rPr>
              <w:t>'''' '''''''</w:t>
            </w:r>
          </w:p>
        </w:tc>
        <w:tc>
          <w:tcPr>
            <w:tcW w:w="768" w:type="pct"/>
            <w:noWrap/>
            <w:vAlign w:val="bottom"/>
            <w:hideMark/>
          </w:tcPr>
          <w:p w:rsidR="00915EA9" w:rsidRPr="00A62C97" w:rsidRDefault="00A62C97" w:rsidP="006C713F">
            <w:pPr>
              <w:pStyle w:val="TableText0"/>
              <w:rPr>
                <w:highlight w:val="black"/>
              </w:rPr>
            </w:pPr>
            <w:r>
              <w:rPr>
                <w:noProof/>
                <w:color w:val="000000"/>
                <w:highlight w:val="black"/>
              </w:rPr>
              <w:t>'''''''''' '''' ''''''''''</w:t>
            </w:r>
          </w:p>
        </w:tc>
        <w:tc>
          <w:tcPr>
            <w:tcW w:w="768" w:type="pct"/>
            <w:noWrap/>
            <w:vAlign w:val="bottom"/>
            <w:hideMark/>
          </w:tcPr>
          <w:p w:rsidR="00915EA9" w:rsidRPr="00A62C97" w:rsidRDefault="00A62C97" w:rsidP="006C713F">
            <w:pPr>
              <w:pStyle w:val="TableText0"/>
              <w:rPr>
                <w:highlight w:val="black"/>
              </w:rPr>
            </w:pPr>
            <w:r>
              <w:rPr>
                <w:noProof/>
                <w:color w:val="000000"/>
                <w:highlight w:val="black"/>
              </w:rPr>
              <w:t>''''''''''' '''' ''''''''''''</w:t>
            </w:r>
          </w:p>
        </w:tc>
        <w:tc>
          <w:tcPr>
            <w:tcW w:w="722" w:type="pct"/>
            <w:noWrap/>
            <w:vAlign w:val="bottom"/>
            <w:hideMark/>
          </w:tcPr>
          <w:p w:rsidR="00915EA9" w:rsidRPr="00A62C97" w:rsidRDefault="00A62C97" w:rsidP="006C713F">
            <w:pPr>
              <w:pStyle w:val="TableText0"/>
              <w:rPr>
                <w:highlight w:val="black"/>
              </w:rPr>
            </w:pPr>
            <w:r>
              <w:rPr>
                <w:noProof/>
                <w:color w:val="000000"/>
                <w:highlight w:val="black"/>
              </w:rPr>
              <w:t>'''''''''' '''' '''''''</w:t>
            </w:r>
          </w:p>
        </w:tc>
        <w:tc>
          <w:tcPr>
            <w:tcW w:w="768" w:type="pct"/>
            <w:noWrap/>
            <w:vAlign w:val="bottom"/>
            <w:hideMark/>
          </w:tcPr>
          <w:p w:rsidR="00915EA9" w:rsidRPr="00A62C97" w:rsidRDefault="00A62C97" w:rsidP="006C713F">
            <w:pPr>
              <w:pStyle w:val="TableText0"/>
              <w:rPr>
                <w:highlight w:val="black"/>
              </w:rPr>
            </w:pPr>
            <w:r>
              <w:rPr>
                <w:noProof/>
                <w:color w:val="000000"/>
                <w:highlight w:val="black"/>
              </w:rPr>
              <w:t>''''''''''' '''' '''''''''''</w:t>
            </w:r>
          </w:p>
        </w:tc>
        <w:tc>
          <w:tcPr>
            <w:tcW w:w="768" w:type="pct"/>
            <w:noWrap/>
            <w:vAlign w:val="bottom"/>
            <w:hideMark/>
          </w:tcPr>
          <w:p w:rsidR="00915EA9" w:rsidRPr="00A62C97" w:rsidRDefault="00A62C97" w:rsidP="006C713F">
            <w:pPr>
              <w:pStyle w:val="TableText0"/>
              <w:rPr>
                <w:highlight w:val="black"/>
              </w:rPr>
            </w:pPr>
            <w:r>
              <w:rPr>
                <w:noProof/>
                <w:color w:val="000000"/>
                <w:highlight w:val="black"/>
              </w:rPr>
              <w:t>''''''''''' '''' '''''''''''</w:t>
            </w:r>
          </w:p>
        </w:tc>
      </w:tr>
      <w:tr w:rsidR="006C713F" w:rsidRPr="006D6874" w:rsidTr="00915EA9">
        <w:trPr>
          <w:trHeight w:val="280"/>
        </w:trPr>
        <w:tc>
          <w:tcPr>
            <w:tcW w:w="1205" w:type="pct"/>
            <w:noWrap/>
          </w:tcPr>
          <w:p w:rsidR="00915EA9" w:rsidRPr="00A62C97" w:rsidRDefault="00A62C97" w:rsidP="00786AE1">
            <w:pPr>
              <w:pStyle w:val="TableText0"/>
              <w:rPr>
                <w:highlight w:val="black"/>
              </w:rPr>
            </w:pPr>
            <w:r>
              <w:rPr>
                <w:noProof/>
                <w:color w:val="000000"/>
                <w:highlight w:val="black"/>
              </w:rPr>
              <w:t>''''''''''''''''''</w:t>
            </w:r>
          </w:p>
        </w:tc>
        <w:tc>
          <w:tcPr>
            <w:tcW w:w="768" w:type="pct"/>
            <w:noWrap/>
            <w:vAlign w:val="bottom"/>
          </w:tcPr>
          <w:p w:rsidR="00915EA9" w:rsidRPr="00A62C97" w:rsidRDefault="00A62C97" w:rsidP="006C713F">
            <w:pPr>
              <w:pStyle w:val="TableText0"/>
              <w:rPr>
                <w:highlight w:val="black"/>
              </w:rPr>
            </w:pPr>
            <w:r>
              <w:rPr>
                <w:noProof/>
                <w:color w:val="000000"/>
                <w:highlight w:val="black"/>
              </w:rPr>
              <w:t>''''''''''</w:t>
            </w:r>
          </w:p>
        </w:tc>
        <w:tc>
          <w:tcPr>
            <w:tcW w:w="768" w:type="pct"/>
            <w:noWrap/>
            <w:vAlign w:val="bottom"/>
          </w:tcPr>
          <w:p w:rsidR="00915EA9" w:rsidRPr="00A62C97" w:rsidRDefault="00A62C97" w:rsidP="006C713F">
            <w:pPr>
              <w:pStyle w:val="TableText0"/>
              <w:rPr>
                <w:highlight w:val="black"/>
              </w:rPr>
            </w:pPr>
            <w:r>
              <w:rPr>
                <w:noProof/>
                <w:color w:val="000000"/>
                <w:highlight w:val="black"/>
              </w:rPr>
              <w:t>''''''''''</w:t>
            </w:r>
          </w:p>
        </w:tc>
        <w:tc>
          <w:tcPr>
            <w:tcW w:w="722" w:type="pct"/>
            <w:noWrap/>
            <w:vAlign w:val="bottom"/>
          </w:tcPr>
          <w:p w:rsidR="00915EA9" w:rsidRPr="00A62C97" w:rsidRDefault="00A62C97" w:rsidP="006C713F">
            <w:pPr>
              <w:pStyle w:val="TableText0"/>
              <w:rPr>
                <w:highlight w:val="black"/>
              </w:rPr>
            </w:pPr>
            <w:r>
              <w:rPr>
                <w:noProof/>
                <w:color w:val="000000"/>
                <w:highlight w:val="black"/>
              </w:rPr>
              <w:t>''''''''''</w:t>
            </w:r>
          </w:p>
        </w:tc>
        <w:tc>
          <w:tcPr>
            <w:tcW w:w="768" w:type="pct"/>
            <w:noWrap/>
            <w:vAlign w:val="bottom"/>
          </w:tcPr>
          <w:p w:rsidR="00915EA9" w:rsidRPr="00A62C97" w:rsidRDefault="00A62C97" w:rsidP="006C713F">
            <w:pPr>
              <w:pStyle w:val="TableText0"/>
              <w:rPr>
                <w:highlight w:val="black"/>
              </w:rPr>
            </w:pPr>
            <w:r>
              <w:rPr>
                <w:noProof/>
                <w:color w:val="000000"/>
                <w:highlight w:val="black"/>
              </w:rPr>
              <w:t>''''''''''''</w:t>
            </w:r>
          </w:p>
        </w:tc>
        <w:tc>
          <w:tcPr>
            <w:tcW w:w="768" w:type="pct"/>
            <w:noWrap/>
            <w:vAlign w:val="bottom"/>
          </w:tcPr>
          <w:p w:rsidR="00915EA9" w:rsidRPr="00A62C97" w:rsidRDefault="00A62C97" w:rsidP="006C713F">
            <w:pPr>
              <w:pStyle w:val="TableText0"/>
              <w:rPr>
                <w:highlight w:val="black"/>
              </w:rPr>
            </w:pPr>
            <w:r>
              <w:rPr>
                <w:noProof/>
                <w:color w:val="000000"/>
                <w:highlight w:val="black"/>
              </w:rPr>
              <w:t>''''''''''</w:t>
            </w:r>
          </w:p>
        </w:tc>
      </w:tr>
      <w:tr w:rsidR="006C713F" w:rsidRPr="006D6874" w:rsidTr="00915EA9">
        <w:trPr>
          <w:trHeight w:val="280"/>
        </w:trPr>
        <w:tc>
          <w:tcPr>
            <w:tcW w:w="1205" w:type="pct"/>
            <w:noWrap/>
            <w:hideMark/>
          </w:tcPr>
          <w:p w:rsidR="00915EA9" w:rsidRPr="00A62C97" w:rsidRDefault="00A62C97" w:rsidP="00915EA9">
            <w:pPr>
              <w:pStyle w:val="TableText0"/>
              <w:rPr>
                <w:highlight w:val="black"/>
              </w:rPr>
            </w:pPr>
            <w:r>
              <w:rPr>
                <w:noProof/>
                <w:color w:val="000000"/>
                <w:highlight w:val="black"/>
              </w:rPr>
              <w:t>''''''''''''''''''''''' ''''''''''</w:t>
            </w:r>
          </w:p>
        </w:tc>
        <w:tc>
          <w:tcPr>
            <w:tcW w:w="768" w:type="pct"/>
            <w:noWrap/>
            <w:vAlign w:val="bottom"/>
            <w:hideMark/>
          </w:tcPr>
          <w:p w:rsidR="00915EA9" w:rsidRPr="00A62C97" w:rsidRDefault="00A62C97" w:rsidP="006C713F">
            <w:pPr>
              <w:pStyle w:val="TableText0"/>
              <w:rPr>
                <w:highlight w:val="black"/>
              </w:rPr>
            </w:pPr>
            <w:r>
              <w:rPr>
                <w:noProof/>
                <w:color w:val="000000"/>
                <w:highlight w:val="black"/>
              </w:rPr>
              <w:t>''''''''''</w:t>
            </w:r>
          </w:p>
        </w:tc>
        <w:tc>
          <w:tcPr>
            <w:tcW w:w="768" w:type="pct"/>
            <w:noWrap/>
            <w:vAlign w:val="bottom"/>
            <w:hideMark/>
          </w:tcPr>
          <w:p w:rsidR="00915EA9" w:rsidRPr="00A62C97" w:rsidRDefault="00A62C97" w:rsidP="006C713F">
            <w:pPr>
              <w:pStyle w:val="TableText0"/>
              <w:rPr>
                <w:highlight w:val="black"/>
              </w:rPr>
            </w:pPr>
            <w:r>
              <w:rPr>
                <w:noProof/>
                <w:color w:val="000000"/>
                <w:highlight w:val="black"/>
              </w:rPr>
              <w:t>'''''''''''</w:t>
            </w:r>
          </w:p>
        </w:tc>
        <w:tc>
          <w:tcPr>
            <w:tcW w:w="722" w:type="pct"/>
            <w:noWrap/>
            <w:vAlign w:val="bottom"/>
            <w:hideMark/>
          </w:tcPr>
          <w:p w:rsidR="00915EA9" w:rsidRPr="00A62C97" w:rsidRDefault="00A62C97" w:rsidP="006C713F">
            <w:pPr>
              <w:pStyle w:val="TableText0"/>
              <w:rPr>
                <w:highlight w:val="black"/>
              </w:rPr>
            </w:pPr>
            <w:r>
              <w:rPr>
                <w:noProof/>
                <w:color w:val="000000"/>
                <w:highlight w:val="black"/>
              </w:rPr>
              <w:t>''''''''''</w:t>
            </w:r>
          </w:p>
        </w:tc>
        <w:tc>
          <w:tcPr>
            <w:tcW w:w="768" w:type="pct"/>
            <w:noWrap/>
            <w:vAlign w:val="bottom"/>
            <w:hideMark/>
          </w:tcPr>
          <w:p w:rsidR="00915EA9" w:rsidRPr="00A62C97" w:rsidRDefault="00A62C97" w:rsidP="006C713F">
            <w:pPr>
              <w:pStyle w:val="TableText0"/>
              <w:rPr>
                <w:highlight w:val="black"/>
              </w:rPr>
            </w:pPr>
            <w:r>
              <w:rPr>
                <w:noProof/>
                <w:color w:val="000000"/>
                <w:highlight w:val="black"/>
              </w:rPr>
              <w:t>'''''''''''</w:t>
            </w:r>
          </w:p>
        </w:tc>
        <w:tc>
          <w:tcPr>
            <w:tcW w:w="768" w:type="pct"/>
            <w:noWrap/>
            <w:vAlign w:val="bottom"/>
            <w:hideMark/>
          </w:tcPr>
          <w:p w:rsidR="00915EA9" w:rsidRPr="00A62C97" w:rsidRDefault="00A62C97" w:rsidP="006C713F">
            <w:pPr>
              <w:pStyle w:val="TableText0"/>
              <w:rPr>
                <w:highlight w:val="black"/>
              </w:rPr>
            </w:pPr>
            <w:r>
              <w:rPr>
                <w:noProof/>
                <w:color w:val="000000"/>
                <w:highlight w:val="black"/>
              </w:rPr>
              <w:t>'''''''''''</w:t>
            </w:r>
          </w:p>
        </w:tc>
      </w:tr>
      <w:tr w:rsidR="006C713F" w:rsidRPr="006D6874" w:rsidTr="00915EA9">
        <w:trPr>
          <w:trHeight w:val="280"/>
        </w:trPr>
        <w:tc>
          <w:tcPr>
            <w:tcW w:w="1205" w:type="pct"/>
            <w:noWrap/>
            <w:hideMark/>
          </w:tcPr>
          <w:p w:rsidR="00915EA9" w:rsidRPr="00A62C97" w:rsidRDefault="00A62C97" w:rsidP="00915EA9">
            <w:pPr>
              <w:pStyle w:val="TableText0"/>
              <w:rPr>
                <w:highlight w:val="black"/>
              </w:rPr>
            </w:pPr>
            <w:r>
              <w:rPr>
                <w:noProof/>
                <w:color w:val="000000"/>
                <w:highlight w:val="black"/>
              </w:rPr>
              <w:t>''''''''''''''''''''''' '''''''''''''</w:t>
            </w:r>
          </w:p>
        </w:tc>
        <w:tc>
          <w:tcPr>
            <w:tcW w:w="768" w:type="pct"/>
            <w:noWrap/>
            <w:vAlign w:val="bottom"/>
            <w:hideMark/>
          </w:tcPr>
          <w:p w:rsidR="00915EA9" w:rsidRPr="00A62C97" w:rsidRDefault="00A62C97" w:rsidP="006C713F">
            <w:pPr>
              <w:pStyle w:val="TableText0"/>
              <w:rPr>
                <w:highlight w:val="black"/>
              </w:rPr>
            </w:pPr>
            <w:r>
              <w:rPr>
                <w:noProof/>
                <w:color w:val="000000"/>
                <w:highlight w:val="black"/>
              </w:rPr>
              <w:t>''''''''''''</w:t>
            </w:r>
          </w:p>
        </w:tc>
        <w:tc>
          <w:tcPr>
            <w:tcW w:w="768" w:type="pct"/>
            <w:noWrap/>
            <w:vAlign w:val="bottom"/>
            <w:hideMark/>
          </w:tcPr>
          <w:p w:rsidR="00915EA9" w:rsidRPr="00A62C97" w:rsidRDefault="00A62C97" w:rsidP="006C713F">
            <w:pPr>
              <w:pStyle w:val="TableText0"/>
              <w:rPr>
                <w:highlight w:val="black"/>
              </w:rPr>
            </w:pPr>
            <w:r>
              <w:rPr>
                <w:noProof/>
                <w:color w:val="000000"/>
                <w:highlight w:val="black"/>
              </w:rPr>
              <w:t>''''''''''</w:t>
            </w:r>
          </w:p>
        </w:tc>
        <w:tc>
          <w:tcPr>
            <w:tcW w:w="722" w:type="pct"/>
            <w:noWrap/>
            <w:vAlign w:val="bottom"/>
            <w:hideMark/>
          </w:tcPr>
          <w:p w:rsidR="00915EA9" w:rsidRPr="00A62C97" w:rsidRDefault="00A62C97" w:rsidP="006C713F">
            <w:pPr>
              <w:pStyle w:val="TableText0"/>
              <w:rPr>
                <w:highlight w:val="black"/>
              </w:rPr>
            </w:pPr>
            <w:r>
              <w:rPr>
                <w:noProof/>
                <w:color w:val="000000"/>
                <w:highlight w:val="black"/>
              </w:rPr>
              <w:t>'''''''''''</w:t>
            </w:r>
          </w:p>
        </w:tc>
        <w:tc>
          <w:tcPr>
            <w:tcW w:w="768" w:type="pct"/>
            <w:noWrap/>
            <w:vAlign w:val="bottom"/>
            <w:hideMark/>
          </w:tcPr>
          <w:p w:rsidR="00915EA9" w:rsidRPr="00A62C97" w:rsidRDefault="00A62C97" w:rsidP="006C713F">
            <w:pPr>
              <w:pStyle w:val="TableText0"/>
              <w:rPr>
                <w:highlight w:val="black"/>
              </w:rPr>
            </w:pPr>
            <w:r>
              <w:rPr>
                <w:noProof/>
                <w:color w:val="000000"/>
                <w:highlight w:val="black"/>
              </w:rPr>
              <w:t>''''''''''</w:t>
            </w:r>
          </w:p>
        </w:tc>
        <w:tc>
          <w:tcPr>
            <w:tcW w:w="768" w:type="pct"/>
            <w:noWrap/>
            <w:vAlign w:val="bottom"/>
            <w:hideMark/>
          </w:tcPr>
          <w:p w:rsidR="00915EA9" w:rsidRPr="00A62C97" w:rsidRDefault="00A62C97" w:rsidP="006C713F">
            <w:pPr>
              <w:pStyle w:val="TableText0"/>
              <w:rPr>
                <w:highlight w:val="black"/>
              </w:rPr>
            </w:pPr>
            <w:r>
              <w:rPr>
                <w:noProof/>
                <w:color w:val="000000"/>
                <w:highlight w:val="black"/>
              </w:rPr>
              <w:t>'''''''''''</w:t>
            </w:r>
          </w:p>
        </w:tc>
      </w:tr>
    </w:tbl>
    <w:p w:rsidR="00915EA9" w:rsidRPr="00A62C97" w:rsidRDefault="00A62C97" w:rsidP="00144487">
      <w:pPr>
        <w:pStyle w:val="TableNote"/>
        <w:ind w:left="0" w:firstLine="0"/>
        <w:rPr>
          <w:highlight w:val="black"/>
        </w:rPr>
      </w:pPr>
      <w:r>
        <w:rPr>
          <w:noProof/>
          <w:color w:val="000000"/>
          <w:highlight w:val="black"/>
        </w:rPr>
        <w:t>'''''''' '''' ''''''''''''''''''''' ''''''''''''''''''''''</w:t>
      </w:r>
    </w:p>
    <w:p w:rsidR="00915EA9" w:rsidRPr="00A62C97" w:rsidRDefault="00A62C97" w:rsidP="00144487">
      <w:pPr>
        <w:pStyle w:val="TableNote"/>
        <w:ind w:left="0" w:firstLine="0"/>
        <w:rPr>
          <w:highlight w:val="black"/>
        </w:rPr>
      </w:pPr>
      <w:r>
        <w:rPr>
          <w:noProof/>
          <w:color w:val="000000"/>
          <w:highlight w:val="black"/>
        </w:rPr>
        <w:t xml:space="preserve">'''''''''''''''''' ''''''' '''' ''''''''''''''' '''''' '''''''''''''''''' ''''''''' '''' '''''''''' '''''''''''''''' '''''''''' '''''' '''''''''' '''''''''''''''''''' '''''' ''''''''' ''''''''''' ''''''''''''''' '''''''''''''' ''''''''' ''''''''''''''' ''''''''''''' '''''''''''' ''' ''''''''''' '''' ''''''' </w:t>
      </w:r>
    </w:p>
    <w:p w:rsidR="00915EA9" w:rsidRPr="00A62C97" w:rsidRDefault="00A62C97" w:rsidP="00144487">
      <w:pPr>
        <w:pStyle w:val="TableNote"/>
        <w:ind w:left="0" w:firstLine="0"/>
        <w:rPr>
          <w:highlight w:val="black"/>
        </w:rPr>
      </w:pPr>
      <w:r>
        <w:rPr>
          <w:noProof/>
          <w:color w:val="000000"/>
          <w:highlight w:val="black"/>
        </w:rPr>
        <w:t>'''''''''''''''''''' ''''''' ''' '''''''' '''''''''''''''''' ''''''''''''''' '''''''' '''''''' ''''''''''''' '''''''''''''''''''' ''''' '''''''' ''''''''''''''''''''''''</w:t>
      </w:r>
    </w:p>
    <w:p w:rsidR="00910E2B" w:rsidRPr="00A62C97" w:rsidRDefault="00A62C97" w:rsidP="00144487">
      <w:pPr>
        <w:pStyle w:val="TableNote"/>
        <w:ind w:left="0" w:firstLine="0"/>
        <w:rPr>
          <w:highlight w:val="black"/>
        </w:rPr>
      </w:pPr>
      <w:r>
        <w:rPr>
          <w:noProof/>
          <w:color w:val="000000"/>
          <w:highlight w:val="black"/>
        </w:rPr>
        <w:t xml:space="preserve">''''''''''''''''''''' '''''''' '''''''''''' ''''''''''''''''''''' '''' '''''''''''' '''''''''''''''''' '''''''''''' '''''''''' ''''''' '''''''''''' '''''''''''''''''' </w:t>
      </w:r>
    </w:p>
    <w:p w:rsidR="00915EA9" w:rsidRPr="00A62C97" w:rsidRDefault="00A62C97" w:rsidP="00144487">
      <w:pPr>
        <w:pStyle w:val="TableNote"/>
        <w:ind w:left="0" w:firstLine="0"/>
        <w:rPr>
          <w:highlight w:val="black"/>
        </w:rPr>
      </w:pPr>
      <w:r>
        <w:rPr>
          <w:noProof/>
          <w:color w:val="000000"/>
          <w:highlight w:val="black"/>
        </w:rPr>
        <w:t>''''''''''''''''' ''''''''''''''''''''''''' '''''''''''''''''' '''''''''''</w:t>
      </w:r>
    </w:p>
    <w:p w:rsidR="00915EA9" w:rsidRPr="0004128C" w:rsidRDefault="00915EA9" w:rsidP="00910E2B"/>
    <w:p w:rsidR="00910E2B" w:rsidRPr="0004128C" w:rsidRDefault="00910E2B" w:rsidP="00910E2B">
      <w:pPr>
        <w:rPr>
          <w:rFonts w:ascii="Arial Narrow" w:hAnsi="Arial Narrow"/>
          <w:sz w:val="20"/>
        </w:rPr>
      </w:pPr>
      <w:r w:rsidRPr="0004128C">
        <w:t>Baseline and follow up data r</w:t>
      </w:r>
      <w:r>
        <w:t>egarding haemoglobin levels (g/</w:t>
      </w:r>
      <w:r w:rsidRPr="0004128C">
        <w:t xml:space="preserve">L) were available for 57 patients </w:t>
      </w:r>
      <w:r w:rsidR="002028EE">
        <w:t xml:space="preserve">currently receiving treatment for </w:t>
      </w:r>
      <w:proofErr w:type="gramStart"/>
      <w:r w:rsidR="002028EE">
        <w:t>Gaucher</w:t>
      </w:r>
      <w:proofErr w:type="gramEnd"/>
      <w:r w:rsidR="002028EE">
        <w:t xml:space="preserve"> disease on the </w:t>
      </w:r>
      <w:r w:rsidR="00544A05">
        <w:t>registry</w:t>
      </w:r>
      <w:r w:rsidR="002028EE">
        <w:t xml:space="preserve"> </w:t>
      </w:r>
      <w:r w:rsidR="00845611">
        <w:t>(</w:t>
      </w:r>
      <w:r w:rsidR="00A72B26" w:rsidRPr="0004128C">
        <w:t xml:space="preserve">Table </w:t>
      </w:r>
      <w:r w:rsidR="00A72B26">
        <w:rPr>
          <w:noProof/>
        </w:rPr>
        <w:t>25</w:t>
      </w:r>
      <w:r w:rsidR="00845611">
        <w:t>)</w:t>
      </w:r>
      <w:r w:rsidRPr="0004128C">
        <w:t xml:space="preserve">. </w:t>
      </w:r>
      <w:r w:rsidR="005C756E">
        <w:t xml:space="preserve">It is not certain that the baseline information for each patient is pre-enzyme replacement therapy. </w:t>
      </w:r>
      <w:r w:rsidRPr="0004128C">
        <w:t xml:space="preserve">More than </w:t>
      </w:r>
      <w:r>
        <w:t>half</w:t>
      </w:r>
      <w:r w:rsidRPr="0004128C">
        <w:t xml:space="preserve"> of </w:t>
      </w:r>
      <w:r>
        <w:t xml:space="preserve">these </w:t>
      </w:r>
      <w:r w:rsidRPr="0004128C">
        <w:t>patients had normal haemoglobin levels at baseline (</w:t>
      </w:r>
      <w:r>
        <w:t>56.1</w:t>
      </w:r>
      <w:r w:rsidRPr="0004128C">
        <w:t>%; n</w:t>
      </w:r>
      <w:r w:rsidR="00652355" w:rsidRPr="00652355">
        <w:rPr>
          <w:spacing w:val="-20"/>
        </w:rPr>
        <w:t xml:space="preserve"> = </w:t>
      </w:r>
      <w:r>
        <w:t>32</w:t>
      </w:r>
      <w:r w:rsidRPr="0004128C">
        <w:t>). At last follow up, the vast majority (</w:t>
      </w:r>
      <w:r>
        <w:t>93</w:t>
      </w:r>
      <w:r w:rsidRPr="0004128C">
        <w:t>.5%; n</w:t>
      </w:r>
      <w:r w:rsidR="00652355" w:rsidRPr="00652355">
        <w:rPr>
          <w:spacing w:val="-20"/>
        </w:rPr>
        <w:t xml:space="preserve"> = </w:t>
      </w:r>
      <w:r w:rsidRPr="0004128C">
        <w:t>5</w:t>
      </w:r>
      <w:r>
        <w:t>3</w:t>
      </w:r>
      <w:r w:rsidRPr="0004128C">
        <w:t>)</w:t>
      </w:r>
      <w:r>
        <w:t xml:space="preserve"> also</w:t>
      </w:r>
      <w:r w:rsidRPr="0004128C">
        <w:t xml:space="preserve"> had normal haemoglobin levels. More than three-quarters of patients experienced an improvement in </w:t>
      </w:r>
      <w:r>
        <w:t>haemoglobin (g/</w:t>
      </w:r>
      <w:r w:rsidRPr="0004128C">
        <w:t>L) between baseline and follow-up</w:t>
      </w:r>
      <w:r>
        <w:t>.</w:t>
      </w:r>
    </w:p>
    <w:p w:rsidR="00910E2B" w:rsidRPr="0004128C" w:rsidRDefault="00910E2B" w:rsidP="00331607">
      <w:pPr>
        <w:pStyle w:val="Caption"/>
        <w:keepNext/>
        <w:tabs>
          <w:tab w:val="clear" w:pos="851"/>
          <w:tab w:val="left" w:pos="1134"/>
        </w:tabs>
        <w:ind w:left="1134" w:hanging="1134"/>
      </w:pPr>
      <w:bookmarkStart w:id="164" w:name="_Ref410131137"/>
      <w:bookmarkStart w:id="165" w:name="_Toc411510408"/>
      <w:bookmarkStart w:id="166" w:name="_Toc415141822"/>
      <w:r w:rsidRPr="0004128C">
        <w:lastRenderedPageBreak/>
        <w:t xml:space="preserve">Table </w:t>
      </w:r>
      <w:r w:rsidR="00A72B26">
        <w:rPr>
          <w:noProof/>
        </w:rPr>
        <w:t>25</w:t>
      </w:r>
      <w:bookmarkEnd w:id="164"/>
      <w:r>
        <w:rPr>
          <w:noProof/>
        </w:rPr>
        <w:tab/>
      </w:r>
      <w:r w:rsidRPr="0004128C">
        <w:rPr>
          <w:noProof/>
        </w:rPr>
        <w:t>Proportion of Patients with Normal Haemoglobin (g/dL) and improvement from baseline</w:t>
      </w:r>
      <w:bookmarkEnd w:id="165"/>
      <w:bookmarkEnd w:id="166"/>
    </w:p>
    <w:tbl>
      <w:tblPr>
        <w:tblStyle w:val="TableGrid1"/>
        <w:tblW w:w="9323" w:type="dxa"/>
        <w:tblLook w:val="04A0" w:firstRow="1" w:lastRow="0" w:firstColumn="1" w:lastColumn="0" w:noHBand="0" w:noVBand="1"/>
        <w:tblCaption w:val="Table 23 Proportion of Patients with Normal Haemoglobin (g/dL) and improvement from baseline"/>
        <w:tblDescription w:val=" Proportion of Gaucher patients with Normal Haemoglobin (g/dL) and improvement from baseline (Genzyme registry data)"/>
      </w:tblPr>
      <w:tblGrid>
        <w:gridCol w:w="4644"/>
        <w:gridCol w:w="1701"/>
        <w:gridCol w:w="1419"/>
        <w:gridCol w:w="1559"/>
      </w:tblGrid>
      <w:tr w:rsidR="00910E2B" w:rsidRPr="0004128C" w:rsidTr="00331607">
        <w:trPr>
          <w:trHeight w:val="300"/>
          <w:tblHeader/>
        </w:trPr>
        <w:tc>
          <w:tcPr>
            <w:tcW w:w="4644" w:type="dxa"/>
            <w:shd w:val="clear" w:color="auto" w:fill="FFFFFF" w:themeFill="background1"/>
            <w:noWrap/>
            <w:hideMark/>
          </w:tcPr>
          <w:p w:rsidR="00910E2B" w:rsidRPr="0004128C" w:rsidRDefault="00331607" w:rsidP="00910E2B">
            <w:pPr>
              <w:pStyle w:val="TableHeading"/>
            </w:pPr>
            <w:r w:rsidRPr="00331607">
              <w:t>Outcome</w:t>
            </w:r>
          </w:p>
        </w:tc>
        <w:tc>
          <w:tcPr>
            <w:tcW w:w="1701" w:type="dxa"/>
            <w:noWrap/>
            <w:hideMark/>
          </w:tcPr>
          <w:p w:rsidR="00910E2B" w:rsidRPr="0004128C" w:rsidRDefault="00910E2B" w:rsidP="00910E2B">
            <w:pPr>
              <w:pStyle w:val="TableHeading"/>
            </w:pPr>
            <w:r w:rsidRPr="0004128C">
              <w:t>Female</w:t>
            </w:r>
          </w:p>
        </w:tc>
        <w:tc>
          <w:tcPr>
            <w:tcW w:w="1419" w:type="dxa"/>
            <w:noWrap/>
            <w:hideMark/>
          </w:tcPr>
          <w:p w:rsidR="00910E2B" w:rsidRPr="0004128C" w:rsidRDefault="00910E2B" w:rsidP="00910E2B">
            <w:pPr>
              <w:pStyle w:val="TableHeading"/>
            </w:pPr>
            <w:r w:rsidRPr="0004128C">
              <w:t>Male</w:t>
            </w:r>
          </w:p>
        </w:tc>
        <w:tc>
          <w:tcPr>
            <w:tcW w:w="1559" w:type="dxa"/>
            <w:noWrap/>
            <w:hideMark/>
          </w:tcPr>
          <w:p w:rsidR="00910E2B" w:rsidRPr="0004128C" w:rsidRDefault="00910E2B" w:rsidP="00910E2B">
            <w:pPr>
              <w:pStyle w:val="TableHeading"/>
            </w:pPr>
            <w:r w:rsidRPr="0004128C">
              <w:t>Total</w:t>
            </w:r>
          </w:p>
        </w:tc>
      </w:tr>
      <w:tr w:rsidR="00910E2B" w:rsidRPr="00E42811" w:rsidTr="00910E2B">
        <w:trPr>
          <w:trHeight w:val="300"/>
        </w:trPr>
        <w:tc>
          <w:tcPr>
            <w:tcW w:w="4644" w:type="dxa"/>
            <w:tcBorders>
              <w:right w:val="nil"/>
            </w:tcBorders>
            <w:noWrap/>
          </w:tcPr>
          <w:p w:rsidR="00910E2B" w:rsidRPr="00F53D4A" w:rsidRDefault="00910E2B" w:rsidP="00910E2B">
            <w:pPr>
              <w:pStyle w:val="TableText0"/>
              <w:rPr>
                <w:b/>
              </w:rPr>
            </w:pPr>
            <w:r w:rsidRPr="00F53D4A">
              <w:rPr>
                <w:b/>
              </w:rPr>
              <w:t>Proportion of Patie</w:t>
            </w:r>
            <w:r>
              <w:rPr>
                <w:b/>
              </w:rPr>
              <w:t>nts with Normal Haemoglobin (g/</w:t>
            </w:r>
            <w:r w:rsidRPr="00F53D4A">
              <w:rPr>
                <w:b/>
              </w:rPr>
              <w:t>L)</w:t>
            </w:r>
          </w:p>
        </w:tc>
        <w:tc>
          <w:tcPr>
            <w:tcW w:w="1701" w:type="dxa"/>
            <w:tcBorders>
              <w:left w:val="nil"/>
              <w:right w:val="nil"/>
            </w:tcBorders>
          </w:tcPr>
          <w:p w:rsidR="00910E2B" w:rsidRPr="00F53D4A" w:rsidRDefault="00910E2B" w:rsidP="00910E2B">
            <w:pPr>
              <w:pStyle w:val="TableText0"/>
              <w:rPr>
                <w:b/>
                <w:color w:val="FFFFFF" w:themeColor="background1"/>
              </w:rPr>
            </w:pPr>
            <w:r w:rsidRPr="00F53D4A">
              <w:rPr>
                <w:b/>
                <w:color w:val="FFFFFF" w:themeColor="background1"/>
              </w:rPr>
              <w:t>-</w:t>
            </w:r>
            <w:r w:rsidR="00D67ADB" w:rsidRPr="00D67ADB">
              <w:rPr>
                <w:b/>
                <w:color w:val="FFFFFF" w:themeColor="background1"/>
                <w:shd w:val="clear" w:color="auto" w:fill="FFFFFF" w:themeFill="background1"/>
              </w:rPr>
              <w:t>-</w:t>
            </w:r>
          </w:p>
        </w:tc>
        <w:tc>
          <w:tcPr>
            <w:tcW w:w="1419" w:type="dxa"/>
            <w:tcBorders>
              <w:left w:val="nil"/>
              <w:right w:val="nil"/>
            </w:tcBorders>
          </w:tcPr>
          <w:p w:rsidR="00910E2B" w:rsidRPr="00F53D4A" w:rsidRDefault="00910E2B" w:rsidP="00910E2B">
            <w:pPr>
              <w:pStyle w:val="TableText0"/>
              <w:rPr>
                <w:b/>
                <w:color w:val="FFFFFF" w:themeColor="background1"/>
              </w:rPr>
            </w:pPr>
            <w:r w:rsidRPr="00F53D4A">
              <w:rPr>
                <w:b/>
                <w:color w:val="FFFFFF" w:themeColor="background1"/>
              </w:rPr>
              <w:t>-</w:t>
            </w:r>
            <w:r w:rsidR="00D67ADB">
              <w:rPr>
                <w:b/>
                <w:color w:val="FFFFFF" w:themeColor="background1"/>
              </w:rPr>
              <w:t>-</w:t>
            </w:r>
          </w:p>
        </w:tc>
        <w:tc>
          <w:tcPr>
            <w:tcW w:w="1559" w:type="dxa"/>
            <w:tcBorders>
              <w:left w:val="nil"/>
            </w:tcBorders>
          </w:tcPr>
          <w:p w:rsidR="00910E2B" w:rsidRPr="00F53D4A" w:rsidRDefault="00910E2B" w:rsidP="00910E2B">
            <w:pPr>
              <w:pStyle w:val="TableText0"/>
              <w:rPr>
                <w:b/>
                <w:color w:val="FFFFFF" w:themeColor="background1"/>
              </w:rPr>
            </w:pPr>
            <w:r w:rsidRPr="00F53D4A">
              <w:rPr>
                <w:b/>
                <w:color w:val="FFFFFF" w:themeColor="background1"/>
              </w:rPr>
              <w:t>-</w:t>
            </w:r>
            <w:r w:rsidR="00D67ADB">
              <w:rPr>
                <w:b/>
                <w:color w:val="FFFFFF" w:themeColor="background1"/>
              </w:rPr>
              <w:t>-</w:t>
            </w:r>
          </w:p>
        </w:tc>
      </w:tr>
      <w:tr w:rsidR="00910E2B" w:rsidRPr="0004128C" w:rsidTr="00910E2B">
        <w:trPr>
          <w:trHeight w:val="300"/>
        </w:trPr>
        <w:tc>
          <w:tcPr>
            <w:tcW w:w="4644" w:type="dxa"/>
            <w:noWrap/>
            <w:hideMark/>
          </w:tcPr>
          <w:p w:rsidR="00910E2B" w:rsidRPr="0004128C" w:rsidRDefault="00910E2B" w:rsidP="00910E2B">
            <w:pPr>
              <w:pStyle w:val="TableText0"/>
            </w:pPr>
            <w:r w:rsidRPr="0004128C">
              <w:t>Baseline</w:t>
            </w:r>
            <w:r w:rsidR="006426C0">
              <w:t>, % (n)</w:t>
            </w:r>
          </w:p>
        </w:tc>
        <w:tc>
          <w:tcPr>
            <w:tcW w:w="1701" w:type="dxa"/>
            <w:noWrap/>
            <w:vAlign w:val="bottom"/>
            <w:hideMark/>
          </w:tcPr>
          <w:p w:rsidR="00910E2B" w:rsidRPr="00A62C97" w:rsidRDefault="00910E2B" w:rsidP="00910E2B">
            <w:pPr>
              <w:pStyle w:val="TableText0"/>
            </w:pPr>
            <w:r w:rsidRPr="00A62C97">
              <w:rPr>
                <w:color w:val="000000"/>
              </w:rPr>
              <w:t>59.3% (16)</w:t>
            </w:r>
          </w:p>
        </w:tc>
        <w:tc>
          <w:tcPr>
            <w:tcW w:w="1419" w:type="dxa"/>
            <w:noWrap/>
            <w:vAlign w:val="bottom"/>
            <w:hideMark/>
          </w:tcPr>
          <w:p w:rsidR="00910E2B" w:rsidRPr="00A62C97" w:rsidRDefault="00910E2B" w:rsidP="00910E2B">
            <w:pPr>
              <w:pStyle w:val="TableText0"/>
            </w:pPr>
            <w:r w:rsidRPr="00A62C97">
              <w:rPr>
                <w:color w:val="000000"/>
              </w:rPr>
              <w:t>53.3% (16)</w:t>
            </w:r>
          </w:p>
        </w:tc>
        <w:tc>
          <w:tcPr>
            <w:tcW w:w="1559" w:type="dxa"/>
            <w:noWrap/>
            <w:vAlign w:val="bottom"/>
            <w:hideMark/>
          </w:tcPr>
          <w:p w:rsidR="00910E2B" w:rsidRPr="00A62C97" w:rsidRDefault="00910E2B" w:rsidP="00910E2B">
            <w:pPr>
              <w:pStyle w:val="TableText0"/>
            </w:pPr>
            <w:r w:rsidRPr="00A62C97">
              <w:rPr>
                <w:color w:val="000000"/>
              </w:rPr>
              <w:t>56.1% (32)</w:t>
            </w:r>
          </w:p>
        </w:tc>
      </w:tr>
      <w:tr w:rsidR="00910E2B" w:rsidRPr="0004128C" w:rsidTr="00910E2B">
        <w:trPr>
          <w:trHeight w:val="300"/>
        </w:trPr>
        <w:tc>
          <w:tcPr>
            <w:tcW w:w="4644" w:type="dxa"/>
            <w:noWrap/>
            <w:hideMark/>
          </w:tcPr>
          <w:p w:rsidR="00910E2B" w:rsidRPr="0004128C" w:rsidRDefault="00910E2B" w:rsidP="00910E2B">
            <w:pPr>
              <w:pStyle w:val="TableText0"/>
            </w:pPr>
            <w:r w:rsidRPr="0004128C">
              <w:t>Latest</w:t>
            </w:r>
            <w:r w:rsidR="006426C0">
              <w:t>, % (n)</w:t>
            </w:r>
          </w:p>
        </w:tc>
        <w:tc>
          <w:tcPr>
            <w:tcW w:w="1701" w:type="dxa"/>
            <w:noWrap/>
            <w:vAlign w:val="bottom"/>
            <w:hideMark/>
          </w:tcPr>
          <w:p w:rsidR="00910E2B" w:rsidRPr="00A62C97" w:rsidRDefault="00910E2B" w:rsidP="00910E2B">
            <w:pPr>
              <w:pStyle w:val="TableText0"/>
            </w:pPr>
            <w:r w:rsidRPr="00A62C97">
              <w:rPr>
                <w:color w:val="000000"/>
              </w:rPr>
              <w:t>92.6% (25)</w:t>
            </w:r>
          </w:p>
        </w:tc>
        <w:tc>
          <w:tcPr>
            <w:tcW w:w="1419" w:type="dxa"/>
            <w:noWrap/>
            <w:vAlign w:val="bottom"/>
            <w:hideMark/>
          </w:tcPr>
          <w:p w:rsidR="00910E2B" w:rsidRPr="00A62C97" w:rsidRDefault="00910E2B" w:rsidP="00910E2B">
            <w:pPr>
              <w:pStyle w:val="TableText0"/>
            </w:pPr>
            <w:r w:rsidRPr="00A62C97">
              <w:rPr>
                <w:color w:val="000000"/>
              </w:rPr>
              <w:t>93.3% (28)</w:t>
            </w:r>
          </w:p>
        </w:tc>
        <w:tc>
          <w:tcPr>
            <w:tcW w:w="1559" w:type="dxa"/>
            <w:noWrap/>
            <w:vAlign w:val="bottom"/>
            <w:hideMark/>
          </w:tcPr>
          <w:p w:rsidR="00910E2B" w:rsidRPr="00A62C97" w:rsidRDefault="00910E2B" w:rsidP="00910E2B">
            <w:pPr>
              <w:pStyle w:val="TableText0"/>
            </w:pPr>
            <w:r w:rsidRPr="00A62C97">
              <w:rPr>
                <w:color w:val="000000"/>
              </w:rPr>
              <w:t>93% (53)</w:t>
            </w:r>
          </w:p>
        </w:tc>
      </w:tr>
      <w:tr w:rsidR="00910E2B" w:rsidRPr="00E42811" w:rsidTr="00910E2B">
        <w:trPr>
          <w:trHeight w:val="300"/>
        </w:trPr>
        <w:tc>
          <w:tcPr>
            <w:tcW w:w="4644" w:type="dxa"/>
            <w:tcBorders>
              <w:right w:val="nil"/>
            </w:tcBorders>
            <w:noWrap/>
          </w:tcPr>
          <w:p w:rsidR="00910E2B" w:rsidRPr="00F53D4A" w:rsidRDefault="00910E2B" w:rsidP="00910E2B">
            <w:pPr>
              <w:pStyle w:val="TableText0"/>
              <w:rPr>
                <w:b/>
              </w:rPr>
            </w:pPr>
            <w:r w:rsidRPr="00F53D4A">
              <w:rPr>
                <w:b/>
                <w:noProof/>
              </w:rPr>
              <w:t>Haemoglobin (g/dL), improvement from baseline</w:t>
            </w:r>
          </w:p>
        </w:tc>
        <w:tc>
          <w:tcPr>
            <w:tcW w:w="1701" w:type="dxa"/>
            <w:tcBorders>
              <w:left w:val="nil"/>
              <w:right w:val="nil"/>
            </w:tcBorders>
          </w:tcPr>
          <w:p w:rsidR="00910E2B" w:rsidRPr="00A62C97" w:rsidRDefault="00910E2B" w:rsidP="00910E2B">
            <w:pPr>
              <w:pStyle w:val="TableText0"/>
              <w:rPr>
                <w:b/>
                <w:color w:val="FFFFFF" w:themeColor="background1"/>
              </w:rPr>
            </w:pPr>
            <w:r w:rsidRPr="00A62C97">
              <w:rPr>
                <w:b/>
                <w:color w:val="FFFFFF" w:themeColor="background1"/>
              </w:rPr>
              <w:t>-</w:t>
            </w:r>
          </w:p>
        </w:tc>
        <w:tc>
          <w:tcPr>
            <w:tcW w:w="1419" w:type="dxa"/>
            <w:tcBorders>
              <w:left w:val="nil"/>
              <w:right w:val="nil"/>
            </w:tcBorders>
          </w:tcPr>
          <w:p w:rsidR="00910E2B" w:rsidRPr="00A62C97" w:rsidRDefault="00910E2B" w:rsidP="00910E2B">
            <w:pPr>
              <w:pStyle w:val="TableText0"/>
              <w:rPr>
                <w:b/>
                <w:color w:val="FFFFFF" w:themeColor="background1"/>
              </w:rPr>
            </w:pPr>
            <w:r w:rsidRPr="00A62C97">
              <w:rPr>
                <w:b/>
                <w:color w:val="FFFFFF" w:themeColor="background1"/>
              </w:rPr>
              <w:t>-</w:t>
            </w:r>
          </w:p>
        </w:tc>
        <w:tc>
          <w:tcPr>
            <w:tcW w:w="1559" w:type="dxa"/>
            <w:tcBorders>
              <w:left w:val="nil"/>
            </w:tcBorders>
          </w:tcPr>
          <w:p w:rsidR="00910E2B" w:rsidRPr="00A62C97" w:rsidRDefault="00910E2B" w:rsidP="00910E2B">
            <w:pPr>
              <w:pStyle w:val="TableText0"/>
              <w:rPr>
                <w:b/>
                <w:color w:val="FFFFFF" w:themeColor="background1"/>
              </w:rPr>
            </w:pPr>
            <w:r w:rsidRPr="00A62C97">
              <w:rPr>
                <w:b/>
                <w:color w:val="FFFFFF" w:themeColor="background1"/>
              </w:rPr>
              <w:t>-</w:t>
            </w:r>
          </w:p>
        </w:tc>
      </w:tr>
      <w:tr w:rsidR="00910E2B" w:rsidRPr="0004128C" w:rsidTr="00910E2B">
        <w:trPr>
          <w:trHeight w:val="300"/>
        </w:trPr>
        <w:tc>
          <w:tcPr>
            <w:tcW w:w="4644" w:type="dxa"/>
            <w:noWrap/>
          </w:tcPr>
          <w:p w:rsidR="00910E2B" w:rsidRPr="0004128C" w:rsidRDefault="00910E2B" w:rsidP="00910E2B">
            <w:pPr>
              <w:pStyle w:val="TableText0"/>
            </w:pPr>
            <w:r w:rsidRPr="0004128C">
              <w:t>Improvement</w:t>
            </w:r>
            <w:r w:rsidR="006426C0">
              <w:t>, % (n)</w:t>
            </w:r>
          </w:p>
        </w:tc>
        <w:tc>
          <w:tcPr>
            <w:tcW w:w="1701" w:type="dxa"/>
            <w:noWrap/>
          </w:tcPr>
          <w:p w:rsidR="00910E2B" w:rsidRPr="00A62C97" w:rsidRDefault="00910E2B" w:rsidP="00910E2B">
            <w:pPr>
              <w:pStyle w:val="TableText0"/>
            </w:pPr>
            <w:r w:rsidRPr="00A62C97">
              <w:t>77.8% (21)</w:t>
            </w:r>
          </w:p>
        </w:tc>
        <w:tc>
          <w:tcPr>
            <w:tcW w:w="1419" w:type="dxa"/>
            <w:noWrap/>
          </w:tcPr>
          <w:p w:rsidR="00910E2B" w:rsidRPr="00A62C97" w:rsidRDefault="00910E2B" w:rsidP="00910E2B">
            <w:pPr>
              <w:pStyle w:val="TableText0"/>
            </w:pPr>
            <w:r w:rsidRPr="00A62C97">
              <w:t>83.3% (25)</w:t>
            </w:r>
          </w:p>
        </w:tc>
        <w:tc>
          <w:tcPr>
            <w:tcW w:w="1559" w:type="dxa"/>
            <w:noWrap/>
          </w:tcPr>
          <w:p w:rsidR="00910E2B" w:rsidRPr="00A62C97" w:rsidRDefault="00910E2B" w:rsidP="00910E2B">
            <w:pPr>
              <w:pStyle w:val="TableText0"/>
            </w:pPr>
            <w:r w:rsidRPr="00A62C97">
              <w:t>80.7% (46)</w:t>
            </w:r>
          </w:p>
        </w:tc>
      </w:tr>
      <w:tr w:rsidR="00910E2B" w:rsidRPr="0004128C" w:rsidTr="00910E2B">
        <w:trPr>
          <w:trHeight w:val="300"/>
        </w:trPr>
        <w:tc>
          <w:tcPr>
            <w:tcW w:w="4644" w:type="dxa"/>
            <w:noWrap/>
          </w:tcPr>
          <w:p w:rsidR="00910E2B" w:rsidRPr="0004128C" w:rsidRDefault="00910E2B" w:rsidP="00910E2B">
            <w:pPr>
              <w:pStyle w:val="TableText0"/>
            </w:pPr>
            <w:r w:rsidRPr="0004128C">
              <w:t>Worse</w:t>
            </w:r>
            <w:r w:rsidR="006426C0">
              <w:t>, % (n)</w:t>
            </w:r>
          </w:p>
        </w:tc>
        <w:tc>
          <w:tcPr>
            <w:tcW w:w="1701" w:type="dxa"/>
            <w:noWrap/>
          </w:tcPr>
          <w:p w:rsidR="00910E2B" w:rsidRPr="00A62C97" w:rsidRDefault="00910E2B" w:rsidP="00910E2B">
            <w:pPr>
              <w:pStyle w:val="TableText0"/>
            </w:pPr>
            <w:r w:rsidRPr="00A62C97">
              <w:t>22.2% (6)</w:t>
            </w:r>
          </w:p>
        </w:tc>
        <w:tc>
          <w:tcPr>
            <w:tcW w:w="1419" w:type="dxa"/>
            <w:noWrap/>
          </w:tcPr>
          <w:p w:rsidR="00910E2B" w:rsidRPr="00A62C97" w:rsidRDefault="00910E2B" w:rsidP="00910E2B">
            <w:pPr>
              <w:pStyle w:val="TableText0"/>
            </w:pPr>
            <w:r w:rsidRPr="00A62C97">
              <w:t>16.7% (5)</w:t>
            </w:r>
          </w:p>
        </w:tc>
        <w:tc>
          <w:tcPr>
            <w:tcW w:w="1559" w:type="dxa"/>
            <w:noWrap/>
          </w:tcPr>
          <w:p w:rsidR="00910E2B" w:rsidRPr="00A62C97" w:rsidRDefault="00910E2B" w:rsidP="00910E2B">
            <w:pPr>
              <w:pStyle w:val="TableText0"/>
            </w:pPr>
            <w:r w:rsidRPr="00A62C97">
              <w:t>19.3% (11)</w:t>
            </w:r>
          </w:p>
        </w:tc>
      </w:tr>
    </w:tbl>
    <w:p w:rsidR="00910E2B" w:rsidRDefault="00910E2B" w:rsidP="00910E2B">
      <w:pPr>
        <w:pStyle w:val="TableNote"/>
        <w:ind w:left="0" w:firstLine="0"/>
      </w:pPr>
      <w:r w:rsidRPr="0004128C">
        <w:t>Normal values for h</w:t>
      </w:r>
      <w:r>
        <w:t>a</w:t>
      </w:r>
      <w:r w:rsidRPr="0004128C">
        <w:t xml:space="preserve">emoglobin: </w:t>
      </w:r>
      <w:r>
        <w:t xml:space="preserve">&lt;11.5 g/dL for children aged 3-14; , &lt;11.5 g/dL for females aged over 15 years; 13.5 g/dL for men aged 15-55 years; 13 g/dL for men aged 56-70 years; &lt;12.5 g/dL for men aged over 71 years </w:t>
      </w:r>
      <w:r w:rsidR="00A130D0">
        <w:rPr>
          <w:noProof/>
        </w:rPr>
        <w:t>(</w:t>
      </w:r>
      <w:r w:rsidR="00184B6F">
        <w:rPr>
          <w:noProof/>
        </w:rPr>
        <w:t>QML Pathology 2009</w:t>
      </w:r>
      <w:r w:rsidR="00A130D0">
        <w:rPr>
          <w:noProof/>
        </w:rPr>
        <w:t>)</w:t>
      </w:r>
    </w:p>
    <w:p w:rsidR="00910E2B" w:rsidRDefault="00910E2B" w:rsidP="00910E2B">
      <w:pPr>
        <w:pStyle w:val="TableNote"/>
        <w:ind w:left="0" w:firstLine="0"/>
      </w:pPr>
      <w:r>
        <w:t xml:space="preserve">Source: </w:t>
      </w:r>
      <w:r w:rsidR="005C756E">
        <w:t>Australian</w:t>
      </w:r>
      <w:r>
        <w:t xml:space="preserve"> registry data</w:t>
      </w:r>
    </w:p>
    <w:p w:rsidR="00910E2B" w:rsidRPr="0004128C" w:rsidRDefault="00910E2B" w:rsidP="00910E2B"/>
    <w:p w:rsidR="00910E2B" w:rsidRPr="0004128C" w:rsidRDefault="00910E2B" w:rsidP="00910E2B">
      <w:r w:rsidRPr="0004128C">
        <w:t>Baseline and follow up platelet counts were available for 56 patients</w:t>
      </w:r>
      <w:r w:rsidR="00494F1F">
        <w:t xml:space="preserve"> on the Australian registry</w:t>
      </w:r>
      <w:r w:rsidRPr="0004128C">
        <w:t xml:space="preserve">. </w:t>
      </w:r>
      <w:r>
        <w:t xml:space="preserve">A quarter of patients had a normal platelet count at baseline. </w:t>
      </w:r>
      <w:r w:rsidR="005C756E">
        <w:t xml:space="preserve">It is not certain that the baseline information for each patient is pre-enzyme replacement therapy. </w:t>
      </w:r>
      <w:r>
        <w:t>By end of follow up, most patients experienced an improvement, with 64.3% of</w:t>
      </w:r>
      <w:r w:rsidRPr="0004128C">
        <w:t xml:space="preserve"> patients </w:t>
      </w:r>
      <w:r>
        <w:t xml:space="preserve">with platelet counts </w:t>
      </w:r>
      <w:r w:rsidRPr="0004128C">
        <w:t>in the normal range</w:t>
      </w:r>
      <w:r w:rsidR="005675F8">
        <w:t xml:space="preserve"> (</w:t>
      </w:r>
      <w:r w:rsidR="00A72B26" w:rsidRPr="0004128C">
        <w:t xml:space="preserve">Table </w:t>
      </w:r>
      <w:r w:rsidR="00A72B26">
        <w:rPr>
          <w:noProof/>
        </w:rPr>
        <w:t>26</w:t>
      </w:r>
      <w:r w:rsidR="005675F8">
        <w:t>)</w:t>
      </w:r>
      <w:r w:rsidRPr="0004128C">
        <w:t xml:space="preserve">. </w:t>
      </w:r>
    </w:p>
    <w:p w:rsidR="00910E2B" w:rsidRPr="0004128C" w:rsidRDefault="00910E2B" w:rsidP="00773252">
      <w:pPr>
        <w:pStyle w:val="Caption"/>
        <w:tabs>
          <w:tab w:val="clear" w:pos="851"/>
          <w:tab w:val="left" w:pos="1134"/>
        </w:tabs>
        <w:ind w:left="1134" w:hanging="1134"/>
      </w:pPr>
      <w:bookmarkStart w:id="167" w:name="_Ref410131248"/>
      <w:bookmarkStart w:id="168" w:name="_Toc411510409"/>
      <w:bookmarkStart w:id="169" w:name="_Toc415141823"/>
      <w:r w:rsidRPr="0004128C">
        <w:t xml:space="preserve">Table </w:t>
      </w:r>
      <w:r w:rsidR="00A72B26">
        <w:rPr>
          <w:noProof/>
        </w:rPr>
        <w:t>26</w:t>
      </w:r>
      <w:bookmarkEnd w:id="167"/>
      <w:r>
        <w:rPr>
          <w:noProof/>
        </w:rPr>
        <w:tab/>
      </w:r>
      <w:r w:rsidRPr="0004128C">
        <w:rPr>
          <w:noProof/>
        </w:rPr>
        <w:t>Proportion of normal values for Platelet count</w:t>
      </w:r>
      <w:bookmarkEnd w:id="168"/>
      <w:bookmarkEnd w:id="169"/>
    </w:p>
    <w:tbl>
      <w:tblPr>
        <w:tblStyle w:val="TableGrid1"/>
        <w:tblW w:w="9180" w:type="dxa"/>
        <w:tblLayout w:type="fixed"/>
        <w:tblLook w:val="04A0" w:firstRow="1" w:lastRow="0" w:firstColumn="1" w:lastColumn="0" w:noHBand="0" w:noVBand="1"/>
        <w:tblCaption w:val="Table 24 Proportion of normal values for Platelet count"/>
        <w:tblDescription w:val=" Proportion of normal values for Platelet count In Gaucher patients (Genzyme registry data)"/>
      </w:tblPr>
      <w:tblGrid>
        <w:gridCol w:w="2295"/>
        <w:gridCol w:w="2295"/>
        <w:gridCol w:w="2295"/>
        <w:gridCol w:w="2295"/>
      </w:tblGrid>
      <w:tr w:rsidR="00910E2B" w:rsidRPr="0004128C" w:rsidTr="00331607">
        <w:trPr>
          <w:trHeight w:val="300"/>
          <w:tblHeader/>
        </w:trPr>
        <w:tc>
          <w:tcPr>
            <w:tcW w:w="2295" w:type="dxa"/>
            <w:shd w:val="clear" w:color="auto" w:fill="FFFFFF" w:themeFill="background1"/>
            <w:noWrap/>
            <w:hideMark/>
          </w:tcPr>
          <w:p w:rsidR="00910E2B" w:rsidRPr="0004128C" w:rsidRDefault="00331607" w:rsidP="00910E2B">
            <w:pPr>
              <w:pStyle w:val="TableHeading"/>
            </w:pPr>
            <w:r w:rsidRPr="00331607">
              <w:t>Time</w:t>
            </w:r>
          </w:p>
        </w:tc>
        <w:tc>
          <w:tcPr>
            <w:tcW w:w="2295" w:type="dxa"/>
            <w:noWrap/>
            <w:hideMark/>
          </w:tcPr>
          <w:p w:rsidR="00910E2B" w:rsidRPr="00A62C97" w:rsidRDefault="00910E2B" w:rsidP="00910E2B">
            <w:pPr>
              <w:pStyle w:val="TableHeading"/>
            </w:pPr>
            <w:r w:rsidRPr="00A62C97">
              <w:t>Female</w:t>
            </w:r>
          </w:p>
        </w:tc>
        <w:tc>
          <w:tcPr>
            <w:tcW w:w="2295" w:type="dxa"/>
            <w:noWrap/>
            <w:hideMark/>
          </w:tcPr>
          <w:p w:rsidR="00910E2B" w:rsidRPr="0004128C" w:rsidRDefault="00910E2B" w:rsidP="00910E2B">
            <w:pPr>
              <w:pStyle w:val="TableHeading"/>
            </w:pPr>
            <w:r w:rsidRPr="0004128C">
              <w:t>Male</w:t>
            </w:r>
          </w:p>
        </w:tc>
        <w:tc>
          <w:tcPr>
            <w:tcW w:w="2295" w:type="dxa"/>
            <w:noWrap/>
            <w:hideMark/>
          </w:tcPr>
          <w:p w:rsidR="00910E2B" w:rsidRPr="0004128C" w:rsidRDefault="00910E2B" w:rsidP="00910E2B">
            <w:pPr>
              <w:pStyle w:val="TableHeading"/>
            </w:pPr>
            <w:r w:rsidRPr="0004128C">
              <w:t>Total</w:t>
            </w:r>
          </w:p>
        </w:tc>
      </w:tr>
      <w:tr w:rsidR="00910E2B" w:rsidRPr="0004128C" w:rsidTr="00910E2B">
        <w:trPr>
          <w:trHeight w:val="300"/>
        </w:trPr>
        <w:tc>
          <w:tcPr>
            <w:tcW w:w="2295" w:type="dxa"/>
            <w:noWrap/>
            <w:hideMark/>
          </w:tcPr>
          <w:p w:rsidR="00910E2B" w:rsidRPr="0004128C" w:rsidRDefault="00910E2B" w:rsidP="00910E2B">
            <w:pPr>
              <w:pStyle w:val="TableText0"/>
            </w:pPr>
            <w:r w:rsidRPr="0004128C">
              <w:t>Baseline</w:t>
            </w:r>
          </w:p>
        </w:tc>
        <w:tc>
          <w:tcPr>
            <w:tcW w:w="2295" w:type="dxa"/>
            <w:noWrap/>
            <w:vAlign w:val="bottom"/>
            <w:hideMark/>
          </w:tcPr>
          <w:p w:rsidR="00910E2B" w:rsidRPr="00A62C97" w:rsidRDefault="00910E2B" w:rsidP="003E2368">
            <w:pPr>
              <w:pStyle w:val="TableText0"/>
            </w:pPr>
            <w:r w:rsidRPr="00A62C97">
              <w:rPr>
                <w:color w:val="000000"/>
              </w:rPr>
              <w:t>25.9% (7</w:t>
            </w:r>
            <w:r w:rsidR="00E54D75" w:rsidRPr="00A62C97">
              <w:rPr>
                <w:color w:val="000000"/>
              </w:rPr>
              <w:t>/</w:t>
            </w:r>
            <w:r w:rsidR="003E2368" w:rsidRPr="00A62C97">
              <w:rPr>
                <w:color w:val="000000"/>
              </w:rPr>
              <w:t>27</w:t>
            </w:r>
            <w:r w:rsidRPr="00A62C97">
              <w:rPr>
                <w:color w:val="000000"/>
              </w:rPr>
              <w:t>)</w:t>
            </w:r>
          </w:p>
        </w:tc>
        <w:tc>
          <w:tcPr>
            <w:tcW w:w="2295" w:type="dxa"/>
            <w:noWrap/>
            <w:vAlign w:val="bottom"/>
            <w:hideMark/>
          </w:tcPr>
          <w:p w:rsidR="00910E2B" w:rsidRPr="00A62C97" w:rsidRDefault="00910E2B" w:rsidP="003E2368">
            <w:pPr>
              <w:pStyle w:val="TableText0"/>
            </w:pPr>
            <w:r w:rsidRPr="00A62C97">
              <w:rPr>
                <w:color w:val="000000"/>
              </w:rPr>
              <w:t>24.1% (7</w:t>
            </w:r>
            <w:r w:rsidR="00CD6106" w:rsidRPr="00A62C97">
              <w:rPr>
                <w:color w:val="000000"/>
              </w:rPr>
              <w:t>/</w:t>
            </w:r>
            <w:r w:rsidR="003E2368" w:rsidRPr="00A62C97">
              <w:rPr>
                <w:color w:val="000000"/>
              </w:rPr>
              <w:t>29</w:t>
            </w:r>
            <w:r w:rsidRPr="00A62C97">
              <w:rPr>
                <w:color w:val="000000"/>
              </w:rPr>
              <w:t>)</w:t>
            </w:r>
          </w:p>
        </w:tc>
        <w:tc>
          <w:tcPr>
            <w:tcW w:w="2295" w:type="dxa"/>
            <w:noWrap/>
            <w:vAlign w:val="bottom"/>
            <w:hideMark/>
          </w:tcPr>
          <w:p w:rsidR="00910E2B" w:rsidRPr="00A62C97" w:rsidRDefault="00910E2B" w:rsidP="003E2368">
            <w:pPr>
              <w:pStyle w:val="TableText0"/>
            </w:pPr>
            <w:r w:rsidRPr="00A62C97">
              <w:rPr>
                <w:color w:val="000000"/>
              </w:rPr>
              <w:t>25% (14</w:t>
            </w:r>
            <w:r w:rsidR="00CD6106" w:rsidRPr="00A62C97">
              <w:rPr>
                <w:color w:val="000000"/>
              </w:rPr>
              <w:t>/</w:t>
            </w:r>
            <w:r w:rsidR="003E2368" w:rsidRPr="00A62C97">
              <w:rPr>
                <w:color w:val="000000"/>
              </w:rPr>
              <w:t>56</w:t>
            </w:r>
            <w:r w:rsidRPr="00A62C97">
              <w:rPr>
                <w:color w:val="000000"/>
              </w:rPr>
              <w:t>)</w:t>
            </w:r>
          </w:p>
        </w:tc>
      </w:tr>
      <w:tr w:rsidR="00910E2B" w:rsidRPr="0004128C" w:rsidTr="00910E2B">
        <w:trPr>
          <w:trHeight w:val="300"/>
        </w:trPr>
        <w:tc>
          <w:tcPr>
            <w:tcW w:w="2295" w:type="dxa"/>
            <w:noWrap/>
            <w:hideMark/>
          </w:tcPr>
          <w:p w:rsidR="00910E2B" w:rsidRPr="0004128C" w:rsidRDefault="00910E2B" w:rsidP="00910E2B">
            <w:pPr>
              <w:pStyle w:val="TableText0"/>
            </w:pPr>
            <w:r w:rsidRPr="0004128C">
              <w:t>Last follow up</w:t>
            </w:r>
          </w:p>
        </w:tc>
        <w:tc>
          <w:tcPr>
            <w:tcW w:w="2295" w:type="dxa"/>
            <w:noWrap/>
            <w:vAlign w:val="bottom"/>
            <w:hideMark/>
          </w:tcPr>
          <w:p w:rsidR="00910E2B" w:rsidRPr="00A62C97" w:rsidRDefault="00910E2B" w:rsidP="004544E6">
            <w:pPr>
              <w:pStyle w:val="TableText0"/>
            </w:pPr>
            <w:r w:rsidRPr="00A62C97">
              <w:rPr>
                <w:color w:val="000000"/>
              </w:rPr>
              <w:t>77.8% (21</w:t>
            </w:r>
            <w:r w:rsidR="00E54D75" w:rsidRPr="00A62C97">
              <w:rPr>
                <w:color w:val="000000"/>
              </w:rPr>
              <w:t>/</w:t>
            </w:r>
            <w:r w:rsidR="004544E6" w:rsidRPr="00A62C97">
              <w:rPr>
                <w:color w:val="000000"/>
              </w:rPr>
              <w:t>27</w:t>
            </w:r>
            <w:r w:rsidRPr="00A62C97">
              <w:rPr>
                <w:color w:val="000000"/>
              </w:rPr>
              <w:t>)</w:t>
            </w:r>
          </w:p>
        </w:tc>
        <w:tc>
          <w:tcPr>
            <w:tcW w:w="2295" w:type="dxa"/>
            <w:noWrap/>
            <w:vAlign w:val="bottom"/>
            <w:hideMark/>
          </w:tcPr>
          <w:p w:rsidR="00910E2B" w:rsidRPr="00A62C97" w:rsidRDefault="00910E2B" w:rsidP="00910E2B">
            <w:pPr>
              <w:pStyle w:val="TableText0"/>
            </w:pPr>
            <w:r w:rsidRPr="00A62C97">
              <w:rPr>
                <w:color w:val="000000"/>
              </w:rPr>
              <w:t>51.7% (15</w:t>
            </w:r>
            <w:r w:rsidR="004544E6" w:rsidRPr="00A62C97">
              <w:rPr>
                <w:color w:val="000000"/>
              </w:rPr>
              <w:t>/29</w:t>
            </w:r>
            <w:r w:rsidRPr="00A62C97">
              <w:rPr>
                <w:color w:val="000000"/>
              </w:rPr>
              <w:t>)</w:t>
            </w:r>
          </w:p>
        </w:tc>
        <w:tc>
          <w:tcPr>
            <w:tcW w:w="2295" w:type="dxa"/>
            <w:noWrap/>
            <w:vAlign w:val="bottom"/>
            <w:hideMark/>
          </w:tcPr>
          <w:p w:rsidR="00910E2B" w:rsidRPr="00A62C97" w:rsidRDefault="00910E2B" w:rsidP="00910E2B">
            <w:pPr>
              <w:pStyle w:val="TableText0"/>
            </w:pPr>
            <w:r w:rsidRPr="00A62C97">
              <w:rPr>
                <w:color w:val="000000"/>
              </w:rPr>
              <w:t>64.3% (36</w:t>
            </w:r>
            <w:r w:rsidR="004544E6" w:rsidRPr="00A62C97">
              <w:rPr>
                <w:color w:val="000000"/>
              </w:rPr>
              <w:t>/56</w:t>
            </w:r>
            <w:r w:rsidRPr="00A62C97">
              <w:rPr>
                <w:color w:val="000000"/>
              </w:rPr>
              <w:t>)</w:t>
            </w:r>
          </w:p>
        </w:tc>
      </w:tr>
    </w:tbl>
    <w:p w:rsidR="00910E2B" w:rsidRPr="00910E2B" w:rsidRDefault="00910E2B" w:rsidP="00910E2B">
      <w:pPr>
        <w:pStyle w:val="TableNote"/>
      </w:pPr>
      <w:r w:rsidRPr="0004128C">
        <w:t>Normal Value defined as ≥ 1</w:t>
      </w:r>
      <w:r>
        <w:t>5</w:t>
      </w:r>
      <w:r w:rsidRPr="0004128C">
        <w:t xml:space="preserve">0 x </w:t>
      </w:r>
      <w:r>
        <w:t>10</w:t>
      </w:r>
      <w:r>
        <w:rPr>
          <w:vertAlign w:val="superscript"/>
        </w:rPr>
        <w:t>9</w:t>
      </w:r>
      <w:r>
        <w:t xml:space="preserve">/L </w:t>
      </w:r>
      <w:r w:rsidR="00A130D0">
        <w:rPr>
          <w:noProof/>
        </w:rPr>
        <w:t>(</w:t>
      </w:r>
      <w:r w:rsidR="00184B6F">
        <w:rPr>
          <w:noProof/>
        </w:rPr>
        <w:t>QML Pathology 2009</w:t>
      </w:r>
      <w:r w:rsidR="00A130D0">
        <w:rPr>
          <w:noProof/>
        </w:rPr>
        <w:t>)</w:t>
      </w:r>
    </w:p>
    <w:p w:rsidR="00910E2B" w:rsidRPr="0004128C" w:rsidRDefault="00494F1F" w:rsidP="00910E2B">
      <w:pPr>
        <w:pStyle w:val="TableNote"/>
        <w:rPr>
          <w:sz w:val="22"/>
        </w:rPr>
      </w:pPr>
      <w:r>
        <w:t>Source: Australian</w:t>
      </w:r>
      <w:r w:rsidR="00910E2B" w:rsidRPr="0004128C">
        <w:t xml:space="preserve"> registry data</w:t>
      </w:r>
    </w:p>
    <w:p w:rsidR="00910E2B" w:rsidRPr="0004128C" w:rsidRDefault="00910E2B" w:rsidP="00910E2B"/>
    <w:p w:rsidR="00910E2B" w:rsidRPr="0004128C" w:rsidRDefault="00910E2B" w:rsidP="00910E2B">
      <w:r w:rsidRPr="0004128C">
        <w:t xml:space="preserve">Baseline and follow up data for spleen volume was available for 27 patients. At baseline, less than 10% of patients had normal spleen volumes (≤5 multiples of normal). By the end of follow up, this had improved to approximately 93%. </w:t>
      </w:r>
      <w:r>
        <w:t>L</w:t>
      </w:r>
      <w:r w:rsidRPr="0004128C">
        <w:t xml:space="preserve">iver volume baseline values were available for 34 patients, with follow up data </w:t>
      </w:r>
      <w:r>
        <w:t xml:space="preserve">available </w:t>
      </w:r>
      <w:r w:rsidRPr="0004128C">
        <w:t>for 35 patients. Approximately 40% of patients had a normal liver volume (≤</w:t>
      </w:r>
      <w:r w:rsidR="00F24540">
        <w:t>1.25</w:t>
      </w:r>
      <w:r w:rsidRPr="0004128C">
        <w:t xml:space="preserve"> multiples of normal) at baseline. Females were more likely to have a</w:t>
      </w:r>
      <w:r>
        <w:t>n</w:t>
      </w:r>
      <w:r w:rsidRPr="0004128C">
        <w:t xml:space="preserve"> </w:t>
      </w:r>
      <w:r>
        <w:t>ab</w:t>
      </w:r>
      <w:r w:rsidRPr="0004128C">
        <w:t xml:space="preserve">normal liver volume than were males (23.5% vs 58.8%). By the end of follow up, almost all (94.3%) of </w:t>
      </w:r>
      <w:r>
        <w:t xml:space="preserve">the </w:t>
      </w:r>
      <w:r w:rsidRPr="0004128C">
        <w:t xml:space="preserve">patients had a liver volume within the normal range. </w:t>
      </w:r>
    </w:p>
    <w:p w:rsidR="00910E2B" w:rsidRPr="0004128C" w:rsidRDefault="00910E2B" w:rsidP="00910E2B">
      <w:pPr>
        <w:pStyle w:val="Caption"/>
        <w:keepNext/>
        <w:tabs>
          <w:tab w:val="clear" w:pos="851"/>
          <w:tab w:val="left" w:pos="1134"/>
        </w:tabs>
        <w:ind w:left="1134" w:hanging="1134"/>
      </w:pPr>
      <w:bookmarkStart w:id="170" w:name="_Toc411510410"/>
      <w:bookmarkStart w:id="171" w:name="_Toc415141824"/>
      <w:r w:rsidRPr="0004128C">
        <w:lastRenderedPageBreak/>
        <w:t xml:space="preserve">Table </w:t>
      </w:r>
      <w:r w:rsidR="00A72B26">
        <w:rPr>
          <w:noProof/>
        </w:rPr>
        <w:t>27</w:t>
      </w:r>
      <w:r w:rsidRPr="0004128C">
        <w:rPr>
          <w:noProof/>
        </w:rPr>
        <w:t xml:space="preserve"> </w:t>
      </w:r>
      <w:r>
        <w:rPr>
          <w:noProof/>
        </w:rPr>
        <w:tab/>
      </w:r>
      <w:r w:rsidRPr="0004128C">
        <w:rPr>
          <w:noProof/>
        </w:rPr>
        <w:t>Proportion of patients with normal organ volumes</w:t>
      </w:r>
      <w:bookmarkEnd w:id="170"/>
      <w:bookmarkEnd w:id="171"/>
    </w:p>
    <w:tbl>
      <w:tblPr>
        <w:tblStyle w:val="TableGrid1"/>
        <w:tblW w:w="9180" w:type="dxa"/>
        <w:tblLayout w:type="fixed"/>
        <w:tblLook w:val="04A0" w:firstRow="1" w:lastRow="0" w:firstColumn="1" w:lastColumn="0" w:noHBand="0" w:noVBand="1"/>
        <w:tblCaption w:val="Table 25  Proportion of patients with normal organ volumes"/>
        <w:tblDescription w:val=" Proportion of patients with normal organ volumes for Gaucher patients (Genzyme registry data)"/>
      </w:tblPr>
      <w:tblGrid>
        <w:gridCol w:w="3369"/>
        <w:gridCol w:w="1842"/>
        <w:gridCol w:w="1843"/>
        <w:gridCol w:w="2126"/>
      </w:tblGrid>
      <w:tr w:rsidR="00910E2B" w:rsidRPr="0004128C" w:rsidTr="00331607">
        <w:trPr>
          <w:trHeight w:val="300"/>
          <w:tblHeader/>
        </w:trPr>
        <w:tc>
          <w:tcPr>
            <w:tcW w:w="3369" w:type="dxa"/>
            <w:noWrap/>
            <w:hideMark/>
          </w:tcPr>
          <w:p w:rsidR="00910E2B" w:rsidRPr="0004128C" w:rsidRDefault="00331607" w:rsidP="00910E2B">
            <w:pPr>
              <w:pStyle w:val="TableHeading"/>
            </w:pPr>
            <w:r w:rsidRPr="00331607">
              <w:t>Outcome and time</w:t>
            </w:r>
          </w:p>
        </w:tc>
        <w:tc>
          <w:tcPr>
            <w:tcW w:w="1842" w:type="dxa"/>
            <w:noWrap/>
            <w:hideMark/>
          </w:tcPr>
          <w:p w:rsidR="00910E2B" w:rsidRPr="0004128C" w:rsidRDefault="00910E2B" w:rsidP="00910E2B">
            <w:pPr>
              <w:pStyle w:val="TableHeading"/>
            </w:pPr>
            <w:r w:rsidRPr="0004128C">
              <w:t>Female</w:t>
            </w:r>
          </w:p>
        </w:tc>
        <w:tc>
          <w:tcPr>
            <w:tcW w:w="1843" w:type="dxa"/>
            <w:noWrap/>
            <w:hideMark/>
          </w:tcPr>
          <w:p w:rsidR="00910E2B" w:rsidRPr="0004128C" w:rsidRDefault="00910E2B" w:rsidP="00910E2B">
            <w:pPr>
              <w:pStyle w:val="TableHeading"/>
            </w:pPr>
            <w:r w:rsidRPr="0004128C">
              <w:t>Male</w:t>
            </w:r>
          </w:p>
        </w:tc>
        <w:tc>
          <w:tcPr>
            <w:tcW w:w="2126" w:type="dxa"/>
            <w:noWrap/>
            <w:hideMark/>
          </w:tcPr>
          <w:p w:rsidR="00910E2B" w:rsidRPr="0004128C" w:rsidRDefault="00910E2B" w:rsidP="00910E2B">
            <w:pPr>
              <w:pStyle w:val="TableHeading"/>
            </w:pPr>
            <w:r w:rsidRPr="0004128C">
              <w:t>Total</w:t>
            </w:r>
          </w:p>
        </w:tc>
      </w:tr>
      <w:tr w:rsidR="00910E2B" w:rsidRPr="00E42811" w:rsidTr="00910E2B">
        <w:trPr>
          <w:trHeight w:val="300"/>
        </w:trPr>
        <w:tc>
          <w:tcPr>
            <w:tcW w:w="3369" w:type="dxa"/>
            <w:tcBorders>
              <w:right w:val="nil"/>
            </w:tcBorders>
            <w:noWrap/>
          </w:tcPr>
          <w:p w:rsidR="00910E2B" w:rsidRPr="00F53D4A" w:rsidRDefault="00910E2B" w:rsidP="00F24540">
            <w:pPr>
              <w:pStyle w:val="TableText0"/>
              <w:rPr>
                <w:b/>
                <w:color w:val="000000"/>
                <w:szCs w:val="22"/>
              </w:rPr>
            </w:pPr>
            <w:r w:rsidRPr="00F53D4A">
              <w:rPr>
                <w:b/>
                <w:noProof/>
              </w:rPr>
              <w:t xml:space="preserve">Proportion of patients with normal spleen volumes </w:t>
            </w:r>
          </w:p>
        </w:tc>
        <w:tc>
          <w:tcPr>
            <w:tcW w:w="1842" w:type="dxa"/>
            <w:tcBorders>
              <w:left w:val="nil"/>
              <w:right w:val="nil"/>
            </w:tcBorders>
          </w:tcPr>
          <w:p w:rsidR="00910E2B" w:rsidRPr="00D67ADB" w:rsidRDefault="00D67ADB" w:rsidP="00910E2B">
            <w:pPr>
              <w:pStyle w:val="TableText0"/>
              <w:rPr>
                <w:b/>
                <w:color w:val="FFFFFF" w:themeColor="background1"/>
                <w:szCs w:val="22"/>
              </w:rPr>
            </w:pPr>
            <w:r w:rsidRPr="00D67ADB">
              <w:rPr>
                <w:b/>
                <w:color w:val="FFFFFF" w:themeColor="background1"/>
                <w:szCs w:val="22"/>
              </w:rPr>
              <w:t>-</w:t>
            </w:r>
          </w:p>
        </w:tc>
        <w:tc>
          <w:tcPr>
            <w:tcW w:w="1843" w:type="dxa"/>
            <w:tcBorders>
              <w:left w:val="nil"/>
              <w:right w:val="nil"/>
            </w:tcBorders>
          </w:tcPr>
          <w:p w:rsidR="00910E2B" w:rsidRPr="00F53D4A" w:rsidRDefault="00910E2B" w:rsidP="00910E2B">
            <w:pPr>
              <w:pStyle w:val="TableText0"/>
              <w:rPr>
                <w:b/>
                <w:color w:val="FFFFFF" w:themeColor="background1"/>
                <w:szCs w:val="22"/>
              </w:rPr>
            </w:pPr>
            <w:r w:rsidRPr="00F53D4A">
              <w:rPr>
                <w:b/>
                <w:color w:val="FFFFFF" w:themeColor="background1"/>
                <w:szCs w:val="22"/>
              </w:rPr>
              <w:t>-</w:t>
            </w:r>
            <w:r w:rsidR="00D67ADB">
              <w:rPr>
                <w:b/>
                <w:color w:val="FFFFFF" w:themeColor="background1"/>
                <w:szCs w:val="22"/>
              </w:rPr>
              <w:t>-</w:t>
            </w:r>
          </w:p>
        </w:tc>
        <w:tc>
          <w:tcPr>
            <w:tcW w:w="2126" w:type="dxa"/>
            <w:tcBorders>
              <w:left w:val="nil"/>
            </w:tcBorders>
          </w:tcPr>
          <w:p w:rsidR="00910E2B" w:rsidRPr="00F53D4A" w:rsidRDefault="00910E2B" w:rsidP="00910E2B">
            <w:pPr>
              <w:pStyle w:val="TableText0"/>
              <w:rPr>
                <w:b/>
                <w:color w:val="FFFFFF" w:themeColor="background1"/>
                <w:szCs w:val="22"/>
              </w:rPr>
            </w:pPr>
            <w:r w:rsidRPr="00F53D4A">
              <w:rPr>
                <w:b/>
                <w:color w:val="FFFFFF" w:themeColor="background1"/>
                <w:szCs w:val="22"/>
              </w:rPr>
              <w:t>-</w:t>
            </w:r>
            <w:r w:rsidR="00D67ADB">
              <w:rPr>
                <w:b/>
                <w:color w:val="FFFFFF" w:themeColor="background1"/>
                <w:szCs w:val="22"/>
              </w:rPr>
              <w:t>-</w:t>
            </w:r>
          </w:p>
        </w:tc>
      </w:tr>
      <w:tr w:rsidR="00910E2B" w:rsidRPr="0004128C" w:rsidTr="00910E2B">
        <w:trPr>
          <w:trHeight w:val="300"/>
        </w:trPr>
        <w:tc>
          <w:tcPr>
            <w:tcW w:w="3369" w:type="dxa"/>
            <w:tcBorders>
              <w:right w:val="single" w:sz="4" w:space="0" w:color="auto"/>
            </w:tcBorders>
            <w:noWrap/>
            <w:hideMark/>
          </w:tcPr>
          <w:p w:rsidR="00910E2B" w:rsidRPr="0004128C" w:rsidRDefault="00910E2B" w:rsidP="00910E2B">
            <w:pPr>
              <w:pStyle w:val="TableText0"/>
              <w:rPr>
                <w:color w:val="000000"/>
                <w:szCs w:val="22"/>
              </w:rPr>
            </w:pPr>
            <w:r w:rsidRPr="0004128C">
              <w:rPr>
                <w:color w:val="000000"/>
                <w:szCs w:val="22"/>
              </w:rPr>
              <w:t>Baseline</w:t>
            </w:r>
          </w:p>
        </w:tc>
        <w:tc>
          <w:tcPr>
            <w:tcW w:w="1842" w:type="dxa"/>
            <w:tcBorders>
              <w:left w:val="single" w:sz="4" w:space="0" w:color="auto"/>
            </w:tcBorders>
          </w:tcPr>
          <w:p w:rsidR="00910E2B" w:rsidRPr="00A62C97" w:rsidRDefault="00910E2B" w:rsidP="00910E2B">
            <w:pPr>
              <w:pStyle w:val="TableText0"/>
              <w:rPr>
                <w:color w:val="000000"/>
                <w:szCs w:val="22"/>
              </w:rPr>
            </w:pPr>
            <w:r w:rsidRPr="00A62C97">
              <w:rPr>
                <w:color w:val="000000"/>
                <w:szCs w:val="22"/>
              </w:rPr>
              <w:t>9.1% (1</w:t>
            </w:r>
            <w:r w:rsidR="00CD6106" w:rsidRPr="00A62C97">
              <w:rPr>
                <w:color w:val="000000"/>
                <w:szCs w:val="22"/>
              </w:rPr>
              <w:t>/11</w:t>
            </w:r>
            <w:r w:rsidRPr="00A62C97">
              <w:rPr>
                <w:color w:val="000000"/>
                <w:szCs w:val="22"/>
              </w:rPr>
              <w:t>)</w:t>
            </w:r>
          </w:p>
        </w:tc>
        <w:tc>
          <w:tcPr>
            <w:tcW w:w="1843" w:type="dxa"/>
            <w:tcBorders>
              <w:right w:val="single" w:sz="4" w:space="0" w:color="auto"/>
            </w:tcBorders>
            <w:noWrap/>
            <w:hideMark/>
          </w:tcPr>
          <w:p w:rsidR="00910E2B" w:rsidRPr="00A62C97" w:rsidRDefault="00910E2B" w:rsidP="00910E2B">
            <w:pPr>
              <w:pStyle w:val="TableText0"/>
              <w:rPr>
                <w:color w:val="000000"/>
                <w:szCs w:val="22"/>
              </w:rPr>
            </w:pPr>
            <w:r w:rsidRPr="00A62C97">
              <w:rPr>
                <w:color w:val="000000"/>
                <w:szCs w:val="22"/>
              </w:rPr>
              <w:t>6.3% (1</w:t>
            </w:r>
            <w:r w:rsidR="00CD6106" w:rsidRPr="00A62C97">
              <w:rPr>
                <w:color w:val="000000"/>
                <w:szCs w:val="22"/>
              </w:rPr>
              <w:t>/16</w:t>
            </w:r>
            <w:r w:rsidRPr="00A62C97">
              <w:rPr>
                <w:color w:val="000000"/>
                <w:szCs w:val="22"/>
              </w:rPr>
              <w:t>)</w:t>
            </w:r>
          </w:p>
        </w:tc>
        <w:tc>
          <w:tcPr>
            <w:tcW w:w="2126" w:type="dxa"/>
            <w:tcBorders>
              <w:left w:val="single" w:sz="4" w:space="0" w:color="auto"/>
            </w:tcBorders>
          </w:tcPr>
          <w:p w:rsidR="00910E2B" w:rsidRPr="00A62C97" w:rsidRDefault="00910E2B" w:rsidP="00910E2B">
            <w:pPr>
              <w:pStyle w:val="TableText0"/>
              <w:rPr>
                <w:color w:val="000000"/>
                <w:szCs w:val="22"/>
              </w:rPr>
            </w:pPr>
            <w:r w:rsidRPr="00A62C97">
              <w:rPr>
                <w:color w:val="000000"/>
                <w:szCs w:val="22"/>
              </w:rPr>
              <w:t>7.4% (2</w:t>
            </w:r>
            <w:r w:rsidR="00CD6106" w:rsidRPr="00A62C97">
              <w:rPr>
                <w:color w:val="000000"/>
                <w:szCs w:val="22"/>
              </w:rPr>
              <w:t>/27</w:t>
            </w:r>
            <w:r w:rsidRPr="00A62C97">
              <w:rPr>
                <w:color w:val="000000"/>
                <w:szCs w:val="22"/>
              </w:rPr>
              <w:t>)</w:t>
            </w:r>
          </w:p>
        </w:tc>
      </w:tr>
      <w:tr w:rsidR="00910E2B" w:rsidRPr="0004128C" w:rsidTr="00910E2B">
        <w:trPr>
          <w:trHeight w:val="300"/>
        </w:trPr>
        <w:tc>
          <w:tcPr>
            <w:tcW w:w="3369" w:type="dxa"/>
            <w:noWrap/>
            <w:hideMark/>
          </w:tcPr>
          <w:p w:rsidR="00910E2B" w:rsidRPr="0004128C" w:rsidRDefault="00910E2B" w:rsidP="00910E2B">
            <w:pPr>
              <w:pStyle w:val="TableText0"/>
              <w:rPr>
                <w:color w:val="000000"/>
                <w:szCs w:val="22"/>
              </w:rPr>
            </w:pPr>
            <w:r w:rsidRPr="0004128C">
              <w:rPr>
                <w:color w:val="000000"/>
                <w:szCs w:val="22"/>
              </w:rPr>
              <w:t>Last follow up</w:t>
            </w:r>
          </w:p>
        </w:tc>
        <w:tc>
          <w:tcPr>
            <w:tcW w:w="1842" w:type="dxa"/>
            <w:noWrap/>
            <w:hideMark/>
          </w:tcPr>
          <w:p w:rsidR="00910E2B" w:rsidRPr="00A62C97" w:rsidRDefault="00910E2B" w:rsidP="00910E2B">
            <w:pPr>
              <w:pStyle w:val="TableText0"/>
              <w:rPr>
                <w:color w:val="000000"/>
                <w:szCs w:val="22"/>
              </w:rPr>
            </w:pPr>
            <w:r w:rsidRPr="00A62C97">
              <w:rPr>
                <w:color w:val="000000"/>
                <w:szCs w:val="22"/>
              </w:rPr>
              <w:t>90.9% (10</w:t>
            </w:r>
            <w:r w:rsidR="00CD6106" w:rsidRPr="00A62C97">
              <w:rPr>
                <w:color w:val="000000"/>
                <w:szCs w:val="22"/>
              </w:rPr>
              <w:t>/11</w:t>
            </w:r>
            <w:r w:rsidRPr="00A62C97">
              <w:rPr>
                <w:color w:val="000000"/>
                <w:szCs w:val="22"/>
              </w:rPr>
              <w:t>)</w:t>
            </w:r>
          </w:p>
        </w:tc>
        <w:tc>
          <w:tcPr>
            <w:tcW w:w="1843" w:type="dxa"/>
            <w:noWrap/>
            <w:hideMark/>
          </w:tcPr>
          <w:p w:rsidR="00910E2B" w:rsidRPr="00A62C97" w:rsidRDefault="00910E2B" w:rsidP="00CD6106">
            <w:pPr>
              <w:pStyle w:val="TableText0"/>
              <w:rPr>
                <w:color w:val="000000"/>
                <w:szCs w:val="22"/>
              </w:rPr>
            </w:pPr>
            <w:r w:rsidRPr="00A62C97">
              <w:rPr>
                <w:color w:val="000000"/>
                <w:szCs w:val="22"/>
              </w:rPr>
              <w:t>93.8% (1</w:t>
            </w:r>
            <w:r w:rsidR="00CD6106" w:rsidRPr="00A62C97">
              <w:rPr>
                <w:color w:val="000000"/>
                <w:szCs w:val="22"/>
              </w:rPr>
              <w:t>5/16</w:t>
            </w:r>
            <w:r w:rsidRPr="00A62C97">
              <w:rPr>
                <w:color w:val="000000"/>
                <w:szCs w:val="22"/>
              </w:rPr>
              <w:t>)</w:t>
            </w:r>
          </w:p>
        </w:tc>
        <w:tc>
          <w:tcPr>
            <w:tcW w:w="2126" w:type="dxa"/>
            <w:noWrap/>
            <w:hideMark/>
          </w:tcPr>
          <w:p w:rsidR="00910E2B" w:rsidRPr="00A62C97" w:rsidRDefault="00910E2B" w:rsidP="00910E2B">
            <w:pPr>
              <w:pStyle w:val="TableText0"/>
              <w:rPr>
                <w:color w:val="000000"/>
                <w:szCs w:val="22"/>
              </w:rPr>
            </w:pPr>
            <w:r w:rsidRPr="00A62C97">
              <w:rPr>
                <w:color w:val="000000"/>
                <w:szCs w:val="22"/>
              </w:rPr>
              <w:t>92.6% (25</w:t>
            </w:r>
            <w:r w:rsidR="00CD6106" w:rsidRPr="00A62C97">
              <w:rPr>
                <w:color w:val="000000"/>
                <w:szCs w:val="22"/>
              </w:rPr>
              <w:t>/27</w:t>
            </w:r>
            <w:r w:rsidRPr="00A62C97">
              <w:rPr>
                <w:color w:val="000000"/>
                <w:szCs w:val="22"/>
              </w:rPr>
              <w:t>)</w:t>
            </w:r>
          </w:p>
        </w:tc>
      </w:tr>
      <w:tr w:rsidR="00910E2B" w:rsidRPr="00E42811" w:rsidTr="00910E2B">
        <w:trPr>
          <w:trHeight w:val="300"/>
        </w:trPr>
        <w:tc>
          <w:tcPr>
            <w:tcW w:w="3369" w:type="dxa"/>
            <w:tcBorders>
              <w:right w:val="nil"/>
            </w:tcBorders>
            <w:noWrap/>
          </w:tcPr>
          <w:p w:rsidR="00910E2B" w:rsidRPr="00F53D4A" w:rsidRDefault="00910E2B" w:rsidP="00F24540">
            <w:pPr>
              <w:pStyle w:val="TableText0"/>
              <w:rPr>
                <w:b/>
                <w:color w:val="000000"/>
                <w:szCs w:val="22"/>
              </w:rPr>
            </w:pPr>
            <w:r w:rsidRPr="00F53D4A">
              <w:rPr>
                <w:b/>
                <w:bCs/>
                <w:color w:val="000000"/>
                <w:szCs w:val="22"/>
              </w:rPr>
              <w:t xml:space="preserve">Proportion of patients with normal liver volumes </w:t>
            </w:r>
          </w:p>
        </w:tc>
        <w:tc>
          <w:tcPr>
            <w:tcW w:w="1842" w:type="dxa"/>
            <w:tcBorders>
              <w:left w:val="nil"/>
              <w:right w:val="nil"/>
            </w:tcBorders>
          </w:tcPr>
          <w:p w:rsidR="00910E2B" w:rsidRPr="00A62C97" w:rsidRDefault="00910E2B" w:rsidP="00910E2B">
            <w:pPr>
              <w:pStyle w:val="TableText0"/>
              <w:rPr>
                <w:b/>
                <w:color w:val="FFFFFF" w:themeColor="background1"/>
                <w:szCs w:val="22"/>
              </w:rPr>
            </w:pPr>
            <w:r w:rsidRPr="00A62C97">
              <w:rPr>
                <w:b/>
                <w:color w:val="FFFFFF" w:themeColor="background1"/>
                <w:szCs w:val="22"/>
              </w:rPr>
              <w:t>-</w:t>
            </w:r>
          </w:p>
        </w:tc>
        <w:tc>
          <w:tcPr>
            <w:tcW w:w="1843" w:type="dxa"/>
            <w:tcBorders>
              <w:left w:val="nil"/>
              <w:right w:val="nil"/>
            </w:tcBorders>
          </w:tcPr>
          <w:p w:rsidR="00910E2B" w:rsidRPr="00A62C97" w:rsidRDefault="00910E2B" w:rsidP="00910E2B">
            <w:pPr>
              <w:pStyle w:val="TableText0"/>
              <w:rPr>
                <w:b/>
                <w:color w:val="FFFFFF" w:themeColor="background1"/>
                <w:szCs w:val="22"/>
              </w:rPr>
            </w:pPr>
            <w:r w:rsidRPr="00A62C97">
              <w:rPr>
                <w:b/>
                <w:color w:val="FFFFFF" w:themeColor="background1"/>
                <w:szCs w:val="22"/>
              </w:rPr>
              <w:t>-</w:t>
            </w:r>
            <w:r w:rsidR="00D67ADB" w:rsidRPr="00A62C97">
              <w:rPr>
                <w:b/>
                <w:color w:val="FFFFFF" w:themeColor="background1"/>
                <w:szCs w:val="22"/>
              </w:rPr>
              <w:t>-</w:t>
            </w:r>
          </w:p>
        </w:tc>
        <w:tc>
          <w:tcPr>
            <w:tcW w:w="2126" w:type="dxa"/>
            <w:tcBorders>
              <w:left w:val="nil"/>
            </w:tcBorders>
          </w:tcPr>
          <w:p w:rsidR="00910E2B" w:rsidRPr="00A62C97" w:rsidRDefault="00910E2B" w:rsidP="00910E2B">
            <w:pPr>
              <w:pStyle w:val="TableText0"/>
              <w:rPr>
                <w:b/>
                <w:color w:val="FFFFFF" w:themeColor="background1"/>
                <w:szCs w:val="22"/>
              </w:rPr>
            </w:pPr>
            <w:r w:rsidRPr="00A62C97">
              <w:rPr>
                <w:b/>
                <w:color w:val="FFFFFF" w:themeColor="background1"/>
                <w:szCs w:val="22"/>
              </w:rPr>
              <w:t>-</w:t>
            </w:r>
            <w:r w:rsidR="00D67ADB" w:rsidRPr="00A62C97">
              <w:rPr>
                <w:b/>
                <w:color w:val="FFFFFF" w:themeColor="background1"/>
                <w:szCs w:val="22"/>
              </w:rPr>
              <w:t>-</w:t>
            </w:r>
          </w:p>
        </w:tc>
      </w:tr>
      <w:tr w:rsidR="00910E2B" w:rsidRPr="0004128C" w:rsidTr="00910E2B">
        <w:trPr>
          <w:trHeight w:val="300"/>
        </w:trPr>
        <w:tc>
          <w:tcPr>
            <w:tcW w:w="3369" w:type="dxa"/>
            <w:tcBorders>
              <w:right w:val="single" w:sz="4" w:space="0" w:color="auto"/>
            </w:tcBorders>
            <w:noWrap/>
            <w:vAlign w:val="bottom"/>
          </w:tcPr>
          <w:p w:rsidR="00910E2B" w:rsidRPr="0004128C" w:rsidRDefault="00910E2B" w:rsidP="00910E2B">
            <w:pPr>
              <w:pStyle w:val="TableText0"/>
              <w:rPr>
                <w:color w:val="000000"/>
                <w:szCs w:val="22"/>
              </w:rPr>
            </w:pPr>
            <w:r w:rsidRPr="0004128C">
              <w:rPr>
                <w:color w:val="000000"/>
                <w:szCs w:val="22"/>
              </w:rPr>
              <w:t>Baseline</w:t>
            </w:r>
          </w:p>
        </w:tc>
        <w:tc>
          <w:tcPr>
            <w:tcW w:w="1842" w:type="dxa"/>
            <w:tcBorders>
              <w:left w:val="single" w:sz="4" w:space="0" w:color="auto"/>
            </w:tcBorders>
            <w:noWrap/>
            <w:vAlign w:val="bottom"/>
          </w:tcPr>
          <w:p w:rsidR="00910E2B" w:rsidRPr="00A62C97" w:rsidRDefault="00910E2B" w:rsidP="00910E2B">
            <w:pPr>
              <w:pStyle w:val="TableText0"/>
              <w:rPr>
                <w:color w:val="000000"/>
                <w:szCs w:val="22"/>
              </w:rPr>
            </w:pPr>
            <w:r w:rsidRPr="00A62C97">
              <w:rPr>
                <w:color w:val="000000"/>
                <w:szCs w:val="22"/>
              </w:rPr>
              <w:t>23.5% (4</w:t>
            </w:r>
            <w:r w:rsidR="00CD6106" w:rsidRPr="00A62C97">
              <w:rPr>
                <w:color w:val="000000"/>
                <w:szCs w:val="22"/>
              </w:rPr>
              <w:t>/17</w:t>
            </w:r>
            <w:r w:rsidRPr="00A62C97">
              <w:rPr>
                <w:color w:val="000000"/>
                <w:szCs w:val="22"/>
              </w:rPr>
              <w:t>)</w:t>
            </w:r>
          </w:p>
        </w:tc>
        <w:tc>
          <w:tcPr>
            <w:tcW w:w="1843" w:type="dxa"/>
            <w:noWrap/>
            <w:vAlign w:val="bottom"/>
          </w:tcPr>
          <w:p w:rsidR="00910E2B" w:rsidRPr="00A62C97" w:rsidRDefault="00910E2B" w:rsidP="00910E2B">
            <w:pPr>
              <w:pStyle w:val="TableText0"/>
              <w:rPr>
                <w:color w:val="000000"/>
                <w:szCs w:val="22"/>
              </w:rPr>
            </w:pPr>
            <w:r w:rsidRPr="00A62C97">
              <w:rPr>
                <w:color w:val="000000"/>
                <w:szCs w:val="22"/>
              </w:rPr>
              <w:t>58.8% (10</w:t>
            </w:r>
            <w:r w:rsidR="00CD6106" w:rsidRPr="00A62C97">
              <w:rPr>
                <w:color w:val="000000"/>
                <w:szCs w:val="22"/>
              </w:rPr>
              <w:t>/17</w:t>
            </w:r>
            <w:r w:rsidRPr="00A62C97">
              <w:rPr>
                <w:color w:val="000000"/>
                <w:szCs w:val="22"/>
              </w:rPr>
              <w:t>)</w:t>
            </w:r>
          </w:p>
        </w:tc>
        <w:tc>
          <w:tcPr>
            <w:tcW w:w="2126" w:type="dxa"/>
            <w:noWrap/>
            <w:vAlign w:val="bottom"/>
          </w:tcPr>
          <w:p w:rsidR="00910E2B" w:rsidRPr="00A62C97" w:rsidRDefault="00910E2B" w:rsidP="00910E2B">
            <w:pPr>
              <w:pStyle w:val="TableText0"/>
              <w:rPr>
                <w:color w:val="000000"/>
                <w:szCs w:val="22"/>
              </w:rPr>
            </w:pPr>
            <w:r w:rsidRPr="00A62C97">
              <w:rPr>
                <w:color w:val="000000"/>
                <w:szCs w:val="22"/>
              </w:rPr>
              <w:t>41.2% (14</w:t>
            </w:r>
            <w:r w:rsidR="00CD6106" w:rsidRPr="00A62C97">
              <w:rPr>
                <w:color w:val="000000"/>
                <w:szCs w:val="22"/>
              </w:rPr>
              <w:t>/34</w:t>
            </w:r>
            <w:r w:rsidRPr="00A62C97">
              <w:rPr>
                <w:color w:val="000000"/>
                <w:szCs w:val="22"/>
              </w:rPr>
              <w:t>)</w:t>
            </w:r>
          </w:p>
        </w:tc>
      </w:tr>
      <w:tr w:rsidR="00910E2B" w:rsidRPr="0004128C" w:rsidTr="00910E2B">
        <w:trPr>
          <w:trHeight w:val="300"/>
        </w:trPr>
        <w:tc>
          <w:tcPr>
            <w:tcW w:w="3369" w:type="dxa"/>
            <w:noWrap/>
            <w:vAlign w:val="bottom"/>
          </w:tcPr>
          <w:p w:rsidR="00910E2B" w:rsidRPr="0004128C" w:rsidRDefault="00910E2B" w:rsidP="00910E2B">
            <w:pPr>
              <w:pStyle w:val="TableText0"/>
              <w:rPr>
                <w:color w:val="000000"/>
                <w:szCs w:val="22"/>
              </w:rPr>
            </w:pPr>
            <w:r w:rsidRPr="0004128C">
              <w:rPr>
                <w:color w:val="000000"/>
                <w:szCs w:val="22"/>
              </w:rPr>
              <w:t>Last follow up</w:t>
            </w:r>
          </w:p>
        </w:tc>
        <w:tc>
          <w:tcPr>
            <w:tcW w:w="1842" w:type="dxa"/>
            <w:noWrap/>
            <w:vAlign w:val="bottom"/>
          </w:tcPr>
          <w:p w:rsidR="00910E2B" w:rsidRPr="00A62C97" w:rsidRDefault="00910E2B" w:rsidP="00910E2B">
            <w:pPr>
              <w:pStyle w:val="TableText0"/>
              <w:rPr>
                <w:color w:val="000000"/>
                <w:szCs w:val="22"/>
              </w:rPr>
            </w:pPr>
            <w:r w:rsidRPr="00A62C97">
              <w:rPr>
                <w:color w:val="000000"/>
                <w:szCs w:val="22"/>
              </w:rPr>
              <w:t>94.1% (16</w:t>
            </w:r>
            <w:r w:rsidR="00CD6106" w:rsidRPr="00A62C97">
              <w:rPr>
                <w:color w:val="000000"/>
                <w:szCs w:val="22"/>
              </w:rPr>
              <w:t>/17</w:t>
            </w:r>
            <w:r w:rsidRPr="00A62C97">
              <w:rPr>
                <w:color w:val="000000"/>
                <w:szCs w:val="22"/>
              </w:rPr>
              <w:t>)</w:t>
            </w:r>
          </w:p>
        </w:tc>
        <w:tc>
          <w:tcPr>
            <w:tcW w:w="1843" w:type="dxa"/>
            <w:noWrap/>
            <w:vAlign w:val="bottom"/>
          </w:tcPr>
          <w:p w:rsidR="00910E2B" w:rsidRPr="00A62C97" w:rsidRDefault="00910E2B" w:rsidP="00910E2B">
            <w:pPr>
              <w:pStyle w:val="TableText0"/>
              <w:rPr>
                <w:color w:val="000000"/>
                <w:szCs w:val="22"/>
              </w:rPr>
            </w:pPr>
            <w:r w:rsidRPr="00A62C97">
              <w:rPr>
                <w:color w:val="000000"/>
                <w:szCs w:val="22"/>
              </w:rPr>
              <w:t>94.4% (17</w:t>
            </w:r>
            <w:r w:rsidR="00CD6106" w:rsidRPr="00A62C97">
              <w:rPr>
                <w:color w:val="000000"/>
                <w:szCs w:val="22"/>
              </w:rPr>
              <w:t>/18</w:t>
            </w:r>
            <w:r w:rsidRPr="00A62C97">
              <w:rPr>
                <w:color w:val="000000"/>
                <w:szCs w:val="22"/>
              </w:rPr>
              <w:t>)</w:t>
            </w:r>
          </w:p>
        </w:tc>
        <w:tc>
          <w:tcPr>
            <w:tcW w:w="2126" w:type="dxa"/>
            <w:noWrap/>
            <w:vAlign w:val="bottom"/>
          </w:tcPr>
          <w:p w:rsidR="00910E2B" w:rsidRPr="00A62C97" w:rsidRDefault="00910E2B" w:rsidP="00910E2B">
            <w:pPr>
              <w:pStyle w:val="TableText0"/>
              <w:rPr>
                <w:color w:val="000000"/>
                <w:szCs w:val="22"/>
              </w:rPr>
            </w:pPr>
            <w:r w:rsidRPr="00A62C97">
              <w:rPr>
                <w:color w:val="000000"/>
                <w:szCs w:val="22"/>
              </w:rPr>
              <w:t>94.3% (33</w:t>
            </w:r>
            <w:r w:rsidR="00CD6106" w:rsidRPr="00A62C97">
              <w:rPr>
                <w:color w:val="000000"/>
                <w:szCs w:val="22"/>
              </w:rPr>
              <w:t>/35</w:t>
            </w:r>
            <w:r w:rsidRPr="00A62C97">
              <w:rPr>
                <w:color w:val="000000"/>
                <w:szCs w:val="22"/>
              </w:rPr>
              <w:t>)</w:t>
            </w:r>
          </w:p>
        </w:tc>
      </w:tr>
    </w:tbl>
    <w:p w:rsidR="00910E2B" w:rsidRPr="00F24540" w:rsidRDefault="00F24540" w:rsidP="00144487">
      <w:pPr>
        <w:pStyle w:val="TableNote"/>
        <w:ind w:left="0" w:firstLine="0"/>
      </w:pPr>
      <w:r w:rsidRPr="00F24540">
        <w:t xml:space="preserve">Normal spleen </w:t>
      </w:r>
      <w:proofErr w:type="gramStart"/>
      <w:r w:rsidRPr="00F24540">
        <w:t xml:space="preserve">volume </w:t>
      </w:r>
      <w:r w:rsidR="00652355" w:rsidRPr="00652355">
        <w:rPr>
          <w:spacing w:val="-20"/>
        </w:rPr>
        <w:t xml:space="preserve"> =</w:t>
      </w:r>
      <w:proofErr w:type="gramEnd"/>
      <w:r w:rsidR="00652355" w:rsidRPr="00652355">
        <w:rPr>
          <w:spacing w:val="-20"/>
        </w:rPr>
        <w:t xml:space="preserve"> </w:t>
      </w:r>
      <w:r w:rsidRPr="00F24540">
        <w:t xml:space="preserve"> ≤5 multiples of normal </w:t>
      </w:r>
      <w:r w:rsidR="00A130D0">
        <w:rPr>
          <w:noProof/>
        </w:rPr>
        <w:t>(</w:t>
      </w:r>
      <w:r w:rsidR="00184B6F">
        <w:rPr>
          <w:noProof/>
        </w:rPr>
        <w:t>Elstein, D et al. 2007</w:t>
      </w:r>
      <w:r w:rsidR="00A130D0">
        <w:rPr>
          <w:noProof/>
        </w:rPr>
        <w:t>)</w:t>
      </w:r>
      <w:r w:rsidRPr="00F24540">
        <w:t xml:space="preserve">; Normal liver volume ≤1.25 multiples of normal </w:t>
      </w:r>
      <w:r w:rsidR="00A130D0">
        <w:rPr>
          <w:noProof/>
        </w:rPr>
        <w:t>(</w:t>
      </w:r>
      <w:r w:rsidR="00184B6F">
        <w:rPr>
          <w:noProof/>
        </w:rPr>
        <w:t>Elstein, D et al. 2007</w:t>
      </w:r>
      <w:r w:rsidR="00A130D0">
        <w:rPr>
          <w:noProof/>
        </w:rPr>
        <w:t>)</w:t>
      </w:r>
    </w:p>
    <w:p w:rsidR="00AE2A2A" w:rsidRDefault="00AE2A2A">
      <w:pPr>
        <w:spacing w:after="0" w:line="240" w:lineRule="auto"/>
        <w:jc w:val="left"/>
        <w:rPr>
          <w:rFonts w:ascii="Cambria" w:hAnsi="Cambria"/>
          <w:bCs/>
          <w:color w:val="1F497D"/>
          <w:szCs w:val="18"/>
        </w:rPr>
      </w:pPr>
    </w:p>
    <w:p w:rsidR="00AE2A2A" w:rsidRDefault="00AE2A2A" w:rsidP="00AE2A2A">
      <w:pPr>
        <w:pStyle w:val="Heading4"/>
      </w:pPr>
      <w:r>
        <w:t>Impact of findings</w:t>
      </w:r>
    </w:p>
    <w:p w:rsidR="00544A05" w:rsidRDefault="00544A05" w:rsidP="00544A05">
      <w:r>
        <w:t xml:space="preserve">To determine whether the findings of the systematic review and the analysis of the Australian data would likely have an impact on the decisions made to fund the drugs on the LSDP, the results were compared against claims made in the submissions to the PBAC as well as against the minutes of the relevant PBAC meeting(s) (where the basis of the decision to recommend that the drugs be considered for the LSDP was outlined). </w:t>
      </w:r>
    </w:p>
    <w:p w:rsidR="00D14F14" w:rsidRPr="00D14F14" w:rsidRDefault="00D14F14" w:rsidP="00D14F14">
      <w:r>
        <w:t>A summary of the evidence identified through this systematic</w:t>
      </w:r>
      <w:r w:rsidR="00D747DF">
        <w:t xml:space="preserve"> review</w:t>
      </w:r>
      <w:r>
        <w:t xml:space="preserve">, </w:t>
      </w:r>
      <w:r w:rsidR="00D747DF">
        <w:t>highlighting</w:t>
      </w:r>
      <w:r>
        <w:t xml:space="preserve"> the new information included (</w:t>
      </w:r>
      <w:r w:rsidR="00D747DF">
        <w:t>not included in the relevant</w:t>
      </w:r>
      <w:r>
        <w:t xml:space="preserve"> </w:t>
      </w:r>
      <w:r w:rsidR="00D12B65">
        <w:t>submissions to the PBAC</w:t>
      </w:r>
      <w:r>
        <w:t xml:space="preserve">) is shown in </w:t>
      </w:r>
      <w:r w:rsidR="00A72B26" w:rsidRPr="00716774">
        <w:t xml:space="preserve">Table </w:t>
      </w:r>
      <w:r w:rsidR="00A72B26">
        <w:rPr>
          <w:noProof/>
        </w:rPr>
        <w:t>28</w:t>
      </w:r>
      <w:r>
        <w:t xml:space="preserve">. </w:t>
      </w:r>
    </w:p>
    <w:p w:rsidR="00AE2A2A" w:rsidRPr="00716774" w:rsidRDefault="00AE2A2A" w:rsidP="00AE2A2A">
      <w:pPr>
        <w:pStyle w:val="Caption"/>
        <w:keepNext/>
        <w:tabs>
          <w:tab w:val="clear" w:pos="851"/>
          <w:tab w:val="left" w:pos="1134"/>
        </w:tabs>
        <w:ind w:left="1134" w:hanging="1134"/>
      </w:pPr>
      <w:bookmarkStart w:id="172" w:name="_Ref412453391"/>
      <w:bookmarkStart w:id="173" w:name="_Toc415141825"/>
      <w:r w:rsidRPr="00716774">
        <w:t xml:space="preserve">Table </w:t>
      </w:r>
      <w:r w:rsidR="00A72B26">
        <w:rPr>
          <w:noProof/>
        </w:rPr>
        <w:t>28</w:t>
      </w:r>
      <w:bookmarkEnd w:id="172"/>
      <w:r w:rsidRPr="00305731">
        <w:t xml:space="preserve"> </w:t>
      </w:r>
      <w:r>
        <w:tab/>
        <w:t xml:space="preserve">Studies included assessing drugs to treat </w:t>
      </w:r>
      <w:proofErr w:type="gramStart"/>
      <w:r>
        <w:t>Gaucher</w:t>
      </w:r>
      <w:proofErr w:type="gramEnd"/>
      <w:r>
        <w:t xml:space="preserve"> disease Type 1</w:t>
      </w:r>
      <w:bookmarkEnd w:id="173"/>
    </w:p>
    <w:tbl>
      <w:tblPr>
        <w:tblStyle w:val="TableGrid1"/>
        <w:tblW w:w="9180" w:type="dxa"/>
        <w:tblLayout w:type="fixed"/>
        <w:tblLook w:val="04A0" w:firstRow="1" w:lastRow="0" w:firstColumn="1" w:lastColumn="0" w:noHBand="0" w:noVBand="1"/>
        <w:tblCaption w:val="Table 49  Current therapy of patients on the LSDP"/>
        <w:tblDescription w:val="Current therapy of Fabry patients on the LSDP in Australia"/>
      </w:tblPr>
      <w:tblGrid>
        <w:gridCol w:w="1485"/>
        <w:gridCol w:w="1600"/>
        <w:gridCol w:w="1985"/>
        <w:gridCol w:w="4110"/>
      </w:tblGrid>
      <w:tr w:rsidR="00AE2A2A" w:rsidRPr="000756DF" w:rsidTr="00AE2A2A">
        <w:trPr>
          <w:trHeight w:val="280"/>
          <w:tblHeader/>
        </w:trPr>
        <w:tc>
          <w:tcPr>
            <w:tcW w:w="1485" w:type="dxa"/>
            <w:noWrap/>
            <w:hideMark/>
          </w:tcPr>
          <w:p w:rsidR="00AE2A2A" w:rsidRPr="000756DF" w:rsidRDefault="00AE2A2A" w:rsidP="00AE2A2A">
            <w:pPr>
              <w:pStyle w:val="TableHeading"/>
            </w:pPr>
            <w:r>
              <w:t>Drug</w:t>
            </w:r>
          </w:p>
        </w:tc>
        <w:tc>
          <w:tcPr>
            <w:tcW w:w="1600" w:type="dxa"/>
          </w:tcPr>
          <w:p w:rsidR="00AE2A2A" w:rsidRPr="000756DF" w:rsidRDefault="00AE2A2A" w:rsidP="00AE2A2A">
            <w:pPr>
              <w:pStyle w:val="TableHeading"/>
            </w:pPr>
            <w:r>
              <w:t>Results</w:t>
            </w:r>
          </w:p>
        </w:tc>
        <w:tc>
          <w:tcPr>
            <w:tcW w:w="1985" w:type="dxa"/>
            <w:noWrap/>
            <w:hideMark/>
          </w:tcPr>
          <w:p w:rsidR="00AE2A2A" w:rsidRPr="000756DF" w:rsidRDefault="00AE2A2A" w:rsidP="00AE2A2A">
            <w:pPr>
              <w:pStyle w:val="TableHeading"/>
            </w:pPr>
            <w:r>
              <w:t>References</w:t>
            </w:r>
          </w:p>
        </w:tc>
        <w:tc>
          <w:tcPr>
            <w:tcW w:w="4110" w:type="dxa"/>
          </w:tcPr>
          <w:p w:rsidR="00AE2A2A" w:rsidRPr="000756DF" w:rsidRDefault="00AE2A2A" w:rsidP="00D12B65">
            <w:pPr>
              <w:pStyle w:val="TableHeading"/>
            </w:pPr>
            <w:r>
              <w:t xml:space="preserve">Evidence not included in </w:t>
            </w:r>
            <w:r w:rsidR="00D12B65">
              <w:t>submission to the PBAC</w:t>
            </w:r>
          </w:p>
        </w:tc>
      </w:tr>
      <w:tr w:rsidR="00AE2A2A" w:rsidRPr="000756DF" w:rsidTr="00AE2A2A">
        <w:trPr>
          <w:trHeight w:val="280"/>
        </w:trPr>
        <w:tc>
          <w:tcPr>
            <w:tcW w:w="1485" w:type="dxa"/>
            <w:noWrap/>
          </w:tcPr>
          <w:p w:rsidR="00AE2A2A" w:rsidRPr="000756DF" w:rsidRDefault="00AE2A2A" w:rsidP="00AE2A2A">
            <w:pPr>
              <w:pStyle w:val="TableText0"/>
            </w:pPr>
            <w:r>
              <w:t>Imiglucerase</w:t>
            </w:r>
          </w:p>
        </w:tc>
        <w:tc>
          <w:tcPr>
            <w:tcW w:w="1600" w:type="dxa"/>
          </w:tcPr>
          <w:p w:rsidR="00AE2A2A" w:rsidRPr="000756DF" w:rsidRDefault="00AE2A2A" w:rsidP="00AE2A2A">
            <w:pPr>
              <w:pStyle w:val="TableText0"/>
            </w:pPr>
            <w:r>
              <w:t>1 RCT vs no ERT</w:t>
            </w:r>
          </w:p>
        </w:tc>
        <w:tc>
          <w:tcPr>
            <w:tcW w:w="1985" w:type="dxa"/>
            <w:noWrap/>
          </w:tcPr>
          <w:p w:rsidR="00AE2A2A" w:rsidRPr="000756DF" w:rsidRDefault="00AE2A2A" w:rsidP="00AE2A2A">
            <w:pPr>
              <w:pStyle w:val="TableText0"/>
            </w:pPr>
            <w:r>
              <w:t>Schiffmann et al (2002)</w:t>
            </w:r>
          </w:p>
        </w:tc>
        <w:tc>
          <w:tcPr>
            <w:tcW w:w="4110" w:type="dxa"/>
          </w:tcPr>
          <w:p w:rsidR="00AE2A2A" w:rsidRPr="000756DF" w:rsidRDefault="00AE2A2A" w:rsidP="00AE2A2A">
            <w:pPr>
              <w:pStyle w:val="TableText0"/>
            </w:pPr>
            <w:r>
              <w:t xml:space="preserve">No formal </w:t>
            </w:r>
            <w:r w:rsidR="00090CE4">
              <w:t xml:space="preserve">industry-sponsored </w:t>
            </w:r>
            <w:r>
              <w:t xml:space="preserve">submission was made to the PBAC for imiglucerase. Schiffmann et al reported that ERT was statistically superior to vitamin D alone on measures of haemoglobin, white blood cell count and platelets. </w:t>
            </w:r>
          </w:p>
        </w:tc>
      </w:tr>
      <w:tr w:rsidR="00AE2A2A" w:rsidRPr="000756DF" w:rsidTr="00AE2A2A">
        <w:trPr>
          <w:trHeight w:val="280"/>
        </w:trPr>
        <w:tc>
          <w:tcPr>
            <w:tcW w:w="1485" w:type="dxa"/>
            <w:noWrap/>
          </w:tcPr>
          <w:p w:rsidR="00AE2A2A" w:rsidRDefault="00AE2A2A" w:rsidP="00AE2A2A">
            <w:pPr>
              <w:pStyle w:val="TableText0"/>
            </w:pPr>
            <w:r>
              <w:t>Velaglucerase alfa</w:t>
            </w:r>
          </w:p>
        </w:tc>
        <w:tc>
          <w:tcPr>
            <w:tcW w:w="1600" w:type="dxa"/>
          </w:tcPr>
          <w:p w:rsidR="00AE2A2A" w:rsidRDefault="00AE2A2A" w:rsidP="00AE2A2A">
            <w:pPr>
              <w:pStyle w:val="TableText0"/>
            </w:pPr>
            <w:r>
              <w:t>1 RCT vs imiglucerase</w:t>
            </w:r>
          </w:p>
        </w:tc>
        <w:tc>
          <w:tcPr>
            <w:tcW w:w="1985" w:type="dxa"/>
            <w:noWrap/>
          </w:tcPr>
          <w:p w:rsidR="00AE2A2A" w:rsidRPr="0068048E" w:rsidRDefault="00AE2A2A" w:rsidP="00AE2A2A">
            <w:pPr>
              <w:pStyle w:val="TableText0"/>
              <w:rPr>
                <w:lang w:val="en-AU"/>
              </w:rPr>
            </w:pPr>
            <w:r w:rsidRPr="0068048E">
              <w:rPr>
                <w:lang w:val="en-AU"/>
              </w:rPr>
              <w:t>HGT-GCB-039, Ben Turkia et al (2013)</w:t>
            </w:r>
          </w:p>
        </w:tc>
        <w:tc>
          <w:tcPr>
            <w:tcW w:w="4110" w:type="dxa"/>
          </w:tcPr>
          <w:p w:rsidR="00AE2A2A" w:rsidRDefault="00AE2A2A" w:rsidP="00AE2A2A">
            <w:pPr>
              <w:pStyle w:val="TableText0"/>
            </w:pPr>
            <w:r>
              <w:t>No additional evidence</w:t>
            </w:r>
            <w:r w:rsidR="00090CE4">
              <w:t>.</w:t>
            </w:r>
          </w:p>
        </w:tc>
      </w:tr>
      <w:tr w:rsidR="00AE2A2A" w:rsidRPr="000756DF" w:rsidTr="00AE2A2A">
        <w:trPr>
          <w:trHeight w:val="280"/>
        </w:trPr>
        <w:tc>
          <w:tcPr>
            <w:tcW w:w="1485" w:type="dxa"/>
            <w:noWrap/>
          </w:tcPr>
          <w:p w:rsidR="00AE2A2A" w:rsidRDefault="00AE2A2A" w:rsidP="00AE2A2A">
            <w:pPr>
              <w:pStyle w:val="TableText0"/>
            </w:pPr>
            <w:r>
              <w:t>Miglustat</w:t>
            </w:r>
          </w:p>
        </w:tc>
        <w:tc>
          <w:tcPr>
            <w:tcW w:w="1600" w:type="dxa"/>
          </w:tcPr>
          <w:p w:rsidR="00AE2A2A" w:rsidRDefault="00AE2A2A" w:rsidP="00AE2A2A">
            <w:pPr>
              <w:pStyle w:val="TableText0"/>
            </w:pPr>
            <w:r>
              <w:t>1 RCT vs imiglucerase + non-comparative extension</w:t>
            </w:r>
          </w:p>
        </w:tc>
        <w:tc>
          <w:tcPr>
            <w:tcW w:w="1985" w:type="dxa"/>
            <w:noWrap/>
          </w:tcPr>
          <w:p w:rsidR="00AE2A2A" w:rsidRPr="0068048E" w:rsidRDefault="00AE2A2A" w:rsidP="00AE2A2A">
            <w:pPr>
              <w:pStyle w:val="TableText0"/>
            </w:pPr>
            <w:r w:rsidRPr="0068048E">
              <w:t>OGT 918-004, Elstein et al (2007)</w:t>
            </w:r>
          </w:p>
          <w:p w:rsidR="00AE2A2A" w:rsidRPr="0068048E" w:rsidRDefault="00AE2A2A" w:rsidP="00AE2A2A">
            <w:pPr>
              <w:pStyle w:val="TableText0"/>
              <w:rPr>
                <w:lang w:val="en-AU"/>
              </w:rPr>
            </w:pPr>
          </w:p>
        </w:tc>
        <w:tc>
          <w:tcPr>
            <w:tcW w:w="4110" w:type="dxa"/>
          </w:tcPr>
          <w:p w:rsidR="00AE2A2A" w:rsidRDefault="00AE2A2A" w:rsidP="00AE2A2A">
            <w:pPr>
              <w:pStyle w:val="TableText0"/>
            </w:pPr>
            <w:r>
              <w:t xml:space="preserve">Chitotriosidase data were not included in the submission to the PBAC. </w:t>
            </w:r>
          </w:p>
          <w:p w:rsidR="00AE2A2A" w:rsidRPr="0068048E" w:rsidRDefault="00AE2A2A" w:rsidP="00AE2A2A">
            <w:pPr>
              <w:pStyle w:val="TableText0"/>
              <w:rPr>
                <w:lang w:val="en-AU"/>
              </w:rPr>
            </w:pPr>
            <w:r>
              <w:rPr>
                <w:lang w:val="en-AU"/>
              </w:rPr>
              <w:t>Patients receiving m</w:t>
            </w:r>
            <w:r w:rsidRPr="0068048E">
              <w:rPr>
                <w:lang w:val="en-AU"/>
              </w:rPr>
              <w:t xml:space="preserve">iglustat </w:t>
            </w:r>
            <w:r>
              <w:rPr>
                <w:lang w:val="en-AU"/>
              </w:rPr>
              <w:t xml:space="preserve">had a </w:t>
            </w:r>
            <w:r w:rsidRPr="0068048E">
              <w:rPr>
                <w:lang w:val="en-AU"/>
              </w:rPr>
              <w:t>33% increase on chitotriosidase vs 0.3 drop with imiglucerase</w:t>
            </w:r>
          </w:p>
        </w:tc>
      </w:tr>
    </w:tbl>
    <w:p w:rsidR="00AE2A2A" w:rsidRDefault="00AE2A2A" w:rsidP="00144487">
      <w:pPr>
        <w:pStyle w:val="TableNote"/>
        <w:ind w:left="0" w:firstLine="0"/>
      </w:pPr>
      <w:r>
        <w:t>RCT = ran</w:t>
      </w:r>
      <w:r w:rsidR="00144487">
        <w:t xml:space="preserve">domised controlled trial; ERT = </w:t>
      </w:r>
      <w:r>
        <w:t>enzyme replacement therapy (in this study: alglucerase or imiglucerase); PBAC = Pharmaceutical Benefits Advisory Committee</w:t>
      </w:r>
    </w:p>
    <w:p w:rsidR="00D14F14" w:rsidRDefault="00D14F14" w:rsidP="00D14F14">
      <w:pPr>
        <w:pStyle w:val="Heading5"/>
      </w:pPr>
      <w:r>
        <w:t>Imiglucerase / alglucerase</w:t>
      </w:r>
    </w:p>
    <w:p w:rsidR="00D14F14" w:rsidRDefault="00544A05" w:rsidP="00D14F14">
      <w:r>
        <w:t>The funding request for the first drugs under the LSDP – namely, alglucerase, or the drug which super</w:t>
      </w:r>
      <w:r w:rsidR="006A5456">
        <w:t>s</w:t>
      </w:r>
      <w:r>
        <w:t xml:space="preserve">eded it, imiglucerase – was not supported by a formal industry submission. </w:t>
      </w:r>
    </w:p>
    <w:p w:rsidR="00D14F14" w:rsidRDefault="00D14F14" w:rsidP="00D14F14">
      <w:r>
        <w:lastRenderedPageBreak/>
        <w:t xml:space="preserve">The evidence identified </w:t>
      </w:r>
      <w:r w:rsidR="00544A05">
        <w:t xml:space="preserve">in the systematic review </w:t>
      </w:r>
      <w:r>
        <w:t xml:space="preserve">supported the decision to fund imiglucerase for patients with Type 1 Gaucher disease; demonstrating that </w:t>
      </w:r>
      <w:r w:rsidR="00090CE4">
        <w:t xml:space="preserve">imiglucerase, and the drug which preceded it, alglucerase, were </w:t>
      </w:r>
      <w:r>
        <w:t xml:space="preserve">superior to receiving vitamin D alone at reducing the risk of bleeding and indicators of bone disease. </w:t>
      </w:r>
    </w:p>
    <w:p w:rsidR="00D14F14" w:rsidRPr="004E15DD" w:rsidRDefault="00D14F14" w:rsidP="00D14F14">
      <w:r w:rsidRPr="000B4819">
        <w:t>Patients receiving alglucerase and imiglucerase had, on average, improvements in haemoglobin levels, platelet counts and spleen and liver volumes when compared to pre-treatment levels; supporting the use of these enzyme replacement therapies for Type 1 Gaucher disease.</w:t>
      </w:r>
      <w:r w:rsidR="00350EA6">
        <w:t xml:space="preserve"> The </w:t>
      </w:r>
      <w:r w:rsidR="00CD4E28">
        <w:t xml:space="preserve">Australian </w:t>
      </w:r>
      <w:r w:rsidR="00350EA6">
        <w:t xml:space="preserve">data were not in a format which </w:t>
      </w:r>
      <w:r w:rsidR="000332F3">
        <w:t>did not</w:t>
      </w:r>
      <w:r w:rsidR="00350EA6">
        <w:t xml:space="preserve"> allow information on the rate of concomitant therapies to be easily extracted. </w:t>
      </w:r>
    </w:p>
    <w:p w:rsidR="000B4819" w:rsidRDefault="000B4819" w:rsidP="000B4819">
      <w:pPr>
        <w:pStyle w:val="Heading5"/>
      </w:pPr>
      <w:r>
        <w:t>Velaglucerase alfa</w:t>
      </w:r>
    </w:p>
    <w:p w:rsidR="000B4819" w:rsidRPr="000B4819" w:rsidRDefault="000B4819" w:rsidP="000B4819">
      <w:r>
        <w:t xml:space="preserve">No new randomised trials on the use of velaglucerase alfa to treat Type 1 </w:t>
      </w:r>
      <w:r w:rsidR="00E51493">
        <w:t>Gaucher disease</w:t>
      </w:r>
      <w:r>
        <w:t xml:space="preserve"> have been published since the submission to </w:t>
      </w:r>
      <w:r w:rsidR="002D51AC">
        <w:t xml:space="preserve">the </w:t>
      </w:r>
      <w:r>
        <w:t>PBAC. The Australian data showed that on average, patients receiving velaglucerase alfa improved on surrogate measures of bleeding risk</w:t>
      </w:r>
      <w:r w:rsidR="00821FFB">
        <w:t xml:space="preserve">, and spleen and liver volumes compared to pre-treatment levels, supporting the continued funding. </w:t>
      </w:r>
    </w:p>
    <w:p w:rsidR="00D14F14" w:rsidRDefault="00821FFB" w:rsidP="00D33108">
      <w:pPr>
        <w:pStyle w:val="Heading5"/>
      </w:pPr>
      <w:r>
        <w:t>Miglustat</w:t>
      </w:r>
    </w:p>
    <w:p w:rsidR="008B0F23" w:rsidRDefault="008B0F23" w:rsidP="008B0F23">
      <w:r>
        <w:t xml:space="preserve">Since the submission to the PBAC there have been no new randomised trials have been published on the use of miglustat to treat Type 1 Gaucher disease. However, </w:t>
      </w:r>
      <w:proofErr w:type="gramStart"/>
      <w:r>
        <w:t>a small amount of additional data were</w:t>
      </w:r>
      <w:proofErr w:type="gramEnd"/>
      <w:r>
        <w:t xml:space="preserve"> identified in another publication of the same trial originally included in the submission to the PBAC </w:t>
      </w:r>
      <w:r>
        <w:rPr>
          <w:noProof/>
        </w:rPr>
        <w:t>(</w:t>
      </w:r>
      <w:r w:rsidRPr="00500271">
        <w:t>European Medicines Agency 2003</w:t>
      </w:r>
      <w:r>
        <w:rPr>
          <w:noProof/>
        </w:rPr>
        <w:t>)</w:t>
      </w:r>
      <w:r>
        <w:t xml:space="preserve">. Patients whose disease status was considered stable after receiving imiglucerase, continued to have stable chitotriosidase activity (a marker of disease burden) if they were randomised to remain on imiglucerase. However, those patients who were randomised to switch to miglustat, had a 33 per cent increase in chitotriosidase level, indicating a higher disease burden. It is unknown whether this difference would be clinically important. These new data would support the conclusion that miglustat is inferior to enzyme replacement therapy (imiglucerase or velaglucerase alfa). The new evidence further supports the restriction of the use of miglustat, to those who cannot tolerate, or who do not respond to enzyme replacement therapy. However, there were no trials identified that assessed the effectiveness of miglustat in the restricted population (as all participants in the trial had stable disease following imiglucerase treatment). </w:t>
      </w:r>
    </w:p>
    <w:p w:rsidR="00821FFB" w:rsidRPr="00A62C97" w:rsidRDefault="00FE1CB7" w:rsidP="004E15DD">
      <w:r>
        <w:rPr>
          <w:noProof/>
          <w:color w:val="000000"/>
          <w:highlight w:val="black"/>
        </w:rPr>
        <w:t>'''''''''' '''''' ''''' '''''''''''''''''' '''''''''''''''' '''''''''''''''' '''''''''''''''' '''''''''''''''''''' '''''''''''''''''' ''''''''''''''</w:t>
      </w:r>
      <w:r w:rsidR="00A62C97">
        <w:rPr>
          <w:noProof/>
          <w:color w:val="000000"/>
          <w:highlight w:val="black"/>
        </w:rPr>
        <w:t xml:space="preserve"> '''''''''''''''' '''''''''''''' ''''''''' '''''''''''''''''' ''''''''''' ''' ''''''''''''''''''''''''''' '''''''''''''' ''''''''''''''''' '''''''' ''''''''''' ''''''''''''''''' '''' ''''''''''''''''''''''' ''''' ''''''''''''''''''''''''' ''''''' '''''''' ''''''''''''''''''''''' ''''''''''''''''''''''''''' '''''''' '''''''''''' </w:t>
      </w:r>
    </w:p>
    <w:p w:rsidR="0004128C" w:rsidRDefault="0004128C">
      <w:pPr>
        <w:spacing w:after="0" w:line="240" w:lineRule="auto"/>
        <w:jc w:val="left"/>
        <w:rPr>
          <w:rFonts w:ascii="Cambria" w:hAnsi="Cambria"/>
          <w:bCs/>
          <w:color w:val="1F497D"/>
          <w:szCs w:val="18"/>
        </w:rPr>
      </w:pPr>
      <w:r>
        <w:rPr>
          <w:rFonts w:ascii="Cambria" w:hAnsi="Cambria"/>
          <w:bCs/>
          <w:color w:val="1F497D"/>
          <w:szCs w:val="18"/>
        </w:rPr>
        <w:br w:type="page"/>
      </w:r>
    </w:p>
    <w:p w:rsidR="003E333B" w:rsidRPr="00A979FB" w:rsidRDefault="003E333B" w:rsidP="00A979FB">
      <w:pPr>
        <w:pStyle w:val="Heading3"/>
      </w:pPr>
      <w:r w:rsidRPr="00A979FB">
        <w:lastRenderedPageBreak/>
        <w:t>Medicines to treat Fabry disease</w:t>
      </w:r>
      <w:bookmarkEnd w:id="98"/>
      <w:bookmarkEnd w:id="99"/>
    </w:p>
    <w:p w:rsidR="001C3FAF" w:rsidRPr="001C3FAF" w:rsidRDefault="001C3FAF" w:rsidP="001C3FAF"/>
    <w:p w:rsidR="005C6842" w:rsidRPr="00520776"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b/>
          <w:sz w:val="22"/>
          <w:szCs w:val="22"/>
        </w:rPr>
      </w:pPr>
      <w:r w:rsidRPr="007868C6">
        <w:rPr>
          <w:rFonts w:ascii="Arial Narrow" w:hAnsi="Arial Narrow" w:cstheme="minorHAnsi"/>
          <w:b/>
          <w:sz w:val="22"/>
          <w:szCs w:val="22"/>
        </w:rPr>
        <w:t>In patients with Fabry disease, what is the safety and effectiveness of agalsidase al</w:t>
      </w:r>
      <w:r>
        <w:rPr>
          <w:rFonts w:ascii="Arial Narrow" w:hAnsi="Arial Narrow" w:cstheme="minorHAnsi"/>
          <w:b/>
          <w:sz w:val="22"/>
          <w:szCs w:val="22"/>
        </w:rPr>
        <w:t>f</w:t>
      </w:r>
      <w:r w:rsidRPr="007868C6">
        <w:rPr>
          <w:rFonts w:ascii="Arial Narrow" w:hAnsi="Arial Narrow" w:cstheme="minorHAnsi"/>
          <w:b/>
          <w:sz w:val="22"/>
          <w:szCs w:val="22"/>
        </w:rPr>
        <w:t xml:space="preserve">a </w:t>
      </w:r>
      <w:r>
        <w:rPr>
          <w:rFonts w:ascii="Arial Narrow" w:hAnsi="Arial Narrow" w:cstheme="minorHAnsi"/>
          <w:b/>
          <w:sz w:val="22"/>
          <w:szCs w:val="22"/>
        </w:rPr>
        <w:t xml:space="preserve">compared </w:t>
      </w:r>
      <w:r w:rsidRPr="007868C6">
        <w:rPr>
          <w:rFonts w:ascii="Arial Narrow" w:hAnsi="Arial Narrow" w:cstheme="minorHAnsi"/>
          <w:b/>
          <w:sz w:val="22"/>
          <w:szCs w:val="22"/>
        </w:rPr>
        <w:t>to standard therapy?</w:t>
      </w:r>
    </w:p>
    <w:p w:rsidR="005C6842" w:rsidRPr="008A4117"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Pr>
          <w:rFonts w:ascii="Arial Narrow" w:hAnsi="Arial Narrow" w:cstheme="minorHAnsi"/>
          <w:sz w:val="22"/>
          <w:szCs w:val="22"/>
        </w:rPr>
        <w:t xml:space="preserve">The clinical claim made by the sponsors in their submission to the PBAC, was that agalsidase alfa was superior to standard (palliative) therapy. </w:t>
      </w:r>
      <w:r w:rsidRPr="008A4117">
        <w:rPr>
          <w:rFonts w:ascii="Arial Narrow" w:hAnsi="Arial Narrow" w:cstheme="minorHAnsi"/>
          <w:sz w:val="22"/>
          <w:szCs w:val="22"/>
        </w:rPr>
        <w:t xml:space="preserve">Two systematic reviews </w:t>
      </w:r>
      <w:r>
        <w:rPr>
          <w:rFonts w:ascii="Arial Narrow" w:hAnsi="Arial Narrow" w:cstheme="minorHAnsi"/>
          <w:sz w:val="22"/>
          <w:szCs w:val="22"/>
        </w:rPr>
        <w:t xml:space="preserve">reported on the original </w:t>
      </w:r>
      <w:r w:rsidR="00090CE4">
        <w:rPr>
          <w:rFonts w:ascii="Arial Narrow" w:hAnsi="Arial Narrow" w:cstheme="minorHAnsi"/>
          <w:sz w:val="22"/>
          <w:szCs w:val="22"/>
        </w:rPr>
        <w:t>two</w:t>
      </w:r>
      <w:r>
        <w:rPr>
          <w:rFonts w:ascii="Arial Narrow" w:hAnsi="Arial Narrow" w:cstheme="minorHAnsi"/>
          <w:sz w:val="22"/>
          <w:szCs w:val="22"/>
        </w:rPr>
        <w:t xml:space="preserve"> RCTs presented to the PBAC that compared agalsidase alfa and placebo. No measure of</w:t>
      </w:r>
      <w:r w:rsidRPr="008A4117">
        <w:rPr>
          <w:rFonts w:ascii="Arial Narrow" w:hAnsi="Arial Narrow" w:cstheme="minorHAnsi"/>
          <w:sz w:val="22"/>
          <w:szCs w:val="22"/>
        </w:rPr>
        <w:t xml:space="preserve"> survival </w:t>
      </w:r>
      <w:r>
        <w:rPr>
          <w:rFonts w:ascii="Arial Narrow" w:hAnsi="Arial Narrow" w:cstheme="minorHAnsi"/>
          <w:sz w:val="22"/>
          <w:szCs w:val="22"/>
        </w:rPr>
        <w:t>was reported</w:t>
      </w:r>
      <w:r w:rsidRPr="008A4117">
        <w:rPr>
          <w:rFonts w:ascii="Arial Narrow" w:hAnsi="Arial Narrow" w:cstheme="minorHAnsi"/>
          <w:sz w:val="22"/>
          <w:szCs w:val="22"/>
        </w:rPr>
        <w:t>.</w:t>
      </w:r>
    </w:p>
    <w:p w:rsidR="000A6218" w:rsidRDefault="000A6218"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sidRPr="000F0543">
        <w:rPr>
          <w:rFonts w:ascii="Arial Narrow" w:hAnsi="Arial Narrow" w:cstheme="minorHAnsi"/>
          <w:sz w:val="22"/>
          <w:szCs w:val="22"/>
        </w:rPr>
        <w:t xml:space="preserve">There was no difference found between </w:t>
      </w:r>
      <w:r>
        <w:rPr>
          <w:rFonts w:ascii="Arial Narrow" w:hAnsi="Arial Narrow" w:cstheme="minorHAnsi"/>
          <w:sz w:val="22"/>
          <w:szCs w:val="22"/>
        </w:rPr>
        <w:t xml:space="preserve">the groups for cardiovascular function and most surrogate measures of renal function (Gb3 levels), although one assessment of renal function was statistically significant, favouring the agalsidase alfa group when using nmol/24 hours of mean Gb3 clearance as the measure </w:t>
      </w:r>
      <w:r w:rsidRPr="00E965BD">
        <w:rPr>
          <w:rFonts w:ascii="Arial Narrow" w:hAnsi="Arial Narrow" w:cstheme="minorHAnsi"/>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E965BD">
        <w:rPr>
          <w:rFonts w:ascii="Arial Narrow" w:hAnsi="Arial Narrow" w:cstheme="minorHAnsi"/>
          <w:sz w:val="22"/>
          <w:szCs w:val="22"/>
        </w:rPr>
        <w:t>)</w:t>
      </w:r>
      <w:r>
        <w:rPr>
          <w:rFonts w:ascii="Arial Narrow" w:hAnsi="Arial Narrow" w:cstheme="minorHAnsi"/>
          <w:sz w:val="22"/>
          <w:szCs w:val="22"/>
        </w:rPr>
        <w:t xml:space="preserve">. </w:t>
      </w:r>
    </w:p>
    <w:p w:rsidR="005C6842"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Pr>
          <w:rFonts w:ascii="Arial Narrow" w:hAnsi="Arial Narrow" w:cstheme="minorHAnsi"/>
          <w:sz w:val="22"/>
          <w:szCs w:val="22"/>
        </w:rPr>
        <w:t xml:space="preserve">Scores on the Brief Pain Inventory for Severity were significantly better for patients receiving agalsidase alfa, rather than placebo and standard therapy, at 3 time periods during treatment. Patients receiving agalsidase alfa reported a 2 point reduction in pain on a scale of 0 to 10. The Brief Pain Inventory – Quality of Life score also favoured treatment with agalsidase alfa at the later time period of 5-6 months, with a mean difference of over 2 on a scale of 0 to 10 </w:t>
      </w:r>
      <w:r w:rsidRPr="00E965BD">
        <w:rPr>
          <w:rFonts w:ascii="Arial Narrow" w:hAnsi="Arial Narrow" w:cstheme="minorHAnsi"/>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E965BD">
        <w:rPr>
          <w:rFonts w:ascii="Arial Narrow" w:hAnsi="Arial Narrow" w:cstheme="minorHAnsi"/>
          <w:sz w:val="22"/>
          <w:szCs w:val="22"/>
        </w:rPr>
        <w:t>)</w:t>
      </w:r>
      <w:r>
        <w:rPr>
          <w:rFonts w:ascii="Arial Narrow" w:hAnsi="Arial Narrow" w:cstheme="minorHAnsi"/>
          <w:sz w:val="22"/>
          <w:szCs w:val="22"/>
        </w:rPr>
        <w:t xml:space="preserve">. </w:t>
      </w:r>
    </w:p>
    <w:p w:rsidR="005C6842"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sidRPr="00D818E4">
        <w:rPr>
          <w:rFonts w:ascii="Arial Narrow" w:hAnsi="Arial Narrow" w:cstheme="minorHAnsi"/>
          <w:sz w:val="22"/>
          <w:szCs w:val="22"/>
        </w:rPr>
        <w:t xml:space="preserve">The submission for agalsidase alfa claimed that </w:t>
      </w:r>
      <w:r>
        <w:rPr>
          <w:rFonts w:ascii="Arial Narrow" w:hAnsi="Arial Narrow" w:cstheme="minorHAnsi"/>
          <w:sz w:val="22"/>
          <w:szCs w:val="22"/>
        </w:rPr>
        <w:t>g</w:t>
      </w:r>
      <w:r w:rsidRPr="00D818E4">
        <w:rPr>
          <w:rFonts w:ascii="Arial Narrow" w:hAnsi="Arial Narrow" w:cstheme="minorHAnsi"/>
          <w:sz w:val="22"/>
          <w:szCs w:val="22"/>
        </w:rPr>
        <w:t>lomerular filtration rate (GFR) w</w:t>
      </w:r>
      <w:r>
        <w:rPr>
          <w:rFonts w:ascii="Arial Narrow" w:hAnsi="Arial Narrow" w:cstheme="minorHAnsi"/>
          <w:sz w:val="22"/>
          <w:szCs w:val="22"/>
        </w:rPr>
        <w:t>ould</w:t>
      </w:r>
      <w:r w:rsidRPr="00D818E4">
        <w:rPr>
          <w:rFonts w:ascii="Arial Narrow" w:hAnsi="Arial Narrow" w:cstheme="minorHAnsi"/>
          <w:sz w:val="22"/>
          <w:szCs w:val="22"/>
        </w:rPr>
        <w:t xml:space="preserve"> improve or remain stable in patients taking the drug at 24 weeks. However, based on the data </w:t>
      </w:r>
      <w:r>
        <w:rPr>
          <w:rFonts w:ascii="Arial Narrow" w:hAnsi="Arial Narrow" w:cstheme="minorHAnsi"/>
          <w:sz w:val="22"/>
          <w:szCs w:val="22"/>
        </w:rPr>
        <w:t>obtained on</w:t>
      </w:r>
      <w:r w:rsidRPr="00D818E4">
        <w:rPr>
          <w:rFonts w:ascii="Arial Narrow" w:hAnsi="Arial Narrow" w:cstheme="minorHAnsi"/>
          <w:sz w:val="22"/>
          <w:szCs w:val="22"/>
        </w:rPr>
        <w:t xml:space="preserve"> 12 Australian patients, GFR was slightly reduced (13%; 3.4 mL/min/1.73m</w:t>
      </w:r>
      <w:r w:rsidRPr="00A5774A">
        <w:rPr>
          <w:rFonts w:ascii="Arial Narrow" w:hAnsi="Arial Narrow" w:cstheme="minorHAnsi"/>
          <w:sz w:val="22"/>
          <w:szCs w:val="22"/>
          <w:vertAlign w:val="superscript"/>
        </w:rPr>
        <w:t>2</w:t>
      </w:r>
      <w:r w:rsidRPr="00D818E4">
        <w:rPr>
          <w:rFonts w:ascii="Arial Narrow" w:hAnsi="Arial Narrow" w:cstheme="minorHAnsi"/>
          <w:sz w:val="22"/>
          <w:szCs w:val="22"/>
        </w:rPr>
        <w:t>).</w:t>
      </w:r>
      <w:r>
        <w:rPr>
          <w:rFonts w:ascii="Arial Narrow" w:hAnsi="Arial Narrow" w:cstheme="minorHAnsi"/>
          <w:sz w:val="22"/>
          <w:szCs w:val="22"/>
        </w:rPr>
        <w:t xml:space="preserve"> </w:t>
      </w:r>
    </w:p>
    <w:p w:rsidR="005C6842"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Pr>
          <w:rFonts w:ascii="Arial Narrow" w:hAnsi="Arial Narrow" w:cstheme="minorHAnsi"/>
          <w:sz w:val="22"/>
          <w:szCs w:val="22"/>
        </w:rPr>
        <w:t>In 2009, the PBAC took the view that although a survival benefit was not strictly proven, it would be reasonable to expect</w:t>
      </w:r>
      <w:r w:rsidR="00544A05">
        <w:rPr>
          <w:rFonts w:ascii="Arial Narrow" w:hAnsi="Arial Narrow" w:cstheme="minorHAnsi"/>
          <w:sz w:val="22"/>
          <w:szCs w:val="22"/>
        </w:rPr>
        <w:t xml:space="preserve"> this, along with a lessening of morbidity</w:t>
      </w:r>
      <w:r>
        <w:rPr>
          <w:rFonts w:ascii="Arial Narrow" w:hAnsi="Arial Narrow" w:cstheme="minorHAnsi"/>
          <w:sz w:val="22"/>
          <w:szCs w:val="22"/>
        </w:rPr>
        <w:t xml:space="preserve">, given the action of agalsidase alfa and the pathophysiology of the disease. No new literature was identified to support or negate this view. </w:t>
      </w:r>
    </w:p>
    <w:p w:rsidR="005C6842" w:rsidRPr="007868C6"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b/>
          <w:sz w:val="22"/>
          <w:szCs w:val="22"/>
        </w:rPr>
      </w:pPr>
      <w:r w:rsidRPr="007868C6">
        <w:rPr>
          <w:rFonts w:ascii="Arial Narrow" w:hAnsi="Arial Narrow" w:cstheme="minorHAnsi"/>
          <w:b/>
          <w:sz w:val="22"/>
          <w:szCs w:val="22"/>
        </w:rPr>
        <w:t xml:space="preserve">In patients with Fabry disease, what is the safety and effectiveness of agalsidase beta </w:t>
      </w:r>
      <w:r>
        <w:rPr>
          <w:rFonts w:ascii="Arial Narrow" w:hAnsi="Arial Narrow" w:cstheme="minorHAnsi"/>
          <w:b/>
          <w:sz w:val="22"/>
          <w:szCs w:val="22"/>
        </w:rPr>
        <w:t xml:space="preserve">compared </w:t>
      </w:r>
      <w:r w:rsidRPr="007868C6">
        <w:rPr>
          <w:rFonts w:ascii="Arial Narrow" w:hAnsi="Arial Narrow" w:cstheme="minorHAnsi"/>
          <w:b/>
          <w:sz w:val="22"/>
          <w:szCs w:val="22"/>
        </w:rPr>
        <w:t>to standard therapy?</w:t>
      </w:r>
    </w:p>
    <w:p w:rsidR="005C6842"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Pr>
          <w:rFonts w:ascii="Arial Narrow" w:hAnsi="Arial Narrow" w:cstheme="minorHAnsi"/>
          <w:sz w:val="22"/>
          <w:szCs w:val="22"/>
        </w:rPr>
        <w:t xml:space="preserve">The submission to </w:t>
      </w:r>
      <w:r w:rsidR="008B0F23">
        <w:rPr>
          <w:rFonts w:ascii="Arial Narrow" w:hAnsi="Arial Narrow" w:cstheme="minorHAnsi"/>
          <w:sz w:val="22"/>
          <w:szCs w:val="22"/>
        </w:rPr>
        <w:t xml:space="preserve">the </w:t>
      </w:r>
      <w:r>
        <w:rPr>
          <w:rFonts w:ascii="Arial Narrow" w:hAnsi="Arial Narrow" w:cstheme="minorHAnsi"/>
          <w:sz w:val="22"/>
          <w:szCs w:val="22"/>
        </w:rPr>
        <w:t xml:space="preserve">PBAC for agalsidase beta claimed that the new drug had significant clinical advantages over standard management, but was associated with more toxicity. In 2002, the PBAC decided that the pathophysiological mechanisms in Fabry disease are highly specific, and the link between the surrogate outcomes presented in the submission and clinical endpoints were plausible. One very small randomised trial </w:t>
      </w:r>
      <w:r w:rsidR="00544A05">
        <w:rPr>
          <w:rFonts w:ascii="Arial Narrow" w:hAnsi="Arial Narrow" w:cstheme="minorHAnsi"/>
          <w:sz w:val="22"/>
          <w:szCs w:val="22"/>
        </w:rPr>
        <w:t>has been</w:t>
      </w:r>
      <w:r>
        <w:rPr>
          <w:rFonts w:ascii="Arial Narrow" w:hAnsi="Arial Narrow" w:cstheme="minorHAnsi"/>
          <w:sz w:val="22"/>
          <w:szCs w:val="22"/>
        </w:rPr>
        <w:t xml:space="preserve"> published since the </w:t>
      </w:r>
      <w:r w:rsidR="00D12B65">
        <w:rPr>
          <w:rFonts w:ascii="Arial Narrow" w:hAnsi="Arial Narrow" w:cstheme="minorHAnsi"/>
          <w:sz w:val="22"/>
          <w:szCs w:val="22"/>
        </w:rPr>
        <w:t xml:space="preserve">submission to the </w:t>
      </w:r>
      <w:r>
        <w:rPr>
          <w:rFonts w:ascii="Arial Narrow" w:hAnsi="Arial Narrow" w:cstheme="minorHAnsi"/>
          <w:sz w:val="22"/>
          <w:szCs w:val="22"/>
        </w:rPr>
        <w:t xml:space="preserve">PBAC and is unlikely to alter the conclusions of the PBAC, as it showed a trend towards favouring agalsidase beta over placebo in terms of cardiac function. </w:t>
      </w:r>
    </w:p>
    <w:p w:rsidR="005C6842"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sidRPr="008A4117">
        <w:rPr>
          <w:rFonts w:ascii="Arial Narrow" w:hAnsi="Arial Narrow" w:cstheme="minorHAnsi"/>
          <w:sz w:val="22"/>
          <w:szCs w:val="22"/>
        </w:rPr>
        <w:t xml:space="preserve">Two systematic reviews </w:t>
      </w:r>
      <w:r>
        <w:rPr>
          <w:rFonts w:ascii="Arial Narrow" w:hAnsi="Arial Narrow" w:cstheme="minorHAnsi"/>
          <w:sz w:val="22"/>
          <w:szCs w:val="22"/>
        </w:rPr>
        <w:t xml:space="preserve">assessed 3 RCTs and </w:t>
      </w:r>
      <w:r w:rsidRPr="008A4117">
        <w:rPr>
          <w:rFonts w:ascii="Arial Narrow" w:hAnsi="Arial Narrow" w:cstheme="minorHAnsi"/>
          <w:sz w:val="22"/>
          <w:szCs w:val="22"/>
        </w:rPr>
        <w:t xml:space="preserve">found that </w:t>
      </w:r>
      <w:r>
        <w:rPr>
          <w:rFonts w:ascii="Arial Narrow" w:hAnsi="Arial Narrow" w:cstheme="minorHAnsi"/>
          <w:sz w:val="22"/>
          <w:szCs w:val="22"/>
        </w:rPr>
        <w:t xml:space="preserve">the difference in </w:t>
      </w:r>
      <w:r w:rsidRPr="008A4117">
        <w:rPr>
          <w:rFonts w:ascii="Arial Narrow" w:hAnsi="Arial Narrow" w:cstheme="minorHAnsi"/>
          <w:sz w:val="22"/>
          <w:szCs w:val="22"/>
        </w:rPr>
        <w:t xml:space="preserve">survival </w:t>
      </w:r>
      <w:r>
        <w:rPr>
          <w:rFonts w:ascii="Arial Narrow" w:hAnsi="Arial Narrow" w:cstheme="minorHAnsi"/>
          <w:sz w:val="22"/>
          <w:szCs w:val="22"/>
        </w:rPr>
        <w:t>between agalsidase beta and placebo was consistent with chance, given the small sample size</w:t>
      </w:r>
      <w:r w:rsidRPr="00E965BD">
        <w:rPr>
          <w:rFonts w:ascii="Arial Narrow" w:hAnsi="Arial Narrow" w:cstheme="minorHAnsi"/>
          <w:sz w:val="22"/>
          <w:szCs w:val="22"/>
        </w:rPr>
        <w:t xml:space="preserve"> (GRADE</w:t>
      </w:r>
      <w:r>
        <w:t xml:space="preserve"> </w:t>
      </w:r>
      <w:r w:rsidRPr="00D4733A">
        <w:rPr>
          <w:rFonts w:ascii="Cambria Math" w:hAnsi="Cambria Math"/>
          <w:color w:val="00B050"/>
        </w:rPr>
        <w:t>⨁⨁⨁⨁</w:t>
      </w:r>
      <w:r w:rsidRPr="00E965BD">
        <w:rPr>
          <w:rFonts w:ascii="Arial Narrow" w:hAnsi="Arial Narrow" w:cstheme="minorHAnsi"/>
          <w:sz w:val="22"/>
          <w:szCs w:val="22"/>
        </w:rPr>
        <w:t>)</w:t>
      </w:r>
      <w:r>
        <w:rPr>
          <w:rFonts w:ascii="Arial Narrow" w:hAnsi="Arial Narrow" w:cstheme="minorHAnsi"/>
          <w:sz w:val="22"/>
          <w:szCs w:val="22"/>
        </w:rPr>
        <w:t xml:space="preserve">. Likewise, differences between renal events, cardiac events and cerebrovascular events between treatment arms was no greater than chance – and larger sample sizes would be required to demonstrate any differences – all three analyses reported a higher frequency of disease-related events in the placebo group </w:t>
      </w:r>
      <w:r w:rsidRPr="00E965BD">
        <w:rPr>
          <w:rFonts w:ascii="Arial Narrow" w:hAnsi="Arial Narrow" w:cstheme="minorHAnsi"/>
          <w:sz w:val="22"/>
          <w:szCs w:val="22"/>
        </w:rPr>
        <w:t>(GRADE</w:t>
      </w:r>
      <w:r>
        <w:t xml:space="preserve"> </w:t>
      </w:r>
      <w:r w:rsidRPr="00D4733A">
        <w:rPr>
          <w:rFonts w:ascii="Cambria Math" w:hAnsi="Cambria Math"/>
          <w:color w:val="00B050"/>
        </w:rPr>
        <w:t>⨁⨁⨁⨁</w:t>
      </w:r>
      <w:r w:rsidRPr="00E965BD">
        <w:rPr>
          <w:rFonts w:ascii="Arial Narrow" w:hAnsi="Arial Narrow" w:cstheme="minorHAnsi"/>
          <w:sz w:val="22"/>
          <w:szCs w:val="22"/>
        </w:rPr>
        <w:t>)</w:t>
      </w:r>
      <w:r w:rsidRPr="008A4117">
        <w:rPr>
          <w:rFonts w:ascii="Arial Narrow" w:hAnsi="Arial Narrow" w:cstheme="minorHAnsi"/>
          <w:sz w:val="22"/>
          <w:szCs w:val="22"/>
        </w:rPr>
        <w:t>.</w:t>
      </w:r>
      <w:r>
        <w:rPr>
          <w:rFonts w:ascii="Arial Narrow" w:hAnsi="Arial Narrow" w:cstheme="minorHAnsi"/>
          <w:sz w:val="22"/>
          <w:szCs w:val="22"/>
        </w:rPr>
        <w:t xml:space="preserve"> </w:t>
      </w:r>
    </w:p>
    <w:p w:rsidR="005C6842"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Pr>
          <w:rFonts w:ascii="Arial Narrow" w:hAnsi="Arial Narrow" w:cstheme="minorHAnsi"/>
          <w:sz w:val="22"/>
          <w:szCs w:val="22"/>
        </w:rPr>
        <w:t xml:space="preserve">Most of the renal function measures (Gb3 levels in the kidney, heart and skin endothelium) were found to be significantly improved in patients randomised to agalsidase beta compared to placebo </w:t>
      </w:r>
      <w:r w:rsidRPr="00E965BD">
        <w:rPr>
          <w:rFonts w:ascii="Arial Narrow" w:hAnsi="Arial Narrow" w:cstheme="minorHAnsi"/>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E965BD">
        <w:rPr>
          <w:rFonts w:ascii="Arial Narrow" w:hAnsi="Arial Narrow" w:cstheme="minorHAnsi"/>
          <w:sz w:val="22"/>
          <w:szCs w:val="22"/>
        </w:rPr>
        <w:t>)</w:t>
      </w:r>
      <w:r>
        <w:rPr>
          <w:rFonts w:ascii="Arial Narrow" w:hAnsi="Arial Narrow" w:cstheme="minorHAnsi"/>
          <w:sz w:val="22"/>
          <w:szCs w:val="22"/>
        </w:rPr>
        <w:t xml:space="preserve">. </w:t>
      </w:r>
    </w:p>
    <w:p w:rsidR="005C6842"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Pr>
          <w:rFonts w:ascii="Arial Narrow" w:hAnsi="Arial Narrow" w:cstheme="minorHAnsi"/>
          <w:sz w:val="22"/>
          <w:szCs w:val="22"/>
        </w:rPr>
        <w:t xml:space="preserve">There was no difference shown between treatment groups for cardiopulmonary exercise test outcomes, or another surrogate for renal function (GFR; short or long-term) although GFR was found to remain stable in both groups </w:t>
      </w:r>
      <w:r w:rsidRPr="00E965BD">
        <w:rPr>
          <w:rFonts w:ascii="Arial Narrow" w:hAnsi="Arial Narrow" w:cstheme="minorHAnsi"/>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E965BD">
        <w:rPr>
          <w:rFonts w:ascii="Arial Narrow" w:hAnsi="Arial Narrow" w:cstheme="minorHAnsi"/>
          <w:sz w:val="22"/>
          <w:szCs w:val="22"/>
        </w:rPr>
        <w:t>)</w:t>
      </w:r>
      <w:r>
        <w:rPr>
          <w:rFonts w:ascii="Arial Narrow" w:hAnsi="Arial Narrow" w:cstheme="minorHAnsi"/>
          <w:sz w:val="22"/>
          <w:szCs w:val="22"/>
        </w:rPr>
        <w:t xml:space="preserve">. Pain was found to be reduced in both the agalsidase beta and placebo groups and so a placebo effect could not be ruled out </w:t>
      </w:r>
      <w:r w:rsidRPr="00E965BD">
        <w:rPr>
          <w:rFonts w:ascii="Arial Narrow" w:hAnsi="Arial Narrow" w:cstheme="minorHAnsi"/>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E965BD">
        <w:rPr>
          <w:rFonts w:ascii="Arial Narrow" w:hAnsi="Arial Narrow" w:cstheme="minorHAnsi"/>
          <w:sz w:val="22"/>
          <w:szCs w:val="22"/>
        </w:rPr>
        <w:t>)</w:t>
      </w:r>
      <w:r>
        <w:rPr>
          <w:rFonts w:ascii="Arial Narrow" w:hAnsi="Arial Narrow" w:cstheme="minorHAnsi"/>
          <w:sz w:val="22"/>
          <w:szCs w:val="22"/>
        </w:rPr>
        <w:t>.</w:t>
      </w:r>
    </w:p>
    <w:p w:rsidR="005C6842"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Pr>
          <w:rFonts w:ascii="Arial Narrow" w:hAnsi="Arial Narrow" w:cstheme="minorHAnsi"/>
          <w:sz w:val="22"/>
          <w:szCs w:val="22"/>
        </w:rPr>
        <w:lastRenderedPageBreak/>
        <w:t xml:space="preserve">A comparison of adverse events between groups showed that rigors, fever, temperature changed </w:t>
      </w:r>
      <w:r w:rsidR="00B101EC">
        <w:rPr>
          <w:rFonts w:ascii="Arial Narrow" w:hAnsi="Arial Narrow" w:cstheme="minorHAnsi"/>
          <w:sz w:val="22"/>
          <w:szCs w:val="22"/>
        </w:rPr>
        <w:t>sensation;</w:t>
      </w:r>
      <w:r>
        <w:rPr>
          <w:rFonts w:ascii="Arial Narrow" w:hAnsi="Arial Narrow" w:cstheme="minorHAnsi"/>
          <w:sz w:val="22"/>
          <w:szCs w:val="22"/>
        </w:rPr>
        <w:t xml:space="preserve"> hypertension and vomiting were much more likely to occur in patients randomised to agalsidase beta than placebo. These adverse events were considered likely to be drug side-effects </w:t>
      </w:r>
      <w:r w:rsidRPr="00E965BD">
        <w:rPr>
          <w:rFonts w:ascii="Arial Narrow" w:hAnsi="Arial Narrow" w:cstheme="minorHAnsi"/>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E965BD">
        <w:rPr>
          <w:rFonts w:ascii="Arial Narrow" w:hAnsi="Arial Narrow" w:cstheme="minorHAnsi"/>
          <w:sz w:val="22"/>
          <w:szCs w:val="22"/>
        </w:rPr>
        <w:t>)</w:t>
      </w:r>
      <w:r>
        <w:rPr>
          <w:rFonts w:ascii="Arial Narrow" w:hAnsi="Arial Narrow" w:cstheme="minorHAnsi"/>
          <w:sz w:val="22"/>
          <w:szCs w:val="22"/>
        </w:rPr>
        <w:t>.</w:t>
      </w:r>
    </w:p>
    <w:p w:rsidR="005C6842"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Pr>
          <w:rFonts w:ascii="Arial Narrow" w:hAnsi="Arial Narrow" w:cstheme="minorHAnsi"/>
          <w:sz w:val="22"/>
          <w:szCs w:val="22"/>
        </w:rPr>
        <w:t>Australian data, based on 20 patients, showed that patients taking agalsidase beta had a small absolute improvement in GFR between baseline and follow</w:t>
      </w:r>
      <w:r w:rsidR="000332F3">
        <w:rPr>
          <w:rFonts w:ascii="Arial Narrow" w:hAnsi="Arial Narrow" w:cstheme="minorHAnsi"/>
          <w:sz w:val="22"/>
          <w:szCs w:val="22"/>
        </w:rPr>
        <w:t>-</w:t>
      </w:r>
      <w:r>
        <w:rPr>
          <w:rFonts w:ascii="Arial Narrow" w:hAnsi="Arial Narrow" w:cstheme="minorHAnsi"/>
          <w:sz w:val="22"/>
          <w:szCs w:val="22"/>
        </w:rPr>
        <w:t>up (</w:t>
      </w:r>
      <w:r w:rsidRPr="002C0958">
        <w:rPr>
          <w:rFonts w:ascii="Arial Narrow" w:hAnsi="Arial Narrow" w:cstheme="minorHAnsi"/>
          <w:sz w:val="22"/>
          <w:szCs w:val="22"/>
        </w:rPr>
        <w:t>4.6%; 0.93 mL/min/1.73m</w:t>
      </w:r>
      <w:r>
        <w:rPr>
          <w:rFonts w:ascii="Arial Narrow" w:hAnsi="Arial Narrow" w:cstheme="minorHAnsi"/>
          <w:sz w:val="22"/>
          <w:szCs w:val="22"/>
          <w:vertAlign w:val="superscript"/>
        </w:rPr>
        <w:t>2</w:t>
      </w:r>
      <w:r>
        <w:rPr>
          <w:rFonts w:ascii="Arial Narrow" w:hAnsi="Arial Narrow" w:cstheme="minorHAnsi"/>
          <w:sz w:val="22"/>
          <w:szCs w:val="22"/>
        </w:rPr>
        <w:t>).</w:t>
      </w:r>
    </w:p>
    <w:p w:rsidR="005C6842" w:rsidRPr="00E965BD"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b/>
          <w:sz w:val="22"/>
          <w:szCs w:val="22"/>
        </w:rPr>
      </w:pPr>
      <w:r w:rsidRPr="00E965BD">
        <w:rPr>
          <w:rFonts w:ascii="Arial Narrow" w:hAnsi="Arial Narrow" w:cstheme="minorHAnsi"/>
          <w:b/>
          <w:sz w:val="22"/>
          <w:szCs w:val="22"/>
        </w:rPr>
        <w:t xml:space="preserve">In patients with Fabry disease, what is the safety and effectiveness </w:t>
      </w:r>
      <w:r>
        <w:rPr>
          <w:rFonts w:ascii="Arial Narrow" w:hAnsi="Arial Narrow" w:cstheme="minorHAnsi"/>
          <w:b/>
          <w:sz w:val="22"/>
          <w:szCs w:val="22"/>
        </w:rPr>
        <w:t xml:space="preserve">of </w:t>
      </w:r>
      <w:r w:rsidRPr="00E965BD">
        <w:rPr>
          <w:rFonts w:ascii="Arial Narrow" w:hAnsi="Arial Narrow" w:cstheme="minorHAnsi"/>
          <w:b/>
          <w:sz w:val="22"/>
          <w:szCs w:val="22"/>
        </w:rPr>
        <w:t>agalsidase alfa</w:t>
      </w:r>
      <w:r>
        <w:rPr>
          <w:rFonts w:ascii="Arial Narrow" w:hAnsi="Arial Narrow" w:cstheme="minorHAnsi"/>
          <w:b/>
          <w:sz w:val="22"/>
          <w:szCs w:val="22"/>
        </w:rPr>
        <w:t xml:space="preserve"> and</w:t>
      </w:r>
      <w:r w:rsidRPr="00E965BD">
        <w:rPr>
          <w:rFonts w:ascii="Arial Narrow" w:hAnsi="Arial Narrow" w:cstheme="minorHAnsi"/>
          <w:b/>
          <w:sz w:val="22"/>
          <w:szCs w:val="22"/>
        </w:rPr>
        <w:t xml:space="preserve"> agalsidase beta when compared to each other?</w:t>
      </w:r>
    </w:p>
    <w:p w:rsidR="005C6842"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sidRPr="008A4117">
        <w:rPr>
          <w:rFonts w:ascii="Arial Narrow" w:hAnsi="Arial Narrow" w:cstheme="minorHAnsi"/>
          <w:sz w:val="22"/>
          <w:szCs w:val="22"/>
        </w:rPr>
        <w:t xml:space="preserve">Two systematic reviews </w:t>
      </w:r>
      <w:r>
        <w:rPr>
          <w:rFonts w:ascii="Arial Narrow" w:hAnsi="Arial Narrow" w:cstheme="minorHAnsi"/>
          <w:sz w:val="22"/>
          <w:szCs w:val="22"/>
        </w:rPr>
        <w:t xml:space="preserve">reported on </w:t>
      </w:r>
      <w:r w:rsidR="00090CE4">
        <w:rPr>
          <w:rFonts w:ascii="Arial Narrow" w:hAnsi="Arial Narrow" w:cstheme="minorHAnsi"/>
          <w:sz w:val="22"/>
          <w:szCs w:val="22"/>
        </w:rPr>
        <w:t>one</w:t>
      </w:r>
      <w:r>
        <w:rPr>
          <w:rFonts w:ascii="Arial Narrow" w:hAnsi="Arial Narrow" w:cstheme="minorHAnsi"/>
          <w:sz w:val="22"/>
          <w:szCs w:val="22"/>
        </w:rPr>
        <w:t xml:space="preserve"> RCT comparing agalsidase alfa and agalsidase beta. There was no significant difference in the survival of patients randomised to receive either of these treatments </w:t>
      </w:r>
      <w:r w:rsidRPr="00E965BD">
        <w:rPr>
          <w:rFonts w:ascii="Arial Narrow" w:hAnsi="Arial Narrow" w:cstheme="minorHAnsi"/>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E965BD">
        <w:rPr>
          <w:rFonts w:ascii="Arial Narrow" w:hAnsi="Arial Narrow" w:cstheme="minorHAnsi"/>
          <w:sz w:val="22"/>
          <w:szCs w:val="22"/>
        </w:rPr>
        <w:t>)</w:t>
      </w:r>
      <w:r>
        <w:rPr>
          <w:rFonts w:ascii="Arial Narrow" w:hAnsi="Arial Narrow" w:cstheme="minorHAnsi"/>
          <w:sz w:val="22"/>
          <w:szCs w:val="22"/>
        </w:rPr>
        <w:t>.</w:t>
      </w:r>
    </w:p>
    <w:p w:rsidR="005C6842"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Pr>
          <w:rFonts w:ascii="Arial Narrow" w:hAnsi="Arial Narrow" w:cstheme="minorHAnsi"/>
          <w:sz w:val="22"/>
          <w:szCs w:val="22"/>
        </w:rPr>
        <w:t xml:space="preserve">Renal and cardiac function markers appeared to favour agalsidase beta but the differences were not statistically significant </w:t>
      </w:r>
      <w:r w:rsidRPr="00E965BD">
        <w:rPr>
          <w:rFonts w:ascii="Arial Narrow" w:hAnsi="Arial Narrow" w:cstheme="minorHAnsi"/>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E965BD">
        <w:rPr>
          <w:rFonts w:ascii="Arial Narrow" w:hAnsi="Arial Narrow" w:cstheme="minorHAnsi"/>
          <w:sz w:val="22"/>
          <w:szCs w:val="22"/>
        </w:rPr>
        <w:t>)</w:t>
      </w:r>
      <w:r>
        <w:rPr>
          <w:rFonts w:ascii="Arial Narrow" w:hAnsi="Arial Narrow" w:cstheme="minorHAnsi"/>
          <w:sz w:val="22"/>
          <w:szCs w:val="22"/>
        </w:rPr>
        <w:t>.</w:t>
      </w:r>
    </w:p>
    <w:p w:rsidR="005C6842" w:rsidRDefault="005C6842" w:rsidP="00E502C3">
      <w:pPr>
        <w:pBdr>
          <w:top w:val="single" w:sz="4" w:space="4" w:color="auto"/>
          <w:left w:val="single" w:sz="4" w:space="4" w:color="auto"/>
          <w:bottom w:val="single" w:sz="4" w:space="4" w:color="auto"/>
          <w:right w:val="single" w:sz="4" w:space="4" w:color="auto"/>
        </w:pBdr>
        <w:spacing w:before="120"/>
        <w:ind w:right="95"/>
        <w:rPr>
          <w:rFonts w:ascii="Arial Narrow" w:hAnsi="Arial Narrow" w:cstheme="minorHAnsi"/>
          <w:sz w:val="22"/>
          <w:szCs w:val="22"/>
        </w:rPr>
      </w:pPr>
      <w:r>
        <w:rPr>
          <w:rFonts w:ascii="Arial Narrow" w:hAnsi="Arial Narrow" w:cstheme="minorHAnsi"/>
          <w:sz w:val="22"/>
          <w:szCs w:val="22"/>
        </w:rPr>
        <w:t xml:space="preserve">Adverse events were more frequent in patients receiving agalsidase beta when compared to agalsidase alfa, </w:t>
      </w:r>
      <w:r w:rsidR="00544A05">
        <w:rPr>
          <w:rFonts w:ascii="Arial Narrow" w:hAnsi="Arial Narrow" w:cstheme="minorHAnsi"/>
          <w:sz w:val="22"/>
          <w:szCs w:val="22"/>
        </w:rPr>
        <w:t>although</w:t>
      </w:r>
      <w:r>
        <w:rPr>
          <w:rFonts w:ascii="Arial Narrow" w:hAnsi="Arial Narrow" w:cstheme="minorHAnsi"/>
          <w:sz w:val="22"/>
          <w:szCs w:val="22"/>
        </w:rPr>
        <w:t xml:space="preserve"> the difference was not statistically significant </w:t>
      </w:r>
      <w:r w:rsidRPr="00E965BD">
        <w:rPr>
          <w:rFonts w:ascii="Arial Narrow" w:hAnsi="Arial Narrow" w:cstheme="minorHAnsi"/>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E965BD">
        <w:rPr>
          <w:rFonts w:ascii="Arial Narrow" w:hAnsi="Arial Narrow" w:cstheme="minorHAnsi"/>
          <w:sz w:val="22"/>
          <w:szCs w:val="22"/>
        </w:rPr>
        <w:t>)</w:t>
      </w:r>
      <w:r>
        <w:rPr>
          <w:rFonts w:ascii="Arial Narrow" w:hAnsi="Arial Narrow" w:cstheme="minorHAnsi"/>
          <w:sz w:val="22"/>
          <w:szCs w:val="22"/>
        </w:rPr>
        <w:t>.</w:t>
      </w:r>
    </w:p>
    <w:p w:rsidR="005C6842" w:rsidRDefault="005C6842" w:rsidP="005C6842">
      <w:pPr>
        <w:rPr>
          <w:rFonts w:cstheme="minorHAnsi"/>
        </w:rPr>
      </w:pPr>
    </w:p>
    <w:p w:rsidR="001C3FAF" w:rsidRPr="000756DF" w:rsidRDefault="001C3FAF" w:rsidP="00A979FB">
      <w:pPr>
        <w:pStyle w:val="Heading4"/>
      </w:pPr>
      <w:bookmarkStart w:id="174" w:name="_Ref403474118"/>
      <w:r w:rsidRPr="000756DF">
        <w:t>Background</w:t>
      </w:r>
    </w:p>
    <w:p w:rsidR="000A6218" w:rsidRDefault="000A6218" w:rsidP="000A6218">
      <w:pPr>
        <w:pStyle w:val="Heading5"/>
      </w:pPr>
      <w:r>
        <w:t>Fabry disease</w:t>
      </w:r>
    </w:p>
    <w:p w:rsidR="001C3FAF" w:rsidRDefault="001C3FAF" w:rsidP="001C3FAF">
      <w:pPr>
        <w:rPr>
          <w:rFonts w:cstheme="minorHAnsi"/>
        </w:rPr>
      </w:pPr>
      <w:r w:rsidRPr="000756DF">
        <w:rPr>
          <w:rFonts w:cstheme="minorHAnsi"/>
        </w:rPr>
        <w:t>Fabry (Anderson-Fabry) disease (FD) is glycolipid storage disorder caused by a deficiency of the enzyme alpha-galactosidase A. The rare and debilitating genetic disorder is X-linked and recessive, predominantly affecting males, but is also seen in a more varied form in females. The enzyme deficiency results in an accumulation at a cellular level of the metab</w:t>
      </w:r>
      <w:r w:rsidR="00F87099">
        <w:rPr>
          <w:rFonts w:cstheme="minorHAnsi"/>
        </w:rPr>
        <w:t>olite globotriaosylcerami</w:t>
      </w:r>
      <w:r w:rsidR="007B30ED">
        <w:rPr>
          <w:rFonts w:cstheme="minorHAnsi"/>
        </w:rPr>
        <w:t>de (Gb</w:t>
      </w:r>
      <w:r w:rsidRPr="000756DF">
        <w:rPr>
          <w:rFonts w:cstheme="minorHAnsi"/>
        </w:rPr>
        <w:t>3) in multiple organs and tissues and it is this substance which leads to a progressive dysfunction of systems. Cardiac and renal failures are common causes of premature death, but peripheral nerve, proteinuria, gastrointestinal and cerebrovascular complications are also features</w:t>
      </w:r>
      <w:r>
        <w:rPr>
          <w:rFonts w:cstheme="minorHAnsi"/>
        </w:rPr>
        <w:t xml:space="preserve"> of FD</w:t>
      </w:r>
      <w:r w:rsidRPr="000756DF">
        <w:rPr>
          <w:rFonts w:cstheme="minorHAnsi"/>
        </w:rPr>
        <w:t xml:space="preserve">. </w:t>
      </w:r>
      <w:r>
        <w:rPr>
          <w:rFonts w:cstheme="minorHAnsi"/>
        </w:rPr>
        <w:t>The disease is</w:t>
      </w:r>
      <w:r w:rsidRPr="000756DF">
        <w:rPr>
          <w:rFonts w:cstheme="minorHAnsi"/>
        </w:rPr>
        <w:t xml:space="preserve"> most often diagnosed in young adults</w:t>
      </w:r>
      <w:r>
        <w:rPr>
          <w:rFonts w:cstheme="minorHAnsi"/>
        </w:rPr>
        <w:t xml:space="preserve"> but</w:t>
      </w:r>
      <w:r w:rsidRPr="000756DF">
        <w:rPr>
          <w:rFonts w:cstheme="minorHAnsi"/>
        </w:rPr>
        <w:t xml:space="preserve"> symptoms can occur as young as five years, or later than adolescence, depending on the form of the disease. </w:t>
      </w:r>
    </w:p>
    <w:p w:rsidR="000A6218" w:rsidRPr="000756DF" w:rsidRDefault="000A6218" w:rsidP="000A6218">
      <w:pPr>
        <w:pStyle w:val="Heading5"/>
      </w:pPr>
      <w:r>
        <w:t>Pre-enzyme replacement therapy</w:t>
      </w:r>
    </w:p>
    <w:p w:rsidR="006A63A8" w:rsidRDefault="001C3FAF" w:rsidP="006A63A8">
      <w:pPr>
        <w:rPr>
          <w:rFonts w:cstheme="minorHAnsi"/>
        </w:rPr>
      </w:pPr>
      <w:r w:rsidRPr="000756DF">
        <w:rPr>
          <w:rFonts w:cstheme="minorHAnsi"/>
        </w:rPr>
        <w:t>Until agalsidase-beta and agalsidase-al</w:t>
      </w:r>
      <w:r>
        <w:rPr>
          <w:rFonts w:cstheme="minorHAnsi"/>
        </w:rPr>
        <w:t>f</w:t>
      </w:r>
      <w:r w:rsidRPr="000756DF">
        <w:rPr>
          <w:rFonts w:cstheme="minorHAnsi"/>
        </w:rPr>
        <w:t xml:space="preserve">a were developed and approved for use in Europe in 2001, there was no specific treatment for FD. </w:t>
      </w:r>
    </w:p>
    <w:p w:rsidR="000A6218" w:rsidRDefault="006A63A8" w:rsidP="006A63A8">
      <w:pPr>
        <w:rPr>
          <w:rFonts w:cstheme="minorHAnsi"/>
        </w:rPr>
      </w:pPr>
      <w:r>
        <w:rPr>
          <w:rFonts w:cstheme="minorHAnsi"/>
        </w:rPr>
        <w:t xml:space="preserve">Management of proteinuria is a priority for patients with FD.  Adjunctive therapies are recommended to control blood pressure and nephropathy including angiotensin converting enzyme inhibitors and angiotensin receptor blockers. Neuropathic pain management can be complex and may require analgesics, antiepileptic drugs and/or </w:t>
      </w:r>
      <w:r w:rsidR="00F87099">
        <w:rPr>
          <w:rFonts w:cstheme="minorHAnsi"/>
        </w:rPr>
        <w:t>amino butyric</w:t>
      </w:r>
      <w:r w:rsidR="00544A05">
        <w:rPr>
          <w:rFonts w:cstheme="minorHAnsi"/>
        </w:rPr>
        <w:t xml:space="preserve"> acid analogues. Anti</w:t>
      </w:r>
      <w:r>
        <w:rPr>
          <w:rFonts w:cstheme="minorHAnsi"/>
        </w:rPr>
        <w:t>-platelet drugs and blood pressure control are among the recommended treatments for vascular disease in Fabry patients. Disease progression can lead to dialysis, renal transplantation and neurotropic analgesics.</w:t>
      </w:r>
    </w:p>
    <w:p w:rsidR="000A6218" w:rsidRDefault="000A6218" w:rsidP="000A6218">
      <w:pPr>
        <w:pStyle w:val="Heading5"/>
      </w:pPr>
      <w:r>
        <w:lastRenderedPageBreak/>
        <w:t>Enzyme replacement therapy</w:t>
      </w:r>
    </w:p>
    <w:p w:rsidR="000A6218" w:rsidRDefault="006A63A8" w:rsidP="001C3FAF">
      <w:pPr>
        <w:rPr>
          <w:rFonts w:cstheme="minorHAnsi"/>
        </w:rPr>
      </w:pPr>
      <w:r>
        <w:rPr>
          <w:rFonts w:cstheme="minorHAnsi"/>
        </w:rPr>
        <w:t xml:space="preserve">Agalsidase alfa and beta have been subsidised through the LSDP for patients with FD since 2004. </w:t>
      </w:r>
      <w:r w:rsidR="000A6218" w:rsidRPr="000756DF">
        <w:rPr>
          <w:rFonts w:cstheme="minorHAnsi"/>
        </w:rPr>
        <w:t xml:space="preserve">The rationale behind enzyme replacement therapy is to administer sufficient enzyme to the patient to enable metabolism of </w:t>
      </w:r>
      <w:r w:rsidR="000A6218">
        <w:rPr>
          <w:rFonts w:cstheme="minorHAnsi"/>
        </w:rPr>
        <w:t>Gb</w:t>
      </w:r>
      <w:r w:rsidR="000A6218" w:rsidRPr="000756DF">
        <w:rPr>
          <w:rFonts w:cstheme="minorHAnsi"/>
        </w:rPr>
        <w:t xml:space="preserve">3, thereby </w:t>
      </w:r>
      <w:r>
        <w:rPr>
          <w:rFonts w:cstheme="minorHAnsi"/>
        </w:rPr>
        <w:t>reducing</w:t>
      </w:r>
      <w:r w:rsidR="000A6218" w:rsidRPr="000756DF">
        <w:rPr>
          <w:rFonts w:cstheme="minorHAnsi"/>
        </w:rPr>
        <w:t xml:space="preserve"> its accumulation and </w:t>
      </w:r>
      <w:r>
        <w:rPr>
          <w:rFonts w:cstheme="minorHAnsi"/>
        </w:rPr>
        <w:t xml:space="preserve">slowing </w:t>
      </w:r>
      <w:r w:rsidR="000A6218" w:rsidRPr="000756DF">
        <w:rPr>
          <w:rFonts w:cstheme="minorHAnsi"/>
        </w:rPr>
        <w:t>progressi</w:t>
      </w:r>
      <w:r w:rsidR="000A6218">
        <w:rPr>
          <w:rFonts w:cstheme="minorHAnsi"/>
        </w:rPr>
        <w:t>on of the</w:t>
      </w:r>
      <w:r w:rsidR="000A6218" w:rsidRPr="000756DF">
        <w:rPr>
          <w:rFonts w:cstheme="minorHAnsi"/>
        </w:rPr>
        <w:t xml:space="preserve"> disease </w:t>
      </w:r>
      <w:r w:rsidR="000A6218">
        <w:rPr>
          <w:rFonts w:cstheme="minorHAnsi"/>
          <w:noProof/>
        </w:rPr>
        <w:t>(</w:t>
      </w:r>
      <w:r w:rsidR="00184B6F">
        <w:rPr>
          <w:rFonts w:cstheme="minorHAnsi"/>
          <w:noProof/>
        </w:rPr>
        <w:t>Alegra T et al. 2012</w:t>
      </w:r>
      <w:r w:rsidR="000A6218">
        <w:rPr>
          <w:rFonts w:cstheme="minorHAnsi"/>
          <w:noProof/>
        </w:rPr>
        <w:t xml:space="preserve">; </w:t>
      </w:r>
      <w:r w:rsidR="00184B6F">
        <w:rPr>
          <w:rFonts w:cstheme="minorHAnsi"/>
          <w:noProof/>
        </w:rPr>
        <w:t>Schaefer, Tylki-Szymanska &amp; Hilz 2009</w:t>
      </w:r>
      <w:r w:rsidR="000A6218">
        <w:rPr>
          <w:rFonts w:cstheme="minorHAnsi"/>
          <w:noProof/>
        </w:rPr>
        <w:t>)</w:t>
      </w:r>
      <w:r w:rsidR="000A6218" w:rsidRPr="000756DF">
        <w:rPr>
          <w:rFonts w:cstheme="minorHAnsi"/>
        </w:rPr>
        <w:t>.</w:t>
      </w:r>
    </w:p>
    <w:p w:rsidR="001C3FAF" w:rsidRDefault="001C3FAF" w:rsidP="001C3FAF">
      <w:pPr>
        <w:rPr>
          <w:rFonts w:cstheme="minorHAnsi"/>
        </w:rPr>
      </w:pPr>
      <w:r w:rsidRPr="000756DF">
        <w:rPr>
          <w:rFonts w:cstheme="minorHAnsi"/>
        </w:rPr>
        <w:t>The two genetically engineered drugs are now produced by different companies but are virtually identical – the beta form produced by Genzyme Corp. is cultured in a hamster cell line, and the al</w:t>
      </w:r>
      <w:r>
        <w:rPr>
          <w:rFonts w:cstheme="minorHAnsi"/>
        </w:rPr>
        <w:t>f</w:t>
      </w:r>
      <w:r w:rsidRPr="000756DF">
        <w:rPr>
          <w:rFonts w:cstheme="minorHAnsi"/>
        </w:rPr>
        <w:t xml:space="preserve">a form is produced by TKT in a human cell-line. Due to a world-wide shortage of agalsidase-beta in 2009, many patients decreased or ceased treatment and transferred to agalsidase-alfa </w:t>
      </w:r>
      <w:r w:rsidR="00A130D0">
        <w:rPr>
          <w:rFonts w:cstheme="minorHAnsi"/>
          <w:noProof/>
        </w:rPr>
        <w:t>(</w:t>
      </w:r>
      <w:r w:rsidR="00184B6F">
        <w:rPr>
          <w:rFonts w:cstheme="minorHAnsi"/>
          <w:noProof/>
        </w:rPr>
        <w:t>Smid et al. 2011</w:t>
      </w:r>
      <w:r w:rsidR="00A130D0">
        <w:rPr>
          <w:rFonts w:cstheme="minorHAnsi"/>
          <w:noProof/>
        </w:rPr>
        <w:t>)</w:t>
      </w:r>
      <w:r w:rsidRPr="000756DF">
        <w:rPr>
          <w:rFonts w:cstheme="minorHAnsi"/>
        </w:rPr>
        <w:t xml:space="preserve">. In the United States, orphan drug laws prevented the approval of both drugs, and agalsidase-beta was approved by the FDA in 2003 after consideration of the trial evidence for both drugs </w:t>
      </w:r>
      <w:r w:rsidR="00A130D0">
        <w:rPr>
          <w:rFonts w:cstheme="minorHAnsi"/>
          <w:noProof/>
        </w:rPr>
        <w:t>(</w:t>
      </w:r>
      <w:r w:rsidR="00184B6F">
        <w:rPr>
          <w:rFonts w:cstheme="minorHAnsi"/>
          <w:noProof/>
        </w:rPr>
        <w:t>Desnick 2004</w:t>
      </w:r>
      <w:r w:rsidR="00A130D0">
        <w:rPr>
          <w:rFonts w:cstheme="minorHAnsi"/>
          <w:noProof/>
        </w:rPr>
        <w:t>)</w:t>
      </w:r>
      <w:r w:rsidRPr="000756DF">
        <w:rPr>
          <w:rFonts w:cstheme="minorHAnsi"/>
        </w:rPr>
        <w:t xml:space="preserve">. </w:t>
      </w:r>
    </w:p>
    <w:p w:rsidR="006A63A8" w:rsidRDefault="006A63A8" w:rsidP="006A63A8">
      <w:pPr>
        <w:rPr>
          <w:rFonts w:cstheme="minorHAnsi"/>
        </w:rPr>
      </w:pPr>
      <w:r>
        <w:rPr>
          <w:rFonts w:cstheme="minorHAnsi"/>
        </w:rPr>
        <w:t>Administration of ERT carries considerable burden for the patient. Agalsidase beta is administered by intravenous infusion at a recommended dose of 1mg/kg very two weeks. The in</w:t>
      </w:r>
      <w:r w:rsidR="00AB55B6">
        <w:rPr>
          <w:rFonts w:cstheme="minorHAnsi"/>
        </w:rPr>
        <w:t>i</w:t>
      </w:r>
      <w:r>
        <w:rPr>
          <w:rFonts w:cstheme="minorHAnsi"/>
        </w:rPr>
        <w:t xml:space="preserve">tial infusion rate is cautiously slow (no more than 15 mg per hour) as infusion reactions are not uncommon, however once a patient has established tolerance to the treatment, infusion rate can be increased. At maximum rate, infusion times vary from 2 hours for a child of 30 kg to 5 hours in a 75 kg adult. The recommended dose for agalsidase alfa is 0.2 mg/kg every 2 weeks with an infusion time of 40 minutes. Pre-treatment with antihistamines or corticosteroids to reduce infusion reaction is common and would be applied if a prior infusion resulted in a reaction. </w:t>
      </w:r>
    </w:p>
    <w:p w:rsidR="006A63A8" w:rsidRPr="000756DF" w:rsidRDefault="006A63A8" w:rsidP="001C3FAF">
      <w:pPr>
        <w:rPr>
          <w:rFonts w:cstheme="minorHAnsi"/>
        </w:rPr>
      </w:pPr>
      <w:r>
        <w:rPr>
          <w:rFonts w:cstheme="minorHAnsi"/>
        </w:rPr>
        <w:t xml:space="preserve">A home infusion program is provided by the sponsor for both </w:t>
      </w:r>
      <w:r w:rsidR="00F87099">
        <w:rPr>
          <w:rFonts w:cstheme="minorHAnsi"/>
        </w:rPr>
        <w:t>drugs;</w:t>
      </w:r>
      <w:r>
        <w:rPr>
          <w:rFonts w:cstheme="minorHAnsi"/>
        </w:rPr>
        <w:t xml:space="preserve"> however a patient must undergo their first three infusion</w:t>
      </w:r>
      <w:r w:rsidR="00AB55B6">
        <w:rPr>
          <w:rFonts w:cstheme="minorHAnsi"/>
        </w:rPr>
        <w:t>s</w:t>
      </w:r>
      <w:r>
        <w:rPr>
          <w:rFonts w:cstheme="minorHAnsi"/>
        </w:rPr>
        <w:t xml:space="preserve"> in a hospital setting. Once the patient has been assessed by the treating physician as having infusion reactions controlled, home infusion may be considered.</w:t>
      </w:r>
    </w:p>
    <w:p w:rsidR="001C3FAF" w:rsidRPr="000756DF" w:rsidRDefault="001C3FAF" w:rsidP="00A979FB">
      <w:pPr>
        <w:pStyle w:val="Heading4"/>
      </w:pPr>
      <w:r w:rsidRPr="000756DF">
        <w:t>Systematic review inclusion criteria</w:t>
      </w:r>
    </w:p>
    <w:p w:rsidR="001C3FAF" w:rsidRPr="000756DF" w:rsidRDefault="00A72B26" w:rsidP="001C3FAF">
      <w:pPr>
        <w:rPr>
          <w:rFonts w:cstheme="minorHAnsi"/>
        </w:rPr>
      </w:pPr>
      <w:r w:rsidRPr="000756DF">
        <w:t xml:space="preserve">Table </w:t>
      </w:r>
      <w:r>
        <w:rPr>
          <w:noProof/>
        </w:rPr>
        <w:t>29</w:t>
      </w:r>
      <w:r w:rsidR="001C3FAF" w:rsidRPr="000756DF">
        <w:rPr>
          <w:rFonts w:cstheme="minorHAnsi"/>
        </w:rPr>
        <w:t xml:space="preserve"> provides the criteria for selecting studies that assess the safety and effectiveness of agalsidase alfa or beta for the treatment of patients with Fabry disease.</w:t>
      </w:r>
    </w:p>
    <w:p w:rsidR="001C3FAF" w:rsidRPr="000756DF" w:rsidRDefault="001C3FAF" w:rsidP="001C3FAF">
      <w:pPr>
        <w:pStyle w:val="Caption"/>
        <w:keepNext/>
        <w:tabs>
          <w:tab w:val="clear" w:pos="851"/>
          <w:tab w:val="left" w:pos="1134"/>
        </w:tabs>
        <w:ind w:left="1134" w:hanging="1134"/>
      </w:pPr>
      <w:bookmarkStart w:id="175" w:name="_Ref393279764"/>
      <w:bookmarkStart w:id="176" w:name="_Toc405361928"/>
      <w:bookmarkStart w:id="177" w:name="_Toc411510411"/>
      <w:bookmarkStart w:id="178" w:name="_Toc415141826"/>
      <w:r w:rsidRPr="000756DF">
        <w:lastRenderedPageBreak/>
        <w:t xml:space="preserve">Table </w:t>
      </w:r>
      <w:r w:rsidR="00A72B26">
        <w:rPr>
          <w:noProof/>
        </w:rPr>
        <w:t>29</w:t>
      </w:r>
      <w:bookmarkEnd w:id="175"/>
      <w:r w:rsidRPr="000756DF">
        <w:tab/>
        <w:t xml:space="preserve">Criteria for selecting studies to assess the safety and effectiveness of </w:t>
      </w:r>
      <w:r w:rsidRPr="000756DF">
        <w:rPr>
          <w:rFonts w:asciiTheme="minorHAnsi" w:hAnsiTheme="minorHAnsi" w:cstheme="minorHAnsi"/>
        </w:rPr>
        <w:t>agalsidase alfa and agalsidase beta</w:t>
      </w:r>
      <w:bookmarkEnd w:id="176"/>
      <w:bookmarkEnd w:id="177"/>
      <w:bookmarkEnd w:id="178"/>
    </w:p>
    <w:tbl>
      <w:tblPr>
        <w:tblStyle w:val="TableGrid"/>
        <w:tblW w:w="0" w:type="auto"/>
        <w:tblLook w:val="04A0" w:firstRow="1" w:lastRow="0" w:firstColumn="1" w:lastColumn="0" w:noHBand="0" w:noVBand="1"/>
        <w:tblCaption w:val="Table 26 Criteria for selecting studies to assess the safety and effectiveness of agalsidase alfa and agalsidase beta"/>
      </w:tblPr>
      <w:tblGrid>
        <w:gridCol w:w="1555"/>
        <w:gridCol w:w="7687"/>
      </w:tblGrid>
      <w:tr w:rsidR="001C3FAF" w:rsidRPr="000756DF" w:rsidTr="00B37104">
        <w:trPr>
          <w:tblHeader/>
        </w:trPr>
        <w:tc>
          <w:tcPr>
            <w:tcW w:w="1555" w:type="dxa"/>
          </w:tcPr>
          <w:p w:rsidR="001C3FAF" w:rsidRPr="000756DF" w:rsidRDefault="001C3FAF" w:rsidP="00E4686C">
            <w:pPr>
              <w:pStyle w:val="TableHeading"/>
            </w:pPr>
            <w:r w:rsidRPr="000756DF">
              <w:t>Characteristic</w:t>
            </w:r>
          </w:p>
        </w:tc>
        <w:tc>
          <w:tcPr>
            <w:tcW w:w="7687" w:type="dxa"/>
          </w:tcPr>
          <w:p w:rsidR="001C3FAF" w:rsidRPr="000756DF" w:rsidRDefault="001C3FAF" w:rsidP="00E4686C">
            <w:pPr>
              <w:pStyle w:val="TableHeading"/>
            </w:pPr>
            <w:r w:rsidRPr="000756DF">
              <w:t>Inclusion criteria</w:t>
            </w:r>
          </w:p>
        </w:tc>
      </w:tr>
      <w:tr w:rsidR="001C3FAF" w:rsidRPr="000756DF" w:rsidTr="001C3FAF">
        <w:tc>
          <w:tcPr>
            <w:tcW w:w="1555" w:type="dxa"/>
          </w:tcPr>
          <w:p w:rsidR="001C3FAF" w:rsidRPr="000756DF" w:rsidRDefault="001C3FAF" w:rsidP="00E4686C">
            <w:pPr>
              <w:pStyle w:val="TableText0"/>
              <w:rPr>
                <w:bCs/>
                <w:caps/>
                <w:color w:val="002060"/>
              </w:rPr>
            </w:pPr>
            <w:r w:rsidRPr="000756DF">
              <w:t>Study design</w:t>
            </w:r>
          </w:p>
        </w:tc>
        <w:tc>
          <w:tcPr>
            <w:tcW w:w="7687" w:type="dxa"/>
          </w:tcPr>
          <w:p w:rsidR="001C3FAF" w:rsidRPr="000756DF" w:rsidRDefault="001C3FAF" w:rsidP="00E4686C">
            <w:pPr>
              <w:pStyle w:val="TableText0"/>
            </w:pPr>
            <w:r w:rsidRPr="000756DF">
              <w:t>The highest level of evidence available (from</w:t>
            </w:r>
            <w:r w:rsidR="00E4686C">
              <w:t xml:space="preserve"> Table 2</w:t>
            </w:r>
            <w:r w:rsidRPr="000756DF">
              <w:t xml:space="preserve">) that addresses the research questions. Case reports </w:t>
            </w:r>
            <w:r>
              <w:t>would have been</w:t>
            </w:r>
            <w:r w:rsidRPr="000756DF">
              <w:t xml:space="preserve"> included if none of the study designs in </w:t>
            </w:r>
            <w:r w:rsidR="00E4686C">
              <w:t>Table 2</w:t>
            </w:r>
            <w:r w:rsidRPr="000756DF">
              <w:t xml:space="preserve"> </w:t>
            </w:r>
            <w:r>
              <w:t>we</w:t>
            </w:r>
            <w:r w:rsidRPr="000756DF">
              <w:t>re available.</w:t>
            </w:r>
          </w:p>
        </w:tc>
      </w:tr>
      <w:tr w:rsidR="001C3FAF" w:rsidRPr="000756DF" w:rsidTr="001C3FAF">
        <w:tc>
          <w:tcPr>
            <w:tcW w:w="1555" w:type="dxa"/>
          </w:tcPr>
          <w:p w:rsidR="001C3FAF" w:rsidRPr="000756DF" w:rsidRDefault="001C3FAF" w:rsidP="00E4686C">
            <w:pPr>
              <w:pStyle w:val="TableText0"/>
            </w:pPr>
            <w:r w:rsidRPr="000756DF">
              <w:t>Population</w:t>
            </w:r>
          </w:p>
        </w:tc>
        <w:tc>
          <w:tcPr>
            <w:tcW w:w="7687" w:type="dxa"/>
          </w:tcPr>
          <w:p w:rsidR="001C3FAF" w:rsidRPr="000756DF" w:rsidRDefault="001C3FAF" w:rsidP="00E4686C">
            <w:pPr>
              <w:pStyle w:val="TableText0"/>
            </w:pPr>
            <w:r w:rsidRPr="000756DF">
              <w:t xml:space="preserve">Patients with Fabry disease (Anderson-Fabry disease, </w:t>
            </w:r>
            <w:r w:rsidRPr="000756DF">
              <w:rPr>
                <w:i/>
              </w:rPr>
              <w:t>angiokeratoma corporis diffusum</w:t>
            </w:r>
            <w:r w:rsidRPr="000756DF">
              <w:t xml:space="preserve"> or </w:t>
            </w:r>
            <w:r w:rsidRPr="000756DF">
              <w:sym w:font="Symbol" w:char="F061"/>
            </w:r>
            <w:r w:rsidRPr="000756DF">
              <w:t xml:space="preserve">-galactosidase A deficiency) </w:t>
            </w:r>
          </w:p>
        </w:tc>
      </w:tr>
      <w:tr w:rsidR="001C3FAF" w:rsidRPr="000756DF" w:rsidTr="001C3FAF">
        <w:tc>
          <w:tcPr>
            <w:tcW w:w="1555" w:type="dxa"/>
          </w:tcPr>
          <w:p w:rsidR="001C3FAF" w:rsidRPr="000756DF" w:rsidRDefault="001C3FAF" w:rsidP="00E4686C">
            <w:pPr>
              <w:pStyle w:val="TableText0"/>
            </w:pPr>
            <w:r w:rsidRPr="000756DF">
              <w:t>Interventions</w:t>
            </w:r>
          </w:p>
        </w:tc>
        <w:tc>
          <w:tcPr>
            <w:tcW w:w="7687" w:type="dxa"/>
          </w:tcPr>
          <w:p w:rsidR="001C3FAF" w:rsidRPr="000756DF" w:rsidRDefault="001C3FAF" w:rsidP="00E4686C">
            <w:pPr>
              <w:pStyle w:val="TableText0"/>
              <w:rPr>
                <w:rFonts w:eastAsia="Calibri"/>
              </w:rPr>
            </w:pPr>
            <w:r w:rsidRPr="00C930F8">
              <w:rPr>
                <w:rFonts w:eastAsia="Calibri"/>
              </w:rPr>
              <w:t>1.</w:t>
            </w:r>
            <w:r>
              <w:rPr>
                <w:rFonts w:eastAsia="Calibri"/>
              </w:rPr>
              <w:t xml:space="preserve"> </w:t>
            </w:r>
            <w:r w:rsidRPr="000756DF">
              <w:rPr>
                <w:rFonts w:eastAsia="Calibri"/>
              </w:rPr>
              <w:t xml:space="preserve">Agalsidase alfa (Replagal®), or </w:t>
            </w:r>
          </w:p>
          <w:p w:rsidR="001C3FAF" w:rsidRPr="000756DF" w:rsidRDefault="001C3FAF" w:rsidP="00E4686C">
            <w:pPr>
              <w:pStyle w:val="TableText0"/>
              <w:rPr>
                <w:rFonts w:eastAsia="Calibri"/>
              </w:rPr>
            </w:pPr>
            <w:r>
              <w:rPr>
                <w:rFonts w:eastAsia="Calibri"/>
              </w:rPr>
              <w:t xml:space="preserve">2. </w:t>
            </w:r>
            <w:r w:rsidRPr="000756DF">
              <w:rPr>
                <w:rFonts w:eastAsia="Calibri"/>
              </w:rPr>
              <w:t>Agalsidase beta (Fabrazyme®)</w:t>
            </w:r>
          </w:p>
          <w:p w:rsidR="001C3FAF" w:rsidRPr="000756DF" w:rsidRDefault="001C3FAF" w:rsidP="00E4686C">
            <w:pPr>
              <w:pStyle w:val="TableText0"/>
            </w:pPr>
            <w:r w:rsidRPr="000756DF">
              <w:t>Subgroup analysis: by dose (e</w:t>
            </w:r>
            <w:r w:rsidR="00AB55B6">
              <w:t>.</w:t>
            </w:r>
            <w:r w:rsidRPr="000756DF">
              <w:t>g</w:t>
            </w:r>
            <w:r w:rsidR="00AB55B6">
              <w:t>.</w:t>
            </w:r>
            <w:r w:rsidRPr="000756DF">
              <w:t xml:space="preserve"> doses consistent with TGA listing, as well as experimental dosing regimens)</w:t>
            </w:r>
          </w:p>
        </w:tc>
      </w:tr>
      <w:tr w:rsidR="001C3FAF" w:rsidRPr="000756DF" w:rsidTr="001C3FAF">
        <w:tc>
          <w:tcPr>
            <w:tcW w:w="1555" w:type="dxa"/>
          </w:tcPr>
          <w:p w:rsidR="001C3FAF" w:rsidRPr="000756DF" w:rsidRDefault="001C3FAF" w:rsidP="00E4686C">
            <w:pPr>
              <w:pStyle w:val="TableText0"/>
            </w:pPr>
            <w:r w:rsidRPr="000756DF">
              <w:t>Comparators</w:t>
            </w:r>
          </w:p>
        </w:tc>
        <w:tc>
          <w:tcPr>
            <w:tcW w:w="7687" w:type="dxa"/>
          </w:tcPr>
          <w:p w:rsidR="001C3FAF" w:rsidRPr="000756DF" w:rsidRDefault="001C3FAF" w:rsidP="00E4686C">
            <w:pPr>
              <w:pStyle w:val="TableText0"/>
              <w:rPr>
                <w:rFonts w:eastAsia="Calibri"/>
              </w:rPr>
            </w:pPr>
            <w:r w:rsidRPr="00C930F8">
              <w:rPr>
                <w:rFonts w:eastAsia="Calibri"/>
              </w:rPr>
              <w:t>1.</w:t>
            </w:r>
            <w:r>
              <w:rPr>
                <w:rFonts w:eastAsia="Calibri"/>
              </w:rPr>
              <w:t xml:space="preserve"> </w:t>
            </w:r>
            <w:r w:rsidRPr="000756DF">
              <w:rPr>
                <w:rFonts w:eastAsia="Calibri"/>
              </w:rPr>
              <w:t>Supportive care (including analgesics) plus placebo</w:t>
            </w:r>
          </w:p>
          <w:p w:rsidR="001C3FAF" w:rsidRPr="000756DF" w:rsidRDefault="001C3FAF" w:rsidP="00E4686C">
            <w:pPr>
              <w:pStyle w:val="TableText0"/>
              <w:rPr>
                <w:rFonts w:eastAsia="Calibri"/>
              </w:rPr>
            </w:pPr>
            <w:r>
              <w:rPr>
                <w:rFonts w:eastAsia="Calibri"/>
              </w:rPr>
              <w:t xml:space="preserve">2. </w:t>
            </w:r>
            <w:r w:rsidRPr="000756DF">
              <w:rPr>
                <w:rFonts w:eastAsia="Calibri"/>
              </w:rPr>
              <w:t>Agalsidase alfa (Replagal®) or agalsidase beta (Fabrazyme®)</w:t>
            </w:r>
          </w:p>
        </w:tc>
      </w:tr>
      <w:tr w:rsidR="001C3FAF" w:rsidRPr="000756DF" w:rsidTr="001C3FAF">
        <w:tc>
          <w:tcPr>
            <w:tcW w:w="1555" w:type="dxa"/>
          </w:tcPr>
          <w:p w:rsidR="001C3FAF" w:rsidRPr="000756DF" w:rsidRDefault="001C3FAF" w:rsidP="00E4686C">
            <w:pPr>
              <w:pStyle w:val="TableText0"/>
            </w:pPr>
            <w:r w:rsidRPr="000756DF">
              <w:t>Outcomes</w:t>
            </w:r>
          </w:p>
        </w:tc>
        <w:tc>
          <w:tcPr>
            <w:tcW w:w="7687" w:type="dxa"/>
          </w:tcPr>
          <w:p w:rsidR="001C3FAF" w:rsidRPr="000756DF" w:rsidRDefault="001C3FAF" w:rsidP="00E4686C">
            <w:pPr>
              <w:pStyle w:val="TableText0"/>
            </w:pPr>
            <w:r w:rsidRPr="000756DF">
              <w:rPr>
                <w:i/>
                <w:iCs/>
              </w:rPr>
              <w:t>Safety:</w:t>
            </w:r>
            <w:r w:rsidRPr="000756DF">
              <w:t xml:space="preserve"> adverse events related to treatments – for example, nausea, vomiting, diarrhoea, inability to gain weight, fatigue, vertigo, tinnitus, anaphylaxis; and compliance with treatment (i.e. treatment withdrawal or suboptimal dosing)</w:t>
            </w:r>
          </w:p>
          <w:p w:rsidR="001C3FAF" w:rsidRPr="000756DF" w:rsidRDefault="001C3FAF" w:rsidP="00E4686C">
            <w:pPr>
              <w:pStyle w:val="TableText0"/>
            </w:pPr>
            <w:r w:rsidRPr="000756DF">
              <w:rPr>
                <w:i/>
                <w:iCs/>
              </w:rPr>
              <w:t>Primary effectiveness:</w:t>
            </w:r>
            <w:r w:rsidRPr="000756DF">
              <w:t xml:space="preserve"> survival</w:t>
            </w:r>
          </w:p>
          <w:p w:rsidR="001C3FAF" w:rsidRPr="000756DF" w:rsidRDefault="001C3FAF" w:rsidP="00E4686C">
            <w:pPr>
              <w:pStyle w:val="TableText0"/>
            </w:pPr>
            <w:r w:rsidRPr="000756DF">
              <w:rPr>
                <w:i/>
                <w:iCs/>
              </w:rPr>
              <w:t>Secondary effectiveness:</w:t>
            </w:r>
            <w:r w:rsidRPr="000756DF">
              <w:t xml:space="preserve"> quality of life; pain (peripheral neuropathy/acroparaesthesia); cerebrovascular outcomes (stroke/TIAs); renal function (globotriaosylceramide* (Gb3 or GL-3) levels, GFR, urinary protein:creatinine ratio); cardiovascular function (hypertension, left ventricular measures, exercise capacity)</w:t>
            </w:r>
          </w:p>
        </w:tc>
      </w:tr>
      <w:tr w:rsidR="001C3FAF" w:rsidRPr="000756DF" w:rsidTr="001C3FAF">
        <w:tc>
          <w:tcPr>
            <w:tcW w:w="1555" w:type="dxa"/>
          </w:tcPr>
          <w:p w:rsidR="001C3FAF" w:rsidRPr="000756DF" w:rsidRDefault="001C3FAF" w:rsidP="00E4686C">
            <w:pPr>
              <w:pStyle w:val="TableText0"/>
            </w:pPr>
            <w:r w:rsidRPr="000756DF">
              <w:t>Language</w:t>
            </w:r>
          </w:p>
        </w:tc>
        <w:tc>
          <w:tcPr>
            <w:tcW w:w="7687" w:type="dxa"/>
          </w:tcPr>
          <w:p w:rsidR="001C3FAF" w:rsidRPr="000756DF" w:rsidRDefault="001C3FAF" w:rsidP="00E4686C">
            <w:pPr>
              <w:pStyle w:val="TableText0"/>
            </w:pPr>
            <w:r w:rsidRPr="000756DF">
              <w:t xml:space="preserve">Studies in languages other than English </w:t>
            </w:r>
            <w:r>
              <w:t xml:space="preserve">would </w:t>
            </w:r>
            <w:r w:rsidRPr="000756DF">
              <w:t>only be translated if it appear</w:t>
            </w:r>
            <w:r>
              <w:t xml:space="preserve">ed </w:t>
            </w:r>
            <w:r w:rsidRPr="000756DF">
              <w:t>from the abstract that the</w:t>
            </w:r>
            <w:r>
              <w:t xml:space="preserve"> stud</w:t>
            </w:r>
            <w:r w:rsidRPr="000756DF">
              <w:t>y represent</w:t>
            </w:r>
            <w:r>
              <w:t>ed</w:t>
            </w:r>
            <w:r w:rsidRPr="000756DF">
              <w:t xml:space="preserve"> a higher level of evidence than that available in English.</w:t>
            </w:r>
          </w:p>
        </w:tc>
      </w:tr>
      <w:tr w:rsidR="001C3FAF" w:rsidRPr="000756DF" w:rsidTr="001C3FAF">
        <w:tc>
          <w:tcPr>
            <w:tcW w:w="1555" w:type="dxa"/>
          </w:tcPr>
          <w:p w:rsidR="001C3FAF" w:rsidRPr="000756DF" w:rsidRDefault="001C3FAF" w:rsidP="00E4686C">
            <w:pPr>
              <w:pStyle w:val="TableText0"/>
            </w:pPr>
            <w:r w:rsidRPr="000756DF">
              <w:t>Research questions</w:t>
            </w:r>
          </w:p>
        </w:tc>
        <w:tc>
          <w:tcPr>
            <w:tcW w:w="7687" w:type="dxa"/>
          </w:tcPr>
          <w:p w:rsidR="001C3FAF" w:rsidRPr="000756DF" w:rsidRDefault="001C3FAF" w:rsidP="00E4686C">
            <w:pPr>
              <w:pStyle w:val="TableText0"/>
            </w:pPr>
            <w:r w:rsidRPr="000756DF">
              <w:t>Is agalsidase alfa safe and effective compared to supportive care and placebo for treating patients with Fabry disease?</w:t>
            </w:r>
          </w:p>
          <w:p w:rsidR="001C3FAF" w:rsidRPr="000756DF" w:rsidRDefault="001C3FAF" w:rsidP="00E4686C">
            <w:pPr>
              <w:pStyle w:val="TableText0"/>
            </w:pPr>
            <w:r w:rsidRPr="000756DF">
              <w:t>Is agalsidase beta safe and effective compared to supportive care and placebo for treating patients with Fabry disease?</w:t>
            </w:r>
          </w:p>
          <w:p w:rsidR="001C3FAF" w:rsidRPr="000756DF" w:rsidRDefault="001C3FAF" w:rsidP="00E4686C">
            <w:pPr>
              <w:pStyle w:val="TableText0"/>
            </w:pPr>
            <w:r w:rsidRPr="000756DF">
              <w:t>Is agalsidase beta safe and effective compared to agalsidase alfa for treating patients with Fabry disease?</w:t>
            </w:r>
          </w:p>
        </w:tc>
      </w:tr>
    </w:tbl>
    <w:p w:rsidR="001C3FAF" w:rsidRDefault="001C3FAF" w:rsidP="001C3FAF">
      <w:pPr>
        <w:rPr>
          <w:rFonts w:ascii="Arial Narrow" w:hAnsi="Arial Narrow" w:cstheme="minorHAnsi"/>
          <w:sz w:val="20"/>
          <w:szCs w:val="20"/>
        </w:rPr>
      </w:pPr>
      <w:r w:rsidRPr="000756DF">
        <w:rPr>
          <w:rFonts w:ascii="Arial Narrow" w:hAnsi="Arial Narrow" w:cstheme="minorHAnsi"/>
          <w:sz w:val="20"/>
          <w:szCs w:val="20"/>
        </w:rPr>
        <w:t>TGA</w:t>
      </w:r>
      <w:r w:rsidR="00652355" w:rsidRPr="00652355">
        <w:rPr>
          <w:rFonts w:ascii="Arial Narrow" w:hAnsi="Arial Narrow" w:cstheme="minorHAnsi"/>
          <w:spacing w:val="-20"/>
          <w:sz w:val="20"/>
          <w:szCs w:val="20"/>
        </w:rPr>
        <w:t xml:space="preserve"> = </w:t>
      </w:r>
      <w:r w:rsidRPr="000756DF">
        <w:rPr>
          <w:rFonts w:ascii="Arial Narrow" w:hAnsi="Arial Narrow" w:cstheme="minorHAnsi"/>
          <w:sz w:val="20"/>
          <w:szCs w:val="20"/>
        </w:rPr>
        <w:t>Therapeutic Goods Administration; TIA</w:t>
      </w:r>
      <w:r w:rsidR="00652355" w:rsidRPr="00652355">
        <w:rPr>
          <w:rFonts w:ascii="Arial Narrow" w:hAnsi="Arial Narrow" w:cstheme="minorHAnsi"/>
          <w:spacing w:val="-20"/>
          <w:sz w:val="20"/>
          <w:szCs w:val="20"/>
        </w:rPr>
        <w:t xml:space="preserve"> = </w:t>
      </w:r>
      <w:r w:rsidRPr="000756DF">
        <w:rPr>
          <w:rFonts w:ascii="Arial Narrow" w:hAnsi="Arial Narrow" w:cstheme="minorHAnsi"/>
          <w:sz w:val="20"/>
          <w:szCs w:val="20"/>
        </w:rPr>
        <w:t>transient ischaemic attack; GFR</w:t>
      </w:r>
      <w:r w:rsidR="00652355" w:rsidRPr="00652355">
        <w:rPr>
          <w:rFonts w:ascii="Arial Narrow" w:hAnsi="Arial Narrow" w:cstheme="minorHAnsi"/>
          <w:spacing w:val="-20"/>
          <w:sz w:val="20"/>
          <w:szCs w:val="20"/>
        </w:rPr>
        <w:t xml:space="preserve"> = </w:t>
      </w:r>
      <w:r w:rsidRPr="000756DF">
        <w:rPr>
          <w:rFonts w:ascii="Arial Narrow" w:hAnsi="Arial Narrow" w:cstheme="minorHAnsi"/>
          <w:sz w:val="20"/>
          <w:szCs w:val="20"/>
        </w:rPr>
        <w:t>glomerular filtration rate</w:t>
      </w:r>
    </w:p>
    <w:p w:rsidR="001C3FAF" w:rsidRPr="00E965BD" w:rsidRDefault="001C3FAF" w:rsidP="00A979FB">
      <w:pPr>
        <w:pStyle w:val="Heading4"/>
      </w:pPr>
      <w:r>
        <w:t>R</w:t>
      </w:r>
      <w:r w:rsidRPr="00E965BD">
        <w:t>esults of the literature search</w:t>
      </w:r>
    </w:p>
    <w:p w:rsidR="001C3FAF" w:rsidRPr="000756DF" w:rsidRDefault="001C3FAF" w:rsidP="001C3FAF">
      <w:r w:rsidRPr="000756DF">
        <w:t xml:space="preserve">The </w:t>
      </w:r>
      <w:r>
        <w:t xml:space="preserve">highest level of evidence obtained in the </w:t>
      </w:r>
      <w:r w:rsidRPr="000756DF">
        <w:t>literature search</w:t>
      </w:r>
      <w:r w:rsidR="003D06DE">
        <w:t xml:space="preserve"> </w:t>
      </w:r>
      <w:r>
        <w:t>was</w:t>
      </w:r>
      <w:r w:rsidRPr="000756DF">
        <w:t xml:space="preserve"> three systematic reviews </w:t>
      </w:r>
      <w:r w:rsidR="00E83918">
        <w:rPr>
          <w:noProof/>
        </w:rPr>
        <w:t>(</w:t>
      </w:r>
      <w:r w:rsidR="00184B6F">
        <w:rPr>
          <w:noProof/>
        </w:rPr>
        <w:t>Alegra T et al. 2012</w:t>
      </w:r>
      <w:r w:rsidR="00E83918">
        <w:rPr>
          <w:noProof/>
        </w:rPr>
        <w:t xml:space="preserve">; </w:t>
      </w:r>
      <w:r w:rsidR="00184B6F">
        <w:rPr>
          <w:noProof/>
        </w:rPr>
        <w:t>El Dib, R P, Nascimento &amp; Pastores 2013</w:t>
      </w:r>
      <w:r w:rsidR="00E83918">
        <w:rPr>
          <w:noProof/>
        </w:rPr>
        <w:t xml:space="preserve">; </w:t>
      </w:r>
      <w:r w:rsidR="00184B6F">
        <w:rPr>
          <w:noProof/>
        </w:rPr>
        <w:t>Schaefer, Tylki-Szymanska &amp; Hilz 2009</w:t>
      </w:r>
      <w:r w:rsidR="00E83918">
        <w:rPr>
          <w:noProof/>
        </w:rPr>
        <w:t>)</w:t>
      </w:r>
      <w:r w:rsidRPr="000756DF">
        <w:t xml:space="preserve"> and one health technology assessment</w:t>
      </w:r>
      <w:r>
        <w:t xml:space="preserve"> (HTA)</w:t>
      </w:r>
      <w:r w:rsidRPr="000756DF">
        <w:t xml:space="preserve"> </w:t>
      </w:r>
      <w:r w:rsidR="00A130D0">
        <w:rPr>
          <w:noProof/>
        </w:rPr>
        <w:t>(</w:t>
      </w:r>
      <w:r w:rsidR="00184B6F">
        <w:rPr>
          <w:noProof/>
        </w:rPr>
        <w:t>Connock et al. 2008</w:t>
      </w:r>
      <w:r w:rsidR="00A130D0">
        <w:rPr>
          <w:noProof/>
        </w:rPr>
        <w:t>)</w:t>
      </w:r>
      <w:r w:rsidRPr="000756DF">
        <w:t xml:space="preserve"> which assessed the safety and effectiveness of agalsidase alfa and beta. Of these studies, the evidence </w:t>
      </w:r>
      <w:r>
        <w:t xml:space="preserve">in the </w:t>
      </w:r>
      <w:r w:rsidRPr="000756DF">
        <w:t xml:space="preserve">two systematic reviews (SRs) </w:t>
      </w:r>
      <w:r w:rsidR="00BC0D72">
        <w:rPr>
          <w:noProof/>
        </w:rPr>
        <w:t>(</w:t>
      </w:r>
      <w:r w:rsidR="00184B6F">
        <w:rPr>
          <w:noProof/>
        </w:rPr>
        <w:t>El Dib, R P, Nascimento &amp; Pastores 2013</w:t>
      </w:r>
      <w:r w:rsidR="00BC0D72">
        <w:rPr>
          <w:noProof/>
        </w:rPr>
        <w:t xml:space="preserve">; </w:t>
      </w:r>
      <w:r w:rsidR="00184B6F">
        <w:rPr>
          <w:noProof/>
        </w:rPr>
        <w:t>Schaefer, Tylki-Szymanska &amp; Hilz 2009</w:t>
      </w:r>
      <w:r w:rsidR="00BC0D72">
        <w:rPr>
          <w:noProof/>
        </w:rPr>
        <w:t>)</w:t>
      </w:r>
      <w:r w:rsidR="00BC0D72">
        <w:t xml:space="preserve"> </w:t>
      </w:r>
      <w:r w:rsidRPr="000756DF">
        <w:t xml:space="preserve">were considered to be of higher quality and containing the most relevant trials and </w:t>
      </w:r>
      <w:r>
        <w:t>are discussed</w:t>
      </w:r>
      <w:r w:rsidRPr="000756DF">
        <w:t xml:space="preserve"> here. The SR by Alegra et al</w:t>
      </w:r>
      <w:r>
        <w:t xml:space="preserve"> (2012)</w:t>
      </w:r>
      <w:r w:rsidRPr="000756DF">
        <w:t xml:space="preserve"> was excluded as the results of the </w:t>
      </w:r>
      <w:r>
        <w:t>key</w:t>
      </w:r>
      <w:r w:rsidRPr="000756DF">
        <w:t xml:space="preserve"> randomised trials (RCTs) were not able to be separated from additional data, and the HTA by Connock et al </w:t>
      </w:r>
      <w:r>
        <w:t xml:space="preserve">(2008) </w:t>
      </w:r>
      <w:r w:rsidRPr="000756DF">
        <w:t xml:space="preserve">was excluded as it provided limited evidence from Fabry disease drug trials and was </w:t>
      </w:r>
      <w:r>
        <w:t>published earlier than</w:t>
      </w:r>
      <w:r w:rsidR="0004218F">
        <w:t xml:space="preserve"> the two included SRs.</w:t>
      </w:r>
    </w:p>
    <w:p w:rsidR="001C3FAF" w:rsidRPr="000756DF" w:rsidRDefault="001C3FAF" w:rsidP="001C3FAF">
      <w:r w:rsidRPr="000756DF">
        <w:lastRenderedPageBreak/>
        <w:t xml:space="preserve">All RCTs included in the SRs were also identified in </w:t>
      </w:r>
      <w:r>
        <w:t>our</w:t>
      </w:r>
      <w:r w:rsidRPr="000756DF">
        <w:t xml:space="preserve"> literature search</w:t>
      </w:r>
      <w:r>
        <w:t>,</w:t>
      </w:r>
      <w:r w:rsidRPr="000756DF">
        <w:t xml:space="preserve"> with the exception of Eng et al </w:t>
      </w:r>
      <w:r>
        <w:t>(</w:t>
      </w:r>
      <w:r w:rsidRPr="000756DF">
        <w:t>2001</w:t>
      </w:r>
      <w:r>
        <w:t>)</w:t>
      </w:r>
      <w:r w:rsidRPr="000756DF">
        <w:t xml:space="preserve"> which was identified through pearling</w:t>
      </w:r>
      <w:r>
        <w:t xml:space="preserve"> of the SRs</w:t>
      </w:r>
      <w:r w:rsidRPr="000756DF">
        <w:t xml:space="preserve">. An additional RCT was identified by pearling </w:t>
      </w:r>
      <w:r>
        <w:t xml:space="preserve">the references </w:t>
      </w:r>
      <w:r w:rsidRPr="000756DF">
        <w:t xml:space="preserve">of a PSUR report but was </w:t>
      </w:r>
      <w:r>
        <w:t xml:space="preserve">excluded as </w:t>
      </w:r>
      <w:r w:rsidRPr="000756DF">
        <w:t>there was insufficient information report</w:t>
      </w:r>
      <w:r>
        <w:t>ed</w:t>
      </w:r>
      <w:r w:rsidRPr="000756DF">
        <w:t xml:space="preserve"> </w:t>
      </w:r>
      <w:r>
        <w:t>i</w:t>
      </w:r>
      <w:r w:rsidRPr="000756DF">
        <w:t xml:space="preserve">n it (TKT010 </w:t>
      </w:r>
      <w:r w:rsidR="00A130D0">
        <w:rPr>
          <w:noProof/>
        </w:rPr>
        <w:t>(</w:t>
      </w:r>
      <w:r w:rsidR="00184B6F">
        <w:rPr>
          <w:noProof/>
        </w:rPr>
        <w:t>TKT 2003</w:t>
      </w:r>
      <w:r w:rsidR="00A130D0">
        <w:rPr>
          <w:noProof/>
        </w:rPr>
        <w:t>)</w:t>
      </w:r>
      <w:r w:rsidRPr="000756DF">
        <w:t>). Preliminary results of th</w:t>
      </w:r>
      <w:r>
        <w:t>is</w:t>
      </w:r>
      <w:r w:rsidRPr="000756DF">
        <w:t xml:space="preserve"> multicentre trial </w:t>
      </w:r>
      <w:r>
        <w:t>(</w:t>
      </w:r>
      <w:r w:rsidRPr="000756DF">
        <w:t>TKT010</w:t>
      </w:r>
      <w:r>
        <w:t>)</w:t>
      </w:r>
      <w:r w:rsidRPr="000756DF">
        <w:t xml:space="preserve"> of 80 patients randomised to either agalsidase-alfa or placebo</w:t>
      </w:r>
      <w:r>
        <w:t xml:space="preserve"> found that</w:t>
      </w:r>
      <w:r w:rsidRPr="000756DF">
        <w:t xml:space="preserve"> there was no </w:t>
      </w:r>
      <w:r>
        <w:t xml:space="preserve">statistically </w:t>
      </w:r>
      <w:r w:rsidRPr="000756DF">
        <w:t xml:space="preserve">significant difference in kidney function between </w:t>
      </w:r>
      <w:r>
        <w:t>treatment arms</w:t>
      </w:r>
      <w:r w:rsidRPr="000756DF">
        <w:t>.</w:t>
      </w:r>
    </w:p>
    <w:p w:rsidR="001C3FAF" w:rsidRPr="000756DF" w:rsidRDefault="001C3FAF" w:rsidP="001C3FAF">
      <w:r w:rsidRPr="000756DF">
        <w:t xml:space="preserve">El Dib </w:t>
      </w:r>
      <w:r>
        <w:t>(</w:t>
      </w:r>
      <w:r w:rsidRPr="000756DF">
        <w:t>2013</w:t>
      </w:r>
      <w:r>
        <w:t>)</w:t>
      </w:r>
      <w:r w:rsidRPr="000756DF">
        <w:t xml:space="preserve"> </w:t>
      </w:r>
      <w:r>
        <w:t>included</w:t>
      </w:r>
      <w:r w:rsidRPr="000756DF">
        <w:t xml:space="preserve"> RCTs and quasi-randomi</w:t>
      </w:r>
      <w:r>
        <w:t>s</w:t>
      </w:r>
      <w:r w:rsidRPr="000756DF">
        <w:t>ed controlled clinical studies only</w:t>
      </w:r>
      <w:r>
        <w:t xml:space="preserve"> in the SR</w:t>
      </w:r>
      <w:r w:rsidRPr="000756DF">
        <w:t xml:space="preserve">, whereas Schaefer </w:t>
      </w:r>
      <w:r>
        <w:t>(</w:t>
      </w:r>
      <w:r w:rsidRPr="000756DF">
        <w:t>2009</w:t>
      </w:r>
      <w:r>
        <w:t>)</w:t>
      </w:r>
      <w:r w:rsidRPr="000756DF">
        <w:t xml:space="preserve"> included any prospectively designed clinical study, </w:t>
      </w:r>
      <w:r>
        <w:t>whether</w:t>
      </w:r>
      <w:r w:rsidRPr="000756DF">
        <w:t xml:space="preserve"> blinded or open label. </w:t>
      </w:r>
      <w:r>
        <w:t>D</w:t>
      </w:r>
      <w:r w:rsidRPr="000756DF">
        <w:t xml:space="preserve">ata </w:t>
      </w:r>
      <w:r>
        <w:t xml:space="preserve">were stratified in Schaeffer (2009) </w:t>
      </w:r>
      <w:r w:rsidRPr="000756DF">
        <w:t xml:space="preserve">enabling </w:t>
      </w:r>
      <w:r>
        <w:t xml:space="preserve">the </w:t>
      </w:r>
      <w:r w:rsidRPr="000756DF">
        <w:t xml:space="preserve">inclusion of </w:t>
      </w:r>
      <w:r>
        <w:t xml:space="preserve">the </w:t>
      </w:r>
      <w:r w:rsidRPr="000756DF">
        <w:t xml:space="preserve">RCT results </w:t>
      </w:r>
      <w:r>
        <w:t>in this review</w:t>
      </w:r>
      <w:r w:rsidRPr="000756DF">
        <w:t>. The SR by El Dib et al</w:t>
      </w:r>
      <w:r>
        <w:t xml:space="preserve"> (2013)</w:t>
      </w:r>
      <w:r w:rsidRPr="000756DF">
        <w:t xml:space="preserve"> included six RCTs comparing agalsidase al</w:t>
      </w:r>
      <w:r>
        <w:t>f</w:t>
      </w:r>
      <w:r w:rsidRPr="000756DF">
        <w:t>a and placebo, agalsidase-beta and placebo, or agalsidase al</w:t>
      </w:r>
      <w:r>
        <w:t>f</w:t>
      </w:r>
      <w:r w:rsidRPr="000756DF">
        <w:t xml:space="preserve">a with agalsidase beta. In addition to the RCTs included in El Dib’s </w:t>
      </w:r>
      <w:r>
        <w:t xml:space="preserve">(2013) </w:t>
      </w:r>
      <w:r w:rsidRPr="000756DF">
        <w:t xml:space="preserve">study, Schaeffer et al </w:t>
      </w:r>
      <w:r>
        <w:t xml:space="preserve">(2009) </w:t>
      </w:r>
      <w:r w:rsidRPr="000756DF">
        <w:t xml:space="preserve">listed studies by Thurberg et al </w:t>
      </w:r>
      <w:r w:rsidR="0028582C">
        <w:rPr>
          <w:noProof/>
        </w:rPr>
        <w:t>(</w:t>
      </w:r>
      <w:r w:rsidR="00184B6F">
        <w:rPr>
          <w:noProof/>
        </w:rPr>
        <w:t>Thurberg et al. 2004</w:t>
      </w:r>
      <w:r w:rsidR="0028582C">
        <w:rPr>
          <w:noProof/>
        </w:rPr>
        <w:t>)</w:t>
      </w:r>
      <w:r w:rsidRPr="000756DF">
        <w:t xml:space="preserve">, Moore et al </w:t>
      </w:r>
      <w:r w:rsidR="00FF1D0D">
        <w:rPr>
          <w:noProof/>
        </w:rPr>
        <w:t>(</w:t>
      </w:r>
      <w:r w:rsidR="00184B6F">
        <w:rPr>
          <w:noProof/>
        </w:rPr>
        <w:t>Moore, David F. et al. 2002</w:t>
      </w:r>
      <w:r w:rsidR="00FF1D0D">
        <w:rPr>
          <w:noProof/>
        </w:rPr>
        <w:t>)</w:t>
      </w:r>
      <w:r w:rsidR="004620F8">
        <w:t xml:space="preserve"> </w:t>
      </w:r>
      <w:r w:rsidRPr="000756DF">
        <w:t xml:space="preserve">and Schiffmann et al </w:t>
      </w:r>
      <w:r w:rsidR="00BC0D72">
        <w:rPr>
          <w:noProof/>
        </w:rPr>
        <w:t>(</w:t>
      </w:r>
      <w:r w:rsidR="00184B6F">
        <w:rPr>
          <w:noProof/>
        </w:rPr>
        <w:t>Schiffmann et al. 2006</w:t>
      </w:r>
      <w:r w:rsidR="00BC0D72">
        <w:rPr>
          <w:noProof/>
        </w:rPr>
        <w:t>)</w:t>
      </w:r>
      <w:r w:rsidRPr="000756DF">
        <w:t xml:space="preserve"> as RCTs</w:t>
      </w:r>
      <w:r>
        <w:t>;</w:t>
      </w:r>
      <w:r w:rsidRPr="000756DF">
        <w:t xml:space="preserve"> however</w:t>
      </w:r>
      <w:r>
        <w:t>,</w:t>
      </w:r>
      <w:r w:rsidRPr="000756DF">
        <w:t xml:space="preserve"> these are extension studies to </w:t>
      </w:r>
      <w:r>
        <w:t>the other</w:t>
      </w:r>
      <w:r w:rsidRPr="000756DF">
        <w:t xml:space="preserve"> RCTs. The RCTs and extension studies used to report outcome data are listed below</w:t>
      </w:r>
      <w:r>
        <w:rPr>
          <w:rStyle w:val="FootnoteReference"/>
        </w:rPr>
        <w:footnoteReference w:id="12"/>
      </w:r>
      <w:r w:rsidRPr="000756DF">
        <w:t>.</w:t>
      </w:r>
    </w:p>
    <w:p w:rsidR="001C3FAF" w:rsidRPr="000756DF" w:rsidRDefault="001C3FAF" w:rsidP="001C3FAF">
      <w:r w:rsidRPr="000756DF">
        <w:t>Agalsidase-al</w:t>
      </w:r>
      <w:r>
        <w:t>f</w:t>
      </w:r>
      <w:r w:rsidRPr="000756DF">
        <w:t xml:space="preserve">a </w:t>
      </w:r>
      <w:r>
        <w:t>compared to</w:t>
      </w:r>
      <w:r w:rsidRPr="000756DF">
        <w:t xml:space="preserve"> placebo:</w:t>
      </w:r>
    </w:p>
    <w:p w:rsidR="001C3FAF" w:rsidRPr="000756DF" w:rsidRDefault="001C3FAF" w:rsidP="000959DF">
      <w:pPr>
        <w:numPr>
          <w:ilvl w:val="0"/>
          <w:numId w:val="38"/>
        </w:numPr>
        <w:autoSpaceDE w:val="0"/>
        <w:autoSpaceDN w:val="0"/>
        <w:adjustRightInd w:val="0"/>
        <w:spacing w:line="240" w:lineRule="auto"/>
        <w:rPr>
          <w:rFonts w:eastAsia="Calibri"/>
          <w:szCs w:val="22"/>
        </w:rPr>
      </w:pPr>
      <w:r w:rsidRPr="000756DF">
        <w:rPr>
          <w:rFonts w:eastAsia="Calibri"/>
          <w:szCs w:val="22"/>
        </w:rPr>
        <w:t>RCT by Hughes et al</w:t>
      </w:r>
      <w:r>
        <w:rPr>
          <w:rFonts w:eastAsia="Calibri"/>
          <w:szCs w:val="22"/>
        </w:rPr>
        <w:t xml:space="preserve"> (</w:t>
      </w:r>
      <w:r w:rsidRPr="000756DF">
        <w:rPr>
          <w:rFonts w:eastAsia="Calibri"/>
          <w:szCs w:val="22"/>
        </w:rPr>
        <w:t>2008</w:t>
      </w:r>
      <w:r>
        <w:rPr>
          <w:rFonts w:eastAsia="Calibri"/>
          <w:szCs w:val="22"/>
        </w:rPr>
        <w:t>)</w:t>
      </w:r>
      <w:r w:rsidRPr="000756DF">
        <w:rPr>
          <w:rFonts w:eastAsia="Calibri"/>
          <w:szCs w:val="22"/>
        </w:rPr>
        <w:t xml:space="preserve">  </w:t>
      </w:r>
      <w:r w:rsidR="00A130D0">
        <w:rPr>
          <w:rFonts w:eastAsia="Calibri"/>
          <w:noProof/>
          <w:szCs w:val="22"/>
        </w:rPr>
        <w:t>(</w:t>
      </w:r>
      <w:r w:rsidR="00184B6F">
        <w:rPr>
          <w:rFonts w:eastAsia="Calibri"/>
          <w:noProof/>
          <w:szCs w:val="22"/>
        </w:rPr>
        <w:t>Hughes et al. 2008</w:t>
      </w:r>
      <w:r w:rsidR="00A130D0">
        <w:rPr>
          <w:rFonts w:eastAsia="Calibri"/>
          <w:noProof/>
          <w:szCs w:val="22"/>
        </w:rPr>
        <w:t>)</w:t>
      </w:r>
    </w:p>
    <w:p w:rsidR="001C3FAF" w:rsidRPr="000756DF" w:rsidRDefault="001C3FAF" w:rsidP="000959DF">
      <w:pPr>
        <w:numPr>
          <w:ilvl w:val="0"/>
          <w:numId w:val="38"/>
        </w:numPr>
        <w:autoSpaceDE w:val="0"/>
        <w:autoSpaceDN w:val="0"/>
        <w:adjustRightInd w:val="0"/>
        <w:spacing w:line="240" w:lineRule="auto"/>
        <w:rPr>
          <w:rFonts w:eastAsia="Calibri"/>
          <w:szCs w:val="22"/>
        </w:rPr>
      </w:pPr>
      <w:r w:rsidRPr="000756DF">
        <w:rPr>
          <w:rFonts w:eastAsia="Calibri"/>
          <w:szCs w:val="22"/>
        </w:rPr>
        <w:t>RCT by Schiffmann et al</w:t>
      </w:r>
      <w:r>
        <w:rPr>
          <w:rFonts w:eastAsia="Calibri"/>
          <w:szCs w:val="22"/>
        </w:rPr>
        <w:t xml:space="preserve"> (</w:t>
      </w:r>
      <w:r w:rsidRPr="000756DF">
        <w:rPr>
          <w:rFonts w:eastAsia="Calibri"/>
          <w:szCs w:val="22"/>
        </w:rPr>
        <w:t>2001</w:t>
      </w:r>
      <w:r>
        <w:rPr>
          <w:rFonts w:eastAsia="Calibri"/>
          <w:szCs w:val="22"/>
        </w:rPr>
        <w:t>)</w:t>
      </w:r>
      <w:r w:rsidRPr="000756DF">
        <w:rPr>
          <w:rFonts w:eastAsia="Calibri"/>
          <w:szCs w:val="22"/>
        </w:rPr>
        <w:t xml:space="preserve"> </w:t>
      </w:r>
      <w:r w:rsidR="00BC0D72">
        <w:rPr>
          <w:rFonts w:eastAsia="Calibri"/>
          <w:noProof/>
          <w:szCs w:val="22"/>
        </w:rPr>
        <w:t>(</w:t>
      </w:r>
      <w:r w:rsidR="00184B6F">
        <w:rPr>
          <w:rFonts w:eastAsia="Calibri"/>
          <w:noProof/>
          <w:szCs w:val="22"/>
        </w:rPr>
        <w:t>Schiffmann et al. 2001</w:t>
      </w:r>
      <w:r w:rsidR="00BC0D72">
        <w:rPr>
          <w:rFonts w:eastAsia="Calibri"/>
          <w:noProof/>
          <w:szCs w:val="22"/>
        </w:rPr>
        <w:t>)</w:t>
      </w:r>
      <w:r w:rsidRPr="000756DF">
        <w:rPr>
          <w:rFonts w:eastAsia="Calibri"/>
          <w:szCs w:val="22"/>
        </w:rPr>
        <w:t xml:space="preserve">, and extension studies </w:t>
      </w:r>
      <w:r w:rsidR="00FF1D0D">
        <w:rPr>
          <w:rFonts w:eastAsia="Calibri"/>
          <w:noProof/>
          <w:szCs w:val="22"/>
        </w:rPr>
        <w:t>(</w:t>
      </w:r>
      <w:r w:rsidR="00184B6F">
        <w:rPr>
          <w:rFonts w:eastAsia="Calibri"/>
          <w:noProof/>
          <w:szCs w:val="22"/>
        </w:rPr>
        <w:t>Moore, David F. et al. 2002</w:t>
      </w:r>
      <w:r w:rsidR="00FF1D0D">
        <w:rPr>
          <w:rFonts w:eastAsia="Calibri"/>
          <w:noProof/>
          <w:szCs w:val="22"/>
        </w:rPr>
        <w:t xml:space="preserve">; </w:t>
      </w:r>
      <w:r w:rsidR="00184B6F">
        <w:rPr>
          <w:rFonts w:eastAsia="Calibri"/>
          <w:noProof/>
          <w:szCs w:val="22"/>
        </w:rPr>
        <w:t>Moore, D. F. et al. 2001</w:t>
      </w:r>
      <w:r w:rsidR="00FF1D0D">
        <w:rPr>
          <w:rFonts w:eastAsia="Calibri"/>
          <w:noProof/>
          <w:szCs w:val="22"/>
        </w:rPr>
        <w:t xml:space="preserve">; </w:t>
      </w:r>
      <w:r w:rsidR="00184B6F">
        <w:rPr>
          <w:rFonts w:eastAsia="Calibri"/>
          <w:noProof/>
          <w:szCs w:val="22"/>
        </w:rPr>
        <w:t>Schiffmann et al. 2006</w:t>
      </w:r>
      <w:r w:rsidR="00FF1D0D">
        <w:rPr>
          <w:rFonts w:eastAsia="Calibri"/>
          <w:noProof/>
          <w:szCs w:val="22"/>
        </w:rPr>
        <w:t>)</w:t>
      </w:r>
    </w:p>
    <w:p w:rsidR="001C3FAF" w:rsidRPr="000756DF" w:rsidRDefault="001C3FAF" w:rsidP="001C3FAF">
      <w:r w:rsidRPr="000756DF">
        <w:t xml:space="preserve">Agalsidase-beta </w:t>
      </w:r>
      <w:r>
        <w:t>compared to</w:t>
      </w:r>
      <w:r w:rsidRPr="000756DF">
        <w:t xml:space="preserve"> placebo:</w:t>
      </w:r>
    </w:p>
    <w:p w:rsidR="001C3FAF" w:rsidRPr="000756DF" w:rsidRDefault="001C3FAF" w:rsidP="000959DF">
      <w:pPr>
        <w:numPr>
          <w:ilvl w:val="0"/>
          <w:numId w:val="38"/>
        </w:numPr>
        <w:autoSpaceDE w:val="0"/>
        <w:autoSpaceDN w:val="0"/>
        <w:adjustRightInd w:val="0"/>
        <w:spacing w:line="240" w:lineRule="auto"/>
        <w:rPr>
          <w:rFonts w:eastAsia="Calibri"/>
          <w:szCs w:val="22"/>
        </w:rPr>
      </w:pPr>
      <w:r w:rsidRPr="000756DF">
        <w:rPr>
          <w:rFonts w:eastAsia="Calibri"/>
          <w:szCs w:val="22"/>
        </w:rPr>
        <w:t>RCT by Banikazemi et al</w:t>
      </w:r>
      <w:r>
        <w:rPr>
          <w:rFonts w:eastAsia="Calibri"/>
          <w:szCs w:val="22"/>
        </w:rPr>
        <w:t xml:space="preserve"> (</w:t>
      </w:r>
      <w:r w:rsidRPr="000756DF">
        <w:rPr>
          <w:rFonts w:eastAsia="Calibri"/>
          <w:szCs w:val="22"/>
        </w:rPr>
        <w:t>2007</w:t>
      </w:r>
      <w:r>
        <w:rPr>
          <w:rFonts w:eastAsia="Calibri"/>
          <w:szCs w:val="22"/>
        </w:rPr>
        <w:t>)</w:t>
      </w:r>
      <w:r w:rsidRPr="000756DF">
        <w:rPr>
          <w:rFonts w:eastAsia="Calibri"/>
          <w:szCs w:val="22"/>
        </w:rPr>
        <w:t xml:space="preserve"> </w:t>
      </w:r>
      <w:r w:rsidR="00BD4A3A">
        <w:rPr>
          <w:rFonts w:eastAsia="Calibri"/>
          <w:noProof/>
          <w:szCs w:val="22"/>
        </w:rPr>
        <w:t>(</w:t>
      </w:r>
      <w:r w:rsidR="00184B6F">
        <w:rPr>
          <w:rFonts w:eastAsia="Calibri"/>
          <w:noProof/>
          <w:szCs w:val="22"/>
        </w:rPr>
        <w:t>Banikazemi, M. et al. 2007</w:t>
      </w:r>
      <w:r w:rsidR="00BD4A3A">
        <w:rPr>
          <w:rFonts w:eastAsia="Calibri"/>
          <w:noProof/>
          <w:szCs w:val="22"/>
        </w:rPr>
        <w:t>)</w:t>
      </w:r>
    </w:p>
    <w:p w:rsidR="001C3FAF" w:rsidRPr="000756DF" w:rsidRDefault="001C3FAF" w:rsidP="000959DF">
      <w:pPr>
        <w:numPr>
          <w:ilvl w:val="0"/>
          <w:numId w:val="38"/>
        </w:numPr>
        <w:autoSpaceDE w:val="0"/>
        <w:autoSpaceDN w:val="0"/>
        <w:adjustRightInd w:val="0"/>
        <w:spacing w:line="240" w:lineRule="auto"/>
        <w:rPr>
          <w:rFonts w:eastAsia="Calibri"/>
          <w:szCs w:val="22"/>
        </w:rPr>
      </w:pPr>
      <w:r w:rsidRPr="000756DF">
        <w:rPr>
          <w:rFonts w:eastAsia="Calibri"/>
          <w:szCs w:val="22"/>
        </w:rPr>
        <w:t>RCT by Bierer et al</w:t>
      </w:r>
      <w:r>
        <w:rPr>
          <w:rFonts w:eastAsia="Calibri"/>
          <w:szCs w:val="22"/>
        </w:rPr>
        <w:t xml:space="preserve"> (</w:t>
      </w:r>
      <w:r w:rsidRPr="000756DF">
        <w:rPr>
          <w:rFonts w:eastAsia="Calibri"/>
          <w:szCs w:val="22"/>
        </w:rPr>
        <w:t>2006</w:t>
      </w:r>
      <w:r>
        <w:rPr>
          <w:rFonts w:eastAsia="Calibri"/>
          <w:szCs w:val="22"/>
        </w:rPr>
        <w:t>)</w:t>
      </w:r>
      <w:r w:rsidRPr="000756DF">
        <w:rPr>
          <w:rFonts w:eastAsia="Calibri"/>
          <w:szCs w:val="22"/>
        </w:rPr>
        <w:t xml:space="preserve"> </w:t>
      </w:r>
      <w:r w:rsidR="00A130D0">
        <w:rPr>
          <w:rFonts w:eastAsia="Calibri"/>
          <w:noProof/>
          <w:szCs w:val="22"/>
        </w:rPr>
        <w:t>(</w:t>
      </w:r>
      <w:r w:rsidR="00184B6F">
        <w:rPr>
          <w:rFonts w:eastAsia="Calibri"/>
          <w:noProof/>
          <w:szCs w:val="22"/>
        </w:rPr>
        <w:t>Bierer et al. 2006</w:t>
      </w:r>
      <w:r w:rsidR="00A130D0">
        <w:rPr>
          <w:rFonts w:eastAsia="Calibri"/>
          <w:noProof/>
          <w:szCs w:val="22"/>
        </w:rPr>
        <w:t>)</w:t>
      </w:r>
    </w:p>
    <w:p w:rsidR="001C3FAF" w:rsidRDefault="001C3FAF" w:rsidP="000959DF">
      <w:pPr>
        <w:numPr>
          <w:ilvl w:val="0"/>
          <w:numId w:val="38"/>
        </w:numPr>
        <w:autoSpaceDE w:val="0"/>
        <w:autoSpaceDN w:val="0"/>
        <w:adjustRightInd w:val="0"/>
        <w:spacing w:line="240" w:lineRule="auto"/>
      </w:pPr>
      <w:r w:rsidRPr="009919EA">
        <w:rPr>
          <w:rFonts w:eastAsia="Calibri"/>
          <w:szCs w:val="22"/>
        </w:rPr>
        <w:t xml:space="preserve">RCT by Eng et al (2001) </w:t>
      </w:r>
      <w:r w:rsidR="00A130D0" w:rsidRPr="009919EA">
        <w:rPr>
          <w:rFonts w:eastAsia="Calibri"/>
          <w:noProof/>
          <w:szCs w:val="22"/>
        </w:rPr>
        <w:t>(</w:t>
      </w:r>
      <w:r w:rsidR="00184B6F" w:rsidRPr="009919EA">
        <w:rPr>
          <w:rFonts w:eastAsia="Calibri"/>
          <w:noProof/>
          <w:szCs w:val="22"/>
        </w:rPr>
        <w:t>Eng et al. 2001</w:t>
      </w:r>
      <w:r w:rsidR="00A130D0" w:rsidRPr="009919EA">
        <w:rPr>
          <w:rFonts w:eastAsia="Calibri"/>
          <w:noProof/>
          <w:szCs w:val="22"/>
        </w:rPr>
        <w:t>)</w:t>
      </w:r>
      <w:r w:rsidRPr="009919EA">
        <w:rPr>
          <w:rFonts w:eastAsia="Calibri"/>
          <w:szCs w:val="22"/>
        </w:rPr>
        <w:t xml:space="preserve">, and extension studies </w:t>
      </w:r>
      <w:r w:rsidR="0028582C">
        <w:rPr>
          <w:noProof/>
        </w:rPr>
        <w:t>(</w:t>
      </w:r>
      <w:r w:rsidR="00184B6F">
        <w:rPr>
          <w:noProof/>
        </w:rPr>
        <w:t>Thurberg et al. 2004</w:t>
      </w:r>
      <w:r w:rsidR="0028582C">
        <w:rPr>
          <w:noProof/>
        </w:rPr>
        <w:t xml:space="preserve">; </w:t>
      </w:r>
      <w:r w:rsidR="00184B6F">
        <w:rPr>
          <w:noProof/>
        </w:rPr>
        <w:t>Thurberg et al. 2002</w:t>
      </w:r>
      <w:r w:rsidR="0028582C">
        <w:rPr>
          <w:noProof/>
        </w:rPr>
        <w:t xml:space="preserve">; </w:t>
      </w:r>
      <w:r w:rsidR="00184B6F">
        <w:rPr>
          <w:noProof/>
        </w:rPr>
        <w:t>Wilcox et al. 2004</w:t>
      </w:r>
      <w:r w:rsidR="0028582C">
        <w:rPr>
          <w:noProof/>
        </w:rPr>
        <w:t>)</w:t>
      </w:r>
    </w:p>
    <w:p w:rsidR="00027C93" w:rsidRPr="000756DF" w:rsidRDefault="00027C93" w:rsidP="00027C93">
      <w:pPr>
        <w:autoSpaceDE w:val="0"/>
        <w:autoSpaceDN w:val="0"/>
        <w:adjustRightInd w:val="0"/>
        <w:spacing w:line="240" w:lineRule="auto"/>
      </w:pPr>
      <w:r w:rsidRPr="000756DF">
        <w:t>Agalsidase-al</w:t>
      </w:r>
      <w:r>
        <w:t>f</w:t>
      </w:r>
      <w:r w:rsidRPr="000756DF">
        <w:t xml:space="preserve">a </w:t>
      </w:r>
      <w:r>
        <w:t>compared to</w:t>
      </w:r>
      <w:r w:rsidRPr="000756DF">
        <w:t xml:space="preserve"> agalsidase-beta:</w:t>
      </w:r>
    </w:p>
    <w:p w:rsidR="001C3FAF" w:rsidRPr="000756DF" w:rsidRDefault="001C3FAF" w:rsidP="000959DF">
      <w:pPr>
        <w:numPr>
          <w:ilvl w:val="0"/>
          <w:numId w:val="38"/>
        </w:numPr>
        <w:autoSpaceDE w:val="0"/>
        <w:autoSpaceDN w:val="0"/>
        <w:adjustRightInd w:val="0"/>
        <w:spacing w:line="240" w:lineRule="auto"/>
        <w:rPr>
          <w:rFonts w:eastAsia="Calibri"/>
          <w:szCs w:val="22"/>
        </w:rPr>
      </w:pPr>
      <w:r w:rsidRPr="000756DF">
        <w:rPr>
          <w:rFonts w:eastAsia="Calibri"/>
          <w:szCs w:val="22"/>
        </w:rPr>
        <w:t>RCT by Vedder et al</w:t>
      </w:r>
      <w:r>
        <w:rPr>
          <w:rFonts w:eastAsia="Calibri"/>
          <w:szCs w:val="22"/>
        </w:rPr>
        <w:t xml:space="preserve"> (</w:t>
      </w:r>
      <w:r w:rsidRPr="000756DF">
        <w:rPr>
          <w:rFonts w:eastAsia="Calibri"/>
          <w:szCs w:val="22"/>
        </w:rPr>
        <w:t>2007</w:t>
      </w:r>
      <w:r>
        <w:rPr>
          <w:rFonts w:eastAsia="Calibri"/>
          <w:szCs w:val="22"/>
        </w:rPr>
        <w:t>)</w:t>
      </w:r>
      <w:r w:rsidRPr="000756DF">
        <w:rPr>
          <w:rFonts w:eastAsia="Calibri"/>
          <w:szCs w:val="22"/>
        </w:rPr>
        <w:t xml:space="preserve"> </w:t>
      </w:r>
      <w:r w:rsidR="00A130D0">
        <w:rPr>
          <w:rFonts w:eastAsia="Calibri"/>
          <w:noProof/>
          <w:szCs w:val="22"/>
        </w:rPr>
        <w:t>(</w:t>
      </w:r>
      <w:r w:rsidR="00184B6F">
        <w:rPr>
          <w:rFonts w:eastAsia="Calibri"/>
          <w:noProof/>
          <w:szCs w:val="22"/>
        </w:rPr>
        <w:t>Vedder et al. 2007</w:t>
      </w:r>
      <w:r w:rsidR="00A130D0">
        <w:rPr>
          <w:rFonts w:eastAsia="Calibri"/>
          <w:noProof/>
          <w:szCs w:val="22"/>
        </w:rPr>
        <w:t>)</w:t>
      </w:r>
      <w:r w:rsidRPr="000756DF">
        <w:rPr>
          <w:rFonts w:eastAsia="Calibri"/>
          <w:szCs w:val="22"/>
        </w:rPr>
        <w:t xml:space="preserve"> </w:t>
      </w:r>
    </w:p>
    <w:p w:rsidR="001C3FAF" w:rsidRPr="000756DF" w:rsidRDefault="009F6946" w:rsidP="001C3FAF">
      <w:r>
        <w:t xml:space="preserve">Studies which may have met the inclusion criteria, which were subsequently excluded, are shown in </w:t>
      </w:r>
      <w:r w:rsidR="00A72B26" w:rsidRPr="009D2776">
        <w:t xml:space="preserve">Appendix </w:t>
      </w:r>
      <w:r w:rsidR="00A72B26">
        <w:rPr>
          <w:noProof/>
        </w:rPr>
        <w:t>C</w:t>
      </w:r>
      <w:r>
        <w:t>.</w:t>
      </w:r>
      <w:r w:rsidR="001C3FAF" w:rsidRPr="000756DF">
        <w:t xml:space="preserve"> </w:t>
      </w:r>
    </w:p>
    <w:p w:rsidR="001C3FAF" w:rsidRPr="00E965BD" w:rsidRDefault="001C3FAF" w:rsidP="00A979FB">
      <w:pPr>
        <w:pStyle w:val="Heading4"/>
      </w:pPr>
      <w:r w:rsidRPr="00E965BD">
        <w:t>Risk of bias assessment</w:t>
      </w:r>
    </w:p>
    <w:p w:rsidR="001C3FAF" w:rsidRPr="000756DF" w:rsidRDefault="001C3FAF" w:rsidP="001C3FAF">
      <w:r w:rsidRPr="000756DF">
        <w:t xml:space="preserve">Quality appraisal was conducted on the two included systematic reviews using the AMSTAR checklist described by Shea and associates </w:t>
      </w:r>
      <w:r w:rsidR="00A130D0">
        <w:rPr>
          <w:noProof/>
        </w:rPr>
        <w:t>(</w:t>
      </w:r>
      <w:r w:rsidR="00184B6F">
        <w:rPr>
          <w:noProof/>
        </w:rPr>
        <w:t>Shea et al. 2009</w:t>
      </w:r>
      <w:r w:rsidR="00A130D0">
        <w:rPr>
          <w:noProof/>
        </w:rPr>
        <w:t>)</w:t>
      </w:r>
      <w:r w:rsidRPr="000756DF">
        <w:t xml:space="preserve">. The SR by El Dib et al </w:t>
      </w:r>
      <w:r>
        <w:t xml:space="preserve">(2013) </w:t>
      </w:r>
      <w:r w:rsidRPr="000756DF">
        <w:t xml:space="preserve">was </w:t>
      </w:r>
      <w:r>
        <w:t xml:space="preserve">considered to be </w:t>
      </w:r>
      <w:r w:rsidRPr="000756DF">
        <w:t xml:space="preserve">high quality. It provided a good description of the literature search </w:t>
      </w:r>
      <w:r w:rsidRPr="000756DF">
        <w:lastRenderedPageBreak/>
        <w:t xml:space="preserve">and selection criteria </w:t>
      </w:r>
      <w:r w:rsidRPr="00F53D4A">
        <w:rPr>
          <w:i/>
        </w:rPr>
        <w:t>a priori</w:t>
      </w:r>
      <w:r w:rsidRPr="000756DF">
        <w:t xml:space="preserve">, </w:t>
      </w:r>
      <w:r>
        <w:t xml:space="preserve">eligibility </w:t>
      </w:r>
      <w:r w:rsidRPr="000756DF">
        <w:t>s</w:t>
      </w:r>
      <w:r>
        <w:t>creening</w:t>
      </w:r>
      <w:r w:rsidRPr="000756DF">
        <w:t xml:space="preserve"> and </w:t>
      </w:r>
      <w:r>
        <w:t xml:space="preserve">data </w:t>
      </w:r>
      <w:r w:rsidRPr="000756DF">
        <w:t xml:space="preserve">extraction were conducted in duplicate, and included studies were well described and assessed for scientific quality. Risk of bias was assessed in all </w:t>
      </w:r>
      <w:r>
        <w:t xml:space="preserve">of the </w:t>
      </w:r>
      <w:r w:rsidRPr="000756DF">
        <w:t xml:space="preserve">included RCTs for randomisation, allocation concealment, blinding, incomplete outcome data, selective reporting and other sources. The SR by Schaefer et al </w:t>
      </w:r>
      <w:r>
        <w:t xml:space="preserve">(2009) </w:t>
      </w:r>
      <w:r w:rsidRPr="000756DF">
        <w:t xml:space="preserve">was </w:t>
      </w:r>
      <w:r>
        <w:t>considered to be</w:t>
      </w:r>
      <w:r w:rsidRPr="000756DF">
        <w:t xml:space="preserve"> moderate quality. While this study provided a good description </w:t>
      </w:r>
      <w:r>
        <w:t xml:space="preserve">of the </w:t>
      </w:r>
      <w:r w:rsidRPr="000756DF">
        <w:t xml:space="preserve">search and eligibility criteria, duplicate </w:t>
      </w:r>
      <w:r>
        <w:t>screening of studies</w:t>
      </w:r>
      <w:r w:rsidRPr="000756DF">
        <w:t xml:space="preserve"> and </w:t>
      </w:r>
      <w:r>
        <w:t xml:space="preserve">data </w:t>
      </w:r>
      <w:r w:rsidRPr="000756DF">
        <w:t>extraction w</w:t>
      </w:r>
      <w:r>
        <w:t>as</w:t>
      </w:r>
      <w:r w:rsidRPr="000756DF">
        <w:t xml:space="preserve"> not reported, </w:t>
      </w:r>
      <w:r>
        <w:t>it was unclear whether grey literature were included</w:t>
      </w:r>
      <w:r w:rsidRPr="000756DF">
        <w:t xml:space="preserve">, </w:t>
      </w:r>
      <w:r>
        <w:t>and</w:t>
      </w:r>
      <w:r w:rsidRPr="000756DF">
        <w:t xml:space="preserve"> a list of excluded articles </w:t>
      </w:r>
      <w:r>
        <w:t xml:space="preserve">was not </w:t>
      </w:r>
      <w:r w:rsidRPr="000756DF">
        <w:t xml:space="preserve">provided. The characteristics of </w:t>
      </w:r>
      <w:r>
        <w:t xml:space="preserve">the </w:t>
      </w:r>
      <w:r w:rsidRPr="000756DF">
        <w:t>included RCTs were described</w:t>
      </w:r>
      <w:r>
        <w:t>;</w:t>
      </w:r>
      <w:r w:rsidRPr="000756DF">
        <w:t xml:space="preserve"> however</w:t>
      </w:r>
      <w:r>
        <w:t>,</w:t>
      </w:r>
      <w:r w:rsidRPr="000756DF">
        <w:t xml:space="preserve"> assessment and reporting of the risk of bias in the studies was lacking. </w:t>
      </w:r>
    </w:p>
    <w:p w:rsidR="001C3FAF" w:rsidRPr="000756DF" w:rsidRDefault="001C3FAF" w:rsidP="001C3FAF">
      <w:r w:rsidRPr="000756DF">
        <w:t xml:space="preserve">A summary of the assessment of risk of bias of the individual RCTs </w:t>
      </w:r>
      <w:r>
        <w:t xml:space="preserve">as </w:t>
      </w:r>
      <w:r w:rsidRPr="000756DF">
        <w:t xml:space="preserve">reported by El Dib et al </w:t>
      </w:r>
      <w:r>
        <w:t xml:space="preserve">(2013) </w:t>
      </w:r>
      <w:r w:rsidRPr="000756DF">
        <w:t xml:space="preserve">is given in </w:t>
      </w:r>
      <w:r w:rsidR="00A72B26" w:rsidRPr="000756DF">
        <w:t xml:space="preserve">Table </w:t>
      </w:r>
      <w:r w:rsidR="00A72B26">
        <w:rPr>
          <w:noProof/>
        </w:rPr>
        <w:t>30</w:t>
      </w:r>
      <w:r w:rsidR="00E4686C">
        <w:t>.</w:t>
      </w:r>
    </w:p>
    <w:p w:rsidR="001C3FAF" w:rsidRPr="000756DF" w:rsidRDefault="001C3FAF" w:rsidP="001C3FAF">
      <w:pPr>
        <w:pStyle w:val="Caption"/>
        <w:keepNext/>
        <w:tabs>
          <w:tab w:val="clear" w:pos="851"/>
          <w:tab w:val="left" w:pos="1134"/>
        </w:tabs>
        <w:ind w:left="1134" w:hanging="1134"/>
      </w:pPr>
      <w:bookmarkStart w:id="179" w:name="_Ref405841971"/>
      <w:bookmarkStart w:id="180" w:name="_Toc405361929"/>
      <w:bookmarkStart w:id="181" w:name="_Toc411510412"/>
      <w:bookmarkStart w:id="182" w:name="_Toc415141827"/>
      <w:bookmarkEnd w:id="174"/>
      <w:r w:rsidRPr="000756DF">
        <w:lastRenderedPageBreak/>
        <w:t xml:space="preserve">Table </w:t>
      </w:r>
      <w:r w:rsidR="00A72B26">
        <w:rPr>
          <w:noProof/>
        </w:rPr>
        <w:t>30</w:t>
      </w:r>
      <w:bookmarkEnd w:id="179"/>
      <w:r w:rsidRPr="000756DF">
        <w:tab/>
        <w:t xml:space="preserve">Summary of risk of bias for RCTs assessing the effectiveness and safety of agalsidase-alfa and agalsidase-beta as reported by El Dib 2013 </w:t>
      </w:r>
      <w:bookmarkEnd w:id="180"/>
      <w:r w:rsidR="00E83918">
        <w:rPr>
          <w:noProof/>
        </w:rPr>
        <w:t>(</w:t>
      </w:r>
      <w:r w:rsidR="00184B6F">
        <w:rPr>
          <w:noProof/>
        </w:rPr>
        <w:t>El Dib, R P, Nascimento &amp; Pastores 2013</w:t>
      </w:r>
      <w:r w:rsidR="00E83918">
        <w:rPr>
          <w:noProof/>
        </w:rPr>
        <w:t>)</w:t>
      </w:r>
      <w:bookmarkEnd w:id="181"/>
      <w:bookmarkEnd w:id="182"/>
    </w:p>
    <w:tbl>
      <w:tblPr>
        <w:tblStyle w:val="TableGrid"/>
        <w:tblW w:w="0" w:type="auto"/>
        <w:tblLook w:val="04A0" w:firstRow="1" w:lastRow="0" w:firstColumn="1" w:lastColumn="0" w:noHBand="0" w:noVBand="1"/>
        <w:tblCaption w:val="Table 27 Summary of risk of bias for RCTs assessing the effectiveness and safety of agalsidase-alfa and agalsidase-beta as reported by El Dib 2013 (El Dib Regina, Nascimento &amp; Pastores Gregory 2013)"/>
      </w:tblPr>
      <w:tblGrid>
        <w:gridCol w:w="1433"/>
        <w:gridCol w:w="1469"/>
        <w:gridCol w:w="1378"/>
        <w:gridCol w:w="1253"/>
        <w:gridCol w:w="1321"/>
        <w:gridCol w:w="1116"/>
        <w:gridCol w:w="1272"/>
      </w:tblGrid>
      <w:tr w:rsidR="001C3FAF" w:rsidRPr="000756DF" w:rsidTr="00B37104">
        <w:trPr>
          <w:trHeight w:val="1160"/>
          <w:tblHeader/>
        </w:trPr>
        <w:tc>
          <w:tcPr>
            <w:tcW w:w="0" w:type="auto"/>
          </w:tcPr>
          <w:p w:rsidR="001C3FAF" w:rsidRPr="000756DF" w:rsidRDefault="001C3FAF" w:rsidP="001C3FAF">
            <w:pPr>
              <w:pStyle w:val="TableHeading"/>
              <w:spacing w:line="240" w:lineRule="auto"/>
            </w:pPr>
            <w:r w:rsidRPr="000756DF">
              <w:t>Comparison and Study Author</w:t>
            </w:r>
          </w:p>
        </w:tc>
        <w:tc>
          <w:tcPr>
            <w:tcW w:w="0" w:type="auto"/>
          </w:tcPr>
          <w:p w:rsidR="001C3FAF" w:rsidRPr="000756DF" w:rsidRDefault="001C3FAF" w:rsidP="001C3FAF">
            <w:pPr>
              <w:pStyle w:val="TableHeading"/>
              <w:spacing w:line="240" w:lineRule="auto"/>
            </w:pPr>
            <w:r w:rsidRPr="000756DF">
              <w:t>Generation of randomised sequence</w:t>
            </w:r>
          </w:p>
        </w:tc>
        <w:tc>
          <w:tcPr>
            <w:tcW w:w="0" w:type="auto"/>
          </w:tcPr>
          <w:p w:rsidR="001C3FAF" w:rsidRPr="000756DF" w:rsidRDefault="001C3FAF" w:rsidP="001C3FAF">
            <w:pPr>
              <w:pStyle w:val="TableHeading"/>
              <w:spacing w:line="240" w:lineRule="auto"/>
            </w:pPr>
            <w:r w:rsidRPr="000756DF">
              <w:t>Allocation concealment</w:t>
            </w:r>
          </w:p>
        </w:tc>
        <w:tc>
          <w:tcPr>
            <w:tcW w:w="0" w:type="auto"/>
          </w:tcPr>
          <w:p w:rsidR="001C3FAF" w:rsidRPr="000756DF" w:rsidRDefault="001C3FAF" w:rsidP="001C3FAF">
            <w:pPr>
              <w:pStyle w:val="TableHeading"/>
              <w:spacing w:line="240" w:lineRule="auto"/>
            </w:pPr>
            <w:r w:rsidRPr="000756DF">
              <w:t>Blinding</w:t>
            </w:r>
          </w:p>
        </w:tc>
        <w:tc>
          <w:tcPr>
            <w:tcW w:w="0" w:type="auto"/>
          </w:tcPr>
          <w:p w:rsidR="001C3FAF" w:rsidRPr="000756DF" w:rsidRDefault="001C3FAF" w:rsidP="001C3FAF">
            <w:pPr>
              <w:pStyle w:val="TableHeading"/>
              <w:spacing w:line="240" w:lineRule="auto"/>
            </w:pPr>
            <w:r w:rsidRPr="000756DF">
              <w:t>Incomplete outcome data</w:t>
            </w:r>
          </w:p>
        </w:tc>
        <w:tc>
          <w:tcPr>
            <w:tcW w:w="0" w:type="auto"/>
          </w:tcPr>
          <w:p w:rsidR="001C3FAF" w:rsidRPr="000756DF" w:rsidRDefault="001C3FAF" w:rsidP="001C3FAF">
            <w:pPr>
              <w:pStyle w:val="TableHeading"/>
              <w:spacing w:line="240" w:lineRule="auto"/>
            </w:pPr>
            <w:r w:rsidRPr="000756DF">
              <w:t>Selective reporting</w:t>
            </w:r>
          </w:p>
        </w:tc>
        <w:tc>
          <w:tcPr>
            <w:tcW w:w="0" w:type="auto"/>
          </w:tcPr>
          <w:p w:rsidR="001C3FAF" w:rsidRPr="000756DF" w:rsidRDefault="001C3FAF" w:rsidP="001C3FAF">
            <w:pPr>
              <w:pStyle w:val="TableHeading"/>
              <w:spacing w:line="240" w:lineRule="auto"/>
            </w:pPr>
            <w:r w:rsidRPr="000756DF">
              <w:t>Other potential sources of bias</w:t>
            </w:r>
          </w:p>
        </w:tc>
      </w:tr>
      <w:tr w:rsidR="001C3FAF" w:rsidRPr="000756DF" w:rsidTr="001C3FAF">
        <w:trPr>
          <w:trHeight w:val="735"/>
        </w:trPr>
        <w:tc>
          <w:tcPr>
            <w:tcW w:w="0" w:type="auto"/>
            <w:tcBorders>
              <w:bottom w:val="nil"/>
            </w:tcBorders>
          </w:tcPr>
          <w:p w:rsidR="001C3FAF" w:rsidRPr="008E5C35" w:rsidRDefault="001C3FAF" w:rsidP="001C3FAF">
            <w:pPr>
              <w:pStyle w:val="TableText0"/>
              <w:spacing w:line="240" w:lineRule="auto"/>
              <w:rPr>
                <w:b/>
              </w:rPr>
            </w:pPr>
            <w:r w:rsidRPr="008E5C35">
              <w:rPr>
                <w:b/>
              </w:rPr>
              <w:t xml:space="preserve">Agalsidase-alfa versus placebo </w:t>
            </w: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c>
          <w:tcPr>
            <w:tcW w:w="0" w:type="auto"/>
            <w:tcBorders>
              <w:bottom w:val="nil"/>
            </w:tcBorders>
          </w:tcPr>
          <w:p w:rsidR="001C3FAF" w:rsidRPr="000756DF" w:rsidRDefault="001C3FAF" w:rsidP="001C3FAF">
            <w:pPr>
              <w:pStyle w:val="TableText0"/>
              <w:spacing w:line="240" w:lineRule="auto"/>
              <w:rPr>
                <w:color w:val="FFFFFF" w:themeColor="background1"/>
              </w:rPr>
            </w:pP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r>
      <w:tr w:rsidR="001C3FAF" w:rsidRPr="000756DF" w:rsidTr="001C3FAF">
        <w:trPr>
          <w:trHeight w:val="804"/>
        </w:trPr>
        <w:tc>
          <w:tcPr>
            <w:tcW w:w="0" w:type="auto"/>
            <w:tcBorders>
              <w:top w:val="nil"/>
              <w:left w:val="single" w:sz="4" w:space="0" w:color="auto"/>
              <w:bottom w:val="nil"/>
            </w:tcBorders>
          </w:tcPr>
          <w:p w:rsidR="001C3FAF" w:rsidRPr="000756DF" w:rsidRDefault="001C3FAF" w:rsidP="001C3FAF">
            <w:pPr>
              <w:pStyle w:val="TableText0"/>
              <w:spacing w:line="240" w:lineRule="auto"/>
            </w:pPr>
            <w:r w:rsidRPr="000756DF">
              <w:t>Hughes 2008</w:t>
            </w:r>
          </w:p>
        </w:tc>
        <w:tc>
          <w:tcPr>
            <w:tcW w:w="0" w:type="auto"/>
            <w:tcBorders>
              <w:top w:val="nil"/>
              <w:bottom w:val="nil"/>
            </w:tcBorders>
          </w:tcPr>
          <w:p w:rsidR="001C3FAF" w:rsidRPr="000756DF" w:rsidRDefault="001C3FAF" w:rsidP="001C3FAF">
            <w:pPr>
              <w:pStyle w:val="TableText0"/>
              <w:spacing w:line="240" w:lineRule="auto"/>
            </w:pPr>
            <w:r w:rsidRPr="000756DF">
              <w:t>Not described, risk unclear</w:t>
            </w:r>
          </w:p>
        </w:tc>
        <w:tc>
          <w:tcPr>
            <w:tcW w:w="0" w:type="auto"/>
            <w:tcBorders>
              <w:top w:val="nil"/>
              <w:bottom w:val="nil"/>
            </w:tcBorders>
          </w:tcPr>
          <w:p w:rsidR="001C3FAF" w:rsidRPr="000756DF" w:rsidRDefault="001C3FAF" w:rsidP="001C3FAF">
            <w:pPr>
              <w:pStyle w:val="TableText0"/>
              <w:spacing w:line="240" w:lineRule="auto"/>
            </w:pPr>
            <w:r w:rsidRPr="000756DF">
              <w:t>Not described, risk unclear</w:t>
            </w:r>
          </w:p>
        </w:tc>
        <w:tc>
          <w:tcPr>
            <w:tcW w:w="0" w:type="auto"/>
            <w:tcBorders>
              <w:top w:val="nil"/>
              <w:bottom w:val="nil"/>
            </w:tcBorders>
          </w:tcPr>
          <w:p w:rsidR="001C3FAF" w:rsidRPr="000756DF" w:rsidRDefault="001C3FAF" w:rsidP="001C3FAF">
            <w:pPr>
              <w:pStyle w:val="TableText0"/>
              <w:spacing w:line="240" w:lineRule="auto"/>
            </w:pPr>
            <w:r w:rsidRPr="000756DF">
              <w:t>Described, low risk</w:t>
            </w:r>
          </w:p>
        </w:tc>
        <w:tc>
          <w:tcPr>
            <w:tcW w:w="0" w:type="auto"/>
            <w:tcBorders>
              <w:top w:val="nil"/>
              <w:bottom w:val="nil"/>
            </w:tcBorders>
          </w:tcPr>
          <w:p w:rsidR="001C3FAF" w:rsidRPr="000756DF" w:rsidRDefault="001C3FAF" w:rsidP="001C3FAF">
            <w:pPr>
              <w:pStyle w:val="TableText0"/>
              <w:spacing w:line="240" w:lineRule="auto"/>
            </w:pPr>
            <w:r w:rsidRPr="000756DF">
              <w:t>Not described, risk unclear</w:t>
            </w:r>
          </w:p>
        </w:tc>
        <w:tc>
          <w:tcPr>
            <w:tcW w:w="0" w:type="auto"/>
            <w:tcBorders>
              <w:top w:val="nil"/>
              <w:bottom w:val="nil"/>
            </w:tcBorders>
          </w:tcPr>
          <w:p w:rsidR="001C3FAF" w:rsidRPr="000756DF" w:rsidRDefault="001C3FAF" w:rsidP="001C3FAF">
            <w:pPr>
              <w:pStyle w:val="TableText0"/>
              <w:spacing w:line="240" w:lineRule="auto"/>
            </w:pPr>
            <w:r w:rsidRPr="000756DF">
              <w:t>No selectivity, low risk</w:t>
            </w:r>
          </w:p>
        </w:tc>
        <w:tc>
          <w:tcPr>
            <w:tcW w:w="0" w:type="auto"/>
            <w:tcBorders>
              <w:top w:val="nil"/>
              <w:bottom w:val="nil"/>
            </w:tcBorders>
          </w:tcPr>
          <w:p w:rsidR="001C3FAF" w:rsidRPr="000756DF" w:rsidRDefault="001C3FAF" w:rsidP="001C3FAF">
            <w:pPr>
              <w:pStyle w:val="TableText0"/>
              <w:spacing w:line="240" w:lineRule="auto"/>
            </w:pPr>
            <w:r w:rsidRPr="000756DF">
              <w:t>None identified</w:t>
            </w:r>
          </w:p>
        </w:tc>
      </w:tr>
      <w:tr w:rsidR="001C3FAF" w:rsidRPr="000756DF" w:rsidTr="001C3FAF">
        <w:trPr>
          <w:trHeight w:val="958"/>
        </w:trPr>
        <w:tc>
          <w:tcPr>
            <w:tcW w:w="0" w:type="auto"/>
            <w:tcBorders>
              <w:top w:val="nil"/>
              <w:left w:val="single" w:sz="4" w:space="0" w:color="auto"/>
            </w:tcBorders>
          </w:tcPr>
          <w:p w:rsidR="001C3FAF" w:rsidRPr="000756DF" w:rsidRDefault="001C3FAF" w:rsidP="001C3FAF">
            <w:pPr>
              <w:pStyle w:val="TableText0"/>
              <w:spacing w:line="240" w:lineRule="auto"/>
            </w:pPr>
            <w:r w:rsidRPr="000756DF">
              <w:t>Schiffmann 2001</w:t>
            </w:r>
          </w:p>
        </w:tc>
        <w:tc>
          <w:tcPr>
            <w:tcW w:w="0" w:type="auto"/>
            <w:tcBorders>
              <w:top w:val="nil"/>
            </w:tcBorders>
          </w:tcPr>
          <w:p w:rsidR="001C3FAF" w:rsidRPr="000756DF" w:rsidRDefault="001C3FAF" w:rsidP="001C3FAF">
            <w:pPr>
              <w:pStyle w:val="TableText0"/>
              <w:spacing w:line="240" w:lineRule="auto"/>
            </w:pPr>
            <w:r w:rsidRPr="000756DF">
              <w:t>Not fully described, risk unclear</w:t>
            </w:r>
          </w:p>
        </w:tc>
        <w:tc>
          <w:tcPr>
            <w:tcW w:w="0" w:type="auto"/>
            <w:tcBorders>
              <w:top w:val="nil"/>
            </w:tcBorders>
          </w:tcPr>
          <w:p w:rsidR="001C3FAF" w:rsidRPr="000756DF" w:rsidRDefault="001C3FAF" w:rsidP="001C3FAF">
            <w:pPr>
              <w:pStyle w:val="TableText0"/>
              <w:spacing w:line="240" w:lineRule="auto"/>
            </w:pPr>
            <w:r w:rsidRPr="000756DF">
              <w:t>Described, low risk</w:t>
            </w:r>
          </w:p>
        </w:tc>
        <w:tc>
          <w:tcPr>
            <w:tcW w:w="0" w:type="auto"/>
            <w:tcBorders>
              <w:top w:val="nil"/>
            </w:tcBorders>
          </w:tcPr>
          <w:p w:rsidR="001C3FAF" w:rsidRPr="000756DF" w:rsidRDefault="001C3FAF" w:rsidP="001C3FAF">
            <w:pPr>
              <w:pStyle w:val="TableText0"/>
              <w:spacing w:line="240" w:lineRule="auto"/>
            </w:pPr>
            <w:r w:rsidRPr="000756DF">
              <w:t>Not described, risk unclear</w:t>
            </w:r>
          </w:p>
        </w:tc>
        <w:tc>
          <w:tcPr>
            <w:tcW w:w="0" w:type="auto"/>
            <w:tcBorders>
              <w:top w:val="nil"/>
            </w:tcBorders>
          </w:tcPr>
          <w:p w:rsidR="001C3FAF" w:rsidRPr="000756DF" w:rsidRDefault="001C3FAF" w:rsidP="001C3FAF">
            <w:pPr>
              <w:pStyle w:val="TableText0"/>
              <w:spacing w:line="240" w:lineRule="auto"/>
            </w:pPr>
            <w:r w:rsidRPr="000756DF">
              <w:t>Sufficiently described, low risk</w:t>
            </w:r>
          </w:p>
        </w:tc>
        <w:tc>
          <w:tcPr>
            <w:tcW w:w="0" w:type="auto"/>
            <w:tcBorders>
              <w:top w:val="nil"/>
            </w:tcBorders>
          </w:tcPr>
          <w:p w:rsidR="001C3FAF" w:rsidRPr="000756DF" w:rsidRDefault="001C3FAF" w:rsidP="001C3FAF">
            <w:pPr>
              <w:pStyle w:val="TableText0"/>
              <w:spacing w:line="240" w:lineRule="auto"/>
            </w:pPr>
            <w:r w:rsidRPr="000756DF">
              <w:t>No selectivity, low risk</w:t>
            </w:r>
          </w:p>
        </w:tc>
        <w:tc>
          <w:tcPr>
            <w:tcW w:w="0" w:type="auto"/>
            <w:tcBorders>
              <w:top w:val="nil"/>
            </w:tcBorders>
          </w:tcPr>
          <w:p w:rsidR="001C3FAF" w:rsidRPr="000756DF" w:rsidRDefault="001C3FAF" w:rsidP="001C3FAF">
            <w:pPr>
              <w:pStyle w:val="TableText0"/>
              <w:spacing w:line="240" w:lineRule="auto"/>
            </w:pPr>
            <w:r w:rsidRPr="000756DF">
              <w:t>None identified</w:t>
            </w:r>
          </w:p>
        </w:tc>
      </w:tr>
      <w:tr w:rsidR="001C3FAF" w:rsidRPr="000756DF" w:rsidTr="001C3FAF">
        <w:trPr>
          <w:trHeight w:val="693"/>
        </w:trPr>
        <w:tc>
          <w:tcPr>
            <w:tcW w:w="0" w:type="auto"/>
            <w:tcBorders>
              <w:bottom w:val="nil"/>
            </w:tcBorders>
          </w:tcPr>
          <w:p w:rsidR="001C3FAF" w:rsidRPr="008E5C35" w:rsidRDefault="001C3FAF" w:rsidP="001C3FAF">
            <w:pPr>
              <w:pStyle w:val="TableText0"/>
              <w:spacing w:line="240" w:lineRule="auto"/>
              <w:rPr>
                <w:b/>
              </w:rPr>
            </w:pPr>
            <w:r w:rsidRPr="008E5C35">
              <w:rPr>
                <w:b/>
              </w:rPr>
              <w:t>Agalsidase-beta versus placebo</w:t>
            </w: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c>
          <w:tcPr>
            <w:tcW w:w="0" w:type="auto"/>
            <w:tcBorders>
              <w:bottom w:val="nil"/>
            </w:tcBorders>
          </w:tcPr>
          <w:p w:rsidR="001C3FAF" w:rsidRPr="000756DF" w:rsidRDefault="001C3FAF" w:rsidP="001C3FAF">
            <w:pPr>
              <w:pStyle w:val="TableText0"/>
              <w:spacing w:line="240" w:lineRule="auto"/>
              <w:rPr>
                <w:color w:val="FFFFFF" w:themeColor="background1"/>
              </w:rPr>
            </w:pP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r>
      <w:tr w:rsidR="001C3FAF" w:rsidRPr="000756DF" w:rsidTr="001C3FAF">
        <w:trPr>
          <w:trHeight w:val="904"/>
        </w:trPr>
        <w:tc>
          <w:tcPr>
            <w:tcW w:w="0" w:type="auto"/>
            <w:tcBorders>
              <w:top w:val="nil"/>
              <w:bottom w:val="nil"/>
            </w:tcBorders>
          </w:tcPr>
          <w:p w:rsidR="001C3FAF" w:rsidRPr="000756DF" w:rsidRDefault="001C3FAF" w:rsidP="001C3FAF">
            <w:pPr>
              <w:pStyle w:val="TableText0"/>
              <w:spacing w:line="240" w:lineRule="auto"/>
            </w:pPr>
            <w:r w:rsidRPr="000756DF">
              <w:t>Banikazemi 2007</w:t>
            </w:r>
          </w:p>
        </w:tc>
        <w:tc>
          <w:tcPr>
            <w:tcW w:w="0" w:type="auto"/>
            <w:tcBorders>
              <w:top w:val="nil"/>
              <w:bottom w:val="nil"/>
            </w:tcBorders>
          </w:tcPr>
          <w:p w:rsidR="001C3FAF" w:rsidRPr="000756DF" w:rsidRDefault="001C3FAF" w:rsidP="001C3FAF">
            <w:pPr>
              <w:pStyle w:val="TableText0"/>
              <w:spacing w:line="240" w:lineRule="auto"/>
            </w:pPr>
            <w:r w:rsidRPr="000756DF">
              <w:t>Reported, low risk</w:t>
            </w:r>
          </w:p>
        </w:tc>
        <w:tc>
          <w:tcPr>
            <w:tcW w:w="0" w:type="auto"/>
            <w:tcBorders>
              <w:top w:val="nil"/>
              <w:bottom w:val="nil"/>
            </w:tcBorders>
          </w:tcPr>
          <w:p w:rsidR="001C3FAF" w:rsidRPr="000756DF" w:rsidRDefault="001C3FAF" w:rsidP="001C3FAF">
            <w:pPr>
              <w:pStyle w:val="TableText0"/>
              <w:spacing w:line="240" w:lineRule="auto"/>
            </w:pPr>
            <w:r w:rsidRPr="000756DF">
              <w:t>Described, low risk</w:t>
            </w:r>
          </w:p>
        </w:tc>
        <w:tc>
          <w:tcPr>
            <w:tcW w:w="0" w:type="auto"/>
            <w:tcBorders>
              <w:top w:val="nil"/>
              <w:bottom w:val="nil"/>
            </w:tcBorders>
          </w:tcPr>
          <w:p w:rsidR="001C3FAF" w:rsidRPr="000756DF" w:rsidRDefault="001C3FAF" w:rsidP="001C3FAF">
            <w:pPr>
              <w:pStyle w:val="TableText0"/>
              <w:spacing w:line="240" w:lineRule="auto"/>
            </w:pPr>
            <w:r w:rsidRPr="000756DF">
              <w:t>Described, low risk</w:t>
            </w:r>
          </w:p>
        </w:tc>
        <w:tc>
          <w:tcPr>
            <w:tcW w:w="0" w:type="auto"/>
            <w:tcBorders>
              <w:top w:val="nil"/>
              <w:bottom w:val="nil"/>
            </w:tcBorders>
          </w:tcPr>
          <w:p w:rsidR="001C3FAF" w:rsidRPr="000756DF" w:rsidRDefault="001C3FAF" w:rsidP="001C3FAF">
            <w:pPr>
              <w:pStyle w:val="TableText0"/>
              <w:spacing w:line="240" w:lineRule="auto"/>
            </w:pPr>
            <w:r w:rsidRPr="000756DF">
              <w:t>Not fully described, unclear risk</w:t>
            </w:r>
          </w:p>
        </w:tc>
        <w:tc>
          <w:tcPr>
            <w:tcW w:w="0" w:type="auto"/>
            <w:tcBorders>
              <w:top w:val="nil"/>
              <w:bottom w:val="nil"/>
            </w:tcBorders>
          </w:tcPr>
          <w:p w:rsidR="001C3FAF" w:rsidRPr="000756DF" w:rsidRDefault="001C3FAF" w:rsidP="001C3FAF">
            <w:pPr>
              <w:pStyle w:val="TableText0"/>
              <w:spacing w:line="240" w:lineRule="auto"/>
            </w:pPr>
            <w:r w:rsidRPr="000756DF">
              <w:t>No selectivity, low risk</w:t>
            </w:r>
          </w:p>
        </w:tc>
        <w:tc>
          <w:tcPr>
            <w:tcW w:w="0" w:type="auto"/>
            <w:tcBorders>
              <w:top w:val="nil"/>
              <w:bottom w:val="nil"/>
            </w:tcBorders>
          </w:tcPr>
          <w:p w:rsidR="001C3FAF" w:rsidRPr="000756DF" w:rsidRDefault="001C3FAF" w:rsidP="001C3FAF">
            <w:pPr>
              <w:pStyle w:val="TableText0"/>
              <w:spacing w:line="240" w:lineRule="auto"/>
            </w:pPr>
            <w:r w:rsidRPr="000756DF">
              <w:t>None identified</w:t>
            </w:r>
          </w:p>
        </w:tc>
      </w:tr>
      <w:tr w:rsidR="001C3FAF" w:rsidRPr="000756DF" w:rsidTr="001C3FAF">
        <w:trPr>
          <w:trHeight w:val="1039"/>
        </w:trPr>
        <w:tc>
          <w:tcPr>
            <w:tcW w:w="0" w:type="auto"/>
            <w:tcBorders>
              <w:top w:val="nil"/>
              <w:bottom w:val="nil"/>
            </w:tcBorders>
          </w:tcPr>
          <w:p w:rsidR="001C3FAF" w:rsidRPr="000756DF" w:rsidRDefault="001C3FAF" w:rsidP="001C3FAF">
            <w:pPr>
              <w:pStyle w:val="TableText0"/>
              <w:spacing w:line="240" w:lineRule="auto"/>
            </w:pPr>
            <w:r w:rsidRPr="000756DF">
              <w:t>Bierer 2006</w:t>
            </w:r>
          </w:p>
        </w:tc>
        <w:tc>
          <w:tcPr>
            <w:tcW w:w="0" w:type="auto"/>
            <w:tcBorders>
              <w:top w:val="nil"/>
              <w:bottom w:val="nil"/>
            </w:tcBorders>
          </w:tcPr>
          <w:p w:rsidR="001C3FAF" w:rsidRPr="000756DF" w:rsidRDefault="001C3FAF" w:rsidP="001C3FAF">
            <w:pPr>
              <w:pStyle w:val="TableText0"/>
              <w:spacing w:line="240" w:lineRule="auto"/>
            </w:pPr>
            <w:r w:rsidRPr="000756DF">
              <w:t>Not described, risk unclear</w:t>
            </w:r>
          </w:p>
        </w:tc>
        <w:tc>
          <w:tcPr>
            <w:tcW w:w="0" w:type="auto"/>
            <w:tcBorders>
              <w:top w:val="nil"/>
              <w:bottom w:val="nil"/>
            </w:tcBorders>
          </w:tcPr>
          <w:p w:rsidR="001C3FAF" w:rsidRPr="000756DF" w:rsidRDefault="001C3FAF" w:rsidP="001C3FAF">
            <w:pPr>
              <w:pStyle w:val="TableText0"/>
              <w:spacing w:line="240" w:lineRule="auto"/>
            </w:pPr>
            <w:r w:rsidRPr="000756DF">
              <w:t>Not described, risk unclear</w:t>
            </w:r>
          </w:p>
        </w:tc>
        <w:tc>
          <w:tcPr>
            <w:tcW w:w="0" w:type="auto"/>
            <w:tcBorders>
              <w:top w:val="nil"/>
              <w:bottom w:val="nil"/>
            </w:tcBorders>
          </w:tcPr>
          <w:p w:rsidR="001C3FAF" w:rsidRPr="000756DF" w:rsidRDefault="001C3FAF" w:rsidP="001C3FAF">
            <w:pPr>
              <w:pStyle w:val="TableText0"/>
              <w:spacing w:line="240" w:lineRule="auto"/>
            </w:pPr>
            <w:r w:rsidRPr="000756DF">
              <w:t>Not fully described, unclear risk</w:t>
            </w:r>
          </w:p>
        </w:tc>
        <w:tc>
          <w:tcPr>
            <w:tcW w:w="0" w:type="auto"/>
            <w:tcBorders>
              <w:top w:val="nil"/>
              <w:bottom w:val="nil"/>
            </w:tcBorders>
          </w:tcPr>
          <w:p w:rsidR="001C3FAF" w:rsidRPr="000756DF" w:rsidRDefault="001C3FAF" w:rsidP="001C3FAF">
            <w:pPr>
              <w:pStyle w:val="TableText0"/>
              <w:spacing w:line="240" w:lineRule="auto"/>
            </w:pPr>
            <w:r w:rsidRPr="000756DF">
              <w:t>Not described, unclear risk</w:t>
            </w:r>
          </w:p>
        </w:tc>
        <w:tc>
          <w:tcPr>
            <w:tcW w:w="0" w:type="auto"/>
            <w:tcBorders>
              <w:top w:val="nil"/>
              <w:bottom w:val="nil"/>
            </w:tcBorders>
          </w:tcPr>
          <w:p w:rsidR="001C3FAF" w:rsidRPr="000756DF" w:rsidRDefault="001C3FAF" w:rsidP="001C3FAF">
            <w:pPr>
              <w:pStyle w:val="TableText0"/>
              <w:spacing w:line="240" w:lineRule="auto"/>
            </w:pPr>
            <w:r w:rsidRPr="000756DF">
              <w:t>No selectivity, low risk</w:t>
            </w:r>
          </w:p>
        </w:tc>
        <w:tc>
          <w:tcPr>
            <w:tcW w:w="0" w:type="auto"/>
            <w:tcBorders>
              <w:top w:val="nil"/>
              <w:bottom w:val="nil"/>
            </w:tcBorders>
          </w:tcPr>
          <w:p w:rsidR="001C3FAF" w:rsidRPr="000756DF" w:rsidRDefault="001C3FAF" w:rsidP="001C3FAF">
            <w:pPr>
              <w:pStyle w:val="TableText0"/>
              <w:spacing w:line="240" w:lineRule="auto"/>
            </w:pPr>
            <w:r w:rsidRPr="000756DF">
              <w:t>None identified</w:t>
            </w:r>
          </w:p>
        </w:tc>
      </w:tr>
      <w:tr w:rsidR="001C3FAF" w:rsidRPr="000756DF" w:rsidTr="001C3FAF">
        <w:trPr>
          <w:trHeight w:val="968"/>
        </w:trPr>
        <w:tc>
          <w:tcPr>
            <w:tcW w:w="0" w:type="auto"/>
            <w:tcBorders>
              <w:top w:val="nil"/>
            </w:tcBorders>
          </w:tcPr>
          <w:p w:rsidR="001C3FAF" w:rsidRPr="000756DF" w:rsidRDefault="001C3FAF" w:rsidP="001C3FAF">
            <w:pPr>
              <w:pStyle w:val="TableText0"/>
              <w:spacing w:line="240" w:lineRule="auto"/>
            </w:pPr>
            <w:r w:rsidRPr="000756DF">
              <w:t>Eng 2001</w:t>
            </w:r>
          </w:p>
        </w:tc>
        <w:tc>
          <w:tcPr>
            <w:tcW w:w="0" w:type="auto"/>
            <w:tcBorders>
              <w:top w:val="nil"/>
            </w:tcBorders>
          </w:tcPr>
          <w:p w:rsidR="001C3FAF" w:rsidRPr="000756DF" w:rsidRDefault="001C3FAF" w:rsidP="001C3FAF">
            <w:pPr>
              <w:pStyle w:val="TableText0"/>
              <w:spacing w:line="240" w:lineRule="auto"/>
            </w:pPr>
            <w:r w:rsidRPr="000756DF">
              <w:t>Not described, risk unclear</w:t>
            </w:r>
          </w:p>
        </w:tc>
        <w:tc>
          <w:tcPr>
            <w:tcW w:w="0" w:type="auto"/>
            <w:tcBorders>
              <w:top w:val="nil"/>
            </w:tcBorders>
          </w:tcPr>
          <w:p w:rsidR="001C3FAF" w:rsidRPr="000756DF" w:rsidRDefault="001C3FAF" w:rsidP="001C3FAF">
            <w:pPr>
              <w:pStyle w:val="TableText0"/>
              <w:spacing w:line="240" w:lineRule="auto"/>
            </w:pPr>
            <w:r w:rsidRPr="000756DF">
              <w:t>Not described, risk unclear</w:t>
            </w:r>
          </w:p>
        </w:tc>
        <w:tc>
          <w:tcPr>
            <w:tcW w:w="0" w:type="auto"/>
            <w:tcBorders>
              <w:top w:val="nil"/>
            </w:tcBorders>
          </w:tcPr>
          <w:p w:rsidR="001C3FAF" w:rsidRPr="000756DF" w:rsidRDefault="001C3FAF" w:rsidP="001C3FAF">
            <w:pPr>
              <w:pStyle w:val="TableText0"/>
              <w:spacing w:line="240" w:lineRule="auto"/>
            </w:pPr>
            <w:r w:rsidRPr="000756DF">
              <w:t>Not fully described, risk unclear</w:t>
            </w:r>
          </w:p>
        </w:tc>
        <w:tc>
          <w:tcPr>
            <w:tcW w:w="0" w:type="auto"/>
            <w:tcBorders>
              <w:top w:val="nil"/>
            </w:tcBorders>
          </w:tcPr>
          <w:p w:rsidR="001C3FAF" w:rsidRPr="000756DF" w:rsidRDefault="001C3FAF" w:rsidP="001C3FAF">
            <w:pPr>
              <w:pStyle w:val="TableText0"/>
              <w:spacing w:line="240" w:lineRule="auto"/>
            </w:pPr>
            <w:r w:rsidRPr="000756DF">
              <w:t>Not described, unclear risk</w:t>
            </w:r>
          </w:p>
        </w:tc>
        <w:tc>
          <w:tcPr>
            <w:tcW w:w="0" w:type="auto"/>
            <w:tcBorders>
              <w:top w:val="nil"/>
            </w:tcBorders>
          </w:tcPr>
          <w:p w:rsidR="001C3FAF" w:rsidRPr="000756DF" w:rsidRDefault="001C3FAF" w:rsidP="001C3FAF">
            <w:pPr>
              <w:pStyle w:val="TableText0"/>
              <w:spacing w:line="240" w:lineRule="auto"/>
            </w:pPr>
            <w:r w:rsidRPr="000756DF">
              <w:t>No selectivity, low risk</w:t>
            </w:r>
          </w:p>
        </w:tc>
        <w:tc>
          <w:tcPr>
            <w:tcW w:w="0" w:type="auto"/>
            <w:tcBorders>
              <w:top w:val="nil"/>
            </w:tcBorders>
          </w:tcPr>
          <w:p w:rsidR="001C3FAF" w:rsidRPr="000756DF" w:rsidRDefault="001C3FAF" w:rsidP="001C3FAF">
            <w:pPr>
              <w:pStyle w:val="TableText0"/>
              <w:spacing w:line="240" w:lineRule="auto"/>
            </w:pPr>
            <w:r w:rsidRPr="000756DF">
              <w:t>Possible source identified, risk unclear</w:t>
            </w:r>
          </w:p>
        </w:tc>
      </w:tr>
      <w:tr w:rsidR="001C3FAF" w:rsidRPr="000756DF" w:rsidTr="001C3FAF">
        <w:trPr>
          <w:trHeight w:val="657"/>
        </w:trPr>
        <w:tc>
          <w:tcPr>
            <w:tcW w:w="0" w:type="auto"/>
            <w:tcBorders>
              <w:bottom w:val="nil"/>
            </w:tcBorders>
          </w:tcPr>
          <w:p w:rsidR="001C3FAF" w:rsidRPr="008E5C35" w:rsidRDefault="001C3FAF" w:rsidP="001C3FAF">
            <w:pPr>
              <w:pStyle w:val="TableText0"/>
              <w:spacing w:line="240" w:lineRule="auto"/>
              <w:rPr>
                <w:b/>
              </w:rPr>
            </w:pPr>
            <w:r w:rsidRPr="008E5C35">
              <w:rPr>
                <w:b/>
              </w:rPr>
              <w:t>Agalsidase alfa versus beta</w:t>
            </w: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c>
          <w:tcPr>
            <w:tcW w:w="0" w:type="auto"/>
            <w:tcBorders>
              <w:bottom w:val="nil"/>
            </w:tcBorders>
          </w:tcPr>
          <w:p w:rsidR="001C3FAF" w:rsidRPr="000756DF" w:rsidRDefault="001C3FAF" w:rsidP="001C3FAF">
            <w:pPr>
              <w:pStyle w:val="TableText0"/>
              <w:spacing w:line="240" w:lineRule="auto"/>
              <w:rPr>
                <w:color w:val="FFFFFF" w:themeColor="background1"/>
              </w:rPr>
            </w:pPr>
          </w:p>
        </w:tc>
        <w:tc>
          <w:tcPr>
            <w:tcW w:w="0" w:type="auto"/>
            <w:tcBorders>
              <w:bottom w:val="nil"/>
            </w:tcBorders>
          </w:tcPr>
          <w:p w:rsidR="001C3FAF" w:rsidRPr="000756DF" w:rsidRDefault="001C3FAF" w:rsidP="001C3FAF">
            <w:pPr>
              <w:pStyle w:val="TableText0"/>
              <w:spacing w:line="240" w:lineRule="auto"/>
              <w:rPr>
                <w:color w:val="FFFFFF" w:themeColor="background1"/>
              </w:rPr>
            </w:pPr>
            <w:r w:rsidRPr="000756DF">
              <w:rPr>
                <w:color w:val="FFFFFF" w:themeColor="background1"/>
              </w:rPr>
              <w:t>-</w:t>
            </w:r>
          </w:p>
        </w:tc>
      </w:tr>
      <w:tr w:rsidR="001C3FAF" w:rsidRPr="000756DF" w:rsidTr="001C3FAF">
        <w:trPr>
          <w:trHeight w:val="1155"/>
        </w:trPr>
        <w:tc>
          <w:tcPr>
            <w:tcW w:w="0" w:type="auto"/>
            <w:tcBorders>
              <w:top w:val="nil"/>
            </w:tcBorders>
          </w:tcPr>
          <w:p w:rsidR="001C3FAF" w:rsidRPr="000756DF" w:rsidRDefault="001C3FAF" w:rsidP="001C3FAF">
            <w:pPr>
              <w:pStyle w:val="TableText0"/>
              <w:spacing w:line="240" w:lineRule="auto"/>
            </w:pPr>
            <w:r w:rsidRPr="000756DF">
              <w:t>Vedder 2007</w:t>
            </w:r>
          </w:p>
        </w:tc>
        <w:tc>
          <w:tcPr>
            <w:tcW w:w="0" w:type="auto"/>
            <w:tcBorders>
              <w:top w:val="nil"/>
            </w:tcBorders>
          </w:tcPr>
          <w:p w:rsidR="001C3FAF" w:rsidRPr="000756DF" w:rsidRDefault="001C3FAF" w:rsidP="001C3FAF">
            <w:pPr>
              <w:pStyle w:val="TableText0"/>
              <w:spacing w:line="240" w:lineRule="auto"/>
            </w:pPr>
            <w:r w:rsidRPr="000756DF">
              <w:t>Fully described, low risk</w:t>
            </w:r>
          </w:p>
        </w:tc>
        <w:tc>
          <w:tcPr>
            <w:tcW w:w="0" w:type="auto"/>
            <w:tcBorders>
              <w:top w:val="nil"/>
            </w:tcBorders>
          </w:tcPr>
          <w:p w:rsidR="001C3FAF" w:rsidRPr="000756DF" w:rsidRDefault="001C3FAF" w:rsidP="001C3FAF">
            <w:pPr>
              <w:pStyle w:val="TableText0"/>
              <w:spacing w:line="240" w:lineRule="auto"/>
            </w:pPr>
            <w:r w:rsidRPr="000756DF">
              <w:t>Described, low risk</w:t>
            </w:r>
          </w:p>
        </w:tc>
        <w:tc>
          <w:tcPr>
            <w:tcW w:w="0" w:type="auto"/>
            <w:tcBorders>
              <w:top w:val="nil"/>
            </w:tcBorders>
          </w:tcPr>
          <w:p w:rsidR="001C3FAF" w:rsidRPr="000756DF" w:rsidRDefault="001C3FAF" w:rsidP="001C3FAF">
            <w:pPr>
              <w:pStyle w:val="TableText0"/>
              <w:spacing w:line="240" w:lineRule="auto"/>
            </w:pPr>
            <w:r w:rsidRPr="000756DF">
              <w:t>Not blinded, high risk</w:t>
            </w:r>
          </w:p>
        </w:tc>
        <w:tc>
          <w:tcPr>
            <w:tcW w:w="0" w:type="auto"/>
            <w:tcBorders>
              <w:top w:val="nil"/>
            </w:tcBorders>
          </w:tcPr>
          <w:p w:rsidR="001C3FAF" w:rsidRPr="000756DF" w:rsidRDefault="001C3FAF" w:rsidP="001C3FAF">
            <w:pPr>
              <w:pStyle w:val="TableText0"/>
              <w:spacing w:line="240" w:lineRule="auto"/>
            </w:pPr>
            <w:r w:rsidRPr="000756DF">
              <w:t>Described, high risk</w:t>
            </w:r>
          </w:p>
        </w:tc>
        <w:tc>
          <w:tcPr>
            <w:tcW w:w="0" w:type="auto"/>
            <w:tcBorders>
              <w:top w:val="nil"/>
            </w:tcBorders>
          </w:tcPr>
          <w:p w:rsidR="001C3FAF" w:rsidRPr="000756DF" w:rsidRDefault="001C3FAF" w:rsidP="001C3FAF">
            <w:pPr>
              <w:pStyle w:val="TableText0"/>
              <w:spacing w:line="240" w:lineRule="auto"/>
            </w:pPr>
            <w:r w:rsidRPr="000756DF">
              <w:t>No selectivity, low risk</w:t>
            </w:r>
          </w:p>
        </w:tc>
        <w:tc>
          <w:tcPr>
            <w:tcW w:w="0" w:type="auto"/>
            <w:tcBorders>
              <w:top w:val="nil"/>
            </w:tcBorders>
          </w:tcPr>
          <w:p w:rsidR="001C3FAF" w:rsidRPr="000756DF" w:rsidRDefault="001C3FAF" w:rsidP="001C3FAF">
            <w:pPr>
              <w:pStyle w:val="TableText0"/>
              <w:spacing w:line="240" w:lineRule="auto"/>
            </w:pPr>
            <w:r w:rsidRPr="000756DF">
              <w:t>None identified</w:t>
            </w:r>
          </w:p>
        </w:tc>
      </w:tr>
    </w:tbl>
    <w:p w:rsidR="001C3FAF" w:rsidRPr="000756DF" w:rsidRDefault="001C3FAF" w:rsidP="001C3FAF"/>
    <w:p w:rsidR="001C3FAF" w:rsidRPr="000756DF" w:rsidRDefault="001C3FAF" w:rsidP="001C3FAF">
      <w:pPr>
        <w:spacing w:after="0" w:line="240" w:lineRule="auto"/>
        <w:jc w:val="left"/>
        <w:rPr>
          <w:rFonts w:ascii="Cambria" w:hAnsi="Cambria"/>
          <w:color w:val="243F60"/>
        </w:rPr>
      </w:pPr>
      <w:r w:rsidRPr="000756DF">
        <w:br w:type="page"/>
      </w:r>
    </w:p>
    <w:p w:rsidR="001C3FAF" w:rsidRPr="000756DF" w:rsidRDefault="001C3FAF" w:rsidP="001C3FAF">
      <w:pPr>
        <w:keepNext/>
        <w:keepLines/>
        <w:tabs>
          <w:tab w:val="left" w:pos="1106"/>
        </w:tabs>
        <w:spacing w:before="200" w:line="240" w:lineRule="auto"/>
        <w:outlineLvl w:val="4"/>
        <w:rPr>
          <w:rFonts w:ascii="Cambria" w:hAnsi="Cambria"/>
          <w:color w:val="243F60"/>
        </w:rPr>
        <w:sectPr w:rsidR="001C3FAF" w:rsidRPr="000756DF" w:rsidSect="000021DB">
          <w:headerReference w:type="default" r:id="rId19"/>
          <w:footerReference w:type="default" r:id="rId20"/>
          <w:pgSz w:w="11906" w:h="16838"/>
          <w:pgMar w:top="1440" w:right="1440" w:bottom="1440" w:left="1440" w:header="708" w:footer="708" w:gutter="0"/>
          <w:cols w:space="708"/>
          <w:docGrid w:linePitch="360"/>
        </w:sectPr>
      </w:pPr>
    </w:p>
    <w:p w:rsidR="001C3FAF" w:rsidRPr="00E965BD" w:rsidRDefault="001C3FAF" w:rsidP="00A979FB">
      <w:pPr>
        <w:pStyle w:val="Heading4"/>
      </w:pPr>
      <w:r w:rsidRPr="00E965BD">
        <w:lastRenderedPageBreak/>
        <w:t>Effectiveness of agalsidase al</w:t>
      </w:r>
      <w:r>
        <w:t>f</w:t>
      </w:r>
      <w:r w:rsidRPr="00E965BD">
        <w:t>a compared to placebo</w:t>
      </w:r>
    </w:p>
    <w:p w:rsidR="001C3FAF" w:rsidRPr="000756DF" w:rsidRDefault="001C3FAF" w:rsidP="001C3FAF">
      <w:r w:rsidRPr="000756DF">
        <w:t xml:space="preserve">Two RCTs </w:t>
      </w:r>
      <w:r w:rsidR="00BC0D72">
        <w:rPr>
          <w:noProof/>
        </w:rPr>
        <w:t>(</w:t>
      </w:r>
      <w:r w:rsidR="00184B6F">
        <w:rPr>
          <w:noProof/>
        </w:rPr>
        <w:t>Hughes et al. 2008</w:t>
      </w:r>
      <w:r w:rsidR="00BC0D72">
        <w:rPr>
          <w:noProof/>
        </w:rPr>
        <w:t xml:space="preserve">; </w:t>
      </w:r>
      <w:r w:rsidR="00184B6F">
        <w:rPr>
          <w:noProof/>
        </w:rPr>
        <w:t>Schiffmann et al. 2001</w:t>
      </w:r>
      <w:r w:rsidR="00BC0D72">
        <w:rPr>
          <w:noProof/>
        </w:rPr>
        <w:t>)</w:t>
      </w:r>
      <w:r w:rsidRPr="000756DF">
        <w:t xml:space="preserve"> met the inclusion criteria for assessing agalsidase alfa </w:t>
      </w:r>
      <w:r>
        <w:t xml:space="preserve">with reference </w:t>
      </w:r>
      <w:r w:rsidRPr="000756DF">
        <w:t>to placebo. In the trial reported by Schiffmann et al</w:t>
      </w:r>
      <w:r>
        <w:t xml:space="preserve"> (2001)</w:t>
      </w:r>
      <w:r w:rsidRPr="000756DF">
        <w:t xml:space="preserve">, 26 male US residents were randomised – 14 received algalsidase alfa and 12 received placebo. The more recent </w:t>
      </w:r>
      <w:r>
        <w:t xml:space="preserve">(2008) </w:t>
      </w:r>
      <w:r w:rsidRPr="000756DF">
        <w:t xml:space="preserve">RCT </w:t>
      </w:r>
      <w:r w:rsidR="00A130D0">
        <w:rPr>
          <w:noProof/>
        </w:rPr>
        <w:t>(</w:t>
      </w:r>
      <w:r w:rsidR="00184B6F">
        <w:rPr>
          <w:noProof/>
        </w:rPr>
        <w:t>Hughes et al. 2008</w:t>
      </w:r>
      <w:r w:rsidR="00A130D0">
        <w:rPr>
          <w:noProof/>
        </w:rPr>
        <w:t>)</w:t>
      </w:r>
      <w:r w:rsidRPr="000756DF">
        <w:t xml:space="preserve"> randomised 15 males</w:t>
      </w:r>
      <w:r>
        <w:t>,</w:t>
      </w:r>
      <w:r w:rsidRPr="000756DF">
        <w:t xml:space="preserve"> with seven </w:t>
      </w:r>
      <w:r>
        <w:t>allocated</w:t>
      </w:r>
      <w:r w:rsidRPr="000756DF">
        <w:t xml:space="preserve"> the treatment arm and 8 receiving placebo. Both trials administered algalsidase alfa at a dose of 0.2 mg/kg once per fortnight for a period of 6 months. </w:t>
      </w:r>
      <w:r w:rsidR="006A63A8">
        <w:t>Placebo was administered using an identical method to drug infusion. The studies did not describe any additional standard therapies. A</w:t>
      </w:r>
      <w:r w:rsidR="006A63A8" w:rsidRPr="000756DF">
        <w:t xml:space="preserve"> 24 month open-label extension </w:t>
      </w:r>
      <w:r w:rsidR="006A63A8">
        <w:t xml:space="preserve">study of patients in the smaller trial was conducted (Hughes et al, 2008), </w:t>
      </w:r>
      <w:r w:rsidR="006A63A8" w:rsidRPr="000756DF">
        <w:t xml:space="preserve">which </w:t>
      </w:r>
      <w:r w:rsidR="006A63A8">
        <w:t xml:space="preserve">was completed by </w:t>
      </w:r>
      <w:r w:rsidR="006A63A8" w:rsidRPr="000756DF">
        <w:t>10 of the 15 participants.</w:t>
      </w:r>
    </w:p>
    <w:p w:rsidR="001C3FAF" w:rsidRPr="000756DF" w:rsidRDefault="001C3FAF" w:rsidP="001C3FAF">
      <w:r w:rsidRPr="000756DF">
        <w:t xml:space="preserve">El Dib et al </w:t>
      </w:r>
      <w:r>
        <w:t xml:space="preserve">(2013) </w:t>
      </w:r>
      <w:r w:rsidRPr="000756DF">
        <w:t>reported outcomes as mean difference</w:t>
      </w:r>
      <w:r>
        <w:t>s</w:t>
      </w:r>
      <w:r w:rsidRPr="000756DF">
        <w:t xml:space="preserve"> with confidence intervals and </w:t>
      </w:r>
      <w:r>
        <w:t xml:space="preserve">these data have been synthesised using </w:t>
      </w:r>
      <w:r w:rsidR="00EB477D">
        <w:t>the</w:t>
      </w:r>
      <w:r>
        <w:t xml:space="preserve"> </w:t>
      </w:r>
      <w:r w:rsidRPr="000756DF">
        <w:t xml:space="preserve">GRADE </w:t>
      </w:r>
      <w:r w:rsidR="00EB477D">
        <w:t>approach</w:t>
      </w:r>
      <w:r w:rsidRPr="000756DF">
        <w:t xml:space="preserve">. Where an outcome was assessed in more than one trial, a pooled analysis is presented. Outcomes </w:t>
      </w:r>
      <w:r>
        <w:t xml:space="preserve">that were </w:t>
      </w:r>
      <w:r w:rsidRPr="000756DF">
        <w:t xml:space="preserve">reported by Schaeffer et al </w:t>
      </w:r>
      <w:r>
        <w:t xml:space="preserve">(2009) </w:t>
      </w:r>
      <w:r w:rsidRPr="000756DF">
        <w:t xml:space="preserve">that were additional to those in El Dib et al </w:t>
      </w:r>
      <w:r>
        <w:t>(</w:t>
      </w:r>
      <w:r w:rsidRPr="000756DF">
        <w:t>2013</w:t>
      </w:r>
      <w:r>
        <w:t>) have been included in the GRADE evidence summary</w:t>
      </w:r>
      <w:r w:rsidRPr="000756DF">
        <w:t>.</w:t>
      </w:r>
      <w:r>
        <w:t xml:space="preserve"> </w:t>
      </w:r>
      <w:r w:rsidRPr="000756DF">
        <w:t xml:space="preserve">Schaefer et al </w:t>
      </w:r>
      <w:r>
        <w:t xml:space="preserve">(2009) </w:t>
      </w:r>
      <w:r w:rsidRPr="000756DF">
        <w:t>reported mean baseline and endpoint data with standard deviations. P value</w:t>
      </w:r>
      <w:r>
        <w:t xml:space="preserve">s, with or without </w:t>
      </w:r>
      <w:r w:rsidRPr="000756DF">
        <w:t>confidence interval</w:t>
      </w:r>
      <w:r>
        <w:t>s, were</w:t>
      </w:r>
      <w:r w:rsidRPr="000756DF">
        <w:t xml:space="preserve"> reported for some </w:t>
      </w:r>
      <w:r>
        <w:t xml:space="preserve">of the </w:t>
      </w:r>
      <w:r w:rsidR="009D64EF">
        <w:t>outcomes</w:t>
      </w:r>
      <w:r w:rsidRPr="000756DF">
        <w:t xml:space="preserve">. </w:t>
      </w:r>
    </w:p>
    <w:p w:rsidR="001C3FAF" w:rsidRPr="000756DF" w:rsidRDefault="001C3FAF" w:rsidP="001C3FAF"/>
    <w:p w:rsidR="001C3FAF" w:rsidRPr="000756DF" w:rsidRDefault="001C3FAF" w:rsidP="00A979FB">
      <w:pPr>
        <w:pStyle w:val="Heading5"/>
      </w:pPr>
      <w:r w:rsidRPr="000756DF">
        <w:t>Primary effectiveness</w:t>
      </w:r>
    </w:p>
    <w:p w:rsidR="001C3FAF" w:rsidRPr="000756DF" w:rsidRDefault="001C3FAF" w:rsidP="001C3FAF">
      <w:r>
        <w:t xml:space="preserve">Patient survival was not </w:t>
      </w:r>
      <w:r w:rsidRPr="000756DF">
        <w:t>reported in the two included SRs.</w:t>
      </w:r>
    </w:p>
    <w:p w:rsidR="001C3FAF" w:rsidRPr="000756DF" w:rsidRDefault="001C3FAF" w:rsidP="001C3FAF"/>
    <w:p w:rsidR="001C3FAF" w:rsidRPr="000756DF" w:rsidRDefault="001C3FAF" w:rsidP="00A979FB">
      <w:pPr>
        <w:pStyle w:val="Heading5"/>
      </w:pPr>
      <w:r w:rsidRPr="000756DF">
        <w:t>Secondary effectiveness</w:t>
      </w:r>
    </w:p>
    <w:p w:rsidR="001C3FAF" w:rsidRPr="00A979FB" w:rsidRDefault="001C3FAF" w:rsidP="00A979FB">
      <w:pPr>
        <w:pStyle w:val="Heading5"/>
      </w:pPr>
      <w:r w:rsidRPr="00A979FB">
        <w:t>Renal function</w:t>
      </w:r>
    </w:p>
    <w:p w:rsidR="001C3FAF" w:rsidRPr="000756DF" w:rsidRDefault="001C3FAF" w:rsidP="001C3FAF">
      <w:r w:rsidRPr="000756DF">
        <w:t xml:space="preserve">Renal function was assessed through </w:t>
      </w:r>
      <w:r w:rsidR="006A63A8">
        <w:t xml:space="preserve">the surrogate measures of </w:t>
      </w:r>
      <w:r w:rsidRPr="000756DF">
        <w:t>plasma Gb3 leve</w:t>
      </w:r>
      <w:r>
        <w:t>ls, creatinine clearance and in</w:t>
      </w:r>
      <w:r w:rsidRPr="000756DF">
        <w:t xml:space="preserve">ulin clearance, and by the number of glomeruli that had undergone changes. </w:t>
      </w:r>
    </w:p>
    <w:p w:rsidR="001C3FAF" w:rsidRDefault="001C3FAF" w:rsidP="001C3FAF">
      <w:r w:rsidRPr="000756DF">
        <w:t xml:space="preserve">A comparison of the change in plasma Gb3 levels between patients randomised to agalsidase alfa or placebo was </w:t>
      </w:r>
      <w:r>
        <w:t>undertaken in</w:t>
      </w:r>
      <w:r w:rsidRPr="000756DF">
        <w:t xml:space="preserve"> two RCTs </w:t>
      </w:r>
      <w:r w:rsidR="00BC0D72">
        <w:rPr>
          <w:noProof/>
        </w:rPr>
        <w:t>(</w:t>
      </w:r>
      <w:r w:rsidR="00184B6F">
        <w:rPr>
          <w:noProof/>
        </w:rPr>
        <w:t>Hughes et al. 2008</w:t>
      </w:r>
      <w:r w:rsidR="00BC0D72">
        <w:rPr>
          <w:noProof/>
        </w:rPr>
        <w:t xml:space="preserve">; </w:t>
      </w:r>
      <w:r w:rsidR="00184B6F">
        <w:rPr>
          <w:noProof/>
        </w:rPr>
        <w:t>Schiffmann et al. 2001</w:t>
      </w:r>
      <w:r w:rsidR="00BC0D72">
        <w:rPr>
          <w:noProof/>
        </w:rPr>
        <w:t>)</w:t>
      </w:r>
      <w:r w:rsidRPr="000756DF">
        <w:t xml:space="preserve"> at the end of </w:t>
      </w:r>
      <w:r>
        <w:t xml:space="preserve">a </w:t>
      </w:r>
      <w:r w:rsidRPr="000756DF">
        <w:t>six month</w:t>
      </w:r>
      <w:r>
        <w:t xml:space="preserve"> </w:t>
      </w:r>
      <w:r w:rsidRPr="000756DF">
        <w:t xml:space="preserve">treatment </w:t>
      </w:r>
      <w:r>
        <w:t>period</w:t>
      </w:r>
      <w:r w:rsidRPr="000756DF">
        <w:t xml:space="preserve">. A pooled analysis of Gb3 concentration </w:t>
      </w:r>
      <w:r>
        <w:t>indicate</w:t>
      </w:r>
      <w:r w:rsidRPr="000756DF">
        <w:t xml:space="preserve">s </w:t>
      </w:r>
      <w:r>
        <w:t xml:space="preserve">that there was </w:t>
      </w:r>
      <w:r w:rsidRPr="000756DF">
        <w:t xml:space="preserve">no statistically significant difference between </w:t>
      </w:r>
      <w:r>
        <w:t xml:space="preserve">treatment </w:t>
      </w:r>
      <w:r w:rsidRPr="000756DF">
        <w:t xml:space="preserve">groups. There was </w:t>
      </w:r>
      <w:r>
        <w:t xml:space="preserve">also </w:t>
      </w:r>
      <w:r w:rsidRPr="000756DF">
        <w:t xml:space="preserve">no statistically significant difference </w:t>
      </w:r>
      <w:r w:rsidR="00EB477D">
        <w:t>in</w:t>
      </w:r>
      <w:r w:rsidRPr="000756DF">
        <w:t xml:space="preserve"> urine sediment or kidney Gb3 concentration </w:t>
      </w:r>
      <w:r w:rsidR="00BC0D72">
        <w:rPr>
          <w:noProof/>
        </w:rPr>
        <w:t>(</w:t>
      </w:r>
      <w:r w:rsidR="00184B6F">
        <w:rPr>
          <w:noProof/>
        </w:rPr>
        <w:t>Schiffmann et al. 2001</w:t>
      </w:r>
      <w:r w:rsidR="00BC0D72">
        <w:rPr>
          <w:noProof/>
        </w:rPr>
        <w:t>)</w:t>
      </w:r>
      <w:r w:rsidRPr="000756DF">
        <w:t xml:space="preserve">, or myocardial Gb3 levels </w:t>
      </w:r>
      <w:r w:rsidR="00A130D0">
        <w:rPr>
          <w:noProof/>
        </w:rPr>
        <w:t>(</w:t>
      </w:r>
      <w:r w:rsidR="00184B6F">
        <w:rPr>
          <w:noProof/>
        </w:rPr>
        <w:t>Hughes et al. 2008</w:t>
      </w:r>
      <w:r w:rsidR="00A130D0">
        <w:rPr>
          <w:noProof/>
        </w:rPr>
        <w:t>)</w:t>
      </w:r>
      <w:r w:rsidRPr="000756DF">
        <w:t>. These indirect outcome measures (</w:t>
      </w:r>
      <w:r w:rsidR="00A72B26" w:rsidRPr="00305731">
        <w:t xml:space="preserve">Table </w:t>
      </w:r>
      <w:r w:rsidR="00A72B26">
        <w:rPr>
          <w:noProof/>
        </w:rPr>
        <w:t>31</w:t>
      </w:r>
      <w:r w:rsidRPr="000756DF">
        <w:t xml:space="preserve">) were assessed as </w:t>
      </w:r>
      <w:r w:rsidRPr="000756DF">
        <w:rPr>
          <w:i/>
        </w:rPr>
        <w:t>low</w:t>
      </w:r>
      <w:r w:rsidRPr="000756DF">
        <w:t xml:space="preserve"> quality </w:t>
      </w:r>
      <w:r>
        <w:t>(</w:t>
      </w:r>
      <w:r w:rsidRPr="000756DF">
        <w:t>GRADE</w:t>
      </w:r>
      <w:r>
        <w:t xml:space="preserv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rsidRPr="000756DF">
        <w:t>.</w:t>
      </w:r>
    </w:p>
    <w:p w:rsidR="005B6BC8" w:rsidRDefault="005B6BC8" w:rsidP="001C3FAF"/>
    <w:p w:rsidR="005B6BC8" w:rsidRPr="000756DF" w:rsidRDefault="005B6BC8" w:rsidP="001C3FAF"/>
    <w:p w:rsidR="001C3FAF" w:rsidRDefault="001C3FAF" w:rsidP="001C3FAF">
      <w:pPr>
        <w:pStyle w:val="Caption"/>
        <w:keepNext/>
        <w:tabs>
          <w:tab w:val="clear" w:pos="851"/>
          <w:tab w:val="left" w:pos="1134"/>
        </w:tabs>
        <w:ind w:left="1134" w:hanging="1134"/>
      </w:pPr>
      <w:bookmarkStart w:id="183" w:name="_Ref405842007"/>
      <w:bookmarkStart w:id="184" w:name="_Toc411510413"/>
      <w:bookmarkStart w:id="185" w:name="_Toc415141828"/>
      <w:r w:rsidRPr="00305731">
        <w:lastRenderedPageBreak/>
        <w:t xml:space="preserve">Table </w:t>
      </w:r>
      <w:r w:rsidR="00A72B26">
        <w:rPr>
          <w:noProof/>
        </w:rPr>
        <w:t>31</w:t>
      </w:r>
      <w:bookmarkEnd w:id="183"/>
      <w:r w:rsidRPr="00305731">
        <w:t xml:space="preserve"> </w:t>
      </w:r>
      <w:r>
        <w:tab/>
      </w:r>
      <w:r w:rsidRPr="00305731">
        <w:t xml:space="preserve">Comparison of Gb3 levels in patients randomised to </w:t>
      </w:r>
      <w:r>
        <w:t xml:space="preserve">receive </w:t>
      </w:r>
      <w:r w:rsidRPr="00305731">
        <w:t>either</w:t>
      </w:r>
      <w:r>
        <w:t xml:space="preserve"> </w:t>
      </w:r>
      <w:r w:rsidRPr="00305731">
        <w:t xml:space="preserve">agalsidase alfa or placebo </w:t>
      </w:r>
      <w:r w:rsidR="00E83918">
        <w:rPr>
          <w:noProof/>
        </w:rPr>
        <w:t>(</w:t>
      </w:r>
      <w:r w:rsidR="00184B6F">
        <w:rPr>
          <w:noProof/>
        </w:rPr>
        <w:t>El Dib, R P, Nascimento &amp; Pastores 2013</w:t>
      </w:r>
      <w:r w:rsidR="00E83918">
        <w:rPr>
          <w:noProof/>
        </w:rPr>
        <w:t>)</w:t>
      </w:r>
      <w:bookmarkEnd w:id="184"/>
      <w:bookmarkEnd w:id="185"/>
    </w:p>
    <w:tbl>
      <w:tblPr>
        <w:tblW w:w="5000" w:type="pct"/>
        <w:tblCellMar>
          <w:top w:w="75" w:type="dxa"/>
          <w:left w:w="75" w:type="dxa"/>
          <w:bottom w:w="75" w:type="dxa"/>
          <w:right w:w="75" w:type="dxa"/>
        </w:tblCellMar>
        <w:tblLook w:val="04A0" w:firstRow="1" w:lastRow="0" w:firstColumn="1" w:lastColumn="0" w:noHBand="0" w:noVBand="1"/>
        <w:tblCaption w:val="Table 29  Comparison of Gb3 levels in patients randomised to receive either agalsidase alfa or placebo (El Dib, R P, Nascimento &amp; Pastores 2013)"/>
      </w:tblPr>
      <w:tblGrid>
        <w:gridCol w:w="1799"/>
        <w:gridCol w:w="1134"/>
        <w:gridCol w:w="1419"/>
        <w:gridCol w:w="2835"/>
        <w:gridCol w:w="1989"/>
      </w:tblGrid>
      <w:tr w:rsidR="00117B80" w:rsidRPr="006A44C2" w:rsidTr="00B37104">
        <w:trPr>
          <w:trHeight w:val="1056"/>
          <w:tblHeader/>
        </w:trPr>
        <w:tc>
          <w:tcPr>
            <w:tcW w:w="980" w:type="pct"/>
            <w:tcBorders>
              <w:top w:val="single" w:sz="12" w:space="0" w:color="000000"/>
              <w:left w:val="nil"/>
              <w:bottom w:val="single" w:sz="6" w:space="0" w:color="000000"/>
              <w:right w:val="nil"/>
            </w:tcBorders>
            <w:shd w:val="clear" w:color="auto" w:fill="3271AA"/>
            <w:hideMark/>
          </w:tcPr>
          <w:p w:rsidR="00117B80" w:rsidRPr="00CB33FA" w:rsidRDefault="00117B80" w:rsidP="005B6BC8">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618" w:type="pct"/>
            <w:tcBorders>
              <w:top w:val="single" w:sz="12" w:space="0" w:color="000000"/>
              <w:left w:val="nil"/>
              <w:bottom w:val="single" w:sz="6" w:space="0" w:color="000000"/>
              <w:right w:val="nil"/>
            </w:tcBorders>
            <w:shd w:val="clear" w:color="auto" w:fill="3271AA"/>
            <w:hideMark/>
          </w:tcPr>
          <w:p w:rsidR="00117B80" w:rsidRPr="00CB33FA" w:rsidRDefault="00117B80" w:rsidP="005B6BC8">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773" w:type="pct"/>
            <w:tcBorders>
              <w:top w:val="single" w:sz="12" w:space="0" w:color="000000"/>
              <w:left w:val="nil"/>
              <w:bottom w:val="single" w:sz="6" w:space="0" w:color="000000"/>
              <w:right w:val="nil"/>
            </w:tcBorders>
            <w:shd w:val="clear" w:color="auto" w:fill="3271AA"/>
            <w:hideMark/>
          </w:tcPr>
          <w:p w:rsidR="00117B80" w:rsidRPr="00CB33FA" w:rsidRDefault="00117B80" w:rsidP="005B6BC8">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1545" w:type="pct"/>
            <w:tcBorders>
              <w:top w:val="single" w:sz="12" w:space="0" w:color="000000"/>
              <w:left w:val="nil"/>
              <w:right w:val="single" w:sz="4" w:space="0" w:color="D9D9D9" w:themeColor="background1" w:themeShade="D9"/>
            </w:tcBorders>
            <w:shd w:val="clear" w:color="auto" w:fill="D3D3D3"/>
          </w:tcPr>
          <w:p w:rsidR="00117B80" w:rsidRPr="00CB33FA" w:rsidRDefault="00117B80" w:rsidP="00117B80">
            <w:pPr>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Supportive care plus placebo</w:t>
            </w:r>
          </w:p>
        </w:tc>
        <w:tc>
          <w:tcPr>
            <w:tcW w:w="1084" w:type="pct"/>
            <w:tcBorders>
              <w:top w:val="single" w:sz="12" w:space="0" w:color="000000"/>
              <w:left w:val="single" w:sz="4" w:space="0" w:color="D9D9D9" w:themeColor="background1" w:themeShade="D9"/>
              <w:right w:val="nil"/>
            </w:tcBorders>
            <w:shd w:val="clear" w:color="auto" w:fill="D9D9D9" w:themeFill="background1" w:themeFillShade="D9"/>
          </w:tcPr>
          <w:p w:rsidR="00117B80" w:rsidRPr="00CB33FA" w:rsidRDefault="00117B80" w:rsidP="00117B80">
            <w:pPr>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difference with Agalsidase alfa</w:t>
            </w:r>
          </w:p>
        </w:tc>
      </w:tr>
      <w:tr w:rsidR="00BE1C56" w:rsidRPr="006A44C2" w:rsidTr="00BE1C56">
        <w:tc>
          <w:tcPr>
            <w:tcW w:w="980" w:type="pct"/>
            <w:tcBorders>
              <w:top w:val="single" w:sz="6" w:space="0" w:color="000000"/>
              <w:left w:val="nil"/>
              <w:bottom w:val="single" w:sz="6" w:space="0" w:color="000000"/>
              <w:right w:val="nil"/>
            </w:tcBorders>
            <w:hideMark/>
          </w:tcPr>
          <w:p w:rsidR="00BE1C56" w:rsidRPr="00116D62" w:rsidRDefault="00BE1C56" w:rsidP="00CB33FA">
            <w:pPr>
              <w:pStyle w:val="TableText0"/>
              <w:rPr>
                <w:lang w:eastAsia="en-AU"/>
              </w:rPr>
            </w:pPr>
            <w:r w:rsidRPr="00116D62">
              <w:rPr>
                <w:b/>
                <w:bCs/>
                <w:lang w:eastAsia="en-AU"/>
              </w:rPr>
              <w:t>Plasma Gb3 at up to 6 months</w:t>
            </w:r>
            <w:r w:rsidRPr="00116D62">
              <w:rPr>
                <w:lang w:eastAsia="en-AU"/>
              </w:rPr>
              <w:br/>
              <w:t>assessed with: nmol/ml</w:t>
            </w:r>
            <w:r w:rsidRPr="00116D62">
              <w:rPr>
                <w:lang w:eastAsia="en-AU"/>
              </w:rPr>
              <w:br/>
              <w:t xml:space="preserve">follow up: mean 6 months </w:t>
            </w:r>
          </w:p>
        </w:tc>
        <w:tc>
          <w:tcPr>
            <w:tcW w:w="618" w:type="pct"/>
            <w:tcBorders>
              <w:top w:val="single" w:sz="6" w:space="0" w:color="000000"/>
              <w:left w:val="nil"/>
              <w:bottom w:val="single" w:sz="6" w:space="0" w:color="000000"/>
              <w:right w:val="nil"/>
            </w:tcBorders>
            <w:hideMark/>
          </w:tcPr>
          <w:p w:rsidR="00BE1C56" w:rsidRPr="00E14A82" w:rsidRDefault="00BE1C56" w:rsidP="00CB33FA">
            <w:pPr>
              <w:pStyle w:val="TableText0"/>
              <w:rPr>
                <w:lang w:eastAsia="en-AU"/>
              </w:rPr>
            </w:pPr>
            <w:r w:rsidRPr="001028CF">
              <w:rPr>
                <w:lang w:eastAsia="en-AU"/>
              </w:rPr>
              <w:t>39</w:t>
            </w:r>
            <w:r w:rsidRPr="001028CF">
              <w:rPr>
                <w:lang w:eastAsia="en-AU"/>
              </w:rPr>
              <w:br/>
              <w:t>(2 RCTs)</w:t>
            </w:r>
            <w:r w:rsidRPr="001028CF">
              <w:rPr>
                <w:lang w:eastAsia="en-AU"/>
              </w:rPr>
              <w:br/>
              <w:t xml:space="preserve">6 months </w:t>
            </w:r>
          </w:p>
        </w:tc>
        <w:tc>
          <w:tcPr>
            <w:tcW w:w="773" w:type="pct"/>
            <w:tcBorders>
              <w:top w:val="single" w:sz="6" w:space="0" w:color="000000"/>
              <w:left w:val="nil"/>
              <w:bottom w:val="single" w:sz="6" w:space="0" w:color="000000"/>
              <w:right w:val="nil"/>
            </w:tcBorders>
            <w:hideMark/>
          </w:tcPr>
          <w:p w:rsidR="00BE1C56" w:rsidRPr="00CB33FA" w:rsidRDefault="009A0532" w:rsidP="005B6BC8">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BE1C56" w:rsidRPr="00CB33FA">
              <w:rPr>
                <w:rFonts w:ascii="Arial Narrow" w:hAnsi="Arial Narrow"/>
                <w:color w:val="000000"/>
                <w:sz w:val="20"/>
                <w:szCs w:val="20"/>
                <w:lang w:eastAsia="en-AU"/>
              </w:rPr>
              <w:br/>
              <w:t xml:space="preserve">LOW </w:t>
            </w:r>
            <w:r w:rsidR="00BE1C56" w:rsidRPr="00CB33FA">
              <w:rPr>
                <w:rFonts w:ascii="Arial Narrow" w:hAnsi="Arial Narrow"/>
                <w:color w:val="000000"/>
                <w:sz w:val="20"/>
                <w:szCs w:val="20"/>
                <w:vertAlign w:val="superscript"/>
                <w:lang w:eastAsia="en-AU"/>
              </w:rPr>
              <w:t> </w:t>
            </w:r>
            <w:r w:rsidR="00BE1C56" w:rsidRPr="00CB33FA">
              <w:rPr>
                <w:rFonts w:ascii="Arial Narrow" w:hAnsi="Arial Narrow"/>
                <w:color w:val="000000"/>
                <w:sz w:val="20"/>
                <w:szCs w:val="20"/>
                <w:u w:val="single"/>
                <w:vertAlign w:val="superscript"/>
                <w:lang w:eastAsia="en-AU"/>
              </w:rPr>
              <w:t>1</w:t>
            </w:r>
            <w:r w:rsidR="00BE1C56" w:rsidRPr="00CB33FA">
              <w:rPr>
                <w:rFonts w:ascii="Arial Narrow" w:hAnsi="Arial Narrow"/>
                <w:color w:val="000000"/>
                <w:sz w:val="20"/>
                <w:szCs w:val="20"/>
                <w:vertAlign w:val="superscript"/>
                <w:lang w:eastAsia="en-AU"/>
              </w:rPr>
              <w:t> </w:t>
            </w:r>
            <w:r w:rsidR="00BE1C56" w:rsidRPr="00CB33FA">
              <w:rPr>
                <w:rFonts w:ascii="Arial Narrow" w:hAnsi="Arial Narrow"/>
                <w:color w:val="000000"/>
                <w:sz w:val="20"/>
                <w:szCs w:val="20"/>
                <w:u w:val="single"/>
                <w:vertAlign w:val="superscript"/>
                <w:lang w:eastAsia="en-AU"/>
              </w:rPr>
              <w:t>2</w:t>
            </w:r>
            <w:r w:rsidR="00BE1C56" w:rsidRPr="00CB33FA">
              <w:rPr>
                <w:rFonts w:ascii="Arial Narrow" w:hAnsi="Arial Narrow"/>
                <w:color w:val="000000"/>
                <w:sz w:val="20"/>
                <w:szCs w:val="20"/>
                <w:vertAlign w:val="superscript"/>
                <w:lang w:eastAsia="en-AU"/>
              </w:rPr>
              <w:t> </w:t>
            </w:r>
            <w:r w:rsidR="00BE1C56" w:rsidRPr="00CB33FA">
              <w:rPr>
                <w:rFonts w:ascii="Arial Narrow" w:hAnsi="Arial Narrow"/>
                <w:color w:val="000000"/>
                <w:sz w:val="20"/>
                <w:szCs w:val="20"/>
                <w:u w:val="single"/>
                <w:vertAlign w:val="superscript"/>
                <w:lang w:eastAsia="en-AU"/>
              </w:rPr>
              <w:t>3</w:t>
            </w:r>
          </w:p>
        </w:tc>
        <w:tc>
          <w:tcPr>
            <w:tcW w:w="1545" w:type="pct"/>
            <w:tcBorders>
              <w:top w:val="single" w:sz="6" w:space="0" w:color="000000"/>
              <w:left w:val="nil"/>
              <w:bottom w:val="single" w:sz="6" w:space="0" w:color="000000"/>
              <w:right w:val="nil"/>
            </w:tcBorders>
            <w:shd w:val="clear" w:color="auto" w:fill="EDEDED"/>
            <w:hideMark/>
          </w:tcPr>
          <w:p w:rsidR="00BE1C56" w:rsidRPr="00116D62" w:rsidRDefault="00BE1C56" w:rsidP="00CB33FA">
            <w:pPr>
              <w:pStyle w:val="TableText0"/>
              <w:rPr>
                <w:lang w:eastAsia="en-AU"/>
              </w:rPr>
            </w:pPr>
            <w:r w:rsidRPr="00DC17CA">
              <w:rPr>
                <w:lang w:eastAsia="en-AU"/>
              </w:rPr>
              <w:t xml:space="preserve">The mean plasma Gb3 at up to 6 months ranged across control groups from </w:t>
            </w:r>
            <w:r w:rsidRPr="00116D62">
              <w:rPr>
                <w:b/>
                <w:bCs/>
                <w:lang w:eastAsia="en-AU"/>
              </w:rPr>
              <w:t xml:space="preserve">10.19 </w:t>
            </w:r>
            <w:r w:rsidR="006E04C5">
              <w:rPr>
                <w:b/>
                <w:bCs/>
                <w:lang w:eastAsia="en-AU"/>
              </w:rPr>
              <w:t>–</w:t>
            </w:r>
            <w:r w:rsidRPr="00116D62">
              <w:rPr>
                <w:b/>
                <w:bCs/>
                <w:lang w:eastAsia="en-AU"/>
              </w:rPr>
              <w:t xml:space="preserve"> 0.63</w:t>
            </w:r>
            <w:r w:rsidRPr="00116D62">
              <w:rPr>
                <w:lang w:eastAsia="en-AU"/>
              </w:rPr>
              <w:t xml:space="preserve"> nmol/ml </w:t>
            </w:r>
          </w:p>
        </w:tc>
        <w:tc>
          <w:tcPr>
            <w:tcW w:w="1084" w:type="pct"/>
            <w:tcBorders>
              <w:top w:val="single" w:sz="6" w:space="0" w:color="000000"/>
              <w:left w:val="nil"/>
              <w:bottom w:val="single" w:sz="6" w:space="0" w:color="000000"/>
              <w:right w:val="nil"/>
            </w:tcBorders>
            <w:shd w:val="clear" w:color="auto" w:fill="EDEDED"/>
            <w:hideMark/>
          </w:tcPr>
          <w:p w:rsidR="00BE1C56" w:rsidRPr="00382083" w:rsidRDefault="00BE1C56" w:rsidP="00CB33FA">
            <w:pPr>
              <w:pStyle w:val="TableText0"/>
              <w:rPr>
                <w:lang w:eastAsia="en-AU"/>
              </w:rPr>
            </w:pPr>
            <w:r w:rsidRPr="001028CF">
              <w:rPr>
                <w:lang w:eastAsia="en-AU"/>
              </w:rPr>
              <w:t xml:space="preserve">MD </w:t>
            </w:r>
            <w:r w:rsidRPr="00E14A82">
              <w:rPr>
                <w:b/>
                <w:bCs/>
                <w:lang w:eastAsia="en-AU"/>
              </w:rPr>
              <w:t>2.07 lower</w:t>
            </w:r>
            <w:r w:rsidRPr="00382083">
              <w:rPr>
                <w:lang w:eastAsia="en-AU"/>
              </w:rPr>
              <w:br/>
              <w:t xml:space="preserve">(6.64 lower to 2.5 higher) </w:t>
            </w:r>
          </w:p>
        </w:tc>
      </w:tr>
      <w:tr w:rsidR="00BE1C56" w:rsidRPr="006A44C2" w:rsidTr="00BE1C56">
        <w:tc>
          <w:tcPr>
            <w:tcW w:w="980" w:type="pct"/>
            <w:tcBorders>
              <w:top w:val="single" w:sz="6" w:space="0" w:color="000000"/>
              <w:left w:val="nil"/>
              <w:bottom w:val="single" w:sz="6" w:space="0" w:color="000000"/>
              <w:right w:val="nil"/>
            </w:tcBorders>
            <w:hideMark/>
          </w:tcPr>
          <w:p w:rsidR="00BE1C56" w:rsidRPr="00CB33FA" w:rsidRDefault="00BE1C56" w:rsidP="005B6BC8">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Urine sediment Gb3</w:t>
            </w:r>
            <w:r w:rsidRPr="00CB33FA">
              <w:rPr>
                <w:rFonts w:ascii="Arial Narrow" w:hAnsi="Arial Narrow"/>
                <w:color w:val="000000"/>
                <w:sz w:val="20"/>
                <w:szCs w:val="20"/>
                <w:lang w:eastAsia="en-AU"/>
              </w:rPr>
              <w:br/>
              <w:t>assessed with: nmol/ml</w:t>
            </w:r>
            <w:r w:rsidRPr="00CB33FA">
              <w:rPr>
                <w:rFonts w:ascii="Arial Narrow" w:hAnsi="Arial Narrow"/>
                <w:color w:val="000000"/>
                <w:sz w:val="20"/>
                <w:szCs w:val="20"/>
                <w:lang w:eastAsia="en-AU"/>
              </w:rPr>
              <w:br/>
              <w:t xml:space="preserve">follow up: mean up to 6 months </w:t>
            </w:r>
          </w:p>
        </w:tc>
        <w:tc>
          <w:tcPr>
            <w:tcW w:w="618" w:type="pct"/>
            <w:tcBorders>
              <w:top w:val="single" w:sz="6" w:space="0" w:color="000000"/>
              <w:left w:val="nil"/>
              <w:bottom w:val="single" w:sz="6" w:space="0" w:color="000000"/>
              <w:right w:val="nil"/>
            </w:tcBorders>
            <w:hideMark/>
          </w:tcPr>
          <w:p w:rsidR="00BE1C56" w:rsidRPr="00CB33FA" w:rsidRDefault="00BE1C56" w:rsidP="005B6BC8">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25</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up to 6 months </w:t>
            </w:r>
          </w:p>
        </w:tc>
        <w:tc>
          <w:tcPr>
            <w:tcW w:w="773" w:type="pct"/>
            <w:tcBorders>
              <w:top w:val="single" w:sz="6" w:space="0" w:color="000000"/>
              <w:left w:val="nil"/>
              <w:bottom w:val="single" w:sz="6" w:space="0" w:color="000000"/>
              <w:right w:val="nil"/>
            </w:tcBorders>
            <w:hideMark/>
          </w:tcPr>
          <w:p w:rsidR="00BE1C56" w:rsidRPr="00CB33FA" w:rsidRDefault="009A0532" w:rsidP="005B6BC8">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BE1C56" w:rsidRPr="00CB33FA">
              <w:rPr>
                <w:rFonts w:ascii="Arial Narrow" w:hAnsi="Arial Narrow"/>
                <w:color w:val="000000"/>
                <w:sz w:val="20"/>
                <w:szCs w:val="20"/>
                <w:lang w:eastAsia="en-AU"/>
              </w:rPr>
              <w:br/>
              <w:t xml:space="preserve">LOW </w:t>
            </w:r>
            <w:r w:rsidR="00BE1C56" w:rsidRPr="00CB33FA">
              <w:rPr>
                <w:rFonts w:ascii="Arial Narrow" w:hAnsi="Arial Narrow"/>
                <w:color w:val="000000"/>
                <w:sz w:val="20"/>
                <w:szCs w:val="20"/>
                <w:vertAlign w:val="superscript"/>
                <w:lang w:eastAsia="en-AU"/>
              </w:rPr>
              <w:t> </w:t>
            </w:r>
            <w:r w:rsidR="00BE1C56" w:rsidRPr="00CB33FA">
              <w:rPr>
                <w:rFonts w:ascii="Arial Narrow" w:hAnsi="Arial Narrow"/>
                <w:color w:val="000000"/>
                <w:sz w:val="20"/>
                <w:szCs w:val="20"/>
                <w:u w:val="single"/>
                <w:vertAlign w:val="superscript"/>
                <w:lang w:eastAsia="en-AU"/>
              </w:rPr>
              <w:t>1</w:t>
            </w:r>
            <w:r w:rsidR="00BE1C56" w:rsidRPr="00CB33FA">
              <w:rPr>
                <w:rFonts w:ascii="Arial Narrow" w:hAnsi="Arial Narrow"/>
                <w:color w:val="000000"/>
                <w:sz w:val="20"/>
                <w:szCs w:val="20"/>
                <w:vertAlign w:val="superscript"/>
                <w:lang w:eastAsia="en-AU"/>
              </w:rPr>
              <w:t> </w:t>
            </w:r>
            <w:r w:rsidR="00BE1C56" w:rsidRPr="00CB33FA">
              <w:rPr>
                <w:rFonts w:ascii="Arial Narrow" w:hAnsi="Arial Narrow"/>
                <w:color w:val="000000"/>
                <w:sz w:val="20"/>
                <w:szCs w:val="20"/>
                <w:u w:val="single"/>
                <w:vertAlign w:val="superscript"/>
                <w:lang w:eastAsia="en-AU"/>
              </w:rPr>
              <w:t>3</w:t>
            </w:r>
          </w:p>
        </w:tc>
        <w:tc>
          <w:tcPr>
            <w:tcW w:w="1545" w:type="pct"/>
            <w:tcBorders>
              <w:top w:val="single" w:sz="6" w:space="0" w:color="000000"/>
              <w:left w:val="nil"/>
              <w:bottom w:val="single" w:sz="6" w:space="0" w:color="000000"/>
              <w:right w:val="nil"/>
            </w:tcBorders>
            <w:shd w:val="clear" w:color="auto" w:fill="EDEDED"/>
            <w:hideMark/>
          </w:tcPr>
          <w:p w:rsidR="00BE1C56" w:rsidRPr="00CB33FA" w:rsidRDefault="00BE1C56" w:rsidP="005B6BC8">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urine sediment Gb3 in the control group was </w:t>
            </w:r>
            <w:r w:rsidRPr="00CB33FA">
              <w:rPr>
                <w:rFonts w:ascii="Arial Narrow" w:hAnsi="Arial Narrow"/>
                <w:b/>
                <w:bCs/>
                <w:color w:val="000000"/>
                <w:sz w:val="20"/>
                <w:szCs w:val="20"/>
                <w:lang w:eastAsia="en-AU"/>
              </w:rPr>
              <w:t>2495</w:t>
            </w:r>
            <w:r w:rsidRPr="00CB33FA">
              <w:rPr>
                <w:rFonts w:ascii="Arial Narrow" w:hAnsi="Arial Narrow"/>
                <w:color w:val="000000"/>
                <w:sz w:val="20"/>
                <w:szCs w:val="20"/>
                <w:lang w:eastAsia="en-AU"/>
              </w:rPr>
              <w:t xml:space="preserve"> nmol/ml </w:t>
            </w:r>
          </w:p>
        </w:tc>
        <w:tc>
          <w:tcPr>
            <w:tcW w:w="1084" w:type="pct"/>
            <w:tcBorders>
              <w:top w:val="single" w:sz="6" w:space="0" w:color="000000"/>
              <w:left w:val="nil"/>
              <w:bottom w:val="single" w:sz="6" w:space="0" w:color="000000"/>
              <w:right w:val="nil"/>
            </w:tcBorders>
            <w:shd w:val="clear" w:color="auto" w:fill="EDEDED"/>
            <w:hideMark/>
          </w:tcPr>
          <w:p w:rsidR="00BE1C56" w:rsidRPr="00CB33FA" w:rsidRDefault="00BE1C56" w:rsidP="005B6BC8">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812 lower</w:t>
            </w:r>
            <w:r w:rsidRPr="00CB33FA">
              <w:rPr>
                <w:rFonts w:ascii="Arial Narrow" w:hAnsi="Arial Narrow"/>
                <w:color w:val="000000"/>
                <w:sz w:val="20"/>
                <w:szCs w:val="20"/>
                <w:lang w:eastAsia="en-AU"/>
              </w:rPr>
              <w:br/>
              <w:t xml:space="preserve">(1897 lower to 273 higher) </w:t>
            </w:r>
          </w:p>
        </w:tc>
      </w:tr>
      <w:tr w:rsidR="00BE1C56" w:rsidRPr="006A44C2" w:rsidTr="00BE1C56">
        <w:tc>
          <w:tcPr>
            <w:tcW w:w="980" w:type="pct"/>
            <w:tcBorders>
              <w:top w:val="single" w:sz="6" w:space="0" w:color="000000"/>
              <w:left w:val="nil"/>
              <w:bottom w:val="single" w:sz="6" w:space="0" w:color="000000"/>
              <w:right w:val="nil"/>
            </w:tcBorders>
            <w:hideMark/>
          </w:tcPr>
          <w:p w:rsidR="00BE1C56" w:rsidRPr="00CB33FA" w:rsidRDefault="00BE1C56" w:rsidP="005B6BC8">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Kidney Gb3</w:t>
            </w:r>
            <w:r w:rsidRPr="00CB33FA">
              <w:rPr>
                <w:rFonts w:ascii="Arial Narrow" w:hAnsi="Arial Narrow"/>
                <w:color w:val="000000"/>
                <w:sz w:val="20"/>
                <w:szCs w:val="20"/>
                <w:lang w:eastAsia="en-AU"/>
              </w:rPr>
              <w:br/>
              <w:t>assessed with: nmol/mg tissue</w:t>
            </w:r>
            <w:r w:rsidRPr="00CB33FA">
              <w:rPr>
                <w:rFonts w:ascii="Arial Narrow" w:hAnsi="Arial Narrow"/>
                <w:color w:val="000000"/>
                <w:sz w:val="20"/>
                <w:szCs w:val="20"/>
                <w:lang w:eastAsia="en-AU"/>
              </w:rPr>
              <w:br/>
              <w:t xml:space="preserve">follow up: up to 6 months </w:t>
            </w:r>
          </w:p>
        </w:tc>
        <w:tc>
          <w:tcPr>
            <w:tcW w:w="618" w:type="pct"/>
            <w:tcBorders>
              <w:top w:val="single" w:sz="6" w:space="0" w:color="000000"/>
              <w:left w:val="nil"/>
              <w:bottom w:val="single" w:sz="6" w:space="0" w:color="000000"/>
              <w:right w:val="nil"/>
            </w:tcBorders>
            <w:hideMark/>
          </w:tcPr>
          <w:p w:rsidR="00BE1C56" w:rsidRPr="00CB33FA" w:rsidRDefault="00BE1C56" w:rsidP="005B6BC8">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25</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up to 6 months </w:t>
            </w:r>
          </w:p>
        </w:tc>
        <w:tc>
          <w:tcPr>
            <w:tcW w:w="773" w:type="pct"/>
            <w:tcBorders>
              <w:top w:val="single" w:sz="6" w:space="0" w:color="000000"/>
              <w:left w:val="nil"/>
              <w:bottom w:val="single" w:sz="6" w:space="0" w:color="000000"/>
              <w:right w:val="nil"/>
            </w:tcBorders>
            <w:hideMark/>
          </w:tcPr>
          <w:p w:rsidR="00BE1C56" w:rsidRPr="00CB33FA" w:rsidRDefault="009A0532" w:rsidP="005B6BC8">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BE1C56" w:rsidRPr="00CB33FA">
              <w:rPr>
                <w:rFonts w:ascii="Arial Narrow" w:hAnsi="Arial Narrow"/>
                <w:color w:val="000000"/>
                <w:sz w:val="20"/>
                <w:szCs w:val="20"/>
                <w:lang w:eastAsia="en-AU"/>
              </w:rPr>
              <w:br/>
              <w:t xml:space="preserve">LOW </w:t>
            </w:r>
            <w:r w:rsidR="00BE1C56" w:rsidRPr="00CB33FA">
              <w:rPr>
                <w:rFonts w:ascii="Arial Narrow" w:hAnsi="Arial Narrow"/>
                <w:color w:val="000000"/>
                <w:sz w:val="20"/>
                <w:szCs w:val="20"/>
                <w:vertAlign w:val="superscript"/>
                <w:lang w:eastAsia="en-AU"/>
              </w:rPr>
              <w:t> </w:t>
            </w:r>
            <w:r w:rsidR="00BE1C56" w:rsidRPr="00CB33FA">
              <w:rPr>
                <w:rFonts w:ascii="Arial Narrow" w:hAnsi="Arial Narrow"/>
                <w:color w:val="000000"/>
                <w:sz w:val="20"/>
                <w:szCs w:val="20"/>
                <w:u w:val="single"/>
                <w:vertAlign w:val="superscript"/>
                <w:lang w:eastAsia="en-AU"/>
              </w:rPr>
              <w:t>1</w:t>
            </w:r>
            <w:r w:rsidR="00BE1C56" w:rsidRPr="00CB33FA">
              <w:rPr>
                <w:rFonts w:ascii="Arial Narrow" w:hAnsi="Arial Narrow"/>
                <w:color w:val="000000"/>
                <w:sz w:val="20"/>
                <w:szCs w:val="20"/>
                <w:vertAlign w:val="superscript"/>
                <w:lang w:eastAsia="en-AU"/>
              </w:rPr>
              <w:t> </w:t>
            </w:r>
            <w:r w:rsidR="00BE1C56" w:rsidRPr="00CB33FA">
              <w:rPr>
                <w:rFonts w:ascii="Arial Narrow" w:hAnsi="Arial Narrow"/>
                <w:color w:val="000000"/>
                <w:sz w:val="20"/>
                <w:szCs w:val="20"/>
                <w:u w:val="single"/>
                <w:vertAlign w:val="superscript"/>
                <w:lang w:eastAsia="en-AU"/>
              </w:rPr>
              <w:t>3</w:t>
            </w:r>
          </w:p>
        </w:tc>
        <w:tc>
          <w:tcPr>
            <w:tcW w:w="1545" w:type="pct"/>
            <w:tcBorders>
              <w:top w:val="single" w:sz="6" w:space="0" w:color="000000"/>
              <w:left w:val="nil"/>
              <w:bottom w:val="single" w:sz="6" w:space="0" w:color="000000"/>
              <w:right w:val="nil"/>
            </w:tcBorders>
            <w:shd w:val="clear" w:color="auto" w:fill="EDEDED"/>
            <w:hideMark/>
          </w:tcPr>
          <w:p w:rsidR="00BE1C56" w:rsidRPr="00CB33FA" w:rsidRDefault="00BE1C56" w:rsidP="005B6BC8">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kidney Gb3 in the control group was </w:t>
            </w:r>
            <w:r w:rsidRPr="00CB33FA">
              <w:rPr>
                <w:rFonts w:ascii="Arial Narrow" w:hAnsi="Arial Narrow"/>
                <w:b/>
                <w:bCs/>
                <w:color w:val="000000"/>
                <w:sz w:val="20"/>
                <w:szCs w:val="20"/>
                <w:lang w:eastAsia="en-AU"/>
              </w:rPr>
              <w:t>18.1</w:t>
            </w:r>
            <w:r w:rsidRPr="00CB33FA">
              <w:rPr>
                <w:rFonts w:ascii="Arial Narrow" w:hAnsi="Arial Narrow"/>
                <w:color w:val="000000"/>
                <w:sz w:val="20"/>
                <w:szCs w:val="20"/>
                <w:lang w:eastAsia="en-AU"/>
              </w:rPr>
              <w:t xml:space="preserve"> nmol/ml </w:t>
            </w:r>
          </w:p>
        </w:tc>
        <w:tc>
          <w:tcPr>
            <w:tcW w:w="1084" w:type="pct"/>
            <w:tcBorders>
              <w:top w:val="single" w:sz="6" w:space="0" w:color="000000"/>
              <w:left w:val="nil"/>
              <w:bottom w:val="single" w:sz="6" w:space="0" w:color="000000"/>
              <w:right w:val="nil"/>
            </w:tcBorders>
            <w:shd w:val="clear" w:color="auto" w:fill="EDEDED"/>
            <w:hideMark/>
          </w:tcPr>
          <w:p w:rsidR="00BE1C56" w:rsidRPr="00CB33FA" w:rsidRDefault="00BE1C56" w:rsidP="005B6BC8">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2.5 lower</w:t>
            </w:r>
            <w:r w:rsidRPr="00CB33FA">
              <w:rPr>
                <w:rFonts w:ascii="Arial Narrow" w:hAnsi="Arial Narrow"/>
                <w:color w:val="000000"/>
                <w:sz w:val="20"/>
                <w:szCs w:val="20"/>
                <w:lang w:eastAsia="en-AU"/>
              </w:rPr>
              <w:br/>
              <w:t xml:space="preserve">(9.47 lower to 4.47 higher) </w:t>
            </w:r>
          </w:p>
        </w:tc>
      </w:tr>
      <w:tr w:rsidR="00BE1C56" w:rsidRPr="006A44C2" w:rsidTr="00BE1C56">
        <w:tc>
          <w:tcPr>
            <w:tcW w:w="980" w:type="pct"/>
            <w:tcBorders>
              <w:top w:val="single" w:sz="6" w:space="0" w:color="000000"/>
              <w:left w:val="nil"/>
              <w:bottom w:val="single" w:sz="6" w:space="0" w:color="000000"/>
              <w:right w:val="nil"/>
            </w:tcBorders>
            <w:hideMark/>
          </w:tcPr>
          <w:p w:rsidR="00BE1C56" w:rsidRPr="00CB33FA" w:rsidRDefault="00BE1C56" w:rsidP="005B6BC8">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Myocardial Gb3</w:t>
            </w:r>
            <w:r w:rsidRPr="00CB33FA">
              <w:rPr>
                <w:rFonts w:ascii="Arial Narrow" w:hAnsi="Arial Narrow"/>
                <w:color w:val="000000"/>
                <w:sz w:val="20"/>
                <w:szCs w:val="20"/>
                <w:lang w:eastAsia="en-AU"/>
              </w:rPr>
              <w:br/>
              <w:t>assessed with: nmol/ug</w:t>
            </w:r>
            <w:r w:rsidRPr="00CB33FA">
              <w:rPr>
                <w:rFonts w:ascii="Arial Narrow" w:hAnsi="Arial Narrow"/>
                <w:color w:val="000000"/>
                <w:sz w:val="20"/>
                <w:szCs w:val="20"/>
                <w:lang w:eastAsia="en-AU"/>
              </w:rPr>
              <w:br/>
              <w:t xml:space="preserve">follow up: 3-6 months </w:t>
            </w:r>
          </w:p>
        </w:tc>
        <w:tc>
          <w:tcPr>
            <w:tcW w:w="618" w:type="pct"/>
            <w:tcBorders>
              <w:top w:val="single" w:sz="6" w:space="0" w:color="000000"/>
              <w:left w:val="nil"/>
              <w:bottom w:val="single" w:sz="6" w:space="0" w:color="000000"/>
              <w:right w:val="nil"/>
            </w:tcBorders>
            <w:hideMark/>
          </w:tcPr>
          <w:p w:rsidR="00BE1C56" w:rsidRPr="00CB33FA" w:rsidRDefault="00BE1C56" w:rsidP="005B6BC8">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14</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3-6 months </w:t>
            </w:r>
          </w:p>
        </w:tc>
        <w:tc>
          <w:tcPr>
            <w:tcW w:w="773" w:type="pct"/>
            <w:tcBorders>
              <w:top w:val="single" w:sz="6" w:space="0" w:color="000000"/>
              <w:left w:val="nil"/>
              <w:bottom w:val="single" w:sz="6" w:space="0" w:color="000000"/>
              <w:right w:val="nil"/>
            </w:tcBorders>
            <w:hideMark/>
          </w:tcPr>
          <w:p w:rsidR="00BE1C56" w:rsidRPr="00CB33FA" w:rsidRDefault="009A0532" w:rsidP="005B6BC8">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BE1C56" w:rsidRPr="00CB33FA">
              <w:rPr>
                <w:rFonts w:ascii="Arial Narrow" w:hAnsi="Arial Narrow"/>
                <w:color w:val="000000"/>
                <w:sz w:val="20"/>
                <w:szCs w:val="20"/>
                <w:lang w:eastAsia="en-AU"/>
              </w:rPr>
              <w:br/>
              <w:t xml:space="preserve">LOW </w:t>
            </w:r>
            <w:r w:rsidR="00BE1C56" w:rsidRPr="00CB33FA">
              <w:rPr>
                <w:rFonts w:ascii="Arial Narrow" w:hAnsi="Arial Narrow"/>
                <w:color w:val="000000"/>
                <w:sz w:val="20"/>
                <w:szCs w:val="20"/>
                <w:vertAlign w:val="superscript"/>
                <w:lang w:eastAsia="en-AU"/>
              </w:rPr>
              <w:t> </w:t>
            </w:r>
            <w:r w:rsidR="00BE1C56" w:rsidRPr="00CB33FA">
              <w:rPr>
                <w:rFonts w:ascii="Arial Narrow" w:hAnsi="Arial Narrow"/>
                <w:color w:val="000000"/>
                <w:sz w:val="20"/>
                <w:szCs w:val="20"/>
                <w:u w:val="single"/>
                <w:vertAlign w:val="superscript"/>
                <w:lang w:eastAsia="en-AU"/>
              </w:rPr>
              <w:t>1</w:t>
            </w:r>
            <w:r w:rsidR="00BE1C56" w:rsidRPr="00CB33FA">
              <w:rPr>
                <w:rFonts w:ascii="Arial Narrow" w:hAnsi="Arial Narrow"/>
                <w:color w:val="000000"/>
                <w:sz w:val="20"/>
                <w:szCs w:val="20"/>
                <w:vertAlign w:val="superscript"/>
                <w:lang w:eastAsia="en-AU"/>
              </w:rPr>
              <w:t> </w:t>
            </w:r>
            <w:r w:rsidR="00BE1C56" w:rsidRPr="00CB33FA">
              <w:rPr>
                <w:rFonts w:ascii="Arial Narrow" w:hAnsi="Arial Narrow"/>
                <w:color w:val="000000"/>
                <w:sz w:val="20"/>
                <w:szCs w:val="20"/>
                <w:u w:val="single"/>
                <w:vertAlign w:val="superscript"/>
                <w:lang w:eastAsia="en-AU"/>
              </w:rPr>
              <w:t>2</w:t>
            </w:r>
            <w:r w:rsidR="00BE1C56" w:rsidRPr="00CB33FA">
              <w:rPr>
                <w:rFonts w:ascii="Arial Narrow" w:hAnsi="Arial Narrow"/>
                <w:color w:val="000000"/>
                <w:sz w:val="20"/>
                <w:szCs w:val="20"/>
                <w:vertAlign w:val="superscript"/>
                <w:lang w:eastAsia="en-AU"/>
              </w:rPr>
              <w:t> </w:t>
            </w:r>
            <w:r w:rsidR="00BE1C56" w:rsidRPr="00CB33FA">
              <w:rPr>
                <w:rFonts w:ascii="Arial Narrow" w:hAnsi="Arial Narrow"/>
                <w:color w:val="000000"/>
                <w:sz w:val="20"/>
                <w:szCs w:val="20"/>
                <w:u w:val="single"/>
                <w:vertAlign w:val="superscript"/>
                <w:lang w:eastAsia="en-AU"/>
              </w:rPr>
              <w:t>3</w:t>
            </w:r>
          </w:p>
        </w:tc>
        <w:tc>
          <w:tcPr>
            <w:tcW w:w="1545" w:type="pct"/>
            <w:tcBorders>
              <w:top w:val="single" w:sz="6" w:space="0" w:color="000000"/>
              <w:left w:val="nil"/>
              <w:bottom w:val="single" w:sz="6" w:space="0" w:color="000000"/>
              <w:right w:val="nil"/>
            </w:tcBorders>
            <w:shd w:val="clear" w:color="auto" w:fill="EDEDED"/>
            <w:hideMark/>
          </w:tcPr>
          <w:p w:rsidR="00BE1C56" w:rsidRPr="00CB33FA" w:rsidRDefault="00BE1C56" w:rsidP="005B6BC8">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myocardial Gb3 in the control group was </w:t>
            </w:r>
            <w:r w:rsidRPr="00CB33FA">
              <w:rPr>
                <w:rFonts w:ascii="Arial Narrow" w:hAnsi="Arial Narrow"/>
                <w:b/>
                <w:bCs/>
                <w:color w:val="000000"/>
                <w:sz w:val="20"/>
                <w:szCs w:val="20"/>
                <w:lang w:eastAsia="en-AU"/>
              </w:rPr>
              <w:t>0.63</w:t>
            </w:r>
            <w:r w:rsidRPr="00CB33FA">
              <w:rPr>
                <w:rFonts w:ascii="Arial Narrow" w:hAnsi="Arial Narrow"/>
                <w:color w:val="000000"/>
                <w:sz w:val="20"/>
                <w:szCs w:val="20"/>
                <w:lang w:eastAsia="en-AU"/>
              </w:rPr>
              <w:t xml:space="preserve"> nmol/ug </w:t>
            </w:r>
          </w:p>
        </w:tc>
        <w:tc>
          <w:tcPr>
            <w:tcW w:w="1084" w:type="pct"/>
            <w:tcBorders>
              <w:top w:val="single" w:sz="6" w:space="0" w:color="000000"/>
              <w:left w:val="nil"/>
              <w:bottom w:val="single" w:sz="6" w:space="0" w:color="000000"/>
              <w:right w:val="nil"/>
            </w:tcBorders>
            <w:shd w:val="clear" w:color="auto" w:fill="EDEDED"/>
            <w:hideMark/>
          </w:tcPr>
          <w:p w:rsidR="00BE1C56" w:rsidRPr="00CB33FA" w:rsidRDefault="00BE1C56" w:rsidP="005B6BC8">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0.07 higher</w:t>
            </w:r>
            <w:r w:rsidRPr="00CB33FA">
              <w:rPr>
                <w:rFonts w:ascii="Arial Narrow" w:hAnsi="Arial Narrow"/>
                <w:color w:val="000000"/>
                <w:sz w:val="20"/>
                <w:szCs w:val="20"/>
                <w:lang w:eastAsia="en-AU"/>
              </w:rPr>
              <w:br/>
              <w:t xml:space="preserve">(0.35 lower to 0.49 higher) </w:t>
            </w:r>
          </w:p>
        </w:tc>
      </w:tr>
    </w:tbl>
    <w:p w:rsidR="001C3FAF" w:rsidRDefault="00117B80" w:rsidP="001B5185">
      <w:pPr>
        <w:pStyle w:val="TableNote"/>
        <w:ind w:left="0" w:firstLine="0"/>
        <w:rPr>
          <w:lang w:val="en"/>
        </w:rPr>
      </w:pPr>
      <w:r w:rsidRPr="00DC17CA">
        <w:rPr>
          <w:lang w:val="en"/>
        </w:rPr>
        <w:t xml:space="preserve">CI </w:t>
      </w:r>
      <w:r w:rsidRPr="006A44C2">
        <w:rPr>
          <w:spacing w:val="-20"/>
          <w:lang w:val="en"/>
        </w:rPr>
        <w:t xml:space="preserve">= </w:t>
      </w:r>
      <w:r w:rsidRPr="006A44C2">
        <w:rPr>
          <w:lang w:val="en"/>
        </w:rPr>
        <w:t xml:space="preserve"> confidence interval; Gb3 = </w:t>
      </w:r>
      <w:r w:rsidRPr="006A44C2">
        <w:t>globotriaosylceramide</w:t>
      </w:r>
      <w:r w:rsidRPr="006A44C2">
        <w:rPr>
          <w:lang w:val="en"/>
        </w:rPr>
        <w:t xml:space="preserve">; RCT </w:t>
      </w:r>
      <w:r w:rsidRPr="006A44C2">
        <w:rPr>
          <w:spacing w:val="-20"/>
          <w:lang w:val="en"/>
        </w:rPr>
        <w:t xml:space="preserve">= </w:t>
      </w:r>
      <w:r w:rsidR="001B5185">
        <w:rPr>
          <w:lang w:val="en"/>
        </w:rPr>
        <w:t>randomised controlled trial; MD</w:t>
      </w:r>
      <w:r w:rsidRPr="006A44C2">
        <w:rPr>
          <w:spacing w:val="-20"/>
          <w:lang w:val="en"/>
        </w:rPr>
        <w:t xml:space="preserve"> = </w:t>
      </w:r>
      <w:r w:rsidRPr="006A44C2">
        <w:rPr>
          <w:lang w:val="en"/>
        </w:rPr>
        <w:t xml:space="preserve"> mean difference between agalsidase alfa and placebo </w:t>
      </w:r>
      <w:r w:rsidR="00EB477D" w:rsidRPr="006A44C2">
        <w:rPr>
          <w:lang w:val="en"/>
        </w:rPr>
        <w:t xml:space="preserve">(i.e. a mean difference “lower” means that the effect </w:t>
      </w:r>
      <w:r w:rsidR="00EB477D">
        <w:rPr>
          <w:lang w:val="en"/>
        </w:rPr>
        <w:t xml:space="preserve">size </w:t>
      </w:r>
      <w:r w:rsidR="00EB477D" w:rsidRPr="006A44C2">
        <w:rPr>
          <w:lang w:val="en"/>
        </w:rPr>
        <w:t xml:space="preserve">in </w:t>
      </w:r>
      <w:r w:rsidR="00EB477D">
        <w:rPr>
          <w:lang w:val="en"/>
        </w:rPr>
        <w:t xml:space="preserve">the </w:t>
      </w:r>
      <w:r w:rsidR="00EB477D" w:rsidRPr="006A44C2">
        <w:rPr>
          <w:lang w:val="en"/>
        </w:rPr>
        <w:t xml:space="preserve">agalsidase alfa </w:t>
      </w:r>
      <w:r w:rsidR="00EB477D">
        <w:rPr>
          <w:lang w:val="en"/>
        </w:rPr>
        <w:t xml:space="preserve">arm </w:t>
      </w:r>
      <w:r w:rsidR="00EB477D" w:rsidRPr="006A44C2">
        <w:rPr>
          <w:lang w:val="en"/>
        </w:rPr>
        <w:t xml:space="preserve">is lower than placebo, and conversely “higher” means that the effect </w:t>
      </w:r>
      <w:r w:rsidR="00EB477D">
        <w:rPr>
          <w:lang w:val="en"/>
        </w:rPr>
        <w:t xml:space="preserve">size </w:t>
      </w:r>
      <w:r w:rsidR="00EB477D" w:rsidRPr="006A44C2">
        <w:rPr>
          <w:lang w:val="en"/>
        </w:rPr>
        <w:t>is higher in agalsidase alfa than in placebo)</w:t>
      </w:r>
      <w:r w:rsidR="00EB477D">
        <w:rPr>
          <w:lang w:val="en"/>
        </w:rPr>
        <w:t>. In this instance, a lower Gb3 level is beneficial to patients</w:t>
      </w:r>
      <w:r w:rsidRPr="00DC17CA">
        <w:rPr>
          <w:lang w:val="en"/>
        </w:rPr>
        <w:t>; NR = not reported</w:t>
      </w:r>
    </w:p>
    <w:p w:rsidR="00117B80" w:rsidRPr="00CB33FA" w:rsidRDefault="00117B80" w:rsidP="00117B80">
      <w:pPr>
        <w:pStyle w:val="TableNote"/>
        <w:rPr>
          <w:color w:val="000000"/>
        </w:rPr>
      </w:pPr>
      <w:r>
        <w:rPr>
          <w:color w:val="000000"/>
        </w:rPr>
        <w:t xml:space="preserve">1. </w:t>
      </w:r>
      <w:r w:rsidRPr="00CB33FA">
        <w:rPr>
          <w:color w:val="000000"/>
        </w:rPr>
        <w:t>Small participant numbers</w:t>
      </w:r>
    </w:p>
    <w:p w:rsidR="00117B80" w:rsidRPr="00CB33FA" w:rsidRDefault="00117B80" w:rsidP="00117B80">
      <w:pPr>
        <w:pStyle w:val="TableNote"/>
        <w:rPr>
          <w:color w:val="000000"/>
        </w:rPr>
      </w:pPr>
      <w:r>
        <w:rPr>
          <w:color w:val="000000"/>
        </w:rPr>
        <w:t xml:space="preserve">2. </w:t>
      </w:r>
      <w:r w:rsidRPr="00CB33FA">
        <w:rPr>
          <w:color w:val="000000"/>
        </w:rPr>
        <w:t>Inadequate reporting</w:t>
      </w:r>
    </w:p>
    <w:p w:rsidR="00117B80" w:rsidRDefault="00117B80" w:rsidP="00117B80">
      <w:pPr>
        <w:pStyle w:val="TableNote"/>
        <w:rPr>
          <w:lang w:val="en"/>
        </w:rPr>
      </w:pPr>
      <w:r>
        <w:rPr>
          <w:color w:val="000000"/>
        </w:rPr>
        <w:t xml:space="preserve">3. </w:t>
      </w:r>
      <w:r w:rsidRPr="00CB33FA">
        <w:rPr>
          <w:color w:val="000000"/>
        </w:rPr>
        <w:t>Surrogate outcome</w:t>
      </w:r>
    </w:p>
    <w:p w:rsidR="005B6BC8" w:rsidRPr="000756DF" w:rsidRDefault="005B6BC8" w:rsidP="001C3FAF">
      <w:pPr>
        <w:pStyle w:val="TableNote"/>
        <w:rPr>
          <w:lang w:val="en"/>
        </w:rPr>
      </w:pPr>
    </w:p>
    <w:p w:rsidR="001C3FAF" w:rsidRDefault="001C3FAF" w:rsidP="001C3FAF">
      <w:r w:rsidRPr="000756DF">
        <w:t xml:space="preserve">There was no </w:t>
      </w:r>
      <w:r>
        <w:t xml:space="preserve">statistically </w:t>
      </w:r>
      <w:r w:rsidRPr="000756DF">
        <w:t xml:space="preserve">significant difference in creatinine clearance and inulin clearance between </w:t>
      </w:r>
      <w:r>
        <w:t>patients receiving a</w:t>
      </w:r>
      <w:r w:rsidRPr="000756DF">
        <w:t xml:space="preserve">galsidase alfa </w:t>
      </w:r>
      <w:r>
        <w:t>or</w:t>
      </w:r>
      <w:r w:rsidRPr="000756DF">
        <w:t xml:space="preserve"> placebo </w:t>
      </w:r>
      <w:r w:rsidR="0059686B">
        <w:t>when measur</w:t>
      </w:r>
      <w:r w:rsidR="004D6696">
        <w:t xml:space="preserve">ed </w:t>
      </w:r>
      <w:r w:rsidR="0059686B">
        <w:t>by</w:t>
      </w:r>
      <w:r w:rsidR="004D6696">
        <w:t xml:space="preserve"> mL/min/1.73 m</w:t>
      </w:r>
      <w:r w:rsidR="004D6696">
        <w:rPr>
          <w:vertAlign w:val="superscript"/>
        </w:rPr>
        <w:t>2</w:t>
      </w:r>
      <w:r w:rsidR="004D6696" w:rsidRPr="000756DF">
        <w:t xml:space="preserve"> </w:t>
      </w:r>
      <w:r w:rsidR="00BC0D72">
        <w:rPr>
          <w:noProof/>
        </w:rPr>
        <w:t>(</w:t>
      </w:r>
      <w:r w:rsidR="00184B6F">
        <w:rPr>
          <w:noProof/>
        </w:rPr>
        <w:t>Schiffmann et al. 2001</w:t>
      </w:r>
      <w:r w:rsidR="00BC0D72">
        <w:rPr>
          <w:noProof/>
        </w:rPr>
        <w:t>)</w:t>
      </w:r>
      <w:r w:rsidRPr="000756DF">
        <w:t xml:space="preserve"> (</w:t>
      </w:r>
      <w:r w:rsidR="00A72B26" w:rsidRPr="00305731">
        <w:t xml:space="preserve">Table </w:t>
      </w:r>
      <w:r w:rsidR="00A72B26">
        <w:rPr>
          <w:noProof/>
        </w:rPr>
        <w:t>32</w:t>
      </w:r>
      <w:r>
        <w:t>).</w:t>
      </w:r>
      <w:r w:rsidRPr="000756DF">
        <w:t xml:space="preserve"> When creatinine clearance was assessed </w:t>
      </w:r>
      <w:r>
        <w:t>according to</w:t>
      </w:r>
      <w:r w:rsidRPr="000756DF">
        <w:t xml:space="preserve"> nmol/24 hours, the</w:t>
      </w:r>
      <w:r>
        <w:t>re was a statistically significant</w:t>
      </w:r>
      <w:r w:rsidRPr="000756DF">
        <w:t xml:space="preserve"> difference favouring the agalsidase alfa group (mean</w:t>
      </w:r>
      <w:r>
        <w:t>±S</w:t>
      </w:r>
      <w:r w:rsidR="0005138A">
        <w:t>E</w:t>
      </w:r>
      <w:r w:rsidR="00652355" w:rsidRPr="00652355">
        <w:rPr>
          <w:spacing w:val="-20"/>
        </w:rPr>
        <w:t xml:space="preserve"> = </w:t>
      </w:r>
      <w:r w:rsidRPr="000756DF">
        <w:t>1052</w:t>
      </w:r>
      <w:r>
        <w:t>±</w:t>
      </w:r>
      <w:r w:rsidRPr="000756DF">
        <w:t>457</w:t>
      </w:r>
      <w:r>
        <w:t>; placebo, mean±SD</w:t>
      </w:r>
      <w:r w:rsidR="00652355" w:rsidRPr="00652355">
        <w:rPr>
          <w:spacing w:val="-20"/>
        </w:rPr>
        <w:t xml:space="preserve"> </w:t>
      </w:r>
      <w:proofErr w:type="gramStart"/>
      <w:r w:rsidR="00652355" w:rsidRPr="00652355">
        <w:rPr>
          <w:spacing w:val="-20"/>
        </w:rPr>
        <w:t xml:space="preserve">= </w:t>
      </w:r>
      <w:r w:rsidR="0005138A">
        <w:rPr>
          <w:spacing w:val="-20"/>
        </w:rPr>
        <w:t xml:space="preserve"> </w:t>
      </w:r>
      <w:r w:rsidRPr="000756DF">
        <w:t>-</w:t>
      </w:r>
      <w:proofErr w:type="gramEnd"/>
      <w:r w:rsidRPr="000756DF">
        <w:t>25</w:t>
      </w:r>
      <w:r>
        <w:t>±NR</w:t>
      </w:r>
      <w:r w:rsidRPr="000756DF">
        <w:t>, p</w:t>
      </w:r>
      <w:r w:rsidR="00652355" w:rsidRPr="00652355">
        <w:rPr>
          <w:spacing w:val="-20"/>
        </w:rPr>
        <w:t xml:space="preserve"> = </w:t>
      </w:r>
      <w:r w:rsidRPr="000756DF">
        <w:t>0.047)</w:t>
      </w:r>
      <w:r w:rsidR="00A130D0">
        <w:rPr>
          <w:noProof/>
        </w:rPr>
        <w:t>(</w:t>
      </w:r>
      <w:r w:rsidR="00184B6F">
        <w:rPr>
          <w:noProof/>
        </w:rPr>
        <w:t>Hughes et al. 2008</w:t>
      </w:r>
      <w:r w:rsidR="00A130D0">
        <w:rPr>
          <w:noProof/>
        </w:rPr>
        <w:t>)</w:t>
      </w:r>
      <w:r w:rsidRPr="000756DF">
        <w:t xml:space="preserve">. </w:t>
      </w:r>
      <w:r>
        <w:t xml:space="preserve">The comparisons between </w:t>
      </w:r>
      <w:proofErr w:type="gramStart"/>
      <w:r>
        <w:t>treatment</w:t>
      </w:r>
      <w:proofErr w:type="gramEnd"/>
      <w:r>
        <w:t xml:space="preserve"> groups on these surrogate o</w:t>
      </w:r>
      <w:r w:rsidRPr="000756DF">
        <w:t xml:space="preserve">utcomes were assessed as </w:t>
      </w:r>
      <w:r w:rsidRPr="000756DF">
        <w:rPr>
          <w:i/>
        </w:rPr>
        <w:t>low</w:t>
      </w:r>
      <w:r w:rsidRPr="000756DF">
        <w:t xml:space="preserve"> quality </w:t>
      </w:r>
      <w:r>
        <w:t>(</w:t>
      </w:r>
      <w:r w:rsidRPr="000756DF">
        <w:t>GRADE</w:t>
      </w:r>
      <w:r>
        <w:t xml:space="preserv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rsidRPr="000756DF">
        <w:t>.</w:t>
      </w:r>
    </w:p>
    <w:p w:rsidR="00BE1C56" w:rsidRDefault="00BE1C56" w:rsidP="001C3FAF"/>
    <w:p w:rsidR="001C3FAF" w:rsidRDefault="001C3FAF" w:rsidP="001C3FAF">
      <w:pPr>
        <w:pStyle w:val="Caption"/>
        <w:keepNext/>
        <w:tabs>
          <w:tab w:val="clear" w:pos="851"/>
          <w:tab w:val="left" w:pos="1134"/>
        </w:tabs>
        <w:ind w:left="1134" w:hanging="1134"/>
      </w:pPr>
      <w:bookmarkStart w:id="186" w:name="_Ref405842028"/>
      <w:bookmarkStart w:id="187" w:name="_Toc411510414"/>
      <w:bookmarkStart w:id="188" w:name="_Toc415141829"/>
      <w:r w:rsidRPr="00305731">
        <w:lastRenderedPageBreak/>
        <w:t xml:space="preserve">Table </w:t>
      </w:r>
      <w:r w:rsidR="00A72B26">
        <w:rPr>
          <w:noProof/>
        </w:rPr>
        <w:t>32</w:t>
      </w:r>
      <w:bookmarkEnd w:id="186"/>
      <w:r w:rsidRPr="00305731">
        <w:t xml:space="preserve"> </w:t>
      </w:r>
      <w:r>
        <w:tab/>
      </w:r>
      <w:r w:rsidRPr="00305731">
        <w:t xml:space="preserve">Creatinine clearance and inulin clearance in patients randomised to </w:t>
      </w:r>
      <w:r>
        <w:t xml:space="preserve">receive </w:t>
      </w:r>
      <w:r w:rsidRPr="00305731">
        <w:t xml:space="preserve">either agalsidase alfa or placebo </w:t>
      </w:r>
      <w:r w:rsidR="00BC0D72">
        <w:rPr>
          <w:noProof/>
        </w:rPr>
        <w:t>(</w:t>
      </w:r>
      <w:r w:rsidR="00184B6F">
        <w:rPr>
          <w:noProof/>
        </w:rPr>
        <w:t>El Dib, R P, Nascimento &amp; Pastores 2013</w:t>
      </w:r>
      <w:r w:rsidR="00BC0D72">
        <w:rPr>
          <w:noProof/>
        </w:rPr>
        <w:t xml:space="preserve">; </w:t>
      </w:r>
      <w:r w:rsidR="00184B6F">
        <w:rPr>
          <w:noProof/>
        </w:rPr>
        <w:t>Schaefer, Tylki-Szymanska &amp; Hilz 2009</w:t>
      </w:r>
      <w:r w:rsidR="00BC0D72">
        <w:rPr>
          <w:noProof/>
        </w:rPr>
        <w:t xml:space="preserve">; </w:t>
      </w:r>
      <w:r w:rsidR="00184B6F">
        <w:rPr>
          <w:noProof/>
        </w:rPr>
        <w:t>Schiffmann et al. 2001</w:t>
      </w:r>
      <w:r w:rsidR="00BC0D72">
        <w:rPr>
          <w:noProof/>
        </w:rPr>
        <w:t>)</w:t>
      </w:r>
      <w:bookmarkEnd w:id="187"/>
      <w:bookmarkEnd w:id="188"/>
    </w:p>
    <w:tbl>
      <w:tblPr>
        <w:tblW w:w="0" w:type="auto"/>
        <w:tblCellMar>
          <w:top w:w="75" w:type="dxa"/>
          <w:left w:w="75" w:type="dxa"/>
          <w:bottom w:w="75" w:type="dxa"/>
          <w:right w:w="75" w:type="dxa"/>
        </w:tblCellMar>
        <w:tblLook w:val="04A0" w:firstRow="1" w:lastRow="0" w:firstColumn="1" w:lastColumn="0" w:noHBand="0" w:noVBand="1"/>
        <w:tblCaption w:val="Table 30  Creatinine clearance and inulin clearance in patients randomised to receive either agalsidase alfa or placebo (El Dib, R P, Nascimento &amp; Pastores 2013; Schaefer, Tylki-Szymanska &amp; Hilz 2009; Schiffmann et al. 2001)"/>
      </w:tblPr>
      <w:tblGrid>
        <w:gridCol w:w="1716"/>
        <w:gridCol w:w="1259"/>
        <w:gridCol w:w="1309"/>
        <w:gridCol w:w="3050"/>
        <w:gridCol w:w="1842"/>
      </w:tblGrid>
      <w:tr w:rsidR="00117B80" w:rsidRPr="001B3113" w:rsidTr="00B37104">
        <w:trPr>
          <w:trHeight w:val="1056"/>
          <w:tblHeader/>
        </w:trPr>
        <w:tc>
          <w:tcPr>
            <w:tcW w:w="0" w:type="auto"/>
            <w:tcBorders>
              <w:top w:val="single" w:sz="12" w:space="0" w:color="000000"/>
              <w:left w:val="nil"/>
              <w:bottom w:val="single" w:sz="6" w:space="0" w:color="000000"/>
              <w:right w:val="nil"/>
            </w:tcBorders>
            <w:shd w:val="clear" w:color="auto" w:fill="3271AA"/>
            <w:hideMark/>
          </w:tcPr>
          <w:p w:rsidR="00117B80" w:rsidRPr="00CB33FA" w:rsidRDefault="00117B80" w:rsidP="00BE1C56">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0" w:type="auto"/>
            <w:tcBorders>
              <w:top w:val="single" w:sz="12" w:space="0" w:color="000000"/>
              <w:left w:val="nil"/>
              <w:bottom w:val="single" w:sz="6" w:space="0" w:color="000000"/>
              <w:right w:val="nil"/>
            </w:tcBorders>
            <w:shd w:val="clear" w:color="auto" w:fill="3271AA"/>
            <w:hideMark/>
          </w:tcPr>
          <w:p w:rsidR="00117B80" w:rsidRPr="00CB33FA" w:rsidRDefault="00117B80" w:rsidP="00BE1C56">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0" w:type="auto"/>
            <w:tcBorders>
              <w:top w:val="single" w:sz="12" w:space="0" w:color="000000"/>
              <w:left w:val="nil"/>
              <w:bottom w:val="single" w:sz="6" w:space="0" w:color="000000"/>
              <w:right w:val="nil"/>
            </w:tcBorders>
            <w:shd w:val="clear" w:color="auto" w:fill="3271AA"/>
            <w:hideMark/>
          </w:tcPr>
          <w:p w:rsidR="00117B80" w:rsidRPr="00CB33FA" w:rsidRDefault="00117B80" w:rsidP="00BE1C56">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0" w:type="auto"/>
            <w:tcBorders>
              <w:top w:val="single" w:sz="12" w:space="0" w:color="000000"/>
              <w:left w:val="nil"/>
              <w:right w:val="single" w:sz="4" w:space="0" w:color="D9D9D9" w:themeColor="background1" w:themeShade="D9"/>
            </w:tcBorders>
            <w:shd w:val="clear" w:color="auto" w:fill="D3D3D3"/>
            <w:hideMark/>
          </w:tcPr>
          <w:p w:rsidR="00117B80" w:rsidRPr="00CB33FA" w:rsidRDefault="00117B80" w:rsidP="00BE1C56">
            <w:pPr>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Supportive care plus placebo</w:t>
            </w:r>
          </w:p>
        </w:tc>
        <w:tc>
          <w:tcPr>
            <w:tcW w:w="0" w:type="auto"/>
            <w:tcBorders>
              <w:top w:val="single" w:sz="12" w:space="0" w:color="000000"/>
              <w:left w:val="single" w:sz="4" w:space="0" w:color="D9D9D9" w:themeColor="background1" w:themeShade="D9"/>
              <w:right w:val="nil"/>
            </w:tcBorders>
            <w:shd w:val="clear" w:color="auto" w:fill="D3D3D3"/>
          </w:tcPr>
          <w:p w:rsidR="00117B80" w:rsidRPr="00CB33FA" w:rsidRDefault="00117B80" w:rsidP="00117B80">
            <w:pPr>
              <w:spacing w:after="0"/>
              <w:jc w:val="left"/>
              <w:rPr>
                <w:rFonts w:ascii="Arial Narrow" w:hAnsi="Arial Narrow"/>
                <w:b/>
                <w:bCs/>
                <w:color w:val="000000"/>
                <w:sz w:val="20"/>
                <w:szCs w:val="20"/>
                <w:lang w:eastAsia="en-AU"/>
              </w:rPr>
            </w:pPr>
            <w:r w:rsidRPr="00CB33FA">
              <w:rPr>
                <w:rFonts w:ascii="Arial Narrow" w:hAnsi="Arial Narrow"/>
                <w:b/>
                <w:bCs/>
                <w:color w:val="D9D9D9" w:themeColor="background1" w:themeShade="D9"/>
                <w:sz w:val="20"/>
                <w:szCs w:val="20"/>
                <w:lang w:eastAsia="en-AU"/>
              </w:rPr>
              <w:t>-</w:t>
            </w:r>
            <w:r w:rsidRPr="00CB33FA">
              <w:rPr>
                <w:rFonts w:ascii="Arial Narrow" w:hAnsi="Arial Narrow"/>
                <w:b/>
                <w:bCs/>
                <w:color w:val="000000"/>
                <w:sz w:val="20"/>
                <w:szCs w:val="20"/>
                <w:lang w:eastAsia="en-AU"/>
              </w:rPr>
              <w:t>Risk difference with Agalsidase alfa</w:t>
            </w:r>
          </w:p>
        </w:tc>
      </w:tr>
      <w:tr w:rsidR="00855C5F" w:rsidRPr="001B3113" w:rsidTr="00117B80">
        <w:tc>
          <w:tcPr>
            <w:tcW w:w="0" w:type="auto"/>
            <w:tcBorders>
              <w:top w:val="single" w:sz="6" w:space="0" w:color="000000"/>
              <w:left w:val="nil"/>
              <w:bottom w:val="single" w:sz="6" w:space="0" w:color="000000"/>
              <w:right w:val="nil"/>
            </w:tcBorders>
            <w:hideMark/>
          </w:tcPr>
          <w:p w:rsidR="00855C5F" w:rsidRPr="00CB33FA" w:rsidRDefault="00855C5F" w:rsidP="00BE1C56">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Creatinine clearance</w:t>
            </w:r>
            <w:r w:rsidRPr="00CB33FA">
              <w:rPr>
                <w:rFonts w:ascii="Arial Narrow" w:hAnsi="Arial Narrow"/>
                <w:color w:val="000000"/>
                <w:sz w:val="20"/>
                <w:szCs w:val="20"/>
                <w:lang w:eastAsia="en-AU"/>
              </w:rPr>
              <w:br/>
              <w:t>assessed with: mL/min/1.73m</w:t>
            </w:r>
            <w:r w:rsidRPr="00CB33FA">
              <w:rPr>
                <w:rFonts w:ascii="Arial Narrow" w:hAnsi="Arial Narrow"/>
                <w:color w:val="000000"/>
                <w:sz w:val="20"/>
                <w:szCs w:val="20"/>
                <w:vertAlign w:val="superscript"/>
                <w:lang w:eastAsia="en-AU"/>
              </w:rPr>
              <w:t>2</w:t>
            </w:r>
            <w:r w:rsidRPr="00CB33FA">
              <w:rPr>
                <w:rFonts w:ascii="Arial Narrow" w:hAnsi="Arial Narrow"/>
                <w:color w:val="000000"/>
                <w:sz w:val="20"/>
                <w:szCs w:val="20"/>
                <w:lang w:eastAsia="en-AU"/>
              </w:rPr>
              <w:br/>
              <w:t xml:space="preserve">follow up: up to 6 months </w:t>
            </w:r>
          </w:p>
        </w:tc>
        <w:tc>
          <w:tcPr>
            <w:tcW w:w="0" w:type="auto"/>
            <w:tcBorders>
              <w:top w:val="single" w:sz="6" w:space="0" w:color="000000"/>
              <w:left w:val="nil"/>
              <w:bottom w:val="single" w:sz="6" w:space="0" w:color="000000"/>
              <w:right w:val="nil"/>
            </w:tcBorders>
            <w:hideMark/>
          </w:tcPr>
          <w:p w:rsidR="00855C5F" w:rsidRPr="00CB33FA" w:rsidRDefault="00855C5F" w:rsidP="00BE1C56">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24</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up to 6 months </w:t>
            </w:r>
          </w:p>
        </w:tc>
        <w:tc>
          <w:tcPr>
            <w:tcW w:w="0" w:type="auto"/>
            <w:tcBorders>
              <w:top w:val="single" w:sz="6" w:space="0" w:color="000000"/>
              <w:left w:val="nil"/>
              <w:bottom w:val="single" w:sz="6" w:space="0" w:color="000000"/>
              <w:right w:val="nil"/>
            </w:tcBorders>
            <w:hideMark/>
          </w:tcPr>
          <w:p w:rsidR="00855C5F" w:rsidRPr="00CB33FA" w:rsidRDefault="009A0532" w:rsidP="00BE1C56">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LOW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3</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BE1C56">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creatinine clearance in the control group was </w:t>
            </w:r>
            <w:r w:rsidRPr="00CB33FA">
              <w:rPr>
                <w:rFonts w:ascii="Arial Narrow" w:hAnsi="Arial Narrow"/>
                <w:b/>
                <w:bCs/>
                <w:color w:val="000000"/>
                <w:sz w:val="20"/>
                <w:szCs w:val="20"/>
                <w:lang w:eastAsia="en-AU"/>
              </w:rPr>
              <w:t>84.5</w:t>
            </w:r>
            <w:r w:rsidRPr="00CB33FA">
              <w:rPr>
                <w:rFonts w:ascii="Arial Narrow" w:hAnsi="Arial Narrow"/>
                <w:color w:val="000000"/>
                <w:sz w:val="20"/>
                <w:szCs w:val="20"/>
                <w:lang w:eastAsia="en-AU"/>
              </w:rPr>
              <w:t xml:space="preserve"> ml/min/1.73m</w:t>
            </w:r>
            <w:r w:rsidRPr="00CB33FA">
              <w:rPr>
                <w:rFonts w:ascii="Arial Narrow" w:hAnsi="Arial Narrow"/>
                <w:color w:val="000000"/>
                <w:sz w:val="20"/>
                <w:szCs w:val="20"/>
                <w:vertAlign w:val="superscript"/>
                <w:lang w:eastAsia="en-AU"/>
              </w:rPr>
              <w:t>2</w:t>
            </w:r>
            <w:r w:rsidRPr="00CB33FA">
              <w:rPr>
                <w:rFonts w:ascii="Arial Narrow" w:hAnsi="Arial Narrow"/>
                <w:color w:val="000000"/>
                <w:sz w:val="20"/>
                <w:szCs w:val="20"/>
                <w:lang w:eastAsia="en-AU"/>
              </w:rPr>
              <w:t xml:space="preserve"> </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BE1C56">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10.3 higher</w:t>
            </w:r>
            <w:r w:rsidRPr="00CB33FA">
              <w:rPr>
                <w:rFonts w:ascii="Arial Narrow" w:hAnsi="Arial Narrow"/>
                <w:color w:val="000000"/>
                <w:sz w:val="20"/>
                <w:szCs w:val="20"/>
                <w:lang w:eastAsia="en-AU"/>
              </w:rPr>
              <w:br/>
              <w:t xml:space="preserve">(15.37 lower to 35.97 higher) </w:t>
            </w:r>
          </w:p>
        </w:tc>
      </w:tr>
      <w:tr w:rsidR="00855C5F" w:rsidRPr="001B3113" w:rsidTr="00117B80">
        <w:tc>
          <w:tcPr>
            <w:tcW w:w="0" w:type="auto"/>
            <w:tcBorders>
              <w:top w:val="single" w:sz="6" w:space="0" w:color="000000"/>
              <w:left w:val="nil"/>
              <w:bottom w:val="single" w:sz="6" w:space="0" w:color="000000"/>
              <w:right w:val="nil"/>
            </w:tcBorders>
            <w:hideMark/>
          </w:tcPr>
          <w:p w:rsidR="00855C5F" w:rsidRPr="00CB33FA" w:rsidRDefault="00855C5F" w:rsidP="00BE1C56">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Inulin clearance</w:t>
            </w:r>
            <w:r w:rsidRPr="00CB33FA">
              <w:rPr>
                <w:rFonts w:ascii="Arial Narrow" w:hAnsi="Arial Narrow"/>
                <w:color w:val="000000"/>
                <w:sz w:val="20"/>
                <w:szCs w:val="20"/>
                <w:lang w:eastAsia="en-AU"/>
              </w:rPr>
              <w:br/>
              <w:t>assessed with: mL/min/1.73m</w:t>
            </w:r>
            <w:r w:rsidRPr="00CB33FA">
              <w:rPr>
                <w:rFonts w:ascii="Arial Narrow" w:hAnsi="Arial Narrow"/>
                <w:color w:val="000000"/>
                <w:sz w:val="20"/>
                <w:szCs w:val="20"/>
                <w:vertAlign w:val="superscript"/>
                <w:lang w:eastAsia="en-AU"/>
              </w:rPr>
              <w:t>2</w:t>
            </w:r>
            <w:r w:rsidRPr="00CB33FA">
              <w:rPr>
                <w:rFonts w:ascii="Arial Narrow" w:hAnsi="Arial Narrow"/>
                <w:color w:val="000000"/>
                <w:sz w:val="20"/>
                <w:szCs w:val="20"/>
                <w:lang w:eastAsia="en-AU"/>
              </w:rPr>
              <w:br/>
              <w:t xml:space="preserve">follow up: up to 6 months </w:t>
            </w:r>
          </w:p>
        </w:tc>
        <w:tc>
          <w:tcPr>
            <w:tcW w:w="0" w:type="auto"/>
            <w:tcBorders>
              <w:top w:val="single" w:sz="6" w:space="0" w:color="000000"/>
              <w:left w:val="nil"/>
              <w:bottom w:val="single" w:sz="6" w:space="0" w:color="000000"/>
              <w:right w:val="nil"/>
            </w:tcBorders>
            <w:hideMark/>
          </w:tcPr>
          <w:p w:rsidR="00855C5F" w:rsidRPr="00CB33FA" w:rsidRDefault="00855C5F" w:rsidP="00BE1C56">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24</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up to 6 months </w:t>
            </w:r>
          </w:p>
        </w:tc>
        <w:tc>
          <w:tcPr>
            <w:tcW w:w="0" w:type="auto"/>
            <w:tcBorders>
              <w:top w:val="single" w:sz="6" w:space="0" w:color="000000"/>
              <w:left w:val="nil"/>
              <w:bottom w:val="single" w:sz="6" w:space="0" w:color="000000"/>
              <w:right w:val="nil"/>
            </w:tcBorders>
            <w:hideMark/>
          </w:tcPr>
          <w:p w:rsidR="00855C5F" w:rsidRPr="00CB33FA" w:rsidRDefault="009A0532" w:rsidP="00BE1C56">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LOW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3</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BE1C56">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inulin clearance in the control group was </w:t>
            </w:r>
            <w:r w:rsidRPr="00CB33FA">
              <w:rPr>
                <w:rFonts w:ascii="Arial Narrow" w:hAnsi="Arial Narrow"/>
                <w:b/>
                <w:bCs/>
                <w:color w:val="000000"/>
                <w:sz w:val="20"/>
                <w:szCs w:val="20"/>
                <w:lang w:eastAsia="en-AU"/>
              </w:rPr>
              <w:t>71.5</w:t>
            </w:r>
            <w:r w:rsidRPr="00CB33FA">
              <w:rPr>
                <w:rFonts w:ascii="Arial Narrow" w:hAnsi="Arial Narrow"/>
                <w:color w:val="000000"/>
                <w:sz w:val="20"/>
                <w:szCs w:val="20"/>
                <w:lang w:eastAsia="en-AU"/>
              </w:rPr>
              <w:t xml:space="preserve"> ml/min/1.73m</w:t>
            </w:r>
            <w:r w:rsidRPr="00CB33FA">
              <w:rPr>
                <w:rFonts w:ascii="Arial Narrow" w:hAnsi="Arial Narrow"/>
                <w:color w:val="000000"/>
                <w:sz w:val="20"/>
                <w:szCs w:val="20"/>
                <w:vertAlign w:val="superscript"/>
                <w:lang w:eastAsia="en-AU"/>
              </w:rPr>
              <w:t>2</w:t>
            </w:r>
            <w:r w:rsidRPr="00CB33FA">
              <w:rPr>
                <w:rFonts w:ascii="Arial Narrow" w:hAnsi="Arial Narrow"/>
                <w:color w:val="000000"/>
                <w:sz w:val="20"/>
                <w:szCs w:val="20"/>
                <w:lang w:eastAsia="en-AU"/>
              </w:rPr>
              <w:t xml:space="preserve"> </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BE1C56">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0.05 lower</w:t>
            </w:r>
            <w:r w:rsidRPr="00CB33FA">
              <w:rPr>
                <w:rFonts w:ascii="Arial Narrow" w:hAnsi="Arial Narrow"/>
                <w:color w:val="000000"/>
                <w:sz w:val="20"/>
                <w:szCs w:val="20"/>
                <w:lang w:eastAsia="en-AU"/>
              </w:rPr>
              <w:br/>
              <w:t xml:space="preserve">(21.36 lower to 20.36 higher) </w:t>
            </w:r>
          </w:p>
        </w:tc>
      </w:tr>
      <w:tr w:rsidR="00855C5F" w:rsidRPr="001B3113" w:rsidTr="00117B80">
        <w:tc>
          <w:tcPr>
            <w:tcW w:w="0" w:type="auto"/>
            <w:tcBorders>
              <w:top w:val="single" w:sz="6" w:space="0" w:color="000000"/>
              <w:left w:val="nil"/>
              <w:bottom w:val="single" w:sz="6" w:space="0" w:color="000000"/>
              <w:right w:val="nil"/>
            </w:tcBorders>
            <w:hideMark/>
          </w:tcPr>
          <w:p w:rsidR="00855C5F" w:rsidRPr="00CB33FA" w:rsidRDefault="00855C5F" w:rsidP="00BE1C56">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 xml:space="preserve">Creatinine clearance </w:t>
            </w:r>
            <w:r w:rsidRPr="00CB33FA">
              <w:rPr>
                <w:rFonts w:ascii="Arial Narrow" w:hAnsi="Arial Narrow"/>
                <w:color w:val="000000"/>
                <w:sz w:val="20"/>
                <w:szCs w:val="20"/>
                <w:lang w:eastAsia="en-AU"/>
              </w:rPr>
              <w:br/>
              <w:t>assessed with: nmol/24h</w:t>
            </w:r>
            <w:r w:rsidRPr="00CB33FA">
              <w:rPr>
                <w:rFonts w:ascii="Arial Narrow" w:hAnsi="Arial Narrow"/>
                <w:color w:val="000000"/>
                <w:sz w:val="20"/>
                <w:szCs w:val="20"/>
                <w:lang w:eastAsia="en-AU"/>
              </w:rPr>
              <w:br/>
              <w:t xml:space="preserve">follow up: median 6 months </w:t>
            </w:r>
          </w:p>
        </w:tc>
        <w:tc>
          <w:tcPr>
            <w:tcW w:w="0" w:type="auto"/>
            <w:tcBorders>
              <w:top w:val="single" w:sz="6" w:space="0" w:color="000000"/>
              <w:left w:val="nil"/>
              <w:bottom w:val="single" w:sz="6" w:space="0" w:color="000000"/>
              <w:right w:val="nil"/>
            </w:tcBorders>
            <w:hideMark/>
          </w:tcPr>
          <w:p w:rsidR="00855C5F" w:rsidRPr="00CB33FA" w:rsidRDefault="00855C5F" w:rsidP="00BE1C56">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15</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6 months </w:t>
            </w:r>
          </w:p>
        </w:tc>
        <w:tc>
          <w:tcPr>
            <w:tcW w:w="0" w:type="auto"/>
            <w:tcBorders>
              <w:top w:val="single" w:sz="6" w:space="0" w:color="000000"/>
              <w:left w:val="nil"/>
              <w:bottom w:val="single" w:sz="6" w:space="0" w:color="000000"/>
              <w:right w:val="nil"/>
            </w:tcBorders>
            <w:hideMark/>
          </w:tcPr>
          <w:p w:rsidR="00855C5F" w:rsidRPr="00CB33FA" w:rsidRDefault="009A0532" w:rsidP="00BE1C56">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LOW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2</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3</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BE1C56">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creatinine clearance in the control group was </w:t>
            </w:r>
            <w:r w:rsidRPr="00CB33FA">
              <w:rPr>
                <w:rFonts w:ascii="Arial Narrow" w:hAnsi="Arial Narrow"/>
                <w:b/>
                <w:bCs/>
                <w:color w:val="000000"/>
                <w:sz w:val="20"/>
                <w:szCs w:val="20"/>
                <w:lang w:eastAsia="en-AU"/>
              </w:rPr>
              <w:t>-25</w:t>
            </w:r>
            <w:r w:rsidRPr="00CB33FA">
              <w:rPr>
                <w:rFonts w:ascii="Arial Narrow" w:hAnsi="Arial Narrow"/>
                <w:color w:val="000000"/>
                <w:sz w:val="20"/>
                <w:szCs w:val="20"/>
                <w:lang w:eastAsia="en-AU"/>
              </w:rPr>
              <w:t xml:space="preserve"> nmol/24h </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855C5F">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p </w:t>
            </w:r>
            <w:r w:rsidRPr="00CB33FA">
              <w:rPr>
                <w:rFonts w:ascii="Arial Narrow" w:hAnsi="Arial Narrow"/>
                <w:b/>
                <w:bCs/>
                <w:color w:val="000000"/>
                <w:sz w:val="20"/>
                <w:szCs w:val="20"/>
                <w:lang w:eastAsia="en-AU"/>
              </w:rPr>
              <w:t>0.047 lower</w:t>
            </w:r>
            <w:r w:rsidRPr="00CB33FA">
              <w:rPr>
                <w:rFonts w:ascii="Arial Narrow" w:hAnsi="Arial Narrow"/>
                <w:color w:val="000000"/>
                <w:sz w:val="20"/>
                <w:szCs w:val="20"/>
                <w:lang w:eastAsia="en-AU"/>
              </w:rPr>
              <w:br/>
              <w:t xml:space="preserve">(CI NR) </w:t>
            </w:r>
          </w:p>
        </w:tc>
      </w:tr>
    </w:tbl>
    <w:p w:rsidR="001C3FAF" w:rsidRPr="00117B80" w:rsidRDefault="001B5185" w:rsidP="001B5185">
      <w:pPr>
        <w:pStyle w:val="TableNote"/>
        <w:ind w:left="0" w:firstLine="0"/>
        <w:rPr>
          <w:lang w:val="en"/>
        </w:rPr>
      </w:pPr>
      <w:r>
        <w:rPr>
          <w:lang w:val="en"/>
        </w:rPr>
        <w:t>CI</w:t>
      </w:r>
      <w:r w:rsidR="00117B80" w:rsidRPr="00DC17CA">
        <w:rPr>
          <w:spacing w:val="-20"/>
          <w:lang w:val="en"/>
        </w:rPr>
        <w:t xml:space="preserve"> = </w:t>
      </w:r>
      <w:r>
        <w:rPr>
          <w:lang w:val="en"/>
        </w:rPr>
        <w:t xml:space="preserve"> confidence interval; RCT</w:t>
      </w:r>
      <w:r w:rsidR="00117B80" w:rsidRPr="00117B80">
        <w:rPr>
          <w:spacing w:val="-20"/>
          <w:lang w:val="en"/>
        </w:rPr>
        <w:t xml:space="preserve"> = </w:t>
      </w:r>
      <w:r w:rsidR="00117B80" w:rsidRPr="00117B80">
        <w:rPr>
          <w:lang w:val="en"/>
        </w:rPr>
        <w:t xml:space="preserve"> </w:t>
      </w:r>
      <w:r>
        <w:rPr>
          <w:lang w:val="en"/>
        </w:rPr>
        <w:t>randomised controlled trial; MD</w:t>
      </w:r>
      <w:r w:rsidR="00117B80" w:rsidRPr="00117B80">
        <w:rPr>
          <w:spacing w:val="-20"/>
          <w:lang w:val="en"/>
        </w:rPr>
        <w:t xml:space="preserve"> = </w:t>
      </w:r>
      <w:r w:rsidR="00117B80" w:rsidRPr="00117B80">
        <w:rPr>
          <w:lang w:val="en"/>
        </w:rPr>
        <w:t xml:space="preserve">mean difference between agalsidase alfa and placebo </w:t>
      </w:r>
      <w:r w:rsidR="00AA34FC" w:rsidRPr="006A44C2">
        <w:rPr>
          <w:lang w:val="en"/>
        </w:rPr>
        <w:t xml:space="preserve">(i.e. a mean difference “lower” means that the effect </w:t>
      </w:r>
      <w:r w:rsidR="00AA34FC">
        <w:rPr>
          <w:lang w:val="en"/>
        </w:rPr>
        <w:t xml:space="preserve">size </w:t>
      </w:r>
      <w:r w:rsidR="00AA34FC" w:rsidRPr="006A44C2">
        <w:rPr>
          <w:lang w:val="en"/>
        </w:rPr>
        <w:t xml:space="preserve">in </w:t>
      </w:r>
      <w:r w:rsidR="00AA34FC">
        <w:rPr>
          <w:lang w:val="en"/>
        </w:rPr>
        <w:t xml:space="preserve">the </w:t>
      </w:r>
      <w:r w:rsidR="00AA34FC" w:rsidRPr="006A44C2">
        <w:rPr>
          <w:lang w:val="en"/>
        </w:rPr>
        <w:t xml:space="preserve">agalsidase alfa </w:t>
      </w:r>
      <w:r w:rsidR="00AA34FC">
        <w:rPr>
          <w:lang w:val="en"/>
        </w:rPr>
        <w:t xml:space="preserve">arm </w:t>
      </w:r>
      <w:r w:rsidR="00AA34FC" w:rsidRPr="006A44C2">
        <w:rPr>
          <w:lang w:val="en"/>
        </w:rPr>
        <w:t xml:space="preserve">is lower than placebo, and conversely “higher” means that the effect </w:t>
      </w:r>
      <w:r w:rsidR="00AA34FC">
        <w:rPr>
          <w:lang w:val="en"/>
        </w:rPr>
        <w:t xml:space="preserve">size </w:t>
      </w:r>
      <w:r w:rsidR="00AA34FC" w:rsidRPr="006A44C2">
        <w:rPr>
          <w:lang w:val="en"/>
        </w:rPr>
        <w:t>is higher in agalsidase alfa than in placebo)</w:t>
      </w:r>
      <w:r w:rsidR="00AA34FC">
        <w:rPr>
          <w:lang w:val="en"/>
        </w:rPr>
        <w:t xml:space="preserve">. In this instance, a lower </w:t>
      </w:r>
      <w:r w:rsidR="00CD39DE">
        <w:rPr>
          <w:lang w:val="en"/>
        </w:rPr>
        <w:t>clearance rate</w:t>
      </w:r>
      <w:r w:rsidR="00AA34FC">
        <w:rPr>
          <w:lang w:val="en"/>
        </w:rPr>
        <w:t xml:space="preserve"> is beneficial to patients</w:t>
      </w:r>
      <w:r w:rsidR="00117B80" w:rsidRPr="00117B80">
        <w:rPr>
          <w:lang w:val="en"/>
        </w:rPr>
        <w:t xml:space="preserve">; </w:t>
      </w:r>
      <w:r w:rsidR="00F87099" w:rsidRPr="00117B80">
        <w:rPr>
          <w:lang w:val="en"/>
        </w:rPr>
        <w:t xml:space="preserve">NR </w:t>
      </w:r>
      <w:r w:rsidR="00F87099" w:rsidRPr="00117B80">
        <w:rPr>
          <w:spacing w:val="-20"/>
          <w:lang w:val="en"/>
        </w:rPr>
        <w:t xml:space="preserve">= </w:t>
      </w:r>
      <w:r w:rsidR="00F87099" w:rsidRPr="00117B80">
        <w:rPr>
          <w:lang w:val="en"/>
        </w:rPr>
        <w:t>not</w:t>
      </w:r>
      <w:r w:rsidR="00117B80" w:rsidRPr="00117B80">
        <w:rPr>
          <w:lang w:val="en"/>
        </w:rPr>
        <w:t xml:space="preserve"> reported</w:t>
      </w:r>
    </w:p>
    <w:p w:rsidR="00117B80" w:rsidRPr="00CB33FA" w:rsidRDefault="00117B80" w:rsidP="00117B80">
      <w:pPr>
        <w:pStyle w:val="TableNote"/>
        <w:rPr>
          <w:color w:val="000000"/>
        </w:rPr>
      </w:pPr>
      <w:r w:rsidRPr="00117B80">
        <w:rPr>
          <w:color w:val="000000"/>
        </w:rPr>
        <w:t>1.</w:t>
      </w:r>
      <w:r>
        <w:rPr>
          <w:color w:val="000000"/>
        </w:rPr>
        <w:t xml:space="preserve"> </w:t>
      </w:r>
      <w:r w:rsidRPr="00CB33FA">
        <w:rPr>
          <w:color w:val="000000"/>
        </w:rPr>
        <w:t>Small participant numbers</w:t>
      </w:r>
    </w:p>
    <w:p w:rsidR="00117B80" w:rsidRPr="00CB33FA" w:rsidRDefault="00117B80" w:rsidP="00117B80">
      <w:pPr>
        <w:pStyle w:val="TableNote"/>
        <w:rPr>
          <w:color w:val="000000"/>
        </w:rPr>
      </w:pPr>
      <w:r>
        <w:rPr>
          <w:color w:val="000000"/>
        </w:rPr>
        <w:t xml:space="preserve">2. </w:t>
      </w:r>
      <w:r w:rsidRPr="00CB33FA">
        <w:rPr>
          <w:color w:val="000000"/>
        </w:rPr>
        <w:t>Inadequate reporting</w:t>
      </w:r>
    </w:p>
    <w:p w:rsidR="00117B80" w:rsidRDefault="00117B80" w:rsidP="00117B80">
      <w:pPr>
        <w:pStyle w:val="TableNote"/>
        <w:rPr>
          <w:color w:val="000000"/>
        </w:rPr>
      </w:pPr>
      <w:r>
        <w:rPr>
          <w:color w:val="000000"/>
        </w:rPr>
        <w:t xml:space="preserve">3. </w:t>
      </w:r>
      <w:r w:rsidRPr="00CB33FA">
        <w:rPr>
          <w:color w:val="000000"/>
        </w:rPr>
        <w:t>Surrogate outcome</w:t>
      </w:r>
    </w:p>
    <w:p w:rsidR="00117B80" w:rsidRDefault="00117B80" w:rsidP="00117B80">
      <w:pPr>
        <w:pStyle w:val="TableNote"/>
      </w:pPr>
    </w:p>
    <w:p w:rsidR="001C3FAF" w:rsidRDefault="001C3FAF" w:rsidP="001C3FAF">
      <w:r w:rsidRPr="000756DF">
        <w:t xml:space="preserve">When </w:t>
      </w:r>
      <w:r>
        <w:t>changes to glomeruli in patients (i</w:t>
      </w:r>
      <w:r w:rsidR="006E536A">
        <w:t>.</w:t>
      </w:r>
      <w:r>
        <w:t>e</w:t>
      </w:r>
      <w:r w:rsidR="006E536A">
        <w:t>.</w:t>
      </w:r>
      <w:r>
        <w:t xml:space="preserve"> </w:t>
      </w:r>
      <w:r w:rsidRPr="000756DF">
        <w:t>the number of glomeruli with mesangial widening, segmental sclerosis or that were obsolescent</w:t>
      </w:r>
      <w:r>
        <w:t>)</w:t>
      </w:r>
      <w:r w:rsidRPr="000756DF">
        <w:t xml:space="preserve"> were compared between </w:t>
      </w:r>
      <w:r>
        <w:t xml:space="preserve">the </w:t>
      </w:r>
      <w:r w:rsidRPr="000756DF">
        <w:t xml:space="preserve">agalsidase alfa and placebo </w:t>
      </w:r>
      <w:r>
        <w:t>treatment arms,</w:t>
      </w:r>
      <w:r w:rsidRPr="000756DF">
        <w:t xml:space="preserve"> there w</w:t>
      </w:r>
      <w:r>
        <w:t>ere</w:t>
      </w:r>
      <w:r w:rsidRPr="000756DF">
        <w:t xml:space="preserve"> no </w:t>
      </w:r>
      <w:r>
        <w:t xml:space="preserve">statistically </w:t>
      </w:r>
      <w:r w:rsidRPr="000756DF">
        <w:t>significant difference</w:t>
      </w:r>
      <w:r>
        <w:t>s</w:t>
      </w:r>
      <w:r w:rsidRPr="006E5922">
        <w:t xml:space="preserve"> </w:t>
      </w:r>
      <w:r>
        <w:t>(</w:t>
      </w:r>
      <w:r w:rsidRPr="000756DF">
        <w:t>GRADE</w:t>
      </w:r>
      <w:r>
        <w:t xml:space="preserv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t>. There was also no</w:t>
      </w:r>
      <w:r w:rsidRPr="000756DF">
        <w:t xml:space="preserve"> consist</w:t>
      </w:r>
      <w:r>
        <w:t>e</w:t>
      </w:r>
      <w:r w:rsidRPr="000756DF">
        <w:t>nt trend</w:t>
      </w:r>
      <w:r>
        <w:t xml:space="preserve"> in the direction of</w:t>
      </w:r>
      <w:r w:rsidRPr="000756DF">
        <w:t xml:space="preserve"> </w:t>
      </w:r>
      <w:r>
        <w:t xml:space="preserve">these </w:t>
      </w:r>
      <w:r w:rsidRPr="000756DF">
        <w:t>change</w:t>
      </w:r>
      <w:r>
        <w:t>s</w:t>
      </w:r>
      <w:r w:rsidRPr="000756DF">
        <w:t xml:space="preserve"> </w:t>
      </w:r>
      <w:r w:rsidR="00BC0D72">
        <w:rPr>
          <w:noProof/>
        </w:rPr>
        <w:t>(</w:t>
      </w:r>
      <w:r w:rsidR="00184B6F">
        <w:rPr>
          <w:noProof/>
        </w:rPr>
        <w:t>Schiffmann et al. 2001</w:t>
      </w:r>
      <w:r w:rsidR="00BC0D72">
        <w:rPr>
          <w:noProof/>
        </w:rPr>
        <w:t>)</w:t>
      </w:r>
      <w:r>
        <w:t xml:space="preserve"> (</w:t>
      </w:r>
      <w:r w:rsidR="00A72B26" w:rsidRPr="00305731">
        <w:t xml:space="preserve">Table </w:t>
      </w:r>
      <w:r w:rsidR="00A72B26">
        <w:rPr>
          <w:noProof/>
        </w:rPr>
        <w:t>33</w:t>
      </w:r>
      <w:r>
        <w:t>).</w:t>
      </w:r>
    </w:p>
    <w:p w:rsidR="001C3FAF" w:rsidRDefault="001C3FAF" w:rsidP="001C3FAF">
      <w:pPr>
        <w:pStyle w:val="Caption"/>
        <w:keepNext/>
        <w:tabs>
          <w:tab w:val="clear" w:pos="851"/>
          <w:tab w:val="left" w:pos="1134"/>
        </w:tabs>
        <w:ind w:left="1134" w:hanging="1134"/>
      </w:pPr>
      <w:bookmarkStart w:id="189" w:name="_Ref405842044"/>
      <w:bookmarkStart w:id="190" w:name="_Toc411510415"/>
      <w:bookmarkStart w:id="191" w:name="_Toc415141830"/>
      <w:r w:rsidRPr="00305731">
        <w:lastRenderedPageBreak/>
        <w:t xml:space="preserve">Table </w:t>
      </w:r>
      <w:r w:rsidR="00A72B26">
        <w:rPr>
          <w:noProof/>
        </w:rPr>
        <w:t>33</w:t>
      </w:r>
      <w:bookmarkEnd w:id="189"/>
      <w:r w:rsidRPr="00305731">
        <w:t xml:space="preserve"> </w:t>
      </w:r>
      <w:r w:rsidR="00EB6CEA">
        <w:tab/>
      </w:r>
      <w:r w:rsidRPr="00305731">
        <w:t xml:space="preserve">Comparison of changes to glomeruli in patients randomised to </w:t>
      </w:r>
      <w:r>
        <w:t xml:space="preserve">receive </w:t>
      </w:r>
      <w:r w:rsidRPr="00305731">
        <w:t xml:space="preserve">either agalsidase alfa or placebo </w:t>
      </w:r>
      <w:r w:rsidR="00E83918">
        <w:rPr>
          <w:noProof/>
        </w:rPr>
        <w:t>(</w:t>
      </w:r>
      <w:r w:rsidR="00184B6F">
        <w:rPr>
          <w:noProof/>
        </w:rPr>
        <w:t>El Dib, R P, Nascimento &amp; Pastores 2013</w:t>
      </w:r>
      <w:r w:rsidR="00E83918">
        <w:rPr>
          <w:noProof/>
        </w:rPr>
        <w:t>)</w:t>
      </w:r>
      <w:r w:rsidRPr="00CF3789">
        <w:t xml:space="preserve"> </w:t>
      </w:r>
      <w:r w:rsidR="00BC0D72">
        <w:rPr>
          <w:noProof/>
        </w:rPr>
        <w:t>(</w:t>
      </w:r>
      <w:r w:rsidR="00184B6F">
        <w:rPr>
          <w:noProof/>
        </w:rPr>
        <w:t>Schiffmann et al. 2001</w:t>
      </w:r>
      <w:r w:rsidR="00BC0D72">
        <w:rPr>
          <w:noProof/>
        </w:rPr>
        <w:t>)</w:t>
      </w:r>
      <w:bookmarkEnd w:id="190"/>
      <w:bookmarkEnd w:id="191"/>
    </w:p>
    <w:tbl>
      <w:tblPr>
        <w:tblW w:w="5000" w:type="pct"/>
        <w:tblCellMar>
          <w:top w:w="75" w:type="dxa"/>
          <w:left w:w="75" w:type="dxa"/>
          <w:bottom w:w="75" w:type="dxa"/>
          <w:right w:w="75" w:type="dxa"/>
        </w:tblCellMar>
        <w:tblLook w:val="04A0" w:firstRow="1" w:lastRow="0" w:firstColumn="1" w:lastColumn="0" w:noHBand="0" w:noVBand="1"/>
        <w:tblCaption w:val="Table 31  Comparison of changes to glomeruli in patients randomised to receive either agalsidase alfa or placebo (El Dib, R P, Nascimento &amp; Pastores 2013) (Schiffmann et al. 2001)"/>
      </w:tblPr>
      <w:tblGrid>
        <w:gridCol w:w="2452"/>
        <w:gridCol w:w="1120"/>
        <w:gridCol w:w="1288"/>
        <w:gridCol w:w="2468"/>
        <w:gridCol w:w="1848"/>
      </w:tblGrid>
      <w:tr w:rsidR="00117B80" w:rsidRPr="001B3113" w:rsidTr="00B37104">
        <w:trPr>
          <w:trHeight w:val="1056"/>
          <w:tblHeader/>
        </w:trPr>
        <w:tc>
          <w:tcPr>
            <w:tcW w:w="2452" w:type="dxa"/>
            <w:tcBorders>
              <w:top w:val="single" w:sz="12" w:space="0" w:color="000000"/>
              <w:left w:val="nil"/>
              <w:bottom w:val="single" w:sz="6" w:space="0" w:color="000000"/>
              <w:right w:val="nil"/>
            </w:tcBorders>
            <w:shd w:val="clear" w:color="auto" w:fill="3271AA"/>
            <w:hideMark/>
          </w:tcPr>
          <w:p w:rsidR="00117B80" w:rsidRPr="00CB33FA" w:rsidRDefault="00117B80" w:rsidP="00117B80">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1120" w:type="dxa"/>
            <w:tcBorders>
              <w:top w:val="single" w:sz="12" w:space="0" w:color="000000"/>
              <w:left w:val="nil"/>
              <w:bottom w:val="single" w:sz="6" w:space="0" w:color="000000"/>
              <w:right w:val="nil"/>
            </w:tcBorders>
            <w:shd w:val="clear" w:color="auto" w:fill="3271AA"/>
            <w:hideMark/>
          </w:tcPr>
          <w:p w:rsidR="00117B80" w:rsidRPr="00CB33FA" w:rsidRDefault="00117B80" w:rsidP="00117B80">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1288" w:type="dxa"/>
            <w:tcBorders>
              <w:top w:val="single" w:sz="12" w:space="0" w:color="000000"/>
              <w:left w:val="nil"/>
              <w:bottom w:val="single" w:sz="6" w:space="0" w:color="000000"/>
              <w:right w:val="nil"/>
            </w:tcBorders>
            <w:shd w:val="clear" w:color="auto" w:fill="3271AA"/>
            <w:hideMark/>
          </w:tcPr>
          <w:p w:rsidR="00117B80" w:rsidRPr="00CB33FA" w:rsidRDefault="00117B80" w:rsidP="00117B80">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2468" w:type="dxa"/>
            <w:tcBorders>
              <w:top w:val="single" w:sz="12" w:space="0" w:color="000000"/>
              <w:left w:val="nil"/>
            </w:tcBorders>
            <w:shd w:val="clear" w:color="auto" w:fill="D3D3D3"/>
          </w:tcPr>
          <w:p w:rsidR="00117B80" w:rsidRPr="00CB33FA" w:rsidRDefault="00117B80" w:rsidP="00117B80">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Supportive care plus placebo</w:t>
            </w:r>
          </w:p>
        </w:tc>
        <w:tc>
          <w:tcPr>
            <w:tcW w:w="1848" w:type="dxa"/>
            <w:tcBorders>
              <w:top w:val="single" w:sz="12" w:space="0" w:color="000000"/>
              <w:left w:val="nil"/>
              <w:right w:val="nil"/>
            </w:tcBorders>
            <w:shd w:val="clear" w:color="auto" w:fill="D3D3D3"/>
          </w:tcPr>
          <w:p w:rsidR="00117B80" w:rsidRPr="00CB33FA" w:rsidRDefault="00117B80" w:rsidP="00117B80">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difference with Agalsidase alfa</w:t>
            </w:r>
          </w:p>
        </w:tc>
      </w:tr>
      <w:tr w:rsidR="00855C5F" w:rsidRPr="001B3113" w:rsidTr="00117B80">
        <w:tc>
          <w:tcPr>
            <w:tcW w:w="2452" w:type="dxa"/>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Fraction of glomeruli without mesangial widening</w:t>
            </w:r>
            <w:r w:rsidRPr="00CB33FA">
              <w:rPr>
                <w:rFonts w:ascii="Arial Narrow" w:hAnsi="Arial Narrow"/>
                <w:color w:val="000000"/>
                <w:sz w:val="20"/>
                <w:szCs w:val="20"/>
                <w:lang w:eastAsia="en-AU"/>
              </w:rPr>
              <w:br/>
              <w:t>assessed with: %</w:t>
            </w:r>
            <w:r w:rsidRPr="00CB33FA">
              <w:rPr>
                <w:rFonts w:ascii="Arial Narrow" w:hAnsi="Arial Narrow"/>
                <w:color w:val="000000"/>
                <w:sz w:val="20"/>
                <w:szCs w:val="20"/>
                <w:lang w:eastAsia="en-AU"/>
              </w:rPr>
              <w:br/>
              <w:t xml:space="preserve">follow up: up to 6 months </w:t>
            </w:r>
          </w:p>
        </w:tc>
        <w:tc>
          <w:tcPr>
            <w:tcW w:w="1120" w:type="dxa"/>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21</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up to 6 months </w:t>
            </w:r>
          </w:p>
        </w:tc>
        <w:tc>
          <w:tcPr>
            <w:tcW w:w="1288" w:type="dxa"/>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LOW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2</w:t>
            </w:r>
          </w:p>
        </w:tc>
        <w:tc>
          <w:tcPr>
            <w:tcW w:w="2468" w:type="dxa"/>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fraction of glomeruli without mesangial widening in the control group was </w:t>
            </w:r>
            <w:r w:rsidRPr="00CB33FA">
              <w:rPr>
                <w:rFonts w:ascii="Arial Narrow" w:hAnsi="Arial Narrow"/>
                <w:b/>
                <w:bCs/>
                <w:color w:val="000000"/>
                <w:sz w:val="20"/>
                <w:szCs w:val="20"/>
                <w:lang w:eastAsia="en-AU"/>
              </w:rPr>
              <w:t>40.4</w:t>
            </w:r>
            <w:r w:rsidRPr="00CB33FA">
              <w:rPr>
                <w:rFonts w:ascii="Arial Narrow" w:hAnsi="Arial Narrow"/>
                <w:color w:val="000000"/>
                <w:sz w:val="20"/>
                <w:szCs w:val="20"/>
                <w:lang w:eastAsia="en-AU"/>
              </w:rPr>
              <w:t xml:space="preserve"> % </w:t>
            </w:r>
          </w:p>
        </w:tc>
        <w:tc>
          <w:tcPr>
            <w:tcW w:w="1848" w:type="dxa"/>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14.7 lower</w:t>
            </w:r>
            <w:r w:rsidRPr="00CB33FA">
              <w:rPr>
                <w:rFonts w:ascii="Arial Narrow" w:hAnsi="Arial Narrow"/>
                <w:color w:val="000000"/>
                <w:sz w:val="20"/>
                <w:szCs w:val="20"/>
                <w:lang w:eastAsia="en-AU"/>
              </w:rPr>
              <w:br/>
              <w:t xml:space="preserve">(36.72 lower to 7.32 higher) </w:t>
            </w:r>
          </w:p>
        </w:tc>
      </w:tr>
      <w:tr w:rsidR="00855C5F" w:rsidRPr="001B3113" w:rsidTr="00117B80">
        <w:tc>
          <w:tcPr>
            <w:tcW w:w="2452" w:type="dxa"/>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Fraction of glomeruli without segmental sclerosis</w:t>
            </w:r>
            <w:r w:rsidRPr="00CB33FA">
              <w:rPr>
                <w:rFonts w:ascii="Arial Narrow" w:hAnsi="Arial Narrow"/>
                <w:color w:val="000000"/>
                <w:sz w:val="20"/>
                <w:szCs w:val="20"/>
                <w:lang w:eastAsia="en-AU"/>
              </w:rPr>
              <w:br/>
              <w:t>assessed with: %</w:t>
            </w:r>
            <w:r w:rsidRPr="00CB33FA">
              <w:rPr>
                <w:rFonts w:ascii="Arial Narrow" w:hAnsi="Arial Narrow"/>
                <w:color w:val="000000"/>
                <w:sz w:val="20"/>
                <w:szCs w:val="20"/>
                <w:lang w:eastAsia="en-AU"/>
              </w:rPr>
              <w:br/>
              <w:t xml:space="preserve">follow up: up to 6 months </w:t>
            </w:r>
          </w:p>
        </w:tc>
        <w:tc>
          <w:tcPr>
            <w:tcW w:w="1120" w:type="dxa"/>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21</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up to 6 months </w:t>
            </w:r>
          </w:p>
        </w:tc>
        <w:tc>
          <w:tcPr>
            <w:tcW w:w="1288" w:type="dxa"/>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LOW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2</w:t>
            </w:r>
          </w:p>
        </w:tc>
        <w:tc>
          <w:tcPr>
            <w:tcW w:w="2468" w:type="dxa"/>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fraction of glomeruli without segmental sclerosis in the control group was </w:t>
            </w:r>
            <w:r w:rsidRPr="00CB33FA">
              <w:rPr>
                <w:rFonts w:ascii="Arial Narrow" w:hAnsi="Arial Narrow"/>
                <w:b/>
                <w:bCs/>
                <w:color w:val="000000"/>
                <w:sz w:val="20"/>
                <w:szCs w:val="20"/>
                <w:lang w:eastAsia="en-AU"/>
              </w:rPr>
              <w:t>3</w:t>
            </w:r>
            <w:r w:rsidRPr="00CB33FA">
              <w:rPr>
                <w:rFonts w:ascii="Arial Narrow" w:hAnsi="Arial Narrow"/>
                <w:color w:val="000000"/>
                <w:sz w:val="20"/>
                <w:szCs w:val="20"/>
                <w:lang w:eastAsia="en-AU"/>
              </w:rPr>
              <w:t xml:space="preserve"> % </w:t>
            </w:r>
          </w:p>
        </w:tc>
        <w:tc>
          <w:tcPr>
            <w:tcW w:w="1848" w:type="dxa"/>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3.8 higher</w:t>
            </w:r>
            <w:r w:rsidRPr="00CB33FA">
              <w:rPr>
                <w:rFonts w:ascii="Arial Narrow" w:hAnsi="Arial Narrow"/>
                <w:color w:val="000000"/>
                <w:sz w:val="20"/>
                <w:szCs w:val="20"/>
                <w:lang w:eastAsia="en-AU"/>
              </w:rPr>
              <w:br/>
              <w:t xml:space="preserve">(2.35 lower to 9.95 higher) </w:t>
            </w:r>
          </w:p>
        </w:tc>
      </w:tr>
      <w:tr w:rsidR="00855C5F" w:rsidRPr="001B3113" w:rsidTr="00117B80">
        <w:tc>
          <w:tcPr>
            <w:tcW w:w="2452" w:type="dxa"/>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Fraction of non-obsolescent glomeruli</w:t>
            </w:r>
            <w:r w:rsidRPr="00CB33FA">
              <w:rPr>
                <w:rFonts w:ascii="Arial Narrow" w:hAnsi="Arial Narrow"/>
                <w:color w:val="000000"/>
                <w:sz w:val="20"/>
                <w:szCs w:val="20"/>
                <w:lang w:eastAsia="en-AU"/>
              </w:rPr>
              <w:br/>
              <w:t>assessed with: %</w:t>
            </w:r>
            <w:r w:rsidRPr="00CB33FA">
              <w:rPr>
                <w:rFonts w:ascii="Arial Narrow" w:hAnsi="Arial Narrow"/>
                <w:color w:val="000000"/>
                <w:sz w:val="20"/>
                <w:szCs w:val="20"/>
                <w:lang w:eastAsia="en-AU"/>
              </w:rPr>
              <w:br/>
              <w:t xml:space="preserve">follow up: mean up to 6 months </w:t>
            </w:r>
          </w:p>
        </w:tc>
        <w:tc>
          <w:tcPr>
            <w:tcW w:w="1120" w:type="dxa"/>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21</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up to 6 months </w:t>
            </w:r>
          </w:p>
        </w:tc>
        <w:tc>
          <w:tcPr>
            <w:tcW w:w="1288" w:type="dxa"/>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LOW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2</w:t>
            </w:r>
          </w:p>
        </w:tc>
        <w:tc>
          <w:tcPr>
            <w:tcW w:w="2468" w:type="dxa"/>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fraction of non-obsolescent glomeruli in the control group was </w:t>
            </w:r>
            <w:r w:rsidRPr="00CB33FA">
              <w:rPr>
                <w:rFonts w:ascii="Arial Narrow" w:hAnsi="Arial Narrow"/>
                <w:b/>
                <w:bCs/>
                <w:color w:val="000000"/>
                <w:sz w:val="20"/>
                <w:szCs w:val="20"/>
                <w:lang w:eastAsia="en-AU"/>
              </w:rPr>
              <w:t>13</w:t>
            </w:r>
            <w:r w:rsidRPr="00CB33FA">
              <w:rPr>
                <w:rFonts w:ascii="Arial Narrow" w:hAnsi="Arial Narrow"/>
                <w:color w:val="000000"/>
                <w:sz w:val="20"/>
                <w:szCs w:val="20"/>
                <w:lang w:eastAsia="en-AU"/>
              </w:rPr>
              <w:t xml:space="preserve"> % </w:t>
            </w:r>
          </w:p>
        </w:tc>
        <w:tc>
          <w:tcPr>
            <w:tcW w:w="1848" w:type="dxa"/>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6.5 higher</w:t>
            </w:r>
            <w:r w:rsidRPr="00CB33FA">
              <w:rPr>
                <w:rFonts w:ascii="Arial Narrow" w:hAnsi="Arial Narrow"/>
                <w:color w:val="000000"/>
                <w:sz w:val="20"/>
                <w:szCs w:val="20"/>
                <w:lang w:eastAsia="en-AU"/>
              </w:rPr>
              <w:br/>
              <w:t xml:space="preserve">(8.93 lower to 21.93 higher) </w:t>
            </w:r>
          </w:p>
        </w:tc>
      </w:tr>
    </w:tbl>
    <w:p w:rsidR="00AA34FC" w:rsidRDefault="00117B80" w:rsidP="001B5185">
      <w:pPr>
        <w:pStyle w:val="TableNote"/>
        <w:ind w:left="0" w:firstLine="0"/>
        <w:rPr>
          <w:color w:val="000000"/>
        </w:rPr>
      </w:pPr>
      <w:r w:rsidRPr="00DC17CA">
        <w:rPr>
          <w:lang w:val="en"/>
        </w:rPr>
        <w:t xml:space="preserve">RCT </w:t>
      </w:r>
      <w:r w:rsidRPr="00DC17CA">
        <w:rPr>
          <w:spacing w:val="-20"/>
          <w:lang w:val="en"/>
        </w:rPr>
        <w:t xml:space="preserve">= </w:t>
      </w:r>
      <w:r w:rsidR="00144487">
        <w:rPr>
          <w:lang w:val="en"/>
        </w:rPr>
        <w:t xml:space="preserve"> </w:t>
      </w:r>
      <w:r w:rsidR="006E536A">
        <w:rPr>
          <w:lang w:val="en"/>
        </w:rPr>
        <w:t>r</w:t>
      </w:r>
      <w:r w:rsidR="00144487">
        <w:rPr>
          <w:lang w:val="en"/>
        </w:rPr>
        <w:t>andomised controlled trial; MD</w:t>
      </w:r>
      <w:r w:rsidRPr="001B3113">
        <w:rPr>
          <w:spacing w:val="-20"/>
          <w:lang w:val="en"/>
        </w:rPr>
        <w:t xml:space="preserve"> = </w:t>
      </w:r>
      <w:r w:rsidRPr="001B3113">
        <w:rPr>
          <w:lang w:val="en"/>
        </w:rPr>
        <w:t xml:space="preserve">mean difference between agalsidase alfa and placebo </w:t>
      </w:r>
      <w:r w:rsidR="00AA34FC" w:rsidRPr="006A44C2">
        <w:rPr>
          <w:lang w:val="en"/>
        </w:rPr>
        <w:t xml:space="preserve">(i.e. a mean difference “lower” means that the effect </w:t>
      </w:r>
      <w:r w:rsidR="00AA34FC">
        <w:rPr>
          <w:lang w:val="en"/>
        </w:rPr>
        <w:t xml:space="preserve">size </w:t>
      </w:r>
      <w:r w:rsidR="00AA34FC" w:rsidRPr="006A44C2">
        <w:rPr>
          <w:lang w:val="en"/>
        </w:rPr>
        <w:t xml:space="preserve">in </w:t>
      </w:r>
      <w:r w:rsidR="00AA34FC">
        <w:rPr>
          <w:lang w:val="en"/>
        </w:rPr>
        <w:t xml:space="preserve">the </w:t>
      </w:r>
      <w:r w:rsidR="00AA34FC" w:rsidRPr="006A44C2">
        <w:rPr>
          <w:lang w:val="en"/>
        </w:rPr>
        <w:t xml:space="preserve">agalsidase alfa </w:t>
      </w:r>
      <w:r w:rsidR="00AA34FC">
        <w:rPr>
          <w:lang w:val="en"/>
        </w:rPr>
        <w:t xml:space="preserve">arm </w:t>
      </w:r>
      <w:r w:rsidR="00AA34FC" w:rsidRPr="006A44C2">
        <w:rPr>
          <w:lang w:val="en"/>
        </w:rPr>
        <w:t xml:space="preserve">is lower than placebo, and conversely “higher” means that the effect </w:t>
      </w:r>
      <w:r w:rsidR="00AA34FC">
        <w:rPr>
          <w:lang w:val="en"/>
        </w:rPr>
        <w:t xml:space="preserve">size </w:t>
      </w:r>
      <w:r w:rsidR="00AA34FC" w:rsidRPr="006A44C2">
        <w:rPr>
          <w:lang w:val="en"/>
        </w:rPr>
        <w:t>is higher in agalsidase alfa than in placebo)</w:t>
      </w:r>
      <w:r w:rsidR="00AA34FC">
        <w:rPr>
          <w:lang w:val="en"/>
        </w:rPr>
        <w:t xml:space="preserve">. In this instance, </w:t>
      </w:r>
      <w:r w:rsidR="00CD39DE">
        <w:rPr>
          <w:lang w:val="en"/>
        </w:rPr>
        <w:t xml:space="preserve">a </w:t>
      </w:r>
      <w:r w:rsidR="00AA34FC">
        <w:rPr>
          <w:lang w:val="en"/>
        </w:rPr>
        <w:t xml:space="preserve">lower </w:t>
      </w:r>
      <w:r w:rsidR="00CD39DE">
        <w:rPr>
          <w:lang w:val="en"/>
        </w:rPr>
        <w:t xml:space="preserve">fraction of damaged glomeruli </w:t>
      </w:r>
      <w:r w:rsidR="00015BB7">
        <w:rPr>
          <w:lang w:val="en"/>
        </w:rPr>
        <w:t>is</w:t>
      </w:r>
      <w:r w:rsidR="00AA34FC">
        <w:rPr>
          <w:lang w:val="en"/>
        </w:rPr>
        <w:t xml:space="preserve"> beneficial to patients.</w:t>
      </w:r>
      <w:r w:rsidR="00AA34FC" w:rsidRPr="00117B80">
        <w:rPr>
          <w:color w:val="000000"/>
        </w:rPr>
        <w:t xml:space="preserve"> </w:t>
      </w:r>
    </w:p>
    <w:p w:rsidR="00117B80" w:rsidRPr="00CB33FA" w:rsidRDefault="00117B80" w:rsidP="00117B80">
      <w:pPr>
        <w:pStyle w:val="TableNote"/>
        <w:rPr>
          <w:color w:val="000000"/>
        </w:rPr>
      </w:pPr>
      <w:r w:rsidRPr="00117B80">
        <w:rPr>
          <w:color w:val="000000"/>
        </w:rPr>
        <w:t>1.</w:t>
      </w:r>
      <w:r>
        <w:rPr>
          <w:color w:val="000000"/>
        </w:rPr>
        <w:t xml:space="preserve"> </w:t>
      </w:r>
      <w:r w:rsidRPr="00CB33FA">
        <w:rPr>
          <w:color w:val="000000"/>
        </w:rPr>
        <w:t>Small participant numbers</w:t>
      </w:r>
    </w:p>
    <w:p w:rsidR="00117B80" w:rsidRPr="00117B80" w:rsidRDefault="00EB477D" w:rsidP="00117B80">
      <w:pPr>
        <w:pStyle w:val="TableNote"/>
        <w:rPr>
          <w:lang w:val="en"/>
        </w:rPr>
      </w:pPr>
      <w:r>
        <w:rPr>
          <w:color w:val="000000"/>
        </w:rPr>
        <w:t>2</w:t>
      </w:r>
      <w:r w:rsidR="00117B80">
        <w:rPr>
          <w:color w:val="000000"/>
        </w:rPr>
        <w:t xml:space="preserve">. </w:t>
      </w:r>
      <w:r w:rsidR="00117B80" w:rsidRPr="00CB33FA">
        <w:rPr>
          <w:color w:val="000000"/>
        </w:rPr>
        <w:t>Surrogate outcome</w:t>
      </w:r>
    </w:p>
    <w:p w:rsidR="001C3FAF" w:rsidRPr="00A979FB" w:rsidRDefault="001C3FAF" w:rsidP="00A979FB">
      <w:pPr>
        <w:pStyle w:val="Heading5"/>
      </w:pPr>
      <w:r w:rsidRPr="00A979FB">
        <w:t>Cardi</w:t>
      </w:r>
      <w:r w:rsidR="006A63A8">
        <w:t>ovascular function</w:t>
      </w:r>
    </w:p>
    <w:p w:rsidR="001C3FAF" w:rsidRPr="000756DF" w:rsidRDefault="001C3FAF" w:rsidP="001C3FAF">
      <w:r w:rsidRPr="000756DF">
        <w:t xml:space="preserve">One RCT </w:t>
      </w:r>
      <w:r w:rsidR="00A130D0">
        <w:rPr>
          <w:noProof/>
        </w:rPr>
        <w:t>(</w:t>
      </w:r>
      <w:r w:rsidR="00184B6F">
        <w:rPr>
          <w:noProof/>
        </w:rPr>
        <w:t>Hughes et al. 2008</w:t>
      </w:r>
      <w:r w:rsidR="00A130D0">
        <w:rPr>
          <w:noProof/>
        </w:rPr>
        <w:t>)</w:t>
      </w:r>
      <w:r w:rsidRPr="000756DF">
        <w:t xml:space="preserve"> used echocardiography to compare ventricular changes </w:t>
      </w:r>
      <w:r w:rsidR="006A63A8">
        <w:t xml:space="preserve">(a surrogate measure of cardiovascular function) </w:t>
      </w:r>
      <w:r w:rsidRPr="000756DF">
        <w:t>in Fabry patients after 6 months of treatment. The trial included only a small number of par</w:t>
      </w:r>
      <w:r>
        <w:t>ticipants, reducing its power.</w:t>
      </w:r>
      <w:r w:rsidRPr="000756DF">
        <w:t xml:space="preserve"> There was no significant difference found between groups randomised to agalsidase alfa or placebo for mean left ventricular wall thickness, left ventricular internal diameter (diastolic), left ventricular internal diameter (systolic) and left ventricular ejection fraction</w:t>
      </w:r>
      <w:r>
        <w:t xml:space="preserve"> (GRADE </w:t>
      </w:r>
      <w:r w:rsidRPr="00D4733A">
        <w:rPr>
          <w:rFonts w:ascii="Cambria Math" w:hAnsi="Cambria Math"/>
          <w:color w:val="00B050"/>
        </w:rPr>
        <w:t>⨁⨁</w:t>
      </w:r>
      <w:r w:rsidRPr="00D4733A">
        <w:rPr>
          <w:rFonts w:ascii="Cambria Math" w:hAnsi="Cambria Math"/>
          <w:color w:val="C00000"/>
        </w:rPr>
        <w:t>⨀⨀</w:t>
      </w:r>
      <w:r w:rsidRPr="00D67ADB">
        <w:rPr>
          <w:rFonts w:asciiTheme="minorHAnsi" w:hAnsiTheme="minorHAnsi"/>
        </w:rPr>
        <w:t>)</w:t>
      </w:r>
      <w:r w:rsidRPr="000756DF">
        <w:t xml:space="preserve"> </w:t>
      </w:r>
      <w:r>
        <w:t>(</w:t>
      </w:r>
      <w:r w:rsidR="00A72B26" w:rsidRPr="00305731">
        <w:t xml:space="preserve">Table </w:t>
      </w:r>
      <w:r w:rsidR="00A72B26">
        <w:rPr>
          <w:noProof/>
        </w:rPr>
        <w:t>34</w:t>
      </w:r>
      <w:r>
        <w:t>).</w:t>
      </w:r>
      <w:r w:rsidRPr="000756DF">
        <w:t xml:space="preserve"> </w:t>
      </w:r>
    </w:p>
    <w:p w:rsidR="001C3FAF" w:rsidRDefault="001C3FAF" w:rsidP="001C3FAF">
      <w:pPr>
        <w:pStyle w:val="Caption"/>
        <w:keepNext/>
        <w:tabs>
          <w:tab w:val="clear" w:pos="851"/>
          <w:tab w:val="left" w:pos="1134"/>
        </w:tabs>
        <w:ind w:left="1134" w:hanging="1134"/>
      </w:pPr>
      <w:bookmarkStart w:id="192" w:name="_Ref405842059"/>
      <w:bookmarkStart w:id="193" w:name="_Toc411510416"/>
      <w:bookmarkStart w:id="194" w:name="_Toc415141831"/>
      <w:r w:rsidRPr="00305731">
        <w:lastRenderedPageBreak/>
        <w:t xml:space="preserve">Table </w:t>
      </w:r>
      <w:r w:rsidR="00A72B26">
        <w:rPr>
          <w:noProof/>
        </w:rPr>
        <w:t>34</w:t>
      </w:r>
      <w:bookmarkEnd w:id="192"/>
      <w:r w:rsidRPr="00305731">
        <w:t xml:space="preserve"> </w:t>
      </w:r>
      <w:r>
        <w:tab/>
      </w:r>
      <w:r w:rsidRPr="00305731">
        <w:t xml:space="preserve">Comparison of ventricular changes in patients randomised to </w:t>
      </w:r>
      <w:r>
        <w:t xml:space="preserve">receive </w:t>
      </w:r>
      <w:r w:rsidRPr="00305731">
        <w:t xml:space="preserve">either agalsidase alfa or placebo </w:t>
      </w:r>
      <w:r w:rsidR="00E83918">
        <w:rPr>
          <w:noProof/>
        </w:rPr>
        <w:t>(</w:t>
      </w:r>
      <w:r w:rsidR="00184B6F">
        <w:rPr>
          <w:noProof/>
        </w:rPr>
        <w:t>El Dib, R P, Nascimento &amp; Pastores 2013</w:t>
      </w:r>
      <w:r w:rsidR="00E83918">
        <w:rPr>
          <w:noProof/>
        </w:rPr>
        <w:t xml:space="preserve">; </w:t>
      </w:r>
      <w:r w:rsidR="00184B6F">
        <w:rPr>
          <w:noProof/>
        </w:rPr>
        <w:t>Schaefer, Tylki-Szymanska &amp; Hilz 2009</w:t>
      </w:r>
      <w:r w:rsidR="00E83918">
        <w:rPr>
          <w:noProof/>
        </w:rPr>
        <w:t>)</w:t>
      </w:r>
      <w:r w:rsidRPr="00315D5A">
        <w:t xml:space="preserve"> </w:t>
      </w:r>
      <w:r w:rsidR="00A130D0">
        <w:rPr>
          <w:noProof/>
        </w:rPr>
        <w:t>(</w:t>
      </w:r>
      <w:r w:rsidR="00184B6F">
        <w:rPr>
          <w:noProof/>
        </w:rPr>
        <w:t>Hughes et al. 2008</w:t>
      </w:r>
      <w:r w:rsidR="00A130D0">
        <w:rPr>
          <w:noProof/>
        </w:rPr>
        <w:t>)</w:t>
      </w:r>
      <w:bookmarkEnd w:id="193"/>
      <w:bookmarkEnd w:id="194"/>
    </w:p>
    <w:tbl>
      <w:tblPr>
        <w:tblW w:w="0" w:type="auto"/>
        <w:tblCellMar>
          <w:top w:w="75" w:type="dxa"/>
          <w:left w:w="75" w:type="dxa"/>
          <w:bottom w:w="75" w:type="dxa"/>
          <w:right w:w="75" w:type="dxa"/>
        </w:tblCellMar>
        <w:tblLook w:val="04A0" w:firstRow="1" w:lastRow="0" w:firstColumn="1" w:lastColumn="0" w:noHBand="0" w:noVBand="1"/>
        <w:tblCaption w:val="Table 32  Comparison of ventricular changes in patients randomised to receive either agalsidase alfa or placebo (El Dib, R P, Nascimento &amp; Pastores 2013; Schaefer, Tylki-Szymanska &amp; Hilz 2009) (Hughes et al. 2008)"/>
      </w:tblPr>
      <w:tblGrid>
        <w:gridCol w:w="1928"/>
        <w:gridCol w:w="1239"/>
        <w:gridCol w:w="1258"/>
        <w:gridCol w:w="3021"/>
        <w:gridCol w:w="1730"/>
      </w:tblGrid>
      <w:tr w:rsidR="00117B80" w:rsidRPr="001B3113" w:rsidTr="00B37104">
        <w:trPr>
          <w:trHeight w:val="1056"/>
          <w:tblHeader/>
        </w:trPr>
        <w:tc>
          <w:tcPr>
            <w:tcW w:w="0" w:type="auto"/>
            <w:tcBorders>
              <w:top w:val="single" w:sz="12" w:space="0" w:color="000000"/>
              <w:left w:val="nil"/>
              <w:bottom w:val="single" w:sz="6" w:space="0" w:color="000000"/>
              <w:right w:val="nil"/>
            </w:tcBorders>
            <w:shd w:val="clear" w:color="auto" w:fill="3271AA"/>
            <w:hideMark/>
          </w:tcPr>
          <w:p w:rsidR="00117B80" w:rsidRPr="00CB33FA" w:rsidRDefault="00117B80" w:rsidP="00117B80">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0" w:type="auto"/>
            <w:tcBorders>
              <w:top w:val="single" w:sz="12" w:space="0" w:color="000000"/>
              <w:left w:val="nil"/>
              <w:bottom w:val="single" w:sz="6" w:space="0" w:color="000000"/>
              <w:right w:val="nil"/>
            </w:tcBorders>
            <w:shd w:val="clear" w:color="auto" w:fill="3271AA"/>
            <w:hideMark/>
          </w:tcPr>
          <w:p w:rsidR="00117B80" w:rsidRPr="00CB33FA" w:rsidRDefault="00117B80" w:rsidP="00117B80">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0" w:type="auto"/>
            <w:tcBorders>
              <w:top w:val="single" w:sz="12" w:space="0" w:color="000000"/>
              <w:left w:val="nil"/>
              <w:bottom w:val="single" w:sz="6" w:space="0" w:color="000000"/>
              <w:right w:val="nil"/>
            </w:tcBorders>
            <w:shd w:val="clear" w:color="auto" w:fill="3271AA"/>
            <w:hideMark/>
          </w:tcPr>
          <w:p w:rsidR="00117B80" w:rsidRPr="00CB33FA" w:rsidRDefault="00117B80" w:rsidP="00117B80">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0" w:type="auto"/>
            <w:tcBorders>
              <w:top w:val="single" w:sz="12" w:space="0" w:color="000000"/>
              <w:left w:val="nil"/>
            </w:tcBorders>
            <w:shd w:val="clear" w:color="auto" w:fill="D3D3D3"/>
          </w:tcPr>
          <w:p w:rsidR="00117B80" w:rsidRPr="00CB33FA" w:rsidRDefault="00117B80" w:rsidP="00117B80">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Supportive care plus placebo</w:t>
            </w:r>
          </w:p>
        </w:tc>
        <w:tc>
          <w:tcPr>
            <w:tcW w:w="0" w:type="auto"/>
            <w:tcBorders>
              <w:top w:val="single" w:sz="12" w:space="0" w:color="000000"/>
              <w:left w:val="nil"/>
              <w:right w:val="nil"/>
            </w:tcBorders>
            <w:shd w:val="clear" w:color="auto" w:fill="D3D3D3"/>
          </w:tcPr>
          <w:p w:rsidR="00117B80" w:rsidRPr="00CB33FA" w:rsidRDefault="00117B80" w:rsidP="00117B80">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difference with Agalsidase alfa</w:t>
            </w:r>
          </w:p>
        </w:tc>
      </w:tr>
      <w:tr w:rsidR="00855C5F" w:rsidRPr="001B3113" w:rsidTr="00117B80">
        <w:tc>
          <w:tcPr>
            <w:tcW w:w="0" w:type="auto"/>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 xml:space="preserve">Left ventricular wall thickness </w:t>
            </w:r>
            <w:r w:rsidRPr="00CB33FA">
              <w:rPr>
                <w:rFonts w:ascii="Arial Narrow" w:hAnsi="Arial Narrow"/>
                <w:color w:val="000000"/>
                <w:sz w:val="20"/>
                <w:szCs w:val="20"/>
                <w:lang w:eastAsia="en-AU"/>
              </w:rPr>
              <w:br/>
              <w:t>assessed with: mm</w:t>
            </w:r>
            <w:r w:rsidRPr="00CB33FA">
              <w:rPr>
                <w:rFonts w:ascii="Arial Narrow" w:hAnsi="Arial Narrow"/>
                <w:color w:val="000000"/>
                <w:sz w:val="20"/>
                <w:szCs w:val="20"/>
                <w:lang w:eastAsia="en-AU"/>
              </w:rPr>
              <w:br/>
              <w:t xml:space="preserve">follow up: 3 to 6 months </w:t>
            </w:r>
          </w:p>
        </w:tc>
        <w:tc>
          <w:tcPr>
            <w:tcW w:w="0" w:type="auto"/>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14</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0" w:type="auto"/>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LOW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2</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3</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left ventricular wall thickness in the control group was </w:t>
            </w:r>
            <w:r w:rsidRPr="00CB33FA">
              <w:rPr>
                <w:rFonts w:ascii="Arial Narrow" w:hAnsi="Arial Narrow"/>
                <w:b/>
                <w:bCs/>
                <w:color w:val="000000"/>
                <w:sz w:val="20"/>
                <w:szCs w:val="20"/>
                <w:lang w:eastAsia="en-AU"/>
              </w:rPr>
              <w:t>13.4</w:t>
            </w:r>
            <w:r w:rsidRPr="00CB33FA">
              <w:rPr>
                <w:rFonts w:ascii="Arial Narrow" w:hAnsi="Arial Narrow"/>
                <w:color w:val="000000"/>
                <w:sz w:val="20"/>
                <w:szCs w:val="20"/>
                <w:lang w:eastAsia="en-AU"/>
              </w:rPr>
              <w:t xml:space="preserve"> mm </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0.79 lower</w:t>
            </w:r>
            <w:r w:rsidRPr="00CB33FA">
              <w:rPr>
                <w:rFonts w:ascii="Arial Narrow" w:hAnsi="Arial Narrow"/>
                <w:color w:val="000000"/>
                <w:sz w:val="20"/>
                <w:szCs w:val="20"/>
                <w:lang w:eastAsia="en-AU"/>
              </w:rPr>
              <w:br/>
              <w:t xml:space="preserve">(3.62 lower to 2.04 higher) </w:t>
            </w:r>
          </w:p>
        </w:tc>
      </w:tr>
      <w:tr w:rsidR="00855C5F" w:rsidRPr="001B3113" w:rsidTr="00117B80">
        <w:tc>
          <w:tcPr>
            <w:tcW w:w="0" w:type="auto"/>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Left ventricular internal diameter (diastolic)</w:t>
            </w:r>
            <w:r w:rsidRPr="00CB33FA">
              <w:rPr>
                <w:rFonts w:ascii="Arial Narrow" w:hAnsi="Arial Narrow"/>
                <w:color w:val="000000"/>
                <w:sz w:val="20"/>
                <w:szCs w:val="20"/>
                <w:lang w:eastAsia="en-AU"/>
              </w:rPr>
              <w:br/>
              <w:t>assessed with: mm</w:t>
            </w:r>
            <w:r w:rsidRPr="00CB33FA">
              <w:rPr>
                <w:rFonts w:ascii="Arial Narrow" w:hAnsi="Arial Narrow"/>
                <w:color w:val="000000"/>
                <w:sz w:val="20"/>
                <w:szCs w:val="20"/>
                <w:lang w:eastAsia="en-AU"/>
              </w:rPr>
              <w:br/>
              <w:t xml:space="preserve">follow up: 3 to 6 months </w:t>
            </w:r>
          </w:p>
        </w:tc>
        <w:tc>
          <w:tcPr>
            <w:tcW w:w="0" w:type="auto"/>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14</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0" w:type="auto"/>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LOW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2</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3</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left ventricular internal diameter (diastolic) in the control group was </w:t>
            </w:r>
            <w:r w:rsidRPr="00CB33FA">
              <w:rPr>
                <w:rFonts w:ascii="Arial Narrow" w:hAnsi="Arial Narrow"/>
                <w:b/>
                <w:bCs/>
                <w:color w:val="000000"/>
                <w:sz w:val="20"/>
                <w:szCs w:val="20"/>
                <w:lang w:eastAsia="en-AU"/>
              </w:rPr>
              <w:t>52.1</w:t>
            </w:r>
            <w:r w:rsidRPr="00CB33FA">
              <w:rPr>
                <w:rFonts w:ascii="Arial Narrow" w:hAnsi="Arial Narrow"/>
                <w:color w:val="000000"/>
                <w:sz w:val="20"/>
                <w:szCs w:val="20"/>
                <w:lang w:eastAsia="en-AU"/>
              </w:rPr>
              <w:t xml:space="preserve"> mm </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3.7 lower</w:t>
            </w:r>
            <w:r w:rsidRPr="00CB33FA">
              <w:rPr>
                <w:rFonts w:ascii="Arial Narrow" w:hAnsi="Arial Narrow"/>
                <w:color w:val="000000"/>
                <w:sz w:val="20"/>
                <w:szCs w:val="20"/>
                <w:lang w:eastAsia="en-AU"/>
              </w:rPr>
              <w:br/>
              <w:t xml:space="preserve">(11.73 lower to 4.33 higher) </w:t>
            </w:r>
          </w:p>
        </w:tc>
      </w:tr>
      <w:tr w:rsidR="00855C5F" w:rsidRPr="001B3113" w:rsidTr="00117B80">
        <w:tc>
          <w:tcPr>
            <w:tcW w:w="0" w:type="auto"/>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Left ventricular internal diameter (systolic)</w:t>
            </w:r>
            <w:r w:rsidRPr="00CB33FA">
              <w:rPr>
                <w:rFonts w:ascii="Arial Narrow" w:hAnsi="Arial Narrow"/>
                <w:color w:val="000000"/>
                <w:sz w:val="20"/>
                <w:szCs w:val="20"/>
                <w:lang w:eastAsia="en-AU"/>
              </w:rPr>
              <w:br/>
              <w:t>assessed with: mm</w:t>
            </w:r>
            <w:r w:rsidRPr="00CB33FA">
              <w:rPr>
                <w:rFonts w:ascii="Arial Narrow" w:hAnsi="Arial Narrow"/>
                <w:color w:val="000000"/>
                <w:sz w:val="20"/>
                <w:szCs w:val="20"/>
                <w:lang w:eastAsia="en-AU"/>
              </w:rPr>
              <w:br/>
              <w:t xml:space="preserve">follow up: 3 to 6 months </w:t>
            </w:r>
          </w:p>
        </w:tc>
        <w:tc>
          <w:tcPr>
            <w:tcW w:w="0" w:type="auto"/>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14</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0" w:type="auto"/>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LOW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2</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3</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left ventricular internal diameter (systolic) in the control group was </w:t>
            </w:r>
            <w:r w:rsidRPr="00CB33FA">
              <w:rPr>
                <w:rFonts w:ascii="Arial Narrow" w:hAnsi="Arial Narrow"/>
                <w:b/>
                <w:bCs/>
                <w:color w:val="000000"/>
                <w:sz w:val="20"/>
                <w:szCs w:val="20"/>
                <w:lang w:eastAsia="en-AU"/>
              </w:rPr>
              <w:t>30.4</w:t>
            </w:r>
            <w:r w:rsidRPr="00CB33FA">
              <w:rPr>
                <w:rFonts w:ascii="Arial Narrow" w:hAnsi="Arial Narrow"/>
                <w:color w:val="000000"/>
                <w:sz w:val="20"/>
                <w:szCs w:val="20"/>
                <w:lang w:eastAsia="en-AU"/>
              </w:rPr>
              <w:t xml:space="preserve"> mm </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2.7 lower</w:t>
            </w:r>
            <w:r w:rsidRPr="00CB33FA">
              <w:rPr>
                <w:rFonts w:ascii="Arial Narrow" w:hAnsi="Arial Narrow"/>
                <w:color w:val="000000"/>
                <w:sz w:val="20"/>
                <w:szCs w:val="20"/>
                <w:lang w:eastAsia="en-AU"/>
              </w:rPr>
              <w:br/>
              <w:t xml:space="preserve">(9.91 lower to 4.51 higher) </w:t>
            </w:r>
          </w:p>
        </w:tc>
      </w:tr>
      <w:tr w:rsidR="00855C5F" w:rsidRPr="001B3113" w:rsidTr="00117B80">
        <w:tc>
          <w:tcPr>
            <w:tcW w:w="0" w:type="auto"/>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Left ventricular ejection fraction</w:t>
            </w:r>
            <w:r w:rsidRPr="00CB33FA">
              <w:rPr>
                <w:rFonts w:ascii="Arial Narrow" w:hAnsi="Arial Narrow"/>
                <w:color w:val="000000"/>
                <w:sz w:val="20"/>
                <w:szCs w:val="20"/>
                <w:lang w:eastAsia="en-AU"/>
              </w:rPr>
              <w:br/>
              <w:t>assessed with: %</w:t>
            </w:r>
            <w:r w:rsidRPr="00CB33FA">
              <w:rPr>
                <w:rFonts w:ascii="Arial Narrow" w:hAnsi="Arial Narrow"/>
                <w:color w:val="000000"/>
                <w:sz w:val="20"/>
                <w:szCs w:val="20"/>
                <w:lang w:eastAsia="en-AU"/>
              </w:rPr>
              <w:br/>
              <w:t xml:space="preserve">follow up: 3 to 6 months </w:t>
            </w:r>
          </w:p>
        </w:tc>
        <w:tc>
          <w:tcPr>
            <w:tcW w:w="0" w:type="auto"/>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14</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0" w:type="auto"/>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LOW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2</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3</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left ventricular ejection fraction in the control group was </w:t>
            </w:r>
            <w:r w:rsidRPr="00CB33FA">
              <w:rPr>
                <w:rFonts w:ascii="Arial Narrow" w:hAnsi="Arial Narrow"/>
                <w:b/>
                <w:bCs/>
                <w:color w:val="000000"/>
                <w:sz w:val="20"/>
                <w:szCs w:val="20"/>
                <w:lang w:eastAsia="en-AU"/>
              </w:rPr>
              <w:t>79.12</w:t>
            </w:r>
            <w:r w:rsidRPr="00CB33FA">
              <w:rPr>
                <w:rFonts w:ascii="Arial Narrow" w:hAnsi="Arial Narrow"/>
                <w:color w:val="000000"/>
                <w:sz w:val="20"/>
                <w:szCs w:val="20"/>
                <w:lang w:eastAsia="en-AU"/>
              </w:rPr>
              <w:t xml:space="preserve"> % </w:t>
            </w:r>
          </w:p>
        </w:tc>
        <w:tc>
          <w:tcPr>
            <w:tcW w:w="0" w:type="auto"/>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1.88 higher</w:t>
            </w:r>
            <w:r w:rsidRPr="00CB33FA">
              <w:rPr>
                <w:rFonts w:ascii="Arial Narrow" w:hAnsi="Arial Narrow"/>
                <w:color w:val="000000"/>
                <w:sz w:val="20"/>
                <w:szCs w:val="20"/>
                <w:lang w:eastAsia="en-AU"/>
              </w:rPr>
              <w:br/>
              <w:t xml:space="preserve">(4.68 lower to 8.44 higher) </w:t>
            </w:r>
          </w:p>
        </w:tc>
      </w:tr>
    </w:tbl>
    <w:p w:rsidR="00AA34FC" w:rsidRDefault="00117B80" w:rsidP="001B5185">
      <w:pPr>
        <w:pStyle w:val="TableNote"/>
        <w:ind w:left="0" w:firstLine="0"/>
        <w:rPr>
          <w:color w:val="000000"/>
        </w:rPr>
      </w:pPr>
      <w:r w:rsidRPr="00DC17CA">
        <w:rPr>
          <w:lang w:val="en"/>
        </w:rPr>
        <w:t>RCT</w:t>
      </w:r>
      <w:r w:rsidRPr="00117B80">
        <w:rPr>
          <w:spacing w:val="-20"/>
          <w:lang w:val="en"/>
        </w:rPr>
        <w:t xml:space="preserve"> =</w:t>
      </w:r>
      <w:r w:rsidRPr="00117B80">
        <w:rPr>
          <w:lang w:val="en"/>
        </w:rPr>
        <w:t xml:space="preserve"> randomised controlled trial; MD </w:t>
      </w:r>
      <w:r w:rsidRPr="00117B80">
        <w:rPr>
          <w:spacing w:val="-20"/>
          <w:lang w:val="en"/>
        </w:rPr>
        <w:t xml:space="preserve">= </w:t>
      </w:r>
      <w:r w:rsidRPr="00117B80">
        <w:rPr>
          <w:lang w:val="en"/>
        </w:rPr>
        <w:t xml:space="preserve"> mean difference between agalsidase alfa and placebo </w:t>
      </w:r>
      <w:r w:rsidR="00AA34FC" w:rsidRPr="006A44C2">
        <w:rPr>
          <w:lang w:val="en"/>
        </w:rPr>
        <w:t xml:space="preserve">(i.e. a mean difference “lower” means that the effect </w:t>
      </w:r>
      <w:r w:rsidR="00AA34FC">
        <w:rPr>
          <w:lang w:val="en"/>
        </w:rPr>
        <w:t xml:space="preserve">size </w:t>
      </w:r>
      <w:r w:rsidR="00AA34FC" w:rsidRPr="006A44C2">
        <w:rPr>
          <w:lang w:val="en"/>
        </w:rPr>
        <w:t xml:space="preserve">in </w:t>
      </w:r>
      <w:r w:rsidR="00AA34FC">
        <w:rPr>
          <w:lang w:val="en"/>
        </w:rPr>
        <w:t xml:space="preserve">the </w:t>
      </w:r>
      <w:r w:rsidR="00AA34FC" w:rsidRPr="006A44C2">
        <w:rPr>
          <w:lang w:val="en"/>
        </w:rPr>
        <w:t xml:space="preserve">agalsidase alfa </w:t>
      </w:r>
      <w:r w:rsidR="00AA34FC">
        <w:rPr>
          <w:lang w:val="en"/>
        </w:rPr>
        <w:t xml:space="preserve">arm </w:t>
      </w:r>
      <w:r w:rsidR="00AA34FC" w:rsidRPr="006A44C2">
        <w:rPr>
          <w:lang w:val="en"/>
        </w:rPr>
        <w:t xml:space="preserve">is lower than placebo, and conversely “higher” means that the effect </w:t>
      </w:r>
      <w:r w:rsidR="00AA34FC">
        <w:rPr>
          <w:lang w:val="en"/>
        </w:rPr>
        <w:t xml:space="preserve">size </w:t>
      </w:r>
      <w:r w:rsidR="00AA34FC" w:rsidRPr="006A44C2">
        <w:rPr>
          <w:lang w:val="en"/>
        </w:rPr>
        <w:t>is higher in agalsidase alfa than in placebo)</w:t>
      </w:r>
      <w:r w:rsidR="00AA34FC">
        <w:rPr>
          <w:lang w:val="en"/>
        </w:rPr>
        <w:t xml:space="preserve">. In this instance, lower </w:t>
      </w:r>
      <w:r w:rsidR="00CD39DE">
        <w:rPr>
          <w:lang w:val="en"/>
        </w:rPr>
        <w:t>left ventricular measures</w:t>
      </w:r>
      <w:r w:rsidR="00AA34FC">
        <w:rPr>
          <w:lang w:val="en"/>
        </w:rPr>
        <w:t xml:space="preserve"> </w:t>
      </w:r>
      <w:r w:rsidR="00CD39DE">
        <w:rPr>
          <w:lang w:val="en"/>
        </w:rPr>
        <w:t>are</w:t>
      </w:r>
      <w:r w:rsidR="00AA34FC">
        <w:rPr>
          <w:lang w:val="en"/>
        </w:rPr>
        <w:t xml:space="preserve"> beneficial to patients.</w:t>
      </w:r>
      <w:r w:rsidR="00AA34FC">
        <w:rPr>
          <w:color w:val="000000"/>
        </w:rPr>
        <w:t xml:space="preserve"> </w:t>
      </w:r>
    </w:p>
    <w:p w:rsidR="00117B80" w:rsidRPr="00CB33FA" w:rsidRDefault="00117B80" w:rsidP="00117B80">
      <w:pPr>
        <w:pStyle w:val="TableNote"/>
        <w:rPr>
          <w:color w:val="000000"/>
        </w:rPr>
      </w:pPr>
      <w:r>
        <w:rPr>
          <w:color w:val="000000"/>
        </w:rPr>
        <w:t xml:space="preserve">1. </w:t>
      </w:r>
      <w:r w:rsidRPr="00CB33FA">
        <w:rPr>
          <w:color w:val="000000"/>
        </w:rPr>
        <w:t>Small participant numbers</w:t>
      </w:r>
    </w:p>
    <w:p w:rsidR="00117B80" w:rsidRPr="00CB33FA" w:rsidRDefault="00117B80" w:rsidP="00117B80">
      <w:pPr>
        <w:pStyle w:val="TableNote"/>
        <w:rPr>
          <w:color w:val="000000"/>
        </w:rPr>
      </w:pPr>
      <w:r>
        <w:rPr>
          <w:color w:val="000000"/>
        </w:rPr>
        <w:t xml:space="preserve">2. </w:t>
      </w:r>
      <w:r w:rsidRPr="00CB33FA">
        <w:rPr>
          <w:color w:val="000000"/>
        </w:rPr>
        <w:t>Inadequate reporting</w:t>
      </w:r>
    </w:p>
    <w:p w:rsidR="001C3FAF" w:rsidRDefault="00117B80" w:rsidP="00117B80">
      <w:pPr>
        <w:pStyle w:val="TableNote"/>
        <w:rPr>
          <w:color w:val="000000"/>
        </w:rPr>
      </w:pPr>
      <w:r>
        <w:rPr>
          <w:color w:val="000000"/>
        </w:rPr>
        <w:t xml:space="preserve">3. </w:t>
      </w:r>
      <w:r w:rsidRPr="00CB33FA">
        <w:rPr>
          <w:color w:val="000000"/>
        </w:rPr>
        <w:t>Surrogate outcome</w:t>
      </w:r>
    </w:p>
    <w:p w:rsidR="00117B80" w:rsidRPr="00117B80" w:rsidRDefault="00117B80" w:rsidP="00117B80">
      <w:pPr>
        <w:pStyle w:val="TableNote"/>
      </w:pPr>
    </w:p>
    <w:p w:rsidR="00592F2A" w:rsidRDefault="001C3FAF" w:rsidP="001C3FAF">
      <w:r w:rsidRPr="000756DF">
        <w:t>Further cardiac outcomes were reported in the SR by Schaefer et al</w:t>
      </w:r>
      <w:r>
        <w:t xml:space="preserve"> (2009)</w:t>
      </w:r>
      <w:r w:rsidR="0059686B">
        <w:t xml:space="preserve"> (</w:t>
      </w:r>
      <w:r w:rsidR="00A72B26" w:rsidRPr="00305731">
        <w:t xml:space="preserve">Table </w:t>
      </w:r>
      <w:r w:rsidR="00A72B26">
        <w:rPr>
          <w:noProof/>
        </w:rPr>
        <w:t>35</w:t>
      </w:r>
      <w:r w:rsidR="0059686B">
        <w:t>)</w:t>
      </w:r>
      <w:r>
        <w:t>.</w:t>
      </w:r>
      <w:r w:rsidRPr="000756DF">
        <w:t xml:space="preserve"> </w:t>
      </w:r>
      <w:r w:rsidR="00F83B4E">
        <w:t>L</w:t>
      </w:r>
      <w:r w:rsidRPr="000756DF">
        <w:t xml:space="preserve">eft ventricular mass </w:t>
      </w:r>
      <w:r w:rsidR="0055274F">
        <w:t xml:space="preserve">index </w:t>
      </w:r>
      <w:r w:rsidR="00592F2A">
        <w:t>(</w:t>
      </w:r>
      <w:r w:rsidR="0055274F">
        <w:t>LVMI</w:t>
      </w:r>
      <w:r w:rsidR="00592F2A">
        <w:t xml:space="preserve">) measured by MRI </w:t>
      </w:r>
      <w:r w:rsidR="00F83B4E">
        <w:t xml:space="preserve">at baseline, 13 weeks and 6 months </w:t>
      </w:r>
      <w:r w:rsidR="00592F2A">
        <w:t xml:space="preserve">found a significant difference in </w:t>
      </w:r>
      <w:r w:rsidR="0055274F">
        <w:t>LVMI</w:t>
      </w:r>
      <w:r w:rsidR="00592F2A">
        <w:t xml:space="preserve"> change between groups, favouring the treatment group</w:t>
      </w:r>
      <w:r w:rsidR="00C44CCC">
        <w:t xml:space="preserve"> (p=0.02)</w:t>
      </w:r>
      <w:r w:rsidR="00592F2A">
        <w:t xml:space="preserve">. This result should be considered with caution as Scheffer et al comment that </w:t>
      </w:r>
      <w:r w:rsidR="00F83B4E">
        <w:t xml:space="preserve">at 13 weeks </w:t>
      </w:r>
      <w:r w:rsidR="00592F2A">
        <w:t>the decrease in LV mass in the agalsidase alfa group could be attributed almost entirely to one patient</w:t>
      </w:r>
      <w:r w:rsidR="00F87099">
        <w:t>. O</w:t>
      </w:r>
      <w:r w:rsidR="00F83B4E">
        <w:t>ne patient in the placebo group</w:t>
      </w:r>
      <w:r w:rsidR="00F87099">
        <w:t>,</w:t>
      </w:r>
      <w:r w:rsidR="00F87099" w:rsidRPr="00F87099">
        <w:t xml:space="preserve"> </w:t>
      </w:r>
      <w:r w:rsidR="00F87099">
        <w:t>who showed the largest decrease in LV mass,</w:t>
      </w:r>
      <w:r w:rsidR="00F83B4E">
        <w:t xml:space="preserve"> was </w:t>
      </w:r>
      <w:r w:rsidR="00F87099">
        <w:t xml:space="preserve">also </w:t>
      </w:r>
      <w:r w:rsidR="00F83B4E">
        <w:t>excluded from the analysis.</w:t>
      </w:r>
      <w:r w:rsidR="00C44CCC">
        <w:t xml:space="preserve"> </w:t>
      </w:r>
    </w:p>
    <w:p w:rsidR="001C3FAF" w:rsidRPr="000756DF" w:rsidRDefault="00592F2A" w:rsidP="001C3FAF">
      <w:r>
        <w:lastRenderedPageBreak/>
        <w:t>M</w:t>
      </w:r>
      <w:r w:rsidR="001C3FAF" w:rsidRPr="000756DF">
        <w:t xml:space="preserve">ean </w:t>
      </w:r>
      <w:r w:rsidR="00855C5F">
        <w:t xml:space="preserve">change in </w:t>
      </w:r>
      <w:r w:rsidR="001C3FAF" w:rsidRPr="000756DF">
        <w:t>QRS</w:t>
      </w:r>
      <w:r w:rsidR="001C3FAF">
        <w:rPr>
          <w:rStyle w:val="FootnoteReference"/>
        </w:rPr>
        <w:footnoteReference w:id="13"/>
      </w:r>
      <w:r w:rsidR="001C3FAF" w:rsidRPr="000756DF">
        <w:t xml:space="preserve"> </w:t>
      </w:r>
      <w:r w:rsidR="00855C5F">
        <w:t>was</w:t>
      </w:r>
      <w:r w:rsidR="001C3FAF" w:rsidRPr="000756DF">
        <w:t xml:space="preserve"> assessed in </w:t>
      </w:r>
      <w:r w:rsidR="00855C5F">
        <w:t>two</w:t>
      </w:r>
      <w:r w:rsidR="001C3FAF" w:rsidRPr="000756DF">
        <w:t xml:space="preserve"> RCT</w:t>
      </w:r>
      <w:r w:rsidR="00855C5F">
        <w:t>s</w:t>
      </w:r>
      <w:r w:rsidR="001C3FAF" w:rsidRPr="000756DF">
        <w:t>. There was no difference between patients randomised to agalsidase alfa or placebo at the 6 month follow-up</w:t>
      </w:r>
      <w:r w:rsidR="004E20D5">
        <w:t xml:space="preserve"> for mean QRS change</w:t>
      </w:r>
      <w:r w:rsidR="001C3FAF" w:rsidRPr="000756DF">
        <w:t xml:space="preserve"> </w:t>
      </w:r>
      <w:r w:rsidR="00855C5F">
        <w:t xml:space="preserve">in one RCT </w:t>
      </w:r>
      <w:r w:rsidR="00A130D0">
        <w:rPr>
          <w:noProof/>
        </w:rPr>
        <w:t>(</w:t>
      </w:r>
      <w:r w:rsidR="00184B6F">
        <w:rPr>
          <w:noProof/>
        </w:rPr>
        <w:t>Hughes et al. 2008</w:t>
      </w:r>
      <w:r w:rsidR="00A130D0">
        <w:rPr>
          <w:noProof/>
        </w:rPr>
        <w:t>)</w:t>
      </w:r>
      <w:r w:rsidR="001C3FAF">
        <w:t xml:space="preserve"> (GRADE </w:t>
      </w:r>
      <w:r w:rsidR="001C3FAF" w:rsidRPr="00D4733A">
        <w:rPr>
          <w:rFonts w:ascii="Cambria Math" w:hAnsi="Cambria Math"/>
          <w:color w:val="00B050"/>
        </w:rPr>
        <w:t>⨁⨁</w:t>
      </w:r>
      <w:r w:rsidR="001C3FAF" w:rsidRPr="00D4733A">
        <w:rPr>
          <w:rFonts w:ascii="Cambria Math" w:hAnsi="Cambria Math"/>
          <w:color w:val="C00000"/>
        </w:rPr>
        <w:t>⨀⨀</w:t>
      </w:r>
      <w:r w:rsidR="00D67ADB" w:rsidRPr="00D67ADB">
        <w:rPr>
          <w:spacing w:val="-20"/>
        </w:rPr>
        <w:t>)</w:t>
      </w:r>
      <w:r w:rsidR="001C3FAF" w:rsidRPr="000756DF">
        <w:t xml:space="preserve"> </w:t>
      </w:r>
      <w:r w:rsidR="001C3FAF">
        <w:t>(</w:t>
      </w:r>
      <w:r w:rsidR="00A72B26" w:rsidRPr="00305731">
        <w:t xml:space="preserve">Table </w:t>
      </w:r>
      <w:r w:rsidR="00A72B26">
        <w:rPr>
          <w:noProof/>
        </w:rPr>
        <w:t>35</w:t>
      </w:r>
      <w:r w:rsidR="00855C5F">
        <w:t>) and n</w:t>
      </w:r>
      <w:r w:rsidR="001C3FAF" w:rsidRPr="000756DF">
        <w:t xml:space="preserve">o effect measure was reported </w:t>
      </w:r>
      <w:r w:rsidR="00855C5F">
        <w:t>in the other</w:t>
      </w:r>
      <w:r w:rsidR="001C3FAF" w:rsidRPr="000756DF">
        <w:t xml:space="preserve"> </w:t>
      </w:r>
      <w:r w:rsidR="00BC0D72">
        <w:rPr>
          <w:noProof/>
        </w:rPr>
        <w:t>(</w:t>
      </w:r>
      <w:r w:rsidR="00184B6F">
        <w:rPr>
          <w:noProof/>
        </w:rPr>
        <w:t>Schiffmann et al. 2001</w:t>
      </w:r>
      <w:r w:rsidR="00BC0D72">
        <w:rPr>
          <w:noProof/>
        </w:rPr>
        <w:t>)</w:t>
      </w:r>
      <w:r w:rsidR="001C3FAF" w:rsidRPr="000756DF">
        <w:t xml:space="preserve">. </w:t>
      </w:r>
    </w:p>
    <w:p w:rsidR="001C3FAF" w:rsidRDefault="001C3FAF" w:rsidP="001C3FAF">
      <w:pPr>
        <w:pStyle w:val="Caption"/>
        <w:keepNext/>
        <w:tabs>
          <w:tab w:val="clear" w:pos="851"/>
          <w:tab w:val="left" w:pos="1134"/>
        </w:tabs>
        <w:ind w:left="1134" w:hanging="1134"/>
      </w:pPr>
      <w:bookmarkStart w:id="195" w:name="_Ref405842076"/>
      <w:bookmarkStart w:id="196" w:name="_Toc411510417"/>
      <w:bookmarkStart w:id="197" w:name="_Toc415141832"/>
      <w:r w:rsidRPr="00305731">
        <w:t xml:space="preserve">Table </w:t>
      </w:r>
      <w:r w:rsidR="00A72B26">
        <w:rPr>
          <w:noProof/>
        </w:rPr>
        <w:t>35</w:t>
      </w:r>
      <w:bookmarkEnd w:id="195"/>
      <w:r w:rsidRPr="00305731">
        <w:t xml:space="preserve"> </w:t>
      </w:r>
      <w:r>
        <w:tab/>
      </w:r>
      <w:r w:rsidRPr="00305731">
        <w:t xml:space="preserve">Cardiac outcomes for Fabry patients randomised to </w:t>
      </w:r>
      <w:r>
        <w:t xml:space="preserve">receive </w:t>
      </w:r>
      <w:r w:rsidRPr="00305731">
        <w:t xml:space="preserve">either agalsidase alfa or placebo </w:t>
      </w:r>
      <w:r w:rsidR="00A130D0">
        <w:rPr>
          <w:noProof/>
        </w:rPr>
        <w:t>(</w:t>
      </w:r>
      <w:r w:rsidR="00184B6F">
        <w:rPr>
          <w:noProof/>
        </w:rPr>
        <w:t>Schaefer, Tylki-Szymanska &amp; Hilz 2009</w:t>
      </w:r>
      <w:r w:rsidR="00A130D0">
        <w:rPr>
          <w:noProof/>
        </w:rPr>
        <w:t>)</w:t>
      </w:r>
      <w:bookmarkEnd w:id="196"/>
      <w:bookmarkEnd w:id="197"/>
    </w:p>
    <w:tbl>
      <w:tblPr>
        <w:tblW w:w="5000" w:type="pct"/>
        <w:tblCellMar>
          <w:top w:w="75" w:type="dxa"/>
          <w:left w:w="75" w:type="dxa"/>
          <w:bottom w:w="75" w:type="dxa"/>
          <w:right w:w="75" w:type="dxa"/>
        </w:tblCellMar>
        <w:tblLook w:val="04A0" w:firstRow="1" w:lastRow="0" w:firstColumn="1" w:lastColumn="0" w:noHBand="0" w:noVBand="1"/>
        <w:tblCaption w:val="Table 33  Cardiac outcomes for Fabry patients randomised to receive either agalsidase alfa or placebo (Schaefer, Tylki-Szymanska &amp; Hilz 2009)"/>
      </w:tblPr>
      <w:tblGrid>
        <w:gridCol w:w="2084"/>
        <w:gridCol w:w="1176"/>
        <w:gridCol w:w="1493"/>
        <w:gridCol w:w="2411"/>
        <w:gridCol w:w="2012"/>
      </w:tblGrid>
      <w:tr w:rsidR="00117B80" w:rsidRPr="00117B80" w:rsidTr="003F58A4">
        <w:trPr>
          <w:trHeight w:val="1056"/>
          <w:tblHeader/>
        </w:trPr>
        <w:tc>
          <w:tcPr>
            <w:tcW w:w="2084" w:type="dxa"/>
            <w:tcBorders>
              <w:top w:val="single" w:sz="12" w:space="0" w:color="000000"/>
              <w:left w:val="nil"/>
              <w:bottom w:val="single" w:sz="6" w:space="0" w:color="000000"/>
              <w:right w:val="nil"/>
            </w:tcBorders>
            <w:shd w:val="clear" w:color="auto" w:fill="3271AA"/>
            <w:hideMark/>
          </w:tcPr>
          <w:p w:rsidR="00117B80" w:rsidRPr="00117B80" w:rsidRDefault="00117B80" w:rsidP="00855C5F">
            <w:pPr>
              <w:spacing w:after="0"/>
              <w:jc w:val="left"/>
              <w:rPr>
                <w:rFonts w:ascii="Arial Narrow" w:hAnsi="Arial Narrow"/>
                <w:b/>
                <w:bCs/>
                <w:color w:val="FFFFFF"/>
                <w:sz w:val="20"/>
                <w:szCs w:val="20"/>
                <w:lang w:eastAsia="en-AU"/>
              </w:rPr>
            </w:pPr>
            <w:r w:rsidRPr="00117B80">
              <w:rPr>
                <w:rFonts w:ascii="Arial Narrow" w:hAnsi="Arial Narrow"/>
                <w:b/>
                <w:bCs/>
                <w:color w:val="FFFFFF"/>
                <w:sz w:val="20"/>
                <w:szCs w:val="20"/>
                <w:lang w:eastAsia="en-AU"/>
              </w:rPr>
              <w:t>Outcomes</w:t>
            </w:r>
          </w:p>
        </w:tc>
        <w:tc>
          <w:tcPr>
            <w:tcW w:w="1176" w:type="dxa"/>
            <w:tcBorders>
              <w:top w:val="single" w:sz="12" w:space="0" w:color="000000"/>
              <w:left w:val="nil"/>
              <w:bottom w:val="single" w:sz="6" w:space="0" w:color="000000"/>
              <w:right w:val="nil"/>
            </w:tcBorders>
            <w:shd w:val="clear" w:color="auto" w:fill="3271AA"/>
            <w:hideMark/>
          </w:tcPr>
          <w:p w:rsidR="00117B80" w:rsidRPr="00117B80" w:rsidRDefault="00117B80" w:rsidP="00855C5F">
            <w:pPr>
              <w:spacing w:after="0"/>
              <w:jc w:val="left"/>
              <w:rPr>
                <w:rFonts w:ascii="Arial Narrow" w:hAnsi="Arial Narrow"/>
                <w:b/>
                <w:bCs/>
                <w:color w:val="FFFFFF"/>
                <w:sz w:val="20"/>
                <w:szCs w:val="20"/>
                <w:lang w:eastAsia="en-AU"/>
              </w:rPr>
            </w:pPr>
            <w:r w:rsidRPr="00117B80">
              <w:rPr>
                <w:rFonts w:ascii="Arial Narrow" w:hAnsi="Arial Narrow"/>
                <w:b/>
                <w:bCs/>
                <w:color w:val="FFFFFF"/>
                <w:sz w:val="20"/>
                <w:szCs w:val="20"/>
                <w:lang w:eastAsia="en-AU"/>
              </w:rPr>
              <w:t>№ of participants</w:t>
            </w:r>
            <w:r w:rsidRPr="00117B80">
              <w:rPr>
                <w:rFonts w:ascii="Arial Narrow" w:hAnsi="Arial Narrow"/>
                <w:b/>
                <w:bCs/>
                <w:color w:val="FFFFFF"/>
                <w:sz w:val="20"/>
                <w:szCs w:val="20"/>
                <w:lang w:eastAsia="en-AU"/>
              </w:rPr>
              <w:br/>
              <w:t>(studies)</w:t>
            </w:r>
            <w:r w:rsidRPr="00117B80">
              <w:rPr>
                <w:rFonts w:ascii="Arial Narrow" w:hAnsi="Arial Narrow"/>
                <w:b/>
                <w:bCs/>
                <w:color w:val="FFFFFF"/>
                <w:sz w:val="20"/>
                <w:szCs w:val="20"/>
                <w:lang w:eastAsia="en-AU"/>
              </w:rPr>
              <w:br/>
              <w:t>Follow-up</w:t>
            </w:r>
          </w:p>
        </w:tc>
        <w:tc>
          <w:tcPr>
            <w:tcW w:w="1493" w:type="dxa"/>
            <w:tcBorders>
              <w:top w:val="single" w:sz="12" w:space="0" w:color="000000"/>
              <w:left w:val="nil"/>
              <w:bottom w:val="single" w:sz="6" w:space="0" w:color="000000"/>
              <w:right w:val="nil"/>
            </w:tcBorders>
            <w:shd w:val="clear" w:color="auto" w:fill="3271AA"/>
            <w:hideMark/>
          </w:tcPr>
          <w:p w:rsidR="00117B80" w:rsidRPr="00117B80" w:rsidRDefault="00117B80" w:rsidP="00855C5F">
            <w:pPr>
              <w:spacing w:after="0"/>
              <w:jc w:val="left"/>
              <w:rPr>
                <w:rFonts w:ascii="Arial Narrow" w:hAnsi="Arial Narrow"/>
                <w:b/>
                <w:bCs/>
                <w:color w:val="FFFFFF"/>
                <w:sz w:val="20"/>
                <w:szCs w:val="20"/>
                <w:lang w:eastAsia="en-AU"/>
              </w:rPr>
            </w:pPr>
            <w:r w:rsidRPr="00117B80">
              <w:rPr>
                <w:rFonts w:ascii="Arial Narrow" w:hAnsi="Arial Narrow"/>
                <w:b/>
                <w:bCs/>
                <w:color w:val="FFFFFF"/>
                <w:sz w:val="20"/>
                <w:szCs w:val="20"/>
                <w:lang w:eastAsia="en-AU"/>
              </w:rPr>
              <w:t>Quality of the evidence</w:t>
            </w:r>
            <w:r w:rsidRPr="00117B80">
              <w:rPr>
                <w:rFonts w:ascii="Arial Narrow" w:hAnsi="Arial Narrow"/>
                <w:b/>
                <w:bCs/>
                <w:color w:val="FFFFFF"/>
                <w:sz w:val="20"/>
                <w:szCs w:val="20"/>
                <w:lang w:eastAsia="en-AU"/>
              </w:rPr>
              <w:br/>
              <w:t>(GRADE)</w:t>
            </w:r>
          </w:p>
        </w:tc>
        <w:tc>
          <w:tcPr>
            <w:tcW w:w="2411" w:type="dxa"/>
            <w:tcBorders>
              <w:top w:val="single" w:sz="12" w:space="0" w:color="000000"/>
              <w:left w:val="nil"/>
            </w:tcBorders>
            <w:shd w:val="clear" w:color="auto" w:fill="D3D3D3"/>
          </w:tcPr>
          <w:p w:rsidR="00117B80" w:rsidRPr="00117B80" w:rsidRDefault="00117B80" w:rsidP="00855C5F">
            <w:pPr>
              <w:spacing w:after="0"/>
              <w:jc w:val="left"/>
              <w:rPr>
                <w:rFonts w:ascii="Arial Narrow" w:hAnsi="Arial Narrow"/>
                <w:b/>
                <w:bCs/>
                <w:color w:val="000000"/>
                <w:sz w:val="20"/>
                <w:szCs w:val="20"/>
                <w:lang w:eastAsia="en-AU"/>
              </w:rPr>
            </w:pPr>
            <w:r w:rsidRPr="00117B80">
              <w:rPr>
                <w:rFonts w:ascii="Arial Narrow" w:hAnsi="Arial Narrow"/>
                <w:b/>
                <w:bCs/>
                <w:color w:val="000000"/>
                <w:sz w:val="20"/>
                <w:szCs w:val="20"/>
                <w:lang w:eastAsia="en-AU"/>
              </w:rPr>
              <w:t>Risk with Supportive care plus placebo</w:t>
            </w:r>
          </w:p>
        </w:tc>
        <w:tc>
          <w:tcPr>
            <w:tcW w:w="2012" w:type="dxa"/>
            <w:tcBorders>
              <w:top w:val="single" w:sz="12" w:space="0" w:color="000000"/>
              <w:left w:val="nil"/>
              <w:right w:val="nil"/>
            </w:tcBorders>
            <w:shd w:val="clear" w:color="auto" w:fill="D3D3D3"/>
          </w:tcPr>
          <w:p w:rsidR="00117B80" w:rsidRPr="00117B80" w:rsidRDefault="00117B80" w:rsidP="00855C5F">
            <w:pPr>
              <w:spacing w:after="0"/>
              <w:jc w:val="left"/>
              <w:rPr>
                <w:rFonts w:ascii="Arial Narrow" w:hAnsi="Arial Narrow"/>
                <w:b/>
                <w:bCs/>
                <w:color w:val="D9D9D9" w:themeColor="background1" w:themeShade="D9"/>
                <w:sz w:val="20"/>
                <w:szCs w:val="20"/>
                <w:lang w:eastAsia="en-AU"/>
              </w:rPr>
            </w:pPr>
            <w:r w:rsidRPr="00117B80">
              <w:rPr>
                <w:rFonts w:ascii="Arial Narrow" w:hAnsi="Arial Narrow"/>
                <w:b/>
                <w:bCs/>
                <w:color w:val="000000"/>
                <w:sz w:val="20"/>
                <w:szCs w:val="20"/>
                <w:lang w:eastAsia="en-AU"/>
              </w:rPr>
              <w:t>Risk difference with Agalsidase alfa</w:t>
            </w:r>
          </w:p>
        </w:tc>
      </w:tr>
      <w:tr w:rsidR="00855C5F" w:rsidRPr="00117B80" w:rsidTr="003F58A4">
        <w:tc>
          <w:tcPr>
            <w:tcW w:w="2084" w:type="dxa"/>
            <w:tcBorders>
              <w:top w:val="single" w:sz="6" w:space="0" w:color="000000"/>
              <w:left w:val="nil"/>
              <w:bottom w:val="single" w:sz="6" w:space="0" w:color="000000"/>
              <w:right w:val="nil"/>
            </w:tcBorders>
            <w:hideMark/>
          </w:tcPr>
          <w:p w:rsidR="00855C5F" w:rsidRPr="00117B80" w:rsidRDefault="00855C5F" w:rsidP="00855C5F">
            <w:pPr>
              <w:spacing w:after="200"/>
              <w:jc w:val="left"/>
              <w:rPr>
                <w:rFonts w:ascii="Arial Narrow" w:hAnsi="Arial Narrow"/>
                <w:color w:val="000000"/>
                <w:sz w:val="20"/>
                <w:szCs w:val="20"/>
                <w:lang w:eastAsia="en-AU"/>
              </w:rPr>
            </w:pPr>
            <w:r w:rsidRPr="00117B80">
              <w:rPr>
                <w:rFonts w:ascii="Arial Narrow" w:hAnsi="Arial Narrow"/>
                <w:b/>
                <w:bCs/>
                <w:color w:val="000000"/>
                <w:sz w:val="20"/>
                <w:szCs w:val="20"/>
                <w:lang w:eastAsia="en-AU"/>
              </w:rPr>
              <w:t xml:space="preserve">Change in QRS </w:t>
            </w:r>
            <w:r w:rsidRPr="00117B80">
              <w:rPr>
                <w:rFonts w:ascii="Arial Narrow" w:hAnsi="Arial Narrow"/>
                <w:color w:val="000000"/>
                <w:sz w:val="20"/>
                <w:szCs w:val="20"/>
                <w:lang w:eastAsia="en-AU"/>
              </w:rPr>
              <w:br/>
              <w:t>assessed with: ms</w:t>
            </w:r>
            <w:r w:rsidRPr="00117B80">
              <w:rPr>
                <w:rFonts w:ascii="Arial Narrow" w:hAnsi="Arial Narrow"/>
                <w:color w:val="000000"/>
                <w:sz w:val="20"/>
                <w:szCs w:val="20"/>
                <w:lang w:eastAsia="en-AU"/>
              </w:rPr>
              <w:br/>
              <w:t xml:space="preserve">follow up: 6 months </w:t>
            </w:r>
          </w:p>
        </w:tc>
        <w:tc>
          <w:tcPr>
            <w:tcW w:w="1176" w:type="dxa"/>
            <w:tcBorders>
              <w:top w:val="single" w:sz="6" w:space="0" w:color="000000"/>
              <w:left w:val="nil"/>
              <w:bottom w:val="single" w:sz="6" w:space="0" w:color="000000"/>
              <w:right w:val="nil"/>
            </w:tcBorders>
            <w:hideMark/>
          </w:tcPr>
          <w:p w:rsidR="00855C5F" w:rsidRPr="00117B80" w:rsidRDefault="00855C5F" w:rsidP="00855C5F">
            <w:pPr>
              <w:spacing w:after="200"/>
              <w:jc w:val="left"/>
              <w:rPr>
                <w:rFonts w:ascii="Arial Narrow" w:hAnsi="Arial Narrow"/>
                <w:color w:val="000000"/>
                <w:sz w:val="20"/>
                <w:szCs w:val="20"/>
                <w:lang w:eastAsia="en-AU"/>
              </w:rPr>
            </w:pPr>
            <w:r w:rsidRPr="00117B80">
              <w:rPr>
                <w:rFonts w:ascii="Arial Narrow" w:hAnsi="Arial Narrow"/>
                <w:color w:val="000000"/>
                <w:sz w:val="20"/>
                <w:szCs w:val="20"/>
                <w:lang w:eastAsia="en-AU"/>
              </w:rPr>
              <w:t>15</w:t>
            </w:r>
            <w:r w:rsidRPr="00117B80">
              <w:rPr>
                <w:rFonts w:ascii="Arial Narrow" w:hAnsi="Arial Narrow"/>
                <w:color w:val="000000"/>
                <w:sz w:val="20"/>
                <w:szCs w:val="20"/>
                <w:lang w:eastAsia="en-AU"/>
              </w:rPr>
              <w:br/>
              <w:t>(1 RCT)</w:t>
            </w:r>
            <w:r w:rsidRPr="00117B80">
              <w:rPr>
                <w:rFonts w:ascii="Arial Narrow" w:hAnsi="Arial Narrow"/>
                <w:color w:val="000000"/>
                <w:sz w:val="20"/>
                <w:szCs w:val="20"/>
                <w:lang w:eastAsia="en-AU"/>
              </w:rPr>
              <w:br/>
              <w:t xml:space="preserve">6 months </w:t>
            </w:r>
          </w:p>
        </w:tc>
        <w:tc>
          <w:tcPr>
            <w:tcW w:w="1493" w:type="dxa"/>
            <w:tcBorders>
              <w:top w:val="single" w:sz="6" w:space="0" w:color="000000"/>
              <w:left w:val="nil"/>
              <w:bottom w:val="single" w:sz="6" w:space="0" w:color="000000"/>
              <w:right w:val="nil"/>
            </w:tcBorders>
            <w:hideMark/>
          </w:tcPr>
          <w:p w:rsidR="00855C5F" w:rsidRPr="00117B80" w:rsidRDefault="009A0532" w:rsidP="00855C5F">
            <w:pPr>
              <w:spacing w:after="200"/>
              <w:jc w:val="left"/>
              <w:rPr>
                <w:rFonts w:ascii="Arial Narrow" w:hAnsi="Arial Narrow"/>
                <w:color w:val="000000"/>
                <w:sz w:val="20"/>
                <w:szCs w:val="20"/>
                <w:lang w:eastAsia="en-AU"/>
              </w:rPr>
            </w:pPr>
            <w:r w:rsidRPr="00117B80">
              <w:rPr>
                <w:rFonts w:ascii="Cambria Math" w:hAnsi="Cambria Math"/>
                <w:color w:val="00B050"/>
                <w:sz w:val="20"/>
                <w:szCs w:val="20"/>
              </w:rPr>
              <w:t>⨁⨁</w:t>
            </w:r>
            <w:r w:rsidRPr="00117B80">
              <w:rPr>
                <w:rFonts w:ascii="Cambria Math" w:hAnsi="Cambria Math"/>
                <w:color w:val="C00000"/>
                <w:sz w:val="20"/>
                <w:szCs w:val="20"/>
              </w:rPr>
              <w:t>⨀⨀</w:t>
            </w:r>
            <w:r w:rsidR="00855C5F" w:rsidRPr="00117B80">
              <w:rPr>
                <w:rFonts w:ascii="Arial Narrow" w:hAnsi="Arial Narrow"/>
                <w:color w:val="000000"/>
                <w:sz w:val="20"/>
                <w:szCs w:val="20"/>
                <w:lang w:eastAsia="en-AU"/>
              </w:rPr>
              <w:br/>
              <w:t xml:space="preserve">LOW </w:t>
            </w:r>
            <w:r w:rsidR="00855C5F" w:rsidRPr="00117B80">
              <w:rPr>
                <w:rFonts w:ascii="Arial Narrow" w:hAnsi="Arial Narrow"/>
                <w:color w:val="000000"/>
                <w:sz w:val="20"/>
                <w:szCs w:val="20"/>
                <w:vertAlign w:val="superscript"/>
                <w:lang w:eastAsia="en-AU"/>
              </w:rPr>
              <w:t> </w:t>
            </w:r>
            <w:r w:rsidR="00855C5F" w:rsidRPr="00117B80">
              <w:rPr>
                <w:rFonts w:ascii="Arial Narrow" w:hAnsi="Arial Narrow"/>
                <w:color w:val="000000"/>
                <w:sz w:val="20"/>
                <w:szCs w:val="20"/>
                <w:u w:val="single"/>
                <w:vertAlign w:val="superscript"/>
                <w:lang w:eastAsia="en-AU"/>
              </w:rPr>
              <w:t>1</w:t>
            </w:r>
            <w:r w:rsidR="00855C5F" w:rsidRPr="00117B80">
              <w:rPr>
                <w:rFonts w:ascii="Arial Narrow" w:hAnsi="Arial Narrow"/>
                <w:color w:val="000000"/>
                <w:sz w:val="20"/>
                <w:szCs w:val="20"/>
                <w:vertAlign w:val="superscript"/>
                <w:lang w:eastAsia="en-AU"/>
              </w:rPr>
              <w:t> </w:t>
            </w:r>
            <w:r w:rsidR="00855C5F" w:rsidRPr="00117B80">
              <w:rPr>
                <w:rFonts w:ascii="Arial Narrow" w:hAnsi="Arial Narrow"/>
                <w:color w:val="000000"/>
                <w:sz w:val="20"/>
                <w:szCs w:val="20"/>
                <w:u w:val="single"/>
                <w:vertAlign w:val="superscript"/>
                <w:lang w:eastAsia="en-AU"/>
              </w:rPr>
              <w:t>2</w:t>
            </w:r>
            <w:r w:rsidR="00855C5F" w:rsidRPr="00117B80">
              <w:rPr>
                <w:rFonts w:ascii="Arial Narrow" w:hAnsi="Arial Narrow"/>
                <w:color w:val="000000"/>
                <w:sz w:val="20"/>
                <w:szCs w:val="20"/>
                <w:vertAlign w:val="superscript"/>
                <w:lang w:eastAsia="en-AU"/>
              </w:rPr>
              <w:t> </w:t>
            </w:r>
            <w:r w:rsidR="00855C5F" w:rsidRPr="00117B80">
              <w:rPr>
                <w:rFonts w:ascii="Arial Narrow" w:hAnsi="Arial Narrow"/>
                <w:color w:val="000000"/>
                <w:sz w:val="20"/>
                <w:szCs w:val="20"/>
                <w:u w:val="single"/>
                <w:vertAlign w:val="superscript"/>
                <w:lang w:eastAsia="en-AU"/>
              </w:rPr>
              <w:t>3</w:t>
            </w:r>
          </w:p>
        </w:tc>
        <w:tc>
          <w:tcPr>
            <w:tcW w:w="2411" w:type="dxa"/>
            <w:tcBorders>
              <w:top w:val="single" w:sz="6" w:space="0" w:color="000000"/>
              <w:left w:val="nil"/>
              <w:bottom w:val="single" w:sz="6" w:space="0" w:color="000000"/>
              <w:right w:val="nil"/>
            </w:tcBorders>
            <w:shd w:val="clear" w:color="auto" w:fill="EDEDED"/>
            <w:hideMark/>
          </w:tcPr>
          <w:p w:rsidR="00855C5F" w:rsidRPr="00117B80" w:rsidRDefault="00855C5F" w:rsidP="00855C5F">
            <w:pPr>
              <w:spacing w:after="200"/>
              <w:jc w:val="left"/>
              <w:rPr>
                <w:rFonts w:ascii="Arial Narrow" w:hAnsi="Arial Narrow"/>
                <w:color w:val="000000"/>
                <w:sz w:val="20"/>
                <w:szCs w:val="20"/>
                <w:lang w:eastAsia="en-AU"/>
              </w:rPr>
            </w:pPr>
            <w:r w:rsidRPr="00117B80">
              <w:rPr>
                <w:rFonts w:ascii="Arial Narrow" w:hAnsi="Arial Narrow"/>
                <w:color w:val="000000"/>
                <w:sz w:val="20"/>
                <w:szCs w:val="20"/>
                <w:lang w:eastAsia="en-AU"/>
              </w:rPr>
              <w:t xml:space="preserve">The mean change in QRS in the control group was </w:t>
            </w:r>
            <w:r w:rsidRPr="00117B80">
              <w:rPr>
                <w:rFonts w:ascii="Arial Narrow" w:hAnsi="Arial Narrow"/>
                <w:b/>
                <w:bCs/>
                <w:color w:val="000000"/>
                <w:sz w:val="20"/>
                <w:szCs w:val="20"/>
                <w:lang w:eastAsia="en-AU"/>
              </w:rPr>
              <w:t>4</w:t>
            </w:r>
            <w:r w:rsidRPr="00117B80">
              <w:rPr>
                <w:rFonts w:ascii="Arial Narrow" w:hAnsi="Arial Narrow"/>
                <w:color w:val="000000"/>
                <w:sz w:val="20"/>
                <w:szCs w:val="20"/>
                <w:lang w:eastAsia="en-AU"/>
              </w:rPr>
              <w:t xml:space="preserve"> ms </w:t>
            </w:r>
          </w:p>
        </w:tc>
        <w:tc>
          <w:tcPr>
            <w:tcW w:w="2012" w:type="dxa"/>
            <w:tcBorders>
              <w:top w:val="single" w:sz="6" w:space="0" w:color="000000"/>
              <w:left w:val="nil"/>
              <w:bottom w:val="single" w:sz="6" w:space="0" w:color="000000"/>
              <w:right w:val="nil"/>
            </w:tcBorders>
            <w:shd w:val="clear" w:color="auto" w:fill="EDEDED"/>
            <w:hideMark/>
          </w:tcPr>
          <w:p w:rsidR="00855C5F" w:rsidRPr="00117B80" w:rsidRDefault="00855C5F" w:rsidP="00855C5F">
            <w:pPr>
              <w:spacing w:after="200"/>
              <w:jc w:val="left"/>
              <w:rPr>
                <w:rFonts w:ascii="Arial Narrow" w:hAnsi="Arial Narrow"/>
                <w:color w:val="000000"/>
                <w:sz w:val="20"/>
                <w:szCs w:val="20"/>
                <w:lang w:eastAsia="en-AU"/>
              </w:rPr>
            </w:pPr>
            <w:r w:rsidRPr="00117B80">
              <w:rPr>
                <w:rFonts w:ascii="Arial Narrow" w:hAnsi="Arial Narrow"/>
                <w:color w:val="000000"/>
                <w:sz w:val="20"/>
                <w:szCs w:val="20"/>
                <w:lang w:eastAsia="en-AU"/>
              </w:rPr>
              <w:t xml:space="preserve">p </w:t>
            </w:r>
            <w:r w:rsidRPr="00117B80">
              <w:rPr>
                <w:rFonts w:ascii="Arial Narrow" w:hAnsi="Arial Narrow"/>
                <w:b/>
                <w:bCs/>
                <w:color w:val="000000"/>
                <w:sz w:val="20"/>
                <w:szCs w:val="20"/>
                <w:lang w:eastAsia="en-AU"/>
              </w:rPr>
              <w:t>0.8 lower</w:t>
            </w:r>
            <w:r w:rsidRPr="00117B80">
              <w:rPr>
                <w:rFonts w:ascii="Arial Narrow" w:hAnsi="Arial Narrow"/>
                <w:color w:val="000000"/>
                <w:sz w:val="20"/>
                <w:szCs w:val="20"/>
                <w:lang w:eastAsia="en-AU"/>
              </w:rPr>
              <w:br/>
              <w:t xml:space="preserve">(CI NR) </w:t>
            </w:r>
          </w:p>
        </w:tc>
      </w:tr>
      <w:tr w:rsidR="00855C5F" w:rsidRPr="00117B80" w:rsidTr="003F58A4">
        <w:tc>
          <w:tcPr>
            <w:tcW w:w="2084" w:type="dxa"/>
            <w:tcBorders>
              <w:top w:val="single" w:sz="6" w:space="0" w:color="000000"/>
              <w:left w:val="nil"/>
              <w:bottom w:val="single" w:sz="6" w:space="0" w:color="000000"/>
              <w:right w:val="nil"/>
            </w:tcBorders>
            <w:hideMark/>
          </w:tcPr>
          <w:p w:rsidR="00855C5F" w:rsidRPr="00117B80" w:rsidRDefault="00855C5F" w:rsidP="00855C5F">
            <w:pPr>
              <w:spacing w:after="200"/>
              <w:jc w:val="left"/>
              <w:rPr>
                <w:rFonts w:ascii="Arial Narrow" w:hAnsi="Arial Narrow"/>
                <w:color w:val="000000"/>
                <w:sz w:val="20"/>
                <w:szCs w:val="20"/>
                <w:lang w:eastAsia="en-AU"/>
              </w:rPr>
            </w:pPr>
            <w:r w:rsidRPr="00117B80">
              <w:rPr>
                <w:rFonts w:ascii="Arial Narrow" w:hAnsi="Arial Narrow"/>
                <w:b/>
                <w:bCs/>
                <w:color w:val="000000"/>
                <w:sz w:val="20"/>
                <w:szCs w:val="20"/>
                <w:lang w:eastAsia="en-AU"/>
              </w:rPr>
              <w:t>Left Ventricular Mass Index change</w:t>
            </w:r>
            <w:r w:rsidRPr="00117B80">
              <w:rPr>
                <w:rFonts w:ascii="Arial Narrow" w:hAnsi="Arial Narrow"/>
                <w:color w:val="000000"/>
                <w:sz w:val="20"/>
                <w:szCs w:val="20"/>
                <w:lang w:eastAsia="en-AU"/>
              </w:rPr>
              <w:br/>
              <w:t>assessed with: g/m</w:t>
            </w:r>
            <w:r w:rsidRPr="00117B80">
              <w:rPr>
                <w:rFonts w:ascii="Arial Narrow" w:hAnsi="Arial Narrow"/>
                <w:color w:val="000000"/>
                <w:sz w:val="20"/>
                <w:szCs w:val="20"/>
                <w:vertAlign w:val="superscript"/>
                <w:lang w:eastAsia="en-AU"/>
              </w:rPr>
              <w:t>2</w:t>
            </w:r>
            <w:r w:rsidRPr="00117B80">
              <w:rPr>
                <w:rFonts w:ascii="Arial Narrow" w:hAnsi="Arial Narrow"/>
                <w:color w:val="000000"/>
                <w:sz w:val="20"/>
                <w:szCs w:val="20"/>
                <w:lang w:eastAsia="en-AU"/>
              </w:rPr>
              <w:br/>
              <w:t xml:space="preserve">follow up: 6 months </w:t>
            </w:r>
          </w:p>
        </w:tc>
        <w:tc>
          <w:tcPr>
            <w:tcW w:w="1176" w:type="dxa"/>
            <w:tcBorders>
              <w:top w:val="single" w:sz="6" w:space="0" w:color="000000"/>
              <w:left w:val="nil"/>
              <w:bottom w:val="single" w:sz="6" w:space="0" w:color="000000"/>
              <w:right w:val="nil"/>
            </w:tcBorders>
            <w:hideMark/>
          </w:tcPr>
          <w:p w:rsidR="00855C5F" w:rsidRPr="00117B80" w:rsidRDefault="00855C5F" w:rsidP="00855C5F">
            <w:pPr>
              <w:spacing w:after="200"/>
              <w:jc w:val="left"/>
              <w:rPr>
                <w:rFonts w:ascii="Arial Narrow" w:hAnsi="Arial Narrow"/>
                <w:color w:val="000000"/>
                <w:sz w:val="20"/>
                <w:szCs w:val="20"/>
                <w:lang w:eastAsia="en-AU"/>
              </w:rPr>
            </w:pPr>
            <w:r w:rsidRPr="00117B80">
              <w:rPr>
                <w:rFonts w:ascii="Arial Narrow" w:hAnsi="Arial Narrow"/>
                <w:color w:val="000000"/>
                <w:sz w:val="20"/>
                <w:szCs w:val="20"/>
                <w:lang w:eastAsia="en-AU"/>
              </w:rPr>
              <w:t>15</w:t>
            </w:r>
            <w:r w:rsidRPr="00117B80">
              <w:rPr>
                <w:rFonts w:ascii="Arial Narrow" w:hAnsi="Arial Narrow"/>
                <w:color w:val="000000"/>
                <w:sz w:val="20"/>
                <w:szCs w:val="20"/>
                <w:lang w:eastAsia="en-AU"/>
              </w:rPr>
              <w:br/>
              <w:t>(1 RCT)</w:t>
            </w:r>
            <w:r w:rsidRPr="00117B80">
              <w:rPr>
                <w:rFonts w:ascii="Arial Narrow" w:hAnsi="Arial Narrow"/>
                <w:color w:val="000000"/>
                <w:sz w:val="20"/>
                <w:szCs w:val="20"/>
                <w:lang w:eastAsia="en-AU"/>
              </w:rPr>
              <w:br/>
              <w:t xml:space="preserve">6 months </w:t>
            </w:r>
          </w:p>
        </w:tc>
        <w:tc>
          <w:tcPr>
            <w:tcW w:w="1493" w:type="dxa"/>
            <w:tcBorders>
              <w:top w:val="single" w:sz="6" w:space="0" w:color="000000"/>
              <w:left w:val="nil"/>
              <w:bottom w:val="single" w:sz="6" w:space="0" w:color="000000"/>
              <w:right w:val="nil"/>
            </w:tcBorders>
            <w:hideMark/>
          </w:tcPr>
          <w:p w:rsidR="00855C5F" w:rsidRPr="00117B80" w:rsidRDefault="009A0532" w:rsidP="00855C5F">
            <w:pPr>
              <w:spacing w:after="200"/>
              <w:jc w:val="left"/>
              <w:rPr>
                <w:rFonts w:ascii="Arial Narrow" w:hAnsi="Arial Narrow"/>
                <w:color w:val="000000"/>
                <w:sz w:val="20"/>
                <w:szCs w:val="20"/>
                <w:lang w:eastAsia="en-AU"/>
              </w:rPr>
            </w:pPr>
            <w:r w:rsidRPr="00117B80">
              <w:rPr>
                <w:rFonts w:ascii="Cambria Math" w:hAnsi="Cambria Math"/>
                <w:color w:val="00B050"/>
                <w:sz w:val="20"/>
                <w:szCs w:val="20"/>
              </w:rPr>
              <w:t>⨁⨁</w:t>
            </w:r>
            <w:r w:rsidRPr="00117B80">
              <w:rPr>
                <w:rFonts w:ascii="Cambria Math" w:hAnsi="Cambria Math"/>
                <w:color w:val="C00000"/>
                <w:sz w:val="20"/>
                <w:szCs w:val="20"/>
              </w:rPr>
              <w:t>⨀⨀</w:t>
            </w:r>
            <w:r w:rsidR="00855C5F" w:rsidRPr="00117B80">
              <w:rPr>
                <w:rFonts w:ascii="Arial Narrow" w:hAnsi="Arial Narrow"/>
                <w:color w:val="000000"/>
                <w:sz w:val="20"/>
                <w:szCs w:val="20"/>
                <w:lang w:eastAsia="en-AU"/>
              </w:rPr>
              <w:br/>
              <w:t xml:space="preserve">LOW </w:t>
            </w:r>
            <w:r w:rsidR="00855C5F" w:rsidRPr="00117B80">
              <w:rPr>
                <w:rFonts w:ascii="Arial Narrow" w:hAnsi="Arial Narrow"/>
                <w:color w:val="000000"/>
                <w:sz w:val="20"/>
                <w:szCs w:val="20"/>
                <w:vertAlign w:val="superscript"/>
                <w:lang w:eastAsia="en-AU"/>
              </w:rPr>
              <w:t> </w:t>
            </w:r>
            <w:r w:rsidR="00855C5F" w:rsidRPr="00117B80">
              <w:rPr>
                <w:rFonts w:ascii="Arial Narrow" w:hAnsi="Arial Narrow"/>
                <w:color w:val="000000"/>
                <w:sz w:val="20"/>
                <w:szCs w:val="20"/>
                <w:u w:val="single"/>
                <w:vertAlign w:val="superscript"/>
                <w:lang w:eastAsia="en-AU"/>
              </w:rPr>
              <w:t>1</w:t>
            </w:r>
            <w:r w:rsidR="00855C5F" w:rsidRPr="00117B80">
              <w:rPr>
                <w:rFonts w:ascii="Arial Narrow" w:hAnsi="Arial Narrow"/>
                <w:color w:val="000000"/>
                <w:sz w:val="20"/>
                <w:szCs w:val="20"/>
                <w:vertAlign w:val="superscript"/>
                <w:lang w:eastAsia="en-AU"/>
              </w:rPr>
              <w:t> </w:t>
            </w:r>
            <w:r w:rsidR="00855C5F" w:rsidRPr="00117B80">
              <w:rPr>
                <w:rFonts w:ascii="Arial Narrow" w:hAnsi="Arial Narrow"/>
                <w:color w:val="000000"/>
                <w:sz w:val="20"/>
                <w:szCs w:val="20"/>
                <w:u w:val="single"/>
                <w:vertAlign w:val="superscript"/>
                <w:lang w:eastAsia="en-AU"/>
              </w:rPr>
              <w:t>2</w:t>
            </w:r>
            <w:r w:rsidR="00855C5F" w:rsidRPr="00117B80">
              <w:rPr>
                <w:rFonts w:ascii="Arial Narrow" w:hAnsi="Arial Narrow"/>
                <w:color w:val="000000"/>
                <w:sz w:val="20"/>
                <w:szCs w:val="20"/>
                <w:vertAlign w:val="superscript"/>
                <w:lang w:eastAsia="en-AU"/>
              </w:rPr>
              <w:t> </w:t>
            </w:r>
            <w:r w:rsidR="00855C5F" w:rsidRPr="00117B80">
              <w:rPr>
                <w:rFonts w:ascii="Arial Narrow" w:hAnsi="Arial Narrow"/>
                <w:color w:val="000000"/>
                <w:sz w:val="20"/>
                <w:szCs w:val="20"/>
                <w:u w:val="single"/>
                <w:vertAlign w:val="superscript"/>
                <w:lang w:eastAsia="en-AU"/>
              </w:rPr>
              <w:t>3</w:t>
            </w:r>
          </w:p>
        </w:tc>
        <w:tc>
          <w:tcPr>
            <w:tcW w:w="2411" w:type="dxa"/>
            <w:tcBorders>
              <w:top w:val="single" w:sz="6" w:space="0" w:color="000000"/>
              <w:left w:val="nil"/>
              <w:bottom w:val="single" w:sz="6" w:space="0" w:color="000000"/>
              <w:right w:val="nil"/>
            </w:tcBorders>
            <w:shd w:val="clear" w:color="auto" w:fill="EDEDED"/>
            <w:hideMark/>
          </w:tcPr>
          <w:p w:rsidR="00855C5F" w:rsidRPr="00117B80" w:rsidRDefault="00855C5F" w:rsidP="00855C5F">
            <w:pPr>
              <w:spacing w:after="200"/>
              <w:jc w:val="left"/>
              <w:rPr>
                <w:rFonts w:ascii="Arial Narrow" w:hAnsi="Arial Narrow"/>
                <w:color w:val="000000"/>
                <w:sz w:val="20"/>
                <w:szCs w:val="20"/>
                <w:lang w:eastAsia="en-AU"/>
              </w:rPr>
            </w:pPr>
            <w:r w:rsidRPr="00117B80">
              <w:rPr>
                <w:rFonts w:ascii="Arial Narrow" w:hAnsi="Arial Narrow"/>
                <w:color w:val="000000"/>
                <w:sz w:val="20"/>
                <w:szCs w:val="20"/>
                <w:lang w:eastAsia="en-AU"/>
              </w:rPr>
              <w:t xml:space="preserve">The mean Left Ventricular Mass Index change in the control group was </w:t>
            </w:r>
            <w:r w:rsidRPr="00117B80">
              <w:rPr>
                <w:rFonts w:ascii="Arial Narrow" w:hAnsi="Arial Narrow"/>
                <w:b/>
                <w:bCs/>
                <w:color w:val="000000"/>
                <w:sz w:val="20"/>
                <w:szCs w:val="20"/>
                <w:lang w:eastAsia="en-AU"/>
              </w:rPr>
              <w:t>12</w:t>
            </w:r>
            <w:r w:rsidRPr="00117B80">
              <w:rPr>
                <w:rFonts w:ascii="Arial Narrow" w:hAnsi="Arial Narrow"/>
                <w:color w:val="000000"/>
                <w:sz w:val="20"/>
                <w:szCs w:val="20"/>
                <w:lang w:eastAsia="en-AU"/>
              </w:rPr>
              <w:t xml:space="preserve"> g/m</w:t>
            </w:r>
            <w:r w:rsidRPr="00117B80">
              <w:rPr>
                <w:rFonts w:ascii="Arial Narrow" w:hAnsi="Arial Narrow"/>
                <w:color w:val="000000"/>
                <w:sz w:val="20"/>
                <w:szCs w:val="20"/>
                <w:vertAlign w:val="superscript"/>
                <w:lang w:eastAsia="en-AU"/>
              </w:rPr>
              <w:t>2</w:t>
            </w:r>
            <w:r w:rsidRPr="00117B80">
              <w:rPr>
                <w:rFonts w:ascii="Arial Narrow" w:hAnsi="Arial Narrow"/>
                <w:color w:val="000000"/>
                <w:sz w:val="20"/>
                <w:szCs w:val="20"/>
                <w:lang w:eastAsia="en-AU"/>
              </w:rPr>
              <w:t xml:space="preserve"> </w:t>
            </w:r>
          </w:p>
        </w:tc>
        <w:tc>
          <w:tcPr>
            <w:tcW w:w="2012" w:type="dxa"/>
            <w:tcBorders>
              <w:top w:val="single" w:sz="6" w:space="0" w:color="000000"/>
              <w:left w:val="nil"/>
              <w:bottom w:val="single" w:sz="6" w:space="0" w:color="000000"/>
              <w:right w:val="nil"/>
            </w:tcBorders>
            <w:shd w:val="clear" w:color="auto" w:fill="EDEDED"/>
            <w:hideMark/>
          </w:tcPr>
          <w:p w:rsidR="00855C5F" w:rsidRPr="00117B80" w:rsidRDefault="00855C5F" w:rsidP="00855C5F">
            <w:pPr>
              <w:spacing w:after="200"/>
              <w:jc w:val="left"/>
              <w:rPr>
                <w:rFonts w:ascii="Arial Narrow" w:hAnsi="Arial Narrow"/>
                <w:color w:val="000000"/>
                <w:sz w:val="20"/>
                <w:szCs w:val="20"/>
                <w:lang w:eastAsia="en-AU"/>
              </w:rPr>
            </w:pPr>
            <w:r w:rsidRPr="00117B80">
              <w:rPr>
                <w:rFonts w:ascii="Arial Narrow" w:hAnsi="Arial Narrow"/>
                <w:color w:val="000000"/>
                <w:sz w:val="20"/>
                <w:szCs w:val="20"/>
                <w:lang w:eastAsia="en-AU"/>
              </w:rPr>
              <w:t xml:space="preserve">p </w:t>
            </w:r>
            <w:r w:rsidRPr="00117B80">
              <w:rPr>
                <w:rFonts w:ascii="Arial Narrow" w:hAnsi="Arial Narrow"/>
                <w:b/>
                <w:bCs/>
                <w:color w:val="000000"/>
                <w:sz w:val="20"/>
                <w:szCs w:val="20"/>
                <w:lang w:eastAsia="en-AU"/>
              </w:rPr>
              <w:t>0.02 lower</w:t>
            </w:r>
            <w:r w:rsidRPr="00117B80">
              <w:rPr>
                <w:rFonts w:ascii="Arial Narrow" w:hAnsi="Arial Narrow"/>
                <w:color w:val="000000"/>
                <w:sz w:val="20"/>
                <w:szCs w:val="20"/>
                <w:lang w:eastAsia="en-AU"/>
              </w:rPr>
              <w:br/>
              <w:t xml:space="preserve">(CI NR) </w:t>
            </w:r>
          </w:p>
        </w:tc>
      </w:tr>
      <w:tr w:rsidR="00855C5F" w:rsidRPr="00117B80" w:rsidTr="003F58A4">
        <w:tc>
          <w:tcPr>
            <w:tcW w:w="2084" w:type="dxa"/>
            <w:tcBorders>
              <w:top w:val="single" w:sz="6" w:space="0" w:color="000000"/>
              <w:left w:val="nil"/>
              <w:bottom w:val="single" w:sz="6" w:space="0" w:color="000000"/>
              <w:right w:val="nil"/>
            </w:tcBorders>
            <w:hideMark/>
          </w:tcPr>
          <w:p w:rsidR="00855C5F" w:rsidRPr="00117B80" w:rsidRDefault="00855C5F" w:rsidP="00855C5F">
            <w:pPr>
              <w:spacing w:after="200"/>
              <w:jc w:val="left"/>
              <w:rPr>
                <w:rFonts w:ascii="Arial Narrow" w:hAnsi="Arial Narrow"/>
                <w:color w:val="000000"/>
                <w:sz w:val="20"/>
                <w:szCs w:val="20"/>
                <w:lang w:eastAsia="en-AU"/>
              </w:rPr>
            </w:pPr>
            <w:r w:rsidRPr="00117B80">
              <w:rPr>
                <w:rFonts w:ascii="Arial Narrow" w:hAnsi="Arial Narrow"/>
                <w:b/>
                <w:bCs/>
                <w:color w:val="000000"/>
                <w:sz w:val="20"/>
                <w:szCs w:val="20"/>
                <w:lang w:eastAsia="en-AU"/>
              </w:rPr>
              <w:t>Change in QRS</w:t>
            </w:r>
            <w:r w:rsidRPr="00117B80">
              <w:rPr>
                <w:rFonts w:ascii="Arial Narrow" w:hAnsi="Arial Narrow"/>
                <w:color w:val="000000"/>
                <w:sz w:val="20"/>
                <w:szCs w:val="20"/>
                <w:lang w:eastAsia="en-AU"/>
              </w:rPr>
              <w:br/>
              <w:t>assessed with: ms</w:t>
            </w:r>
            <w:r w:rsidRPr="00117B80">
              <w:rPr>
                <w:rFonts w:ascii="Arial Narrow" w:hAnsi="Arial Narrow"/>
                <w:color w:val="000000"/>
                <w:sz w:val="20"/>
                <w:szCs w:val="20"/>
                <w:lang w:eastAsia="en-AU"/>
              </w:rPr>
              <w:br/>
              <w:t xml:space="preserve">follow up: 6 months </w:t>
            </w:r>
          </w:p>
        </w:tc>
        <w:tc>
          <w:tcPr>
            <w:tcW w:w="1176" w:type="dxa"/>
            <w:tcBorders>
              <w:top w:val="single" w:sz="6" w:space="0" w:color="000000"/>
              <w:left w:val="nil"/>
              <w:bottom w:val="single" w:sz="6" w:space="0" w:color="000000"/>
              <w:right w:val="nil"/>
            </w:tcBorders>
            <w:hideMark/>
          </w:tcPr>
          <w:p w:rsidR="00855C5F" w:rsidRPr="00117B80" w:rsidRDefault="00855C5F" w:rsidP="00855C5F">
            <w:pPr>
              <w:spacing w:after="200"/>
              <w:jc w:val="left"/>
              <w:rPr>
                <w:rFonts w:ascii="Arial Narrow" w:hAnsi="Arial Narrow"/>
                <w:color w:val="000000"/>
                <w:sz w:val="20"/>
                <w:szCs w:val="20"/>
                <w:lang w:eastAsia="en-AU"/>
              </w:rPr>
            </w:pPr>
            <w:r w:rsidRPr="00117B80">
              <w:rPr>
                <w:rFonts w:ascii="Arial Narrow" w:hAnsi="Arial Narrow"/>
                <w:color w:val="000000"/>
                <w:sz w:val="20"/>
                <w:szCs w:val="20"/>
                <w:lang w:eastAsia="en-AU"/>
              </w:rPr>
              <w:t>26</w:t>
            </w:r>
            <w:r w:rsidRPr="00117B80">
              <w:rPr>
                <w:rFonts w:ascii="Arial Narrow" w:hAnsi="Arial Narrow"/>
                <w:color w:val="000000"/>
                <w:sz w:val="20"/>
                <w:szCs w:val="20"/>
                <w:lang w:eastAsia="en-AU"/>
              </w:rPr>
              <w:br/>
              <w:t>(1 RCT)</w:t>
            </w:r>
            <w:r w:rsidRPr="00117B80">
              <w:rPr>
                <w:rFonts w:ascii="Arial Narrow" w:hAnsi="Arial Narrow"/>
                <w:color w:val="000000"/>
                <w:sz w:val="20"/>
                <w:szCs w:val="20"/>
                <w:lang w:eastAsia="en-AU"/>
              </w:rPr>
              <w:br/>
              <w:t xml:space="preserve">6 months </w:t>
            </w:r>
          </w:p>
        </w:tc>
        <w:tc>
          <w:tcPr>
            <w:tcW w:w="1493" w:type="dxa"/>
            <w:tcBorders>
              <w:top w:val="single" w:sz="6" w:space="0" w:color="000000"/>
              <w:left w:val="nil"/>
              <w:bottom w:val="single" w:sz="6" w:space="0" w:color="000000"/>
              <w:right w:val="nil"/>
            </w:tcBorders>
            <w:hideMark/>
          </w:tcPr>
          <w:p w:rsidR="00855C5F" w:rsidRPr="00117B80" w:rsidRDefault="009A0532" w:rsidP="00855C5F">
            <w:pPr>
              <w:spacing w:after="200"/>
              <w:jc w:val="left"/>
              <w:rPr>
                <w:rFonts w:ascii="Arial Narrow" w:hAnsi="Arial Narrow"/>
                <w:color w:val="000000"/>
                <w:sz w:val="20"/>
                <w:szCs w:val="20"/>
                <w:lang w:eastAsia="en-AU"/>
              </w:rPr>
            </w:pPr>
            <w:r w:rsidRPr="00117B80">
              <w:rPr>
                <w:rFonts w:ascii="Cambria Math" w:hAnsi="Cambria Math"/>
                <w:color w:val="00B050"/>
                <w:sz w:val="20"/>
                <w:szCs w:val="20"/>
              </w:rPr>
              <w:t>⨁⨁</w:t>
            </w:r>
            <w:r w:rsidRPr="00117B80">
              <w:rPr>
                <w:rFonts w:ascii="Cambria Math" w:hAnsi="Cambria Math"/>
                <w:color w:val="C00000"/>
                <w:sz w:val="20"/>
                <w:szCs w:val="20"/>
              </w:rPr>
              <w:t>⨀⨀</w:t>
            </w:r>
            <w:r w:rsidR="00855C5F" w:rsidRPr="00117B80">
              <w:rPr>
                <w:rFonts w:ascii="Arial Narrow" w:hAnsi="Arial Narrow"/>
                <w:color w:val="000000"/>
                <w:sz w:val="20"/>
                <w:szCs w:val="20"/>
                <w:lang w:eastAsia="en-AU"/>
              </w:rPr>
              <w:br/>
              <w:t xml:space="preserve">LOW </w:t>
            </w:r>
            <w:r w:rsidR="00855C5F" w:rsidRPr="00117B80">
              <w:rPr>
                <w:rFonts w:ascii="Arial Narrow" w:hAnsi="Arial Narrow"/>
                <w:color w:val="000000"/>
                <w:sz w:val="20"/>
                <w:szCs w:val="20"/>
                <w:vertAlign w:val="superscript"/>
                <w:lang w:eastAsia="en-AU"/>
              </w:rPr>
              <w:t> </w:t>
            </w:r>
            <w:r w:rsidR="00855C5F" w:rsidRPr="00117B80">
              <w:rPr>
                <w:rFonts w:ascii="Arial Narrow" w:hAnsi="Arial Narrow"/>
                <w:color w:val="000000"/>
                <w:sz w:val="20"/>
                <w:szCs w:val="20"/>
                <w:u w:val="single"/>
                <w:vertAlign w:val="superscript"/>
                <w:lang w:eastAsia="en-AU"/>
              </w:rPr>
              <w:t>1</w:t>
            </w:r>
            <w:r w:rsidR="00855C5F" w:rsidRPr="00117B80">
              <w:rPr>
                <w:rFonts w:ascii="Arial Narrow" w:hAnsi="Arial Narrow"/>
                <w:color w:val="000000"/>
                <w:sz w:val="20"/>
                <w:szCs w:val="20"/>
                <w:vertAlign w:val="superscript"/>
                <w:lang w:eastAsia="en-AU"/>
              </w:rPr>
              <w:t> </w:t>
            </w:r>
            <w:r w:rsidR="00855C5F" w:rsidRPr="00117B80">
              <w:rPr>
                <w:rFonts w:ascii="Arial Narrow" w:hAnsi="Arial Narrow"/>
                <w:color w:val="000000"/>
                <w:sz w:val="20"/>
                <w:szCs w:val="20"/>
                <w:u w:val="single"/>
                <w:vertAlign w:val="superscript"/>
                <w:lang w:eastAsia="en-AU"/>
              </w:rPr>
              <w:t>3</w:t>
            </w:r>
          </w:p>
        </w:tc>
        <w:tc>
          <w:tcPr>
            <w:tcW w:w="2411" w:type="dxa"/>
            <w:tcBorders>
              <w:top w:val="single" w:sz="6" w:space="0" w:color="000000"/>
              <w:left w:val="nil"/>
              <w:bottom w:val="single" w:sz="6" w:space="0" w:color="000000"/>
              <w:right w:val="nil"/>
            </w:tcBorders>
            <w:shd w:val="clear" w:color="auto" w:fill="EDEDED"/>
            <w:hideMark/>
          </w:tcPr>
          <w:p w:rsidR="00855C5F" w:rsidRPr="00117B80" w:rsidRDefault="00855C5F" w:rsidP="00855C5F">
            <w:pPr>
              <w:spacing w:after="200"/>
              <w:jc w:val="left"/>
              <w:rPr>
                <w:rFonts w:ascii="Arial Narrow" w:hAnsi="Arial Narrow"/>
                <w:color w:val="000000"/>
                <w:sz w:val="20"/>
                <w:szCs w:val="20"/>
                <w:lang w:eastAsia="en-AU"/>
              </w:rPr>
            </w:pPr>
            <w:r w:rsidRPr="00117B80">
              <w:rPr>
                <w:rFonts w:ascii="Arial Narrow" w:hAnsi="Arial Narrow"/>
                <w:color w:val="000000"/>
                <w:sz w:val="20"/>
                <w:szCs w:val="20"/>
                <w:lang w:eastAsia="en-AU"/>
              </w:rPr>
              <w:t xml:space="preserve">The mean change in QRS in the control group was </w:t>
            </w:r>
            <w:r w:rsidRPr="00117B80">
              <w:rPr>
                <w:rFonts w:ascii="Arial Narrow" w:hAnsi="Arial Narrow"/>
                <w:b/>
                <w:bCs/>
                <w:color w:val="000000"/>
                <w:sz w:val="20"/>
                <w:szCs w:val="20"/>
                <w:lang w:eastAsia="en-AU"/>
              </w:rPr>
              <w:t>3.6</w:t>
            </w:r>
            <w:r w:rsidRPr="00117B80">
              <w:rPr>
                <w:rFonts w:ascii="Arial Narrow" w:hAnsi="Arial Narrow"/>
                <w:color w:val="000000"/>
                <w:sz w:val="20"/>
                <w:szCs w:val="20"/>
                <w:lang w:eastAsia="en-AU"/>
              </w:rPr>
              <w:t xml:space="preserve"> ms </w:t>
            </w:r>
          </w:p>
        </w:tc>
        <w:tc>
          <w:tcPr>
            <w:tcW w:w="2012" w:type="dxa"/>
            <w:tcBorders>
              <w:top w:val="single" w:sz="6" w:space="0" w:color="000000"/>
              <w:left w:val="nil"/>
              <w:bottom w:val="single" w:sz="6" w:space="0" w:color="000000"/>
              <w:right w:val="nil"/>
            </w:tcBorders>
            <w:shd w:val="clear" w:color="auto" w:fill="EDEDED"/>
            <w:hideMark/>
          </w:tcPr>
          <w:p w:rsidR="00855C5F" w:rsidRPr="00117B80" w:rsidRDefault="00855C5F" w:rsidP="00855C5F">
            <w:pPr>
              <w:spacing w:after="200"/>
              <w:jc w:val="left"/>
              <w:rPr>
                <w:rFonts w:ascii="Arial Narrow" w:hAnsi="Arial Narrow"/>
                <w:color w:val="000000"/>
                <w:sz w:val="20"/>
                <w:szCs w:val="20"/>
                <w:lang w:eastAsia="en-AU"/>
              </w:rPr>
            </w:pPr>
            <w:r w:rsidRPr="00117B80">
              <w:rPr>
                <w:rFonts w:ascii="Arial Narrow" w:hAnsi="Arial Narrow"/>
                <w:color w:val="000000"/>
                <w:sz w:val="20"/>
                <w:szCs w:val="20"/>
                <w:lang w:eastAsia="en-AU"/>
              </w:rPr>
              <w:t xml:space="preserve">MD </w:t>
            </w:r>
            <w:r w:rsidRPr="00117B80">
              <w:rPr>
                <w:rFonts w:ascii="Arial Narrow" w:hAnsi="Arial Narrow"/>
                <w:b/>
                <w:bCs/>
                <w:color w:val="000000"/>
                <w:sz w:val="20"/>
                <w:szCs w:val="20"/>
                <w:lang w:eastAsia="en-AU"/>
              </w:rPr>
              <w:t>6 lower</w:t>
            </w:r>
            <w:r w:rsidRPr="00117B80">
              <w:rPr>
                <w:rFonts w:ascii="Arial Narrow" w:hAnsi="Arial Narrow"/>
                <w:color w:val="000000"/>
                <w:sz w:val="20"/>
                <w:szCs w:val="20"/>
                <w:lang w:eastAsia="en-AU"/>
              </w:rPr>
              <w:br/>
              <w:t xml:space="preserve">(CI NR) </w:t>
            </w:r>
          </w:p>
        </w:tc>
      </w:tr>
    </w:tbl>
    <w:p w:rsidR="00091E8E" w:rsidRDefault="00144487" w:rsidP="00117B80">
      <w:pPr>
        <w:pStyle w:val="TableNote"/>
        <w:rPr>
          <w:lang w:val="en"/>
        </w:rPr>
      </w:pPr>
      <w:r>
        <w:rPr>
          <w:lang w:val="en"/>
        </w:rPr>
        <w:t>CI</w:t>
      </w:r>
      <w:r w:rsidR="00117B80" w:rsidRPr="00117B80">
        <w:rPr>
          <w:spacing w:val="-20"/>
          <w:lang w:val="en"/>
        </w:rPr>
        <w:t xml:space="preserve"> = </w:t>
      </w:r>
      <w:r w:rsidR="00117B80" w:rsidRPr="00117B80">
        <w:rPr>
          <w:lang w:val="en"/>
        </w:rPr>
        <w:t xml:space="preserve">confidence interval; RCT </w:t>
      </w:r>
      <w:r w:rsidR="00117B80" w:rsidRPr="00117B80">
        <w:rPr>
          <w:spacing w:val="-20"/>
          <w:lang w:val="en"/>
        </w:rPr>
        <w:t xml:space="preserve">= </w:t>
      </w:r>
      <w:r>
        <w:rPr>
          <w:lang w:val="en"/>
        </w:rPr>
        <w:t xml:space="preserve">randomised controlled trial; NR </w:t>
      </w:r>
      <w:r w:rsidR="00117B80" w:rsidRPr="00117B80">
        <w:rPr>
          <w:lang w:val="en"/>
        </w:rPr>
        <w:t>= not reported; QRS = (see footnote 13)</w:t>
      </w:r>
    </w:p>
    <w:p w:rsidR="00117B80" w:rsidRPr="00117B80" w:rsidRDefault="00117B80" w:rsidP="00117B80">
      <w:pPr>
        <w:pStyle w:val="TableNote"/>
        <w:rPr>
          <w:color w:val="000000"/>
        </w:rPr>
      </w:pPr>
      <w:r>
        <w:rPr>
          <w:color w:val="000000"/>
        </w:rPr>
        <w:t xml:space="preserve">1. </w:t>
      </w:r>
      <w:r w:rsidRPr="00117B80">
        <w:rPr>
          <w:color w:val="000000"/>
        </w:rPr>
        <w:t>Small participant numbers</w:t>
      </w:r>
    </w:p>
    <w:p w:rsidR="00117B80" w:rsidRPr="00117B80" w:rsidRDefault="00117B80" w:rsidP="00117B80">
      <w:pPr>
        <w:pStyle w:val="TableNote"/>
        <w:rPr>
          <w:color w:val="000000"/>
        </w:rPr>
      </w:pPr>
      <w:r>
        <w:rPr>
          <w:color w:val="000000"/>
        </w:rPr>
        <w:t xml:space="preserve">2. </w:t>
      </w:r>
      <w:r w:rsidRPr="00117B80">
        <w:rPr>
          <w:color w:val="000000"/>
        </w:rPr>
        <w:t>Inadequate reporting</w:t>
      </w:r>
    </w:p>
    <w:p w:rsidR="00117B80" w:rsidRPr="00091E8E" w:rsidRDefault="00117B80" w:rsidP="00117B80">
      <w:pPr>
        <w:pStyle w:val="TableNote"/>
      </w:pPr>
      <w:r>
        <w:rPr>
          <w:color w:val="000000"/>
        </w:rPr>
        <w:t xml:space="preserve">3. </w:t>
      </w:r>
      <w:r w:rsidRPr="00117B80">
        <w:rPr>
          <w:color w:val="000000"/>
        </w:rPr>
        <w:t>Surrogate outcome</w:t>
      </w:r>
    </w:p>
    <w:p w:rsidR="001C3FAF" w:rsidRPr="00A979FB" w:rsidRDefault="001C3FAF" w:rsidP="00A979FB">
      <w:pPr>
        <w:pStyle w:val="Heading5"/>
      </w:pPr>
      <w:r w:rsidRPr="00A979FB">
        <w:t>Pain</w:t>
      </w:r>
    </w:p>
    <w:p w:rsidR="001C3FAF" w:rsidRPr="000756DF" w:rsidRDefault="001C3FAF" w:rsidP="001C3FAF">
      <w:r>
        <w:t>Schiffmann (2001)</w:t>
      </w:r>
      <w:r w:rsidRPr="000756DF">
        <w:t xml:space="preserve"> measured </w:t>
      </w:r>
      <w:r>
        <w:t>p</w:t>
      </w:r>
      <w:r w:rsidRPr="000756DF">
        <w:t xml:space="preserve">ain </w:t>
      </w:r>
      <w:r w:rsidR="006E04C5">
        <w:t>–</w:t>
      </w:r>
      <w:r>
        <w:t xml:space="preserve"> </w:t>
      </w:r>
      <w:r w:rsidRPr="000756DF">
        <w:t xml:space="preserve">as </w:t>
      </w:r>
      <w:r>
        <w:t>the</w:t>
      </w:r>
      <w:r w:rsidRPr="000756DF">
        <w:t xml:space="preserve"> primary outcome </w:t>
      </w:r>
      <w:r w:rsidR="006E04C5">
        <w:t>–</w:t>
      </w:r>
      <w:r>
        <w:t xml:space="preserve"> </w:t>
      </w:r>
      <w:r w:rsidRPr="000756DF">
        <w:t xml:space="preserve">using the Brief Pain Inventory </w:t>
      </w:r>
      <w:r>
        <w:t xml:space="preserve">at </w:t>
      </w:r>
      <w:r w:rsidRPr="000756DF">
        <w:t xml:space="preserve">1 to 3 months, 3 to 5 months and 5 to 6 months </w:t>
      </w:r>
      <w:r>
        <w:t>(</w:t>
      </w:r>
      <w:r w:rsidR="00A72B26" w:rsidRPr="00305731">
        <w:t xml:space="preserve">Table </w:t>
      </w:r>
      <w:r w:rsidR="00A72B26">
        <w:rPr>
          <w:noProof/>
        </w:rPr>
        <w:t>36</w:t>
      </w:r>
      <w:r>
        <w:t xml:space="preserve">) </w:t>
      </w:r>
      <w:r w:rsidR="00BC0D72">
        <w:rPr>
          <w:noProof/>
        </w:rPr>
        <w:t>(</w:t>
      </w:r>
      <w:r w:rsidR="00184B6F">
        <w:rPr>
          <w:noProof/>
        </w:rPr>
        <w:t>Schiffmann et al. 2001</w:t>
      </w:r>
      <w:r w:rsidR="00BC0D72">
        <w:rPr>
          <w:noProof/>
        </w:rPr>
        <w:t>)</w:t>
      </w:r>
      <w:r w:rsidRPr="000756DF">
        <w:t>. When the Inventory was used to measure pain severity</w:t>
      </w:r>
      <w:r>
        <w:t xml:space="preserve"> (on a scale of 0 to 10)</w:t>
      </w:r>
      <w:r w:rsidRPr="000756DF">
        <w:t xml:space="preserve">, there was a statistically significant difference between patients randomised to agalsidase alfa and placebo at all three time points, with results </w:t>
      </w:r>
      <w:r>
        <w:t>indicating reduced pain in those</w:t>
      </w:r>
      <w:r w:rsidRPr="000756DF">
        <w:t xml:space="preserve"> receiving the drug. The mean difference between groups was -2.10 (95%CI -3.79 to -0.41) over 1-3 months, -1.90 (95%CI -3.65 to -0.15) over 3-5 months and -2.00 (95%CI -3.66 to -0.34) over 5-6 months. Schiffmann </w:t>
      </w:r>
      <w:r>
        <w:t>(2001)</w:t>
      </w:r>
      <w:r w:rsidRPr="000756DF">
        <w:t xml:space="preserve"> also reported that 4 out of 11 </w:t>
      </w:r>
      <w:r>
        <w:t xml:space="preserve">(36%) </w:t>
      </w:r>
      <w:r w:rsidRPr="000756DF">
        <w:t>patients in the agalsidase alfa group were able to cease neuropathic pain medication after a</w:t>
      </w:r>
      <w:r>
        <w:t>n average</w:t>
      </w:r>
      <w:r w:rsidRPr="000756DF">
        <w:t xml:space="preserve"> of 30.5 days of treatment, compared to 0 out of 11 </w:t>
      </w:r>
      <w:r>
        <w:t>(0%) patients</w:t>
      </w:r>
      <w:r w:rsidRPr="000756DF">
        <w:t xml:space="preserve"> in the placebo group (p</w:t>
      </w:r>
      <w:r w:rsidR="00652355" w:rsidRPr="00652355">
        <w:rPr>
          <w:spacing w:val="-20"/>
        </w:rPr>
        <w:t xml:space="preserve"> = </w:t>
      </w:r>
      <w:r w:rsidRPr="000756DF">
        <w:t xml:space="preserve">0.03). In addition patients taking agalsidase alfa lasted longer without pain medications </w:t>
      </w:r>
      <w:r>
        <w:t>than</w:t>
      </w:r>
      <w:r w:rsidRPr="000756DF">
        <w:t xml:space="preserve"> </w:t>
      </w:r>
      <w:r w:rsidRPr="000756DF">
        <w:lastRenderedPageBreak/>
        <w:t xml:space="preserve">those </w:t>
      </w:r>
      <w:r>
        <w:t>receiving</w:t>
      </w:r>
      <w:r w:rsidRPr="000756DF">
        <w:t xml:space="preserve"> placebo (74.5 days versus 12.9 days, p</w:t>
      </w:r>
      <w:r w:rsidR="00652355" w:rsidRPr="00652355">
        <w:rPr>
          <w:spacing w:val="-20"/>
        </w:rPr>
        <w:t xml:space="preserve"> = </w:t>
      </w:r>
      <w:r w:rsidRPr="000756DF">
        <w:t>0.02)</w:t>
      </w:r>
      <w:r w:rsidR="009478A8">
        <w:t xml:space="preserve"> </w:t>
      </w:r>
      <w:r w:rsidR="00BC0D72">
        <w:rPr>
          <w:noProof/>
        </w:rPr>
        <w:t>(</w:t>
      </w:r>
      <w:r w:rsidR="00184B6F">
        <w:rPr>
          <w:noProof/>
        </w:rPr>
        <w:t>Schiffmann et al. 2001</w:t>
      </w:r>
      <w:r w:rsidR="00BC0D72">
        <w:rPr>
          <w:noProof/>
        </w:rPr>
        <w:t>)</w:t>
      </w:r>
      <w:r w:rsidRPr="000756DF">
        <w:t>.</w:t>
      </w:r>
      <w:r>
        <w:t xml:space="preserve"> These differences in pain tolerance are likely to be important to patients.</w:t>
      </w:r>
    </w:p>
    <w:p w:rsidR="001C3FAF" w:rsidRPr="000756DF" w:rsidRDefault="001C3FAF" w:rsidP="001C3FAF">
      <w:r w:rsidRPr="000756DF">
        <w:t xml:space="preserve">There was a statistically significant difference </w:t>
      </w:r>
      <w:r>
        <w:t>in</w:t>
      </w:r>
      <w:r w:rsidRPr="000756DF">
        <w:t xml:space="preserve"> quality of life</w:t>
      </w:r>
      <w:r>
        <w:t>,</w:t>
      </w:r>
      <w:r w:rsidRPr="000756DF">
        <w:t xml:space="preserve"> </w:t>
      </w:r>
      <w:r>
        <w:t xml:space="preserve">as measured with the </w:t>
      </w:r>
      <w:r w:rsidRPr="000756DF">
        <w:t>Brief Pain Inventory</w:t>
      </w:r>
      <w:r>
        <w:t>,</w:t>
      </w:r>
      <w:r w:rsidRPr="000756DF">
        <w:t xml:space="preserve"> over 5-6 months</w:t>
      </w:r>
      <w:r>
        <w:t>,</w:t>
      </w:r>
      <w:r w:rsidRPr="000756DF">
        <w:t xml:space="preserve"> again favouring the agalsidase alfa group</w:t>
      </w:r>
      <w:r>
        <w:t xml:space="preserve"> </w:t>
      </w:r>
      <w:r w:rsidRPr="000756DF">
        <w:t xml:space="preserve">(mean difference -2.1, 95%CI -3.92 to -0.28). The outcomes at 1-3 months and 3-5 months were not statistically significant but also favoured the agalsidase alfa </w:t>
      </w:r>
      <w:r>
        <w:t>treatment arm</w:t>
      </w:r>
      <w:r w:rsidRPr="000756DF">
        <w:t>. The Brief Pain Inventory results were considered</w:t>
      </w:r>
      <w:r>
        <w:t xml:space="preserve"> to be</w:t>
      </w:r>
      <w:r w:rsidRPr="000756DF">
        <w:t xml:space="preserve"> direct </w:t>
      </w:r>
      <w:r>
        <w:t xml:space="preserve">patient-relevant </w:t>
      </w:r>
      <w:r w:rsidRPr="000756DF">
        <w:t>outcomes</w:t>
      </w:r>
      <w:r>
        <w:t>,</w:t>
      </w:r>
      <w:r w:rsidRPr="000756DF">
        <w:t xml:space="preserve"> </w:t>
      </w:r>
      <w:r>
        <w:t>with findings of</w:t>
      </w:r>
      <w:r w:rsidRPr="000756DF">
        <w:t xml:space="preserve"> </w:t>
      </w:r>
      <w:r w:rsidRPr="000756DF">
        <w:rPr>
          <w:i/>
        </w:rPr>
        <w:t>moderate</w:t>
      </w:r>
      <w:r w:rsidRPr="000756DF">
        <w:t xml:space="preserve"> quality </w:t>
      </w:r>
      <w:r>
        <w:t>(</w:t>
      </w:r>
      <w:r w:rsidRPr="000756DF">
        <w:t>GRADE</w:t>
      </w:r>
      <w:r>
        <w:t xml:space="preserv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rsidRPr="000756DF">
        <w:t>.</w:t>
      </w:r>
    </w:p>
    <w:p w:rsidR="001C3FAF" w:rsidRDefault="001C3FAF" w:rsidP="001C3FAF">
      <w:pPr>
        <w:pStyle w:val="Caption"/>
        <w:keepNext/>
        <w:tabs>
          <w:tab w:val="clear" w:pos="851"/>
          <w:tab w:val="left" w:pos="1134"/>
        </w:tabs>
        <w:ind w:left="1134" w:hanging="1134"/>
      </w:pPr>
      <w:bookmarkStart w:id="198" w:name="_Ref405842093"/>
      <w:bookmarkStart w:id="199" w:name="_Toc411510418"/>
      <w:bookmarkStart w:id="200" w:name="_Toc415141833"/>
      <w:r w:rsidRPr="00305731">
        <w:lastRenderedPageBreak/>
        <w:t xml:space="preserve">Table </w:t>
      </w:r>
      <w:r w:rsidR="00A72B26">
        <w:rPr>
          <w:noProof/>
        </w:rPr>
        <w:t>36</w:t>
      </w:r>
      <w:bookmarkEnd w:id="198"/>
      <w:r w:rsidRPr="00305731">
        <w:t xml:space="preserve"> </w:t>
      </w:r>
      <w:r>
        <w:tab/>
      </w:r>
      <w:r w:rsidRPr="00305731">
        <w:t xml:space="preserve">Comparison of Brief Pain Inventory outcomes in patients randomised to </w:t>
      </w:r>
      <w:r>
        <w:t>receive</w:t>
      </w:r>
      <w:r w:rsidRPr="00305731">
        <w:t xml:space="preserve"> either agalsidase alfa or placebo </w:t>
      </w:r>
      <w:r w:rsidR="00BC0D72">
        <w:rPr>
          <w:noProof/>
        </w:rPr>
        <w:t>(</w:t>
      </w:r>
      <w:r w:rsidR="00184B6F">
        <w:rPr>
          <w:noProof/>
        </w:rPr>
        <w:t>El Dib, R P, Nascimento &amp; Pastores 2013</w:t>
      </w:r>
      <w:r w:rsidR="00BC0D72">
        <w:rPr>
          <w:noProof/>
        </w:rPr>
        <w:t xml:space="preserve">; </w:t>
      </w:r>
      <w:r w:rsidR="00184B6F">
        <w:rPr>
          <w:noProof/>
        </w:rPr>
        <w:t>Schiffmann et al. 2001</w:t>
      </w:r>
      <w:r w:rsidR="00BC0D72">
        <w:rPr>
          <w:noProof/>
        </w:rPr>
        <w:t>)</w:t>
      </w:r>
      <w:bookmarkEnd w:id="199"/>
      <w:bookmarkEnd w:id="200"/>
    </w:p>
    <w:tbl>
      <w:tblPr>
        <w:tblW w:w="5000" w:type="pct"/>
        <w:tblCellMar>
          <w:top w:w="75" w:type="dxa"/>
          <w:left w:w="75" w:type="dxa"/>
          <w:bottom w:w="75" w:type="dxa"/>
          <w:right w:w="75" w:type="dxa"/>
        </w:tblCellMar>
        <w:tblLook w:val="04A0" w:firstRow="1" w:lastRow="0" w:firstColumn="1" w:lastColumn="0" w:noHBand="0" w:noVBand="1"/>
        <w:tblCaption w:val="Table 34  Comparison of Brief Pain Inventory outcomes in patients randomised to receive either agalsidase alfa or placebo (El Dib, R P, Nascimento &amp; Pastores 2013; Schiffmann et al. 2001)"/>
      </w:tblPr>
      <w:tblGrid>
        <w:gridCol w:w="2365"/>
        <w:gridCol w:w="1299"/>
        <w:gridCol w:w="1364"/>
        <w:gridCol w:w="2300"/>
        <w:gridCol w:w="1848"/>
      </w:tblGrid>
      <w:tr w:rsidR="00117B80" w:rsidRPr="001B3113" w:rsidTr="00B37104">
        <w:trPr>
          <w:trHeight w:val="1056"/>
          <w:tblHeader/>
        </w:trPr>
        <w:tc>
          <w:tcPr>
            <w:tcW w:w="1289" w:type="pct"/>
            <w:tcBorders>
              <w:top w:val="single" w:sz="12" w:space="0" w:color="000000"/>
              <w:left w:val="nil"/>
              <w:bottom w:val="single" w:sz="6" w:space="0" w:color="000000"/>
              <w:right w:val="nil"/>
            </w:tcBorders>
            <w:shd w:val="clear" w:color="auto" w:fill="3271AA"/>
            <w:hideMark/>
          </w:tcPr>
          <w:p w:rsidR="00117B80" w:rsidRPr="00CB33FA" w:rsidRDefault="00117B80" w:rsidP="00117B80">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708" w:type="pct"/>
            <w:tcBorders>
              <w:top w:val="single" w:sz="12" w:space="0" w:color="000000"/>
              <w:left w:val="nil"/>
              <w:bottom w:val="single" w:sz="6" w:space="0" w:color="000000"/>
              <w:right w:val="nil"/>
            </w:tcBorders>
            <w:shd w:val="clear" w:color="auto" w:fill="3271AA"/>
            <w:hideMark/>
          </w:tcPr>
          <w:p w:rsidR="00117B80" w:rsidRPr="00CB33FA" w:rsidRDefault="00117B80" w:rsidP="00117B80">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743" w:type="pct"/>
            <w:tcBorders>
              <w:top w:val="single" w:sz="12" w:space="0" w:color="000000"/>
              <w:left w:val="nil"/>
              <w:bottom w:val="single" w:sz="6" w:space="0" w:color="000000"/>
              <w:right w:val="nil"/>
            </w:tcBorders>
            <w:shd w:val="clear" w:color="auto" w:fill="3271AA"/>
            <w:hideMark/>
          </w:tcPr>
          <w:p w:rsidR="00117B80" w:rsidRPr="00CB33FA" w:rsidRDefault="00117B80" w:rsidP="00117B80">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1253" w:type="pct"/>
            <w:tcBorders>
              <w:top w:val="single" w:sz="12" w:space="0" w:color="000000"/>
              <w:left w:val="nil"/>
            </w:tcBorders>
            <w:shd w:val="clear" w:color="auto" w:fill="D3D3D3"/>
          </w:tcPr>
          <w:p w:rsidR="00117B80" w:rsidRPr="00CB33FA" w:rsidRDefault="00117B80" w:rsidP="00117B80">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Supportive care plus placebo</w:t>
            </w:r>
          </w:p>
        </w:tc>
        <w:tc>
          <w:tcPr>
            <w:tcW w:w="1007" w:type="pct"/>
            <w:tcBorders>
              <w:top w:val="single" w:sz="12" w:space="0" w:color="000000"/>
              <w:left w:val="nil"/>
              <w:right w:val="nil"/>
            </w:tcBorders>
            <w:shd w:val="clear" w:color="auto" w:fill="D3D3D3"/>
          </w:tcPr>
          <w:p w:rsidR="00117B80" w:rsidRPr="00CB33FA" w:rsidRDefault="00117B80" w:rsidP="00117B80">
            <w:pPr>
              <w:keepNext/>
              <w:spacing w:after="0"/>
              <w:jc w:val="left"/>
              <w:rPr>
                <w:rFonts w:ascii="Arial Narrow" w:hAnsi="Arial Narrow"/>
                <w:b/>
                <w:bCs/>
                <w:color w:val="D9D9D9" w:themeColor="background1" w:themeShade="D9"/>
                <w:sz w:val="20"/>
                <w:szCs w:val="20"/>
                <w:lang w:eastAsia="en-AU"/>
              </w:rPr>
            </w:pPr>
            <w:r w:rsidRPr="00CB33FA">
              <w:rPr>
                <w:rFonts w:ascii="Arial Narrow" w:hAnsi="Arial Narrow"/>
                <w:b/>
                <w:bCs/>
                <w:color w:val="000000"/>
                <w:sz w:val="20"/>
                <w:szCs w:val="20"/>
                <w:lang w:eastAsia="en-AU"/>
              </w:rPr>
              <w:t>Risk difference with Agalsidase alfa</w:t>
            </w:r>
          </w:p>
        </w:tc>
      </w:tr>
      <w:tr w:rsidR="00855C5F" w:rsidRPr="001B3113" w:rsidTr="00B86828">
        <w:tc>
          <w:tcPr>
            <w:tcW w:w="1289" w:type="pct"/>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Pain severity</w:t>
            </w:r>
            <w:r w:rsidRPr="00CB33FA">
              <w:rPr>
                <w:rFonts w:ascii="Arial Narrow" w:hAnsi="Arial Narrow"/>
                <w:color w:val="000000"/>
                <w:sz w:val="20"/>
                <w:szCs w:val="20"/>
                <w:lang w:eastAsia="en-AU"/>
              </w:rPr>
              <w:br/>
              <w:t>assessed with: The Brief Pain Inventory Severity score</w:t>
            </w:r>
            <w:r w:rsidRPr="00CB33FA">
              <w:rPr>
                <w:rFonts w:ascii="Arial Narrow" w:hAnsi="Arial Narrow"/>
                <w:color w:val="000000"/>
                <w:sz w:val="20"/>
                <w:szCs w:val="20"/>
                <w:lang w:eastAsia="en-AU"/>
              </w:rPr>
              <w:br/>
              <w:t xml:space="preserve">follow up: 1 to 3 months </w:t>
            </w:r>
          </w:p>
        </w:tc>
        <w:tc>
          <w:tcPr>
            <w:tcW w:w="708" w:type="pct"/>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1 to 3 months </w:t>
            </w:r>
          </w:p>
        </w:tc>
        <w:tc>
          <w:tcPr>
            <w:tcW w:w="743" w:type="pct"/>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MODERATE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p>
        </w:tc>
        <w:tc>
          <w:tcPr>
            <w:tcW w:w="1253" w:type="pct"/>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pain severity in the control group was </w:t>
            </w:r>
            <w:r w:rsidRPr="00CB33FA">
              <w:rPr>
                <w:rFonts w:ascii="Arial Narrow" w:hAnsi="Arial Narrow"/>
                <w:b/>
                <w:bCs/>
                <w:color w:val="000000"/>
                <w:sz w:val="20"/>
                <w:szCs w:val="20"/>
                <w:lang w:eastAsia="en-AU"/>
              </w:rPr>
              <w:t>5.2</w:t>
            </w:r>
            <w:r w:rsidRPr="00CB33FA">
              <w:rPr>
                <w:rFonts w:ascii="Arial Narrow" w:hAnsi="Arial Narrow"/>
                <w:color w:val="000000"/>
                <w:sz w:val="20"/>
                <w:szCs w:val="20"/>
                <w:lang w:eastAsia="en-AU"/>
              </w:rPr>
              <w:t xml:space="preserve"> (Severity scale 0-10) </w:t>
            </w:r>
          </w:p>
        </w:tc>
        <w:tc>
          <w:tcPr>
            <w:tcW w:w="1007" w:type="pct"/>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2.1 lower</w:t>
            </w:r>
            <w:r w:rsidRPr="00CB33FA">
              <w:rPr>
                <w:rFonts w:ascii="Arial Narrow" w:hAnsi="Arial Narrow"/>
                <w:color w:val="000000"/>
                <w:sz w:val="20"/>
                <w:szCs w:val="20"/>
                <w:lang w:eastAsia="en-AU"/>
              </w:rPr>
              <w:br/>
              <w:t xml:space="preserve">(3.79 lower to 0.41 lower) </w:t>
            </w:r>
          </w:p>
        </w:tc>
      </w:tr>
      <w:tr w:rsidR="00855C5F" w:rsidRPr="001B3113" w:rsidTr="00B86828">
        <w:tc>
          <w:tcPr>
            <w:tcW w:w="1289" w:type="pct"/>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Pain severity</w:t>
            </w:r>
            <w:r w:rsidRPr="00CB33FA">
              <w:rPr>
                <w:rFonts w:ascii="Arial Narrow" w:hAnsi="Arial Narrow"/>
                <w:color w:val="000000"/>
                <w:sz w:val="20"/>
                <w:szCs w:val="20"/>
                <w:lang w:eastAsia="en-AU"/>
              </w:rPr>
              <w:br/>
              <w:t>assessed with: The Brief Pain Inventory Severity score</w:t>
            </w:r>
            <w:r w:rsidRPr="00CB33FA">
              <w:rPr>
                <w:rFonts w:ascii="Arial Narrow" w:hAnsi="Arial Narrow"/>
                <w:color w:val="000000"/>
                <w:sz w:val="20"/>
                <w:szCs w:val="20"/>
                <w:lang w:eastAsia="en-AU"/>
              </w:rPr>
              <w:br/>
              <w:t xml:space="preserve">follow up: 3 to 5 months </w:t>
            </w:r>
          </w:p>
        </w:tc>
        <w:tc>
          <w:tcPr>
            <w:tcW w:w="708" w:type="pct"/>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5 months </w:t>
            </w:r>
          </w:p>
        </w:tc>
        <w:tc>
          <w:tcPr>
            <w:tcW w:w="743" w:type="pct"/>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MODERATE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p>
        </w:tc>
        <w:tc>
          <w:tcPr>
            <w:tcW w:w="1253" w:type="pct"/>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pain severity in the control group was </w:t>
            </w:r>
            <w:r w:rsidRPr="00CB33FA">
              <w:rPr>
                <w:rFonts w:ascii="Arial Narrow" w:hAnsi="Arial Narrow"/>
                <w:b/>
                <w:bCs/>
                <w:color w:val="000000"/>
                <w:sz w:val="20"/>
                <w:szCs w:val="20"/>
                <w:lang w:eastAsia="en-AU"/>
              </w:rPr>
              <w:t>5.2</w:t>
            </w:r>
            <w:r w:rsidRPr="00CB33FA">
              <w:rPr>
                <w:rFonts w:ascii="Arial Narrow" w:hAnsi="Arial Narrow"/>
                <w:color w:val="000000"/>
                <w:sz w:val="20"/>
                <w:szCs w:val="20"/>
                <w:lang w:eastAsia="en-AU"/>
              </w:rPr>
              <w:t xml:space="preserve"> (Severity scale 0-10) </w:t>
            </w:r>
          </w:p>
        </w:tc>
        <w:tc>
          <w:tcPr>
            <w:tcW w:w="1007" w:type="pct"/>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2 lower</w:t>
            </w:r>
            <w:r w:rsidRPr="00CB33FA">
              <w:rPr>
                <w:rFonts w:ascii="Arial Narrow" w:hAnsi="Arial Narrow"/>
                <w:color w:val="000000"/>
                <w:sz w:val="20"/>
                <w:szCs w:val="20"/>
                <w:lang w:eastAsia="en-AU"/>
              </w:rPr>
              <w:br/>
              <w:t xml:space="preserve">(3.65 lower to 0.15 lower) </w:t>
            </w:r>
          </w:p>
        </w:tc>
      </w:tr>
      <w:tr w:rsidR="00855C5F" w:rsidRPr="001B3113" w:rsidTr="00B86828">
        <w:tc>
          <w:tcPr>
            <w:tcW w:w="1289" w:type="pct"/>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Pain severity</w:t>
            </w:r>
            <w:r w:rsidRPr="00CB33FA">
              <w:rPr>
                <w:rFonts w:ascii="Arial Narrow" w:hAnsi="Arial Narrow"/>
                <w:color w:val="000000"/>
                <w:sz w:val="20"/>
                <w:szCs w:val="20"/>
                <w:lang w:eastAsia="en-AU"/>
              </w:rPr>
              <w:br/>
              <w:t>assessed with: The Brief Pain Inventory Severity score</w:t>
            </w:r>
            <w:r w:rsidRPr="00CB33FA">
              <w:rPr>
                <w:rFonts w:ascii="Arial Narrow" w:hAnsi="Arial Narrow"/>
                <w:color w:val="000000"/>
                <w:sz w:val="20"/>
                <w:szCs w:val="20"/>
                <w:lang w:eastAsia="en-AU"/>
              </w:rPr>
              <w:br/>
              <w:t xml:space="preserve">follow up: 5 to 6 months </w:t>
            </w:r>
          </w:p>
        </w:tc>
        <w:tc>
          <w:tcPr>
            <w:tcW w:w="708" w:type="pct"/>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5 to 6 months </w:t>
            </w:r>
          </w:p>
        </w:tc>
        <w:tc>
          <w:tcPr>
            <w:tcW w:w="743" w:type="pct"/>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MODERATE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p>
        </w:tc>
        <w:tc>
          <w:tcPr>
            <w:tcW w:w="1253" w:type="pct"/>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pain severity in the control group was </w:t>
            </w:r>
            <w:r w:rsidRPr="00CB33FA">
              <w:rPr>
                <w:rFonts w:ascii="Arial Narrow" w:hAnsi="Arial Narrow"/>
                <w:b/>
                <w:bCs/>
                <w:color w:val="000000"/>
                <w:sz w:val="20"/>
                <w:szCs w:val="20"/>
                <w:lang w:eastAsia="en-AU"/>
              </w:rPr>
              <w:t>4.7</w:t>
            </w:r>
            <w:r w:rsidRPr="00CB33FA">
              <w:rPr>
                <w:rFonts w:ascii="Arial Narrow" w:hAnsi="Arial Narrow"/>
                <w:color w:val="000000"/>
                <w:sz w:val="20"/>
                <w:szCs w:val="20"/>
                <w:lang w:eastAsia="en-AU"/>
              </w:rPr>
              <w:t xml:space="preserve"> (Severity scale 0-10) </w:t>
            </w:r>
          </w:p>
        </w:tc>
        <w:tc>
          <w:tcPr>
            <w:tcW w:w="1007" w:type="pct"/>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2 lower</w:t>
            </w:r>
            <w:r w:rsidRPr="00CB33FA">
              <w:rPr>
                <w:rFonts w:ascii="Arial Narrow" w:hAnsi="Arial Narrow"/>
                <w:color w:val="000000"/>
                <w:sz w:val="20"/>
                <w:szCs w:val="20"/>
                <w:lang w:eastAsia="en-AU"/>
              </w:rPr>
              <w:br/>
              <w:t xml:space="preserve">(3.66 lower to 0.34 lower) </w:t>
            </w:r>
          </w:p>
        </w:tc>
      </w:tr>
      <w:tr w:rsidR="00855C5F" w:rsidRPr="001B3113" w:rsidTr="00B86828">
        <w:tc>
          <w:tcPr>
            <w:tcW w:w="1289" w:type="pct"/>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Pain related quality of life</w:t>
            </w:r>
            <w:r w:rsidRPr="00CB33FA">
              <w:rPr>
                <w:rFonts w:ascii="Arial Narrow" w:hAnsi="Arial Narrow"/>
                <w:color w:val="000000"/>
                <w:sz w:val="20"/>
                <w:szCs w:val="20"/>
                <w:lang w:eastAsia="en-AU"/>
              </w:rPr>
              <w:br/>
              <w:t>assessed with: The Brief Pain Inventory Quality of Life score</w:t>
            </w:r>
            <w:r w:rsidRPr="00CB33FA">
              <w:rPr>
                <w:rFonts w:ascii="Arial Narrow" w:hAnsi="Arial Narrow"/>
                <w:color w:val="000000"/>
                <w:sz w:val="20"/>
                <w:szCs w:val="20"/>
                <w:lang w:eastAsia="en-AU"/>
              </w:rPr>
              <w:br/>
              <w:t xml:space="preserve">follow up: 1 to 3 months </w:t>
            </w:r>
          </w:p>
        </w:tc>
        <w:tc>
          <w:tcPr>
            <w:tcW w:w="708" w:type="pct"/>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1 to 3 months </w:t>
            </w:r>
          </w:p>
        </w:tc>
        <w:tc>
          <w:tcPr>
            <w:tcW w:w="743" w:type="pct"/>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MODERATE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p>
        </w:tc>
        <w:tc>
          <w:tcPr>
            <w:tcW w:w="1253" w:type="pct"/>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pain related quality of life in the control group was </w:t>
            </w:r>
            <w:r w:rsidRPr="00CB33FA">
              <w:rPr>
                <w:rFonts w:ascii="Arial Narrow" w:hAnsi="Arial Narrow"/>
                <w:b/>
                <w:bCs/>
                <w:color w:val="000000"/>
                <w:sz w:val="20"/>
                <w:szCs w:val="20"/>
                <w:lang w:eastAsia="en-AU"/>
              </w:rPr>
              <w:t>4.1</w:t>
            </w:r>
            <w:r w:rsidRPr="00CB33FA">
              <w:rPr>
                <w:rFonts w:ascii="Arial Narrow" w:hAnsi="Arial Narrow"/>
                <w:color w:val="000000"/>
                <w:sz w:val="20"/>
                <w:szCs w:val="20"/>
                <w:lang w:eastAsia="en-AU"/>
              </w:rPr>
              <w:t xml:space="preserve"> (Quality of life scale 0-10) </w:t>
            </w:r>
          </w:p>
        </w:tc>
        <w:tc>
          <w:tcPr>
            <w:tcW w:w="1007" w:type="pct"/>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0.9 lower</w:t>
            </w:r>
            <w:r w:rsidRPr="00CB33FA">
              <w:rPr>
                <w:rFonts w:ascii="Arial Narrow" w:hAnsi="Arial Narrow"/>
                <w:color w:val="000000"/>
                <w:sz w:val="20"/>
                <w:szCs w:val="20"/>
                <w:lang w:eastAsia="en-AU"/>
              </w:rPr>
              <w:br/>
              <w:t xml:space="preserve">(2.73 lower to 0.93 higher) </w:t>
            </w:r>
          </w:p>
        </w:tc>
      </w:tr>
      <w:tr w:rsidR="00855C5F" w:rsidRPr="001B3113" w:rsidTr="00B86828">
        <w:tc>
          <w:tcPr>
            <w:tcW w:w="1289" w:type="pct"/>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Pain related quality of life</w:t>
            </w:r>
            <w:r w:rsidRPr="00CB33FA">
              <w:rPr>
                <w:rFonts w:ascii="Arial Narrow" w:hAnsi="Arial Narrow"/>
                <w:color w:val="000000"/>
                <w:sz w:val="20"/>
                <w:szCs w:val="20"/>
                <w:lang w:eastAsia="en-AU"/>
              </w:rPr>
              <w:br/>
              <w:t>assessed with: The Brief Pain Inventory Quality of Life score</w:t>
            </w:r>
            <w:r w:rsidRPr="00CB33FA">
              <w:rPr>
                <w:rFonts w:ascii="Arial Narrow" w:hAnsi="Arial Narrow"/>
                <w:color w:val="000000"/>
                <w:sz w:val="20"/>
                <w:szCs w:val="20"/>
                <w:lang w:eastAsia="en-AU"/>
              </w:rPr>
              <w:br/>
              <w:t xml:space="preserve">follow up: 3 to 5 months </w:t>
            </w:r>
          </w:p>
        </w:tc>
        <w:tc>
          <w:tcPr>
            <w:tcW w:w="708" w:type="pct"/>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5 months </w:t>
            </w:r>
          </w:p>
        </w:tc>
        <w:tc>
          <w:tcPr>
            <w:tcW w:w="743" w:type="pct"/>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MODERATE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p>
        </w:tc>
        <w:tc>
          <w:tcPr>
            <w:tcW w:w="1253" w:type="pct"/>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pain related quality of life in the control group was </w:t>
            </w:r>
            <w:r w:rsidRPr="00CB33FA">
              <w:rPr>
                <w:rFonts w:ascii="Arial Narrow" w:hAnsi="Arial Narrow"/>
                <w:b/>
                <w:bCs/>
                <w:color w:val="000000"/>
                <w:sz w:val="20"/>
                <w:szCs w:val="20"/>
                <w:lang w:eastAsia="en-AU"/>
              </w:rPr>
              <w:t>4.6</w:t>
            </w:r>
            <w:r w:rsidRPr="00CB33FA">
              <w:rPr>
                <w:rFonts w:ascii="Arial Narrow" w:hAnsi="Arial Narrow"/>
                <w:color w:val="000000"/>
                <w:sz w:val="20"/>
                <w:szCs w:val="20"/>
                <w:lang w:eastAsia="en-AU"/>
              </w:rPr>
              <w:t xml:space="preserve"> (Quality of life scale 0-10) </w:t>
            </w:r>
          </w:p>
        </w:tc>
        <w:tc>
          <w:tcPr>
            <w:tcW w:w="1007" w:type="pct"/>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1.8 lower</w:t>
            </w:r>
            <w:r w:rsidRPr="00CB33FA">
              <w:rPr>
                <w:rFonts w:ascii="Arial Narrow" w:hAnsi="Arial Narrow"/>
                <w:color w:val="000000"/>
                <w:sz w:val="20"/>
                <w:szCs w:val="20"/>
                <w:lang w:eastAsia="en-AU"/>
              </w:rPr>
              <w:br/>
              <w:t xml:space="preserve">(3.77 lower to 0.17 higher) </w:t>
            </w:r>
          </w:p>
        </w:tc>
      </w:tr>
      <w:tr w:rsidR="00855C5F" w:rsidRPr="001B3113" w:rsidTr="00B86828">
        <w:tc>
          <w:tcPr>
            <w:tcW w:w="1289" w:type="pct"/>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Pain related quality of life</w:t>
            </w:r>
            <w:r w:rsidRPr="00CB33FA">
              <w:rPr>
                <w:rFonts w:ascii="Arial Narrow" w:hAnsi="Arial Narrow"/>
                <w:color w:val="000000"/>
                <w:sz w:val="20"/>
                <w:szCs w:val="20"/>
                <w:lang w:eastAsia="en-AU"/>
              </w:rPr>
              <w:br/>
              <w:t>assessed with: The Brief Pain Inventory Quality of Life score</w:t>
            </w:r>
            <w:r w:rsidRPr="00CB33FA">
              <w:rPr>
                <w:rFonts w:ascii="Arial Narrow" w:hAnsi="Arial Narrow"/>
                <w:color w:val="000000"/>
                <w:sz w:val="20"/>
                <w:szCs w:val="20"/>
                <w:lang w:eastAsia="en-AU"/>
              </w:rPr>
              <w:br/>
              <w:t xml:space="preserve">follow up: 5 to 6 months </w:t>
            </w:r>
          </w:p>
        </w:tc>
        <w:tc>
          <w:tcPr>
            <w:tcW w:w="708" w:type="pct"/>
            <w:tcBorders>
              <w:top w:val="single" w:sz="6" w:space="0" w:color="000000"/>
              <w:left w:val="nil"/>
              <w:bottom w:val="single" w:sz="6" w:space="0" w:color="000000"/>
              <w:right w:val="nil"/>
            </w:tcBorders>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5 to 6 months </w:t>
            </w:r>
          </w:p>
        </w:tc>
        <w:tc>
          <w:tcPr>
            <w:tcW w:w="743" w:type="pct"/>
            <w:tcBorders>
              <w:top w:val="single" w:sz="6" w:space="0" w:color="000000"/>
              <w:left w:val="nil"/>
              <w:bottom w:val="single" w:sz="6" w:space="0" w:color="000000"/>
              <w:right w:val="nil"/>
            </w:tcBorders>
            <w:hideMark/>
          </w:tcPr>
          <w:p w:rsidR="00855C5F" w:rsidRPr="00CB33FA" w:rsidRDefault="009A0532" w:rsidP="00117B80">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55C5F" w:rsidRPr="00CB33FA">
              <w:rPr>
                <w:rFonts w:ascii="Arial Narrow" w:hAnsi="Arial Narrow"/>
                <w:color w:val="000000"/>
                <w:sz w:val="20"/>
                <w:szCs w:val="20"/>
                <w:lang w:eastAsia="en-AU"/>
              </w:rPr>
              <w:br/>
              <w:t xml:space="preserve">MODERATE </w:t>
            </w:r>
            <w:r w:rsidR="00855C5F" w:rsidRPr="00CB33FA">
              <w:rPr>
                <w:rFonts w:ascii="Arial Narrow" w:hAnsi="Arial Narrow"/>
                <w:color w:val="000000"/>
                <w:sz w:val="20"/>
                <w:szCs w:val="20"/>
                <w:vertAlign w:val="superscript"/>
                <w:lang w:eastAsia="en-AU"/>
              </w:rPr>
              <w:t> </w:t>
            </w:r>
            <w:r w:rsidR="00855C5F" w:rsidRPr="00CB33FA">
              <w:rPr>
                <w:rFonts w:ascii="Arial Narrow" w:hAnsi="Arial Narrow"/>
                <w:color w:val="000000"/>
                <w:sz w:val="20"/>
                <w:szCs w:val="20"/>
                <w:u w:val="single"/>
                <w:vertAlign w:val="superscript"/>
                <w:lang w:eastAsia="en-AU"/>
              </w:rPr>
              <w:t>1</w:t>
            </w:r>
          </w:p>
        </w:tc>
        <w:tc>
          <w:tcPr>
            <w:tcW w:w="1253" w:type="pct"/>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pain related quality of life in the control group was </w:t>
            </w:r>
            <w:r w:rsidRPr="00CB33FA">
              <w:rPr>
                <w:rFonts w:ascii="Arial Narrow" w:hAnsi="Arial Narrow"/>
                <w:b/>
                <w:bCs/>
                <w:color w:val="000000"/>
                <w:sz w:val="20"/>
                <w:szCs w:val="20"/>
                <w:lang w:eastAsia="en-AU"/>
              </w:rPr>
              <w:t>4.2</w:t>
            </w:r>
            <w:r w:rsidRPr="00CB33FA">
              <w:rPr>
                <w:rFonts w:ascii="Arial Narrow" w:hAnsi="Arial Narrow"/>
                <w:color w:val="000000"/>
                <w:sz w:val="20"/>
                <w:szCs w:val="20"/>
                <w:lang w:eastAsia="en-AU"/>
              </w:rPr>
              <w:t xml:space="preserve"> (Quality of life scale 0-10) </w:t>
            </w:r>
          </w:p>
        </w:tc>
        <w:tc>
          <w:tcPr>
            <w:tcW w:w="1007" w:type="pct"/>
            <w:tcBorders>
              <w:top w:val="single" w:sz="6" w:space="0" w:color="000000"/>
              <w:left w:val="nil"/>
              <w:bottom w:val="single" w:sz="6" w:space="0" w:color="000000"/>
              <w:right w:val="nil"/>
            </w:tcBorders>
            <w:shd w:val="clear" w:color="auto" w:fill="EDEDED"/>
            <w:hideMark/>
          </w:tcPr>
          <w:p w:rsidR="00855C5F" w:rsidRPr="00CB33FA" w:rsidRDefault="00855C5F" w:rsidP="00117B80">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2.1 lower</w:t>
            </w:r>
            <w:r w:rsidRPr="00CB33FA">
              <w:rPr>
                <w:rFonts w:ascii="Arial Narrow" w:hAnsi="Arial Narrow"/>
                <w:color w:val="000000"/>
                <w:sz w:val="20"/>
                <w:szCs w:val="20"/>
                <w:lang w:eastAsia="en-AU"/>
              </w:rPr>
              <w:br/>
              <w:t xml:space="preserve">(3.92 lower to 0.28 lower) </w:t>
            </w:r>
          </w:p>
        </w:tc>
      </w:tr>
    </w:tbl>
    <w:p w:rsidR="005D19CA" w:rsidRDefault="00144487" w:rsidP="001B5185">
      <w:pPr>
        <w:pStyle w:val="TableNote"/>
        <w:ind w:left="0" w:firstLine="0"/>
        <w:rPr>
          <w:lang w:val="en"/>
        </w:rPr>
      </w:pPr>
      <w:r>
        <w:rPr>
          <w:lang w:val="en"/>
        </w:rPr>
        <w:t>RCT</w:t>
      </w:r>
      <w:r w:rsidR="00117B80" w:rsidRPr="001B3113">
        <w:rPr>
          <w:spacing w:val="-20"/>
          <w:lang w:val="en"/>
        </w:rPr>
        <w:t xml:space="preserve"> = </w:t>
      </w:r>
      <w:r w:rsidR="00117B80" w:rsidRPr="001B3113">
        <w:rPr>
          <w:lang w:val="en"/>
        </w:rPr>
        <w:t>randomised controlled trial; Brief Pain Inventory</w:t>
      </w:r>
      <w:r>
        <w:rPr>
          <w:lang w:val="en"/>
        </w:rPr>
        <w:t xml:space="preserve"> Severity scale 0 – 10, where 0</w:t>
      </w:r>
      <w:r w:rsidR="00117B80" w:rsidRPr="001B3113">
        <w:rPr>
          <w:spacing w:val="-20"/>
          <w:lang w:val="en"/>
        </w:rPr>
        <w:t xml:space="preserve"> =</w:t>
      </w:r>
      <w:r w:rsidR="00117B80" w:rsidRPr="001B3113">
        <w:rPr>
          <w:lang w:val="en"/>
        </w:rPr>
        <w:t xml:space="preserve"> no pain, and 10 </w:t>
      </w:r>
      <w:r w:rsidR="00117B80" w:rsidRPr="001B3113">
        <w:rPr>
          <w:spacing w:val="-20"/>
          <w:lang w:val="en"/>
        </w:rPr>
        <w:t xml:space="preserve">= </w:t>
      </w:r>
      <w:r>
        <w:rPr>
          <w:lang w:val="en"/>
        </w:rPr>
        <w:t xml:space="preserve"> </w:t>
      </w:r>
      <w:r w:rsidR="00117B80" w:rsidRPr="001B3113">
        <w:rPr>
          <w:lang w:val="en"/>
        </w:rPr>
        <w:t>pain as bad as you can imagine; Brief Pain Inventory Qualit</w:t>
      </w:r>
      <w:r>
        <w:rPr>
          <w:lang w:val="en"/>
        </w:rPr>
        <w:t>y of Life scale 0 – 10, where 0</w:t>
      </w:r>
      <w:r w:rsidR="00117B80" w:rsidRPr="001B3113">
        <w:rPr>
          <w:spacing w:val="-20"/>
          <w:lang w:val="en"/>
        </w:rPr>
        <w:t xml:space="preserve"> = </w:t>
      </w:r>
      <w:r w:rsidR="00117B80" w:rsidRPr="001B3113">
        <w:rPr>
          <w:lang w:val="en"/>
        </w:rPr>
        <w:t xml:space="preserve">pain does not interfere, and 10 </w:t>
      </w:r>
      <w:r w:rsidR="00117B80" w:rsidRPr="001B3113">
        <w:rPr>
          <w:spacing w:val="-20"/>
          <w:lang w:val="en"/>
        </w:rPr>
        <w:t xml:space="preserve">= </w:t>
      </w:r>
      <w:r w:rsidR="00117B80" w:rsidRPr="001B3113">
        <w:rPr>
          <w:lang w:val="en"/>
        </w:rPr>
        <w:t>pain completely int</w:t>
      </w:r>
      <w:r>
        <w:rPr>
          <w:lang w:val="en"/>
        </w:rPr>
        <w:t>erferes; MD</w:t>
      </w:r>
      <w:r w:rsidR="00117B80" w:rsidRPr="001B3113">
        <w:rPr>
          <w:spacing w:val="-20"/>
          <w:lang w:val="en"/>
        </w:rPr>
        <w:t xml:space="preserve"> = </w:t>
      </w:r>
      <w:r>
        <w:rPr>
          <w:lang w:val="en"/>
        </w:rPr>
        <w:t xml:space="preserve"> </w:t>
      </w:r>
      <w:r w:rsidR="00117B80" w:rsidRPr="001B3113">
        <w:rPr>
          <w:lang w:val="en"/>
        </w:rPr>
        <w:t xml:space="preserve">mean difference between agalsidase alfa and placebo </w:t>
      </w:r>
      <w:r w:rsidR="00D124D0" w:rsidRPr="006A44C2">
        <w:rPr>
          <w:lang w:val="en"/>
        </w:rPr>
        <w:t xml:space="preserve">(i.e. a mean difference “lower” means that the effect </w:t>
      </w:r>
      <w:r w:rsidR="00D124D0">
        <w:rPr>
          <w:lang w:val="en"/>
        </w:rPr>
        <w:t xml:space="preserve">size </w:t>
      </w:r>
      <w:r w:rsidR="00D124D0" w:rsidRPr="006A44C2">
        <w:rPr>
          <w:lang w:val="en"/>
        </w:rPr>
        <w:t xml:space="preserve">in </w:t>
      </w:r>
      <w:r w:rsidR="00D124D0">
        <w:rPr>
          <w:lang w:val="en"/>
        </w:rPr>
        <w:t xml:space="preserve">the </w:t>
      </w:r>
      <w:r w:rsidR="00D124D0" w:rsidRPr="006A44C2">
        <w:rPr>
          <w:lang w:val="en"/>
        </w:rPr>
        <w:t xml:space="preserve">agalsidase alfa </w:t>
      </w:r>
      <w:r w:rsidR="00D124D0">
        <w:rPr>
          <w:lang w:val="en"/>
        </w:rPr>
        <w:t xml:space="preserve">arm </w:t>
      </w:r>
      <w:r w:rsidR="00D124D0" w:rsidRPr="006A44C2">
        <w:rPr>
          <w:lang w:val="en"/>
        </w:rPr>
        <w:t xml:space="preserve">is lower than placebo, and conversely “higher” means that the effect </w:t>
      </w:r>
      <w:r w:rsidR="00D124D0">
        <w:rPr>
          <w:lang w:val="en"/>
        </w:rPr>
        <w:t xml:space="preserve">size </w:t>
      </w:r>
      <w:r w:rsidR="00D124D0" w:rsidRPr="006A44C2">
        <w:rPr>
          <w:lang w:val="en"/>
        </w:rPr>
        <w:t>is higher in agalsidase alfa than in placebo)</w:t>
      </w:r>
      <w:r w:rsidR="00D124D0">
        <w:rPr>
          <w:lang w:val="en"/>
        </w:rPr>
        <w:t xml:space="preserve">. In this instance, a lower </w:t>
      </w:r>
      <w:r w:rsidR="00CD39DE">
        <w:rPr>
          <w:lang w:val="en"/>
        </w:rPr>
        <w:t>pain</w:t>
      </w:r>
      <w:r w:rsidR="00D124D0">
        <w:rPr>
          <w:lang w:val="en"/>
        </w:rPr>
        <w:t xml:space="preserve"> level is beneficial to patients.</w:t>
      </w:r>
    </w:p>
    <w:p w:rsidR="00117B80" w:rsidRPr="00CB33FA" w:rsidRDefault="00117B80" w:rsidP="00117B80">
      <w:pPr>
        <w:pStyle w:val="TableNote"/>
        <w:rPr>
          <w:color w:val="000000"/>
        </w:rPr>
      </w:pPr>
      <w:r>
        <w:rPr>
          <w:color w:val="000000"/>
        </w:rPr>
        <w:t xml:space="preserve">1. </w:t>
      </w:r>
      <w:r w:rsidRPr="00CB33FA">
        <w:rPr>
          <w:color w:val="000000"/>
        </w:rPr>
        <w:t>Small participant numbers</w:t>
      </w:r>
    </w:p>
    <w:p w:rsidR="00117B80" w:rsidRPr="00CB33FA" w:rsidRDefault="00117B80" w:rsidP="00117B80">
      <w:pPr>
        <w:pStyle w:val="TableNote"/>
        <w:rPr>
          <w:color w:val="000000"/>
        </w:rPr>
      </w:pPr>
      <w:r>
        <w:rPr>
          <w:color w:val="000000"/>
        </w:rPr>
        <w:t xml:space="preserve">2. </w:t>
      </w:r>
      <w:r w:rsidRPr="00CB33FA">
        <w:rPr>
          <w:color w:val="000000"/>
        </w:rPr>
        <w:t>Inadequate reporting</w:t>
      </w:r>
    </w:p>
    <w:p w:rsidR="00117B80" w:rsidRPr="005D19CA" w:rsidRDefault="00117B80" w:rsidP="00117B80">
      <w:pPr>
        <w:pStyle w:val="TableNote"/>
      </w:pPr>
      <w:r>
        <w:rPr>
          <w:color w:val="000000"/>
        </w:rPr>
        <w:t xml:space="preserve">3. </w:t>
      </w:r>
      <w:r w:rsidRPr="00CB33FA">
        <w:rPr>
          <w:color w:val="000000"/>
        </w:rPr>
        <w:t>Surrogate outcome</w:t>
      </w:r>
    </w:p>
    <w:p w:rsidR="00117B80" w:rsidRDefault="00117B80" w:rsidP="001C3FAF">
      <w:pPr>
        <w:keepNext/>
        <w:keepLines/>
        <w:spacing w:before="120"/>
        <w:outlineLvl w:val="1"/>
        <w:rPr>
          <w:rFonts w:asciiTheme="majorHAnsi" w:hAnsiTheme="majorHAnsi" w:cstheme="minorHAnsi"/>
          <w:bCs/>
          <w:i/>
          <w:color w:val="002060"/>
        </w:rPr>
      </w:pPr>
      <w:r>
        <w:rPr>
          <w:rFonts w:asciiTheme="majorHAnsi" w:hAnsiTheme="majorHAnsi" w:cstheme="minorHAnsi"/>
          <w:bCs/>
          <w:i/>
          <w:color w:val="002060"/>
        </w:rPr>
        <w:br w:type="page"/>
      </w:r>
    </w:p>
    <w:p w:rsidR="001C3FAF" w:rsidRPr="000756DF" w:rsidRDefault="001C3FAF" w:rsidP="00A979FB">
      <w:pPr>
        <w:pStyle w:val="Heading4"/>
      </w:pPr>
      <w:r w:rsidRPr="000756DF">
        <w:lastRenderedPageBreak/>
        <w:t>Comparative safety</w:t>
      </w:r>
    </w:p>
    <w:p w:rsidR="001C3FAF" w:rsidRDefault="001C3FAF" w:rsidP="00BC3168">
      <w:r w:rsidRPr="000756DF">
        <w:t xml:space="preserve">No </w:t>
      </w:r>
      <w:r>
        <w:t>data on c</w:t>
      </w:r>
      <w:r w:rsidRPr="000756DF">
        <w:t xml:space="preserve">omparative safety were reported in the two RCTs assessing agalsidase alfa and placebo in Fabry patients </w:t>
      </w:r>
      <w:r w:rsidR="00BC0D72">
        <w:rPr>
          <w:noProof/>
        </w:rPr>
        <w:t>(</w:t>
      </w:r>
      <w:r w:rsidR="00184B6F">
        <w:rPr>
          <w:noProof/>
        </w:rPr>
        <w:t>Hughes et al. 2008</w:t>
      </w:r>
      <w:r w:rsidR="00BC0D72">
        <w:rPr>
          <w:noProof/>
        </w:rPr>
        <w:t xml:space="preserve">; </w:t>
      </w:r>
      <w:r w:rsidR="00184B6F">
        <w:rPr>
          <w:noProof/>
        </w:rPr>
        <w:t>Schiffmann et al. 2001</w:t>
      </w:r>
      <w:r w:rsidR="00BC0D72">
        <w:rPr>
          <w:noProof/>
        </w:rPr>
        <w:t>)</w:t>
      </w:r>
      <w:r w:rsidRPr="000756DF">
        <w:t>.</w:t>
      </w:r>
    </w:p>
    <w:p w:rsidR="00880211" w:rsidRPr="000756DF" w:rsidRDefault="00880211" w:rsidP="006B6882"/>
    <w:p w:rsidR="001C3FAF" w:rsidRPr="00E965BD" w:rsidRDefault="001C3FAF" w:rsidP="00A979FB">
      <w:pPr>
        <w:pStyle w:val="Heading4"/>
      </w:pPr>
      <w:r w:rsidRPr="00E965BD">
        <w:t>Effectiveness of agalsidase beta compared to placebo</w:t>
      </w:r>
    </w:p>
    <w:p w:rsidR="001C3FAF" w:rsidRPr="000756DF" w:rsidRDefault="001C3FAF" w:rsidP="001C3FAF">
      <w:r w:rsidRPr="000756DF">
        <w:t xml:space="preserve">Systematic reviews by El Dib et al </w:t>
      </w:r>
      <w:r>
        <w:t xml:space="preserve">(2013) </w:t>
      </w:r>
      <w:r w:rsidRPr="000756DF">
        <w:t xml:space="preserve">and Schaeffer et al </w:t>
      </w:r>
      <w:r>
        <w:t xml:space="preserve">(2009) </w:t>
      </w:r>
      <w:r w:rsidRPr="000756DF">
        <w:t xml:space="preserve">assessed the effectiveness of agalsidase beta compared to placebo in patients with FD. Three RCTs and relevant extension studies were identified which contributed outcome data to this question. The earliest RCT </w:t>
      </w:r>
      <w:r w:rsidR="00A130D0">
        <w:rPr>
          <w:noProof/>
        </w:rPr>
        <w:t>(</w:t>
      </w:r>
      <w:r w:rsidR="00184B6F">
        <w:rPr>
          <w:noProof/>
        </w:rPr>
        <w:t>Eng et al. 2001</w:t>
      </w:r>
      <w:r w:rsidR="00A130D0">
        <w:rPr>
          <w:noProof/>
        </w:rPr>
        <w:t>)</w:t>
      </w:r>
      <w:r w:rsidRPr="000756DF">
        <w:t xml:space="preserve"> was a multicentre, double blind study in which 58 patients were randomised to agalsidase beta or placebo (29 to each group). The trial was followed by an on-going open labelled study </w:t>
      </w:r>
      <w:r w:rsidR="0028582C">
        <w:rPr>
          <w:noProof/>
        </w:rPr>
        <w:t>(</w:t>
      </w:r>
      <w:r w:rsidR="00184B6F">
        <w:rPr>
          <w:noProof/>
        </w:rPr>
        <w:t>Thurberg et al. 2004</w:t>
      </w:r>
      <w:r w:rsidR="0028582C">
        <w:rPr>
          <w:noProof/>
        </w:rPr>
        <w:t xml:space="preserve">; </w:t>
      </w:r>
      <w:r w:rsidR="00184B6F">
        <w:rPr>
          <w:noProof/>
        </w:rPr>
        <w:t>Thurberg et al. 2002</w:t>
      </w:r>
      <w:r w:rsidR="0028582C">
        <w:rPr>
          <w:noProof/>
        </w:rPr>
        <w:t xml:space="preserve">; </w:t>
      </w:r>
      <w:r w:rsidR="00184B6F">
        <w:rPr>
          <w:noProof/>
        </w:rPr>
        <w:t>Wilcox et al. 2004</w:t>
      </w:r>
      <w:r w:rsidR="0028582C">
        <w:rPr>
          <w:noProof/>
        </w:rPr>
        <w:t>)</w:t>
      </w:r>
      <w:r w:rsidRPr="000756DF">
        <w:t xml:space="preserve">. A second RCT was a small study </w:t>
      </w:r>
      <w:r w:rsidR="00A130D0">
        <w:rPr>
          <w:noProof/>
        </w:rPr>
        <w:t>(</w:t>
      </w:r>
      <w:r w:rsidR="00184B6F">
        <w:rPr>
          <w:noProof/>
        </w:rPr>
        <w:t>Bierer et al. 2006</w:t>
      </w:r>
      <w:r w:rsidR="00A130D0">
        <w:rPr>
          <w:noProof/>
        </w:rPr>
        <w:t>)</w:t>
      </w:r>
      <w:r w:rsidRPr="000756DF">
        <w:t xml:space="preserve"> which was designed to assess the impact of ERT on cardiopulmonary exercise. Six patients were randomised 2:1 to receive agalsidase beta or placebo, and received serial cardiopulmonary exercise tests every three months for up to 18 months. In the third RCT </w:t>
      </w:r>
      <w:r w:rsidR="00BD4A3A">
        <w:rPr>
          <w:noProof/>
        </w:rPr>
        <w:t>(</w:t>
      </w:r>
      <w:r w:rsidR="00184B6F">
        <w:rPr>
          <w:noProof/>
        </w:rPr>
        <w:t>Banikazemi, M. et al. 2007</w:t>
      </w:r>
      <w:r w:rsidR="00BD4A3A">
        <w:rPr>
          <w:noProof/>
        </w:rPr>
        <w:t>)</w:t>
      </w:r>
      <w:r w:rsidRPr="000756DF">
        <w:t xml:space="preserve"> 82 patients from </w:t>
      </w:r>
      <w:r>
        <w:t>several</w:t>
      </w:r>
      <w:r w:rsidRPr="000756DF">
        <w:t xml:space="preserve"> centres were randomised 2:1 to drug or placebo. All three RCTs administered the </w:t>
      </w:r>
      <w:r>
        <w:t>agalsidase beta</w:t>
      </w:r>
      <w:r w:rsidRPr="000756DF">
        <w:t xml:space="preserve"> at a dose of 1 mg per kilogram of body weight, once fortnightly. The study populations were predominantly male. </w:t>
      </w:r>
    </w:p>
    <w:p w:rsidR="001C3FAF" w:rsidRPr="000756DF" w:rsidRDefault="001C3FAF" w:rsidP="001C3FAF">
      <w:r w:rsidRPr="000756DF">
        <w:t xml:space="preserve">Outcomes in the SR by El Dib et al </w:t>
      </w:r>
      <w:r>
        <w:t xml:space="preserve">(2013) </w:t>
      </w:r>
      <w:r w:rsidRPr="000756DF">
        <w:t>were reported as mean difference</w:t>
      </w:r>
      <w:r>
        <w:t>s</w:t>
      </w:r>
      <w:r w:rsidRPr="000756DF">
        <w:t xml:space="preserve"> with confidence intervals and are presented </w:t>
      </w:r>
      <w:r>
        <w:t>below</w:t>
      </w:r>
      <w:r w:rsidRPr="000756DF">
        <w:t xml:space="preserve"> in </w:t>
      </w:r>
      <w:r>
        <w:t xml:space="preserve">a </w:t>
      </w:r>
      <w:r w:rsidRPr="000756DF">
        <w:t xml:space="preserve">GRADE </w:t>
      </w:r>
      <w:r>
        <w:t>evidence summary</w:t>
      </w:r>
      <w:r w:rsidRPr="000756DF">
        <w:t xml:space="preserve">. Most </w:t>
      </w:r>
      <w:r>
        <w:t>findings were reported</w:t>
      </w:r>
      <w:r w:rsidRPr="000756DF">
        <w:t xml:space="preserve"> in one RCT only</w:t>
      </w:r>
      <w:r>
        <w:t>. W</w:t>
      </w:r>
      <w:r w:rsidRPr="000756DF">
        <w:t xml:space="preserve">here an outcome was assessed in more than one trial, a pooled analysis is presented. </w:t>
      </w:r>
      <w:r>
        <w:t>Any additional findings reported by Schaef</w:t>
      </w:r>
      <w:r w:rsidRPr="000756DF">
        <w:t xml:space="preserve">er et al </w:t>
      </w:r>
      <w:r>
        <w:t>(2009) were used to supplement the results presented by</w:t>
      </w:r>
      <w:r w:rsidRPr="000756DF">
        <w:t xml:space="preserve"> El Dib </w:t>
      </w:r>
      <w:r>
        <w:t>(</w:t>
      </w:r>
      <w:r w:rsidRPr="000756DF">
        <w:t>2013</w:t>
      </w:r>
      <w:r>
        <w:t>).</w:t>
      </w:r>
      <w:r w:rsidRPr="000756DF">
        <w:t xml:space="preserve"> Schaefer et al </w:t>
      </w:r>
      <w:r>
        <w:t xml:space="preserve">(2009) </w:t>
      </w:r>
      <w:r w:rsidRPr="000756DF">
        <w:t xml:space="preserve">reported mean baseline and endpoint data with standard deviations. </w:t>
      </w:r>
      <w:r>
        <w:t>Statistical differences were</w:t>
      </w:r>
      <w:r w:rsidRPr="000756DF">
        <w:t xml:space="preserve"> reported </w:t>
      </w:r>
      <w:r>
        <w:t xml:space="preserve">as p values </w:t>
      </w:r>
      <w:r w:rsidRPr="000756DF">
        <w:t>for some outcomes</w:t>
      </w:r>
      <w:r>
        <w:t>;</w:t>
      </w:r>
      <w:r w:rsidRPr="000756DF">
        <w:t xml:space="preserve"> however</w:t>
      </w:r>
      <w:r>
        <w:t>,</w:t>
      </w:r>
      <w:r w:rsidRPr="000756DF">
        <w:t xml:space="preserve"> not always with confidence intervals</w:t>
      </w:r>
      <w:r>
        <w:t>.</w:t>
      </w:r>
    </w:p>
    <w:p w:rsidR="001C3FAF" w:rsidRPr="000756DF" w:rsidRDefault="001C3FAF" w:rsidP="001C3FAF"/>
    <w:p w:rsidR="001C3FAF" w:rsidRPr="00E965BD" w:rsidRDefault="001C3FAF" w:rsidP="00A979FB">
      <w:pPr>
        <w:pStyle w:val="Heading5"/>
        <w:rPr>
          <w:bCs/>
        </w:rPr>
      </w:pPr>
      <w:r w:rsidRPr="00E965BD">
        <w:t>Primary effectiveness</w:t>
      </w:r>
    </w:p>
    <w:p w:rsidR="001C3FAF" w:rsidRPr="00A979FB" w:rsidRDefault="001C3FAF" w:rsidP="00A979FB">
      <w:pPr>
        <w:pStyle w:val="Heading5"/>
      </w:pPr>
      <w:r w:rsidRPr="00A979FB">
        <w:t>Survival and serious disease-related events</w:t>
      </w:r>
    </w:p>
    <w:p w:rsidR="001C3FAF" w:rsidRPr="000756DF" w:rsidRDefault="001C3FAF" w:rsidP="001C3FAF">
      <w:r w:rsidRPr="000756DF">
        <w:t xml:space="preserve">Survival (reported as number of deaths per randomised group) and the frequency of cardiac, renal and cerebrovascular events were compared between those randomised to either agalsidase beta or placebo in one RCT </w:t>
      </w:r>
      <w:r w:rsidR="00BD4A3A">
        <w:rPr>
          <w:noProof/>
        </w:rPr>
        <w:t>(</w:t>
      </w:r>
      <w:r w:rsidR="00184B6F">
        <w:rPr>
          <w:noProof/>
        </w:rPr>
        <w:t>Banikazemi, M. et al. 2007</w:t>
      </w:r>
      <w:r w:rsidR="00BD4A3A">
        <w:rPr>
          <w:noProof/>
        </w:rPr>
        <w:t>)</w:t>
      </w:r>
      <w:r w:rsidRPr="000756DF">
        <w:t xml:space="preserve"> </w:t>
      </w:r>
      <w:r>
        <w:t>(</w:t>
      </w:r>
      <w:r w:rsidR="00A72B26" w:rsidRPr="000756DF">
        <w:t xml:space="preserve">Table </w:t>
      </w:r>
      <w:r w:rsidR="00A72B26">
        <w:rPr>
          <w:noProof/>
        </w:rPr>
        <w:t>37</w:t>
      </w:r>
      <w:r>
        <w:t>)</w:t>
      </w:r>
      <w:r w:rsidRPr="000756DF">
        <w:t xml:space="preserve">. There was one death out of </w:t>
      </w:r>
      <w:r>
        <w:t xml:space="preserve">the </w:t>
      </w:r>
      <w:r w:rsidRPr="000756DF">
        <w:t>51 patients given agalsidase beta, and no deaths in the placebo group of 31 patients</w:t>
      </w:r>
      <w:r>
        <w:t>. The</w:t>
      </w:r>
      <w:r w:rsidRPr="000756DF">
        <w:t xml:space="preserve"> difference between groups was </w:t>
      </w:r>
      <w:r>
        <w:t>consistent with chance, given the small sample size</w:t>
      </w:r>
      <w:r w:rsidRPr="000756DF">
        <w:t xml:space="preserve"> (GRADE </w:t>
      </w:r>
      <w:r w:rsidRPr="00D4733A">
        <w:rPr>
          <w:rFonts w:ascii="Cambria Math" w:hAnsi="Cambria Math"/>
          <w:color w:val="00B050"/>
        </w:rPr>
        <w:t>⨁⨁⨁⨁</w:t>
      </w:r>
      <w:r w:rsidR="00D67ADB" w:rsidRPr="00D67ADB">
        <w:rPr>
          <w:spacing w:val="-20"/>
        </w:rPr>
        <w:t>)</w:t>
      </w:r>
      <w:r w:rsidRPr="000756DF">
        <w:t xml:space="preserve">.  </w:t>
      </w:r>
    </w:p>
    <w:p w:rsidR="001C3FAF" w:rsidRPr="000756DF" w:rsidRDefault="001C3FAF" w:rsidP="001C3FAF">
      <w:bookmarkStart w:id="201" w:name="_Toc405361930"/>
      <w:r w:rsidRPr="000756DF">
        <w:t xml:space="preserve">The frequency of renal events (defined as 33% increase in serum creatinine level, end stage renal disease) was </w:t>
      </w:r>
      <w:r>
        <w:t xml:space="preserve">slightly </w:t>
      </w:r>
      <w:r w:rsidRPr="000756DF">
        <w:t xml:space="preserve">lower in </w:t>
      </w:r>
      <w:r>
        <w:t>patients receiving</w:t>
      </w:r>
      <w:r w:rsidRPr="000756DF">
        <w:t xml:space="preserve"> agalsidase beta </w:t>
      </w:r>
      <w:r>
        <w:t>as</w:t>
      </w:r>
      <w:r w:rsidRPr="000756DF">
        <w:t xml:space="preserve"> compared to placebo (19.6% versus 22.6%, RR 0.87, 95%CI 0.37 to 2.04) </w:t>
      </w:r>
      <w:r>
        <w:t>although</w:t>
      </w:r>
      <w:r w:rsidRPr="000756DF">
        <w:t xml:space="preserve"> the difference was not </w:t>
      </w:r>
      <w:r w:rsidRPr="000756DF">
        <w:lastRenderedPageBreak/>
        <w:t>statistically significant</w:t>
      </w:r>
      <w:r>
        <w:t xml:space="preserve"> </w:t>
      </w:r>
      <w:r w:rsidRPr="000756DF">
        <w:t xml:space="preserve">(GRADE </w:t>
      </w:r>
      <w:r w:rsidRPr="00D4733A">
        <w:rPr>
          <w:rFonts w:ascii="Cambria Math" w:hAnsi="Cambria Math"/>
          <w:color w:val="00B050"/>
        </w:rPr>
        <w:t>⨁⨁⨁⨁</w:t>
      </w:r>
      <w:r w:rsidR="00D67ADB" w:rsidRPr="00D67ADB">
        <w:rPr>
          <w:spacing w:val="-20"/>
        </w:rPr>
        <w:t>)</w:t>
      </w:r>
      <w:r w:rsidRPr="000756DF">
        <w:t>. Similarly the differences in cardiac events (5.9% versus 12.9%, RR 0.46, 95%CI 0.11 to 1.90) and cerebrovascular events (0% versus 6.5%, RR 0.12, 95%CI 0.01 to</w:t>
      </w:r>
      <w:r>
        <w:t xml:space="preserve"> </w:t>
      </w:r>
      <w:r w:rsidRPr="000756DF">
        <w:t>2.48) were not statistically significant</w:t>
      </w:r>
      <w:r>
        <w:t xml:space="preserve"> </w:t>
      </w:r>
      <w:r w:rsidRPr="000756DF">
        <w:t xml:space="preserve">(GRADE </w:t>
      </w:r>
      <w:r w:rsidRPr="00D4733A">
        <w:rPr>
          <w:rFonts w:ascii="Cambria Math" w:hAnsi="Cambria Math"/>
          <w:color w:val="00B050"/>
        </w:rPr>
        <w:t>⨁⨁⨁⨁</w:t>
      </w:r>
      <w:r w:rsidR="00D67ADB" w:rsidRPr="00D67ADB">
        <w:rPr>
          <w:spacing w:val="-20"/>
        </w:rPr>
        <w:t>)</w:t>
      </w:r>
      <w:r w:rsidRPr="000756DF">
        <w:t>. While the</w:t>
      </w:r>
      <w:r>
        <w:t xml:space="preserve"> differences between treatment arms were no greater than chance </w:t>
      </w:r>
      <w:r w:rsidR="006E04C5">
        <w:t>–</w:t>
      </w:r>
      <w:r>
        <w:t xml:space="preserve"> and larger sample sizes would be required to demonstrate any differences </w:t>
      </w:r>
      <w:r w:rsidR="006E04C5">
        <w:t>–</w:t>
      </w:r>
      <w:r>
        <w:t xml:space="preserve"> </w:t>
      </w:r>
      <w:r w:rsidRPr="000756DF">
        <w:t xml:space="preserve">all three </w:t>
      </w:r>
      <w:r>
        <w:t>analyses</w:t>
      </w:r>
      <w:r w:rsidRPr="000756DF">
        <w:t xml:space="preserve"> reported a higher frequency of </w:t>
      </w:r>
      <w:r>
        <w:t xml:space="preserve">disease-related </w:t>
      </w:r>
      <w:r w:rsidRPr="000756DF">
        <w:t>events in the placebo group.</w:t>
      </w:r>
    </w:p>
    <w:p w:rsidR="001C3FAF" w:rsidRDefault="001C3FAF" w:rsidP="001C3FAF">
      <w:pPr>
        <w:pStyle w:val="Caption"/>
        <w:keepNext/>
        <w:tabs>
          <w:tab w:val="clear" w:pos="851"/>
          <w:tab w:val="left" w:pos="1134"/>
        </w:tabs>
        <w:ind w:left="1134" w:hanging="1134"/>
      </w:pPr>
      <w:bookmarkStart w:id="202" w:name="_Ref405842119"/>
      <w:bookmarkStart w:id="203" w:name="_Toc411510419"/>
      <w:bookmarkStart w:id="204" w:name="_Toc415141834"/>
      <w:r w:rsidRPr="000756DF">
        <w:t xml:space="preserve">Table </w:t>
      </w:r>
      <w:r w:rsidR="00A72B26">
        <w:rPr>
          <w:noProof/>
        </w:rPr>
        <w:t>37</w:t>
      </w:r>
      <w:bookmarkEnd w:id="202"/>
      <w:r w:rsidRPr="000756DF">
        <w:tab/>
        <w:t xml:space="preserve">Death, Renal events, Cardiac events and cerebrovascular events in Fabry patients randomised to </w:t>
      </w:r>
      <w:r>
        <w:t>receive</w:t>
      </w:r>
      <w:r w:rsidRPr="000756DF">
        <w:t xml:space="preserve"> either agalsidase beta or placebo </w:t>
      </w:r>
      <w:bookmarkEnd w:id="201"/>
      <w:r w:rsidR="00E83918">
        <w:rPr>
          <w:noProof/>
        </w:rPr>
        <w:t>(</w:t>
      </w:r>
      <w:r w:rsidR="00184B6F">
        <w:rPr>
          <w:noProof/>
        </w:rPr>
        <w:t>El Dib, R P, Nascimento &amp; Pastores 2013</w:t>
      </w:r>
      <w:r w:rsidR="00E83918">
        <w:rPr>
          <w:noProof/>
        </w:rPr>
        <w:t>)</w:t>
      </w:r>
      <w:bookmarkEnd w:id="203"/>
      <w:bookmarkEnd w:id="204"/>
    </w:p>
    <w:tbl>
      <w:tblPr>
        <w:tblW w:w="5000" w:type="pct"/>
        <w:tblCellMar>
          <w:top w:w="75" w:type="dxa"/>
          <w:left w:w="75" w:type="dxa"/>
          <w:bottom w:w="75" w:type="dxa"/>
          <w:right w:w="75" w:type="dxa"/>
        </w:tblCellMar>
        <w:tblLook w:val="04A0" w:firstRow="1" w:lastRow="0" w:firstColumn="1" w:lastColumn="0" w:noHBand="0" w:noVBand="1"/>
        <w:tblCaption w:val="Table 35 Death, Renal events, Cardiac events and cerebrovascular events in Fabry patients randomised to receive either agalsidase beta or placebo (El Dib, R P, Nascimento &amp; Pastores 2013)"/>
      </w:tblPr>
      <w:tblGrid>
        <w:gridCol w:w="1446"/>
        <w:gridCol w:w="1091"/>
        <w:gridCol w:w="1219"/>
        <w:gridCol w:w="1281"/>
        <w:gridCol w:w="1865"/>
        <w:gridCol w:w="2274"/>
      </w:tblGrid>
      <w:tr w:rsidR="00117B80" w:rsidRPr="001B3113" w:rsidTr="003F58A4">
        <w:trPr>
          <w:trHeight w:val="1056"/>
          <w:tblHeader/>
        </w:trPr>
        <w:tc>
          <w:tcPr>
            <w:tcW w:w="1446" w:type="dxa"/>
            <w:tcBorders>
              <w:top w:val="single" w:sz="12" w:space="0" w:color="000000"/>
              <w:left w:val="nil"/>
              <w:bottom w:val="single" w:sz="6" w:space="0" w:color="000000"/>
              <w:right w:val="nil"/>
            </w:tcBorders>
            <w:shd w:val="clear" w:color="auto" w:fill="3271AA"/>
            <w:hideMark/>
          </w:tcPr>
          <w:p w:rsidR="00117B80" w:rsidRPr="00CB33FA" w:rsidRDefault="00117B80" w:rsidP="00985E56">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1091" w:type="dxa"/>
            <w:tcBorders>
              <w:top w:val="single" w:sz="12" w:space="0" w:color="000000"/>
              <w:left w:val="nil"/>
              <w:bottom w:val="single" w:sz="6" w:space="0" w:color="000000"/>
              <w:right w:val="nil"/>
            </w:tcBorders>
            <w:shd w:val="clear" w:color="auto" w:fill="3271AA"/>
            <w:hideMark/>
          </w:tcPr>
          <w:p w:rsidR="00117B80" w:rsidRPr="00CB33FA" w:rsidRDefault="00117B80" w:rsidP="00985E56">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1219" w:type="dxa"/>
            <w:tcBorders>
              <w:top w:val="single" w:sz="12" w:space="0" w:color="000000"/>
              <w:left w:val="nil"/>
              <w:bottom w:val="single" w:sz="6" w:space="0" w:color="000000"/>
              <w:right w:val="nil"/>
            </w:tcBorders>
            <w:shd w:val="clear" w:color="auto" w:fill="3271AA"/>
            <w:hideMark/>
          </w:tcPr>
          <w:p w:rsidR="00117B80" w:rsidRPr="00CB33FA" w:rsidRDefault="00117B80" w:rsidP="00985E56">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1281" w:type="dxa"/>
            <w:tcBorders>
              <w:top w:val="single" w:sz="12" w:space="0" w:color="000000"/>
              <w:left w:val="nil"/>
              <w:bottom w:val="single" w:sz="6" w:space="0" w:color="000000"/>
              <w:right w:val="nil"/>
            </w:tcBorders>
            <w:shd w:val="clear" w:color="auto" w:fill="3271AA"/>
            <w:hideMark/>
          </w:tcPr>
          <w:p w:rsidR="00117B80" w:rsidRPr="00CB33FA" w:rsidRDefault="00117B80" w:rsidP="00985E56">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Relative effect</w:t>
            </w:r>
            <w:r w:rsidRPr="00CB33FA">
              <w:rPr>
                <w:rFonts w:ascii="Arial Narrow" w:hAnsi="Arial Narrow"/>
                <w:b/>
                <w:bCs/>
                <w:color w:val="FFFFFF"/>
                <w:sz w:val="20"/>
                <w:szCs w:val="20"/>
                <w:lang w:eastAsia="en-AU"/>
              </w:rPr>
              <w:br/>
              <w:t>(95% CI)</w:t>
            </w:r>
          </w:p>
        </w:tc>
        <w:tc>
          <w:tcPr>
            <w:tcW w:w="1865" w:type="dxa"/>
            <w:tcBorders>
              <w:top w:val="single" w:sz="12" w:space="0" w:color="000000"/>
              <w:left w:val="nil"/>
            </w:tcBorders>
            <w:shd w:val="clear" w:color="auto" w:fill="D3D3D3"/>
            <w:hideMark/>
          </w:tcPr>
          <w:p w:rsidR="00117B80" w:rsidRPr="00CB33FA" w:rsidRDefault="00117B80" w:rsidP="00985E56">
            <w:pPr>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Supportive care plus placebo</w:t>
            </w:r>
          </w:p>
        </w:tc>
        <w:tc>
          <w:tcPr>
            <w:tcW w:w="2274" w:type="dxa"/>
            <w:tcBorders>
              <w:top w:val="single" w:sz="12" w:space="0" w:color="000000"/>
              <w:left w:val="nil"/>
              <w:right w:val="nil"/>
            </w:tcBorders>
            <w:shd w:val="clear" w:color="auto" w:fill="D3D3D3"/>
          </w:tcPr>
          <w:p w:rsidR="00117B80" w:rsidRPr="00CB33FA" w:rsidRDefault="00117B80" w:rsidP="00985E56">
            <w:pPr>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difference with Agalsidase beta</w:t>
            </w:r>
          </w:p>
        </w:tc>
      </w:tr>
      <w:tr w:rsidR="00265DB9" w:rsidRPr="001B3113" w:rsidTr="003F58A4">
        <w:trPr>
          <w:trHeight w:val="1223"/>
        </w:trPr>
        <w:tc>
          <w:tcPr>
            <w:tcW w:w="1446" w:type="dxa"/>
            <w:tcBorders>
              <w:top w:val="single" w:sz="6" w:space="0" w:color="000000"/>
              <w:left w:val="nil"/>
              <w:bottom w:val="single" w:sz="6" w:space="0" w:color="000000"/>
              <w:right w:val="nil"/>
            </w:tcBorders>
            <w:hideMark/>
          </w:tcPr>
          <w:p w:rsidR="00265DB9" w:rsidRPr="00CB33FA" w:rsidRDefault="00265DB9" w:rsidP="00985E56">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 xml:space="preserve">Death </w:t>
            </w:r>
            <w:r w:rsidR="006E04C5">
              <w:rPr>
                <w:rFonts w:ascii="Arial Narrow" w:hAnsi="Arial Narrow"/>
                <w:b/>
                <w:bCs/>
                <w:color w:val="000000"/>
                <w:sz w:val="20"/>
                <w:szCs w:val="20"/>
                <w:lang w:eastAsia="en-AU"/>
              </w:rPr>
              <w:t>–</w:t>
            </w:r>
            <w:r w:rsidRPr="00CB33FA">
              <w:rPr>
                <w:rFonts w:ascii="Arial Narrow" w:hAnsi="Arial Narrow"/>
                <w:b/>
                <w:bCs/>
                <w:color w:val="000000"/>
                <w:sz w:val="20"/>
                <w:szCs w:val="20"/>
                <w:lang w:eastAsia="en-AU"/>
              </w:rPr>
              <w:t xml:space="preserve"> ITT</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6 months </w:t>
            </w:r>
          </w:p>
        </w:tc>
        <w:tc>
          <w:tcPr>
            <w:tcW w:w="1091" w:type="dxa"/>
            <w:tcBorders>
              <w:top w:val="single" w:sz="6" w:space="0" w:color="000000"/>
              <w:left w:val="nil"/>
              <w:bottom w:val="single" w:sz="6" w:space="0" w:color="000000"/>
              <w:right w:val="nil"/>
            </w:tcBorders>
            <w:hideMark/>
          </w:tcPr>
          <w:p w:rsidR="00265DB9" w:rsidRPr="00CB33FA" w:rsidRDefault="00265DB9" w:rsidP="00985E56">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82</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6 months </w:t>
            </w:r>
          </w:p>
        </w:tc>
        <w:tc>
          <w:tcPr>
            <w:tcW w:w="1219" w:type="dxa"/>
            <w:tcBorders>
              <w:top w:val="single" w:sz="6" w:space="0" w:color="000000"/>
              <w:left w:val="nil"/>
              <w:bottom w:val="single" w:sz="6" w:space="0" w:color="000000"/>
              <w:right w:val="nil"/>
            </w:tcBorders>
            <w:hideMark/>
          </w:tcPr>
          <w:p w:rsidR="00265DB9" w:rsidRPr="00CB33FA" w:rsidRDefault="009A0532" w:rsidP="00985E56">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00265DB9" w:rsidRPr="00CB33FA">
              <w:rPr>
                <w:rFonts w:ascii="Arial Narrow" w:hAnsi="Arial Narrow"/>
                <w:color w:val="000000"/>
                <w:sz w:val="20"/>
                <w:szCs w:val="20"/>
                <w:lang w:eastAsia="en-AU"/>
              </w:rPr>
              <w:br/>
              <w:t xml:space="preserve">HIGH </w:t>
            </w:r>
          </w:p>
        </w:tc>
        <w:tc>
          <w:tcPr>
            <w:tcW w:w="1281" w:type="dxa"/>
            <w:tcBorders>
              <w:top w:val="single" w:sz="6" w:space="0" w:color="000000"/>
              <w:left w:val="nil"/>
              <w:bottom w:val="single" w:sz="6" w:space="0" w:color="000000"/>
              <w:right w:val="nil"/>
            </w:tcBorders>
            <w:hideMark/>
          </w:tcPr>
          <w:p w:rsidR="00265DB9" w:rsidRPr="00CB33FA" w:rsidRDefault="00265DB9" w:rsidP="00985E56">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1.85</w:t>
            </w:r>
            <w:r w:rsidRPr="00CB33FA">
              <w:rPr>
                <w:rFonts w:ascii="Arial Narrow" w:hAnsi="Arial Narrow"/>
                <w:color w:val="000000"/>
                <w:sz w:val="20"/>
                <w:szCs w:val="20"/>
                <w:lang w:eastAsia="en-AU"/>
              </w:rPr>
              <w:br/>
              <w:t xml:space="preserve">(0.08 to 43.96) </w:t>
            </w:r>
          </w:p>
        </w:tc>
        <w:tc>
          <w:tcPr>
            <w:tcW w:w="1865" w:type="dxa"/>
            <w:tcBorders>
              <w:top w:val="single" w:sz="6" w:space="0" w:color="000000"/>
              <w:left w:val="nil"/>
              <w:right w:val="single" w:sz="4" w:space="0" w:color="D9D9D9" w:themeColor="background1" w:themeShade="D9"/>
            </w:tcBorders>
            <w:shd w:val="clear" w:color="auto" w:fill="E0E0E0"/>
            <w:hideMark/>
          </w:tcPr>
          <w:p w:rsidR="00265DB9" w:rsidRPr="00CB33FA" w:rsidRDefault="00265DB9" w:rsidP="00985E56">
            <w:pPr>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0 per 1000 </w:t>
            </w:r>
          </w:p>
        </w:tc>
        <w:tc>
          <w:tcPr>
            <w:tcW w:w="2274" w:type="dxa"/>
            <w:tcBorders>
              <w:top w:val="single" w:sz="6" w:space="0" w:color="000000"/>
              <w:left w:val="single" w:sz="4" w:space="0" w:color="D9D9D9" w:themeColor="background1" w:themeShade="D9"/>
              <w:right w:val="nil"/>
            </w:tcBorders>
            <w:shd w:val="clear" w:color="auto" w:fill="E0E0E0"/>
          </w:tcPr>
          <w:p w:rsidR="00265DB9" w:rsidRPr="00CB33FA" w:rsidRDefault="00265DB9" w:rsidP="00985E56">
            <w:pPr>
              <w:spacing w:after="200"/>
              <w:jc w:val="left"/>
              <w:rPr>
                <w:rFonts w:ascii="Arial Narrow" w:hAnsi="Arial Narrow"/>
                <w:b/>
                <w:bCs/>
                <w:color w:val="F2F2F2" w:themeColor="background1" w:themeShade="F2"/>
                <w:sz w:val="20"/>
                <w:szCs w:val="20"/>
                <w:lang w:eastAsia="en-AU"/>
              </w:rPr>
            </w:pPr>
            <w:r w:rsidRPr="00CB33FA">
              <w:rPr>
                <w:rFonts w:ascii="Arial Narrow" w:hAnsi="Arial Narrow"/>
                <w:b/>
                <w:bCs/>
                <w:color w:val="000000"/>
                <w:sz w:val="20"/>
                <w:szCs w:val="20"/>
                <w:lang w:eastAsia="en-AU"/>
              </w:rPr>
              <w:t>20 more per 1000</w:t>
            </w:r>
            <w:r w:rsidRPr="00CB33FA">
              <w:rPr>
                <w:rFonts w:ascii="Arial Narrow" w:hAnsi="Arial Narrow"/>
                <w:color w:val="000000"/>
                <w:sz w:val="20"/>
                <w:szCs w:val="20"/>
                <w:lang w:eastAsia="en-AU"/>
              </w:rPr>
              <w:br/>
              <w:t xml:space="preserve">(18 fewer to 58 more) </w:t>
            </w:r>
          </w:p>
        </w:tc>
      </w:tr>
      <w:tr w:rsidR="00265DB9" w:rsidRPr="001B3113" w:rsidTr="003F58A4">
        <w:trPr>
          <w:trHeight w:val="812"/>
        </w:trPr>
        <w:tc>
          <w:tcPr>
            <w:tcW w:w="1446" w:type="dxa"/>
            <w:tcBorders>
              <w:top w:val="single" w:sz="6" w:space="0" w:color="000000"/>
              <w:left w:val="nil"/>
              <w:bottom w:val="single" w:sz="6" w:space="0" w:color="000000"/>
              <w:right w:val="nil"/>
            </w:tcBorders>
            <w:hideMark/>
          </w:tcPr>
          <w:p w:rsidR="00265DB9" w:rsidRPr="00CB33FA" w:rsidRDefault="00265DB9" w:rsidP="00985E56">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Renal events</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6 months </w:t>
            </w:r>
          </w:p>
        </w:tc>
        <w:tc>
          <w:tcPr>
            <w:tcW w:w="1091" w:type="dxa"/>
            <w:tcBorders>
              <w:top w:val="single" w:sz="6" w:space="0" w:color="000000"/>
              <w:left w:val="nil"/>
              <w:bottom w:val="single" w:sz="6" w:space="0" w:color="000000"/>
              <w:right w:val="nil"/>
            </w:tcBorders>
            <w:hideMark/>
          </w:tcPr>
          <w:p w:rsidR="00265DB9" w:rsidRPr="00CB33FA" w:rsidRDefault="00265DB9" w:rsidP="00985E56">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82</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6 months </w:t>
            </w:r>
          </w:p>
        </w:tc>
        <w:tc>
          <w:tcPr>
            <w:tcW w:w="1219" w:type="dxa"/>
            <w:tcBorders>
              <w:top w:val="single" w:sz="6" w:space="0" w:color="000000"/>
              <w:left w:val="nil"/>
              <w:bottom w:val="single" w:sz="6" w:space="0" w:color="000000"/>
              <w:right w:val="nil"/>
            </w:tcBorders>
            <w:hideMark/>
          </w:tcPr>
          <w:p w:rsidR="00265DB9" w:rsidRPr="00CB33FA" w:rsidRDefault="009A0532" w:rsidP="00985E56">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00265DB9" w:rsidRPr="00CB33FA">
              <w:rPr>
                <w:rFonts w:ascii="Arial Narrow" w:hAnsi="Arial Narrow"/>
                <w:color w:val="000000"/>
                <w:sz w:val="20"/>
                <w:szCs w:val="20"/>
                <w:lang w:eastAsia="en-AU"/>
              </w:rPr>
              <w:br/>
              <w:t xml:space="preserve">HIGH </w:t>
            </w:r>
          </w:p>
        </w:tc>
        <w:tc>
          <w:tcPr>
            <w:tcW w:w="1281" w:type="dxa"/>
            <w:tcBorders>
              <w:top w:val="single" w:sz="6" w:space="0" w:color="000000"/>
              <w:left w:val="nil"/>
              <w:bottom w:val="single" w:sz="6" w:space="0" w:color="000000"/>
              <w:right w:val="nil"/>
            </w:tcBorders>
            <w:hideMark/>
          </w:tcPr>
          <w:p w:rsidR="00265DB9" w:rsidRPr="00CB33FA" w:rsidRDefault="00265DB9" w:rsidP="00985E56">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0.87</w:t>
            </w:r>
            <w:r w:rsidRPr="00CB33FA">
              <w:rPr>
                <w:rFonts w:ascii="Arial Narrow" w:hAnsi="Arial Narrow"/>
                <w:color w:val="000000"/>
                <w:sz w:val="20"/>
                <w:szCs w:val="20"/>
                <w:lang w:eastAsia="en-AU"/>
              </w:rPr>
              <w:br/>
              <w:t xml:space="preserve">(0.37 to 2.04) </w:t>
            </w:r>
          </w:p>
        </w:tc>
        <w:tc>
          <w:tcPr>
            <w:tcW w:w="1865" w:type="dxa"/>
            <w:tcBorders>
              <w:top w:val="single" w:sz="6" w:space="0" w:color="000000"/>
              <w:left w:val="nil"/>
              <w:right w:val="single" w:sz="4" w:space="0" w:color="D9D9D9" w:themeColor="background1" w:themeShade="D9"/>
            </w:tcBorders>
            <w:shd w:val="clear" w:color="auto" w:fill="E0E0E0"/>
            <w:hideMark/>
          </w:tcPr>
          <w:p w:rsidR="00265DB9" w:rsidRPr="00CB33FA" w:rsidRDefault="00265DB9" w:rsidP="00985E56">
            <w:pPr>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226 per 1000 </w:t>
            </w:r>
          </w:p>
        </w:tc>
        <w:tc>
          <w:tcPr>
            <w:tcW w:w="2274" w:type="dxa"/>
            <w:tcBorders>
              <w:top w:val="single" w:sz="6" w:space="0" w:color="000000"/>
              <w:left w:val="single" w:sz="4" w:space="0" w:color="D9D9D9" w:themeColor="background1" w:themeShade="D9"/>
              <w:right w:val="nil"/>
            </w:tcBorders>
            <w:shd w:val="clear" w:color="auto" w:fill="E0E0E0"/>
          </w:tcPr>
          <w:p w:rsidR="00265DB9" w:rsidRPr="00CB33FA" w:rsidRDefault="00265DB9" w:rsidP="00985E56">
            <w:pPr>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30 fewer per 1000</w:t>
            </w:r>
            <w:r w:rsidRPr="00CB33FA">
              <w:rPr>
                <w:rFonts w:ascii="Arial Narrow" w:hAnsi="Arial Narrow"/>
                <w:color w:val="000000"/>
                <w:sz w:val="20"/>
                <w:szCs w:val="20"/>
                <w:lang w:eastAsia="en-AU"/>
              </w:rPr>
              <w:br/>
              <w:t xml:space="preserve">(213 fewer to 150 more) </w:t>
            </w:r>
          </w:p>
        </w:tc>
      </w:tr>
      <w:tr w:rsidR="00265DB9" w:rsidRPr="001B3113" w:rsidTr="003F58A4">
        <w:trPr>
          <w:trHeight w:val="812"/>
        </w:trPr>
        <w:tc>
          <w:tcPr>
            <w:tcW w:w="1446" w:type="dxa"/>
            <w:tcBorders>
              <w:top w:val="single" w:sz="6" w:space="0" w:color="000000"/>
              <w:left w:val="nil"/>
              <w:bottom w:val="single" w:sz="6" w:space="0" w:color="000000"/>
              <w:right w:val="nil"/>
            </w:tcBorders>
            <w:hideMark/>
          </w:tcPr>
          <w:p w:rsidR="00265DB9" w:rsidRPr="00CB33FA" w:rsidRDefault="00265DB9" w:rsidP="00985E56">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Cardiac events</w:t>
            </w:r>
            <w:r w:rsidRPr="00CB33FA">
              <w:rPr>
                <w:rFonts w:ascii="Arial Narrow" w:hAnsi="Arial Narrow"/>
                <w:color w:val="000000"/>
                <w:sz w:val="20"/>
                <w:szCs w:val="20"/>
                <w:lang w:eastAsia="en-AU"/>
              </w:rPr>
              <w:br/>
              <w:t xml:space="preserve">assessed with: n </w:t>
            </w:r>
          </w:p>
        </w:tc>
        <w:tc>
          <w:tcPr>
            <w:tcW w:w="1091" w:type="dxa"/>
            <w:tcBorders>
              <w:top w:val="single" w:sz="6" w:space="0" w:color="000000"/>
              <w:left w:val="nil"/>
              <w:bottom w:val="single" w:sz="6" w:space="0" w:color="000000"/>
              <w:right w:val="nil"/>
            </w:tcBorders>
            <w:hideMark/>
          </w:tcPr>
          <w:p w:rsidR="00265DB9" w:rsidRPr="00CB33FA" w:rsidRDefault="00265DB9" w:rsidP="00985E56">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82</w:t>
            </w:r>
            <w:r w:rsidRPr="00CB33FA">
              <w:rPr>
                <w:rFonts w:ascii="Arial Narrow" w:hAnsi="Arial Narrow"/>
                <w:color w:val="000000"/>
                <w:sz w:val="20"/>
                <w:szCs w:val="20"/>
                <w:lang w:eastAsia="en-AU"/>
              </w:rPr>
              <w:br/>
              <w:t xml:space="preserve">(1 RCT) </w:t>
            </w:r>
          </w:p>
        </w:tc>
        <w:tc>
          <w:tcPr>
            <w:tcW w:w="1219" w:type="dxa"/>
            <w:tcBorders>
              <w:top w:val="single" w:sz="6" w:space="0" w:color="000000"/>
              <w:left w:val="nil"/>
              <w:bottom w:val="single" w:sz="6" w:space="0" w:color="000000"/>
              <w:right w:val="nil"/>
            </w:tcBorders>
            <w:hideMark/>
          </w:tcPr>
          <w:p w:rsidR="00265DB9" w:rsidRPr="00CB33FA" w:rsidRDefault="009A0532" w:rsidP="00985E56">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00265DB9" w:rsidRPr="00CB33FA">
              <w:rPr>
                <w:rFonts w:ascii="Arial Narrow" w:hAnsi="Arial Narrow"/>
                <w:color w:val="000000"/>
                <w:sz w:val="20"/>
                <w:szCs w:val="20"/>
                <w:lang w:eastAsia="en-AU"/>
              </w:rPr>
              <w:br/>
              <w:t xml:space="preserve">HIGH </w:t>
            </w:r>
          </w:p>
        </w:tc>
        <w:tc>
          <w:tcPr>
            <w:tcW w:w="1281" w:type="dxa"/>
            <w:tcBorders>
              <w:top w:val="single" w:sz="6" w:space="0" w:color="000000"/>
              <w:left w:val="nil"/>
              <w:bottom w:val="single" w:sz="6" w:space="0" w:color="000000"/>
              <w:right w:val="nil"/>
            </w:tcBorders>
            <w:hideMark/>
          </w:tcPr>
          <w:p w:rsidR="00265DB9" w:rsidRPr="00CB33FA" w:rsidRDefault="00265DB9" w:rsidP="00985E56">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0.46</w:t>
            </w:r>
            <w:r w:rsidRPr="00CB33FA">
              <w:rPr>
                <w:rFonts w:ascii="Arial Narrow" w:hAnsi="Arial Narrow"/>
                <w:color w:val="000000"/>
                <w:sz w:val="20"/>
                <w:szCs w:val="20"/>
                <w:lang w:eastAsia="en-AU"/>
              </w:rPr>
              <w:br/>
              <w:t xml:space="preserve">(0.11 to 1.9) </w:t>
            </w:r>
          </w:p>
        </w:tc>
        <w:tc>
          <w:tcPr>
            <w:tcW w:w="1865" w:type="dxa"/>
            <w:tcBorders>
              <w:top w:val="single" w:sz="6" w:space="0" w:color="000000"/>
              <w:left w:val="nil"/>
              <w:right w:val="single" w:sz="4" w:space="0" w:color="D9D9D9" w:themeColor="background1" w:themeShade="D9"/>
            </w:tcBorders>
            <w:shd w:val="clear" w:color="auto" w:fill="E0E0E0"/>
            <w:hideMark/>
          </w:tcPr>
          <w:p w:rsidR="00265DB9" w:rsidRPr="00CB33FA" w:rsidRDefault="00265DB9" w:rsidP="00985E56">
            <w:pPr>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129 per 1000 </w:t>
            </w:r>
          </w:p>
        </w:tc>
        <w:tc>
          <w:tcPr>
            <w:tcW w:w="2274" w:type="dxa"/>
            <w:tcBorders>
              <w:top w:val="single" w:sz="6" w:space="0" w:color="000000"/>
              <w:left w:val="single" w:sz="4" w:space="0" w:color="D9D9D9" w:themeColor="background1" w:themeShade="D9"/>
              <w:right w:val="nil"/>
            </w:tcBorders>
            <w:shd w:val="clear" w:color="auto" w:fill="E0E0E0"/>
          </w:tcPr>
          <w:p w:rsidR="00265DB9" w:rsidRPr="00CB33FA" w:rsidRDefault="00265DB9" w:rsidP="00985E56">
            <w:pPr>
              <w:spacing w:after="200"/>
              <w:jc w:val="left"/>
              <w:rPr>
                <w:rFonts w:ascii="Arial Narrow" w:hAnsi="Arial Narrow"/>
                <w:b/>
                <w:bCs/>
                <w:color w:val="F2F2F2" w:themeColor="background1" w:themeShade="F2"/>
                <w:sz w:val="20"/>
                <w:szCs w:val="20"/>
                <w:lang w:eastAsia="en-AU"/>
              </w:rPr>
            </w:pPr>
            <w:r w:rsidRPr="00CB33FA">
              <w:rPr>
                <w:rFonts w:ascii="Arial Narrow" w:hAnsi="Arial Narrow"/>
                <w:b/>
                <w:bCs/>
                <w:color w:val="000000"/>
                <w:sz w:val="20"/>
                <w:szCs w:val="20"/>
                <w:lang w:eastAsia="en-AU"/>
              </w:rPr>
              <w:t>70 fewer per 1000</w:t>
            </w:r>
            <w:r w:rsidRPr="00CB33FA">
              <w:rPr>
                <w:rFonts w:ascii="Arial Narrow" w:hAnsi="Arial Narrow"/>
                <w:color w:val="000000"/>
                <w:sz w:val="20"/>
                <w:szCs w:val="20"/>
                <w:lang w:eastAsia="en-AU"/>
              </w:rPr>
              <w:br/>
              <w:t xml:space="preserve">(205 fewer to 64 more) </w:t>
            </w:r>
          </w:p>
        </w:tc>
      </w:tr>
      <w:tr w:rsidR="00265DB9" w:rsidRPr="001B3113" w:rsidTr="003F58A4">
        <w:trPr>
          <w:trHeight w:val="1081"/>
        </w:trPr>
        <w:tc>
          <w:tcPr>
            <w:tcW w:w="1446" w:type="dxa"/>
            <w:tcBorders>
              <w:top w:val="single" w:sz="6" w:space="0" w:color="000000"/>
              <w:left w:val="nil"/>
              <w:bottom w:val="single" w:sz="6" w:space="0" w:color="000000"/>
              <w:right w:val="nil"/>
            </w:tcBorders>
            <w:hideMark/>
          </w:tcPr>
          <w:p w:rsidR="00265DB9" w:rsidRPr="00CB33FA" w:rsidRDefault="00265DB9" w:rsidP="00985E56">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Cerebrovascular events</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6 months </w:t>
            </w:r>
          </w:p>
        </w:tc>
        <w:tc>
          <w:tcPr>
            <w:tcW w:w="1091" w:type="dxa"/>
            <w:tcBorders>
              <w:top w:val="single" w:sz="6" w:space="0" w:color="000000"/>
              <w:left w:val="nil"/>
              <w:bottom w:val="single" w:sz="6" w:space="0" w:color="000000"/>
              <w:right w:val="nil"/>
            </w:tcBorders>
            <w:hideMark/>
          </w:tcPr>
          <w:p w:rsidR="00265DB9" w:rsidRPr="00CB33FA" w:rsidRDefault="00265DB9" w:rsidP="00985E56">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82</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6 months </w:t>
            </w:r>
          </w:p>
        </w:tc>
        <w:tc>
          <w:tcPr>
            <w:tcW w:w="1219" w:type="dxa"/>
            <w:tcBorders>
              <w:top w:val="single" w:sz="6" w:space="0" w:color="000000"/>
              <w:left w:val="nil"/>
              <w:bottom w:val="single" w:sz="6" w:space="0" w:color="000000"/>
              <w:right w:val="nil"/>
            </w:tcBorders>
            <w:hideMark/>
          </w:tcPr>
          <w:p w:rsidR="00265DB9" w:rsidRPr="00CB33FA" w:rsidRDefault="009A0532" w:rsidP="00985E56">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00265DB9" w:rsidRPr="00CB33FA">
              <w:rPr>
                <w:rFonts w:ascii="Arial Narrow" w:hAnsi="Arial Narrow"/>
                <w:color w:val="000000"/>
                <w:sz w:val="20"/>
                <w:szCs w:val="20"/>
                <w:lang w:eastAsia="en-AU"/>
              </w:rPr>
              <w:br/>
              <w:t xml:space="preserve">HIGH </w:t>
            </w:r>
          </w:p>
        </w:tc>
        <w:tc>
          <w:tcPr>
            <w:tcW w:w="1281" w:type="dxa"/>
            <w:tcBorders>
              <w:top w:val="single" w:sz="6" w:space="0" w:color="000000"/>
              <w:left w:val="nil"/>
              <w:bottom w:val="single" w:sz="6" w:space="0" w:color="000000"/>
              <w:right w:val="nil"/>
            </w:tcBorders>
            <w:hideMark/>
          </w:tcPr>
          <w:p w:rsidR="00265DB9" w:rsidRPr="00CB33FA" w:rsidRDefault="00265DB9" w:rsidP="00985E56">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0.12</w:t>
            </w:r>
            <w:r w:rsidRPr="00CB33FA">
              <w:rPr>
                <w:rFonts w:ascii="Arial Narrow" w:hAnsi="Arial Narrow"/>
                <w:color w:val="000000"/>
                <w:sz w:val="20"/>
                <w:szCs w:val="20"/>
                <w:lang w:eastAsia="en-AU"/>
              </w:rPr>
              <w:br/>
              <w:t xml:space="preserve">(0.01 to 2.48) </w:t>
            </w:r>
          </w:p>
        </w:tc>
        <w:tc>
          <w:tcPr>
            <w:tcW w:w="1865" w:type="dxa"/>
            <w:tcBorders>
              <w:top w:val="single" w:sz="6" w:space="0" w:color="000000"/>
              <w:left w:val="nil"/>
              <w:bottom w:val="single" w:sz="4" w:space="0" w:color="auto"/>
              <w:right w:val="single" w:sz="4" w:space="0" w:color="D9D9D9" w:themeColor="background1" w:themeShade="D9"/>
            </w:tcBorders>
            <w:shd w:val="clear" w:color="auto" w:fill="E0E0E0"/>
            <w:hideMark/>
          </w:tcPr>
          <w:p w:rsidR="00265DB9" w:rsidRPr="00CB33FA" w:rsidRDefault="00265DB9" w:rsidP="00985E56">
            <w:pPr>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65 per 1000 </w:t>
            </w:r>
          </w:p>
        </w:tc>
        <w:tc>
          <w:tcPr>
            <w:tcW w:w="2274" w:type="dxa"/>
            <w:tcBorders>
              <w:top w:val="single" w:sz="6" w:space="0" w:color="000000"/>
              <w:left w:val="single" w:sz="4" w:space="0" w:color="D9D9D9" w:themeColor="background1" w:themeShade="D9"/>
              <w:bottom w:val="single" w:sz="4" w:space="0" w:color="auto"/>
              <w:right w:val="nil"/>
            </w:tcBorders>
            <w:shd w:val="clear" w:color="auto" w:fill="E0E0E0"/>
          </w:tcPr>
          <w:p w:rsidR="00265DB9" w:rsidRPr="00CB33FA" w:rsidRDefault="00265DB9" w:rsidP="00985E56">
            <w:pPr>
              <w:spacing w:after="200"/>
              <w:jc w:val="left"/>
              <w:rPr>
                <w:rFonts w:ascii="Arial Narrow" w:hAnsi="Arial Narrow"/>
                <w:b/>
                <w:bCs/>
                <w:color w:val="F2F2F2" w:themeColor="background1" w:themeShade="F2"/>
                <w:sz w:val="20"/>
                <w:szCs w:val="20"/>
                <w:lang w:eastAsia="en-AU"/>
              </w:rPr>
            </w:pPr>
            <w:r w:rsidRPr="00CB33FA">
              <w:rPr>
                <w:rFonts w:ascii="Arial Narrow" w:hAnsi="Arial Narrow"/>
                <w:b/>
                <w:bCs/>
                <w:color w:val="000000"/>
                <w:sz w:val="20"/>
                <w:szCs w:val="20"/>
                <w:lang w:eastAsia="en-AU"/>
              </w:rPr>
              <w:t>64 fewer per 1000</w:t>
            </w:r>
            <w:r w:rsidRPr="00CB33FA">
              <w:rPr>
                <w:rFonts w:ascii="Arial Narrow" w:hAnsi="Arial Narrow"/>
                <w:color w:val="000000"/>
                <w:sz w:val="20"/>
                <w:szCs w:val="20"/>
                <w:lang w:eastAsia="en-AU"/>
              </w:rPr>
              <w:br/>
              <w:t xml:space="preserve">(151 fewer to 22 more) </w:t>
            </w:r>
          </w:p>
        </w:tc>
      </w:tr>
    </w:tbl>
    <w:p w:rsidR="00C13B54" w:rsidRDefault="001B5185" w:rsidP="001B5185">
      <w:pPr>
        <w:pStyle w:val="TableNote"/>
        <w:ind w:left="0" w:firstLine="0"/>
      </w:pPr>
      <w:r>
        <w:rPr>
          <w:lang w:val="en"/>
        </w:rPr>
        <w:t xml:space="preserve">CI </w:t>
      </w:r>
      <w:r w:rsidR="007F6EF9" w:rsidRPr="001B3113">
        <w:rPr>
          <w:spacing w:val="-20"/>
          <w:lang w:val="en"/>
        </w:rPr>
        <w:t xml:space="preserve">= </w:t>
      </w:r>
      <w:r>
        <w:rPr>
          <w:lang w:val="en"/>
        </w:rPr>
        <w:t>confidence interval; RCT</w:t>
      </w:r>
      <w:r w:rsidR="007F6EF9" w:rsidRPr="001B3113">
        <w:rPr>
          <w:spacing w:val="-20"/>
          <w:lang w:val="en"/>
        </w:rPr>
        <w:t xml:space="preserve">= </w:t>
      </w:r>
      <w:r w:rsidR="007F6EF9" w:rsidRPr="001B3113">
        <w:rPr>
          <w:lang w:val="en"/>
        </w:rPr>
        <w:t xml:space="preserve">randomised controlled trial; ITT = </w:t>
      </w:r>
      <w:r>
        <w:rPr>
          <w:lang w:val="en"/>
        </w:rPr>
        <w:t xml:space="preserve">intention to treat population; </w:t>
      </w:r>
      <w:r w:rsidR="007F6EF9" w:rsidRPr="001B3113">
        <w:rPr>
          <w:lang w:val="en"/>
        </w:rPr>
        <w:t>RR = relativ</w:t>
      </w:r>
      <w:r>
        <w:rPr>
          <w:lang w:val="en"/>
        </w:rPr>
        <w:t>e risk; risk difference was cal</w:t>
      </w:r>
      <w:r w:rsidR="007F6EF9" w:rsidRPr="001B3113">
        <w:rPr>
          <w:lang w:val="en"/>
        </w:rPr>
        <w:t>culated using STATA; importance of outcome was critical</w:t>
      </w:r>
    </w:p>
    <w:p w:rsidR="00F07E67" w:rsidRDefault="00F07E67" w:rsidP="00475E97"/>
    <w:p w:rsidR="001C3FAF" w:rsidRPr="000756DF" w:rsidRDefault="001C3FAF" w:rsidP="00A979FB">
      <w:pPr>
        <w:pStyle w:val="Heading5"/>
      </w:pPr>
      <w:r w:rsidRPr="000756DF">
        <w:t>Secondary effectiveness</w:t>
      </w:r>
    </w:p>
    <w:p w:rsidR="001C3FAF" w:rsidRPr="00A979FB" w:rsidRDefault="001C3FAF" w:rsidP="00A979FB">
      <w:pPr>
        <w:pStyle w:val="Heading5"/>
      </w:pPr>
      <w:r w:rsidRPr="00A979FB">
        <w:t>Changes in globotriaosylceramide (Gb3) levels in plasma and tissue</w:t>
      </w:r>
    </w:p>
    <w:p w:rsidR="001C3FAF" w:rsidRPr="000756DF" w:rsidRDefault="001C3FAF" w:rsidP="001C3FAF">
      <w:r w:rsidRPr="000756DF">
        <w:t xml:space="preserve">Gb3 levels were used as a surrogate outcome for renal function. Changes in Gb3 levels were reported in different ways in one RCT </w:t>
      </w:r>
      <w:r w:rsidR="00A130D0">
        <w:rPr>
          <w:noProof/>
        </w:rPr>
        <w:t>(</w:t>
      </w:r>
      <w:r w:rsidR="00184B6F">
        <w:rPr>
          <w:noProof/>
        </w:rPr>
        <w:t>Eng et al. 2001</w:t>
      </w:r>
      <w:r w:rsidR="00A130D0">
        <w:rPr>
          <w:noProof/>
        </w:rPr>
        <w:t>)</w:t>
      </w:r>
      <w:r w:rsidRPr="000756DF">
        <w:t xml:space="preserve"> with results shown in</w:t>
      </w:r>
      <w:r w:rsidR="00E4686C">
        <w:t xml:space="preserve"> </w:t>
      </w:r>
      <w:r w:rsidR="00A72B26" w:rsidRPr="00BD10C7">
        <w:t xml:space="preserve">Table </w:t>
      </w:r>
      <w:r w:rsidR="00A72B26">
        <w:rPr>
          <w:noProof/>
        </w:rPr>
        <w:t>38</w:t>
      </w:r>
      <w:r w:rsidRPr="000756DF">
        <w:t xml:space="preserve">. Microvascular endothelial Gb3 levels were reported for heart, kidney and a composite measure after 5 months of treatment. Gb3 levels were significantly lower favouring the agalsidase beta group for all three measures (kidney: MD -1.70, 95%CI -2.09 to -1.31; heart: </w:t>
      </w:r>
      <w:r w:rsidRPr="000756DF">
        <w:lastRenderedPageBreak/>
        <w:t>MD -0.90, 95%CI -1.18 to -0.62; composite: MD -4.80, 95%CI -5.45 to -4.15).</w:t>
      </w:r>
      <w:r w:rsidRPr="007074A0">
        <w:t xml:space="preserve"> </w:t>
      </w:r>
      <w:r w:rsidRPr="000756DF">
        <w:t xml:space="preserve">These </w:t>
      </w:r>
      <w:r>
        <w:t>result</w:t>
      </w:r>
      <w:r w:rsidRPr="000756DF">
        <w:t xml:space="preserve">s were given a quality rating of </w:t>
      </w:r>
      <w:r w:rsidRPr="000756DF">
        <w:rPr>
          <w:i/>
        </w:rPr>
        <w:t>very low</w:t>
      </w:r>
      <w:r w:rsidRPr="000756DF">
        <w:t xml:space="preserve"> </w:t>
      </w:r>
      <w:r>
        <w:t>(G</w:t>
      </w:r>
      <w:r w:rsidRPr="000756DF">
        <w:t xml:space="preserve">RADE </w:t>
      </w:r>
      <w:r w:rsidR="009A0532" w:rsidRPr="00D4733A">
        <w:rPr>
          <w:rFonts w:ascii="Cambria Math" w:hAnsi="Cambria Math"/>
          <w:color w:val="00B050"/>
        </w:rPr>
        <w:t>⨁</w:t>
      </w:r>
      <w:r w:rsidR="009A0532" w:rsidRPr="00D4733A">
        <w:rPr>
          <w:rFonts w:ascii="Cambria Math" w:hAnsi="Cambria Math"/>
          <w:color w:val="C00000"/>
        </w:rPr>
        <w:t>⨀⨀⨀</w:t>
      </w:r>
      <w:r w:rsidR="00D67ADB" w:rsidRPr="00D67ADB">
        <w:rPr>
          <w:spacing w:val="-20"/>
        </w:rPr>
        <w:t>)</w:t>
      </w:r>
      <w:r w:rsidRPr="000756DF">
        <w:rPr>
          <w:rFonts w:ascii="Cambria Math" w:hAnsi="Cambria Math"/>
        </w:rPr>
        <w:t xml:space="preserve"> </w:t>
      </w:r>
      <w:r>
        <w:t>as risk of bias</w:t>
      </w:r>
      <w:r w:rsidRPr="000756DF">
        <w:t>, indirectness and imprecision were considered to be serious.</w:t>
      </w:r>
    </w:p>
    <w:p w:rsidR="001C3FAF" w:rsidRDefault="001C3FAF" w:rsidP="001C3FAF">
      <w:pPr>
        <w:pStyle w:val="Caption"/>
        <w:keepNext/>
        <w:tabs>
          <w:tab w:val="clear" w:pos="851"/>
          <w:tab w:val="left" w:pos="1134"/>
        </w:tabs>
        <w:ind w:left="1134" w:hanging="1134"/>
      </w:pPr>
      <w:bookmarkStart w:id="205" w:name="_Ref405842140"/>
      <w:bookmarkStart w:id="206" w:name="_Toc405361931"/>
      <w:bookmarkStart w:id="207" w:name="_Toc411510420"/>
      <w:bookmarkStart w:id="208" w:name="_Toc415141835"/>
      <w:r w:rsidRPr="00BD10C7">
        <w:t xml:space="preserve">Table </w:t>
      </w:r>
      <w:r w:rsidR="00A72B26">
        <w:rPr>
          <w:noProof/>
        </w:rPr>
        <w:t>38</w:t>
      </w:r>
      <w:bookmarkEnd w:id="205"/>
      <w:r w:rsidRPr="00BD10C7">
        <w:tab/>
        <w:t xml:space="preserve">Microvascular endothelial Gb3 deposits in patients randomised to </w:t>
      </w:r>
      <w:r>
        <w:t>receive</w:t>
      </w:r>
      <w:r w:rsidRPr="00BD10C7">
        <w:t xml:space="preserve"> either agalsidase beta or placebo </w:t>
      </w:r>
      <w:bookmarkEnd w:id="206"/>
      <w:r w:rsidR="00E83918">
        <w:rPr>
          <w:noProof/>
        </w:rPr>
        <w:t>(</w:t>
      </w:r>
      <w:r w:rsidR="00184B6F">
        <w:rPr>
          <w:noProof/>
        </w:rPr>
        <w:t>El Dib, R P, Nascimento &amp; Pastores 2013</w:t>
      </w:r>
      <w:r w:rsidR="00E83918">
        <w:rPr>
          <w:noProof/>
        </w:rPr>
        <w:t>)</w:t>
      </w:r>
      <w:r w:rsidRPr="00ED64C9">
        <w:t xml:space="preserve"> </w:t>
      </w:r>
      <w:r w:rsidR="00A130D0">
        <w:rPr>
          <w:noProof/>
        </w:rPr>
        <w:t>(</w:t>
      </w:r>
      <w:r w:rsidR="00184B6F">
        <w:rPr>
          <w:noProof/>
        </w:rPr>
        <w:t>Eng et al. 2001</w:t>
      </w:r>
      <w:r w:rsidR="00A130D0">
        <w:rPr>
          <w:noProof/>
        </w:rPr>
        <w:t>)</w:t>
      </w:r>
      <w:bookmarkEnd w:id="207"/>
      <w:bookmarkEnd w:id="208"/>
    </w:p>
    <w:tbl>
      <w:tblPr>
        <w:tblW w:w="5000" w:type="pct"/>
        <w:tblCellMar>
          <w:top w:w="75" w:type="dxa"/>
          <w:left w:w="75" w:type="dxa"/>
          <w:bottom w:w="75" w:type="dxa"/>
          <w:right w:w="75" w:type="dxa"/>
        </w:tblCellMar>
        <w:tblLook w:val="04A0" w:firstRow="1" w:lastRow="0" w:firstColumn="1" w:lastColumn="0" w:noHBand="0" w:noVBand="1"/>
        <w:tblCaption w:val="Table 36 Microvascular endothelial Gb3 deposits in patients randomised to receive either agalsidase beta or placebo (El Dib, R P, Nascimento &amp; Pastores 2013) (Eng et al. 2001)"/>
      </w:tblPr>
      <w:tblGrid>
        <w:gridCol w:w="2251"/>
        <w:gridCol w:w="1243"/>
        <w:gridCol w:w="1543"/>
        <w:gridCol w:w="2267"/>
        <w:gridCol w:w="1872"/>
      </w:tblGrid>
      <w:tr w:rsidR="007F6EF9" w:rsidRPr="001B3113" w:rsidTr="00B37104">
        <w:trPr>
          <w:tblHeader/>
        </w:trPr>
        <w:tc>
          <w:tcPr>
            <w:tcW w:w="2251" w:type="dxa"/>
            <w:tcBorders>
              <w:top w:val="single" w:sz="6" w:space="0" w:color="000000"/>
              <w:left w:val="nil"/>
              <w:bottom w:val="single" w:sz="6" w:space="0" w:color="000000"/>
              <w:right w:val="nil"/>
            </w:tcBorders>
            <w:shd w:val="clear" w:color="auto" w:fill="3271AA"/>
          </w:tcPr>
          <w:p w:rsidR="007F6EF9" w:rsidRPr="00DC17CA" w:rsidRDefault="007F6EF9" w:rsidP="002B29B5">
            <w:pPr>
              <w:spacing w:after="200"/>
              <w:jc w:val="left"/>
              <w:rPr>
                <w:rFonts w:ascii="Arial Narrow" w:hAnsi="Arial Narrow"/>
                <w:b/>
                <w:bCs/>
                <w:color w:val="000000"/>
                <w:sz w:val="20"/>
                <w:szCs w:val="20"/>
                <w:lang w:eastAsia="en-AU"/>
              </w:rPr>
            </w:pPr>
            <w:r w:rsidRPr="00CB33FA">
              <w:rPr>
                <w:rFonts w:ascii="Arial Narrow" w:hAnsi="Arial Narrow"/>
                <w:b/>
                <w:bCs/>
                <w:color w:val="FFFFFF"/>
                <w:sz w:val="20"/>
                <w:szCs w:val="20"/>
                <w:lang w:eastAsia="en-AU"/>
              </w:rPr>
              <w:t>Outcomes</w:t>
            </w:r>
          </w:p>
        </w:tc>
        <w:tc>
          <w:tcPr>
            <w:tcW w:w="1243" w:type="dxa"/>
            <w:tcBorders>
              <w:top w:val="single" w:sz="6" w:space="0" w:color="000000"/>
              <w:left w:val="nil"/>
              <w:bottom w:val="single" w:sz="6" w:space="0" w:color="000000"/>
              <w:right w:val="nil"/>
            </w:tcBorders>
            <w:shd w:val="clear" w:color="auto" w:fill="3271AA"/>
          </w:tcPr>
          <w:p w:rsidR="007F6EF9" w:rsidRPr="00DC17CA" w:rsidRDefault="007F6EF9" w:rsidP="002B29B5">
            <w:pPr>
              <w:spacing w:after="200"/>
              <w:jc w:val="left"/>
              <w:rPr>
                <w:rFonts w:ascii="Arial Narrow" w:hAnsi="Arial Narrow"/>
                <w:color w:val="000000"/>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1543" w:type="dxa"/>
            <w:tcBorders>
              <w:top w:val="single" w:sz="6" w:space="0" w:color="000000"/>
              <w:left w:val="nil"/>
              <w:bottom w:val="single" w:sz="6" w:space="0" w:color="000000"/>
              <w:right w:val="nil"/>
            </w:tcBorders>
            <w:shd w:val="clear" w:color="auto" w:fill="3271AA"/>
          </w:tcPr>
          <w:p w:rsidR="007F6EF9" w:rsidRPr="00DC17CA" w:rsidRDefault="007F6EF9" w:rsidP="002B29B5">
            <w:pPr>
              <w:spacing w:after="200"/>
              <w:jc w:val="left"/>
              <w:rPr>
                <w:rFonts w:ascii="Cambria Math" w:hAnsi="Cambria Math"/>
                <w:color w:val="00B050"/>
                <w:sz w:val="20"/>
                <w:szCs w:val="20"/>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2267" w:type="dxa"/>
            <w:tcBorders>
              <w:top w:val="single" w:sz="6" w:space="0" w:color="000000"/>
              <w:left w:val="nil"/>
              <w:bottom w:val="single" w:sz="6" w:space="0" w:color="000000"/>
              <w:right w:val="nil"/>
            </w:tcBorders>
            <w:shd w:val="clear" w:color="auto" w:fill="D9D9D9" w:themeFill="background1" w:themeFillShade="D9"/>
          </w:tcPr>
          <w:p w:rsidR="007F6EF9" w:rsidRPr="00DC17CA" w:rsidRDefault="007F6EF9" w:rsidP="002B29B5">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Risk with Supportive care plus placebo</w:t>
            </w:r>
          </w:p>
        </w:tc>
        <w:tc>
          <w:tcPr>
            <w:tcW w:w="1872" w:type="dxa"/>
            <w:tcBorders>
              <w:top w:val="single" w:sz="6" w:space="0" w:color="000000"/>
              <w:left w:val="nil"/>
              <w:bottom w:val="single" w:sz="6" w:space="0" w:color="000000"/>
              <w:right w:val="nil"/>
            </w:tcBorders>
            <w:shd w:val="clear" w:color="auto" w:fill="D9D9D9" w:themeFill="background1" w:themeFillShade="D9"/>
          </w:tcPr>
          <w:p w:rsidR="007F6EF9" w:rsidRPr="00DC17CA" w:rsidRDefault="007F6EF9" w:rsidP="002B29B5">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Risk difference with Agalsidase beta</w:t>
            </w:r>
          </w:p>
        </w:tc>
      </w:tr>
      <w:tr w:rsidR="007F6EF9" w:rsidRPr="001B3113" w:rsidTr="007F6EF9">
        <w:tc>
          <w:tcPr>
            <w:tcW w:w="2251" w:type="dxa"/>
            <w:tcBorders>
              <w:top w:val="single" w:sz="6" w:space="0" w:color="000000"/>
              <w:left w:val="nil"/>
              <w:bottom w:val="single" w:sz="6" w:space="0" w:color="000000"/>
              <w:right w:val="nil"/>
            </w:tcBorders>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Microvascular endothelial Gb3 deposits: Kidney</w:t>
            </w:r>
            <w:r w:rsidRPr="00CB33FA">
              <w:rPr>
                <w:rFonts w:ascii="Arial Narrow" w:hAnsi="Arial Narrow"/>
                <w:color w:val="000000"/>
                <w:sz w:val="20"/>
                <w:szCs w:val="20"/>
                <w:lang w:eastAsia="en-AU"/>
              </w:rPr>
              <w:br/>
              <w:t>assessed with: Gb3 score</w:t>
            </w:r>
            <w:r w:rsidRPr="00CB33FA">
              <w:rPr>
                <w:rFonts w:ascii="Arial Narrow" w:hAnsi="Arial Narrow"/>
                <w:color w:val="000000"/>
                <w:sz w:val="20"/>
                <w:szCs w:val="20"/>
                <w:lang w:eastAsia="en-AU"/>
              </w:rPr>
              <w:br/>
              <w:t xml:space="preserve">follow up: 3 to 6 </w:t>
            </w:r>
          </w:p>
        </w:tc>
        <w:tc>
          <w:tcPr>
            <w:tcW w:w="1243" w:type="dxa"/>
            <w:tcBorders>
              <w:top w:val="single" w:sz="6" w:space="0" w:color="000000"/>
              <w:left w:val="nil"/>
              <w:bottom w:val="single" w:sz="6" w:space="0" w:color="000000"/>
              <w:right w:val="nil"/>
            </w:tcBorders>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58</w:t>
            </w:r>
            <w:r w:rsidRPr="00CB33FA">
              <w:rPr>
                <w:rFonts w:ascii="Arial Narrow" w:hAnsi="Arial Narrow"/>
                <w:color w:val="000000"/>
                <w:sz w:val="20"/>
                <w:szCs w:val="20"/>
                <w:lang w:eastAsia="en-AU"/>
              </w:rPr>
              <w:br/>
              <w:t xml:space="preserve">(1 RCT) </w:t>
            </w:r>
          </w:p>
        </w:tc>
        <w:tc>
          <w:tcPr>
            <w:tcW w:w="1543" w:type="dxa"/>
            <w:tcBorders>
              <w:top w:val="single" w:sz="6" w:space="0" w:color="000000"/>
              <w:left w:val="nil"/>
              <w:bottom w:val="single" w:sz="6" w:space="0" w:color="000000"/>
              <w:right w:val="nil"/>
            </w:tcBorders>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Pr="00CB33FA">
              <w:rPr>
                <w:rFonts w:ascii="Arial Narrow" w:hAnsi="Arial Narrow"/>
                <w:color w:val="000000"/>
                <w:sz w:val="20"/>
                <w:szCs w:val="20"/>
                <w:lang w:eastAsia="en-AU"/>
              </w:rPr>
              <w:br/>
              <w:t xml:space="preserve">VERY LOW </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2</w:t>
            </w:r>
          </w:p>
        </w:tc>
        <w:tc>
          <w:tcPr>
            <w:tcW w:w="2267" w:type="dxa"/>
            <w:tcBorders>
              <w:top w:val="single" w:sz="6" w:space="0" w:color="000000"/>
              <w:left w:val="nil"/>
              <w:bottom w:val="single" w:sz="6" w:space="0" w:color="000000"/>
              <w:right w:val="nil"/>
            </w:tcBorders>
            <w:shd w:val="clear" w:color="auto" w:fill="EDEDED"/>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microvascular endothelial Gb3 deposits: Kidney in the control group was </w:t>
            </w:r>
            <w:r w:rsidRPr="00CB33FA">
              <w:rPr>
                <w:rFonts w:ascii="Arial Narrow" w:hAnsi="Arial Narrow"/>
                <w:b/>
                <w:bCs/>
                <w:color w:val="000000"/>
                <w:sz w:val="20"/>
                <w:szCs w:val="20"/>
                <w:lang w:eastAsia="en-AU"/>
              </w:rPr>
              <w:t>0</w:t>
            </w:r>
            <w:r w:rsidRPr="00CB33FA">
              <w:rPr>
                <w:rFonts w:ascii="Arial Narrow" w:hAnsi="Arial Narrow"/>
                <w:color w:val="000000"/>
                <w:sz w:val="20"/>
                <w:szCs w:val="20"/>
                <w:lang w:eastAsia="en-AU"/>
              </w:rPr>
              <w:t xml:space="preserve"> </w:t>
            </w:r>
          </w:p>
        </w:tc>
        <w:tc>
          <w:tcPr>
            <w:tcW w:w="1872" w:type="dxa"/>
            <w:tcBorders>
              <w:top w:val="single" w:sz="6" w:space="0" w:color="000000"/>
              <w:left w:val="nil"/>
              <w:bottom w:val="single" w:sz="6" w:space="0" w:color="000000"/>
              <w:right w:val="nil"/>
            </w:tcBorders>
            <w:shd w:val="clear" w:color="auto" w:fill="EDEDED"/>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1.7 lower</w:t>
            </w:r>
            <w:r w:rsidRPr="00CB33FA">
              <w:rPr>
                <w:rFonts w:ascii="Arial Narrow" w:hAnsi="Arial Narrow"/>
                <w:color w:val="000000"/>
                <w:sz w:val="20"/>
                <w:szCs w:val="20"/>
                <w:lang w:eastAsia="en-AU"/>
              </w:rPr>
              <w:br/>
              <w:t xml:space="preserve">(2.09 lower to 1.31 lower) </w:t>
            </w:r>
          </w:p>
        </w:tc>
      </w:tr>
      <w:tr w:rsidR="007F6EF9" w:rsidRPr="001B3113" w:rsidTr="007F6EF9">
        <w:tc>
          <w:tcPr>
            <w:tcW w:w="2251" w:type="dxa"/>
            <w:tcBorders>
              <w:top w:val="single" w:sz="6" w:space="0" w:color="000000"/>
              <w:left w:val="nil"/>
              <w:bottom w:val="single" w:sz="6" w:space="0" w:color="000000"/>
              <w:right w:val="nil"/>
            </w:tcBorders>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Microvascular endothelial Gb3 deposits: Heart</w:t>
            </w:r>
            <w:r w:rsidRPr="00CB33FA">
              <w:rPr>
                <w:rFonts w:ascii="Arial Narrow" w:hAnsi="Arial Narrow"/>
                <w:color w:val="000000"/>
                <w:sz w:val="20"/>
                <w:szCs w:val="20"/>
                <w:lang w:eastAsia="en-AU"/>
              </w:rPr>
              <w:br/>
              <w:t>assessed with: Gb3 score</w:t>
            </w:r>
            <w:r w:rsidRPr="00CB33FA">
              <w:rPr>
                <w:rFonts w:ascii="Arial Narrow" w:hAnsi="Arial Narrow"/>
                <w:color w:val="000000"/>
                <w:sz w:val="20"/>
                <w:szCs w:val="20"/>
                <w:lang w:eastAsia="en-AU"/>
              </w:rPr>
              <w:br/>
              <w:t xml:space="preserve">follow up: 3 to 6 months </w:t>
            </w:r>
          </w:p>
        </w:tc>
        <w:tc>
          <w:tcPr>
            <w:tcW w:w="1243" w:type="dxa"/>
            <w:tcBorders>
              <w:top w:val="single" w:sz="6" w:space="0" w:color="000000"/>
              <w:left w:val="nil"/>
              <w:bottom w:val="single" w:sz="6" w:space="0" w:color="000000"/>
              <w:right w:val="nil"/>
            </w:tcBorders>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58</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1543" w:type="dxa"/>
            <w:tcBorders>
              <w:top w:val="single" w:sz="6" w:space="0" w:color="000000"/>
              <w:left w:val="nil"/>
              <w:bottom w:val="single" w:sz="6" w:space="0" w:color="000000"/>
              <w:right w:val="nil"/>
            </w:tcBorders>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Pr="00CB33FA">
              <w:rPr>
                <w:rFonts w:ascii="Arial Narrow" w:hAnsi="Arial Narrow"/>
                <w:color w:val="000000"/>
                <w:sz w:val="20"/>
                <w:szCs w:val="20"/>
                <w:lang w:eastAsia="en-AU"/>
              </w:rPr>
              <w:br/>
              <w:t xml:space="preserve">VERY LOW </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1</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2</w:t>
            </w:r>
          </w:p>
        </w:tc>
        <w:tc>
          <w:tcPr>
            <w:tcW w:w="2267" w:type="dxa"/>
            <w:tcBorders>
              <w:top w:val="single" w:sz="6" w:space="0" w:color="000000"/>
              <w:left w:val="nil"/>
              <w:bottom w:val="single" w:sz="6" w:space="0" w:color="000000"/>
              <w:right w:val="nil"/>
            </w:tcBorders>
            <w:shd w:val="clear" w:color="auto" w:fill="EDEDED"/>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microvascular endothelial Gb3 deposits: Heart in the control group was </w:t>
            </w:r>
            <w:r w:rsidRPr="00CB33FA">
              <w:rPr>
                <w:rFonts w:ascii="Arial Narrow" w:hAnsi="Arial Narrow"/>
                <w:b/>
                <w:bCs/>
                <w:color w:val="000000"/>
                <w:sz w:val="20"/>
                <w:szCs w:val="20"/>
                <w:lang w:eastAsia="en-AU"/>
              </w:rPr>
              <w:t>0</w:t>
            </w:r>
            <w:r w:rsidRPr="00CB33FA">
              <w:rPr>
                <w:rFonts w:ascii="Arial Narrow" w:hAnsi="Arial Narrow"/>
                <w:color w:val="000000"/>
                <w:sz w:val="20"/>
                <w:szCs w:val="20"/>
                <w:lang w:eastAsia="en-AU"/>
              </w:rPr>
              <w:t xml:space="preserve"> </w:t>
            </w:r>
          </w:p>
        </w:tc>
        <w:tc>
          <w:tcPr>
            <w:tcW w:w="1872" w:type="dxa"/>
            <w:tcBorders>
              <w:top w:val="single" w:sz="6" w:space="0" w:color="000000"/>
              <w:left w:val="nil"/>
              <w:bottom w:val="single" w:sz="6" w:space="0" w:color="000000"/>
              <w:right w:val="nil"/>
            </w:tcBorders>
            <w:shd w:val="clear" w:color="auto" w:fill="EDEDED"/>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0.9 lower</w:t>
            </w:r>
            <w:r w:rsidRPr="00CB33FA">
              <w:rPr>
                <w:rFonts w:ascii="Arial Narrow" w:hAnsi="Arial Narrow"/>
                <w:color w:val="000000"/>
                <w:sz w:val="20"/>
                <w:szCs w:val="20"/>
                <w:lang w:eastAsia="en-AU"/>
              </w:rPr>
              <w:br/>
              <w:t xml:space="preserve">(1.18 lower to 0.62 lower) </w:t>
            </w:r>
          </w:p>
        </w:tc>
      </w:tr>
      <w:tr w:rsidR="007F6EF9" w:rsidRPr="001B3113" w:rsidTr="007F6EF9">
        <w:tc>
          <w:tcPr>
            <w:tcW w:w="2251" w:type="dxa"/>
            <w:tcBorders>
              <w:top w:val="single" w:sz="6" w:space="0" w:color="000000"/>
              <w:left w:val="nil"/>
              <w:bottom w:val="single" w:sz="6" w:space="0" w:color="000000"/>
              <w:right w:val="nil"/>
            </w:tcBorders>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Microvascular endothelial Gb3 deposits: Composite</w:t>
            </w:r>
            <w:r w:rsidRPr="00CB33FA">
              <w:rPr>
                <w:rFonts w:ascii="Arial Narrow" w:hAnsi="Arial Narrow"/>
                <w:color w:val="000000"/>
                <w:sz w:val="20"/>
                <w:szCs w:val="20"/>
                <w:lang w:eastAsia="en-AU"/>
              </w:rPr>
              <w:br/>
              <w:t>assessed with: Gb3 score</w:t>
            </w:r>
            <w:r w:rsidRPr="00CB33FA">
              <w:rPr>
                <w:rFonts w:ascii="Arial Narrow" w:hAnsi="Arial Narrow"/>
                <w:color w:val="000000"/>
                <w:sz w:val="20"/>
                <w:szCs w:val="20"/>
                <w:lang w:eastAsia="en-AU"/>
              </w:rPr>
              <w:br/>
              <w:t xml:space="preserve">follow up: 3 to 6 </w:t>
            </w:r>
          </w:p>
        </w:tc>
        <w:tc>
          <w:tcPr>
            <w:tcW w:w="1243" w:type="dxa"/>
            <w:tcBorders>
              <w:top w:val="single" w:sz="6" w:space="0" w:color="000000"/>
              <w:left w:val="nil"/>
              <w:bottom w:val="single" w:sz="6" w:space="0" w:color="000000"/>
              <w:right w:val="nil"/>
            </w:tcBorders>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58</w:t>
            </w:r>
            <w:r w:rsidRPr="00CB33FA">
              <w:rPr>
                <w:rFonts w:ascii="Arial Narrow" w:hAnsi="Arial Narrow"/>
                <w:color w:val="000000"/>
                <w:sz w:val="20"/>
                <w:szCs w:val="20"/>
                <w:lang w:eastAsia="en-AU"/>
              </w:rPr>
              <w:br/>
              <w:t xml:space="preserve">(1 RCT) </w:t>
            </w:r>
          </w:p>
        </w:tc>
        <w:tc>
          <w:tcPr>
            <w:tcW w:w="1543" w:type="dxa"/>
            <w:tcBorders>
              <w:top w:val="single" w:sz="6" w:space="0" w:color="000000"/>
              <w:left w:val="nil"/>
              <w:bottom w:val="single" w:sz="6" w:space="0" w:color="000000"/>
              <w:right w:val="nil"/>
            </w:tcBorders>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Pr="00CB33FA">
              <w:rPr>
                <w:rFonts w:ascii="Arial Narrow" w:hAnsi="Arial Narrow"/>
                <w:color w:val="000000"/>
                <w:sz w:val="20"/>
                <w:szCs w:val="20"/>
                <w:lang w:eastAsia="en-AU"/>
              </w:rPr>
              <w:br/>
              <w:t xml:space="preserve">VERY LOW </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1</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2</w:t>
            </w:r>
          </w:p>
        </w:tc>
        <w:tc>
          <w:tcPr>
            <w:tcW w:w="2267" w:type="dxa"/>
            <w:tcBorders>
              <w:top w:val="single" w:sz="6" w:space="0" w:color="000000"/>
              <w:left w:val="nil"/>
              <w:bottom w:val="single" w:sz="6" w:space="0" w:color="000000"/>
              <w:right w:val="nil"/>
            </w:tcBorders>
            <w:shd w:val="clear" w:color="auto" w:fill="EDEDED"/>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microvascular endothelial Gb3 deposits: Composite in the control group was </w:t>
            </w:r>
            <w:r w:rsidRPr="00CB33FA">
              <w:rPr>
                <w:rFonts w:ascii="Arial Narrow" w:hAnsi="Arial Narrow"/>
                <w:b/>
                <w:bCs/>
                <w:color w:val="000000"/>
                <w:sz w:val="20"/>
                <w:szCs w:val="20"/>
                <w:lang w:eastAsia="en-AU"/>
              </w:rPr>
              <w:t>0</w:t>
            </w:r>
            <w:r w:rsidRPr="00CB33FA">
              <w:rPr>
                <w:rFonts w:ascii="Arial Narrow" w:hAnsi="Arial Narrow"/>
                <w:color w:val="000000"/>
                <w:sz w:val="20"/>
                <w:szCs w:val="20"/>
                <w:lang w:eastAsia="en-AU"/>
              </w:rPr>
              <w:t xml:space="preserve"> </w:t>
            </w:r>
          </w:p>
        </w:tc>
        <w:tc>
          <w:tcPr>
            <w:tcW w:w="1872" w:type="dxa"/>
            <w:tcBorders>
              <w:top w:val="single" w:sz="6" w:space="0" w:color="000000"/>
              <w:left w:val="nil"/>
              <w:bottom w:val="single" w:sz="6" w:space="0" w:color="000000"/>
              <w:right w:val="nil"/>
            </w:tcBorders>
            <w:shd w:val="clear" w:color="auto" w:fill="EDEDED"/>
            <w:hideMark/>
          </w:tcPr>
          <w:p w:rsidR="007F6EF9" w:rsidRPr="00CB33FA" w:rsidRDefault="007F6EF9" w:rsidP="002B29B5">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4.8 lower</w:t>
            </w:r>
            <w:r w:rsidRPr="00CB33FA">
              <w:rPr>
                <w:rFonts w:ascii="Arial Narrow" w:hAnsi="Arial Narrow"/>
                <w:color w:val="000000"/>
                <w:sz w:val="20"/>
                <w:szCs w:val="20"/>
                <w:lang w:eastAsia="en-AU"/>
              </w:rPr>
              <w:br/>
              <w:t xml:space="preserve">(5.45 lower to 4.15 lower) </w:t>
            </w:r>
          </w:p>
        </w:tc>
      </w:tr>
    </w:tbl>
    <w:p w:rsidR="008D29D8" w:rsidRDefault="001B5185" w:rsidP="001B5185">
      <w:pPr>
        <w:pStyle w:val="TableNote"/>
        <w:ind w:left="0" w:firstLine="0"/>
        <w:rPr>
          <w:lang w:val="en"/>
        </w:rPr>
      </w:pPr>
      <w:r>
        <w:rPr>
          <w:lang w:val="en"/>
        </w:rPr>
        <w:t>RCT</w:t>
      </w:r>
      <w:r w:rsidR="007F6EF9" w:rsidRPr="00DC17CA">
        <w:rPr>
          <w:spacing w:val="-20"/>
          <w:lang w:val="en"/>
        </w:rPr>
        <w:t xml:space="preserve"> =</w:t>
      </w:r>
      <w:r>
        <w:rPr>
          <w:lang w:val="en"/>
        </w:rPr>
        <w:t xml:space="preserve"> </w:t>
      </w:r>
      <w:r w:rsidR="007F6EF9" w:rsidRPr="001B3113">
        <w:rPr>
          <w:lang w:val="en"/>
        </w:rPr>
        <w:t>randomised controlled trial; Gb3 =</w:t>
      </w:r>
      <w:r w:rsidR="007F6EF9" w:rsidRPr="001B3113">
        <w:t xml:space="preserve"> globotriaosylceramide;</w:t>
      </w:r>
      <w:r w:rsidR="007F6EF9" w:rsidRPr="001B3113">
        <w:rPr>
          <w:lang w:val="en"/>
        </w:rPr>
        <w:t xml:space="preserve"> MD </w:t>
      </w:r>
      <w:r w:rsidR="007F6EF9" w:rsidRPr="001B3113">
        <w:rPr>
          <w:spacing w:val="-20"/>
          <w:lang w:val="en"/>
        </w:rPr>
        <w:t xml:space="preserve">= </w:t>
      </w:r>
      <w:r w:rsidR="007F6EF9" w:rsidRPr="001B3113">
        <w:rPr>
          <w:lang w:val="en"/>
        </w:rPr>
        <w:t xml:space="preserve"> mean difference between agalsidase beta and placebo </w:t>
      </w:r>
      <w:r w:rsidR="00D124D0" w:rsidRPr="006A44C2">
        <w:rPr>
          <w:lang w:val="en"/>
        </w:rPr>
        <w:t xml:space="preserve">(i.e. a mean difference “lower” means that the effect </w:t>
      </w:r>
      <w:r w:rsidR="00D124D0">
        <w:rPr>
          <w:lang w:val="en"/>
        </w:rPr>
        <w:t xml:space="preserve">size </w:t>
      </w:r>
      <w:r w:rsidR="00D124D0" w:rsidRPr="006A44C2">
        <w:rPr>
          <w:lang w:val="en"/>
        </w:rPr>
        <w:t xml:space="preserve">in </w:t>
      </w:r>
      <w:r w:rsidR="00D124D0">
        <w:rPr>
          <w:lang w:val="en"/>
        </w:rPr>
        <w:t xml:space="preserve">the </w:t>
      </w:r>
      <w:r w:rsidR="00D124D0" w:rsidRPr="006A44C2">
        <w:rPr>
          <w:lang w:val="en"/>
        </w:rPr>
        <w:t xml:space="preserve">agalsidase </w:t>
      </w:r>
      <w:r w:rsidR="00092143">
        <w:rPr>
          <w:lang w:val="en"/>
        </w:rPr>
        <w:t>bet</w:t>
      </w:r>
      <w:r w:rsidR="00D124D0" w:rsidRPr="006A44C2">
        <w:rPr>
          <w:lang w:val="en"/>
        </w:rPr>
        <w:t xml:space="preserve">a </w:t>
      </w:r>
      <w:r w:rsidR="00D124D0">
        <w:rPr>
          <w:lang w:val="en"/>
        </w:rPr>
        <w:t xml:space="preserve">arm </w:t>
      </w:r>
      <w:r w:rsidR="00D124D0" w:rsidRPr="006A44C2">
        <w:rPr>
          <w:lang w:val="en"/>
        </w:rPr>
        <w:t xml:space="preserve">is lower than placebo, and conversely “higher” means that the effect </w:t>
      </w:r>
      <w:r w:rsidR="00D124D0">
        <w:rPr>
          <w:lang w:val="en"/>
        </w:rPr>
        <w:t xml:space="preserve">size </w:t>
      </w:r>
      <w:r w:rsidR="00D124D0" w:rsidRPr="006A44C2">
        <w:rPr>
          <w:lang w:val="en"/>
        </w:rPr>
        <w:t xml:space="preserve">is higher in agalsidase </w:t>
      </w:r>
      <w:r w:rsidR="00092143">
        <w:rPr>
          <w:lang w:val="en"/>
        </w:rPr>
        <w:t>bet</w:t>
      </w:r>
      <w:r w:rsidR="00D124D0" w:rsidRPr="006A44C2">
        <w:rPr>
          <w:lang w:val="en"/>
        </w:rPr>
        <w:t>a than in placebo)</w:t>
      </w:r>
      <w:r w:rsidR="00D124D0">
        <w:rPr>
          <w:lang w:val="en"/>
        </w:rPr>
        <w:t xml:space="preserve">. In this instance, a lower Gb3 </w:t>
      </w:r>
      <w:r w:rsidR="00CD39DE">
        <w:rPr>
          <w:lang w:val="en"/>
        </w:rPr>
        <w:t>deposit</w:t>
      </w:r>
      <w:r w:rsidR="00D124D0">
        <w:rPr>
          <w:lang w:val="en"/>
        </w:rPr>
        <w:t xml:space="preserve"> is beneficial to patients</w:t>
      </w:r>
      <w:r w:rsidR="007F6EF9" w:rsidRPr="001B3113">
        <w:rPr>
          <w:lang w:val="en"/>
        </w:rPr>
        <w:t xml:space="preserve">; Gb3 score was defined as 0 for </w:t>
      </w:r>
      <w:r w:rsidR="00F87099" w:rsidRPr="001B3113">
        <w:rPr>
          <w:lang w:val="en"/>
        </w:rPr>
        <w:t>specimens</w:t>
      </w:r>
      <w:r w:rsidR="007F6EF9" w:rsidRPr="001B3113">
        <w:rPr>
          <w:lang w:val="en"/>
        </w:rPr>
        <w:t xml:space="preserve"> with no or trace amounts of Gb3, 1 if the majority of vessels had evidence of a single endothelial inclusion, 2 if multiple vessels with single or multiple aggregate inclusions, and 3 for specimens with larger accumulations of inclusions and bulging of the vessel lumens.</w:t>
      </w:r>
    </w:p>
    <w:p w:rsidR="007F6EF9" w:rsidRPr="00CB33FA" w:rsidRDefault="007F6EF9" w:rsidP="007F6EF9">
      <w:pPr>
        <w:pStyle w:val="TableNote"/>
        <w:rPr>
          <w:color w:val="000000"/>
        </w:rPr>
      </w:pPr>
      <w:r>
        <w:rPr>
          <w:color w:val="000000"/>
        </w:rPr>
        <w:t xml:space="preserve">1. </w:t>
      </w:r>
      <w:r w:rsidRPr="00CB33FA">
        <w:rPr>
          <w:color w:val="000000"/>
        </w:rPr>
        <w:t>Possible conflict of interest</w:t>
      </w:r>
    </w:p>
    <w:p w:rsidR="007F6EF9" w:rsidRPr="008D29D8" w:rsidRDefault="007F6EF9" w:rsidP="007F6EF9">
      <w:pPr>
        <w:pStyle w:val="TableNote"/>
      </w:pPr>
      <w:r>
        <w:rPr>
          <w:color w:val="000000"/>
        </w:rPr>
        <w:t xml:space="preserve">2. </w:t>
      </w:r>
      <w:r w:rsidRPr="00CB33FA">
        <w:rPr>
          <w:color w:val="000000"/>
        </w:rPr>
        <w:t>Surrogate outcome</w:t>
      </w:r>
    </w:p>
    <w:p w:rsidR="001C3FAF" w:rsidRPr="000756DF" w:rsidRDefault="001C3FAF" w:rsidP="001C3FAF">
      <w:pPr>
        <w:spacing w:after="0" w:line="140" w:lineRule="atLeast"/>
        <w:rPr>
          <w:rFonts w:ascii="Arial Narrow" w:hAnsi="Arial Narrow"/>
          <w:color w:val="000000"/>
          <w:sz w:val="14"/>
          <w:szCs w:val="14"/>
          <w:lang w:val="en"/>
        </w:rPr>
      </w:pPr>
    </w:p>
    <w:p w:rsidR="001C3FAF" w:rsidRPr="000756DF" w:rsidRDefault="001C3FAF" w:rsidP="001C3FAF">
      <w:r w:rsidRPr="000756DF">
        <w:t xml:space="preserve">Gb3 levels in skin were measured in biopsy samples </w:t>
      </w:r>
      <w:r>
        <w:t>and</w:t>
      </w:r>
      <w:r w:rsidRPr="000756DF">
        <w:t xml:space="preserve"> were given a histological score. A score of 0 was given if there was no Gb3 or only trace amounts found. The percentage of patients with reduced Gb3 deposits or a score of zero were compared between randomised groups for a range of skin tissues. </w:t>
      </w:r>
      <w:r>
        <w:t>P</w:t>
      </w:r>
      <w:r w:rsidRPr="000756DF">
        <w:t xml:space="preserve">atients randomised to </w:t>
      </w:r>
      <w:r>
        <w:t xml:space="preserve">receive </w:t>
      </w:r>
      <w:r w:rsidRPr="000756DF">
        <w:t xml:space="preserve">agalsidase beta </w:t>
      </w:r>
      <w:r>
        <w:t>rather than</w:t>
      </w:r>
      <w:r w:rsidRPr="000756DF">
        <w:t xml:space="preserve"> placebo </w:t>
      </w:r>
      <w:r>
        <w:t>had a</w:t>
      </w:r>
      <w:r w:rsidRPr="000756DF">
        <w:t xml:space="preserve"> significantly lower</w:t>
      </w:r>
      <w:r>
        <w:t xml:space="preserve"> </w:t>
      </w:r>
      <w:r w:rsidRPr="000756DF">
        <w:t>Gb3 level in superficial endothelial cells (100% vers</w:t>
      </w:r>
      <w:r>
        <w:t>us</w:t>
      </w:r>
      <w:r w:rsidRPr="000756DF">
        <w:t xml:space="preserve"> 34.5%, RR 2.81, 95%CI 1.72 to 4.59) </w:t>
      </w:r>
      <w:r>
        <w:t>as well as</w:t>
      </w:r>
      <w:r w:rsidRPr="000756DF">
        <w:t xml:space="preserve"> deep endothelial cells (100% versus 34.6%, RR 2.79, 95%CI 1.67 to 4.67). Results were not significantly different for smooth muscle cells and perineurium</w:t>
      </w:r>
      <w:r>
        <w:t xml:space="preserve">, given the small sample size, but the direction of the difference was consistent for all analyses (GRADE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rPr>
          <w:rFonts w:ascii="Cambria Math" w:hAnsi="Cambria Math"/>
        </w:rPr>
        <w:t xml:space="preserve"> (</w:t>
      </w:r>
      <w:r w:rsidR="00A72B26" w:rsidRPr="00BD10C7">
        <w:t xml:space="preserve">Table </w:t>
      </w:r>
      <w:r w:rsidR="00A72B26">
        <w:rPr>
          <w:noProof/>
        </w:rPr>
        <w:t>39</w:t>
      </w:r>
      <w:r w:rsidR="00D67ADB" w:rsidRPr="00D67ADB">
        <w:rPr>
          <w:spacing w:val="-20"/>
        </w:rPr>
        <w:t>)</w:t>
      </w:r>
      <w:r>
        <w:rPr>
          <w:rFonts w:ascii="Cambria Math" w:hAnsi="Cambria Math"/>
        </w:rPr>
        <w:t xml:space="preserve">. </w:t>
      </w:r>
    </w:p>
    <w:p w:rsidR="001C3FAF" w:rsidRDefault="001C3FAF" w:rsidP="001C3FAF">
      <w:pPr>
        <w:pStyle w:val="Caption"/>
        <w:keepNext/>
        <w:tabs>
          <w:tab w:val="clear" w:pos="851"/>
          <w:tab w:val="left" w:pos="1134"/>
        </w:tabs>
        <w:ind w:left="1134" w:hanging="1134"/>
      </w:pPr>
      <w:bookmarkStart w:id="209" w:name="_Ref405842158"/>
      <w:bookmarkStart w:id="210" w:name="_Toc405361932"/>
      <w:bookmarkStart w:id="211" w:name="_Toc411510421"/>
      <w:bookmarkStart w:id="212" w:name="_Toc415141836"/>
      <w:r w:rsidRPr="00BD10C7">
        <w:lastRenderedPageBreak/>
        <w:t xml:space="preserve">Table </w:t>
      </w:r>
      <w:r w:rsidR="00A72B26">
        <w:rPr>
          <w:noProof/>
        </w:rPr>
        <w:t>39</w:t>
      </w:r>
      <w:bookmarkEnd w:id="209"/>
      <w:r w:rsidRPr="00BD10C7">
        <w:tab/>
      </w:r>
      <w:r>
        <w:t>S</w:t>
      </w:r>
      <w:r w:rsidRPr="00BD10C7">
        <w:t xml:space="preserve">kin tissue Gb3 deposits </w:t>
      </w:r>
      <w:r>
        <w:t xml:space="preserve">in Fabry patients </w:t>
      </w:r>
      <w:r w:rsidRPr="00BD10C7">
        <w:t xml:space="preserve">randomised to </w:t>
      </w:r>
      <w:r>
        <w:t>receive</w:t>
      </w:r>
      <w:r w:rsidRPr="00BD10C7">
        <w:t xml:space="preserve"> either agalsidase beta or placebo </w:t>
      </w:r>
      <w:bookmarkEnd w:id="210"/>
      <w:r w:rsidR="00E83918">
        <w:rPr>
          <w:noProof/>
        </w:rPr>
        <w:t>(</w:t>
      </w:r>
      <w:r w:rsidR="00184B6F">
        <w:rPr>
          <w:noProof/>
        </w:rPr>
        <w:t>El Dib, R P, Nascimento &amp; Pastores 2013</w:t>
      </w:r>
      <w:r w:rsidR="00E83918">
        <w:rPr>
          <w:noProof/>
        </w:rPr>
        <w:t>)</w:t>
      </w:r>
      <w:bookmarkEnd w:id="211"/>
      <w:bookmarkEnd w:id="212"/>
    </w:p>
    <w:tbl>
      <w:tblPr>
        <w:tblW w:w="5000" w:type="pct"/>
        <w:tblCellMar>
          <w:top w:w="75" w:type="dxa"/>
          <w:left w:w="75" w:type="dxa"/>
          <w:bottom w:w="75" w:type="dxa"/>
          <w:right w:w="75" w:type="dxa"/>
        </w:tblCellMar>
        <w:tblLook w:val="04A0" w:firstRow="1" w:lastRow="0" w:firstColumn="1" w:lastColumn="0" w:noHBand="0" w:noVBand="1"/>
        <w:tblCaption w:val="Table 37 Skin tissue Gb3 deposits in Fabry patients randomised to receive either agalsidase beta or placebo (El Dib, R P, Nascimento &amp; Pastores 2013)"/>
      </w:tblPr>
      <w:tblGrid>
        <w:gridCol w:w="2368"/>
        <w:gridCol w:w="1275"/>
        <w:gridCol w:w="1134"/>
        <w:gridCol w:w="1253"/>
        <w:gridCol w:w="1571"/>
        <w:gridCol w:w="1575"/>
      </w:tblGrid>
      <w:tr w:rsidR="007F6EF9" w:rsidRPr="001B3113" w:rsidTr="003F58A4">
        <w:trPr>
          <w:trHeight w:val="1236"/>
          <w:tblHeader/>
        </w:trPr>
        <w:tc>
          <w:tcPr>
            <w:tcW w:w="1290" w:type="pct"/>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695" w:type="pct"/>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618" w:type="pct"/>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683" w:type="pct"/>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Relative effect</w:t>
            </w:r>
            <w:r w:rsidRPr="00CB33FA">
              <w:rPr>
                <w:rFonts w:ascii="Arial Narrow" w:hAnsi="Arial Narrow"/>
                <w:b/>
                <w:bCs/>
                <w:color w:val="FFFFFF"/>
                <w:sz w:val="20"/>
                <w:szCs w:val="20"/>
                <w:lang w:eastAsia="en-AU"/>
              </w:rPr>
              <w:br/>
              <w:t>(95% CI)</w:t>
            </w:r>
          </w:p>
        </w:tc>
        <w:tc>
          <w:tcPr>
            <w:tcW w:w="856" w:type="pct"/>
            <w:tcBorders>
              <w:top w:val="single" w:sz="12" w:space="0" w:color="000000"/>
              <w:left w:val="nil"/>
            </w:tcBorders>
            <w:shd w:val="clear" w:color="auto" w:fill="D3D3D3"/>
            <w:hideMark/>
          </w:tcPr>
          <w:p w:rsidR="007F6EF9" w:rsidRPr="00CB33FA" w:rsidRDefault="007F6EF9" w:rsidP="007F6EF9">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Supportive care plus placebo</w:t>
            </w:r>
          </w:p>
        </w:tc>
        <w:tc>
          <w:tcPr>
            <w:tcW w:w="859" w:type="pct"/>
            <w:tcBorders>
              <w:top w:val="single" w:sz="12" w:space="0" w:color="000000"/>
              <w:left w:val="nil"/>
              <w:right w:val="nil"/>
            </w:tcBorders>
            <w:shd w:val="clear" w:color="auto" w:fill="D3D3D3"/>
          </w:tcPr>
          <w:p w:rsidR="007F6EF9" w:rsidRPr="00CB33FA" w:rsidRDefault="007F6EF9" w:rsidP="007F6EF9">
            <w:pPr>
              <w:keepNext/>
              <w:spacing w:after="0"/>
              <w:jc w:val="left"/>
              <w:rPr>
                <w:rFonts w:ascii="Arial Narrow" w:hAnsi="Arial Narrow"/>
                <w:b/>
                <w:bCs/>
                <w:color w:val="D9D9D9" w:themeColor="background1" w:themeShade="D9"/>
                <w:sz w:val="20"/>
                <w:szCs w:val="20"/>
                <w:lang w:eastAsia="en-AU"/>
              </w:rPr>
            </w:pPr>
            <w:r w:rsidRPr="00CB33FA">
              <w:rPr>
                <w:rFonts w:ascii="Arial Narrow" w:hAnsi="Arial Narrow"/>
                <w:b/>
                <w:bCs/>
                <w:color w:val="D9D9D9" w:themeColor="background1" w:themeShade="D9"/>
                <w:sz w:val="20"/>
                <w:szCs w:val="20"/>
                <w:lang w:eastAsia="en-AU"/>
              </w:rPr>
              <w:t>-</w:t>
            </w:r>
            <w:r w:rsidRPr="00CB33FA">
              <w:rPr>
                <w:rFonts w:ascii="Arial Narrow" w:hAnsi="Arial Narrow"/>
                <w:b/>
                <w:bCs/>
                <w:color w:val="000000"/>
                <w:sz w:val="20"/>
                <w:szCs w:val="20"/>
                <w:lang w:eastAsia="en-AU"/>
              </w:rPr>
              <w:t>Risk difference with Agalsidase beta</w:t>
            </w:r>
          </w:p>
        </w:tc>
      </w:tr>
      <w:tr w:rsidR="00265DB9" w:rsidRPr="001B3113" w:rsidTr="003F58A4">
        <w:trPr>
          <w:trHeight w:val="1086"/>
        </w:trPr>
        <w:tc>
          <w:tcPr>
            <w:tcW w:w="1290" w:type="pct"/>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Participants achieving zero score or reduction in skin: Superficial endothelial cells</w:t>
            </w:r>
            <w:r w:rsidRPr="00CB33FA">
              <w:rPr>
                <w:rFonts w:ascii="Arial Narrow" w:hAnsi="Arial Narrow"/>
                <w:color w:val="000000"/>
                <w:sz w:val="20"/>
                <w:szCs w:val="20"/>
                <w:lang w:eastAsia="en-AU"/>
              </w:rPr>
              <w:br/>
              <w:t xml:space="preserve">follow up: 3 to 6 months </w:t>
            </w:r>
          </w:p>
        </w:tc>
        <w:tc>
          <w:tcPr>
            <w:tcW w:w="695" w:type="pct"/>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58</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618" w:type="pct"/>
            <w:tcBorders>
              <w:top w:val="single" w:sz="6" w:space="0" w:color="000000"/>
              <w:left w:val="nil"/>
              <w:bottom w:val="single" w:sz="6" w:space="0" w:color="000000"/>
              <w:right w:val="nil"/>
            </w:tcBorders>
            <w:hideMark/>
          </w:tcPr>
          <w:p w:rsidR="00265DB9" w:rsidRPr="00CB33FA" w:rsidRDefault="009A0532"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265DB9" w:rsidRPr="00CB33FA">
              <w:rPr>
                <w:rFonts w:ascii="Arial Narrow" w:hAnsi="Arial Narrow"/>
                <w:color w:val="000000"/>
                <w:sz w:val="20"/>
                <w:szCs w:val="20"/>
                <w:lang w:eastAsia="en-AU"/>
              </w:rPr>
              <w:br/>
              <w:t xml:space="preserve">VERY LOW </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1 2</w:t>
            </w:r>
          </w:p>
        </w:tc>
        <w:tc>
          <w:tcPr>
            <w:tcW w:w="683" w:type="pct"/>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2.81</w:t>
            </w:r>
            <w:r w:rsidRPr="00CB33FA">
              <w:rPr>
                <w:rFonts w:ascii="Arial Narrow" w:hAnsi="Arial Narrow"/>
                <w:color w:val="000000"/>
                <w:sz w:val="20"/>
                <w:szCs w:val="20"/>
                <w:lang w:eastAsia="en-AU"/>
              </w:rPr>
              <w:br/>
              <w:t xml:space="preserve">(1.72 to 4.59) </w:t>
            </w:r>
          </w:p>
        </w:tc>
        <w:tc>
          <w:tcPr>
            <w:tcW w:w="856" w:type="pct"/>
            <w:tcBorders>
              <w:top w:val="single" w:sz="6" w:space="0" w:color="000000"/>
              <w:lef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345 per 1000 </w:t>
            </w:r>
          </w:p>
        </w:tc>
        <w:tc>
          <w:tcPr>
            <w:tcW w:w="859" w:type="pct"/>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F2F2F2" w:themeColor="background1" w:themeShade="F2"/>
                <w:sz w:val="20"/>
                <w:szCs w:val="20"/>
                <w:lang w:eastAsia="en-AU"/>
              </w:rPr>
            </w:pPr>
            <w:r w:rsidRPr="00CB33FA">
              <w:rPr>
                <w:rFonts w:ascii="Arial Narrow" w:hAnsi="Arial Narrow"/>
                <w:b/>
                <w:bCs/>
                <w:color w:val="000000"/>
                <w:sz w:val="20"/>
                <w:szCs w:val="20"/>
                <w:lang w:eastAsia="en-AU"/>
              </w:rPr>
              <w:t>655 more per 1000</w:t>
            </w:r>
            <w:r w:rsidRPr="00CB33FA">
              <w:rPr>
                <w:rFonts w:ascii="Arial Narrow" w:hAnsi="Arial Narrow"/>
                <w:color w:val="000000"/>
                <w:sz w:val="20"/>
                <w:szCs w:val="20"/>
                <w:lang w:eastAsia="en-AU"/>
              </w:rPr>
              <w:br/>
              <w:t xml:space="preserve">(482 more to 828 more) </w:t>
            </w:r>
          </w:p>
        </w:tc>
      </w:tr>
      <w:tr w:rsidR="00265DB9" w:rsidRPr="001B3113" w:rsidTr="003F58A4">
        <w:trPr>
          <w:trHeight w:val="1103"/>
        </w:trPr>
        <w:tc>
          <w:tcPr>
            <w:tcW w:w="1290" w:type="pct"/>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Participants achieving zero score or reduction in skin: Deep endothelial cells</w:t>
            </w:r>
            <w:r w:rsidRPr="00CB33FA">
              <w:rPr>
                <w:rFonts w:ascii="Arial Narrow" w:hAnsi="Arial Narrow"/>
                <w:color w:val="000000"/>
                <w:sz w:val="20"/>
                <w:szCs w:val="20"/>
                <w:lang w:eastAsia="en-AU"/>
              </w:rPr>
              <w:br/>
              <w:t xml:space="preserve">follow up: 3 to 6 months </w:t>
            </w:r>
          </w:p>
        </w:tc>
        <w:tc>
          <w:tcPr>
            <w:tcW w:w="695" w:type="pct"/>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52</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618" w:type="pct"/>
            <w:tcBorders>
              <w:top w:val="single" w:sz="6" w:space="0" w:color="000000"/>
              <w:left w:val="nil"/>
              <w:bottom w:val="single" w:sz="6" w:space="0" w:color="000000"/>
              <w:right w:val="nil"/>
            </w:tcBorders>
            <w:hideMark/>
          </w:tcPr>
          <w:p w:rsidR="00265DB9" w:rsidRPr="00CB33FA" w:rsidRDefault="009A0532"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265DB9" w:rsidRPr="00CB33FA">
              <w:rPr>
                <w:rFonts w:ascii="Arial Narrow" w:hAnsi="Arial Narrow"/>
                <w:color w:val="000000"/>
                <w:sz w:val="20"/>
                <w:szCs w:val="20"/>
                <w:lang w:eastAsia="en-AU"/>
              </w:rPr>
              <w:br/>
              <w:t xml:space="preserve">VERY LOW </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1 2</w:t>
            </w:r>
          </w:p>
        </w:tc>
        <w:tc>
          <w:tcPr>
            <w:tcW w:w="683" w:type="pct"/>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2.79</w:t>
            </w:r>
            <w:r w:rsidRPr="00CB33FA">
              <w:rPr>
                <w:rFonts w:ascii="Arial Narrow" w:hAnsi="Arial Narrow"/>
                <w:color w:val="000000"/>
                <w:sz w:val="20"/>
                <w:szCs w:val="20"/>
                <w:lang w:eastAsia="en-AU"/>
              </w:rPr>
              <w:br/>
              <w:t xml:space="preserve">(1.67 to 4.67) </w:t>
            </w:r>
          </w:p>
        </w:tc>
        <w:tc>
          <w:tcPr>
            <w:tcW w:w="856" w:type="pct"/>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346 per 1000 </w:t>
            </w:r>
          </w:p>
        </w:tc>
        <w:tc>
          <w:tcPr>
            <w:tcW w:w="859" w:type="pct"/>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F2F2F2" w:themeColor="background1" w:themeShade="F2"/>
                <w:sz w:val="20"/>
                <w:szCs w:val="20"/>
                <w:lang w:eastAsia="en-AU"/>
              </w:rPr>
            </w:pPr>
            <w:r w:rsidRPr="00CB33FA">
              <w:rPr>
                <w:rFonts w:ascii="Arial Narrow" w:hAnsi="Arial Narrow"/>
                <w:b/>
                <w:bCs/>
                <w:color w:val="000000"/>
                <w:sz w:val="20"/>
                <w:szCs w:val="20"/>
                <w:lang w:eastAsia="en-AU"/>
              </w:rPr>
              <w:t>654 more per 1000</w:t>
            </w:r>
            <w:r w:rsidRPr="00CB33FA">
              <w:rPr>
                <w:rFonts w:ascii="Arial Narrow" w:hAnsi="Arial Narrow"/>
                <w:color w:val="000000"/>
                <w:sz w:val="20"/>
                <w:szCs w:val="20"/>
                <w:lang w:eastAsia="en-AU"/>
              </w:rPr>
              <w:br/>
              <w:t xml:space="preserve">(471 more to 837 more) </w:t>
            </w:r>
          </w:p>
        </w:tc>
      </w:tr>
      <w:tr w:rsidR="00265DB9" w:rsidRPr="001B3113" w:rsidTr="003F58A4">
        <w:trPr>
          <w:trHeight w:val="1121"/>
        </w:trPr>
        <w:tc>
          <w:tcPr>
            <w:tcW w:w="1290" w:type="pct"/>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Participants achieving zero score or reduction in skin: Smooth muscle cells</w:t>
            </w:r>
            <w:r w:rsidRPr="00CB33FA">
              <w:rPr>
                <w:rFonts w:ascii="Arial Narrow" w:hAnsi="Arial Narrow"/>
                <w:color w:val="000000"/>
                <w:sz w:val="20"/>
                <w:szCs w:val="20"/>
                <w:lang w:eastAsia="en-AU"/>
              </w:rPr>
              <w:br/>
              <w:t xml:space="preserve">follow up: 3 to 6 months </w:t>
            </w:r>
          </w:p>
        </w:tc>
        <w:tc>
          <w:tcPr>
            <w:tcW w:w="695" w:type="pct"/>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618" w:type="pct"/>
            <w:tcBorders>
              <w:top w:val="single" w:sz="6" w:space="0" w:color="000000"/>
              <w:left w:val="nil"/>
              <w:bottom w:val="single" w:sz="6" w:space="0" w:color="000000"/>
              <w:right w:val="nil"/>
            </w:tcBorders>
            <w:hideMark/>
          </w:tcPr>
          <w:p w:rsidR="00265DB9" w:rsidRPr="00CB33FA" w:rsidRDefault="009A0532"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265DB9" w:rsidRPr="00CB33FA">
              <w:rPr>
                <w:rFonts w:ascii="Arial Narrow" w:hAnsi="Arial Narrow"/>
                <w:color w:val="000000"/>
                <w:sz w:val="20"/>
                <w:szCs w:val="20"/>
                <w:lang w:eastAsia="en-AU"/>
              </w:rPr>
              <w:br/>
              <w:t xml:space="preserve">VERY LOW </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1 2</w:t>
            </w:r>
          </w:p>
        </w:tc>
        <w:tc>
          <w:tcPr>
            <w:tcW w:w="683" w:type="pct"/>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1.5</w:t>
            </w:r>
            <w:r w:rsidRPr="00CB33FA">
              <w:rPr>
                <w:rFonts w:ascii="Arial Narrow" w:hAnsi="Arial Narrow"/>
                <w:color w:val="000000"/>
                <w:sz w:val="20"/>
                <w:szCs w:val="20"/>
                <w:lang w:eastAsia="en-AU"/>
              </w:rPr>
              <w:br/>
              <w:t xml:space="preserve">(0.1 to 22.62) </w:t>
            </w:r>
          </w:p>
        </w:tc>
        <w:tc>
          <w:tcPr>
            <w:tcW w:w="856" w:type="pct"/>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0 per 100 </w:t>
            </w:r>
          </w:p>
        </w:tc>
        <w:tc>
          <w:tcPr>
            <w:tcW w:w="859" w:type="pct"/>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F2F2F2" w:themeColor="background1" w:themeShade="F2"/>
                <w:sz w:val="20"/>
                <w:szCs w:val="20"/>
                <w:lang w:eastAsia="en-AU"/>
              </w:rPr>
            </w:pPr>
            <w:r w:rsidRPr="00CB33FA">
              <w:rPr>
                <w:rFonts w:ascii="Arial Narrow" w:hAnsi="Arial Narrow"/>
                <w:b/>
                <w:bCs/>
                <w:color w:val="000000"/>
                <w:sz w:val="20"/>
                <w:szCs w:val="20"/>
                <w:lang w:eastAsia="en-AU"/>
              </w:rPr>
              <w:t>333 fewer per 100</w:t>
            </w:r>
            <w:r w:rsidRPr="00CB33FA">
              <w:rPr>
                <w:rFonts w:ascii="Arial Narrow" w:hAnsi="Arial Narrow"/>
                <w:color w:val="000000"/>
                <w:sz w:val="20"/>
                <w:szCs w:val="20"/>
                <w:lang w:eastAsia="en-AU"/>
              </w:rPr>
              <w:br/>
              <w:t xml:space="preserve">(200 fewer to 867 more) </w:t>
            </w:r>
          </w:p>
        </w:tc>
      </w:tr>
      <w:tr w:rsidR="00265DB9" w:rsidRPr="001B3113" w:rsidTr="003F58A4">
        <w:trPr>
          <w:trHeight w:val="1098"/>
        </w:trPr>
        <w:tc>
          <w:tcPr>
            <w:tcW w:w="1290" w:type="pct"/>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Participants achieving zero score or reduction in skin: Perineurium</w:t>
            </w:r>
            <w:r w:rsidRPr="00CB33FA">
              <w:rPr>
                <w:rFonts w:ascii="Arial Narrow" w:hAnsi="Arial Narrow"/>
                <w:color w:val="000000"/>
                <w:sz w:val="20"/>
                <w:szCs w:val="20"/>
                <w:lang w:eastAsia="en-AU"/>
              </w:rPr>
              <w:br/>
              <w:t xml:space="preserve">follow up: 3 to 6 months </w:t>
            </w:r>
          </w:p>
        </w:tc>
        <w:tc>
          <w:tcPr>
            <w:tcW w:w="695" w:type="pct"/>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47</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618" w:type="pct"/>
            <w:tcBorders>
              <w:top w:val="single" w:sz="6" w:space="0" w:color="000000"/>
              <w:left w:val="nil"/>
              <w:bottom w:val="single" w:sz="6" w:space="0" w:color="000000"/>
              <w:right w:val="nil"/>
            </w:tcBorders>
            <w:hideMark/>
          </w:tcPr>
          <w:p w:rsidR="00265DB9" w:rsidRPr="00CB33FA" w:rsidRDefault="009A0532"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265DB9" w:rsidRPr="00CB33FA">
              <w:rPr>
                <w:rFonts w:ascii="Arial Narrow" w:hAnsi="Arial Narrow"/>
                <w:color w:val="000000"/>
                <w:sz w:val="20"/>
                <w:szCs w:val="20"/>
                <w:lang w:eastAsia="en-AU"/>
              </w:rPr>
              <w:br/>
              <w:t xml:space="preserve">VERY LOW </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1 2</w:t>
            </w:r>
          </w:p>
        </w:tc>
        <w:tc>
          <w:tcPr>
            <w:tcW w:w="683" w:type="pct"/>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1.49</w:t>
            </w:r>
            <w:r w:rsidRPr="00CB33FA">
              <w:rPr>
                <w:rFonts w:ascii="Arial Narrow" w:hAnsi="Arial Narrow"/>
                <w:color w:val="000000"/>
                <w:sz w:val="20"/>
                <w:szCs w:val="20"/>
                <w:lang w:eastAsia="en-AU"/>
              </w:rPr>
              <w:br/>
              <w:t xml:space="preserve">(0.68 to 3.25) </w:t>
            </w:r>
          </w:p>
        </w:tc>
        <w:tc>
          <w:tcPr>
            <w:tcW w:w="856" w:type="pct"/>
            <w:tcBorders>
              <w:top w:val="single" w:sz="6" w:space="0" w:color="000000"/>
              <w:left w:val="nil"/>
              <w:bottom w:val="single" w:sz="4" w:space="0" w:color="auto"/>
              <w:right w:val="single" w:sz="4" w:space="0" w:color="D9D9D9" w:themeColor="background1" w:themeShade="D9"/>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292 per 1000 </w:t>
            </w:r>
          </w:p>
        </w:tc>
        <w:tc>
          <w:tcPr>
            <w:tcW w:w="859" w:type="pct"/>
            <w:tcBorders>
              <w:top w:val="single" w:sz="6" w:space="0" w:color="000000"/>
              <w:left w:val="single" w:sz="4" w:space="0" w:color="D9D9D9" w:themeColor="background1" w:themeShade="D9"/>
              <w:bottom w:val="single" w:sz="4" w:space="0" w:color="auto"/>
              <w:right w:val="nil"/>
            </w:tcBorders>
            <w:shd w:val="clear" w:color="auto" w:fill="E0E0E0"/>
          </w:tcPr>
          <w:p w:rsidR="00265DB9" w:rsidRPr="00CB33FA" w:rsidRDefault="00265DB9" w:rsidP="007F6EF9">
            <w:pPr>
              <w:keepNext/>
              <w:spacing w:after="200"/>
              <w:jc w:val="left"/>
              <w:rPr>
                <w:rFonts w:ascii="Arial Narrow" w:hAnsi="Arial Narrow"/>
                <w:b/>
                <w:bCs/>
                <w:color w:val="F2F2F2" w:themeColor="background1" w:themeShade="F2"/>
                <w:sz w:val="20"/>
                <w:szCs w:val="20"/>
                <w:lang w:eastAsia="en-AU"/>
              </w:rPr>
            </w:pPr>
            <w:r w:rsidRPr="00CB33FA">
              <w:rPr>
                <w:rFonts w:ascii="Arial Narrow" w:hAnsi="Arial Narrow"/>
                <w:b/>
                <w:bCs/>
                <w:color w:val="000000"/>
                <w:sz w:val="20"/>
                <w:szCs w:val="20"/>
                <w:lang w:eastAsia="en-AU"/>
              </w:rPr>
              <w:t>143 more per 1000</w:t>
            </w:r>
            <w:r w:rsidRPr="00CB33FA">
              <w:rPr>
                <w:rFonts w:ascii="Arial Narrow" w:hAnsi="Arial Narrow"/>
                <w:color w:val="000000"/>
                <w:sz w:val="20"/>
                <w:szCs w:val="20"/>
                <w:lang w:eastAsia="en-AU"/>
              </w:rPr>
              <w:br/>
              <w:t xml:space="preserve">(129 more to 415 more) </w:t>
            </w:r>
          </w:p>
        </w:tc>
      </w:tr>
    </w:tbl>
    <w:p w:rsidR="001C3FAF" w:rsidRDefault="007F6EF9" w:rsidP="007F6EF9">
      <w:pPr>
        <w:pStyle w:val="TableNote"/>
        <w:rPr>
          <w:lang w:val="en"/>
        </w:rPr>
      </w:pPr>
      <w:r w:rsidRPr="00DC17CA">
        <w:rPr>
          <w:lang w:val="en"/>
        </w:rPr>
        <w:t xml:space="preserve">CI </w:t>
      </w:r>
      <w:r w:rsidRPr="00DC17CA">
        <w:rPr>
          <w:spacing w:val="-20"/>
          <w:lang w:val="en"/>
        </w:rPr>
        <w:t xml:space="preserve">= </w:t>
      </w:r>
      <w:r w:rsidR="001B5185">
        <w:rPr>
          <w:lang w:val="en"/>
        </w:rPr>
        <w:t>confidence interval; RCT</w:t>
      </w:r>
      <w:r w:rsidRPr="001B3113">
        <w:rPr>
          <w:spacing w:val="-20"/>
          <w:lang w:val="en"/>
        </w:rPr>
        <w:t xml:space="preserve"> =</w:t>
      </w:r>
      <w:r w:rsidR="001B5185">
        <w:rPr>
          <w:spacing w:val="-20"/>
          <w:lang w:val="en"/>
        </w:rPr>
        <w:t xml:space="preserve">  </w:t>
      </w:r>
      <w:r w:rsidRPr="001B3113">
        <w:rPr>
          <w:spacing w:val="-20"/>
          <w:lang w:val="en"/>
        </w:rPr>
        <w:t xml:space="preserve"> </w:t>
      </w:r>
      <w:r w:rsidR="001B5185">
        <w:rPr>
          <w:lang w:val="en"/>
        </w:rPr>
        <w:t>randomised controlled trial; RR</w:t>
      </w:r>
      <w:r w:rsidRPr="001B3113">
        <w:rPr>
          <w:spacing w:val="-20"/>
          <w:lang w:val="en"/>
        </w:rPr>
        <w:t xml:space="preserve"> = </w:t>
      </w:r>
      <w:r w:rsidRPr="001B3113">
        <w:rPr>
          <w:lang w:val="en"/>
        </w:rPr>
        <w:t>relative risk</w:t>
      </w:r>
    </w:p>
    <w:p w:rsidR="007F6EF9" w:rsidRPr="00CB33FA" w:rsidRDefault="007F6EF9" w:rsidP="007F6EF9">
      <w:pPr>
        <w:pStyle w:val="TableNote"/>
        <w:rPr>
          <w:color w:val="000000"/>
        </w:rPr>
      </w:pPr>
      <w:r>
        <w:rPr>
          <w:color w:val="000000"/>
        </w:rPr>
        <w:t xml:space="preserve">1. </w:t>
      </w:r>
      <w:r w:rsidRPr="00CB33FA">
        <w:rPr>
          <w:color w:val="000000"/>
        </w:rPr>
        <w:t>Possible conflict of interest</w:t>
      </w:r>
    </w:p>
    <w:p w:rsidR="007F6EF9" w:rsidRDefault="007F6EF9" w:rsidP="007F6EF9">
      <w:pPr>
        <w:pStyle w:val="TableNote"/>
        <w:rPr>
          <w:color w:val="000000"/>
        </w:rPr>
      </w:pPr>
      <w:r>
        <w:rPr>
          <w:color w:val="000000"/>
        </w:rPr>
        <w:t xml:space="preserve">2. </w:t>
      </w:r>
      <w:r w:rsidRPr="00CB33FA">
        <w:rPr>
          <w:color w:val="000000"/>
        </w:rPr>
        <w:t>Surrogate outcome</w:t>
      </w:r>
    </w:p>
    <w:p w:rsidR="00AA34FC" w:rsidRDefault="00AA34FC" w:rsidP="007F6EF9">
      <w:pPr>
        <w:pStyle w:val="TableNote"/>
      </w:pPr>
    </w:p>
    <w:p w:rsidR="001C3FAF" w:rsidRPr="00A979FB" w:rsidRDefault="001C3FAF" w:rsidP="00A979FB">
      <w:pPr>
        <w:pStyle w:val="Heading5"/>
      </w:pPr>
      <w:r w:rsidRPr="00A979FB">
        <w:t>Cardiopulmonary test</w:t>
      </w:r>
    </w:p>
    <w:p w:rsidR="001C3FAF" w:rsidRPr="000756DF" w:rsidRDefault="001C3FAF" w:rsidP="001C3FAF">
      <w:bookmarkStart w:id="213" w:name="_Toc405361934"/>
      <w:r w:rsidRPr="000756DF">
        <w:t xml:space="preserve">Cardiopulmonary testing was conducted in one </w:t>
      </w:r>
      <w:r>
        <w:t>“</w:t>
      </w:r>
      <w:r w:rsidRPr="000756DF">
        <w:t>RCT</w:t>
      </w:r>
      <w:r>
        <w:t>” that</w:t>
      </w:r>
      <w:r w:rsidR="002F6AE6">
        <w:t xml:space="preserve"> </w:t>
      </w:r>
      <w:r>
        <w:t>randomised 6 patients</w:t>
      </w:r>
      <w:r w:rsidRPr="000756DF">
        <w:t xml:space="preserve"> </w:t>
      </w:r>
      <w:r w:rsidR="00A130D0">
        <w:rPr>
          <w:noProof/>
        </w:rPr>
        <w:t>(</w:t>
      </w:r>
      <w:r w:rsidR="00184B6F">
        <w:rPr>
          <w:noProof/>
        </w:rPr>
        <w:t>Bierer et al. 2006</w:t>
      </w:r>
      <w:r w:rsidR="00A130D0">
        <w:rPr>
          <w:noProof/>
        </w:rPr>
        <w:t>)</w:t>
      </w:r>
      <w:r>
        <w:t>,</w:t>
      </w:r>
      <w:r w:rsidRPr="000756DF">
        <w:t xml:space="preserve"> </w:t>
      </w:r>
      <w:r>
        <w:t>with</w:t>
      </w:r>
      <w:r w:rsidRPr="000756DF">
        <w:t xml:space="preserve"> outcomes discussed by El Dib </w:t>
      </w:r>
      <w:r>
        <w:t>(2013)</w:t>
      </w:r>
      <w:r w:rsidRPr="000756DF">
        <w:t>. Overall, the patients randomised to agalsidase beta tended to have better cardiac function</w:t>
      </w:r>
      <w:r>
        <w:t xml:space="preserve"> than patients receiving placebo</w:t>
      </w:r>
      <w:r w:rsidRPr="000756DF">
        <w:t xml:space="preserve"> i.e. a higher average heart rate reserve, average oxygen uptake at peak exercise, maximum oxygen uptake at peak exercise, oxygen pulse at peak exercise and decrease in diastolic pressure</w:t>
      </w:r>
      <w:r>
        <w:t xml:space="preserve"> (</w:t>
      </w:r>
      <w:r w:rsidR="00A72B26" w:rsidRPr="00BD10C7">
        <w:t xml:space="preserve">Table </w:t>
      </w:r>
      <w:r w:rsidR="00A72B26">
        <w:rPr>
          <w:noProof/>
        </w:rPr>
        <w:t>40</w:t>
      </w:r>
      <w:r>
        <w:t>). Unsurprisingly, given the sample size,</w:t>
      </w:r>
      <w:r w:rsidRPr="000756DF">
        <w:t xml:space="preserve"> the</w:t>
      </w:r>
      <w:r>
        <w:t xml:space="preserve"> differences</w:t>
      </w:r>
      <w:r w:rsidRPr="000756DF">
        <w:t xml:space="preserve"> </w:t>
      </w:r>
      <w:r>
        <w:t xml:space="preserve">between treatment arms </w:t>
      </w:r>
      <w:r w:rsidRPr="000756DF">
        <w:t xml:space="preserve">were not statistically significant </w:t>
      </w:r>
      <w:r>
        <w:t>(</w:t>
      </w:r>
      <w:r w:rsidRPr="000756DF">
        <w:t>GRADE</w:t>
      </w:r>
      <w:r>
        <w:t xml:space="preserve"> </w:t>
      </w:r>
      <w:r w:rsidRPr="00D4733A">
        <w:rPr>
          <w:rFonts w:ascii="Cambria Math" w:hAnsi="Cambria Math"/>
          <w:color w:val="00B050"/>
        </w:rPr>
        <w:t>⨁</w:t>
      </w:r>
      <w:r w:rsidRPr="00764DBD">
        <w:rPr>
          <w:rFonts w:ascii="Cambria Math" w:hAnsi="Cambria Math"/>
          <w:color w:val="00B050"/>
        </w:rPr>
        <w:t>⨁</w:t>
      </w:r>
      <w:r w:rsidRPr="00D4733A">
        <w:rPr>
          <w:rFonts w:ascii="Cambria Math" w:hAnsi="Cambria Math"/>
          <w:color w:val="C00000"/>
        </w:rPr>
        <w:t>⨀⨀</w:t>
      </w:r>
      <w:r w:rsidR="00D67ADB" w:rsidRPr="00D67ADB">
        <w:rPr>
          <w:spacing w:val="-20"/>
        </w:rPr>
        <w:t>)</w:t>
      </w:r>
      <w:r w:rsidRPr="000756DF">
        <w:t xml:space="preserve">. </w:t>
      </w:r>
    </w:p>
    <w:p w:rsidR="001C3FAF" w:rsidRDefault="001C3FAF" w:rsidP="001C3FAF">
      <w:pPr>
        <w:pStyle w:val="Caption"/>
        <w:keepNext/>
        <w:tabs>
          <w:tab w:val="clear" w:pos="851"/>
          <w:tab w:val="left" w:pos="1134"/>
        </w:tabs>
        <w:ind w:left="1134" w:hanging="1134"/>
      </w:pPr>
      <w:bookmarkStart w:id="214" w:name="_Ref405842173"/>
      <w:bookmarkStart w:id="215" w:name="_Toc411510422"/>
      <w:bookmarkStart w:id="216" w:name="_Toc415141837"/>
      <w:r w:rsidRPr="00BD10C7">
        <w:lastRenderedPageBreak/>
        <w:t xml:space="preserve">Table </w:t>
      </w:r>
      <w:r w:rsidR="00A72B26">
        <w:rPr>
          <w:noProof/>
        </w:rPr>
        <w:t>40</w:t>
      </w:r>
      <w:bookmarkEnd w:id="214"/>
      <w:r w:rsidRPr="00BD10C7">
        <w:t xml:space="preserve"> </w:t>
      </w:r>
      <w:r>
        <w:tab/>
      </w:r>
      <w:r w:rsidRPr="00305731">
        <w:t xml:space="preserve">Cardiopulmonary exercise test outcomes in patients randomised to </w:t>
      </w:r>
      <w:r>
        <w:t>receive</w:t>
      </w:r>
      <w:r w:rsidRPr="00305731">
        <w:t xml:space="preserve"> either agalsidase beta or placebo </w:t>
      </w:r>
      <w:bookmarkEnd w:id="213"/>
      <w:r w:rsidR="00E83918">
        <w:rPr>
          <w:noProof/>
        </w:rPr>
        <w:t>(</w:t>
      </w:r>
      <w:r w:rsidR="00184B6F">
        <w:rPr>
          <w:noProof/>
        </w:rPr>
        <w:t>El Dib, R P, Nascimento &amp; Pastores 2013</w:t>
      </w:r>
      <w:r w:rsidR="00E83918">
        <w:rPr>
          <w:noProof/>
        </w:rPr>
        <w:t>)</w:t>
      </w:r>
      <w:r w:rsidRPr="005D5DE9">
        <w:t xml:space="preserve"> </w:t>
      </w:r>
      <w:r w:rsidR="00A130D0">
        <w:rPr>
          <w:noProof/>
        </w:rPr>
        <w:t>(</w:t>
      </w:r>
      <w:r w:rsidR="00184B6F">
        <w:rPr>
          <w:noProof/>
        </w:rPr>
        <w:t>Schaefer, Tylki-Szymanska &amp; Hilz 2009</w:t>
      </w:r>
      <w:r w:rsidR="00A130D0">
        <w:rPr>
          <w:noProof/>
        </w:rPr>
        <w:t>)</w:t>
      </w:r>
      <w:bookmarkEnd w:id="215"/>
      <w:bookmarkEnd w:id="216"/>
    </w:p>
    <w:tbl>
      <w:tblPr>
        <w:tblW w:w="0" w:type="auto"/>
        <w:tblCellMar>
          <w:top w:w="75" w:type="dxa"/>
          <w:left w:w="75" w:type="dxa"/>
          <w:bottom w:w="75" w:type="dxa"/>
          <w:right w:w="75" w:type="dxa"/>
        </w:tblCellMar>
        <w:tblLook w:val="04A0" w:firstRow="1" w:lastRow="0" w:firstColumn="1" w:lastColumn="0" w:noHBand="0" w:noVBand="1"/>
        <w:tblCaption w:val="Table 38  Cardiopulmonary exercise test outcomes in patients randomised to receive either agalsidase beta or placebo (El Dib, R P, Nascimento &amp; Pastores 2013) (Schaefer, Tylki-Szymanska &amp; Hilz 2009)"/>
      </w:tblPr>
      <w:tblGrid>
        <w:gridCol w:w="2316"/>
        <w:gridCol w:w="1138"/>
        <w:gridCol w:w="1002"/>
        <w:gridCol w:w="846"/>
        <w:gridCol w:w="2580"/>
        <w:gridCol w:w="1294"/>
      </w:tblGrid>
      <w:tr w:rsidR="007F6EF9" w:rsidRPr="001B3113" w:rsidTr="00B37104">
        <w:trPr>
          <w:trHeight w:val="1315"/>
          <w:tblHeader/>
        </w:trPr>
        <w:tc>
          <w:tcPr>
            <w:tcW w:w="0" w:type="auto"/>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0" w:type="auto"/>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0" w:type="auto"/>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0" w:type="auto"/>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Relative effect</w:t>
            </w:r>
            <w:r w:rsidRPr="00CB33FA">
              <w:rPr>
                <w:rFonts w:ascii="Arial Narrow" w:hAnsi="Arial Narrow"/>
                <w:b/>
                <w:bCs/>
                <w:color w:val="FFFFFF"/>
                <w:sz w:val="20"/>
                <w:szCs w:val="20"/>
                <w:lang w:eastAsia="en-AU"/>
              </w:rPr>
              <w:br/>
              <w:t>(95% CI)</w:t>
            </w:r>
          </w:p>
        </w:tc>
        <w:tc>
          <w:tcPr>
            <w:tcW w:w="0" w:type="auto"/>
            <w:tcBorders>
              <w:top w:val="single" w:sz="12" w:space="0" w:color="000000"/>
              <w:left w:val="nil"/>
              <w:right w:val="single" w:sz="4" w:space="0" w:color="D9D9D9" w:themeColor="background1" w:themeShade="D9"/>
            </w:tcBorders>
            <w:shd w:val="clear" w:color="auto" w:fill="D3D3D3"/>
            <w:hideMark/>
          </w:tcPr>
          <w:p w:rsidR="007F6EF9" w:rsidRPr="00CB33FA" w:rsidRDefault="007F6EF9" w:rsidP="007F6EF9">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Supportive care plus placebo</w:t>
            </w:r>
          </w:p>
        </w:tc>
        <w:tc>
          <w:tcPr>
            <w:tcW w:w="0" w:type="auto"/>
            <w:tcBorders>
              <w:top w:val="single" w:sz="12" w:space="0" w:color="000000"/>
              <w:left w:val="single" w:sz="4" w:space="0" w:color="D9D9D9" w:themeColor="background1" w:themeShade="D9"/>
              <w:right w:val="nil"/>
            </w:tcBorders>
            <w:shd w:val="clear" w:color="auto" w:fill="D3D3D3"/>
          </w:tcPr>
          <w:p w:rsidR="007F6EF9" w:rsidRPr="00CB33FA" w:rsidRDefault="007F6EF9" w:rsidP="007F6EF9">
            <w:pPr>
              <w:keepNext/>
              <w:spacing w:after="0"/>
              <w:jc w:val="left"/>
              <w:rPr>
                <w:rFonts w:ascii="Arial Narrow" w:hAnsi="Arial Narrow"/>
                <w:b/>
                <w:bCs/>
                <w:color w:val="000000"/>
                <w:sz w:val="20"/>
                <w:szCs w:val="20"/>
                <w:lang w:eastAsia="en-AU"/>
              </w:rPr>
            </w:pPr>
            <w:r w:rsidRPr="00CB33FA">
              <w:rPr>
                <w:rFonts w:ascii="Arial Narrow" w:hAnsi="Arial Narrow"/>
                <w:b/>
                <w:bCs/>
                <w:color w:val="D9D9D9" w:themeColor="background1" w:themeShade="D9"/>
                <w:sz w:val="20"/>
                <w:szCs w:val="20"/>
                <w:lang w:eastAsia="en-AU"/>
              </w:rPr>
              <w:t>-</w:t>
            </w:r>
            <w:r w:rsidRPr="00CB33FA">
              <w:rPr>
                <w:rFonts w:ascii="Arial Narrow" w:hAnsi="Arial Narrow"/>
                <w:b/>
                <w:bCs/>
                <w:color w:val="000000"/>
                <w:sz w:val="20"/>
                <w:szCs w:val="20"/>
                <w:lang w:eastAsia="en-AU"/>
              </w:rPr>
              <w:t>Risk difference with Agalsidase beta</w:t>
            </w:r>
          </w:p>
        </w:tc>
      </w:tr>
      <w:tr w:rsidR="008A1612" w:rsidRPr="001B3113" w:rsidTr="007F6EF9">
        <w:tc>
          <w:tcPr>
            <w:tcW w:w="0" w:type="auto"/>
            <w:tcBorders>
              <w:top w:val="single" w:sz="6" w:space="0" w:color="000000"/>
              <w:left w:val="nil"/>
              <w:bottom w:val="single" w:sz="6" w:space="0" w:color="000000"/>
              <w:right w:val="nil"/>
            </w:tcBorders>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Cardiopulmonary exercise test: Average heart rate reserve</w:t>
            </w:r>
            <w:r w:rsidRPr="00CB33FA">
              <w:rPr>
                <w:rFonts w:ascii="Arial Narrow" w:hAnsi="Arial Narrow"/>
                <w:color w:val="000000"/>
                <w:sz w:val="20"/>
                <w:szCs w:val="20"/>
                <w:lang w:eastAsia="en-AU"/>
              </w:rPr>
              <w:br/>
              <w:t>assessed with: beats/min</w:t>
            </w:r>
            <w:r w:rsidRPr="00CB33FA">
              <w:rPr>
                <w:rFonts w:ascii="Arial Narrow" w:hAnsi="Arial Narrow"/>
                <w:color w:val="000000"/>
                <w:sz w:val="20"/>
                <w:szCs w:val="20"/>
                <w:lang w:eastAsia="en-AU"/>
              </w:rPr>
              <w:br/>
              <w:t xml:space="preserve">follow up: 18 months </w:t>
            </w:r>
          </w:p>
        </w:tc>
        <w:tc>
          <w:tcPr>
            <w:tcW w:w="0" w:type="auto"/>
            <w:tcBorders>
              <w:top w:val="single" w:sz="6" w:space="0" w:color="000000"/>
              <w:left w:val="nil"/>
              <w:bottom w:val="single" w:sz="6" w:space="0" w:color="000000"/>
              <w:right w:val="nil"/>
            </w:tcBorders>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18 months </w:t>
            </w:r>
          </w:p>
        </w:tc>
        <w:tc>
          <w:tcPr>
            <w:tcW w:w="0" w:type="auto"/>
            <w:tcBorders>
              <w:top w:val="single" w:sz="6" w:space="0" w:color="000000"/>
              <w:left w:val="nil"/>
              <w:bottom w:val="single" w:sz="6" w:space="0" w:color="000000"/>
              <w:right w:val="nil"/>
            </w:tcBorders>
            <w:hideMark/>
          </w:tcPr>
          <w:p w:rsidR="008A1612"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A1612" w:rsidRPr="00CB33FA">
              <w:rPr>
                <w:rFonts w:ascii="Arial Narrow" w:hAnsi="Arial Narrow"/>
                <w:color w:val="000000"/>
                <w:sz w:val="20"/>
                <w:szCs w:val="20"/>
                <w:lang w:eastAsia="en-AU"/>
              </w:rPr>
              <w:t xml:space="preserve"> LOW </w:t>
            </w:r>
            <w:r w:rsidR="008A1612" w:rsidRPr="00CB33FA">
              <w:rPr>
                <w:rFonts w:ascii="Arial Narrow" w:hAnsi="Arial Narrow"/>
                <w:color w:val="000000"/>
                <w:sz w:val="20"/>
                <w:szCs w:val="20"/>
                <w:vertAlign w:val="superscript"/>
                <w:lang w:eastAsia="en-AU"/>
              </w:rPr>
              <w:t> </w:t>
            </w:r>
            <w:r w:rsidR="008A1612" w:rsidRPr="00CB33FA">
              <w:rPr>
                <w:rFonts w:ascii="Arial Narrow" w:hAnsi="Arial Narrow"/>
                <w:color w:val="000000"/>
                <w:sz w:val="20"/>
                <w:szCs w:val="20"/>
                <w:u w:val="single"/>
                <w:vertAlign w:val="superscript"/>
                <w:lang w:eastAsia="en-AU"/>
              </w:rPr>
              <w:t>1</w:t>
            </w:r>
            <w:r w:rsidR="008A1612" w:rsidRPr="00CB33FA">
              <w:rPr>
                <w:rFonts w:ascii="Arial Narrow" w:hAnsi="Arial Narrow"/>
                <w:color w:val="000000"/>
                <w:sz w:val="20"/>
                <w:szCs w:val="20"/>
                <w:vertAlign w:val="superscript"/>
                <w:lang w:eastAsia="en-AU"/>
              </w:rPr>
              <w:t> </w:t>
            </w:r>
            <w:r w:rsidR="008A1612" w:rsidRPr="00CB33FA">
              <w:rPr>
                <w:rFonts w:ascii="Arial Narrow" w:hAnsi="Arial Narrow"/>
                <w:color w:val="000000"/>
                <w:sz w:val="20"/>
                <w:szCs w:val="20"/>
                <w:u w:val="single"/>
                <w:vertAlign w:val="superscript"/>
                <w:lang w:eastAsia="en-AU"/>
              </w:rPr>
              <w:t>2</w:t>
            </w:r>
          </w:p>
        </w:tc>
        <w:tc>
          <w:tcPr>
            <w:tcW w:w="0" w:type="auto"/>
            <w:tcBorders>
              <w:top w:val="single" w:sz="6" w:space="0" w:color="000000"/>
              <w:left w:val="nil"/>
              <w:bottom w:val="single" w:sz="6" w:space="0" w:color="000000"/>
              <w:right w:val="nil"/>
            </w:tcBorders>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 </w:t>
            </w:r>
          </w:p>
        </w:tc>
        <w:tc>
          <w:tcPr>
            <w:tcW w:w="0" w:type="auto"/>
            <w:tcBorders>
              <w:top w:val="single" w:sz="6" w:space="0" w:color="000000"/>
              <w:left w:val="nil"/>
              <w:bottom w:val="single" w:sz="6" w:space="0" w:color="000000"/>
              <w:right w:val="nil"/>
            </w:tcBorders>
            <w:shd w:val="clear" w:color="auto" w:fill="EDEDED"/>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cardiopulmonary exercise test: Average heart rate reserve in the control group was </w:t>
            </w:r>
            <w:r w:rsidRPr="00CB33FA">
              <w:rPr>
                <w:rFonts w:ascii="Arial Narrow" w:hAnsi="Arial Narrow"/>
                <w:b/>
                <w:bCs/>
                <w:color w:val="000000"/>
                <w:sz w:val="20"/>
                <w:szCs w:val="20"/>
                <w:lang w:eastAsia="en-AU"/>
              </w:rPr>
              <w:t>21</w:t>
            </w:r>
            <w:r w:rsidRPr="00CB33FA">
              <w:rPr>
                <w:rFonts w:ascii="Arial Narrow" w:hAnsi="Arial Narrow"/>
                <w:color w:val="000000"/>
                <w:sz w:val="20"/>
                <w:szCs w:val="20"/>
                <w:lang w:eastAsia="en-AU"/>
              </w:rPr>
              <w:t xml:space="preserve"> beats/min </w:t>
            </w:r>
          </w:p>
        </w:tc>
        <w:tc>
          <w:tcPr>
            <w:tcW w:w="0" w:type="auto"/>
            <w:tcBorders>
              <w:top w:val="single" w:sz="6" w:space="0" w:color="000000"/>
              <w:left w:val="nil"/>
              <w:bottom w:val="single" w:sz="6" w:space="0" w:color="000000"/>
              <w:right w:val="nil"/>
            </w:tcBorders>
            <w:shd w:val="clear" w:color="auto" w:fill="EDEDED"/>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21.3 higher</w:t>
            </w:r>
            <w:r w:rsidRPr="00CB33FA">
              <w:rPr>
                <w:rFonts w:ascii="Arial Narrow" w:hAnsi="Arial Narrow"/>
                <w:color w:val="000000"/>
                <w:sz w:val="20"/>
                <w:szCs w:val="20"/>
                <w:lang w:eastAsia="en-AU"/>
              </w:rPr>
              <w:br/>
              <w:t xml:space="preserve">(1.28 lower to 43.88 higher) </w:t>
            </w:r>
          </w:p>
        </w:tc>
      </w:tr>
      <w:tr w:rsidR="008A1612" w:rsidRPr="001B3113" w:rsidTr="007F6EF9">
        <w:tc>
          <w:tcPr>
            <w:tcW w:w="0" w:type="auto"/>
            <w:tcBorders>
              <w:top w:val="single" w:sz="6" w:space="0" w:color="000000"/>
              <w:left w:val="nil"/>
              <w:bottom w:val="single" w:sz="6" w:space="0" w:color="000000"/>
              <w:right w:val="nil"/>
            </w:tcBorders>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Cardiopulmonary exercise test: Average maximum oxygen uptake measured at peak exercise</w:t>
            </w:r>
            <w:r w:rsidRPr="00CB33FA">
              <w:rPr>
                <w:rFonts w:ascii="Arial Narrow" w:hAnsi="Arial Narrow"/>
                <w:color w:val="000000"/>
                <w:sz w:val="20"/>
                <w:szCs w:val="20"/>
                <w:lang w:eastAsia="en-AU"/>
              </w:rPr>
              <w:br/>
              <w:t>assessed with: L/minutes</w:t>
            </w:r>
            <w:r w:rsidRPr="00CB33FA">
              <w:rPr>
                <w:rFonts w:ascii="Arial Narrow" w:hAnsi="Arial Narrow"/>
                <w:color w:val="000000"/>
                <w:sz w:val="20"/>
                <w:szCs w:val="20"/>
                <w:lang w:eastAsia="en-AU"/>
              </w:rPr>
              <w:br/>
              <w:t xml:space="preserve">follow up: 18 months </w:t>
            </w:r>
          </w:p>
        </w:tc>
        <w:tc>
          <w:tcPr>
            <w:tcW w:w="0" w:type="auto"/>
            <w:tcBorders>
              <w:top w:val="single" w:sz="6" w:space="0" w:color="000000"/>
              <w:left w:val="nil"/>
              <w:bottom w:val="single" w:sz="6" w:space="0" w:color="000000"/>
              <w:right w:val="nil"/>
            </w:tcBorders>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18 months </w:t>
            </w:r>
          </w:p>
        </w:tc>
        <w:tc>
          <w:tcPr>
            <w:tcW w:w="0" w:type="auto"/>
            <w:tcBorders>
              <w:top w:val="single" w:sz="6" w:space="0" w:color="000000"/>
              <w:left w:val="nil"/>
              <w:bottom w:val="single" w:sz="6" w:space="0" w:color="000000"/>
              <w:right w:val="nil"/>
            </w:tcBorders>
            <w:hideMark/>
          </w:tcPr>
          <w:p w:rsidR="008A1612"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A1612" w:rsidRPr="00CB33FA">
              <w:rPr>
                <w:rFonts w:ascii="Arial Narrow" w:hAnsi="Arial Narrow"/>
                <w:color w:val="000000"/>
                <w:sz w:val="20"/>
                <w:szCs w:val="20"/>
                <w:lang w:eastAsia="en-AU"/>
              </w:rPr>
              <w:t xml:space="preserve"> LOW </w:t>
            </w:r>
            <w:r w:rsidR="008A1612" w:rsidRPr="00CB33FA">
              <w:rPr>
                <w:rFonts w:ascii="Arial Narrow" w:hAnsi="Arial Narrow"/>
                <w:color w:val="000000"/>
                <w:sz w:val="20"/>
                <w:szCs w:val="20"/>
                <w:vertAlign w:val="superscript"/>
                <w:lang w:eastAsia="en-AU"/>
              </w:rPr>
              <w:t> </w:t>
            </w:r>
            <w:r w:rsidR="008A1612" w:rsidRPr="00CB33FA">
              <w:rPr>
                <w:rFonts w:ascii="Arial Narrow" w:hAnsi="Arial Narrow"/>
                <w:color w:val="000000"/>
                <w:sz w:val="20"/>
                <w:szCs w:val="20"/>
                <w:u w:val="single"/>
                <w:vertAlign w:val="superscript"/>
                <w:lang w:eastAsia="en-AU"/>
              </w:rPr>
              <w:t>1</w:t>
            </w:r>
            <w:r w:rsidR="008A1612" w:rsidRPr="00CB33FA">
              <w:rPr>
                <w:rFonts w:ascii="Arial Narrow" w:hAnsi="Arial Narrow"/>
                <w:color w:val="000000"/>
                <w:sz w:val="20"/>
                <w:szCs w:val="20"/>
                <w:vertAlign w:val="superscript"/>
                <w:lang w:eastAsia="en-AU"/>
              </w:rPr>
              <w:t> </w:t>
            </w:r>
            <w:r w:rsidR="008A1612" w:rsidRPr="00CB33FA">
              <w:rPr>
                <w:rFonts w:ascii="Arial Narrow" w:hAnsi="Arial Narrow"/>
                <w:color w:val="000000"/>
                <w:sz w:val="20"/>
                <w:szCs w:val="20"/>
                <w:u w:val="single"/>
                <w:vertAlign w:val="superscript"/>
                <w:lang w:eastAsia="en-AU"/>
              </w:rPr>
              <w:t>2</w:t>
            </w:r>
          </w:p>
        </w:tc>
        <w:tc>
          <w:tcPr>
            <w:tcW w:w="0" w:type="auto"/>
            <w:tcBorders>
              <w:top w:val="single" w:sz="6" w:space="0" w:color="000000"/>
              <w:left w:val="nil"/>
              <w:bottom w:val="single" w:sz="6" w:space="0" w:color="000000"/>
              <w:right w:val="nil"/>
            </w:tcBorders>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 </w:t>
            </w:r>
          </w:p>
        </w:tc>
        <w:tc>
          <w:tcPr>
            <w:tcW w:w="0" w:type="auto"/>
            <w:tcBorders>
              <w:top w:val="single" w:sz="6" w:space="0" w:color="000000"/>
              <w:left w:val="nil"/>
              <w:bottom w:val="single" w:sz="6" w:space="0" w:color="000000"/>
              <w:right w:val="nil"/>
            </w:tcBorders>
            <w:shd w:val="clear" w:color="auto" w:fill="EDEDED"/>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cardiopulmonary exercise test: Average maximum oxygen uptake measured at peak exercise in the control group was </w:t>
            </w:r>
            <w:r w:rsidRPr="00CB33FA">
              <w:rPr>
                <w:rFonts w:ascii="Arial Narrow" w:hAnsi="Arial Narrow"/>
                <w:b/>
                <w:bCs/>
                <w:color w:val="000000"/>
                <w:sz w:val="20"/>
                <w:szCs w:val="20"/>
                <w:lang w:eastAsia="en-AU"/>
              </w:rPr>
              <w:t>1.35</w:t>
            </w:r>
            <w:r w:rsidRPr="00CB33FA">
              <w:rPr>
                <w:rFonts w:ascii="Arial Narrow" w:hAnsi="Arial Narrow"/>
                <w:color w:val="000000"/>
                <w:sz w:val="20"/>
                <w:szCs w:val="20"/>
                <w:lang w:eastAsia="en-AU"/>
              </w:rPr>
              <w:t xml:space="preserve"> L/min </w:t>
            </w:r>
          </w:p>
        </w:tc>
        <w:tc>
          <w:tcPr>
            <w:tcW w:w="0" w:type="auto"/>
            <w:tcBorders>
              <w:top w:val="single" w:sz="6" w:space="0" w:color="000000"/>
              <w:left w:val="nil"/>
              <w:bottom w:val="single" w:sz="6" w:space="0" w:color="000000"/>
              <w:right w:val="nil"/>
            </w:tcBorders>
            <w:shd w:val="clear" w:color="auto" w:fill="EDEDED"/>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0.22 higher</w:t>
            </w:r>
            <w:r w:rsidRPr="00CB33FA">
              <w:rPr>
                <w:rFonts w:ascii="Arial Narrow" w:hAnsi="Arial Narrow"/>
                <w:color w:val="000000"/>
                <w:sz w:val="20"/>
                <w:szCs w:val="20"/>
                <w:lang w:eastAsia="en-AU"/>
              </w:rPr>
              <w:br/>
              <w:t xml:space="preserve">(0.94 lower to 1.38 higher) </w:t>
            </w:r>
          </w:p>
        </w:tc>
      </w:tr>
      <w:tr w:rsidR="008A1612" w:rsidRPr="001B3113" w:rsidTr="007F6EF9">
        <w:tc>
          <w:tcPr>
            <w:tcW w:w="0" w:type="auto"/>
            <w:tcBorders>
              <w:top w:val="single" w:sz="6" w:space="0" w:color="000000"/>
              <w:left w:val="nil"/>
              <w:bottom w:val="single" w:sz="6" w:space="0" w:color="000000"/>
              <w:right w:val="nil"/>
            </w:tcBorders>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Cardiopulmonary exercise test: Maximum oxygen uptake measured at peak exercise</w:t>
            </w:r>
            <w:r w:rsidRPr="00CB33FA">
              <w:rPr>
                <w:rFonts w:ascii="Arial Narrow" w:hAnsi="Arial Narrow"/>
                <w:color w:val="000000"/>
                <w:sz w:val="20"/>
                <w:szCs w:val="20"/>
                <w:lang w:eastAsia="en-AU"/>
              </w:rPr>
              <w:br/>
              <w:t>assessed with: ml/kg/minutes</w:t>
            </w:r>
            <w:r w:rsidRPr="00CB33FA">
              <w:rPr>
                <w:rFonts w:ascii="Arial Narrow" w:hAnsi="Arial Narrow"/>
                <w:color w:val="000000"/>
                <w:sz w:val="20"/>
                <w:szCs w:val="20"/>
                <w:lang w:eastAsia="en-AU"/>
              </w:rPr>
              <w:br/>
              <w:t xml:space="preserve">follow up: 18 months </w:t>
            </w:r>
          </w:p>
        </w:tc>
        <w:tc>
          <w:tcPr>
            <w:tcW w:w="0" w:type="auto"/>
            <w:tcBorders>
              <w:top w:val="single" w:sz="6" w:space="0" w:color="000000"/>
              <w:left w:val="nil"/>
              <w:bottom w:val="single" w:sz="6" w:space="0" w:color="000000"/>
              <w:right w:val="nil"/>
            </w:tcBorders>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18 months </w:t>
            </w:r>
          </w:p>
        </w:tc>
        <w:tc>
          <w:tcPr>
            <w:tcW w:w="0" w:type="auto"/>
            <w:tcBorders>
              <w:top w:val="single" w:sz="6" w:space="0" w:color="000000"/>
              <w:left w:val="nil"/>
              <w:bottom w:val="single" w:sz="6" w:space="0" w:color="000000"/>
              <w:right w:val="nil"/>
            </w:tcBorders>
            <w:hideMark/>
          </w:tcPr>
          <w:p w:rsidR="008A1612"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 xml:space="preserve">⨀⨀ </w:t>
            </w:r>
            <w:r w:rsidR="008A1612" w:rsidRPr="00CB33FA">
              <w:rPr>
                <w:rFonts w:ascii="Arial Narrow" w:hAnsi="Arial Narrow"/>
                <w:color w:val="000000"/>
                <w:sz w:val="20"/>
                <w:szCs w:val="20"/>
                <w:lang w:eastAsia="en-AU"/>
              </w:rPr>
              <w:t xml:space="preserve">LOW </w:t>
            </w:r>
            <w:r w:rsidR="008A1612" w:rsidRPr="00CB33FA">
              <w:rPr>
                <w:rFonts w:ascii="Arial Narrow" w:hAnsi="Arial Narrow"/>
                <w:color w:val="000000"/>
                <w:sz w:val="20"/>
                <w:szCs w:val="20"/>
                <w:vertAlign w:val="superscript"/>
                <w:lang w:eastAsia="en-AU"/>
              </w:rPr>
              <w:t> </w:t>
            </w:r>
            <w:r w:rsidR="008A1612" w:rsidRPr="00CB33FA">
              <w:rPr>
                <w:rFonts w:ascii="Arial Narrow" w:hAnsi="Arial Narrow"/>
                <w:color w:val="000000"/>
                <w:sz w:val="20"/>
                <w:szCs w:val="20"/>
                <w:u w:val="single"/>
                <w:vertAlign w:val="superscript"/>
                <w:lang w:eastAsia="en-AU"/>
              </w:rPr>
              <w:t>1</w:t>
            </w:r>
            <w:r w:rsidR="008A1612" w:rsidRPr="00CB33FA">
              <w:rPr>
                <w:rFonts w:ascii="Arial Narrow" w:hAnsi="Arial Narrow"/>
                <w:color w:val="000000"/>
                <w:sz w:val="20"/>
                <w:szCs w:val="20"/>
                <w:vertAlign w:val="superscript"/>
                <w:lang w:eastAsia="en-AU"/>
              </w:rPr>
              <w:t> </w:t>
            </w:r>
            <w:r w:rsidR="008A1612" w:rsidRPr="00CB33FA">
              <w:rPr>
                <w:rFonts w:ascii="Arial Narrow" w:hAnsi="Arial Narrow"/>
                <w:color w:val="000000"/>
                <w:sz w:val="20"/>
                <w:szCs w:val="20"/>
                <w:u w:val="single"/>
                <w:vertAlign w:val="superscript"/>
                <w:lang w:eastAsia="en-AU"/>
              </w:rPr>
              <w:t>2</w:t>
            </w:r>
          </w:p>
        </w:tc>
        <w:tc>
          <w:tcPr>
            <w:tcW w:w="0" w:type="auto"/>
            <w:tcBorders>
              <w:top w:val="single" w:sz="6" w:space="0" w:color="000000"/>
              <w:left w:val="nil"/>
              <w:bottom w:val="single" w:sz="6" w:space="0" w:color="000000"/>
              <w:right w:val="nil"/>
            </w:tcBorders>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 </w:t>
            </w:r>
          </w:p>
        </w:tc>
        <w:tc>
          <w:tcPr>
            <w:tcW w:w="0" w:type="auto"/>
            <w:tcBorders>
              <w:top w:val="single" w:sz="6" w:space="0" w:color="000000"/>
              <w:left w:val="nil"/>
              <w:bottom w:val="single" w:sz="6" w:space="0" w:color="000000"/>
              <w:right w:val="nil"/>
            </w:tcBorders>
            <w:shd w:val="clear" w:color="auto" w:fill="EDEDED"/>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cardiopulmonary exercise test: Maximum oxygen uptake measured at peak exercise in the control group was </w:t>
            </w:r>
            <w:r w:rsidRPr="00CB33FA">
              <w:rPr>
                <w:rFonts w:ascii="Arial Narrow" w:hAnsi="Arial Narrow"/>
                <w:b/>
                <w:bCs/>
                <w:color w:val="000000"/>
                <w:sz w:val="20"/>
                <w:szCs w:val="20"/>
                <w:lang w:eastAsia="en-AU"/>
              </w:rPr>
              <w:t>NR</w:t>
            </w:r>
            <w:r w:rsidRPr="00CB33FA">
              <w:rPr>
                <w:rFonts w:ascii="Arial Narrow" w:hAnsi="Arial Narrow"/>
                <w:color w:val="000000"/>
                <w:sz w:val="20"/>
                <w:szCs w:val="20"/>
                <w:lang w:eastAsia="en-AU"/>
              </w:rPr>
              <w:t xml:space="preserve"> </w:t>
            </w:r>
          </w:p>
        </w:tc>
        <w:tc>
          <w:tcPr>
            <w:tcW w:w="0" w:type="auto"/>
            <w:tcBorders>
              <w:top w:val="single" w:sz="6" w:space="0" w:color="000000"/>
              <w:left w:val="nil"/>
              <w:bottom w:val="single" w:sz="6" w:space="0" w:color="000000"/>
              <w:right w:val="nil"/>
            </w:tcBorders>
            <w:shd w:val="clear" w:color="auto" w:fill="EDEDED"/>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2.6 higher</w:t>
            </w:r>
            <w:r w:rsidRPr="00CB33FA">
              <w:rPr>
                <w:rFonts w:ascii="Arial Narrow" w:hAnsi="Arial Narrow"/>
                <w:color w:val="000000"/>
                <w:sz w:val="20"/>
                <w:szCs w:val="20"/>
                <w:lang w:eastAsia="en-AU"/>
              </w:rPr>
              <w:br/>
              <w:t xml:space="preserve">(13.16 lower to 18.36 higher) </w:t>
            </w:r>
          </w:p>
        </w:tc>
      </w:tr>
      <w:tr w:rsidR="008A1612" w:rsidRPr="001B3113" w:rsidTr="007F6EF9">
        <w:tc>
          <w:tcPr>
            <w:tcW w:w="0" w:type="auto"/>
            <w:tcBorders>
              <w:top w:val="single" w:sz="6" w:space="0" w:color="000000"/>
              <w:left w:val="nil"/>
              <w:bottom w:val="single" w:sz="6" w:space="0" w:color="000000"/>
              <w:right w:val="nil"/>
            </w:tcBorders>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Cardiopulmonary exercise test: Oxygen pulse average at peak exercise</w:t>
            </w:r>
            <w:r w:rsidRPr="00CB33FA">
              <w:rPr>
                <w:rFonts w:ascii="Arial Narrow" w:hAnsi="Arial Narrow"/>
                <w:color w:val="000000"/>
                <w:sz w:val="20"/>
                <w:szCs w:val="20"/>
                <w:lang w:eastAsia="en-AU"/>
              </w:rPr>
              <w:br/>
              <w:t>assessed with: Volume O</w:t>
            </w:r>
            <w:r w:rsidRPr="00CB33FA">
              <w:rPr>
                <w:rFonts w:ascii="Arial Narrow" w:hAnsi="Arial Narrow"/>
                <w:color w:val="000000"/>
                <w:sz w:val="20"/>
                <w:szCs w:val="20"/>
                <w:vertAlign w:val="subscript"/>
                <w:lang w:eastAsia="en-AU"/>
              </w:rPr>
              <w:t>2</w:t>
            </w:r>
            <w:r w:rsidRPr="00CB33FA">
              <w:rPr>
                <w:rFonts w:ascii="Arial Narrow" w:hAnsi="Arial Narrow"/>
                <w:color w:val="000000"/>
                <w:sz w:val="20"/>
                <w:szCs w:val="20"/>
                <w:lang w:eastAsia="en-AU"/>
              </w:rPr>
              <w:t>/heart rate</w:t>
            </w:r>
            <w:r w:rsidRPr="00CB33FA">
              <w:rPr>
                <w:rFonts w:ascii="Arial Narrow" w:hAnsi="Arial Narrow"/>
                <w:color w:val="000000"/>
                <w:sz w:val="20"/>
                <w:szCs w:val="20"/>
                <w:lang w:eastAsia="en-AU"/>
              </w:rPr>
              <w:br/>
              <w:t xml:space="preserve">follow up: 18 months </w:t>
            </w:r>
          </w:p>
        </w:tc>
        <w:tc>
          <w:tcPr>
            <w:tcW w:w="0" w:type="auto"/>
            <w:tcBorders>
              <w:top w:val="single" w:sz="6" w:space="0" w:color="000000"/>
              <w:left w:val="nil"/>
              <w:bottom w:val="single" w:sz="6" w:space="0" w:color="000000"/>
              <w:right w:val="nil"/>
            </w:tcBorders>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18 months </w:t>
            </w:r>
          </w:p>
        </w:tc>
        <w:tc>
          <w:tcPr>
            <w:tcW w:w="0" w:type="auto"/>
            <w:tcBorders>
              <w:top w:val="single" w:sz="6" w:space="0" w:color="000000"/>
              <w:left w:val="nil"/>
              <w:bottom w:val="single" w:sz="6" w:space="0" w:color="000000"/>
              <w:right w:val="nil"/>
            </w:tcBorders>
            <w:hideMark/>
          </w:tcPr>
          <w:p w:rsidR="008A1612"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8A1612" w:rsidRPr="00CB33FA">
              <w:rPr>
                <w:rFonts w:ascii="Arial Narrow" w:hAnsi="Arial Narrow"/>
                <w:color w:val="000000"/>
                <w:sz w:val="20"/>
                <w:szCs w:val="20"/>
                <w:lang w:eastAsia="en-AU"/>
              </w:rPr>
              <w:t xml:space="preserve"> LOW </w:t>
            </w:r>
            <w:r w:rsidR="008A1612" w:rsidRPr="00CB33FA">
              <w:rPr>
                <w:rFonts w:ascii="Arial Narrow" w:hAnsi="Arial Narrow"/>
                <w:color w:val="000000"/>
                <w:sz w:val="20"/>
                <w:szCs w:val="20"/>
                <w:vertAlign w:val="superscript"/>
                <w:lang w:eastAsia="en-AU"/>
              </w:rPr>
              <w:t> </w:t>
            </w:r>
            <w:r w:rsidR="008A1612" w:rsidRPr="00CB33FA">
              <w:rPr>
                <w:rFonts w:ascii="Arial Narrow" w:hAnsi="Arial Narrow"/>
                <w:color w:val="000000"/>
                <w:sz w:val="20"/>
                <w:szCs w:val="20"/>
                <w:u w:val="single"/>
                <w:vertAlign w:val="superscript"/>
                <w:lang w:eastAsia="en-AU"/>
              </w:rPr>
              <w:t>1</w:t>
            </w:r>
            <w:r w:rsidR="008A1612" w:rsidRPr="00CB33FA">
              <w:rPr>
                <w:rFonts w:ascii="Arial Narrow" w:hAnsi="Arial Narrow"/>
                <w:color w:val="000000"/>
                <w:sz w:val="20"/>
                <w:szCs w:val="20"/>
                <w:vertAlign w:val="superscript"/>
                <w:lang w:eastAsia="en-AU"/>
              </w:rPr>
              <w:t> </w:t>
            </w:r>
            <w:r w:rsidR="008A1612" w:rsidRPr="00CB33FA">
              <w:rPr>
                <w:rFonts w:ascii="Arial Narrow" w:hAnsi="Arial Narrow"/>
                <w:color w:val="000000"/>
                <w:sz w:val="20"/>
                <w:szCs w:val="20"/>
                <w:u w:val="single"/>
                <w:vertAlign w:val="superscript"/>
                <w:lang w:eastAsia="en-AU"/>
              </w:rPr>
              <w:t>2</w:t>
            </w:r>
          </w:p>
        </w:tc>
        <w:tc>
          <w:tcPr>
            <w:tcW w:w="0" w:type="auto"/>
            <w:tcBorders>
              <w:top w:val="single" w:sz="6" w:space="0" w:color="000000"/>
              <w:left w:val="nil"/>
              <w:bottom w:val="single" w:sz="6" w:space="0" w:color="000000"/>
              <w:right w:val="nil"/>
            </w:tcBorders>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 </w:t>
            </w:r>
          </w:p>
        </w:tc>
        <w:tc>
          <w:tcPr>
            <w:tcW w:w="0" w:type="auto"/>
            <w:tcBorders>
              <w:top w:val="single" w:sz="6" w:space="0" w:color="000000"/>
              <w:left w:val="nil"/>
              <w:bottom w:val="single" w:sz="6" w:space="0" w:color="000000"/>
              <w:right w:val="nil"/>
            </w:tcBorders>
            <w:shd w:val="clear" w:color="auto" w:fill="EDEDED"/>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cardiopulmonary exercise test: Oxygen pulse average at peak exercise </w:t>
            </w:r>
            <w:r w:rsidR="00D63C41" w:rsidRPr="00CB33FA">
              <w:rPr>
                <w:rFonts w:ascii="Arial Narrow" w:hAnsi="Arial Narrow"/>
                <w:color w:val="000000"/>
                <w:sz w:val="20"/>
                <w:szCs w:val="20"/>
                <w:lang w:eastAsia="en-AU"/>
              </w:rPr>
              <w:t>was</w:t>
            </w:r>
            <w:r w:rsidRPr="00CB33FA">
              <w:rPr>
                <w:rFonts w:ascii="Arial Narrow" w:hAnsi="Arial Narrow"/>
                <w:color w:val="000000"/>
                <w:sz w:val="20"/>
                <w:szCs w:val="20"/>
                <w:lang w:eastAsia="en-AU"/>
              </w:rPr>
              <w:t xml:space="preserve"> </w:t>
            </w:r>
            <w:r w:rsidRPr="00CB33FA">
              <w:rPr>
                <w:rFonts w:ascii="Arial Narrow" w:hAnsi="Arial Narrow"/>
                <w:b/>
                <w:bCs/>
                <w:color w:val="000000"/>
                <w:sz w:val="20"/>
                <w:szCs w:val="20"/>
                <w:lang w:eastAsia="en-AU"/>
              </w:rPr>
              <w:t>NR</w:t>
            </w:r>
            <w:r w:rsidRPr="00CB33FA">
              <w:rPr>
                <w:rFonts w:ascii="Arial Narrow" w:hAnsi="Arial Narrow"/>
                <w:color w:val="000000"/>
                <w:sz w:val="20"/>
                <w:szCs w:val="20"/>
                <w:lang w:eastAsia="en-AU"/>
              </w:rPr>
              <w:t xml:space="preserve"> </w:t>
            </w:r>
          </w:p>
        </w:tc>
        <w:tc>
          <w:tcPr>
            <w:tcW w:w="0" w:type="auto"/>
            <w:tcBorders>
              <w:top w:val="single" w:sz="6" w:space="0" w:color="000000"/>
              <w:left w:val="nil"/>
              <w:bottom w:val="single" w:sz="6" w:space="0" w:color="000000"/>
              <w:right w:val="nil"/>
            </w:tcBorders>
            <w:shd w:val="clear" w:color="auto" w:fill="EDEDED"/>
            <w:hideMark/>
          </w:tcPr>
          <w:p w:rsidR="008A1612" w:rsidRPr="00CB33FA" w:rsidRDefault="008A1612"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2.1 higher</w:t>
            </w:r>
            <w:r w:rsidRPr="00CB33FA">
              <w:rPr>
                <w:rFonts w:ascii="Arial Narrow" w:hAnsi="Arial Narrow"/>
                <w:color w:val="000000"/>
                <w:sz w:val="20"/>
                <w:szCs w:val="20"/>
                <w:lang w:eastAsia="en-AU"/>
              </w:rPr>
              <w:br/>
              <w:t xml:space="preserve">(3.67 lower to 7.87 higher) </w:t>
            </w:r>
          </w:p>
        </w:tc>
      </w:tr>
      <w:tr w:rsidR="00265DB9" w:rsidRPr="001B3113" w:rsidTr="00AA34FC">
        <w:trPr>
          <w:trHeight w:val="946"/>
        </w:trPr>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Cardiopulmonary exercise test: Decrease in diastolic pressure</w:t>
            </w:r>
            <w:r w:rsidRPr="00CB33FA">
              <w:rPr>
                <w:rFonts w:ascii="Arial Narrow" w:hAnsi="Arial Narrow"/>
                <w:color w:val="000000"/>
                <w:sz w:val="20"/>
                <w:szCs w:val="20"/>
                <w:lang w:eastAsia="en-AU"/>
              </w:rPr>
              <w:br/>
              <w:t xml:space="preserve">follow up: 18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18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 xml:space="preserve">⨀⨀ </w:t>
            </w:r>
            <w:r w:rsidR="00265DB9" w:rsidRPr="00CB33FA">
              <w:rPr>
                <w:rFonts w:ascii="Arial Narrow" w:hAnsi="Arial Narrow"/>
                <w:color w:val="000000"/>
                <w:sz w:val="20"/>
                <w:szCs w:val="20"/>
                <w:lang w:eastAsia="en-AU"/>
              </w:rPr>
              <w:t xml:space="preserve">LOW </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1</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2</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1.5</w:t>
            </w:r>
            <w:r w:rsidRPr="00CB33FA">
              <w:rPr>
                <w:rFonts w:ascii="Arial Narrow" w:hAnsi="Arial Narrow"/>
                <w:color w:val="000000"/>
                <w:sz w:val="20"/>
                <w:szCs w:val="20"/>
                <w:lang w:eastAsia="en-AU"/>
              </w:rPr>
              <w:br/>
              <w:t xml:space="preserve">(0.34 to 6.7) </w:t>
            </w:r>
          </w:p>
        </w:tc>
        <w:tc>
          <w:tcPr>
            <w:tcW w:w="0" w:type="auto"/>
            <w:tcBorders>
              <w:top w:val="single" w:sz="6" w:space="0" w:color="000000"/>
              <w:left w:val="nil"/>
              <w:bottom w:val="single" w:sz="4" w:space="0" w:color="auto"/>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500 per 1000 </w:t>
            </w:r>
          </w:p>
        </w:tc>
        <w:tc>
          <w:tcPr>
            <w:tcW w:w="0" w:type="auto"/>
            <w:tcBorders>
              <w:top w:val="single" w:sz="6" w:space="0" w:color="000000"/>
              <w:left w:val="nil"/>
              <w:bottom w:val="single" w:sz="4" w:space="0" w:color="auto"/>
              <w:right w:val="nil"/>
            </w:tcBorders>
            <w:shd w:val="clear" w:color="auto" w:fill="E0E0E0"/>
          </w:tcPr>
          <w:p w:rsidR="00265DB9" w:rsidRPr="00CB33FA" w:rsidRDefault="00265DB9" w:rsidP="007F6EF9">
            <w:pPr>
              <w:keepNext/>
              <w:spacing w:after="200"/>
              <w:jc w:val="left"/>
              <w:rPr>
                <w:rFonts w:ascii="Arial Narrow" w:hAnsi="Arial Narrow"/>
                <w:b/>
                <w:bCs/>
                <w:color w:val="F2F2F2" w:themeColor="background1" w:themeShade="F2"/>
                <w:sz w:val="20"/>
                <w:szCs w:val="20"/>
                <w:lang w:eastAsia="en-AU"/>
              </w:rPr>
            </w:pPr>
            <w:r w:rsidRPr="00CB33FA">
              <w:rPr>
                <w:rFonts w:ascii="Arial Narrow" w:hAnsi="Arial Narrow"/>
                <w:b/>
                <w:bCs/>
                <w:color w:val="000000"/>
                <w:sz w:val="20"/>
                <w:szCs w:val="20"/>
                <w:lang w:eastAsia="en-AU"/>
              </w:rPr>
              <w:t>250 more per 1000</w:t>
            </w:r>
            <w:r w:rsidRPr="00CB33FA">
              <w:rPr>
                <w:rFonts w:ascii="Arial Narrow" w:hAnsi="Arial Narrow"/>
                <w:color w:val="000000"/>
                <w:sz w:val="20"/>
                <w:szCs w:val="20"/>
                <w:lang w:eastAsia="en-AU"/>
              </w:rPr>
              <w:br/>
              <w:t xml:space="preserve">(330 fewer to 2850 more) </w:t>
            </w:r>
          </w:p>
        </w:tc>
      </w:tr>
    </w:tbl>
    <w:p w:rsidR="00FD67E3" w:rsidRDefault="007F6EF9" w:rsidP="001B5185">
      <w:pPr>
        <w:pStyle w:val="TableNote"/>
        <w:ind w:left="0" w:firstLine="0"/>
        <w:rPr>
          <w:lang w:val="en"/>
        </w:rPr>
      </w:pPr>
      <w:r w:rsidRPr="00DC17CA">
        <w:rPr>
          <w:lang w:val="en"/>
        </w:rPr>
        <w:t xml:space="preserve">CI </w:t>
      </w:r>
      <w:r w:rsidRPr="00DC17CA">
        <w:rPr>
          <w:spacing w:val="-20"/>
          <w:lang w:val="en"/>
        </w:rPr>
        <w:t xml:space="preserve">= </w:t>
      </w:r>
      <w:r w:rsidR="001B5185">
        <w:rPr>
          <w:lang w:val="en"/>
        </w:rPr>
        <w:t xml:space="preserve"> confidence interval; RCT</w:t>
      </w:r>
      <w:r w:rsidRPr="001B3113">
        <w:rPr>
          <w:spacing w:val="-20"/>
          <w:lang w:val="en"/>
        </w:rPr>
        <w:t xml:space="preserve"> = </w:t>
      </w:r>
      <w:r w:rsidR="001B5185">
        <w:rPr>
          <w:lang w:val="en"/>
        </w:rPr>
        <w:t>randomised controlled trial; MD</w:t>
      </w:r>
      <w:r w:rsidRPr="001B3113">
        <w:rPr>
          <w:spacing w:val="-20"/>
          <w:lang w:val="en"/>
        </w:rPr>
        <w:t xml:space="preserve"> = </w:t>
      </w:r>
      <w:r w:rsidRPr="001B3113">
        <w:rPr>
          <w:lang w:val="en"/>
        </w:rPr>
        <w:t xml:space="preserve">mean difference between agalsidase beta and placebo </w:t>
      </w:r>
      <w:r w:rsidR="00D124D0" w:rsidRPr="006A44C2">
        <w:rPr>
          <w:lang w:val="en"/>
        </w:rPr>
        <w:t xml:space="preserve">(i.e. a mean difference “lower” means that the effect </w:t>
      </w:r>
      <w:r w:rsidR="00D124D0">
        <w:rPr>
          <w:lang w:val="en"/>
        </w:rPr>
        <w:t xml:space="preserve">size </w:t>
      </w:r>
      <w:r w:rsidR="00D124D0" w:rsidRPr="006A44C2">
        <w:rPr>
          <w:lang w:val="en"/>
        </w:rPr>
        <w:t xml:space="preserve">in </w:t>
      </w:r>
      <w:r w:rsidR="00D124D0">
        <w:rPr>
          <w:lang w:val="en"/>
        </w:rPr>
        <w:t xml:space="preserve">the </w:t>
      </w:r>
      <w:r w:rsidR="00D124D0" w:rsidRPr="006A44C2">
        <w:rPr>
          <w:lang w:val="en"/>
        </w:rPr>
        <w:t xml:space="preserve">agalsidase </w:t>
      </w:r>
      <w:r w:rsidR="00092143">
        <w:rPr>
          <w:lang w:val="en"/>
        </w:rPr>
        <w:t>beta</w:t>
      </w:r>
      <w:r w:rsidR="00D124D0" w:rsidRPr="006A44C2">
        <w:rPr>
          <w:lang w:val="en"/>
        </w:rPr>
        <w:t xml:space="preserve"> </w:t>
      </w:r>
      <w:r w:rsidR="00D124D0">
        <w:rPr>
          <w:lang w:val="en"/>
        </w:rPr>
        <w:t xml:space="preserve">arm </w:t>
      </w:r>
      <w:r w:rsidR="00D124D0" w:rsidRPr="006A44C2">
        <w:rPr>
          <w:lang w:val="en"/>
        </w:rPr>
        <w:t xml:space="preserve">is lower than placebo, and conversely “higher” means that the effect </w:t>
      </w:r>
      <w:r w:rsidR="00D124D0">
        <w:rPr>
          <w:lang w:val="en"/>
        </w:rPr>
        <w:t xml:space="preserve">size </w:t>
      </w:r>
      <w:r w:rsidR="00D124D0" w:rsidRPr="006A44C2">
        <w:rPr>
          <w:lang w:val="en"/>
        </w:rPr>
        <w:t xml:space="preserve">is higher in agalsidase </w:t>
      </w:r>
      <w:r w:rsidR="00092143">
        <w:rPr>
          <w:lang w:val="en"/>
        </w:rPr>
        <w:t>bet</w:t>
      </w:r>
      <w:r w:rsidR="00D124D0" w:rsidRPr="006A44C2">
        <w:rPr>
          <w:lang w:val="en"/>
        </w:rPr>
        <w:t>a than in placebo)</w:t>
      </w:r>
      <w:r w:rsidR="00D124D0">
        <w:rPr>
          <w:lang w:val="en"/>
        </w:rPr>
        <w:t>. In this instance, a higher level of cardiac output is beneficial to patients</w:t>
      </w:r>
      <w:r w:rsidRPr="001B3113">
        <w:rPr>
          <w:lang w:val="en"/>
        </w:rPr>
        <w:t xml:space="preserve">; </w:t>
      </w:r>
      <w:r w:rsidR="00F87099" w:rsidRPr="001B3113">
        <w:rPr>
          <w:lang w:val="en"/>
        </w:rPr>
        <w:t xml:space="preserve">RR </w:t>
      </w:r>
      <w:r w:rsidR="00F87099" w:rsidRPr="001B3113">
        <w:rPr>
          <w:spacing w:val="-20"/>
          <w:lang w:val="en"/>
        </w:rPr>
        <w:t xml:space="preserve">= </w:t>
      </w:r>
      <w:r w:rsidR="00F87099" w:rsidRPr="001B3113">
        <w:rPr>
          <w:lang w:val="en"/>
        </w:rPr>
        <w:t>relative</w:t>
      </w:r>
      <w:r w:rsidRPr="001B3113">
        <w:rPr>
          <w:lang w:val="en"/>
        </w:rPr>
        <w:t xml:space="preserve"> ri</w:t>
      </w:r>
      <w:r w:rsidR="001B5185">
        <w:rPr>
          <w:lang w:val="en"/>
        </w:rPr>
        <w:t>sk; NR</w:t>
      </w:r>
      <w:r w:rsidRPr="001B3113">
        <w:rPr>
          <w:spacing w:val="-20"/>
          <w:lang w:val="en"/>
        </w:rPr>
        <w:t xml:space="preserve"> </w:t>
      </w:r>
      <w:r w:rsidR="00F87099" w:rsidRPr="001B3113">
        <w:rPr>
          <w:spacing w:val="-20"/>
          <w:lang w:val="en"/>
        </w:rPr>
        <w:t xml:space="preserve">= </w:t>
      </w:r>
      <w:r w:rsidR="00F87099">
        <w:rPr>
          <w:lang w:val="en"/>
        </w:rPr>
        <w:t>not</w:t>
      </w:r>
      <w:r w:rsidR="001B5185">
        <w:rPr>
          <w:lang w:val="en"/>
        </w:rPr>
        <w:t xml:space="preserve"> reported; </w:t>
      </w:r>
      <w:r w:rsidRPr="001B3113">
        <w:rPr>
          <w:lang w:val="en"/>
        </w:rPr>
        <w:t>risk difference calculated using STATA</w:t>
      </w:r>
    </w:p>
    <w:p w:rsidR="007F6EF9" w:rsidRPr="00CB33FA" w:rsidRDefault="007F6EF9" w:rsidP="007F6EF9">
      <w:pPr>
        <w:pStyle w:val="TableNote"/>
        <w:rPr>
          <w:color w:val="000000"/>
        </w:rPr>
      </w:pPr>
      <w:r>
        <w:rPr>
          <w:color w:val="000000"/>
        </w:rPr>
        <w:t xml:space="preserve">1. </w:t>
      </w:r>
      <w:r w:rsidRPr="00CB33FA">
        <w:rPr>
          <w:color w:val="000000"/>
        </w:rPr>
        <w:t>Possible conflict of interest</w:t>
      </w:r>
    </w:p>
    <w:p w:rsidR="007F6EF9" w:rsidRDefault="007F6EF9" w:rsidP="007F6EF9">
      <w:pPr>
        <w:pStyle w:val="TableNote"/>
        <w:rPr>
          <w:color w:val="000000"/>
        </w:rPr>
      </w:pPr>
      <w:r>
        <w:rPr>
          <w:color w:val="000000"/>
        </w:rPr>
        <w:t xml:space="preserve">2. </w:t>
      </w:r>
      <w:r w:rsidRPr="00CB33FA">
        <w:rPr>
          <w:color w:val="000000"/>
        </w:rPr>
        <w:t>Small participant numbers</w:t>
      </w:r>
    </w:p>
    <w:p w:rsidR="007F6EF9" w:rsidRDefault="007F6EF9" w:rsidP="007F6EF9">
      <w:pPr>
        <w:pStyle w:val="TableNote"/>
        <w:rPr>
          <w:color w:val="000000"/>
        </w:rPr>
      </w:pPr>
      <w:r>
        <w:rPr>
          <w:color w:val="000000"/>
        </w:rPr>
        <w:br w:type="page"/>
      </w:r>
    </w:p>
    <w:p w:rsidR="001C3FAF" w:rsidRPr="00A979FB" w:rsidRDefault="001C3FAF" w:rsidP="00A979FB">
      <w:pPr>
        <w:pStyle w:val="Heading5"/>
      </w:pPr>
      <w:r w:rsidRPr="00A979FB">
        <w:lastRenderedPageBreak/>
        <w:t>Pain</w:t>
      </w:r>
    </w:p>
    <w:p w:rsidR="001C3FAF" w:rsidRDefault="001C3FAF" w:rsidP="001C3FAF">
      <w:r w:rsidRPr="000756DF">
        <w:t xml:space="preserve">Pain was assessed in one </w:t>
      </w:r>
      <w:r>
        <w:t>trial</w:t>
      </w:r>
      <w:r w:rsidRPr="000756DF">
        <w:t xml:space="preserve"> </w:t>
      </w:r>
      <w:r w:rsidR="00A130D0">
        <w:rPr>
          <w:noProof/>
        </w:rPr>
        <w:t>(</w:t>
      </w:r>
      <w:r w:rsidR="00184B6F">
        <w:rPr>
          <w:noProof/>
        </w:rPr>
        <w:t>Eng et al. 2001</w:t>
      </w:r>
      <w:r w:rsidR="00A130D0">
        <w:rPr>
          <w:noProof/>
        </w:rPr>
        <w:t>)</w:t>
      </w:r>
      <w:r w:rsidRPr="000756DF">
        <w:t xml:space="preserve"> reported by Schaefer et al </w:t>
      </w:r>
      <w:r>
        <w:t>(2009)</w:t>
      </w:r>
      <w:r w:rsidRPr="000756DF">
        <w:t>. The short form of the McGill Pain Questionnaire was used to assess sensory pain, affective pain, pain measured on a visual analogue scale and present pain intensity. The total pain score</w:t>
      </w:r>
      <w:r>
        <w:t>,</w:t>
      </w:r>
      <w:r w:rsidRPr="000756DF">
        <w:t xml:space="preserve"> which is a sum of the sensory pain and affective pain scores</w:t>
      </w:r>
      <w:r>
        <w:t>,</w:t>
      </w:r>
      <w:r w:rsidRPr="000756DF">
        <w:t xml:space="preserve"> is reported </w:t>
      </w:r>
      <w:r>
        <w:t>in</w:t>
      </w:r>
      <w:r w:rsidR="00E4686C">
        <w:t xml:space="preserve"> </w:t>
      </w:r>
      <w:r w:rsidR="00A72B26" w:rsidRPr="00BD10C7">
        <w:t xml:space="preserve">Table </w:t>
      </w:r>
      <w:r w:rsidR="00A72B26">
        <w:rPr>
          <w:noProof/>
        </w:rPr>
        <w:t>41</w:t>
      </w:r>
      <w:r w:rsidRPr="000756DF">
        <w:t xml:space="preserve">. Surprisingly, there were improvements in pain scores in both agalsidase beta and placebo groups, </w:t>
      </w:r>
      <w:r>
        <w:t>so</w:t>
      </w:r>
      <w:r w:rsidRPr="000756DF">
        <w:t xml:space="preserve"> a placebo effect c</w:t>
      </w:r>
      <w:r>
        <w:t>an</w:t>
      </w:r>
      <w:r w:rsidRPr="000756DF">
        <w:t>not be ruled out</w:t>
      </w:r>
      <w:r>
        <w:t xml:space="preserve"> (</w:t>
      </w:r>
      <w:r w:rsidRPr="000756DF">
        <w:t xml:space="preserve">GRADE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rsidRPr="000756DF">
        <w:t>.</w:t>
      </w:r>
    </w:p>
    <w:p w:rsidR="001C3FAF" w:rsidRDefault="001C3FAF" w:rsidP="001C3FAF">
      <w:pPr>
        <w:pStyle w:val="Caption"/>
        <w:keepNext/>
        <w:tabs>
          <w:tab w:val="clear" w:pos="851"/>
          <w:tab w:val="left" w:pos="1134"/>
        </w:tabs>
        <w:ind w:left="1134" w:hanging="1134"/>
      </w:pPr>
      <w:bookmarkStart w:id="217" w:name="_Ref405842203"/>
      <w:bookmarkStart w:id="218" w:name="_Toc405361936"/>
      <w:bookmarkStart w:id="219" w:name="_Toc411510423"/>
      <w:bookmarkStart w:id="220" w:name="_Toc415141838"/>
      <w:r w:rsidRPr="00BD10C7">
        <w:t xml:space="preserve">Table </w:t>
      </w:r>
      <w:r w:rsidR="00A72B26">
        <w:rPr>
          <w:noProof/>
        </w:rPr>
        <w:t>41</w:t>
      </w:r>
      <w:bookmarkEnd w:id="217"/>
      <w:r w:rsidRPr="00BD10C7">
        <w:t xml:space="preserve"> </w:t>
      </w:r>
      <w:r>
        <w:tab/>
      </w:r>
      <w:r w:rsidRPr="00305731">
        <w:t xml:space="preserve">Pain reported by Fabry patients randomised to </w:t>
      </w:r>
      <w:r>
        <w:t>receive</w:t>
      </w:r>
      <w:r w:rsidRPr="00305731">
        <w:t xml:space="preserve"> either agalsidase beta or placebo </w:t>
      </w:r>
      <w:bookmarkEnd w:id="218"/>
      <w:r w:rsidR="00A130D0">
        <w:rPr>
          <w:noProof/>
        </w:rPr>
        <w:t>(</w:t>
      </w:r>
      <w:r w:rsidR="00184B6F">
        <w:rPr>
          <w:noProof/>
        </w:rPr>
        <w:t>Schaefer, Tylki-Szymanska &amp; Hilz 2009</w:t>
      </w:r>
      <w:r w:rsidR="00A130D0">
        <w:rPr>
          <w:noProof/>
        </w:rPr>
        <w:t>)</w:t>
      </w:r>
      <w:bookmarkEnd w:id="219"/>
      <w:bookmarkEnd w:id="220"/>
    </w:p>
    <w:tbl>
      <w:tblPr>
        <w:tblW w:w="5000" w:type="pct"/>
        <w:tblCellMar>
          <w:top w:w="75" w:type="dxa"/>
          <w:left w:w="75" w:type="dxa"/>
          <w:bottom w:w="75" w:type="dxa"/>
          <w:right w:w="75" w:type="dxa"/>
        </w:tblCellMar>
        <w:tblLook w:val="04A0" w:firstRow="1" w:lastRow="0" w:firstColumn="1" w:lastColumn="0" w:noHBand="0" w:noVBand="1"/>
        <w:tblCaption w:val="Table 39  Pain reported by Fabry patients randomised to receive either agalsidase beta or placebo (Schaefer, Tylki-Szymanska &amp; Hilz 2009)"/>
      </w:tblPr>
      <w:tblGrid>
        <w:gridCol w:w="2327"/>
        <w:gridCol w:w="1280"/>
        <w:gridCol w:w="1554"/>
        <w:gridCol w:w="2068"/>
        <w:gridCol w:w="1947"/>
      </w:tblGrid>
      <w:tr w:rsidR="0066036E" w:rsidRPr="001B5FFB" w:rsidTr="00B37104">
        <w:trPr>
          <w:tblHeader/>
        </w:trPr>
        <w:tc>
          <w:tcPr>
            <w:tcW w:w="2327" w:type="dxa"/>
            <w:tcBorders>
              <w:top w:val="single" w:sz="12" w:space="0" w:color="auto"/>
              <w:left w:val="nil"/>
              <w:bottom w:val="single" w:sz="6" w:space="0" w:color="000000"/>
              <w:right w:val="nil"/>
            </w:tcBorders>
            <w:shd w:val="clear" w:color="auto" w:fill="3271AA"/>
            <w:hideMark/>
          </w:tcPr>
          <w:p w:rsidR="0066036E" w:rsidRPr="00CB33FA" w:rsidRDefault="0066036E" w:rsidP="00CB33FA">
            <w:pPr>
              <w:pStyle w:val="TableHeading"/>
              <w:spacing w:line="240" w:lineRule="auto"/>
              <w:rPr>
                <w:b w:val="0"/>
                <w:color w:val="FFFFFF" w:themeColor="background1"/>
              </w:rPr>
            </w:pPr>
            <w:r w:rsidRPr="00CB33FA">
              <w:rPr>
                <w:color w:val="FFFFFF" w:themeColor="background1"/>
              </w:rPr>
              <w:t>Outcomes</w:t>
            </w:r>
          </w:p>
        </w:tc>
        <w:tc>
          <w:tcPr>
            <w:tcW w:w="1280" w:type="dxa"/>
            <w:tcBorders>
              <w:top w:val="single" w:sz="12" w:space="0" w:color="auto"/>
              <w:left w:val="nil"/>
              <w:bottom w:val="single" w:sz="6" w:space="0" w:color="000000"/>
              <w:right w:val="nil"/>
            </w:tcBorders>
            <w:shd w:val="clear" w:color="auto" w:fill="3271AA"/>
            <w:hideMark/>
          </w:tcPr>
          <w:p w:rsidR="0066036E" w:rsidRPr="00CB33FA" w:rsidRDefault="0066036E" w:rsidP="00CB33FA">
            <w:pPr>
              <w:pStyle w:val="TableHeading"/>
              <w:spacing w:line="240" w:lineRule="auto"/>
              <w:rPr>
                <w:b w:val="0"/>
                <w:color w:val="FFFFFF" w:themeColor="background1"/>
              </w:rPr>
            </w:pPr>
            <w:r w:rsidRPr="00CB33FA">
              <w:rPr>
                <w:color w:val="FFFFFF" w:themeColor="background1"/>
              </w:rPr>
              <w:t>№ of participants</w:t>
            </w:r>
            <w:r w:rsidRPr="00CB33FA">
              <w:rPr>
                <w:color w:val="FFFFFF" w:themeColor="background1"/>
              </w:rPr>
              <w:br/>
              <w:t>(studies)</w:t>
            </w:r>
            <w:r w:rsidRPr="00CB33FA">
              <w:rPr>
                <w:color w:val="FFFFFF" w:themeColor="background1"/>
              </w:rPr>
              <w:br/>
              <w:t>Follow-up</w:t>
            </w:r>
          </w:p>
        </w:tc>
        <w:tc>
          <w:tcPr>
            <w:tcW w:w="1554" w:type="dxa"/>
            <w:tcBorders>
              <w:top w:val="single" w:sz="12" w:space="0" w:color="auto"/>
              <w:left w:val="nil"/>
              <w:bottom w:val="single" w:sz="6" w:space="0" w:color="000000"/>
              <w:right w:val="nil"/>
            </w:tcBorders>
            <w:shd w:val="clear" w:color="auto" w:fill="3271AA"/>
            <w:hideMark/>
          </w:tcPr>
          <w:p w:rsidR="0066036E" w:rsidRPr="00CB33FA" w:rsidRDefault="0066036E" w:rsidP="00CB33FA">
            <w:pPr>
              <w:pStyle w:val="TableHeading"/>
              <w:spacing w:line="240" w:lineRule="auto"/>
              <w:rPr>
                <w:b w:val="0"/>
                <w:color w:val="FFFFFF" w:themeColor="background1"/>
              </w:rPr>
            </w:pPr>
            <w:r w:rsidRPr="00CB33FA">
              <w:rPr>
                <w:color w:val="FFFFFF" w:themeColor="background1"/>
              </w:rPr>
              <w:t>Quality of the evidence</w:t>
            </w:r>
            <w:r w:rsidRPr="00CB33FA">
              <w:rPr>
                <w:color w:val="FFFFFF" w:themeColor="background1"/>
              </w:rPr>
              <w:br/>
              <w:t>(GRADE)</w:t>
            </w:r>
          </w:p>
        </w:tc>
        <w:tc>
          <w:tcPr>
            <w:tcW w:w="2068" w:type="dxa"/>
            <w:tcBorders>
              <w:top w:val="single" w:sz="12" w:space="0" w:color="000000"/>
              <w:left w:val="nil"/>
              <w:bottom w:val="single" w:sz="6" w:space="0" w:color="000000"/>
              <w:right w:val="nil"/>
            </w:tcBorders>
            <w:shd w:val="clear" w:color="auto" w:fill="D3D3D3"/>
            <w:hideMark/>
          </w:tcPr>
          <w:p w:rsidR="0066036E" w:rsidRPr="001B5FFB" w:rsidRDefault="0066036E" w:rsidP="00CB33FA">
            <w:pPr>
              <w:pStyle w:val="TableHeading"/>
              <w:spacing w:line="240" w:lineRule="auto"/>
              <w:rPr>
                <w:color w:val="000000"/>
              </w:rPr>
            </w:pPr>
            <w:r w:rsidRPr="001B5FFB">
              <w:rPr>
                <w:color w:val="000000"/>
              </w:rPr>
              <w:t>Risk with Supportive care plus placebo</w:t>
            </w:r>
          </w:p>
        </w:tc>
        <w:tc>
          <w:tcPr>
            <w:tcW w:w="1947" w:type="dxa"/>
            <w:tcBorders>
              <w:top w:val="single" w:sz="12" w:space="0" w:color="000000"/>
              <w:left w:val="nil"/>
              <w:bottom w:val="single" w:sz="6" w:space="0" w:color="000000"/>
              <w:right w:val="nil"/>
            </w:tcBorders>
            <w:shd w:val="clear" w:color="auto" w:fill="D3D3D3"/>
            <w:hideMark/>
          </w:tcPr>
          <w:p w:rsidR="0066036E" w:rsidRPr="001B5FFB" w:rsidRDefault="0066036E" w:rsidP="00CB33FA">
            <w:pPr>
              <w:pStyle w:val="TableHeading"/>
              <w:spacing w:line="240" w:lineRule="auto"/>
              <w:rPr>
                <w:color w:val="000000"/>
              </w:rPr>
            </w:pPr>
            <w:r w:rsidRPr="001B5FFB">
              <w:rPr>
                <w:color w:val="000000"/>
              </w:rPr>
              <w:t>Risk difference with Agalsidase beta</w:t>
            </w:r>
          </w:p>
        </w:tc>
      </w:tr>
      <w:tr w:rsidR="0066036E" w:rsidRPr="001B5FFB" w:rsidTr="00CB33FA">
        <w:tc>
          <w:tcPr>
            <w:tcW w:w="2327" w:type="dxa"/>
            <w:tcBorders>
              <w:top w:val="single" w:sz="6" w:space="0" w:color="000000"/>
              <w:left w:val="nil"/>
              <w:bottom w:val="single" w:sz="6" w:space="0" w:color="000000"/>
              <w:right w:val="nil"/>
            </w:tcBorders>
            <w:hideMark/>
          </w:tcPr>
          <w:p w:rsidR="0066036E" w:rsidRPr="00CB33FA" w:rsidRDefault="0066036E" w:rsidP="001B5FFB">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Total pain</w:t>
            </w:r>
            <w:r w:rsidRPr="00CB33FA">
              <w:rPr>
                <w:rFonts w:ascii="Arial Narrow" w:hAnsi="Arial Narrow"/>
                <w:color w:val="000000"/>
                <w:sz w:val="20"/>
                <w:szCs w:val="20"/>
                <w:lang w:eastAsia="en-AU"/>
              </w:rPr>
              <w:br/>
              <w:t>assessed with: McGill Pain Questionnaire</w:t>
            </w:r>
            <w:r w:rsidRPr="00CB33FA">
              <w:rPr>
                <w:rFonts w:ascii="Arial Narrow" w:hAnsi="Arial Narrow"/>
                <w:color w:val="000000"/>
                <w:sz w:val="20"/>
                <w:szCs w:val="20"/>
                <w:lang w:eastAsia="en-AU"/>
              </w:rPr>
              <w:br/>
              <w:t xml:space="preserve">follow up: 5 months </w:t>
            </w:r>
          </w:p>
        </w:tc>
        <w:tc>
          <w:tcPr>
            <w:tcW w:w="1280" w:type="dxa"/>
            <w:tcBorders>
              <w:top w:val="single" w:sz="6" w:space="0" w:color="000000"/>
              <w:left w:val="nil"/>
              <w:bottom w:val="single" w:sz="6" w:space="0" w:color="000000"/>
              <w:right w:val="nil"/>
            </w:tcBorders>
            <w:hideMark/>
          </w:tcPr>
          <w:p w:rsidR="0066036E" w:rsidRPr="00CB33FA" w:rsidRDefault="0066036E" w:rsidP="001B5FFB">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58</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5 months </w:t>
            </w:r>
          </w:p>
        </w:tc>
        <w:tc>
          <w:tcPr>
            <w:tcW w:w="1554" w:type="dxa"/>
            <w:tcBorders>
              <w:top w:val="single" w:sz="6" w:space="0" w:color="000000"/>
              <w:left w:val="nil"/>
              <w:bottom w:val="single" w:sz="6" w:space="0" w:color="000000"/>
              <w:right w:val="nil"/>
            </w:tcBorders>
            <w:hideMark/>
          </w:tcPr>
          <w:p w:rsidR="0066036E" w:rsidRPr="00CB33FA" w:rsidRDefault="0066036E" w:rsidP="001B5FFB">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Pr="00CB33FA">
              <w:rPr>
                <w:rFonts w:ascii="Arial Narrow" w:hAnsi="Arial Narrow"/>
                <w:color w:val="000000"/>
                <w:sz w:val="20"/>
                <w:szCs w:val="20"/>
                <w:lang w:eastAsia="en-AU"/>
              </w:rPr>
              <w:br/>
              <w:t xml:space="preserve">LOW </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1</w:t>
            </w:r>
          </w:p>
        </w:tc>
        <w:tc>
          <w:tcPr>
            <w:tcW w:w="2068" w:type="dxa"/>
            <w:tcBorders>
              <w:top w:val="single" w:sz="6" w:space="0" w:color="000000"/>
              <w:left w:val="nil"/>
              <w:bottom w:val="single" w:sz="6" w:space="0" w:color="000000"/>
              <w:right w:val="nil"/>
            </w:tcBorders>
            <w:shd w:val="clear" w:color="auto" w:fill="EDEDED"/>
            <w:hideMark/>
          </w:tcPr>
          <w:p w:rsidR="0066036E" w:rsidRPr="00CB33FA" w:rsidRDefault="0066036E" w:rsidP="001B5FFB">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total pain ranged across control groups was </w:t>
            </w:r>
            <w:r w:rsidRPr="00CB33FA">
              <w:rPr>
                <w:rFonts w:ascii="Arial Narrow" w:hAnsi="Arial Narrow"/>
                <w:b/>
                <w:bCs/>
                <w:color w:val="000000"/>
                <w:sz w:val="20"/>
                <w:szCs w:val="20"/>
                <w:lang w:eastAsia="en-AU"/>
              </w:rPr>
              <w:t>NR</w:t>
            </w:r>
            <w:r w:rsidRPr="00CB33FA">
              <w:rPr>
                <w:rFonts w:ascii="Arial Narrow" w:hAnsi="Arial Narrow"/>
                <w:color w:val="000000"/>
                <w:sz w:val="20"/>
                <w:szCs w:val="20"/>
                <w:lang w:eastAsia="en-AU"/>
              </w:rPr>
              <w:t xml:space="preserve"> </w:t>
            </w:r>
          </w:p>
        </w:tc>
        <w:tc>
          <w:tcPr>
            <w:tcW w:w="1947" w:type="dxa"/>
            <w:tcBorders>
              <w:top w:val="single" w:sz="6" w:space="0" w:color="000000"/>
              <w:left w:val="nil"/>
              <w:bottom w:val="single" w:sz="6" w:space="0" w:color="000000"/>
              <w:right w:val="nil"/>
            </w:tcBorders>
            <w:shd w:val="clear" w:color="auto" w:fill="EDEDED"/>
            <w:hideMark/>
          </w:tcPr>
          <w:p w:rsidR="0066036E" w:rsidRPr="00CB33FA" w:rsidRDefault="0066036E" w:rsidP="001B5FFB">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p &gt;</w:t>
            </w:r>
            <w:r w:rsidRPr="00CB33FA">
              <w:rPr>
                <w:rFonts w:ascii="Arial Narrow" w:hAnsi="Arial Narrow"/>
                <w:b/>
                <w:bCs/>
                <w:color w:val="000000"/>
                <w:sz w:val="20"/>
                <w:szCs w:val="20"/>
                <w:lang w:eastAsia="en-AU"/>
              </w:rPr>
              <w:t>0.05 higher</w:t>
            </w:r>
            <w:r w:rsidRPr="00CB33FA">
              <w:rPr>
                <w:rFonts w:ascii="Arial Narrow" w:hAnsi="Arial Narrow"/>
                <w:b/>
                <w:bCs/>
                <w:color w:val="000000"/>
                <w:sz w:val="20"/>
                <w:szCs w:val="20"/>
                <w:vertAlign w:val="superscript"/>
                <w:lang w:eastAsia="en-AU"/>
              </w:rPr>
              <w:t>2</w:t>
            </w:r>
            <w:r w:rsidRPr="00CB33FA">
              <w:rPr>
                <w:rFonts w:ascii="Arial Narrow" w:hAnsi="Arial Narrow"/>
                <w:color w:val="000000"/>
                <w:sz w:val="20"/>
                <w:szCs w:val="20"/>
                <w:lang w:eastAsia="en-AU"/>
              </w:rPr>
              <w:br/>
              <w:t xml:space="preserve">(CI NR) </w:t>
            </w:r>
          </w:p>
        </w:tc>
      </w:tr>
    </w:tbl>
    <w:p w:rsidR="001C3FAF" w:rsidRDefault="001B5185" w:rsidP="007F6EF9">
      <w:pPr>
        <w:pStyle w:val="TableNote"/>
      </w:pPr>
      <w:r>
        <w:t>CI</w:t>
      </w:r>
      <w:r w:rsidR="007F6EF9" w:rsidRPr="00CB33FA">
        <w:rPr>
          <w:spacing w:val="-20"/>
        </w:rPr>
        <w:t xml:space="preserve"> = </w:t>
      </w:r>
      <w:r>
        <w:t>confidence interval; RCT</w:t>
      </w:r>
      <w:r w:rsidR="007F6EF9" w:rsidRPr="00CB33FA">
        <w:rPr>
          <w:spacing w:val="-20"/>
        </w:rPr>
        <w:t xml:space="preserve"> = </w:t>
      </w:r>
      <w:r w:rsidR="007F6EF9" w:rsidRPr="00CB33FA">
        <w:t>randomised controlled trial; NR</w:t>
      </w:r>
      <w:r w:rsidR="007F6EF9" w:rsidRPr="00CB33FA">
        <w:rPr>
          <w:spacing w:val="-20"/>
        </w:rPr>
        <w:t xml:space="preserve"> = </w:t>
      </w:r>
      <w:r w:rsidR="007F6EF9" w:rsidRPr="00CB33FA">
        <w:t>not reported</w:t>
      </w:r>
    </w:p>
    <w:p w:rsidR="007F6EF9" w:rsidRPr="00CB33FA" w:rsidRDefault="007F6EF9" w:rsidP="007F6EF9">
      <w:pPr>
        <w:pStyle w:val="TableNote"/>
        <w:rPr>
          <w:color w:val="000000"/>
        </w:rPr>
      </w:pPr>
      <w:r>
        <w:rPr>
          <w:color w:val="000000"/>
        </w:rPr>
        <w:t xml:space="preserve">1. </w:t>
      </w:r>
      <w:r w:rsidRPr="00CB33FA">
        <w:rPr>
          <w:color w:val="000000"/>
        </w:rPr>
        <w:t>Possible conflict of interest</w:t>
      </w:r>
    </w:p>
    <w:p w:rsidR="00AA34FC" w:rsidRDefault="007F6EF9" w:rsidP="007F6EF9">
      <w:pPr>
        <w:pStyle w:val="TableNote"/>
      </w:pPr>
      <w:r>
        <w:rPr>
          <w:color w:val="000000"/>
        </w:rPr>
        <w:t xml:space="preserve">2. </w:t>
      </w:r>
      <w:r w:rsidRPr="00CB33FA">
        <w:rPr>
          <w:color w:val="000000"/>
        </w:rPr>
        <w:t>Neither group favoured</w:t>
      </w:r>
    </w:p>
    <w:p w:rsidR="00AA34FC" w:rsidRDefault="00AA34FC" w:rsidP="00475E97"/>
    <w:p w:rsidR="001C3FAF" w:rsidRPr="000756DF" w:rsidRDefault="001C3FAF" w:rsidP="00A979FB">
      <w:pPr>
        <w:pStyle w:val="Heading5"/>
      </w:pPr>
      <w:r w:rsidRPr="000756DF">
        <w:t xml:space="preserve">Extension studies </w:t>
      </w:r>
    </w:p>
    <w:p w:rsidR="001C3FAF" w:rsidRPr="000756DF" w:rsidRDefault="001C3FAF" w:rsidP="00A979FB">
      <w:pPr>
        <w:pStyle w:val="Heading5"/>
      </w:pPr>
      <w:r w:rsidRPr="000756DF">
        <w:t>Glomerular filtration rate</w:t>
      </w:r>
    </w:p>
    <w:p w:rsidR="001C3FAF" w:rsidRPr="00A21479" w:rsidRDefault="001C3FAF" w:rsidP="00590FC4">
      <w:bookmarkStart w:id="221" w:name="_Toc405361937"/>
      <w:r w:rsidRPr="00A21479">
        <w:t xml:space="preserve">Schaeffer et al reported long term follow-up outcomes for GFR from two RCTs </w:t>
      </w:r>
      <w:r w:rsidR="00BD4A3A">
        <w:rPr>
          <w:noProof/>
        </w:rPr>
        <w:t>(</w:t>
      </w:r>
      <w:r w:rsidR="00184B6F">
        <w:rPr>
          <w:noProof/>
        </w:rPr>
        <w:t>Banikazemi, M. et al. 2007</w:t>
      </w:r>
      <w:r w:rsidR="00BD4A3A">
        <w:rPr>
          <w:noProof/>
        </w:rPr>
        <w:t xml:space="preserve">; </w:t>
      </w:r>
      <w:r w:rsidR="00184B6F">
        <w:rPr>
          <w:noProof/>
        </w:rPr>
        <w:t>Eng et al. 2001</w:t>
      </w:r>
      <w:r w:rsidR="00BD4A3A">
        <w:rPr>
          <w:noProof/>
        </w:rPr>
        <w:t>)</w:t>
      </w:r>
      <w:r w:rsidRPr="00A21479">
        <w:t>. Only baseline data w</w:t>
      </w:r>
      <w:r w:rsidR="00FE3A67">
        <w:t>ere</w:t>
      </w:r>
      <w:r w:rsidRPr="00A21479">
        <w:t xml:space="preserve"> published for this outcome, but Schaefer et al (2009) reported that long-term measures reflected a stable filtration rate over 54 months and 35 months for individual RCTs (</w:t>
      </w:r>
      <w:r w:rsidRPr="000756DF">
        <w:t>GRADE</w:t>
      </w:r>
      <w:r>
        <w:rPr>
          <w:i/>
        </w:rPr>
        <w:t xml:space="preserve"> </w:t>
      </w:r>
      <w:r w:rsidRPr="00D4733A">
        <w:rPr>
          <w:rFonts w:ascii="Cambria Math" w:hAnsi="Cambria Math"/>
          <w:color w:val="00B050"/>
        </w:rPr>
        <w:t>⨁</w:t>
      </w:r>
      <w:r w:rsidRPr="00D4733A">
        <w:rPr>
          <w:rFonts w:ascii="Cambria Math" w:hAnsi="Cambria Math"/>
          <w:color w:val="C00000"/>
        </w:rPr>
        <w:t>⨀⨀⨀</w:t>
      </w:r>
      <w:r w:rsidRPr="00A21479">
        <w:t>).</w:t>
      </w:r>
    </w:p>
    <w:bookmarkEnd w:id="221"/>
    <w:p w:rsidR="001C3FAF" w:rsidRPr="000756DF" w:rsidRDefault="001C3FAF" w:rsidP="00A979FB">
      <w:pPr>
        <w:pStyle w:val="Heading4"/>
      </w:pPr>
      <w:r w:rsidRPr="000756DF">
        <w:t>Comparative safety</w:t>
      </w:r>
    </w:p>
    <w:p w:rsidR="001C3FAF" w:rsidRPr="000756DF" w:rsidRDefault="001C3FAF" w:rsidP="001C3FAF">
      <w:r w:rsidRPr="000756DF">
        <w:t xml:space="preserve">A comparative assessment of frequency of adverse events was conducted in the SR by El Dib, 2013. Results can be seen here in </w:t>
      </w:r>
      <w:r w:rsidR="00A72B26" w:rsidRPr="00305731">
        <w:t xml:space="preserve">Table </w:t>
      </w:r>
      <w:r w:rsidR="00A72B26">
        <w:rPr>
          <w:noProof/>
        </w:rPr>
        <w:t>42</w:t>
      </w:r>
      <w:r w:rsidRPr="000756DF">
        <w:t xml:space="preserve"> and </w:t>
      </w:r>
      <w:r w:rsidR="00A72B26" w:rsidRPr="00305731">
        <w:t xml:space="preserve">Table </w:t>
      </w:r>
      <w:r w:rsidR="00A72B26">
        <w:rPr>
          <w:noProof/>
        </w:rPr>
        <w:t>43</w:t>
      </w:r>
      <w:r w:rsidR="00C82784">
        <w:t xml:space="preserve">. </w:t>
      </w:r>
      <w:r w:rsidRPr="000756DF">
        <w:t xml:space="preserve">The GRADE quality of each outcome ranged between low and high, depending on whether the RCT from which the result was taken was assessed as serious risk of bias or not, and whether imprecision was assessed as  serious or not serious. These factors were affected by lack of reporting of randomisation and concealment methods, and patient withdrawal and drop data </w:t>
      </w:r>
      <w:r w:rsidR="00A130D0">
        <w:rPr>
          <w:noProof/>
        </w:rPr>
        <w:t>(</w:t>
      </w:r>
      <w:r w:rsidR="00184B6F">
        <w:rPr>
          <w:noProof/>
        </w:rPr>
        <w:t>Eng et al. 2001</w:t>
      </w:r>
      <w:r w:rsidR="00A130D0">
        <w:rPr>
          <w:noProof/>
        </w:rPr>
        <w:t>)</w:t>
      </w:r>
      <w:r w:rsidRPr="000756DF">
        <w:t xml:space="preserve"> and the possibility of conflict of interest for authors </w:t>
      </w:r>
      <w:r w:rsidR="00A130D0">
        <w:rPr>
          <w:noProof/>
        </w:rPr>
        <w:t>(</w:t>
      </w:r>
      <w:r w:rsidR="00184B6F">
        <w:rPr>
          <w:noProof/>
        </w:rPr>
        <w:t>Eng et al. 2001</w:t>
      </w:r>
      <w:r w:rsidR="00A130D0">
        <w:rPr>
          <w:noProof/>
        </w:rPr>
        <w:t>)</w:t>
      </w:r>
      <w:r w:rsidRPr="000756DF">
        <w:t>.</w:t>
      </w:r>
    </w:p>
    <w:p w:rsidR="001C3FAF" w:rsidRPr="000756DF" w:rsidRDefault="001C3FAF" w:rsidP="001C3FAF">
      <w:r w:rsidRPr="000756DF">
        <w:t xml:space="preserve">Rigors and fever were assessed in two RCTs </w:t>
      </w:r>
      <w:r w:rsidR="00BD4A3A">
        <w:rPr>
          <w:noProof/>
        </w:rPr>
        <w:t>(</w:t>
      </w:r>
      <w:r w:rsidR="00184B6F">
        <w:rPr>
          <w:noProof/>
        </w:rPr>
        <w:t>Banikazemi, M. et al. 2007</w:t>
      </w:r>
      <w:r w:rsidR="00BD4A3A">
        <w:rPr>
          <w:noProof/>
        </w:rPr>
        <w:t xml:space="preserve">; </w:t>
      </w:r>
      <w:r w:rsidR="00184B6F">
        <w:rPr>
          <w:noProof/>
        </w:rPr>
        <w:t>Eng et al. 2001</w:t>
      </w:r>
      <w:r w:rsidR="00BD4A3A">
        <w:rPr>
          <w:noProof/>
        </w:rPr>
        <w:t>)</w:t>
      </w:r>
      <w:r w:rsidRPr="000756DF">
        <w:t xml:space="preserve"> </w:t>
      </w:r>
      <w:r w:rsidR="00FE3A67" w:rsidRPr="000756DF">
        <w:t xml:space="preserve">at </w:t>
      </w:r>
      <w:r w:rsidR="00FE3A67">
        <w:t>different</w:t>
      </w:r>
      <w:r w:rsidRPr="000756DF">
        <w:t xml:space="preserve"> time points (3 to 6 months, and 24 months) and the results were analysed together here. Rigors were 16 times more likely to occur in the patients randomised to </w:t>
      </w:r>
      <w:r w:rsidRPr="000756DF">
        <w:lastRenderedPageBreak/>
        <w:t>agalsidase beta than those in the placebo group (40% versus 1.7%, RR 16.12, 95%CI 3.35 to 77.95). Fever was another adverse event assessed in two RCTs at different time points. When assessed together it was found that fever was 7.84 times more likely to occur in the agalsidase group than the placebo group (26.6% versus 3.3%, RR 3.04, 95%CI 1.88 to 32.68)</w:t>
      </w:r>
      <w:r>
        <w:t xml:space="preserve"> (GRADE </w:t>
      </w:r>
      <w:r w:rsidRPr="00D4733A">
        <w:rPr>
          <w:rFonts w:ascii="Cambria Math" w:hAnsi="Cambria Math"/>
          <w:color w:val="00B050"/>
        </w:rPr>
        <w:t>⨁⨁</w:t>
      </w:r>
      <w:r w:rsidRPr="00D4733A">
        <w:rPr>
          <w:rFonts w:ascii="Cambria Math" w:hAnsi="Cambria Math"/>
          <w:color w:val="C00000"/>
        </w:rPr>
        <w:t>⨀⨀</w:t>
      </w:r>
      <w:r>
        <w:t>)</w:t>
      </w:r>
      <w:r w:rsidRPr="000756DF">
        <w:t>. Temperature changed sensation (reported in Banikazemi 2007) and chills (reported in Eng 2001) were also more likely to occur in the patients who received the drug (respectively 9.8% versus 3.2%, RR 3.04, 95%CI 0.37 to 24.82; 13.8% versus 0%, RR 9.00, 95%CI 0.51 to 159.94)</w:t>
      </w:r>
      <w:r>
        <w:t xml:space="preserve"> (GRADE </w:t>
      </w:r>
      <w:r w:rsidRPr="00D4733A">
        <w:rPr>
          <w:rFonts w:ascii="Cambria Math" w:hAnsi="Cambria Math"/>
          <w:color w:val="00B050"/>
        </w:rPr>
        <w:t>⨁⨁</w:t>
      </w:r>
      <w:r w:rsidRPr="00D4733A">
        <w:rPr>
          <w:rFonts w:ascii="Cambria Math" w:hAnsi="Cambria Math"/>
          <w:color w:val="C00000"/>
        </w:rPr>
        <w:t>⨀⨀</w:t>
      </w:r>
      <w:r>
        <w:t>)</w:t>
      </w:r>
      <w:r w:rsidRPr="000756DF">
        <w:t>.</w:t>
      </w:r>
    </w:p>
    <w:p w:rsidR="001C3FAF" w:rsidRDefault="001C3FAF" w:rsidP="001C3FAF">
      <w:pPr>
        <w:pStyle w:val="Caption"/>
        <w:keepNext/>
        <w:tabs>
          <w:tab w:val="clear" w:pos="851"/>
          <w:tab w:val="left" w:pos="1134"/>
        </w:tabs>
        <w:ind w:left="1134" w:hanging="1134"/>
      </w:pPr>
      <w:bookmarkStart w:id="222" w:name="_Ref405842232"/>
      <w:bookmarkStart w:id="223" w:name="_Toc405361938"/>
      <w:bookmarkStart w:id="224" w:name="_Toc411510424"/>
      <w:bookmarkStart w:id="225" w:name="_Toc415141839"/>
      <w:r w:rsidRPr="00305731">
        <w:lastRenderedPageBreak/>
        <w:t xml:space="preserve">Table </w:t>
      </w:r>
      <w:r w:rsidR="00A72B26">
        <w:rPr>
          <w:noProof/>
        </w:rPr>
        <w:t>42</w:t>
      </w:r>
      <w:bookmarkEnd w:id="222"/>
      <w:r w:rsidRPr="00305731">
        <w:t xml:space="preserve"> </w:t>
      </w:r>
      <w:r>
        <w:tab/>
      </w:r>
      <w:r w:rsidRPr="00305731">
        <w:t xml:space="preserve">Adverse events (rigors, fever, temperature changed sensation and chills) for Fabry patients randomised to </w:t>
      </w:r>
      <w:r>
        <w:t>receive</w:t>
      </w:r>
      <w:r w:rsidRPr="00305731">
        <w:t xml:space="preserve"> agalsidase beta or placebo </w:t>
      </w:r>
      <w:bookmarkEnd w:id="223"/>
      <w:r w:rsidR="00E83918">
        <w:rPr>
          <w:noProof/>
        </w:rPr>
        <w:t>(</w:t>
      </w:r>
      <w:r w:rsidR="00184B6F">
        <w:rPr>
          <w:noProof/>
        </w:rPr>
        <w:t>El Dib, R P, Nascimento &amp; Pastores 2013</w:t>
      </w:r>
      <w:r w:rsidR="00E83918">
        <w:rPr>
          <w:noProof/>
        </w:rPr>
        <w:t>)</w:t>
      </w:r>
      <w:bookmarkEnd w:id="224"/>
      <w:bookmarkEnd w:id="225"/>
    </w:p>
    <w:tbl>
      <w:tblPr>
        <w:tblW w:w="0" w:type="auto"/>
        <w:tblCellMar>
          <w:top w:w="75" w:type="dxa"/>
          <w:left w:w="75" w:type="dxa"/>
          <w:bottom w:w="75" w:type="dxa"/>
          <w:right w:w="75" w:type="dxa"/>
        </w:tblCellMar>
        <w:tblLook w:val="04A0" w:firstRow="1" w:lastRow="0" w:firstColumn="1" w:lastColumn="0" w:noHBand="0" w:noVBand="1"/>
        <w:tblCaption w:val="Table 40  Adverse events (rigors, fever, temperature changed sensation and chills) for Fabry patients randomised to receive agalsidase beta or placebo (El Dib, R P, Nascimento &amp; Pastores 2013)"/>
      </w:tblPr>
      <w:tblGrid>
        <w:gridCol w:w="2148"/>
        <w:gridCol w:w="1237"/>
        <w:gridCol w:w="1252"/>
        <w:gridCol w:w="973"/>
        <w:gridCol w:w="1808"/>
        <w:gridCol w:w="1758"/>
      </w:tblGrid>
      <w:tr w:rsidR="007F6EF9" w:rsidRPr="001E2881" w:rsidTr="00B37104">
        <w:trPr>
          <w:trHeight w:val="1056"/>
          <w:tblHeader/>
        </w:trPr>
        <w:tc>
          <w:tcPr>
            <w:tcW w:w="0" w:type="auto"/>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0" w:type="auto"/>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0" w:type="auto"/>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0" w:type="auto"/>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Relative effect</w:t>
            </w:r>
            <w:r w:rsidRPr="00CB33FA">
              <w:rPr>
                <w:rFonts w:ascii="Arial Narrow" w:hAnsi="Arial Narrow"/>
                <w:b/>
                <w:bCs/>
                <w:color w:val="FFFFFF"/>
                <w:sz w:val="20"/>
                <w:szCs w:val="20"/>
                <w:lang w:eastAsia="en-AU"/>
              </w:rPr>
              <w:br/>
              <w:t>(95% CI)</w:t>
            </w:r>
          </w:p>
        </w:tc>
        <w:tc>
          <w:tcPr>
            <w:tcW w:w="0" w:type="auto"/>
            <w:tcBorders>
              <w:top w:val="single" w:sz="12" w:space="0" w:color="000000"/>
              <w:left w:val="nil"/>
            </w:tcBorders>
            <w:shd w:val="clear" w:color="auto" w:fill="D3D3D3"/>
            <w:hideMark/>
          </w:tcPr>
          <w:p w:rsidR="007F6EF9" w:rsidRPr="00CB33FA" w:rsidRDefault="007F6EF9" w:rsidP="007F6EF9">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Supportive care plus placebo</w:t>
            </w:r>
          </w:p>
        </w:tc>
        <w:tc>
          <w:tcPr>
            <w:tcW w:w="0" w:type="auto"/>
            <w:tcBorders>
              <w:top w:val="single" w:sz="12" w:space="0" w:color="000000"/>
              <w:left w:val="nil"/>
              <w:right w:val="nil"/>
            </w:tcBorders>
            <w:shd w:val="clear" w:color="auto" w:fill="D3D3D3"/>
          </w:tcPr>
          <w:p w:rsidR="007F6EF9" w:rsidRPr="00CB33FA" w:rsidRDefault="007F6EF9" w:rsidP="007F6EF9">
            <w:pPr>
              <w:keepNext/>
              <w:spacing w:after="0"/>
              <w:jc w:val="left"/>
              <w:rPr>
                <w:rFonts w:ascii="Arial Narrow" w:hAnsi="Arial Narrow"/>
                <w:b/>
                <w:bCs/>
                <w:color w:val="D9D9D9" w:themeColor="background1" w:themeShade="D9"/>
                <w:sz w:val="20"/>
                <w:szCs w:val="20"/>
                <w:lang w:eastAsia="en-AU"/>
              </w:rPr>
            </w:pPr>
            <w:r w:rsidRPr="00CB33FA">
              <w:rPr>
                <w:rFonts w:ascii="Arial Narrow" w:hAnsi="Arial Narrow"/>
                <w:b/>
                <w:bCs/>
                <w:color w:val="D9D9D9" w:themeColor="background1" w:themeShade="D9"/>
                <w:sz w:val="20"/>
                <w:szCs w:val="20"/>
                <w:lang w:eastAsia="en-AU"/>
              </w:rPr>
              <w:t>-</w:t>
            </w:r>
            <w:r w:rsidRPr="00CB33FA">
              <w:rPr>
                <w:rFonts w:ascii="Arial Narrow" w:hAnsi="Arial Narrow"/>
                <w:b/>
                <w:bCs/>
                <w:color w:val="000000"/>
                <w:sz w:val="20"/>
                <w:szCs w:val="20"/>
                <w:lang w:eastAsia="en-AU"/>
              </w:rPr>
              <w:t>Risk difference with Agalsidase beta</w:t>
            </w:r>
          </w:p>
        </w:tc>
      </w:tr>
      <w:tr w:rsidR="00265DB9" w:rsidRPr="001E2881" w:rsidTr="007F6EF9">
        <w:trPr>
          <w:trHeight w:val="1032"/>
        </w:trPr>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Rigors</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3 to 6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58</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265DB9" w:rsidRPr="00CB33FA">
              <w:rPr>
                <w:rFonts w:ascii="Arial Narrow" w:hAnsi="Arial Narrow"/>
                <w:color w:val="000000"/>
                <w:sz w:val="20"/>
                <w:szCs w:val="20"/>
                <w:lang w:eastAsia="en-AU"/>
              </w:rPr>
              <w:br/>
              <w:t xml:space="preserve">LOW </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1</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29</w:t>
            </w:r>
            <w:r w:rsidRPr="00CB33FA">
              <w:rPr>
                <w:rFonts w:ascii="Arial Narrow" w:hAnsi="Arial Narrow"/>
                <w:color w:val="000000"/>
                <w:sz w:val="20"/>
                <w:szCs w:val="20"/>
                <w:lang w:eastAsia="en-AU"/>
              </w:rPr>
              <w:br/>
              <w:t xml:space="preserve">(1.81 to 464.38) </w:t>
            </w:r>
          </w:p>
        </w:tc>
        <w:tc>
          <w:tcPr>
            <w:tcW w:w="0" w:type="auto"/>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0 per 1000 </w:t>
            </w:r>
          </w:p>
        </w:tc>
        <w:tc>
          <w:tcPr>
            <w:tcW w:w="0" w:type="auto"/>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483 more per 1000</w:t>
            </w:r>
            <w:r w:rsidRPr="00CB33FA">
              <w:rPr>
                <w:rFonts w:ascii="Arial Narrow" w:hAnsi="Arial Narrow"/>
                <w:color w:val="000000"/>
                <w:sz w:val="20"/>
                <w:szCs w:val="20"/>
                <w:lang w:eastAsia="en-AU"/>
              </w:rPr>
              <w:br/>
              <w:t xml:space="preserve">(301 fewer to 667 more) </w:t>
            </w:r>
          </w:p>
        </w:tc>
      </w:tr>
      <w:tr w:rsidR="00265DB9" w:rsidRPr="001E2881" w:rsidTr="007F6EF9">
        <w:trPr>
          <w:trHeight w:val="964"/>
        </w:trPr>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Rigors</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24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82</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00265DB9" w:rsidRPr="00CB33FA">
              <w:rPr>
                <w:rFonts w:ascii="Arial Narrow" w:hAnsi="Arial Narrow"/>
                <w:color w:val="000000"/>
                <w:sz w:val="20"/>
                <w:szCs w:val="20"/>
                <w:lang w:eastAsia="en-AU"/>
              </w:rPr>
              <w:br/>
              <w:t xml:space="preserve">HIGH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10.94</w:t>
            </w:r>
            <w:r w:rsidRPr="00CB33FA">
              <w:rPr>
                <w:rFonts w:ascii="Arial Narrow" w:hAnsi="Arial Narrow"/>
                <w:color w:val="000000"/>
                <w:sz w:val="20"/>
                <w:szCs w:val="20"/>
                <w:lang w:eastAsia="en-AU"/>
              </w:rPr>
              <w:br/>
              <w:t xml:space="preserve">(1.54 to 77.95) </w:t>
            </w:r>
          </w:p>
        </w:tc>
        <w:tc>
          <w:tcPr>
            <w:tcW w:w="0" w:type="auto"/>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32 per 1000 </w:t>
            </w:r>
          </w:p>
        </w:tc>
        <w:tc>
          <w:tcPr>
            <w:tcW w:w="0" w:type="auto"/>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321 more per 1000</w:t>
            </w:r>
            <w:r w:rsidRPr="00CB33FA">
              <w:rPr>
                <w:rFonts w:ascii="Arial Narrow" w:hAnsi="Arial Narrow"/>
                <w:color w:val="000000"/>
                <w:sz w:val="20"/>
                <w:szCs w:val="20"/>
                <w:lang w:eastAsia="en-AU"/>
              </w:rPr>
              <w:br/>
              <w:t xml:space="preserve">(175 more to 466 more) </w:t>
            </w:r>
          </w:p>
        </w:tc>
      </w:tr>
      <w:tr w:rsidR="00265DB9" w:rsidRPr="001E2881" w:rsidTr="007F6EF9">
        <w:trPr>
          <w:trHeight w:val="952"/>
        </w:trPr>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Rigors, Total</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3 to 24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140</w:t>
            </w:r>
            <w:r w:rsidRPr="00CB33FA">
              <w:rPr>
                <w:rFonts w:ascii="Arial Narrow" w:hAnsi="Arial Narrow"/>
                <w:color w:val="000000"/>
                <w:sz w:val="20"/>
                <w:szCs w:val="20"/>
                <w:lang w:eastAsia="en-AU"/>
              </w:rPr>
              <w:br/>
              <w:t>(2 RCTs)</w:t>
            </w:r>
            <w:r w:rsidRPr="00CB33FA">
              <w:rPr>
                <w:rFonts w:ascii="Arial Narrow" w:hAnsi="Arial Narrow"/>
                <w:color w:val="000000"/>
                <w:sz w:val="20"/>
                <w:szCs w:val="20"/>
                <w:lang w:eastAsia="en-AU"/>
              </w:rPr>
              <w:br/>
              <w:t xml:space="preserve">3 to 24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265DB9" w:rsidRPr="00CB33FA">
              <w:rPr>
                <w:rFonts w:ascii="Arial Narrow" w:hAnsi="Arial Narrow"/>
                <w:color w:val="000000"/>
                <w:sz w:val="20"/>
                <w:szCs w:val="20"/>
                <w:lang w:eastAsia="en-AU"/>
              </w:rPr>
              <w:br/>
              <w:t xml:space="preserve">LOW </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1</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16.12</w:t>
            </w:r>
            <w:r w:rsidRPr="00CB33FA">
              <w:rPr>
                <w:rFonts w:ascii="Arial Narrow" w:hAnsi="Arial Narrow"/>
                <w:color w:val="000000"/>
                <w:sz w:val="20"/>
                <w:szCs w:val="20"/>
                <w:lang w:eastAsia="en-AU"/>
              </w:rPr>
              <w:br/>
              <w:t xml:space="preserve">(3.35 to 77.58) </w:t>
            </w:r>
          </w:p>
        </w:tc>
        <w:tc>
          <w:tcPr>
            <w:tcW w:w="0" w:type="auto"/>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17 per 1000 </w:t>
            </w:r>
          </w:p>
        </w:tc>
        <w:tc>
          <w:tcPr>
            <w:tcW w:w="0" w:type="auto"/>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252 more per 1000</w:t>
            </w:r>
            <w:r w:rsidRPr="00CB33FA">
              <w:rPr>
                <w:rFonts w:ascii="Arial Narrow" w:hAnsi="Arial Narrow"/>
                <w:color w:val="000000"/>
                <w:sz w:val="20"/>
                <w:szCs w:val="20"/>
                <w:lang w:eastAsia="en-AU"/>
              </w:rPr>
              <w:br/>
              <w:t xml:space="preserve">(390 more to 12760 more) </w:t>
            </w:r>
          </w:p>
        </w:tc>
      </w:tr>
      <w:tr w:rsidR="00265DB9" w:rsidRPr="001E2881" w:rsidTr="007F6EF9">
        <w:trPr>
          <w:trHeight w:val="982"/>
        </w:trPr>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Fever</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3 to 6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58</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265DB9" w:rsidRPr="00CB33FA">
              <w:rPr>
                <w:rFonts w:ascii="Arial Narrow" w:hAnsi="Arial Narrow"/>
                <w:color w:val="000000"/>
                <w:sz w:val="20"/>
                <w:szCs w:val="20"/>
                <w:lang w:eastAsia="en-AU"/>
              </w:rPr>
              <w:br/>
              <w:t xml:space="preserve">LOW </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1</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7</w:t>
            </w:r>
            <w:r w:rsidRPr="00CB33FA">
              <w:rPr>
                <w:rFonts w:ascii="Arial Narrow" w:hAnsi="Arial Narrow"/>
                <w:color w:val="000000"/>
                <w:sz w:val="20"/>
                <w:szCs w:val="20"/>
                <w:lang w:eastAsia="en-AU"/>
              </w:rPr>
              <w:br/>
              <w:t xml:space="preserve">(0.92 to 53.36) </w:t>
            </w:r>
          </w:p>
        </w:tc>
        <w:tc>
          <w:tcPr>
            <w:tcW w:w="0" w:type="auto"/>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34 per 1000 </w:t>
            </w:r>
          </w:p>
        </w:tc>
        <w:tc>
          <w:tcPr>
            <w:tcW w:w="0" w:type="auto"/>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207 more per 1000</w:t>
            </w:r>
            <w:r w:rsidRPr="00CB33FA">
              <w:rPr>
                <w:rFonts w:ascii="Arial Narrow" w:hAnsi="Arial Narrow"/>
                <w:color w:val="000000"/>
                <w:sz w:val="20"/>
                <w:szCs w:val="20"/>
                <w:lang w:eastAsia="en-AU"/>
              </w:rPr>
              <w:br/>
              <w:t xml:space="preserve">(38 more to 376 more) </w:t>
            </w:r>
          </w:p>
        </w:tc>
      </w:tr>
      <w:tr w:rsidR="00265DB9" w:rsidRPr="001E2881" w:rsidTr="007F6EF9">
        <w:trPr>
          <w:trHeight w:val="970"/>
        </w:trPr>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Fever</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24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82</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00265DB9" w:rsidRPr="00CB33FA">
              <w:rPr>
                <w:rFonts w:ascii="Arial Narrow" w:hAnsi="Arial Narrow"/>
                <w:color w:val="000000"/>
                <w:sz w:val="20"/>
                <w:szCs w:val="20"/>
                <w:lang w:eastAsia="en-AU"/>
              </w:rPr>
              <w:br/>
              <w:t xml:space="preserve">HIGH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8.51</w:t>
            </w:r>
            <w:r w:rsidRPr="00CB33FA">
              <w:rPr>
                <w:rFonts w:ascii="Arial Narrow" w:hAnsi="Arial Narrow"/>
                <w:color w:val="000000"/>
                <w:sz w:val="20"/>
                <w:szCs w:val="20"/>
                <w:lang w:eastAsia="en-AU"/>
              </w:rPr>
              <w:br/>
              <w:t xml:space="preserve">(1.18 to 61.58) </w:t>
            </w:r>
          </w:p>
        </w:tc>
        <w:tc>
          <w:tcPr>
            <w:tcW w:w="0" w:type="auto"/>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32 per 1000 </w:t>
            </w:r>
          </w:p>
        </w:tc>
        <w:tc>
          <w:tcPr>
            <w:tcW w:w="0" w:type="auto"/>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242 more per 1000</w:t>
            </w:r>
            <w:r w:rsidRPr="00CB33FA">
              <w:rPr>
                <w:rFonts w:ascii="Arial Narrow" w:hAnsi="Arial Narrow"/>
                <w:color w:val="000000"/>
                <w:sz w:val="20"/>
                <w:szCs w:val="20"/>
                <w:lang w:eastAsia="en-AU"/>
              </w:rPr>
              <w:br/>
              <w:t xml:space="preserve">(105 more to 380 more) </w:t>
            </w:r>
          </w:p>
        </w:tc>
      </w:tr>
      <w:tr w:rsidR="00265DB9" w:rsidRPr="001E2881" w:rsidTr="007F6EF9">
        <w:trPr>
          <w:trHeight w:val="972"/>
        </w:trPr>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Fever</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3 to 24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140</w:t>
            </w:r>
            <w:r w:rsidRPr="00CB33FA">
              <w:rPr>
                <w:rFonts w:ascii="Arial Narrow" w:hAnsi="Arial Narrow"/>
                <w:color w:val="000000"/>
                <w:sz w:val="20"/>
                <w:szCs w:val="20"/>
                <w:lang w:eastAsia="en-AU"/>
              </w:rPr>
              <w:br/>
              <w:t>(2 RCTs)</w:t>
            </w:r>
            <w:r w:rsidRPr="00CB33FA">
              <w:rPr>
                <w:rFonts w:ascii="Arial Narrow" w:hAnsi="Arial Narrow"/>
                <w:color w:val="000000"/>
                <w:sz w:val="20"/>
                <w:szCs w:val="20"/>
                <w:lang w:eastAsia="en-AU"/>
              </w:rPr>
              <w:br/>
              <w:t xml:space="preserve">3 to 24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265DB9" w:rsidRPr="00CB33FA">
              <w:rPr>
                <w:rFonts w:ascii="Arial Narrow" w:hAnsi="Arial Narrow"/>
                <w:color w:val="000000"/>
                <w:sz w:val="20"/>
                <w:szCs w:val="20"/>
                <w:lang w:eastAsia="en-AU"/>
              </w:rPr>
              <w:br/>
              <w:t xml:space="preserve">LOW </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1</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7.84</w:t>
            </w:r>
            <w:r w:rsidRPr="00CB33FA">
              <w:rPr>
                <w:rFonts w:ascii="Arial Narrow" w:hAnsi="Arial Narrow"/>
                <w:color w:val="000000"/>
                <w:sz w:val="20"/>
                <w:szCs w:val="20"/>
                <w:lang w:eastAsia="en-AU"/>
              </w:rPr>
              <w:br/>
              <w:t xml:space="preserve">(1.88 to 32.68) </w:t>
            </w:r>
          </w:p>
        </w:tc>
        <w:tc>
          <w:tcPr>
            <w:tcW w:w="0" w:type="auto"/>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33 per 1000 </w:t>
            </w:r>
          </w:p>
        </w:tc>
        <w:tc>
          <w:tcPr>
            <w:tcW w:w="0" w:type="auto"/>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228 more per 1000</w:t>
            </w:r>
            <w:r w:rsidRPr="00CB33FA">
              <w:rPr>
                <w:rFonts w:ascii="Arial Narrow" w:hAnsi="Arial Narrow"/>
                <w:color w:val="000000"/>
                <w:sz w:val="20"/>
                <w:szCs w:val="20"/>
                <w:lang w:eastAsia="en-AU"/>
              </w:rPr>
              <w:br/>
              <w:t xml:space="preserve">(290 more to 10560 more) </w:t>
            </w:r>
          </w:p>
        </w:tc>
      </w:tr>
      <w:tr w:rsidR="00265DB9" w:rsidRPr="001E2881" w:rsidTr="007F6EF9">
        <w:trPr>
          <w:trHeight w:val="1102"/>
        </w:trPr>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Temperature changed sensation</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24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82</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00265DB9" w:rsidRPr="00CB33FA">
              <w:rPr>
                <w:rFonts w:ascii="Arial Narrow" w:hAnsi="Arial Narrow"/>
                <w:color w:val="000000"/>
                <w:sz w:val="20"/>
                <w:szCs w:val="20"/>
                <w:lang w:eastAsia="en-AU"/>
              </w:rPr>
              <w:br/>
              <w:t xml:space="preserve">HIGH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3.04</w:t>
            </w:r>
            <w:r w:rsidRPr="00CB33FA">
              <w:rPr>
                <w:rFonts w:ascii="Arial Narrow" w:hAnsi="Arial Narrow"/>
                <w:color w:val="000000"/>
                <w:sz w:val="20"/>
                <w:szCs w:val="20"/>
                <w:lang w:eastAsia="en-AU"/>
              </w:rPr>
              <w:br/>
              <w:t xml:space="preserve">(0.37 to 24.82) </w:t>
            </w:r>
          </w:p>
        </w:tc>
        <w:tc>
          <w:tcPr>
            <w:tcW w:w="0" w:type="auto"/>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32 per 1000 </w:t>
            </w:r>
          </w:p>
        </w:tc>
        <w:tc>
          <w:tcPr>
            <w:tcW w:w="0" w:type="auto"/>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66 more per 1000</w:t>
            </w:r>
            <w:r w:rsidRPr="00CB33FA">
              <w:rPr>
                <w:rFonts w:ascii="Arial Narrow" w:hAnsi="Arial Narrow"/>
                <w:color w:val="000000"/>
                <w:sz w:val="20"/>
                <w:szCs w:val="20"/>
                <w:lang w:eastAsia="en-AU"/>
              </w:rPr>
              <w:br/>
              <w:t xml:space="preserve">(37 fewer to 168 more) </w:t>
            </w:r>
          </w:p>
        </w:tc>
      </w:tr>
      <w:tr w:rsidR="00265DB9" w:rsidRPr="001E2881" w:rsidTr="00AA34FC">
        <w:trPr>
          <w:trHeight w:val="1119"/>
        </w:trPr>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Chills</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3 to 6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58</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265DB9" w:rsidRPr="00CB33FA">
              <w:rPr>
                <w:rFonts w:ascii="Arial Narrow" w:hAnsi="Arial Narrow"/>
                <w:color w:val="000000"/>
                <w:sz w:val="20"/>
                <w:szCs w:val="20"/>
                <w:lang w:eastAsia="en-AU"/>
              </w:rPr>
              <w:br/>
              <w:t xml:space="preserve">LOW </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1</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9</w:t>
            </w:r>
            <w:r w:rsidRPr="00CB33FA">
              <w:rPr>
                <w:rFonts w:ascii="Arial Narrow" w:hAnsi="Arial Narrow"/>
                <w:color w:val="000000"/>
                <w:sz w:val="20"/>
                <w:szCs w:val="20"/>
                <w:lang w:eastAsia="en-AU"/>
              </w:rPr>
              <w:br/>
              <w:t xml:space="preserve">(0.51 to 159.94) </w:t>
            </w:r>
          </w:p>
        </w:tc>
        <w:tc>
          <w:tcPr>
            <w:tcW w:w="0" w:type="auto"/>
            <w:tcBorders>
              <w:top w:val="single" w:sz="6" w:space="0" w:color="000000"/>
              <w:left w:val="nil"/>
              <w:bottom w:val="single" w:sz="4" w:space="0" w:color="auto"/>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0 per 1000 </w:t>
            </w:r>
          </w:p>
        </w:tc>
        <w:tc>
          <w:tcPr>
            <w:tcW w:w="0" w:type="auto"/>
            <w:tcBorders>
              <w:top w:val="single" w:sz="6" w:space="0" w:color="000000"/>
              <w:left w:val="nil"/>
              <w:bottom w:val="single" w:sz="4" w:space="0" w:color="auto"/>
              <w:righ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138 more per 1000</w:t>
            </w:r>
            <w:r w:rsidRPr="00CB33FA">
              <w:rPr>
                <w:rFonts w:ascii="Arial Narrow" w:hAnsi="Arial Narrow"/>
                <w:color w:val="000000"/>
                <w:sz w:val="20"/>
                <w:szCs w:val="20"/>
                <w:lang w:eastAsia="en-AU"/>
              </w:rPr>
              <w:br/>
              <w:t xml:space="preserve">(12 more to 263 more) </w:t>
            </w:r>
          </w:p>
        </w:tc>
      </w:tr>
    </w:tbl>
    <w:p w:rsidR="001638C1" w:rsidRDefault="007F6EF9" w:rsidP="007F6EF9">
      <w:pPr>
        <w:pStyle w:val="TableNote"/>
        <w:rPr>
          <w:lang w:val="en"/>
        </w:rPr>
      </w:pPr>
      <w:bookmarkStart w:id="226" w:name="_Ref405842238"/>
      <w:bookmarkStart w:id="227" w:name="_Toc405361939"/>
      <w:r w:rsidRPr="00DC17CA">
        <w:rPr>
          <w:lang w:val="en"/>
        </w:rPr>
        <w:t xml:space="preserve">CI </w:t>
      </w:r>
      <w:r w:rsidRPr="00DC17CA">
        <w:rPr>
          <w:spacing w:val="-20"/>
          <w:lang w:val="en"/>
        </w:rPr>
        <w:t>=</w:t>
      </w:r>
      <w:r w:rsidR="001B5185">
        <w:rPr>
          <w:lang w:val="en"/>
        </w:rPr>
        <w:t xml:space="preserve"> confidence interval; RCT</w:t>
      </w:r>
      <w:r w:rsidRPr="001E2881">
        <w:rPr>
          <w:spacing w:val="-20"/>
          <w:lang w:val="en"/>
        </w:rPr>
        <w:t xml:space="preserve"> = </w:t>
      </w:r>
      <w:r w:rsidR="001B5185">
        <w:rPr>
          <w:lang w:val="en"/>
        </w:rPr>
        <w:t>randomised controlled trial; RR</w:t>
      </w:r>
      <w:r w:rsidRPr="001E2881">
        <w:rPr>
          <w:spacing w:val="-20"/>
          <w:lang w:val="en"/>
        </w:rPr>
        <w:t xml:space="preserve"> =</w:t>
      </w:r>
      <w:r w:rsidRPr="001E2881">
        <w:rPr>
          <w:lang w:val="en"/>
        </w:rPr>
        <w:t xml:space="preserve"> relative risk; risk difference calculated using STATA</w:t>
      </w:r>
    </w:p>
    <w:p w:rsidR="007F6EF9" w:rsidRPr="007F6EF9" w:rsidRDefault="007F6EF9" w:rsidP="007F6EF9">
      <w:pPr>
        <w:pStyle w:val="TableNote"/>
        <w:rPr>
          <w:lang w:val="en"/>
        </w:rPr>
      </w:pPr>
      <w:r>
        <w:rPr>
          <w:color w:val="000000"/>
        </w:rPr>
        <w:t xml:space="preserve">1. </w:t>
      </w:r>
      <w:r w:rsidRPr="00CB33FA">
        <w:rPr>
          <w:color w:val="000000"/>
        </w:rPr>
        <w:t>Possible conflict of interest</w:t>
      </w:r>
    </w:p>
    <w:p w:rsidR="001C3FAF" w:rsidRDefault="001C3FAF" w:rsidP="001C3FAF">
      <w:pPr>
        <w:pStyle w:val="Caption"/>
        <w:keepNext/>
        <w:tabs>
          <w:tab w:val="clear" w:pos="851"/>
          <w:tab w:val="left" w:pos="1134"/>
        </w:tabs>
        <w:ind w:left="1134" w:hanging="1134"/>
      </w:pPr>
      <w:bookmarkStart w:id="228" w:name="_Ref409624169"/>
      <w:bookmarkStart w:id="229" w:name="_Toc411510425"/>
      <w:bookmarkStart w:id="230" w:name="_Toc415141840"/>
      <w:r w:rsidRPr="00305731">
        <w:lastRenderedPageBreak/>
        <w:t xml:space="preserve">Table </w:t>
      </w:r>
      <w:r w:rsidR="00A72B26">
        <w:rPr>
          <w:noProof/>
        </w:rPr>
        <w:t>43</w:t>
      </w:r>
      <w:bookmarkEnd w:id="226"/>
      <w:bookmarkEnd w:id="228"/>
      <w:r w:rsidRPr="00305731">
        <w:t xml:space="preserve"> </w:t>
      </w:r>
      <w:r>
        <w:tab/>
      </w:r>
      <w:r w:rsidRPr="00305731">
        <w:t xml:space="preserve">Adverse events (hypertension, vomiting, chest pain, fatigue, headache and pain related to Fabry disease) in Fabry patients randomised to </w:t>
      </w:r>
      <w:r>
        <w:t>receive</w:t>
      </w:r>
      <w:r w:rsidRPr="00305731">
        <w:t xml:space="preserve"> either agalsidase beta or placebo </w:t>
      </w:r>
      <w:bookmarkEnd w:id="227"/>
      <w:r w:rsidR="00E83918">
        <w:rPr>
          <w:noProof/>
        </w:rPr>
        <w:t>(</w:t>
      </w:r>
      <w:r w:rsidR="00184B6F">
        <w:rPr>
          <w:noProof/>
        </w:rPr>
        <w:t>El Dib, R P, Nascimento &amp; Pastores 2013</w:t>
      </w:r>
      <w:r w:rsidR="00E83918">
        <w:rPr>
          <w:noProof/>
        </w:rPr>
        <w:t>)</w:t>
      </w:r>
      <w:bookmarkEnd w:id="229"/>
      <w:bookmarkEnd w:id="230"/>
    </w:p>
    <w:tbl>
      <w:tblPr>
        <w:tblW w:w="0" w:type="auto"/>
        <w:tblCellMar>
          <w:top w:w="75" w:type="dxa"/>
          <w:left w:w="75" w:type="dxa"/>
          <w:bottom w:w="75" w:type="dxa"/>
          <w:right w:w="75" w:type="dxa"/>
        </w:tblCellMar>
        <w:tblLook w:val="04A0" w:firstRow="1" w:lastRow="0" w:firstColumn="1" w:lastColumn="0" w:noHBand="0" w:noVBand="1"/>
        <w:tblCaption w:val="Table 41  Adverse events (hypertension, vomiting, chest pain, fatigue, headache and pain related to Fabry disease) in Fabry patients randomised to receive either agalsidase beta or placebo (El Dib, R P, Nascimento &amp; Pastores 2013)"/>
      </w:tblPr>
      <w:tblGrid>
        <w:gridCol w:w="2116"/>
        <w:gridCol w:w="1240"/>
        <w:gridCol w:w="1261"/>
        <w:gridCol w:w="977"/>
        <w:gridCol w:w="1827"/>
        <w:gridCol w:w="1755"/>
      </w:tblGrid>
      <w:tr w:rsidR="007F6EF9" w:rsidRPr="001E2881" w:rsidTr="00B37104">
        <w:trPr>
          <w:trHeight w:val="1056"/>
          <w:tblHeader/>
        </w:trPr>
        <w:tc>
          <w:tcPr>
            <w:tcW w:w="0" w:type="auto"/>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0" w:type="auto"/>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0" w:type="auto"/>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0" w:type="auto"/>
            <w:tcBorders>
              <w:top w:val="single" w:sz="12" w:space="0" w:color="000000"/>
              <w:left w:val="nil"/>
              <w:bottom w:val="single" w:sz="6" w:space="0" w:color="000000"/>
              <w:right w:val="nil"/>
            </w:tcBorders>
            <w:shd w:val="clear" w:color="auto" w:fill="3271AA"/>
            <w:hideMark/>
          </w:tcPr>
          <w:p w:rsidR="007F6EF9" w:rsidRPr="00CB33FA" w:rsidRDefault="007F6EF9" w:rsidP="007F6EF9">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Relative effect</w:t>
            </w:r>
            <w:r w:rsidRPr="00CB33FA">
              <w:rPr>
                <w:rFonts w:ascii="Arial Narrow" w:hAnsi="Arial Narrow"/>
                <w:b/>
                <w:bCs/>
                <w:color w:val="FFFFFF"/>
                <w:sz w:val="20"/>
                <w:szCs w:val="20"/>
                <w:lang w:eastAsia="en-AU"/>
              </w:rPr>
              <w:br/>
              <w:t>(95% CI)</w:t>
            </w:r>
          </w:p>
        </w:tc>
        <w:tc>
          <w:tcPr>
            <w:tcW w:w="0" w:type="auto"/>
            <w:tcBorders>
              <w:top w:val="single" w:sz="12" w:space="0" w:color="000000"/>
              <w:left w:val="nil"/>
            </w:tcBorders>
            <w:shd w:val="clear" w:color="auto" w:fill="D3D3D3"/>
          </w:tcPr>
          <w:p w:rsidR="007F6EF9" w:rsidRPr="00CB33FA" w:rsidRDefault="007F6EF9" w:rsidP="007F6EF9">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Supportive care plus placebo</w:t>
            </w:r>
          </w:p>
        </w:tc>
        <w:tc>
          <w:tcPr>
            <w:tcW w:w="0" w:type="auto"/>
            <w:tcBorders>
              <w:top w:val="single" w:sz="12" w:space="0" w:color="000000"/>
              <w:left w:val="nil"/>
              <w:right w:val="nil"/>
            </w:tcBorders>
            <w:shd w:val="clear" w:color="auto" w:fill="D9D9D9" w:themeFill="background1" w:themeFillShade="D9"/>
          </w:tcPr>
          <w:p w:rsidR="007F6EF9" w:rsidRPr="00CB33FA" w:rsidRDefault="007F6EF9" w:rsidP="007F6EF9">
            <w:pPr>
              <w:keepNext/>
              <w:spacing w:after="0"/>
              <w:jc w:val="left"/>
              <w:rPr>
                <w:rFonts w:ascii="Arial Narrow" w:hAnsi="Arial Narrow"/>
                <w:b/>
                <w:bCs/>
                <w:color w:val="D9D9D9" w:themeColor="background1" w:themeShade="D9"/>
                <w:sz w:val="20"/>
                <w:szCs w:val="20"/>
                <w:lang w:eastAsia="en-AU"/>
              </w:rPr>
            </w:pPr>
            <w:r w:rsidRPr="00CB33FA">
              <w:rPr>
                <w:rFonts w:ascii="Arial Narrow" w:hAnsi="Arial Narrow"/>
                <w:b/>
                <w:bCs/>
                <w:color w:val="000000"/>
                <w:sz w:val="20"/>
                <w:szCs w:val="20"/>
                <w:lang w:eastAsia="en-AU"/>
              </w:rPr>
              <w:t>Risk difference with Agalsidase beta</w:t>
            </w:r>
          </w:p>
        </w:tc>
      </w:tr>
      <w:tr w:rsidR="00265DB9" w:rsidRPr="001E2881" w:rsidTr="009A0365">
        <w:trPr>
          <w:trHeight w:val="1077"/>
        </w:trPr>
        <w:tc>
          <w:tcPr>
            <w:tcW w:w="0" w:type="auto"/>
            <w:tcBorders>
              <w:top w:val="single" w:sz="6" w:space="0" w:color="000000"/>
              <w:left w:val="nil"/>
              <w:bottom w:val="single" w:sz="6" w:space="0" w:color="000000"/>
              <w:right w:val="nil"/>
            </w:tcBorders>
            <w:hideMark/>
          </w:tcPr>
          <w:p w:rsidR="00265DB9" w:rsidRPr="00CB33FA" w:rsidRDefault="00265DB9" w:rsidP="009A0365">
            <w:pPr>
              <w:keepNext/>
              <w:spacing w:after="1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Hypertension</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3 to 6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58</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265DB9" w:rsidRPr="00CB33FA">
              <w:rPr>
                <w:rFonts w:ascii="Arial Narrow" w:hAnsi="Arial Narrow"/>
                <w:color w:val="000000"/>
                <w:sz w:val="20"/>
                <w:szCs w:val="20"/>
                <w:lang w:eastAsia="en-AU"/>
              </w:rPr>
              <w:br/>
              <w:t xml:space="preserve">LOW </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1</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7</w:t>
            </w:r>
            <w:r w:rsidRPr="00CB33FA">
              <w:rPr>
                <w:rFonts w:ascii="Arial Narrow" w:hAnsi="Arial Narrow"/>
                <w:color w:val="000000"/>
                <w:sz w:val="20"/>
                <w:szCs w:val="20"/>
                <w:lang w:eastAsia="en-AU"/>
              </w:rPr>
              <w:br/>
              <w:t xml:space="preserve">(0.38 to 129.74) </w:t>
            </w:r>
          </w:p>
        </w:tc>
        <w:tc>
          <w:tcPr>
            <w:tcW w:w="0" w:type="auto"/>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0 per 1000 </w:t>
            </w:r>
          </w:p>
        </w:tc>
        <w:tc>
          <w:tcPr>
            <w:tcW w:w="0" w:type="auto"/>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103 more per 1000</w:t>
            </w:r>
            <w:r w:rsidRPr="00CB33FA">
              <w:rPr>
                <w:rFonts w:ascii="Arial Narrow" w:hAnsi="Arial Narrow"/>
                <w:color w:val="000000"/>
                <w:sz w:val="20"/>
                <w:szCs w:val="20"/>
                <w:lang w:eastAsia="en-AU"/>
              </w:rPr>
              <w:br/>
              <w:t xml:space="preserve">(1 fewer to 380 more) </w:t>
            </w:r>
          </w:p>
        </w:tc>
      </w:tr>
      <w:tr w:rsidR="00265DB9" w:rsidRPr="001E2881" w:rsidTr="00AA34FC">
        <w:trPr>
          <w:trHeight w:val="1226"/>
        </w:trPr>
        <w:tc>
          <w:tcPr>
            <w:tcW w:w="0" w:type="auto"/>
            <w:tcBorders>
              <w:top w:val="single" w:sz="6" w:space="0" w:color="000000"/>
              <w:left w:val="nil"/>
              <w:bottom w:val="single" w:sz="6" w:space="0" w:color="000000"/>
              <w:right w:val="nil"/>
            </w:tcBorders>
            <w:hideMark/>
          </w:tcPr>
          <w:p w:rsidR="00265DB9" w:rsidRPr="00CB33FA" w:rsidRDefault="00265DB9" w:rsidP="009A0365">
            <w:pPr>
              <w:keepNext/>
              <w:spacing w:after="1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Hypertension</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24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82</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00265DB9" w:rsidRPr="00CB33FA">
              <w:rPr>
                <w:rFonts w:ascii="Arial Narrow" w:hAnsi="Arial Narrow"/>
                <w:color w:val="000000"/>
                <w:sz w:val="20"/>
                <w:szCs w:val="20"/>
                <w:lang w:eastAsia="en-AU"/>
              </w:rPr>
              <w:br/>
              <w:t xml:space="preserve">HIGH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2.13</w:t>
            </w:r>
            <w:r w:rsidRPr="00CB33FA">
              <w:rPr>
                <w:rFonts w:ascii="Arial Narrow" w:hAnsi="Arial Narrow"/>
                <w:color w:val="000000"/>
                <w:sz w:val="20"/>
                <w:szCs w:val="20"/>
                <w:lang w:eastAsia="en-AU"/>
              </w:rPr>
              <w:br/>
              <w:t xml:space="preserve">(0.47 to 9.6) </w:t>
            </w:r>
          </w:p>
        </w:tc>
        <w:tc>
          <w:tcPr>
            <w:tcW w:w="0" w:type="auto"/>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65 per 1000 </w:t>
            </w:r>
          </w:p>
        </w:tc>
        <w:tc>
          <w:tcPr>
            <w:tcW w:w="0" w:type="auto"/>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73 more per 1000</w:t>
            </w:r>
            <w:r w:rsidRPr="00CB33FA">
              <w:rPr>
                <w:rFonts w:ascii="Arial Narrow" w:hAnsi="Arial Narrow"/>
                <w:color w:val="000000"/>
                <w:sz w:val="20"/>
                <w:szCs w:val="20"/>
                <w:lang w:eastAsia="en-AU"/>
              </w:rPr>
              <w:br/>
              <w:t xml:space="preserve">(55 fewer to 201 more) </w:t>
            </w:r>
          </w:p>
        </w:tc>
      </w:tr>
      <w:tr w:rsidR="00265DB9" w:rsidRPr="001E2881" w:rsidTr="00AA34FC">
        <w:trPr>
          <w:trHeight w:val="1217"/>
        </w:trPr>
        <w:tc>
          <w:tcPr>
            <w:tcW w:w="0" w:type="auto"/>
            <w:tcBorders>
              <w:top w:val="single" w:sz="6" w:space="0" w:color="000000"/>
              <w:left w:val="nil"/>
              <w:bottom w:val="single" w:sz="6" w:space="0" w:color="000000"/>
              <w:right w:val="nil"/>
            </w:tcBorders>
            <w:hideMark/>
          </w:tcPr>
          <w:p w:rsidR="00265DB9" w:rsidRPr="00CB33FA" w:rsidRDefault="00265DB9" w:rsidP="009A0365">
            <w:pPr>
              <w:keepNext/>
              <w:spacing w:after="1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Hypertension</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3 to 24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140</w:t>
            </w:r>
            <w:r w:rsidRPr="00CB33FA">
              <w:rPr>
                <w:rFonts w:ascii="Arial Narrow" w:hAnsi="Arial Narrow"/>
                <w:color w:val="000000"/>
                <w:sz w:val="20"/>
                <w:szCs w:val="20"/>
                <w:lang w:eastAsia="en-AU"/>
              </w:rPr>
              <w:br/>
              <w:t>(2 RCTs)</w:t>
            </w:r>
            <w:r w:rsidRPr="00CB33FA">
              <w:rPr>
                <w:rFonts w:ascii="Arial Narrow" w:hAnsi="Arial Narrow"/>
                <w:color w:val="000000"/>
                <w:sz w:val="20"/>
                <w:szCs w:val="20"/>
                <w:lang w:eastAsia="en-AU"/>
              </w:rPr>
              <w:br/>
              <w:t xml:space="preserve">3 to 24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265DB9" w:rsidRPr="00CB33FA">
              <w:rPr>
                <w:rFonts w:ascii="Arial Narrow" w:hAnsi="Arial Narrow"/>
                <w:color w:val="000000"/>
                <w:sz w:val="20"/>
                <w:szCs w:val="20"/>
                <w:lang w:eastAsia="en-AU"/>
              </w:rPr>
              <w:br/>
              <w:t xml:space="preserve">LOW </w:t>
            </w:r>
            <w:r w:rsidR="00265DB9" w:rsidRPr="00CB33FA">
              <w:rPr>
                <w:rFonts w:ascii="Arial Narrow" w:hAnsi="Arial Narrow"/>
                <w:color w:val="000000"/>
                <w:sz w:val="20"/>
                <w:szCs w:val="20"/>
                <w:vertAlign w:val="superscript"/>
                <w:lang w:eastAsia="en-AU"/>
              </w:rPr>
              <w:t> </w:t>
            </w:r>
            <w:r w:rsidR="00265DB9" w:rsidRPr="00CB33FA">
              <w:rPr>
                <w:rFonts w:ascii="Arial Narrow" w:hAnsi="Arial Narrow"/>
                <w:color w:val="000000"/>
                <w:sz w:val="20"/>
                <w:szCs w:val="20"/>
                <w:u w:val="single"/>
                <w:vertAlign w:val="superscript"/>
                <w:lang w:eastAsia="en-AU"/>
              </w:rPr>
              <w:t>1</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2.94</w:t>
            </w:r>
            <w:r w:rsidRPr="00CB33FA">
              <w:rPr>
                <w:rFonts w:ascii="Arial Narrow" w:hAnsi="Arial Narrow"/>
                <w:color w:val="000000"/>
                <w:sz w:val="20"/>
                <w:szCs w:val="20"/>
                <w:lang w:eastAsia="en-AU"/>
              </w:rPr>
              <w:br/>
              <w:t xml:space="preserve">(0.8 to 10.86) </w:t>
            </w:r>
          </w:p>
        </w:tc>
        <w:tc>
          <w:tcPr>
            <w:tcW w:w="0" w:type="auto"/>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33 per 1000 </w:t>
            </w:r>
          </w:p>
        </w:tc>
        <w:tc>
          <w:tcPr>
            <w:tcW w:w="0" w:type="auto"/>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65 more per 1000</w:t>
            </w:r>
            <w:r w:rsidRPr="00CB33FA">
              <w:rPr>
                <w:rFonts w:ascii="Arial Narrow" w:hAnsi="Arial Narrow"/>
                <w:color w:val="000000"/>
                <w:sz w:val="20"/>
                <w:szCs w:val="20"/>
                <w:lang w:eastAsia="en-AU"/>
              </w:rPr>
              <w:br/>
              <w:t xml:space="preserve">(70 fewer to 3290 more) </w:t>
            </w:r>
          </w:p>
        </w:tc>
      </w:tr>
      <w:tr w:rsidR="00265DB9" w:rsidRPr="001E2881" w:rsidTr="00AA34FC">
        <w:trPr>
          <w:trHeight w:val="940"/>
        </w:trPr>
        <w:tc>
          <w:tcPr>
            <w:tcW w:w="0" w:type="auto"/>
            <w:tcBorders>
              <w:top w:val="single" w:sz="6" w:space="0" w:color="000000"/>
              <w:left w:val="nil"/>
              <w:bottom w:val="single" w:sz="6" w:space="0" w:color="000000"/>
              <w:right w:val="nil"/>
            </w:tcBorders>
            <w:hideMark/>
          </w:tcPr>
          <w:p w:rsidR="00265DB9" w:rsidRPr="00CB33FA" w:rsidRDefault="00265DB9" w:rsidP="009A0365">
            <w:pPr>
              <w:keepNext/>
              <w:spacing w:after="1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Vomiting</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24 months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82</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0" w:type="auto"/>
            <w:tcBorders>
              <w:top w:val="single" w:sz="6" w:space="0" w:color="000000"/>
              <w:left w:val="nil"/>
              <w:bottom w:val="single" w:sz="6" w:space="0" w:color="000000"/>
              <w:right w:val="nil"/>
            </w:tcBorders>
            <w:hideMark/>
          </w:tcPr>
          <w:p w:rsidR="00265DB9"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00265DB9" w:rsidRPr="00CB33FA">
              <w:rPr>
                <w:rFonts w:ascii="Arial Narrow" w:hAnsi="Arial Narrow"/>
                <w:color w:val="000000"/>
                <w:sz w:val="20"/>
                <w:szCs w:val="20"/>
                <w:lang w:eastAsia="en-AU"/>
              </w:rPr>
              <w:br/>
              <w:t xml:space="preserve">HIGH </w:t>
            </w:r>
          </w:p>
        </w:tc>
        <w:tc>
          <w:tcPr>
            <w:tcW w:w="0" w:type="auto"/>
            <w:tcBorders>
              <w:top w:val="single" w:sz="6" w:space="0" w:color="000000"/>
              <w:left w:val="nil"/>
              <w:bottom w:val="single" w:sz="6" w:space="0" w:color="000000"/>
              <w:right w:val="nil"/>
            </w:tcBorders>
            <w:hideMark/>
          </w:tcPr>
          <w:p w:rsidR="00265DB9" w:rsidRPr="00CB33FA" w:rsidRDefault="00265DB9"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8</w:t>
            </w:r>
            <w:r w:rsidRPr="00CB33FA">
              <w:rPr>
                <w:rFonts w:ascii="Arial Narrow" w:hAnsi="Arial Narrow"/>
                <w:color w:val="000000"/>
                <w:sz w:val="20"/>
                <w:szCs w:val="20"/>
                <w:lang w:eastAsia="en-AU"/>
              </w:rPr>
              <w:br/>
              <w:t xml:space="preserve">(0.47 to 137.27) </w:t>
            </w:r>
          </w:p>
        </w:tc>
        <w:tc>
          <w:tcPr>
            <w:tcW w:w="0" w:type="auto"/>
            <w:tcBorders>
              <w:top w:val="single" w:sz="6" w:space="0" w:color="000000"/>
              <w:left w:val="nil"/>
            </w:tcBorders>
            <w:shd w:val="clear" w:color="auto" w:fill="E0E0E0"/>
            <w:hideMark/>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0 per 1000 </w:t>
            </w:r>
          </w:p>
        </w:tc>
        <w:tc>
          <w:tcPr>
            <w:tcW w:w="0" w:type="auto"/>
            <w:tcBorders>
              <w:top w:val="single" w:sz="6" w:space="0" w:color="000000"/>
              <w:left w:val="nil"/>
              <w:right w:val="nil"/>
            </w:tcBorders>
            <w:shd w:val="clear" w:color="auto" w:fill="E0E0E0"/>
          </w:tcPr>
          <w:p w:rsidR="00265DB9" w:rsidRPr="00CB33FA" w:rsidRDefault="00265DB9"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118 more per 1000</w:t>
            </w:r>
            <w:r w:rsidRPr="00CB33FA">
              <w:rPr>
                <w:rFonts w:ascii="Arial Narrow" w:hAnsi="Arial Narrow"/>
                <w:color w:val="000000"/>
                <w:sz w:val="20"/>
                <w:szCs w:val="20"/>
                <w:lang w:eastAsia="en-AU"/>
              </w:rPr>
              <w:br/>
              <w:t xml:space="preserve">(29 more to 206 more) </w:t>
            </w:r>
          </w:p>
        </w:tc>
      </w:tr>
      <w:tr w:rsidR="000149C1" w:rsidRPr="001E2881" w:rsidTr="00AA34FC">
        <w:trPr>
          <w:trHeight w:val="1197"/>
        </w:trPr>
        <w:tc>
          <w:tcPr>
            <w:tcW w:w="0" w:type="auto"/>
            <w:tcBorders>
              <w:top w:val="single" w:sz="6" w:space="0" w:color="000000"/>
              <w:left w:val="nil"/>
              <w:bottom w:val="single" w:sz="6" w:space="0" w:color="000000"/>
              <w:right w:val="nil"/>
            </w:tcBorders>
            <w:hideMark/>
          </w:tcPr>
          <w:p w:rsidR="000149C1" w:rsidRPr="00CB33FA" w:rsidRDefault="000149C1" w:rsidP="009A0365">
            <w:pPr>
              <w:keepNext/>
              <w:spacing w:after="1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Chest pain</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24 months </w:t>
            </w:r>
          </w:p>
        </w:tc>
        <w:tc>
          <w:tcPr>
            <w:tcW w:w="0" w:type="auto"/>
            <w:tcBorders>
              <w:top w:val="single" w:sz="6" w:space="0" w:color="000000"/>
              <w:left w:val="nil"/>
              <w:bottom w:val="single" w:sz="6" w:space="0" w:color="000000"/>
              <w:right w:val="nil"/>
            </w:tcBorders>
            <w:hideMark/>
          </w:tcPr>
          <w:p w:rsidR="000149C1" w:rsidRPr="00CB33FA" w:rsidRDefault="000149C1"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82</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0" w:type="auto"/>
            <w:tcBorders>
              <w:top w:val="single" w:sz="6" w:space="0" w:color="000000"/>
              <w:left w:val="nil"/>
              <w:bottom w:val="single" w:sz="6" w:space="0" w:color="000000"/>
              <w:right w:val="nil"/>
            </w:tcBorders>
            <w:hideMark/>
          </w:tcPr>
          <w:p w:rsidR="000149C1"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000149C1" w:rsidRPr="00CB33FA">
              <w:rPr>
                <w:rFonts w:ascii="Arial Narrow" w:hAnsi="Arial Narrow"/>
                <w:color w:val="000000"/>
                <w:sz w:val="20"/>
                <w:szCs w:val="20"/>
                <w:lang w:eastAsia="en-AU"/>
              </w:rPr>
              <w:br/>
              <w:t xml:space="preserve">HIGH </w:t>
            </w:r>
          </w:p>
        </w:tc>
        <w:tc>
          <w:tcPr>
            <w:tcW w:w="0" w:type="auto"/>
            <w:tcBorders>
              <w:top w:val="single" w:sz="6" w:space="0" w:color="000000"/>
              <w:left w:val="nil"/>
              <w:bottom w:val="single" w:sz="6" w:space="0" w:color="000000"/>
              <w:right w:val="nil"/>
            </w:tcBorders>
            <w:hideMark/>
          </w:tcPr>
          <w:p w:rsidR="000149C1" w:rsidRPr="00CB33FA" w:rsidRDefault="000149C1"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6.77</w:t>
            </w:r>
            <w:r w:rsidRPr="00CB33FA">
              <w:rPr>
                <w:rFonts w:ascii="Arial Narrow" w:hAnsi="Arial Narrow"/>
                <w:color w:val="000000"/>
                <w:sz w:val="20"/>
                <w:szCs w:val="20"/>
                <w:lang w:eastAsia="en-AU"/>
              </w:rPr>
              <w:br/>
              <w:t xml:space="preserve">(0.39 to 118.36) </w:t>
            </w:r>
          </w:p>
        </w:tc>
        <w:tc>
          <w:tcPr>
            <w:tcW w:w="0" w:type="auto"/>
            <w:tcBorders>
              <w:top w:val="single" w:sz="6" w:space="0" w:color="000000"/>
              <w:left w:val="nil"/>
            </w:tcBorders>
            <w:shd w:val="clear" w:color="auto" w:fill="E0E0E0"/>
            <w:hideMark/>
          </w:tcPr>
          <w:p w:rsidR="000149C1" w:rsidRPr="00CB33FA" w:rsidRDefault="000149C1"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0 per 1000 </w:t>
            </w:r>
          </w:p>
        </w:tc>
        <w:tc>
          <w:tcPr>
            <w:tcW w:w="0" w:type="auto"/>
            <w:tcBorders>
              <w:top w:val="single" w:sz="6" w:space="0" w:color="000000"/>
              <w:left w:val="nil"/>
              <w:right w:val="nil"/>
            </w:tcBorders>
            <w:shd w:val="clear" w:color="auto" w:fill="E0E0E0"/>
          </w:tcPr>
          <w:p w:rsidR="000149C1" w:rsidRPr="00CB33FA" w:rsidRDefault="000149C1"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98 more per 1000</w:t>
            </w:r>
            <w:r w:rsidRPr="00CB33FA">
              <w:rPr>
                <w:rFonts w:ascii="Arial Narrow" w:hAnsi="Arial Narrow"/>
                <w:color w:val="000000"/>
                <w:sz w:val="20"/>
                <w:szCs w:val="20"/>
                <w:lang w:eastAsia="en-AU"/>
              </w:rPr>
              <w:br/>
              <w:t xml:space="preserve">(16 more to 180 more) </w:t>
            </w:r>
          </w:p>
        </w:tc>
      </w:tr>
      <w:tr w:rsidR="000149C1" w:rsidRPr="001E2881" w:rsidTr="00AA34FC">
        <w:trPr>
          <w:trHeight w:val="1047"/>
        </w:trPr>
        <w:tc>
          <w:tcPr>
            <w:tcW w:w="0" w:type="auto"/>
            <w:tcBorders>
              <w:top w:val="single" w:sz="6" w:space="0" w:color="000000"/>
              <w:left w:val="nil"/>
              <w:bottom w:val="single" w:sz="6" w:space="0" w:color="000000"/>
              <w:right w:val="nil"/>
            </w:tcBorders>
            <w:hideMark/>
          </w:tcPr>
          <w:p w:rsidR="000149C1" w:rsidRPr="00CB33FA" w:rsidRDefault="000149C1" w:rsidP="009A0365">
            <w:pPr>
              <w:keepNext/>
              <w:spacing w:after="1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Fatigue</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24 months </w:t>
            </w:r>
          </w:p>
        </w:tc>
        <w:tc>
          <w:tcPr>
            <w:tcW w:w="0" w:type="auto"/>
            <w:tcBorders>
              <w:top w:val="single" w:sz="6" w:space="0" w:color="000000"/>
              <w:left w:val="nil"/>
              <w:bottom w:val="single" w:sz="6" w:space="0" w:color="000000"/>
              <w:right w:val="nil"/>
            </w:tcBorders>
            <w:hideMark/>
          </w:tcPr>
          <w:p w:rsidR="000149C1" w:rsidRPr="00CB33FA" w:rsidRDefault="000149C1" w:rsidP="009A0365">
            <w:pPr>
              <w:keepNext/>
              <w:spacing w:after="100"/>
              <w:jc w:val="left"/>
              <w:rPr>
                <w:rFonts w:ascii="Arial Narrow" w:hAnsi="Arial Narrow"/>
                <w:color w:val="000000"/>
                <w:sz w:val="20"/>
                <w:szCs w:val="20"/>
                <w:lang w:eastAsia="en-AU"/>
              </w:rPr>
            </w:pPr>
            <w:r w:rsidRPr="00CB33FA">
              <w:rPr>
                <w:rFonts w:ascii="Arial Narrow" w:hAnsi="Arial Narrow"/>
                <w:color w:val="000000"/>
                <w:sz w:val="20"/>
                <w:szCs w:val="20"/>
                <w:lang w:eastAsia="en-AU"/>
              </w:rPr>
              <w:t>82</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0" w:type="auto"/>
            <w:tcBorders>
              <w:top w:val="single" w:sz="6" w:space="0" w:color="000000"/>
              <w:left w:val="nil"/>
              <w:bottom w:val="single" w:sz="6" w:space="0" w:color="000000"/>
              <w:right w:val="nil"/>
            </w:tcBorders>
            <w:hideMark/>
          </w:tcPr>
          <w:p w:rsidR="000149C1"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000149C1" w:rsidRPr="00CB33FA">
              <w:rPr>
                <w:rFonts w:ascii="Arial Narrow" w:hAnsi="Arial Narrow"/>
                <w:color w:val="000000"/>
                <w:sz w:val="20"/>
                <w:szCs w:val="20"/>
                <w:lang w:eastAsia="en-AU"/>
              </w:rPr>
              <w:br/>
              <w:t xml:space="preserve">HIGH </w:t>
            </w:r>
          </w:p>
        </w:tc>
        <w:tc>
          <w:tcPr>
            <w:tcW w:w="0" w:type="auto"/>
            <w:tcBorders>
              <w:top w:val="single" w:sz="6" w:space="0" w:color="000000"/>
              <w:left w:val="nil"/>
              <w:bottom w:val="single" w:sz="6" w:space="0" w:color="000000"/>
              <w:right w:val="nil"/>
            </w:tcBorders>
            <w:hideMark/>
          </w:tcPr>
          <w:p w:rsidR="000149C1" w:rsidRPr="00CB33FA" w:rsidRDefault="000149C1" w:rsidP="009A0365">
            <w:pPr>
              <w:keepNext/>
              <w:spacing w:after="1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6.77</w:t>
            </w:r>
            <w:r w:rsidRPr="00CB33FA">
              <w:rPr>
                <w:rFonts w:ascii="Arial Narrow" w:hAnsi="Arial Narrow"/>
                <w:color w:val="000000"/>
                <w:sz w:val="20"/>
                <w:szCs w:val="20"/>
                <w:lang w:eastAsia="en-AU"/>
              </w:rPr>
              <w:br/>
              <w:t xml:space="preserve">(0.39 to 118.36) </w:t>
            </w:r>
          </w:p>
        </w:tc>
        <w:tc>
          <w:tcPr>
            <w:tcW w:w="0" w:type="auto"/>
            <w:tcBorders>
              <w:top w:val="single" w:sz="6" w:space="0" w:color="000000"/>
              <w:left w:val="nil"/>
            </w:tcBorders>
            <w:shd w:val="clear" w:color="auto" w:fill="E0E0E0"/>
            <w:hideMark/>
          </w:tcPr>
          <w:p w:rsidR="000149C1" w:rsidRPr="00CB33FA" w:rsidRDefault="000149C1"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0 per 1000 </w:t>
            </w:r>
          </w:p>
        </w:tc>
        <w:tc>
          <w:tcPr>
            <w:tcW w:w="0" w:type="auto"/>
            <w:tcBorders>
              <w:top w:val="single" w:sz="6" w:space="0" w:color="000000"/>
              <w:left w:val="nil"/>
              <w:right w:val="nil"/>
            </w:tcBorders>
            <w:shd w:val="clear" w:color="auto" w:fill="E0E0E0"/>
          </w:tcPr>
          <w:p w:rsidR="000149C1" w:rsidRPr="00CB33FA" w:rsidRDefault="000149C1" w:rsidP="009A0365">
            <w:pPr>
              <w:keepNext/>
              <w:spacing w:after="1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98 more per 1000</w:t>
            </w:r>
            <w:r w:rsidRPr="00CB33FA">
              <w:rPr>
                <w:rFonts w:ascii="Arial Narrow" w:hAnsi="Arial Narrow"/>
                <w:color w:val="000000"/>
                <w:sz w:val="20"/>
                <w:szCs w:val="20"/>
                <w:lang w:eastAsia="en-AU"/>
              </w:rPr>
              <w:br/>
              <w:t xml:space="preserve">(16 more to 180 more) </w:t>
            </w:r>
          </w:p>
        </w:tc>
      </w:tr>
      <w:tr w:rsidR="000149C1" w:rsidRPr="001E2881" w:rsidTr="00AA34FC">
        <w:trPr>
          <w:trHeight w:val="1121"/>
        </w:trPr>
        <w:tc>
          <w:tcPr>
            <w:tcW w:w="0" w:type="auto"/>
            <w:tcBorders>
              <w:top w:val="single" w:sz="6" w:space="0" w:color="000000"/>
              <w:left w:val="nil"/>
              <w:bottom w:val="single" w:sz="6" w:space="0" w:color="000000"/>
              <w:right w:val="nil"/>
            </w:tcBorders>
            <w:hideMark/>
          </w:tcPr>
          <w:p w:rsidR="000149C1" w:rsidRPr="00CB33FA" w:rsidRDefault="000149C1" w:rsidP="009A0365">
            <w:pPr>
              <w:keepNext/>
              <w:spacing w:after="1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Headache</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3 to 6 months </w:t>
            </w:r>
          </w:p>
        </w:tc>
        <w:tc>
          <w:tcPr>
            <w:tcW w:w="0" w:type="auto"/>
            <w:tcBorders>
              <w:top w:val="single" w:sz="6" w:space="0" w:color="000000"/>
              <w:left w:val="nil"/>
              <w:bottom w:val="single" w:sz="6" w:space="0" w:color="000000"/>
              <w:right w:val="nil"/>
            </w:tcBorders>
            <w:hideMark/>
          </w:tcPr>
          <w:p w:rsidR="000149C1" w:rsidRPr="00CB33FA" w:rsidRDefault="000149C1"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58</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0" w:type="auto"/>
            <w:tcBorders>
              <w:top w:val="single" w:sz="6" w:space="0" w:color="000000"/>
              <w:left w:val="nil"/>
              <w:bottom w:val="single" w:sz="6" w:space="0" w:color="000000"/>
              <w:right w:val="nil"/>
            </w:tcBorders>
            <w:hideMark/>
          </w:tcPr>
          <w:p w:rsidR="000149C1"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0149C1" w:rsidRPr="00CB33FA">
              <w:rPr>
                <w:rFonts w:ascii="Arial Narrow" w:hAnsi="Arial Narrow"/>
                <w:color w:val="000000"/>
                <w:sz w:val="20"/>
                <w:szCs w:val="20"/>
                <w:lang w:eastAsia="en-AU"/>
              </w:rPr>
              <w:br/>
              <w:t xml:space="preserve">LOW </w:t>
            </w:r>
            <w:r w:rsidR="000149C1" w:rsidRPr="00CB33FA">
              <w:rPr>
                <w:rFonts w:ascii="Arial Narrow" w:hAnsi="Arial Narrow"/>
                <w:color w:val="000000"/>
                <w:sz w:val="20"/>
                <w:szCs w:val="20"/>
                <w:vertAlign w:val="superscript"/>
                <w:lang w:eastAsia="en-AU"/>
              </w:rPr>
              <w:t> </w:t>
            </w:r>
            <w:r w:rsidR="000149C1" w:rsidRPr="00CB33FA">
              <w:rPr>
                <w:rFonts w:ascii="Arial Narrow" w:hAnsi="Arial Narrow"/>
                <w:color w:val="000000"/>
                <w:sz w:val="20"/>
                <w:szCs w:val="20"/>
                <w:u w:val="single"/>
                <w:vertAlign w:val="superscript"/>
                <w:lang w:eastAsia="en-AU"/>
              </w:rPr>
              <w:t>1</w:t>
            </w:r>
          </w:p>
        </w:tc>
        <w:tc>
          <w:tcPr>
            <w:tcW w:w="0" w:type="auto"/>
            <w:tcBorders>
              <w:top w:val="single" w:sz="6" w:space="0" w:color="000000"/>
              <w:left w:val="nil"/>
              <w:bottom w:val="single" w:sz="6" w:space="0" w:color="000000"/>
              <w:right w:val="nil"/>
            </w:tcBorders>
            <w:hideMark/>
          </w:tcPr>
          <w:p w:rsidR="000149C1" w:rsidRPr="00CB33FA" w:rsidRDefault="000149C1"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2.5</w:t>
            </w:r>
            <w:r w:rsidRPr="00CB33FA">
              <w:rPr>
                <w:rFonts w:ascii="Arial Narrow" w:hAnsi="Arial Narrow"/>
                <w:color w:val="000000"/>
                <w:sz w:val="20"/>
                <w:szCs w:val="20"/>
                <w:lang w:eastAsia="en-AU"/>
              </w:rPr>
              <w:br/>
              <w:t xml:space="preserve">(0.53 to 11.86) </w:t>
            </w:r>
          </w:p>
        </w:tc>
        <w:tc>
          <w:tcPr>
            <w:tcW w:w="0" w:type="auto"/>
            <w:tcBorders>
              <w:top w:val="single" w:sz="6" w:space="0" w:color="000000"/>
              <w:left w:val="nil"/>
            </w:tcBorders>
            <w:shd w:val="clear" w:color="auto" w:fill="E0E0E0"/>
            <w:hideMark/>
          </w:tcPr>
          <w:p w:rsidR="000149C1" w:rsidRPr="00CB33FA" w:rsidRDefault="000149C1"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69 per 1000 </w:t>
            </w:r>
          </w:p>
        </w:tc>
        <w:tc>
          <w:tcPr>
            <w:tcW w:w="0" w:type="auto"/>
            <w:tcBorders>
              <w:top w:val="single" w:sz="6" w:space="0" w:color="000000"/>
              <w:left w:val="nil"/>
              <w:right w:val="nil"/>
            </w:tcBorders>
            <w:shd w:val="clear" w:color="auto" w:fill="E0E0E0"/>
          </w:tcPr>
          <w:p w:rsidR="000149C1" w:rsidRPr="00CB33FA" w:rsidRDefault="000149C1"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103 more per 1000</w:t>
            </w:r>
            <w:r w:rsidRPr="00CB33FA">
              <w:rPr>
                <w:rFonts w:ascii="Arial Narrow" w:hAnsi="Arial Narrow"/>
                <w:color w:val="000000"/>
                <w:sz w:val="20"/>
                <w:szCs w:val="20"/>
                <w:lang w:eastAsia="en-AU"/>
              </w:rPr>
              <w:br/>
              <w:t xml:space="preserve">(62 fewer to 269 more) </w:t>
            </w:r>
          </w:p>
        </w:tc>
      </w:tr>
      <w:tr w:rsidR="000149C1" w:rsidRPr="001E2881" w:rsidTr="00AA34FC">
        <w:trPr>
          <w:trHeight w:val="1113"/>
        </w:trPr>
        <w:tc>
          <w:tcPr>
            <w:tcW w:w="0" w:type="auto"/>
            <w:tcBorders>
              <w:top w:val="single" w:sz="6" w:space="0" w:color="000000"/>
              <w:left w:val="nil"/>
              <w:bottom w:val="single" w:sz="6" w:space="0" w:color="000000"/>
              <w:right w:val="nil"/>
            </w:tcBorders>
            <w:hideMark/>
          </w:tcPr>
          <w:p w:rsidR="000149C1" w:rsidRPr="00CB33FA" w:rsidRDefault="000149C1" w:rsidP="009A0365">
            <w:pPr>
              <w:keepNext/>
              <w:spacing w:after="1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Adverse event: Pain related to Fabry Disease</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3 to 6 months </w:t>
            </w:r>
          </w:p>
        </w:tc>
        <w:tc>
          <w:tcPr>
            <w:tcW w:w="0" w:type="auto"/>
            <w:tcBorders>
              <w:top w:val="single" w:sz="6" w:space="0" w:color="000000"/>
              <w:left w:val="nil"/>
              <w:bottom w:val="single" w:sz="6" w:space="0" w:color="000000"/>
              <w:right w:val="nil"/>
            </w:tcBorders>
            <w:hideMark/>
          </w:tcPr>
          <w:p w:rsidR="000149C1" w:rsidRPr="00CB33FA" w:rsidRDefault="000149C1" w:rsidP="007F6EF9">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58</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3 to 6 months </w:t>
            </w:r>
          </w:p>
        </w:tc>
        <w:tc>
          <w:tcPr>
            <w:tcW w:w="0" w:type="auto"/>
            <w:tcBorders>
              <w:top w:val="single" w:sz="6" w:space="0" w:color="000000"/>
              <w:left w:val="nil"/>
              <w:bottom w:val="single" w:sz="6" w:space="0" w:color="000000"/>
              <w:right w:val="nil"/>
            </w:tcBorders>
            <w:hideMark/>
          </w:tcPr>
          <w:p w:rsidR="000149C1" w:rsidRPr="00CB33FA" w:rsidRDefault="00C31DE9" w:rsidP="007F6EF9">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0149C1" w:rsidRPr="00CB33FA">
              <w:rPr>
                <w:rFonts w:ascii="Arial Narrow" w:hAnsi="Arial Narrow"/>
                <w:color w:val="000000"/>
                <w:sz w:val="20"/>
                <w:szCs w:val="20"/>
                <w:lang w:eastAsia="en-AU"/>
              </w:rPr>
              <w:br/>
              <w:t xml:space="preserve">LOW </w:t>
            </w:r>
            <w:r w:rsidR="000149C1" w:rsidRPr="00CB33FA">
              <w:rPr>
                <w:rFonts w:ascii="Arial Narrow" w:hAnsi="Arial Narrow"/>
                <w:color w:val="000000"/>
                <w:sz w:val="20"/>
                <w:szCs w:val="20"/>
                <w:vertAlign w:val="superscript"/>
                <w:lang w:eastAsia="en-AU"/>
              </w:rPr>
              <w:t> </w:t>
            </w:r>
            <w:r w:rsidR="000149C1" w:rsidRPr="00CB33FA">
              <w:rPr>
                <w:rFonts w:ascii="Arial Narrow" w:hAnsi="Arial Narrow"/>
                <w:color w:val="000000"/>
                <w:sz w:val="20"/>
                <w:szCs w:val="20"/>
                <w:u w:val="single"/>
                <w:vertAlign w:val="superscript"/>
                <w:lang w:eastAsia="en-AU"/>
              </w:rPr>
              <w:t>1</w:t>
            </w:r>
          </w:p>
        </w:tc>
        <w:tc>
          <w:tcPr>
            <w:tcW w:w="0" w:type="auto"/>
            <w:tcBorders>
              <w:top w:val="single" w:sz="6" w:space="0" w:color="000000"/>
              <w:left w:val="nil"/>
              <w:bottom w:val="single" w:sz="6" w:space="0" w:color="000000"/>
              <w:right w:val="nil"/>
            </w:tcBorders>
            <w:hideMark/>
          </w:tcPr>
          <w:p w:rsidR="000149C1" w:rsidRPr="00CB33FA" w:rsidRDefault="000149C1" w:rsidP="007F6EF9">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3</w:t>
            </w:r>
            <w:r w:rsidRPr="00CB33FA">
              <w:rPr>
                <w:rFonts w:ascii="Arial Narrow" w:hAnsi="Arial Narrow"/>
                <w:color w:val="000000"/>
                <w:sz w:val="20"/>
                <w:szCs w:val="20"/>
                <w:lang w:eastAsia="en-AU"/>
              </w:rPr>
              <w:br/>
              <w:t xml:space="preserve">(0.33 to 27.18) </w:t>
            </w:r>
          </w:p>
        </w:tc>
        <w:tc>
          <w:tcPr>
            <w:tcW w:w="0" w:type="auto"/>
            <w:tcBorders>
              <w:top w:val="single" w:sz="6" w:space="0" w:color="000000"/>
              <w:left w:val="nil"/>
              <w:bottom w:val="single" w:sz="4" w:space="0" w:color="auto"/>
            </w:tcBorders>
            <w:shd w:val="clear" w:color="auto" w:fill="E0E0E0"/>
            <w:hideMark/>
          </w:tcPr>
          <w:p w:rsidR="000149C1" w:rsidRPr="00CB33FA" w:rsidRDefault="000149C1" w:rsidP="007F6EF9">
            <w:pPr>
              <w:keepNext/>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34 per 1000 </w:t>
            </w:r>
          </w:p>
        </w:tc>
        <w:tc>
          <w:tcPr>
            <w:tcW w:w="0" w:type="auto"/>
            <w:tcBorders>
              <w:top w:val="single" w:sz="6" w:space="0" w:color="000000"/>
              <w:left w:val="nil"/>
              <w:bottom w:val="single" w:sz="4" w:space="0" w:color="auto"/>
              <w:right w:val="nil"/>
            </w:tcBorders>
            <w:shd w:val="clear" w:color="auto" w:fill="E0E0E0"/>
          </w:tcPr>
          <w:p w:rsidR="000149C1" w:rsidRPr="00CB33FA" w:rsidRDefault="000149C1" w:rsidP="007F6EF9">
            <w:pPr>
              <w:keepNext/>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69 more per 1000</w:t>
            </w:r>
            <w:r w:rsidRPr="00CB33FA">
              <w:rPr>
                <w:rFonts w:ascii="Arial Narrow" w:hAnsi="Arial Narrow"/>
                <w:color w:val="000000"/>
                <w:sz w:val="20"/>
                <w:szCs w:val="20"/>
                <w:lang w:eastAsia="en-AU"/>
              </w:rPr>
              <w:br/>
              <w:t xml:space="preserve">(60 fewer to 198 more) </w:t>
            </w:r>
          </w:p>
        </w:tc>
      </w:tr>
    </w:tbl>
    <w:p w:rsidR="001C3FAF" w:rsidRDefault="001B5185" w:rsidP="007C4217">
      <w:pPr>
        <w:pStyle w:val="TableNote"/>
        <w:rPr>
          <w:lang w:val="en"/>
        </w:rPr>
      </w:pPr>
      <w:r>
        <w:rPr>
          <w:lang w:val="en"/>
        </w:rPr>
        <w:t>CI = confidence interval; RCT =</w:t>
      </w:r>
      <w:r w:rsidR="007C4217" w:rsidRPr="00DC17CA">
        <w:rPr>
          <w:lang w:val="en"/>
        </w:rPr>
        <w:t xml:space="preserve"> </w:t>
      </w:r>
      <w:r>
        <w:rPr>
          <w:lang w:val="en"/>
        </w:rPr>
        <w:t xml:space="preserve">randomised controlled trial; RR = </w:t>
      </w:r>
      <w:r w:rsidR="007C4217" w:rsidRPr="00DC17CA">
        <w:rPr>
          <w:lang w:val="en"/>
        </w:rPr>
        <w:t>relative risk; risk diffe</w:t>
      </w:r>
      <w:r w:rsidR="00CD39DE">
        <w:rPr>
          <w:lang w:val="en"/>
        </w:rPr>
        <w:t>r</w:t>
      </w:r>
      <w:r>
        <w:rPr>
          <w:lang w:val="en"/>
        </w:rPr>
        <w:t>ence cal</w:t>
      </w:r>
      <w:r w:rsidR="007C4217" w:rsidRPr="00DC17CA">
        <w:rPr>
          <w:lang w:val="en"/>
        </w:rPr>
        <w:t>culated using STATA</w:t>
      </w:r>
    </w:p>
    <w:p w:rsidR="007C4217" w:rsidRDefault="007C4217" w:rsidP="009A0365">
      <w:pPr>
        <w:pStyle w:val="TableNote"/>
        <w:rPr>
          <w:color w:val="000000"/>
        </w:rPr>
      </w:pPr>
      <w:r>
        <w:rPr>
          <w:color w:val="000000"/>
        </w:rPr>
        <w:t xml:space="preserve">1. </w:t>
      </w:r>
      <w:r w:rsidRPr="00CB33FA">
        <w:rPr>
          <w:color w:val="000000"/>
        </w:rPr>
        <w:t>Possible conflict of interest</w:t>
      </w:r>
    </w:p>
    <w:p w:rsidR="009A0365" w:rsidRPr="009A0365" w:rsidRDefault="009A0365" w:rsidP="009A0365">
      <w:pPr>
        <w:pStyle w:val="TableNote"/>
        <w:rPr>
          <w:lang w:val="en"/>
        </w:rPr>
      </w:pPr>
    </w:p>
    <w:p w:rsidR="001C3FAF" w:rsidRPr="000756DF" w:rsidRDefault="001C3FAF" w:rsidP="009A0365">
      <w:r w:rsidRPr="009A0365">
        <w:lastRenderedPageBreak/>
        <w:t xml:space="preserve">Hypertension was another adverse event assessed in two RCTs </w:t>
      </w:r>
      <w:r w:rsidR="00BD4A3A" w:rsidRPr="009A0365">
        <w:rPr>
          <w:noProof/>
        </w:rPr>
        <w:t>(</w:t>
      </w:r>
      <w:r w:rsidR="00184B6F" w:rsidRPr="009A0365">
        <w:rPr>
          <w:noProof/>
        </w:rPr>
        <w:t>Banikazemi, M. et al. 2007</w:t>
      </w:r>
      <w:r w:rsidR="00BD4A3A" w:rsidRPr="009A0365">
        <w:rPr>
          <w:noProof/>
        </w:rPr>
        <w:t xml:space="preserve">; </w:t>
      </w:r>
      <w:r w:rsidR="00184B6F" w:rsidRPr="009A0365">
        <w:rPr>
          <w:noProof/>
        </w:rPr>
        <w:t>Eng et al. 2001</w:t>
      </w:r>
      <w:r w:rsidR="00BD4A3A" w:rsidRPr="009A0365">
        <w:rPr>
          <w:noProof/>
        </w:rPr>
        <w:t>)</w:t>
      </w:r>
      <w:r w:rsidRPr="009A0365">
        <w:t xml:space="preserve"> again at time points of 3 to 6 months and 24 months (see</w:t>
      </w:r>
      <w:r w:rsidR="009A0365" w:rsidRPr="009A0365">
        <w:t xml:space="preserve"> </w:t>
      </w:r>
      <w:r w:rsidR="00A72B26" w:rsidRPr="00305731">
        <w:t xml:space="preserve">Table </w:t>
      </w:r>
      <w:r w:rsidR="00A72B26">
        <w:t>43</w:t>
      </w:r>
      <w:r w:rsidRPr="000756DF">
        <w:t>). When analysed together there was found to be a three times greater risk of hypertension for those patients taking the drug, than those on placebo</w:t>
      </w:r>
      <w:r>
        <w:t>, although the effect was still consistent with chance despite the pooled sample size</w:t>
      </w:r>
      <w:r w:rsidRPr="000756DF">
        <w:t xml:space="preserve"> (12.5% versus 3.3%, RR</w:t>
      </w:r>
      <w:r>
        <w:rPr>
          <w:vertAlign w:val="subscript"/>
        </w:rPr>
        <w:t>p</w:t>
      </w:r>
      <w:r w:rsidRPr="000756DF">
        <w:t xml:space="preserve"> 2.94, 95%CI 0.80 to 10.86)</w:t>
      </w:r>
      <w:r>
        <w:t xml:space="preserve"> (GRADE </w:t>
      </w:r>
      <w:r w:rsidRPr="00D4733A">
        <w:rPr>
          <w:rFonts w:ascii="Cambria Math" w:hAnsi="Cambria Math"/>
          <w:color w:val="00B050"/>
        </w:rPr>
        <w:t>⨁⨁</w:t>
      </w:r>
      <w:r w:rsidRPr="00D4733A">
        <w:rPr>
          <w:rFonts w:ascii="Cambria Math" w:hAnsi="Cambria Math"/>
          <w:color w:val="C00000"/>
        </w:rPr>
        <w:t>⨀⨀</w:t>
      </w:r>
      <w:r>
        <w:t>)</w:t>
      </w:r>
      <w:r w:rsidRPr="000756DF">
        <w:t xml:space="preserve">. Vomiting, chest pain and fatigue events </w:t>
      </w:r>
      <w:r w:rsidR="00BD4A3A">
        <w:rPr>
          <w:noProof/>
        </w:rPr>
        <w:t>(</w:t>
      </w:r>
      <w:r w:rsidR="00184B6F">
        <w:rPr>
          <w:noProof/>
        </w:rPr>
        <w:t>Banikazemi, M. et al. 2007</w:t>
      </w:r>
      <w:r w:rsidR="00BD4A3A">
        <w:rPr>
          <w:noProof/>
        </w:rPr>
        <w:t>)</w:t>
      </w:r>
      <w:r w:rsidRPr="000756DF">
        <w:t xml:space="preserve"> were similarly associated with the drug, </w:t>
      </w:r>
      <w:r>
        <w:t>occurring in 9.8%-11.8% of patients,</w:t>
      </w:r>
      <w:r w:rsidRPr="000756DF">
        <w:t xml:space="preserve"> with no events occurring in patients taking placebo </w:t>
      </w:r>
      <w:r>
        <w:t xml:space="preserve">(GRADE </w:t>
      </w:r>
      <w:r w:rsidRPr="00D4733A">
        <w:rPr>
          <w:rFonts w:ascii="Cambria Math" w:hAnsi="Cambria Math"/>
          <w:color w:val="00B050"/>
        </w:rPr>
        <w:t>⨁⨁⨁⨁</w:t>
      </w:r>
      <w:r>
        <w:t>)</w:t>
      </w:r>
      <w:r w:rsidRPr="000756DF">
        <w:t xml:space="preserve">. Headache and pain related to Fabry disease </w:t>
      </w:r>
      <w:r w:rsidR="00A130D0">
        <w:rPr>
          <w:noProof/>
        </w:rPr>
        <w:t>(</w:t>
      </w:r>
      <w:r w:rsidR="00184B6F">
        <w:rPr>
          <w:noProof/>
        </w:rPr>
        <w:t>Eng et al. 2001</w:t>
      </w:r>
      <w:r w:rsidR="00A130D0">
        <w:rPr>
          <w:noProof/>
        </w:rPr>
        <w:t>)</w:t>
      </w:r>
      <w:r w:rsidRPr="000756DF">
        <w:t xml:space="preserve"> were also more likely to occur in the agalsidase beta group than the placebo group </w:t>
      </w:r>
      <w:r>
        <w:t xml:space="preserve">(GRADE </w:t>
      </w:r>
      <w:r w:rsidRPr="00D4733A">
        <w:rPr>
          <w:rFonts w:ascii="Cambria Math" w:hAnsi="Cambria Math"/>
          <w:color w:val="00B050"/>
        </w:rPr>
        <w:t>⨁⨁</w:t>
      </w:r>
      <w:r w:rsidRPr="00D4733A">
        <w:rPr>
          <w:rFonts w:ascii="Cambria Math" w:hAnsi="Cambria Math"/>
          <w:color w:val="C00000"/>
        </w:rPr>
        <w:t>⨀⨀</w:t>
      </w:r>
      <w:r>
        <w:t>)</w:t>
      </w:r>
      <w:r w:rsidRPr="000756DF">
        <w:t>.</w:t>
      </w:r>
    </w:p>
    <w:p w:rsidR="001C3FAF" w:rsidRDefault="001C3FAF" w:rsidP="00880211"/>
    <w:p w:rsidR="001C3FAF" w:rsidRPr="00E965BD" w:rsidRDefault="001C3FAF" w:rsidP="00A979FB">
      <w:pPr>
        <w:pStyle w:val="Heading4"/>
      </w:pPr>
      <w:r w:rsidRPr="00E965BD">
        <w:t>Effectiveness of agalsidase al</w:t>
      </w:r>
      <w:r>
        <w:t>f</w:t>
      </w:r>
      <w:r w:rsidRPr="00E965BD">
        <w:t>a compared with agalsidase beta</w:t>
      </w:r>
    </w:p>
    <w:p w:rsidR="001C3FAF" w:rsidRPr="000756DF" w:rsidRDefault="001C3FAF" w:rsidP="001C3FAF">
      <w:r w:rsidRPr="000756DF">
        <w:t xml:space="preserve">One RCT </w:t>
      </w:r>
      <w:r w:rsidR="00A130D0">
        <w:rPr>
          <w:noProof/>
        </w:rPr>
        <w:t>(</w:t>
      </w:r>
      <w:r w:rsidR="00184B6F">
        <w:rPr>
          <w:noProof/>
        </w:rPr>
        <w:t>Vedder et al. 2007</w:t>
      </w:r>
      <w:r w:rsidR="00A130D0">
        <w:rPr>
          <w:noProof/>
        </w:rPr>
        <w:t>)</w:t>
      </w:r>
      <w:r w:rsidRPr="000756DF">
        <w:t xml:space="preserve"> randomised </w:t>
      </w:r>
      <w:r>
        <w:t xml:space="preserve">36 </w:t>
      </w:r>
      <w:r w:rsidRPr="000756DF">
        <w:t xml:space="preserve">Fabry patients </w:t>
      </w:r>
      <w:r>
        <w:t>to receive treatment with either</w:t>
      </w:r>
      <w:r w:rsidRPr="000756DF">
        <w:t xml:space="preserve"> agalsidase alfa </w:t>
      </w:r>
      <w:r>
        <w:t>or</w:t>
      </w:r>
      <w:r w:rsidRPr="000756DF">
        <w:t xml:space="preserve"> beta</w:t>
      </w:r>
      <w:r w:rsidR="006F4A57">
        <w:t xml:space="preserve"> (0.2 mg/kg/2 weeks)</w:t>
      </w:r>
      <w:r w:rsidRPr="000756DF">
        <w:t xml:space="preserve">. Two patients withdrew after 6 months of treatment. While the method </w:t>
      </w:r>
      <w:r>
        <w:t xml:space="preserve">of </w:t>
      </w:r>
      <w:r w:rsidRPr="000756DF">
        <w:t xml:space="preserve">randomisation and concealment </w:t>
      </w:r>
      <w:r>
        <w:t xml:space="preserve">of </w:t>
      </w:r>
      <w:r w:rsidRPr="000756DF">
        <w:t xml:space="preserve">allocation was adequate for this trial, there was no blinding </w:t>
      </w:r>
      <w:r>
        <w:t>to the</w:t>
      </w:r>
      <w:r w:rsidRPr="000756DF">
        <w:t xml:space="preserve"> treatment</w:t>
      </w:r>
      <w:r>
        <w:t xml:space="preserve"> received</w:t>
      </w:r>
      <w:r w:rsidRPr="000756DF">
        <w:t xml:space="preserve">, therefore this trial was considered at high risk of bias. In addition there was incomplete outcome data following a variance in withdrawal rates between groups. </w:t>
      </w:r>
    </w:p>
    <w:p w:rsidR="001C3FAF" w:rsidRPr="000756DF" w:rsidRDefault="001C3FAF" w:rsidP="001C3FAF"/>
    <w:p w:rsidR="001C3FAF" w:rsidRPr="000756DF" w:rsidRDefault="001C3FAF" w:rsidP="00A979FB">
      <w:pPr>
        <w:pStyle w:val="Heading5"/>
      </w:pPr>
      <w:r w:rsidRPr="000756DF">
        <w:t>Primary effectiveness</w:t>
      </w:r>
    </w:p>
    <w:p w:rsidR="001C3FAF" w:rsidRPr="00A979FB" w:rsidRDefault="001C3FAF" w:rsidP="00A979FB">
      <w:pPr>
        <w:pStyle w:val="Heading5"/>
      </w:pPr>
      <w:r w:rsidRPr="00A979FB">
        <w:t>Survival, serious adverse events</w:t>
      </w:r>
      <w:r w:rsidR="00A979FB" w:rsidRPr="00A979FB">
        <w:t xml:space="preserve"> and disease related events</w:t>
      </w:r>
    </w:p>
    <w:p w:rsidR="001C3FAF" w:rsidRPr="000756DF" w:rsidRDefault="001C3FAF" w:rsidP="001C3FAF">
      <w:bookmarkStart w:id="231" w:name="_Toc405361946"/>
      <w:r w:rsidRPr="000756DF">
        <w:t xml:space="preserve">Survival was reported in </w:t>
      </w:r>
      <w:r>
        <w:t>Vedder (2007)</w:t>
      </w:r>
      <w:r w:rsidRPr="000756DF">
        <w:t xml:space="preserve"> as the number of deaths at an extended follow-up period of 24 months. There was one death in the agalsidase alfa group and no deaths in the beta group (</w:t>
      </w:r>
      <w:r w:rsidR="00A72B26" w:rsidRPr="00305731">
        <w:t xml:space="preserve">Table </w:t>
      </w:r>
      <w:r w:rsidR="00A72B26">
        <w:rPr>
          <w:noProof/>
        </w:rPr>
        <w:t>44</w:t>
      </w:r>
      <w:r w:rsidRPr="000756DF">
        <w:t xml:space="preserve">). The </w:t>
      </w:r>
      <w:r>
        <w:t xml:space="preserve">single </w:t>
      </w:r>
      <w:r w:rsidRPr="000756DF">
        <w:t>death was reported to be as a result of multiple cerebral infarctions after 20 months of treatment</w:t>
      </w:r>
      <w:r>
        <w:t xml:space="preserve"> (GRADE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t>.</w:t>
      </w:r>
    </w:p>
    <w:p w:rsidR="001C3FAF" w:rsidRPr="000756DF" w:rsidRDefault="001C3FAF" w:rsidP="001C3FAF">
      <w:r w:rsidRPr="000756DF">
        <w:t>Cardiac events were assessed at 42 months in 29 patients. There were 3 occurrences of atrial fibrillation, 2 events in the beta group compared with 1 in the alfa group (</w:t>
      </w:r>
      <w:r w:rsidR="00A72B26" w:rsidRPr="00305731">
        <w:t xml:space="preserve">Table </w:t>
      </w:r>
      <w:r w:rsidR="00A72B26">
        <w:rPr>
          <w:noProof/>
        </w:rPr>
        <w:t>44</w:t>
      </w:r>
      <w:r w:rsidRPr="000756DF">
        <w:t>). There were also more serious adverse events (defined as events requiring hospitalisation or initiation of medication and which did not fulfil the criteria for treatment failure) in the agalsidase beta group compared to the alfa group (</w:t>
      </w:r>
      <w:r>
        <w:t xml:space="preserve">GRADE </w:t>
      </w:r>
      <w:r w:rsidR="00C31DE9" w:rsidRPr="00D4733A">
        <w:rPr>
          <w:rFonts w:ascii="Cambria Math" w:hAnsi="Cambria Math"/>
          <w:color w:val="00B050"/>
        </w:rPr>
        <w:t>⨁</w:t>
      </w:r>
      <w:r w:rsidR="00C31DE9" w:rsidRPr="00D4733A">
        <w:rPr>
          <w:rFonts w:ascii="Cambria Math" w:hAnsi="Cambria Math"/>
          <w:color w:val="C00000"/>
        </w:rPr>
        <w:t>⨀⨀⨀</w:t>
      </w:r>
      <w:r w:rsidR="00D67ADB" w:rsidRPr="00C31DE9">
        <w:rPr>
          <w:spacing w:val="-20"/>
        </w:rPr>
        <w:t>)</w:t>
      </w:r>
      <w:r w:rsidRPr="000756DF">
        <w:t xml:space="preserve">. The differences </w:t>
      </w:r>
      <w:r>
        <w:t xml:space="preserve">between treatment arms </w:t>
      </w:r>
      <w:r w:rsidRPr="000756DF">
        <w:t>were not statistically significant</w:t>
      </w:r>
      <w:r>
        <w:t xml:space="preserve"> for each of these outcomes.</w:t>
      </w:r>
      <w:r w:rsidRPr="000756DF">
        <w:t xml:space="preserve"> </w:t>
      </w:r>
    </w:p>
    <w:p w:rsidR="001C3FAF" w:rsidRDefault="001C3FAF" w:rsidP="001C3FAF">
      <w:pPr>
        <w:pStyle w:val="Caption"/>
        <w:keepNext/>
        <w:tabs>
          <w:tab w:val="clear" w:pos="851"/>
          <w:tab w:val="left" w:pos="1134"/>
        </w:tabs>
        <w:ind w:left="1134" w:hanging="1134"/>
      </w:pPr>
      <w:bookmarkStart w:id="232" w:name="_Ref405842302"/>
      <w:bookmarkStart w:id="233" w:name="_Toc411510426"/>
      <w:bookmarkStart w:id="234" w:name="_Toc415141841"/>
      <w:r w:rsidRPr="00305731">
        <w:lastRenderedPageBreak/>
        <w:t xml:space="preserve">Table </w:t>
      </w:r>
      <w:r w:rsidR="00A72B26">
        <w:rPr>
          <w:noProof/>
        </w:rPr>
        <w:t>44</w:t>
      </w:r>
      <w:bookmarkEnd w:id="232"/>
      <w:r w:rsidRPr="00305731">
        <w:t xml:space="preserve"> </w:t>
      </w:r>
      <w:r>
        <w:tab/>
      </w:r>
      <w:r w:rsidRPr="00305731">
        <w:t xml:space="preserve">Death, cardiac and serious adverse events in Fabry patients randomised to </w:t>
      </w:r>
      <w:r>
        <w:t>receive</w:t>
      </w:r>
      <w:r w:rsidRPr="00305731">
        <w:t xml:space="preserve"> either agalsidase alfa or agalsidase beta </w:t>
      </w:r>
      <w:bookmarkEnd w:id="231"/>
      <w:r w:rsidR="00E83918">
        <w:rPr>
          <w:noProof/>
        </w:rPr>
        <w:t>(</w:t>
      </w:r>
      <w:r w:rsidR="00184B6F">
        <w:rPr>
          <w:noProof/>
        </w:rPr>
        <w:t>El Dib, R P, Nascimento &amp; Pastores 2013</w:t>
      </w:r>
      <w:r w:rsidR="00E83918">
        <w:rPr>
          <w:noProof/>
        </w:rPr>
        <w:t>)</w:t>
      </w:r>
      <w:bookmarkEnd w:id="233"/>
      <w:bookmarkEnd w:id="234"/>
    </w:p>
    <w:tbl>
      <w:tblPr>
        <w:tblW w:w="0" w:type="auto"/>
        <w:tblCellMar>
          <w:top w:w="75" w:type="dxa"/>
          <w:left w:w="75" w:type="dxa"/>
          <w:bottom w:w="75" w:type="dxa"/>
          <w:right w:w="75" w:type="dxa"/>
        </w:tblCellMar>
        <w:tblLook w:val="04A0" w:firstRow="1" w:lastRow="0" w:firstColumn="1" w:lastColumn="0" w:noHBand="0" w:noVBand="1"/>
        <w:tblCaption w:val="Table 42  Death, cardiac and serious adverse events in Fabry patients randomised to receive either agalsidase alfa or agalsidase beta (El Dib, R P, Nascimento &amp; Pastores 2013)"/>
      </w:tblPr>
      <w:tblGrid>
        <w:gridCol w:w="1656"/>
        <w:gridCol w:w="1317"/>
        <w:gridCol w:w="1456"/>
        <w:gridCol w:w="1046"/>
        <w:gridCol w:w="1623"/>
        <w:gridCol w:w="2078"/>
      </w:tblGrid>
      <w:tr w:rsidR="007C4217" w:rsidRPr="001E2881" w:rsidTr="009A0365">
        <w:trPr>
          <w:trHeight w:val="1056"/>
          <w:tblHeader/>
        </w:trPr>
        <w:tc>
          <w:tcPr>
            <w:tcW w:w="0" w:type="auto"/>
            <w:tcBorders>
              <w:top w:val="single" w:sz="12" w:space="0" w:color="000000"/>
              <w:left w:val="nil"/>
              <w:bottom w:val="single" w:sz="6" w:space="0" w:color="000000"/>
              <w:right w:val="nil"/>
            </w:tcBorders>
            <w:shd w:val="clear" w:color="auto" w:fill="3271AA"/>
            <w:hideMark/>
          </w:tcPr>
          <w:p w:rsidR="007C4217" w:rsidRPr="00CB33FA" w:rsidRDefault="007C4217" w:rsidP="000149C1">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0" w:type="auto"/>
            <w:tcBorders>
              <w:top w:val="single" w:sz="12" w:space="0" w:color="000000"/>
              <w:left w:val="nil"/>
              <w:bottom w:val="single" w:sz="6" w:space="0" w:color="000000"/>
              <w:right w:val="nil"/>
            </w:tcBorders>
            <w:shd w:val="clear" w:color="auto" w:fill="3271AA"/>
            <w:hideMark/>
          </w:tcPr>
          <w:p w:rsidR="007C4217" w:rsidRPr="00CB33FA" w:rsidRDefault="007C4217" w:rsidP="000149C1">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0" w:type="auto"/>
            <w:tcBorders>
              <w:top w:val="single" w:sz="12" w:space="0" w:color="000000"/>
              <w:left w:val="nil"/>
              <w:bottom w:val="single" w:sz="6" w:space="0" w:color="000000"/>
              <w:right w:val="nil"/>
            </w:tcBorders>
            <w:shd w:val="clear" w:color="auto" w:fill="3271AA"/>
            <w:hideMark/>
          </w:tcPr>
          <w:p w:rsidR="007C4217" w:rsidRPr="00CB33FA" w:rsidRDefault="007C4217" w:rsidP="000149C1">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0" w:type="auto"/>
            <w:tcBorders>
              <w:top w:val="single" w:sz="12" w:space="0" w:color="000000"/>
              <w:left w:val="nil"/>
              <w:bottom w:val="single" w:sz="6" w:space="0" w:color="000000"/>
              <w:right w:val="nil"/>
            </w:tcBorders>
            <w:shd w:val="clear" w:color="auto" w:fill="3271AA"/>
            <w:hideMark/>
          </w:tcPr>
          <w:p w:rsidR="007C4217" w:rsidRPr="00CB33FA" w:rsidRDefault="007C4217" w:rsidP="000149C1">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Relative effect</w:t>
            </w:r>
            <w:r w:rsidRPr="00CB33FA">
              <w:rPr>
                <w:rFonts w:ascii="Arial Narrow" w:hAnsi="Arial Narrow"/>
                <w:b/>
                <w:bCs/>
                <w:color w:val="FFFFFF"/>
                <w:sz w:val="20"/>
                <w:szCs w:val="20"/>
                <w:lang w:eastAsia="en-AU"/>
              </w:rPr>
              <w:br/>
              <w:t>(95% CI)</w:t>
            </w:r>
          </w:p>
        </w:tc>
        <w:tc>
          <w:tcPr>
            <w:tcW w:w="0" w:type="auto"/>
            <w:tcBorders>
              <w:top w:val="single" w:sz="12" w:space="0" w:color="000000"/>
              <w:left w:val="nil"/>
            </w:tcBorders>
            <w:shd w:val="clear" w:color="auto" w:fill="D3D3D3"/>
            <w:hideMark/>
          </w:tcPr>
          <w:p w:rsidR="007C4217" w:rsidRPr="00CB33FA" w:rsidRDefault="007C4217" w:rsidP="000149C1">
            <w:pPr>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agalsidase beta</w:t>
            </w:r>
          </w:p>
        </w:tc>
        <w:tc>
          <w:tcPr>
            <w:tcW w:w="0" w:type="auto"/>
            <w:tcBorders>
              <w:top w:val="single" w:sz="12" w:space="0" w:color="000000"/>
              <w:left w:val="nil"/>
              <w:right w:val="nil"/>
            </w:tcBorders>
            <w:shd w:val="clear" w:color="auto" w:fill="D3D3D3"/>
          </w:tcPr>
          <w:p w:rsidR="007C4217" w:rsidRPr="00CB33FA" w:rsidRDefault="007C4217" w:rsidP="000149C1">
            <w:pPr>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difference with Agalsidase alfa</w:t>
            </w:r>
          </w:p>
        </w:tc>
      </w:tr>
      <w:tr w:rsidR="000149C1" w:rsidRPr="001E2881" w:rsidTr="007C4217">
        <w:trPr>
          <w:trHeight w:val="1046"/>
        </w:trPr>
        <w:tc>
          <w:tcPr>
            <w:tcW w:w="0" w:type="auto"/>
            <w:tcBorders>
              <w:top w:val="single" w:sz="6" w:space="0" w:color="000000"/>
              <w:left w:val="nil"/>
              <w:bottom w:val="single" w:sz="6" w:space="0" w:color="000000"/>
              <w:right w:val="nil"/>
            </w:tcBorders>
            <w:hideMark/>
          </w:tcPr>
          <w:p w:rsidR="000149C1" w:rsidRPr="00CB33FA" w:rsidRDefault="000149C1" w:rsidP="000149C1">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Death</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24 months </w:t>
            </w:r>
          </w:p>
        </w:tc>
        <w:tc>
          <w:tcPr>
            <w:tcW w:w="0" w:type="auto"/>
            <w:tcBorders>
              <w:top w:val="single" w:sz="6" w:space="0" w:color="000000"/>
              <w:left w:val="nil"/>
              <w:bottom w:val="single" w:sz="6" w:space="0" w:color="000000"/>
              <w:right w:val="nil"/>
            </w:tcBorders>
            <w:hideMark/>
          </w:tcPr>
          <w:p w:rsidR="000149C1" w:rsidRPr="00CB33FA" w:rsidRDefault="000149C1" w:rsidP="000149C1">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36</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0" w:type="auto"/>
            <w:tcBorders>
              <w:top w:val="single" w:sz="6" w:space="0" w:color="000000"/>
              <w:left w:val="nil"/>
              <w:bottom w:val="single" w:sz="6" w:space="0" w:color="000000"/>
              <w:right w:val="nil"/>
            </w:tcBorders>
            <w:hideMark/>
          </w:tcPr>
          <w:p w:rsidR="000149C1" w:rsidRPr="00CB33FA" w:rsidRDefault="00C31DE9" w:rsidP="000149C1">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0149C1" w:rsidRPr="00CB33FA">
              <w:rPr>
                <w:rFonts w:ascii="Arial Narrow" w:hAnsi="Arial Narrow"/>
                <w:color w:val="000000"/>
                <w:sz w:val="20"/>
                <w:szCs w:val="20"/>
                <w:lang w:eastAsia="en-AU"/>
              </w:rPr>
              <w:br/>
              <w:t xml:space="preserve">VERY LOW </w:t>
            </w:r>
            <w:r w:rsidR="000149C1" w:rsidRPr="00CB33FA">
              <w:rPr>
                <w:rFonts w:ascii="Arial Narrow" w:hAnsi="Arial Narrow"/>
                <w:color w:val="000000"/>
                <w:sz w:val="20"/>
                <w:szCs w:val="20"/>
                <w:vertAlign w:val="superscript"/>
                <w:lang w:eastAsia="en-AU"/>
              </w:rPr>
              <w:t> </w:t>
            </w:r>
            <w:r w:rsidR="000149C1" w:rsidRPr="00CB33FA">
              <w:rPr>
                <w:rFonts w:ascii="Arial Narrow" w:hAnsi="Arial Narrow"/>
                <w:color w:val="000000"/>
                <w:sz w:val="20"/>
                <w:szCs w:val="20"/>
                <w:u w:val="single"/>
                <w:vertAlign w:val="superscript"/>
                <w:lang w:eastAsia="en-AU"/>
              </w:rPr>
              <w:t>1</w:t>
            </w:r>
            <w:r w:rsidR="000149C1" w:rsidRPr="00CB33FA">
              <w:rPr>
                <w:rFonts w:ascii="Arial Narrow" w:hAnsi="Arial Narrow"/>
                <w:color w:val="000000"/>
                <w:sz w:val="20"/>
                <w:szCs w:val="20"/>
                <w:vertAlign w:val="superscript"/>
                <w:lang w:eastAsia="en-AU"/>
              </w:rPr>
              <w:t> </w:t>
            </w:r>
            <w:r w:rsidR="000149C1" w:rsidRPr="00CB33FA">
              <w:rPr>
                <w:rFonts w:ascii="Arial Narrow" w:hAnsi="Arial Narrow"/>
                <w:color w:val="000000"/>
                <w:sz w:val="20"/>
                <w:szCs w:val="20"/>
                <w:u w:val="single"/>
                <w:vertAlign w:val="superscript"/>
                <w:lang w:eastAsia="en-AU"/>
              </w:rPr>
              <w:t>2</w:t>
            </w:r>
          </w:p>
        </w:tc>
        <w:tc>
          <w:tcPr>
            <w:tcW w:w="0" w:type="auto"/>
            <w:tcBorders>
              <w:top w:val="single" w:sz="6" w:space="0" w:color="000000"/>
              <w:left w:val="nil"/>
              <w:bottom w:val="single" w:sz="6" w:space="0" w:color="000000"/>
              <w:right w:val="nil"/>
            </w:tcBorders>
            <w:hideMark/>
          </w:tcPr>
          <w:p w:rsidR="000149C1" w:rsidRPr="00CB33FA" w:rsidRDefault="000149C1" w:rsidP="000149C1">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3</w:t>
            </w:r>
            <w:r w:rsidRPr="00CB33FA">
              <w:rPr>
                <w:rFonts w:ascii="Arial Narrow" w:hAnsi="Arial Narrow"/>
                <w:color w:val="000000"/>
                <w:sz w:val="20"/>
                <w:szCs w:val="20"/>
                <w:lang w:eastAsia="en-AU"/>
              </w:rPr>
              <w:br/>
              <w:t xml:space="preserve">(0.13 to 69.09) </w:t>
            </w:r>
          </w:p>
        </w:tc>
        <w:tc>
          <w:tcPr>
            <w:tcW w:w="0" w:type="auto"/>
            <w:tcBorders>
              <w:top w:val="single" w:sz="6" w:space="0" w:color="000000"/>
              <w:left w:val="nil"/>
            </w:tcBorders>
            <w:shd w:val="clear" w:color="auto" w:fill="E0E0E0"/>
            <w:hideMark/>
          </w:tcPr>
          <w:p w:rsidR="000149C1" w:rsidRPr="00CB33FA" w:rsidRDefault="000149C1" w:rsidP="000149C1">
            <w:pPr>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0 per 1000 </w:t>
            </w:r>
          </w:p>
        </w:tc>
        <w:tc>
          <w:tcPr>
            <w:tcW w:w="0" w:type="auto"/>
            <w:tcBorders>
              <w:top w:val="single" w:sz="6" w:space="0" w:color="000000"/>
              <w:left w:val="nil"/>
              <w:right w:val="nil"/>
            </w:tcBorders>
            <w:shd w:val="clear" w:color="auto" w:fill="E0E0E0"/>
          </w:tcPr>
          <w:p w:rsidR="000149C1" w:rsidRPr="00CB33FA" w:rsidRDefault="000149C1" w:rsidP="000149C1">
            <w:pPr>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56 more per 1000</w:t>
            </w:r>
            <w:r w:rsidRPr="00CB33FA">
              <w:rPr>
                <w:rFonts w:ascii="Arial Narrow" w:hAnsi="Arial Narrow"/>
                <w:color w:val="000000"/>
                <w:sz w:val="20"/>
                <w:szCs w:val="20"/>
                <w:lang w:eastAsia="en-AU"/>
              </w:rPr>
              <w:br/>
              <w:t xml:space="preserve">(50 fewer to 161 more) </w:t>
            </w:r>
          </w:p>
        </w:tc>
      </w:tr>
      <w:tr w:rsidR="000149C1" w:rsidRPr="001E2881" w:rsidTr="007C4217">
        <w:trPr>
          <w:trHeight w:val="978"/>
        </w:trPr>
        <w:tc>
          <w:tcPr>
            <w:tcW w:w="0" w:type="auto"/>
            <w:tcBorders>
              <w:top w:val="single" w:sz="6" w:space="0" w:color="000000"/>
              <w:left w:val="nil"/>
              <w:bottom w:val="single" w:sz="6" w:space="0" w:color="000000"/>
              <w:right w:val="nil"/>
            </w:tcBorders>
            <w:hideMark/>
          </w:tcPr>
          <w:p w:rsidR="000149C1" w:rsidRPr="00CB33FA" w:rsidRDefault="000149C1" w:rsidP="000149C1">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Cardiac events</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42 months </w:t>
            </w:r>
          </w:p>
        </w:tc>
        <w:tc>
          <w:tcPr>
            <w:tcW w:w="0" w:type="auto"/>
            <w:tcBorders>
              <w:top w:val="single" w:sz="6" w:space="0" w:color="000000"/>
              <w:left w:val="nil"/>
              <w:bottom w:val="single" w:sz="6" w:space="0" w:color="000000"/>
              <w:right w:val="nil"/>
            </w:tcBorders>
            <w:hideMark/>
          </w:tcPr>
          <w:p w:rsidR="000149C1" w:rsidRPr="00CB33FA" w:rsidRDefault="000149C1" w:rsidP="000149C1">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29</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42 months </w:t>
            </w:r>
          </w:p>
        </w:tc>
        <w:tc>
          <w:tcPr>
            <w:tcW w:w="0" w:type="auto"/>
            <w:tcBorders>
              <w:top w:val="single" w:sz="6" w:space="0" w:color="000000"/>
              <w:left w:val="nil"/>
              <w:bottom w:val="single" w:sz="6" w:space="0" w:color="000000"/>
              <w:right w:val="nil"/>
            </w:tcBorders>
            <w:hideMark/>
          </w:tcPr>
          <w:p w:rsidR="000149C1" w:rsidRPr="00CB33FA" w:rsidRDefault="00C31DE9" w:rsidP="000149C1">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0149C1" w:rsidRPr="00CB33FA">
              <w:rPr>
                <w:rFonts w:ascii="Arial Narrow" w:hAnsi="Arial Narrow"/>
                <w:color w:val="000000"/>
                <w:sz w:val="20"/>
                <w:szCs w:val="20"/>
                <w:lang w:eastAsia="en-AU"/>
              </w:rPr>
              <w:br/>
              <w:t xml:space="preserve">VERY LOW </w:t>
            </w:r>
            <w:r w:rsidR="000149C1" w:rsidRPr="00CB33FA">
              <w:rPr>
                <w:rFonts w:ascii="Arial Narrow" w:hAnsi="Arial Narrow"/>
                <w:color w:val="000000"/>
                <w:sz w:val="20"/>
                <w:szCs w:val="20"/>
                <w:vertAlign w:val="superscript"/>
                <w:lang w:eastAsia="en-AU"/>
              </w:rPr>
              <w:t> </w:t>
            </w:r>
            <w:r w:rsidR="000149C1" w:rsidRPr="00CB33FA">
              <w:rPr>
                <w:rFonts w:ascii="Arial Narrow" w:hAnsi="Arial Narrow"/>
                <w:color w:val="000000"/>
                <w:sz w:val="20"/>
                <w:szCs w:val="20"/>
                <w:u w:val="single"/>
                <w:vertAlign w:val="superscript"/>
                <w:lang w:eastAsia="en-AU"/>
              </w:rPr>
              <w:t>1</w:t>
            </w:r>
            <w:r w:rsidR="000149C1" w:rsidRPr="00CB33FA">
              <w:rPr>
                <w:rFonts w:ascii="Arial Narrow" w:hAnsi="Arial Narrow"/>
                <w:color w:val="000000"/>
                <w:sz w:val="20"/>
                <w:szCs w:val="20"/>
                <w:vertAlign w:val="superscript"/>
                <w:lang w:eastAsia="en-AU"/>
              </w:rPr>
              <w:t> </w:t>
            </w:r>
            <w:r w:rsidR="000149C1" w:rsidRPr="00CB33FA">
              <w:rPr>
                <w:rFonts w:ascii="Arial Narrow" w:hAnsi="Arial Narrow"/>
                <w:color w:val="000000"/>
                <w:sz w:val="20"/>
                <w:szCs w:val="20"/>
                <w:u w:val="single"/>
                <w:vertAlign w:val="superscript"/>
                <w:lang w:eastAsia="en-AU"/>
              </w:rPr>
              <w:t>2</w:t>
            </w:r>
          </w:p>
        </w:tc>
        <w:tc>
          <w:tcPr>
            <w:tcW w:w="0" w:type="auto"/>
            <w:tcBorders>
              <w:top w:val="single" w:sz="6" w:space="0" w:color="000000"/>
              <w:left w:val="nil"/>
              <w:bottom w:val="single" w:sz="6" w:space="0" w:color="000000"/>
              <w:right w:val="nil"/>
            </w:tcBorders>
            <w:hideMark/>
          </w:tcPr>
          <w:p w:rsidR="000149C1" w:rsidRPr="00CB33FA" w:rsidRDefault="000149C1" w:rsidP="000149C1">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0.47</w:t>
            </w:r>
            <w:r w:rsidRPr="00CB33FA">
              <w:rPr>
                <w:rFonts w:ascii="Arial Narrow" w:hAnsi="Arial Narrow"/>
                <w:color w:val="000000"/>
                <w:sz w:val="20"/>
                <w:szCs w:val="20"/>
                <w:lang w:eastAsia="en-AU"/>
              </w:rPr>
              <w:br/>
              <w:t xml:space="preserve">(0.05 to 4.6) </w:t>
            </w:r>
          </w:p>
        </w:tc>
        <w:tc>
          <w:tcPr>
            <w:tcW w:w="0" w:type="auto"/>
            <w:tcBorders>
              <w:top w:val="single" w:sz="6" w:space="0" w:color="000000"/>
              <w:left w:val="nil"/>
            </w:tcBorders>
            <w:shd w:val="clear" w:color="auto" w:fill="E0E0E0"/>
            <w:hideMark/>
          </w:tcPr>
          <w:p w:rsidR="000149C1" w:rsidRPr="00CB33FA" w:rsidRDefault="000149C1" w:rsidP="000149C1">
            <w:pPr>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143 per 1000 </w:t>
            </w:r>
          </w:p>
        </w:tc>
        <w:tc>
          <w:tcPr>
            <w:tcW w:w="0" w:type="auto"/>
            <w:tcBorders>
              <w:top w:val="single" w:sz="6" w:space="0" w:color="000000"/>
              <w:left w:val="nil"/>
              <w:right w:val="nil"/>
            </w:tcBorders>
            <w:shd w:val="clear" w:color="auto" w:fill="E0E0E0"/>
          </w:tcPr>
          <w:p w:rsidR="000149C1" w:rsidRPr="00CB33FA" w:rsidRDefault="000149C1" w:rsidP="000149C1">
            <w:pPr>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76 fewer per 1000</w:t>
            </w:r>
            <w:r w:rsidRPr="00CB33FA">
              <w:rPr>
                <w:rFonts w:ascii="Arial Narrow" w:hAnsi="Arial Narrow"/>
                <w:color w:val="000000"/>
                <w:sz w:val="20"/>
                <w:szCs w:val="20"/>
                <w:lang w:eastAsia="en-AU"/>
              </w:rPr>
              <w:br/>
              <w:t xml:space="preserve">(299 fewer to 146 more) </w:t>
            </w:r>
          </w:p>
        </w:tc>
      </w:tr>
      <w:tr w:rsidR="000149C1" w:rsidRPr="001E2881" w:rsidTr="007C4217">
        <w:trPr>
          <w:trHeight w:val="1093"/>
        </w:trPr>
        <w:tc>
          <w:tcPr>
            <w:tcW w:w="0" w:type="auto"/>
            <w:tcBorders>
              <w:top w:val="single" w:sz="6" w:space="0" w:color="000000"/>
              <w:left w:val="nil"/>
              <w:bottom w:val="single" w:sz="6" w:space="0" w:color="000000"/>
              <w:right w:val="nil"/>
            </w:tcBorders>
            <w:hideMark/>
          </w:tcPr>
          <w:p w:rsidR="000149C1" w:rsidRPr="00CB33FA" w:rsidRDefault="000149C1" w:rsidP="000149C1">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Any serious adverse event</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24 months </w:t>
            </w:r>
          </w:p>
        </w:tc>
        <w:tc>
          <w:tcPr>
            <w:tcW w:w="0" w:type="auto"/>
            <w:tcBorders>
              <w:top w:val="single" w:sz="6" w:space="0" w:color="000000"/>
              <w:left w:val="nil"/>
              <w:bottom w:val="single" w:sz="6" w:space="0" w:color="000000"/>
              <w:right w:val="nil"/>
            </w:tcBorders>
            <w:hideMark/>
          </w:tcPr>
          <w:p w:rsidR="000149C1" w:rsidRPr="00CB33FA" w:rsidRDefault="000149C1" w:rsidP="000149C1">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34</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0" w:type="auto"/>
            <w:tcBorders>
              <w:top w:val="single" w:sz="6" w:space="0" w:color="000000"/>
              <w:left w:val="nil"/>
              <w:bottom w:val="single" w:sz="6" w:space="0" w:color="000000"/>
              <w:right w:val="nil"/>
            </w:tcBorders>
            <w:hideMark/>
          </w:tcPr>
          <w:p w:rsidR="000149C1" w:rsidRPr="00CB33FA" w:rsidRDefault="00C31DE9" w:rsidP="000149C1">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0149C1" w:rsidRPr="00CB33FA">
              <w:rPr>
                <w:rFonts w:ascii="Arial Narrow" w:hAnsi="Arial Narrow"/>
                <w:color w:val="000000"/>
                <w:sz w:val="20"/>
                <w:szCs w:val="20"/>
                <w:lang w:eastAsia="en-AU"/>
              </w:rPr>
              <w:br/>
              <w:t xml:space="preserve">VERY LOW </w:t>
            </w:r>
            <w:r w:rsidR="000149C1" w:rsidRPr="00CB33FA">
              <w:rPr>
                <w:rFonts w:ascii="Arial Narrow" w:hAnsi="Arial Narrow"/>
                <w:color w:val="000000"/>
                <w:sz w:val="20"/>
                <w:szCs w:val="20"/>
                <w:vertAlign w:val="superscript"/>
                <w:lang w:eastAsia="en-AU"/>
              </w:rPr>
              <w:t> </w:t>
            </w:r>
            <w:r w:rsidR="000149C1" w:rsidRPr="00CB33FA">
              <w:rPr>
                <w:rFonts w:ascii="Arial Narrow" w:hAnsi="Arial Narrow"/>
                <w:color w:val="000000"/>
                <w:sz w:val="20"/>
                <w:szCs w:val="20"/>
                <w:u w:val="single"/>
                <w:vertAlign w:val="superscript"/>
                <w:lang w:eastAsia="en-AU"/>
              </w:rPr>
              <w:t>1</w:t>
            </w:r>
            <w:r w:rsidR="000149C1" w:rsidRPr="00CB33FA">
              <w:rPr>
                <w:rFonts w:ascii="Arial Narrow" w:hAnsi="Arial Narrow"/>
                <w:color w:val="000000"/>
                <w:sz w:val="20"/>
                <w:szCs w:val="20"/>
                <w:vertAlign w:val="superscript"/>
                <w:lang w:eastAsia="en-AU"/>
              </w:rPr>
              <w:t> </w:t>
            </w:r>
            <w:r w:rsidR="000149C1" w:rsidRPr="00CB33FA">
              <w:rPr>
                <w:rFonts w:ascii="Arial Narrow" w:hAnsi="Arial Narrow"/>
                <w:color w:val="000000"/>
                <w:sz w:val="20"/>
                <w:szCs w:val="20"/>
                <w:u w:val="single"/>
                <w:vertAlign w:val="superscript"/>
                <w:lang w:eastAsia="en-AU"/>
              </w:rPr>
              <w:t>2</w:t>
            </w:r>
          </w:p>
        </w:tc>
        <w:tc>
          <w:tcPr>
            <w:tcW w:w="0" w:type="auto"/>
            <w:tcBorders>
              <w:top w:val="single" w:sz="6" w:space="0" w:color="000000"/>
              <w:left w:val="nil"/>
              <w:bottom w:val="single" w:sz="6" w:space="0" w:color="000000"/>
              <w:right w:val="nil"/>
            </w:tcBorders>
            <w:hideMark/>
          </w:tcPr>
          <w:p w:rsidR="000149C1" w:rsidRPr="00CB33FA" w:rsidRDefault="000149C1" w:rsidP="000149C1">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0.3</w:t>
            </w:r>
            <w:r w:rsidRPr="00CB33FA">
              <w:rPr>
                <w:rFonts w:ascii="Arial Narrow" w:hAnsi="Arial Narrow"/>
                <w:color w:val="000000"/>
                <w:sz w:val="20"/>
                <w:szCs w:val="20"/>
                <w:lang w:eastAsia="en-AU"/>
              </w:rPr>
              <w:br/>
              <w:t xml:space="preserve">(0.03 to 2.57) </w:t>
            </w:r>
          </w:p>
        </w:tc>
        <w:tc>
          <w:tcPr>
            <w:tcW w:w="0" w:type="auto"/>
            <w:tcBorders>
              <w:top w:val="single" w:sz="6" w:space="0" w:color="000000"/>
              <w:left w:val="nil"/>
            </w:tcBorders>
            <w:shd w:val="clear" w:color="auto" w:fill="E0E0E0"/>
            <w:hideMark/>
          </w:tcPr>
          <w:p w:rsidR="000149C1" w:rsidRPr="00CB33FA" w:rsidRDefault="000149C1" w:rsidP="000149C1">
            <w:pPr>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188 per 1000 </w:t>
            </w:r>
          </w:p>
        </w:tc>
        <w:tc>
          <w:tcPr>
            <w:tcW w:w="0" w:type="auto"/>
            <w:tcBorders>
              <w:top w:val="single" w:sz="6" w:space="0" w:color="000000"/>
              <w:left w:val="nil"/>
              <w:right w:val="nil"/>
            </w:tcBorders>
            <w:shd w:val="clear" w:color="auto" w:fill="E0E0E0"/>
          </w:tcPr>
          <w:p w:rsidR="000149C1" w:rsidRPr="00CB33FA" w:rsidRDefault="000149C1" w:rsidP="000149C1">
            <w:pPr>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132 fewer per 1000</w:t>
            </w:r>
            <w:r w:rsidRPr="00CB33FA">
              <w:rPr>
                <w:rFonts w:ascii="Arial Narrow" w:hAnsi="Arial Narrow"/>
                <w:color w:val="000000"/>
                <w:sz w:val="20"/>
                <w:szCs w:val="20"/>
                <w:lang w:eastAsia="en-AU"/>
              </w:rPr>
              <w:br/>
              <w:t xml:space="preserve">(351 fewer to 87 more) </w:t>
            </w:r>
          </w:p>
        </w:tc>
      </w:tr>
    </w:tbl>
    <w:p w:rsidR="001C3FAF" w:rsidRDefault="001B5185" w:rsidP="001B5185">
      <w:pPr>
        <w:pStyle w:val="TableNote"/>
        <w:ind w:left="0" w:firstLine="0"/>
        <w:rPr>
          <w:lang w:val="en"/>
        </w:rPr>
      </w:pPr>
      <w:r>
        <w:rPr>
          <w:lang w:val="en"/>
        </w:rPr>
        <w:t>CI</w:t>
      </w:r>
      <w:r w:rsidR="007C4217" w:rsidRPr="00DC17CA">
        <w:rPr>
          <w:spacing w:val="-20"/>
          <w:lang w:val="en"/>
        </w:rPr>
        <w:t xml:space="preserve"> = </w:t>
      </w:r>
      <w:r>
        <w:rPr>
          <w:lang w:val="en"/>
        </w:rPr>
        <w:t>confidence interval; RCT</w:t>
      </w:r>
      <w:r w:rsidR="007C4217" w:rsidRPr="001E2881">
        <w:rPr>
          <w:spacing w:val="-20"/>
          <w:lang w:val="en"/>
        </w:rPr>
        <w:t xml:space="preserve"> = </w:t>
      </w:r>
      <w:r>
        <w:rPr>
          <w:lang w:val="en"/>
        </w:rPr>
        <w:t>randomised controlled trial; RR</w:t>
      </w:r>
      <w:r w:rsidR="007C4217" w:rsidRPr="001E2881">
        <w:rPr>
          <w:spacing w:val="-20"/>
          <w:lang w:val="en"/>
        </w:rPr>
        <w:t xml:space="preserve"> = </w:t>
      </w:r>
      <w:r w:rsidR="007C4217" w:rsidRPr="001E2881">
        <w:rPr>
          <w:lang w:val="en"/>
        </w:rPr>
        <w:t>relative risk; risk difference calculated using STATA; Death, cardiac events and serious adver</w:t>
      </w:r>
      <w:r w:rsidR="00D20891">
        <w:rPr>
          <w:lang w:val="en"/>
        </w:rPr>
        <w:t>se events are considered critic</w:t>
      </w:r>
      <w:r w:rsidR="007C4217" w:rsidRPr="001E2881">
        <w:rPr>
          <w:lang w:val="en"/>
        </w:rPr>
        <w:t>al, any adverse events is considered important</w:t>
      </w:r>
    </w:p>
    <w:p w:rsidR="007C4217" w:rsidRPr="00CB33FA" w:rsidRDefault="007C4217" w:rsidP="007C4217">
      <w:pPr>
        <w:pStyle w:val="TableNote"/>
        <w:rPr>
          <w:color w:val="000000"/>
        </w:rPr>
      </w:pPr>
      <w:r>
        <w:rPr>
          <w:color w:val="000000"/>
        </w:rPr>
        <w:t xml:space="preserve">1. </w:t>
      </w:r>
      <w:r w:rsidRPr="00CB33FA">
        <w:rPr>
          <w:color w:val="000000"/>
        </w:rPr>
        <w:t>No blinding</w:t>
      </w:r>
    </w:p>
    <w:p w:rsidR="007C4217" w:rsidRPr="000756DF" w:rsidRDefault="007C4217" w:rsidP="007C4217">
      <w:pPr>
        <w:pStyle w:val="TableNote"/>
      </w:pPr>
      <w:r>
        <w:rPr>
          <w:color w:val="000000"/>
        </w:rPr>
        <w:t xml:space="preserve">2. </w:t>
      </w:r>
      <w:r w:rsidRPr="00CB33FA">
        <w:rPr>
          <w:color w:val="000000"/>
        </w:rPr>
        <w:t>Incomplete outcome data</w:t>
      </w:r>
    </w:p>
    <w:p w:rsidR="00307C13" w:rsidRDefault="00307C13" w:rsidP="00475E97"/>
    <w:p w:rsidR="001C3FAF" w:rsidRPr="000756DF" w:rsidRDefault="001C3FAF" w:rsidP="001C3FAF">
      <w:pPr>
        <w:pStyle w:val="Heading5"/>
      </w:pPr>
      <w:r w:rsidRPr="000756DF">
        <w:t>Changes in globotriaosylceramide Gb3 concentrations</w:t>
      </w:r>
    </w:p>
    <w:p w:rsidR="001C3FAF" w:rsidRPr="000756DF" w:rsidRDefault="001C3FAF" w:rsidP="001C3FAF">
      <w:bookmarkStart w:id="235" w:name="_Toc405361947"/>
      <w:r>
        <w:t>C</w:t>
      </w:r>
      <w:r w:rsidRPr="000756DF">
        <w:t xml:space="preserve">hanges in Gb3 levels in plasma and urine </w:t>
      </w:r>
      <w:r>
        <w:t>were reported by Vedder (2007)</w:t>
      </w:r>
      <w:r w:rsidRPr="000756DF">
        <w:t xml:space="preserve">. The results </w:t>
      </w:r>
      <w:r>
        <w:t xml:space="preserve">in </w:t>
      </w:r>
      <w:r w:rsidR="00A72B26" w:rsidRPr="00305731">
        <w:t xml:space="preserve">Table </w:t>
      </w:r>
      <w:r w:rsidR="00A72B26">
        <w:rPr>
          <w:noProof/>
        </w:rPr>
        <w:t>45</w:t>
      </w:r>
      <w:r>
        <w:t xml:space="preserve"> </w:t>
      </w:r>
      <w:r w:rsidRPr="000756DF">
        <w:t>have been calculated f</w:t>
      </w:r>
      <w:r>
        <w:t>ro</w:t>
      </w:r>
      <w:r w:rsidRPr="000756DF">
        <w:t>m raw data published by the author</w:t>
      </w:r>
      <w:r>
        <w:t>.</w:t>
      </w:r>
      <w:r w:rsidRPr="000756DF">
        <w:t xml:space="preserve"> Differences between the agalsidase alfa and beta groups wer</w:t>
      </w:r>
      <w:r>
        <w:t>e not statistically significant</w:t>
      </w:r>
      <w:r w:rsidRPr="000756DF">
        <w:t xml:space="preserve"> </w:t>
      </w:r>
      <w:r>
        <w:t xml:space="preserve">(GRADE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t>.</w:t>
      </w:r>
    </w:p>
    <w:p w:rsidR="001C3FAF" w:rsidRDefault="001C3FAF" w:rsidP="001C3FAF">
      <w:pPr>
        <w:pStyle w:val="Caption"/>
        <w:keepNext/>
        <w:tabs>
          <w:tab w:val="clear" w:pos="851"/>
          <w:tab w:val="left" w:pos="1134"/>
        </w:tabs>
        <w:ind w:left="1134" w:hanging="1134"/>
      </w:pPr>
      <w:bookmarkStart w:id="236" w:name="_Ref405842362"/>
      <w:bookmarkStart w:id="237" w:name="_Toc411510427"/>
      <w:bookmarkStart w:id="238" w:name="_Toc415141842"/>
      <w:r w:rsidRPr="00305731">
        <w:lastRenderedPageBreak/>
        <w:t xml:space="preserve">Table </w:t>
      </w:r>
      <w:r w:rsidR="00A72B26">
        <w:rPr>
          <w:noProof/>
        </w:rPr>
        <w:t>45</w:t>
      </w:r>
      <w:bookmarkEnd w:id="236"/>
      <w:r w:rsidRPr="00305731">
        <w:t xml:space="preserve"> </w:t>
      </w:r>
      <w:r>
        <w:tab/>
      </w:r>
      <w:r w:rsidRPr="00305731">
        <w:t xml:space="preserve">Comparison of Gb3 levels in Fabry patients randomised to </w:t>
      </w:r>
      <w:r>
        <w:t>receive</w:t>
      </w:r>
      <w:r w:rsidRPr="00305731">
        <w:t xml:space="preserve"> either agalsidase alfa or agalsidase beta </w:t>
      </w:r>
      <w:r w:rsidR="00A130D0">
        <w:rPr>
          <w:noProof/>
        </w:rPr>
        <w:t>(</w:t>
      </w:r>
      <w:r w:rsidR="00184B6F">
        <w:rPr>
          <w:noProof/>
        </w:rPr>
        <w:t>Vedder et al. 2007</w:t>
      </w:r>
      <w:r w:rsidR="00A130D0">
        <w:rPr>
          <w:noProof/>
        </w:rPr>
        <w:t>)</w:t>
      </w:r>
      <w:bookmarkEnd w:id="237"/>
      <w:bookmarkEnd w:id="238"/>
      <w:r>
        <w:t xml:space="preserve"> </w:t>
      </w:r>
      <w:bookmarkEnd w:id="235"/>
    </w:p>
    <w:tbl>
      <w:tblPr>
        <w:tblW w:w="5000" w:type="pct"/>
        <w:tblCellMar>
          <w:top w:w="75" w:type="dxa"/>
          <w:left w:w="75" w:type="dxa"/>
          <w:bottom w:w="75" w:type="dxa"/>
          <w:right w:w="75" w:type="dxa"/>
        </w:tblCellMar>
        <w:tblLook w:val="04A0" w:firstRow="1" w:lastRow="0" w:firstColumn="1" w:lastColumn="0" w:noHBand="0" w:noVBand="1"/>
        <w:tblCaption w:val="Table 43  Comparison of Gb3 levels in Fabry patients randomised to receive either agalsidase alfa or agalsidase beta (Vedder et al. 2007) "/>
      </w:tblPr>
      <w:tblGrid>
        <w:gridCol w:w="1655"/>
        <w:gridCol w:w="1320"/>
        <w:gridCol w:w="1527"/>
        <w:gridCol w:w="2518"/>
        <w:gridCol w:w="2156"/>
      </w:tblGrid>
      <w:tr w:rsidR="007C4217" w:rsidRPr="001E2881" w:rsidTr="009A0365">
        <w:trPr>
          <w:tblHeader/>
        </w:trPr>
        <w:tc>
          <w:tcPr>
            <w:tcW w:w="902" w:type="pct"/>
            <w:tcBorders>
              <w:top w:val="single" w:sz="12" w:space="0" w:color="000000"/>
              <w:left w:val="nil"/>
              <w:bottom w:val="single" w:sz="6" w:space="0" w:color="000000"/>
              <w:right w:val="nil"/>
            </w:tcBorders>
            <w:shd w:val="clear" w:color="auto" w:fill="3271AA"/>
          </w:tcPr>
          <w:p w:rsidR="007C4217" w:rsidRPr="00DC17CA" w:rsidRDefault="007C4217" w:rsidP="007C4217">
            <w:pPr>
              <w:keepNext/>
              <w:spacing w:after="0" w:line="240" w:lineRule="auto"/>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719" w:type="pct"/>
            <w:tcBorders>
              <w:top w:val="single" w:sz="12" w:space="0" w:color="000000"/>
              <w:left w:val="nil"/>
              <w:bottom w:val="single" w:sz="6" w:space="0" w:color="000000"/>
              <w:right w:val="nil"/>
            </w:tcBorders>
            <w:shd w:val="clear" w:color="auto" w:fill="3271AA"/>
          </w:tcPr>
          <w:p w:rsidR="007C4217" w:rsidRPr="00DC17CA" w:rsidRDefault="007C4217" w:rsidP="007C4217">
            <w:pPr>
              <w:keepNext/>
              <w:spacing w:after="0" w:line="240" w:lineRule="auto"/>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832" w:type="pct"/>
            <w:tcBorders>
              <w:top w:val="single" w:sz="12" w:space="0" w:color="000000"/>
              <w:left w:val="nil"/>
              <w:bottom w:val="single" w:sz="6" w:space="0" w:color="000000"/>
              <w:right w:val="nil"/>
            </w:tcBorders>
            <w:shd w:val="clear" w:color="auto" w:fill="3271AA"/>
          </w:tcPr>
          <w:p w:rsidR="007C4217" w:rsidRPr="00DC17CA" w:rsidRDefault="007C4217" w:rsidP="007C4217">
            <w:pPr>
              <w:keepNext/>
              <w:spacing w:after="0" w:line="240" w:lineRule="auto"/>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1372" w:type="pct"/>
            <w:tcBorders>
              <w:top w:val="single" w:sz="12" w:space="0" w:color="000000"/>
              <w:left w:val="nil"/>
              <w:bottom w:val="single" w:sz="6" w:space="0" w:color="000000"/>
              <w:right w:val="nil"/>
            </w:tcBorders>
            <w:shd w:val="clear" w:color="auto" w:fill="D3D3D3"/>
          </w:tcPr>
          <w:p w:rsidR="007C4217" w:rsidRPr="00DC17CA" w:rsidRDefault="007C4217" w:rsidP="007C4217">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agalsidase beta</w:t>
            </w:r>
          </w:p>
        </w:tc>
        <w:tc>
          <w:tcPr>
            <w:tcW w:w="1175" w:type="pct"/>
            <w:tcBorders>
              <w:top w:val="single" w:sz="12" w:space="0" w:color="000000"/>
              <w:left w:val="nil"/>
              <w:bottom w:val="single" w:sz="6" w:space="0" w:color="000000"/>
              <w:right w:val="nil"/>
            </w:tcBorders>
            <w:shd w:val="clear" w:color="auto" w:fill="D3D3D3"/>
          </w:tcPr>
          <w:p w:rsidR="007C4217" w:rsidRPr="00DC17CA" w:rsidRDefault="007C4217" w:rsidP="007C4217">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difference with Agalsidase alfa</w:t>
            </w:r>
          </w:p>
        </w:tc>
      </w:tr>
      <w:tr w:rsidR="007C4217" w:rsidRPr="001E2881" w:rsidTr="001028CF">
        <w:tc>
          <w:tcPr>
            <w:tcW w:w="902" w:type="pct"/>
            <w:tcBorders>
              <w:top w:val="single" w:sz="6" w:space="0" w:color="000000"/>
              <w:left w:val="nil"/>
              <w:bottom w:val="single" w:sz="6" w:space="0" w:color="000000"/>
              <w:right w:val="nil"/>
            </w:tcBorders>
            <w:vAlign w:val="center"/>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Change in plasma Gb3</w:t>
            </w:r>
            <w:r w:rsidRPr="00CB33FA">
              <w:rPr>
                <w:rFonts w:ascii="Arial Narrow" w:hAnsi="Arial Narrow"/>
                <w:color w:val="000000"/>
                <w:sz w:val="20"/>
                <w:szCs w:val="20"/>
                <w:lang w:eastAsia="en-AU"/>
              </w:rPr>
              <w:br/>
              <w:t>assessed with: umol/L</w:t>
            </w:r>
            <w:r w:rsidRPr="00CB33FA">
              <w:rPr>
                <w:rFonts w:ascii="Arial Narrow" w:hAnsi="Arial Narrow"/>
                <w:color w:val="000000"/>
                <w:sz w:val="20"/>
                <w:szCs w:val="20"/>
                <w:lang w:eastAsia="en-AU"/>
              </w:rPr>
              <w:br/>
              <w:t xml:space="preserve">follow up: 24 months </w:t>
            </w:r>
          </w:p>
        </w:tc>
        <w:tc>
          <w:tcPr>
            <w:tcW w:w="719" w:type="pct"/>
            <w:tcBorders>
              <w:top w:val="single" w:sz="6" w:space="0" w:color="000000"/>
              <w:left w:val="nil"/>
              <w:bottom w:val="single" w:sz="6" w:space="0" w:color="000000"/>
              <w:right w:val="nil"/>
            </w:tcBorders>
            <w:vAlign w:val="center"/>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29</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832" w:type="pct"/>
            <w:tcBorders>
              <w:top w:val="single" w:sz="6" w:space="0" w:color="000000"/>
              <w:left w:val="nil"/>
              <w:bottom w:val="single" w:sz="6" w:space="0" w:color="000000"/>
              <w:right w:val="nil"/>
            </w:tcBorders>
            <w:vAlign w:val="center"/>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Pr="00CB33FA">
              <w:rPr>
                <w:rFonts w:ascii="Arial Narrow" w:hAnsi="Arial Narrow"/>
                <w:color w:val="000000"/>
                <w:sz w:val="20"/>
                <w:szCs w:val="20"/>
                <w:lang w:eastAsia="en-AU"/>
              </w:rPr>
              <w:br/>
              <w:t xml:space="preserve">VERY LOW </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1</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2</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3</w:t>
            </w:r>
          </w:p>
        </w:tc>
        <w:tc>
          <w:tcPr>
            <w:tcW w:w="1372" w:type="pct"/>
            <w:tcBorders>
              <w:top w:val="single" w:sz="6" w:space="0" w:color="000000"/>
              <w:left w:val="nil"/>
              <w:bottom w:val="single" w:sz="6" w:space="0" w:color="000000"/>
              <w:right w:val="nil"/>
            </w:tcBorders>
            <w:shd w:val="clear" w:color="auto" w:fill="EDEDED"/>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The mean change in plasma Gb3 in the control group was -</w:t>
            </w:r>
            <w:r w:rsidRPr="00CB33FA">
              <w:rPr>
                <w:rFonts w:ascii="Arial Narrow" w:hAnsi="Arial Narrow"/>
                <w:b/>
                <w:bCs/>
                <w:color w:val="000000"/>
                <w:sz w:val="20"/>
                <w:szCs w:val="20"/>
                <w:lang w:eastAsia="en-AU"/>
              </w:rPr>
              <w:t>1.1</w:t>
            </w:r>
            <w:r w:rsidRPr="00CB33FA">
              <w:rPr>
                <w:rFonts w:ascii="Arial Narrow" w:hAnsi="Arial Narrow"/>
                <w:color w:val="000000"/>
                <w:sz w:val="20"/>
                <w:szCs w:val="20"/>
                <w:lang w:eastAsia="en-AU"/>
              </w:rPr>
              <w:t xml:space="preserve"> umol/L </w:t>
            </w:r>
          </w:p>
        </w:tc>
        <w:tc>
          <w:tcPr>
            <w:tcW w:w="1175" w:type="pct"/>
            <w:tcBorders>
              <w:top w:val="single" w:sz="6" w:space="0" w:color="000000"/>
              <w:left w:val="nil"/>
              <w:bottom w:val="single" w:sz="6" w:space="0" w:color="000000"/>
              <w:right w:val="nil"/>
            </w:tcBorders>
            <w:shd w:val="clear" w:color="auto" w:fill="EDEDED"/>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0.42 higher</w:t>
            </w:r>
            <w:r w:rsidRPr="00CB33FA">
              <w:rPr>
                <w:rFonts w:ascii="Arial Narrow" w:hAnsi="Arial Narrow"/>
                <w:color w:val="000000"/>
                <w:sz w:val="20"/>
                <w:szCs w:val="20"/>
                <w:lang w:eastAsia="en-AU"/>
              </w:rPr>
              <w:br/>
              <w:t xml:space="preserve">(1.04 lower to 1.87 higher) </w:t>
            </w:r>
          </w:p>
        </w:tc>
      </w:tr>
      <w:tr w:rsidR="007C4217" w:rsidRPr="001E2881" w:rsidTr="007C4217">
        <w:tc>
          <w:tcPr>
            <w:tcW w:w="902" w:type="pct"/>
            <w:tcBorders>
              <w:top w:val="single" w:sz="6" w:space="0" w:color="000000"/>
              <w:left w:val="nil"/>
              <w:bottom w:val="single" w:sz="6" w:space="0" w:color="000000"/>
              <w:right w:val="nil"/>
            </w:tcBorders>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Change in urine Gb3</w:t>
            </w:r>
            <w:r w:rsidRPr="00CB33FA">
              <w:rPr>
                <w:rFonts w:ascii="Arial Narrow" w:hAnsi="Arial Narrow"/>
                <w:color w:val="000000"/>
                <w:sz w:val="20"/>
                <w:szCs w:val="20"/>
                <w:lang w:eastAsia="en-AU"/>
              </w:rPr>
              <w:br/>
              <w:t xml:space="preserve">follow up: 24 months </w:t>
            </w:r>
          </w:p>
        </w:tc>
        <w:tc>
          <w:tcPr>
            <w:tcW w:w="719" w:type="pct"/>
            <w:tcBorders>
              <w:top w:val="single" w:sz="6" w:space="0" w:color="000000"/>
              <w:left w:val="nil"/>
              <w:bottom w:val="single" w:sz="6" w:space="0" w:color="000000"/>
              <w:right w:val="nil"/>
            </w:tcBorders>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27</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832" w:type="pct"/>
            <w:tcBorders>
              <w:top w:val="single" w:sz="6" w:space="0" w:color="000000"/>
              <w:left w:val="nil"/>
              <w:bottom w:val="single" w:sz="6" w:space="0" w:color="000000"/>
              <w:right w:val="nil"/>
            </w:tcBorders>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Pr="00CB33FA">
              <w:rPr>
                <w:rFonts w:ascii="Arial Narrow" w:hAnsi="Arial Narrow"/>
                <w:color w:val="000000"/>
                <w:sz w:val="20"/>
                <w:szCs w:val="20"/>
                <w:lang w:eastAsia="en-AU"/>
              </w:rPr>
              <w:br/>
              <w:t xml:space="preserve">VERY LOW </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1</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2</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3</w:t>
            </w:r>
          </w:p>
        </w:tc>
        <w:tc>
          <w:tcPr>
            <w:tcW w:w="1372" w:type="pct"/>
            <w:tcBorders>
              <w:top w:val="single" w:sz="6" w:space="0" w:color="000000"/>
              <w:left w:val="nil"/>
              <w:bottom w:val="single" w:sz="6" w:space="0" w:color="000000"/>
              <w:right w:val="nil"/>
            </w:tcBorders>
            <w:shd w:val="clear" w:color="auto" w:fill="EDEDED"/>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change in urine Gb3 in the control group was 371 umol/L </w:t>
            </w:r>
          </w:p>
        </w:tc>
        <w:tc>
          <w:tcPr>
            <w:tcW w:w="1175" w:type="pct"/>
            <w:tcBorders>
              <w:top w:val="single" w:sz="6" w:space="0" w:color="000000"/>
              <w:left w:val="nil"/>
              <w:bottom w:val="single" w:sz="6" w:space="0" w:color="000000"/>
              <w:right w:val="nil"/>
            </w:tcBorders>
            <w:shd w:val="clear" w:color="auto" w:fill="EDEDED"/>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587 higher</w:t>
            </w:r>
            <w:r w:rsidRPr="00CB33FA">
              <w:rPr>
                <w:rFonts w:ascii="Arial Narrow" w:hAnsi="Arial Narrow"/>
                <w:color w:val="000000"/>
                <w:sz w:val="20"/>
                <w:szCs w:val="20"/>
                <w:lang w:eastAsia="en-AU"/>
              </w:rPr>
              <w:br/>
              <w:t xml:space="preserve">(450 lower to 1624 higher) </w:t>
            </w:r>
          </w:p>
        </w:tc>
      </w:tr>
    </w:tbl>
    <w:p w:rsidR="00D124D0" w:rsidRDefault="001B5185" w:rsidP="001B5185">
      <w:pPr>
        <w:pStyle w:val="TableNote"/>
        <w:ind w:left="0" w:firstLine="0"/>
        <w:rPr>
          <w:color w:val="000000"/>
        </w:rPr>
      </w:pPr>
      <w:r>
        <w:rPr>
          <w:lang w:val="en"/>
        </w:rPr>
        <w:t>RCT</w:t>
      </w:r>
      <w:r w:rsidR="007C4217" w:rsidRPr="00DC17CA">
        <w:rPr>
          <w:spacing w:val="-20"/>
          <w:lang w:val="en"/>
        </w:rPr>
        <w:t xml:space="preserve"> = </w:t>
      </w:r>
      <w:r w:rsidR="007C4217" w:rsidRPr="001E2881">
        <w:rPr>
          <w:lang w:val="en"/>
        </w:rPr>
        <w:t xml:space="preserve">randomised controlled trial; Gb3 = </w:t>
      </w:r>
      <w:r w:rsidR="007C4217" w:rsidRPr="001E2881">
        <w:t>globotriaosylceramide;</w:t>
      </w:r>
      <w:r>
        <w:rPr>
          <w:lang w:val="en"/>
        </w:rPr>
        <w:t xml:space="preserve"> MD</w:t>
      </w:r>
      <w:r w:rsidR="007C4217" w:rsidRPr="001E2881">
        <w:rPr>
          <w:spacing w:val="-20"/>
          <w:lang w:val="en"/>
        </w:rPr>
        <w:t xml:space="preserve"> = </w:t>
      </w:r>
      <w:r w:rsidR="007C4217" w:rsidRPr="001E2881">
        <w:rPr>
          <w:lang w:val="en"/>
        </w:rPr>
        <w:t xml:space="preserve">mean difference between agalsidase alfa and agalsidase beta </w:t>
      </w:r>
      <w:r w:rsidR="00D124D0" w:rsidRPr="006A44C2">
        <w:rPr>
          <w:lang w:val="en"/>
        </w:rPr>
        <w:t xml:space="preserve">(i.e. a mean difference “lower” means that the effect </w:t>
      </w:r>
      <w:r w:rsidR="00D124D0">
        <w:rPr>
          <w:lang w:val="en"/>
        </w:rPr>
        <w:t xml:space="preserve">size </w:t>
      </w:r>
      <w:r w:rsidR="00D124D0" w:rsidRPr="006A44C2">
        <w:rPr>
          <w:lang w:val="en"/>
        </w:rPr>
        <w:t xml:space="preserve">in </w:t>
      </w:r>
      <w:r w:rsidR="00D124D0">
        <w:rPr>
          <w:lang w:val="en"/>
        </w:rPr>
        <w:t xml:space="preserve">the </w:t>
      </w:r>
      <w:r w:rsidR="00D124D0" w:rsidRPr="006A44C2">
        <w:rPr>
          <w:lang w:val="en"/>
        </w:rPr>
        <w:t xml:space="preserve">agalsidase alfa </w:t>
      </w:r>
      <w:r w:rsidR="00D124D0">
        <w:rPr>
          <w:lang w:val="en"/>
        </w:rPr>
        <w:t xml:space="preserve">arm </w:t>
      </w:r>
      <w:r w:rsidR="00D124D0" w:rsidRPr="006A44C2">
        <w:rPr>
          <w:lang w:val="en"/>
        </w:rPr>
        <w:t xml:space="preserve">is lower than </w:t>
      </w:r>
      <w:r w:rsidR="00260249">
        <w:rPr>
          <w:lang w:val="en"/>
        </w:rPr>
        <w:t>in agalsidase beta</w:t>
      </w:r>
      <w:r w:rsidR="00D124D0" w:rsidRPr="006A44C2">
        <w:rPr>
          <w:lang w:val="en"/>
        </w:rPr>
        <w:t xml:space="preserve">, and conversely “higher” means that the effect </w:t>
      </w:r>
      <w:r w:rsidR="00D124D0">
        <w:rPr>
          <w:lang w:val="en"/>
        </w:rPr>
        <w:t xml:space="preserve">size </w:t>
      </w:r>
      <w:r w:rsidR="00D124D0" w:rsidRPr="006A44C2">
        <w:rPr>
          <w:lang w:val="en"/>
        </w:rPr>
        <w:t xml:space="preserve">is higher in agalsidase alfa than in </w:t>
      </w:r>
      <w:r w:rsidR="00015BB7">
        <w:rPr>
          <w:lang w:val="en"/>
        </w:rPr>
        <w:t>agalsidase beta</w:t>
      </w:r>
      <w:r w:rsidR="00D124D0" w:rsidRPr="006A44C2">
        <w:rPr>
          <w:lang w:val="en"/>
        </w:rPr>
        <w:t>)</w:t>
      </w:r>
      <w:r w:rsidR="00D124D0">
        <w:rPr>
          <w:lang w:val="en"/>
        </w:rPr>
        <w:t xml:space="preserve">. In this instance, a </w:t>
      </w:r>
      <w:r w:rsidR="00CD39DE">
        <w:rPr>
          <w:lang w:val="en"/>
        </w:rPr>
        <w:t>lower</w:t>
      </w:r>
      <w:r w:rsidR="00D124D0">
        <w:rPr>
          <w:lang w:val="en"/>
        </w:rPr>
        <w:t xml:space="preserve"> Gb3 level is beneficial to patients.</w:t>
      </w:r>
      <w:r w:rsidR="00D124D0">
        <w:rPr>
          <w:color w:val="000000"/>
        </w:rPr>
        <w:t xml:space="preserve"> </w:t>
      </w:r>
    </w:p>
    <w:p w:rsidR="007C4217" w:rsidRPr="00CB33FA" w:rsidRDefault="007C4217" w:rsidP="007C4217">
      <w:pPr>
        <w:pStyle w:val="TableNote"/>
        <w:rPr>
          <w:color w:val="000000"/>
        </w:rPr>
      </w:pPr>
      <w:r>
        <w:rPr>
          <w:color w:val="000000"/>
        </w:rPr>
        <w:t xml:space="preserve">1. </w:t>
      </w:r>
      <w:r w:rsidRPr="00CB33FA">
        <w:rPr>
          <w:color w:val="000000"/>
        </w:rPr>
        <w:t>No blinding</w:t>
      </w:r>
    </w:p>
    <w:p w:rsidR="007C4217" w:rsidRPr="00CB33FA" w:rsidRDefault="007C4217" w:rsidP="007C4217">
      <w:pPr>
        <w:pStyle w:val="TableNote"/>
        <w:rPr>
          <w:color w:val="000000"/>
        </w:rPr>
      </w:pPr>
      <w:r>
        <w:rPr>
          <w:color w:val="000000"/>
        </w:rPr>
        <w:t xml:space="preserve">2. </w:t>
      </w:r>
      <w:r w:rsidRPr="00CB33FA">
        <w:rPr>
          <w:color w:val="000000"/>
        </w:rPr>
        <w:t>Incomplete outcome data</w:t>
      </w:r>
    </w:p>
    <w:p w:rsidR="00015BB7" w:rsidRDefault="007C4217" w:rsidP="00015BB7">
      <w:pPr>
        <w:pStyle w:val="TableNote"/>
        <w:rPr>
          <w:color w:val="000000"/>
        </w:rPr>
      </w:pPr>
      <w:r>
        <w:rPr>
          <w:color w:val="000000"/>
        </w:rPr>
        <w:t xml:space="preserve">3. </w:t>
      </w:r>
      <w:r w:rsidRPr="00CB33FA">
        <w:rPr>
          <w:color w:val="000000"/>
        </w:rPr>
        <w:t>Surrogate outcome</w:t>
      </w:r>
    </w:p>
    <w:p w:rsidR="00015BB7" w:rsidRDefault="00015BB7" w:rsidP="00015BB7"/>
    <w:p w:rsidR="001C3FAF" w:rsidRPr="000756DF" w:rsidRDefault="001C3FAF" w:rsidP="001C3FAF">
      <w:pPr>
        <w:pStyle w:val="Heading5"/>
      </w:pPr>
      <w:r w:rsidRPr="000756DF">
        <w:t>Renal function</w:t>
      </w:r>
    </w:p>
    <w:p w:rsidR="001C3FAF" w:rsidRPr="000756DF" w:rsidRDefault="001C3FAF" w:rsidP="001C3FAF">
      <w:bookmarkStart w:id="239" w:name="_Toc405361948"/>
      <w:r w:rsidRPr="000756DF">
        <w:t xml:space="preserve">Renal function was assessed </w:t>
      </w:r>
      <w:r>
        <w:t>as</w:t>
      </w:r>
      <w:r w:rsidRPr="000756DF">
        <w:t xml:space="preserve"> changes in GFR through creatinine clearance (</w:t>
      </w:r>
      <w:r w:rsidR="00A72B26" w:rsidRPr="00716774">
        <w:t xml:space="preserve">Table </w:t>
      </w:r>
      <w:r w:rsidR="00A72B26">
        <w:rPr>
          <w:noProof/>
        </w:rPr>
        <w:t>46</w:t>
      </w:r>
      <w:r w:rsidRPr="000756DF">
        <w:t xml:space="preserve">) and proteinuria </w:t>
      </w:r>
      <w:r w:rsidR="00FB6614">
        <w:t>(</w:t>
      </w:r>
      <w:r w:rsidR="00A72B26" w:rsidRPr="00716774">
        <w:t xml:space="preserve">Table </w:t>
      </w:r>
      <w:r w:rsidR="00A72B26">
        <w:rPr>
          <w:noProof/>
        </w:rPr>
        <w:t>47</w:t>
      </w:r>
      <w:r w:rsidR="00FB6614">
        <w:t>).</w:t>
      </w:r>
      <w:r w:rsidRPr="000756DF">
        <w:t xml:space="preserve"> The GFR was calculated from raw data published by Vedder</w:t>
      </w:r>
      <w:r>
        <w:t xml:space="preserve"> et al</w:t>
      </w:r>
      <w:r w:rsidRPr="000756DF">
        <w:t xml:space="preserve"> </w:t>
      </w:r>
      <w:r>
        <w:t>(2007)</w:t>
      </w:r>
      <w:r w:rsidRPr="000756DF">
        <w:t xml:space="preserve">. It was higher in </w:t>
      </w:r>
      <w:r>
        <w:t>patients receiving</w:t>
      </w:r>
      <w:r w:rsidRPr="000756DF">
        <w:t xml:space="preserve"> agalsidase beta compared to alfa but the difference was not </w:t>
      </w:r>
      <w:r>
        <w:t xml:space="preserve">statistically </w:t>
      </w:r>
      <w:r w:rsidRPr="000756DF">
        <w:t>significant. Proteinuria values also favoured the beta group but again</w:t>
      </w:r>
      <w:r>
        <w:t xml:space="preserve"> the result was consistent with chance</w:t>
      </w:r>
      <w:r w:rsidRPr="000756DF">
        <w:t xml:space="preserve"> </w:t>
      </w:r>
      <w:r>
        <w:t xml:space="preserve">(GRADE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t>.</w:t>
      </w:r>
    </w:p>
    <w:p w:rsidR="001C3FAF" w:rsidRDefault="001C3FAF" w:rsidP="001C3FAF">
      <w:pPr>
        <w:pStyle w:val="Caption"/>
        <w:keepNext/>
        <w:tabs>
          <w:tab w:val="clear" w:pos="851"/>
          <w:tab w:val="left" w:pos="1134"/>
        </w:tabs>
        <w:ind w:left="1134" w:hanging="1134"/>
      </w:pPr>
      <w:bookmarkStart w:id="240" w:name="_Ref405842464"/>
      <w:bookmarkStart w:id="241" w:name="_Toc411510428"/>
      <w:bookmarkStart w:id="242" w:name="_Toc415141843"/>
      <w:r w:rsidRPr="00716774">
        <w:lastRenderedPageBreak/>
        <w:t xml:space="preserve">Table </w:t>
      </w:r>
      <w:r w:rsidR="00A72B26">
        <w:rPr>
          <w:noProof/>
        </w:rPr>
        <w:t>46</w:t>
      </w:r>
      <w:bookmarkEnd w:id="240"/>
      <w:r w:rsidRPr="00305731">
        <w:t xml:space="preserve"> </w:t>
      </w:r>
      <w:r>
        <w:tab/>
      </w:r>
      <w:r w:rsidRPr="003E509A">
        <w:t xml:space="preserve">Changes in creatinine clearance in Fabry patients randomised to </w:t>
      </w:r>
      <w:r>
        <w:t>receive</w:t>
      </w:r>
      <w:r w:rsidRPr="003E509A">
        <w:t xml:space="preserve"> either agalsidase alfa or agalsidase beta </w:t>
      </w:r>
      <w:bookmarkEnd w:id="239"/>
      <w:r w:rsidR="00A130D0">
        <w:rPr>
          <w:noProof/>
        </w:rPr>
        <w:t>(</w:t>
      </w:r>
      <w:r w:rsidR="00184B6F">
        <w:rPr>
          <w:noProof/>
        </w:rPr>
        <w:t>Vedder et al. 2007</w:t>
      </w:r>
      <w:r w:rsidR="00A130D0">
        <w:rPr>
          <w:noProof/>
        </w:rPr>
        <w:t>)</w:t>
      </w:r>
      <w:bookmarkEnd w:id="241"/>
      <w:bookmarkEnd w:id="242"/>
    </w:p>
    <w:tbl>
      <w:tblPr>
        <w:tblW w:w="5000" w:type="pct"/>
        <w:tblCellMar>
          <w:top w:w="75" w:type="dxa"/>
          <w:left w:w="75" w:type="dxa"/>
          <w:bottom w:w="75" w:type="dxa"/>
          <w:right w:w="75" w:type="dxa"/>
        </w:tblCellMar>
        <w:tblLook w:val="04A0" w:firstRow="1" w:lastRow="0" w:firstColumn="1" w:lastColumn="0" w:noHBand="0" w:noVBand="1"/>
        <w:tblCaption w:val="Table 44  Changes in creatinine clearance in Fabry patients randomised to receive either agalsidase alfa or agalsidase beta (Vedder et al. 2007)"/>
      </w:tblPr>
      <w:tblGrid>
        <w:gridCol w:w="2652"/>
        <w:gridCol w:w="1145"/>
        <w:gridCol w:w="1213"/>
        <w:gridCol w:w="2579"/>
        <w:gridCol w:w="1587"/>
      </w:tblGrid>
      <w:tr w:rsidR="007C4217" w:rsidRPr="001E2881" w:rsidTr="009A0365">
        <w:trPr>
          <w:trHeight w:val="1236"/>
          <w:tblHeader/>
        </w:trPr>
        <w:tc>
          <w:tcPr>
            <w:tcW w:w="2652" w:type="dxa"/>
            <w:tcBorders>
              <w:top w:val="single" w:sz="12" w:space="0" w:color="000000"/>
              <w:left w:val="nil"/>
              <w:bottom w:val="single" w:sz="6" w:space="0" w:color="000000"/>
              <w:right w:val="nil"/>
            </w:tcBorders>
            <w:shd w:val="clear" w:color="auto" w:fill="3271AA"/>
            <w:hideMark/>
          </w:tcPr>
          <w:p w:rsidR="007C4217" w:rsidRPr="00CB33FA" w:rsidRDefault="007C4217" w:rsidP="007C4217">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1145" w:type="dxa"/>
            <w:tcBorders>
              <w:top w:val="single" w:sz="12" w:space="0" w:color="000000"/>
              <w:left w:val="nil"/>
              <w:bottom w:val="single" w:sz="6" w:space="0" w:color="000000"/>
              <w:right w:val="nil"/>
            </w:tcBorders>
            <w:shd w:val="clear" w:color="auto" w:fill="3271AA"/>
            <w:hideMark/>
          </w:tcPr>
          <w:p w:rsidR="007C4217" w:rsidRPr="00CB33FA" w:rsidRDefault="007C4217" w:rsidP="007C4217">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1213" w:type="dxa"/>
            <w:tcBorders>
              <w:top w:val="single" w:sz="12" w:space="0" w:color="000000"/>
              <w:left w:val="nil"/>
              <w:bottom w:val="single" w:sz="6" w:space="0" w:color="000000"/>
              <w:right w:val="nil"/>
            </w:tcBorders>
            <w:shd w:val="clear" w:color="auto" w:fill="3271AA"/>
            <w:hideMark/>
          </w:tcPr>
          <w:p w:rsidR="007C4217" w:rsidRPr="00CB33FA" w:rsidRDefault="007C4217" w:rsidP="007C4217">
            <w:pPr>
              <w:keepNext/>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2579" w:type="dxa"/>
            <w:tcBorders>
              <w:top w:val="single" w:sz="12" w:space="0" w:color="000000"/>
              <w:left w:val="nil"/>
            </w:tcBorders>
            <w:shd w:val="clear" w:color="auto" w:fill="D3D3D3"/>
          </w:tcPr>
          <w:p w:rsidR="007C4217" w:rsidRPr="00CB33FA" w:rsidRDefault="007C4217" w:rsidP="007C4217">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agalsidase beta</w:t>
            </w:r>
          </w:p>
        </w:tc>
        <w:tc>
          <w:tcPr>
            <w:tcW w:w="1587" w:type="dxa"/>
            <w:tcBorders>
              <w:top w:val="single" w:sz="12" w:space="0" w:color="000000"/>
              <w:left w:val="nil"/>
              <w:right w:val="nil"/>
            </w:tcBorders>
            <w:shd w:val="clear" w:color="auto" w:fill="D3D3D3"/>
          </w:tcPr>
          <w:p w:rsidR="007C4217" w:rsidRPr="00CB33FA" w:rsidRDefault="007C4217" w:rsidP="007C4217">
            <w:pPr>
              <w:keepNext/>
              <w:spacing w:after="0"/>
              <w:jc w:val="left"/>
              <w:rPr>
                <w:rFonts w:ascii="Arial Narrow" w:hAnsi="Arial Narrow"/>
                <w:b/>
                <w:bCs/>
                <w:color w:val="D9D9D9" w:themeColor="background1" w:themeShade="D9"/>
                <w:sz w:val="20"/>
                <w:szCs w:val="20"/>
                <w:lang w:eastAsia="en-AU"/>
              </w:rPr>
            </w:pPr>
            <w:r w:rsidRPr="00CB33FA">
              <w:rPr>
                <w:rFonts w:ascii="Arial Narrow" w:hAnsi="Arial Narrow"/>
                <w:b/>
                <w:bCs/>
                <w:color w:val="000000"/>
                <w:sz w:val="20"/>
                <w:szCs w:val="20"/>
                <w:lang w:eastAsia="en-AU"/>
              </w:rPr>
              <w:t>Risk difference with Agalsidase alfa</w:t>
            </w:r>
          </w:p>
        </w:tc>
      </w:tr>
      <w:tr w:rsidR="00FB6614" w:rsidRPr="001E2881" w:rsidTr="007C4217">
        <w:tc>
          <w:tcPr>
            <w:tcW w:w="2652" w:type="dxa"/>
            <w:tcBorders>
              <w:top w:val="single" w:sz="6" w:space="0" w:color="000000"/>
              <w:left w:val="nil"/>
              <w:bottom w:val="single" w:sz="6" w:space="0" w:color="000000"/>
              <w:right w:val="nil"/>
            </w:tcBorders>
            <w:hideMark/>
          </w:tcPr>
          <w:p w:rsidR="00FB6614" w:rsidRPr="00CB33FA" w:rsidRDefault="00FB6614" w:rsidP="007C4217">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Change in glomerular filtration rate (based on creatinine clearance)</w:t>
            </w:r>
            <w:r w:rsidRPr="00CB33FA">
              <w:rPr>
                <w:rFonts w:ascii="Arial Narrow" w:hAnsi="Arial Narrow"/>
                <w:color w:val="000000"/>
                <w:sz w:val="20"/>
                <w:szCs w:val="20"/>
                <w:lang w:eastAsia="en-AU"/>
              </w:rPr>
              <w:br/>
              <w:t>assessed with: ml/min</w:t>
            </w:r>
            <w:r w:rsidRPr="00CB33FA">
              <w:rPr>
                <w:rFonts w:ascii="Arial Narrow" w:hAnsi="Arial Narrow"/>
                <w:color w:val="000000"/>
                <w:sz w:val="20"/>
                <w:szCs w:val="20"/>
                <w:lang w:eastAsia="en-AU"/>
              </w:rPr>
              <w:br/>
              <w:t xml:space="preserve">follow up: 24 months </w:t>
            </w:r>
          </w:p>
        </w:tc>
        <w:tc>
          <w:tcPr>
            <w:tcW w:w="1145" w:type="dxa"/>
            <w:tcBorders>
              <w:top w:val="single" w:sz="6" w:space="0" w:color="000000"/>
              <w:left w:val="nil"/>
              <w:bottom w:val="single" w:sz="6" w:space="0" w:color="000000"/>
              <w:right w:val="nil"/>
            </w:tcBorders>
            <w:hideMark/>
          </w:tcPr>
          <w:p w:rsidR="00FB6614" w:rsidRPr="00CB33FA" w:rsidRDefault="00FB6614" w:rsidP="007C4217">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29</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1213" w:type="dxa"/>
            <w:tcBorders>
              <w:top w:val="single" w:sz="6" w:space="0" w:color="000000"/>
              <w:left w:val="nil"/>
              <w:bottom w:val="single" w:sz="6" w:space="0" w:color="000000"/>
              <w:right w:val="nil"/>
            </w:tcBorders>
            <w:hideMark/>
          </w:tcPr>
          <w:p w:rsidR="00FB6614" w:rsidRPr="00CB33FA" w:rsidRDefault="00C31DE9" w:rsidP="007C4217">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FB6614" w:rsidRPr="00CB33FA">
              <w:rPr>
                <w:rFonts w:ascii="Arial Narrow" w:hAnsi="Arial Narrow"/>
                <w:color w:val="000000"/>
                <w:sz w:val="20"/>
                <w:szCs w:val="20"/>
                <w:lang w:eastAsia="en-AU"/>
              </w:rPr>
              <w:br/>
              <w:t xml:space="preserve">VERY LOW </w:t>
            </w:r>
            <w:r w:rsidR="00FB6614" w:rsidRPr="00CB33FA">
              <w:rPr>
                <w:rFonts w:ascii="Arial Narrow" w:hAnsi="Arial Narrow"/>
                <w:color w:val="000000"/>
                <w:sz w:val="20"/>
                <w:szCs w:val="20"/>
                <w:vertAlign w:val="superscript"/>
                <w:lang w:eastAsia="en-AU"/>
              </w:rPr>
              <w:t> </w:t>
            </w:r>
            <w:r w:rsidR="00FB6614" w:rsidRPr="00CB33FA">
              <w:rPr>
                <w:rFonts w:ascii="Arial Narrow" w:hAnsi="Arial Narrow"/>
                <w:color w:val="000000"/>
                <w:sz w:val="20"/>
                <w:szCs w:val="20"/>
                <w:u w:val="single"/>
                <w:vertAlign w:val="superscript"/>
                <w:lang w:eastAsia="en-AU"/>
              </w:rPr>
              <w:t>1</w:t>
            </w:r>
            <w:r w:rsidR="00FB6614" w:rsidRPr="00CB33FA">
              <w:rPr>
                <w:rFonts w:ascii="Arial Narrow" w:hAnsi="Arial Narrow"/>
                <w:color w:val="000000"/>
                <w:sz w:val="20"/>
                <w:szCs w:val="20"/>
                <w:vertAlign w:val="superscript"/>
                <w:lang w:eastAsia="en-AU"/>
              </w:rPr>
              <w:t> </w:t>
            </w:r>
            <w:r w:rsidR="00FB6614" w:rsidRPr="00CB33FA">
              <w:rPr>
                <w:rFonts w:ascii="Arial Narrow" w:hAnsi="Arial Narrow"/>
                <w:color w:val="000000"/>
                <w:sz w:val="20"/>
                <w:szCs w:val="20"/>
                <w:u w:val="single"/>
                <w:vertAlign w:val="superscript"/>
                <w:lang w:eastAsia="en-AU"/>
              </w:rPr>
              <w:t>2</w:t>
            </w:r>
            <w:r w:rsidR="00FB6614" w:rsidRPr="00CB33FA">
              <w:rPr>
                <w:rFonts w:ascii="Arial Narrow" w:hAnsi="Arial Narrow"/>
                <w:color w:val="000000"/>
                <w:sz w:val="20"/>
                <w:szCs w:val="20"/>
                <w:vertAlign w:val="superscript"/>
                <w:lang w:eastAsia="en-AU"/>
              </w:rPr>
              <w:t> </w:t>
            </w:r>
            <w:r w:rsidR="00FB6614" w:rsidRPr="00CB33FA">
              <w:rPr>
                <w:rFonts w:ascii="Arial Narrow" w:hAnsi="Arial Narrow"/>
                <w:color w:val="000000"/>
                <w:sz w:val="20"/>
                <w:szCs w:val="20"/>
                <w:u w:val="single"/>
                <w:vertAlign w:val="superscript"/>
                <w:lang w:eastAsia="en-AU"/>
              </w:rPr>
              <w:t>3</w:t>
            </w:r>
          </w:p>
        </w:tc>
        <w:tc>
          <w:tcPr>
            <w:tcW w:w="2579" w:type="dxa"/>
            <w:tcBorders>
              <w:top w:val="single" w:sz="6" w:space="0" w:color="000000"/>
              <w:left w:val="nil"/>
              <w:bottom w:val="single" w:sz="6" w:space="0" w:color="000000"/>
              <w:right w:val="nil"/>
            </w:tcBorders>
            <w:shd w:val="clear" w:color="auto" w:fill="EDEDED"/>
            <w:hideMark/>
          </w:tcPr>
          <w:p w:rsidR="00FB6614" w:rsidRPr="00CB33FA" w:rsidRDefault="00FB6614" w:rsidP="007C4217">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change in glomerular filtration rate (based on creatinine clearance) in the control group was </w:t>
            </w:r>
            <w:r w:rsidRPr="00CB33FA">
              <w:rPr>
                <w:rFonts w:ascii="Arial Narrow" w:hAnsi="Arial Narrow"/>
                <w:b/>
                <w:bCs/>
                <w:color w:val="000000"/>
                <w:sz w:val="20"/>
                <w:szCs w:val="20"/>
                <w:lang w:eastAsia="en-AU"/>
              </w:rPr>
              <w:t>107</w:t>
            </w:r>
            <w:r w:rsidRPr="00CB33FA">
              <w:rPr>
                <w:rFonts w:ascii="Arial Narrow" w:hAnsi="Arial Narrow"/>
                <w:color w:val="000000"/>
                <w:sz w:val="20"/>
                <w:szCs w:val="20"/>
                <w:lang w:eastAsia="en-AU"/>
              </w:rPr>
              <w:t xml:space="preserve"> ml/min </w:t>
            </w:r>
          </w:p>
        </w:tc>
        <w:tc>
          <w:tcPr>
            <w:tcW w:w="1587" w:type="dxa"/>
            <w:tcBorders>
              <w:top w:val="single" w:sz="6" w:space="0" w:color="000000"/>
              <w:left w:val="nil"/>
              <w:bottom w:val="single" w:sz="6" w:space="0" w:color="000000"/>
              <w:right w:val="nil"/>
            </w:tcBorders>
            <w:shd w:val="clear" w:color="auto" w:fill="EDEDED"/>
            <w:hideMark/>
          </w:tcPr>
          <w:p w:rsidR="00FB6614" w:rsidRPr="00CB33FA" w:rsidRDefault="00FB6614" w:rsidP="007C4217">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0.11 higher</w:t>
            </w:r>
            <w:r w:rsidRPr="00CB33FA">
              <w:rPr>
                <w:rFonts w:ascii="Arial Narrow" w:hAnsi="Arial Narrow"/>
                <w:color w:val="000000"/>
                <w:sz w:val="20"/>
                <w:szCs w:val="20"/>
                <w:lang w:eastAsia="en-AU"/>
              </w:rPr>
              <w:br/>
              <w:t xml:space="preserve">(8.25 lower to 8.46 higher) </w:t>
            </w:r>
          </w:p>
        </w:tc>
      </w:tr>
    </w:tbl>
    <w:p w:rsidR="00307C13" w:rsidRDefault="001B5185" w:rsidP="001B5185">
      <w:pPr>
        <w:pStyle w:val="TableNote"/>
        <w:ind w:left="0" w:firstLine="0"/>
        <w:rPr>
          <w:color w:val="000000"/>
        </w:rPr>
      </w:pPr>
      <w:bookmarkStart w:id="243" w:name="_Ref405842475"/>
      <w:bookmarkStart w:id="244" w:name="_Toc405361949"/>
      <w:r>
        <w:t xml:space="preserve">RCT= randomised controlled trial; MD = </w:t>
      </w:r>
      <w:r w:rsidR="007C4217" w:rsidRPr="00CB33FA">
        <w:t xml:space="preserve">mean difference between agalsidase alfa and agalsidase beta </w:t>
      </w:r>
      <w:r w:rsidR="00CD39DE" w:rsidRPr="006A44C2">
        <w:rPr>
          <w:lang w:val="en"/>
        </w:rPr>
        <w:t xml:space="preserve">(i.e. a mean difference “lower” means that the effect </w:t>
      </w:r>
      <w:r w:rsidR="00CD39DE">
        <w:rPr>
          <w:lang w:val="en"/>
        </w:rPr>
        <w:t xml:space="preserve">size </w:t>
      </w:r>
      <w:r w:rsidR="00CD39DE" w:rsidRPr="006A44C2">
        <w:rPr>
          <w:lang w:val="en"/>
        </w:rPr>
        <w:t xml:space="preserve">in </w:t>
      </w:r>
      <w:r w:rsidR="00CD39DE">
        <w:rPr>
          <w:lang w:val="en"/>
        </w:rPr>
        <w:t xml:space="preserve">the </w:t>
      </w:r>
      <w:r w:rsidR="00CD39DE" w:rsidRPr="006A44C2">
        <w:rPr>
          <w:lang w:val="en"/>
        </w:rPr>
        <w:t xml:space="preserve">agalsidase alfa </w:t>
      </w:r>
      <w:r w:rsidR="00CD39DE">
        <w:rPr>
          <w:lang w:val="en"/>
        </w:rPr>
        <w:t xml:space="preserve">arm </w:t>
      </w:r>
      <w:r w:rsidR="00CD39DE" w:rsidRPr="006A44C2">
        <w:rPr>
          <w:lang w:val="en"/>
        </w:rPr>
        <w:t xml:space="preserve">is lower than </w:t>
      </w:r>
      <w:r w:rsidR="007A0E99">
        <w:rPr>
          <w:lang w:val="en"/>
        </w:rPr>
        <w:t>agalsidase beta</w:t>
      </w:r>
      <w:r w:rsidR="00CD39DE" w:rsidRPr="006A44C2">
        <w:rPr>
          <w:lang w:val="en"/>
        </w:rPr>
        <w:t xml:space="preserve">, and conversely “higher” means that the effect </w:t>
      </w:r>
      <w:r w:rsidR="00CD39DE">
        <w:rPr>
          <w:lang w:val="en"/>
        </w:rPr>
        <w:t xml:space="preserve">size </w:t>
      </w:r>
      <w:r w:rsidR="00CD39DE" w:rsidRPr="006A44C2">
        <w:rPr>
          <w:lang w:val="en"/>
        </w:rPr>
        <w:t xml:space="preserve">is higher in agalsidase alfa than in </w:t>
      </w:r>
      <w:r w:rsidR="007A0E99">
        <w:rPr>
          <w:lang w:val="en"/>
        </w:rPr>
        <w:t>agalsidase beta</w:t>
      </w:r>
      <w:r w:rsidR="00CD39DE" w:rsidRPr="006A44C2">
        <w:rPr>
          <w:lang w:val="en"/>
        </w:rPr>
        <w:t>)</w:t>
      </w:r>
      <w:r w:rsidR="00CD39DE">
        <w:rPr>
          <w:lang w:val="en"/>
        </w:rPr>
        <w:t>. In this instance, a lower creatinine clearance rate is beneficial to patients</w:t>
      </w:r>
      <w:r w:rsidR="00307C13">
        <w:rPr>
          <w:lang w:val="en"/>
        </w:rPr>
        <w:t>.</w:t>
      </w:r>
      <w:r w:rsidR="00CD39DE">
        <w:rPr>
          <w:color w:val="000000"/>
        </w:rPr>
        <w:t xml:space="preserve"> </w:t>
      </w:r>
    </w:p>
    <w:p w:rsidR="007C4217" w:rsidRPr="00CB33FA" w:rsidRDefault="007C4217" w:rsidP="007C4217">
      <w:pPr>
        <w:pStyle w:val="TableNote"/>
        <w:rPr>
          <w:color w:val="000000"/>
        </w:rPr>
      </w:pPr>
      <w:r>
        <w:rPr>
          <w:color w:val="000000"/>
        </w:rPr>
        <w:t xml:space="preserve">1. </w:t>
      </w:r>
      <w:r w:rsidRPr="00CB33FA">
        <w:rPr>
          <w:color w:val="000000"/>
        </w:rPr>
        <w:t>No blinding</w:t>
      </w:r>
    </w:p>
    <w:p w:rsidR="007C4217" w:rsidRPr="00CB33FA" w:rsidRDefault="007C4217" w:rsidP="007C4217">
      <w:pPr>
        <w:pStyle w:val="TableNote"/>
        <w:rPr>
          <w:color w:val="000000"/>
        </w:rPr>
      </w:pPr>
      <w:r>
        <w:rPr>
          <w:color w:val="000000"/>
        </w:rPr>
        <w:t xml:space="preserve">2. </w:t>
      </w:r>
      <w:r w:rsidRPr="00CB33FA">
        <w:rPr>
          <w:color w:val="000000"/>
        </w:rPr>
        <w:t>Incomplete outcome data</w:t>
      </w:r>
    </w:p>
    <w:p w:rsidR="007C4217" w:rsidRPr="007C4217" w:rsidRDefault="007C4217" w:rsidP="007C4217">
      <w:pPr>
        <w:pStyle w:val="TableNote"/>
      </w:pPr>
      <w:r>
        <w:rPr>
          <w:color w:val="000000"/>
        </w:rPr>
        <w:t xml:space="preserve">3. </w:t>
      </w:r>
      <w:r w:rsidRPr="00CB33FA">
        <w:rPr>
          <w:color w:val="000000"/>
        </w:rPr>
        <w:t>Surrogate outcome</w:t>
      </w:r>
    </w:p>
    <w:p w:rsidR="001C3FAF" w:rsidRDefault="001C3FAF" w:rsidP="001C3FAF">
      <w:pPr>
        <w:pStyle w:val="Caption"/>
        <w:keepNext/>
        <w:tabs>
          <w:tab w:val="clear" w:pos="851"/>
          <w:tab w:val="left" w:pos="1134"/>
        </w:tabs>
        <w:ind w:left="1134" w:hanging="1134"/>
      </w:pPr>
      <w:bookmarkStart w:id="245" w:name="_Ref409622455"/>
      <w:bookmarkStart w:id="246" w:name="_Toc411510429"/>
      <w:bookmarkStart w:id="247" w:name="_Toc415141844"/>
      <w:r w:rsidRPr="00716774">
        <w:t xml:space="preserve">Table </w:t>
      </w:r>
      <w:r w:rsidR="00A72B26">
        <w:rPr>
          <w:noProof/>
        </w:rPr>
        <w:t>47</w:t>
      </w:r>
      <w:bookmarkEnd w:id="243"/>
      <w:bookmarkEnd w:id="245"/>
      <w:r w:rsidRPr="00305731">
        <w:t xml:space="preserve"> </w:t>
      </w:r>
      <w:r>
        <w:tab/>
      </w:r>
      <w:r w:rsidRPr="00716774">
        <w:t xml:space="preserve">Comparison of proteinuria in patients randomised to </w:t>
      </w:r>
      <w:r>
        <w:t>receive</w:t>
      </w:r>
      <w:r w:rsidRPr="00716774">
        <w:t xml:space="preserve"> either agalsidase alfa or beta </w:t>
      </w:r>
      <w:bookmarkEnd w:id="244"/>
      <w:r w:rsidR="00A130D0">
        <w:rPr>
          <w:noProof/>
        </w:rPr>
        <w:t>(</w:t>
      </w:r>
      <w:r w:rsidR="00184B6F">
        <w:rPr>
          <w:noProof/>
        </w:rPr>
        <w:t>Schaefer, Tylki-Szymanska &amp; Hilz 2009</w:t>
      </w:r>
      <w:r w:rsidR="00A130D0">
        <w:rPr>
          <w:noProof/>
        </w:rPr>
        <w:t>)</w:t>
      </w:r>
      <w:r w:rsidRPr="00F12E59">
        <w:t xml:space="preserve"> </w:t>
      </w:r>
      <w:r w:rsidR="00A130D0">
        <w:rPr>
          <w:noProof/>
        </w:rPr>
        <w:t>(</w:t>
      </w:r>
      <w:r w:rsidR="00184B6F">
        <w:rPr>
          <w:noProof/>
        </w:rPr>
        <w:t>Vedder et al. 2007</w:t>
      </w:r>
      <w:r w:rsidR="00A130D0">
        <w:rPr>
          <w:noProof/>
        </w:rPr>
        <w:t>)</w:t>
      </w:r>
      <w:bookmarkEnd w:id="246"/>
      <w:bookmarkEnd w:id="247"/>
    </w:p>
    <w:tbl>
      <w:tblPr>
        <w:tblW w:w="5000" w:type="pct"/>
        <w:tblCellMar>
          <w:top w:w="75" w:type="dxa"/>
          <w:left w:w="75" w:type="dxa"/>
          <w:bottom w:w="75" w:type="dxa"/>
          <w:right w:w="75" w:type="dxa"/>
        </w:tblCellMar>
        <w:tblLook w:val="04A0" w:firstRow="1" w:lastRow="0" w:firstColumn="1" w:lastColumn="0" w:noHBand="0" w:noVBand="1"/>
        <w:tblCaption w:val="Table 45  Comparison of proteinuria in patients randomised to receive either agalsidase alfa or beta (Schaefer, Tylki-Szymanska &amp; Hilz 2009) (Vedder et al. 2007)"/>
      </w:tblPr>
      <w:tblGrid>
        <w:gridCol w:w="1547"/>
        <w:gridCol w:w="1392"/>
        <w:gridCol w:w="1786"/>
        <w:gridCol w:w="2296"/>
        <w:gridCol w:w="2155"/>
      </w:tblGrid>
      <w:tr w:rsidR="007C4217" w:rsidRPr="001E2881" w:rsidTr="00D25A61">
        <w:trPr>
          <w:trHeight w:val="1056"/>
          <w:tblHeader/>
        </w:trPr>
        <w:tc>
          <w:tcPr>
            <w:tcW w:w="1547" w:type="dxa"/>
            <w:tcBorders>
              <w:top w:val="single" w:sz="12" w:space="0" w:color="000000"/>
              <w:left w:val="nil"/>
              <w:bottom w:val="single" w:sz="6" w:space="0" w:color="000000"/>
              <w:right w:val="nil"/>
            </w:tcBorders>
            <w:shd w:val="clear" w:color="auto" w:fill="3271AA"/>
            <w:hideMark/>
          </w:tcPr>
          <w:p w:rsidR="007C4217" w:rsidRPr="00CB33FA" w:rsidRDefault="007C4217" w:rsidP="00FB6614">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1392" w:type="dxa"/>
            <w:tcBorders>
              <w:top w:val="single" w:sz="12" w:space="0" w:color="000000"/>
              <w:left w:val="nil"/>
              <w:bottom w:val="single" w:sz="6" w:space="0" w:color="000000"/>
              <w:right w:val="nil"/>
            </w:tcBorders>
            <w:shd w:val="clear" w:color="auto" w:fill="3271AA"/>
            <w:hideMark/>
          </w:tcPr>
          <w:p w:rsidR="007C4217" w:rsidRPr="00CB33FA" w:rsidRDefault="007C4217" w:rsidP="00FB6614">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1786" w:type="dxa"/>
            <w:tcBorders>
              <w:top w:val="single" w:sz="12" w:space="0" w:color="000000"/>
              <w:left w:val="nil"/>
              <w:bottom w:val="single" w:sz="6" w:space="0" w:color="000000"/>
              <w:right w:val="nil"/>
            </w:tcBorders>
            <w:shd w:val="clear" w:color="auto" w:fill="3271AA"/>
            <w:hideMark/>
          </w:tcPr>
          <w:p w:rsidR="007C4217" w:rsidRPr="00CB33FA" w:rsidRDefault="007C4217" w:rsidP="00FB6614">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2296" w:type="dxa"/>
            <w:tcBorders>
              <w:top w:val="single" w:sz="12" w:space="0" w:color="000000"/>
              <w:left w:val="nil"/>
            </w:tcBorders>
            <w:shd w:val="clear" w:color="auto" w:fill="D3D3D3"/>
          </w:tcPr>
          <w:p w:rsidR="007C4217" w:rsidRPr="00CB33FA" w:rsidRDefault="00E726AC" w:rsidP="00E726AC">
            <w:pPr>
              <w:spacing w:after="0"/>
              <w:jc w:val="left"/>
              <w:rPr>
                <w:rFonts w:ascii="Arial Narrow" w:hAnsi="Arial Narrow"/>
                <w:b/>
                <w:bCs/>
                <w:color w:val="000000"/>
                <w:sz w:val="20"/>
                <w:szCs w:val="20"/>
                <w:lang w:eastAsia="en-AU"/>
              </w:rPr>
            </w:pPr>
            <w:r>
              <w:rPr>
                <w:rFonts w:ascii="Arial Narrow" w:hAnsi="Arial Narrow"/>
                <w:b/>
                <w:bCs/>
                <w:color w:val="000000"/>
                <w:sz w:val="20"/>
                <w:szCs w:val="20"/>
                <w:lang w:eastAsia="en-AU"/>
              </w:rPr>
              <w:t xml:space="preserve">Mean change </w:t>
            </w:r>
            <w:r w:rsidR="007C4217" w:rsidRPr="00CB33FA">
              <w:rPr>
                <w:rFonts w:ascii="Arial Narrow" w:hAnsi="Arial Narrow"/>
                <w:b/>
                <w:bCs/>
                <w:color w:val="000000"/>
                <w:sz w:val="20"/>
                <w:szCs w:val="20"/>
                <w:lang w:eastAsia="en-AU"/>
              </w:rPr>
              <w:t>with agalsidase beta</w:t>
            </w:r>
          </w:p>
        </w:tc>
        <w:tc>
          <w:tcPr>
            <w:tcW w:w="2155" w:type="dxa"/>
            <w:tcBorders>
              <w:top w:val="single" w:sz="12" w:space="0" w:color="000000"/>
              <w:left w:val="nil"/>
              <w:right w:val="nil"/>
            </w:tcBorders>
            <w:shd w:val="clear" w:color="auto" w:fill="D3D3D3"/>
          </w:tcPr>
          <w:p w:rsidR="007C4217" w:rsidRPr="00CB33FA" w:rsidRDefault="00E726AC" w:rsidP="00FB6614">
            <w:pPr>
              <w:spacing w:after="0"/>
              <w:jc w:val="left"/>
              <w:rPr>
                <w:rFonts w:ascii="Arial Narrow" w:hAnsi="Arial Narrow"/>
                <w:b/>
                <w:bCs/>
                <w:color w:val="D9D9D9" w:themeColor="background1" w:themeShade="D9"/>
                <w:sz w:val="20"/>
                <w:szCs w:val="20"/>
                <w:lang w:eastAsia="en-AU"/>
              </w:rPr>
            </w:pPr>
            <w:r>
              <w:rPr>
                <w:rFonts w:ascii="Arial Narrow" w:hAnsi="Arial Narrow"/>
                <w:b/>
                <w:bCs/>
                <w:color w:val="000000"/>
                <w:sz w:val="20"/>
                <w:szCs w:val="20"/>
                <w:lang w:eastAsia="en-AU"/>
              </w:rPr>
              <w:t>D</w:t>
            </w:r>
            <w:r w:rsidR="007C4217" w:rsidRPr="00CB33FA">
              <w:rPr>
                <w:rFonts w:ascii="Arial Narrow" w:hAnsi="Arial Narrow"/>
                <w:b/>
                <w:bCs/>
                <w:color w:val="000000"/>
                <w:sz w:val="20"/>
                <w:szCs w:val="20"/>
                <w:lang w:eastAsia="en-AU"/>
              </w:rPr>
              <w:t xml:space="preserve">ifference </w:t>
            </w:r>
            <w:r>
              <w:rPr>
                <w:rFonts w:ascii="Arial Narrow" w:hAnsi="Arial Narrow"/>
                <w:b/>
                <w:bCs/>
                <w:color w:val="000000"/>
                <w:sz w:val="20"/>
                <w:szCs w:val="20"/>
                <w:lang w:eastAsia="en-AU"/>
              </w:rPr>
              <w:t xml:space="preserve">in mean change </w:t>
            </w:r>
            <w:r w:rsidR="007C4217" w:rsidRPr="00CB33FA">
              <w:rPr>
                <w:rFonts w:ascii="Arial Narrow" w:hAnsi="Arial Narrow"/>
                <w:b/>
                <w:bCs/>
                <w:color w:val="000000"/>
                <w:sz w:val="20"/>
                <w:szCs w:val="20"/>
                <w:lang w:eastAsia="en-AU"/>
              </w:rPr>
              <w:t>with Agalsidase alfa</w:t>
            </w:r>
          </w:p>
        </w:tc>
      </w:tr>
      <w:tr w:rsidR="00FB6614" w:rsidRPr="001E2881" w:rsidTr="00D25A61">
        <w:trPr>
          <w:trHeight w:val="1353"/>
        </w:trPr>
        <w:tc>
          <w:tcPr>
            <w:tcW w:w="1547" w:type="dxa"/>
            <w:tcBorders>
              <w:top w:val="single" w:sz="6" w:space="0" w:color="000000"/>
              <w:left w:val="nil"/>
              <w:bottom w:val="single" w:sz="6" w:space="0" w:color="000000"/>
              <w:right w:val="nil"/>
            </w:tcBorders>
            <w:hideMark/>
          </w:tcPr>
          <w:p w:rsidR="00FB6614" w:rsidRPr="00CB33FA" w:rsidRDefault="00FB6614" w:rsidP="00FB6614">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Proteinuria</w:t>
            </w:r>
            <w:r w:rsidRPr="00CB33FA">
              <w:rPr>
                <w:rFonts w:ascii="Arial Narrow" w:hAnsi="Arial Narrow"/>
                <w:color w:val="000000"/>
                <w:sz w:val="20"/>
                <w:szCs w:val="20"/>
                <w:lang w:eastAsia="en-AU"/>
              </w:rPr>
              <w:br/>
              <w:t>assessed with: g/24h</w:t>
            </w:r>
            <w:r w:rsidRPr="00CB33FA">
              <w:rPr>
                <w:rFonts w:ascii="Arial Narrow" w:hAnsi="Arial Narrow"/>
                <w:color w:val="000000"/>
                <w:sz w:val="20"/>
                <w:szCs w:val="20"/>
                <w:lang w:eastAsia="en-AU"/>
              </w:rPr>
              <w:br/>
              <w:t xml:space="preserve">follow up: 24 months </w:t>
            </w:r>
          </w:p>
        </w:tc>
        <w:tc>
          <w:tcPr>
            <w:tcW w:w="1392" w:type="dxa"/>
            <w:tcBorders>
              <w:top w:val="single" w:sz="6" w:space="0" w:color="000000"/>
              <w:left w:val="nil"/>
              <w:bottom w:val="single" w:sz="6" w:space="0" w:color="000000"/>
              <w:right w:val="nil"/>
            </w:tcBorders>
            <w:hideMark/>
          </w:tcPr>
          <w:p w:rsidR="00FB6614" w:rsidRPr="00CB33FA" w:rsidRDefault="00FB6614" w:rsidP="00FB6614">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29</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1786" w:type="dxa"/>
            <w:tcBorders>
              <w:top w:val="single" w:sz="6" w:space="0" w:color="000000"/>
              <w:left w:val="nil"/>
              <w:bottom w:val="single" w:sz="6" w:space="0" w:color="000000"/>
              <w:right w:val="nil"/>
            </w:tcBorders>
            <w:hideMark/>
          </w:tcPr>
          <w:p w:rsidR="00FB6614" w:rsidRPr="00CB33FA" w:rsidRDefault="00C31DE9" w:rsidP="00FB6614">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FB6614" w:rsidRPr="00CB33FA">
              <w:rPr>
                <w:rFonts w:ascii="Arial Narrow" w:hAnsi="Arial Narrow"/>
                <w:color w:val="000000"/>
                <w:sz w:val="20"/>
                <w:szCs w:val="20"/>
                <w:lang w:eastAsia="en-AU"/>
              </w:rPr>
              <w:br/>
              <w:t xml:space="preserve">VERY LOW </w:t>
            </w:r>
            <w:r w:rsidR="00FB6614" w:rsidRPr="00CB33FA">
              <w:rPr>
                <w:rFonts w:ascii="Arial Narrow" w:hAnsi="Arial Narrow"/>
                <w:color w:val="000000"/>
                <w:sz w:val="20"/>
                <w:szCs w:val="20"/>
                <w:vertAlign w:val="superscript"/>
                <w:lang w:eastAsia="en-AU"/>
              </w:rPr>
              <w:t> </w:t>
            </w:r>
            <w:r w:rsidR="00FB6614" w:rsidRPr="00CB33FA">
              <w:rPr>
                <w:rFonts w:ascii="Arial Narrow" w:hAnsi="Arial Narrow"/>
                <w:color w:val="000000"/>
                <w:sz w:val="20"/>
                <w:szCs w:val="20"/>
                <w:u w:val="single"/>
                <w:vertAlign w:val="superscript"/>
                <w:lang w:eastAsia="en-AU"/>
              </w:rPr>
              <w:t>1</w:t>
            </w:r>
            <w:r w:rsidR="00FB6614" w:rsidRPr="00CB33FA">
              <w:rPr>
                <w:rFonts w:ascii="Arial Narrow" w:hAnsi="Arial Narrow"/>
                <w:color w:val="000000"/>
                <w:sz w:val="20"/>
                <w:szCs w:val="20"/>
                <w:vertAlign w:val="superscript"/>
                <w:lang w:eastAsia="en-AU"/>
              </w:rPr>
              <w:t> </w:t>
            </w:r>
            <w:r w:rsidR="00FB6614" w:rsidRPr="00CB33FA">
              <w:rPr>
                <w:rFonts w:ascii="Arial Narrow" w:hAnsi="Arial Narrow"/>
                <w:color w:val="000000"/>
                <w:sz w:val="20"/>
                <w:szCs w:val="20"/>
                <w:u w:val="single"/>
                <w:vertAlign w:val="superscript"/>
                <w:lang w:eastAsia="en-AU"/>
              </w:rPr>
              <w:t>2</w:t>
            </w:r>
            <w:r w:rsidR="00FB6614" w:rsidRPr="00CB33FA">
              <w:rPr>
                <w:rFonts w:ascii="Arial Narrow" w:hAnsi="Arial Narrow"/>
                <w:color w:val="000000"/>
                <w:sz w:val="20"/>
                <w:szCs w:val="20"/>
                <w:vertAlign w:val="superscript"/>
                <w:lang w:eastAsia="en-AU"/>
              </w:rPr>
              <w:t> </w:t>
            </w:r>
            <w:r w:rsidR="00FB6614" w:rsidRPr="00CB33FA">
              <w:rPr>
                <w:rFonts w:ascii="Arial Narrow" w:hAnsi="Arial Narrow"/>
                <w:color w:val="000000"/>
                <w:sz w:val="20"/>
                <w:szCs w:val="20"/>
                <w:u w:val="single"/>
                <w:vertAlign w:val="superscript"/>
                <w:lang w:eastAsia="en-AU"/>
              </w:rPr>
              <w:t>3</w:t>
            </w:r>
          </w:p>
        </w:tc>
        <w:tc>
          <w:tcPr>
            <w:tcW w:w="2296" w:type="dxa"/>
            <w:tcBorders>
              <w:top w:val="single" w:sz="6" w:space="0" w:color="000000"/>
              <w:left w:val="nil"/>
              <w:bottom w:val="single" w:sz="6" w:space="0" w:color="000000"/>
              <w:right w:val="nil"/>
            </w:tcBorders>
            <w:shd w:val="clear" w:color="auto" w:fill="EDEDED"/>
            <w:hideMark/>
          </w:tcPr>
          <w:p w:rsidR="00FB6614" w:rsidRPr="00CB33FA" w:rsidRDefault="00FB6614" w:rsidP="00E726AC">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The mean</w:t>
            </w:r>
            <w:r w:rsidR="00E726AC">
              <w:rPr>
                <w:rFonts w:ascii="Arial Narrow" w:hAnsi="Arial Narrow"/>
                <w:color w:val="000000"/>
                <w:sz w:val="20"/>
                <w:szCs w:val="20"/>
                <w:lang w:eastAsia="en-AU"/>
              </w:rPr>
              <w:t xml:space="preserve"> change in </w:t>
            </w:r>
            <w:r w:rsidRPr="00CB33FA">
              <w:rPr>
                <w:rFonts w:ascii="Arial Narrow" w:hAnsi="Arial Narrow"/>
                <w:color w:val="000000"/>
                <w:sz w:val="20"/>
                <w:szCs w:val="20"/>
                <w:lang w:eastAsia="en-AU"/>
              </w:rPr>
              <w:t xml:space="preserve"> proteinuria in the control group was </w:t>
            </w:r>
            <w:r w:rsidR="00E726AC">
              <w:rPr>
                <w:rFonts w:ascii="Arial Narrow" w:hAnsi="Arial Narrow"/>
                <w:color w:val="000000"/>
                <w:sz w:val="20"/>
                <w:szCs w:val="20"/>
                <w:lang w:eastAsia="en-AU"/>
              </w:rPr>
              <w:t>-</w:t>
            </w:r>
            <w:r w:rsidRPr="00CB33FA">
              <w:rPr>
                <w:rFonts w:ascii="Arial Narrow" w:hAnsi="Arial Narrow"/>
                <w:b/>
                <w:bCs/>
                <w:color w:val="000000"/>
                <w:sz w:val="20"/>
                <w:szCs w:val="20"/>
                <w:lang w:eastAsia="en-AU"/>
              </w:rPr>
              <w:t>0.</w:t>
            </w:r>
            <w:r w:rsidR="00E726AC">
              <w:rPr>
                <w:rFonts w:ascii="Arial Narrow" w:hAnsi="Arial Narrow"/>
                <w:b/>
                <w:bCs/>
                <w:color w:val="000000"/>
                <w:sz w:val="20"/>
                <w:szCs w:val="20"/>
                <w:lang w:eastAsia="en-AU"/>
              </w:rPr>
              <w:t xml:space="preserve">09 </w:t>
            </w:r>
            <w:r w:rsidRPr="00CB33FA">
              <w:rPr>
                <w:rFonts w:ascii="Arial Narrow" w:hAnsi="Arial Narrow"/>
                <w:color w:val="000000"/>
                <w:sz w:val="20"/>
                <w:szCs w:val="20"/>
                <w:lang w:eastAsia="en-AU"/>
              </w:rPr>
              <w:t xml:space="preserve">g/24h </w:t>
            </w:r>
          </w:p>
        </w:tc>
        <w:tc>
          <w:tcPr>
            <w:tcW w:w="2155" w:type="dxa"/>
            <w:tcBorders>
              <w:top w:val="single" w:sz="6" w:space="0" w:color="000000"/>
              <w:left w:val="nil"/>
              <w:bottom w:val="single" w:sz="6" w:space="0" w:color="000000"/>
              <w:right w:val="nil"/>
            </w:tcBorders>
            <w:shd w:val="clear" w:color="auto" w:fill="EDEDED"/>
            <w:hideMark/>
          </w:tcPr>
          <w:p w:rsidR="00FB6614" w:rsidRPr="00CB33FA" w:rsidRDefault="00FB6614" w:rsidP="00E726AC">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p </w:t>
            </w:r>
            <w:r w:rsidRPr="00CB33FA">
              <w:rPr>
                <w:rFonts w:ascii="Arial Narrow" w:hAnsi="Arial Narrow"/>
                <w:b/>
                <w:bCs/>
                <w:color w:val="000000"/>
                <w:sz w:val="20"/>
                <w:szCs w:val="20"/>
                <w:lang w:eastAsia="en-AU"/>
              </w:rPr>
              <w:t>0.33</w:t>
            </w:r>
            <w:r w:rsidR="00E726AC">
              <w:rPr>
                <w:rFonts w:ascii="Arial Narrow" w:hAnsi="Arial Narrow"/>
                <w:b/>
                <w:bCs/>
                <w:color w:val="000000"/>
                <w:sz w:val="20"/>
                <w:szCs w:val="20"/>
                <w:vertAlign w:val="superscript"/>
                <w:lang w:eastAsia="en-AU"/>
              </w:rPr>
              <w:t>a</w:t>
            </w:r>
            <w:r w:rsidRPr="00CB33FA">
              <w:rPr>
                <w:rFonts w:ascii="Arial Narrow" w:hAnsi="Arial Narrow"/>
                <w:b/>
                <w:bCs/>
                <w:color w:val="000000"/>
                <w:sz w:val="20"/>
                <w:szCs w:val="20"/>
                <w:lang w:eastAsia="en-AU"/>
              </w:rPr>
              <w:t xml:space="preserve"> </w:t>
            </w:r>
            <w:r w:rsidRPr="00CB33FA">
              <w:rPr>
                <w:rFonts w:ascii="Arial Narrow" w:hAnsi="Arial Narrow"/>
                <w:color w:val="000000"/>
                <w:sz w:val="20"/>
                <w:szCs w:val="20"/>
                <w:lang w:eastAsia="en-AU"/>
              </w:rPr>
              <w:t xml:space="preserve"> </w:t>
            </w:r>
          </w:p>
        </w:tc>
      </w:tr>
    </w:tbl>
    <w:p w:rsidR="00FB6614" w:rsidRPr="00E726AC" w:rsidRDefault="001B5185" w:rsidP="007C4217">
      <w:pPr>
        <w:pStyle w:val="TableNote"/>
      </w:pPr>
      <w:r>
        <w:t>RCT</w:t>
      </w:r>
      <w:r w:rsidR="007C4217" w:rsidRPr="00DC17CA">
        <w:rPr>
          <w:spacing w:val="-20"/>
        </w:rPr>
        <w:t xml:space="preserve"> </w:t>
      </w:r>
      <w:r w:rsidR="00F87099" w:rsidRPr="00DC17CA">
        <w:rPr>
          <w:spacing w:val="-20"/>
        </w:rPr>
        <w:t xml:space="preserve">= </w:t>
      </w:r>
      <w:r w:rsidR="00F87099" w:rsidRPr="001E2881">
        <w:t>randomised</w:t>
      </w:r>
      <w:r w:rsidR="007C4217" w:rsidRPr="001E2881">
        <w:t xml:space="preserve"> controlled trial; Outcome considered not very important</w:t>
      </w:r>
      <w:r w:rsidR="00E726AC">
        <w:t xml:space="preserve">; </w:t>
      </w:r>
      <w:r w:rsidR="00E726AC">
        <w:rPr>
          <w:vertAlign w:val="superscript"/>
        </w:rPr>
        <w:t>a</w:t>
      </w:r>
      <w:r w:rsidR="00E726AC">
        <w:t xml:space="preserve"> Trend favours agalsidase beta</w:t>
      </w:r>
    </w:p>
    <w:p w:rsidR="007C4217" w:rsidRPr="00CB33FA" w:rsidRDefault="007C4217" w:rsidP="007C4217">
      <w:pPr>
        <w:pStyle w:val="TableNote"/>
        <w:rPr>
          <w:color w:val="000000"/>
        </w:rPr>
      </w:pPr>
      <w:r>
        <w:rPr>
          <w:color w:val="000000"/>
        </w:rPr>
        <w:t xml:space="preserve">1. </w:t>
      </w:r>
      <w:r w:rsidRPr="00CB33FA">
        <w:rPr>
          <w:color w:val="000000"/>
        </w:rPr>
        <w:t>No blinding</w:t>
      </w:r>
    </w:p>
    <w:p w:rsidR="007C4217" w:rsidRPr="00CB33FA" w:rsidRDefault="007C4217" w:rsidP="007C4217">
      <w:pPr>
        <w:pStyle w:val="TableNote"/>
        <w:rPr>
          <w:color w:val="000000"/>
        </w:rPr>
      </w:pPr>
      <w:r>
        <w:rPr>
          <w:color w:val="000000"/>
        </w:rPr>
        <w:t xml:space="preserve">2. </w:t>
      </w:r>
      <w:r w:rsidRPr="00CB33FA">
        <w:rPr>
          <w:color w:val="000000"/>
        </w:rPr>
        <w:t>Incomplete outcome data</w:t>
      </w:r>
    </w:p>
    <w:p w:rsidR="007C4217" w:rsidRPr="007C4217" w:rsidRDefault="007C4217" w:rsidP="007C4217">
      <w:pPr>
        <w:pStyle w:val="TableNote"/>
      </w:pPr>
      <w:r>
        <w:rPr>
          <w:color w:val="000000"/>
        </w:rPr>
        <w:t xml:space="preserve">3. </w:t>
      </w:r>
      <w:r w:rsidRPr="00CB33FA">
        <w:rPr>
          <w:color w:val="000000"/>
        </w:rPr>
        <w:t>Surrogate outcome</w:t>
      </w:r>
    </w:p>
    <w:p w:rsidR="00E54D75" w:rsidRDefault="00E54D75" w:rsidP="00475E97"/>
    <w:p w:rsidR="001C3FAF" w:rsidRPr="000756DF" w:rsidRDefault="001C3FAF" w:rsidP="001C3FAF">
      <w:pPr>
        <w:pStyle w:val="Heading5"/>
      </w:pPr>
      <w:r w:rsidRPr="000756DF">
        <w:t>Cardiac outcomes</w:t>
      </w:r>
    </w:p>
    <w:p w:rsidR="001C3FAF" w:rsidRPr="000756DF" w:rsidRDefault="001C3FAF" w:rsidP="001C3FAF">
      <w:r w:rsidRPr="000756DF">
        <w:t xml:space="preserve">There was a mean difference of 31.25g in </w:t>
      </w:r>
      <w:r>
        <w:t xml:space="preserve">the </w:t>
      </w:r>
      <w:r w:rsidRPr="000756DF">
        <w:t xml:space="preserve">change in left ventricular mass between </w:t>
      </w:r>
      <w:r>
        <w:t xml:space="preserve">the treatment </w:t>
      </w:r>
      <w:r w:rsidRPr="000756DF">
        <w:t xml:space="preserve">groups </w:t>
      </w:r>
      <w:r>
        <w:t xml:space="preserve">reported by Vedder (2007). This </w:t>
      </w:r>
      <w:r w:rsidRPr="000756DF">
        <w:t>favour</w:t>
      </w:r>
      <w:r>
        <w:t>ed the</w:t>
      </w:r>
      <w:r w:rsidRPr="000756DF">
        <w:t xml:space="preserve"> agalsidase beta </w:t>
      </w:r>
      <w:r>
        <w:t xml:space="preserve">group </w:t>
      </w:r>
      <w:r w:rsidRPr="000756DF">
        <w:t xml:space="preserve">but </w:t>
      </w:r>
      <w:r>
        <w:t>the difference</w:t>
      </w:r>
      <w:r w:rsidRPr="000756DF">
        <w:t xml:space="preserve"> was not statistically significant</w:t>
      </w:r>
      <w:r>
        <w:t xml:space="preserve"> (GRADE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t xml:space="preserve"> (</w:t>
      </w:r>
      <w:r w:rsidR="00A72B26" w:rsidRPr="00716774">
        <w:t xml:space="preserve">Table </w:t>
      </w:r>
      <w:r w:rsidR="00A72B26">
        <w:rPr>
          <w:noProof/>
        </w:rPr>
        <w:t>48</w:t>
      </w:r>
      <w:r>
        <w:t>).</w:t>
      </w:r>
    </w:p>
    <w:p w:rsidR="001C3FAF" w:rsidRDefault="001C3FAF" w:rsidP="001C3FAF">
      <w:pPr>
        <w:pStyle w:val="Caption"/>
        <w:keepNext/>
        <w:tabs>
          <w:tab w:val="clear" w:pos="851"/>
          <w:tab w:val="left" w:pos="1134"/>
        </w:tabs>
        <w:ind w:left="1134" w:hanging="1134"/>
      </w:pPr>
      <w:bookmarkStart w:id="248" w:name="_Ref405842487"/>
      <w:bookmarkStart w:id="249" w:name="_Toc405361950"/>
      <w:bookmarkStart w:id="250" w:name="_Toc411510430"/>
      <w:bookmarkStart w:id="251" w:name="_Toc415141845"/>
      <w:r w:rsidRPr="00716774">
        <w:lastRenderedPageBreak/>
        <w:t xml:space="preserve">Table </w:t>
      </w:r>
      <w:r w:rsidR="00A72B26">
        <w:rPr>
          <w:noProof/>
        </w:rPr>
        <w:t>48</w:t>
      </w:r>
      <w:bookmarkEnd w:id="248"/>
      <w:r w:rsidRPr="00305731">
        <w:t xml:space="preserve"> </w:t>
      </w:r>
      <w:r>
        <w:tab/>
      </w:r>
      <w:r w:rsidRPr="00716774">
        <w:t xml:space="preserve">Left ventricular change in Fabry patients randomised to </w:t>
      </w:r>
      <w:r>
        <w:t>receive</w:t>
      </w:r>
      <w:r w:rsidRPr="00716774">
        <w:t xml:space="preserve"> either agalsidase alfa or beta </w:t>
      </w:r>
      <w:bookmarkEnd w:id="249"/>
      <w:r w:rsidR="00A130D0">
        <w:rPr>
          <w:noProof/>
        </w:rPr>
        <w:t>(</w:t>
      </w:r>
      <w:r w:rsidR="00184B6F">
        <w:rPr>
          <w:noProof/>
        </w:rPr>
        <w:t>Vedder et al. 2007</w:t>
      </w:r>
      <w:r w:rsidR="00A130D0">
        <w:rPr>
          <w:noProof/>
        </w:rPr>
        <w:t>)</w:t>
      </w:r>
      <w:bookmarkEnd w:id="250"/>
      <w:bookmarkEnd w:id="251"/>
    </w:p>
    <w:tbl>
      <w:tblPr>
        <w:tblW w:w="5000" w:type="pct"/>
        <w:tblCellMar>
          <w:top w:w="75" w:type="dxa"/>
          <w:left w:w="75" w:type="dxa"/>
          <w:bottom w:w="75" w:type="dxa"/>
          <w:right w:w="75" w:type="dxa"/>
        </w:tblCellMar>
        <w:tblLook w:val="04A0" w:firstRow="1" w:lastRow="0" w:firstColumn="1" w:lastColumn="0" w:noHBand="0" w:noVBand="1"/>
        <w:tblCaption w:val="Table 46  Left ventricular change in Fabry patients randomised to receive either agalsidase alfa or beta (Vedder et al. 2007)"/>
      </w:tblPr>
      <w:tblGrid>
        <w:gridCol w:w="1698"/>
        <w:gridCol w:w="1542"/>
        <w:gridCol w:w="1736"/>
        <w:gridCol w:w="2211"/>
        <w:gridCol w:w="1989"/>
      </w:tblGrid>
      <w:tr w:rsidR="007C4217" w:rsidRPr="001E2881" w:rsidTr="009A0365">
        <w:trPr>
          <w:tblHeader/>
        </w:trPr>
        <w:tc>
          <w:tcPr>
            <w:tcW w:w="1698" w:type="dxa"/>
            <w:tcBorders>
              <w:top w:val="single" w:sz="12" w:space="0" w:color="000000"/>
              <w:left w:val="nil"/>
              <w:bottom w:val="single" w:sz="6" w:space="0" w:color="000000"/>
              <w:right w:val="nil"/>
            </w:tcBorders>
            <w:shd w:val="clear" w:color="auto" w:fill="3271AA"/>
          </w:tcPr>
          <w:p w:rsidR="007C4217" w:rsidRPr="00DC17CA" w:rsidRDefault="007C4217" w:rsidP="007C4217">
            <w:pPr>
              <w:keepNext/>
              <w:spacing w:after="0" w:line="240" w:lineRule="auto"/>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1542" w:type="dxa"/>
            <w:tcBorders>
              <w:top w:val="single" w:sz="12" w:space="0" w:color="000000"/>
              <w:left w:val="nil"/>
              <w:bottom w:val="single" w:sz="6" w:space="0" w:color="000000"/>
              <w:right w:val="nil"/>
            </w:tcBorders>
            <w:shd w:val="clear" w:color="auto" w:fill="3271AA"/>
          </w:tcPr>
          <w:p w:rsidR="007C4217" w:rsidRPr="00DC17CA" w:rsidRDefault="007C4217" w:rsidP="007C4217">
            <w:pPr>
              <w:keepNext/>
              <w:spacing w:after="0" w:line="240" w:lineRule="auto"/>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1736" w:type="dxa"/>
            <w:tcBorders>
              <w:top w:val="single" w:sz="12" w:space="0" w:color="000000"/>
              <w:left w:val="nil"/>
              <w:bottom w:val="single" w:sz="6" w:space="0" w:color="000000"/>
              <w:right w:val="nil"/>
            </w:tcBorders>
            <w:shd w:val="clear" w:color="auto" w:fill="3271AA"/>
          </w:tcPr>
          <w:p w:rsidR="007C4217" w:rsidRPr="00DC17CA" w:rsidRDefault="007C4217" w:rsidP="007C4217">
            <w:pPr>
              <w:keepNext/>
              <w:spacing w:after="0" w:line="240" w:lineRule="auto"/>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2211" w:type="dxa"/>
            <w:tcBorders>
              <w:top w:val="single" w:sz="12" w:space="0" w:color="000000"/>
              <w:left w:val="nil"/>
              <w:bottom w:val="single" w:sz="6" w:space="0" w:color="000000"/>
              <w:right w:val="nil"/>
            </w:tcBorders>
            <w:shd w:val="clear" w:color="auto" w:fill="D3D3D3"/>
          </w:tcPr>
          <w:p w:rsidR="007C4217" w:rsidRPr="00DC17CA" w:rsidRDefault="007C4217" w:rsidP="007C4217">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agalsidase beta</w:t>
            </w:r>
          </w:p>
        </w:tc>
        <w:tc>
          <w:tcPr>
            <w:tcW w:w="1989" w:type="dxa"/>
            <w:tcBorders>
              <w:top w:val="single" w:sz="12" w:space="0" w:color="000000"/>
              <w:left w:val="nil"/>
              <w:bottom w:val="single" w:sz="6" w:space="0" w:color="000000"/>
              <w:right w:val="nil"/>
            </w:tcBorders>
            <w:shd w:val="clear" w:color="auto" w:fill="D3D3D3"/>
          </w:tcPr>
          <w:p w:rsidR="007C4217" w:rsidRPr="00DC17CA" w:rsidRDefault="007C4217" w:rsidP="007C4217">
            <w:pPr>
              <w:keepNext/>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difference with Agalsidase alfa</w:t>
            </w:r>
          </w:p>
        </w:tc>
      </w:tr>
      <w:tr w:rsidR="007C4217" w:rsidRPr="001E2881" w:rsidTr="00DC79E4">
        <w:tc>
          <w:tcPr>
            <w:tcW w:w="1698" w:type="dxa"/>
            <w:tcBorders>
              <w:top w:val="single" w:sz="6" w:space="0" w:color="000000"/>
              <w:left w:val="nil"/>
              <w:bottom w:val="single" w:sz="6" w:space="0" w:color="000000"/>
              <w:right w:val="nil"/>
            </w:tcBorders>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Left ventricular mass</w:t>
            </w:r>
            <w:r w:rsidRPr="00CB33FA">
              <w:rPr>
                <w:rFonts w:ascii="Arial Narrow" w:hAnsi="Arial Narrow"/>
                <w:color w:val="000000"/>
                <w:sz w:val="20"/>
                <w:szCs w:val="20"/>
                <w:lang w:eastAsia="en-AU"/>
              </w:rPr>
              <w:br/>
              <w:t>assessed with: g</w:t>
            </w:r>
            <w:r w:rsidRPr="00CB33FA">
              <w:rPr>
                <w:rFonts w:ascii="Arial Narrow" w:hAnsi="Arial Narrow"/>
                <w:color w:val="000000"/>
                <w:sz w:val="20"/>
                <w:szCs w:val="20"/>
                <w:lang w:eastAsia="en-AU"/>
              </w:rPr>
              <w:br/>
              <w:t xml:space="preserve">follow up: 24 months </w:t>
            </w:r>
          </w:p>
        </w:tc>
        <w:tc>
          <w:tcPr>
            <w:tcW w:w="1542" w:type="dxa"/>
            <w:tcBorders>
              <w:top w:val="single" w:sz="6" w:space="0" w:color="000000"/>
              <w:left w:val="nil"/>
              <w:bottom w:val="single" w:sz="6" w:space="0" w:color="000000"/>
              <w:right w:val="nil"/>
            </w:tcBorders>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29</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1736" w:type="dxa"/>
            <w:tcBorders>
              <w:top w:val="single" w:sz="6" w:space="0" w:color="000000"/>
              <w:left w:val="nil"/>
              <w:bottom w:val="single" w:sz="6" w:space="0" w:color="000000"/>
              <w:right w:val="nil"/>
            </w:tcBorders>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Pr="00CB33FA">
              <w:rPr>
                <w:rFonts w:ascii="Arial Narrow" w:hAnsi="Arial Narrow"/>
                <w:color w:val="000000"/>
                <w:sz w:val="20"/>
                <w:szCs w:val="20"/>
                <w:lang w:eastAsia="en-AU"/>
              </w:rPr>
              <w:br/>
              <w:t xml:space="preserve">VERY LOW </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1</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2</w:t>
            </w:r>
            <w:r w:rsidRPr="00CB33FA">
              <w:rPr>
                <w:rFonts w:ascii="Arial Narrow" w:hAnsi="Arial Narrow"/>
                <w:color w:val="000000"/>
                <w:sz w:val="20"/>
                <w:szCs w:val="20"/>
                <w:vertAlign w:val="superscript"/>
                <w:lang w:eastAsia="en-AU"/>
              </w:rPr>
              <w:t> </w:t>
            </w:r>
            <w:r w:rsidRPr="00CB33FA">
              <w:rPr>
                <w:rFonts w:ascii="Arial Narrow" w:hAnsi="Arial Narrow"/>
                <w:color w:val="000000"/>
                <w:sz w:val="20"/>
                <w:szCs w:val="20"/>
                <w:u w:val="single"/>
                <w:vertAlign w:val="superscript"/>
                <w:lang w:eastAsia="en-AU"/>
              </w:rPr>
              <w:t>3</w:t>
            </w:r>
          </w:p>
        </w:tc>
        <w:tc>
          <w:tcPr>
            <w:tcW w:w="2211" w:type="dxa"/>
            <w:tcBorders>
              <w:top w:val="single" w:sz="6" w:space="0" w:color="000000"/>
              <w:left w:val="nil"/>
              <w:bottom w:val="single" w:sz="6" w:space="0" w:color="000000"/>
              <w:right w:val="nil"/>
            </w:tcBorders>
            <w:shd w:val="clear" w:color="auto" w:fill="EDEDED"/>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The mean left ventricular mass in the control group was </w:t>
            </w:r>
            <w:r w:rsidRPr="00CB33FA">
              <w:rPr>
                <w:rFonts w:ascii="Arial Narrow" w:hAnsi="Arial Narrow"/>
                <w:b/>
                <w:bCs/>
                <w:color w:val="000000"/>
                <w:sz w:val="20"/>
                <w:szCs w:val="20"/>
                <w:lang w:eastAsia="en-AU"/>
              </w:rPr>
              <w:t>308</w:t>
            </w:r>
            <w:r w:rsidRPr="00CB33FA">
              <w:rPr>
                <w:rFonts w:ascii="Arial Narrow" w:hAnsi="Arial Narrow"/>
                <w:color w:val="000000"/>
                <w:sz w:val="20"/>
                <w:szCs w:val="20"/>
                <w:lang w:eastAsia="en-AU"/>
              </w:rPr>
              <w:t xml:space="preserve"> g </w:t>
            </w:r>
          </w:p>
        </w:tc>
        <w:tc>
          <w:tcPr>
            <w:tcW w:w="1989" w:type="dxa"/>
            <w:tcBorders>
              <w:top w:val="single" w:sz="6" w:space="0" w:color="000000"/>
              <w:left w:val="nil"/>
              <w:bottom w:val="single" w:sz="6" w:space="0" w:color="000000"/>
              <w:right w:val="nil"/>
            </w:tcBorders>
            <w:shd w:val="clear" w:color="auto" w:fill="EDEDED"/>
            <w:hideMark/>
          </w:tcPr>
          <w:p w:rsidR="007C4217" w:rsidRPr="00CB33FA" w:rsidRDefault="007C4217" w:rsidP="007C4217">
            <w:pPr>
              <w:keepNext/>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 xml:space="preserve">MD </w:t>
            </w:r>
            <w:r w:rsidRPr="00CB33FA">
              <w:rPr>
                <w:rFonts w:ascii="Arial Narrow" w:hAnsi="Arial Narrow"/>
                <w:b/>
                <w:bCs/>
                <w:color w:val="000000"/>
                <w:sz w:val="20"/>
                <w:szCs w:val="20"/>
                <w:lang w:eastAsia="en-AU"/>
              </w:rPr>
              <w:t>31.3 lower</w:t>
            </w:r>
            <w:r w:rsidRPr="00CB33FA">
              <w:rPr>
                <w:rFonts w:ascii="Arial Narrow" w:hAnsi="Arial Narrow"/>
                <w:color w:val="000000"/>
                <w:sz w:val="20"/>
                <w:szCs w:val="20"/>
                <w:lang w:eastAsia="en-AU"/>
              </w:rPr>
              <w:br/>
              <w:t xml:space="preserve">(104.5 lower to 42 higher) </w:t>
            </w:r>
          </w:p>
        </w:tc>
      </w:tr>
    </w:tbl>
    <w:p w:rsidR="00CD39DE" w:rsidRDefault="001B5185" w:rsidP="001B5185">
      <w:pPr>
        <w:pStyle w:val="TableNote"/>
        <w:ind w:left="0" w:firstLine="0"/>
        <w:rPr>
          <w:color w:val="000000"/>
        </w:rPr>
      </w:pPr>
      <w:r>
        <w:t>RCT</w:t>
      </w:r>
      <w:r w:rsidR="007C4217" w:rsidRPr="001E2881">
        <w:rPr>
          <w:spacing w:val="-20"/>
        </w:rPr>
        <w:t xml:space="preserve"> = </w:t>
      </w:r>
      <w:r w:rsidR="007C4217" w:rsidRPr="001E2881">
        <w:t xml:space="preserve">randomised controlled trial; </w:t>
      </w:r>
      <w:r w:rsidR="007C4217" w:rsidRPr="001E2881">
        <w:rPr>
          <w:lang w:val="en"/>
        </w:rPr>
        <w:t xml:space="preserve">MD </w:t>
      </w:r>
      <w:r w:rsidR="007C4217" w:rsidRPr="001E2881">
        <w:rPr>
          <w:spacing w:val="-20"/>
          <w:lang w:val="en"/>
        </w:rPr>
        <w:t xml:space="preserve">= </w:t>
      </w:r>
      <w:r w:rsidR="007C4217" w:rsidRPr="001E2881">
        <w:rPr>
          <w:lang w:val="en"/>
        </w:rPr>
        <w:t xml:space="preserve">mean difference between agalsidase alfa and agalsidase beta </w:t>
      </w:r>
      <w:r w:rsidR="00CD39DE" w:rsidRPr="006A44C2">
        <w:rPr>
          <w:lang w:val="en"/>
        </w:rPr>
        <w:t xml:space="preserve">(i.e. a mean difference “lower” means that the effect </w:t>
      </w:r>
      <w:r w:rsidR="00CD39DE">
        <w:rPr>
          <w:lang w:val="en"/>
        </w:rPr>
        <w:t xml:space="preserve">size </w:t>
      </w:r>
      <w:r w:rsidR="00CD39DE" w:rsidRPr="006A44C2">
        <w:rPr>
          <w:lang w:val="en"/>
        </w:rPr>
        <w:t xml:space="preserve">in </w:t>
      </w:r>
      <w:r w:rsidR="00CD39DE">
        <w:rPr>
          <w:lang w:val="en"/>
        </w:rPr>
        <w:t xml:space="preserve">the </w:t>
      </w:r>
      <w:r w:rsidR="00CD39DE" w:rsidRPr="006A44C2">
        <w:rPr>
          <w:lang w:val="en"/>
        </w:rPr>
        <w:t xml:space="preserve">agalsidase alfa </w:t>
      </w:r>
      <w:r w:rsidR="00CD39DE">
        <w:rPr>
          <w:lang w:val="en"/>
        </w:rPr>
        <w:t xml:space="preserve">arm </w:t>
      </w:r>
      <w:r w:rsidR="00CD39DE" w:rsidRPr="006A44C2">
        <w:rPr>
          <w:lang w:val="en"/>
        </w:rPr>
        <w:t xml:space="preserve">is lower than </w:t>
      </w:r>
      <w:r w:rsidR="007A0E99">
        <w:rPr>
          <w:lang w:val="en"/>
        </w:rPr>
        <w:t>agalsidase beta,</w:t>
      </w:r>
      <w:r w:rsidR="00CD39DE" w:rsidRPr="006A44C2">
        <w:rPr>
          <w:lang w:val="en"/>
        </w:rPr>
        <w:t xml:space="preserve"> and conversely “higher” means that the effect </w:t>
      </w:r>
      <w:r w:rsidR="00CD39DE">
        <w:rPr>
          <w:lang w:val="en"/>
        </w:rPr>
        <w:t xml:space="preserve">size </w:t>
      </w:r>
      <w:r w:rsidR="00CD39DE" w:rsidRPr="006A44C2">
        <w:rPr>
          <w:lang w:val="en"/>
        </w:rPr>
        <w:t xml:space="preserve">is higher in agalsidase alfa than in </w:t>
      </w:r>
      <w:r w:rsidR="007A0E99">
        <w:rPr>
          <w:lang w:val="en"/>
        </w:rPr>
        <w:t>agalsidase beta</w:t>
      </w:r>
      <w:r w:rsidR="00CD39DE" w:rsidRPr="006A44C2">
        <w:rPr>
          <w:lang w:val="en"/>
        </w:rPr>
        <w:t>)</w:t>
      </w:r>
      <w:r w:rsidR="00CD39DE">
        <w:rPr>
          <w:lang w:val="en"/>
        </w:rPr>
        <w:t>. In this instance, a lower left ventricular mass is beneficial to patients</w:t>
      </w:r>
      <w:r w:rsidR="00CD39DE">
        <w:rPr>
          <w:color w:val="000000"/>
        </w:rPr>
        <w:t>.</w:t>
      </w:r>
    </w:p>
    <w:p w:rsidR="007C4217" w:rsidRPr="00CB33FA" w:rsidRDefault="007C4217" w:rsidP="007C4217">
      <w:pPr>
        <w:pStyle w:val="TableNote"/>
        <w:rPr>
          <w:color w:val="000000"/>
        </w:rPr>
      </w:pPr>
      <w:r>
        <w:rPr>
          <w:color w:val="000000"/>
        </w:rPr>
        <w:t xml:space="preserve">1. </w:t>
      </w:r>
      <w:r w:rsidRPr="00CB33FA">
        <w:rPr>
          <w:color w:val="000000"/>
        </w:rPr>
        <w:t>No blinding</w:t>
      </w:r>
    </w:p>
    <w:p w:rsidR="007C4217" w:rsidRPr="00CB33FA" w:rsidRDefault="007C4217" w:rsidP="007C4217">
      <w:pPr>
        <w:pStyle w:val="TableNote"/>
        <w:rPr>
          <w:color w:val="000000"/>
        </w:rPr>
      </w:pPr>
      <w:r>
        <w:rPr>
          <w:color w:val="000000"/>
        </w:rPr>
        <w:t xml:space="preserve">2. </w:t>
      </w:r>
      <w:r w:rsidRPr="00CB33FA">
        <w:rPr>
          <w:color w:val="000000"/>
        </w:rPr>
        <w:t>Incomplete outcome data</w:t>
      </w:r>
    </w:p>
    <w:p w:rsidR="007C4217" w:rsidRPr="005E04B0" w:rsidRDefault="007C4217" w:rsidP="007C4217">
      <w:pPr>
        <w:pStyle w:val="TableNote"/>
      </w:pPr>
      <w:r>
        <w:rPr>
          <w:color w:val="000000"/>
        </w:rPr>
        <w:t xml:space="preserve">3. </w:t>
      </w:r>
      <w:r w:rsidRPr="00CB33FA">
        <w:rPr>
          <w:color w:val="000000"/>
        </w:rPr>
        <w:t>Surrogate outcome</w:t>
      </w:r>
    </w:p>
    <w:p w:rsidR="001C3FAF" w:rsidRPr="000756DF" w:rsidRDefault="001C3FAF" w:rsidP="001C3FAF"/>
    <w:p w:rsidR="001C3FAF" w:rsidRPr="000756DF" w:rsidRDefault="001C3FAF" w:rsidP="00A979FB">
      <w:pPr>
        <w:pStyle w:val="Heading5"/>
      </w:pPr>
      <w:r w:rsidRPr="000756DF">
        <w:t>Comparative safety</w:t>
      </w:r>
    </w:p>
    <w:p w:rsidR="001C3FAF" w:rsidRPr="000756DF" w:rsidRDefault="001C3FAF" w:rsidP="001C3FAF">
      <w:bookmarkStart w:id="252" w:name="_Toc405361951"/>
      <w:r>
        <w:t xml:space="preserve">Vedder (2007) reported on </w:t>
      </w:r>
      <w:r w:rsidRPr="000756DF">
        <w:t>the frequency of adverse event</w:t>
      </w:r>
      <w:r>
        <w:t>s in the two agalsidase treatment groups (</w:t>
      </w:r>
      <w:r w:rsidR="00A72B26" w:rsidRPr="00716774">
        <w:t xml:space="preserve">Table </w:t>
      </w:r>
      <w:r w:rsidR="00A72B26">
        <w:rPr>
          <w:noProof/>
        </w:rPr>
        <w:t>49</w:t>
      </w:r>
      <w:r>
        <w:t>)</w:t>
      </w:r>
      <w:r w:rsidRPr="000756DF">
        <w:t>. Events in this category included</w:t>
      </w:r>
      <w:r>
        <w:t>:</w:t>
      </w:r>
      <w:r w:rsidRPr="000756DF">
        <w:t xml:space="preserve"> infusion related chills</w:t>
      </w:r>
      <w:r>
        <w:t>,</w:t>
      </w:r>
      <w:r w:rsidRPr="000756DF">
        <w:t xml:space="preserve"> fever</w:t>
      </w:r>
      <w:r>
        <w:t>,</w:t>
      </w:r>
      <w:r w:rsidRPr="000756DF">
        <w:t xml:space="preserve"> grade 1 or 2 nausea, dizziness, headache and diarrhoea. </w:t>
      </w:r>
      <w:r>
        <w:t>Increased</w:t>
      </w:r>
      <w:r w:rsidRPr="000756DF">
        <w:t xml:space="preserve"> adverse events </w:t>
      </w:r>
      <w:r>
        <w:t>were observed</w:t>
      </w:r>
      <w:r w:rsidRPr="000756DF">
        <w:t xml:space="preserve"> in the agalsidase beta group but the difference between </w:t>
      </w:r>
      <w:r>
        <w:t>alfa and beta</w:t>
      </w:r>
      <w:r w:rsidRPr="000756DF">
        <w:t xml:space="preserve"> was not statistically significant</w:t>
      </w:r>
      <w:r>
        <w:t xml:space="preserve"> (GRADE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t>.</w:t>
      </w:r>
    </w:p>
    <w:p w:rsidR="001C3FAF" w:rsidRDefault="001C3FAF" w:rsidP="001C3FAF">
      <w:pPr>
        <w:pStyle w:val="Caption"/>
        <w:keepNext/>
        <w:tabs>
          <w:tab w:val="clear" w:pos="851"/>
          <w:tab w:val="left" w:pos="1134"/>
        </w:tabs>
        <w:ind w:left="1134" w:hanging="1134"/>
      </w:pPr>
      <w:bookmarkStart w:id="253" w:name="_Ref405842511"/>
      <w:bookmarkStart w:id="254" w:name="_Toc411510431"/>
      <w:bookmarkStart w:id="255" w:name="_Toc415141846"/>
      <w:r w:rsidRPr="00716774">
        <w:t xml:space="preserve">Table </w:t>
      </w:r>
      <w:r w:rsidR="00A72B26">
        <w:rPr>
          <w:noProof/>
        </w:rPr>
        <w:t>49</w:t>
      </w:r>
      <w:bookmarkEnd w:id="253"/>
      <w:r w:rsidRPr="00305731">
        <w:t xml:space="preserve"> </w:t>
      </w:r>
      <w:r>
        <w:tab/>
      </w:r>
      <w:r w:rsidRPr="00716774">
        <w:t xml:space="preserve">Adverse events in Fabry patients randomised to </w:t>
      </w:r>
      <w:r>
        <w:t>receive</w:t>
      </w:r>
      <w:r w:rsidRPr="00716774">
        <w:t xml:space="preserve"> agalsidase alfa or agalsidase beta </w:t>
      </w:r>
      <w:bookmarkEnd w:id="252"/>
      <w:r w:rsidR="00E83918">
        <w:rPr>
          <w:noProof/>
        </w:rPr>
        <w:t>(</w:t>
      </w:r>
      <w:r w:rsidR="00184B6F">
        <w:rPr>
          <w:noProof/>
        </w:rPr>
        <w:t>El Dib, R P, Nascimento &amp; Pastores 2013</w:t>
      </w:r>
      <w:r w:rsidR="00E83918">
        <w:rPr>
          <w:noProof/>
        </w:rPr>
        <w:t>)</w:t>
      </w:r>
      <w:bookmarkEnd w:id="254"/>
      <w:bookmarkEnd w:id="255"/>
    </w:p>
    <w:tbl>
      <w:tblPr>
        <w:tblW w:w="5000" w:type="pct"/>
        <w:tblCellMar>
          <w:top w:w="75" w:type="dxa"/>
          <w:left w:w="75" w:type="dxa"/>
          <w:bottom w:w="75" w:type="dxa"/>
          <w:right w:w="75" w:type="dxa"/>
        </w:tblCellMar>
        <w:tblLook w:val="04A0" w:firstRow="1" w:lastRow="0" w:firstColumn="1" w:lastColumn="0" w:noHBand="0" w:noVBand="1"/>
        <w:tblCaption w:val="Table 47  Adverse events in Fabry patients randomised to receive agalsidase alfa or agalsidase beta (El Dib, R P, Nascimento &amp; Pastores 2013)"/>
      </w:tblPr>
      <w:tblGrid>
        <w:gridCol w:w="1333"/>
        <w:gridCol w:w="1225"/>
        <w:gridCol w:w="1555"/>
        <w:gridCol w:w="1026"/>
        <w:gridCol w:w="2025"/>
        <w:gridCol w:w="2012"/>
      </w:tblGrid>
      <w:tr w:rsidR="00F36AA6" w:rsidRPr="001E2881" w:rsidTr="009A0365">
        <w:trPr>
          <w:trHeight w:val="1056"/>
          <w:tblHeader/>
        </w:trPr>
        <w:tc>
          <w:tcPr>
            <w:tcW w:w="1333" w:type="dxa"/>
            <w:tcBorders>
              <w:top w:val="single" w:sz="12" w:space="0" w:color="000000"/>
              <w:left w:val="nil"/>
              <w:bottom w:val="single" w:sz="6" w:space="0" w:color="000000"/>
              <w:right w:val="nil"/>
            </w:tcBorders>
            <w:shd w:val="clear" w:color="auto" w:fill="3271AA"/>
            <w:hideMark/>
          </w:tcPr>
          <w:p w:rsidR="00F36AA6" w:rsidRPr="00CB33FA" w:rsidRDefault="00F36AA6" w:rsidP="00DC79E4">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Outcomes</w:t>
            </w:r>
          </w:p>
        </w:tc>
        <w:tc>
          <w:tcPr>
            <w:tcW w:w="1225" w:type="dxa"/>
            <w:tcBorders>
              <w:top w:val="single" w:sz="12" w:space="0" w:color="000000"/>
              <w:left w:val="nil"/>
              <w:bottom w:val="single" w:sz="6" w:space="0" w:color="000000"/>
              <w:right w:val="nil"/>
            </w:tcBorders>
            <w:shd w:val="clear" w:color="auto" w:fill="3271AA"/>
            <w:hideMark/>
          </w:tcPr>
          <w:p w:rsidR="00F36AA6" w:rsidRPr="00CB33FA" w:rsidRDefault="00F36AA6" w:rsidP="00DC79E4">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 of participants</w:t>
            </w:r>
            <w:r w:rsidRPr="00CB33FA">
              <w:rPr>
                <w:rFonts w:ascii="Arial Narrow" w:hAnsi="Arial Narrow"/>
                <w:b/>
                <w:bCs/>
                <w:color w:val="FFFFFF"/>
                <w:sz w:val="20"/>
                <w:szCs w:val="20"/>
                <w:lang w:eastAsia="en-AU"/>
              </w:rPr>
              <w:br/>
              <w:t>(studies)</w:t>
            </w:r>
            <w:r w:rsidRPr="00CB33FA">
              <w:rPr>
                <w:rFonts w:ascii="Arial Narrow" w:hAnsi="Arial Narrow"/>
                <w:b/>
                <w:bCs/>
                <w:color w:val="FFFFFF"/>
                <w:sz w:val="20"/>
                <w:szCs w:val="20"/>
                <w:lang w:eastAsia="en-AU"/>
              </w:rPr>
              <w:br/>
              <w:t>Follow-up</w:t>
            </w:r>
          </w:p>
        </w:tc>
        <w:tc>
          <w:tcPr>
            <w:tcW w:w="1555" w:type="dxa"/>
            <w:tcBorders>
              <w:top w:val="single" w:sz="12" w:space="0" w:color="000000"/>
              <w:left w:val="nil"/>
              <w:bottom w:val="single" w:sz="6" w:space="0" w:color="000000"/>
              <w:right w:val="nil"/>
            </w:tcBorders>
            <w:shd w:val="clear" w:color="auto" w:fill="3271AA"/>
            <w:hideMark/>
          </w:tcPr>
          <w:p w:rsidR="00F36AA6" w:rsidRPr="00CB33FA" w:rsidRDefault="00F36AA6" w:rsidP="00DC79E4">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Quality of the evidence</w:t>
            </w:r>
            <w:r w:rsidRPr="00CB33FA">
              <w:rPr>
                <w:rFonts w:ascii="Arial Narrow" w:hAnsi="Arial Narrow"/>
                <w:b/>
                <w:bCs/>
                <w:color w:val="FFFFFF"/>
                <w:sz w:val="20"/>
                <w:szCs w:val="20"/>
                <w:lang w:eastAsia="en-AU"/>
              </w:rPr>
              <w:br/>
              <w:t>(GRADE)</w:t>
            </w:r>
          </w:p>
        </w:tc>
        <w:tc>
          <w:tcPr>
            <w:tcW w:w="1026" w:type="dxa"/>
            <w:tcBorders>
              <w:top w:val="single" w:sz="12" w:space="0" w:color="000000"/>
              <w:left w:val="nil"/>
              <w:bottom w:val="single" w:sz="6" w:space="0" w:color="000000"/>
              <w:right w:val="nil"/>
            </w:tcBorders>
            <w:shd w:val="clear" w:color="auto" w:fill="3271AA"/>
            <w:hideMark/>
          </w:tcPr>
          <w:p w:rsidR="00F36AA6" w:rsidRPr="00CB33FA" w:rsidRDefault="00F36AA6" w:rsidP="00DC79E4">
            <w:pPr>
              <w:spacing w:after="0"/>
              <w:jc w:val="left"/>
              <w:rPr>
                <w:rFonts w:ascii="Arial Narrow" w:hAnsi="Arial Narrow"/>
                <w:b/>
                <w:bCs/>
                <w:color w:val="FFFFFF"/>
                <w:sz w:val="20"/>
                <w:szCs w:val="20"/>
                <w:lang w:eastAsia="en-AU"/>
              </w:rPr>
            </w:pPr>
            <w:r w:rsidRPr="00CB33FA">
              <w:rPr>
                <w:rFonts w:ascii="Arial Narrow" w:hAnsi="Arial Narrow"/>
                <w:b/>
                <w:bCs/>
                <w:color w:val="FFFFFF"/>
                <w:sz w:val="20"/>
                <w:szCs w:val="20"/>
                <w:lang w:eastAsia="en-AU"/>
              </w:rPr>
              <w:t>Relative effect</w:t>
            </w:r>
            <w:r w:rsidRPr="00CB33FA">
              <w:rPr>
                <w:rFonts w:ascii="Arial Narrow" w:hAnsi="Arial Narrow"/>
                <w:b/>
                <w:bCs/>
                <w:color w:val="FFFFFF"/>
                <w:sz w:val="20"/>
                <w:szCs w:val="20"/>
                <w:lang w:eastAsia="en-AU"/>
              </w:rPr>
              <w:br/>
              <w:t>(95% CI)</w:t>
            </w:r>
          </w:p>
        </w:tc>
        <w:tc>
          <w:tcPr>
            <w:tcW w:w="2025" w:type="dxa"/>
            <w:tcBorders>
              <w:top w:val="single" w:sz="12" w:space="0" w:color="000000"/>
              <w:left w:val="nil"/>
            </w:tcBorders>
            <w:shd w:val="clear" w:color="auto" w:fill="D3D3D3"/>
          </w:tcPr>
          <w:p w:rsidR="00F36AA6" w:rsidRPr="00CB33FA" w:rsidRDefault="00F36AA6" w:rsidP="00DC79E4">
            <w:pPr>
              <w:spacing w:after="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Risk with agalsidase beta</w:t>
            </w:r>
          </w:p>
        </w:tc>
        <w:tc>
          <w:tcPr>
            <w:tcW w:w="2012" w:type="dxa"/>
            <w:tcBorders>
              <w:top w:val="single" w:sz="12" w:space="0" w:color="000000"/>
              <w:left w:val="nil"/>
              <w:right w:val="nil"/>
            </w:tcBorders>
            <w:shd w:val="clear" w:color="auto" w:fill="D3D3D3"/>
          </w:tcPr>
          <w:p w:rsidR="00F36AA6" w:rsidRPr="00CB33FA" w:rsidRDefault="00F36AA6" w:rsidP="00DC79E4">
            <w:pPr>
              <w:spacing w:after="0"/>
              <w:jc w:val="left"/>
              <w:rPr>
                <w:rFonts w:ascii="Arial Narrow" w:hAnsi="Arial Narrow"/>
                <w:b/>
                <w:bCs/>
                <w:color w:val="D9D9D9" w:themeColor="background1" w:themeShade="D9"/>
                <w:sz w:val="20"/>
                <w:szCs w:val="20"/>
                <w:lang w:eastAsia="en-AU"/>
              </w:rPr>
            </w:pPr>
            <w:r w:rsidRPr="00CB33FA">
              <w:rPr>
                <w:rFonts w:ascii="Arial Narrow" w:hAnsi="Arial Narrow"/>
                <w:b/>
                <w:bCs/>
                <w:color w:val="000000"/>
                <w:sz w:val="20"/>
                <w:szCs w:val="20"/>
                <w:lang w:eastAsia="en-AU"/>
              </w:rPr>
              <w:t>Risk difference with Agalsidase alfa</w:t>
            </w:r>
          </w:p>
        </w:tc>
      </w:tr>
      <w:tr w:rsidR="000149C1" w:rsidRPr="001E2881" w:rsidTr="00117B80">
        <w:trPr>
          <w:trHeight w:val="922"/>
        </w:trPr>
        <w:tc>
          <w:tcPr>
            <w:tcW w:w="1333" w:type="dxa"/>
            <w:tcBorders>
              <w:top w:val="single" w:sz="6" w:space="0" w:color="000000"/>
              <w:left w:val="nil"/>
              <w:bottom w:val="single" w:sz="6" w:space="0" w:color="000000"/>
              <w:right w:val="nil"/>
            </w:tcBorders>
            <w:hideMark/>
          </w:tcPr>
          <w:p w:rsidR="000149C1" w:rsidRPr="00CB33FA" w:rsidRDefault="000149C1" w:rsidP="00DC79E4">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Any adverse event</w:t>
            </w:r>
            <w:r w:rsidRPr="00CB33FA">
              <w:rPr>
                <w:rFonts w:ascii="Arial Narrow" w:hAnsi="Arial Narrow"/>
                <w:color w:val="000000"/>
                <w:sz w:val="20"/>
                <w:szCs w:val="20"/>
                <w:lang w:eastAsia="en-AU"/>
              </w:rPr>
              <w:br/>
              <w:t>assessed with: n</w:t>
            </w:r>
            <w:r w:rsidRPr="00CB33FA">
              <w:rPr>
                <w:rFonts w:ascii="Arial Narrow" w:hAnsi="Arial Narrow"/>
                <w:color w:val="000000"/>
                <w:sz w:val="20"/>
                <w:szCs w:val="20"/>
                <w:lang w:eastAsia="en-AU"/>
              </w:rPr>
              <w:br/>
              <w:t xml:space="preserve">follow up: 24 months </w:t>
            </w:r>
          </w:p>
        </w:tc>
        <w:tc>
          <w:tcPr>
            <w:tcW w:w="1225" w:type="dxa"/>
            <w:tcBorders>
              <w:top w:val="single" w:sz="6" w:space="0" w:color="000000"/>
              <w:left w:val="nil"/>
              <w:bottom w:val="single" w:sz="6" w:space="0" w:color="000000"/>
              <w:right w:val="nil"/>
            </w:tcBorders>
            <w:hideMark/>
          </w:tcPr>
          <w:p w:rsidR="000149C1" w:rsidRPr="00CB33FA" w:rsidRDefault="000149C1" w:rsidP="00DC79E4">
            <w:pPr>
              <w:spacing w:after="200"/>
              <w:jc w:val="left"/>
              <w:rPr>
                <w:rFonts w:ascii="Arial Narrow" w:hAnsi="Arial Narrow"/>
                <w:color w:val="000000"/>
                <w:sz w:val="20"/>
                <w:szCs w:val="20"/>
                <w:lang w:eastAsia="en-AU"/>
              </w:rPr>
            </w:pPr>
            <w:r w:rsidRPr="00CB33FA">
              <w:rPr>
                <w:rFonts w:ascii="Arial Narrow" w:hAnsi="Arial Narrow"/>
                <w:color w:val="000000"/>
                <w:sz w:val="20"/>
                <w:szCs w:val="20"/>
                <w:lang w:eastAsia="en-AU"/>
              </w:rPr>
              <w:t>34</w:t>
            </w:r>
            <w:r w:rsidRPr="00CB33FA">
              <w:rPr>
                <w:rFonts w:ascii="Arial Narrow" w:hAnsi="Arial Narrow"/>
                <w:color w:val="000000"/>
                <w:sz w:val="20"/>
                <w:szCs w:val="20"/>
                <w:lang w:eastAsia="en-AU"/>
              </w:rPr>
              <w:br/>
              <w:t>(1 RCT)</w:t>
            </w:r>
            <w:r w:rsidRPr="00CB33FA">
              <w:rPr>
                <w:rFonts w:ascii="Arial Narrow" w:hAnsi="Arial Narrow"/>
                <w:color w:val="000000"/>
                <w:sz w:val="20"/>
                <w:szCs w:val="20"/>
                <w:lang w:eastAsia="en-AU"/>
              </w:rPr>
              <w:br/>
              <w:t xml:space="preserve">24 months </w:t>
            </w:r>
          </w:p>
        </w:tc>
        <w:tc>
          <w:tcPr>
            <w:tcW w:w="1555" w:type="dxa"/>
            <w:tcBorders>
              <w:top w:val="single" w:sz="6" w:space="0" w:color="000000"/>
              <w:left w:val="nil"/>
              <w:bottom w:val="single" w:sz="6" w:space="0" w:color="000000"/>
              <w:right w:val="nil"/>
            </w:tcBorders>
            <w:hideMark/>
          </w:tcPr>
          <w:p w:rsidR="000149C1" w:rsidRPr="00CB33FA" w:rsidRDefault="00C31DE9" w:rsidP="00DC79E4">
            <w:pPr>
              <w:spacing w:after="200"/>
              <w:jc w:val="left"/>
              <w:rPr>
                <w:rFonts w:ascii="Arial Narrow" w:hAnsi="Arial Narrow"/>
                <w:color w:val="000000"/>
                <w:sz w:val="20"/>
                <w:szCs w:val="20"/>
                <w:lang w:eastAsia="en-AU"/>
              </w:rPr>
            </w:pPr>
            <w:r w:rsidRPr="00CB33FA">
              <w:rPr>
                <w:rFonts w:ascii="Cambria Math" w:hAnsi="Cambria Math"/>
                <w:color w:val="00B050"/>
                <w:sz w:val="20"/>
                <w:szCs w:val="20"/>
              </w:rPr>
              <w:t>⨁</w:t>
            </w:r>
            <w:r w:rsidRPr="00CB33FA">
              <w:rPr>
                <w:rFonts w:ascii="Cambria Math" w:hAnsi="Cambria Math"/>
                <w:color w:val="C00000"/>
                <w:sz w:val="20"/>
                <w:szCs w:val="20"/>
              </w:rPr>
              <w:t>⨀⨀⨀</w:t>
            </w:r>
            <w:r w:rsidR="000149C1" w:rsidRPr="00CB33FA">
              <w:rPr>
                <w:rFonts w:ascii="Arial Narrow" w:hAnsi="Arial Narrow"/>
                <w:color w:val="000000"/>
                <w:sz w:val="20"/>
                <w:szCs w:val="20"/>
                <w:lang w:eastAsia="en-AU"/>
              </w:rPr>
              <w:br/>
              <w:t xml:space="preserve">VERY LOW </w:t>
            </w:r>
            <w:r w:rsidR="000149C1" w:rsidRPr="00CB33FA">
              <w:rPr>
                <w:rFonts w:ascii="Arial Narrow" w:hAnsi="Arial Narrow"/>
                <w:color w:val="000000"/>
                <w:sz w:val="20"/>
                <w:szCs w:val="20"/>
                <w:vertAlign w:val="superscript"/>
                <w:lang w:eastAsia="en-AU"/>
              </w:rPr>
              <w:t> </w:t>
            </w:r>
            <w:r w:rsidR="000149C1" w:rsidRPr="00CB33FA">
              <w:rPr>
                <w:rFonts w:ascii="Arial Narrow" w:hAnsi="Arial Narrow"/>
                <w:color w:val="000000"/>
                <w:sz w:val="20"/>
                <w:szCs w:val="20"/>
                <w:u w:val="single"/>
                <w:vertAlign w:val="superscript"/>
                <w:lang w:eastAsia="en-AU"/>
              </w:rPr>
              <w:t>1</w:t>
            </w:r>
            <w:r w:rsidR="000149C1" w:rsidRPr="00CB33FA">
              <w:rPr>
                <w:rFonts w:ascii="Arial Narrow" w:hAnsi="Arial Narrow"/>
                <w:color w:val="000000"/>
                <w:sz w:val="20"/>
                <w:szCs w:val="20"/>
                <w:vertAlign w:val="superscript"/>
                <w:lang w:eastAsia="en-AU"/>
              </w:rPr>
              <w:t> </w:t>
            </w:r>
            <w:r w:rsidR="000149C1" w:rsidRPr="00CB33FA">
              <w:rPr>
                <w:rFonts w:ascii="Arial Narrow" w:hAnsi="Arial Narrow"/>
                <w:color w:val="000000"/>
                <w:sz w:val="20"/>
                <w:szCs w:val="20"/>
                <w:u w:val="single"/>
                <w:vertAlign w:val="superscript"/>
                <w:lang w:eastAsia="en-AU"/>
              </w:rPr>
              <w:t>2</w:t>
            </w:r>
          </w:p>
        </w:tc>
        <w:tc>
          <w:tcPr>
            <w:tcW w:w="1026" w:type="dxa"/>
            <w:tcBorders>
              <w:top w:val="single" w:sz="6" w:space="0" w:color="000000"/>
              <w:left w:val="nil"/>
              <w:bottom w:val="single" w:sz="6" w:space="0" w:color="000000"/>
              <w:right w:val="nil"/>
            </w:tcBorders>
            <w:hideMark/>
          </w:tcPr>
          <w:p w:rsidR="000149C1" w:rsidRPr="00CB33FA" w:rsidRDefault="000149C1" w:rsidP="00DC79E4">
            <w:pPr>
              <w:spacing w:after="200"/>
              <w:jc w:val="left"/>
              <w:rPr>
                <w:rFonts w:ascii="Arial Narrow" w:hAnsi="Arial Narrow"/>
                <w:color w:val="000000"/>
                <w:sz w:val="20"/>
                <w:szCs w:val="20"/>
                <w:lang w:eastAsia="en-AU"/>
              </w:rPr>
            </w:pPr>
            <w:r w:rsidRPr="00CB33FA">
              <w:rPr>
                <w:rFonts w:ascii="Arial Narrow" w:hAnsi="Arial Narrow"/>
                <w:b/>
                <w:bCs/>
                <w:color w:val="000000"/>
                <w:sz w:val="20"/>
                <w:szCs w:val="20"/>
                <w:lang w:eastAsia="en-AU"/>
              </w:rPr>
              <w:t>RR 0.36</w:t>
            </w:r>
            <w:r w:rsidRPr="00CB33FA">
              <w:rPr>
                <w:rFonts w:ascii="Arial Narrow" w:hAnsi="Arial Narrow"/>
                <w:color w:val="000000"/>
                <w:sz w:val="20"/>
                <w:szCs w:val="20"/>
                <w:lang w:eastAsia="en-AU"/>
              </w:rPr>
              <w:br/>
              <w:t xml:space="preserve">(0.08 to 1.59) </w:t>
            </w:r>
          </w:p>
        </w:tc>
        <w:tc>
          <w:tcPr>
            <w:tcW w:w="2025" w:type="dxa"/>
            <w:tcBorders>
              <w:top w:val="single" w:sz="6" w:space="0" w:color="000000"/>
              <w:left w:val="nil"/>
            </w:tcBorders>
            <w:shd w:val="clear" w:color="auto" w:fill="E0E0E0"/>
            <w:hideMark/>
          </w:tcPr>
          <w:p w:rsidR="000149C1" w:rsidRPr="00CB33FA" w:rsidRDefault="000149C1" w:rsidP="00DC79E4">
            <w:pPr>
              <w:spacing w:after="200"/>
              <w:jc w:val="left"/>
              <w:rPr>
                <w:rFonts w:ascii="Arial Narrow" w:hAnsi="Arial Narrow"/>
                <w:b/>
                <w:bCs/>
                <w:color w:val="000000"/>
                <w:sz w:val="20"/>
                <w:szCs w:val="20"/>
                <w:lang w:eastAsia="en-AU"/>
              </w:rPr>
            </w:pPr>
            <w:r w:rsidRPr="00CB33FA">
              <w:rPr>
                <w:rFonts w:ascii="Arial Narrow" w:hAnsi="Arial Narrow"/>
                <w:color w:val="000000"/>
                <w:sz w:val="20"/>
                <w:szCs w:val="20"/>
                <w:lang w:eastAsia="en-AU"/>
              </w:rPr>
              <w:t xml:space="preserve">313 per 1000 </w:t>
            </w:r>
          </w:p>
        </w:tc>
        <w:tc>
          <w:tcPr>
            <w:tcW w:w="2012" w:type="dxa"/>
            <w:tcBorders>
              <w:top w:val="single" w:sz="6" w:space="0" w:color="000000"/>
              <w:left w:val="nil"/>
              <w:right w:val="nil"/>
            </w:tcBorders>
            <w:shd w:val="clear" w:color="auto" w:fill="E0E0E0"/>
          </w:tcPr>
          <w:p w:rsidR="000149C1" w:rsidRPr="00CB33FA" w:rsidRDefault="000149C1" w:rsidP="00DC79E4">
            <w:pPr>
              <w:spacing w:after="200"/>
              <w:jc w:val="left"/>
              <w:rPr>
                <w:rFonts w:ascii="Arial Narrow" w:hAnsi="Arial Narrow"/>
                <w:b/>
                <w:bCs/>
                <w:color w:val="000000"/>
                <w:sz w:val="20"/>
                <w:szCs w:val="20"/>
                <w:lang w:eastAsia="en-AU"/>
              </w:rPr>
            </w:pPr>
            <w:r w:rsidRPr="00CB33FA">
              <w:rPr>
                <w:rFonts w:ascii="Arial Narrow" w:hAnsi="Arial Narrow"/>
                <w:b/>
                <w:bCs/>
                <w:color w:val="000000"/>
                <w:sz w:val="20"/>
                <w:szCs w:val="20"/>
                <w:lang w:eastAsia="en-AU"/>
              </w:rPr>
              <w:t>201 fewer per 1000</w:t>
            </w:r>
            <w:r w:rsidRPr="00CB33FA">
              <w:rPr>
                <w:rFonts w:ascii="Arial Narrow" w:hAnsi="Arial Narrow"/>
                <w:color w:val="000000"/>
                <w:sz w:val="20"/>
                <w:szCs w:val="20"/>
                <w:lang w:eastAsia="en-AU"/>
              </w:rPr>
              <w:br/>
              <w:t xml:space="preserve">(471 fewer to 68 more) </w:t>
            </w:r>
          </w:p>
        </w:tc>
      </w:tr>
    </w:tbl>
    <w:p w:rsidR="005E04B0" w:rsidRDefault="00F36AA6" w:rsidP="00F36AA6">
      <w:pPr>
        <w:pStyle w:val="TableNote"/>
        <w:rPr>
          <w:lang w:val="en-GB"/>
        </w:rPr>
      </w:pPr>
      <w:r w:rsidRPr="00DC17CA">
        <w:rPr>
          <w:lang w:val="en-GB"/>
        </w:rPr>
        <w:t xml:space="preserve">CI </w:t>
      </w:r>
      <w:r w:rsidR="00F87099" w:rsidRPr="001E2881">
        <w:rPr>
          <w:spacing w:val="-20"/>
          <w:lang w:val="en-GB"/>
        </w:rPr>
        <w:t xml:space="preserve">= </w:t>
      </w:r>
      <w:r w:rsidR="00F87099">
        <w:rPr>
          <w:lang w:val="en-GB"/>
        </w:rPr>
        <w:t>confidence</w:t>
      </w:r>
      <w:r w:rsidR="001B5185">
        <w:rPr>
          <w:lang w:val="en-GB"/>
        </w:rPr>
        <w:t xml:space="preserve"> interval; RCT</w:t>
      </w:r>
      <w:r w:rsidRPr="001E2881">
        <w:rPr>
          <w:spacing w:val="-20"/>
          <w:lang w:val="en-GB"/>
        </w:rPr>
        <w:t xml:space="preserve"> </w:t>
      </w:r>
      <w:r w:rsidR="00F87099" w:rsidRPr="001E2881">
        <w:rPr>
          <w:spacing w:val="-20"/>
          <w:lang w:val="en-GB"/>
        </w:rPr>
        <w:t xml:space="preserve">= </w:t>
      </w:r>
      <w:r w:rsidR="00F87099" w:rsidRPr="001E2881">
        <w:rPr>
          <w:lang w:val="en-GB"/>
        </w:rPr>
        <w:t>randomised</w:t>
      </w:r>
      <w:r w:rsidRPr="001E2881">
        <w:rPr>
          <w:lang w:val="en-GB"/>
        </w:rPr>
        <w:t xml:space="preserve"> controlled trial; RR </w:t>
      </w:r>
      <w:r w:rsidR="00F87099" w:rsidRPr="001E2881">
        <w:rPr>
          <w:spacing w:val="-20"/>
          <w:lang w:val="en-GB"/>
        </w:rPr>
        <w:t xml:space="preserve">= </w:t>
      </w:r>
      <w:r w:rsidR="00F87099" w:rsidRPr="001E2881">
        <w:rPr>
          <w:lang w:val="en-GB"/>
        </w:rPr>
        <w:t>relative</w:t>
      </w:r>
      <w:r w:rsidRPr="001E2881">
        <w:rPr>
          <w:lang w:val="en-GB"/>
        </w:rPr>
        <w:t xml:space="preserve"> risk; risk difference calculated using STATA</w:t>
      </w:r>
    </w:p>
    <w:p w:rsidR="00F36AA6" w:rsidRPr="00CB33FA" w:rsidRDefault="00F36AA6" w:rsidP="00F36AA6">
      <w:pPr>
        <w:pStyle w:val="TableNote"/>
        <w:rPr>
          <w:color w:val="000000"/>
        </w:rPr>
      </w:pPr>
      <w:r>
        <w:rPr>
          <w:color w:val="000000"/>
        </w:rPr>
        <w:t xml:space="preserve">1. </w:t>
      </w:r>
      <w:r w:rsidRPr="00CB33FA">
        <w:rPr>
          <w:color w:val="000000"/>
        </w:rPr>
        <w:t>No blinding</w:t>
      </w:r>
    </w:p>
    <w:p w:rsidR="00F36AA6" w:rsidRPr="005E04B0" w:rsidRDefault="00F36AA6" w:rsidP="00F36AA6">
      <w:pPr>
        <w:pStyle w:val="TableNote"/>
      </w:pPr>
      <w:r>
        <w:rPr>
          <w:color w:val="000000"/>
        </w:rPr>
        <w:t xml:space="preserve">2. </w:t>
      </w:r>
      <w:r w:rsidRPr="00CB33FA">
        <w:rPr>
          <w:color w:val="000000"/>
        </w:rPr>
        <w:t>Incomplete outcome data</w:t>
      </w:r>
    </w:p>
    <w:p w:rsidR="001C3FAF" w:rsidRPr="00A979FB" w:rsidRDefault="001C3FAF" w:rsidP="00A979FB">
      <w:pPr>
        <w:pStyle w:val="Heading4"/>
      </w:pPr>
      <w:bookmarkStart w:id="256" w:name="_Ref405842882"/>
      <w:r w:rsidRPr="00A979FB">
        <w:t>Extended assessment of harms</w:t>
      </w:r>
      <w:bookmarkEnd w:id="256"/>
    </w:p>
    <w:p w:rsidR="00390ED3" w:rsidRPr="0004128C" w:rsidRDefault="001C3FAF" w:rsidP="00390ED3">
      <w:r w:rsidRPr="000756DF">
        <w:t xml:space="preserve">The </w:t>
      </w:r>
      <w:proofErr w:type="gramStart"/>
      <w:r w:rsidRPr="000756DF">
        <w:t xml:space="preserve">summary of safety provided in this section based on Periodic Safety Update Reports (PSURs) </w:t>
      </w:r>
      <w:r w:rsidR="00390ED3">
        <w:t>have</w:t>
      </w:r>
      <w:proofErr w:type="gramEnd"/>
      <w:r w:rsidR="00390ED3">
        <w:t xml:space="preserve"> been provided in confidence to the LSDP expert reference group. The summary has been redacted at the request of the sponsors. </w:t>
      </w:r>
    </w:p>
    <w:p w:rsidR="001C3FAF" w:rsidRDefault="001C3FAF" w:rsidP="000756DF"/>
    <w:p w:rsidR="001C3FAF" w:rsidRPr="000756DF" w:rsidRDefault="001C3FAF" w:rsidP="00A979FB">
      <w:pPr>
        <w:pStyle w:val="Heading4"/>
      </w:pPr>
      <w:r w:rsidRPr="000756DF">
        <w:t>Australian data registry information</w:t>
      </w:r>
    </w:p>
    <w:p w:rsidR="001C3FAF" w:rsidRPr="000756DF" w:rsidRDefault="001C3FAF" w:rsidP="001C3FAF">
      <w:bookmarkStart w:id="257" w:name="_Toc405361954"/>
      <w:r w:rsidRPr="000756DF">
        <w:t xml:space="preserve">There are currently two drugs on the LSDP program for the treatment of Fabry disease; agalsidase alfa (Replagal) and agalsidase beta (Fabrazyme). </w:t>
      </w:r>
    </w:p>
    <w:p w:rsidR="001C3FAF" w:rsidRPr="000756DF" w:rsidRDefault="001C3FAF" w:rsidP="001C3FAF">
      <w:r w:rsidRPr="000756DF">
        <w:t xml:space="preserve">Data relating to the treatment of Fabry disease on the LSDP was obtained from </w:t>
      </w:r>
      <w:r w:rsidR="00494F1F">
        <w:t>r</w:t>
      </w:r>
      <w:r w:rsidRPr="000756DF">
        <w:t>egistry</w:t>
      </w:r>
      <w:r>
        <w:t xml:space="preserve"> </w:t>
      </w:r>
      <w:r w:rsidR="00494F1F">
        <w:t xml:space="preserve">data </w:t>
      </w:r>
      <w:r>
        <w:t>held by the Australian Government Department of Health</w:t>
      </w:r>
      <w:r w:rsidRPr="000756DF">
        <w:t xml:space="preserve">. </w:t>
      </w:r>
    </w:p>
    <w:p w:rsidR="008A721F" w:rsidRPr="000756DF" w:rsidRDefault="008A721F" w:rsidP="008A721F">
      <w:bookmarkStart w:id="258" w:name="_Toc405361959"/>
      <w:bookmarkEnd w:id="257"/>
      <w:r w:rsidRPr="000756DF">
        <w:t xml:space="preserve">A total of </w:t>
      </w:r>
      <w:r w:rsidR="00A62C97">
        <w:rPr>
          <w:noProof/>
          <w:color w:val="000000"/>
          <w:highlight w:val="black"/>
        </w:rPr>
        <w:t>'''''</w:t>
      </w:r>
      <w:r w:rsidRPr="000756DF">
        <w:t xml:space="preserve"> patients are currently receiving treatment for Fabry disease on the LSDP. </w:t>
      </w:r>
      <w:r>
        <w:t>Approximately</w:t>
      </w:r>
      <w:r w:rsidRPr="000756DF">
        <w:t xml:space="preserve"> </w:t>
      </w:r>
      <w:r>
        <w:t>two thirds</w:t>
      </w:r>
      <w:r w:rsidRPr="000756DF">
        <w:t xml:space="preserve"> of </w:t>
      </w:r>
      <w:r>
        <w:t xml:space="preserve">Fabry </w:t>
      </w:r>
      <w:r w:rsidRPr="000756DF">
        <w:t>patients</w:t>
      </w:r>
      <w:r w:rsidR="0088618D">
        <w:t xml:space="preserve"> currently rec</w:t>
      </w:r>
      <w:r>
        <w:t>eiv</w:t>
      </w:r>
      <w:r w:rsidR="0088618D">
        <w:t>i</w:t>
      </w:r>
      <w:r>
        <w:t>ng treatment under the auspices of the LSDP a</w:t>
      </w:r>
      <w:r w:rsidRPr="000756DF">
        <w:t>re</w:t>
      </w:r>
      <w:r w:rsidR="00544A05">
        <w:t xml:space="preserve"> </w:t>
      </w:r>
      <w:r w:rsidRPr="000756DF">
        <w:t>male (</w:t>
      </w:r>
      <w:r>
        <w:t>65.5%;</w:t>
      </w:r>
      <w:r w:rsidRPr="000756DF">
        <w:t xml:space="preserve"> </w:t>
      </w:r>
      <w:r w:rsidR="00A62C97">
        <w:rPr>
          <w:noProof/>
          <w:color w:val="000000"/>
          <w:highlight w:val="black"/>
        </w:rPr>
        <w:t>''' ''' ''''''</w:t>
      </w:r>
      <w:r w:rsidRPr="000756DF">
        <w:t>), with the average age of those currently receiving treatment approximately 4</w:t>
      </w:r>
      <w:r>
        <w:t>9</w:t>
      </w:r>
      <w:r w:rsidRPr="000756DF">
        <w:t xml:space="preserve"> years of age. The average age at first treatment was 41 years of age. </w:t>
      </w:r>
      <w:r w:rsidR="00A72B26" w:rsidRPr="001F3BFB">
        <w:t xml:space="preserve">Table </w:t>
      </w:r>
      <w:r w:rsidR="00A72B26">
        <w:rPr>
          <w:noProof/>
        </w:rPr>
        <w:t>52</w:t>
      </w:r>
      <w:r>
        <w:t xml:space="preserve"> –</w:t>
      </w:r>
      <w:r w:rsidRPr="000756DF">
        <w:t xml:space="preserve"> </w:t>
      </w:r>
      <w:r w:rsidR="00A72B26" w:rsidRPr="00716774">
        <w:t xml:space="preserve">Table </w:t>
      </w:r>
      <w:r w:rsidR="00A72B26">
        <w:rPr>
          <w:noProof/>
        </w:rPr>
        <w:t>54</w:t>
      </w:r>
      <w:r>
        <w:t xml:space="preserve"> </w:t>
      </w:r>
      <w:r w:rsidRPr="000756DF">
        <w:t>contain summary demographic information on the patients receiving treatment on the LSDP.</w:t>
      </w:r>
    </w:p>
    <w:p w:rsidR="008A721F" w:rsidRPr="001F3BFB" w:rsidRDefault="008A721F" w:rsidP="00422A12">
      <w:pPr>
        <w:pStyle w:val="Caption"/>
        <w:keepNext/>
        <w:tabs>
          <w:tab w:val="clear" w:pos="851"/>
          <w:tab w:val="left" w:pos="1134"/>
        </w:tabs>
        <w:ind w:left="1134" w:hanging="1134"/>
        <w:jc w:val="left"/>
      </w:pPr>
      <w:bookmarkStart w:id="259" w:name="_Ref406681085"/>
      <w:bookmarkStart w:id="260" w:name="_Toc411510434"/>
      <w:bookmarkStart w:id="261" w:name="_Toc415141849"/>
      <w:r w:rsidRPr="001F3BFB">
        <w:t xml:space="preserve">Table </w:t>
      </w:r>
      <w:r w:rsidR="00A72B26">
        <w:rPr>
          <w:noProof/>
        </w:rPr>
        <w:t>52</w:t>
      </w:r>
      <w:bookmarkEnd w:id="259"/>
      <w:r w:rsidRPr="001F3BFB">
        <w:t xml:space="preserve"> </w:t>
      </w:r>
      <w:r w:rsidRPr="001F3BFB">
        <w:tab/>
      </w:r>
      <w:bookmarkEnd w:id="260"/>
      <w:r w:rsidRPr="001F3BFB">
        <w:t>Age of patien</w:t>
      </w:r>
      <w:r>
        <w:t>ts currently accessing treatment</w:t>
      </w:r>
      <w:r w:rsidRPr="001F3BFB">
        <w:t>s for Fabry disease on the LSDP</w:t>
      </w:r>
      <w:bookmarkEnd w:id="261"/>
    </w:p>
    <w:tbl>
      <w:tblPr>
        <w:tblStyle w:val="TableGrid1"/>
        <w:tblW w:w="5000" w:type="pct"/>
        <w:tblLook w:val="04A0" w:firstRow="1" w:lastRow="0" w:firstColumn="1" w:lastColumn="0" w:noHBand="0" w:noVBand="1"/>
        <w:tblDescription w:val="Age of patients currently accessing treatment for Fabry disease"/>
      </w:tblPr>
      <w:tblGrid>
        <w:gridCol w:w="3384"/>
        <w:gridCol w:w="1952"/>
        <w:gridCol w:w="1952"/>
        <w:gridCol w:w="1954"/>
      </w:tblGrid>
      <w:tr w:rsidR="008A721F" w:rsidRPr="001F3BFB" w:rsidTr="00422A12">
        <w:trPr>
          <w:trHeight w:val="300"/>
          <w:tblHeader/>
        </w:trPr>
        <w:tc>
          <w:tcPr>
            <w:tcW w:w="1831" w:type="pct"/>
            <w:noWrap/>
            <w:hideMark/>
          </w:tcPr>
          <w:p w:rsidR="008A721F" w:rsidRPr="001F3BFB" w:rsidRDefault="008A721F" w:rsidP="00422A12">
            <w:pPr>
              <w:pStyle w:val="Tabletext1"/>
              <w:rPr>
                <w:b/>
              </w:rPr>
            </w:pPr>
            <w:r w:rsidRPr="001F3BFB">
              <w:rPr>
                <w:b/>
              </w:rPr>
              <w:t>Age</w:t>
            </w:r>
          </w:p>
        </w:tc>
        <w:tc>
          <w:tcPr>
            <w:tcW w:w="1056" w:type="pct"/>
            <w:noWrap/>
            <w:hideMark/>
          </w:tcPr>
          <w:p w:rsidR="008A721F" w:rsidRPr="00177729" w:rsidRDefault="00177729" w:rsidP="00422A12">
            <w:pPr>
              <w:pStyle w:val="Tabletext1"/>
              <w:rPr>
                <w:b/>
                <w:highlight w:val="black"/>
              </w:rPr>
            </w:pPr>
            <w:r>
              <w:rPr>
                <w:b/>
                <w:noProof/>
                <w:color w:val="000000"/>
                <w:highlight w:val="black"/>
              </w:rPr>
              <w:t>''''''''''''''''''''''' '''''''</w:t>
            </w:r>
          </w:p>
        </w:tc>
        <w:tc>
          <w:tcPr>
            <w:tcW w:w="1056" w:type="pct"/>
            <w:noWrap/>
            <w:hideMark/>
          </w:tcPr>
          <w:p w:rsidR="008A721F" w:rsidRPr="00177729" w:rsidRDefault="00177729" w:rsidP="00422A12">
            <w:pPr>
              <w:pStyle w:val="Tabletext1"/>
              <w:rPr>
                <w:b/>
                <w:highlight w:val="black"/>
              </w:rPr>
            </w:pPr>
            <w:r>
              <w:rPr>
                <w:b/>
                <w:noProof/>
                <w:color w:val="000000"/>
                <w:highlight w:val="black"/>
              </w:rPr>
              <w:t>''''''''''''''''''''' '''''''''</w:t>
            </w:r>
          </w:p>
        </w:tc>
        <w:tc>
          <w:tcPr>
            <w:tcW w:w="1057" w:type="pct"/>
            <w:noWrap/>
            <w:hideMark/>
          </w:tcPr>
          <w:p w:rsidR="008A721F" w:rsidRPr="001F3BFB" w:rsidRDefault="008A721F" w:rsidP="00422A12">
            <w:pPr>
              <w:pStyle w:val="Tabletext1"/>
              <w:tabs>
                <w:tab w:val="center" w:pos="869"/>
              </w:tabs>
              <w:rPr>
                <w:b/>
              </w:rPr>
            </w:pPr>
            <w:r w:rsidRPr="001F3BFB">
              <w:rPr>
                <w:b/>
              </w:rPr>
              <w:t>All patients</w:t>
            </w:r>
          </w:p>
        </w:tc>
      </w:tr>
      <w:tr w:rsidR="008A721F" w:rsidRPr="001F3BFB" w:rsidTr="00786AE1">
        <w:trPr>
          <w:trHeight w:val="300"/>
        </w:trPr>
        <w:tc>
          <w:tcPr>
            <w:tcW w:w="1831" w:type="pct"/>
            <w:noWrap/>
            <w:hideMark/>
          </w:tcPr>
          <w:p w:rsidR="008A721F" w:rsidRPr="001F3BFB" w:rsidRDefault="008A721F" w:rsidP="00786AE1">
            <w:pPr>
              <w:pStyle w:val="Tabletext1"/>
            </w:pPr>
            <w:r w:rsidRPr="001F3BFB">
              <w:t>Average</w:t>
            </w:r>
          </w:p>
        </w:tc>
        <w:tc>
          <w:tcPr>
            <w:tcW w:w="1056" w:type="pct"/>
            <w:noWrap/>
            <w:hideMark/>
          </w:tcPr>
          <w:p w:rsidR="008A721F" w:rsidRPr="001518A7" w:rsidRDefault="008A721F" w:rsidP="00786AE1">
            <w:pPr>
              <w:pStyle w:val="Tabletext1"/>
              <w:jc w:val="center"/>
            </w:pPr>
            <w:r w:rsidRPr="001518A7">
              <w:t>49</w:t>
            </w:r>
          </w:p>
        </w:tc>
        <w:tc>
          <w:tcPr>
            <w:tcW w:w="1056" w:type="pct"/>
            <w:noWrap/>
            <w:hideMark/>
          </w:tcPr>
          <w:p w:rsidR="008A721F" w:rsidRPr="001518A7" w:rsidRDefault="008A721F" w:rsidP="00786AE1">
            <w:pPr>
              <w:pStyle w:val="Tabletext1"/>
              <w:jc w:val="center"/>
            </w:pPr>
            <w:r w:rsidRPr="001518A7">
              <w:t>48</w:t>
            </w:r>
          </w:p>
        </w:tc>
        <w:tc>
          <w:tcPr>
            <w:tcW w:w="1057" w:type="pct"/>
            <w:noWrap/>
            <w:hideMark/>
          </w:tcPr>
          <w:p w:rsidR="008A721F" w:rsidRPr="001F3BFB" w:rsidRDefault="008A721F" w:rsidP="00786AE1">
            <w:pPr>
              <w:pStyle w:val="Tabletext1"/>
              <w:jc w:val="center"/>
            </w:pPr>
            <w:r w:rsidRPr="001F3BFB">
              <w:t>49</w:t>
            </w:r>
          </w:p>
        </w:tc>
      </w:tr>
      <w:tr w:rsidR="008A721F" w:rsidRPr="001F3BFB" w:rsidTr="00786AE1">
        <w:trPr>
          <w:trHeight w:val="300"/>
        </w:trPr>
        <w:tc>
          <w:tcPr>
            <w:tcW w:w="1831" w:type="pct"/>
            <w:noWrap/>
            <w:hideMark/>
          </w:tcPr>
          <w:p w:rsidR="008A721F" w:rsidRPr="001F3BFB" w:rsidRDefault="008A721F" w:rsidP="00786AE1">
            <w:pPr>
              <w:pStyle w:val="Tabletext1"/>
            </w:pPr>
            <w:r w:rsidRPr="001F3BFB">
              <w:t>Median</w:t>
            </w:r>
          </w:p>
        </w:tc>
        <w:tc>
          <w:tcPr>
            <w:tcW w:w="1056" w:type="pct"/>
            <w:noWrap/>
            <w:hideMark/>
          </w:tcPr>
          <w:p w:rsidR="008A721F" w:rsidRPr="001518A7" w:rsidRDefault="008A721F" w:rsidP="00786AE1">
            <w:pPr>
              <w:pStyle w:val="Tabletext1"/>
              <w:jc w:val="center"/>
            </w:pPr>
            <w:r w:rsidRPr="001518A7">
              <w:t>50</w:t>
            </w:r>
          </w:p>
        </w:tc>
        <w:tc>
          <w:tcPr>
            <w:tcW w:w="1056" w:type="pct"/>
            <w:noWrap/>
            <w:hideMark/>
          </w:tcPr>
          <w:p w:rsidR="008A721F" w:rsidRPr="001518A7" w:rsidRDefault="008A721F" w:rsidP="00786AE1">
            <w:pPr>
              <w:pStyle w:val="Tabletext1"/>
              <w:jc w:val="center"/>
            </w:pPr>
            <w:r w:rsidRPr="001518A7">
              <w:t>49</w:t>
            </w:r>
          </w:p>
        </w:tc>
        <w:tc>
          <w:tcPr>
            <w:tcW w:w="1057" w:type="pct"/>
            <w:noWrap/>
            <w:hideMark/>
          </w:tcPr>
          <w:p w:rsidR="008A721F" w:rsidRPr="001F3BFB" w:rsidRDefault="008A721F" w:rsidP="00786AE1">
            <w:pPr>
              <w:pStyle w:val="Tabletext1"/>
              <w:jc w:val="center"/>
            </w:pPr>
            <w:r w:rsidRPr="001F3BFB">
              <w:t>49</w:t>
            </w:r>
          </w:p>
        </w:tc>
      </w:tr>
      <w:tr w:rsidR="008A721F" w:rsidRPr="001F3BFB" w:rsidTr="00786AE1">
        <w:trPr>
          <w:trHeight w:val="300"/>
        </w:trPr>
        <w:tc>
          <w:tcPr>
            <w:tcW w:w="1831" w:type="pct"/>
            <w:noWrap/>
            <w:hideMark/>
          </w:tcPr>
          <w:p w:rsidR="008A721F" w:rsidRPr="001F3BFB" w:rsidRDefault="008A721F" w:rsidP="00786AE1">
            <w:pPr>
              <w:pStyle w:val="Tabletext1"/>
            </w:pPr>
            <w:r w:rsidRPr="001F3BFB">
              <w:t>Min</w:t>
            </w:r>
          </w:p>
        </w:tc>
        <w:tc>
          <w:tcPr>
            <w:tcW w:w="1056" w:type="pct"/>
            <w:noWrap/>
            <w:hideMark/>
          </w:tcPr>
          <w:p w:rsidR="008A721F" w:rsidRPr="001518A7" w:rsidRDefault="008A721F" w:rsidP="00786AE1">
            <w:pPr>
              <w:pStyle w:val="Tabletext1"/>
              <w:jc w:val="center"/>
            </w:pPr>
            <w:r w:rsidRPr="001518A7">
              <w:t>15</w:t>
            </w:r>
          </w:p>
        </w:tc>
        <w:tc>
          <w:tcPr>
            <w:tcW w:w="1056" w:type="pct"/>
            <w:noWrap/>
            <w:hideMark/>
          </w:tcPr>
          <w:p w:rsidR="008A721F" w:rsidRPr="001518A7" w:rsidRDefault="008A721F" w:rsidP="00786AE1">
            <w:pPr>
              <w:pStyle w:val="Tabletext1"/>
              <w:jc w:val="center"/>
            </w:pPr>
            <w:r w:rsidRPr="001518A7">
              <w:t>17</w:t>
            </w:r>
          </w:p>
        </w:tc>
        <w:tc>
          <w:tcPr>
            <w:tcW w:w="1057" w:type="pct"/>
            <w:noWrap/>
            <w:hideMark/>
          </w:tcPr>
          <w:p w:rsidR="008A721F" w:rsidRPr="001F3BFB" w:rsidRDefault="008A721F" w:rsidP="00786AE1">
            <w:pPr>
              <w:pStyle w:val="Tabletext1"/>
              <w:jc w:val="center"/>
            </w:pPr>
            <w:r w:rsidRPr="001F3BFB">
              <w:t>15</w:t>
            </w:r>
          </w:p>
        </w:tc>
      </w:tr>
      <w:tr w:rsidR="008A721F" w:rsidRPr="001F3BFB" w:rsidTr="00786AE1">
        <w:trPr>
          <w:trHeight w:val="300"/>
        </w:trPr>
        <w:tc>
          <w:tcPr>
            <w:tcW w:w="1831" w:type="pct"/>
            <w:noWrap/>
            <w:hideMark/>
          </w:tcPr>
          <w:p w:rsidR="008A721F" w:rsidRPr="001F3BFB" w:rsidRDefault="008A721F" w:rsidP="00786AE1">
            <w:pPr>
              <w:pStyle w:val="Tabletext1"/>
            </w:pPr>
            <w:r w:rsidRPr="001F3BFB">
              <w:t>Max</w:t>
            </w:r>
          </w:p>
        </w:tc>
        <w:tc>
          <w:tcPr>
            <w:tcW w:w="1056" w:type="pct"/>
            <w:noWrap/>
            <w:hideMark/>
          </w:tcPr>
          <w:p w:rsidR="008A721F" w:rsidRPr="001518A7" w:rsidRDefault="008A721F" w:rsidP="00786AE1">
            <w:pPr>
              <w:pStyle w:val="Tabletext1"/>
              <w:jc w:val="center"/>
            </w:pPr>
            <w:r w:rsidRPr="001518A7">
              <w:t>75</w:t>
            </w:r>
          </w:p>
        </w:tc>
        <w:tc>
          <w:tcPr>
            <w:tcW w:w="1056" w:type="pct"/>
            <w:noWrap/>
            <w:hideMark/>
          </w:tcPr>
          <w:p w:rsidR="008A721F" w:rsidRPr="001518A7" w:rsidRDefault="008A721F" w:rsidP="00786AE1">
            <w:pPr>
              <w:pStyle w:val="Tabletext1"/>
              <w:jc w:val="center"/>
            </w:pPr>
            <w:r w:rsidRPr="001518A7">
              <w:t>69</w:t>
            </w:r>
          </w:p>
        </w:tc>
        <w:tc>
          <w:tcPr>
            <w:tcW w:w="1057" w:type="pct"/>
            <w:noWrap/>
            <w:hideMark/>
          </w:tcPr>
          <w:p w:rsidR="008A721F" w:rsidRPr="001F3BFB" w:rsidRDefault="008A721F" w:rsidP="00786AE1">
            <w:pPr>
              <w:pStyle w:val="Tabletext1"/>
              <w:jc w:val="center"/>
            </w:pPr>
            <w:r w:rsidRPr="001F3BFB">
              <w:t>75</w:t>
            </w:r>
          </w:p>
        </w:tc>
      </w:tr>
      <w:tr w:rsidR="008A721F" w:rsidRPr="001F3BFB" w:rsidTr="00786AE1">
        <w:trPr>
          <w:trHeight w:val="300"/>
        </w:trPr>
        <w:tc>
          <w:tcPr>
            <w:tcW w:w="1831" w:type="pct"/>
            <w:noWrap/>
            <w:hideMark/>
          </w:tcPr>
          <w:p w:rsidR="008A721F" w:rsidRPr="00A62C97" w:rsidRDefault="00A62C97" w:rsidP="00F33737">
            <w:pPr>
              <w:pStyle w:val="Tabletext1"/>
              <w:jc w:val="center"/>
              <w:rPr>
                <w:highlight w:val="black"/>
              </w:rPr>
            </w:pPr>
            <w:r>
              <w:rPr>
                <w:noProof/>
                <w:color w:val="000000"/>
                <w:highlight w:val="black"/>
              </w:rPr>
              <w:t>''''''''''''''''''''' '''' '''''''''''''''''''''''''''''''' ''''''''''</w:t>
            </w:r>
          </w:p>
        </w:tc>
        <w:tc>
          <w:tcPr>
            <w:tcW w:w="1056" w:type="pct"/>
            <w:noWrap/>
            <w:hideMark/>
          </w:tcPr>
          <w:p w:rsidR="008A721F" w:rsidRPr="00A62C97" w:rsidRDefault="00A62C97" w:rsidP="00786AE1">
            <w:pPr>
              <w:pStyle w:val="Tabletext1"/>
              <w:jc w:val="center"/>
              <w:rPr>
                <w:highlight w:val="black"/>
              </w:rPr>
            </w:pPr>
            <w:r>
              <w:rPr>
                <w:noProof/>
                <w:color w:val="000000"/>
                <w:highlight w:val="black"/>
              </w:rPr>
              <w:t>''''''</w:t>
            </w:r>
          </w:p>
        </w:tc>
        <w:tc>
          <w:tcPr>
            <w:tcW w:w="1056" w:type="pct"/>
            <w:noWrap/>
            <w:hideMark/>
          </w:tcPr>
          <w:p w:rsidR="008A721F" w:rsidRPr="00A62C97" w:rsidRDefault="00A62C97" w:rsidP="00786AE1">
            <w:pPr>
              <w:pStyle w:val="Tabletext1"/>
              <w:jc w:val="center"/>
              <w:rPr>
                <w:highlight w:val="black"/>
              </w:rPr>
            </w:pPr>
            <w:r>
              <w:rPr>
                <w:noProof/>
                <w:color w:val="000000"/>
                <w:highlight w:val="black"/>
              </w:rPr>
              <w:t>'''''''</w:t>
            </w:r>
          </w:p>
        </w:tc>
        <w:tc>
          <w:tcPr>
            <w:tcW w:w="1057" w:type="pct"/>
            <w:noWrap/>
            <w:hideMark/>
          </w:tcPr>
          <w:p w:rsidR="008A721F" w:rsidRPr="00A62C97" w:rsidRDefault="00A62C97" w:rsidP="00786AE1">
            <w:pPr>
              <w:pStyle w:val="Tabletext1"/>
              <w:jc w:val="center"/>
              <w:rPr>
                <w:highlight w:val="black"/>
              </w:rPr>
            </w:pPr>
            <w:r>
              <w:rPr>
                <w:noProof/>
                <w:color w:val="000000"/>
                <w:highlight w:val="black"/>
              </w:rPr>
              <w:t>'''''''</w:t>
            </w:r>
          </w:p>
        </w:tc>
      </w:tr>
    </w:tbl>
    <w:p w:rsidR="008A721F" w:rsidRPr="001F3BFB" w:rsidRDefault="008A721F" w:rsidP="008A721F">
      <w:pPr>
        <w:pStyle w:val="TableNote"/>
      </w:pPr>
      <w:r w:rsidRPr="001F3BFB">
        <w:t>Source: Australian Data Registry</w:t>
      </w:r>
    </w:p>
    <w:p w:rsidR="008A721F" w:rsidRPr="001F3BFB" w:rsidRDefault="008A721F" w:rsidP="008A721F">
      <w:pPr>
        <w:rPr>
          <w:highlight w:val="yellow"/>
        </w:rPr>
      </w:pPr>
    </w:p>
    <w:p w:rsidR="008A721F" w:rsidRDefault="008A721F" w:rsidP="008A721F">
      <w:pPr>
        <w:pStyle w:val="Caption"/>
        <w:keepNext/>
        <w:tabs>
          <w:tab w:val="clear" w:pos="851"/>
          <w:tab w:val="left" w:pos="1134"/>
        </w:tabs>
        <w:ind w:left="1134" w:hanging="1134"/>
      </w:pPr>
      <w:bookmarkStart w:id="262" w:name="_Toc405361955"/>
      <w:bookmarkStart w:id="263" w:name="_Toc411510435"/>
      <w:bookmarkStart w:id="264" w:name="_Toc415141850"/>
      <w:r w:rsidRPr="00716774">
        <w:t xml:space="preserve">Table </w:t>
      </w:r>
      <w:r w:rsidR="00A72B26">
        <w:rPr>
          <w:noProof/>
        </w:rPr>
        <w:t>53</w:t>
      </w:r>
      <w:r w:rsidRPr="00305731">
        <w:t xml:space="preserve"> </w:t>
      </w:r>
      <w:r>
        <w:tab/>
      </w:r>
      <w:bookmarkEnd w:id="262"/>
      <w:bookmarkEnd w:id="263"/>
      <w:r>
        <w:t>Average age of first treatment for patients currently accessing treatments for Fabry disease on the LSDP</w:t>
      </w:r>
      <w:bookmarkEnd w:id="264"/>
    </w:p>
    <w:tbl>
      <w:tblPr>
        <w:tblStyle w:val="TableGrid1"/>
        <w:tblW w:w="5000" w:type="pct"/>
        <w:tblLook w:val="04A0" w:firstRow="1" w:lastRow="0" w:firstColumn="1" w:lastColumn="0" w:noHBand="0" w:noVBand="1"/>
        <w:tblDescription w:val="Average age of first treatment for patients with Fabry diseaes"/>
      </w:tblPr>
      <w:tblGrid>
        <w:gridCol w:w="2397"/>
        <w:gridCol w:w="2281"/>
        <w:gridCol w:w="2282"/>
        <w:gridCol w:w="2282"/>
      </w:tblGrid>
      <w:tr w:rsidR="008A721F" w:rsidRPr="001F3BFB" w:rsidTr="00422A12">
        <w:trPr>
          <w:trHeight w:val="300"/>
          <w:tblHeader/>
        </w:trPr>
        <w:tc>
          <w:tcPr>
            <w:tcW w:w="1244" w:type="pct"/>
            <w:noWrap/>
            <w:hideMark/>
          </w:tcPr>
          <w:p w:rsidR="008A721F" w:rsidRPr="00422A12" w:rsidRDefault="008A721F" w:rsidP="00786AE1">
            <w:pPr>
              <w:pStyle w:val="Tabletext1"/>
              <w:rPr>
                <w:b/>
              </w:rPr>
            </w:pPr>
            <w:r w:rsidRPr="00422A12">
              <w:rPr>
                <w:b/>
              </w:rPr>
              <w:t>Age at first treatment</w:t>
            </w:r>
          </w:p>
        </w:tc>
        <w:tc>
          <w:tcPr>
            <w:tcW w:w="1252" w:type="pct"/>
            <w:noWrap/>
            <w:hideMark/>
          </w:tcPr>
          <w:p w:rsidR="008A721F" w:rsidRPr="001518A7" w:rsidRDefault="008A721F" w:rsidP="008A721F">
            <w:pPr>
              <w:pStyle w:val="Tabletext1"/>
              <w:jc w:val="center"/>
            </w:pPr>
            <w:r w:rsidRPr="001518A7">
              <w:rPr>
                <w:b/>
              </w:rPr>
              <w:t>Agalsidase al</w:t>
            </w:r>
            <w:r>
              <w:rPr>
                <w:b/>
              </w:rPr>
              <w:t>fa</w:t>
            </w:r>
          </w:p>
        </w:tc>
        <w:tc>
          <w:tcPr>
            <w:tcW w:w="1252" w:type="pct"/>
            <w:noWrap/>
            <w:hideMark/>
          </w:tcPr>
          <w:p w:rsidR="008A721F" w:rsidRPr="001518A7" w:rsidRDefault="008A721F" w:rsidP="00786AE1">
            <w:pPr>
              <w:pStyle w:val="Tabletext1"/>
              <w:jc w:val="center"/>
            </w:pPr>
            <w:r w:rsidRPr="001518A7">
              <w:rPr>
                <w:b/>
              </w:rPr>
              <w:t>Agalsidase beta</w:t>
            </w:r>
          </w:p>
        </w:tc>
        <w:tc>
          <w:tcPr>
            <w:tcW w:w="1252" w:type="pct"/>
            <w:noWrap/>
            <w:hideMark/>
          </w:tcPr>
          <w:p w:rsidR="008A721F" w:rsidRPr="001F3BFB" w:rsidRDefault="008A721F" w:rsidP="00786AE1">
            <w:pPr>
              <w:pStyle w:val="Tabletext1"/>
              <w:jc w:val="center"/>
            </w:pPr>
            <w:r w:rsidRPr="001F3BFB">
              <w:rPr>
                <w:b/>
              </w:rPr>
              <w:t>All patients</w:t>
            </w:r>
          </w:p>
        </w:tc>
      </w:tr>
      <w:tr w:rsidR="008A721F" w:rsidRPr="001F3BFB" w:rsidTr="00786AE1">
        <w:trPr>
          <w:trHeight w:val="300"/>
        </w:trPr>
        <w:tc>
          <w:tcPr>
            <w:tcW w:w="1244" w:type="pct"/>
            <w:noWrap/>
            <w:hideMark/>
          </w:tcPr>
          <w:p w:rsidR="008A721F" w:rsidRPr="001F3BFB" w:rsidRDefault="008A721F" w:rsidP="00786AE1">
            <w:pPr>
              <w:pStyle w:val="Tabletext1"/>
            </w:pPr>
            <w:r w:rsidRPr="003D7002">
              <w:t>Average</w:t>
            </w:r>
          </w:p>
        </w:tc>
        <w:tc>
          <w:tcPr>
            <w:tcW w:w="1252" w:type="pct"/>
            <w:noWrap/>
            <w:hideMark/>
          </w:tcPr>
          <w:p w:rsidR="008A721F" w:rsidRPr="001518A7" w:rsidRDefault="008A721F" w:rsidP="00786AE1">
            <w:pPr>
              <w:pStyle w:val="Tabletext1"/>
              <w:jc w:val="center"/>
            </w:pPr>
            <w:r w:rsidRPr="001518A7">
              <w:t>41</w:t>
            </w:r>
          </w:p>
        </w:tc>
        <w:tc>
          <w:tcPr>
            <w:tcW w:w="1252" w:type="pct"/>
            <w:noWrap/>
            <w:hideMark/>
          </w:tcPr>
          <w:p w:rsidR="008A721F" w:rsidRPr="001518A7" w:rsidRDefault="008A721F" w:rsidP="00786AE1">
            <w:pPr>
              <w:pStyle w:val="Tabletext1"/>
              <w:jc w:val="center"/>
            </w:pPr>
            <w:r w:rsidRPr="001518A7">
              <w:t>41</w:t>
            </w:r>
          </w:p>
        </w:tc>
        <w:tc>
          <w:tcPr>
            <w:tcW w:w="1252" w:type="pct"/>
            <w:noWrap/>
            <w:hideMark/>
          </w:tcPr>
          <w:p w:rsidR="008A721F" w:rsidRPr="001F3BFB" w:rsidRDefault="008A721F" w:rsidP="00786AE1">
            <w:pPr>
              <w:pStyle w:val="Tabletext1"/>
              <w:jc w:val="center"/>
            </w:pPr>
            <w:r w:rsidRPr="001F3BFB">
              <w:t>4</w:t>
            </w:r>
            <w:r>
              <w:t>1</w:t>
            </w:r>
          </w:p>
        </w:tc>
      </w:tr>
      <w:tr w:rsidR="008A721F" w:rsidRPr="001F3BFB" w:rsidTr="00786AE1">
        <w:trPr>
          <w:trHeight w:val="300"/>
        </w:trPr>
        <w:tc>
          <w:tcPr>
            <w:tcW w:w="1244" w:type="pct"/>
            <w:noWrap/>
            <w:hideMark/>
          </w:tcPr>
          <w:p w:rsidR="008A721F" w:rsidRPr="001F3BFB" w:rsidRDefault="008A721F" w:rsidP="00786AE1">
            <w:pPr>
              <w:pStyle w:val="Tabletext1"/>
            </w:pPr>
            <w:r w:rsidRPr="003D7002">
              <w:t>Median</w:t>
            </w:r>
          </w:p>
        </w:tc>
        <w:tc>
          <w:tcPr>
            <w:tcW w:w="1252" w:type="pct"/>
            <w:noWrap/>
            <w:hideMark/>
          </w:tcPr>
          <w:p w:rsidR="008A721F" w:rsidRPr="001518A7" w:rsidRDefault="008A721F" w:rsidP="00786AE1">
            <w:pPr>
              <w:pStyle w:val="Tabletext1"/>
              <w:jc w:val="center"/>
            </w:pPr>
            <w:r w:rsidRPr="001518A7">
              <w:t>40</w:t>
            </w:r>
          </w:p>
        </w:tc>
        <w:tc>
          <w:tcPr>
            <w:tcW w:w="1252" w:type="pct"/>
            <w:noWrap/>
            <w:hideMark/>
          </w:tcPr>
          <w:p w:rsidR="008A721F" w:rsidRPr="001518A7" w:rsidRDefault="008A721F" w:rsidP="00786AE1">
            <w:pPr>
              <w:pStyle w:val="Tabletext1"/>
              <w:jc w:val="center"/>
            </w:pPr>
            <w:r w:rsidRPr="001518A7">
              <w:t>41</w:t>
            </w:r>
          </w:p>
        </w:tc>
        <w:tc>
          <w:tcPr>
            <w:tcW w:w="1252" w:type="pct"/>
            <w:noWrap/>
            <w:hideMark/>
          </w:tcPr>
          <w:p w:rsidR="008A721F" w:rsidRPr="001F3BFB" w:rsidRDefault="008A721F" w:rsidP="00786AE1">
            <w:pPr>
              <w:pStyle w:val="Tabletext1"/>
              <w:jc w:val="center"/>
            </w:pPr>
            <w:r w:rsidRPr="001F3BFB">
              <w:t>40</w:t>
            </w:r>
          </w:p>
        </w:tc>
      </w:tr>
      <w:tr w:rsidR="008A721F" w:rsidRPr="001F3BFB" w:rsidTr="00786AE1">
        <w:trPr>
          <w:trHeight w:val="300"/>
        </w:trPr>
        <w:tc>
          <w:tcPr>
            <w:tcW w:w="1244" w:type="pct"/>
            <w:noWrap/>
            <w:hideMark/>
          </w:tcPr>
          <w:p w:rsidR="008A721F" w:rsidRPr="001F3BFB" w:rsidRDefault="008A721F" w:rsidP="00786AE1">
            <w:pPr>
              <w:pStyle w:val="Tabletext1"/>
            </w:pPr>
            <w:r w:rsidRPr="003D7002">
              <w:t>Min</w:t>
            </w:r>
          </w:p>
        </w:tc>
        <w:tc>
          <w:tcPr>
            <w:tcW w:w="1252" w:type="pct"/>
            <w:noWrap/>
            <w:hideMark/>
          </w:tcPr>
          <w:p w:rsidR="008A721F" w:rsidRPr="001518A7" w:rsidRDefault="008A721F" w:rsidP="00786AE1">
            <w:pPr>
              <w:pStyle w:val="Tabletext1"/>
              <w:jc w:val="center"/>
            </w:pPr>
            <w:r w:rsidRPr="001518A7">
              <w:t>13</w:t>
            </w:r>
          </w:p>
        </w:tc>
        <w:tc>
          <w:tcPr>
            <w:tcW w:w="1252" w:type="pct"/>
            <w:noWrap/>
            <w:hideMark/>
          </w:tcPr>
          <w:p w:rsidR="008A721F" w:rsidRPr="001518A7" w:rsidRDefault="008A721F" w:rsidP="00786AE1">
            <w:pPr>
              <w:pStyle w:val="Tabletext1"/>
              <w:jc w:val="center"/>
            </w:pPr>
            <w:r w:rsidRPr="001518A7">
              <w:t>21</w:t>
            </w:r>
          </w:p>
        </w:tc>
        <w:tc>
          <w:tcPr>
            <w:tcW w:w="1252" w:type="pct"/>
            <w:noWrap/>
            <w:hideMark/>
          </w:tcPr>
          <w:p w:rsidR="008A721F" w:rsidRPr="001F3BFB" w:rsidRDefault="008A721F" w:rsidP="00786AE1">
            <w:pPr>
              <w:pStyle w:val="Tabletext1"/>
              <w:jc w:val="center"/>
            </w:pPr>
            <w:r w:rsidRPr="001F3BFB">
              <w:t>13</w:t>
            </w:r>
          </w:p>
        </w:tc>
      </w:tr>
      <w:tr w:rsidR="008A721F" w:rsidRPr="001F3BFB" w:rsidTr="00786AE1">
        <w:trPr>
          <w:trHeight w:val="300"/>
        </w:trPr>
        <w:tc>
          <w:tcPr>
            <w:tcW w:w="1244" w:type="pct"/>
            <w:noWrap/>
            <w:hideMark/>
          </w:tcPr>
          <w:p w:rsidR="008A721F" w:rsidRPr="001F3BFB" w:rsidRDefault="008A721F" w:rsidP="00786AE1">
            <w:pPr>
              <w:pStyle w:val="Tabletext1"/>
            </w:pPr>
            <w:r w:rsidRPr="003D7002">
              <w:t>Max</w:t>
            </w:r>
          </w:p>
        </w:tc>
        <w:tc>
          <w:tcPr>
            <w:tcW w:w="1252" w:type="pct"/>
            <w:noWrap/>
            <w:hideMark/>
          </w:tcPr>
          <w:p w:rsidR="008A721F" w:rsidRPr="001518A7" w:rsidRDefault="008A721F" w:rsidP="00786AE1">
            <w:pPr>
              <w:pStyle w:val="Tabletext1"/>
              <w:jc w:val="center"/>
            </w:pPr>
            <w:r w:rsidRPr="001518A7">
              <w:t>69</w:t>
            </w:r>
          </w:p>
        </w:tc>
        <w:tc>
          <w:tcPr>
            <w:tcW w:w="1252" w:type="pct"/>
            <w:noWrap/>
            <w:hideMark/>
          </w:tcPr>
          <w:p w:rsidR="008A721F" w:rsidRPr="001518A7" w:rsidRDefault="008A721F" w:rsidP="00786AE1">
            <w:pPr>
              <w:pStyle w:val="Tabletext1"/>
              <w:jc w:val="center"/>
            </w:pPr>
            <w:r w:rsidRPr="001518A7">
              <w:t>69</w:t>
            </w:r>
          </w:p>
        </w:tc>
        <w:tc>
          <w:tcPr>
            <w:tcW w:w="1252" w:type="pct"/>
            <w:noWrap/>
            <w:hideMark/>
          </w:tcPr>
          <w:p w:rsidR="008A721F" w:rsidRPr="001F3BFB" w:rsidRDefault="008A721F" w:rsidP="00786AE1">
            <w:pPr>
              <w:pStyle w:val="Tabletext1"/>
              <w:jc w:val="center"/>
            </w:pPr>
            <w:r w:rsidRPr="001F3BFB">
              <w:t>69</w:t>
            </w:r>
          </w:p>
        </w:tc>
      </w:tr>
      <w:tr w:rsidR="008A721F" w:rsidRPr="001F3BFB" w:rsidTr="00786AE1">
        <w:trPr>
          <w:trHeight w:val="300"/>
        </w:trPr>
        <w:tc>
          <w:tcPr>
            <w:tcW w:w="1244" w:type="pct"/>
            <w:noWrap/>
            <w:hideMark/>
          </w:tcPr>
          <w:p w:rsidR="008A721F" w:rsidRPr="00A62C97" w:rsidRDefault="00A62C97" w:rsidP="00F33737">
            <w:pPr>
              <w:pStyle w:val="Tabletext1"/>
              <w:jc w:val="center"/>
              <w:rPr>
                <w:highlight w:val="black"/>
              </w:rPr>
            </w:pPr>
            <w:r>
              <w:rPr>
                <w:noProof/>
                <w:color w:val="000000"/>
                <w:highlight w:val="black"/>
              </w:rPr>
              <w:t>''''''''''''''''''' ''''' '''''''''''''''''''''''''''''' '''''''''''</w:t>
            </w:r>
          </w:p>
        </w:tc>
        <w:tc>
          <w:tcPr>
            <w:tcW w:w="1252" w:type="pct"/>
            <w:noWrap/>
            <w:hideMark/>
          </w:tcPr>
          <w:p w:rsidR="008A721F" w:rsidRPr="00A62C97" w:rsidRDefault="00A62C97" w:rsidP="00786AE1">
            <w:pPr>
              <w:pStyle w:val="Tabletext1"/>
              <w:jc w:val="center"/>
              <w:rPr>
                <w:highlight w:val="black"/>
              </w:rPr>
            </w:pPr>
            <w:r>
              <w:rPr>
                <w:noProof/>
                <w:color w:val="000000"/>
                <w:highlight w:val="black"/>
              </w:rPr>
              <w:t>'''''''</w:t>
            </w:r>
          </w:p>
        </w:tc>
        <w:tc>
          <w:tcPr>
            <w:tcW w:w="1252" w:type="pct"/>
            <w:noWrap/>
            <w:hideMark/>
          </w:tcPr>
          <w:p w:rsidR="008A721F" w:rsidRPr="00A62C97" w:rsidRDefault="00A62C97" w:rsidP="00786AE1">
            <w:pPr>
              <w:pStyle w:val="Tabletext1"/>
              <w:jc w:val="center"/>
              <w:rPr>
                <w:highlight w:val="black"/>
              </w:rPr>
            </w:pPr>
            <w:r>
              <w:rPr>
                <w:noProof/>
                <w:color w:val="000000"/>
                <w:highlight w:val="black"/>
              </w:rPr>
              <w:t>''''''</w:t>
            </w:r>
          </w:p>
        </w:tc>
        <w:tc>
          <w:tcPr>
            <w:tcW w:w="1252" w:type="pct"/>
            <w:noWrap/>
            <w:hideMark/>
          </w:tcPr>
          <w:p w:rsidR="008A721F" w:rsidRPr="00A62C97" w:rsidRDefault="00A62C97" w:rsidP="00786AE1">
            <w:pPr>
              <w:pStyle w:val="Tabletext1"/>
              <w:jc w:val="center"/>
              <w:rPr>
                <w:highlight w:val="black"/>
              </w:rPr>
            </w:pPr>
            <w:r>
              <w:rPr>
                <w:noProof/>
                <w:color w:val="000000"/>
                <w:highlight w:val="black"/>
              </w:rPr>
              <w:t>''''''</w:t>
            </w:r>
          </w:p>
        </w:tc>
      </w:tr>
    </w:tbl>
    <w:p w:rsidR="008A721F" w:rsidRPr="001F3BFB" w:rsidRDefault="008A721F" w:rsidP="008A721F">
      <w:pPr>
        <w:pStyle w:val="TableNote"/>
      </w:pPr>
      <w:r w:rsidRPr="001F3BFB">
        <w:t>Source: Australian Data Registry</w:t>
      </w:r>
    </w:p>
    <w:p w:rsidR="008A721F" w:rsidRPr="000756DF" w:rsidRDefault="008A721F" w:rsidP="008A721F"/>
    <w:p w:rsidR="008A721F" w:rsidRDefault="008A721F" w:rsidP="008A721F">
      <w:pPr>
        <w:pStyle w:val="Caption"/>
        <w:keepNext/>
        <w:tabs>
          <w:tab w:val="clear" w:pos="851"/>
          <w:tab w:val="left" w:pos="1134"/>
        </w:tabs>
        <w:ind w:left="1134" w:hanging="1134"/>
      </w:pPr>
      <w:bookmarkStart w:id="265" w:name="_Ref413065901"/>
      <w:bookmarkStart w:id="266" w:name="_Toc405361956"/>
      <w:bookmarkStart w:id="267" w:name="_Toc411510436"/>
      <w:bookmarkStart w:id="268" w:name="_Toc415141851"/>
      <w:r w:rsidRPr="00716774">
        <w:t xml:space="preserve">Table </w:t>
      </w:r>
      <w:r w:rsidR="00A72B26">
        <w:rPr>
          <w:noProof/>
        </w:rPr>
        <w:t>54</w:t>
      </w:r>
      <w:bookmarkEnd w:id="265"/>
      <w:r w:rsidRPr="00305731">
        <w:t xml:space="preserve"> </w:t>
      </w:r>
      <w:r>
        <w:tab/>
        <w:t>Gender</w:t>
      </w:r>
      <w:r w:rsidRPr="00716774">
        <w:t xml:space="preserve"> of those currently receiving treatment on the LSDP</w:t>
      </w:r>
      <w:bookmarkEnd w:id="266"/>
      <w:bookmarkEnd w:id="267"/>
      <w:bookmarkEnd w:id="268"/>
    </w:p>
    <w:tbl>
      <w:tblPr>
        <w:tblStyle w:val="TableGrid1"/>
        <w:tblW w:w="5000" w:type="pct"/>
        <w:tblLook w:val="04A0" w:firstRow="1" w:lastRow="0" w:firstColumn="1" w:lastColumn="0" w:noHBand="0" w:noVBand="1"/>
        <w:tblDescription w:val="Gender of patients with Fabry disease in Australia"/>
      </w:tblPr>
      <w:tblGrid>
        <w:gridCol w:w="2302"/>
        <w:gridCol w:w="2423"/>
        <w:gridCol w:w="2423"/>
        <w:gridCol w:w="2094"/>
      </w:tblGrid>
      <w:tr w:rsidR="008A721F" w:rsidRPr="003D5271" w:rsidTr="00422A12">
        <w:trPr>
          <w:trHeight w:val="300"/>
          <w:tblHeader/>
        </w:trPr>
        <w:tc>
          <w:tcPr>
            <w:tcW w:w="1245" w:type="pct"/>
            <w:noWrap/>
            <w:hideMark/>
          </w:tcPr>
          <w:p w:rsidR="008A721F" w:rsidRPr="00B63EFF" w:rsidRDefault="008A721F" w:rsidP="00422A12">
            <w:pPr>
              <w:pStyle w:val="Tabletext1"/>
              <w:rPr>
                <w:b/>
              </w:rPr>
            </w:pPr>
            <w:r w:rsidRPr="00B63EFF">
              <w:rPr>
                <w:b/>
              </w:rPr>
              <w:t>Gender</w:t>
            </w:r>
          </w:p>
        </w:tc>
        <w:tc>
          <w:tcPr>
            <w:tcW w:w="1311" w:type="pct"/>
            <w:noWrap/>
            <w:hideMark/>
          </w:tcPr>
          <w:p w:rsidR="008A721F" w:rsidRPr="00680417" w:rsidRDefault="008A721F" w:rsidP="008A721F">
            <w:pPr>
              <w:pStyle w:val="Tabletext1"/>
              <w:jc w:val="center"/>
            </w:pPr>
            <w:r w:rsidRPr="00680417">
              <w:rPr>
                <w:b/>
              </w:rPr>
              <w:t>Agalsidase al</w:t>
            </w:r>
            <w:r>
              <w:rPr>
                <w:b/>
              </w:rPr>
              <w:t>fa</w:t>
            </w:r>
          </w:p>
        </w:tc>
        <w:tc>
          <w:tcPr>
            <w:tcW w:w="1311" w:type="pct"/>
            <w:noWrap/>
            <w:hideMark/>
          </w:tcPr>
          <w:p w:rsidR="008A721F" w:rsidRPr="00D22E22" w:rsidRDefault="008A721F" w:rsidP="00786AE1">
            <w:pPr>
              <w:pStyle w:val="Tabletext1"/>
              <w:jc w:val="center"/>
            </w:pPr>
            <w:r w:rsidRPr="00680417">
              <w:rPr>
                <w:b/>
              </w:rPr>
              <w:t>Agalsidase beta</w:t>
            </w:r>
          </w:p>
        </w:tc>
        <w:tc>
          <w:tcPr>
            <w:tcW w:w="1133" w:type="pct"/>
            <w:noWrap/>
            <w:hideMark/>
          </w:tcPr>
          <w:p w:rsidR="008A721F" w:rsidRPr="003D5271" w:rsidRDefault="008A721F" w:rsidP="00786AE1">
            <w:pPr>
              <w:pStyle w:val="Tabletext1"/>
              <w:jc w:val="center"/>
            </w:pPr>
            <w:r w:rsidRPr="001F3BFB">
              <w:rPr>
                <w:b/>
              </w:rPr>
              <w:t>All patients</w:t>
            </w:r>
          </w:p>
        </w:tc>
      </w:tr>
      <w:tr w:rsidR="008A721F" w:rsidRPr="003D5271" w:rsidTr="00786AE1">
        <w:trPr>
          <w:trHeight w:val="300"/>
        </w:trPr>
        <w:tc>
          <w:tcPr>
            <w:tcW w:w="1245" w:type="pct"/>
            <w:noWrap/>
            <w:hideMark/>
          </w:tcPr>
          <w:p w:rsidR="008A721F" w:rsidRPr="003D5271" w:rsidRDefault="008A721F" w:rsidP="00786AE1">
            <w:pPr>
              <w:pStyle w:val="Tabletext1"/>
            </w:pPr>
            <w:r>
              <w:t>M</w:t>
            </w:r>
            <w:r w:rsidRPr="003D5271">
              <w:t>ale</w:t>
            </w:r>
          </w:p>
        </w:tc>
        <w:tc>
          <w:tcPr>
            <w:tcW w:w="1311" w:type="pct"/>
            <w:noWrap/>
            <w:hideMark/>
          </w:tcPr>
          <w:p w:rsidR="008A721F" w:rsidRPr="00680417" w:rsidRDefault="008A721F" w:rsidP="00786AE1">
            <w:pPr>
              <w:pStyle w:val="Tabletext1"/>
              <w:jc w:val="center"/>
            </w:pPr>
            <w:r w:rsidRPr="00680417">
              <w:t xml:space="preserve">65.5% </w:t>
            </w:r>
            <w:r w:rsidR="00A62C97">
              <w:rPr>
                <w:noProof/>
                <w:color w:val="000000"/>
                <w:highlight w:val="black"/>
              </w:rPr>
              <w:t>''''''''''</w:t>
            </w:r>
          </w:p>
        </w:tc>
        <w:tc>
          <w:tcPr>
            <w:tcW w:w="1311" w:type="pct"/>
            <w:noWrap/>
            <w:hideMark/>
          </w:tcPr>
          <w:p w:rsidR="008A721F" w:rsidRPr="00680417" w:rsidRDefault="008A721F" w:rsidP="00786AE1">
            <w:pPr>
              <w:pStyle w:val="Tabletext1"/>
              <w:jc w:val="center"/>
            </w:pPr>
            <w:r w:rsidRPr="00680417">
              <w:t xml:space="preserve">84.6% </w:t>
            </w:r>
            <w:r w:rsidR="00A62C97">
              <w:rPr>
                <w:noProof/>
                <w:color w:val="000000"/>
                <w:highlight w:val="black"/>
              </w:rPr>
              <w:t>''''''''''</w:t>
            </w:r>
          </w:p>
        </w:tc>
        <w:tc>
          <w:tcPr>
            <w:tcW w:w="1133" w:type="pct"/>
            <w:noWrap/>
            <w:hideMark/>
          </w:tcPr>
          <w:p w:rsidR="008A721F" w:rsidRPr="003D5271" w:rsidRDefault="008A721F" w:rsidP="00786AE1">
            <w:pPr>
              <w:pStyle w:val="Tabletext1"/>
              <w:jc w:val="center"/>
            </w:pPr>
            <w:r w:rsidRPr="003D5271">
              <w:t xml:space="preserve">71.6% </w:t>
            </w:r>
            <w:r w:rsidR="00A62C97">
              <w:rPr>
                <w:noProof/>
                <w:color w:val="000000"/>
                <w:highlight w:val="black"/>
              </w:rPr>
              <w:t>''''''''''</w:t>
            </w:r>
          </w:p>
        </w:tc>
      </w:tr>
      <w:tr w:rsidR="008A721F" w:rsidRPr="003D5271" w:rsidTr="00786AE1">
        <w:trPr>
          <w:trHeight w:val="300"/>
        </w:trPr>
        <w:tc>
          <w:tcPr>
            <w:tcW w:w="1245" w:type="pct"/>
            <w:noWrap/>
            <w:hideMark/>
          </w:tcPr>
          <w:p w:rsidR="008A721F" w:rsidRPr="003D5271" w:rsidRDefault="008A721F" w:rsidP="00786AE1">
            <w:pPr>
              <w:pStyle w:val="Tabletext1"/>
            </w:pPr>
            <w:r w:rsidRPr="003D5271">
              <w:t>Female</w:t>
            </w:r>
          </w:p>
        </w:tc>
        <w:tc>
          <w:tcPr>
            <w:tcW w:w="1311" w:type="pct"/>
            <w:noWrap/>
            <w:hideMark/>
          </w:tcPr>
          <w:p w:rsidR="008A721F" w:rsidRPr="00680417" w:rsidRDefault="008A721F" w:rsidP="00786AE1">
            <w:pPr>
              <w:pStyle w:val="Tabletext1"/>
              <w:jc w:val="center"/>
            </w:pPr>
            <w:r w:rsidRPr="00680417">
              <w:t xml:space="preserve">34.5% </w:t>
            </w:r>
            <w:r w:rsidR="00A62C97">
              <w:rPr>
                <w:noProof/>
                <w:color w:val="000000"/>
                <w:highlight w:val="black"/>
              </w:rPr>
              <w:t>''''''''''</w:t>
            </w:r>
          </w:p>
        </w:tc>
        <w:tc>
          <w:tcPr>
            <w:tcW w:w="1311" w:type="pct"/>
            <w:noWrap/>
            <w:hideMark/>
          </w:tcPr>
          <w:p w:rsidR="008A721F" w:rsidRPr="00680417" w:rsidRDefault="008A721F" w:rsidP="00786AE1">
            <w:pPr>
              <w:pStyle w:val="Tabletext1"/>
              <w:jc w:val="center"/>
            </w:pPr>
            <w:r w:rsidRPr="00680417">
              <w:t>15.4</w:t>
            </w:r>
            <w:r w:rsidR="00A62C97">
              <w:rPr>
                <w:noProof/>
                <w:color w:val="000000"/>
                <w:highlight w:val="black"/>
              </w:rPr>
              <w:t>'''''' '''''''</w:t>
            </w:r>
          </w:p>
        </w:tc>
        <w:tc>
          <w:tcPr>
            <w:tcW w:w="1133" w:type="pct"/>
            <w:noWrap/>
            <w:hideMark/>
          </w:tcPr>
          <w:p w:rsidR="008A721F" w:rsidRPr="003D5271" w:rsidRDefault="008A721F" w:rsidP="00786AE1">
            <w:pPr>
              <w:pStyle w:val="Tabletext1"/>
              <w:jc w:val="center"/>
            </w:pPr>
            <w:r w:rsidRPr="003D5271">
              <w:t xml:space="preserve">28.4% </w:t>
            </w:r>
            <w:r w:rsidR="00A62C97">
              <w:rPr>
                <w:noProof/>
                <w:color w:val="000000"/>
                <w:highlight w:val="black"/>
              </w:rPr>
              <w:t>''''''''''</w:t>
            </w:r>
          </w:p>
        </w:tc>
      </w:tr>
      <w:tr w:rsidR="008A721F" w:rsidRPr="003D5271" w:rsidTr="00786AE1">
        <w:trPr>
          <w:trHeight w:val="300"/>
        </w:trPr>
        <w:tc>
          <w:tcPr>
            <w:tcW w:w="1245" w:type="pct"/>
            <w:noWrap/>
            <w:hideMark/>
          </w:tcPr>
          <w:p w:rsidR="008A721F" w:rsidRPr="003D5271" w:rsidRDefault="008A721F" w:rsidP="00786AE1">
            <w:pPr>
              <w:pStyle w:val="Tabletext1"/>
            </w:pPr>
            <w:r w:rsidRPr="003D7002">
              <w:t>Number of observations (n=)</w:t>
            </w:r>
          </w:p>
        </w:tc>
        <w:tc>
          <w:tcPr>
            <w:tcW w:w="1311" w:type="pct"/>
            <w:noWrap/>
            <w:hideMark/>
          </w:tcPr>
          <w:p w:rsidR="008A721F" w:rsidRPr="00680417" w:rsidRDefault="008A721F" w:rsidP="00786AE1">
            <w:pPr>
              <w:pStyle w:val="Tabletext1"/>
              <w:jc w:val="center"/>
            </w:pPr>
            <w:r w:rsidRPr="00680417">
              <w:t>100.</w:t>
            </w:r>
            <w:r>
              <w:t>0</w:t>
            </w:r>
            <w:r w:rsidRPr="00680417">
              <w:t xml:space="preserve">% </w:t>
            </w:r>
            <w:r w:rsidR="00A62C97">
              <w:rPr>
                <w:noProof/>
                <w:color w:val="000000"/>
                <w:highlight w:val="black"/>
              </w:rPr>
              <w:t>''''''''''</w:t>
            </w:r>
          </w:p>
        </w:tc>
        <w:tc>
          <w:tcPr>
            <w:tcW w:w="1311" w:type="pct"/>
            <w:noWrap/>
            <w:hideMark/>
          </w:tcPr>
          <w:p w:rsidR="008A721F" w:rsidRPr="00680417" w:rsidRDefault="008A721F" w:rsidP="00786AE1">
            <w:pPr>
              <w:pStyle w:val="Tabletext1"/>
              <w:jc w:val="center"/>
            </w:pPr>
            <w:r w:rsidRPr="00680417">
              <w:t>100.</w:t>
            </w:r>
            <w:r>
              <w:t>0</w:t>
            </w:r>
            <w:r w:rsidRPr="00680417">
              <w:t xml:space="preserve">% </w:t>
            </w:r>
            <w:r w:rsidR="00A62C97">
              <w:rPr>
                <w:noProof/>
                <w:color w:val="000000"/>
                <w:highlight w:val="black"/>
              </w:rPr>
              <w:t>'''''''''</w:t>
            </w:r>
          </w:p>
        </w:tc>
        <w:tc>
          <w:tcPr>
            <w:tcW w:w="1133" w:type="pct"/>
            <w:noWrap/>
            <w:hideMark/>
          </w:tcPr>
          <w:p w:rsidR="008A721F" w:rsidRPr="003D5271" w:rsidRDefault="008A721F" w:rsidP="00786AE1">
            <w:pPr>
              <w:pStyle w:val="Tabletext1"/>
              <w:jc w:val="center"/>
            </w:pPr>
            <w:r w:rsidRPr="003D5271">
              <w:t>100.</w:t>
            </w:r>
            <w:r>
              <w:t>0</w:t>
            </w:r>
            <w:r w:rsidRPr="003D5271">
              <w:t xml:space="preserve">% </w:t>
            </w:r>
            <w:r w:rsidR="00A62C97">
              <w:rPr>
                <w:noProof/>
                <w:color w:val="000000"/>
                <w:highlight w:val="black"/>
              </w:rPr>
              <w:t>''''''''''</w:t>
            </w:r>
          </w:p>
        </w:tc>
      </w:tr>
    </w:tbl>
    <w:p w:rsidR="008A721F" w:rsidRPr="003D5271" w:rsidRDefault="008A721F" w:rsidP="008A721F">
      <w:pPr>
        <w:pStyle w:val="TableNote"/>
      </w:pPr>
      <w:r w:rsidRPr="001F3BFB">
        <w:t>Source: Australian Data Registry</w:t>
      </w:r>
    </w:p>
    <w:p w:rsidR="008A721F" w:rsidRDefault="008A721F" w:rsidP="008A721F"/>
    <w:p w:rsidR="008A721F" w:rsidRDefault="008A721F" w:rsidP="008A721F">
      <w:bookmarkStart w:id="269" w:name="_Toc405361958"/>
      <w:r w:rsidRPr="000756DF">
        <w:lastRenderedPageBreak/>
        <w:t>The average dose for agalsidase al</w:t>
      </w:r>
      <w:r>
        <w:t>f</w:t>
      </w:r>
      <w:r w:rsidRPr="000756DF">
        <w:t xml:space="preserve">a was </w:t>
      </w:r>
      <w:r w:rsidR="00A62C97">
        <w:rPr>
          <w:rFonts w:ascii="Arial Narrow" w:hAnsi="Arial Narrow" w:cs="Tahoma"/>
          <w:noProof/>
          <w:color w:val="000000"/>
          <w:sz w:val="20"/>
          <w:szCs w:val="20"/>
          <w:highlight w:val="black"/>
          <w:lang w:eastAsia="en-AU"/>
        </w:rPr>
        <w:t>''''''''''''' '''''''''''''''''''''''''''''''''''''</w:t>
      </w:r>
      <w:r>
        <w:t xml:space="preserve"> (using an adjusted weight for patients with a BMI greater than 27, see table notes)</w:t>
      </w:r>
      <w:r w:rsidRPr="000756DF">
        <w:t xml:space="preserve">, which is </w:t>
      </w:r>
      <w:r>
        <w:t>only marginally</w:t>
      </w:r>
      <w:r w:rsidRPr="000756DF">
        <w:t xml:space="preserve"> </w:t>
      </w:r>
      <w:r>
        <w:t>above</w:t>
      </w:r>
      <w:r w:rsidRPr="000756DF">
        <w:t xml:space="preserve"> the </w:t>
      </w:r>
      <w:r w:rsidR="0086424E">
        <w:t>recommended</w:t>
      </w:r>
      <w:r w:rsidRPr="000756DF">
        <w:t xml:space="preserve"> dose of 0.2 mg/kg/fortnight</w:t>
      </w:r>
      <w:r w:rsidR="0086424E">
        <w:t xml:space="preserve"> </w:t>
      </w:r>
      <w:r w:rsidR="00746F05">
        <w:rPr>
          <w:noProof/>
        </w:rPr>
        <w:t>(</w:t>
      </w:r>
      <w:r w:rsidR="00184B6F">
        <w:rPr>
          <w:noProof/>
        </w:rPr>
        <w:t>Therapeutic Goods Administration 2010c</w:t>
      </w:r>
      <w:r w:rsidR="00746F05">
        <w:rPr>
          <w:noProof/>
        </w:rPr>
        <w:t>)</w:t>
      </w:r>
      <w:r>
        <w:t>, and consistent with the randomised trials identified</w:t>
      </w:r>
      <w:r w:rsidR="00544A05">
        <w:t>;</w:t>
      </w:r>
      <w:r>
        <w:t xml:space="preserve"> </w:t>
      </w:r>
      <w:r w:rsidR="00544A05">
        <w:t>these</w:t>
      </w:r>
      <w:r>
        <w:t xml:space="preserve"> all used doses of 0.2 mg/kg/fortnight </w:t>
      </w:r>
      <w:r>
        <w:rPr>
          <w:noProof/>
        </w:rPr>
        <w:t>(</w:t>
      </w:r>
      <w:r w:rsidR="00184B6F">
        <w:rPr>
          <w:noProof/>
        </w:rPr>
        <w:t>Hughes et al. 2008</w:t>
      </w:r>
      <w:r>
        <w:rPr>
          <w:noProof/>
        </w:rPr>
        <w:t xml:space="preserve">; </w:t>
      </w:r>
      <w:r w:rsidR="00184B6F">
        <w:rPr>
          <w:noProof/>
        </w:rPr>
        <w:t>Schiffmann et al. 2001</w:t>
      </w:r>
      <w:r>
        <w:rPr>
          <w:noProof/>
        </w:rPr>
        <w:t xml:space="preserve">; </w:t>
      </w:r>
      <w:r w:rsidR="00184B6F">
        <w:rPr>
          <w:noProof/>
        </w:rPr>
        <w:t>Vedder et al. 2007</w:t>
      </w:r>
      <w:r>
        <w:rPr>
          <w:noProof/>
        </w:rPr>
        <w:t>)</w:t>
      </w:r>
      <w:r w:rsidRPr="000756DF">
        <w:t xml:space="preserve">. </w:t>
      </w:r>
    </w:p>
    <w:p w:rsidR="008A721F" w:rsidRPr="000756DF" w:rsidRDefault="008A721F" w:rsidP="008A721F">
      <w:r w:rsidRPr="000756DF">
        <w:t>The average dose for agalsidase beta was 0.</w:t>
      </w:r>
      <w:r>
        <w:t>966</w:t>
      </w:r>
      <w:r w:rsidRPr="000756DF">
        <w:t xml:space="preserve"> mg/kg/fortnight</w:t>
      </w:r>
      <w:r>
        <w:t xml:space="preserve"> (using an adjusted weight for patients with a BMI greater than 27, see table notes)</w:t>
      </w:r>
      <w:r w:rsidRPr="000756DF">
        <w:t>,</w:t>
      </w:r>
      <w:r>
        <w:t xml:space="preserve"> which was slight</w:t>
      </w:r>
      <w:r w:rsidR="00DF5875">
        <w:t>l</w:t>
      </w:r>
      <w:r>
        <w:t xml:space="preserve">y lower than the </w:t>
      </w:r>
      <w:r w:rsidR="00C85892">
        <w:t xml:space="preserve">recommended dose of 1 mg/kg/fortnight </w:t>
      </w:r>
      <w:r w:rsidR="00746F05">
        <w:rPr>
          <w:noProof/>
        </w:rPr>
        <w:t>(</w:t>
      </w:r>
      <w:r w:rsidR="00184B6F">
        <w:rPr>
          <w:noProof/>
        </w:rPr>
        <w:t>Therapeutic Goods Administration 2010b</w:t>
      </w:r>
      <w:r w:rsidR="00746F05">
        <w:rPr>
          <w:noProof/>
        </w:rPr>
        <w:t>)</w:t>
      </w:r>
      <w:r>
        <w:t xml:space="preserve">. The </w:t>
      </w:r>
      <w:r w:rsidRPr="000756DF">
        <w:t xml:space="preserve">maximum dose received was </w:t>
      </w:r>
      <w:r>
        <w:t>1.072</w:t>
      </w:r>
      <w:r w:rsidRPr="000756DF">
        <w:t xml:space="preserve"> mg/kg/fortnight. </w:t>
      </w:r>
      <w:r>
        <w:t xml:space="preserve">For comparison, the trials comparing agalsidase beta against placebo all used a dose of 1 mg/kg/fortnight </w:t>
      </w:r>
      <w:r>
        <w:rPr>
          <w:noProof/>
        </w:rPr>
        <w:t>(</w:t>
      </w:r>
      <w:r w:rsidR="00184B6F">
        <w:rPr>
          <w:noProof/>
        </w:rPr>
        <w:t>Banikazemi, Maryam et al. 2007</w:t>
      </w:r>
      <w:r>
        <w:rPr>
          <w:noProof/>
        </w:rPr>
        <w:t xml:space="preserve">; </w:t>
      </w:r>
      <w:r w:rsidR="00184B6F">
        <w:rPr>
          <w:noProof/>
        </w:rPr>
        <w:t>Bierer et al. 2006</w:t>
      </w:r>
      <w:r>
        <w:rPr>
          <w:noProof/>
        </w:rPr>
        <w:t xml:space="preserve">; </w:t>
      </w:r>
      <w:r w:rsidR="00184B6F">
        <w:rPr>
          <w:noProof/>
        </w:rPr>
        <w:t>Eng et al. 2001</w:t>
      </w:r>
      <w:r>
        <w:rPr>
          <w:noProof/>
        </w:rPr>
        <w:t>)</w:t>
      </w:r>
      <w:r>
        <w:t xml:space="preserve">, while the trial of agalsidase beta against agalsidase alfa used a dose of 0.2 mg/kg/fortnight </w:t>
      </w:r>
      <w:r>
        <w:rPr>
          <w:noProof/>
        </w:rPr>
        <w:t>(</w:t>
      </w:r>
      <w:r w:rsidR="00184B6F">
        <w:rPr>
          <w:noProof/>
        </w:rPr>
        <w:t>Vedder et al. 2007</w:t>
      </w:r>
      <w:r>
        <w:rPr>
          <w:noProof/>
        </w:rPr>
        <w:t>)</w:t>
      </w:r>
      <w:r>
        <w:t xml:space="preserve">. </w:t>
      </w:r>
    </w:p>
    <w:p w:rsidR="008A721F" w:rsidRDefault="008A721F" w:rsidP="008A721F">
      <w:pPr>
        <w:pStyle w:val="Caption"/>
        <w:keepNext/>
        <w:tabs>
          <w:tab w:val="clear" w:pos="851"/>
          <w:tab w:val="left" w:pos="1134"/>
        </w:tabs>
        <w:ind w:left="1134" w:hanging="1134"/>
      </w:pPr>
      <w:bookmarkStart w:id="270" w:name="_Toc411510438"/>
      <w:bookmarkStart w:id="271" w:name="_Toc415141852"/>
      <w:r w:rsidRPr="00716774">
        <w:t xml:space="preserve">Table </w:t>
      </w:r>
      <w:r w:rsidR="00A72B26">
        <w:rPr>
          <w:noProof/>
        </w:rPr>
        <w:t>55</w:t>
      </w:r>
      <w:r w:rsidRPr="00305731">
        <w:t xml:space="preserve"> </w:t>
      </w:r>
      <w:r>
        <w:tab/>
      </w:r>
      <w:r w:rsidRPr="00716774">
        <w:t>Dosing information (mg/kg/2 weeks)</w:t>
      </w:r>
      <w:r>
        <w:t xml:space="preserve"> for patients cu</w:t>
      </w:r>
      <w:r w:rsidR="00DF5875">
        <w:t>r</w:t>
      </w:r>
      <w:r>
        <w:t>rently rec</w:t>
      </w:r>
      <w:r w:rsidR="00DF5875">
        <w:t>ei</w:t>
      </w:r>
      <w:r>
        <w:t xml:space="preserve">ving treatment with agalsidase </w:t>
      </w:r>
      <w:r w:rsidR="00870492">
        <w:t>alfa</w:t>
      </w:r>
      <w:r>
        <w:t xml:space="preserve"> on the LSDP</w:t>
      </w:r>
      <w:bookmarkEnd w:id="269"/>
      <w:bookmarkEnd w:id="270"/>
      <w:bookmarkEnd w:id="271"/>
    </w:p>
    <w:tbl>
      <w:tblPr>
        <w:tblStyle w:val="TableGrid1"/>
        <w:tblW w:w="5000" w:type="pct"/>
        <w:tblLayout w:type="fixed"/>
        <w:tblLook w:val="04A0" w:firstRow="1" w:lastRow="0" w:firstColumn="1" w:lastColumn="0" w:noHBand="0" w:noVBand="1"/>
        <w:tblCaption w:val="Table 53  Dosing information (mg/kg/2 weeks), all patients on the LSDP"/>
        <w:tblDescription w:val="Dosing information (mg/kg/2 weeks), all Fabry patients on the LSDP"/>
      </w:tblPr>
      <w:tblGrid>
        <w:gridCol w:w="2376"/>
        <w:gridCol w:w="1426"/>
        <w:gridCol w:w="1361"/>
        <w:gridCol w:w="1360"/>
        <w:gridCol w:w="1360"/>
        <w:gridCol w:w="1359"/>
      </w:tblGrid>
      <w:tr w:rsidR="00F0480B" w:rsidRPr="00A53AED" w:rsidTr="00926546">
        <w:trPr>
          <w:trHeight w:val="280"/>
          <w:tblHeader/>
        </w:trPr>
        <w:tc>
          <w:tcPr>
            <w:tcW w:w="1285" w:type="pct"/>
            <w:noWrap/>
            <w:hideMark/>
          </w:tcPr>
          <w:p w:rsidR="00F0480B" w:rsidRPr="00B63EFF" w:rsidRDefault="00F0480B" w:rsidP="00926546">
            <w:pPr>
              <w:pStyle w:val="Tabletext1"/>
              <w:rPr>
                <w:b/>
              </w:rPr>
            </w:pPr>
          </w:p>
        </w:tc>
        <w:tc>
          <w:tcPr>
            <w:tcW w:w="771" w:type="pct"/>
            <w:noWrap/>
            <w:hideMark/>
          </w:tcPr>
          <w:p w:rsidR="00F0480B" w:rsidRPr="00B63EFF" w:rsidRDefault="00F0480B" w:rsidP="00926546">
            <w:pPr>
              <w:pStyle w:val="Tabletext1"/>
              <w:rPr>
                <w:b/>
              </w:rPr>
            </w:pPr>
            <w:r w:rsidRPr="00B63EFF">
              <w:rPr>
                <w:b/>
              </w:rPr>
              <w:t>BMI &lt;27</w:t>
            </w:r>
          </w:p>
        </w:tc>
        <w:tc>
          <w:tcPr>
            <w:tcW w:w="736" w:type="pct"/>
            <w:noWrap/>
            <w:hideMark/>
          </w:tcPr>
          <w:p w:rsidR="00F0480B" w:rsidRPr="00B63EFF" w:rsidRDefault="00F0480B" w:rsidP="00926546">
            <w:pPr>
              <w:pStyle w:val="Tabletext1"/>
              <w:rPr>
                <w:b/>
              </w:rPr>
            </w:pPr>
            <w:r w:rsidRPr="00B63EFF">
              <w:rPr>
                <w:b/>
              </w:rPr>
              <w:t>BMI &gt;27 (A)</w:t>
            </w:r>
            <w:r>
              <w:rPr>
                <w:b/>
              </w:rPr>
              <w:t>*</w:t>
            </w:r>
          </w:p>
        </w:tc>
        <w:tc>
          <w:tcPr>
            <w:tcW w:w="736" w:type="pct"/>
            <w:noWrap/>
            <w:hideMark/>
          </w:tcPr>
          <w:p w:rsidR="00F0480B" w:rsidRPr="00B63EFF" w:rsidRDefault="00F0480B" w:rsidP="00926546">
            <w:pPr>
              <w:pStyle w:val="Tabletext1"/>
              <w:rPr>
                <w:b/>
              </w:rPr>
            </w:pPr>
            <w:r w:rsidRPr="00B63EFF">
              <w:rPr>
                <w:b/>
              </w:rPr>
              <w:t>BMI &gt;27 (B)</w:t>
            </w:r>
          </w:p>
        </w:tc>
        <w:tc>
          <w:tcPr>
            <w:tcW w:w="736" w:type="pct"/>
            <w:noWrap/>
            <w:hideMark/>
          </w:tcPr>
          <w:p w:rsidR="00F0480B" w:rsidRPr="00B63EFF" w:rsidRDefault="00F0480B" w:rsidP="00926546">
            <w:pPr>
              <w:pStyle w:val="Tabletext1"/>
              <w:rPr>
                <w:b/>
              </w:rPr>
            </w:pPr>
            <w:r w:rsidRPr="00B63EFF">
              <w:rPr>
                <w:b/>
              </w:rPr>
              <w:t>All</w:t>
            </w:r>
            <w:r>
              <w:rPr>
                <w:b/>
              </w:rPr>
              <w:t xml:space="preserve"> (A)*</w:t>
            </w:r>
          </w:p>
        </w:tc>
        <w:tc>
          <w:tcPr>
            <w:tcW w:w="735" w:type="pct"/>
          </w:tcPr>
          <w:p w:rsidR="00F0480B" w:rsidRPr="00366771" w:rsidRDefault="00F0480B" w:rsidP="00926546">
            <w:pPr>
              <w:pStyle w:val="Tabletext1"/>
              <w:rPr>
                <w:b/>
              </w:rPr>
            </w:pPr>
            <w:r>
              <w:rPr>
                <w:b/>
              </w:rPr>
              <w:t>All (B)</w:t>
            </w:r>
          </w:p>
        </w:tc>
      </w:tr>
      <w:tr w:rsidR="00F0480B" w:rsidRPr="00A53AED" w:rsidTr="00926546">
        <w:trPr>
          <w:trHeight w:val="280"/>
        </w:trPr>
        <w:tc>
          <w:tcPr>
            <w:tcW w:w="1285" w:type="pct"/>
            <w:noWrap/>
            <w:hideMark/>
          </w:tcPr>
          <w:p w:rsidR="00F0480B" w:rsidRPr="00A53AED" w:rsidRDefault="00F0480B" w:rsidP="00926546">
            <w:pPr>
              <w:pStyle w:val="Tabletext1"/>
            </w:pPr>
            <w:r>
              <w:t>Number of observations^</w:t>
            </w:r>
          </w:p>
        </w:tc>
        <w:tc>
          <w:tcPr>
            <w:tcW w:w="771" w:type="pct"/>
            <w:noWrap/>
            <w:hideMark/>
          </w:tcPr>
          <w:p w:rsidR="00F0480B" w:rsidRPr="00500271" w:rsidRDefault="00500271" w:rsidP="00F0480B">
            <w:pPr>
              <w:pStyle w:val="TableText0"/>
              <w:rPr>
                <w:highlight w:val="black"/>
              </w:rPr>
            </w:pPr>
            <w:r>
              <w:rPr>
                <w:noProof/>
                <w:color w:val="000000"/>
                <w:highlight w:val="black"/>
              </w:rPr>
              <w:t>'''''</w:t>
            </w:r>
          </w:p>
        </w:tc>
        <w:tc>
          <w:tcPr>
            <w:tcW w:w="736" w:type="pct"/>
            <w:noWrap/>
            <w:hideMark/>
          </w:tcPr>
          <w:p w:rsidR="00F0480B" w:rsidRPr="00500271" w:rsidRDefault="00500271" w:rsidP="00F0480B">
            <w:pPr>
              <w:pStyle w:val="TableText0"/>
              <w:rPr>
                <w:highlight w:val="black"/>
              </w:rPr>
            </w:pPr>
            <w:r>
              <w:rPr>
                <w:noProof/>
                <w:color w:val="000000"/>
                <w:highlight w:val="black"/>
              </w:rPr>
              <w:t>''''''</w:t>
            </w:r>
          </w:p>
        </w:tc>
        <w:tc>
          <w:tcPr>
            <w:tcW w:w="736" w:type="pct"/>
            <w:noWrap/>
            <w:hideMark/>
          </w:tcPr>
          <w:p w:rsidR="00F0480B" w:rsidRPr="00500271" w:rsidRDefault="00500271" w:rsidP="00F0480B">
            <w:pPr>
              <w:pStyle w:val="TableText0"/>
              <w:rPr>
                <w:highlight w:val="black"/>
              </w:rPr>
            </w:pPr>
            <w:r>
              <w:rPr>
                <w:noProof/>
                <w:color w:val="000000"/>
                <w:highlight w:val="black"/>
              </w:rPr>
              <w:t>''''''</w:t>
            </w:r>
          </w:p>
        </w:tc>
        <w:tc>
          <w:tcPr>
            <w:tcW w:w="736" w:type="pct"/>
            <w:noWrap/>
            <w:hideMark/>
          </w:tcPr>
          <w:p w:rsidR="00F0480B" w:rsidRPr="00500271" w:rsidRDefault="00500271" w:rsidP="00F0480B">
            <w:pPr>
              <w:pStyle w:val="TableText0"/>
              <w:rPr>
                <w:highlight w:val="black"/>
              </w:rPr>
            </w:pPr>
            <w:r>
              <w:rPr>
                <w:noProof/>
                <w:color w:val="000000"/>
                <w:highlight w:val="black"/>
              </w:rPr>
              <w:t>'''''</w:t>
            </w:r>
          </w:p>
        </w:tc>
        <w:tc>
          <w:tcPr>
            <w:tcW w:w="735" w:type="pct"/>
            <w:vAlign w:val="bottom"/>
          </w:tcPr>
          <w:p w:rsidR="00F0480B" w:rsidRPr="00500271" w:rsidRDefault="00500271" w:rsidP="00926546">
            <w:pPr>
              <w:pStyle w:val="TableText0"/>
              <w:rPr>
                <w:highlight w:val="black"/>
              </w:rPr>
            </w:pPr>
            <w:r>
              <w:rPr>
                <w:noProof/>
                <w:color w:val="000000"/>
                <w:highlight w:val="black"/>
              </w:rPr>
              <w:t>''''''''''</w:t>
            </w:r>
          </w:p>
        </w:tc>
      </w:tr>
      <w:tr w:rsidR="00F0480B" w:rsidRPr="00A53AED" w:rsidTr="00926546">
        <w:trPr>
          <w:trHeight w:val="280"/>
        </w:trPr>
        <w:tc>
          <w:tcPr>
            <w:tcW w:w="1285" w:type="pct"/>
            <w:noWrap/>
            <w:hideMark/>
          </w:tcPr>
          <w:p w:rsidR="00F0480B" w:rsidRDefault="00F0480B" w:rsidP="00926546">
            <w:pPr>
              <w:pStyle w:val="Tabletext1"/>
            </w:pPr>
            <w:r>
              <w:t xml:space="preserve">Mean Dose mg/kg/fortnight </w:t>
            </w:r>
          </w:p>
          <w:p w:rsidR="00F0480B" w:rsidRPr="00A53AED" w:rsidRDefault="00F0480B" w:rsidP="00926546">
            <w:pPr>
              <w:pStyle w:val="Tabletext1"/>
            </w:pPr>
            <w:r>
              <w:t>± SD</w:t>
            </w:r>
          </w:p>
        </w:tc>
        <w:tc>
          <w:tcPr>
            <w:tcW w:w="771" w:type="pct"/>
            <w:noWrap/>
            <w:vAlign w:val="bottom"/>
          </w:tcPr>
          <w:p w:rsidR="00F0480B" w:rsidRPr="00680417" w:rsidRDefault="00F0480B" w:rsidP="00926546">
            <w:pPr>
              <w:pStyle w:val="Tabletext1"/>
            </w:pPr>
            <w:r>
              <w:t>0.2</w:t>
            </w:r>
            <w:r w:rsidRPr="00B63EFF">
              <w:t>2</w:t>
            </w:r>
            <w:r>
              <w:t xml:space="preserve"> ± </w:t>
            </w:r>
            <w:r w:rsidRPr="00B63EFF">
              <w:t>0.04</w:t>
            </w:r>
          </w:p>
        </w:tc>
        <w:tc>
          <w:tcPr>
            <w:tcW w:w="736" w:type="pct"/>
            <w:noWrap/>
            <w:vAlign w:val="bottom"/>
          </w:tcPr>
          <w:p w:rsidR="00F0480B" w:rsidRPr="00680417" w:rsidRDefault="00F0480B" w:rsidP="00926546">
            <w:pPr>
              <w:pStyle w:val="Tabletext1"/>
            </w:pPr>
            <w:r>
              <w:t>0.21</w:t>
            </w:r>
            <w:r w:rsidRPr="00B63EFF">
              <w:t xml:space="preserve"> </w:t>
            </w:r>
            <w:r>
              <w:t xml:space="preserve">± </w:t>
            </w:r>
            <w:r w:rsidRPr="00B63EFF">
              <w:t>0.02</w:t>
            </w:r>
          </w:p>
        </w:tc>
        <w:tc>
          <w:tcPr>
            <w:tcW w:w="736" w:type="pct"/>
            <w:noWrap/>
            <w:vAlign w:val="bottom"/>
          </w:tcPr>
          <w:p w:rsidR="00F0480B" w:rsidRPr="00680417" w:rsidRDefault="00F0480B" w:rsidP="00926546">
            <w:pPr>
              <w:pStyle w:val="Tabletext1"/>
            </w:pPr>
            <w:r>
              <w:t xml:space="preserve">0.17 ± </w:t>
            </w:r>
            <w:r w:rsidRPr="00B63EFF">
              <w:t>0.0</w:t>
            </w:r>
            <w:r>
              <w:t>3</w:t>
            </w:r>
          </w:p>
        </w:tc>
        <w:tc>
          <w:tcPr>
            <w:tcW w:w="736" w:type="pct"/>
            <w:noWrap/>
            <w:vAlign w:val="bottom"/>
          </w:tcPr>
          <w:p w:rsidR="00F0480B" w:rsidRPr="00680417" w:rsidRDefault="00F0480B" w:rsidP="00926546">
            <w:pPr>
              <w:pStyle w:val="Tabletext1"/>
            </w:pPr>
            <w:r>
              <w:t>0.22 ± 0.04</w:t>
            </w:r>
            <w:r w:rsidRPr="00B63EFF">
              <w:t xml:space="preserve"> </w:t>
            </w:r>
          </w:p>
        </w:tc>
        <w:tc>
          <w:tcPr>
            <w:tcW w:w="735" w:type="pct"/>
            <w:vAlign w:val="bottom"/>
          </w:tcPr>
          <w:p w:rsidR="00F0480B" w:rsidRPr="00DB7268" w:rsidRDefault="00F0480B" w:rsidP="00926546">
            <w:pPr>
              <w:pStyle w:val="Tabletext1"/>
            </w:pPr>
            <w:r w:rsidRPr="00B63EFF">
              <w:t>0.</w:t>
            </w:r>
            <w:r>
              <w:t xml:space="preserve">20 ± </w:t>
            </w:r>
            <w:r w:rsidRPr="00B63EFF">
              <w:t>0.04</w:t>
            </w:r>
          </w:p>
        </w:tc>
      </w:tr>
      <w:tr w:rsidR="00F0480B" w:rsidRPr="00A53AED" w:rsidTr="00926546">
        <w:trPr>
          <w:trHeight w:val="280"/>
        </w:trPr>
        <w:tc>
          <w:tcPr>
            <w:tcW w:w="1285" w:type="pct"/>
            <w:noWrap/>
            <w:hideMark/>
          </w:tcPr>
          <w:p w:rsidR="00F0480B" w:rsidRPr="00A53AED" w:rsidRDefault="00F0480B" w:rsidP="00926546">
            <w:pPr>
              <w:pStyle w:val="Tabletext1"/>
            </w:pPr>
            <w:r>
              <w:t>M</w:t>
            </w:r>
            <w:r w:rsidRPr="00A53AED">
              <w:t>edian</w:t>
            </w:r>
          </w:p>
        </w:tc>
        <w:tc>
          <w:tcPr>
            <w:tcW w:w="771" w:type="pct"/>
            <w:noWrap/>
            <w:vAlign w:val="bottom"/>
            <w:hideMark/>
          </w:tcPr>
          <w:p w:rsidR="00F0480B" w:rsidRPr="00E411F7" w:rsidRDefault="00F0480B" w:rsidP="00926546">
            <w:pPr>
              <w:pStyle w:val="Tabletext1"/>
            </w:pPr>
            <w:r w:rsidRPr="00B63EFF">
              <w:t>0.21</w:t>
            </w:r>
          </w:p>
        </w:tc>
        <w:tc>
          <w:tcPr>
            <w:tcW w:w="736" w:type="pct"/>
            <w:noWrap/>
            <w:vAlign w:val="bottom"/>
            <w:hideMark/>
          </w:tcPr>
          <w:p w:rsidR="00F0480B" w:rsidRPr="00E411F7" w:rsidRDefault="00F0480B" w:rsidP="00926546">
            <w:pPr>
              <w:pStyle w:val="Tabletext1"/>
            </w:pPr>
            <w:r w:rsidRPr="00B63EFF">
              <w:t>0.21</w:t>
            </w:r>
          </w:p>
        </w:tc>
        <w:tc>
          <w:tcPr>
            <w:tcW w:w="736" w:type="pct"/>
            <w:noWrap/>
            <w:vAlign w:val="bottom"/>
            <w:hideMark/>
          </w:tcPr>
          <w:p w:rsidR="00F0480B" w:rsidRPr="00E411F7" w:rsidRDefault="00F0480B" w:rsidP="00926546">
            <w:pPr>
              <w:pStyle w:val="Tabletext1"/>
            </w:pPr>
            <w:r w:rsidRPr="00B63EFF">
              <w:t>0.1</w:t>
            </w:r>
            <w:r>
              <w:t>8</w:t>
            </w:r>
          </w:p>
        </w:tc>
        <w:tc>
          <w:tcPr>
            <w:tcW w:w="736" w:type="pct"/>
            <w:noWrap/>
            <w:vAlign w:val="bottom"/>
            <w:hideMark/>
          </w:tcPr>
          <w:p w:rsidR="00F0480B" w:rsidRPr="00E411F7" w:rsidRDefault="00F0480B" w:rsidP="00926546">
            <w:pPr>
              <w:pStyle w:val="Tabletext1"/>
            </w:pPr>
            <w:r w:rsidRPr="00B63EFF">
              <w:t>0.21</w:t>
            </w:r>
          </w:p>
        </w:tc>
        <w:tc>
          <w:tcPr>
            <w:tcW w:w="735" w:type="pct"/>
            <w:vAlign w:val="bottom"/>
          </w:tcPr>
          <w:p w:rsidR="00F0480B" w:rsidRPr="00680417" w:rsidRDefault="00F0480B" w:rsidP="00926546">
            <w:pPr>
              <w:pStyle w:val="TableText0"/>
            </w:pPr>
            <w:r>
              <w:t>0.20</w:t>
            </w:r>
          </w:p>
        </w:tc>
      </w:tr>
      <w:tr w:rsidR="00F0480B" w:rsidRPr="00A53AED" w:rsidTr="00926546">
        <w:trPr>
          <w:trHeight w:val="280"/>
        </w:trPr>
        <w:tc>
          <w:tcPr>
            <w:tcW w:w="1285" w:type="pct"/>
            <w:noWrap/>
            <w:hideMark/>
          </w:tcPr>
          <w:p w:rsidR="00F0480B" w:rsidRPr="00A53AED" w:rsidRDefault="00F0480B" w:rsidP="00926546">
            <w:pPr>
              <w:pStyle w:val="Tabletext1"/>
            </w:pPr>
            <w:r>
              <w:t>M</w:t>
            </w:r>
            <w:r w:rsidRPr="00A53AED">
              <w:t>ax</w:t>
            </w:r>
            <w:r>
              <w:t>imum</w:t>
            </w:r>
            <w:r w:rsidRPr="00A53AED">
              <w:t xml:space="preserve"> dose</w:t>
            </w:r>
          </w:p>
        </w:tc>
        <w:tc>
          <w:tcPr>
            <w:tcW w:w="771" w:type="pct"/>
            <w:noWrap/>
            <w:vAlign w:val="bottom"/>
            <w:hideMark/>
          </w:tcPr>
          <w:p w:rsidR="00F0480B" w:rsidRPr="00E411F7" w:rsidRDefault="00F0480B" w:rsidP="00926546">
            <w:pPr>
              <w:pStyle w:val="Tabletext1"/>
            </w:pPr>
            <w:r w:rsidRPr="00B63EFF">
              <w:t>0.</w:t>
            </w:r>
            <w:r>
              <w:t>40</w:t>
            </w:r>
          </w:p>
        </w:tc>
        <w:tc>
          <w:tcPr>
            <w:tcW w:w="736" w:type="pct"/>
            <w:noWrap/>
            <w:vAlign w:val="bottom"/>
            <w:hideMark/>
          </w:tcPr>
          <w:p w:rsidR="00F0480B" w:rsidRPr="00E411F7" w:rsidRDefault="00F0480B" w:rsidP="00926546">
            <w:pPr>
              <w:pStyle w:val="Tabletext1"/>
            </w:pPr>
            <w:r w:rsidRPr="00B63EFF">
              <w:t>0.23</w:t>
            </w:r>
          </w:p>
        </w:tc>
        <w:tc>
          <w:tcPr>
            <w:tcW w:w="736" w:type="pct"/>
            <w:noWrap/>
            <w:vAlign w:val="bottom"/>
            <w:hideMark/>
          </w:tcPr>
          <w:p w:rsidR="00F0480B" w:rsidRPr="00E411F7" w:rsidRDefault="00F0480B" w:rsidP="00926546">
            <w:pPr>
              <w:pStyle w:val="Tabletext1"/>
            </w:pPr>
            <w:r w:rsidRPr="00B63EFF">
              <w:t>0.213</w:t>
            </w:r>
          </w:p>
        </w:tc>
        <w:tc>
          <w:tcPr>
            <w:tcW w:w="736" w:type="pct"/>
            <w:noWrap/>
            <w:vAlign w:val="bottom"/>
            <w:hideMark/>
          </w:tcPr>
          <w:p w:rsidR="00F0480B" w:rsidRPr="00E411F7" w:rsidRDefault="00F0480B" w:rsidP="00926546">
            <w:pPr>
              <w:pStyle w:val="Tabletext1"/>
            </w:pPr>
            <w:r w:rsidRPr="00B63EFF">
              <w:t>0.</w:t>
            </w:r>
            <w:r>
              <w:t>40</w:t>
            </w:r>
          </w:p>
        </w:tc>
        <w:tc>
          <w:tcPr>
            <w:tcW w:w="735" w:type="pct"/>
            <w:vAlign w:val="bottom"/>
          </w:tcPr>
          <w:p w:rsidR="00F0480B" w:rsidRPr="00680417" w:rsidRDefault="00F0480B" w:rsidP="00926546">
            <w:pPr>
              <w:pStyle w:val="TableText0"/>
            </w:pPr>
            <w:r>
              <w:t>0.40</w:t>
            </w:r>
          </w:p>
        </w:tc>
      </w:tr>
      <w:tr w:rsidR="00F0480B" w:rsidRPr="00A53AED" w:rsidTr="00926546">
        <w:trPr>
          <w:trHeight w:val="280"/>
        </w:trPr>
        <w:tc>
          <w:tcPr>
            <w:tcW w:w="1285" w:type="pct"/>
            <w:noWrap/>
          </w:tcPr>
          <w:p w:rsidR="00F0480B" w:rsidRDefault="00F0480B" w:rsidP="00926546">
            <w:pPr>
              <w:pStyle w:val="Tabletext1"/>
            </w:pPr>
            <w:r>
              <w:t>Minimum dose</w:t>
            </w:r>
          </w:p>
        </w:tc>
        <w:tc>
          <w:tcPr>
            <w:tcW w:w="771" w:type="pct"/>
            <w:noWrap/>
            <w:vAlign w:val="center"/>
          </w:tcPr>
          <w:p w:rsidR="00F0480B" w:rsidRPr="00E411F7" w:rsidRDefault="00F0480B" w:rsidP="00926546">
            <w:pPr>
              <w:pStyle w:val="Tabletext1"/>
            </w:pPr>
            <w:r w:rsidRPr="00B63EFF">
              <w:t>0.1</w:t>
            </w:r>
            <w:r>
              <w:t>9</w:t>
            </w:r>
          </w:p>
        </w:tc>
        <w:tc>
          <w:tcPr>
            <w:tcW w:w="736" w:type="pct"/>
            <w:noWrap/>
            <w:vAlign w:val="center"/>
          </w:tcPr>
          <w:p w:rsidR="00F0480B" w:rsidRPr="00E411F7" w:rsidRDefault="00F0480B" w:rsidP="00926546">
            <w:pPr>
              <w:pStyle w:val="Tabletext1"/>
            </w:pPr>
            <w:r w:rsidRPr="00B63EFF">
              <w:t>0.1</w:t>
            </w:r>
            <w:r>
              <w:t>4</w:t>
            </w:r>
          </w:p>
        </w:tc>
        <w:tc>
          <w:tcPr>
            <w:tcW w:w="736" w:type="pct"/>
            <w:noWrap/>
            <w:vAlign w:val="center"/>
          </w:tcPr>
          <w:p w:rsidR="00F0480B" w:rsidRPr="00E411F7" w:rsidRDefault="00F0480B" w:rsidP="00926546">
            <w:pPr>
              <w:pStyle w:val="Tabletext1"/>
            </w:pPr>
            <w:r w:rsidRPr="00B63EFF">
              <w:t>0.11</w:t>
            </w:r>
          </w:p>
        </w:tc>
        <w:tc>
          <w:tcPr>
            <w:tcW w:w="736" w:type="pct"/>
            <w:noWrap/>
            <w:vAlign w:val="center"/>
          </w:tcPr>
          <w:p w:rsidR="00F0480B" w:rsidRPr="00366771" w:rsidRDefault="00F0480B" w:rsidP="00926546">
            <w:pPr>
              <w:spacing w:after="0" w:line="240" w:lineRule="auto"/>
              <w:jc w:val="left"/>
            </w:pPr>
            <w:r w:rsidRPr="00B63EFF">
              <w:rPr>
                <w:rFonts w:ascii="Arial Narrow" w:hAnsi="Arial Narrow" w:cs="Tahoma"/>
                <w:sz w:val="20"/>
                <w:szCs w:val="20"/>
                <w:lang w:eastAsia="en-AU"/>
              </w:rPr>
              <w:t>0.1</w:t>
            </w:r>
            <w:r>
              <w:rPr>
                <w:rFonts w:ascii="Arial Narrow" w:hAnsi="Arial Narrow" w:cs="Tahoma"/>
                <w:sz w:val="20"/>
                <w:szCs w:val="20"/>
                <w:lang w:eastAsia="en-AU"/>
              </w:rPr>
              <w:t>4</w:t>
            </w:r>
          </w:p>
        </w:tc>
        <w:tc>
          <w:tcPr>
            <w:tcW w:w="735" w:type="pct"/>
            <w:vAlign w:val="bottom"/>
          </w:tcPr>
          <w:p w:rsidR="00F0480B" w:rsidRPr="00680417" w:rsidRDefault="00F0480B" w:rsidP="00926546">
            <w:pPr>
              <w:pStyle w:val="TableText0"/>
              <w:rPr>
                <w:rFonts w:cs="Tahoma"/>
                <w:lang w:eastAsia="en-AU"/>
              </w:rPr>
            </w:pPr>
            <w:r>
              <w:t>0.11</w:t>
            </w:r>
          </w:p>
        </w:tc>
      </w:tr>
    </w:tbl>
    <w:p w:rsidR="00F0480B" w:rsidRDefault="00F0480B" w:rsidP="00F0480B">
      <w:pPr>
        <w:pStyle w:val="TableNote"/>
      </w:pPr>
      <w:bookmarkStart w:id="272" w:name="_Toc415141853"/>
      <w:r>
        <w:t xml:space="preserve">BMI&gt;27 (A) = weight for patients with a BMI greater than 27 was adjusted so that their weight (given their height) would equal a BMI of 27. </w:t>
      </w:r>
    </w:p>
    <w:p w:rsidR="00F0480B" w:rsidRDefault="00F0480B" w:rsidP="00F0480B">
      <w:pPr>
        <w:pStyle w:val="TableNote"/>
      </w:pPr>
      <w:r>
        <w:t>BMI&gt;27 (B) = the patient’s weight has not been adjusted in this calculation.</w:t>
      </w:r>
    </w:p>
    <w:p w:rsidR="00F0480B" w:rsidRDefault="00F0480B" w:rsidP="00F0480B">
      <w:pPr>
        <w:pStyle w:val="TableNote"/>
      </w:pPr>
      <w:r>
        <w:t>*Weight of patients with a BMI greater than 27 has been adjusted so that their weight (given their height) equals a BMI of 27.</w:t>
      </w:r>
    </w:p>
    <w:p w:rsidR="00F0480B" w:rsidRPr="00500271" w:rsidRDefault="00F0480B" w:rsidP="00F0480B">
      <w:pPr>
        <w:pStyle w:val="TableNote"/>
      </w:pPr>
      <w:r>
        <w:t xml:space="preserve">^While dosing information was available for all patients currently receiving treatment with agalsidase </w:t>
      </w:r>
      <w:r w:rsidR="00500271">
        <w:rPr>
          <w:noProof/>
          <w:color w:val="000000"/>
          <w:highlight w:val="black"/>
        </w:rPr>
        <w:t xml:space="preserve">''''''''' '''''''''''''''' '''''''''''''''' '''''''''' '''''''''''''' '''''''''''''''''''''''''''''''''' '''''''''''' ''''''''''' '''''''''''''''''''' '''''' ''''''' '''''''''''''''''''' </w:t>
      </w:r>
    </w:p>
    <w:p w:rsidR="00F0480B" w:rsidRDefault="00F0480B" w:rsidP="00F0480B">
      <w:pPr>
        <w:pStyle w:val="TableNote"/>
      </w:pPr>
      <w:r w:rsidRPr="001C32C6">
        <w:rPr>
          <w:vertAlign w:val="superscript"/>
        </w:rPr>
        <w:t>†</w:t>
      </w:r>
      <w:r>
        <w:t>Weight was available for an additional three patients which were also missing height values (and were therefore not included in analysis A)</w:t>
      </w:r>
    </w:p>
    <w:p w:rsidR="008A721F" w:rsidRDefault="008A721F" w:rsidP="008A721F">
      <w:pPr>
        <w:pStyle w:val="Caption"/>
        <w:keepNext/>
        <w:tabs>
          <w:tab w:val="clear" w:pos="851"/>
          <w:tab w:val="left" w:pos="1134"/>
        </w:tabs>
        <w:ind w:left="1134" w:hanging="1134"/>
      </w:pPr>
      <w:r>
        <w:t xml:space="preserve">Table </w:t>
      </w:r>
      <w:r w:rsidR="00A72B26">
        <w:rPr>
          <w:noProof/>
        </w:rPr>
        <w:t>56</w:t>
      </w:r>
      <w:r>
        <w:t xml:space="preserve"> </w:t>
      </w:r>
      <w:r w:rsidR="00C24F44">
        <w:tab/>
      </w:r>
      <w:r w:rsidRPr="00716774">
        <w:t>Dosing information (mg/kg/2 weeks)</w:t>
      </w:r>
      <w:r>
        <w:t xml:space="preserve"> for patients cur</w:t>
      </w:r>
      <w:r w:rsidR="008F5905">
        <w:t>r</w:t>
      </w:r>
      <w:r>
        <w:t>ently</w:t>
      </w:r>
      <w:r w:rsidR="008F5905">
        <w:t xml:space="preserve"> rec</w:t>
      </w:r>
      <w:r>
        <w:t>e</w:t>
      </w:r>
      <w:r w:rsidR="008F5905">
        <w:t>i</w:t>
      </w:r>
      <w:r>
        <w:t>ving treatment with agalsidase beta on the LSDP</w:t>
      </w:r>
      <w:bookmarkEnd w:id="272"/>
    </w:p>
    <w:tbl>
      <w:tblPr>
        <w:tblStyle w:val="TableGrid1"/>
        <w:tblW w:w="5000" w:type="pct"/>
        <w:tblLook w:val="04A0" w:firstRow="1" w:lastRow="0" w:firstColumn="1" w:lastColumn="0" w:noHBand="0" w:noVBand="1"/>
        <w:tblDescription w:val="Dosing information for Australian patients receiving agalsidase beta"/>
      </w:tblPr>
      <w:tblGrid>
        <w:gridCol w:w="2341"/>
        <w:gridCol w:w="1379"/>
        <w:gridCol w:w="1381"/>
        <w:gridCol w:w="1381"/>
        <w:gridCol w:w="1381"/>
        <w:gridCol w:w="1379"/>
      </w:tblGrid>
      <w:tr w:rsidR="008A721F" w:rsidRPr="00366771" w:rsidTr="00422A12">
        <w:trPr>
          <w:trHeight w:val="280"/>
          <w:tblHeader/>
        </w:trPr>
        <w:tc>
          <w:tcPr>
            <w:tcW w:w="1267" w:type="pct"/>
            <w:noWrap/>
            <w:hideMark/>
          </w:tcPr>
          <w:p w:rsidR="008A721F" w:rsidRPr="00366771" w:rsidRDefault="008A721F" w:rsidP="008A721F">
            <w:pPr>
              <w:pStyle w:val="Tabletext1"/>
            </w:pPr>
          </w:p>
        </w:tc>
        <w:tc>
          <w:tcPr>
            <w:tcW w:w="746" w:type="pct"/>
            <w:noWrap/>
            <w:hideMark/>
          </w:tcPr>
          <w:p w:rsidR="008A721F" w:rsidRPr="00B63EFF" w:rsidRDefault="008A721F" w:rsidP="008A721F">
            <w:pPr>
              <w:pStyle w:val="Tabletext1"/>
              <w:rPr>
                <w:b/>
              </w:rPr>
            </w:pPr>
            <w:r w:rsidRPr="00B63EFF">
              <w:rPr>
                <w:b/>
              </w:rPr>
              <w:t>BMI &lt;27</w:t>
            </w:r>
          </w:p>
        </w:tc>
        <w:tc>
          <w:tcPr>
            <w:tcW w:w="747" w:type="pct"/>
            <w:noWrap/>
            <w:hideMark/>
          </w:tcPr>
          <w:p w:rsidR="008A721F" w:rsidRPr="00B63EFF" w:rsidRDefault="008A721F" w:rsidP="008A721F">
            <w:pPr>
              <w:pStyle w:val="Tabletext1"/>
              <w:rPr>
                <w:b/>
              </w:rPr>
            </w:pPr>
            <w:r w:rsidRPr="00B63EFF">
              <w:rPr>
                <w:b/>
              </w:rPr>
              <w:t>BMI &gt;27 (A)</w:t>
            </w:r>
            <w:r w:rsidR="007D301C">
              <w:rPr>
                <w:b/>
              </w:rPr>
              <w:t>*</w:t>
            </w:r>
          </w:p>
        </w:tc>
        <w:tc>
          <w:tcPr>
            <w:tcW w:w="747" w:type="pct"/>
            <w:noWrap/>
            <w:hideMark/>
          </w:tcPr>
          <w:p w:rsidR="008A721F" w:rsidRPr="00B63EFF" w:rsidRDefault="008A721F" w:rsidP="008A721F">
            <w:pPr>
              <w:pStyle w:val="Tabletext1"/>
              <w:rPr>
                <w:b/>
              </w:rPr>
            </w:pPr>
            <w:r w:rsidRPr="00B63EFF">
              <w:rPr>
                <w:b/>
              </w:rPr>
              <w:t>BMI &gt;27 (B)</w:t>
            </w:r>
          </w:p>
        </w:tc>
        <w:tc>
          <w:tcPr>
            <w:tcW w:w="747" w:type="pct"/>
            <w:noWrap/>
            <w:hideMark/>
          </w:tcPr>
          <w:p w:rsidR="008A721F" w:rsidRPr="00B63EFF" w:rsidRDefault="008A721F" w:rsidP="008A721F">
            <w:pPr>
              <w:pStyle w:val="Tabletext1"/>
              <w:rPr>
                <w:b/>
              </w:rPr>
            </w:pPr>
            <w:r w:rsidRPr="00B63EFF">
              <w:rPr>
                <w:b/>
              </w:rPr>
              <w:t>A</w:t>
            </w:r>
            <w:r>
              <w:rPr>
                <w:b/>
              </w:rPr>
              <w:t>ll (A)</w:t>
            </w:r>
            <w:r w:rsidR="007D301C">
              <w:rPr>
                <w:b/>
              </w:rPr>
              <w:t>*</w:t>
            </w:r>
          </w:p>
        </w:tc>
        <w:tc>
          <w:tcPr>
            <w:tcW w:w="747" w:type="pct"/>
          </w:tcPr>
          <w:p w:rsidR="008A721F" w:rsidRPr="00BB650E" w:rsidRDefault="008A721F" w:rsidP="008A721F">
            <w:pPr>
              <w:pStyle w:val="Tabletext1"/>
              <w:rPr>
                <w:b/>
              </w:rPr>
            </w:pPr>
            <w:r>
              <w:rPr>
                <w:b/>
              </w:rPr>
              <w:t>All (B)</w:t>
            </w:r>
          </w:p>
        </w:tc>
      </w:tr>
      <w:tr w:rsidR="008A721F" w:rsidRPr="00366771" w:rsidTr="008A721F">
        <w:trPr>
          <w:trHeight w:val="280"/>
        </w:trPr>
        <w:tc>
          <w:tcPr>
            <w:tcW w:w="1267" w:type="pct"/>
            <w:noWrap/>
            <w:hideMark/>
          </w:tcPr>
          <w:p w:rsidR="008A721F" w:rsidRPr="00366771" w:rsidRDefault="008A721F" w:rsidP="008A721F">
            <w:pPr>
              <w:pStyle w:val="Tabletext1"/>
            </w:pPr>
            <w:r>
              <w:t>Number of observations</w:t>
            </w:r>
            <w:r w:rsidR="007D301C">
              <w:t>^</w:t>
            </w:r>
          </w:p>
        </w:tc>
        <w:tc>
          <w:tcPr>
            <w:tcW w:w="746" w:type="pct"/>
            <w:noWrap/>
            <w:hideMark/>
          </w:tcPr>
          <w:p w:rsidR="008A721F" w:rsidRPr="00A62C97" w:rsidRDefault="00A62C97" w:rsidP="00F33737">
            <w:pPr>
              <w:pStyle w:val="Tabletext1"/>
              <w:jc w:val="center"/>
              <w:rPr>
                <w:highlight w:val="black"/>
              </w:rPr>
            </w:pPr>
            <w:r>
              <w:rPr>
                <w:noProof/>
                <w:color w:val="000000"/>
                <w:highlight w:val="black"/>
              </w:rPr>
              <w:t>''''''</w:t>
            </w:r>
          </w:p>
        </w:tc>
        <w:tc>
          <w:tcPr>
            <w:tcW w:w="747" w:type="pct"/>
            <w:noWrap/>
            <w:hideMark/>
          </w:tcPr>
          <w:p w:rsidR="008A721F" w:rsidRPr="00A62C97" w:rsidRDefault="00A62C97" w:rsidP="00F33737">
            <w:pPr>
              <w:pStyle w:val="Tabletext1"/>
              <w:jc w:val="center"/>
              <w:rPr>
                <w:highlight w:val="black"/>
              </w:rPr>
            </w:pPr>
            <w:r>
              <w:rPr>
                <w:noProof/>
                <w:color w:val="000000"/>
                <w:highlight w:val="black"/>
              </w:rPr>
              <w:t>''''</w:t>
            </w:r>
          </w:p>
        </w:tc>
        <w:tc>
          <w:tcPr>
            <w:tcW w:w="747" w:type="pct"/>
            <w:noWrap/>
            <w:hideMark/>
          </w:tcPr>
          <w:p w:rsidR="008A721F" w:rsidRPr="00A62C97" w:rsidRDefault="00A62C97" w:rsidP="00F33737">
            <w:pPr>
              <w:pStyle w:val="Tabletext1"/>
              <w:jc w:val="center"/>
              <w:rPr>
                <w:highlight w:val="black"/>
              </w:rPr>
            </w:pPr>
            <w:r>
              <w:rPr>
                <w:noProof/>
                <w:color w:val="000000"/>
                <w:highlight w:val="black"/>
              </w:rPr>
              <w:t>'''</w:t>
            </w:r>
          </w:p>
        </w:tc>
        <w:tc>
          <w:tcPr>
            <w:tcW w:w="747" w:type="pct"/>
            <w:noWrap/>
            <w:hideMark/>
          </w:tcPr>
          <w:p w:rsidR="008A721F" w:rsidRPr="00A62C97" w:rsidRDefault="00A62C97" w:rsidP="00F33737">
            <w:pPr>
              <w:pStyle w:val="Tabletext1"/>
              <w:jc w:val="center"/>
              <w:rPr>
                <w:highlight w:val="black"/>
              </w:rPr>
            </w:pPr>
            <w:r>
              <w:rPr>
                <w:noProof/>
                <w:color w:val="000000"/>
                <w:highlight w:val="black"/>
              </w:rPr>
              <w:t>''''''</w:t>
            </w:r>
          </w:p>
        </w:tc>
        <w:tc>
          <w:tcPr>
            <w:tcW w:w="747" w:type="pct"/>
            <w:vAlign w:val="bottom"/>
          </w:tcPr>
          <w:p w:rsidR="008A721F" w:rsidRPr="00A62C97" w:rsidRDefault="00A62C97" w:rsidP="00F33737">
            <w:pPr>
              <w:pStyle w:val="TableText0"/>
              <w:jc w:val="center"/>
              <w:rPr>
                <w:rFonts w:cs="Tahoma"/>
                <w:highlight w:val="black"/>
                <w:lang w:val="en-AU" w:eastAsia="en-AU"/>
              </w:rPr>
            </w:pPr>
            <w:r>
              <w:rPr>
                <w:rFonts w:cs="Tahoma"/>
                <w:noProof/>
                <w:color w:val="000000"/>
                <w:highlight w:val="black"/>
                <w:lang w:val="en-AU" w:eastAsia="en-AU"/>
              </w:rPr>
              <w:t>''''''''''</w:t>
            </w:r>
          </w:p>
        </w:tc>
      </w:tr>
      <w:tr w:rsidR="008A721F" w:rsidRPr="00366771" w:rsidTr="008A721F">
        <w:trPr>
          <w:trHeight w:val="280"/>
        </w:trPr>
        <w:tc>
          <w:tcPr>
            <w:tcW w:w="1267" w:type="pct"/>
            <w:noWrap/>
            <w:hideMark/>
          </w:tcPr>
          <w:p w:rsidR="008A721F" w:rsidRDefault="008A721F" w:rsidP="008A721F">
            <w:pPr>
              <w:pStyle w:val="Tabletext1"/>
            </w:pPr>
            <w:r>
              <w:t xml:space="preserve">Mean Dose mg/kg/fortnight </w:t>
            </w:r>
          </w:p>
          <w:p w:rsidR="008A721F" w:rsidRPr="00366771" w:rsidRDefault="008A721F" w:rsidP="008A721F">
            <w:pPr>
              <w:pStyle w:val="Tabletext1"/>
            </w:pPr>
            <w:r>
              <w:t>± SD</w:t>
            </w:r>
          </w:p>
        </w:tc>
        <w:tc>
          <w:tcPr>
            <w:tcW w:w="746" w:type="pct"/>
            <w:noWrap/>
            <w:vAlign w:val="bottom"/>
            <w:hideMark/>
          </w:tcPr>
          <w:p w:rsidR="008A721F" w:rsidRPr="00E411F7" w:rsidRDefault="008A721F" w:rsidP="008A721F">
            <w:pPr>
              <w:pStyle w:val="Tabletext1"/>
            </w:pPr>
            <w:r>
              <w:t>0.95 ± 0.22</w:t>
            </w:r>
          </w:p>
        </w:tc>
        <w:tc>
          <w:tcPr>
            <w:tcW w:w="747" w:type="pct"/>
            <w:noWrap/>
            <w:vAlign w:val="bottom"/>
            <w:hideMark/>
          </w:tcPr>
          <w:p w:rsidR="008A721F" w:rsidRPr="00E411F7" w:rsidRDefault="008A721F" w:rsidP="008A721F">
            <w:pPr>
              <w:pStyle w:val="Tabletext1"/>
            </w:pPr>
            <w:r>
              <w:t>0.97 ± 0.04</w:t>
            </w:r>
          </w:p>
        </w:tc>
        <w:tc>
          <w:tcPr>
            <w:tcW w:w="747" w:type="pct"/>
            <w:noWrap/>
            <w:vAlign w:val="bottom"/>
            <w:hideMark/>
          </w:tcPr>
          <w:p w:rsidR="008A721F" w:rsidRPr="00E411F7" w:rsidRDefault="008A721F" w:rsidP="008A721F">
            <w:pPr>
              <w:pStyle w:val="Tabletext1"/>
            </w:pPr>
            <w:r>
              <w:t xml:space="preserve">0.86 ± 0.04 </w:t>
            </w:r>
          </w:p>
        </w:tc>
        <w:tc>
          <w:tcPr>
            <w:tcW w:w="747" w:type="pct"/>
            <w:noWrap/>
            <w:vAlign w:val="bottom"/>
            <w:hideMark/>
          </w:tcPr>
          <w:p w:rsidR="008A721F" w:rsidRPr="00E411F7" w:rsidRDefault="008A721F" w:rsidP="008A721F">
            <w:pPr>
              <w:pStyle w:val="Tabletext1"/>
            </w:pPr>
            <w:r>
              <w:t>0.97 ± 0.17</w:t>
            </w:r>
          </w:p>
        </w:tc>
        <w:tc>
          <w:tcPr>
            <w:tcW w:w="747" w:type="pct"/>
            <w:vAlign w:val="bottom"/>
          </w:tcPr>
          <w:p w:rsidR="008A721F" w:rsidRPr="00680417" w:rsidRDefault="008A721F" w:rsidP="008A721F">
            <w:pPr>
              <w:pStyle w:val="Tabletext1"/>
            </w:pPr>
            <w:r>
              <w:t>0.91 ± 0.18</w:t>
            </w:r>
          </w:p>
        </w:tc>
      </w:tr>
      <w:tr w:rsidR="008A721F" w:rsidRPr="00366771" w:rsidTr="008A721F">
        <w:trPr>
          <w:trHeight w:val="300"/>
        </w:trPr>
        <w:tc>
          <w:tcPr>
            <w:tcW w:w="1267" w:type="pct"/>
            <w:noWrap/>
            <w:hideMark/>
          </w:tcPr>
          <w:p w:rsidR="008A721F" w:rsidRPr="00366771" w:rsidRDefault="008A721F" w:rsidP="008A721F">
            <w:pPr>
              <w:pStyle w:val="Tabletext1"/>
            </w:pPr>
            <w:r>
              <w:t>M</w:t>
            </w:r>
            <w:r w:rsidRPr="00A53AED">
              <w:t>edian</w:t>
            </w:r>
          </w:p>
        </w:tc>
        <w:tc>
          <w:tcPr>
            <w:tcW w:w="746" w:type="pct"/>
            <w:noWrap/>
            <w:vAlign w:val="bottom"/>
            <w:hideMark/>
          </w:tcPr>
          <w:p w:rsidR="008A721F" w:rsidRPr="00E411F7" w:rsidRDefault="008A721F" w:rsidP="008A721F">
            <w:pPr>
              <w:pStyle w:val="Tabletext1"/>
            </w:pPr>
            <w:r>
              <w:t>1.03</w:t>
            </w:r>
          </w:p>
        </w:tc>
        <w:tc>
          <w:tcPr>
            <w:tcW w:w="747" w:type="pct"/>
            <w:noWrap/>
            <w:vAlign w:val="bottom"/>
            <w:hideMark/>
          </w:tcPr>
          <w:p w:rsidR="008A721F" w:rsidRPr="00E411F7" w:rsidRDefault="008A721F" w:rsidP="008A721F">
            <w:pPr>
              <w:pStyle w:val="Tabletext1"/>
            </w:pPr>
            <w:r w:rsidRPr="00B63EFF">
              <w:t>0.97</w:t>
            </w:r>
          </w:p>
        </w:tc>
        <w:tc>
          <w:tcPr>
            <w:tcW w:w="747" w:type="pct"/>
            <w:noWrap/>
            <w:vAlign w:val="bottom"/>
            <w:hideMark/>
          </w:tcPr>
          <w:p w:rsidR="008A721F" w:rsidRPr="00E411F7" w:rsidRDefault="008A721F" w:rsidP="008A721F">
            <w:pPr>
              <w:pStyle w:val="Tabletext1"/>
            </w:pPr>
            <w:r w:rsidRPr="00B63EFF">
              <w:t>0.87</w:t>
            </w:r>
          </w:p>
        </w:tc>
        <w:tc>
          <w:tcPr>
            <w:tcW w:w="747" w:type="pct"/>
            <w:noWrap/>
            <w:vAlign w:val="bottom"/>
            <w:hideMark/>
          </w:tcPr>
          <w:p w:rsidR="008A721F" w:rsidRPr="00E411F7" w:rsidRDefault="008A721F" w:rsidP="008A721F">
            <w:pPr>
              <w:pStyle w:val="Tabletext1"/>
            </w:pPr>
            <w:r w:rsidRPr="00B63EFF">
              <w:t>1.00</w:t>
            </w:r>
          </w:p>
        </w:tc>
        <w:tc>
          <w:tcPr>
            <w:tcW w:w="747" w:type="pct"/>
            <w:vAlign w:val="bottom"/>
          </w:tcPr>
          <w:p w:rsidR="008A721F" w:rsidRPr="00680417" w:rsidRDefault="008A721F" w:rsidP="008A721F">
            <w:pPr>
              <w:pStyle w:val="TableText0"/>
            </w:pPr>
            <w:r>
              <w:t>0.95</w:t>
            </w:r>
          </w:p>
        </w:tc>
      </w:tr>
      <w:tr w:rsidR="008A721F" w:rsidRPr="00366771" w:rsidTr="008A721F">
        <w:trPr>
          <w:trHeight w:val="300"/>
        </w:trPr>
        <w:tc>
          <w:tcPr>
            <w:tcW w:w="1267" w:type="pct"/>
            <w:noWrap/>
            <w:hideMark/>
          </w:tcPr>
          <w:p w:rsidR="008A721F" w:rsidRPr="00366771" w:rsidRDefault="008A721F" w:rsidP="008A721F">
            <w:pPr>
              <w:pStyle w:val="Tabletext1"/>
            </w:pPr>
            <w:r>
              <w:t>M</w:t>
            </w:r>
            <w:r w:rsidRPr="00A53AED">
              <w:t>ax</w:t>
            </w:r>
            <w:r>
              <w:t>imum</w:t>
            </w:r>
            <w:r w:rsidRPr="00A53AED">
              <w:t xml:space="preserve"> dose</w:t>
            </w:r>
          </w:p>
        </w:tc>
        <w:tc>
          <w:tcPr>
            <w:tcW w:w="746" w:type="pct"/>
            <w:noWrap/>
            <w:vAlign w:val="bottom"/>
            <w:hideMark/>
          </w:tcPr>
          <w:p w:rsidR="008A721F" w:rsidRPr="00E411F7" w:rsidRDefault="008A721F" w:rsidP="008A721F">
            <w:pPr>
              <w:pStyle w:val="Tabletext1"/>
            </w:pPr>
            <w:r w:rsidRPr="00B63EFF">
              <w:t>1.07</w:t>
            </w:r>
          </w:p>
        </w:tc>
        <w:tc>
          <w:tcPr>
            <w:tcW w:w="747" w:type="pct"/>
            <w:noWrap/>
            <w:vAlign w:val="bottom"/>
            <w:hideMark/>
          </w:tcPr>
          <w:p w:rsidR="008A721F" w:rsidRPr="00E411F7" w:rsidRDefault="008A721F" w:rsidP="008A721F">
            <w:pPr>
              <w:pStyle w:val="Tabletext1"/>
            </w:pPr>
            <w:r w:rsidRPr="00B63EFF">
              <w:t>1.01</w:t>
            </w:r>
          </w:p>
        </w:tc>
        <w:tc>
          <w:tcPr>
            <w:tcW w:w="747" w:type="pct"/>
            <w:noWrap/>
            <w:vAlign w:val="bottom"/>
            <w:hideMark/>
          </w:tcPr>
          <w:p w:rsidR="008A721F" w:rsidRPr="00E411F7" w:rsidRDefault="008A721F" w:rsidP="008A721F">
            <w:pPr>
              <w:pStyle w:val="Tabletext1"/>
            </w:pPr>
            <w:r w:rsidRPr="00B63EFF">
              <w:t>0.98</w:t>
            </w:r>
          </w:p>
        </w:tc>
        <w:tc>
          <w:tcPr>
            <w:tcW w:w="747" w:type="pct"/>
            <w:noWrap/>
            <w:vAlign w:val="bottom"/>
            <w:hideMark/>
          </w:tcPr>
          <w:p w:rsidR="008A721F" w:rsidRPr="00E411F7" w:rsidRDefault="008A721F" w:rsidP="008A721F">
            <w:pPr>
              <w:pStyle w:val="Tabletext1"/>
            </w:pPr>
            <w:r w:rsidRPr="00B63EFF">
              <w:t>1.07</w:t>
            </w:r>
          </w:p>
        </w:tc>
        <w:tc>
          <w:tcPr>
            <w:tcW w:w="747" w:type="pct"/>
            <w:vAlign w:val="bottom"/>
          </w:tcPr>
          <w:p w:rsidR="008A721F" w:rsidRPr="00680417" w:rsidRDefault="008A721F" w:rsidP="008A721F">
            <w:pPr>
              <w:pStyle w:val="TableText0"/>
            </w:pPr>
            <w:r>
              <w:t>1.07</w:t>
            </w:r>
          </w:p>
        </w:tc>
      </w:tr>
      <w:tr w:rsidR="008A721F" w:rsidRPr="00366771" w:rsidTr="008A721F">
        <w:trPr>
          <w:trHeight w:val="300"/>
        </w:trPr>
        <w:tc>
          <w:tcPr>
            <w:tcW w:w="1267" w:type="pct"/>
            <w:noWrap/>
            <w:hideMark/>
          </w:tcPr>
          <w:p w:rsidR="008A721F" w:rsidRPr="00366771" w:rsidRDefault="008A721F" w:rsidP="008A721F">
            <w:pPr>
              <w:pStyle w:val="Tabletext1"/>
            </w:pPr>
            <w:r>
              <w:t>Minimum dose</w:t>
            </w:r>
          </w:p>
        </w:tc>
        <w:tc>
          <w:tcPr>
            <w:tcW w:w="746" w:type="pct"/>
            <w:noWrap/>
            <w:vAlign w:val="bottom"/>
            <w:hideMark/>
          </w:tcPr>
          <w:p w:rsidR="008A721F" w:rsidRPr="00E411F7" w:rsidRDefault="008A721F" w:rsidP="008A721F">
            <w:pPr>
              <w:pStyle w:val="Tabletext1"/>
            </w:pPr>
            <w:r w:rsidRPr="00B63EFF">
              <w:t>0.27</w:t>
            </w:r>
          </w:p>
        </w:tc>
        <w:tc>
          <w:tcPr>
            <w:tcW w:w="747" w:type="pct"/>
            <w:noWrap/>
            <w:vAlign w:val="bottom"/>
            <w:hideMark/>
          </w:tcPr>
          <w:p w:rsidR="008A721F" w:rsidRPr="00E411F7" w:rsidRDefault="008A721F" w:rsidP="008A721F">
            <w:pPr>
              <w:pStyle w:val="Tabletext1"/>
            </w:pPr>
            <w:r w:rsidRPr="00B63EFF">
              <w:t>0.8</w:t>
            </w:r>
            <w:r>
              <w:t>7</w:t>
            </w:r>
          </w:p>
        </w:tc>
        <w:tc>
          <w:tcPr>
            <w:tcW w:w="747" w:type="pct"/>
            <w:noWrap/>
            <w:vAlign w:val="bottom"/>
            <w:hideMark/>
          </w:tcPr>
          <w:p w:rsidR="008A721F" w:rsidRPr="00E411F7" w:rsidRDefault="008A721F" w:rsidP="008A721F">
            <w:pPr>
              <w:pStyle w:val="Tabletext1"/>
            </w:pPr>
            <w:r w:rsidRPr="00B63EFF">
              <w:t>0.</w:t>
            </w:r>
            <w:r>
              <w:t>70</w:t>
            </w:r>
          </w:p>
        </w:tc>
        <w:tc>
          <w:tcPr>
            <w:tcW w:w="747" w:type="pct"/>
            <w:noWrap/>
            <w:vAlign w:val="bottom"/>
            <w:hideMark/>
          </w:tcPr>
          <w:p w:rsidR="008A721F" w:rsidRPr="00E411F7" w:rsidRDefault="008A721F" w:rsidP="008A721F">
            <w:pPr>
              <w:pStyle w:val="Tabletext1"/>
            </w:pPr>
            <w:r w:rsidRPr="00B63EFF">
              <w:t>0.27</w:t>
            </w:r>
          </w:p>
        </w:tc>
        <w:tc>
          <w:tcPr>
            <w:tcW w:w="747" w:type="pct"/>
            <w:vAlign w:val="bottom"/>
          </w:tcPr>
          <w:p w:rsidR="008A721F" w:rsidRPr="00680417" w:rsidRDefault="008A721F" w:rsidP="008A721F">
            <w:pPr>
              <w:pStyle w:val="TableText0"/>
            </w:pPr>
            <w:r>
              <w:t>0.27</w:t>
            </w:r>
          </w:p>
        </w:tc>
      </w:tr>
    </w:tbl>
    <w:p w:rsidR="008A721F" w:rsidRDefault="008A721F" w:rsidP="008A721F">
      <w:pPr>
        <w:pStyle w:val="TableNote"/>
      </w:pPr>
      <w:r>
        <w:t xml:space="preserve">BMI&gt;27 (A) = weight for patients with a BMI greater than 27 was adjusted so that their weight (given their height) would equal a BMI of 27. </w:t>
      </w:r>
    </w:p>
    <w:p w:rsidR="008A721F" w:rsidRDefault="008A721F" w:rsidP="008A721F">
      <w:pPr>
        <w:pStyle w:val="TableNote"/>
      </w:pPr>
      <w:r>
        <w:t>BMI&gt;27 (B) = the patient’s weight has not been adjusted in this calculation.</w:t>
      </w:r>
    </w:p>
    <w:p w:rsidR="008A721F" w:rsidRDefault="008A721F" w:rsidP="008A721F">
      <w:pPr>
        <w:pStyle w:val="TableNote"/>
      </w:pPr>
      <w:r>
        <w:t>*Weight of patients with a BMI greater than 27 has been adjusted so that their weight (given their height) equal</w:t>
      </w:r>
      <w:r w:rsidR="008F5905">
        <w:t>s</w:t>
      </w:r>
      <w:r>
        <w:t xml:space="preserve"> a BMI of 27.</w:t>
      </w:r>
    </w:p>
    <w:p w:rsidR="008A721F" w:rsidRPr="00A62C97" w:rsidRDefault="008A721F" w:rsidP="008A721F">
      <w:pPr>
        <w:pStyle w:val="TableNote"/>
        <w:rPr>
          <w:rFonts w:cs="Tahoma"/>
          <w:sz w:val="20"/>
          <w:szCs w:val="20"/>
          <w:highlight w:val="yellow"/>
        </w:rPr>
      </w:pPr>
      <w:r>
        <w:t xml:space="preserve">^While dosing information was available for all patients currently </w:t>
      </w:r>
      <w:r w:rsidR="008F5905">
        <w:t>receiving</w:t>
      </w:r>
      <w:r>
        <w:t xml:space="preserve"> treatment with agalsidase </w:t>
      </w:r>
      <w:r w:rsidRPr="002E32A7">
        <w:t>beta</w:t>
      </w:r>
      <w:r w:rsidRPr="008F5905">
        <w:rPr>
          <w:highlight w:val="yellow"/>
        </w:rPr>
        <w:t xml:space="preserve"> </w:t>
      </w:r>
      <w:r w:rsidR="00A62C97">
        <w:rPr>
          <w:rFonts w:cs="Tahoma"/>
          <w:noProof/>
          <w:color w:val="000000"/>
          <w:sz w:val="20"/>
          <w:szCs w:val="20"/>
          <w:highlight w:val="black"/>
        </w:rPr>
        <w:t xml:space="preserve">'''''''''''''''''' '''''''''''''''' '''''''''' ''''''''''''''' '''''''''''''''''''''''''''''''' ''''''''''''' ''''''''' '''''''''''''''''''' ''''''' '''''' '''''''''''''''''''' </w:t>
      </w:r>
    </w:p>
    <w:p w:rsidR="008A721F" w:rsidRPr="001C32C6" w:rsidRDefault="008A721F" w:rsidP="008A721F">
      <w:pPr>
        <w:pStyle w:val="TableNote"/>
        <w:keepNext w:val="0"/>
        <w:spacing w:after="480"/>
        <w:ind w:left="130" w:hanging="130"/>
      </w:pPr>
      <w:r w:rsidRPr="001C32C6">
        <w:rPr>
          <w:vertAlign w:val="superscript"/>
        </w:rPr>
        <w:t>†</w:t>
      </w:r>
      <w:r>
        <w:t>Weight was available for one additional patient that was also missing a height value (and was therefore not included in analysis A)</w:t>
      </w:r>
    </w:p>
    <w:p w:rsidR="001C3FAF" w:rsidRPr="000756DF" w:rsidRDefault="00A62C97" w:rsidP="001C3FAF">
      <w:r>
        <w:rPr>
          <w:rFonts w:ascii="Arial Narrow" w:hAnsi="Arial Narrow" w:cs="Tahoma"/>
          <w:noProof/>
          <w:color w:val="000000"/>
          <w:sz w:val="20"/>
          <w:szCs w:val="20"/>
          <w:highlight w:val="black"/>
          <w:lang w:eastAsia="en-AU"/>
        </w:rPr>
        <w:lastRenderedPageBreak/>
        <w:t>'''''''''' ''''''''''''''''''''''''''''' '''''' ''''''''''''''''''''''''''' '''''''''' '''''''''''''''''''' ''''''''' '''''''''''''''''''''''' '''''''''''''''''' '''''''''' '''''''''''''''' ''''''' '''''''''''''''''''' '''''' ''''''''''''''' ''''''''''''' ''''' '''''''''''''''' ''''''''''''' ''''''' '''''''''' '''' '''''' ''''''''''''''' ''''' '''''''' '''''''''''''''''' ''''' '''''''''''''''''''''''''' ''''''''''' ''''''''''''''' ''''''''''''''''''' ''''''' ''''''''''''''''''''''''''''''''''''''''''' ''''''''''''''''''''''''' '''''' ''''''''' '''''''''''''''''''''''' '''' ''' '''''''''''''''' ''''' ''''''''''''''''''''''''''''''''''''' ''''''''''' ''''''''''''' '''''''' ''''''''''''''''''</w:t>
      </w:r>
      <w:r w:rsidR="001C3FAF" w:rsidRPr="000756DF">
        <w:t xml:space="preserve"> The guidelines for Fabry disease </w:t>
      </w:r>
      <w:r w:rsidR="00A1174D">
        <w:t xml:space="preserve">previously </w:t>
      </w:r>
      <w:r w:rsidR="001C3FAF" w:rsidRPr="000756DF">
        <w:t>require</w:t>
      </w:r>
      <w:r w:rsidR="00A1174D">
        <w:t>d</w:t>
      </w:r>
      <w:r w:rsidR="001C3FAF" w:rsidRPr="000756DF">
        <w:t xml:space="preserve"> treating physicians to submit a re-application f</w:t>
      </w:r>
      <w:r w:rsidR="00F70517">
        <w:t>orm once a year.</w:t>
      </w:r>
      <w:r w:rsidR="007C75F9">
        <w:t xml:space="preserve"> </w:t>
      </w:r>
      <w:r w:rsidR="001C3FAF" w:rsidRPr="000756DF">
        <w:t xml:space="preserve">On this basis, it was decided to compare GFR results at baseline and at the first observation to occur after 12 months. Of patients who had both baseline and follow up data within </w:t>
      </w:r>
      <w:r w:rsidR="007C75F9">
        <w:t>24</w:t>
      </w:r>
      <w:r w:rsidR="001C3FAF" w:rsidRPr="000756DF">
        <w:t xml:space="preserve"> months</w:t>
      </w:r>
      <w:r w:rsidR="00A1174D">
        <w:t xml:space="preserve"> of first treatment</w:t>
      </w:r>
      <w:r w:rsidR="001C3FAF" w:rsidRPr="000756DF">
        <w:t xml:space="preserve">, 44 patients had used the same GFR estimation method at both time points. The majority of these patients had estimated the GFR </w:t>
      </w:r>
      <w:r w:rsidR="007C75F9">
        <w:t xml:space="preserve">(eGFR) </w:t>
      </w:r>
      <w:r w:rsidR="001C3FAF" w:rsidRPr="000756DF">
        <w:t xml:space="preserve">based on the CKD-EPI method (33 patients). For this sub-group of patients, there was a small absolute </w:t>
      </w:r>
      <w:r w:rsidR="001C3FAF" w:rsidRPr="000756DF">
        <w:rPr>
          <w:i/>
        </w:rPr>
        <w:t>decrease</w:t>
      </w:r>
      <w:r w:rsidR="001C3FAF" w:rsidRPr="000756DF">
        <w:t xml:space="preserve"> in eGFR between baseline and follow up (4.6%; 0.93 mL/min/1.73m</w:t>
      </w:r>
      <w:r w:rsidR="001C3FAF" w:rsidRPr="000756DF">
        <w:rPr>
          <w:vertAlign w:val="superscript"/>
        </w:rPr>
        <w:t>2</w:t>
      </w:r>
      <w:r w:rsidR="001C3FAF" w:rsidRPr="000756DF">
        <w:t>). When stratifying this result by drug, agalsidase beta had a small improvement (0.5%; 1 mL/min/1.73m</w:t>
      </w:r>
      <w:r w:rsidR="001C3FAF" w:rsidRPr="003C6041">
        <w:rPr>
          <w:vertAlign w:val="superscript"/>
        </w:rPr>
        <w:t>2</w:t>
      </w:r>
      <w:r w:rsidR="001C3FAF" w:rsidRPr="000756DF">
        <w:t>), while agalsidase al</w:t>
      </w:r>
      <w:r w:rsidR="001C3FAF">
        <w:t>f</w:t>
      </w:r>
      <w:r w:rsidR="001C3FAF" w:rsidRPr="000756DF">
        <w:t>a revealed a small decrease (13%; 3.4 mL/min/1.73m</w:t>
      </w:r>
      <w:r w:rsidR="001C3FAF" w:rsidRPr="003C6041">
        <w:rPr>
          <w:vertAlign w:val="superscript"/>
        </w:rPr>
        <w:t>2</w:t>
      </w:r>
      <w:r w:rsidR="001C3FAF" w:rsidRPr="000756DF">
        <w:t xml:space="preserve">). These analyses are difficult to interpret given the small sample sizes and varying follow-up times. A summary of this analysis is given in </w:t>
      </w:r>
      <w:r w:rsidR="00A72B26" w:rsidRPr="00716774">
        <w:t xml:space="preserve">Table </w:t>
      </w:r>
      <w:r w:rsidR="00A72B26">
        <w:rPr>
          <w:noProof/>
        </w:rPr>
        <w:t>57</w:t>
      </w:r>
      <w:r w:rsidR="00F43BEB">
        <w:t>.</w:t>
      </w:r>
    </w:p>
    <w:p w:rsidR="001C3FAF" w:rsidRPr="00716774" w:rsidRDefault="001C3FAF" w:rsidP="001C3FAF">
      <w:pPr>
        <w:pStyle w:val="Caption"/>
        <w:keepNext/>
        <w:tabs>
          <w:tab w:val="clear" w:pos="851"/>
          <w:tab w:val="left" w:pos="1134"/>
        </w:tabs>
        <w:ind w:left="1134" w:hanging="1134"/>
      </w:pPr>
      <w:bookmarkStart w:id="273" w:name="_Ref406681215"/>
      <w:bookmarkStart w:id="274" w:name="_Toc411510439"/>
      <w:bookmarkStart w:id="275" w:name="_Toc415141854"/>
      <w:r w:rsidRPr="00716774">
        <w:t xml:space="preserve">Table </w:t>
      </w:r>
      <w:r w:rsidR="00A72B26">
        <w:rPr>
          <w:noProof/>
        </w:rPr>
        <w:t>57</w:t>
      </w:r>
      <w:bookmarkEnd w:id="273"/>
      <w:r w:rsidRPr="00305731">
        <w:t xml:space="preserve"> </w:t>
      </w:r>
      <w:r>
        <w:tab/>
      </w:r>
      <w:r w:rsidRPr="00716774">
        <w:t>GFR Measures from baseline and 1-2 years after initiation of therapy (first observation only).</w:t>
      </w:r>
      <w:bookmarkEnd w:id="258"/>
      <w:bookmarkEnd w:id="274"/>
      <w:bookmarkEnd w:id="275"/>
    </w:p>
    <w:tbl>
      <w:tblPr>
        <w:tblStyle w:val="TableGrid1"/>
        <w:tblW w:w="4966" w:type="pct"/>
        <w:tblLayout w:type="fixed"/>
        <w:tblLook w:val="04A0" w:firstRow="1" w:lastRow="0" w:firstColumn="1" w:lastColumn="0" w:noHBand="0" w:noVBand="1"/>
        <w:tblCaption w:val="Table 54  GFR Measures from baseline and 1-2 years after initiation of therapy (first observation only)."/>
        <w:tblDescription w:val="GFR Measures from baseline and 1-2 years after initiation of therapy (first observation only) for Fabry patients in Australia"/>
      </w:tblPr>
      <w:tblGrid>
        <w:gridCol w:w="4273"/>
        <w:gridCol w:w="1291"/>
        <w:gridCol w:w="1777"/>
        <w:gridCol w:w="1838"/>
      </w:tblGrid>
      <w:tr w:rsidR="001C3FAF" w:rsidRPr="000756DF" w:rsidTr="009A0365">
        <w:trPr>
          <w:trHeight w:val="300"/>
          <w:tblHeader/>
        </w:trPr>
        <w:tc>
          <w:tcPr>
            <w:tcW w:w="2328" w:type="pct"/>
            <w:noWrap/>
            <w:vAlign w:val="center"/>
            <w:hideMark/>
          </w:tcPr>
          <w:p w:rsidR="001C3FAF" w:rsidRPr="000756DF" w:rsidRDefault="001C3FAF" w:rsidP="001C3FAF">
            <w:pPr>
              <w:pStyle w:val="TableHeading"/>
            </w:pPr>
          </w:p>
        </w:tc>
        <w:tc>
          <w:tcPr>
            <w:tcW w:w="703" w:type="pct"/>
            <w:noWrap/>
            <w:vAlign w:val="center"/>
            <w:hideMark/>
          </w:tcPr>
          <w:p w:rsidR="001C3FAF" w:rsidRPr="000756DF" w:rsidRDefault="001C3FAF" w:rsidP="001C3FAF">
            <w:pPr>
              <w:pStyle w:val="TableHeading"/>
              <w:rPr>
                <w:bCs/>
              </w:rPr>
            </w:pPr>
            <w:r w:rsidRPr="000756DF">
              <w:rPr>
                <w:bCs/>
              </w:rPr>
              <w:t>ALL</w:t>
            </w:r>
          </w:p>
        </w:tc>
        <w:tc>
          <w:tcPr>
            <w:tcW w:w="966" w:type="pct"/>
            <w:noWrap/>
            <w:vAlign w:val="center"/>
            <w:hideMark/>
          </w:tcPr>
          <w:p w:rsidR="001C3FAF" w:rsidRPr="000756DF" w:rsidRDefault="001C3FAF" w:rsidP="001C3FAF">
            <w:pPr>
              <w:pStyle w:val="TableHeading"/>
              <w:rPr>
                <w:bCs/>
              </w:rPr>
            </w:pPr>
            <w:r w:rsidRPr="000756DF">
              <w:rPr>
                <w:bCs/>
              </w:rPr>
              <w:t xml:space="preserve">Agalsidase beta </w:t>
            </w:r>
          </w:p>
        </w:tc>
        <w:tc>
          <w:tcPr>
            <w:tcW w:w="1003" w:type="pct"/>
            <w:noWrap/>
            <w:vAlign w:val="center"/>
            <w:hideMark/>
          </w:tcPr>
          <w:p w:rsidR="001C3FAF" w:rsidRPr="000756DF" w:rsidRDefault="001C3FAF" w:rsidP="001C3FAF">
            <w:pPr>
              <w:pStyle w:val="TableHeading"/>
              <w:rPr>
                <w:bCs/>
              </w:rPr>
            </w:pPr>
            <w:r w:rsidRPr="000756DF">
              <w:rPr>
                <w:bCs/>
              </w:rPr>
              <w:t>Agalsidase al</w:t>
            </w:r>
            <w:r>
              <w:rPr>
                <w:bCs/>
              </w:rPr>
              <w:t>f</w:t>
            </w:r>
            <w:r w:rsidRPr="000756DF">
              <w:rPr>
                <w:bCs/>
              </w:rPr>
              <w:t xml:space="preserve">a </w:t>
            </w:r>
          </w:p>
        </w:tc>
      </w:tr>
      <w:tr w:rsidR="001C3FAF" w:rsidRPr="000756DF" w:rsidTr="001C3FAF">
        <w:trPr>
          <w:trHeight w:val="300"/>
        </w:trPr>
        <w:tc>
          <w:tcPr>
            <w:tcW w:w="2328" w:type="pct"/>
            <w:noWrap/>
            <w:vAlign w:val="center"/>
            <w:hideMark/>
          </w:tcPr>
          <w:p w:rsidR="001C3FAF" w:rsidRPr="000756DF" w:rsidRDefault="001C3FAF" w:rsidP="001C3FAF">
            <w:pPr>
              <w:pStyle w:val="TableText0"/>
            </w:pPr>
            <w:r w:rsidRPr="000756DF">
              <w:t xml:space="preserve">Baseline and follow up use </w:t>
            </w:r>
            <w:r>
              <w:t xml:space="preserve">has </w:t>
            </w:r>
            <w:r w:rsidRPr="000756DF">
              <w:t>same GFR estimation method</w:t>
            </w:r>
          </w:p>
        </w:tc>
        <w:tc>
          <w:tcPr>
            <w:tcW w:w="703" w:type="pct"/>
            <w:noWrap/>
            <w:vAlign w:val="center"/>
            <w:hideMark/>
          </w:tcPr>
          <w:p w:rsidR="001C3FAF" w:rsidRPr="00845611" w:rsidRDefault="001C3FAF" w:rsidP="001C3FAF">
            <w:pPr>
              <w:pStyle w:val="TableText0"/>
              <w:rPr>
                <w:highlight w:val="yellow"/>
              </w:rPr>
            </w:pPr>
            <w:r w:rsidRPr="00F33737">
              <w:t>44</w:t>
            </w:r>
          </w:p>
        </w:tc>
        <w:tc>
          <w:tcPr>
            <w:tcW w:w="968" w:type="pct"/>
            <w:vAlign w:val="center"/>
          </w:tcPr>
          <w:p w:rsidR="001C3FAF" w:rsidRPr="00845611" w:rsidRDefault="001C3FAF" w:rsidP="001C3FAF">
            <w:pPr>
              <w:pStyle w:val="TableText0"/>
              <w:rPr>
                <w:highlight w:val="yellow"/>
              </w:rPr>
            </w:pPr>
            <w:r w:rsidRPr="00F33737">
              <w:t>-</w:t>
            </w:r>
          </w:p>
        </w:tc>
        <w:tc>
          <w:tcPr>
            <w:tcW w:w="1001" w:type="pct"/>
            <w:vAlign w:val="center"/>
          </w:tcPr>
          <w:p w:rsidR="001C3FAF" w:rsidRPr="00845611" w:rsidRDefault="001C3FAF" w:rsidP="001C3FAF">
            <w:pPr>
              <w:pStyle w:val="TableText0"/>
              <w:rPr>
                <w:highlight w:val="yellow"/>
              </w:rPr>
            </w:pPr>
            <w:r w:rsidRPr="00F33737">
              <w:t>-</w:t>
            </w:r>
          </w:p>
        </w:tc>
      </w:tr>
      <w:tr w:rsidR="001C3FAF" w:rsidRPr="000756DF" w:rsidTr="001C3FAF">
        <w:trPr>
          <w:trHeight w:val="300"/>
        </w:trPr>
        <w:tc>
          <w:tcPr>
            <w:tcW w:w="2328" w:type="pct"/>
            <w:noWrap/>
            <w:vAlign w:val="center"/>
            <w:hideMark/>
          </w:tcPr>
          <w:p w:rsidR="001C3FAF" w:rsidRPr="000756DF" w:rsidRDefault="001C3FAF" w:rsidP="001C3FAF">
            <w:pPr>
              <w:pStyle w:val="TableText0"/>
            </w:pPr>
            <w:r w:rsidRPr="000756DF">
              <w:t>Only those estimating GFR based on  the CKD-EPI  method and those with primary therapy information</w:t>
            </w:r>
          </w:p>
        </w:tc>
        <w:tc>
          <w:tcPr>
            <w:tcW w:w="703" w:type="pct"/>
            <w:noWrap/>
            <w:vAlign w:val="center"/>
            <w:hideMark/>
          </w:tcPr>
          <w:p w:rsidR="001C3FAF" w:rsidRPr="00845611" w:rsidRDefault="001C3FAF" w:rsidP="001C3FAF">
            <w:pPr>
              <w:pStyle w:val="TableText0"/>
              <w:rPr>
                <w:highlight w:val="yellow"/>
              </w:rPr>
            </w:pPr>
            <w:r w:rsidRPr="00F33737">
              <w:t>331</w:t>
            </w:r>
          </w:p>
        </w:tc>
        <w:tc>
          <w:tcPr>
            <w:tcW w:w="966" w:type="pct"/>
            <w:noWrap/>
            <w:vAlign w:val="center"/>
            <w:hideMark/>
          </w:tcPr>
          <w:p w:rsidR="001C3FAF" w:rsidRPr="00845611" w:rsidRDefault="001C3FAF" w:rsidP="001C3FAF">
            <w:pPr>
              <w:pStyle w:val="TableText0"/>
              <w:rPr>
                <w:highlight w:val="yellow"/>
              </w:rPr>
            </w:pPr>
            <w:r w:rsidRPr="00F33737">
              <w:t>20</w:t>
            </w:r>
          </w:p>
        </w:tc>
        <w:tc>
          <w:tcPr>
            <w:tcW w:w="1003" w:type="pct"/>
            <w:noWrap/>
            <w:vAlign w:val="center"/>
            <w:hideMark/>
          </w:tcPr>
          <w:p w:rsidR="001C3FAF" w:rsidRPr="00845611" w:rsidRDefault="001C3FAF" w:rsidP="001C3FAF">
            <w:pPr>
              <w:pStyle w:val="TableText0"/>
              <w:rPr>
                <w:highlight w:val="yellow"/>
              </w:rPr>
            </w:pPr>
            <w:r w:rsidRPr="00F33737">
              <w:t>12</w:t>
            </w:r>
          </w:p>
        </w:tc>
      </w:tr>
      <w:tr w:rsidR="001C3FAF" w:rsidRPr="000756DF" w:rsidTr="001C3FAF">
        <w:trPr>
          <w:trHeight w:val="300"/>
        </w:trPr>
        <w:tc>
          <w:tcPr>
            <w:tcW w:w="2328" w:type="pct"/>
            <w:noWrap/>
            <w:vAlign w:val="center"/>
            <w:hideMark/>
          </w:tcPr>
          <w:p w:rsidR="001C3FAF" w:rsidRPr="000756DF" w:rsidRDefault="001C3FAF" w:rsidP="001C3FAF">
            <w:pPr>
              <w:pStyle w:val="TableText0"/>
            </w:pPr>
            <w:r w:rsidRPr="000756DF">
              <w:t>Average Absolute Improvement (mL/min/1.73m</w:t>
            </w:r>
            <w:r w:rsidRPr="000756DF">
              <w:rPr>
                <w:vertAlign w:val="superscript"/>
              </w:rPr>
              <w:t>2</w:t>
            </w:r>
            <w:r w:rsidRPr="000756DF">
              <w:t>)</w:t>
            </w:r>
          </w:p>
        </w:tc>
        <w:tc>
          <w:tcPr>
            <w:tcW w:w="703" w:type="pct"/>
            <w:noWrap/>
            <w:vAlign w:val="center"/>
            <w:hideMark/>
          </w:tcPr>
          <w:p w:rsidR="001C3FAF" w:rsidRPr="000756DF" w:rsidRDefault="001C3FAF" w:rsidP="001C3FAF">
            <w:pPr>
              <w:pStyle w:val="TableText0"/>
            </w:pPr>
            <w:r w:rsidRPr="000756DF">
              <w:t>-0.93</w:t>
            </w:r>
          </w:p>
        </w:tc>
        <w:tc>
          <w:tcPr>
            <w:tcW w:w="966" w:type="pct"/>
            <w:noWrap/>
            <w:vAlign w:val="center"/>
            <w:hideMark/>
          </w:tcPr>
          <w:p w:rsidR="001C3FAF" w:rsidRPr="000756DF" w:rsidRDefault="001C3FAF" w:rsidP="001C3FAF">
            <w:pPr>
              <w:pStyle w:val="TableText0"/>
            </w:pPr>
            <w:r w:rsidRPr="000756DF">
              <w:t>1.00</w:t>
            </w:r>
          </w:p>
        </w:tc>
        <w:tc>
          <w:tcPr>
            <w:tcW w:w="1003" w:type="pct"/>
            <w:noWrap/>
            <w:vAlign w:val="center"/>
            <w:hideMark/>
          </w:tcPr>
          <w:p w:rsidR="001C3FAF" w:rsidRPr="000756DF" w:rsidRDefault="001C3FAF" w:rsidP="001C3FAF">
            <w:pPr>
              <w:pStyle w:val="TableText0"/>
            </w:pPr>
            <w:r w:rsidRPr="000756DF">
              <w:t>-3.42</w:t>
            </w:r>
          </w:p>
        </w:tc>
      </w:tr>
      <w:tr w:rsidR="001C3FAF" w:rsidRPr="000756DF" w:rsidTr="001C3FAF">
        <w:trPr>
          <w:trHeight w:val="300"/>
        </w:trPr>
        <w:tc>
          <w:tcPr>
            <w:tcW w:w="2328" w:type="pct"/>
            <w:noWrap/>
            <w:vAlign w:val="center"/>
            <w:hideMark/>
          </w:tcPr>
          <w:p w:rsidR="001C3FAF" w:rsidRPr="000756DF" w:rsidRDefault="001C3FAF" w:rsidP="001C3FAF">
            <w:pPr>
              <w:pStyle w:val="TableText0"/>
            </w:pPr>
            <w:r w:rsidRPr="000756DF">
              <w:t>Average Proportion Improvement (mL/min/1.73m</w:t>
            </w:r>
            <w:r w:rsidRPr="000756DF">
              <w:rPr>
                <w:vertAlign w:val="superscript"/>
              </w:rPr>
              <w:t>2</w:t>
            </w:r>
            <w:r w:rsidRPr="000756DF">
              <w:t>)</w:t>
            </w:r>
          </w:p>
        </w:tc>
        <w:tc>
          <w:tcPr>
            <w:tcW w:w="703" w:type="pct"/>
            <w:noWrap/>
            <w:vAlign w:val="center"/>
            <w:hideMark/>
          </w:tcPr>
          <w:p w:rsidR="001C3FAF" w:rsidRPr="000756DF" w:rsidRDefault="001C3FAF" w:rsidP="001C3FAF">
            <w:pPr>
              <w:pStyle w:val="TableText0"/>
            </w:pPr>
            <w:r w:rsidRPr="000756DF">
              <w:t>-4.6%</w:t>
            </w:r>
          </w:p>
        </w:tc>
        <w:tc>
          <w:tcPr>
            <w:tcW w:w="966" w:type="pct"/>
            <w:noWrap/>
            <w:vAlign w:val="center"/>
            <w:hideMark/>
          </w:tcPr>
          <w:p w:rsidR="001C3FAF" w:rsidRPr="000756DF" w:rsidRDefault="001C3FAF" w:rsidP="001C3FAF">
            <w:pPr>
              <w:pStyle w:val="TableText0"/>
            </w:pPr>
            <w:r w:rsidRPr="000756DF">
              <w:t>0.5%</w:t>
            </w:r>
          </w:p>
        </w:tc>
        <w:tc>
          <w:tcPr>
            <w:tcW w:w="1003" w:type="pct"/>
            <w:noWrap/>
            <w:vAlign w:val="center"/>
            <w:hideMark/>
          </w:tcPr>
          <w:p w:rsidR="001C3FAF" w:rsidRPr="000756DF" w:rsidRDefault="001C3FAF" w:rsidP="001C3FAF">
            <w:pPr>
              <w:pStyle w:val="TableText0"/>
            </w:pPr>
            <w:r w:rsidRPr="000756DF">
              <w:t>-13.0%</w:t>
            </w:r>
          </w:p>
        </w:tc>
      </w:tr>
    </w:tbl>
    <w:p w:rsidR="001C3FAF" w:rsidRPr="000756DF" w:rsidRDefault="001C3FAF" w:rsidP="00144487">
      <w:pPr>
        <w:pStyle w:val="TableNote"/>
        <w:ind w:left="0" w:firstLine="0"/>
      </w:pPr>
      <w:r w:rsidRPr="000756DF">
        <w:rPr>
          <w:vertAlign w:val="superscript"/>
        </w:rPr>
        <w:t>1</w:t>
      </w:r>
      <w:r w:rsidRPr="000756DF">
        <w:t>One patient included in this category</w:t>
      </w:r>
      <w:r w:rsidR="006E04C5">
        <w:t>’</w:t>
      </w:r>
      <w:r w:rsidRPr="000756DF">
        <w:t xml:space="preserve"> had changed therapies between baseline and one year. This patient has been excluded from the ‘by drug’ analysis.</w:t>
      </w:r>
    </w:p>
    <w:p w:rsidR="001C3FAF" w:rsidRPr="000756DF" w:rsidRDefault="001C3FAF" w:rsidP="001C3FAF"/>
    <w:p w:rsidR="00E54D75" w:rsidRPr="000756DF" w:rsidRDefault="00E54D75" w:rsidP="00E54D75">
      <w:bookmarkStart w:id="276" w:name="_Toc405361960"/>
      <w:r w:rsidRPr="00495402">
        <w:t>Analysis of the number of patients with normal serum creatinine (SCr) at baseline and current follow-up revealed that the majority (</w:t>
      </w:r>
      <w:r>
        <w:t>53.2%</w:t>
      </w:r>
      <w:r w:rsidRPr="00495402">
        <w:t>%; n</w:t>
      </w:r>
      <w:r w:rsidRPr="00652355">
        <w:rPr>
          <w:spacing w:val="-20"/>
        </w:rPr>
        <w:t xml:space="preserve"> = </w:t>
      </w:r>
      <w:r w:rsidRPr="00495402">
        <w:t>50) of patients had serum creati</w:t>
      </w:r>
      <w:r>
        <w:t>nine (SCr) within normal ranges</w:t>
      </w:r>
      <w:r w:rsidRPr="00495402">
        <w:t xml:space="preserve"> </w:t>
      </w:r>
      <w:r>
        <w:t>(</w:t>
      </w:r>
      <w:r w:rsidRPr="00495402">
        <w:t>60-130 µ</w:t>
      </w:r>
      <w:r w:rsidR="00F87099" w:rsidRPr="00495402">
        <w:t>Mol</w:t>
      </w:r>
      <w:r w:rsidRPr="00495402">
        <w:t>/L for male</w:t>
      </w:r>
      <w:r>
        <w:t>s and 40-110 µ</w:t>
      </w:r>
      <w:r w:rsidR="00F87099">
        <w:t>Mol</w:t>
      </w:r>
      <w:r>
        <w:t>/L for females</w:t>
      </w:r>
      <w:r w:rsidRPr="00495402">
        <w:t>) at baseline (</w:t>
      </w:r>
      <w:r w:rsidR="00A72B26">
        <w:t xml:space="preserve">Table </w:t>
      </w:r>
      <w:r w:rsidR="00A72B26">
        <w:rPr>
          <w:noProof/>
        </w:rPr>
        <w:t>58</w:t>
      </w:r>
      <w:r w:rsidR="009A0365">
        <w:t>)</w:t>
      </w:r>
      <w:r w:rsidR="00544A05">
        <w:t xml:space="preserve">. </w:t>
      </w:r>
      <w:r w:rsidRPr="00495402">
        <w:t xml:space="preserve">The proportion of patients with normal SCr level </w:t>
      </w:r>
      <w:r>
        <w:t>increased</w:t>
      </w:r>
      <w:r w:rsidRPr="00495402">
        <w:t xml:space="preserve"> at the latest follow up (</w:t>
      </w:r>
      <w:r>
        <w:t>68.2</w:t>
      </w:r>
      <w:r w:rsidRPr="00495402">
        <w:t xml:space="preserve">%; </w:t>
      </w:r>
      <w:r w:rsidR="00177729">
        <w:rPr>
          <w:noProof/>
          <w:color w:val="000000"/>
          <w:highlight w:val="black"/>
        </w:rPr>
        <w:t>''' ''' ''''''</w:t>
      </w:r>
      <w:r w:rsidRPr="00495402">
        <w:t xml:space="preserve">). </w:t>
      </w:r>
    </w:p>
    <w:p w:rsidR="00E54D75" w:rsidRPr="00716774" w:rsidRDefault="00E54D75" w:rsidP="00E54D75">
      <w:pPr>
        <w:pStyle w:val="Caption"/>
        <w:keepNext/>
        <w:tabs>
          <w:tab w:val="clear" w:pos="851"/>
          <w:tab w:val="left" w:pos="1134"/>
        </w:tabs>
        <w:ind w:left="1134" w:hanging="1134"/>
      </w:pPr>
      <w:bookmarkStart w:id="277" w:name="_Ref407027239"/>
      <w:bookmarkStart w:id="278" w:name="_Toc411510440"/>
      <w:bookmarkStart w:id="279" w:name="_Toc415141855"/>
      <w:bookmarkEnd w:id="276"/>
      <w:r>
        <w:lastRenderedPageBreak/>
        <w:t xml:space="preserve">Table </w:t>
      </w:r>
      <w:r w:rsidR="00A72B26">
        <w:rPr>
          <w:noProof/>
        </w:rPr>
        <w:t>58</w:t>
      </w:r>
      <w:bookmarkEnd w:id="277"/>
      <w:r>
        <w:tab/>
      </w:r>
      <w:r w:rsidRPr="00716774">
        <w:t>Proportion of patients with normal serum creatinine (SCr) at beginning and last observation by gender</w:t>
      </w:r>
      <w:bookmarkEnd w:id="278"/>
      <w:bookmarkEnd w:id="279"/>
    </w:p>
    <w:tbl>
      <w:tblPr>
        <w:tblStyle w:val="TableGrid1"/>
        <w:tblW w:w="9180" w:type="dxa"/>
        <w:tblLayout w:type="fixed"/>
        <w:tblLook w:val="04A0" w:firstRow="1" w:lastRow="0" w:firstColumn="1" w:lastColumn="0" w:noHBand="0" w:noVBand="1"/>
        <w:tblCaption w:val="Table 55 Proportion of patients with normal serum creatinine (SCr) at beginning and last observation by gender"/>
        <w:tblDescription w:val="Proportion of Fabry patients in Australia with normal serum creatinine (SCr) at beginning and last observation by gender"/>
      </w:tblPr>
      <w:tblGrid>
        <w:gridCol w:w="2295"/>
        <w:gridCol w:w="2295"/>
        <w:gridCol w:w="2295"/>
        <w:gridCol w:w="2295"/>
      </w:tblGrid>
      <w:tr w:rsidR="00E54D75" w:rsidRPr="000756DF" w:rsidTr="00331C22">
        <w:trPr>
          <w:trHeight w:val="300"/>
          <w:tblHeader/>
        </w:trPr>
        <w:tc>
          <w:tcPr>
            <w:tcW w:w="2295" w:type="dxa"/>
            <w:tcBorders>
              <w:right w:val="single" w:sz="4" w:space="0" w:color="auto"/>
            </w:tcBorders>
            <w:noWrap/>
            <w:vAlign w:val="center"/>
            <w:hideMark/>
          </w:tcPr>
          <w:p w:rsidR="00E54D75" w:rsidRPr="000756DF" w:rsidRDefault="00E54D75" w:rsidP="00510D02">
            <w:pPr>
              <w:pStyle w:val="TableHeading"/>
            </w:pPr>
          </w:p>
        </w:tc>
        <w:tc>
          <w:tcPr>
            <w:tcW w:w="2295" w:type="dxa"/>
            <w:tcBorders>
              <w:left w:val="single" w:sz="4" w:space="0" w:color="auto"/>
              <w:right w:val="single" w:sz="4" w:space="0" w:color="auto"/>
            </w:tcBorders>
            <w:noWrap/>
            <w:vAlign w:val="center"/>
            <w:hideMark/>
          </w:tcPr>
          <w:p w:rsidR="00E54D75" w:rsidRPr="000756DF" w:rsidRDefault="00E54D75" w:rsidP="00510D02">
            <w:pPr>
              <w:pStyle w:val="TableHeading"/>
            </w:pPr>
            <w:r w:rsidRPr="000756DF">
              <w:t>Female</w:t>
            </w:r>
          </w:p>
        </w:tc>
        <w:tc>
          <w:tcPr>
            <w:tcW w:w="2295" w:type="dxa"/>
            <w:tcBorders>
              <w:left w:val="single" w:sz="4" w:space="0" w:color="auto"/>
              <w:right w:val="single" w:sz="4" w:space="0" w:color="auto"/>
            </w:tcBorders>
            <w:noWrap/>
            <w:vAlign w:val="center"/>
            <w:hideMark/>
          </w:tcPr>
          <w:p w:rsidR="00E54D75" w:rsidRPr="000756DF" w:rsidRDefault="00E54D75" w:rsidP="00510D02">
            <w:pPr>
              <w:pStyle w:val="TableHeading"/>
            </w:pPr>
            <w:r w:rsidRPr="000756DF">
              <w:t>Male</w:t>
            </w:r>
          </w:p>
        </w:tc>
        <w:tc>
          <w:tcPr>
            <w:tcW w:w="2295" w:type="dxa"/>
            <w:tcBorders>
              <w:left w:val="single" w:sz="4" w:space="0" w:color="auto"/>
              <w:bottom w:val="nil"/>
            </w:tcBorders>
            <w:noWrap/>
            <w:vAlign w:val="center"/>
            <w:hideMark/>
          </w:tcPr>
          <w:p w:rsidR="00E54D75" w:rsidRPr="000756DF" w:rsidRDefault="00E54D75" w:rsidP="00510D02">
            <w:pPr>
              <w:pStyle w:val="TableHeading"/>
            </w:pPr>
            <w:r w:rsidRPr="000756DF">
              <w:t>Total</w:t>
            </w:r>
          </w:p>
        </w:tc>
      </w:tr>
      <w:tr w:rsidR="00E54D75" w:rsidRPr="000756DF" w:rsidTr="00510D02">
        <w:trPr>
          <w:trHeight w:val="300"/>
        </w:trPr>
        <w:tc>
          <w:tcPr>
            <w:tcW w:w="2295" w:type="dxa"/>
            <w:tcBorders>
              <w:right w:val="nil"/>
            </w:tcBorders>
            <w:noWrap/>
            <w:vAlign w:val="center"/>
            <w:hideMark/>
          </w:tcPr>
          <w:p w:rsidR="00E54D75" w:rsidRPr="000756DF" w:rsidRDefault="00E54D75" w:rsidP="00510D02">
            <w:pPr>
              <w:keepNext/>
              <w:spacing w:before="40" w:after="40"/>
              <w:jc w:val="left"/>
              <w:rPr>
                <w:rFonts w:ascii="Arial Narrow" w:hAnsi="Arial Narrow"/>
                <w:b/>
                <w:sz w:val="20"/>
                <w:szCs w:val="20"/>
              </w:rPr>
            </w:pPr>
            <w:r w:rsidRPr="000756DF">
              <w:rPr>
                <w:rFonts w:ascii="Arial Narrow" w:hAnsi="Arial Narrow"/>
                <w:b/>
                <w:sz w:val="20"/>
                <w:szCs w:val="20"/>
              </w:rPr>
              <w:t>Beginning of treatment</w:t>
            </w:r>
          </w:p>
        </w:tc>
        <w:tc>
          <w:tcPr>
            <w:tcW w:w="2295" w:type="dxa"/>
            <w:tcBorders>
              <w:left w:val="nil"/>
              <w:right w:val="nil"/>
            </w:tcBorders>
            <w:vAlign w:val="center"/>
          </w:tcPr>
          <w:p w:rsidR="00E54D75" w:rsidRPr="000756DF" w:rsidRDefault="00E54D75" w:rsidP="00510D02">
            <w:pPr>
              <w:keepNext/>
              <w:spacing w:before="40" w:after="40"/>
              <w:jc w:val="left"/>
              <w:rPr>
                <w:rFonts w:ascii="Arial Narrow" w:hAnsi="Arial Narrow"/>
                <w:b/>
                <w:color w:val="FFFFFF" w:themeColor="background1"/>
                <w:sz w:val="20"/>
                <w:szCs w:val="20"/>
              </w:rPr>
            </w:pPr>
            <w:r w:rsidRPr="000756DF">
              <w:rPr>
                <w:rFonts w:ascii="Arial Narrow" w:hAnsi="Arial Narrow"/>
                <w:b/>
                <w:color w:val="FFFFFF" w:themeColor="background1"/>
                <w:sz w:val="20"/>
                <w:szCs w:val="20"/>
              </w:rPr>
              <w:t>-</w:t>
            </w:r>
          </w:p>
        </w:tc>
        <w:tc>
          <w:tcPr>
            <w:tcW w:w="2295" w:type="dxa"/>
            <w:tcBorders>
              <w:left w:val="nil"/>
              <w:right w:val="nil"/>
            </w:tcBorders>
            <w:vAlign w:val="center"/>
          </w:tcPr>
          <w:p w:rsidR="00E54D75" w:rsidRPr="000756DF" w:rsidRDefault="00E54D75" w:rsidP="00510D02">
            <w:pPr>
              <w:keepNext/>
              <w:spacing w:before="40" w:after="40"/>
              <w:jc w:val="left"/>
              <w:rPr>
                <w:rFonts w:ascii="Arial Narrow" w:hAnsi="Arial Narrow"/>
                <w:b/>
                <w:color w:val="FFFFFF" w:themeColor="background1"/>
                <w:sz w:val="20"/>
                <w:szCs w:val="20"/>
              </w:rPr>
            </w:pPr>
            <w:r w:rsidRPr="000756DF">
              <w:rPr>
                <w:rFonts w:ascii="Arial Narrow" w:hAnsi="Arial Narrow"/>
                <w:b/>
                <w:color w:val="FFFFFF" w:themeColor="background1"/>
                <w:sz w:val="20"/>
                <w:szCs w:val="20"/>
              </w:rPr>
              <w:t>-</w:t>
            </w:r>
          </w:p>
        </w:tc>
        <w:tc>
          <w:tcPr>
            <w:tcW w:w="2295" w:type="dxa"/>
            <w:tcBorders>
              <w:left w:val="nil"/>
            </w:tcBorders>
            <w:vAlign w:val="center"/>
          </w:tcPr>
          <w:p w:rsidR="00E54D75" w:rsidRPr="000756DF" w:rsidRDefault="00E54D75" w:rsidP="00510D02">
            <w:pPr>
              <w:keepNext/>
              <w:spacing w:before="40" w:after="40"/>
              <w:jc w:val="left"/>
              <w:rPr>
                <w:rFonts w:ascii="Arial Narrow" w:hAnsi="Arial Narrow"/>
                <w:b/>
                <w:color w:val="FFFFFF" w:themeColor="background1"/>
                <w:sz w:val="20"/>
                <w:szCs w:val="20"/>
              </w:rPr>
            </w:pPr>
            <w:r w:rsidRPr="000756DF">
              <w:rPr>
                <w:rFonts w:ascii="Arial Narrow" w:hAnsi="Arial Narrow"/>
                <w:b/>
                <w:color w:val="FFFFFF" w:themeColor="background1"/>
                <w:sz w:val="20"/>
                <w:szCs w:val="20"/>
              </w:rPr>
              <w:t>-</w:t>
            </w:r>
          </w:p>
        </w:tc>
      </w:tr>
      <w:tr w:rsidR="00E54D75" w:rsidRPr="000756DF" w:rsidTr="00510D02">
        <w:trPr>
          <w:trHeight w:val="300"/>
        </w:trPr>
        <w:tc>
          <w:tcPr>
            <w:tcW w:w="2295" w:type="dxa"/>
            <w:tcBorders>
              <w:right w:val="nil"/>
            </w:tcBorders>
            <w:noWrap/>
          </w:tcPr>
          <w:p w:rsidR="00E54D75" w:rsidRPr="0026386F" w:rsidRDefault="00E54D75" w:rsidP="00510D02">
            <w:pPr>
              <w:keepNext/>
              <w:spacing w:before="40" w:after="40"/>
              <w:jc w:val="left"/>
              <w:rPr>
                <w:rFonts w:ascii="Arial Narrow" w:hAnsi="Arial Narrow"/>
                <w:b/>
                <w:sz w:val="20"/>
                <w:szCs w:val="20"/>
              </w:rPr>
            </w:pPr>
            <w:r w:rsidRPr="0026386F">
              <w:rPr>
                <w:rFonts w:ascii="Arial Narrow" w:hAnsi="Arial Narrow"/>
                <w:sz w:val="20"/>
                <w:szCs w:val="20"/>
              </w:rPr>
              <w:t>% Lower</w:t>
            </w:r>
          </w:p>
        </w:tc>
        <w:tc>
          <w:tcPr>
            <w:tcW w:w="2295" w:type="dxa"/>
            <w:tcBorders>
              <w:left w:val="nil"/>
              <w:right w:val="nil"/>
            </w:tcBorders>
          </w:tcPr>
          <w:p w:rsidR="00E54D75" w:rsidRPr="0026386F" w:rsidRDefault="00E54D75" w:rsidP="00510D02">
            <w:pPr>
              <w:keepNext/>
              <w:spacing w:before="40" w:after="40"/>
              <w:jc w:val="center"/>
              <w:rPr>
                <w:rFonts w:ascii="Arial Narrow" w:hAnsi="Arial Narrow"/>
                <w:b/>
                <w:color w:val="FFFFFF" w:themeColor="background1"/>
                <w:sz w:val="20"/>
                <w:szCs w:val="20"/>
              </w:rPr>
            </w:pPr>
            <w:r w:rsidRPr="00A5774A">
              <w:rPr>
                <w:rFonts w:ascii="Arial Narrow" w:hAnsi="Arial Narrow"/>
                <w:sz w:val="20"/>
                <w:szCs w:val="20"/>
              </w:rPr>
              <w:t xml:space="preserve">25.9% </w:t>
            </w:r>
            <w:r w:rsidR="00177729">
              <w:rPr>
                <w:rFonts w:ascii="Arial Narrow" w:hAnsi="Arial Narrow"/>
                <w:noProof/>
                <w:color w:val="000000"/>
                <w:sz w:val="20"/>
                <w:szCs w:val="20"/>
                <w:highlight w:val="black"/>
              </w:rPr>
              <w:t>''''''''''''</w:t>
            </w:r>
          </w:p>
        </w:tc>
        <w:tc>
          <w:tcPr>
            <w:tcW w:w="2295" w:type="dxa"/>
            <w:tcBorders>
              <w:left w:val="nil"/>
              <w:right w:val="nil"/>
            </w:tcBorders>
          </w:tcPr>
          <w:p w:rsidR="00E54D75" w:rsidRPr="0026386F" w:rsidRDefault="00E54D75" w:rsidP="00510D02">
            <w:pPr>
              <w:keepNext/>
              <w:spacing w:before="40" w:after="40"/>
              <w:jc w:val="center"/>
              <w:rPr>
                <w:rFonts w:ascii="Arial Narrow" w:hAnsi="Arial Narrow"/>
                <w:b/>
                <w:color w:val="FFFFFF" w:themeColor="background1"/>
                <w:sz w:val="20"/>
                <w:szCs w:val="20"/>
              </w:rPr>
            </w:pPr>
            <w:r w:rsidRPr="00A5774A">
              <w:rPr>
                <w:rFonts w:ascii="Arial Narrow" w:hAnsi="Arial Narrow"/>
                <w:sz w:val="20"/>
                <w:szCs w:val="20"/>
              </w:rPr>
              <w:t xml:space="preserve">41.8% </w:t>
            </w:r>
            <w:r w:rsidR="00177729">
              <w:rPr>
                <w:rFonts w:ascii="Arial Narrow" w:hAnsi="Arial Narrow"/>
                <w:noProof/>
                <w:color w:val="000000"/>
                <w:sz w:val="20"/>
                <w:szCs w:val="20"/>
                <w:highlight w:val="black"/>
              </w:rPr>
              <w:t>''''''''''''''''''</w:t>
            </w:r>
          </w:p>
        </w:tc>
        <w:tc>
          <w:tcPr>
            <w:tcW w:w="2295" w:type="dxa"/>
            <w:tcBorders>
              <w:left w:val="nil"/>
            </w:tcBorders>
          </w:tcPr>
          <w:p w:rsidR="00E54D75" w:rsidRPr="0026386F" w:rsidRDefault="00E54D75" w:rsidP="00510D02">
            <w:pPr>
              <w:keepNext/>
              <w:spacing w:before="40" w:after="40"/>
              <w:jc w:val="center"/>
              <w:rPr>
                <w:rFonts w:ascii="Arial Narrow" w:hAnsi="Arial Narrow"/>
                <w:b/>
                <w:color w:val="FFFFFF" w:themeColor="background1"/>
                <w:sz w:val="20"/>
                <w:szCs w:val="20"/>
              </w:rPr>
            </w:pPr>
            <w:r w:rsidRPr="00A5774A">
              <w:rPr>
                <w:rFonts w:ascii="Arial Narrow" w:hAnsi="Arial Narrow"/>
                <w:sz w:val="20"/>
                <w:szCs w:val="20"/>
              </w:rPr>
              <w:t>37.2%</w:t>
            </w:r>
            <w:r w:rsidR="00177729">
              <w:rPr>
                <w:rFonts w:ascii="Arial Narrow" w:hAnsi="Arial Narrow"/>
                <w:noProof/>
                <w:color w:val="000000"/>
                <w:sz w:val="20"/>
                <w:szCs w:val="20"/>
                <w:highlight w:val="black"/>
              </w:rPr>
              <w:t xml:space="preserve"> ''''''''''''''''</w:t>
            </w:r>
          </w:p>
        </w:tc>
      </w:tr>
      <w:tr w:rsidR="00E54D75" w:rsidRPr="000756DF" w:rsidTr="00510D02">
        <w:trPr>
          <w:trHeight w:val="300"/>
        </w:trPr>
        <w:tc>
          <w:tcPr>
            <w:tcW w:w="2295" w:type="dxa"/>
            <w:tcBorders>
              <w:right w:val="single" w:sz="4" w:space="0" w:color="auto"/>
            </w:tcBorders>
            <w:noWrap/>
            <w:hideMark/>
          </w:tcPr>
          <w:p w:rsidR="00E54D75" w:rsidRPr="0026386F" w:rsidRDefault="00E54D75" w:rsidP="00510D02">
            <w:pPr>
              <w:pStyle w:val="TableText0"/>
            </w:pPr>
            <w:r w:rsidRPr="0026386F">
              <w:t>% Normal</w:t>
            </w:r>
          </w:p>
        </w:tc>
        <w:tc>
          <w:tcPr>
            <w:tcW w:w="2295" w:type="dxa"/>
            <w:tcBorders>
              <w:left w:val="single" w:sz="4" w:space="0" w:color="auto"/>
              <w:right w:val="single" w:sz="4" w:space="0" w:color="auto"/>
            </w:tcBorders>
            <w:noWrap/>
            <w:hideMark/>
          </w:tcPr>
          <w:p w:rsidR="00E54D75" w:rsidRPr="0026386F" w:rsidRDefault="00E54D75" w:rsidP="00510D02">
            <w:pPr>
              <w:pStyle w:val="TableText0"/>
              <w:jc w:val="center"/>
            </w:pPr>
            <w:r w:rsidRPr="0026386F">
              <w:t xml:space="preserve">70.4% </w:t>
            </w:r>
            <w:r w:rsidR="00177729">
              <w:rPr>
                <w:noProof/>
                <w:color w:val="000000"/>
                <w:highlight w:val="black"/>
                <w:lang w:val="en-AU"/>
              </w:rPr>
              <w:t>'''''''''''''''''</w:t>
            </w:r>
          </w:p>
        </w:tc>
        <w:tc>
          <w:tcPr>
            <w:tcW w:w="2295" w:type="dxa"/>
            <w:tcBorders>
              <w:left w:val="single" w:sz="4" w:space="0" w:color="auto"/>
              <w:right w:val="single" w:sz="4" w:space="0" w:color="auto"/>
            </w:tcBorders>
            <w:noWrap/>
            <w:hideMark/>
          </w:tcPr>
          <w:p w:rsidR="00E54D75" w:rsidRPr="0026386F" w:rsidRDefault="00E54D75" w:rsidP="00510D02">
            <w:pPr>
              <w:pStyle w:val="TableText0"/>
              <w:jc w:val="center"/>
            </w:pPr>
            <w:r w:rsidRPr="0026386F">
              <w:t xml:space="preserve">46.3% </w:t>
            </w:r>
            <w:r w:rsidR="00177729">
              <w:rPr>
                <w:noProof/>
                <w:color w:val="000000"/>
                <w:highlight w:val="black"/>
                <w:lang w:val="en-AU"/>
              </w:rPr>
              <w:t>''''''''''''''''''</w:t>
            </w:r>
          </w:p>
        </w:tc>
        <w:tc>
          <w:tcPr>
            <w:tcW w:w="2295" w:type="dxa"/>
            <w:tcBorders>
              <w:left w:val="single" w:sz="4" w:space="0" w:color="auto"/>
            </w:tcBorders>
            <w:noWrap/>
            <w:hideMark/>
          </w:tcPr>
          <w:p w:rsidR="00E54D75" w:rsidRPr="0026386F" w:rsidRDefault="00E54D75" w:rsidP="00510D02">
            <w:pPr>
              <w:pStyle w:val="TableText0"/>
              <w:jc w:val="center"/>
            </w:pPr>
            <w:r w:rsidRPr="0026386F">
              <w:t xml:space="preserve">53.2% </w:t>
            </w:r>
            <w:r w:rsidR="00177729">
              <w:rPr>
                <w:noProof/>
                <w:color w:val="000000"/>
                <w:highlight w:val="black"/>
                <w:lang w:val="en-AU"/>
              </w:rPr>
              <w:t>''''''''''''''''</w:t>
            </w:r>
          </w:p>
        </w:tc>
      </w:tr>
      <w:tr w:rsidR="00E54D75" w:rsidRPr="000756DF" w:rsidTr="00510D02">
        <w:trPr>
          <w:trHeight w:val="300"/>
        </w:trPr>
        <w:tc>
          <w:tcPr>
            <w:tcW w:w="2295" w:type="dxa"/>
            <w:tcBorders>
              <w:right w:val="single" w:sz="4" w:space="0" w:color="auto"/>
            </w:tcBorders>
            <w:noWrap/>
            <w:hideMark/>
          </w:tcPr>
          <w:p w:rsidR="00E54D75" w:rsidRPr="0026386F" w:rsidRDefault="00E54D75" w:rsidP="00510D02">
            <w:pPr>
              <w:pStyle w:val="TableText0"/>
            </w:pPr>
            <w:r w:rsidRPr="0026386F">
              <w:t>% High</w:t>
            </w:r>
          </w:p>
        </w:tc>
        <w:tc>
          <w:tcPr>
            <w:tcW w:w="2295" w:type="dxa"/>
            <w:tcBorders>
              <w:left w:val="single" w:sz="4" w:space="0" w:color="auto"/>
              <w:right w:val="single" w:sz="4" w:space="0" w:color="auto"/>
            </w:tcBorders>
            <w:noWrap/>
            <w:hideMark/>
          </w:tcPr>
          <w:p w:rsidR="00E54D75" w:rsidRPr="0026386F" w:rsidRDefault="00E54D75" w:rsidP="00510D02">
            <w:pPr>
              <w:pStyle w:val="TableText0"/>
              <w:jc w:val="center"/>
            </w:pPr>
            <w:r w:rsidRPr="0026386F">
              <w:t xml:space="preserve">3.7% </w:t>
            </w:r>
            <w:r w:rsidR="00177729">
              <w:rPr>
                <w:noProof/>
                <w:color w:val="000000"/>
                <w:highlight w:val="black"/>
                <w:lang w:val="en-AU"/>
              </w:rPr>
              <w:t>'''''''''''''</w:t>
            </w:r>
          </w:p>
        </w:tc>
        <w:tc>
          <w:tcPr>
            <w:tcW w:w="2295" w:type="dxa"/>
            <w:tcBorders>
              <w:left w:val="single" w:sz="4" w:space="0" w:color="auto"/>
              <w:right w:val="single" w:sz="4" w:space="0" w:color="auto"/>
            </w:tcBorders>
            <w:noWrap/>
            <w:hideMark/>
          </w:tcPr>
          <w:p w:rsidR="00E54D75" w:rsidRPr="0026386F" w:rsidRDefault="00E54D75" w:rsidP="00510D02">
            <w:pPr>
              <w:pStyle w:val="TableText0"/>
              <w:jc w:val="center"/>
            </w:pPr>
            <w:r w:rsidRPr="0026386F">
              <w:t xml:space="preserve">11.9% </w:t>
            </w:r>
            <w:r w:rsidR="00177729">
              <w:rPr>
                <w:noProof/>
                <w:color w:val="000000"/>
                <w:highlight w:val="black"/>
                <w:lang w:val="en-AU"/>
              </w:rPr>
              <w:t>'''''''''''''''</w:t>
            </w:r>
          </w:p>
        </w:tc>
        <w:tc>
          <w:tcPr>
            <w:tcW w:w="2295" w:type="dxa"/>
            <w:tcBorders>
              <w:left w:val="single" w:sz="4" w:space="0" w:color="auto"/>
            </w:tcBorders>
            <w:noWrap/>
            <w:hideMark/>
          </w:tcPr>
          <w:p w:rsidR="00E54D75" w:rsidRPr="0026386F" w:rsidRDefault="00E54D75" w:rsidP="00510D02">
            <w:pPr>
              <w:pStyle w:val="TableText0"/>
              <w:jc w:val="center"/>
            </w:pPr>
            <w:r w:rsidRPr="0026386F">
              <w:t xml:space="preserve">9.6% </w:t>
            </w:r>
            <w:r w:rsidR="00177729">
              <w:rPr>
                <w:noProof/>
                <w:color w:val="000000"/>
                <w:highlight w:val="black"/>
                <w:lang w:val="en-AU"/>
              </w:rPr>
              <w:t>'''''''''''''</w:t>
            </w:r>
          </w:p>
        </w:tc>
      </w:tr>
      <w:tr w:rsidR="00E54D75" w:rsidRPr="000756DF" w:rsidTr="00510D02">
        <w:trPr>
          <w:trHeight w:val="300"/>
        </w:trPr>
        <w:tc>
          <w:tcPr>
            <w:tcW w:w="2295" w:type="dxa"/>
            <w:tcBorders>
              <w:right w:val="nil"/>
            </w:tcBorders>
            <w:noWrap/>
            <w:hideMark/>
          </w:tcPr>
          <w:p w:rsidR="00E54D75" w:rsidRPr="00495402" w:rsidRDefault="00E54D75" w:rsidP="00510D02">
            <w:pPr>
              <w:keepNext/>
              <w:spacing w:before="40" w:after="40"/>
              <w:jc w:val="left"/>
              <w:rPr>
                <w:rFonts w:ascii="Arial Narrow" w:hAnsi="Arial Narrow"/>
                <w:b/>
                <w:sz w:val="20"/>
                <w:szCs w:val="20"/>
              </w:rPr>
            </w:pPr>
            <w:r w:rsidRPr="00495402">
              <w:rPr>
                <w:rFonts w:ascii="Arial Narrow" w:hAnsi="Arial Narrow"/>
                <w:b/>
                <w:sz w:val="20"/>
                <w:szCs w:val="20"/>
              </w:rPr>
              <w:t>End of treatment</w:t>
            </w:r>
          </w:p>
        </w:tc>
        <w:tc>
          <w:tcPr>
            <w:tcW w:w="2295" w:type="dxa"/>
            <w:tcBorders>
              <w:left w:val="nil"/>
              <w:right w:val="nil"/>
            </w:tcBorders>
          </w:tcPr>
          <w:p w:rsidR="00E54D75" w:rsidRPr="00495402" w:rsidRDefault="00E54D75" w:rsidP="00510D02">
            <w:pPr>
              <w:keepNext/>
              <w:spacing w:before="40" w:after="40"/>
              <w:jc w:val="left"/>
              <w:rPr>
                <w:rFonts w:ascii="Arial Narrow" w:hAnsi="Arial Narrow"/>
                <w:b/>
                <w:color w:val="FFFFFF" w:themeColor="background1"/>
                <w:sz w:val="20"/>
                <w:szCs w:val="20"/>
              </w:rPr>
            </w:pPr>
          </w:p>
        </w:tc>
        <w:tc>
          <w:tcPr>
            <w:tcW w:w="2295" w:type="dxa"/>
            <w:tcBorders>
              <w:left w:val="nil"/>
              <w:right w:val="nil"/>
            </w:tcBorders>
          </w:tcPr>
          <w:p w:rsidR="00E54D75" w:rsidRPr="00495402" w:rsidRDefault="00E54D75" w:rsidP="00510D02">
            <w:pPr>
              <w:keepNext/>
              <w:spacing w:before="40" w:after="40"/>
              <w:jc w:val="left"/>
              <w:rPr>
                <w:rFonts w:ascii="Arial Narrow" w:hAnsi="Arial Narrow"/>
                <w:b/>
                <w:color w:val="FFFFFF" w:themeColor="background1"/>
                <w:sz w:val="20"/>
                <w:szCs w:val="20"/>
              </w:rPr>
            </w:pPr>
          </w:p>
        </w:tc>
        <w:tc>
          <w:tcPr>
            <w:tcW w:w="2295" w:type="dxa"/>
            <w:tcBorders>
              <w:left w:val="nil"/>
            </w:tcBorders>
          </w:tcPr>
          <w:p w:rsidR="00E54D75" w:rsidRPr="00495402" w:rsidRDefault="00E54D75" w:rsidP="00510D02">
            <w:pPr>
              <w:keepNext/>
              <w:spacing w:before="40" w:after="40"/>
              <w:jc w:val="left"/>
              <w:rPr>
                <w:rFonts w:ascii="Arial Narrow" w:hAnsi="Arial Narrow"/>
                <w:b/>
                <w:color w:val="FFFFFF" w:themeColor="background1"/>
                <w:sz w:val="20"/>
                <w:szCs w:val="20"/>
              </w:rPr>
            </w:pPr>
          </w:p>
        </w:tc>
      </w:tr>
      <w:tr w:rsidR="00E54D75" w:rsidRPr="000756DF" w:rsidTr="00510D02">
        <w:trPr>
          <w:trHeight w:val="300"/>
        </w:trPr>
        <w:tc>
          <w:tcPr>
            <w:tcW w:w="2295" w:type="dxa"/>
            <w:tcBorders>
              <w:right w:val="nil"/>
            </w:tcBorders>
            <w:noWrap/>
          </w:tcPr>
          <w:p w:rsidR="00E54D75" w:rsidRPr="00495402" w:rsidRDefault="00E54D75" w:rsidP="00510D02">
            <w:pPr>
              <w:keepNext/>
              <w:spacing w:before="40" w:after="40"/>
              <w:jc w:val="left"/>
              <w:rPr>
                <w:rFonts w:ascii="Arial Narrow" w:hAnsi="Arial Narrow"/>
                <w:b/>
                <w:sz w:val="20"/>
                <w:szCs w:val="20"/>
              </w:rPr>
            </w:pPr>
            <w:r w:rsidRPr="00495402">
              <w:rPr>
                <w:rFonts w:ascii="Arial Narrow" w:hAnsi="Arial Narrow"/>
                <w:sz w:val="20"/>
                <w:szCs w:val="20"/>
              </w:rPr>
              <w:t>% Low</w:t>
            </w:r>
          </w:p>
        </w:tc>
        <w:tc>
          <w:tcPr>
            <w:tcW w:w="2295" w:type="dxa"/>
            <w:tcBorders>
              <w:left w:val="nil"/>
              <w:right w:val="nil"/>
            </w:tcBorders>
            <w:vAlign w:val="bottom"/>
          </w:tcPr>
          <w:p w:rsidR="00E54D75" w:rsidRPr="0026386F" w:rsidRDefault="00E54D75" w:rsidP="00510D02">
            <w:pPr>
              <w:keepNext/>
              <w:spacing w:before="40" w:after="40"/>
              <w:jc w:val="center"/>
              <w:rPr>
                <w:rFonts w:ascii="Arial Narrow" w:hAnsi="Arial Narrow"/>
                <w:b/>
                <w:color w:val="FFFFFF" w:themeColor="background1"/>
                <w:sz w:val="20"/>
                <w:szCs w:val="20"/>
              </w:rPr>
            </w:pPr>
            <w:r w:rsidRPr="00A5774A">
              <w:rPr>
                <w:rFonts w:ascii="Arial Narrow" w:hAnsi="Arial Narrow"/>
                <w:color w:val="000000"/>
                <w:sz w:val="20"/>
                <w:szCs w:val="20"/>
              </w:rPr>
              <w:t xml:space="preserve">16.7% </w:t>
            </w:r>
            <w:r w:rsidR="00177729">
              <w:rPr>
                <w:rFonts w:ascii="Arial Narrow" w:hAnsi="Arial Narrow"/>
                <w:noProof/>
                <w:color w:val="000000"/>
                <w:sz w:val="20"/>
                <w:szCs w:val="20"/>
                <w:highlight w:val="black"/>
              </w:rPr>
              <w:t>'''''''''''''</w:t>
            </w:r>
          </w:p>
        </w:tc>
        <w:tc>
          <w:tcPr>
            <w:tcW w:w="2295" w:type="dxa"/>
            <w:tcBorders>
              <w:left w:val="nil"/>
              <w:right w:val="nil"/>
            </w:tcBorders>
            <w:vAlign w:val="bottom"/>
          </w:tcPr>
          <w:p w:rsidR="00E54D75" w:rsidRPr="0026386F" w:rsidRDefault="00E54D75" w:rsidP="00510D02">
            <w:pPr>
              <w:keepNext/>
              <w:spacing w:before="40" w:after="40"/>
              <w:jc w:val="center"/>
              <w:rPr>
                <w:rFonts w:ascii="Arial Narrow" w:hAnsi="Arial Narrow"/>
                <w:b/>
                <w:color w:val="FFFFFF" w:themeColor="background1"/>
                <w:sz w:val="20"/>
                <w:szCs w:val="20"/>
              </w:rPr>
            </w:pPr>
            <w:r w:rsidRPr="00A5774A">
              <w:rPr>
                <w:rFonts w:ascii="Arial Narrow" w:hAnsi="Arial Narrow"/>
                <w:color w:val="000000"/>
                <w:sz w:val="20"/>
                <w:szCs w:val="20"/>
              </w:rPr>
              <w:t xml:space="preserve">10.3% </w:t>
            </w:r>
            <w:r w:rsidR="00177729">
              <w:rPr>
                <w:rFonts w:ascii="Arial Narrow" w:hAnsi="Arial Narrow"/>
                <w:noProof/>
                <w:color w:val="000000"/>
                <w:sz w:val="20"/>
                <w:szCs w:val="20"/>
                <w:highlight w:val="black"/>
              </w:rPr>
              <w:t>''''''''''''</w:t>
            </w:r>
          </w:p>
        </w:tc>
        <w:tc>
          <w:tcPr>
            <w:tcW w:w="2295" w:type="dxa"/>
            <w:tcBorders>
              <w:left w:val="nil"/>
            </w:tcBorders>
            <w:vAlign w:val="bottom"/>
          </w:tcPr>
          <w:p w:rsidR="00E54D75" w:rsidRPr="0026386F" w:rsidRDefault="00E54D75" w:rsidP="00510D02">
            <w:pPr>
              <w:keepNext/>
              <w:spacing w:before="40" w:after="40"/>
              <w:jc w:val="center"/>
              <w:rPr>
                <w:rFonts w:ascii="Arial Narrow" w:hAnsi="Arial Narrow"/>
                <w:b/>
                <w:color w:val="FFFFFF" w:themeColor="background1"/>
                <w:sz w:val="20"/>
                <w:szCs w:val="20"/>
              </w:rPr>
            </w:pPr>
            <w:r w:rsidRPr="00A5774A">
              <w:rPr>
                <w:rFonts w:ascii="Arial Narrow" w:hAnsi="Arial Narrow"/>
                <w:color w:val="000000"/>
                <w:sz w:val="20"/>
                <w:szCs w:val="20"/>
              </w:rPr>
              <w:t xml:space="preserve">12.2% </w:t>
            </w:r>
            <w:r w:rsidR="00177729">
              <w:rPr>
                <w:rFonts w:ascii="Arial Narrow" w:hAnsi="Arial Narrow"/>
                <w:noProof/>
                <w:color w:val="000000"/>
                <w:sz w:val="20"/>
                <w:szCs w:val="20"/>
                <w:highlight w:val="black"/>
              </w:rPr>
              <w:t>''''''''''''''''''</w:t>
            </w:r>
          </w:p>
        </w:tc>
      </w:tr>
      <w:tr w:rsidR="00E54D75" w:rsidRPr="000756DF" w:rsidTr="00510D02">
        <w:trPr>
          <w:trHeight w:val="300"/>
        </w:trPr>
        <w:tc>
          <w:tcPr>
            <w:tcW w:w="2295" w:type="dxa"/>
            <w:tcBorders>
              <w:right w:val="single" w:sz="4" w:space="0" w:color="auto"/>
            </w:tcBorders>
            <w:noWrap/>
            <w:hideMark/>
          </w:tcPr>
          <w:p w:rsidR="00E54D75" w:rsidRPr="00495402" w:rsidRDefault="00E54D75" w:rsidP="00510D02">
            <w:pPr>
              <w:pStyle w:val="TableText0"/>
            </w:pPr>
            <w:r w:rsidRPr="00495402">
              <w:t>% Normal</w:t>
            </w:r>
          </w:p>
        </w:tc>
        <w:tc>
          <w:tcPr>
            <w:tcW w:w="2295" w:type="dxa"/>
            <w:tcBorders>
              <w:left w:val="single" w:sz="4" w:space="0" w:color="auto"/>
              <w:right w:val="single" w:sz="4" w:space="0" w:color="auto"/>
            </w:tcBorders>
            <w:noWrap/>
            <w:vAlign w:val="bottom"/>
            <w:hideMark/>
          </w:tcPr>
          <w:p w:rsidR="00E54D75" w:rsidRPr="0026386F" w:rsidRDefault="00E54D75" w:rsidP="00510D02">
            <w:pPr>
              <w:pStyle w:val="TableText0"/>
              <w:jc w:val="center"/>
            </w:pPr>
            <w:r w:rsidRPr="00A5774A">
              <w:rPr>
                <w:color w:val="000000"/>
              </w:rPr>
              <w:t xml:space="preserve">79.2% </w:t>
            </w:r>
            <w:r w:rsidR="00177729">
              <w:rPr>
                <w:noProof/>
                <w:color w:val="000000"/>
                <w:highlight w:val="black"/>
                <w:lang w:val="en-AU"/>
              </w:rPr>
              <w:t>''''''''''''''''</w:t>
            </w:r>
          </w:p>
        </w:tc>
        <w:tc>
          <w:tcPr>
            <w:tcW w:w="2295" w:type="dxa"/>
            <w:tcBorders>
              <w:left w:val="single" w:sz="4" w:space="0" w:color="auto"/>
              <w:right w:val="single" w:sz="4" w:space="0" w:color="auto"/>
            </w:tcBorders>
            <w:noWrap/>
            <w:vAlign w:val="bottom"/>
            <w:hideMark/>
          </w:tcPr>
          <w:p w:rsidR="00E54D75" w:rsidRPr="0026386F" w:rsidRDefault="00E54D75" w:rsidP="00510D02">
            <w:pPr>
              <w:pStyle w:val="TableText0"/>
              <w:jc w:val="center"/>
            </w:pPr>
            <w:r w:rsidRPr="00A5774A">
              <w:rPr>
                <w:color w:val="000000"/>
              </w:rPr>
              <w:t xml:space="preserve">63.8% </w:t>
            </w:r>
            <w:r w:rsidR="00177729">
              <w:rPr>
                <w:noProof/>
                <w:color w:val="000000"/>
                <w:highlight w:val="black"/>
                <w:lang w:val="en-AU"/>
              </w:rPr>
              <w:t>''''''''''''''''''</w:t>
            </w:r>
          </w:p>
        </w:tc>
        <w:tc>
          <w:tcPr>
            <w:tcW w:w="2295" w:type="dxa"/>
            <w:tcBorders>
              <w:left w:val="single" w:sz="4" w:space="0" w:color="auto"/>
            </w:tcBorders>
            <w:noWrap/>
            <w:vAlign w:val="bottom"/>
            <w:hideMark/>
          </w:tcPr>
          <w:p w:rsidR="00E54D75" w:rsidRPr="0026386F" w:rsidRDefault="00E54D75" w:rsidP="00510D02">
            <w:pPr>
              <w:pStyle w:val="TableText0"/>
              <w:jc w:val="center"/>
            </w:pPr>
            <w:r w:rsidRPr="00A5774A">
              <w:rPr>
                <w:color w:val="000000"/>
              </w:rPr>
              <w:t xml:space="preserve">68.3% </w:t>
            </w:r>
            <w:r w:rsidR="00177729">
              <w:rPr>
                <w:noProof/>
                <w:color w:val="000000"/>
                <w:highlight w:val="black"/>
                <w:lang w:val="en-AU"/>
              </w:rPr>
              <w:t>'''''''''''''''''</w:t>
            </w:r>
          </w:p>
        </w:tc>
      </w:tr>
      <w:tr w:rsidR="00E54D75" w:rsidRPr="000756DF" w:rsidTr="00510D02">
        <w:trPr>
          <w:trHeight w:val="300"/>
        </w:trPr>
        <w:tc>
          <w:tcPr>
            <w:tcW w:w="2295" w:type="dxa"/>
            <w:noWrap/>
            <w:hideMark/>
          </w:tcPr>
          <w:p w:rsidR="00E54D75" w:rsidRPr="00495402" w:rsidRDefault="00E54D75" w:rsidP="00510D02">
            <w:pPr>
              <w:pStyle w:val="TableText0"/>
            </w:pPr>
            <w:r w:rsidRPr="00495402">
              <w:t>% High</w:t>
            </w:r>
          </w:p>
        </w:tc>
        <w:tc>
          <w:tcPr>
            <w:tcW w:w="2295" w:type="dxa"/>
            <w:noWrap/>
            <w:vAlign w:val="bottom"/>
            <w:hideMark/>
          </w:tcPr>
          <w:p w:rsidR="00E54D75" w:rsidRPr="0026386F" w:rsidRDefault="00E54D75" w:rsidP="00510D02">
            <w:pPr>
              <w:pStyle w:val="TableText0"/>
              <w:jc w:val="center"/>
            </w:pPr>
            <w:r w:rsidRPr="00A5774A">
              <w:rPr>
                <w:color w:val="000000"/>
              </w:rPr>
              <w:t xml:space="preserve">4.2% </w:t>
            </w:r>
            <w:r w:rsidRPr="00F33737">
              <w:t>(</w:t>
            </w:r>
            <w:r w:rsidR="00177729">
              <w:rPr>
                <w:noProof/>
                <w:color w:val="000000"/>
                <w:highlight w:val="black"/>
                <w:lang w:val="en-AU"/>
              </w:rPr>
              <w:t>''''''''''''</w:t>
            </w:r>
          </w:p>
        </w:tc>
        <w:tc>
          <w:tcPr>
            <w:tcW w:w="2295" w:type="dxa"/>
            <w:noWrap/>
            <w:vAlign w:val="bottom"/>
            <w:hideMark/>
          </w:tcPr>
          <w:p w:rsidR="00E54D75" w:rsidRPr="0026386F" w:rsidRDefault="00E54D75" w:rsidP="00510D02">
            <w:pPr>
              <w:pStyle w:val="TableText0"/>
              <w:jc w:val="center"/>
            </w:pPr>
            <w:r w:rsidRPr="00A5774A">
              <w:rPr>
                <w:color w:val="000000"/>
              </w:rPr>
              <w:t xml:space="preserve">25.9% </w:t>
            </w:r>
            <w:r w:rsidR="00177729">
              <w:rPr>
                <w:noProof/>
                <w:color w:val="000000"/>
                <w:highlight w:val="black"/>
                <w:lang w:val="en-AU"/>
              </w:rPr>
              <w:t>'''''''''''''''''</w:t>
            </w:r>
          </w:p>
        </w:tc>
        <w:tc>
          <w:tcPr>
            <w:tcW w:w="2295" w:type="dxa"/>
            <w:noWrap/>
            <w:vAlign w:val="bottom"/>
            <w:hideMark/>
          </w:tcPr>
          <w:p w:rsidR="00E54D75" w:rsidRPr="0026386F" w:rsidRDefault="00E54D75" w:rsidP="00510D02">
            <w:pPr>
              <w:pStyle w:val="TableText0"/>
              <w:jc w:val="center"/>
            </w:pPr>
            <w:r w:rsidRPr="00A5774A">
              <w:rPr>
                <w:color w:val="000000"/>
              </w:rPr>
              <w:t xml:space="preserve">19.5% </w:t>
            </w:r>
            <w:r w:rsidR="00177729">
              <w:rPr>
                <w:noProof/>
                <w:color w:val="000000"/>
                <w:highlight w:val="black"/>
                <w:lang w:val="en-AU"/>
              </w:rPr>
              <w:t>''''''''''''''''</w:t>
            </w:r>
          </w:p>
        </w:tc>
      </w:tr>
    </w:tbl>
    <w:p w:rsidR="00E54D75" w:rsidRPr="000756DF" w:rsidRDefault="00E54D75" w:rsidP="00E54D75">
      <w:pPr>
        <w:pStyle w:val="TableNote"/>
      </w:pPr>
      <w:r w:rsidRPr="000756DF">
        <w:t xml:space="preserve">Normal defined as: </w:t>
      </w:r>
      <w:r>
        <w:t>(</w:t>
      </w:r>
      <w:r w:rsidRPr="00495402">
        <w:t>60-130 µ</w:t>
      </w:r>
      <w:r w:rsidR="00F87099" w:rsidRPr="00495402">
        <w:t>Mol</w:t>
      </w:r>
      <w:r w:rsidRPr="00495402">
        <w:t>/L for male</w:t>
      </w:r>
      <w:r>
        <w:t>s and 40-110 µ</w:t>
      </w:r>
      <w:r w:rsidR="00F87099">
        <w:t>Mol</w:t>
      </w:r>
      <w:r>
        <w:t>/L for females</w:t>
      </w:r>
      <w:r w:rsidRPr="00495402">
        <w:t>)</w:t>
      </w:r>
      <w:r>
        <w:t xml:space="preserve"> </w:t>
      </w:r>
      <w:r>
        <w:rPr>
          <w:noProof/>
        </w:rPr>
        <w:t>(</w:t>
      </w:r>
      <w:r w:rsidR="00184B6F">
        <w:rPr>
          <w:noProof/>
        </w:rPr>
        <w:t>QML Pathology 2009</w:t>
      </w:r>
      <w:r>
        <w:rPr>
          <w:noProof/>
        </w:rPr>
        <w:t>)</w:t>
      </w:r>
    </w:p>
    <w:p w:rsidR="001C3FAF" w:rsidRPr="000756DF" w:rsidRDefault="001C3FAF" w:rsidP="001C3FAF">
      <w:pPr>
        <w:keepNext/>
        <w:spacing w:after="0" w:line="240" w:lineRule="auto"/>
        <w:ind w:left="131" w:hanging="131"/>
        <w:rPr>
          <w:rFonts w:ascii="Arial Narrow" w:hAnsi="Arial Narrow"/>
          <w:sz w:val="16"/>
          <w:szCs w:val="16"/>
          <w:lang w:eastAsia="en-AU"/>
        </w:rPr>
      </w:pPr>
    </w:p>
    <w:p w:rsidR="001C3FAF" w:rsidRPr="000756DF" w:rsidRDefault="001C3FAF" w:rsidP="001C3FAF">
      <w:pPr>
        <w:keepNext/>
        <w:spacing w:after="0" w:line="240" w:lineRule="auto"/>
        <w:ind w:left="131" w:hanging="131"/>
        <w:rPr>
          <w:rFonts w:ascii="Arial Narrow" w:hAnsi="Arial Narrow"/>
          <w:sz w:val="16"/>
          <w:szCs w:val="16"/>
          <w:lang w:eastAsia="en-AU"/>
        </w:rPr>
      </w:pPr>
    </w:p>
    <w:p w:rsidR="001C3FAF" w:rsidRPr="000756DF" w:rsidRDefault="001C3FAF" w:rsidP="001C3FAF">
      <w:r w:rsidRPr="000756DF">
        <w:t>Secondary therapies for patients being treated under the LSDP w</w:t>
      </w:r>
      <w:r>
        <w:t>ere</w:t>
      </w:r>
      <w:r w:rsidRPr="000756DF">
        <w:t xml:space="preserve"> analysed </w:t>
      </w:r>
      <w:r>
        <w:t xml:space="preserve">according to </w:t>
      </w:r>
      <w:r w:rsidRPr="000756DF">
        <w:t>therapeutic class. Two analyses were undertaken</w:t>
      </w:r>
      <w:r>
        <w:t>:</w:t>
      </w:r>
      <w:r w:rsidRPr="000756DF">
        <w:t xml:space="preserve"> one relating to any secondary therapy received, regardless of whether it is currently being used; and those that are currently being used. Unsurprisingly, anti-platelets were the most commonly prescribed secondary therapy, with 73.1% of </w:t>
      </w:r>
      <w:r>
        <w:t xml:space="preserve">LSDP </w:t>
      </w:r>
      <w:r w:rsidRPr="000756DF">
        <w:t xml:space="preserve">patients receiving them, and 76.5% of current patients. Statins are also widely used by patients receiving treatment under the LSDP (69.8% of all patients; 57.4% patients currently being treated). </w:t>
      </w:r>
    </w:p>
    <w:p w:rsidR="001C3FAF" w:rsidRPr="00716774" w:rsidRDefault="001C3FAF" w:rsidP="001C3FAF">
      <w:pPr>
        <w:pStyle w:val="Caption"/>
        <w:keepNext/>
        <w:tabs>
          <w:tab w:val="clear" w:pos="851"/>
          <w:tab w:val="left" w:pos="1134"/>
        </w:tabs>
        <w:ind w:left="1134" w:hanging="1134"/>
      </w:pPr>
      <w:bookmarkStart w:id="280" w:name="_Toc405361961"/>
      <w:bookmarkStart w:id="281" w:name="_Toc411510441"/>
      <w:bookmarkStart w:id="282" w:name="_Toc415141856"/>
      <w:r w:rsidRPr="00716774">
        <w:lastRenderedPageBreak/>
        <w:t xml:space="preserve">Table </w:t>
      </w:r>
      <w:r w:rsidR="00A72B26">
        <w:rPr>
          <w:noProof/>
        </w:rPr>
        <w:t>59</w:t>
      </w:r>
      <w:r w:rsidRPr="00305731">
        <w:t xml:space="preserve"> </w:t>
      </w:r>
      <w:r>
        <w:tab/>
      </w:r>
      <w:r w:rsidRPr="00716774">
        <w:t>Concomitant therapies</w:t>
      </w:r>
      <w:bookmarkEnd w:id="280"/>
      <w:bookmarkEnd w:id="281"/>
      <w:bookmarkEnd w:id="282"/>
    </w:p>
    <w:tbl>
      <w:tblPr>
        <w:tblStyle w:val="TableGrid1"/>
        <w:tblW w:w="9203" w:type="dxa"/>
        <w:tblLook w:val="04A0" w:firstRow="1" w:lastRow="0" w:firstColumn="1" w:lastColumn="0" w:noHBand="0" w:noVBand="1"/>
        <w:tblCaption w:val="Table 56  Concomitant therapies"/>
        <w:tblDescription w:val=" Concomitant therapies for Fabry patients in Australia"/>
      </w:tblPr>
      <w:tblGrid>
        <w:gridCol w:w="3817"/>
        <w:gridCol w:w="2835"/>
        <w:gridCol w:w="2551"/>
      </w:tblGrid>
      <w:tr w:rsidR="001C3FAF" w:rsidRPr="000756DF" w:rsidTr="009A0365">
        <w:trPr>
          <w:trHeight w:val="315"/>
          <w:tblHeader/>
        </w:trPr>
        <w:tc>
          <w:tcPr>
            <w:tcW w:w="3817" w:type="dxa"/>
            <w:noWrap/>
            <w:vAlign w:val="center"/>
            <w:hideMark/>
          </w:tcPr>
          <w:p w:rsidR="001C3FAF" w:rsidRPr="000756DF" w:rsidRDefault="001C3FAF" w:rsidP="001C3FAF">
            <w:pPr>
              <w:pStyle w:val="TableHeading"/>
            </w:pPr>
            <w:r w:rsidRPr="000756DF">
              <w:t>Drug Category</w:t>
            </w:r>
          </w:p>
        </w:tc>
        <w:tc>
          <w:tcPr>
            <w:tcW w:w="2835" w:type="dxa"/>
            <w:noWrap/>
            <w:vAlign w:val="center"/>
            <w:hideMark/>
          </w:tcPr>
          <w:p w:rsidR="001C3FAF" w:rsidRPr="000756DF" w:rsidRDefault="001C3FAF" w:rsidP="001C3FAF">
            <w:pPr>
              <w:pStyle w:val="TableHeading"/>
              <w:jc w:val="center"/>
              <w:rPr>
                <w:bCs/>
              </w:rPr>
            </w:pPr>
            <w:r w:rsidRPr="000756DF">
              <w:rPr>
                <w:bCs/>
              </w:rPr>
              <w:t>All</w:t>
            </w:r>
            <w:r w:rsidR="007D301C">
              <w:rPr>
                <w:bCs/>
              </w:rPr>
              <w:t>*</w:t>
            </w:r>
          </w:p>
        </w:tc>
        <w:tc>
          <w:tcPr>
            <w:tcW w:w="2551" w:type="dxa"/>
            <w:vAlign w:val="center"/>
            <w:hideMark/>
          </w:tcPr>
          <w:p w:rsidR="001C3FAF" w:rsidRPr="000756DF" w:rsidRDefault="001C3FAF" w:rsidP="001C3FAF">
            <w:pPr>
              <w:pStyle w:val="TableHeading"/>
              <w:jc w:val="center"/>
              <w:rPr>
                <w:bCs/>
              </w:rPr>
            </w:pPr>
            <w:r w:rsidRPr="000756DF">
              <w:rPr>
                <w:bCs/>
              </w:rPr>
              <w:t>Current</w:t>
            </w:r>
            <w:r w:rsidR="007D301C">
              <w:rPr>
                <w:bCs/>
              </w:rPr>
              <w:t>^</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ACE inhibitors</w:t>
            </w:r>
          </w:p>
        </w:tc>
        <w:tc>
          <w:tcPr>
            <w:tcW w:w="2835" w:type="dxa"/>
            <w:noWrap/>
            <w:vAlign w:val="center"/>
            <w:hideMark/>
          </w:tcPr>
          <w:p w:rsidR="001C3FAF" w:rsidRPr="000756DF" w:rsidRDefault="001C3FAF" w:rsidP="001C3FAF">
            <w:pPr>
              <w:pStyle w:val="TableText0"/>
              <w:jc w:val="center"/>
            </w:pPr>
            <w:r w:rsidRPr="000756DF">
              <w:t>51.2% (44)</w:t>
            </w:r>
          </w:p>
        </w:tc>
        <w:tc>
          <w:tcPr>
            <w:tcW w:w="2551" w:type="dxa"/>
            <w:noWrap/>
            <w:vAlign w:val="center"/>
            <w:hideMark/>
          </w:tcPr>
          <w:p w:rsidR="001C3FAF" w:rsidRPr="000756DF" w:rsidRDefault="001C3FAF" w:rsidP="001C3FAF">
            <w:pPr>
              <w:pStyle w:val="TableText0"/>
              <w:jc w:val="center"/>
            </w:pPr>
            <w:r w:rsidRPr="000756DF">
              <w:t>32.4% (22)</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Anti-arrhythmic</w:t>
            </w:r>
          </w:p>
        </w:tc>
        <w:tc>
          <w:tcPr>
            <w:tcW w:w="2835" w:type="dxa"/>
            <w:noWrap/>
            <w:vAlign w:val="center"/>
            <w:hideMark/>
          </w:tcPr>
          <w:p w:rsidR="001C3FAF" w:rsidRPr="000756DF" w:rsidRDefault="001C3FAF" w:rsidP="001C3FAF">
            <w:pPr>
              <w:pStyle w:val="TableText0"/>
              <w:jc w:val="center"/>
            </w:pPr>
            <w:r w:rsidRPr="000756DF">
              <w:t>5.8% (5)</w:t>
            </w:r>
          </w:p>
        </w:tc>
        <w:tc>
          <w:tcPr>
            <w:tcW w:w="2551" w:type="dxa"/>
            <w:noWrap/>
            <w:vAlign w:val="center"/>
            <w:hideMark/>
          </w:tcPr>
          <w:p w:rsidR="001C3FAF" w:rsidRPr="000756DF" w:rsidRDefault="001C3FAF" w:rsidP="001C3FAF">
            <w:pPr>
              <w:pStyle w:val="TableText0"/>
              <w:jc w:val="center"/>
            </w:pPr>
            <w:r w:rsidRPr="000756DF">
              <w:t>2.9% (2)</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Anti-coagulants</w:t>
            </w:r>
          </w:p>
        </w:tc>
        <w:tc>
          <w:tcPr>
            <w:tcW w:w="2835" w:type="dxa"/>
            <w:noWrap/>
            <w:vAlign w:val="center"/>
            <w:hideMark/>
          </w:tcPr>
          <w:p w:rsidR="001C3FAF" w:rsidRPr="000756DF" w:rsidRDefault="001C3FAF" w:rsidP="001C3FAF">
            <w:pPr>
              <w:pStyle w:val="TableText0"/>
              <w:jc w:val="center"/>
            </w:pPr>
            <w:r w:rsidRPr="000756DF">
              <w:t>19.8% (17)</w:t>
            </w:r>
          </w:p>
        </w:tc>
        <w:tc>
          <w:tcPr>
            <w:tcW w:w="2551" w:type="dxa"/>
            <w:noWrap/>
            <w:vAlign w:val="center"/>
            <w:hideMark/>
          </w:tcPr>
          <w:p w:rsidR="001C3FAF" w:rsidRPr="000756DF" w:rsidRDefault="001C3FAF" w:rsidP="001C3FAF">
            <w:pPr>
              <w:pStyle w:val="TableText0"/>
              <w:jc w:val="center"/>
            </w:pPr>
            <w:r w:rsidRPr="000756DF">
              <w:t>13.2% (9)</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Anti-depressants</w:t>
            </w:r>
          </w:p>
        </w:tc>
        <w:tc>
          <w:tcPr>
            <w:tcW w:w="2835" w:type="dxa"/>
            <w:noWrap/>
            <w:vAlign w:val="center"/>
            <w:hideMark/>
          </w:tcPr>
          <w:p w:rsidR="001C3FAF" w:rsidRPr="000756DF" w:rsidRDefault="001C3FAF" w:rsidP="001C3FAF">
            <w:pPr>
              <w:pStyle w:val="TableText0"/>
              <w:jc w:val="center"/>
            </w:pPr>
            <w:r w:rsidRPr="000756DF">
              <w:t>43% (37)</w:t>
            </w:r>
          </w:p>
        </w:tc>
        <w:tc>
          <w:tcPr>
            <w:tcW w:w="2551" w:type="dxa"/>
            <w:noWrap/>
            <w:vAlign w:val="center"/>
            <w:hideMark/>
          </w:tcPr>
          <w:p w:rsidR="001C3FAF" w:rsidRPr="000756DF" w:rsidRDefault="001C3FAF" w:rsidP="001C3FAF">
            <w:pPr>
              <w:pStyle w:val="TableText0"/>
              <w:jc w:val="center"/>
            </w:pPr>
            <w:r w:rsidRPr="000756DF">
              <w:t>33.8% (23)</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Anti-diarrheals</w:t>
            </w:r>
          </w:p>
        </w:tc>
        <w:tc>
          <w:tcPr>
            <w:tcW w:w="2835" w:type="dxa"/>
            <w:noWrap/>
            <w:vAlign w:val="center"/>
            <w:hideMark/>
          </w:tcPr>
          <w:p w:rsidR="001C3FAF" w:rsidRPr="000756DF" w:rsidRDefault="001C3FAF" w:rsidP="001C3FAF">
            <w:pPr>
              <w:pStyle w:val="TableText0"/>
              <w:jc w:val="center"/>
            </w:pPr>
            <w:r w:rsidRPr="000756DF">
              <w:t>8.1% (7)</w:t>
            </w:r>
          </w:p>
        </w:tc>
        <w:tc>
          <w:tcPr>
            <w:tcW w:w="2551" w:type="dxa"/>
            <w:noWrap/>
            <w:vAlign w:val="center"/>
            <w:hideMark/>
          </w:tcPr>
          <w:p w:rsidR="001C3FAF" w:rsidRPr="000756DF" w:rsidRDefault="001C3FAF" w:rsidP="001C3FAF">
            <w:pPr>
              <w:pStyle w:val="TableText0"/>
              <w:jc w:val="center"/>
            </w:pPr>
            <w:r w:rsidRPr="000756DF">
              <w:t>4.4% (3)</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Anti-epileptic (for Fabry-related pain)</w:t>
            </w:r>
          </w:p>
        </w:tc>
        <w:tc>
          <w:tcPr>
            <w:tcW w:w="2835" w:type="dxa"/>
            <w:noWrap/>
            <w:vAlign w:val="center"/>
            <w:hideMark/>
          </w:tcPr>
          <w:p w:rsidR="001C3FAF" w:rsidRPr="000756DF" w:rsidRDefault="001C3FAF" w:rsidP="001C3FAF">
            <w:pPr>
              <w:pStyle w:val="TableText0"/>
              <w:jc w:val="center"/>
            </w:pPr>
            <w:r w:rsidRPr="000756DF">
              <w:t>15.1% (13)</w:t>
            </w:r>
          </w:p>
        </w:tc>
        <w:tc>
          <w:tcPr>
            <w:tcW w:w="2551" w:type="dxa"/>
            <w:noWrap/>
            <w:vAlign w:val="center"/>
            <w:hideMark/>
          </w:tcPr>
          <w:p w:rsidR="001C3FAF" w:rsidRPr="000756DF" w:rsidRDefault="001C3FAF" w:rsidP="001C3FAF">
            <w:pPr>
              <w:pStyle w:val="TableText0"/>
              <w:jc w:val="center"/>
            </w:pPr>
            <w:r w:rsidRPr="000756DF">
              <w:t>16.2% (11)</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Anti-migraine</w:t>
            </w:r>
          </w:p>
        </w:tc>
        <w:tc>
          <w:tcPr>
            <w:tcW w:w="2835" w:type="dxa"/>
            <w:noWrap/>
            <w:vAlign w:val="center"/>
            <w:hideMark/>
          </w:tcPr>
          <w:p w:rsidR="001C3FAF" w:rsidRPr="000756DF" w:rsidRDefault="001C3FAF" w:rsidP="001C3FAF">
            <w:pPr>
              <w:pStyle w:val="TableText0"/>
              <w:jc w:val="center"/>
            </w:pPr>
            <w:r w:rsidRPr="000756DF">
              <w:t>1.2% (1)</w:t>
            </w:r>
          </w:p>
        </w:tc>
        <w:tc>
          <w:tcPr>
            <w:tcW w:w="2551" w:type="dxa"/>
            <w:noWrap/>
            <w:vAlign w:val="center"/>
            <w:hideMark/>
          </w:tcPr>
          <w:p w:rsidR="001C3FAF" w:rsidRPr="000756DF" w:rsidRDefault="001C3FAF" w:rsidP="001C3FAF">
            <w:pPr>
              <w:pStyle w:val="TableText0"/>
              <w:jc w:val="center"/>
            </w:pPr>
            <w:r w:rsidRPr="000756DF">
              <w:t>1.5% (1)</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Anti-platelets</w:t>
            </w:r>
          </w:p>
        </w:tc>
        <w:tc>
          <w:tcPr>
            <w:tcW w:w="2835" w:type="dxa"/>
            <w:noWrap/>
            <w:vAlign w:val="center"/>
            <w:hideMark/>
          </w:tcPr>
          <w:p w:rsidR="001C3FAF" w:rsidRPr="000756DF" w:rsidRDefault="001C3FAF" w:rsidP="001C3FAF">
            <w:pPr>
              <w:pStyle w:val="TableText0"/>
              <w:jc w:val="center"/>
            </w:pPr>
            <w:r w:rsidRPr="000756DF">
              <w:t>73.3% (63)</w:t>
            </w:r>
          </w:p>
        </w:tc>
        <w:tc>
          <w:tcPr>
            <w:tcW w:w="2551" w:type="dxa"/>
            <w:noWrap/>
            <w:vAlign w:val="center"/>
            <w:hideMark/>
          </w:tcPr>
          <w:p w:rsidR="001C3FAF" w:rsidRPr="000756DF" w:rsidRDefault="001C3FAF" w:rsidP="001C3FAF">
            <w:pPr>
              <w:pStyle w:val="TableText0"/>
              <w:jc w:val="center"/>
            </w:pPr>
            <w:r w:rsidRPr="000756DF">
              <w:t>76.5% (52)</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ARBs (</w:t>
            </w:r>
            <w:r w:rsidR="00F87099" w:rsidRPr="000756DF">
              <w:t>angiotensin</w:t>
            </w:r>
            <w:r w:rsidRPr="000756DF">
              <w:t xml:space="preserve"> II reception blockers)</w:t>
            </w:r>
          </w:p>
        </w:tc>
        <w:tc>
          <w:tcPr>
            <w:tcW w:w="2835" w:type="dxa"/>
            <w:noWrap/>
            <w:vAlign w:val="center"/>
            <w:hideMark/>
          </w:tcPr>
          <w:p w:rsidR="001C3FAF" w:rsidRPr="000756DF" w:rsidRDefault="001C3FAF" w:rsidP="001C3FAF">
            <w:pPr>
              <w:pStyle w:val="TableText0"/>
              <w:jc w:val="center"/>
            </w:pPr>
            <w:r w:rsidRPr="000756DF">
              <w:t>51.2% (44)</w:t>
            </w:r>
          </w:p>
        </w:tc>
        <w:tc>
          <w:tcPr>
            <w:tcW w:w="2551" w:type="dxa"/>
            <w:noWrap/>
            <w:vAlign w:val="center"/>
            <w:hideMark/>
          </w:tcPr>
          <w:p w:rsidR="001C3FAF" w:rsidRPr="000756DF" w:rsidRDefault="001C3FAF" w:rsidP="001C3FAF">
            <w:pPr>
              <w:pStyle w:val="TableText0"/>
              <w:jc w:val="center"/>
            </w:pPr>
            <w:r w:rsidRPr="000756DF">
              <w:t>38.2% (26)</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Beta blockers</w:t>
            </w:r>
          </w:p>
        </w:tc>
        <w:tc>
          <w:tcPr>
            <w:tcW w:w="2835" w:type="dxa"/>
            <w:noWrap/>
            <w:vAlign w:val="center"/>
            <w:hideMark/>
          </w:tcPr>
          <w:p w:rsidR="001C3FAF" w:rsidRPr="000756DF" w:rsidRDefault="001C3FAF" w:rsidP="001C3FAF">
            <w:pPr>
              <w:pStyle w:val="TableText0"/>
              <w:jc w:val="center"/>
            </w:pPr>
            <w:r w:rsidRPr="000756DF">
              <w:t>39.5% (34)</w:t>
            </w:r>
          </w:p>
        </w:tc>
        <w:tc>
          <w:tcPr>
            <w:tcW w:w="2551" w:type="dxa"/>
            <w:noWrap/>
            <w:vAlign w:val="center"/>
            <w:hideMark/>
          </w:tcPr>
          <w:p w:rsidR="001C3FAF" w:rsidRPr="000756DF" w:rsidRDefault="001C3FAF" w:rsidP="001C3FAF">
            <w:pPr>
              <w:pStyle w:val="TableText0"/>
              <w:jc w:val="center"/>
            </w:pPr>
            <w:r w:rsidRPr="000756DF">
              <w:t>30.9% (21)</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Ca</w:t>
            </w:r>
            <w:r>
              <w:t>lcium</w:t>
            </w:r>
            <w:r w:rsidRPr="000756DF">
              <w:t xml:space="preserve"> channel blockers</w:t>
            </w:r>
          </w:p>
        </w:tc>
        <w:tc>
          <w:tcPr>
            <w:tcW w:w="2835" w:type="dxa"/>
            <w:noWrap/>
            <w:vAlign w:val="center"/>
            <w:hideMark/>
          </w:tcPr>
          <w:p w:rsidR="001C3FAF" w:rsidRPr="000756DF" w:rsidRDefault="001C3FAF" w:rsidP="001C3FAF">
            <w:pPr>
              <w:pStyle w:val="TableText0"/>
              <w:jc w:val="center"/>
            </w:pPr>
            <w:r w:rsidRPr="000756DF">
              <w:t>24.4% (21)</w:t>
            </w:r>
          </w:p>
        </w:tc>
        <w:tc>
          <w:tcPr>
            <w:tcW w:w="2551" w:type="dxa"/>
            <w:noWrap/>
            <w:vAlign w:val="center"/>
            <w:hideMark/>
          </w:tcPr>
          <w:p w:rsidR="001C3FAF" w:rsidRPr="000756DF" w:rsidRDefault="001C3FAF" w:rsidP="001C3FAF">
            <w:pPr>
              <w:pStyle w:val="TableText0"/>
              <w:jc w:val="center"/>
            </w:pPr>
            <w:r w:rsidRPr="000756DF">
              <w:t>19.1% (13)</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Digestive enzymes</w:t>
            </w:r>
          </w:p>
        </w:tc>
        <w:tc>
          <w:tcPr>
            <w:tcW w:w="2835" w:type="dxa"/>
            <w:noWrap/>
            <w:vAlign w:val="center"/>
            <w:hideMark/>
          </w:tcPr>
          <w:p w:rsidR="001C3FAF" w:rsidRPr="000756DF" w:rsidRDefault="001C3FAF" w:rsidP="001C3FAF">
            <w:pPr>
              <w:pStyle w:val="TableText0"/>
              <w:jc w:val="center"/>
            </w:pPr>
            <w:r w:rsidRPr="000756DF">
              <w:t>2.3% (2)</w:t>
            </w:r>
          </w:p>
        </w:tc>
        <w:tc>
          <w:tcPr>
            <w:tcW w:w="2551" w:type="dxa"/>
            <w:noWrap/>
            <w:vAlign w:val="center"/>
            <w:hideMark/>
          </w:tcPr>
          <w:p w:rsidR="001C3FAF" w:rsidRPr="000756DF" w:rsidRDefault="001C3FAF" w:rsidP="001C3FAF">
            <w:pPr>
              <w:pStyle w:val="TableText0"/>
              <w:jc w:val="center"/>
            </w:pPr>
            <w:r w:rsidRPr="000756DF">
              <w:t>2.9% (2)</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Digitalis</w:t>
            </w:r>
          </w:p>
        </w:tc>
        <w:tc>
          <w:tcPr>
            <w:tcW w:w="2835" w:type="dxa"/>
            <w:noWrap/>
            <w:vAlign w:val="center"/>
            <w:hideMark/>
          </w:tcPr>
          <w:p w:rsidR="001C3FAF" w:rsidRPr="000756DF" w:rsidRDefault="001C3FAF" w:rsidP="001C3FAF">
            <w:pPr>
              <w:pStyle w:val="TableText0"/>
              <w:jc w:val="center"/>
            </w:pPr>
            <w:r w:rsidRPr="000756DF">
              <w:t>5.8% (5)</w:t>
            </w:r>
          </w:p>
        </w:tc>
        <w:tc>
          <w:tcPr>
            <w:tcW w:w="2551" w:type="dxa"/>
            <w:noWrap/>
            <w:vAlign w:val="center"/>
            <w:hideMark/>
          </w:tcPr>
          <w:p w:rsidR="001C3FAF" w:rsidRPr="000756DF" w:rsidRDefault="001C3FAF" w:rsidP="001C3FAF">
            <w:pPr>
              <w:pStyle w:val="TableText0"/>
              <w:jc w:val="center"/>
            </w:pPr>
            <w:r w:rsidRPr="000756DF">
              <w:t>2.9% (2)</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Diuretics</w:t>
            </w:r>
          </w:p>
        </w:tc>
        <w:tc>
          <w:tcPr>
            <w:tcW w:w="2835" w:type="dxa"/>
            <w:noWrap/>
            <w:vAlign w:val="center"/>
            <w:hideMark/>
          </w:tcPr>
          <w:p w:rsidR="001C3FAF" w:rsidRPr="000756DF" w:rsidRDefault="001C3FAF" w:rsidP="001C3FAF">
            <w:pPr>
              <w:pStyle w:val="TableText0"/>
              <w:jc w:val="center"/>
            </w:pPr>
            <w:r w:rsidRPr="000756DF">
              <w:t>26.7% (23)</w:t>
            </w:r>
          </w:p>
        </w:tc>
        <w:tc>
          <w:tcPr>
            <w:tcW w:w="2551" w:type="dxa"/>
            <w:noWrap/>
            <w:vAlign w:val="center"/>
            <w:hideMark/>
          </w:tcPr>
          <w:p w:rsidR="001C3FAF" w:rsidRPr="000756DF" w:rsidRDefault="001C3FAF" w:rsidP="001C3FAF">
            <w:pPr>
              <w:pStyle w:val="TableText0"/>
              <w:jc w:val="center"/>
            </w:pPr>
            <w:r w:rsidRPr="000756DF">
              <w:t>22.1% (15)</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Folic Acid</w:t>
            </w:r>
          </w:p>
        </w:tc>
        <w:tc>
          <w:tcPr>
            <w:tcW w:w="2835" w:type="dxa"/>
            <w:noWrap/>
            <w:vAlign w:val="center"/>
            <w:hideMark/>
          </w:tcPr>
          <w:p w:rsidR="001C3FAF" w:rsidRPr="000756DF" w:rsidRDefault="001C3FAF" w:rsidP="001C3FAF">
            <w:pPr>
              <w:pStyle w:val="TableText0"/>
              <w:jc w:val="center"/>
            </w:pPr>
            <w:r w:rsidRPr="000756DF">
              <w:t>5.8% (5)</w:t>
            </w:r>
          </w:p>
        </w:tc>
        <w:tc>
          <w:tcPr>
            <w:tcW w:w="2551" w:type="dxa"/>
            <w:noWrap/>
            <w:vAlign w:val="center"/>
            <w:hideMark/>
          </w:tcPr>
          <w:p w:rsidR="001C3FAF" w:rsidRPr="000756DF" w:rsidRDefault="001C3FAF" w:rsidP="001C3FAF">
            <w:pPr>
              <w:pStyle w:val="TableText0"/>
              <w:jc w:val="center"/>
            </w:pPr>
            <w:r w:rsidRPr="000756DF">
              <w:t>5.9% (4)</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Motility agents</w:t>
            </w:r>
          </w:p>
        </w:tc>
        <w:tc>
          <w:tcPr>
            <w:tcW w:w="2835" w:type="dxa"/>
            <w:noWrap/>
            <w:vAlign w:val="center"/>
            <w:hideMark/>
          </w:tcPr>
          <w:p w:rsidR="001C3FAF" w:rsidRPr="000756DF" w:rsidRDefault="001C3FAF" w:rsidP="001C3FAF">
            <w:pPr>
              <w:pStyle w:val="TableText0"/>
              <w:jc w:val="center"/>
            </w:pPr>
            <w:r w:rsidRPr="000756DF">
              <w:t>16.3% (14)</w:t>
            </w:r>
          </w:p>
        </w:tc>
        <w:tc>
          <w:tcPr>
            <w:tcW w:w="2551" w:type="dxa"/>
            <w:noWrap/>
            <w:vAlign w:val="center"/>
            <w:hideMark/>
          </w:tcPr>
          <w:p w:rsidR="001C3FAF" w:rsidRPr="000756DF" w:rsidRDefault="001C3FAF" w:rsidP="001C3FAF">
            <w:pPr>
              <w:pStyle w:val="TableText0"/>
              <w:jc w:val="center"/>
            </w:pPr>
            <w:r w:rsidRPr="000756DF">
              <w:t>14.7% (10)</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Narcotic pain med</w:t>
            </w:r>
            <w:r>
              <w:t>icine</w:t>
            </w:r>
            <w:r w:rsidRPr="000756DF">
              <w:t xml:space="preserve"> (for Fabry-related pain)</w:t>
            </w:r>
          </w:p>
        </w:tc>
        <w:tc>
          <w:tcPr>
            <w:tcW w:w="2835" w:type="dxa"/>
            <w:noWrap/>
            <w:vAlign w:val="center"/>
            <w:hideMark/>
          </w:tcPr>
          <w:p w:rsidR="001C3FAF" w:rsidRPr="000756DF" w:rsidRDefault="001C3FAF" w:rsidP="001C3FAF">
            <w:pPr>
              <w:pStyle w:val="TableText0"/>
              <w:jc w:val="center"/>
            </w:pPr>
            <w:r w:rsidRPr="000756DF">
              <w:t>5.8% (5)</w:t>
            </w:r>
          </w:p>
        </w:tc>
        <w:tc>
          <w:tcPr>
            <w:tcW w:w="2551" w:type="dxa"/>
            <w:noWrap/>
            <w:vAlign w:val="center"/>
            <w:hideMark/>
          </w:tcPr>
          <w:p w:rsidR="001C3FAF" w:rsidRPr="000756DF" w:rsidRDefault="001C3FAF" w:rsidP="001C3FAF">
            <w:pPr>
              <w:pStyle w:val="TableText0"/>
              <w:jc w:val="center"/>
            </w:pPr>
            <w:r w:rsidRPr="000756DF">
              <w:t>7.4% (5)</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Non-narcotic/analgesic (for Fabry-related pain)</w:t>
            </w:r>
          </w:p>
        </w:tc>
        <w:tc>
          <w:tcPr>
            <w:tcW w:w="2835" w:type="dxa"/>
            <w:noWrap/>
            <w:vAlign w:val="center"/>
            <w:hideMark/>
          </w:tcPr>
          <w:p w:rsidR="001C3FAF" w:rsidRPr="000756DF" w:rsidRDefault="001C3FAF" w:rsidP="001C3FAF">
            <w:pPr>
              <w:pStyle w:val="TableText0"/>
              <w:jc w:val="center"/>
            </w:pPr>
            <w:r w:rsidRPr="000756DF">
              <w:t>2.3% (2)</w:t>
            </w:r>
          </w:p>
        </w:tc>
        <w:tc>
          <w:tcPr>
            <w:tcW w:w="2551" w:type="dxa"/>
            <w:noWrap/>
            <w:vAlign w:val="center"/>
            <w:hideMark/>
          </w:tcPr>
          <w:p w:rsidR="001C3FAF" w:rsidRPr="000756DF" w:rsidRDefault="001C3FAF" w:rsidP="001C3FAF">
            <w:pPr>
              <w:pStyle w:val="TableText0"/>
              <w:jc w:val="center"/>
            </w:pPr>
            <w:r w:rsidRPr="000756DF">
              <w:t>2.9% (2)</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Statins</w:t>
            </w:r>
          </w:p>
        </w:tc>
        <w:tc>
          <w:tcPr>
            <w:tcW w:w="2835" w:type="dxa"/>
            <w:noWrap/>
            <w:vAlign w:val="center"/>
            <w:hideMark/>
          </w:tcPr>
          <w:p w:rsidR="001C3FAF" w:rsidRPr="000756DF" w:rsidRDefault="001C3FAF" w:rsidP="001C3FAF">
            <w:pPr>
              <w:pStyle w:val="TableText0"/>
              <w:jc w:val="center"/>
            </w:pPr>
            <w:r w:rsidRPr="000756DF">
              <w:t>69.8% (60)</w:t>
            </w:r>
          </w:p>
        </w:tc>
        <w:tc>
          <w:tcPr>
            <w:tcW w:w="2551" w:type="dxa"/>
            <w:noWrap/>
            <w:vAlign w:val="center"/>
            <w:hideMark/>
          </w:tcPr>
          <w:p w:rsidR="001C3FAF" w:rsidRPr="000756DF" w:rsidRDefault="001C3FAF" w:rsidP="001C3FAF">
            <w:pPr>
              <w:pStyle w:val="TableText0"/>
              <w:jc w:val="center"/>
            </w:pPr>
            <w:r w:rsidRPr="000756DF">
              <w:t>57.4% (39)</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Vitamin D</w:t>
            </w:r>
          </w:p>
        </w:tc>
        <w:tc>
          <w:tcPr>
            <w:tcW w:w="2835" w:type="dxa"/>
            <w:noWrap/>
            <w:vAlign w:val="center"/>
            <w:hideMark/>
          </w:tcPr>
          <w:p w:rsidR="001C3FAF" w:rsidRPr="000756DF" w:rsidRDefault="001C3FAF" w:rsidP="001C3FAF">
            <w:pPr>
              <w:pStyle w:val="TableText0"/>
              <w:jc w:val="center"/>
            </w:pPr>
            <w:r w:rsidRPr="000756DF">
              <w:t>9.3% (8)</w:t>
            </w:r>
          </w:p>
        </w:tc>
        <w:tc>
          <w:tcPr>
            <w:tcW w:w="2551" w:type="dxa"/>
            <w:noWrap/>
            <w:vAlign w:val="center"/>
            <w:hideMark/>
          </w:tcPr>
          <w:p w:rsidR="001C3FAF" w:rsidRPr="000756DF" w:rsidRDefault="001C3FAF" w:rsidP="001C3FAF">
            <w:pPr>
              <w:pStyle w:val="TableText0"/>
              <w:jc w:val="center"/>
            </w:pPr>
            <w:r w:rsidRPr="000756DF">
              <w:t>10.3% (7)</w:t>
            </w:r>
          </w:p>
        </w:tc>
      </w:tr>
      <w:tr w:rsidR="001C3FAF" w:rsidRPr="000756DF" w:rsidTr="001C3FAF">
        <w:trPr>
          <w:trHeight w:val="315"/>
        </w:trPr>
        <w:tc>
          <w:tcPr>
            <w:tcW w:w="3817" w:type="dxa"/>
            <w:noWrap/>
            <w:vAlign w:val="center"/>
            <w:hideMark/>
          </w:tcPr>
          <w:p w:rsidR="001C3FAF" w:rsidRPr="000756DF" w:rsidRDefault="001C3FAF" w:rsidP="001C3FAF">
            <w:pPr>
              <w:pStyle w:val="TableText0"/>
            </w:pPr>
            <w:r w:rsidRPr="000756DF">
              <w:t>Number of patients</w:t>
            </w:r>
          </w:p>
        </w:tc>
        <w:tc>
          <w:tcPr>
            <w:tcW w:w="2835" w:type="dxa"/>
            <w:noWrap/>
            <w:vAlign w:val="center"/>
            <w:hideMark/>
          </w:tcPr>
          <w:p w:rsidR="001C3FAF" w:rsidRPr="000756DF" w:rsidRDefault="001C3FAF" w:rsidP="001C3FAF">
            <w:pPr>
              <w:pStyle w:val="TableText0"/>
              <w:jc w:val="center"/>
            </w:pPr>
            <w:r w:rsidRPr="000756DF">
              <w:t>100% (86)</w:t>
            </w:r>
          </w:p>
        </w:tc>
        <w:tc>
          <w:tcPr>
            <w:tcW w:w="2551" w:type="dxa"/>
            <w:noWrap/>
            <w:vAlign w:val="center"/>
            <w:hideMark/>
          </w:tcPr>
          <w:p w:rsidR="001C3FAF" w:rsidRPr="000756DF" w:rsidRDefault="001C3FAF" w:rsidP="001C3FAF">
            <w:pPr>
              <w:pStyle w:val="TableText0"/>
              <w:jc w:val="center"/>
            </w:pPr>
            <w:r w:rsidRPr="000756DF">
              <w:t>100% (68)</w:t>
            </w:r>
          </w:p>
        </w:tc>
      </w:tr>
    </w:tbl>
    <w:p w:rsidR="001C3FAF" w:rsidRPr="00F84B63" w:rsidRDefault="007D301C" w:rsidP="00943DE1">
      <w:pPr>
        <w:pStyle w:val="TableNote"/>
        <w:spacing w:after="400"/>
        <w:ind w:left="0" w:firstLine="0"/>
      </w:pPr>
      <w:r>
        <w:t>*</w:t>
      </w:r>
      <w:r w:rsidR="00943DE1">
        <w:t>I</w:t>
      </w:r>
      <w:r w:rsidR="001C3FAF" w:rsidRPr="000756DF">
        <w:t xml:space="preserve">ncludes all </w:t>
      </w:r>
      <w:r>
        <w:t xml:space="preserve">concomitant therapies taken at any time and that have been recorded in </w:t>
      </w:r>
      <w:r w:rsidR="00943DE1">
        <w:t>the Australian Registry Data. ^I</w:t>
      </w:r>
      <w:r>
        <w:t>ncludes only those concomitant therapies that were reported as continuing at the time of data cut-off (i.e. excludes therapies that were ceased prior to the latest visit, or in patients no longer receiving a</w:t>
      </w:r>
      <w:r w:rsidR="00943DE1">
        <w:t xml:space="preserve"> drug through the LSDP</w:t>
      </w:r>
      <w:r>
        <w:t>)</w:t>
      </w:r>
      <w:r w:rsidR="00943DE1">
        <w:t>.</w:t>
      </w:r>
    </w:p>
    <w:p w:rsidR="00AE2A2A" w:rsidRDefault="00AE2A2A" w:rsidP="00AE2A2A">
      <w:pPr>
        <w:pStyle w:val="Heading4"/>
      </w:pPr>
      <w:r>
        <w:t>Impact of findings</w:t>
      </w:r>
    </w:p>
    <w:p w:rsidR="000362A6" w:rsidRDefault="00A75CC7" w:rsidP="00A75CC7">
      <w:r>
        <w:t xml:space="preserve">The systematic review did not identify any new high-level evidence on </w:t>
      </w:r>
      <w:r w:rsidR="001273BD">
        <w:t xml:space="preserve">the use of </w:t>
      </w:r>
      <w:r>
        <w:t>agalsidase alfa</w:t>
      </w:r>
      <w:r w:rsidR="001273BD">
        <w:t xml:space="preserve"> to treat Fabry disease</w:t>
      </w:r>
      <w:r>
        <w:t>, published since the drug was listed on the LSDP</w:t>
      </w:r>
      <w:r w:rsidR="005A77F0">
        <w:t xml:space="preserve"> (</w:t>
      </w:r>
      <w:r w:rsidR="00A72B26" w:rsidRPr="00716774">
        <w:t xml:space="preserve">Table </w:t>
      </w:r>
      <w:r w:rsidR="00A72B26">
        <w:rPr>
          <w:noProof/>
        </w:rPr>
        <w:t>60</w:t>
      </w:r>
      <w:r w:rsidR="005A77F0">
        <w:t>)</w:t>
      </w:r>
      <w:r>
        <w:t xml:space="preserve">. </w:t>
      </w:r>
    </w:p>
    <w:p w:rsidR="00A75CC7" w:rsidRDefault="001273BD" w:rsidP="00A75CC7">
      <w:r>
        <w:t xml:space="preserve">One small randomised trial was identified on the use of agalsidase beta, which was not included in the </w:t>
      </w:r>
      <w:r w:rsidR="00544A05">
        <w:t xml:space="preserve">agalsidase beta </w:t>
      </w:r>
      <w:r>
        <w:t xml:space="preserve">submission to </w:t>
      </w:r>
      <w:r w:rsidR="00F87099">
        <w:t>PBAC;</w:t>
      </w:r>
      <w:r w:rsidR="002D51AC">
        <w:t xml:space="preserve"> however, this trial only randomised six patients</w:t>
      </w:r>
      <w:r w:rsidR="00F84B63">
        <w:t xml:space="preserve">. Although the trial showed a trend towards favouring agalsidase beta over placebo at improving cardiac functioning, the study was not sufficiently powered for the difference to be considered statistically significant. </w:t>
      </w:r>
      <w:r w:rsidR="00544A05">
        <w:t>The findings from this</w:t>
      </w:r>
      <w:r w:rsidR="00F84B63">
        <w:t xml:space="preserve"> evidence </w:t>
      </w:r>
      <w:r w:rsidR="00544A05">
        <w:t>are</w:t>
      </w:r>
      <w:r w:rsidR="00F84B63">
        <w:t xml:space="preserve"> in keeping with the </w:t>
      </w:r>
      <w:r w:rsidR="00F70517">
        <w:t>initial recommendation</w:t>
      </w:r>
      <w:r w:rsidR="00F84B63">
        <w:t xml:space="preserve"> to fund agalsidase beta. </w:t>
      </w:r>
    </w:p>
    <w:p w:rsidR="00990DA3" w:rsidRDefault="00F84B63" w:rsidP="00A75CC7">
      <w:r>
        <w:t xml:space="preserve">The </w:t>
      </w:r>
      <w:r w:rsidR="00990DA3">
        <w:t xml:space="preserve">submission to the PBAC for funding of agalsidase </w:t>
      </w:r>
      <w:proofErr w:type="gramStart"/>
      <w:r w:rsidR="00990DA3">
        <w:t>alfa,</w:t>
      </w:r>
      <w:proofErr w:type="gramEnd"/>
      <w:r w:rsidR="00990DA3">
        <w:t xml:space="preserve"> claimed that patients’ glomerular filtration rate (GFR; a surrogate for kidney function) will improve or remain stable in patients taking the drug. However, the Australian data show</w:t>
      </w:r>
      <w:r w:rsidR="000362A6">
        <w:t>ed</w:t>
      </w:r>
      <w:r w:rsidR="00990DA3">
        <w:t xml:space="preserve"> </w:t>
      </w:r>
      <w:r w:rsidR="000362A6">
        <w:t xml:space="preserve">that patients receiving </w:t>
      </w:r>
      <w:r w:rsidR="000362A6">
        <w:lastRenderedPageBreak/>
        <w:t xml:space="preserve">agalsidase alfa had </w:t>
      </w:r>
      <w:proofErr w:type="gramStart"/>
      <w:r w:rsidR="00990DA3">
        <w:t>a</w:t>
      </w:r>
      <w:r w:rsidR="000362A6">
        <w:t xml:space="preserve"> 13</w:t>
      </w:r>
      <w:proofErr w:type="gramEnd"/>
      <w:r w:rsidR="000362A6">
        <w:t xml:space="preserve">% deterioration </w:t>
      </w:r>
      <w:r w:rsidR="00544A05">
        <w:t xml:space="preserve">in </w:t>
      </w:r>
      <w:r w:rsidR="000362A6">
        <w:t xml:space="preserve">GFR </w:t>
      </w:r>
      <w:r w:rsidR="00990DA3">
        <w:t>between baseline and 1-2 years of treatment</w:t>
      </w:r>
      <w:r w:rsidR="000362A6">
        <w:t xml:space="preserve">. Patients who received agalsidase beta had on average, stable GFR estimates (a 0.5% improvement). These results are difficult to interpret given the small number of patients and varying follow-up times, but may suggest the need for consistent methods of estimation of GFR at different time points. </w:t>
      </w:r>
    </w:p>
    <w:p w:rsidR="00AE2A2A" w:rsidRPr="00716774" w:rsidRDefault="00AE2A2A" w:rsidP="00AE2A2A">
      <w:pPr>
        <w:pStyle w:val="Caption"/>
        <w:keepNext/>
        <w:tabs>
          <w:tab w:val="clear" w:pos="851"/>
          <w:tab w:val="left" w:pos="1134"/>
        </w:tabs>
        <w:ind w:left="1134" w:hanging="1134"/>
      </w:pPr>
      <w:bookmarkStart w:id="283" w:name="_Ref412535775"/>
      <w:bookmarkStart w:id="284" w:name="_Toc415141857"/>
      <w:r w:rsidRPr="00716774">
        <w:t xml:space="preserve">Table </w:t>
      </w:r>
      <w:r w:rsidR="00A72B26">
        <w:rPr>
          <w:noProof/>
        </w:rPr>
        <w:t>60</w:t>
      </w:r>
      <w:bookmarkEnd w:id="283"/>
      <w:r w:rsidRPr="00305731">
        <w:t xml:space="preserve"> </w:t>
      </w:r>
      <w:r>
        <w:tab/>
        <w:t xml:space="preserve">Studies included </w:t>
      </w:r>
      <w:r w:rsidR="00F70517">
        <w:t>assessing</w:t>
      </w:r>
      <w:r w:rsidR="00544A05">
        <w:t xml:space="preserve"> </w:t>
      </w:r>
      <w:r>
        <w:t>drugs to treat Fabry disease</w:t>
      </w:r>
      <w:bookmarkEnd w:id="284"/>
    </w:p>
    <w:tbl>
      <w:tblPr>
        <w:tblStyle w:val="TableGrid1"/>
        <w:tblW w:w="9180" w:type="dxa"/>
        <w:tblLayout w:type="fixed"/>
        <w:tblLook w:val="04A0" w:firstRow="1" w:lastRow="0" w:firstColumn="1" w:lastColumn="0" w:noHBand="0" w:noVBand="1"/>
        <w:tblCaption w:val="Table 49  Current therapy of patients on the LSDP"/>
        <w:tblDescription w:val="Current therapy of Fabry patients on the LSDP in Australia"/>
      </w:tblPr>
      <w:tblGrid>
        <w:gridCol w:w="1485"/>
        <w:gridCol w:w="1600"/>
        <w:gridCol w:w="1985"/>
        <w:gridCol w:w="4110"/>
      </w:tblGrid>
      <w:tr w:rsidR="00AE2A2A" w:rsidRPr="000756DF" w:rsidTr="00AE2A2A">
        <w:trPr>
          <w:trHeight w:val="280"/>
          <w:tblHeader/>
        </w:trPr>
        <w:tc>
          <w:tcPr>
            <w:tcW w:w="1485" w:type="dxa"/>
            <w:noWrap/>
            <w:hideMark/>
          </w:tcPr>
          <w:p w:rsidR="00AE2A2A" w:rsidRPr="000756DF" w:rsidRDefault="00AE2A2A" w:rsidP="00AE2A2A">
            <w:pPr>
              <w:pStyle w:val="TableHeading"/>
            </w:pPr>
            <w:r>
              <w:t>Drug</w:t>
            </w:r>
          </w:p>
        </w:tc>
        <w:tc>
          <w:tcPr>
            <w:tcW w:w="1600" w:type="dxa"/>
          </w:tcPr>
          <w:p w:rsidR="00AE2A2A" w:rsidRPr="000756DF" w:rsidRDefault="00AE2A2A" w:rsidP="00AE2A2A">
            <w:pPr>
              <w:pStyle w:val="TableHeading"/>
            </w:pPr>
            <w:r>
              <w:t>Results</w:t>
            </w:r>
          </w:p>
        </w:tc>
        <w:tc>
          <w:tcPr>
            <w:tcW w:w="1985" w:type="dxa"/>
            <w:noWrap/>
            <w:hideMark/>
          </w:tcPr>
          <w:p w:rsidR="00AE2A2A" w:rsidRPr="000756DF" w:rsidRDefault="00AE2A2A" w:rsidP="00AE2A2A">
            <w:pPr>
              <w:pStyle w:val="TableHeading"/>
            </w:pPr>
            <w:r>
              <w:t>References</w:t>
            </w:r>
          </w:p>
        </w:tc>
        <w:tc>
          <w:tcPr>
            <w:tcW w:w="4110" w:type="dxa"/>
          </w:tcPr>
          <w:p w:rsidR="00AE2A2A" w:rsidRPr="000756DF" w:rsidRDefault="00AE2A2A" w:rsidP="00D12B65">
            <w:pPr>
              <w:pStyle w:val="TableHeading"/>
            </w:pPr>
            <w:r>
              <w:t xml:space="preserve">Evidence not included in </w:t>
            </w:r>
            <w:r w:rsidR="00D12B65">
              <w:t>submission to the PBAC</w:t>
            </w:r>
          </w:p>
        </w:tc>
      </w:tr>
      <w:tr w:rsidR="00AE2A2A" w:rsidRPr="000756DF" w:rsidTr="00AE2A2A">
        <w:trPr>
          <w:trHeight w:val="280"/>
        </w:trPr>
        <w:tc>
          <w:tcPr>
            <w:tcW w:w="1485" w:type="dxa"/>
            <w:noWrap/>
          </w:tcPr>
          <w:p w:rsidR="00AE2A2A" w:rsidRPr="000756DF" w:rsidRDefault="00AE2A2A" w:rsidP="00AE2A2A">
            <w:pPr>
              <w:pStyle w:val="TableText0"/>
            </w:pPr>
            <w:r>
              <w:t>Agalsidase alfa</w:t>
            </w:r>
          </w:p>
        </w:tc>
        <w:tc>
          <w:tcPr>
            <w:tcW w:w="1600" w:type="dxa"/>
          </w:tcPr>
          <w:p w:rsidR="00AE2A2A" w:rsidRPr="00F84B63" w:rsidRDefault="00AE2A2A" w:rsidP="00AE2A2A">
            <w:pPr>
              <w:pStyle w:val="TableText0"/>
              <w:rPr>
                <w:lang w:val="en-AU"/>
              </w:rPr>
            </w:pPr>
            <w:r w:rsidRPr="0068048E">
              <w:rPr>
                <w:lang w:val="en-AU"/>
              </w:rPr>
              <w:t xml:space="preserve">2 RCTs </w:t>
            </w:r>
            <w:r>
              <w:rPr>
                <w:lang w:val="en-AU"/>
              </w:rPr>
              <w:t xml:space="preserve">vs placebo </w:t>
            </w:r>
            <w:r w:rsidRPr="0068048E">
              <w:rPr>
                <w:lang w:val="en-AU"/>
              </w:rPr>
              <w:t xml:space="preserve">+ </w:t>
            </w:r>
            <w:r>
              <w:rPr>
                <w:lang w:val="en-AU"/>
              </w:rPr>
              <w:t>non-comparative extensions</w:t>
            </w:r>
          </w:p>
        </w:tc>
        <w:tc>
          <w:tcPr>
            <w:tcW w:w="1985" w:type="dxa"/>
            <w:noWrap/>
          </w:tcPr>
          <w:p w:rsidR="00AE2A2A" w:rsidRPr="0068048E" w:rsidRDefault="00AE2A2A" w:rsidP="00AE2A2A">
            <w:pPr>
              <w:pStyle w:val="TableText0"/>
              <w:rPr>
                <w:lang w:val="en-AU"/>
              </w:rPr>
            </w:pPr>
            <w:r w:rsidRPr="0068048E">
              <w:rPr>
                <w:lang w:val="en-AU"/>
              </w:rPr>
              <w:t>Hughes et al (2008), Schiffmann et al (2001), Moore et al (2001)</w:t>
            </w:r>
          </w:p>
        </w:tc>
        <w:tc>
          <w:tcPr>
            <w:tcW w:w="4110" w:type="dxa"/>
          </w:tcPr>
          <w:p w:rsidR="00AE2A2A" w:rsidRPr="000756DF" w:rsidRDefault="00AE2A2A" w:rsidP="00AE2A2A">
            <w:pPr>
              <w:pStyle w:val="TableText0"/>
            </w:pPr>
            <w:r>
              <w:t>No additional evidence</w:t>
            </w:r>
          </w:p>
        </w:tc>
      </w:tr>
      <w:tr w:rsidR="00AE2A2A" w:rsidRPr="000756DF" w:rsidTr="00AE2A2A">
        <w:trPr>
          <w:trHeight w:val="280"/>
        </w:trPr>
        <w:tc>
          <w:tcPr>
            <w:tcW w:w="1485" w:type="dxa"/>
            <w:noWrap/>
          </w:tcPr>
          <w:p w:rsidR="00AE2A2A" w:rsidRDefault="00AE2A2A" w:rsidP="00AE2A2A">
            <w:pPr>
              <w:pStyle w:val="TableText0"/>
            </w:pPr>
            <w:r>
              <w:t>Agalsidase beta</w:t>
            </w:r>
          </w:p>
        </w:tc>
        <w:tc>
          <w:tcPr>
            <w:tcW w:w="1600" w:type="dxa"/>
          </w:tcPr>
          <w:p w:rsidR="00AE2A2A" w:rsidRDefault="00AE2A2A" w:rsidP="00AE2A2A">
            <w:pPr>
              <w:pStyle w:val="TableText0"/>
            </w:pPr>
            <w:r>
              <w:t>3 RCTs</w:t>
            </w:r>
          </w:p>
        </w:tc>
        <w:tc>
          <w:tcPr>
            <w:tcW w:w="1985" w:type="dxa"/>
            <w:noWrap/>
          </w:tcPr>
          <w:p w:rsidR="00AE2A2A" w:rsidRPr="00F84B63" w:rsidRDefault="00AE2A2A" w:rsidP="00AE2A2A">
            <w:pPr>
              <w:pStyle w:val="TableText0"/>
            </w:pPr>
            <w:r w:rsidRPr="0068048E">
              <w:t>Banikazemi et al (2007), Bierer et al (2006), Eng et al (2001) + ext</w:t>
            </w:r>
            <w:r>
              <w:t>ensions</w:t>
            </w:r>
            <w:r w:rsidRPr="0068048E">
              <w:t xml:space="preserve"> (Thurberg et al (2002, 2004) and Wilcox et al (2004)</w:t>
            </w:r>
            <w:r>
              <w:t>)</w:t>
            </w:r>
          </w:p>
        </w:tc>
        <w:tc>
          <w:tcPr>
            <w:tcW w:w="4110" w:type="dxa"/>
          </w:tcPr>
          <w:p w:rsidR="00AE2A2A" w:rsidRDefault="00AE2A2A" w:rsidP="00AE2A2A">
            <w:pPr>
              <w:pStyle w:val="TableText0"/>
            </w:pPr>
            <w:r>
              <w:t xml:space="preserve">Study was Bierer et al (2006) was not included in the submission to the PBAC. However, this study was very small (6 patients). This study reported that cardiac function was better in patients treated with agalsidase beta than placebo (but not statistically significant). </w:t>
            </w:r>
          </w:p>
        </w:tc>
      </w:tr>
      <w:tr w:rsidR="00AE2A2A" w:rsidRPr="000756DF" w:rsidTr="00AE2A2A">
        <w:trPr>
          <w:trHeight w:val="280"/>
        </w:trPr>
        <w:tc>
          <w:tcPr>
            <w:tcW w:w="1485" w:type="dxa"/>
            <w:noWrap/>
          </w:tcPr>
          <w:p w:rsidR="00AE2A2A" w:rsidRDefault="00AE2A2A" w:rsidP="00AE2A2A">
            <w:pPr>
              <w:pStyle w:val="TableText0"/>
            </w:pPr>
            <w:r>
              <w:t>Agalsidase alfa vs agalsidase beta</w:t>
            </w:r>
          </w:p>
        </w:tc>
        <w:tc>
          <w:tcPr>
            <w:tcW w:w="1600" w:type="dxa"/>
          </w:tcPr>
          <w:p w:rsidR="00AE2A2A" w:rsidRDefault="00AE2A2A" w:rsidP="00AE2A2A">
            <w:pPr>
              <w:pStyle w:val="TableText0"/>
            </w:pPr>
            <w:r>
              <w:t>1 RCT</w:t>
            </w:r>
          </w:p>
        </w:tc>
        <w:tc>
          <w:tcPr>
            <w:tcW w:w="1985" w:type="dxa"/>
            <w:noWrap/>
          </w:tcPr>
          <w:p w:rsidR="00AE2A2A" w:rsidRPr="0068048E" w:rsidRDefault="00AE2A2A" w:rsidP="00AE2A2A">
            <w:pPr>
              <w:pStyle w:val="TableText0"/>
            </w:pPr>
            <w:r w:rsidRPr="0068048E">
              <w:t>Vedder et al (2007)</w:t>
            </w:r>
          </w:p>
          <w:p w:rsidR="00AE2A2A" w:rsidRPr="0068048E" w:rsidRDefault="00AE2A2A" w:rsidP="00AE2A2A">
            <w:pPr>
              <w:pStyle w:val="TableText0"/>
              <w:rPr>
                <w:lang w:val="en-AU"/>
              </w:rPr>
            </w:pPr>
          </w:p>
        </w:tc>
        <w:tc>
          <w:tcPr>
            <w:tcW w:w="4110" w:type="dxa"/>
          </w:tcPr>
          <w:p w:rsidR="00AE2A2A" w:rsidRPr="0068048E" w:rsidRDefault="00AE2A2A" w:rsidP="00AE2A2A">
            <w:pPr>
              <w:pStyle w:val="TableText0"/>
              <w:rPr>
                <w:lang w:val="en-AU"/>
              </w:rPr>
            </w:pPr>
            <w:r>
              <w:t>No additional evidence</w:t>
            </w:r>
          </w:p>
        </w:tc>
      </w:tr>
    </w:tbl>
    <w:p w:rsidR="00AE2A2A" w:rsidRDefault="00AE2A2A" w:rsidP="00AE2A2A">
      <w:pPr>
        <w:pStyle w:val="TableNote"/>
      </w:pPr>
      <w:r>
        <w:t xml:space="preserve">RCT = randomised controlled trial </w:t>
      </w:r>
    </w:p>
    <w:p w:rsidR="00AE2A2A" w:rsidRDefault="00AE2A2A" w:rsidP="00AE2A2A"/>
    <w:p w:rsidR="000756DF" w:rsidRDefault="000756DF" w:rsidP="004E15DD">
      <w:pPr>
        <w:spacing w:after="0" w:line="240" w:lineRule="auto"/>
        <w:jc w:val="left"/>
        <w:rPr>
          <w:i/>
          <w:highlight w:val="yellow"/>
        </w:rPr>
      </w:pPr>
      <w:r>
        <w:rPr>
          <w:i/>
          <w:highlight w:val="yellow"/>
        </w:rPr>
        <w:br w:type="page"/>
      </w:r>
    </w:p>
    <w:p w:rsidR="00712792" w:rsidRDefault="008A3197" w:rsidP="00E965BD">
      <w:pPr>
        <w:pStyle w:val="Heading3"/>
      </w:pPr>
      <w:r>
        <w:lastRenderedPageBreak/>
        <w:t>Medicine</w:t>
      </w:r>
      <w:r w:rsidR="00712792">
        <w:t xml:space="preserve"> to treat Infantile Onset Pompe Disease</w:t>
      </w:r>
    </w:p>
    <w:p w:rsidR="005C6842" w:rsidRDefault="005C6842" w:rsidP="005C6842">
      <w:pPr>
        <w:rPr>
          <w:rFonts w:ascii="Arial Narrow" w:hAnsi="Arial Narrow" w:cstheme="minorHAnsi"/>
          <w:b/>
        </w:rPr>
      </w:pPr>
    </w:p>
    <w:p w:rsidR="005C6842" w:rsidRPr="009A0365" w:rsidRDefault="005C6842" w:rsidP="00E502C3">
      <w:pPr>
        <w:pBdr>
          <w:top w:val="single" w:sz="4" w:space="4" w:color="auto"/>
          <w:left w:val="single" w:sz="4" w:space="4" w:color="auto"/>
          <w:bottom w:val="single" w:sz="4" w:space="4" w:color="auto"/>
          <w:right w:val="single" w:sz="4" w:space="4" w:color="auto"/>
        </w:pBdr>
        <w:rPr>
          <w:rFonts w:ascii="Arial Narrow" w:hAnsi="Arial Narrow" w:cstheme="minorHAnsi"/>
          <w:b/>
        </w:rPr>
      </w:pPr>
      <w:r w:rsidRPr="009A0365">
        <w:rPr>
          <w:rFonts w:ascii="Arial Narrow" w:hAnsi="Arial Narrow" w:cstheme="minorHAnsi"/>
          <w:b/>
        </w:rPr>
        <w:t xml:space="preserve">Is alglucosidase alfa </w:t>
      </w:r>
      <w:r w:rsidRPr="009A0365">
        <w:rPr>
          <w:rFonts w:ascii="Arial Narrow" w:hAnsi="Arial Narrow" w:cstheme="minorHAnsi"/>
          <w:b/>
          <w:sz w:val="22"/>
          <w:szCs w:val="22"/>
        </w:rPr>
        <w:t>safe</w:t>
      </w:r>
      <w:r w:rsidRPr="009A0365">
        <w:rPr>
          <w:rFonts w:ascii="Arial Narrow" w:hAnsi="Arial Narrow" w:cstheme="minorHAnsi"/>
          <w:b/>
        </w:rPr>
        <w:t xml:space="preserve"> and effective compared to standard palliative care with/without placebo for treating patients with Infantile Onset Pompe Disease?</w:t>
      </w:r>
    </w:p>
    <w:p w:rsidR="005C6842" w:rsidRDefault="005C6842" w:rsidP="00E502C3">
      <w:pPr>
        <w:pBdr>
          <w:top w:val="single" w:sz="4" w:space="4" w:color="auto"/>
          <w:left w:val="single" w:sz="4" w:space="4" w:color="auto"/>
          <w:bottom w:val="single" w:sz="4" w:space="4" w:color="auto"/>
          <w:right w:val="single" w:sz="4" w:space="4" w:color="auto"/>
        </w:pBdr>
        <w:rPr>
          <w:rFonts w:ascii="Arial Narrow" w:hAnsi="Arial Narrow"/>
          <w:sz w:val="22"/>
          <w:szCs w:val="22"/>
        </w:rPr>
      </w:pPr>
      <w:r>
        <w:rPr>
          <w:rFonts w:ascii="Arial Narrow" w:hAnsi="Arial Narrow"/>
          <w:sz w:val="22"/>
          <w:szCs w:val="22"/>
        </w:rPr>
        <w:t xml:space="preserve">The submission to </w:t>
      </w:r>
      <w:r w:rsidR="00544A05">
        <w:rPr>
          <w:rFonts w:ascii="Arial Narrow" w:hAnsi="Arial Narrow"/>
          <w:sz w:val="22"/>
          <w:szCs w:val="22"/>
        </w:rPr>
        <w:t xml:space="preserve">the </w:t>
      </w:r>
      <w:r>
        <w:rPr>
          <w:rFonts w:ascii="Arial Narrow" w:hAnsi="Arial Narrow"/>
          <w:sz w:val="22"/>
          <w:szCs w:val="22"/>
        </w:rPr>
        <w:t>PBAC claimed that alglucosidase alfa is superior to standard (palliative) therapy. The PBAC considered that alglucosidase alfa met the criteria for the LSDP a</w:t>
      </w:r>
      <w:r w:rsidR="00CA562C">
        <w:rPr>
          <w:rFonts w:ascii="Arial Narrow" w:hAnsi="Arial Narrow"/>
          <w:sz w:val="22"/>
          <w:szCs w:val="22"/>
        </w:rPr>
        <w:t>s</w:t>
      </w:r>
      <w:r>
        <w:rPr>
          <w:rFonts w:ascii="Arial Narrow" w:hAnsi="Arial Narrow"/>
          <w:sz w:val="22"/>
          <w:szCs w:val="22"/>
        </w:rPr>
        <w:t xml:space="preserve"> it extended survival in patients with infantile-onset Pompe disease, although survival did not extend beyond early childhood. No new studies were identified to alter this conclusion, although longer term data were available for one of the historical control studies. </w:t>
      </w:r>
    </w:p>
    <w:p w:rsidR="005C6842" w:rsidRDefault="005C6842" w:rsidP="00E502C3">
      <w:pPr>
        <w:pBdr>
          <w:top w:val="single" w:sz="4" w:space="4" w:color="auto"/>
          <w:left w:val="single" w:sz="4" w:space="4" w:color="auto"/>
          <w:bottom w:val="single" w:sz="4" w:space="4" w:color="auto"/>
          <w:right w:val="single" w:sz="4" w:space="4" w:color="auto"/>
        </w:pBdr>
        <w:rPr>
          <w:rFonts w:ascii="Arial Narrow" w:hAnsi="Arial Narrow"/>
          <w:sz w:val="22"/>
          <w:szCs w:val="22"/>
        </w:rPr>
      </w:pPr>
      <w:r w:rsidRPr="00043F9B">
        <w:rPr>
          <w:rFonts w:ascii="Arial Narrow" w:hAnsi="Arial Narrow"/>
          <w:sz w:val="22"/>
          <w:szCs w:val="22"/>
        </w:rPr>
        <w:t>Three historic control studies provide low quality, but consistent, evidence that alglucosidase alfa prolongs survival in infants with infantile onset Pompe disease, across a range of populations varying in respect to the severity and stage of development of the disease</w:t>
      </w:r>
      <w:r>
        <w:rPr>
          <w:rFonts w:ascii="Arial Narrow" w:hAnsi="Arial Narrow"/>
          <w:sz w:val="22"/>
          <w:szCs w:val="22"/>
        </w:rPr>
        <w:t xml:space="preserve"> </w:t>
      </w:r>
      <w:r w:rsidRPr="009101DD">
        <w:rPr>
          <w:rFonts w:ascii="Arial Narrow" w:hAnsi="Arial Narrow"/>
          <w:sz w:val="22"/>
          <w:szCs w:val="22"/>
        </w:rPr>
        <w:t>(GRADE</w:t>
      </w:r>
      <w:r>
        <w:t xml:space="preserve"> </w:t>
      </w:r>
      <w:r w:rsidRPr="00D4733A">
        <w:rPr>
          <w:rFonts w:ascii="Cambria Math" w:hAnsi="Cambria Math" w:cs="Cambria Math"/>
          <w:color w:val="00B050"/>
        </w:rPr>
        <w:t>⨁⨁</w:t>
      </w:r>
      <w:r w:rsidRPr="00D4733A">
        <w:rPr>
          <w:rFonts w:ascii="Cambria Math" w:hAnsi="Cambria Math" w:cs="Cambria Math"/>
          <w:color w:val="C00000"/>
        </w:rPr>
        <w:t>⨀⨀</w:t>
      </w:r>
      <w:r w:rsidRPr="009101DD">
        <w:rPr>
          <w:rFonts w:ascii="Arial Narrow" w:hAnsi="Arial Narrow"/>
          <w:sz w:val="22"/>
          <w:szCs w:val="22"/>
        </w:rPr>
        <w:t>).</w:t>
      </w:r>
      <w:r>
        <w:rPr>
          <w:rFonts w:ascii="Arial Narrow" w:hAnsi="Arial Narrow"/>
          <w:sz w:val="22"/>
          <w:szCs w:val="22"/>
        </w:rPr>
        <w:t xml:space="preserve"> Two of these studies also provide low quality evidence that alglucosidase alfa also prolongs invasive ventilation-free survival </w:t>
      </w:r>
      <w:r w:rsidRPr="009101DD">
        <w:rPr>
          <w:rFonts w:ascii="Arial Narrow" w:hAnsi="Arial Narrow"/>
          <w:sz w:val="22"/>
          <w:szCs w:val="22"/>
        </w:rPr>
        <w:t>(GRADE</w:t>
      </w:r>
      <w:r>
        <w:t xml:space="preserve"> </w:t>
      </w:r>
      <w:r w:rsidRPr="00D4733A">
        <w:rPr>
          <w:rFonts w:ascii="Cambria Math" w:hAnsi="Cambria Math" w:cs="Cambria Math"/>
          <w:color w:val="00B050"/>
        </w:rPr>
        <w:t>⨁⨁</w:t>
      </w:r>
      <w:r w:rsidRPr="00D4733A">
        <w:rPr>
          <w:rFonts w:ascii="Cambria Math" w:hAnsi="Cambria Math" w:cs="Cambria Math"/>
          <w:color w:val="C00000"/>
        </w:rPr>
        <w:t>⨀⨀</w:t>
      </w:r>
      <w:r w:rsidRPr="009101DD">
        <w:rPr>
          <w:rFonts w:ascii="Arial Narrow" w:hAnsi="Arial Narrow"/>
          <w:sz w:val="22"/>
          <w:szCs w:val="22"/>
        </w:rPr>
        <w:t>)</w:t>
      </w:r>
      <w:r>
        <w:rPr>
          <w:rFonts w:ascii="Arial Narrow" w:hAnsi="Arial Narrow"/>
          <w:sz w:val="22"/>
          <w:szCs w:val="22"/>
        </w:rPr>
        <w:t xml:space="preserve">. </w:t>
      </w:r>
      <w:r w:rsidRPr="00043F9B">
        <w:rPr>
          <w:rFonts w:ascii="Arial Narrow" w:hAnsi="Arial Narrow"/>
          <w:sz w:val="22"/>
          <w:szCs w:val="22"/>
        </w:rPr>
        <w:t>The effectiveness of alglucosidase alfa on survival beyond the limited duration of these studies has not been assessed</w:t>
      </w:r>
      <w:r>
        <w:rPr>
          <w:rFonts w:ascii="Arial Narrow" w:hAnsi="Arial Narrow"/>
          <w:sz w:val="22"/>
          <w:szCs w:val="22"/>
        </w:rPr>
        <w:t xml:space="preserve">. </w:t>
      </w:r>
    </w:p>
    <w:p w:rsidR="005C6842" w:rsidRDefault="005C6842" w:rsidP="00E502C3">
      <w:pPr>
        <w:pBdr>
          <w:top w:val="single" w:sz="4" w:space="4" w:color="auto"/>
          <w:left w:val="single" w:sz="4" w:space="4" w:color="auto"/>
          <w:bottom w:val="single" w:sz="4" w:space="4" w:color="auto"/>
          <w:right w:val="single" w:sz="4" w:space="4" w:color="auto"/>
        </w:pBdr>
        <w:rPr>
          <w:rFonts w:ascii="Arial Narrow" w:hAnsi="Arial Narrow"/>
          <w:sz w:val="22"/>
          <w:szCs w:val="22"/>
        </w:rPr>
      </w:pPr>
      <w:r w:rsidRPr="00AF0263">
        <w:rPr>
          <w:rFonts w:ascii="Arial Narrow" w:hAnsi="Arial Narrow"/>
          <w:sz w:val="22"/>
          <w:szCs w:val="22"/>
        </w:rPr>
        <w:t>There is evidence to suggest that the presence of cross-react</w:t>
      </w:r>
      <w:r>
        <w:rPr>
          <w:rFonts w:ascii="Arial Narrow" w:hAnsi="Arial Narrow"/>
          <w:sz w:val="22"/>
          <w:szCs w:val="22"/>
        </w:rPr>
        <w:t xml:space="preserve">ive immunologic material </w:t>
      </w:r>
      <w:r w:rsidRPr="00AF0263">
        <w:rPr>
          <w:rFonts w:ascii="Arial Narrow" w:hAnsi="Arial Narrow"/>
          <w:sz w:val="22"/>
          <w:szCs w:val="22"/>
        </w:rPr>
        <w:t>or a high antibody titre may have a deleterious effect on response to ERT.</w:t>
      </w:r>
    </w:p>
    <w:p w:rsidR="000756DF" w:rsidRDefault="005C6842" w:rsidP="00E502C3">
      <w:pPr>
        <w:pBdr>
          <w:top w:val="single" w:sz="4" w:space="4" w:color="auto"/>
          <w:left w:val="single" w:sz="4" w:space="4" w:color="auto"/>
          <w:bottom w:val="single" w:sz="4" w:space="4" w:color="auto"/>
          <w:right w:val="single" w:sz="4" w:space="4" w:color="auto"/>
        </w:pBdr>
      </w:pPr>
      <w:r>
        <w:rPr>
          <w:rFonts w:ascii="Arial Narrow" w:hAnsi="Arial Narrow"/>
          <w:sz w:val="22"/>
          <w:szCs w:val="22"/>
        </w:rPr>
        <w:t>There are no data on the comparative safety of alglucosidase alfa versus standard palliative care in these patients. Serious hypersensitivity reactions, including life-threatening anaphylactic reactions, have been observed in infantile-onset Pompe patients during alglucosidase alfa treatment.</w:t>
      </w:r>
    </w:p>
    <w:p w:rsidR="002120D8" w:rsidRDefault="002120D8" w:rsidP="00E965BD"/>
    <w:p w:rsidR="000756DF" w:rsidRPr="000756DF" w:rsidRDefault="000756DF" w:rsidP="00A979FB">
      <w:pPr>
        <w:pStyle w:val="Heading4"/>
      </w:pPr>
      <w:r w:rsidRPr="000756DF">
        <w:t>Background</w:t>
      </w:r>
    </w:p>
    <w:p w:rsidR="00DA52FA" w:rsidRDefault="00DA52FA" w:rsidP="00DA52FA">
      <w:pPr>
        <w:pStyle w:val="Heading5"/>
      </w:pPr>
      <w:r>
        <w:t>Pompe disease</w:t>
      </w:r>
    </w:p>
    <w:p w:rsidR="000756DF" w:rsidRPr="000756DF" w:rsidRDefault="000756DF" w:rsidP="000756DF">
      <w:pPr>
        <w:rPr>
          <w:rFonts w:cstheme="minorHAnsi"/>
        </w:rPr>
      </w:pPr>
      <w:r w:rsidRPr="000756DF">
        <w:rPr>
          <w:rFonts w:cstheme="minorHAnsi"/>
        </w:rPr>
        <w:t xml:space="preserve">Pompe disease is a progressive neuromuscular disorder caused by an autosomal recessively inherited deficiency of the lysosomal enzyme that degrades acid alfa-glucosidase (GAA) </w:t>
      </w:r>
      <w:r w:rsidR="00A130D0">
        <w:rPr>
          <w:rFonts w:cstheme="minorHAnsi"/>
          <w:noProof/>
        </w:rPr>
        <w:t>(</w:t>
      </w:r>
      <w:r w:rsidR="00184B6F">
        <w:rPr>
          <w:rFonts w:cstheme="minorHAnsi"/>
          <w:noProof/>
        </w:rPr>
        <w:t>Chakrapani et al. 2010</w:t>
      </w:r>
      <w:r w:rsidR="00A130D0">
        <w:rPr>
          <w:rFonts w:cstheme="minorHAnsi"/>
          <w:noProof/>
        </w:rPr>
        <w:t>)</w:t>
      </w:r>
      <w:r w:rsidRPr="000756DF">
        <w:rPr>
          <w:rFonts w:cstheme="minorHAnsi"/>
        </w:rPr>
        <w:t>. The resulting lysosomal and cytoplasmic accumulation of glycogen disrupts the cytoarchitecture and fu</w:t>
      </w:r>
      <w:r w:rsidR="008B42B1">
        <w:rPr>
          <w:rFonts w:cstheme="minorHAnsi"/>
        </w:rPr>
        <w:t>n</w:t>
      </w:r>
      <w:r w:rsidRPr="000756DF">
        <w:rPr>
          <w:rFonts w:cstheme="minorHAnsi"/>
        </w:rPr>
        <w:t xml:space="preserve">ction of affected cells, leading to multisystem disease and often to early death </w:t>
      </w:r>
      <w:r w:rsidR="00BD4A3A">
        <w:rPr>
          <w:rFonts w:cstheme="minorHAnsi"/>
          <w:noProof/>
        </w:rPr>
        <w:t>(</w:t>
      </w:r>
      <w:r w:rsidR="00184B6F">
        <w:rPr>
          <w:rFonts w:cstheme="minorHAnsi"/>
          <w:noProof/>
        </w:rPr>
        <w:t>Kishnani, PS, Hwu, et al. 2006</w:t>
      </w:r>
      <w:r w:rsidR="00BD4A3A">
        <w:rPr>
          <w:rFonts w:cstheme="minorHAnsi"/>
          <w:noProof/>
        </w:rPr>
        <w:t>)</w:t>
      </w:r>
      <w:r w:rsidRPr="000756DF">
        <w:rPr>
          <w:rFonts w:cstheme="minorHAnsi"/>
        </w:rPr>
        <w:t xml:space="preserve">. </w:t>
      </w:r>
    </w:p>
    <w:p w:rsidR="000756DF" w:rsidRDefault="000756DF" w:rsidP="000756DF">
      <w:pPr>
        <w:rPr>
          <w:rFonts w:cstheme="minorHAnsi"/>
        </w:rPr>
      </w:pPr>
      <w:r w:rsidRPr="000756DF">
        <w:rPr>
          <w:rFonts w:cstheme="minorHAnsi"/>
        </w:rPr>
        <w:t xml:space="preserve">In a retrospective, multinational study on the natural history of infantile onset Pompe disease, based on retrospective chart reviews of 168 patients with documented GAA deficiency, the median age at symptom onset was 2.0 months, </w:t>
      </w:r>
      <w:r w:rsidR="00215988">
        <w:rPr>
          <w:rFonts w:cstheme="minorHAnsi"/>
        </w:rPr>
        <w:t xml:space="preserve">and infants were a median of </w:t>
      </w:r>
      <w:r w:rsidR="00215988" w:rsidRPr="000756DF">
        <w:rPr>
          <w:rFonts w:cstheme="minorHAnsi"/>
        </w:rPr>
        <w:t xml:space="preserve">4.7 months </w:t>
      </w:r>
      <w:r w:rsidR="00215988">
        <w:rPr>
          <w:rFonts w:cstheme="minorHAnsi"/>
        </w:rPr>
        <w:t>old at diagnosis</w:t>
      </w:r>
      <w:r w:rsidRPr="000756DF">
        <w:rPr>
          <w:rFonts w:cstheme="minorHAnsi"/>
        </w:rPr>
        <w:t xml:space="preserve">, 5.9 months at first ventilator support, and 8.7 months at death </w:t>
      </w:r>
      <w:r w:rsidR="00BD4A3A">
        <w:rPr>
          <w:rFonts w:cstheme="minorHAnsi"/>
          <w:noProof/>
        </w:rPr>
        <w:t>(</w:t>
      </w:r>
      <w:r w:rsidR="00184B6F">
        <w:rPr>
          <w:rFonts w:cstheme="minorHAnsi"/>
          <w:noProof/>
        </w:rPr>
        <w:t>Kishnani, PS, Hwu, et al. 2006</w:t>
      </w:r>
      <w:r w:rsidR="00BD4A3A">
        <w:rPr>
          <w:rFonts w:cstheme="minorHAnsi"/>
          <w:noProof/>
        </w:rPr>
        <w:t>)</w:t>
      </w:r>
      <w:r w:rsidRPr="000756DF">
        <w:rPr>
          <w:rFonts w:cstheme="minorHAnsi"/>
        </w:rPr>
        <w:t xml:space="preserve">. Survival rates were 25.7% at 12 months of age and 12.3% at 18 months of age, while the corresponding ventilator-free survival rates were 16.9% and 6.7%. Symptoms included cardiomegaly (92%), hypotonia (88%), respiratory distress (78%), muscle weakness (63%), feeding difficulties (57%), and failure to thrive (53%) </w:t>
      </w:r>
      <w:r w:rsidR="00BD4A3A">
        <w:rPr>
          <w:rFonts w:cstheme="minorHAnsi"/>
          <w:noProof/>
        </w:rPr>
        <w:t>(</w:t>
      </w:r>
      <w:r w:rsidR="00184B6F">
        <w:rPr>
          <w:rFonts w:cstheme="minorHAnsi"/>
          <w:noProof/>
        </w:rPr>
        <w:t>Kishnani, PS, Hwu, et al. 2006</w:t>
      </w:r>
      <w:r w:rsidR="00BD4A3A">
        <w:rPr>
          <w:rFonts w:cstheme="minorHAnsi"/>
          <w:noProof/>
        </w:rPr>
        <w:t>)</w:t>
      </w:r>
      <w:r w:rsidRPr="000756DF">
        <w:rPr>
          <w:rFonts w:cstheme="minorHAnsi"/>
        </w:rPr>
        <w:t>.</w:t>
      </w:r>
    </w:p>
    <w:p w:rsidR="00DA52FA" w:rsidRDefault="00DA52FA" w:rsidP="00DA52FA">
      <w:pPr>
        <w:pStyle w:val="Heading5"/>
      </w:pPr>
      <w:r>
        <w:lastRenderedPageBreak/>
        <w:t>Pre-enzyme replacement therapy</w:t>
      </w:r>
    </w:p>
    <w:p w:rsidR="00DA52FA" w:rsidRDefault="00DA52FA" w:rsidP="000756DF">
      <w:pPr>
        <w:rPr>
          <w:rFonts w:cstheme="minorHAnsi"/>
        </w:rPr>
      </w:pPr>
      <w:r>
        <w:rPr>
          <w:rFonts w:cstheme="minorHAnsi"/>
        </w:rPr>
        <w:t xml:space="preserve">Prior to enzyme replacement therapy being available for </w:t>
      </w:r>
      <w:r w:rsidR="00BC73EA">
        <w:rPr>
          <w:rFonts w:cstheme="minorHAnsi"/>
        </w:rPr>
        <w:t xml:space="preserve">infantile onset </w:t>
      </w:r>
      <w:r>
        <w:rPr>
          <w:rFonts w:cstheme="minorHAnsi"/>
        </w:rPr>
        <w:t xml:space="preserve">Pompe disease, </w:t>
      </w:r>
      <w:r w:rsidR="00BC73EA">
        <w:rPr>
          <w:rFonts w:cstheme="minorHAnsi"/>
        </w:rPr>
        <w:t xml:space="preserve">there was no specific treatment to treat the disease. Supportive care and palliative care </w:t>
      </w:r>
      <w:r w:rsidR="00CA1274" w:rsidRPr="000756DF">
        <w:t>(including intensive respiratory support, cardiac care, dietary therapy and rehabilitative services)</w:t>
      </w:r>
      <w:r w:rsidR="00CA1274">
        <w:t xml:space="preserve"> </w:t>
      </w:r>
      <w:r w:rsidR="00BC73EA">
        <w:rPr>
          <w:rFonts w:cstheme="minorHAnsi"/>
        </w:rPr>
        <w:t xml:space="preserve">were therefore the only options available. </w:t>
      </w:r>
    </w:p>
    <w:p w:rsidR="00DA52FA" w:rsidRPr="000756DF" w:rsidRDefault="00DA52FA" w:rsidP="00DA52FA">
      <w:pPr>
        <w:pStyle w:val="Heading5"/>
      </w:pPr>
      <w:r>
        <w:t>Enzyme replacement therapy</w:t>
      </w:r>
    </w:p>
    <w:p w:rsidR="000756DF" w:rsidRPr="000756DF" w:rsidRDefault="000756DF" w:rsidP="000756DF">
      <w:pPr>
        <w:rPr>
          <w:rFonts w:cstheme="minorHAnsi"/>
        </w:rPr>
      </w:pPr>
      <w:r w:rsidRPr="000756DF">
        <w:rPr>
          <w:rFonts w:cstheme="minorHAnsi"/>
        </w:rPr>
        <w:t>Enzyme replacement therapy with alglucosidase alfa (Myozyme®) was first included in the Australian Register of Therapeutic Goods (ARTG) in March 2008</w:t>
      </w:r>
      <w:r w:rsidR="00BC73EA">
        <w:rPr>
          <w:rFonts w:cstheme="minorHAnsi"/>
        </w:rPr>
        <w:t>, and subsidised through the LSDP since 2010</w:t>
      </w:r>
      <w:r w:rsidRPr="000756DF">
        <w:rPr>
          <w:rFonts w:cstheme="minorHAnsi"/>
        </w:rPr>
        <w:t xml:space="preserve">. </w:t>
      </w:r>
      <w:r w:rsidR="00BC73EA">
        <w:rPr>
          <w:rFonts w:cstheme="minorHAnsi"/>
        </w:rPr>
        <w:t>Alglucosidase alfa</w:t>
      </w:r>
      <w:r w:rsidRPr="000756DF">
        <w:rPr>
          <w:rFonts w:cstheme="minorHAnsi"/>
        </w:rPr>
        <w:t xml:space="preserve"> is a purified form of the lysosomal enzyme GAA, which is produced by recombinant DNA technology in a Chinese hamster ovary cell line</w:t>
      </w:r>
      <w:r w:rsidR="0028078B">
        <w:rPr>
          <w:rFonts w:cstheme="minorHAnsi"/>
        </w:rPr>
        <w:t xml:space="preserve"> </w:t>
      </w:r>
      <w:r w:rsidR="00746F05">
        <w:rPr>
          <w:rFonts w:cstheme="minorHAnsi"/>
          <w:noProof/>
        </w:rPr>
        <w:t>(</w:t>
      </w:r>
      <w:r w:rsidR="00184B6F">
        <w:rPr>
          <w:rFonts w:cstheme="minorHAnsi"/>
          <w:noProof/>
        </w:rPr>
        <w:t>Therapeutic Goods Administration 2012a</w:t>
      </w:r>
      <w:r w:rsidR="00746F05">
        <w:rPr>
          <w:rFonts w:cstheme="minorHAnsi"/>
          <w:noProof/>
        </w:rPr>
        <w:t>)</w:t>
      </w:r>
      <w:r w:rsidRPr="000756DF">
        <w:rPr>
          <w:rFonts w:cstheme="minorHAnsi"/>
        </w:rPr>
        <w:t>. The TGA recommended dosage regimen for alglucosidase alfa is 20mg/kg of body weight administered once every 2 weeks as an intravenous infusion</w:t>
      </w:r>
      <w:r w:rsidR="008E0F3B">
        <w:rPr>
          <w:rFonts w:cstheme="minorHAnsi"/>
        </w:rPr>
        <w:t xml:space="preserve"> </w:t>
      </w:r>
      <w:r w:rsidR="00746F05">
        <w:rPr>
          <w:rFonts w:cstheme="minorHAnsi"/>
          <w:noProof/>
        </w:rPr>
        <w:t>(</w:t>
      </w:r>
      <w:r w:rsidR="00184B6F">
        <w:rPr>
          <w:rFonts w:cstheme="minorHAnsi"/>
          <w:noProof/>
        </w:rPr>
        <w:t>Therapeutic Goods Administration 2012a</w:t>
      </w:r>
      <w:r w:rsidR="00746F05">
        <w:rPr>
          <w:rFonts w:cstheme="minorHAnsi"/>
          <w:noProof/>
        </w:rPr>
        <w:t>)</w:t>
      </w:r>
      <w:r w:rsidRPr="000756DF">
        <w:rPr>
          <w:rFonts w:cstheme="minorHAnsi"/>
        </w:rPr>
        <w:t>.</w:t>
      </w:r>
      <w:r w:rsidR="00BC73EA">
        <w:rPr>
          <w:rFonts w:cstheme="minorHAnsi"/>
        </w:rPr>
        <w:t xml:space="preserve"> It is supplied as a lyophilised powder, which requires reconstitution </w:t>
      </w:r>
      <w:r w:rsidR="00042489">
        <w:rPr>
          <w:rFonts w:cstheme="minorHAnsi"/>
        </w:rPr>
        <w:t>with water and sodium chloride. There is potential for severe infusion reactions, so the infusion rate should start at no more than 1 mg/kg/hour, which may be increased, after patient tolerance is established, to a maximum rate of 7 mg/kg/hour.</w:t>
      </w:r>
      <w:r w:rsidR="00CC1530">
        <w:rPr>
          <w:rFonts w:cstheme="minorHAnsi"/>
        </w:rPr>
        <w:t xml:space="preserve"> </w:t>
      </w:r>
      <w:r w:rsidR="00042489">
        <w:rPr>
          <w:rFonts w:cstheme="minorHAnsi"/>
        </w:rPr>
        <w:t xml:space="preserve">Even at the maximum infusion rate, administration of the drug takes approximately 4 hours. Medical support should be readily available in case of severe infusion reactions. </w:t>
      </w:r>
    </w:p>
    <w:p w:rsidR="000756DF" w:rsidRPr="000756DF" w:rsidRDefault="000756DF" w:rsidP="00A979FB">
      <w:pPr>
        <w:pStyle w:val="Heading4"/>
      </w:pPr>
      <w:r w:rsidRPr="000756DF">
        <w:t>Systematic review inclusion criteria</w:t>
      </w:r>
    </w:p>
    <w:p w:rsidR="000756DF" w:rsidRPr="000756DF" w:rsidRDefault="00A72B26" w:rsidP="000756DF">
      <w:pPr>
        <w:rPr>
          <w:rFonts w:cstheme="minorHAnsi"/>
        </w:rPr>
      </w:pPr>
      <w:r w:rsidRPr="00716774">
        <w:t xml:space="preserve">Table </w:t>
      </w:r>
      <w:r>
        <w:rPr>
          <w:noProof/>
        </w:rPr>
        <w:t>61</w:t>
      </w:r>
      <w:r w:rsidR="000756DF" w:rsidRPr="000756DF">
        <w:rPr>
          <w:rFonts w:cstheme="minorHAnsi"/>
        </w:rPr>
        <w:t xml:space="preserve"> outlines the criteria for selecting studies that assess the safety and effectiveness of alglucosidase alfa for the treatment of patients with infantile onset Pompe disease.</w:t>
      </w:r>
    </w:p>
    <w:p w:rsidR="000756DF" w:rsidRPr="00305731" w:rsidRDefault="000756DF" w:rsidP="00F44176">
      <w:pPr>
        <w:pStyle w:val="Caption"/>
        <w:keepNext/>
        <w:tabs>
          <w:tab w:val="clear" w:pos="851"/>
          <w:tab w:val="left" w:pos="1134"/>
        </w:tabs>
        <w:ind w:left="1134" w:hanging="1134"/>
      </w:pPr>
      <w:bookmarkStart w:id="285" w:name="_Ref393312120"/>
      <w:bookmarkStart w:id="286" w:name="_Toc411510442"/>
      <w:bookmarkStart w:id="287" w:name="_Toc415141858"/>
      <w:r w:rsidRPr="00716774">
        <w:lastRenderedPageBreak/>
        <w:t xml:space="preserve">Table </w:t>
      </w:r>
      <w:r w:rsidR="00A72B26">
        <w:rPr>
          <w:noProof/>
        </w:rPr>
        <w:t>61</w:t>
      </w:r>
      <w:bookmarkEnd w:id="285"/>
      <w:r w:rsidRPr="00305731">
        <w:tab/>
        <w:t>Criteria for selecting studies to assess the safety and effectiveness of alglucosidase alfa</w:t>
      </w:r>
      <w:bookmarkEnd w:id="286"/>
      <w:bookmarkEnd w:id="287"/>
    </w:p>
    <w:tbl>
      <w:tblPr>
        <w:tblStyle w:val="TableGrid"/>
        <w:tblW w:w="0" w:type="auto"/>
        <w:tblLook w:val="04A0" w:firstRow="1" w:lastRow="0" w:firstColumn="1" w:lastColumn="0" w:noHBand="0" w:noVBand="1"/>
        <w:tblCaption w:val="Table 57 Criteria for selecting studies to assess the safety and effectiveness of alglucosidase alfa"/>
      </w:tblPr>
      <w:tblGrid>
        <w:gridCol w:w="1555"/>
        <w:gridCol w:w="7687"/>
      </w:tblGrid>
      <w:tr w:rsidR="000756DF" w:rsidRPr="000756DF" w:rsidTr="009A0365">
        <w:trPr>
          <w:tblHeader/>
        </w:trPr>
        <w:tc>
          <w:tcPr>
            <w:tcW w:w="1555" w:type="dxa"/>
          </w:tcPr>
          <w:p w:rsidR="000756DF" w:rsidRPr="000756DF" w:rsidRDefault="000756DF" w:rsidP="00215988">
            <w:pPr>
              <w:pStyle w:val="TableHeading"/>
              <w:spacing w:before="80"/>
            </w:pPr>
            <w:r w:rsidRPr="000756DF">
              <w:t>Characteristic</w:t>
            </w:r>
          </w:p>
        </w:tc>
        <w:tc>
          <w:tcPr>
            <w:tcW w:w="7687" w:type="dxa"/>
          </w:tcPr>
          <w:p w:rsidR="000756DF" w:rsidRPr="000756DF" w:rsidRDefault="000756DF" w:rsidP="00215988">
            <w:pPr>
              <w:pStyle w:val="TableHeading"/>
              <w:spacing w:before="80"/>
            </w:pPr>
            <w:r w:rsidRPr="000756DF">
              <w:t>Inclusion criteria</w:t>
            </w:r>
          </w:p>
        </w:tc>
      </w:tr>
      <w:tr w:rsidR="000756DF" w:rsidRPr="000756DF" w:rsidTr="000756DF">
        <w:tc>
          <w:tcPr>
            <w:tcW w:w="1555" w:type="dxa"/>
          </w:tcPr>
          <w:p w:rsidR="000756DF" w:rsidRPr="000756DF" w:rsidRDefault="000756DF" w:rsidP="00215988">
            <w:pPr>
              <w:pStyle w:val="TableText0"/>
              <w:spacing w:before="80"/>
              <w:rPr>
                <w:bCs/>
                <w:caps/>
                <w:color w:val="002060"/>
              </w:rPr>
            </w:pPr>
            <w:r w:rsidRPr="000756DF">
              <w:t>Study design</w:t>
            </w:r>
          </w:p>
        </w:tc>
        <w:tc>
          <w:tcPr>
            <w:tcW w:w="7687" w:type="dxa"/>
          </w:tcPr>
          <w:p w:rsidR="000756DF" w:rsidRPr="000756DF" w:rsidRDefault="000756DF" w:rsidP="009F6946">
            <w:pPr>
              <w:pStyle w:val="TableText0"/>
              <w:spacing w:before="80"/>
              <w:rPr>
                <w:bCs/>
                <w:caps/>
                <w:color w:val="002060"/>
              </w:rPr>
            </w:pPr>
            <w:r w:rsidRPr="000756DF">
              <w:t xml:space="preserve">The highest level of evidence available (from </w:t>
            </w:r>
            <w:r w:rsidR="00A72B26">
              <w:t xml:space="preserve">Table </w:t>
            </w:r>
            <w:r w:rsidR="00A72B26">
              <w:rPr>
                <w:noProof/>
              </w:rPr>
              <w:t>2</w:t>
            </w:r>
            <w:r w:rsidRPr="000756DF">
              <w:t>) that addressed the research questions. Case reports would have been included if none of the study designs in were available.</w:t>
            </w:r>
          </w:p>
        </w:tc>
      </w:tr>
      <w:tr w:rsidR="000756DF" w:rsidRPr="000756DF" w:rsidTr="000756DF">
        <w:tc>
          <w:tcPr>
            <w:tcW w:w="1555" w:type="dxa"/>
          </w:tcPr>
          <w:p w:rsidR="000756DF" w:rsidRPr="000756DF" w:rsidRDefault="000756DF" w:rsidP="00215988">
            <w:pPr>
              <w:pStyle w:val="TableText0"/>
              <w:spacing w:before="80"/>
            </w:pPr>
            <w:r w:rsidRPr="000756DF">
              <w:t>Population</w:t>
            </w:r>
          </w:p>
        </w:tc>
        <w:tc>
          <w:tcPr>
            <w:tcW w:w="7687" w:type="dxa"/>
          </w:tcPr>
          <w:p w:rsidR="000756DF" w:rsidRPr="000756DF" w:rsidRDefault="000756DF" w:rsidP="00215988">
            <w:pPr>
              <w:pStyle w:val="TableText0"/>
              <w:spacing w:before="80"/>
            </w:pPr>
            <w:r w:rsidRPr="000756DF">
              <w:t>Patients with Infantile Onset Pompe Disease (glycogen storage disease type II, or acid maltase deficiency; presentation within first 24 months of life)</w:t>
            </w:r>
          </w:p>
        </w:tc>
      </w:tr>
      <w:tr w:rsidR="000756DF" w:rsidRPr="000756DF" w:rsidTr="000756DF">
        <w:tc>
          <w:tcPr>
            <w:tcW w:w="1555" w:type="dxa"/>
          </w:tcPr>
          <w:p w:rsidR="000756DF" w:rsidRPr="000756DF" w:rsidRDefault="000756DF" w:rsidP="00215988">
            <w:pPr>
              <w:pStyle w:val="TableText0"/>
              <w:spacing w:before="80"/>
            </w:pPr>
            <w:r w:rsidRPr="000756DF">
              <w:t>Intervention</w:t>
            </w:r>
          </w:p>
        </w:tc>
        <w:tc>
          <w:tcPr>
            <w:tcW w:w="7687" w:type="dxa"/>
          </w:tcPr>
          <w:p w:rsidR="000756DF" w:rsidRPr="000756DF" w:rsidRDefault="000756DF" w:rsidP="00215988">
            <w:pPr>
              <w:pStyle w:val="TableText0"/>
              <w:spacing w:before="80"/>
            </w:pPr>
            <w:r w:rsidRPr="000756DF">
              <w:t>Alglucosidase alfa (Myozyme®)</w:t>
            </w:r>
          </w:p>
          <w:p w:rsidR="000756DF" w:rsidRPr="000756DF" w:rsidRDefault="000756DF" w:rsidP="00215988">
            <w:pPr>
              <w:pStyle w:val="TableText0"/>
              <w:spacing w:before="80"/>
            </w:pPr>
            <w:r w:rsidRPr="000756DF">
              <w:t>Subgroup analysis: by dose (e</w:t>
            </w:r>
            <w:r w:rsidR="004B6BA9">
              <w:t>.</w:t>
            </w:r>
            <w:r w:rsidRPr="000756DF">
              <w:t>g</w:t>
            </w:r>
            <w:r w:rsidR="004B6BA9">
              <w:t>.</w:t>
            </w:r>
            <w:r w:rsidRPr="000756DF">
              <w:t xml:space="preserve"> doses consistent with TGA listing, as well as experimental dosing regimens); by whether immunosuppressives (e</w:t>
            </w:r>
            <w:r w:rsidR="004B6BA9">
              <w:t>.</w:t>
            </w:r>
            <w:r w:rsidRPr="000756DF">
              <w:t>g</w:t>
            </w:r>
            <w:r w:rsidR="004B6BA9">
              <w:t>.</w:t>
            </w:r>
            <w:r w:rsidRPr="000756DF">
              <w:t xml:space="preserve"> infliximab, prednisolone) were co-administered</w:t>
            </w:r>
          </w:p>
        </w:tc>
      </w:tr>
      <w:tr w:rsidR="000756DF" w:rsidRPr="000756DF" w:rsidTr="000756DF">
        <w:tc>
          <w:tcPr>
            <w:tcW w:w="1555" w:type="dxa"/>
          </w:tcPr>
          <w:p w:rsidR="000756DF" w:rsidRPr="000756DF" w:rsidRDefault="000756DF" w:rsidP="00215988">
            <w:pPr>
              <w:pStyle w:val="TableText0"/>
              <w:spacing w:before="80"/>
            </w:pPr>
            <w:r w:rsidRPr="000756DF">
              <w:t>Comparator</w:t>
            </w:r>
          </w:p>
        </w:tc>
        <w:tc>
          <w:tcPr>
            <w:tcW w:w="7687" w:type="dxa"/>
          </w:tcPr>
          <w:p w:rsidR="000756DF" w:rsidRPr="000756DF" w:rsidRDefault="000756DF" w:rsidP="00215988">
            <w:pPr>
              <w:pStyle w:val="TableText0"/>
              <w:spacing w:before="80"/>
            </w:pPr>
            <w:r w:rsidRPr="000756DF">
              <w:t>Standard palliative care (including intensive respiratory support, cardiac care, dietary therapy and rehabilitative services) with/without placebo</w:t>
            </w:r>
          </w:p>
        </w:tc>
      </w:tr>
      <w:tr w:rsidR="000756DF" w:rsidRPr="000756DF" w:rsidTr="000756DF">
        <w:tc>
          <w:tcPr>
            <w:tcW w:w="1555" w:type="dxa"/>
          </w:tcPr>
          <w:p w:rsidR="000756DF" w:rsidRPr="000756DF" w:rsidRDefault="000756DF" w:rsidP="00215988">
            <w:pPr>
              <w:pStyle w:val="TableText0"/>
              <w:spacing w:before="80"/>
            </w:pPr>
            <w:r w:rsidRPr="000756DF">
              <w:t>Outcomes</w:t>
            </w:r>
          </w:p>
        </w:tc>
        <w:tc>
          <w:tcPr>
            <w:tcW w:w="7687" w:type="dxa"/>
          </w:tcPr>
          <w:p w:rsidR="000756DF" w:rsidRPr="000756DF" w:rsidRDefault="000756DF" w:rsidP="00215988">
            <w:pPr>
              <w:pStyle w:val="TableText0"/>
              <w:spacing w:before="80"/>
            </w:pPr>
            <w:r w:rsidRPr="000756DF">
              <w:rPr>
                <w:i/>
                <w:iCs/>
              </w:rPr>
              <w:t>Safety:</w:t>
            </w:r>
            <w:r w:rsidRPr="000756DF">
              <w:t xml:space="preserve"> adverse events related to treatment – for example, urticaria, pyrexia, anaphylactic shock; and compliance with treatment (i.e. treatment withdrawal or suboptimal dosing)</w:t>
            </w:r>
          </w:p>
          <w:p w:rsidR="000756DF" w:rsidRPr="000756DF" w:rsidRDefault="000756DF" w:rsidP="00215988">
            <w:pPr>
              <w:pStyle w:val="TableText0"/>
              <w:spacing w:before="80"/>
            </w:pPr>
            <w:r w:rsidRPr="000756DF">
              <w:rPr>
                <w:i/>
                <w:iCs/>
              </w:rPr>
              <w:t>Primary effectiveness:</w:t>
            </w:r>
            <w:r w:rsidRPr="000756DF">
              <w:t xml:space="preserve"> survival</w:t>
            </w:r>
          </w:p>
          <w:p w:rsidR="000756DF" w:rsidRPr="000756DF" w:rsidRDefault="000756DF" w:rsidP="00215988">
            <w:pPr>
              <w:pStyle w:val="TableText0"/>
              <w:spacing w:before="80"/>
            </w:pPr>
            <w:r w:rsidRPr="000756DF">
              <w:rPr>
                <w:i/>
                <w:iCs/>
              </w:rPr>
              <w:t>Secondary effectiveness:</w:t>
            </w:r>
            <w:r w:rsidRPr="000756DF">
              <w:t xml:space="preserve"> quality of life; cardiorespiratory functioning (ventilator free survival, supplementary oxygen, apnoea/hypopnoea, sleep apnoea, CPAP requirements: nocturnal or all day); cardiovascular function (hypertension, left ventricular measures, exercise capacity, heart failure); gross motor functioning; swallowing; audiology outcomes; neurological outcomes.</w:t>
            </w:r>
          </w:p>
        </w:tc>
      </w:tr>
      <w:tr w:rsidR="000756DF" w:rsidRPr="000756DF" w:rsidTr="000756DF">
        <w:tc>
          <w:tcPr>
            <w:tcW w:w="1555" w:type="dxa"/>
          </w:tcPr>
          <w:p w:rsidR="000756DF" w:rsidRPr="000756DF" w:rsidRDefault="000756DF" w:rsidP="00215988">
            <w:pPr>
              <w:pStyle w:val="TableText0"/>
              <w:spacing w:before="80"/>
            </w:pPr>
            <w:r w:rsidRPr="000756DF">
              <w:t>Language</w:t>
            </w:r>
          </w:p>
        </w:tc>
        <w:tc>
          <w:tcPr>
            <w:tcW w:w="7687" w:type="dxa"/>
          </w:tcPr>
          <w:p w:rsidR="000756DF" w:rsidRPr="000756DF" w:rsidRDefault="000756DF" w:rsidP="00215988">
            <w:pPr>
              <w:pStyle w:val="TableText0"/>
              <w:spacing w:before="80"/>
            </w:pPr>
            <w:r w:rsidRPr="000756DF">
              <w:t>Studies in languages other than English would only have been translated if it appeared from the abstract that they represented a higher level of evidence than that available in English.</w:t>
            </w:r>
          </w:p>
        </w:tc>
      </w:tr>
      <w:tr w:rsidR="000756DF" w:rsidRPr="000756DF" w:rsidTr="000756DF">
        <w:tc>
          <w:tcPr>
            <w:tcW w:w="1555" w:type="dxa"/>
          </w:tcPr>
          <w:p w:rsidR="000756DF" w:rsidRPr="000756DF" w:rsidRDefault="000756DF" w:rsidP="00215988">
            <w:pPr>
              <w:pStyle w:val="TableText0"/>
              <w:spacing w:before="80"/>
            </w:pPr>
            <w:r w:rsidRPr="000756DF">
              <w:t>Research question</w:t>
            </w:r>
          </w:p>
        </w:tc>
        <w:tc>
          <w:tcPr>
            <w:tcW w:w="7687" w:type="dxa"/>
          </w:tcPr>
          <w:p w:rsidR="000756DF" w:rsidRPr="000756DF" w:rsidRDefault="000756DF" w:rsidP="00215988">
            <w:pPr>
              <w:pStyle w:val="TableText0"/>
              <w:spacing w:before="80"/>
            </w:pPr>
            <w:r w:rsidRPr="000756DF">
              <w:t>Is alglucosidase alfa safe and effective compared to standard palliative care with/without placebo for treating patients with Infantile Onset Pompe Disease?</w:t>
            </w:r>
          </w:p>
        </w:tc>
      </w:tr>
    </w:tbl>
    <w:p w:rsidR="000756DF" w:rsidRPr="000756DF" w:rsidRDefault="000756DF" w:rsidP="000756DF">
      <w:pPr>
        <w:jc w:val="left"/>
        <w:rPr>
          <w:rFonts w:ascii="Arial Narrow" w:hAnsi="Arial Narrow" w:cstheme="minorHAnsi"/>
          <w:sz w:val="20"/>
          <w:szCs w:val="20"/>
        </w:rPr>
      </w:pPr>
      <w:r w:rsidRPr="000756DF">
        <w:rPr>
          <w:rFonts w:ascii="Arial Narrow" w:hAnsi="Arial Narrow" w:cstheme="minorHAnsi"/>
          <w:sz w:val="20"/>
          <w:szCs w:val="20"/>
        </w:rPr>
        <w:t>TGA</w:t>
      </w:r>
      <w:r w:rsidR="00652355" w:rsidRPr="00652355">
        <w:rPr>
          <w:rFonts w:ascii="Arial Narrow" w:hAnsi="Arial Narrow" w:cstheme="minorHAnsi"/>
          <w:spacing w:val="-20"/>
          <w:sz w:val="20"/>
          <w:szCs w:val="20"/>
        </w:rPr>
        <w:t xml:space="preserve"> = </w:t>
      </w:r>
      <w:r w:rsidRPr="000756DF">
        <w:rPr>
          <w:rFonts w:ascii="Arial Narrow" w:hAnsi="Arial Narrow" w:cstheme="minorHAnsi"/>
          <w:sz w:val="20"/>
          <w:szCs w:val="20"/>
        </w:rPr>
        <w:t>Therapeutic Goods Administration; CPAP</w:t>
      </w:r>
      <w:r w:rsidR="00652355" w:rsidRPr="00652355">
        <w:rPr>
          <w:rFonts w:ascii="Arial Narrow" w:hAnsi="Arial Narrow" w:cstheme="minorHAnsi"/>
          <w:spacing w:val="-20"/>
          <w:sz w:val="20"/>
          <w:szCs w:val="20"/>
        </w:rPr>
        <w:t xml:space="preserve"> = </w:t>
      </w:r>
      <w:r w:rsidRPr="000756DF">
        <w:rPr>
          <w:rFonts w:ascii="Arial Narrow" w:hAnsi="Arial Narrow" w:cstheme="minorHAnsi"/>
          <w:sz w:val="20"/>
          <w:szCs w:val="20"/>
        </w:rPr>
        <w:t>continuous positive airway pressure</w:t>
      </w:r>
    </w:p>
    <w:p w:rsidR="000756DF" w:rsidRPr="00E965BD" w:rsidRDefault="000756DF" w:rsidP="00A979FB">
      <w:pPr>
        <w:pStyle w:val="Heading4"/>
      </w:pPr>
      <w:bookmarkStart w:id="288" w:name="_Toc404350104"/>
      <w:bookmarkStart w:id="289" w:name="_Toc404937267"/>
      <w:r w:rsidRPr="00E965BD">
        <w:t>Results of the literature search</w:t>
      </w:r>
      <w:bookmarkEnd w:id="288"/>
      <w:bookmarkEnd w:id="289"/>
    </w:p>
    <w:p w:rsidR="000756DF" w:rsidRPr="000756DF" w:rsidRDefault="00215988" w:rsidP="000756DF">
      <w:r>
        <w:t>O</w:t>
      </w:r>
      <w:r w:rsidR="000756DF" w:rsidRPr="000756DF">
        <w:t>ne randomised trial comparing the effectiveness of two different doses of alglucosidase alfa</w:t>
      </w:r>
      <w:r>
        <w:t xml:space="preserve"> was identified</w:t>
      </w:r>
      <w:r w:rsidR="000756DF" w:rsidRPr="000756DF">
        <w:t xml:space="preserve">, both of which were also compared with an untreated historical control group </w:t>
      </w:r>
      <w:r w:rsidR="00510D02">
        <w:rPr>
          <w:noProof/>
        </w:rPr>
        <w:t>(</w:t>
      </w:r>
      <w:r w:rsidR="00184B6F">
        <w:rPr>
          <w:noProof/>
        </w:rPr>
        <w:t>Kishnani, P S et al. 2009</w:t>
      </w:r>
      <w:r w:rsidR="00510D02">
        <w:rPr>
          <w:noProof/>
        </w:rPr>
        <w:t xml:space="preserve">; </w:t>
      </w:r>
      <w:r w:rsidR="00184B6F">
        <w:rPr>
          <w:noProof/>
        </w:rPr>
        <w:t>Kishnani, PS et al. 2007</w:t>
      </w:r>
      <w:r w:rsidR="00510D02">
        <w:rPr>
          <w:noProof/>
        </w:rPr>
        <w:t>)</w:t>
      </w:r>
      <w:r w:rsidR="000756DF" w:rsidRPr="000756DF">
        <w:t xml:space="preserve">. As this trial did not include a direct comparison with an appropriate comparator (standard palliative care or placebo), for the purposes of this report, it has been assessed as an historic control study (Level III-3 evidence). An additional three historic control studies also fulfilled the </w:t>
      </w:r>
      <w:r>
        <w:t>study eligibility criteria</w:t>
      </w:r>
      <w:r w:rsidR="000756DF" w:rsidRPr="000756DF">
        <w:t xml:space="preserve"> </w:t>
      </w:r>
      <w:r w:rsidR="00510D02">
        <w:rPr>
          <w:noProof/>
        </w:rPr>
        <w:t>(</w:t>
      </w:r>
      <w:r w:rsidR="00184B6F">
        <w:rPr>
          <w:noProof/>
        </w:rPr>
        <w:t>Chen et al. 2009</w:t>
      </w:r>
      <w:r w:rsidR="00510D02">
        <w:rPr>
          <w:noProof/>
        </w:rPr>
        <w:t xml:space="preserve">; </w:t>
      </w:r>
      <w:r w:rsidR="00184B6F">
        <w:rPr>
          <w:noProof/>
        </w:rPr>
        <w:t>Chien et al. 2009</w:t>
      </w:r>
      <w:r w:rsidR="00510D02">
        <w:rPr>
          <w:noProof/>
        </w:rPr>
        <w:t xml:space="preserve">; </w:t>
      </w:r>
      <w:r w:rsidR="00184B6F">
        <w:rPr>
          <w:noProof/>
        </w:rPr>
        <w:t>Nicolino, M et al. 2009</w:t>
      </w:r>
      <w:r w:rsidR="00510D02">
        <w:rPr>
          <w:noProof/>
        </w:rPr>
        <w:t>)</w:t>
      </w:r>
      <w:r w:rsidR="000756DF" w:rsidRPr="000756DF">
        <w:t>. These four studies represent the highest level of evidence assessing the effectiveness of alglucosidase alfa for the treatment of infantile onset Pompe disease. No studies comparing the safety of alglucosidase alfa with an appropriate comparator in patients with infantile onset Pompe disease were identified.</w:t>
      </w:r>
    </w:p>
    <w:p w:rsidR="000756DF" w:rsidRPr="000756DF" w:rsidRDefault="000756DF" w:rsidP="000756DF"/>
    <w:p w:rsidR="000756DF" w:rsidRPr="00E965BD" w:rsidRDefault="000756DF" w:rsidP="00A979FB">
      <w:pPr>
        <w:pStyle w:val="Heading4"/>
      </w:pPr>
      <w:r w:rsidRPr="00E965BD">
        <w:lastRenderedPageBreak/>
        <w:t xml:space="preserve">Description of the </w:t>
      </w:r>
      <w:r w:rsidR="00760505" w:rsidRPr="00E965BD">
        <w:t xml:space="preserve">included </w:t>
      </w:r>
      <w:r w:rsidRPr="00E965BD">
        <w:t>studies</w:t>
      </w:r>
    </w:p>
    <w:p w:rsidR="000756DF" w:rsidRPr="000756DF" w:rsidRDefault="000756DF" w:rsidP="00A979FB">
      <w:pPr>
        <w:pStyle w:val="Heading5"/>
      </w:pPr>
      <w:r w:rsidRPr="000756DF">
        <w:t>Kishnani et al. (2007), Kishnani et al (2009)</w:t>
      </w:r>
    </w:p>
    <w:p w:rsidR="000756DF" w:rsidRPr="000756DF" w:rsidRDefault="00215988" w:rsidP="000756DF">
      <w:r w:rsidRPr="000756DF">
        <w:t xml:space="preserve">This was a multi-centre, open-label, randomised trial comparing two doses of alglucosidase alfa. A comparison with an untreated historical control group was also performed </w:t>
      </w:r>
      <w:r>
        <w:t>to assess differences in</w:t>
      </w:r>
      <w:r w:rsidRPr="000756DF">
        <w:t xml:space="preserve"> survival (overall survival and ventilator-free survival). The initial study included a minimum follow-up of 52 weeks </w:t>
      </w:r>
      <w:r w:rsidR="00A130D0">
        <w:rPr>
          <w:noProof/>
        </w:rPr>
        <w:t>(</w:t>
      </w:r>
      <w:r w:rsidR="00184B6F">
        <w:rPr>
          <w:noProof/>
        </w:rPr>
        <w:t>Kishnani, PS et al. 2007</w:t>
      </w:r>
      <w:r w:rsidR="00A130D0">
        <w:rPr>
          <w:noProof/>
        </w:rPr>
        <w:t>)</w:t>
      </w:r>
      <w:r w:rsidRPr="000756DF">
        <w:t>, after which patients were eligible to participate in an extension study, where they continued to receive alglucosidase alfa at the same dose to which they were originally assigned</w:t>
      </w:r>
      <w:r>
        <w:t xml:space="preserve"> </w:t>
      </w:r>
      <w:r w:rsidR="00510D02">
        <w:rPr>
          <w:noProof/>
        </w:rPr>
        <w:t>(</w:t>
      </w:r>
      <w:r w:rsidR="00184B6F">
        <w:rPr>
          <w:noProof/>
        </w:rPr>
        <w:t>Kishnani, P S et al. 2009</w:t>
      </w:r>
      <w:r w:rsidR="00510D02">
        <w:rPr>
          <w:noProof/>
        </w:rPr>
        <w:t>)</w:t>
      </w:r>
      <w:r w:rsidRPr="000756DF">
        <w:t xml:space="preserve">. The overall duration of follow-up differed between patients, ranging from 60 to 150 weeks. </w:t>
      </w:r>
      <w:r w:rsidR="000756DF" w:rsidRPr="000756DF">
        <w:t xml:space="preserve"> </w:t>
      </w:r>
    </w:p>
    <w:p w:rsidR="000756DF" w:rsidRPr="000756DF" w:rsidRDefault="000756DF" w:rsidP="000756DF">
      <w:r w:rsidRPr="000756DF">
        <w:t xml:space="preserve">Eligible patients were randomised to receive an IV infusion of either 20mg/kg </w:t>
      </w:r>
      <w:r w:rsidR="007D301C">
        <w:t xml:space="preserve">(n=9) </w:t>
      </w:r>
      <w:r w:rsidRPr="000756DF">
        <w:t xml:space="preserve">or 40mg/kg </w:t>
      </w:r>
      <w:r w:rsidR="007D301C">
        <w:t xml:space="preserve">(n=9) </w:t>
      </w:r>
      <w:r w:rsidRPr="000756DF">
        <w:t>alglucosidase alfa every two weeks. Patients were required to be no older than 26 weeks at enrolment, and to have documented symptoms of infant onset Pompe disease, including skin fibroblast GAA activity &lt;1% of the normal mean and hypertrophic cardiomyopathy (left ventricular mass index ≥65g/m</w:t>
      </w:r>
      <w:r w:rsidRPr="000756DF">
        <w:rPr>
          <w:vertAlign w:val="superscript"/>
        </w:rPr>
        <w:t>2</w:t>
      </w:r>
      <w:r w:rsidRPr="000756DF">
        <w:t xml:space="preserve"> by ECG). Exclusion criteria included respiratory insufficiency (including use of any ventilation), a major congenital abnormality, or clinically significant intercurrent illness unrelated to Pompe disease. These criteria restricted eligibility to young infants at the more severe end of the disease spectrum, in whom alglucosidase alfa treatment was initiated at a relatively early stage of disease progression </w:t>
      </w:r>
      <w:r w:rsidR="00510D02">
        <w:rPr>
          <w:noProof/>
        </w:rPr>
        <w:t>(</w:t>
      </w:r>
      <w:r w:rsidR="00184B6F">
        <w:rPr>
          <w:noProof/>
        </w:rPr>
        <w:t>Nicolino, M et al. 2009</w:t>
      </w:r>
      <w:r w:rsidR="00510D02">
        <w:rPr>
          <w:noProof/>
        </w:rPr>
        <w:t>)</w:t>
      </w:r>
      <w:r w:rsidRPr="000756DF">
        <w:t xml:space="preserve">. </w:t>
      </w:r>
    </w:p>
    <w:p w:rsidR="000756DF" w:rsidRPr="000756DF" w:rsidRDefault="000756DF" w:rsidP="000756DF">
      <w:r w:rsidRPr="000756DF">
        <w:t>The historical control group was identified by applying the study eligibility criteria to a cohort of 168 patients included in a study of the natural history of infantile onset Pompe disease</w:t>
      </w:r>
      <w:r w:rsidR="00DE28BF">
        <w:t xml:space="preserve"> </w:t>
      </w:r>
      <w:r w:rsidR="00BD4A3A">
        <w:rPr>
          <w:noProof/>
        </w:rPr>
        <w:t>(</w:t>
      </w:r>
      <w:r w:rsidR="00184B6F">
        <w:rPr>
          <w:noProof/>
        </w:rPr>
        <w:t>Kishnani, PS, Hwu, et al. 2006</w:t>
      </w:r>
      <w:r w:rsidR="00BD4A3A">
        <w:rPr>
          <w:noProof/>
        </w:rPr>
        <w:t>)</w:t>
      </w:r>
      <w:r w:rsidRPr="000756DF">
        <w:t>. The patients included in the natural history study were identified by retrospective chart review; the only eligibility criteria were documented GAA enzyme deficiency or GAA gene mutation(s), and onset of signs or symptoms by 12 months of age</w:t>
      </w:r>
      <w:r w:rsidR="00DE28BF">
        <w:t xml:space="preserve"> </w:t>
      </w:r>
      <w:r w:rsidR="00BD4A3A">
        <w:rPr>
          <w:noProof/>
        </w:rPr>
        <w:t>(</w:t>
      </w:r>
      <w:r w:rsidR="00184B6F">
        <w:rPr>
          <w:noProof/>
        </w:rPr>
        <w:t>Kishnani, PS, Hwu, et al. 2006</w:t>
      </w:r>
      <w:r w:rsidR="00BD4A3A">
        <w:rPr>
          <w:noProof/>
        </w:rPr>
        <w:t>)</w:t>
      </w:r>
      <w:r w:rsidRPr="000756DF">
        <w:t>.</w:t>
      </w:r>
    </w:p>
    <w:p w:rsidR="000756DF" w:rsidRPr="000756DF" w:rsidRDefault="000756DF" w:rsidP="000756DF">
      <w:r w:rsidRPr="000756DF">
        <w:t>A total of 18 patients from 13 primary sites in the United States, Europe, Taiwan and Israel were enrolled in the randomised trial, nine patients in each of the two alglucosidase alfa dosage groups. The historical control group consisted of 62 infants, from 33 sites in nine different countries, with birth dates ranging from before 1985 to 2002 (55% were born in 1995 or later)</w:t>
      </w:r>
      <w:r w:rsidR="009F4C65">
        <w:t xml:space="preserve"> </w:t>
      </w:r>
      <w:r w:rsidR="00BD4A3A">
        <w:rPr>
          <w:noProof/>
        </w:rPr>
        <w:t>(</w:t>
      </w:r>
      <w:r w:rsidR="00184B6F">
        <w:rPr>
          <w:noProof/>
        </w:rPr>
        <w:t>Kishnani, PS, Hwu, et al. 2006</w:t>
      </w:r>
      <w:r w:rsidR="00BD4A3A">
        <w:rPr>
          <w:noProof/>
        </w:rPr>
        <w:t>)</w:t>
      </w:r>
      <w:r w:rsidRPr="000756DF">
        <w:t xml:space="preserve">. </w:t>
      </w:r>
    </w:p>
    <w:p w:rsidR="000756DF" w:rsidRPr="000756DF" w:rsidRDefault="000756DF" w:rsidP="000756DF">
      <w:r w:rsidRPr="000756DF">
        <w:t xml:space="preserve">Of the 18 alglucosidase alfa treated patients, one died before the end of the initial 52-week study (at age 20 months) and one patient did not enrol in the extension study. A further three patients died during the extension phase (aged 30 months, 34 months and 41 months). In total, 13 (72%) completed the extension study, 7 from the 20mg/kg dose arm and 6 from the 40mg/kg dose arm. One additional death was reported after completion of the study (age 44 months). All treated patients were included in the analyses (ITT analysis). The median duration of treatment over the entire study was 121 weeks (range 60-150 </w:t>
      </w:r>
      <w:r w:rsidRPr="000756DF">
        <w:lastRenderedPageBreak/>
        <w:t xml:space="preserve">weeks). One of the 62 (1.6%) patients in the historical control group was excluded from the survival analysis as the date of death was not available </w:t>
      </w:r>
      <w:r w:rsidR="00A130D0">
        <w:rPr>
          <w:noProof/>
        </w:rPr>
        <w:t>(</w:t>
      </w:r>
      <w:r w:rsidR="00184B6F">
        <w:rPr>
          <w:noProof/>
        </w:rPr>
        <w:t>Kishnani, P et al. 2008</w:t>
      </w:r>
      <w:r w:rsidR="00A130D0">
        <w:rPr>
          <w:noProof/>
        </w:rPr>
        <w:t>)</w:t>
      </w:r>
      <w:r w:rsidRPr="000756DF">
        <w:t>.</w:t>
      </w:r>
    </w:p>
    <w:p w:rsidR="000756DF" w:rsidRPr="000756DF" w:rsidRDefault="000756DF" w:rsidP="000756DF">
      <w:r w:rsidRPr="000756DF">
        <w:t xml:space="preserve">At baseline, the treatment group differed from the historical control group in that it contained a higher proportion of male patients (61.1% vs 45.2%), and had a different racial distribution. The mean age (± SD) at first symptoms in the study group was 1.6 ± 1.8 months (range 0.0-5.5 months), the age at diagnosis was 3.7 ± 2.2 months (range 0.2-6.8 months) and the age at first infusion was 4.6 ± 1.7 months. In the historical control group, the age at first symptoms (1.9 ± 1.8 months) and at diagnosis (3.6 ± 1.9 months) were reasonably similar to those in the treatment group. Due to the lack of details for the control group, it is not possible to compare the distribution of all potential confounders across the two groups. </w:t>
      </w:r>
    </w:p>
    <w:p w:rsidR="000756DF" w:rsidRPr="000756DF" w:rsidRDefault="000756DF" w:rsidP="000756DF">
      <w:r w:rsidRPr="000756DF">
        <w:t>A comparison between treated patients and the historical control group was performed for the primary outcome, the Kaplan-Meier estimation of the proportion of patients alive and free of invasive ventilation at 18 months of age, and for overall survival (with or without ventilator use)</w:t>
      </w:r>
      <w:r w:rsidR="00DE28BF">
        <w:t xml:space="preserve"> </w:t>
      </w:r>
      <w:r w:rsidR="00A130D0">
        <w:rPr>
          <w:noProof/>
        </w:rPr>
        <w:t>(</w:t>
      </w:r>
      <w:r w:rsidR="00184B6F">
        <w:rPr>
          <w:noProof/>
        </w:rPr>
        <w:t>Kishnani, PS et al. 2007</w:t>
      </w:r>
      <w:r w:rsidR="00A130D0">
        <w:rPr>
          <w:noProof/>
        </w:rPr>
        <w:t>)</w:t>
      </w:r>
      <w:r w:rsidRPr="000756DF">
        <w:t>. Similar analyses were performed at 24 months and 36 months of age during the extension</w:t>
      </w:r>
      <w:r w:rsidR="00215988">
        <w:t xml:space="preserve"> study </w:t>
      </w:r>
      <w:r w:rsidR="00510D02">
        <w:rPr>
          <w:noProof/>
        </w:rPr>
        <w:t>(</w:t>
      </w:r>
      <w:r w:rsidR="00184B6F">
        <w:rPr>
          <w:noProof/>
        </w:rPr>
        <w:t>Kishnani, P S et al. 2009</w:t>
      </w:r>
      <w:r w:rsidR="00510D02">
        <w:rPr>
          <w:noProof/>
        </w:rPr>
        <w:t>)</w:t>
      </w:r>
      <w:r w:rsidR="00215988">
        <w:t xml:space="preserve"> (see Results section below).</w:t>
      </w:r>
    </w:p>
    <w:p w:rsidR="000756DF" w:rsidRPr="000756DF" w:rsidRDefault="000756DF" w:rsidP="000756DF"/>
    <w:p w:rsidR="000756DF" w:rsidRPr="000756DF" w:rsidRDefault="000756DF" w:rsidP="00A979FB">
      <w:pPr>
        <w:pStyle w:val="Heading5"/>
      </w:pPr>
      <w:r w:rsidRPr="000756DF">
        <w:t>Nicolino et al (2009)</w:t>
      </w:r>
    </w:p>
    <w:p w:rsidR="000756DF" w:rsidRPr="000756DF" w:rsidRDefault="000756DF" w:rsidP="000756DF">
      <w:r w:rsidRPr="000756DF">
        <w:t xml:space="preserve">This was a multicentre, open-label, study of the effectiveness and safety of alglucosidase alfa in patients with infant onset Pompe disease over a minimum duration of 52 weeks. An untreated historical cohort was used as control for survival endpoints </w:t>
      </w:r>
      <w:r w:rsidR="00510D02">
        <w:rPr>
          <w:noProof/>
        </w:rPr>
        <w:t>(</w:t>
      </w:r>
      <w:r w:rsidR="00184B6F">
        <w:rPr>
          <w:noProof/>
        </w:rPr>
        <w:t>Nicolino, M et al. 2009</w:t>
      </w:r>
      <w:r w:rsidR="00510D02">
        <w:rPr>
          <w:noProof/>
        </w:rPr>
        <w:t>)</w:t>
      </w:r>
      <w:r w:rsidRPr="000756DF">
        <w:t xml:space="preserve">. </w:t>
      </w:r>
    </w:p>
    <w:p w:rsidR="000756DF" w:rsidRPr="000756DF" w:rsidRDefault="000756DF" w:rsidP="000756DF">
      <w:r w:rsidRPr="000756DF">
        <w:t xml:space="preserve">Eligibility criteria included documented onset of Pompe disease symptoms by 12 months of age, aged 6-36 months at enrolment, skin fibroblast GAA activity ≤2% of the normal mean, and abnormal left ventricular mass indices. Patients could be dependent on ventilator support or ventilator-free at enrolment. Exclusion criteria included clinical signs or symptoms of cardiac failure with ejection fraction &lt;40%, major congenital anomaly, or intercurrent organic disease. These criteria are more inclusive than those in Kishnani et al (2007), resulting in a more heterogeneous study population who were at variable stages of disease progression when treatment was initiated </w:t>
      </w:r>
      <w:r w:rsidR="00510D02">
        <w:rPr>
          <w:noProof/>
        </w:rPr>
        <w:t>(</w:t>
      </w:r>
      <w:r w:rsidR="00184B6F">
        <w:rPr>
          <w:noProof/>
        </w:rPr>
        <w:t>Nicolino, M et al. 2009</w:t>
      </w:r>
      <w:r w:rsidR="00510D02">
        <w:rPr>
          <w:noProof/>
        </w:rPr>
        <w:t>)</w:t>
      </w:r>
      <w:r w:rsidRPr="000756DF">
        <w:t xml:space="preserve">. </w:t>
      </w:r>
    </w:p>
    <w:p w:rsidR="000756DF" w:rsidRPr="000756DF" w:rsidRDefault="000756DF" w:rsidP="000756DF">
      <w:r w:rsidRPr="000756DF">
        <w:t>The source group for the historical control was the same cohort of 168 patients with infant onset Pompe disease as that used in Kishnani et al (2007)</w:t>
      </w:r>
      <w:r w:rsidR="00DE28BF">
        <w:t xml:space="preserve"> </w:t>
      </w:r>
      <w:r w:rsidR="00BD4A3A">
        <w:rPr>
          <w:noProof/>
        </w:rPr>
        <w:t>(</w:t>
      </w:r>
      <w:r w:rsidR="00184B6F">
        <w:rPr>
          <w:noProof/>
        </w:rPr>
        <w:t>Kishnani, PS, Hwu, et al. 2006</w:t>
      </w:r>
      <w:r w:rsidR="00BD4A3A">
        <w:rPr>
          <w:noProof/>
        </w:rPr>
        <w:t>)</w:t>
      </w:r>
      <w:r w:rsidRPr="000756DF">
        <w:t>. This group was screened with additional inclusion and exclusion criteria to resemble the clinical characteristics of the treated study population.</w:t>
      </w:r>
    </w:p>
    <w:p w:rsidR="000756DF" w:rsidRPr="000756DF" w:rsidRDefault="000756DF" w:rsidP="000756DF">
      <w:r w:rsidRPr="000756DF">
        <w:t xml:space="preserve">All treated patients initially received IV alglucosidase alfa at a dose of 20mg/kg every two weeks. After a minimum of 26 weeks of treatment, the dose could be increased to 40mg/kg every two weeks if the patient’s clinical condition had significantly deteriorated relative to </w:t>
      </w:r>
      <w:r w:rsidRPr="000756DF">
        <w:lastRenderedPageBreak/>
        <w:t xml:space="preserve">baseline. </w:t>
      </w:r>
      <w:r w:rsidR="005D1161">
        <w:t xml:space="preserve">This occurred in 8 patients.  </w:t>
      </w:r>
      <w:r w:rsidRPr="000756DF">
        <w:t>The median duration of treatment was 120 weeks (range, 0.6-168 weeks).</w:t>
      </w:r>
    </w:p>
    <w:p w:rsidR="000756DF" w:rsidRPr="000756DF" w:rsidRDefault="000756DF" w:rsidP="000756DF">
      <w:r w:rsidRPr="000756DF">
        <w:t xml:space="preserve">Twenty-two patients were enrolled but one patient died before receiving any treatment. Four age-related protocol deviations were reported: three patients were older than 36 months of age (36.6, 37.3, and 43.1 months) and one was 3.7 months of age at initiation of treatment. The historical control group included 84 (50%) of the 168 patients in the source population. The racial distribution of the study population differed from the historical control group, with more </w:t>
      </w:r>
      <w:r w:rsidR="00215988">
        <w:t>Caucasians</w:t>
      </w:r>
      <w:r w:rsidRPr="000756DF">
        <w:t xml:space="preserve"> (71% vs 47%) and fewer Asians (14% vs 33%). In the study population, the mean ages (±SD) at first symptoms, at diagnosis and at first infusion were 3.9 ± 2.8 months (range 0.0-12.6 months), 8.8 ± 5.4 months (range 1.5-22.6 months), and 15.7 ± 11.0 months (range 3.7-43.1 months), respectively; in the historical control group the age at first symptoms and at diagnosis were 3.1 ± 2.8 months and 5.8 ± 3.8 months, respectively. Five of the 21 treated patients (24%) required invasive ventilation at baseline, and an additional 10% required non-invasive ventilation.</w:t>
      </w:r>
    </w:p>
    <w:p w:rsidR="000756DF" w:rsidRPr="000756DF" w:rsidRDefault="000756DF" w:rsidP="000756DF">
      <w:r w:rsidRPr="000756DF">
        <w:t>Effectiveness outcomes, for which a comparison with the historical control group was made, included survival and ventilation-free survival over the course of treatment</w:t>
      </w:r>
      <w:r w:rsidR="00215988">
        <w:t xml:space="preserve"> (see Results section below)</w:t>
      </w:r>
      <w:r w:rsidRPr="000756DF">
        <w:t xml:space="preserve">. </w:t>
      </w:r>
    </w:p>
    <w:p w:rsidR="000756DF" w:rsidRPr="000756DF" w:rsidRDefault="000756DF" w:rsidP="000756DF"/>
    <w:p w:rsidR="000756DF" w:rsidRPr="000756DF" w:rsidRDefault="000756DF" w:rsidP="00A979FB">
      <w:pPr>
        <w:pStyle w:val="Heading5"/>
      </w:pPr>
      <w:r w:rsidRPr="000756DF">
        <w:t>Chen et al (2009)</w:t>
      </w:r>
    </w:p>
    <w:p w:rsidR="000756DF" w:rsidRPr="000756DF" w:rsidRDefault="000756DF" w:rsidP="000756DF">
      <w:r w:rsidRPr="000756DF">
        <w:t xml:space="preserve">Chen et al (2009) performed a single-centre study in which outcomes in patients with infant onset Pompe disease who received </w:t>
      </w:r>
      <w:r w:rsidR="007D52B7">
        <w:t xml:space="preserve">20mg/kg </w:t>
      </w:r>
      <w:r w:rsidRPr="000756DF">
        <w:t xml:space="preserve">alglucosidase alfa </w:t>
      </w:r>
      <w:r w:rsidR="007D52B7">
        <w:t xml:space="preserve">fortnightly </w:t>
      </w:r>
      <w:r w:rsidRPr="000756DF">
        <w:t>were compared to a historical cohort of patients who died before the availability of enzyme replacement therapy</w:t>
      </w:r>
      <w:r w:rsidR="00DE28BF">
        <w:t xml:space="preserve"> </w:t>
      </w:r>
      <w:r w:rsidR="00A130D0">
        <w:rPr>
          <w:noProof/>
        </w:rPr>
        <w:t>(</w:t>
      </w:r>
      <w:r w:rsidR="00184B6F">
        <w:rPr>
          <w:noProof/>
        </w:rPr>
        <w:t>Chen et al. 2009</w:t>
      </w:r>
      <w:r w:rsidR="00A130D0">
        <w:rPr>
          <w:noProof/>
        </w:rPr>
        <w:t>)</w:t>
      </w:r>
      <w:r w:rsidRPr="000756DF">
        <w:t xml:space="preserve">. In addition, the effectiveness of alglucosidase alfa in asymptomatic infants with Pompe disease, identified by a national screening program, was compared to that in patients who were clinically symptomatic at the commencement of therapy. </w:t>
      </w:r>
    </w:p>
    <w:p w:rsidR="000756DF" w:rsidRPr="000756DF" w:rsidRDefault="000756DF" w:rsidP="000756DF">
      <w:r w:rsidRPr="000756DF">
        <w:t xml:space="preserve">The study included all patients diagnosed with infantile onset Pompe disease included in the patient database of a single Taiwanese hospital from January 1983 to March 2008. Diagnosis was confirmed by GAA enzyme activity &lt;5% of the normal mean in mononuclear cells. The dosing regimen for alglucosidase alfa was not reported. </w:t>
      </w:r>
    </w:p>
    <w:p w:rsidR="000756DF" w:rsidRPr="000756DF" w:rsidRDefault="000756DF" w:rsidP="000756DF">
      <w:r w:rsidRPr="000756DF">
        <w:t>Fourteen patients were treated with alglucosidase alfa. These patients were subdivided into three groups: asymptomatic patients identified through a national screening program, (NBS group, N</w:t>
      </w:r>
      <w:r w:rsidR="00652355" w:rsidRPr="00652355">
        <w:rPr>
          <w:spacing w:val="-20"/>
        </w:rPr>
        <w:t xml:space="preserve"> = </w:t>
      </w:r>
      <w:r w:rsidRPr="000756DF">
        <w:t>5), symptomatic patients who commenced ERT before 5 months of age (Clin-E, N</w:t>
      </w:r>
      <w:r w:rsidR="00652355" w:rsidRPr="00652355">
        <w:rPr>
          <w:spacing w:val="-20"/>
        </w:rPr>
        <w:t xml:space="preserve"> = </w:t>
      </w:r>
      <w:r w:rsidRPr="000756DF">
        <w:t>4), and symptomatic patients who commenced treatment later (Clin-L, N</w:t>
      </w:r>
      <w:r w:rsidR="00652355" w:rsidRPr="00652355">
        <w:rPr>
          <w:spacing w:val="-20"/>
        </w:rPr>
        <w:t xml:space="preserve"> = </w:t>
      </w:r>
      <w:r w:rsidRPr="000756DF">
        <w:t xml:space="preserve">5). The cut-off age of 5 months was based on the observation that systolic dysfunction appeared only after 5 months of age in untreated patients. The median age at diagnosis was 19 days, 3.0 months and 4.1 months in the NBS group, Clin-E group and the Clin-L group, respectively, while the corresponding median age at commencement of therapy was 0.87, 3.18 and 5.87 months, </w:t>
      </w:r>
      <w:r w:rsidRPr="000756DF">
        <w:lastRenderedPageBreak/>
        <w:t>respectively. Twenty-six patients who died before the availability of ERT (December 2002) were included in the historical control group. No details are provided for the control group.</w:t>
      </w:r>
    </w:p>
    <w:p w:rsidR="000756DF" w:rsidRPr="000756DF" w:rsidRDefault="000756DF" w:rsidP="000756DF">
      <w:r w:rsidRPr="000756DF">
        <w:t xml:space="preserve">The median duration of treatment was 1.1 years (range 0.3-1.8 years) in the NBS group, 1.0 years (range 0.3-2.0 years) in the Clin-E group, and 4.2 years (range 1.2-5.2 years) in the Clin-L group. </w:t>
      </w:r>
    </w:p>
    <w:p w:rsidR="000756DF" w:rsidRPr="000756DF" w:rsidRDefault="000756DF" w:rsidP="000756DF">
      <w:r w:rsidRPr="000756DF">
        <w:t xml:space="preserve">The only outcome measures for which a comparison with the historical control group was made were survival and the requirement of ventilator support. </w:t>
      </w:r>
    </w:p>
    <w:p w:rsidR="000756DF" w:rsidRPr="000756DF" w:rsidRDefault="000756DF" w:rsidP="000756DF"/>
    <w:p w:rsidR="000756DF" w:rsidRPr="000756DF" w:rsidRDefault="000756DF" w:rsidP="00A979FB">
      <w:pPr>
        <w:pStyle w:val="Heading5"/>
      </w:pPr>
      <w:r w:rsidRPr="000756DF">
        <w:t>Chien et al (2009)</w:t>
      </w:r>
    </w:p>
    <w:p w:rsidR="00215988" w:rsidRPr="000756DF" w:rsidRDefault="00215988" w:rsidP="00215988">
      <w:r w:rsidRPr="000756DF">
        <w:t xml:space="preserve">Chien et al (2009) was a single-centre study, to evaluate the impact of early treatment in infant onset Pompe disease patients diagnosed by a newborn screening program </w:t>
      </w:r>
      <w:r w:rsidR="00A130D0">
        <w:rPr>
          <w:noProof/>
        </w:rPr>
        <w:t>(</w:t>
      </w:r>
      <w:r w:rsidR="00184B6F">
        <w:rPr>
          <w:noProof/>
        </w:rPr>
        <w:t>Chien et al. 2009</w:t>
      </w:r>
      <w:r w:rsidR="00A130D0">
        <w:rPr>
          <w:noProof/>
        </w:rPr>
        <w:t>)</w:t>
      </w:r>
      <w:r w:rsidRPr="000756DF">
        <w:t xml:space="preserve">, and </w:t>
      </w:r>
      <w:r>
        <w:t xml:space="preserve">this </w:t>
      </w:r>
      <w:r w:rsidRPr="000756DF">
        <w:t>appears to be a follow-up study to that reported by Chen et al (2009). Outcomes were compared with an untreated historical control group.</w:t>
      </w:r>
    </w:p>
    <w:p w:rsidR="00215988" w:rsidRPr="000756DF" w:rsidRDefault="00215988" w:rsidP="00215988">
      <w:r w:rsidRPr="000756DF">
        <w:t>Diagnosis of infant onset Pompe disease was confirmed by GAA activity in whole blood and clinical evaluation. Patients with confirmed cardiomyopathy at diagnosis immediately commenced treatment with alglucosidase alfa; asymptomatic patients were treated when Pompe-associated symptoms appeared. Eleven patients from the same centre were used as an untreated control group</w:t>
      </w:r>
      <w:r>
        <w:t>. They had</w:t>
      </w:r>
      <w:r w:rsidRPr="000756DF">
        <w:t xml:space="preserve"> died before the availability of ERT</w:t>
      </w:r>
      <w:r>
        <w:t xml:space="preserve"> and</w:t>
      </w:r>
      <w:r w:rsidRPr="000756DF">
        <w:t xml:space="preserve"> were included in the study of 168 patients from which both Kishnani et al (2007, 2009) and Nicolino et al (2009) sourced their historical cohorts</w:t>
      </w:r>
      <w:r w:rsidR="00BD4A3A">
        <w:rPr>
          <w:noProof/>
        </w:rPr>
        <w:t>(</w:t>
      </w:r>
      <w:r w:rsidR="00184B6F">
        <w:rPr>
          <w:noProof/>
        </w:rPr>
        <w:t>Kishnani, PS, Hwu, et al. 2006</w:t>
      </w:r>
      <w:r w:rsidR="00BD4A3A">
        <w:rPr>
          <w:noProof/>
        </w:rPr>
        <w:t>)</w:t>
      </w:r>
      <w:r w:rsidRPr="000756DF">
        <w:t xml:space="preserve">. </w:t>
      </w:r>
    </w:p>
    <w:p w:rsidR="00215988" w:rsidRPr="000756DF" w:rsidRDefault="00215988" w:rsidP="00215988">
      <w:r w:rsidRPr="000756DF">
        <w:t xml:space="preserve">Alglucosidase alfa was administered by intravenous infusion at a dose of 20mg/kg every other week. All patients were followed until the end of the study, at which time they ranged </w:t>
      </w:r>
      <w:r>
        <w:t xml:space="preserve">in age </w:t>
      </w:r>
      <w:r w:rsidRPr="000756DF">
        <w:t>from 18 months to 40 months.</w:t>
      </w:r>
    </w:p>
    <w:p w:rsidR="00215988" w:rsidRPr="000756DF" w:rsidRDefault="00215988" w:rsidP="00215988">
      <w:r w:rsidRPr="000756DF">
        <w:t>Of 206,088 newborns screened, six had a confirmed diagnosis of infant</w:t>
      </w:r>
      <w:r>
        <w:t>ile</w:t>
      </w:r>
      <w:r w:rsidRPr="000756DF">
        <w:t xml:space="preserve"> onset Pompe disease; five of these appear to be the NBS patients included in Chen et al (2009). The infants were aged 7 days to 40 days at diagnosis. In five patients with cardiomyopathy at diagnosis, treatment was initiated at ages ranging from 12 to 34 days, while the sixth commenced treatment at 14 months of age. GAA activity in fibroblasts ranged from 0.06 to 0.64 nmol/mg per hour (normal range &gt;60nmol/mg per hour). No details are provided for the untreated control group</w:t>
      </w:r>
      <w:r>
        <w:t xml:space="preserve"> but </w:t>
      </w:r>
      <w:r w:rsidRPr="000756DF">
        <w:t>the inclusion criteria for the study from which they were sourced included documented GAA enzyme deficiency or GAA gene mutation(s), and onset of signs or symptoms by 12 months of age</w:t>
      </w:r>
      <w:r w:rsidR="00AB6797">
        <w:t xml:space="preserve"> </w:t>
      </w:r>
      <w:r w:rsidR="00BD4A3A">
        <w:rPr>
          <w:noProof/>
        </w:rPr>
        <w:t>(</w:t>
      </w:r>
      <w:r w:rsidR="00184B6F">
        <w:rPr>
          <w:noProof/>
        </w:rPr>
        <w:t>Kishnani, PS, Hwu, et al. 2006</w:t>
      </w:r>
      <w:r w:rsidR="00BD4A3A">
        <w:rPr>
          <w:noProof/>
        </w:rPr>
        <w:t>)</w:t>
      </w:r>
      <w:r w:rsidRPr="000756DF">
        <w:t>.</w:t>
      </w:r>
    </w:p>
    <w:p w:rsidR="00215988" w:rsidRPr="000756DF" w:rsidRDefault="00215988" w:rsidP="00215988">
      <w:r w:rsidRPr="000756DF">
        <w:t>Comparison with the untreated control group was performed for the endpoints of survival, survival free of ventilation, time to independent walking, and time to walking.</w:t>
      </w:r>
    </w:p>
    <w:p w:rsidR="00215988" w:rsidRPr="000756DF" w:rsidRDefault="00215988" w:rsidP="00215988"/>
    <w:p w:rsidR="00215988" w:rsidRPr="000756DF" w:rsidRDefault="00215988" w:rsidP="00A979FB">
      <w:pPr>
        <w:pStyle w:val="Heading5"/>
      </w:pPr>
      <w:r w:rsidRPr="000756DF">
        <w:lastRenderedPageBreak/>
        <w:t>Prater et al (2012)</w:t>
      </w:r>
    </w:p>
    <w:p w:rsidR="00215988" w:rsidRPr="000756DF" w:rsidRDefault="00215988" w:rsidP="00215988">
      <w:r w:rsidRPr="000756DF">
        <w:t>In the studies outlined above, only three patients were followed beyond 5 years of age</w:t>
      </w:r>
      <w:r w:rsidR="00EB130F">
        <w:t xml:space="preserve"> </w:t>
      </w:r>
      <w:r w:rsidR="00510D02">
        <w:rPr>
          <w:noProof/>
        </w:rPr>
        <w:t>(</w:t>
      </w:r>
      <w:r w:rsidR="00184B6F">
        <w:rPr>
          <w:noProof/>
        </w:rPr>
        <w:t>Nicolino, M et al. 2009</w:t>
      </w:r>
      <w:r w:rsidR="00510D02">
        <w:rPr>
          <w:noProof/>
        </w:rPr>
        <w:t>)</w:t>
      </w:r>
      <w:r w:rsidRPr="000756DF">
        <w:t xml:space="preserve">. </w:t>
      </w:r>
      <w:r>
        <w:t>A</w:t>
      </w:r>
      <w:r w:rsidRPr="000756DF">
        <w:t xml:space="preserve"> non-comparative case-series report</w:t>
      </w:r>
      <w:r>
        <w:t>ed</w:t>
      </w:r>
      <w:r w:rsidRPr="000756DF">
        <w:t xml:space="preserve"> on outcomes in long-term survivors with infantile onset Pompe disease </w:t>
      </w:r>
      <w:r w:rsidR="00A130D0">
        <w:rPr>
          <w:noProof/>
        </w:rPr>
        <w:t>(</w:t>
      </w:r>
      <w:r w:rsidR="00184B6F">
        <w:rPr>
          <w:noProof/>
        </w:rPr>
        <w:t>Prater et al. 2012</w:t>
      </w:r>
      <w:r w:rsidR="00A130D0">
        <w:rPr>
          <w:noProof/>
        </w:rPr>
        <w:t>)</w:t>
      </w:r>
      <w:r w:rsidRPr="000756DF">
        <w:t>. Patients were identified by a retrospective review of medical records from July 1999 to June 2011. The majority of the inclusion criteria for this study were similar to those in Kishnani et al 2007: onset of symptoms by ≤6 months of age, GAA activity in skin fibroblasts and/or muscle biopsy &lt;1% of the control mean value, the presence of cardiomyopathy, absence of ventilator support before the start of ERT, and initiation of ERT ≤ 6 months by corrected gestational age. In addition, eligible patients must have survived to age ≥ 5 years at the most recent assessment (MRA)</w:t>
      </w:r>
      <w:r w:rsidR="00F87099">
        <w:t xml:space="preserve"> </w:t>
      </w:r>
      <w:r w:rsidR="00A130D0">
        <w:rPr>
          <w:noProof/>
        </w:rPr>
        <w:t>(</w:t>
      </w:r>
      <w:r w:rsidR="00184B6F">
        <w:rPr>
          <w:noProof/>
        </w:rPr>
        <w:t>Prater et al. 2012</w:t>
      </w:r>
      <w:r w:rsidR="00A130D0">
        <w:rPr>
          <w:noProof/>
        </w:rPr>
        <w:t>)</w:t>
      </w:r>
      <w:r w:rsidRPr="000756DF">
        <w:t>.</w:t>
      </w:r>
    </w:p>
    <w:p w:rsidR="00215988" w:rsidRPr="000756DF" w:rsidRDefault="00215988" w:rsidP="00215988">
      <w:r w:rsidRPr="000756DF">
        <w:t>The source population for the study included a total of 17 patients with infantile onset Pompe disease</w:t>
      </w:r>
      <w:r w:rsidR="005D1161">
        <w:t xml:space="preserve"> treated with 20</w:t>
      </w:r>
      <w:r w:rsidR="007D52B7">
        <w:t xml:space="preserve"> </w:t>
      </w:r>
      <w:r w:rsidR="005D1161">
        <w:t>-</w:t>
      </w:r>
      <w:r w:rsidR="007D52B7">
        <w:t xml:space="preserve"> </w:t>
      </w:r>
      <w:r w:rsidR="005D1161">
        <w:t>40mg/kg alglucosidase alfa every two weeks</w:t>
      </w:r>
      <w:r w:rsidRPr="000756DF">
        <w:t>, some of whom had participated in the original clinical studies of alglucosidase alfa. Eleven patients were cross-reactive immunological material (CRIM) positive, and 6 were CRIM negative. None of the CRIM negative patients met the inclusion criteria of survival to ≥ 5 years of age.</w:t>
      </w:r>
    </w:p>
    <w:p w:rsidR="00215988" w:rsidRPr="000756DF" w:rsidRDefault="00215988" w:rsidP="00215988">
      <w:r w:rsidRPr="000756DF">
        <w:t xml:space="preserve">Of the 11 patients included in the study, all were CRIM positive. The median age at the study database lock was 8.0 years (range 5.4 to 12.0 years); </w:t>
      </w:r>
      <w:r>
        <w:t xml:space="preserve">while median age </w:t>
      </w:r>
      <w:r w:rsidRPr="000756DF">
        <w:t xml:space="preserve">at diagnosis was 3.2 months (range -0.5 to 5.5 months; and at ERT initiation was 4.9 months (range 0.2 to 6.0 months). </w:t>
      </w:r>
    </w:p>
    <w:p w:rsidR="00215988" w:rsidRDefault="00215988" w:rsidP="00215988">
      <w:r w:rsidRPr="000756DF">
        <w:t xml:space="preserve">None of the included studies reported whether patients were receiving concomitant immunosuppressive therapy. </w:t>
      </w:r>
    </w:p>
    <w:p w:rsidR="00760505" w:rsidRPr="000756DF" w:rsidRDefault="00760505" w:rsidP="000756DF"/>
    <w:p w:rsidR="000756DF" w:rsidRPr="00E965BD" w:rsidRDefault="000756DF" w:rsidP="00A979FB">
      <w:pPr>
        <w:pStyle w:val="Heading4"/>
      </w:pPr>
      <w:bookmarkStart w:id="290" w:name="_Toc404350105"/>
      <w:bookmarkStart w:id="291" w:name="_Toc404937268"/>
      <w:r w:rsidRPr="00E965BD">
        <w:t>Results of the included studies</w:t>
      </w:r>
      <w:bookmarkEnd w:id="290"/>
      <w:bookmarkEnd w:id="291"/>
    </w:p>
    <w:p w:rsidR="000756DF" w:rsidRPr="00760505" w:rsidRDefault="000756DF" w:rsidP="00A979FB">
      <w:pPr>
        <w:pStyle w:val="Heading5"/>
      </w:pPr>
      <w:r w:rsidRPr="00760505">
        <w:t>Primary effectiveness: Survival</w:t>
      </w:r>
    </w:p>
    <w:p w:rsidR="000756DF" w:rsidRPr="000756DF" w:rsidRDefault="000756DF" w:rsidP="000756DF">
      <w:r w:rsidRPr="000756DF">
        <w:t>Kishnani et al (2007, 2009) reported that none of the 18 alglucosidase alfa treated patients included in the study died before the age of 18 months, and only one died before the age of 24 months. The Kaplan-Meier survival estimate at 24 months was 94.4% (95%CI: 83.9, 100), while the survival rate at 36 months was 72% (95%CI: 47.9, 96.0)</w:t>
      </w:r>
      <w:r w:rsidR="00DE28BF">
        <w:t xml:space="preserve"> </w:t>
      </w:r>
      <w:r w:rsidR="00510D02">
        <w:rPr>
          <w:noProof/>
        </w:rPr>
        <w:t>(</w:t>
      </w:r>
      <w:r w:rsidR="00184B6F">
        <w:rPr>
          <w:noProof/>
        </w:rPr>
        <w:t>Kishnani, P S et al. 2009</w:t>
      </w:r>
      <w:r w:rsidR="00510D02">
        <w:rPr>
          <w:noProof/>
        </w:rPr>
        <w:t>)</w:t>
      </w:r>
      <w:r w:rsidRPr="000756DF">
        <w:t xml:space="preserve">. At the end of the extension study, the median age of surviving patients was 35.7 months (range: 27.1 to 41.5 months). Only one of the 61 patients in the historical control group survived to the age of 18, 24 and 36 months </w:t>
      </w:r>
      <w:r w:rsidR="00510D02">
        <w:rPr>
          <w:noProof/>
        </w:rPr>
        <w:t>(</w:t>
      </w:r>
      <w:r w:rsidR="00184B6F">
        <w:rPr>
          <w:noProof/>
        </w:rPr>
        <w:t>Kishnani, P S et al. 2009</w:t>
      </w:r>
      <w:r w:rsidR="00510D02">
        <w:rPr>
          <w:noProof/>
        </w:rPr>
        <w:t xml:space="preserve">; </w:t>
      </w:r>
      <w:r w:rsidR="00184B6F">
        <w:rPr>
          <w:noProof/>
        </w:rPr>
        <w:t>Kishnani, PS et al. 2007</w:t>
      </w:r>
      <w:r w:rsidR="00510D02">
        <w:rPr>
          <w:noProof/>
        </w:rPr>
        <w:t>)</w:t>
      </w:r>
      <w:r w:rsidRPr="000756DF">
        <w:t>.</w:t>
      </w:r>
    </w:p>
    <w:p w:rsidR="000756DF" w:rsidRPr="000756DF" w:rsidRDefault="000756DF" w:rsidP="000756DF">
      <w:r w:rsidRPr="000756DF">
        <w:t xml:space="preserve">The risk of death for treated patients compared to the untreated historical control group was analysed using a Cox proportional hazards analysis with model terms of age at diagnosis, age at symptom onset, and treatment as a time-varying covariate. Survival over the duration of the study was significantly improved in the treatment group compared with </w:t>
      </w:r>
      <w:r w:rsidRPr="000756DF">
        <w:lastRenderedPageBreak/>
        <w:t>the untreated historical control group, with a hazard ratio (HR) for death of 0.05 (95%CI: 0.02, 0.14)</w:t>
      </w:r>
      <w:r w:rsidR="00DE28BF">
        <w:t xml:space="preserve"> </w:t>
      </w:r>
      <w:r w:rsidR="00510D02">
        <w:rPr>
          <w:noProof/>
        </w:rPr>
        <w:t>(</w:t>
      </w:r>
      <w:r w:rsidR="00184B6F">
        <w:rPr>
          <w:noProof/>
        </w:rPr>
        <w:t>Kishnani, P S et al. 2009</w:t>
      </w:r>
      <w:r w:rsidR="00510D02">
        <w:rPr>
          <w:noProof/>
        </w:rPr>
        <w:t>)</w:t>
      </w:r>
      <w:r w:rsidR="00215988">
        <w:t xml:space="preserve"> </w:t>
      </w:r>
      <w:r w:rsidR="00215988" w:rsidRPr="000756DF">
        <w:t xml:space="preserve">(GRADE </w:t>
      </w:r>
      <w:r w:rsidR="00215988" w:rsidRPr="00D4733A">
        <w:rPr>
          <w:rFonts w:ascii="Cambria Math" w:hAnsi="Cambria Math" w:cs="Cambria Math"/>
          <w:color w:val="00B050"/>
        </w:rPr>
        <w:t>⨁⨁</w:t>
      </w:r>
      <w:r w:rsidR="00215988" w:rsidRPr="00D4733A">
        <w:rPr>
          <w:rFonts w:ascii="Cambria Math" w:hAnsi="Cambria Math" w:cs="Cambria Math"/>
          <w:color w:val="C00000"/>
        </w:rPr>
        <w:t>⨀⨀</w:t>
      </w:r>
      <w:r w:rsidR="00D67ADB" w:rsidRPr="00D67ADB">
        <w:rPr>
          <w:rFonts w:cs="Cambria Math"/>
          <w:spacing w:val="-20"/>
        </w:rPr>
        <w:t>)</w:t>
      </w:r>
      <w:r w:rsidR="00215988" w:rsidRPr="000756DF">
        <w:rPr>
          <w:rFonts w:ascii="Cambria Math" w:hAnsi="Cambria Math" w:cs="Cambria Math"/>
        </w:rPr>
        <w:t>.</w:t>
      </w:r>
      <w:r w:rsidRPr="000756DF">
        <w:t xml:space="preserve"> No difference in the effects of alglucosidase alfa on survival or ventilator-free survival was observed between the two alglucosidase alfa dose groups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00D67ADB" w:rsidRPr="00D67ADB">
        <w:rPr>
          <w:rFonts w:cs="Cambria Math"/>
          <w:spacing w:val="-20"/>
        </w:rPr>
        <w:t>)</w:t>
      </w:r>
      <w:r w:rsidRPr="000756DF">
        <w:rPr>
          <w:rFonts w:ascii="Cambria Math" w:hAnsi="Cambria Math" w:cs="Cambria Math"/>
        </w:rPr>
        <w:t>.</w:t>
      </w:r>
    </w:p>
    <w:p w:rsidR="000756DF" w:rsidRPr="000756DF" w:rsidRDefault="000756DF" w:rsidP="000756DF">
      <w:r w:rsidRPr="000756DF">
        <w:t>In the study reported by Nicolini et al (2009), six of the 21 patients treated with alglucosidase alfa died during the study. These patients ranged in age from 3.7 to 13.0 months at first infusion and from 7.7 to 27.1 months at time of death</w:t>
      </w:r>
      <w:r w:rsidR="00DE28BF">
        <w:t xml:space="preserve"> </w:t>
      </w:r>
      <w:r w:rsidR="00510D02">
        <w:rPr>
          <w:noProof/>
        </w:rPr>
        <w:t>(</w:t>
      </w:r>
      <w:r w:rsidR="00184B6F">
        <w:rPr>
          <w:noProof/>
        </w:rPr>
        <w:t>Nicolino, M et al. 2009</w:t>
      </w:r>
      <w:r w:rsidR="00510D02">
        <w:rPr>
          <w:noProof/>
        </w:rPr>
        <w:t>)</w:t>
      </w:r>
      <w:r w:rsidRPr="000756DF">
        <w:t xml:space="preserve">. Five patients died before 18 months of age and before Week 28 of treatment; the sixth patient died at 27 months of age, after 100 weeks of treatment. The median age of surviving patients at the end of the study was 47.8 months (range: 34.7 to 80.3 months). The Kaplan-Meier survival estimate at 104 weeks was 71.1% (95%CI: 51.6, 90.6%) for treated patients, compared with 26.3% (95%CI:  6.5, 46.1%) in the historical control group. A Cox proportional hazards analysis, similar </w:t>
      </w:r>
      <w:r w:rsidR="00F17653">
        <w:t>to</w:t>
      </w:r>
      <w:r w:rsidRPr="000756DF">
        <w:t xml:space="preserve"> that performed in Kishnani et al (2009), resulted in an estimated hazard ratio for death of 0.21 (95%CI: 0.08, 0.52) for treated patients compared to the unt</w:t>
      </w:r>
      <w:r w:rsidR="00DE28BF">
        <w:t>reated historical control group</w:t>
      </w:r>
      <w:r w:rsidRPr="000756DF">
        <w:t xml:space="preserve">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00D67ADB" w:rsidRPr="00D67ADB">
        <w:rPr>
          <w:rFonts w:cs="Cambria Math"/>
          <w:spacing w:val="-20"/>
        </w:rPr>
        <w:t>)</w:t>
      </w:r>
      <w:r w:rsidRPr="000756DF">
        <w:rPr>
          <w:rFonts w:ascii="Cambria Math" w:hAnsi="Cambria Math" w:cs="Cambria Math"/>
        </w:rPr>
        <w:t>.</w:t>
      </w:r>
    </w:p>
    <w:p w:rsidR="000756DF" w:rsidRPr="000756DF" w:rsidRDefault="000756DF" w:rsidP="000756DF">
      <w:r w:rsidRPr="000756DF">
        <w:t>Chen et al (2009) state</w:t>
      </w:r>
      <w:r w:rsidR="0025188D">
        <w:t>d</w:t>
      </w:r>
      <w:r w:rsidRPr="000756DF">
        <w:t xml:space="preserve"> that survival was substantially improved with ERT, compared to the untreated control group</w:t>
      </w:r>
      <w:r w:rsidR="00DE28BF">
        <w:t xml:space="preserve"> </w:t>
      </w:r>
      <w:r w:rsidR="00A130D0">
        <w:rPr>
          <w:noProof/>
        </w:rPr>
        <w:t>(</w:t>
      </w:r>
      <w:r w:rsidR="00184B6F">
        <w:rPr>
          <w:noProof/>
        </w:rPr>
        <w:t>Chen et al. 2009</w:t>
      </w:r>
      <w:r w:rsidR="00A130D0">
        <w:rPr>
          <w:noProof/>
        </w:rPr>
        <w:t>)</w:t>
      </w:r>
      <w:r w:rsidRPr="000756DF">
        <w:t xml:space="preserve">. While the methods section states that analysis of time to event was performed with the Kaplan-Meier method, no statistical results were provided to support this statement. The study was insufficiently powered to detect any difference in survival between the three treatment sub-groups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00D67ADB" w:rsidRPr="00D67ADB">
        <w:rPr>
          <w:rFonts w:cs="Cambria Math"/>
          <w:spacing w:val="-20"/>
        </w:rPr>
        <w:t>)</w:t>
      </w:r>
      <w:r w:rsidRPr="000756DF">
        <w:rPr>
          <w:rFonts w:ascii="Cambria Math" w:hAnsi="Cambria Math" w:cs="Cambria Math"/>
        </w:rPr>
        <w:t>.</w:t>
      </w:r>
    </w:p>
    <w:p w:rsidR="000756DF" w:rsidRPr="000756DF" w:rsidRDefault="000756DF" w:rsidP="000756DF">
      <w:r w:rsidRPr="000756DF">
        <w:t>In a follow-up to Chen et al. (2009), Chien et al (2009) reports that all of the six patients identified by newborn screening survived until the end of the study, at which time their ages ranged from 15 to 40 months</w:t>
      </w:r>
      <w:r w:rsidR="00DE28BF">
        <w:t xml:space="preserve"> </w:t>
      </w:r>
      <w:r w:rsidR="00A130D0">
        <w:rPr>
          <w:noProof/>
        </w:rPr>
        <w:t>(</w:t>
      </w:r>
      <w:r w:rsidR="00184B6F">
        <w:rPr>
          <w:noProof/>
        </w:rPr>
        <w:t>Chien et al. 2009</w:t>
      </w:r>
      <w:r w:rsidR="00A130D0">
        <w:rPr>
          <w:noProof/>
        </w:rPr>
        <w:t>)</w:t>
      </w:r>
      <w:r w:rsidRPr="000756DF">
        <w:t>. Kaplan-Meier analysis indicated that survival in these patients was significantly improved compared to the untreated historical cohort (p</w:t>
      </w:r>
      <w:r w:rsidR="00652355" w:rsidRPr="00652355">
        <w:rPr>
          <w:spacing w:val="-20"/>
        </w:rPr>
        <w:t xml:space="preserve"> = </w:t>
      </w:r>
      <w:r w:rsidRPr="000756DF">
        <w:t xml:space="preserve">0.001)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00D67ADB" w:rsidRPr="00D67ADB">
        <w:rPr>
          <w:rFonts w:cs="Cambria Math"/>
          <w:spacing w:val="-20"/>
        </w:rPr>
        <w:t>)</w:t>
      </w:r>
      <w:r w:rsidRPr="000756DF">
        <w:rPr>
          <w:rFonts w:ascii="Cambria Math" w:hAnsi="Cambria Math" w:cs="Cambria Math"/>
        </w:rPr>
        <w:t>.</w:t>
      </w:r>
    </w:p>
    <w:p w:rsidR="000756DF" w:rsidRPr="000756DF" w:rsidRDefault="000756DF" w:rsidP="000756DF">
      <w:r w:rsidRPr="000756DF">
        <w:t xml:space="preserve">The </w:t>
      </w:r>
      <w:r w:rsidR="00F17653">
        <w:t xml:space="preserve">comparative </w:t>
      </w:r>
      <w:r w:rsidRPr="000756DF">
        <w:t xml:space="preserve">results for survival are summarised in </w:t>
      </w:r>
      <w:r w:rsidR="00A72B26" w:rsidRPr="00716774">
        <w:t xml:space="preserve">Table </w:t>
      </w:r>
      <w:r w:rsidR="00A72B26">
        <w:rPr>
          <w:noProof/>
        </w:rPr>
        <w:t>62</w:t>
      </w:r>
      <w:r w:rsidRPr="000756DF">
        <w:t xml:space="preserve">. Due to the non-randomised nature of these studies, the lack of details provided for the historical control groups (e.g. CRIM status), and the improvements in supportive therapy over time, there is considerable potential for confounding. In addition, due to the rarity of the disease, the sample size in each of the studies was small. While the reported magnitude of the treatment effect is uncertain and likely to vary between different populations, the large effect sizes, and the consistency of results across the studies, suggest that alglucosidase alfa significantly prolongs survival, compared to standard care, in patients with infant onset Pompe disease. </w:t>
      </w:r>
    </w:p>
    <w:p w:rsidR="000756DF" w:rsidRPr="00716774" w:rsidRDefault="000756DF" w:rsidP="00F44176">
      <w:pPr>
        <w:pStyle w:val="Caption"/>
        <w:keepNext/>
        <w:tabs>
          <w:tab w:val="clear" w:pos="851"/>
          <w:tab w:val="left" w:pos="1134"/>
        </w:tabs>
        <w:ind w:left="1134" w:hanging="1134"/>
      </w:pPr>
      <w:bookmarkStart w:id="292" w:name="_Ref402178060"/>
      <w:bookmarkStart w:id="293" w:name="_Ref402178044"/>
      <w:bookmarkStart w:id="294" w:name="_Ref409790738"/>
      <w:bookmarkStart w:id="295" w:name="_Toc411510443"/>
      <w:bookmarkStart w:id="296" w:name="_Toc415141859"/>
      <w:r w:rsidRPr="00716774">
        <w:lastRenderedPageBreak/>
        <w:t xml:space="preserve">Table </w:t>
      </w:r>
      <w:r w:rsidR="00A72B26">
        <w:rPr>
          <w:noProof/>
        </w:rPr>
        <w:t>62</w:t>
      </w:r>
      <w:bookmarkEnd w:id="292"/>
      <w:r w:rsidRPr="00716774">
        <w:tab/>
        <w:t>Summary of the results for survival</w:t>
      </w:r>
      <w:bookmarkEnd w:id="293"/>
      <w:r w:rsidR="00DE28BF" w:rsidRPr="00DE28BF">
        <w:t xml:space="preserve"> </w:t>
      </w:r>
      <w:r w:rsidR="00DE28BF">
        <w:t xml:space="preserve">in patients receiving </w:t>
      </w:r>
      <w:r w:rsidR="00DE28BF" w:rsidRPr="000756DF">
        <w:t>alglucosidase alfa</w:t>
      </w:r>
      <w:bookmarkEnd w:id="294"/>
      <w:bookmarkEnd w:id="295"/>
      <w:bookmarkEnd w:id="296"/>
    </w:p>
    <w:tbl>
      <w:tblPr>
        <w:tblStyle w:val="TableGrid"/>
        <w:tblW w:w="4995" w:type="pct"/>
        <w:tblLook w:val="04A0" w:firstRow="1" w:lastRow="0" w:firstColumn="1" w:lastColumn="0" w:noHBand="0" w:noVBand="1"/>
        <w:tblCaption w:val="Table 58 Summary of the results for survival in patients receiving alglucosidase alfa"/>
      </w:tblPr>
      <w:tblGrid>
        <w:gridCol w:w="1534"/>
        <w:gridCol w:w="3516"/>
        <w:gridCol w:w="1871"/>
        <w:gridCol w:w="1464"/>
        <w:gridCol w:w="848"/>
      </w:tblGrid>
      <w:tr w:rsidR="000756DF" w:rsidRPr="000756DF" w:rsidTr="009A0365">
        <w:trPr>
          <w:tblHeader/>
        </w:trPr>
        <w:tc>
          <w:tcPr>
            <w:tcW w:w="830" w:type="pct"/>
          </w:tcPr>
          <w:p w:rsidR="000756DF" w:rsidRPr="000756DF" w:rsidRDefault="000756DF" w:rsidP="00DE28BF">
            <w:pPr>
              <w:pStyle w:val="TableHeading"/>
            </w:pPr>
            <w:r w:rsidRPr="000756DF">
              <w:t>Study</w:t>
            </w:r>
          </w:p>
        </w:tc>
        <w:tc>
          <w:tcPr>
            <w:tcW w:w="1904" w:type="pct"/>
          </w:tcPr>
          <w:p w:rsidR="000756DF" w:rsidRPr="000756DF" w:rsidRDefault="000756DF" w:rsidP="00DE28BF">
            <w:pPr>
              <w:pStyle w:val="TableHeading"/>
            </w:pPr>
            <w:r w:rsidRPr="000756DF">
              <w:t>Population</w:t>
            </w:r>
          </w:p>
        </w:tc>
        <w:tc>
          <w:tcPr>
            <w:tcW w:w="1013" w:type="pct"/>
          </w:tcPr>
          <w:p w:rsidR="000756DF" w:rsidRDefault="000756DF" w:rsidP="00DE28BF">
            <w:pPr>
              <w:pStyle w:val="TableHeading"/>
            </w:pPr>
            <w:r w:rsidRPr="000756DF">
              <w:t>Duration of treatment</w:t>
            </w:r>
          </w:p>
          <w:p w:rsidR="005D1161" w:rsidRPr="000756DF" w:rsidRDefault="005D1161" w:rsidP="00DE28BF">
            <w:pPr>
              <w:pStyle w:val="TableHeading"/>
            </w:pPr>
            <w:r>
              <w:t>Dose (fortnightly)</w:t>
            </w:r>
          </w:p>
        </w:tc>
        <w:tc>
          <w:tcPr>
            <w:tcW w:w="793" w:type="pct"/>
          </w:tcPr>
          <w:p w:rsidR="000756DF" w:rsidRPr="000756DF" w:rsidRDefault="000756DF" w:rsidP="00DE28BF">
            <w:pPr>
              <w:pStyle w:val="TableHeading"/>
              <w:rPr>
                <w:vertAlign w:val="superscript"/>
              </w:rPr>
            </w:pPr>
            <w:r w:rsidRPr="000756DF">
              <w:t>HR for death</w:t>
            </w:r>
            <w:r w:rsidRPr="000756DF">
              <w:rPr>
                <w:vertAlign w:val="superscript"/>
              </w:rPr>
              <w:t>a</w:t>
            </w:r>
          </w:p>
          <w:p w:rsidR="000756DF" w:rsidRPr="000756DF" w:rsidRDefault="000756DF" w:rsidP="00DE28BF">
            <w:pPr>
              <w:pStyle w:val="TableHeading"/>
            </w:pPr>
            <w:r w:rsidRPr="000756DF">
              <w:t>(95% CI)</w:t>
            </w:r>
          </w:p>
        </w:tc>
        <w:tc>
          <w:tcPr>
            <w:tcW w:w="459" w:type="pct"/>
          </w:tcPr>
          <w:p w:rsidR="000756DF" w:rsidRPr="000756DF" w:rsidRDefault="000756DF" w:rsidP="00DE28BF">
            <w:pPr>
              <w:pStyle w:val="TableHeading"/>
              <w:rPr>
                <w:vertAlign w:val="superscript"/>
              </w:rPr>
            </w:pPr>
            <w:r w:rsidRPr="000756DF">
              <w:t>p-value</w:t>
            </w:r>
            <w:r w:rsidRPr="000756DF">
              <w:rPr>
                <w:vertAlign w:val="superscript"/>
              </w:rPr>
              <w:t>b</w:t>
            </w:r>
          </w:p>
        </w:tc>
      </w:tr>
      <w:tr w:rsidR="000756DF" w:rsidRPr="000756DF" w:rsidTr="000756DF">
        <w:tc>
          <w:tcPr>
            <w:tcW w:w="830" w:type="pct"/>
          </w:tcPr>
          <w:p w:rsidR="000756DF" w:rsidRPr="000756DF" w:rsidRDefault="000756DF" w:rsidP="00361A98">
            <w:pPr>
              <w:pStyle w:val="TableText0"/>
            </w:pPr>
            <w:r w:rsidRPr="000756DF">
              <w:t>Kishnani et al (2009)</w:t>
            </w:r>
          </w:p>
          <w:p w:rsidR="000756DF" w:rsidRPr="000756DF" w:rsidRDefault="000756DF" w:rsidP="00361A98">
            <w:pPr>
              <w:pStyle w:val="TableText0"/>
            </w:pPr>
            <w:r w:rsidRPr="000756DF">
              <w:t>N</w:t>
            </w:r>
            <w:r w:rsidR="00652355" w:rsidRPr="00652355">
              <w:rPr>
                <w:spacing w:val="-20"/>
              </w:rPr>
              <w:t xml:space="preserve"> = </w:t>
            </w:r>
            <w:r w:rsidRPr="000756DF">
              <w:t>18</w:t>
            </w:r>
          </w:p>
          <w:p w:rsidR="000756DF" w:rsidRPr="000756DF" w:rsidRDefault="00DE28BF" w:rsidP="00361A98">
            <w:pPr>
              <w:pStyle w:val="TableText0"/>
            </w:pPr>
            <w:r w:rsidRPr="00D4733A">
              <w:rPr>
                <w:rFonts w:ascii="Cambria Math" w:hAnsi="Cambria Math" w:cs="Cambria Math"/>
                <w:color w:val="00B050"/>
              </w:rPr>
              <w:t>⨁⨁</w:t>
            </w:r>
            <w:r w:rsidRPr="00D4733A">
              <w:rPr>
                <w:rFonts w:ascii="Cambria Math" w:hAnsi="Cambria Math" w:cs="Cambria Math"/>
                <w:color w:val="C00000"/>
              </w:rPr>
              <w:t>⨀⨀</w:t>
            </w:r>
          </w:p>
        </w:tc>
        <w:tc>
          <w:tcPr>
            <w:tcW w:w="1904" w:type="pct"/>
          </w:tcPr>
          <w:p w:rsidR="000756DF" w:rsidRPr="000756DF" w:rsidRDefault="000756DF" w:rsidP="00DE28BF">
            <w:pPr>
              <w:pStyle w:val="TableText0"/>
            </w:pPr>
            <w:r w:rsidRPr="000756DF">
              <w:t>Infants ≤26 weeks of age</w:t>
            </w:r>
          </w:p>
          <w:p w:rsidR="000756DF" w:rsidRPr="000756DF" w:rsidRDefault="000756DF" w:rsidP="00DE28BF">
            <w:pPr>
              <w:pStyle w:val="TableText0"/>
            </w:pPr>
            <w:r w:rsidRPr="000756DF">
              <w:t>Skin fibroblast activity &lt;1% of normal mean</w:t>
            </w:r>
          </w:p>
          <w:p w:rsidR="000756DF" w:rsidRPr="000756DF" w:rsidRDefault="000756DF" w:rsidP="00DE28BF">
            <w:pPr>
              <w:pStyle w:val="TableText0"/>
            </w:pPr>
            <w:r w:rsidRPr="000756DF">
              <w:t>Treatment initiated at a relatively early stage</w:t>
            </w:r>
          </w:p>
          <w:p w:rsidR="000756DF" w:rsidRPr="000756DF" w:rsidRDefault="000756DF" w:rsidP="00DE28BF">
            <w:pPr>
              <w:pStyle w:val="TableText0"/>
            </w:pPr>
            <w:r w:rsidRPr="000756DF">
              <w:t>No ventilation at baseline</w:t>
            </w:r>
          </w:p>
          <w:p w:rsidR="000756DF" w:rsidRPr="000756DF" w:rsidRDefault="000756DF" w:rsidP="00DE28BF">
            <w:pPr>
              <w:pStyle w:val="TableText0"/>
            </w:pPr>
            <w:r w:rsidRPr="000756DF">
              <w:t>78% CRIM positive</w:t>
            </w:r>
          </w:p>
        </w:tc>
        <w:tc>
          <w:tcPr>
            <w:tcW w:w="1013" w:type="pct"/>
          </w:tcPr>
          <w:p w:rsidR="000756DF" w:rsidRPr="000756DF" w:rsidRDefault="000756DF" w:rsidP="00DE28BF">
            <w:pPr>
              <w:pStyle w:val="TableText0"/>
            </w:pPr>
            <w:r w:rsidRPr="000756DF">
              <w:t>Median 121 weeks</w:t>
            </w:r>
          </w:p>
          <w:p w:rsidR="000756DF" w:rsidRDefault="000756DF" w:rsidP="00DE28BF">
            <w:pPr>
              <w:pStyle w:val="TableText0"/>
            </w:pPr>
            <w:r w:rsidRPr="000756DF">
              <w:t>Range 60-150 weeks</w:t>
            </w:r>
          </w:p>
          <w:p w:rsidR="005D1161" w:rsidRDefault="005D1161" w:rsidP="00DE28BF">
            <w:pPr>
              <w:pStyle w:val="TableText0"/>
            </w:pPr>
            <w:r>
              <w:t>20mg/kg (n=9)</w:t>
            </w:r>
          </w:p>
          <w:p w:rsidR="005D1161" w:rsidRPr="000756DF" w:rsidRDefault="005D1161" w:rsidP="005D1161">
            <w:pPr>
              <w:pStyle w:val="TableText0"/>
            </w:pPr>
            <w:r>
              <w:t>40mg/kg (n=9)</w:t>
            </w:r>
          </w:p>
        </w:tc>
        <w:tc>
          <w:tcPr>
            <w:tcW w:w="793" w:type="pct"/>
          </w:tcPr>
          <w:p w:rsidR="000756DF" w:rsidRPr="000756DF" w:rsidRDefault="000756DF" w:rsidP="00DE28BF">
            <w:pPr>
              <w:pStyle w:val="TableText0"/>
            </w:pPr>
            <w:r w:rsidRPr="000756DF">
              <w:t>0.05 (0.02, 0.14)</w:t>
            </w:r>
          </w:p>
        </w:tc>
        <w:tc>
          <w:tcPr>
            <w:tcW w:w="459" w:type="pct"/>
          </w:tcPr>
          <w:p w:rsidR="000756DF" w:rsidRPr="000756DF" w:rsidRDefault="000756DF" w:rsidP="00DE28BF">
            <w:pPr>
              <w:pStyle w:val="TableText0"/>
            </w:pPr>
            <w:r w:rsidRPr="000756DF">
              <w:t>NR</w:t>
            </w:r>
          </w:p>
        </w:tc>
      </w:tr>
      <w:tr w:rsidR="000756DF" w:rsidRPr="000756DF" w:rsidTr="000756DF">
        <w:tc>
          <w:tcPr>
            <w:tcW w:w="830" w:type="pct"/>
          </w:tcPr>
          <w:p w:rsidR="000756DF" w:rsidRPr="000756DF" w:rsidRDefault="000756DF" w:rsidP="00361A98">
            <w:pPr>
              <w:pStyle w:val="TableText0"/>
            </w:pPr>
            <w:r w:rsidRPr="000756DF">
              <w:t>Nicolino et al (2009)</w:t>
            </w:r>
          </w:p>
          <w:p w:rsidR="000756DF" w:rsidRPr="000756DF" w:rsidRDefault="000756DF" w:rsidP="00361A98">
            <w:pPr>
              <w:pStyle w:val="TableText0"/>
            </w:pPr>
            <w:r w:rsidRPr="000756DF">
              <w:t>N</w:t>
            </w:r>
            <w:r w:rsidR="00652355" w:rsidRPr="00652355">
              <w:rPr>
                <w:spacing w:val="-20"/>
              </w:rPr>
              <w:t xml:space="preserve"> = </w:t>
            </w:r>
            <w:r w:rsidRPr="000756DF">
              <w:t>21</w:t>
            </w:r>
          </w:p>
          <w:p w:rsidR="000756DF" w:rsidRPr="000756DF" w:rsidRDefault="00DE28BF" w:rsidP="00361A98">
            <w:pPr>
              <w:pStyle w:val="TableText0"/>
            </w:pPr>
            <w:r w:rsidRPr="00D4733A">
              <w:rPr>
                <w:rFonts w:ascii="Cambria Math" w:hAnsi="Cambria Math" w:cs="Cambria Math"/>
                <w:color w:val="00B050"/>
              </w:rPr>
              <w:t>⨁⨁</w:t>
            </w:r>
            <w:r w:rsidRPr="00D4733A">
              <w:rPr>
                <w:rFonts w:ascii="Cambria Math" w:hAnsi="Cambria Math" w:cs="Cambria Math"/>
                <w:color w:val="C00000"/>
              </w:rPr>
              <w:t>⨀⨀</w:t>
            </w:r>
          </w:p>
        </w:tc>
        <w:tc>
          <w:tcPr>
            <w:tcW w:w="1904" w:type="pct"/>
          </w:tcPr>
          <w:p w:rsidR="000756DF" w:rsidRPr="000756DF" w:rsidRDefault="000756DF" w:rsidP="00DE28BF">
            <w:pPr>
              <w:pStyle w:val="TableText0"/>
            </w:pPr>
            <w:r w:rsidRPr="000756DF">
              <w:t>Onset of symptoms by 12 months</w:t>
            </w:r>
          </w:p>
          <w:p w:rsidR="000756DF" w:rsidRPr="000756DF" w:rsidRDefault="000756DF" w:rsidP="00DE28BF">
            <w:pPr>
              <w:pStyle w:val="TableText0"/>
            </w:pPr>
            <w:r w:rsidRPr="000756DF">
              <w:t>Aged 4-43 months at initiation of treatment.</w:t>
            </w:r>
          </w:p>
          <w:p w:rsidR="000756DF" w:rsidRPr="000756DF" w:rsidRDefault="000756DF" w:rsidP="00DE28BF">
            <w:pPr>
              <w:pStyle w:val="TableText0"/>
            </w:pPr>
            <w:r w:rsidRPr="000756DF">
              <w:t>Skin fibroblast activity ≤2% of normal mean</w:t>
            </w:r>
          </w:p>
          <w:p w:rsidR="000756DF" w:rsidRPr="000756DF" w:rsidRDefault="000756DF" w:rsidP="00DE28BF">
            <w:pPr>
              <w:pStyle w:val="TableText0"/>
            </w:pPr>
            <w:r w:rsidRPr="000756DF">
              <w:t>Could be dependent on ventilation</w:t>
            </w:r>
          </w:p>
        </w:tc>
        <w:tc>
          <w:tcPr>
            <w:tcW w:w="1013" w:type="pct"/>
          </w:tcPr>
          <w:p w:rsidR="000756DF" w:rsidRPr="000756DF" w:rsidRDefault="000756DF" w:rsidP="00DE28BF">
            <w:pPr>
              <w:pStyle w:val="TableText0"/>
            </w:pPr>
            <w:r w:rsidRPr="000756DF">
              <w:t>Median 120 weeks</w:t>
            </w:r>
          </w:p>
          <w:p w:rsidR="000756DF" w:rsidRDefault="000756DF" w:rsidP="00DE28BF">
            <w:pPr>
              <w:pStyle w:val="TableText0"/>
            </w:pPr>
            <w:r w:rsidRPr="000756DF">
              <w:t>Range 0.6-168 weeks</w:t>
            </w:r>
          </w:p>
          <w:p w:rsidR="005D1161" w:rsidRDefault="005D1161" w:rsidP="005D1161">
            <w:pPr>
              <w:pStyle w:val="TableText0"/>
            </w:pPr>
            <w:r>
              <w:t>20mg/kg</w:t>
            </w:r>
          </w:p>
          <w:p w:rsidR="005D1161" w:rsidRPr="000756DF" w:rsidRDefault="005D1161" w:rsidP="005D1161">
            <w:pPr>
              <w:pStyle w:val="TableText0"/>
            </w:pPr>
            <w:r>
              <w:t>n=8 receiving 40mg/kg after 26 weeks</w:t>
            </w:r>
          </w:p>
        </w:tc>
        <w:tc>
          <w:tcPr>
            <w:tcW w:w="793" w:type="pct"/>
          </w:tcPr>
          <w:p w:rsidR="000756DF" w:rsidRPr="000756DF" w:rsidRDefault="000756DF" w:rsidP="00DE28BF">
            <w:pPr>
              <w:pStyle w:val="TableText0"/>
            </w:pPr>
            <w:r w:rsidRPr="000756DF">
              <w:t>0.21 (0.08, 0.52)</w:t>
            </w:r>
          </w:p>
        </w:tc>
        <w:tc>
          <w:tcPr>
            <w:tcW w:w="459" w:type="pct"/>
          </w:tcPr>
          <w:p w:rsidR="000756DF" w:rsidRPr="000756DF" w:rsidRDefault="000756DF" w:rsidP="00DE28BF">
            <w:pPr>
              <w:pStyle w:val="TableText0"/>
              <w:rPr>
                <w:vertAlign w:val="superscript"/>
              </w:rPr>
            </w:pPr>
            <w:r w:rsidRPr="000756DF">
              <w:t>0.0009</w:t>
            </w:r>
            <w:r w:rsidRPr="000756DF">
              <w:rPr>
                <w:vertAlign w:val="superscript"/>
              </w:rPr>
              <w:t>c</w:t>
            </w:r>
          </w:p>
        </w:tc>
      </w:tr>
      <w:tr w:rsidR="000756DF" w:rsidRPr="000756DF" w:rsidTr="000756DF">
        <w:tc>
          <w:tcPr>
            <w:tcW w:w="830" w:type="pct"/>
          </w:tcPr>
          <w:p w:rsidR="000756DF" w:rsidRPr="000756DF" w:rsidRDefault="000756DF" w:rsidP="00361A98">
            <w:pPr>
              <w:pStyle w:val="TableText0"/>
            </w:pPr>
            <w:r w:rsidRPr="000756DF">
              <w:t>Chien et al (2009)</w:t>
            </w:r>
          </w:p>
          <w:p w:rsidR="000756DF" w:rsidRPr="000756DF" w:rsidRDefault="000756DF" w:rsidP="00361A98">
            <w:pPr>
              <w:pStyle w:val="TableText0"/>
            </w:pPr>
            <w:r w:rsidRPr="000756DF">
              <w:t>N</w:t>
            </w:r>
            <w:r w:rsidR="00652355" w:rsidRPr="00652355">
              <w:rPr>
                <w:spacing w:val="-20"/>
              </w:rPr>
              <w:t xml:space="preserve"> = </w:t>
            </w:r>
            <w:r w:rsidRPr="000756DF">
              <w:t>6</w:t>
            </w:r>
          </w:p>
          <w:p w:rsidR="000756DF" w:rsidRPr="000756DF" w:rsidRDefault="00DE28BF" w:rsidP="00361A98">
            <w:pPr>
              <w:pStyle w:val="TableText0"/>
            </w:pPr>
            <w:r w:rsidRPr="00D4733A">
              <w:rPr>
                <w:rFonts w:ascii="Cambria Math" w:hAnsi="Cambria Math" w:cs="Cambria Math"/>
                <w:color w:val="00B050"/>
              </w:rPr>
              <w:t>⨁</w:t>
            </w:r>
            <w:r w:rsidRPr="00D4733A">
              <w:rPr>
                <w:rFonts w:ascii="Cambria Math" w:hAnsi="Cambria Math" w:cs="Cambria Math"/>
                <w:color w:val="C00000"/>
              </w:rPr>
              <w:t>⨀⨀⨀</w:t>
            </w:r>
          </w:p>
        </w:tc>
        <w:tc>
          <w:tcPr>
            <w:tcW w:w="1904" w:type="pct"/>
          </w:tcPr>
          <w:p w:rsidR="000756DF" w:rsidRPr="000756DF" w:rsidRDefault="000756DF" w:rsidP="00DE28BF">
            <w:pPr>
              <w:pStyle w:val="TableText0"/>
            </w:pPr>
            <w:r w:rsidRPr="000756DF">
              <w:t>Patients diagnosed by newborn screening program</w:t>
            </w:r>
          </w:p>
          <w:p w:rsidR="000756DF" w:rsidRPr="000756DF" w:rsidRDefault="000756DF" w:rsidP="00DE28BF">
            <w:pPr>
              <w:pStyle w:val="TableText0"/>
              <w:rPr>
                <w:vertAlign w:val="superscript"/>
              </w:rPr>
            </w:pPr>
            <w:r w:rsidRPr="000756DF">
              <w:t>Early initiation of treatment</w:t>
            </w:r>
            <w:r w:rsidRPr="000756DF">
              <w:rPr>
                <w:vertAlign w:val="superscript"/>
              </w:rPr>
              <w:t>c</w:t>
            </w:r>
          </w:p>
          <w:p w:rsidR="000756DF" w:rsidRPr="000756DF" w:rsidRDefault="000756DF" w:rsidP="00DE28BF">
            <w:pPr>
              <w:pStyle w:val="TableText0"/>
            </w:pPr>
            <w:r w:rsidRPr="000756DF">
              <w:t>100% CRIM positive</w:t>
            </w:r>
          </w:p>
        </w:tc>
        <w:tc>
          <w:tcPr>
            <w:tcW w:w="1013" w:type="pct"/>
          </w:tcPr>
          <w:p w:rsidR="000756DF" w:rsidRDefault="000756DF" w:rsidP="00DE28BF">
            <w:pPr>
              <w:pStyle w:val="TableText0"/>
            </w:pPr>
            <w:r w:rsidRPr="000756DF">
              <w:t>Range 14-33 months</w:t>
            </w:r>
          </w:p>
          <w:p w:rsidR="005D1161" w:rsidRPr="000756DF" w:rsidRDefault="005D1161" w:rsidP="005D1161">
            <w:pPr>
              <w:pStyle w:val="TableText0"/>
            </w:pPr>
            <w:r>
              <w:t>20mg/kg</w:t>
            </w:r>
          </w:p>
        </w:tc>
        <w:tc>
          <w:tcPr>
            <w:tcW w:w="793" w:type="pct"/>
          </w:tcPr>
          <w:p w:rsidR="000756DF" w:rsidRPr="000756DF" w:rsidRDefault="000756DF" w:rsidP="00DE28BF">
            <w:pPr>
              <w:pStyle w:val="TableText0"/>
            </w:pPr>
            <w:r w:rsidRPr="000756DF">
              <w:t>NR</w:t>
            </w:r>
          </w:p>
        </w:tc>
        <w:tc>
          <w:tcPr>
            <w:tcW w:w="459" w:type="pct"/>
          </w:tcPr>
          <w:p w:rsidR="000756DF" w:rsidRPr="000756DF" w:rsidRDefault="000756DF" w:rsidP="00DE28BF">
            <w:pPr>
              <w:pStyle w:val="TableText0"/>
            </w:pPr>
            <w:r w:rsidRPr="000756DF">
              <w:t>0.001</w:t>
            </w:r>
            <w:r w:rsidRPr="000756DF">
              <w:rPr>
                <w:vertAlign w:val="superscript"/>
              </w:rPr>
              <w:t>c</w:t>
            </w:r>
          </w:p>
        </w:tc>
      </w:tr>
    </w:tbl>
    <w:p w:rsidR="000756DF" w:rsidRPr="000756DF" w:rsidRDefault="000756DF" w:rsidP="0025188D">
      <w:pPr>
        <w:keepNext/>
        <w:spacing w:after="0" w:line="240" w:lineRule="auto"/>
        <w:rPr>
          <w:rFonts w:ascii="Arial Narrow" w:hAnsi="Arial Narrow"/>
          <w:sz w:val="16"/>
          <w:szCs w:val="16"/>
          <w:lang w:eastAsia="en-AU"/>
        </w:rPr>
      </w:pPr>
      <w:r w:rsidRPr="000756DF">
        <w:rPr>
          <w:rFonts w:ascii="Arial Narrow" w:hAnsi="Arial Narrow"/>
          <w:sz w:val="16"/>
          <w:szCs w:val="16"/>
          <w:lang w:eastAsia="en-AU"/>
        </w:rPr>
        <w:t xml:space="preserve">CI </w:t>
      </w:r>
      <w:r w:rsidR="00652355" w:rsidRPr="00652355">
        <w:rPr>
          <w:rFonts w:ascii="Arial Narrow" w:hAnsi="Arial Narrow"/>
          <w:spacing w:val="-20"/>
          <w:sz w:val="16"/>
          <w:szCs w:val="16"/>
          <w:lang w:eastAsia="en-AU"/>
        </w:rPr>
        <w:t xml:space="preserve"> = </w:t>
      </w:r>
      <w:r w:rsidRPr="000756DF">
        <w:rPr>
          <w:rFonts w:ascii="Arial Narrow" w:hAnsi="Arial Narrow"/>
          <w:sz w:val="16"/>
          <w:szCs w:val="16"/>
          <w:lang w:eastAsia="en-AU"/>
        </w:rPr>
        <w:t xml:space="preserve"> confidence interval; CRIM </w:t>
      </w:r>
      <w:r w:rsidR="00652355" w:rsidRPr="00652355">
        <w:rPr>
          <w:rFonts w:ascii="Arial Narrow" w:hAnsi="Arial Narrow"/>
          <w:spacing w:val="-20"/>
          <w:sz w:val="16"/>
          <w:szCs w:val="16"/>
          <w:lang w:eastAsia="en-AU"/>
        </w:rPr>
        <w:t xml:space="preserve"> = </w:t>
      </w:r>
      <w:r w:rsidRPr="000756DF">
        <w:rPr>
          <w:rFonts w:ascii="Arial Narrow" w:hAnsi="Arial Narrow"/>
          <w:sz w:val="16"/>
          <w:szCs w:val="16"/>
          <w:lang w:eastAsia="en-AU"/>
        </w:rPr>
        <w:t xml:space="preserve"> cross-reactive immunological material; GRADE </w:t>
      </w:r>
      <w:r w:rsidR="00652355" w:rsidRPr="00652355">
        <w:rPr>
          <w:rFonts w:ascii="Arial Narrow" w:hAnsi="Arial Narrow"/>
          <w:spacing w:val="-20"/>
          <w:sz w:val="16"/>
          <w:szCs w:val="16"/>
          <w:lang w:eastAsia="en-AU"/>
        </w:rPr>
        <w:t xml:space="preserve"> = </w:t>
      </w:r>
      <w:r w:rsidRPr="000756DF">
        <w:rPr>
          <w:rFonts w:ascii="Arial Narrow" w:hAnsi="Arial Narrow"/>
          <w:sz w:val="16"/>
          <w:szCs w:val="16"/>
          <w:lang w:eastAsia="en-AU"/>
        </w:rPr>
        <w:t xml:space="preserve"> grading of recommendations assessment, development and evaluation; HR </w:t>
      </w:r>
      <w:r w:rsidR="00652355" w:rsidRPr="00652355">
        <w:rPr>
          <w:rFonts w:ascii="Arial Narrow" w:hAnsi="Arial Narrow"/>
          <w:spacing w:val="-20"/>
          <w:sz w:val="16"/>
          <w:szCs w:val="16"/>
          <w:lang w:eastAsia="en-AU"/>
        </w:rPr>
        <w:t xml:space="preserve"> = </w:t>
      </w:r>
      <w:r w:rsidRPr="000756DF">
        <w:rPr>
          <w:rFonts w:ascii="Arial Narrow" w:hAnsi="Arial Narrow"/>
          <w:sz w:val="16"/>
          <w:szCs w:val="16"/>
          <w:lang w:eastAsia="en-AU"/>
        </w:rPr>
        <w:t xml:space="preserve"> hazard ratio; NR </w:t>
      </w:r>
      <w:r w:rsidR="00652355" w:rsidRPr="00652355">
        <w:rPr>
          <w:rFonts w:ascii="Arial Narrow" w:hAnsi="Arial Narrow"/>
          <w:spacing w:val="-20"/>
          <w:sz w:val="16"/>
          <w:szCs w:val="16"/>
          <w:lang w:eastAsia="en-AU"/>
        </w:rPr>
        <w:t xml:space="preserve"> = </w:t>
      </w:r>
      <w:r w:rsidRPr="000756DF">
        <w:rPr>
          <w:rFonts w:ascii="Arial Narrow" w:hAnsi="Arial Narrow"/>
          <w:sz w:val="16"/>
          <w:szCs w:val="16"/>
          <w:lang w:eastAsia="en-AU"/>
        </w:rPr>
        <w:t xml:space="preserve"> not reported</w:t>
      </w:r>
    </w:p>
    <w:p w:rsidR="000756DF" w:rsidRPr="000756DF" w:rsidRDefault="000756DF" w:rsidP="000756DF">
      <w:pPr>
        <w:keepNext/>
        <w:spacing w:after="0" w:line="240" w:lineRule="auto"/>
        <w:ind w:left="131" w:hanging="131"/>
        <w:rPr>
          <w:rFonts w:ascii="Arial Narrow" w:hAnsi="Arial Narrow"/>
          <w:sz w:val="16"/>
          <w:szCs w:val="16"/>
          <w:lang w:eastAsia="en-AU"/>
        </w:rPr>
      </w:pPr>
      <w:proofErr w:type="gramStart"/>
      <w:r w:rsidRPr="000756DF">
        <w:rPr>
          <w:rFonts w:ascii="Arial Narrow" w:hAnsi="Arial Narrow"/>
          <w:sz w:val="16"/>
          <w:szCs w:val="16"/>
          <w:vertAlign w:val="superscript"/>
          <w:lang w:eastAsia="en-AU"/>
        </w:rPr>
        <w:t>a</w:t>
      </w:r>
      <w:proofErr w:type="gramEnd"/>
      <w:r w:rsidRPr="000756DF">
        <w:rPr>
          <w:rFonts w:ascii="Arial Narrow" w:hAnsi="Arial Narrow"/>
          <w:sz w:val="16"/>
          <w:szCs w:val="16"/>
          <w:lang w:eastAsia="en-AU"/>
        </w:rPr>
        <w:t xml:space="preserve"> Cox proportional hazards analysis </w:t>
      </w:r>
    </w:p>
    <w:p w:rsidR="000756DF" w:rsidRPr="000756DF" w:rsidRDefault="000756DF" w:rsidP="000756DF">
      <w:pPr>
        <w:keepNext/>
        <w:spacing w:after="0" w:line="240" w:lineRule="auto"/>
        <w:ind w:left="131" w:hanging="131"/>
        <w:rPr>
          <w:rFonts w:ascii="Arial Narrow" w:hAnsi="Arial Narrow"/>
          <w:sz w:val="16"/>
          <w:szCs w:val="16"/>
          <w:lang w:eastAsia="en-AU"/>
        </w:rPr>
      </w:pPr>
      <w:proofErr w:type="gramStart"/>
      <w:r w:rsidRPr="000756DF">
        <w:rPr>
          <w:rFonts w:ascii="Arial Narrow" w:hAnsi="Arial Narrow"/>
          <w:sz w:val="16"/>
          <w:szCs w:val="16"/>
          <w:vertAlign w:val="superscript"/>
          <w:lang w:eastAsia="en-AU"/>
        </w:rPr>
        <w:t>b</w:t>
      </w:r>
      <w:proofErr w:type="gramEnd"/>
      <w:r w:rsidRPr="000756DF">
        <w:rPr>
          <w:rFonts w:ascii="Arial Narrow" w:hAnsi="Arial Narrow"/>
          <w:sz w:val="16"/>
          <w:szCs w:val="16"/>
          <w:lang w:eastAsia="en-AU"/>
        </w:rPr>
        <w:t xml:space="preserve"> Kaplan-Meier analysis.</w:t>
      </w:r>
    </w:p>
    <w:p w:rsidR="000756DF" w:rsidRPr="000756DF" w:rsidRDefault="000756DF" w:rsidP="000756DF">
      <w:pPr>
        <w:keepNext/>
        <w:spacing w:after="0" w:line="240" w:lineRule="auto"/>
        <w:ind w:left="131" w:hanging="131"/>
        <w:rPr>
          <w:rFonts w:ascii="Arial Narrow" w:hAnsi="Arial Narrow"/>
          <w:sz w:val="16"/>
          <w:szCs w:val="16"/>
          <w:lang w:eastAsia="en-AU"/>
        </w:rPr>
      </w:pPr>
      <w:proofErr w:type="gramStart"/>
      <w:r w:rsidRPr="000756DF">
        <w:rPr>
          <w:rFonts w:ascii="Arial Narrow" w:hAnsi="Arial Narrow"/>
          <w:sz w:val="16"/>
          <w:szCs w:val="16"/>
          <w:vertAlign w:val="superscript"/>
          <w:lang w:eastAsia="en-AU"/>
        </w:rPr>
        <w:t>c</w:t>
      </w:r>
      <w:proofErr w:type="gramEnd"/>
      <w:r w:rsidRPr="000756DF">
        <w:rPr>
          <w:rFonts w:ascii="Arial Narrow" w:hAnsi="Arial Narrow"/>
          <w:sz w:val="16"/>
          <w:szCs w:val="16"/>
          <w:lang w:eastAsia="en-AU"/>
        </w:rPr>
        <w:t xml:space="preserve"> Treatment was initiated within 7 days of diagnosis if evidence of cardiomyopathy was present; asymptomatic patients commenced treatment when Pompe-associated symptoms first developed</w:t>
      </w:r>
    </w:p>
    <w:p w:rsidR="000756DF" w:rsidRPr="000756DF" w:rsidRDefault="000756DF" w:rsidP="000756DF">
      <w:pPr>
        <w:tabs>
          <w:tab w:val="left" w:pos="851"/>
        </w:tabs>
        <w:spacing w:before="40" w:after="40" w:line="240" w:lineRule="auto"/>
        <w:rPr>
          <w:rFonts w:ascii="Arial Narrow" w:hAnsi="Arial Narrow"/>
          <w:bCs/>
          <w:color w:val="1F497D"/>
          <w:sz w:val="20"/>
          <w:szCs w:val="20"/>
        </w:rPr>
      </w:pPr>
    </w:p>
    <w:p w:rsidR="000756DF" w:rsidRPr="00B762BD" w:rsidRDefault="00760505" w:rsidP="00526CC7">
      <w:pPr>
        <w:pStyle w:val="Heading5"/>
      </w:pPr>
      <w:r w:rsidRPr="00E965BD">
        <w:t>Conclusions</w:t>
      </w:r>
    </w:p>
    <w:p w:rsidR="000756DF" w:rsidRPr="000756DF" w:rsidRDefault="000756DF" w:rsidP="000756DF">
      <w:r w:rsidRPr="000756DF">
        <w:t>Three historic control studies provide</w:t>
      </w:r>
      <w:r w:rsidR="0025188D">
        <w:t>d</w:t>
      </w:r>
      <w:r w:rsidRPr="000756DF">
        <w:t xml:space="preserve"> low quality, but consistent, evidence that alglucosidase alfa prolongs survival in infants with infantile onset Pompe disease, across a range of populations varying in respect to the severity and stage of development of the disease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00D67ADB" w:rsidRPr="00D67ADB">
        <w:rPr>
          <w:rFonts w:cs="Cambria Math"/>
          <w:spacing w:val="-20"/>
        </w:rPr>
        <w:t>)</w:t>
      </w:r>
      <w:r w:rsidRPr="000756DF">
        <w:rPr>
          <w:rFonts w:ascii="Cambria Math" w:hAnsi="Cambria Math" w:cs="Cambria Math"/>
        </w:rPr>
        <w:t>.</w:t>
      </w:r>
    </w:p>
    <w:p w:rsidR="000756DF" w:rsidRPr="000756DF" w:rsidRDefault="000756DF" w:rsidP="000756DF">
      <w:r w:rsidRPr="000756DF">
        <w:t>The effectiveness of alglucosidase alfa on survival beyond the limited duration of these studies has not been assessed (see “Long-term outcomes in patients surviving beyond infancy”).</w:t>
      </w:r>
    </w:p>
    <w:p w:rsidR="000756DF" w:rsidRPr="000756DF" w:rsidRDefault="000756DF" w:rsidP="000756DF"/>
    <w:p w:rsidR="000756DF" w:rsidRPr="000756DF" w:rsidRDefault="000756DF" w:rsidP="00A979FB">
      <w:pPr>
        <w:pStyle w:val="Heading5"/>
      </w:pPr>
      <w:r w:rsidRPr="000756DF">
        <w:t>Secondary effectiveness outcomes</w:t>
      </w:r>
    </w:p>
    <w:p w:rsidR="000756DF" w:rsidRPr="00A979FB" w:rsidRDefault="000756DF" w:rsidP="00A979FB">
      <w:pPr>
        <w:pStyle w:val="Heading5"/>
      </w:pPr>
      <w:r w:rsidRPr="00A979FB">
        <w:t>Ventilation free survival</w:t>
      </w:r>
    </w:p>
    <w:p w:rsidR="000756DF" w:rsidRPr="000756DF" w:rsidRDefault="000756DF" w:rsidP="000756DF">
      <w:r w:rsidRPr="000756DF">
        <w:t xml:space="preserve">Kishnani et al (2007, 2009), Nicolino et al (2009) and Chien et al (2009) all reported ventilation-free survival in patients on ERT compared to a historical untreated control group. </w:t>
      </w:r>
    </w:p>
    <w:p w:rsidR="000756DF" w:rsidRPr="000756DF" w:rsidRDefault="000756DF" w:rsidP="000756DF">
      <w:r w:rsidRPr="000756DF">
        <w:t xml:space="preserve">Kishnani et al (2007) reported a Kaplan-Meier invasive ventilation-free survival rate of 88.9% (95%CI: 74.4%, 100%) at the age of 18months; this fell to 66.7% (95%CI: 44.9%, 88.4%) at age 24 months and 49.4% (95%CI: 26.0, 72.8) at 36 months of age </w:t>
      </w:r>
      <w:r w:rsidR="00510D02">
        <w:rPr>
          <w:noProof/>
        </w:rPr>
        <w:t>(</w:t>
      </w:r>
      <w:r w:rsidR="00184B6F">
        <w:rPr>
          <w:noProof/>
        </w:rPr>
        <w:t>Kishnani, P S et al. 2009</w:t>
      </w:r>
      <w:r w:rsidR="00510D02">
        <w:rPr>
          <w:noProof/>
        </w:rPr>
        <w:t>)</w:t>
      </w:r>
      <w:r w:rsidRPr="000756DF">
        <w:t xml:space="preserve">. </w:t>
      </w:r>
      <w:r w:rsidRPr="000756DF">
        <w:lastRenderedPageBreak/>
        <w:t>In Nicolino et al (2009) 44% (7/16) of those invasive-ventilation free at baseline remained so at the end of the study (median treatment duration of 120 weeks).</w:t>
      </w:r>
    </w:p>
    <w:p w:rsidR="000756DF" w:rsidRPr="000756DF" w:rsidRDefault="000756DF" w:rsidP="000756DF">
      <w:r w:rsidRPr="000756DF">
        <w:t xml:space="preserve">The results of the comparison of treated patients versus the historical control group for each of these studies are summarised in </w:t>
      </w:r>
      <w:r w:rsidR="00A72B26" w:rsidRPr="00716774">
        <w:t xml:space="preserve">Table </w:t>
      </w:r>
      <w:r w:rsidR="00A72B26">
        <w:rPr>
          <w:noProof/>
        </w:rPr>
        <w:t>63</w:t>
      </w:r>
      <w:r w:rsidRPr="000756DF">
        <w:t xml:space="preserve">. Both Kishnani et al (2009) and Nicolino et al (2009) reported that survival free of invasive ventilation was significantly prolonged in treated patients compared to the untreated control group </w:t>
      </w:r>
      <w:r w:rsidR="00510D02">
        <w:rPr>
          <w:noProof/>
        </w:rPr>
        <w:t>(</w:t>
      </w:r>
      <w:r w:rsidR="00184B6F">
        <w:rPr>
          <w:noProof/>
        </w:rPr>
        <w:t>Kishnani, P S et al. 2009</w:t>
      </w:r>
      <w:r w:rsidR="00510D02">
        <w:rPr>
          <w:noProof/>
        </w:rPr>
        <w:t xml:space="preserve">; </w:t>
      </w:r>
      <w:r w:rsidR="00184B6F">
        <w:rPr>
          <w:noProof/>
        </w:rPr>
        <w:t>Nicolino, M et al. 2009</w:t>
      </w:r>
      <w:r w:rsidR="00510D02">
        <w:rPr>
          <w:noProof/>
        </w:rPr>
        <w:t>)</w:t>
      </w:r>
      <w:r w:rsidRPr="000756DF">
        <w:t xml:space="preserve">. In contrast to Kishnani (2009) and Chien et al (2009), Nicolino et al (2009) failed to show any significant difference between groups for the outcome of survival free of any ventilation. This may have been due to differences between the </w:t>
      </w:r>
      <w:proofErr w:type="gramStart"/>
      <w:r w:rsidRPr="000756DF">
        <w:t>study</w:t>
      </w:r>
      <w:proofErr w:type="gramEnd"/>
      <w:r w:rsidRPr="000756DF">
        <w:t xml:space="preserve"> populations; Nicolino et al (2009) was the only study which enrolled patients who were already dependent on ventilation at baseline (33% of patients).  </w:t>
      </w:r>
    </w:p>
    <w:p w:rsidR="000756DF" w:rsidRPr="00716774" w:rsidRDefault="000756DF" w:rsidP="00F44176">
      <w:pPr>
        <w:pStyle w:val="Caption"/>
        <w:keepNext/>
        <w:tabs>
          <w:tab w:val="clear" w:pos="851"/>
          <w:tab w:val="left" w:pos="1134"/>
        </w:tabs>
        <w:ind w:left="1134" w:hanging="1134"/>
      </w:pPr>
      <w:bookmarkStart w:id="297" w:name="_Ref402183927"/>
      <w:bookmarkStart w:id="298" w:name="_Toc411510444"/>
      <w:bookmarkStart w:id="299" w:name="_Toc415141860"/>
      <w:r w:rsidRPr="00716774">
        <w:t xml:space="preserve">Table </w:t>
      </w:r>
      <w:r w:rsidR="00A72B26">
        <w:rPr>
          <w:noProof/>
        </w:rPr>
        <w:t>63</w:t>
      </w:r>
      <w:bookmarkEnd w:id="297"/>
      <w:r w:rsidRPr="00716774">
        <w:tab/>
        <w:t>Summary of results for ventilation-free survival</w:t>
      </w:r>
      <w:r w:rsidR="00DE28BF">
        <w:t xml:space="preserve"> in patients receiving </w:t>
      </w:r>
      <w:r w:rsidR="00DE28BF" w:rsidRPr="000756DF">
        <w:t>alglucosidase alfa</w:t>
      </w:r>
      <w:bookmarkEnd w:id="298"/>
      <w:bookmarkEnd w:id="299"/>
    </w:p>
    <w:tbl>
      <w:tblPr>
        <w:tblStyle w:val="TableGrid"/>
        <w:tblW w:w="5000" w:type="pct"/>
        <w:tblLook w:val="04A0" w:firstRow="1" w:lastRow="0" w:firstColumn="1" w:lastColumn="0" w:noHBand="0" w:noVBand="1"/>
        <w:tblCaption w:val="Table 59 Summary of results for ventilation-free survival in patients receiving alglucosidase alfa"/>
      </w:tblPr>
      <w:tblGrid>
        <w:gridCol w:w="2478"/>
        <w:gridCol w:w="982"/>
        <w:gridCol w:w="957"/>
        <w:gridCol w:w="1800"/>
        <w:gridCol w:w="1970"/>
        <w:gridCol w:w="1055"/>
      </w:tblGrid>
      <w:tr w:rsidR="000756DF" w:rsidRPr="000756DF" w:rsidTr="009A0365">
        <w:trPr>
          <w:tblHeader/>
        </w:trPr>
        <w:tc>
          <w:tcPr>
            <w:tcW w:w="1343" w:type="pct"/>
          </w:tcPr>
          <w:p w:rsidR="000756DF" w:rsidRPr="000756DF" w:rsidRDefault="000756DF" w:rsidP="00F17653">
            <w:pPr>
              <w:tabs>
                <w:tab w:val="left" w:pos="851"/>
              </w:tabs>
              <w:spacing w:before="40" w:after="40" w:line="240" w:lineRule="auto"/>
              <w:jc w:val="left"/>
              <w:rPr>
                <w:rFonts w:ascii="Arial Narrow" w:hAnsi="Arial Narrow"/>
                <w:b/>
                <w:bCs/>
                <w:sz w:val="20"/>
                <w:szCs w:val="20"/>
              </w:rPr>
            </w:pPr>
            <w:r w:rsidRPr="000756DF">
              <w:rPr>
                <w:rFonts w:ascii="Arial Narrow" w:hAnsi="Arial Narrow"/>
                <w:b/>
                <w:bCs/>
                <w:sz w:val="20"/>
                <w:szCs w:val="20"/>
              </w:rPr>
              <w:t>Outcome</w:t>
            </w:r>
          </w:p>
        </w:tc>
        <w:tc>
          <w:tcPr>
            <w:tcW w:w="520" w:type="pct"/>
          </w:tcPr>
          <w:p w:rsidR="000756DF" w:rsidRPr="000756DF" w:rsidRDefault="000756DF" w:rsidP="000756DF">
            <w:pPr>
              <w:tabs>
                <w:tab w:val="left" w:pos="851"/>
              </w:tabs>
              <w:spacing w:before="40" w:after="40" w:line="240" w:lineRule="auto"/>
              <w:jc w:val="center"/>
              <w:rPr>
                <w:rFonts w:ascii="Arial Narrow" w:hAnsi="Arial Narrow"/>
                <w:b/>
                <w:bCs/>
                <w:sz w:val="20"/>
                <w:szCs w:val="20"/>
              </w:rPr>
            </w:pPr>
            <w:r w:rsidRPr="000756DF">
              <w:rPr>
                <w:rFonts w:ascii="Arial Narrow" w:hAnsi="Arial Narrow"/>
                <w:b/>
                <w:bCs/>
                <w:sz w:val="20"/>
                <w:szCs w:val="20"/>
              </w:rPr>
              <w:t>GRADE</w:t>
            </w:r>
          </w:p>
        </w:tc>
        <w:tc>
          <w:tcPr>
            <w:tcW w:w="520" w:type="pct"/>
          </w:tcPr>
          <w:p w:rsidR="000756DF" w:rsidRPr="000756DF" w:rsidRDefault="000756DF" w:rsidP="000756DF">
            <w:pPr>
              <w:tabs>
                <w:tab w:val="left" w:pos="851"/>
              </w:tabs>
              <w:spacing w:before="40" w:after="40" w:line="240" w:lineRule="auto"/>
              <w:jc w:val="center"/>
              <w:rPr>
                <w:rFonts w:ascii="Arial Narrow" w:hAnsi="Arial Narrow"/>
                <w:b/>
                <w:bCs/>
                <w:sz w:val="20"/>
                <w:szCs w:val="20"/>
              </w:rPr>
            </w:pPr>
            <w:r w:rsidRPr="000756DF">
              <w:rPr>
                <w:rFonts w:ascii="Arial Narrow" w:hAnsi="Arial Narrow"/>
                <w:b/>
                <w:bCs/>
                <w:sz w:val="20"/>
                <w:szCs w:val="20"/>
              </w:rPr>
              <w:t>N</w:t>
            </w:r>
          </w:p>
        </w:tc>
        <w:tc>
          <w:tcPr>
            <w:tcW w:w="976" w:type="pct"/>
          </w:tcPr>
          <w:p w:rsidR="000756DF" w:rsidRPr="000756DF" w:rsidRDefault="000756DF" w:rsidP="00F17653">
            <w:pPr>
              <w:tabs>
                <w:tab w:val="left" w:pos="851"/>
              </w:tabs>
              <w:spacing w:before="40" w:after="40" w:line="240" w:lineRule="auto"/>
              <w:jc w:val="left"/>
              <w:rPr>
                <w:rFonts w:ascii="Arial Narrow" w:hAnsi="Arial Narrow"/>
                <w:b/>
                <w:bCs/>
                <w:sz w:val="20"/>
                <w:szCs w:val="20"/>
              </w:rPr>
            </w:pPr>
            <w:r w:rsidRPr="000756DF">
              <w:rPr>
                <w:rFonts w:ascii="Arial Narrow" w:hAnsi="Arial Narrow"/>
                <w:b/>
                <w:bCs/>
                <w:sz w:val="20"/>
                <w:szCs w:val="20"/>
              </w:rPr>
              <w:t>Duration of treatment</w:t>
            </w:r>
          </w:p>
          <w:p w:rsidR="000756DF" w:rsidRPr="000756DF" w:rsidRDefault="000756DF" w:rsidP="00F17653">
            <w:pPr>
              <w:tabs>
                <w:tab w:val="left" w:pos="851"/>
              </w:tabs>
              <w:spacing w:before="40" w:after="40" w:line="240" w:lineRule="auto"/>
              <w:jc w:val="left"/>
              <w:rPr>
                <w:rFonts w:ascii="Arial Narrow" w:hAnsi="Arial Narrow"/>
                <w:b/>
                <w:bCs/>
                <w:sz w:val="20"/>
                <w:szCs w:val="20"/>
              </w:rPr>
            </w:pPr>
            <w:r w:rsidRPr="000756DF">
              <w:rPr>
                <w:rFonts w:ascii="Arial Narrow" w:hAnsi="Arial Narrow"/>
                <w:b/>
                <w:bCs/>
                <w:sz w:val="20"/>
                <w:szCs w:val="20"/>
              </w:rPr>
              <w:t>Median (range)</w:t>
            </w:r>
          </w:p>
        </w:tc>
        <w:tc>
          <w:tcPr>
            <w:tcW w:w="1068" w:type="pct"/>
          </w:tcPr>
          <w:p w:rsidR="000756DF" w:rsidRPr="000756DF" w:rsidRDefault="000756DF" w:rsidP="00F17653">
            <w:pPr>
              <w:tabs>
                <w:tab w:val="left" w:pos="851"/>
              </w:tabs>
              <w:spacing w:before="40" w:after="40" w:line="240" w:lineRule="auto"/>
              <w:jc w:val="left"/>
              <w:rPr>
                <w:rFonts w:ascii="Arial Narrow" w:hAnsi="Arial Narrow"/>
                <w:b/>
                <w:bCs/>
                <w:sz w:val="20"/>
                <w:szCs w:val="20"/>
                <w:vertAlign w:val="superscript"/>
              </w:rPr>
            </w:pPr>
            <w:r w:rsidRPr="000756DF">
              <w:rPr>
                <w:rFonts w:ascii="Arial Narrow" w:hAnsi="Arial Narrow"/>
                <w:b/>
                <w:bCs/>
                <w:sz w:val="20"/>
                <w:szCs w:val="20"/>
              </w:rPr>
              <w:t>HR</w:t>
            </w:r>
            <w:r w:rsidRPr="000756DF">
              <w:rPr>
                <w:rFonts w:ascii="Arial Narrow" w:hAnsi="Arial Narrow"/>
                <w:b/>
                <w:bCs/>
                <w:sz w:val="20"/>
                <w:szCs w:val="20"/>
                <w:vertAlign w:val="superscript"/>
              </w:rPr>
              <w:t>a</w:t>
            </w:r>
          </w:p>
          <w:p w:rsidR="000756DF" w:rsidRPr="000756DF" w:rsidRDefault="000756DF" w:rsidP="00F17653">
            <w:pPr>
              <w:tabs>
                <w:tab w:val="left" w:pos="851"/>
              </w:tabs>
              <w:spacing w:before="40" w:after="40" w:line="240" w:lineRule="auto"/>
              <w:jc w:val="left"/>
              <w:rPr>
                <w:rFonts w:ascii="Arial Narrow" w:hAnsi="Arial Narrow"/>
                <w:b/>
                <w:bCs/>
                <w:sz w:val="20"/>
                <w:szCs w:val="20"/>
              </w:rPr>
            </w:pPr>
            <w:r w:rsidRPr="000756DF">
              <w:rPr>
                <w:rFonts w:ascii="Arial Narrow" w:hAnsi="Arial Narrow"/>
                <w:b/>
                <w:bCs/>
                <w:sz w:val="20"/>
                <w:szCs w:val="20"/>
              </w:rPr>
              <w:t>(95% CI)</w:t>
            </w:r>
          </w:p>
        </w:tc>
        <w:tc>
          <w:tcPr>
            <w:tcW w:w="573" w:type="pct"/>
          </w:tcPr>
          <w:p w:rsidR="000756DF" w:rsidRPr="000756DF" w:rsidRDefault="000756DF" w:rsidP="00F17653">
            <w:pPr>
              <w:tabs>
                <w:tab w:val="left" w:pos="851"/>
              </w:tabs>
              <w:spacing w:before="40" w:after="40" w:line="240" w:lineRule="auto"/>
              <w:jc w:val="left"/>
              <w:rPr>
                <w:rFonts w:ascii="Arial Narrow" w:hAnsi="Arial Narrow"/>
                <w:b/>
                <w:bCs/>
                <w:sz w:val="20"/>
                <w:szCs w:val="20"/>
                <w:vertAlign w:val="superscript"/>
              </w:rPr>
            </w:pPr>
            <w:r w:rsidRPr="000756DF">
              <w:rPr>
                <w:rFonts w:ascii="Arial Narrow" w:hAnsi="Arial Narrow"/>
                <w:b/>
                <w:bCs/>
                <w:sz w:val="20"/>
                <w:szCs w:val="20"/>
              </w:rPr>
              <w:t>p-value</w:t>
            </w:r>
            <w:r w:rsidRPr="000756DF">
              <w:rPr>
                <w:rFonts w:ascii="Arial Narrow" w:hAnsi="Arial Narrow"/>
                <w:b/>
                <w:bCs/>
                <w:sz w:val="20"/>
                <w:szCs w:val="20"/>
                <w:vertAlign w:val="superscript"/>
              </w:rPr>
              <w:t>b</w:t>
            </w:r>
          </w:p>
        </w:tc>
      </w:tr>
      <w:tr w:rsidR="000756DF" w:rsidRPr="000756DF" w:rsidTr="00F17653">
        <w:tc>
          <w:tcPr>
            <w:tcW w:w="1343" w:type="pct"/>
          </w:tcPr>
          <w:p w:rsidR="000756DF" w:rsidRPr="000756DF" w:rsidRDefault="000756DF" w:rsidP="00F17653">
            <w:pPr>
              <w:tabs>
                <w:tab w:val="left" w:pos="851"/>
              </w:tabs>
              <w:spacing w:before="40" w:after="40" w:line="240" w:lineRule="auto"/>
              <w:jc w:val="left"/>
              <w:rPr>
                <w:rFonts w:ascii="Arial Narrow" w:hAnsi="Arial Narrow"/>
                <w:b/>
                <w:bCs/>
                <w:sz w:val="20"/>
                <w:szCs w:val="20"/>
              </w:rPr>
            </w:pPr>
            <w:r w:rsidRPr="000756DF">
              <w:rPr>
                <w:rFonts w:ascii="Arial Narrow" w:hAnsi="Arial Narrow"/>
                <w:b/>
                <w:bCs/>
                <w:sz w:val="20"/>
                <w:szCs w:val="20"/>
              </w:rPr>
              <w:t>Invasive ventilation or death</w:t>
            </w:r>
          </w:p>
        </w:tc>
        <w:tc>
          <w:tcPr>
            <w:tcW w:w="520" w:type="pct"/>
          </w:tcPr>
          <w:p w:rsidR="000756DF" w:rsidRPr="000756DF" w:rsidRDefault="000756DF" w:rsidP="000756DF">
            <w:pPr>
              <w:tabs>
                <w:tab w:val="left" w:pos="851"/>
              </w:tabs>
              <w:spacing w:before="40" w:after="40" w:line="240" w:lineRule="auto"/>
              <w:jc w:val="center"/>
              <w:rPr>
                <w:rFonts w:ascii="Arial Narrow" w:hAnsi="Arial Narrow"/>
                <w:b/>
                <w:bCs/>
                <w:sz w:val="20"/>
                <w:szCs w:val="20"/>
              </w:rPr>
            </w:pPr>
          </w:p>
        </w:tc>
        <w:tc>
          <w:tcPr>
            <w:tcW w:w="520" w:type="pct"/>
          </w:tcPr>
          <w:p w:rsidR="000756DF" w:rsidRPr="000756DF" w:rsidRDefault="000756DF" w:rsidP="000756DF">
            <w:pPr>
              <w:tabs>
                <w:tab w:val="left" w:pos="851"/>
              </w:tabs>
              <w:spacing w:before="40" w:after="40" w:line="240" w:lineRule="auto"/>
              <w:jc w:val="center"/>
              <w:rPr>
                <w:rFonts w:ascii="Arial Narrow" w:hAnsi="Arial Narrow"/>
                <w:b/>
                <w:bCs/>
                <w:sz w:val="20"/>
                <w:szCs w:val="20"/>
              </w:rPr>
            </w:pPr>
          </w:p>
        </w:tc>
        <w:tc>
          <w:tcPr>
            <w:tcW w:w="976" w:type="pct"/>
          </w:tcPr>
          <w:p w:rsidR="000756DF" w:rsidRPr="000756DF" w:rsidRDefault="000756DF" w:rsidP="00F17653">
            <w:pPr>
              <w:tabs>
                <w:tab w:val="left" w:pos="851"/>
              </w:tabs>
              <w:spacing w:before="40" w:after="40" w:line="240" w:lineRule="auto"/>
              <w:jc w:val="left"/>
              <w:rPr>
                <w:rFonts w:ascii="Arial Narrow" w:hAnsi="Arial Narrow"/>
                <w:b/>
                <w:bCs/>
                <w:sz w:val="20"/>
                <w:szCs w:val="20"/>
              </w:rPr>
            </w:pPr>
          </w:p>
        </w:tc>
        <w:tc>
          <w:tcPr>
            <w:tcW w:w="1068" w:type="pct"/>
          </w:tcPr>
          <w:p w:rsidR="000756DF" w:rsidRPr="000756DF" w:rsidRDefault="000756DF" w:rsidP="00F17653">
            <w:pPr>
              <w:tabs>
                <w:tab w:val="left" w:pos="851"/>
              </w:tabs>
              <w:spacing w:before="40" w:after="40" w:line="240" w:lineRule="auto"/>
              <w:jc w:val="left"/>
              <w:rPr>
                <w:rFonts w:ascii="Arial Narrow" w:hAnsi="Arial Narrow"/>
                <w:b/>
                <w:bCs/>
                <w:sz w:val="20"/>
                <w:szCs w:val="20"/>
              </w:rPr>
            </w:pPr>
          </w:p>
        </w:tc>
        <w:tc>
          <w:tcPr>
            <w:tcW w:w="573" w:type="pct"/>
          </w:tcPr>
          <w:p w:rsidR="000756DF" w:rsidRPr="000756DF" w:rsidRDefault="000756DF" w:rsidP="00F17653">
            <w:pPr>
              <w:tabs>
                <w:tab w:val="left" w:pos="851"/>
              </w:tabs>
              <w:spacing w:before="40" w:after="40" w:line="240" w:lineRule="auto"/>
              <w:jc w:val="left"/>
              <w:rPr>
                <w:rFonts w:ascii="Arial Narrow" w:hAnsi="Arial Narrow"/>
                <w:b/>
                <w:bCs/>
                <w:sz w:val="20"/>
                <w:szCs w:val="20"/>
              </w:rPr>
            </w:pPr>
          </w:p>
        </w:tc>
      </w:tr>
      <w:tr w:rsidR="000756DF" w:rsidRPr="000756DF" w:rsidTr="00F17653">
        <w:tc>
          <w:tcPr>
            <w:tcW w:w="1343"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Kishnani et al (2009)</w:t>
            </w:r>
          </w:p>
        </w:tc>
        <w:tc>
          <w:tcPr>
            <w:tcW w:w="520" w:type="pct"/>
          </w:tcPr>
          <w:p w:rsidR="000756DF" w:rsidRPr="000756DF" w:rsidRDefault="00D4733A" w:rsidP="000756DF">
            <w:pPr>
              <w:tabs>
                <w:tab w:val="left" w:pos="851"/>
              </w:tabs>
              <w:spacing w:before="40" w:after="40" w:line="240" w:lineRule="auto"/>
              <w:jc w:val="center"/>
              <w:rPr>
                <w:rFonts w:ascii="Arial Narrow" w:hAnsi="Arial Narrow"/>
                <w:bCs/>
                <w:sz w:val="22"/>
                <w:szCs w:val="22"/>
              </w:rPr>
            </w:pPr>
            <w:r w:rsidRPr="00D4733A">
              <w:rPr>
                <w:rFonts w:ascii="Cambria Math" w:hAnsi="Cambria Math" w:cs="Cambria Math"/>
                <w:bCs/>
                <w:color w:val="00B050"/>
                <w:sz w:val="22"/>
                <w:szCs w:val="22"/>
              </w:rPr>
              <w:t>⨁⨁</w:t>
            </w:r>
            <w:r w:rsidRPr="00D4733A">
              <w:rPr>
                <w:rFonts w:ascii="Cambria Math" w:hAnsi="Cambria Math" w:cs="Cambria Math"/>
                <w:bCs/>
                <w:color w:val="C00000"/>
                <w:sz w:val="22"/>
                <w:szCs w:val="22"/>
              </w:rPr>
              <w:t>⨀⨀</w:t>
            </w:r>
          </w:p>
        </w:tc>
        <w:tc>
          <w:tcPr>
            <w:tcW w:w="520"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18</w:t>
            </w:r>
          </w:p>
        </w:tc>
        <w:tc>
          <w:tcPr>
            <w:tcW w:w="976"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121 weeks (60-150)</w:t>
            </w:r>
          </w:p>
        </w:tc>
        <w:tc>
          <w:tcPr>
            <w:tcW w:w="1068"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0.09 (0.04, 0.22)</w:t>
            </w:r>
          </w:p>
        </w:tc>
        <w:tc>
          <w:tcPr>
            <w:tcW w:w="573"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NR</w:t>
            </w:r>
          </w:p>
        </w:tc>
      </w:tr>
      <w:tr w:rsidR="000756DF" w:rsidRPr="000756DF" w:rsidTr="00F17653">
        <w:tc>
          <w:tcPr>
            <w:tcW w:w="1343"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Nicolino et al (2009)</w:t>
            </w:r>
          </w:p>
        </w:tc>
        <w:tc>
          <w:tcPr>
            <w:tcW w:w="520" w:type="pct"/>
          </w:tcPr>
          <w:p w:rsidR="000756DF" w:rsidRPr="000756DF" w:rsidRDefault="00D4733A" w:rsidP="000756DF">
            <w:pPr>
              <w:tabs>
                <w:tab w:val="left" w:pos="851"/>
              </w:tabs>
              <w:spacing w:before="40" w:after="40" w:line="240" w:lineRule="auto"/>
              <w:jc w:val="center"/>
              <w:rPr>
                <w:rFonts w:ascii="Arial Narrow" w:hAnsi="Arial Narrow"/>
                <w:bCs/>
                <w:sz w:val="22"/>
                <w:szCs w:val="22"/>
              </w:rPr>
            </w:pPr>
            <w:r w:rsidRPr="00D4733A">
              <w:rPr>
                <w:rFonts w:ascii="Cambria Math" w:hAnsi="Cambria Math" w:cs="Cambria Math"/>
                <w:bCs/>
                <w:color w:val="00B050"/>
                <w:sz w:val="22"/>
                <w:szCs w:val="22"/>
              </w:rPr>
              <w:t>⨁</w:t>
            </w:r>
            <w:r w:rsidRPr="00D4733A">
              <w:rPr>
                <w:rFonts w:ascii="Cambria Math" w:hAnsi="Cambria Math" w:cs="Cambria Math"/>
                <w:bCs/>
                <w:color w:val="C00000"/>
                <w:sz w:val="22"/>
                <w:szCs w:val="22"/>
              </w:rPr>
              <w:t>⨀⨀⨀</w:t>
            </w:r>
          </w:p>
        </w:tc>
        <w:tc>
          <w:tcPr>
            <w:tcW w:w="520"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21</w:t>
            </w:r>
          </w:p>
        </w:tc>
        <w:tc>
          <w:tcPr>
            <w:tcW w:w="976"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120 weeks (0.6-168)</w:t>
            </w:r>
          </w:p>
        </w:tc>
        <w:tc>
          <w:tcPr>
            <w:tcW w:w="1068"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0.42 (0.20, 0.88)</w:t>
            </w:r>
          </w:p>
        </w:tc>
        <w:tc>
          <w:tcPr>
            <w:tcW w:w="573" w:type="pct"/>
          </w:tcPr>
          <w:p w:rsidR="000756DF" w:rsidRPr="000756DF" w:rsidRDefault="000756DF" w:rsidP="00F17653">
            <w:pPr>
              <w:tabs>
                <w:tab w:val="left" w:pos="851"/>
              </w:tabs>
              <w:spacing w:before="40" w:after="40" w:line="240" w:lineRule="auto"/>
              <w:jc w:val="left"/>
              <w:rPr>
                <w:rFonts w:ascii="Arial Narrow" w:hAnsi="Arial Narrow"/>
                <w:bCs/>
                <w:sz w:val="20"/>
                <w:szCs w:val="20"/>
                <w:vertAlign w:val="superscript"/>
              </w:rPr>
            </w:pPr>
            <w:r w:rsidRPr="000756DF">
              <w:rPr>
                <w:rFonts w:ascii="Arial Narrow" w:hAnsi="Arial Narrow"/>
                <w:bCs/>
                <w:sz w:val="20"/>
                <w:szCs w:val="20"/>
              </w:rPr>
              <w:t>0.02</w:t>
            </w:r>
          </w:p>
        </w:tc>
      </w:tr>
      <w:tr w:rsidR="000756DF" w:rsidRPr="000756DF" w:rsidTr="00F17653">
        <w:tc>
          <w:tcPr>
            <w:tcW w:w="1343" w:type="pct"/>
          </w:tcPr>
          <w:p w:rsidR="000756DF" w:rsidRPr="000756DF" w:rsidRDefault="000756DF" w:rsidP="00F17653">
            <w:pPr>
              <w:tabs>
                <w:tab w:val="left" w:pos="851"/>
              </w:tabs>
              <w:spacing w:before="40" w:after="40" w:line="240" w:lineRule="auto"/>
              <w:jc w:val="left"/>
              <w:rPr>
                <w:rFonts w:ascii="Arial Narrow" w:hAnsi="Arial Narrow"/>
                <w:b/>
                <w:bCs/>
                <w:sz w:val="20"/>
                <w:szCs w:val="20"/>
              </w:rPr>
            </w:pPr>
            <w:r w:rsidRPr="000756DF">
              <w:rPr>
                <w:rFonts w:ascii="Arial Narrow" w:hAnsi="Arial Narrow"/>
                <w:b/>
                <w:bCs/>
                <w:sz w:val="20"/>
                <w:szCs w:val="20"/>
              </w:rPr>
              <w:t>Any ventilation or death</w:t>
            </w:r>
          </w:p>
        </w:tc>
        <w:tc>
          <w:tcPr>
            <w:tcW w:w="520" w:type="pct"/>
          </w:tcPr>
          <w:p w:rsidR="000756DF" w:rsidRPr="000756DF" w:rsidRDefault="000756DF" w:rsidP="000756DF">
            <w:pPr>
              <w:tabs>
                <w:tab w:val="left" w:pos="851"/>
              </w:tabs>
              <w:spacing w:before="40" w:after="40" w:line="240" w:lineRule="auto"/>
              <w:jc w:val="center"/>
              <w:rPr>
                <w:rFonts w:ascii="Arial Narrow" w:hAnsi="Arial Narrow"/>
                <w:b/>
                <w:bCs/>
                <w:sz w:val="22"/>
                <w:szCs w:val="22"/>
              </w:rPr>
            </w:pPr>
          </w:p>
        </w:tc>
        <w:tc>
          <w:tcPr>
            <w:tcW w:w="520" w:type="pct"/>
          </w:tcPr>
          <w:p w:rsidR="000756DF" w:rsidRPr="000756DF" w:rsidRDefault="000756DF" w:rsidP="000756DF">
            <w:pPr>
              <w:tabs>
                <w:tab w:val="left" w:pos="851"/>
              </w:tabs>
              <w:spacing w:before="40" w:after="40" w:line="240" w:lineRule="auto"/>
              <w:jc w:val="center"/>
              <w:rPr>
                <w:rFonts w:ascii="Arial Narrow" w:hAnsi="Arial Narrow"/>
                <w:b/>
                <w:bCs/>
                <w:sz w:val="20"/>
                <w:szCs w:val="20"/>
              </w:rPr>
            </w:pPr>
          </w:p>
        </w:tc>
        <w:tc>
          <w:tcPr>
            <w:tcW w:w="976" w:type="pct"/>
          </w:tcPr>
          <w:p w:rsidR="000756DF" w:rsidRPr="000756DF" w:rsidRDefault="000756DF" w:rsidP="00F17653">
            <w:pPr>
              <w:tabs>
                <w:tab w:val="left" w:pos="851"/>
              </w:tabs>
              <w:spacing w:before="40" w:after="40" w:line="240" w:lineRule="auto"/>
              <w:jc w:val="left"/>
              <w:rPr>
                <w:rFonts w:ascii="Arial Narrow" w:hAnsi="Arial Narrow"/>
                <w:b/>
                <w:bCs/>
                <w:sz w:val="20"/>
                <w:szCs w:val="20"/>
              </w:rPr>
            </w:pPr>
          </w:p>
        </w:tc>
        <w:tc>
          <w:tcPr>
            <w:tcW w:w="1068" w:type="pct"/>
          </w:tcPr>
          <w:p w:rsidR="000756DF" w:rsidRPr="000756DF" w:rsidRDefault="000756DF" w:rsidP="00F17653">
            <w:pPr>
              <w:tabs>
                <w:tab w:val="left" w:pos="851"/>
              </w:tabs>
              <w:spacing w:before="40" w:after="40" w:line="240" w:lineRule="auto"/>
              <w:jc w:val="left"/>
              <w:rPr>
                <w:rFonts w:ascii="Arial Narrow" w:hAnsi="Arial Narrow"/>
                <w:b/>
                <w:bCs/>
                <w:sz w:val="20"/>
                <w:szCs w:val="20"/>
              </w:rPr>
            </w:pPr>
          </w:p>
        </w:tc>
        <w:tc>
          <w:tcPr>
            <w:tcW w:w="573" w:type="pct"/>
          </w:tcPr>
          <w:p w:rsidR="000756DF" w:rsidRPr="000756DF" w:rsidRDefault="000756DF" w:rsidP="00F17653">
            <w:pPr>
              <w:tabs>
                <w:tab w:val="left" w:pos="851"/>
              </w:tabs>
              <w:spacing w:before="40" w:after="40" w:line="240" w:lineRule="auto"/>
              <w:jc w:val="left"/>
              <w:rPr>
                <w:rFonts w:ascii="Arial Narrow" w:hAnsi="Arial Narrow"/>
                <w:b/>
                <w:bCs/>
                <w:sz w:val="20"/>
                <w:szCs w:val="20"/>
              </w:rPr>
            </w:pPr>
          </w:p>
        </w:tc>
      </w:tr>
      <w:tr w:rsidR="000756DF" w:rsidRPr="000756DF" w:rsidTr="00F17653">
        <w:tc>
          <w:tcPr>
            <w:tcW w:w="1343"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Kishnani et al (2009)</w:t>
            </w:r>
          </w:p>
        </w:tc>
        <w:tc>
          <w:tcPr>
            <w:tcW w:w="520" w:type="pct"/>
          </w:tcPr>
          <w:p w:rsidR="000756DF" w:rsidRPr="000756DF" w:rsidRDefault="00D4733A" w:rsidP="000756DF">
            <w:pPr>
              <w:tabs>
                <w:tab w:val="left" w:pos="851"/>
              </w:tabs>
              <w:spacing w:before="40" w:after="40" w:line="240" w:lineRule="auto"/>
              <w:jc w:val="center"/>
              <w:rPr>
                <w:rFonts w:ascii="Arial Narrow" w:hAnsi="Arial Narrow"/>
                <w:bCs/>
                <w:sz w:val="22"/>
                <w:szCs w:val="22"/>
              </w:rPr>
            </w:pPr>
            <w:r w:rsidRPr="00D4733A">
              <w:rPr>
                <w:rFonts w:ascii="Cambria Math" w:hAnsi="Cambria Math" w:cs="Cambria Math"/>
                <w:bCs/>
                <w:color w:val="00B050"/>
                <w:sz w:val="22"/>
                <w:szCs w:val="22"/>
              </w:rPr>
              <w:t>⨁⨁</w:t>
            </w:r>
            <w:r w:rsidRPr="00D4733A">
              <w:rPr>
                <w:rFonts w:ascii="Cambria Math" w:hAnsi="Cambria Math" w:cs="Cambria Math"/>
                <w:bCs/>
                <w:color w:val="C00000"/>
                <w:sz w:val="22"/>
                <w:szCs w:val="22"/>
              </w:rPr>
              <w:t>⨀⨀</w:t>
            </w:r>
          </w:p>
        </w:tc>
        <w:tc>
          <w:tcPr>
            <w:tcW w:w="520"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18</w:t>
            </w:r>
          </w:p>
        </w:tc>
        <w:tc>
          <w:tcPr>
            <w:tcW w:w="976"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121 weeks (60-150)</w:t>
            </w:r>
          </w:p>
        </w:tc>
        <w:tc>
          <w:tcPr>
            <w:tcW w:w="1068"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0.13 (0.06, 0.29)</w:t>
            </w:r>
          </w:p>
        </w:tc>
        <w:tc>
          <w:tcPr>
            <w:tcW w:w="573"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NR</w:t>
            </w:r>
          </w:p>
        </w:tc>
      </w:tr>
      <w:tr w:rsidR="000756DF" w:rsidRPr="000756DF" w:rsidTr="00F17653">
        <w:tc>
          <w:tcPr>
            <w:tcW w:w="1343"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Nicolino et al (2009)</w:t>
            </w:r>
          </w:p>
        </w:tc>
        <w:tc>
          <w:tcPr>
            <w:tcW w:w="520" w:type="pct"/>
          </w:tcPr>
          <w:p w:rsidR="000756DF" w:rsidRPr="000756DF" w:rsidRDefault="00D4733A" w:rsidP="000756DF">
            <w:pPr>
              <w:tabs>
                <w:tab w:val="left" w:pos="851"/>
              </w:tabs>
              <w:spacing w:before="40" w:after="40" w:line="240" w:lineRule="auto"/>
              <w:jc w:val="center"/>
              <w:rPr>
                <w:rFonts w:ascii="Arial Narrow" w:hAnsi="Arial Narrow"/>
                <w:bCs/>
                <w:sz w:val="22"/>
                <w:szCs w:val="22"/>
              </w:rPr>
            </w:pPr>
            <w:r w:rsidRPr="00D4733A">
              <w:rPr>
                <w:rFonts w:ascii="Cambria Math" w:hAnsi="Cambria Math" w:cs="Cambria Math"/>
                <w:bCs/>
                <w:color w:val="00B050"/>
                <w:sz w:val="22"/>
                <w:szCs w:val="22"/>
              </w:rPr>
              <w:t>⨁</w:t>
            </w:r>
            <w:r w:rsidRPr="00D4733A">
              <w:rPr>
                <w:rFonts w:ascii="Cambria Math" w:hAnsi="Cambria Math" w:cs="Cambria Math"/>
                <w:bCs/>
                <w:color w:val="C00000"/>
                <w:sz w:val="22"/>
                <w:szCs w:val="22"/>
              </w:rPr>
              <w:t>⨀⨀⨀</w:t>
            </w:r>
          </w:p>
        </w:tc>
        <w:tc>
          <w:tcPr>
            <w:tcW w:w="520"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21</w:t>
            </w:r>
          </w:p>
        </w:tc>
        <w:tc>
          <w:tcPr>
            <w:tcW w:w="976"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120 weeks (0.6-168)</w:t>
            </w:r>
          </w:p>
        </w:tc>
        <w:tc>
          <w:tcPr>
            <w:tcW w:w="1068"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0.53 (0.25, 1.15)</w:t>
            </w:r>
          </w:p>
        </w:tc>
        <w:tc>
          <w:tcPr>
            <w:tcW w:w="573" w:type="pct"/>
          </w:tcPr>
          <w:p w:rsidR="000756DF" w:rsidRPr="000756DF" w:rsidRDefault="000756DF" w:rsidP="00F17653">
            <w:pPr>
              <w:tabs>
                <w:tab w:val="left" w:pos="851"/>
              </w:tabs>
              <w:spacing w:before="40" w:after="40" w:line="240" w:lineRule="auto"/>
              <w:jc w:val="left"/>
              <w:rPr>
                <w:rFonts w:ascii="Arial Narrow" w:hAnsi="Arial Narrow"/>
                <w:bCs/>
                <w:sz w:val="20"/>
                <w:szCs w:val="20"/>
                <w:vertAlign w:val="superscript"/>
              </w:rPr>
            </w:pPr>
            <w:r w:rsidRPr="000756DF">
              <w:rPr>
                <w:rFonts w:ascii="Arial Narrow" w:hAnsi="Arial Narrow"/>
                <w:bCs/>
                <w:sz w:val="20"/>
                <w:szCs w:val="20"/>
              </w:rPr>
              <w:t>0.11</w:t>
            </w:r>
          </w:p>
        </w:tc>
      </w:tr>
      <w:tr w:rsidR="000756DF" w:rsidRPr="000756DF" w:rsidTr="00F17653">
        <w:tc>
          <w:tcPr>
            <w:tcW w:w="1343"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Chien et a l (2009)</w:t>
            </w:r>
          </w:p>
        </w:tc>
        <w:tc>
          <w:tcPr>
            <w:tcW w:w="520" w:type="pct"/>
          </w:tcPr>
          <w:p w:rsidR="000756DF" w:rsidRPr="000756DF" w:rsidRDefault="00D4733A" w:rsidP="000756DF">
            <w:pPr>
              <w:tabs>
                <w:tab w:val="left" w:pos="851"/>
              </w:tabs>
              <w:spacing w:before="40" w:after="40" w:line="240" w:lineRule="auto"/>
              <w:jc w:val="center"/>
              <w:rPr>
                <w:rFonts w:ascii="Arial Narrow" w:hAnsi="Arial Narrow"/>
                <w:bCs/>
                <w:sz w:val="22"/>
                <w:szCs w:val="22"/>
              </w:rPr>
            </w:pPr>
            <w:r w:rsidRPr="00D4733A">
              <w:rPr>
                <w:rFonts w:ascii="Cambria Math" w:hAnsi="Cambria Math" w:cs="Cambria Math"/>
                <w:bCs/>
                <w:color w:val="00B050"/>
                <w:sz w:val="22"/>
                <w:szCs w:val="22"/>
              </w:rPr>
              <w:t>⨁</w:t>
            </w:r>
            <w:r w:rsidRPr="00D4733A">
              <w:rPr>
                <w:rFonts w:ascii="Cambria Math" w:hAnsi="Cambria Math" w:cs="Cambria Math"/>
                <w:bCs/>
                <w:color w:val="C00000"/>
                <w:sz w:val="22"/>
                <w:szCs w:val="22"/>
              </w:rPr>
              <w:t>⨀⨀⨀</w:t>
            </w:r>
          </w:p>
        </w:tc>
        <w:tc>
          <w:tcPr>
            <w:tcW w:w="520"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6</w:t>
            </w:r>
          </w:p>
        </w:tc>
        <w:tc>
          <w:tcPr>
            <w:tcW w:w="976"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(14-33 months)</w:t>
            </w:r>
          </w:p>
        </w:tc>
        <w:tc>
          <w:tcPr>
            <w:tcW w:w="1068"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NR</w:t>
            </w:r>
          </w:p>
        </w:tc>
        <w:tc>
          <w:tcPr>
            <w:tcW w:w="573" w:type="pct"/>
          </w:tcPr>
          <w:p w:rsidR="000756DF" w:rsidRPr="000756DF" w:rsidRDefault="000756DF" w:rsidP="00F17653">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0.008</w:t>
            </w:r>
          </w:p>
        </w:tc>
      </w:tr>
    </w:tbl>
    <w:p w:rsidR="000756DF" w:rsidRPr="000756DF" w:rsidRDefault="000756DF" w:rsidP="0025188D">
      <w:pPr>
        <w:pStyle w:val="TableNote"/>
        <w:ind w:left="0" w:firstLine="0"/>
      </w:pPr>
      <w:r w:rsidRPr="000756DF">
        <w:t xml:space="preserve">CI </w:t>
      </w:r>
      <w:r w:rsidR="00652355" w:rsidRPr="00652355">
        <w:rPr>
          <w:spacing w:val="-20"/>
        </w:rPr>
        <w:t xml:space="preserve">= </w:t>
      </w:r>
      <w:r w:rsidR="0025188D">
        <w:t>confidence interval; GRADE</w:t>
      </w:r>
      <w:r w:rsidR="00652355" w:rsidRPr="00652355">
        <w:rPr>
          <w:spacing w:val="-20"/>
        </w:rPr>
        <w:t xml:space="preserve"> = </w:t>
      </w:r>
      <w:r w:rsidRPr="000756DF">
        <w:t>grading of recommendations assessment,</w:t>
      </w:r>
      <w:r w:rsidR="0025188D">
        <w:t xml:space="preserve"> development and evaluation; HR</w:t>
      </w:r>
      <w:r w:rsidR="00652355" w:rsidRPr="00652355">
        <w:rPr>
          <w:spacing w:val="-20"/>
        </w:rPr>
        <w:t xml:space="preserve"> = </w:t>
      </w:r>
      <w:r w:rsidR="0025188D">
        <w:t>hazard ratio; NR</w:t>
      </w:r>
      <w:r w:rsidR="00652355" w:rsidRPr="00652355">
        <w:rPr>
          <w:spacing w:val="-20"/>
        </w:rPr>
        <w:t xml:space="preserve"> = </w:t>
      </w:r>
      <w:r w:rsidRPr="000756DF">
        <w:t>not reported</w:t>
      </w:r>
      <w:r w:rsidR="0025188D">
        <w:t xml:space="preserve"> </w:t>
      </w:r>
    </w:p>
    <w:p w:rsidR="000756DF" w:rsidRPr="000756DF" w:rsidRDefault="000756DF" w:rsidP="00F17653">
      <w:pPr>
        <w:pStyle w:val="TableNote"/>
      </w:pPr>
      <w:proofErr w:type="gramStart"/>
      <w:r w:rsidRPr="000756DF">
        <w:rPr>
          <w:vertAlign w:val="superscript"/>
        </w:rPr>
        <w:t>a</w:t>
      </w:r>
      <w:proofErr w:type="gramEnd"/>
      <w:r w:rsidRPr="000756DF">
        <w:rPr>
          <w:vertAlign w:val="superscript"/>
        </w:rPr>
        <w:t xml:space="preserve"> </w:t>
      </w:r>
      <w:r w:rsidRPr="000756DF">
        <w:t>Cox proportional hazards analysis</w:t>
      </w:r>
    </w:p>
    <w:p w:rsidR="000756DF" w:rsidRPr="000756DF" w:rsidRDefault="000756DF" w:rsidP="00F17653">
      <w:pPr>
        <w:pStyle w:val="TableNote"/>
      </w:pPr>
      <w:proofErr w:type="gramStart"/>
      <w:r w:rsidRPr="000756DF">
        <w:rPr>
          <w:vertAlign w:val="superscript"/>
        </w:rPr>
        <w:t>b</w:t>
      </w:r>
      <w:proofErr w:type="gramEnd"/>
      <w:r w:rsidRPr="000756DF">
        <w:t xml:space="preserve"> Kaplan-Meier analysis</w:t>
      </w:r>
    </w:p>
    <w:p w:rsidR="000756DF" w:rsidRPr="000756DF" w:rsidRDefault="000756DF" w:rsidP="000756DF">
      <w:pPr>
        <w:tabs>
          <w:tab w:val="left" w:pos="851"/>
        </w:tabs>
        <w:spacing w:before="40" w:after="40" w:line="240" w:lineRule="auto"/>
        <w:rPr>
          <w:rFonts w:ascii="Arial Narrow" w:hAnsi="Arial Narrow"/>
          <w:bCs/>
          <w:color w:val="1F497D"/>
          <w:sz w:val="20"/>
          <w:szCs w:val="20"/>
        </w:rPr>
      </w:pPr>
    </w:p>
    <w:p w:rsidR="000756DF" w:rsidRPr="00A979FB" w:rsidRDefault="00760505" w:rsidP="00A979FB">
      <w:pPr>
        <w:pStyle w:val="Heading5"/>
      </w:pPr>
      <w:r w:rsidRPr="00A979FB">
        <w:t>Conclusions</w:t>
      </w:r>
    </w:p>
    <w:p w:rsidR="000756DF" w:rsidRPr="000756DF" w:rsidRDefault="000756DF" w:rsidP="000756DF">
      <w:r w:rsidRPr="000756DF">
        <w:t xml:space="preserve">There is low quality evidence that alglucosidase alfa prolongs invasive ventilation-free survival in patients with infantile onset Pompe disease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00D67ADB" w:rsidRPr="00D67ADB">
        <w:rPr>
          <w:rFonts w:cs="Cambria Math"/>
          <w:spacing w:val="-20"/>
        </w:rPr>
        <w:t>)</w:t>
      </w:r>
      <w:r w:rsidRPr="000756DF">
        <w:t xml:space="preserve">. </w:t>
      </w:r>
    </w:p>
    <w:p w:rsidR="000756DF" w:rsidRPr="000756DF" w:rsidRDefault="000756DF" w:rsidP="000756DF">
      <w:r w:rsidRPr="000756DF">
        <w:t xml:space="preserve">There is low quality evidence that alglucosidase alfa may prolong survival free of any assisted ventilation in infantile onset Pompe patients in whom treatment is commenced at an early stage of the disease, prior to requiring any assisted ventilation (GRADE </w:t>
      </w:r>
      <w:r w:rsidR="00D4733A" w:rsidRPr="00D4733A">
        <w:rPr>
          <w:rFonts w:ascii="Cambria Math" w:hAnsi="Cambria Math" w:cs="Cambria Math"/>
          <w:color w:val="00B050"/>
        </w:rPr>
        <w:t>⨁⨁</w:t>
      </w:r>
      <w:r w:rsidR="00D4733A" w:rsidRPr="00D4733A">
        <w:rPr>
          <w:rFonts w:ascii="Cambria Math" w:hAnsi="Cambria Math" w:cs="Cambria Math"/>
          <w:color w:val="C00000"/>
        </w:rPr>
        <w:t>⨀⨀</w:t>
      </w:r>
      <w:r w:rsidR="00D67ADB" w:rsidRPr="00D67ADB">
        <w:rPr>
          <w:rFonts w:cs="Cambria Math"/>
          <w:spacing w:val="-20"/>
        </w:rPr>
        <w:t>)</w:t>
      </w:r>
      <w:r w:rsidRPr="000756DF">
        <w:t>.</w:t>
      </w:r>
    </w:p>
    <w:p w:rsidR="000756DF" w:rsidRPr="00A979FB" w:rsidRDefault="000756DF" w:rsidP="00A979FB">
      <w:pPr>
        <w:pStyle w:val="Heading5"/>
      </w:pPr>
      <w:r w:rsidRPr="00A979FB">
        <w:t>Time to independent walking/walking</w:t>
      </w:r>
    </w:p>
    <w:p w:rsidR="000756DF" w:rsidRPr="000756DF" w:rsidRDefault="000756DF" w:rsidP="000756DF">
      <w:r w:rsidRPr="000756DF">
        <w:t>Chien et al (2009) reported earlier independent walking in the newborn screening group compared to the untreated historical cohort (p</w:t>
      </w:r>
      <w:r w:rsidR="00652355" w:rsidRPr="00652355">
        <w:rPr>
          <w:spacing w:val="-20"/>
        </w:rPr>
        <w:t xml:space="preserve"> = </w:t>
      </w:r>
      <w:r w:rsidRPr="000756DF">
        <w:t>0.009</w:t>
      </w:r>
      <w:r w:rsidR="00F17653" w:rsidRPr="000756DF">
        <w:t>)</w:t>
      </w:r>
      <w:r w:rsidR="00F17653" w:rsidRPr="00FE1394">
        <w:t xml:space="preserve"> </w:t>
      </w:r>
      <w:r w:rsidR="00F17653" w:rsidRPr="000756DF">
        <w:t xml:space="preserve">(GRADE </w:t>
      </w:r>
      <w:r w:rsidR="00F17653" w:rsidRPr="00D4733A">
        <w:rPr>
          <w:rFonts w:ascii="Cambria Math" w:hAnsi="Cambria Math" w:cs="Cambria Math"/>
          <w:color w:val="00B050"/>
        </w:rPr>
        <w:t>⨁</w:t>
      </w:r>
      <w:r w:rsidR="00F17653" w:rsidRPr="00D4733A">
        <w:rPr>
          <w:rFonts w:ascii="Cambria Math" w:hAnsi="Cambria Math" w:cs="Cambria Math"/>
          <w:color w:val="C00000"/>
        </w:rPr>
        <w:t>⨀⨀⨀</w:t>
      </w:r>
      <w:r w:rsidR="00D67ADB" w:rsidRPr="00D67ADB">
        <w:rPr>
          <w:rFonts w:cs="Cambria Math"/>
          <w:spacing w:val="-20"/>
        </w:rPr>
        <w:t>)</w:t>
      </w:r>
      <w:r w:rsidRPr="000756DF">
        <w:t>, while there was no statistical difference in time to walking between the groups (p</w:t>
      </w:r>
      <w:r w:rsidR="00652355" w:rsidRPr="00652355">
        <w:rPr>
          <w:spacing w:val="-20"/>
        </w:rPr>
        <w:t xml:space="preserve"> = </w:t>
      </w:r>
      <w:r w:rsidRPr="000756DF">
        <w:t>0.22)</w:t>
      </w:r>
      <w:r w:rsidR="00F87099">
        <w:t xml:space="preserve"> </w:t>
      </w:r>
      <w:r w:rsidR="00A130D0">
        <w:rPr>
          <w:noProof/>
        </w:rPr>
        <w:t>(</w:t>
      </w:r>
      <w:r w:rsidR="00184B6F">
        <w:rPr>
          <w:noProof/>
        </w:rPr>
        <w:t>Chien et al. 2009</w:t>
      </w:r>
      <w:r w:rsidR="00A130D0">
        <w:rPr>
          <w:noProof/>
        </w:rPr>
        <w:t>)</w:t>
      </w:r>
      <w:r w:rsidRPr="000756DF">
        <w:t>.</w:t>
      </w:r>
    </w:p>
    <w:p w:rsidR="000756DF" w:rsidRPr="000756DF" w:rsidRDefault="000756DF" w:rsidP="000756DF"/>
    <w:p w:rsidR="000756DF" w:rsidRPr="000756DF" w:rsidRDefault="000756DF" w:rsidP="00E965BD">
      <w:pPr>
        <w:pStyle w:val="Heading5"/>
      </w:pPr>
      <w:r w:rsidRPr="000756DF">
        <w:lastRenderedPageBreak/>
        <w:t>Long-term outcomes in patients surviving beyond infancy</w:t>
      </w:r>
    </w:p>
    <w:p w:rsidR="000756DF" w:rsidRPr="000756DF" w:rsidRDefault="000756DF" w:rsidP="000756DF">
      <w:r w:rsidRPr="000756DF">
        <w:t>Prater et al (2012) reported that all of the 11 CRIM positive patients</w:t>
      </w:r>
      <w:r w:rsidR="005D1161">
        <w:t xml:space="preserve"> receiving 20</w:t>
      </w:r>
      <w:r w:rsidR="007D52B7">
        <w:t xml:space="preserve"> – </w:t>
      </w:r>
      <w:r w:rsidR="005D1161">
        <w:t>40</w:t>
      </w:r>
      <w:r w:rsidR="007D52B7">
        <w:t xml:space="preserve"> </w:t>
      </w:r>
      <w:r w:rsidR="005D1161">
        <w:t>mg/kg every 2 weeks</w:t>
      </w:r>
      <w:r w:rsidRPr="000756DF">
        <w:t xml:space="preserve"> who, having survived to 5 years of age, were included in the study, remained alive and ventilator-free at the last study assessment</w:t>
      </w:r>
      <w:r w:rsidR="00F17653">
        <w:t xml:space="preserve"> at</w:t>
      </w:r>
      <w:r w:rsidRPr="000756DF">
        <w:t xml:space="preserve"> a median age of 8.0 years (range 5.4 to 12.0 years)</w:t>
      </w:r>
      <w:r w:rsidR="00A130D0">
        <w:rPr>
          <w:noProof/>
        </w:rPr>
        <w:t>(</w:t>
      </w:r>
      <w:r w:rsidR="00184B6F">
        <w:rPr>
          <w:noProof/>
        </w:rPr>
        <w:t>Prater et al. 2012</w:t>
      </w:r>
      <w:r w:rsidR="00A130D0">
        <w:rPr>
          <w:noProof/>
        </w:rPr>
        <w:t>)</w:t>
      </w:r>
      <w:r w:rsidRPr="000756DF">
        <w:t xml:space="preserve">. </w:t>
      </w:r>
      <w:r w:rsidR="006A63A8">
        <w:t xml:space="preserve">Three assessments of cardiovascular function were conducted. </w:t>
      </w:r>
      <w:r w:rsidRPr="000756DF">
        <w:t xml:space="preserve">The baseline cardiomegaly in all 11 patients resolved approximately 5 months after the start of ERT; at all subsequent time points, median </w:t>
      </w:r>
      <w:r w:rsidR="007C009A">
        <w:t>left ventricular mass index (</w:t>
      </w:r>
      <w:r w:rsidRPr="000756DF">
        <w:t>LVMI</w:t>
      </w:r>
      <w:r w:rsidR="007C009A">
        <w:t>)</w:t>
      </w:r>
      <w:r w:rsidRPr="000756DF">
        <w:t xml:space="preserve"> values remained within control limits over a median duration of treatment 69 months (range 28-110 months). Seven (64%) of the 11 patients were independently ambulatory without assistive devices; three required walkers on either a full-time or part-time basis. Nine patients had some degree of hearing loss: seven used hearing aids and three had tympanostomy tubes/grommets. The majority (10/11) had motor speech deficits (hypernasal speech). Seven patients had </w:t>
      </w:r>
      <w:r w:rsidR="00F17653">
        <w:t xml:space="preserve">an </w:t>
      </w:r>
      <w:r w:rsidRPr="000756DF">
        <w:t>exclusively oral mode of nutritional intake, while four used a combination of oral and gastrostomy tube feeds; five had dysphagia with aspiration on fluoroscopic swallow examination; and three had gastroesophageal reflux disease</w:t>
      </w:r>
      <w:r w:rsidR="00526CC7">
        <w:t xml:space="preserve"> </w:t>
      </w:r>
      <w:r w:rsidR="00A130D0">
        <w:rPr>
          <w:noProof/>
        </w:rPr>
        <w:t>(</w:t>
      </w:r>
      <w:r w:rsidR="00184B6F">
        <w:rPr>
          <w:noProof/>
        </w:rPr>
        <w:t>Prater et al. 2012</w:t>
      </w:r>
      <w:r w:rsidR="00A130D0">
        <w:rPr>
          <w:noProof/>
        </w:rPr>
        <w:t>)</w:t>
      </w:r>
      <w:r w:rsidRPr="000756DF">
        <w:t>.</w:t>
      </w:r>
    </w:p>
    <w:p w:rsidR="000756DF" w:rsidRPr="000756DF" w:rsidRDefault="000756DF" w:rsidP="000756DF"/>
    <w:p w:rsidR="000756DF" w:rsidRPr="000756DF" w:rsidRDefault="000756DF" w:rsidP="00A979FB">
      <w:pPr>
        <w:pStyle w:val="Heading5"/>
      </w:pPr>
      <w:r w:rsidRPr="000756DF">
        <w:t>Effect of CRIM status on response to therapy</w:t>
      </w:r>
    </w:p>
    <w:p w:rsidR="000756DF" w:rsidRPr="000756DF" w:rsidRDefault="000756DF" w:rsidP="000756DF">
      <w:r w:rsidRPr="000756DF">
        <w:t>There is evidence to suggest that the presence or absence of cross-reactive immunologic material (CRIM) may affect response to ERT. A retrospective analysis of data from clinical studies, including 11 CRIM-negative patients and 21 CRIM-positive patients, found that CRIM-negative patients, after an initial period of improvement, subsequently showed an attenuated response to alglucosidase alfa, compared to CRIM-positive pa</w:t>
      </w:r>
      <w:r w:rsidR="00E14C36">
        <w:t>tients, in all outcome measures</w:t>
      </w:r>
      <w:r w:rsidRPr="000756DF">
        <w:t xml:space="preserve"> including survival and ventilator-free survival</w:t>
      </w:r>
      <w:r w:rsidR="00E14C36">
        <w:t xml:space="preserve"> </w:t>
      </w:r>
      <w:r w:rsidR="00A130D0">
        <w:rPr>
          <w:noProof/>
        </w:rPr>
        <w:t>(</w:t>
      </w:r>
      <w:r w:rsidR="00184B6F">
        <w:rPr>
          <w:noProof/>
        </w:rPr>
        <w:t>Kishnani, PS et al. 2010</w:t>
      </w:r>
      <w:r w:rsidR="00A130D0">
        <w:rPr>
          <w:noProof/>
        </w:rPr>
        <w:t>)</w:t>
      </w:r>
      <w:r w:rsidRPr="000756DF">
        <w:t xml:space="preserve">. The clinical decline in CRIM-negative patients was observed to coincide with the development of high sustained anti-recombinant human GAA (rhGAA, Myozyme®) antibody titres. </w:t>
      </w:r>
    </w:p>
    <w:p w:rsidR="000756DF" w:rsidRPr="000756DF" w:rsidRDefault="000756DF" w:rsidP="000756DF">
      <w:r w:rsidRPr="000756DF">
        <w:t>Data from clinical studies suggests that approximately 20% of cases of infant</w:t>
      </w:r>
      <w:r w:rsidR="00F17653">
        <w:t>ile</w:t>
      </w:r>
      <w:r w:rsidRPr="000756DF">
        <w:t xml:space="preserve"> onset Pompe disease are CRIM-negative </w:t>
      </w:r>
      <w:r w:rsidR="00A130D0">
        <w:rPr>
          <w:noProof/>
        </w:rPr>
        <w:t>(</w:t>
      </w:r>
      <w:r w:rsidR="00184B6F">
        <w:rPr>
          <w:noProof/>
        </w:rPr>
        <w:t>Kishnani, PS et al. 2010</w:t>
      </w:r>
      <w:r w:rsidR="00A130D0">
        <w:rPr>
          <w:noProof/>
        </w:rPr>
        <w:t>)</w:t>
      </w:r>
      <w:r w:rsidRPr="000756DF">
        <w:t xml:space="preserve">. CRIM-negative patients have two deleterious GAA gene mutations which result in complete absence of native GAA enzyme and, therefore, lack of immunological exposure to the GAA protein. It is suggested that these patients are not immune tolerant to GAA and mount an antibody response to the enzyme when given as ERT </w:t>
      </w:r>
      <w:r w:rsidR="00A130D0">
        <w:rPr>
          <w:noProof/>
        </w:rPr>
        <w:t>(</w:t>
      </w:r>
      <w:r w:rsidR="00184B6F">
        <w:rPr>
          <w:noProof/>
        </w:rPr>
        <w:t>Banugaria et al. 2011</w:t>
      </w:r>
      <w:r w:rsidR="00A130D0">
        <w:rPr>
          <w:noProof/>
        </w:rPr>
        <w:t>)</w:t>
      </w:r>
      <w:r w:rsidRPr="000756DF">
        <w:t xml:space="preserve">. In contrast, most CRIM-positive patients produce some native enzyme which establishes some degree of immune tolerance, with antibody titres generally remaining relatively low or declining from modest levels with continued exposure to alglucosidase alfa. </w:t>
      </w:r>
    </w:p>
    <w:p w:rsidR="000756DF" w:rsidRPr="000756DF" w:rsidRDefault="000756DF" w:rsidP="000756DF">
      <w:r w:rsidRPr="000756DF">
        <w:t xml:space="preserve">Further studies have shown that the minority of CRIM-positive patients who develop high sustained antibody titres also have poor clinical outcomes </w:t>
      </w:r>
      <w:r w:rsidR="00A130D0">
        <w:rPr>
          <w:noProof/>
        </w:rPr>
        <w:t>(</w:t>
      </w:r>
      <w:r w:rsidR="00184B6F">
        <w:rPr>
          <w:noProof/>
        </w:rPr>
        <w:t>Banugaria et al. 2011</w:t>
      </w:r>
      <w:r w:rsidR="00A130D0">
        <w:rPr>
          <w:noProof/>
        </w:rPr>
        <w:t>)</w:t>
      </w:r>
      <w:r w:rsidRPr="000756DF">
        <w:t xml:space="preserve">. Similar to </w:t>
      </w:r>
      <w:r w:rsidRPr="000756DF">
        <w:lastRenderedPageBreak/>
        <w:t xml:space="preserve">the observations in CRIM-negative patients, CRIM-positive patients with high antibody titres showed a period of improvement in the first 6 months of </w:t>
      </w:r>
      <w:r w:rsidR="005F599D">
        <w:t>a</w:t>
      </w:r>
      <w:r w:rsidR="006E04C5">
        <w:t>lglucosidase</w:t>
      </w:r>
      <w:r w:rsidR="00E14C36">
        <w:t xml:space="preserve"> alfa</w:t>
      </w:r>
      <w:r w:rsidRPr="000756DF">
        <w:t xml:space="preserve"> treatment, after which they declined across all measures. As for CRIM-negative patients, antibody titres persisted above 1:51,200 at or beyond 6 months post-ERT initiation, and correlated with the observed clinical decline.</w:t>
      </w:r>
    </w:p>
    <w:p w:rsidR="000756DF" w:rsidRPr="000756DF" w:rsidRDefault="000756DF" w:rsidP="000756DF">
      <w:r w:rsidRPr="000756DF">
        <w:t xml:space="preserve">As a result of these findings, a number of small studies have assessed the use of immune tolerance induction </w:t>
      </w:r>
      <w:r w:rsidR="007C009A">
        <w:t xml:space="preserve">(ITI) </w:t>
      </w:r>
      <w:r w:rsidRPr="000756DF">
        <w:t>regimens aimed at increasing ERT effectiveness in CRIM-negative patients</w:t>
      </w:r>
      <w:r w:rsidR="00E14C36">
        <w:t xml:space="preserve"> </w:t>
      </w:r>
      <w:r w:rsidR="00A130D0">
        <w:rPr>
          <w:noProof/>
        </w:rPr>
        <w:t>(</w:t>
      </w:r>
      <w:r w:rsidR="00184B6F">
        <w:rPr>
          <w:noProof/>
        </w:rPr>
        <w:t>Banugaria et al. 2013</w:t>
      </w:r>
      <w:r w:rsidR="00A130D0">
        <w:rPr>
          <w:noProof/>
        </w:rPr>
        <w:t xml:space="preserve">; </w:t>
      </w:r>
      <w:r w:rsidR="00184B6F">
        <w:rPr>
          <w:noProof/>
        </w:rPr>
        <w:t>Elder et al. 2013</w:t>
      </w:r>
      <w:r w:rsidR="00A130D0">
        <w:rPr>
          <w:noProof/>
        </w:rPr>
        <w:t xml:space="preserve">; </w:t>
      </w:r>
      <w:r w:rsidR="00184B6F">
        <w:rPr>
          <w:noProof/>
        </w:rPr>
        <w:t>Messinger et al. 2012</w:t>
      </w:r>
      <w:r w:rsidR="00A130D0">
        <w:rPr>
          <w:noProof/>
        </w:rPr>
        <w:t>)</w:t>
      </w:r>
      <w:r w:rsidRPr="000756DF">
        <w:t xml:space="preserve">. </w:t>
      </w:r>
    </w:p>
    <w:p w:rsidR="000756DF" w:rsidRPr="000756DF" w:rsidRDefault="000756DF" w:rsidP="000756DF">
      <w:r w:rsidRPr="000756DF">
        <w:t xml:space="preserve">In Messinger et al (2012), two CRIM-negative patients with pre-existing anti-GAA antibodies were treated therapeutically with rituximab, methotrexate, and gammaglobulins, while two additional CRIM-negative patients were treated prophylactically with a course of rituximab and methotrexate at initiation of ERT. At the end of the study, all four patients were immune tolerant to rhGAA, were off immune therapy, had responded to ERT, and were continuing to receive treatment at ages ranging from 18 to 56 months </w:t>
      </w:r>
      <w:r w:rsidR="00A130D0">
        <w:rPr>
          <w:noProof/>
        </w:rPr>
        <w:t>(</w:t>
      </w:r>
      <w:r w:rsidR="00184B6F">
        <w:rPr>
          <w:noProof/>
        </w:rPr>
        <w:t>Messinger et al. 2012</w:t>
      </w:r>
      <w:r w:rsidR="00A130D0">
        <w:rPr>
          <w:noProof/>
        </w:rPr>
        <w:t>)</w:t>
      </w:r>
      <w:r w:rsidRPr="000756DF">
        <w:t xml:space="preserve">. </w:t>
      </w:r>
    </w:p>
    <w:p w:rsidR="000756DF" w:rsidRPr="000756DF" w:rsidRDefault="000756DF" w:rsidP="000756DF">
      <w:r w:rsidRPr="000756DF">
        <w:t>Similarly, Banugaria et al (2013) used a combination of rituximab, methotrexate and immunoglobulin in seven CRIM-negative patients. At baseline, three patients were invasively ventilated, two required supplementary oxygen, one required bi-level positive airway pressure, and one required no respiratory support. Four patients remained antibody-free, one died from respiratory failure and two required another course of the ITI regimen. After a median duration of treatment of 79 weeks (range48-101 weeks), two of the six surviving patients required no respiratory support, three required positive airway pressure only at night, and one patient who required invasive ventilation at baseline was able to come off the ventilator for 10-12 hours each day</w:t>
      </w:r>
      <w:r w:rsidR="00A130D0">
        <w:rPr>
          <w:noProof/>
        </w:rPr>
        <w:t>(</w:t>
      </w:r>
      <w:r w:rsidR="00184B6F">
        <w:rPr>
          <w:noProof/>
        </w:rPr>
        <w:t>Banugaria et al. 2013</w:t>
      </w:r>
      <w:r w:rsidR="00A130D0">
        <w:rPr>
          <w:noProof/>
        </w:rPr>
        <w:t>)</w:t>
      </w:r>
      <w:r w:rsidRPr="000756DF">
        <w:t>.</w:t>
      </w:r>
    </w:p>
    <w:p w:rsidR="000756DF" w:rsidRPr="000756DF" w:rsidRDefault="000756DF" w:rsidP="000756DF">
      <w:r w:rsidRPr="000756DF">
        <w:t>A further four subjects, three of whom were CRIM-negative, received rituximab and sirolimus both before and during ERT</w:t>
      </w:r>
      <w:r w:rsidR="007C009A">
        <w:t xml:space="preserve"> </w:t>
      </w:r>
      <w:r w:rsidR="00A130D0">
        <w:rPr>
          <w:noProof/>
        </w:rPr>
        <w:t>(</w:t>
      </w:r>
      <w:r w:rsidR="00184B6F">
        <w:rPr>
          <w:noProof/>
        </w:rPr>
        <w:t>Elder et al. 2013</w:t>
      </w:r>
      <w:r w:rsidR="00A130D0">
        <w:rPr>
          <w:noProof/>
        </w:rPr>
        <w:t>)</w:t>
      </w:r>
      <w:r w:rsidRPr="000756DF">
        <w:t xml:space="preserve">. After 17-36 months of treatment, all patients lacked antibodies to GAA. Despite this, two of the CRIM-negative patients progressed to requiring invasive ventilation, while the other, who required assisted ventilation at diagnosis, subsequently became ventilator-independent through 22 months of ERT. In contrast, the CRIM-positive patient never required invasive ventilation and had no evidence of respiratory deterioration at the end of study after 17 months of ERT </w:t>
      </w:r>
      <w:r w:rsidR="00A130D0">
        <w:rPr>
          <w:noProof/>
        </w:rPr>
        <w:t>(</w:t>
      </w:r>
      <w:r w:rsidR="00184B6F">
        <w:rPr>
          <w:noProof/>
        </w:rPr>
        <w:t>Elder et al. 2013</w:t>
      </w:r>
      <w:r w:rsidR="00A130D0">
        <w:rPr>
          <w:noProof/>
        </w:rPr>
        <w:t>)</w:t>
      </w:r>
      <w:r w:rsidRPr="000756DF">
        <w:t xml:space="preserve">. </w:t>
      </w:r>
    </w:p>
    <w:p w:rsidR="000756DF" w:rsidRPr="000756DF" w:rsidRDefault="000756DF" w:rsidP="000756DF"/>
    <w:p w:rsidR="000756DF" w:rsidRPr="000756DF" w:rsidRDefault="000756DF" w:rsidP="00A979FB">
      <w:pPr>
        <w:pStyle w:val="Heading5"/>
      </w:pPr>
      <w:r w:rsidRPr="000756DF">
        <w:t>Summary of comparative effectiveness</w:t>
      </w:r>
    </w:p>
    <w:p w:rsidR="000756DF" w:rsidRPr="000756DF" w:rsidRDefault="000756DF" w:rsidP="000756DF">
      <w:r w:rsidRPr="000756DF">
        <w:t xml:space="preserve">There is low quality evidence that alglucosidase alfa prolongs overall survival </w:t>
      </w:r>
      <w:r w:rsidR="006A63A8">
        <w:t>improves</w:t>
      </w:r>
      <w:r w:rsidRPr="000756DF">
        <w:t xml:space="preserve"> </w:t>
      </w:r>
      <w:r w:rsidR="006A63A8">
        <w:t>cardiorespiratory function (</w:t>
      </w:r>
      <w:r w:rsidR="006A63A8" w:rsidRPr="000756DF">
        <w:t>invasive ventilator-free survival</w:t>
      </w:r>
      <w:r w:rsidR="006A63A8">
        <w:t>)</w:t>
      </w:r>
      <w:r w:rsidR="006A63A8" w:rsidRPr="000756DF">
        <w:t xml:space="preserve"> </w:t>
      </w:r>
      <w:r w:rsidRPr="000756DF">
        <w:t xml:space="preserve">in patients with infantile onset Pompe disease, compared to standard care. </w:t>
      </w:r>
      <w:r w:rsidR="007C009A">
        <w:t>Alglucosidase alfa</w:t>
      </w:r>
      <w:r w:rsidRPr="000756DF">
        <w:t xml:space="preserve"> may also improve survival free of any ventilator use in patients in whom treatment is initiated at an early stage of the </w:t>
      </w:r>
      <w:r w:rsidRPr="000756DF">
        <w:lastRenderedPageBreak/>
        <w:t xml:space="preserve">disease. Due to the considerable potential for confounding, the magnitude of the treatment effect is uncertain, and is likely to vary across different populations, depending on the average severity of the disease (including the proportion of CRIM negative patients) and the stage of progression at commencement of ERT. </w:t>
      </w:r>
    </w:p>
    <w:p w:rsidR="000756DF" w:rsidRDefault="000756DF" w:rsidP="000756DF">
      <w:r w:rsidRPr="000756DF">
        <w:t>There are minimal data on patients who survive to ≥5 years of age. One small case series reported the outcomes in 11 patients up to a median age of 8.0 years (range 5.4 to 12.0 years)</w:t>
      </w:r>
      <w:r w:rsidR="0057208C">
        <w:t xml:space="preserve"> </w:t>
      </w:r>
      <w:r w:rsidR="00A130D0">
        <w:rPr>
          <w:noProof/>
        </w:rPr>
        <w:t>(</w:t>
      </w:r>
      <w:r w:rsidR="00184B6F">
        <w:rPr>
          <w:noProof/>
        </w:rPr>
        <w:t>Prater et al. 2013</w:t>
      </w:r>
      <w:r w:rsidR="00A130D0">
        <w:rPr>
          <w:noProof/>
        </w:rPr>
        <w:t>)</w:t>
      </w:r>
      <w:r w:rsidRPr="000756DF">
        <w:t>. The median LVMI values remained within control limits over a median duration of treatment of 69 months and 7/11 patients were able to walk unassisted. The majority of patients had hearing and speech deficits, and 5/11 had dysphagia with aspiration.</w:t>
      </w:r>
    </w:p>
    <w:p w:rsidR="00B762BD" w:rsidRPr="000756DF" w:rsidRDefault="00B762BD" w:rsidP="000756DF"/>
    <w:p w:rsidR="000756DF" w:rsidRPr="00E965BD" w:rsidRDefault="000756DF" w:rsidP="00A979FB">
      <w:pPr>
        <w:pStyle w:val="Heading4"/>
      </w:pPr>
      <w:bookmarkStart w:id="300" w:name="_Toc404350106"/>
      <w:bookmarkStart w:id="301" w:name="_Toc404937269"/>
      <w:r w:rsidRPr="00E965BD">
        <w:t>Safety of alglucosidase alfa in the treatment of infantile onset Pompe disease</w:t>
      </w:r>
      <w:bookmarkEnd w:id="300"/>
      <w:bookmarkEnd w:id="301"/>
    </w:p>
    <w:p w:rsidR="000756DF" w:rsidRPr="000756DF" w:rsidRDefault="000756DF" w:rsidP="00A979FB">
      <w:pPr>
        <w:pStyle w:val="Heading5"/>
      </w:pPr>
      <w:r w:rsidRPr="000756DF">
        <w:t xml:space="preserve">Comparative safety of alglucosidase alfa </w:t>
      </w:r>
    </w:p>
    <w:p w:rsidR="000756DF" w:rsidRPr="000756DF" w:rsidRDefault="000756DF" w:rsidP="000756DF">
      <w:r w:rsidRPr="000756DF">
        <w:t>There are no data on the comparative safety of alglucosidase alfa versus standard palliative care in patients with infantile onset Pompe disease.</w:t>
      </w:r>
    </w:p>
    <w:p w:rsidR="000756DF" w:rsidRPr="000756DF" w:rsidRDefault="000756DF" w:rsidP="00A979FB">
      <w:pPr>
        <w:pStyle w:val="Heading5"/>
      </w:pPr>
      <w:r w:rsidRPr="000756DF">
        <w:t>Extended assessment of harms</w:t>
      </w:r>
    </w:p>
    <w:p w:rsidR="000756DF" w:rsidRPr="000756DF" w:rsidRDefault="000756DF" w:rsidP="000756DF">
      <w:r w:rsidRPr="000756DF">
        <w:t xml:space="preserve">The summary of safety provided in this section is based on Periodic Safety Update Reports (PSURs) presented in Submissions to the Post Market Review (PMR) of the Life Savings Drugs program (LSDP). </w:t>
      </w:r>
    </w:p>
    <w:p w:rsidR="000756DF" w:rsidRPr="00A979FB" w:rsidRDefault="000756DF" w:rsidP="00A979FB">
      <w:pPr>
        <w:pStyle w:val="Heading5"/>
      </w:pPr>
      <w:r w:rsidRPr="00A979FB">
        <w:t>Serious adverse events</w:t>
      </w:r>
    </w:p>
    <w:p w:rsidR="000756DF" w:rsidRPr="000756DF" w:rsidRDefault="000756DF" w:rsidP="000756DF">
      <w:r w:rsidRPr="000756DF">
        <w:t>The most common serious treatment-emergent adverse events observed in the clinical studies were pneumonia, respiratory failure, respiratory distress, catheter related infection, respiratory syncytial virus infection, gastroenteritis, and fever. The most common treatment-emergent adverse events were fever, diarrhoea, rash, vomiting cough, pneumonia, otitis media, upper respiratory tract infection, gastroenteritis and decreased oxygen saturation (Myozyme PI)</w:t>
      </w:r>
      <w:r w:rsidR="00746F05">
        <w:rPr>
          <w:noProof/>
        </w:rPr>
        <w:t>(</w:t>
      </w:r>
      <w:r w:rsidR="00184B6F">
        <w:rPr>
          <w:noProof/>
        </w:rPr>
        <w:t>Therapeutic Goods Administration 2012a</w:t>
      </w:r>
      <w:r w:rsidR="00746F05">
        <w:rPr>
          <w:noProof/>
        </w:rPr>
        <w:t>)</w:t>
      </w:r>
      <w:r w:rsidRPr="000756DF">
        <w:t>.</w:t>
      </w:r>
    </w:p>
    <w:p w:rsidR="000756DF" w:rsidRPr="000756DF" w:rsidRDefault="000756DF" w:rsidP="000756DF">
      <w:r w:rsidRPr="002E32A7">
        <w:t>In the most recent PSUR for alglucosidase alfa (Myozyme®), the commercial patient exposure for the period 29 September 2010 to 28 September 2011 was estimated at 1,515 patient-years</w:t>
      </w:r>
      <w:r w:rsidR="00DE28BF" w:rsidRPr="002E32A7">
        <w:t xml:space="preserve"> </w:t>
      </w:r>
      <w:r w:rsidR="00A130D0" w:rsidRPr="002E32A7">
        <w:rPr>
          <w:noProof/>
        </w:rPr>
        <w:t>(</w:t>
      </w:r>
      <w:r w:rsidR="00184B6F" w:rsidRPr="002E32A7">
        <w:rPr>
          <w:noProof/>
        </w:rPr>
        <w:t>Genzyme Australasia Pty Ltd 2011</w:t>
      </w:r>
      <w:r w:rsidR="00A130D0" w:rsidRPr="002E32A7">
        <w:rPr>
          <w:noProof/>
        </w:rPr>
        <w:t>)</w:t>
      </w:r>
      <w:r w:rsidRPr="002E32A7">
        <w:t xml:space="preserve">. </w:t>
      </w:r>
      <w:r w:rsidR="007C009A" w:rsidRPr="002E32A7">
        <w:t>Serious adverse events (A</w:t>
      </w:r>
      <w:r w:rsidR="0057208C" w:rsidRPr="002E32A7">
        <w:t>E</w:t>
      </w:r>
      <w:r w:rsidR="007C009A" w:rsidRPr="002E32A7">
        <w:t>s) listed during this period are summarised in</w:t>
      </w:r>
      <w:r w:rsidRPr="002E32A7">
        <w:t xml:space="preserve"> </w:t>
      </w:r>
      <w:r w:rsidR="00A72B26" w:rsidRPr="002E32A7">
        <w:t xml:space="preserve">Table </w:t>
      </w:r>
      <w:r w:rsidR="00A72B26" w:rsidRPr="002E32A7">
        <w:rPr>
          <w:noProof/>
        </w:rPr>
        <w:t>64</w:t>
      </w:r>
      <w:r w:rsidRPr="002E32A7">
        <w:t xml:space="preserve">. Alglucosidase alfa is indicated for all treatment of patients with </w:t>
      </w:r>
      <w:r w:rsidR="007C009A" w:rsidRPr="002E32A7">
        <w:t>the</w:t>
      </w:r>
      <w:r w:rsidRPr="002E32A7">
        <w:t xml:space="preserve"> forms of Pompe disease; the data are not specifically for the infantile onset form of the disease.</w:t>
      </w:r>
    </w:p>
    <w:p w:rsidR="000756DF" w:rsidRPr="002E32A7" w:rsidRDefault="000756DF" w:rsidP="00F44176">
      <w:pPr>
        <w:pStyle w:val="Caption"/>
        <w:keepNext/>
        <w:tabs>
          <w:tab w:val="clear" w:pos="851"/>
          <w:tab w:val="left" w:pos="1134"/>
        </w:tabs>
        <w:ind w:left="1134" w:hanging="1134"/>
        <w:rPr>
          <w:bCs w:val="0"/>
        </w:rPr>
      </w:pPr>
      <w:bookmarkStart w:id="302" w:name="_Ref402629219"/>
      <w:bookmarkStart w:id="303" w:name="_Toc411510445"/>
      <w:bookmarkStart w:id="304" w:name="_Toc415141861"/>
      <w:r w:rsidRPr="002E32A7">
        <w:lastRenderedPageBreak/>
        <w:t xml:space="preserve">Table </w:t>
      </w:r>
      <w:r w:rsidR="00A72B26" w:rsidRPr="002E32A7">
        <w:rPr>
          <w:noProof/>
        </w:rPr>
        <w:t>64</w:t>
      </w:r>
      <w:bookmarkEnd w:id="302"/>
      <w:r w:rsidRPr="002E32A7">
        <w:tab/>
        <w:t>Summary of serious listed adverse events over the period 29 September 2010 to 28 September 2011</w:t>
      </w:r>
      <w:bookmarkEnd w:id="303"/>
      <w:bookmarkEnd w:id="304"/>
    </w:p>
    <w:tbl>
      <w:tblPr>
        <w:tblStyle w:val="TableGrid"/>
        <w:tblW w:w="4996" w:type="pct"/>
        <w:tblLook w:val="04A0" w:firstRow="1" w:lastRow="0" w:firstColumn="1" w:lastColumn="0" w:noHBand="0" w:noVBand="1"/>
        <w:tblCaption w:val="Table 60 Summary of serious listed adverse events over the period 29 September 2010 to 28 September 2011"/>
        <w:tblDescription w:val="Summary of serious listed adverse events over the period 29 September 2010 to 28 September 2011 for Pompe patients - all forms (Genzyme Australasia Pty Ltd 2011)"/>
      </w:tblPr>
      <w:tblGrid>
        <w:gridCol w:w="4026"/>
        <w:gridCol w:w="3231"/>
        <w:gridCol w:w="1978"/>
      </w:tblGrid>
      <w:tr w:rsidR="000756DF" w:rsidRPr="002E32A7" w:rsidTr="009A0365">
        <w:trPr>
          <w:tblHeader/>
        </w:trPr>
        <w:tc>
          <w:tcPr>
            <w:tcW w:w="2179" w:type="pct"/>
            <w:tcBorders>
              <w:bottom w:val="single" w:sz="4" w:space="0" w:color="000000"/>
            </w:tcBorders>
          </w:tcPr>
          <w:p w:rsidR="000756DF" w:rsidRPr="002E32A7" w:rsidRDefault="000756DF" w:rsidP="007C009A">
            <w:pPr>
              <w:pStyle w:val="TableHeading"/>
            </w:pPr>
            <w:r w:rsidRPr="002E32A7">
              <w:t>Body system</w:t>
            </w:r>
          </w:p>
        </w:tc>
        <w:tc>
          <w:tcPr>
            <w:tcW w:w="1749" w:type="pct"/>
          </w:tcPr>
          <w:p w:rsidR="000756DF" w:rsidRPr="002E32A7" w:rsidRDefault="000756DF" w:rsidP="007C009A">
            <w:pPr>
              <w:pStyle w:val="TableHeading"/>
            </w:pPr>
            <w:r w:rsidRPr="002E32A7">
              <w:t>Preferred term</w:t>
            </w:r>
          </w:p>
        </w:tc>
        <w:tc>
          <w:tcPr>
            <w:tcW w:w="1071" w:type="pct"/>
          </w:tcPr>
          <w:p w:rsidR="000756DF" w:rsidRPr="002E32A7" w:rsidRDefault="000756DF" w:rsidP="007C009A">
            <w:pPr>
              <w:pStyle w:val="TableHeading"/>
            </w:pPr>
            <w:r w:rsidRPr="002E32A7">
              <w:t>Number of serious adverse events</w:t>
            </w:r>
          </w:p>
        </w:tc>
      </w:tr>
      <w:tr w:rsidR="000756DF" w:rsidRPr="002E32A7" w:rsidTr="000756DF">
        <w:tc>
          <w:tcPr>
            <w:tcW w:w="2179" w:type="pct"/>
            <w:tcBorders>
              <w:bottom w:val="nil"/>
            </w:tcBorders>
          </w:tcPr>
          <w:p w:rsidR="000756DF" w:rsidRPr="002E32A7" w:rsidRDefault="000756DF" w:rsidP="007C009A">
            <w:pPr>
              <w:pStyle w:val="TableText0"/>
            </w:pPr>
            <w:r w:rsidRPr="002E32A7">
              <w:t>Cardiac disorders</w:t>
            </w:r>
          </w:p>
        </w:tc>
        <w:tc>
          <w:tcPr>
            <w:tcW w:w="1749" w:type="pct"/>
          </w:tcPr>
          <w:p w:rsidR="000756DF" w:rsidRPr="002E32A7" w:rsidRDefault="000756DF" w:rsidP="007C009A">
            <w:pPr>
              <w:pStyle w:val="TableText0"/>
            </w:pPr>
            <w:r w:rsidRPr="002E32A7">
              <w:t>Bradycardia</w:t>
            </w:r>
          </w:p>
        </w:tc>
        <w:tc>
          <w:tcPr>
            <w:tcW w:w="1071" w:type="pct"/>
          </w:tcPr>
          <w:p w:rsidR="000756DF" w:rsidRPr="002E32A7" w:rsidRDefault="000756DF" w:rsidP="007C009A">
            <w:pPr>
              <w:pStyle w:val="TableText0"/>
            </w:pPr>
            <w:r w:rsidRPr="002E32A7">
              <w:t>3</w:t>
            </w:r>
          </w:p>
        </w:tc>
      </w:tr>
      <w:tr w:rsidR="000756DF" w:rsidRPr="002E32A7" w:rsidTr="000756DF">
        <w:tc>
          <w:tcPr>
            <w:tcW w:w="2179" w:type="pct"/>
            <w:tcBorders>
              <w:top w:val="nil"/>
              <w:bottom w:val="nil"/>
            </w:tcBorders>
          </w:tcPr>
          <w:p w:rsidR="000756DF" w:rsidRPr="002E32A7" w:rsidRDefault="000756DF" w:rsidP="007C009A">
            <w:pPr>
              <w:pStyle w:val="TableText0"/>
            </w:pPr>
          </w:p>
        </w:tc>
        <w:tc>
          <w:tcPr>
            <w:tcW w:w="1749" w:type="pct"/>
          </w:tcPr>
          <w:p w:rsidR="000756DF" w:rsidRPr="002E32A7" w:rsidRDefault="000756DF" w:rsidP="007C009A">
            <w:pPr>
              <w:pStyle w:val="TableText0"/>
            </w:pPr>
            <w:r w:rsidRPr="002E32A7">
              <w:t>Cardiac arrest</w:t>
            </w:r>
          </w:p>
        </w:tc>
        <w:tc>
          <w:tcPr>
            <w:tcW w:w="1071" w:type="pct"/>
          </w:tcPr>
          <w:p w:rsidR="000756DF" w:rsidRPr="002E32A7" w:rsidRDefault="000756DF" w:rsidP="007C009A">
            <w:pPr>
              <w:pStyle w:val="TableText0"/>
            </w:pPr>
            <w:r w:rsidRPr="002E32A7">
              <w:t>2</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Cardio-respiratory arrest</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Cardiopulmonary failure</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Cyanosis</w:t>
            </w:r>
          </w:p>
        </w:tc>
        <w:tc>
          <w:tcPr>
            <w:tcW w:w="1071" w:type="pct"/>
          </w:tcPr>
          <w:p w:rsidR="000756DF" w:rsidRPr="00F74F21" w:rsidRDefault="000756DF" w:rsidP="007C009A">
            <w:pPr>
              <w:pStyle w:val="TableText0"/>
            </w:pPr>
            <w:r w:rsidRPr="00F74F21">
              <w:t>5</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Tachycardia</w:t>
            </w:r>
          </w:p>
        </w:tc>
        <w:tc>
          <w:tcPr>
            <w:tcW w:w="1071" w:type="pct"/>
          </w:tcPr>
          <w:p w:rsidR="000756DF" w:rsidRPr="00F74F21" w:rsidRDefault="000756DF" w:rsidP="007C009A">
            <w:pPr>
              <w:pStyle w:val="TableText0"/>
            </w:pPr>
            <w:r w:rsidRPr="00F74F21">
              <w:t>10</w:t>
            </w:r>
          </w:p>
        </w:tc>
      </w:tr>
      <w:tr w:rsidR="000756DF" w:rsidRPr="00F74F21" w:rsidTr="000756DF">
        <w:tc>
          <w:tcPr>
            <w:tcW w:w="2179" w:type="pct"/>
            <w:tcBorders>
              <w:top w:val="nil"/>
              <w:bottom w:val="single" w:sz="4" w:space="0" w:color="000000"/>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Subtotal</w:t>
            </w:r>
          </w:p>
        </w:tc>
        <w:tc>
          <w:tcPr>
            <w:tcW w:w="1071" w:type="pct"/>
          </w:tcPr>
          <w:p w:rsidR="000756DF" w:rsidRPr="00F74F21" w:rsidRDefault="000756DF" w:rsidP="007C009A">
            <w:pPr>
              <w:pStyle w:val="TableText0"/>
            </w:pPr>
            <w:r w:rsidRPr="00F74F21">
              <w:t>22</w:t>
            </w:r>
          </w:p>
        </w:tc>
      </w:tr>
      <w:tr w:rsidR="000756DF" w:rsidRPr="00F74F21" w:rsidTr="000756DF">
        <w:tc>
          <w:tcPr>
            <w:tcW w:w="2179" w:type="pct"/>
            <w:tcBorders>
              <w:bottom w:val="nil"/>
            </w:tcBorders>
          </w:tcPr>
          <w:p w:rsidR="000756DF" w:rsidRPr="00F74F21" w:rsidRDefault="000756DF" w:rsidP="007C009A">
            <w:pPr>
              <w:pStyle w:val="TableText0"/>
            </w:pPr>
            <w:r w:rsidRPr="00F74F21">
              <w:t>Gastrointestinal disorders</w:t>
            </w:r>
          </w:p>
        </w:tc>
        <w:tc>
          <w:tcPr>
            <w:tcW w:w="1749" w:type="pct"/>
          </w:tcPr>
          <w:p w:rsidR="000756DF" w:rsidRPr="00F74F21" w:rsidRDefault="000756DF" w:rsidP="007C009A">
            <w:pPr>
              <w:pStyle w:val="TableText0"/>
            </w:pPr>
            <w:r w:rsidRPr="00F74F21">
              <w:t>Abdominal pain upper</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Lip oedema</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Nausea</w:t>
            </w:r>
          </w:p>
        </w:tc>
        <w:tc>
          <w:tcPr>
            <w:tcW w:w="1071" w:type="pct"/>
          </w:tcPr>
          <w:p w:rsidR="000756DF" w:rsidRPr="00F74F21" w:rsidRDefault="000756DF" w:rsidP="007C009A">
            <w:pPr>
              <w:pStyle w:val="TableText0"/>
            </w:pPr>
            <w:r w:rsidRPr="00F74F21">
              <w:t>2</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Oedema mouth</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Swollen tongue</w:t>
            </w:r>
          </w:p>
        </w:tc>
        <w:tc>
          <w:tcPr>
            <w:tcW w:w="1071" w:type="pct"/>
          </w:tcPr>
          <w:p w:rsidR="000756DF" w:rsidRPr="00F74F21" w:rsidRDefault="000756DF" w:rsidP="007C009A">
            <w:pPr>
              <w:pStyle w:val="TableText0"/>
            </w:pPr>
            <w:r w:rsidRPr="00F74F21">
              <w:t>2</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Vomiting</w:t>
            </w:r>
          </w:p>
        </w:tc>
        <w:tc>
          <w:tcPr>
            <w:tcW w:w="1071" w:type="pct"/>
          </w:tcPr>
          <w:p w:rsidR="000756DF" w:rsidRPr="00F74F21" w:rsidRDefault="000756DF" w:rsidP="007C009A">
            <w:pPr>
              <w:pStyle w:val="TableText0"/>
            </w:pPr>
            <w:r w:rsidRPr="00F74F21">
              <w:t>9</w:t>
            </w:r>
          </w:p>
        </w:tc>
      </w:tr>
      <w:tr w:rsidR="000756DF" w:rsidRPr="00F74F21" w:rsidTr="000756DF">
        <w:tc>
          <w:tcPr>
            <w:tcW w:w="2179" w:type="pct"/>
            <w:tcBorders>
              <w:top w:val="nil"/>
              <w:bottom w:val="single" w:sz="4" w:space="0" w:color="000000"/>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 xml:space="preserve">Subtotal </w:t>
            </w:r>
          </w:p>
        </w:tc>
        <w:tc>
          <w:tcPr>
            <w:tcW w:w="1071" w:type="pct"/>
          </w:tcPr>
          <w:p w:rsidR="000756DF" w:rsidRPr="00F74F21" w:rsidRDefault="000756DF" w:rsidP="007C009A">
            <w:pPr>
              <w:pStyle w:val="TableText0"/>
            </w:pPr>
            <w:r w:rsidRPr="00F74F21">
              <w:t>16</w:t>
            </w:r>
          </w:p>
        </w:tc>
      </w:tr>
      <w:tr w:rsidR="000756DF" w:rsidRPr="00F74F21" w:rsidTr="000756DF">
        <w:tc>
          <w:tcPr>
            <w:tcW w:w="2179" w:type="pct"/>
            <w:tcBorders>
              <w:bottom w:val="nil"/>
            </w:tcBorders>
          </w:tcPr>
          <w:p w:rsidR="000756DF" w:rsidRPr="00F74F21" w:rsidRDefault="000756DF" w:rsidP="007C009A">
            <w:pPr>
              <w:pStyle w:val="TableText0"/>
            </w:pPr>
            <w:r w:rsidRPr="00F74F21">
              <w:t>General disorders and administration site conditions</w:t>
            </w:r>
          </w:p>
        </w:tc>
        <w:tc>
          <w:tcPr>
            <w:tcW w:w="1749" w:type="pct"/>
          </w:tcPr>
          <w:p w:rsidR="000756DF" w:rsidRPr="00F74F21" w:rsidRDefault="000756DF" w:rsidP="007C009A">
            <w:pPr>
              <w:pStyle w:val="TableText0"/>
            </w:pPr>
            <w:r w:rsidRPr="00F74F21">
              <w:t>Chills</w:t>
            </w:r>
          </w:p>
        </w:tc>
        <w:tc>
          <w:tcPr>
            <w:tcW w:w="1071" w:type="pct"/>
          </w:tcPr>
          <w:p w:rsidR="000756DF" w:rsidRPr="00F74F21" w:rsidRDefault="000756DF" w:rsidP="007C009A">
            <w:pPr>
              <w:pStyle w:val="TableText0"/>
            </w:pPr>
            <w:r w:rsidRPr="00F74F21">
              <w:t>5</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Fatigue</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Feeling hot</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Pyrexia</w:t>
            </w:r>
          </w:p>
        </w:tc>
        <w:tc>
          <w:tcPr>
            <w:tcW w:w="1071" w:type="pct"/>
          </w:tcPr>
          <w:p w:rsidR="000756DF" w:rsidRPr="00F74F21" w:rsidRDefault="000756DF" w:rsidP="007C009A">
            <w:pPr>
              <w:pStyle w:val="TableText0"/>
            </w:pPr>
            <w:r w:rsidRPr="00F74F21">
              <w:t>10</w:t>
            </w:r>
          </w:p>
        </w:tc>
      </w:tr>
      <w:tr w:rsidR="000756DF" w:rsidRPr="00F74F21" w:rsidTr="000756DF">
        <w:tc>
          <w:tcPr>
            <w:tcW w:w="2179" w:type="pct"/>
            <w:tcBorders>
              <w:top w:val="nil"/>
              <w:bottom w:val="single" w:sz="4" w:space="0" w:color="000000"/>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Subtotal</w:t>
            </w:r>
          </w:p>
        </w:tc>
        <w:tc>
          <w:tcPr>
            <w:tcW w:w="1071" w:type="pct"/>
          </w:tcPr>
          <w:p w:rsidR="000756DF" w:rsidRPr="00F74F21" w:rsidRDefault="000756DF" w:rsidP="007C009A">
            <w:pPr>
              <w:pStyle w:val="TableText0"/>
            </w:pPr>
            <w:r w:rsidRPr="00F74F21">
              <w:t>17</w:t>
            </w:r>
          </w:p>
        </w:tc>
      </w:tr>
      <w:tr w:rsidR="000756DF" w:rsidRPr="00F74F21" w:rsidTr="000756DF">
        <w:tc>
          <w:tcPr>
            <w:tcW w:w="2179" w:type="pct"/>
            <w:tcBorders>
              <w:bottom w:val="nil"/>
            </w:tcBorders>
          </w:tcPr>
          <w:p w:rsidR="000756DF" w:rsidRPr="00F74F21" w:rsidRDefault="000756DF" w:rsidP="007C009A">
            <w:pPr>
              <w:pStyle w:val="TableText0"/>
            </w:pPr>
            <w:r w:rsidRPr="00F74F21">
              <w:t>Immune system disorders</w:t>
            </w:r>
          </w:p>
        </w:tc>
        <w:tc>
          <w:tcPr>
            <w:tcW w:w="1749" w:type="pct"/>
          </w:tcPr>
          <w:p w:rsidR="000756DF" w:rsidRPr="00F74F21" w:rsidRDefault="000756DF" w:rsidP="007C009A">
            <w:pPr>
              <w:pStyle w:val="TableText0"/>
            </w:pPr>
            <w:r w:rsidRPr="00F74F21">
              <w:t>Anaphylactic reaction</w:t>
            </w:r>
          </w:p>
        </w:tc>
        <w:tc>
          <w:tcPr>
            <w:tcW w:w="1071" w:type="pct"/>
          </w:tcPr>
          <w:p w:rsidR="000756DF" w:rsidRPr="00F74F21" w:rsidRDefault="000756DF" w:rsidP="007C009A">
            <w:pPr>
              <w:pStyle w:val="TableText0"/>
            </w:pPr>
            <w:r w:rsidRPr="00F74F21">
              <w:t>10</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Hypersensitivity</w:t>
            </w:r>
          </w:p>
        </w:tc>
        <w:tc>
          <w:tcPr>
            <w:tcW w:w="1071" w:type="pct"/>
          </w:tcPr>
          <w:p w:rsidR="000756DF" w:rsidRPr="00F74F21" w:rsidRDefault="000756DF" w:rsidP="007C009A">
            <w:pPr>
              <w:pStyle w:val="TableText0"/>
            </w:pPr>
            <w:r w:rsidRPr="00F74F21">
              <w:t>2</w:t>
            </w:r>
          </w:p>
        </w:tc>
      </w:tr>
      <w:tr w:rsidR="000756DF" w:rsidRPr="00F74F21" w:rsidTr="000756DF">
        <w:tc>
          <w:tcPr>
            <w:tcW w:w="2179" w:type="pct"/>
            <w:tcBorders>
              <w:top w:val="nil"/>
              <w:bottom w:val="single" w:sz="4" w:space="0" w:color="000000"/>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Subtotal</w:t>
            </w:r>
          </w:p>
        </w:tc>
        <w:tc>
          <w:tcPr>
            <w:tcW w:w="1071" w:type="pct"/>
          </w:tcPr>
          <w:p w:rsidR="000756DF" w:rsidRPr="00F74F21" w:rsidRDefault="000756DF" w:rsidP="007C009A">
            <w:pPr>
              <w:pStyle w:val="TableText0"/>
            </w:pPr>
            <w:r w:rsidRPr="00F74F21">
              <w:t>12</w:t>
            </w:r>
          </w:p>
        </w:tc>
      </w:tr>
      <w:tr w:rsidR="000756DF" w:rsidRPr="00F74F21" w:rsidTr="000756DF">
        <w:tc>
          <w:tcPr>
            <w:tcW w:w="2179" w:type="pct"/>
            <w:tcBorders>
              <w:bottom w:val="nil"/>
            </w:tcBorders>
          </w:tcPr>
          <w:p w:rsidR="000756DF" w:rsidRPr="00F74F21" w:rsidRDefault="000756DF" w:rsidP="007C009A">
            <w:pPr>
              <w:pStyle w:val="TableText0"/>
            </w:pPr>
            <w:r w:rsidRPr="00F74F21">
              <w:t>Investigations</w:t>
            </w:r>
          </w:p>
        </w:tc>
        <w:tc>
          <w:tcPr>
            <w:tcW w:w="1749" w:type="pct"/>
          </w:tcPr>
          <w:p w:rsidR="000756DF" w:rsidRPr="00F74F21" w:rsidRDefault="000756DF" w:rsidP="007C009A">
            <w:pPr>
              <w:pStyle w:val="TableText0"/>
            </w:pPr>
            <w:r w:rsidRPr="00F74F21">
              <w:t>Blood pressure decreased</w:t>
            </w:r>
          </w:p>
        </w:tc>
        <w:tc>
          <w:tcPr>
            <w:tcW w:w="1071" w:type="pct"/>
          </w:tcPr>
          <w:p w:rsidR="000756DF" w:rsidRPr="00F74F21" w:rsidRDefault="000756DF" w:rsidP="007C009A">
            <w:pPr>
              <w:pStyle w:val="TableText0"/>
            </w:pPr>
            <w:r w:rsidRPr="00F74F21">
              <w:t>4</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Blood pressure increased</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Body temperature increased</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Heart rate increased</w:t>
            </w:r>
          </w:p>
        </w:tc>
        <w:tc>
          <w:tcPr>
            <w:tcW w:w="1071" w:type="pct"/>
          </w:tcPr>
          <w:p w:rsidR="000756DF" w:rsidRPr="00F74F21" w:rsidRDefault="000756DF" w:rsidP="007C009A">
            <w:pPr>
              <w:pStyle w:val="TableText0"/>
            </w:pPr>
            <w:r w:rsidRPr="00F74F21">
              <w:t>2</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Oxygen saturation decreased</w:t>
            </w:r>
          </w:p>
        </w:tc>
        <w:tc>
          <w:tcPr>
            <w:tcW w:w="1071" w:type="pct"/>
          </w:tcPr>
          <w:p w:rsidR="000756DF" w:rsidRPr="00F74F21" w:rsidRDefault="000756DF" w:rsidP="007C009A">
            <w:pPr>
              <w:pStyle w:val="TableText0"/>
            </w:pPr>
            <w:r w:rsidRPr="00F74F21">
              <w:t>6</w:t>
            </w:r>
          </w:p>
        </w:tc>
      </w:tr>
      <w:tr w:rsidR="000756DF" w:rsidRPr="00F74F21" w:rsidTr="000756DF">
        <w:tc>
          <w:tcPr>
            <w:tcW w:w="2179" w:type="pct"/>
            <w:tcBorders>
              <w:top w:val="nil"/>
              <w:bottom w:val="single" w:sz="4" w:space="0" w:color="000000"/>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Subtotal</w:t>
            </w:r>
          </w:p>
        </w:tc>
        <w:tc>
          <w:tcPr>
            <w:tcW w:w="1071" w:type="pct"/>
          </w:tcPr>
          <w:p w:rsidR="000756DF" w:rsidRPr="00F74F21" w:rsidRDefault="000756DF" w:rsidP="007C009A">
            <w:pPr>
              <w:pStyle w:val="TableText0"/>
            </w:pPr>
            <w:r w:rsidRPr="00F74F21">
              <w:t>14</w:t>
            </w:r>
          </w:p>
        </w:tc>
      </w:tr>
      <w:tr w:rsidR="000756DF" w:rsidRPr="00F74F21" w:rsidTr="000756DF">
        <w:tc>
          <w:tcPr>
            <w:tcW w:w="2179" w:type="pct"/>
            <w:tcBorders>
              <w:bottom w:val="nil"/>
            </w:tcBorders>
          </w:tcPr>
          <w:p w:rsidR="000756DF" w:rsidRPr="00F74F21" w:rsidRDefault="000756DF" w:rsidP="007C009A">
            <w:pPr>
              <w:pStyle w:val="TableText0"/>
            </w:pPr>
            <w:r w:rsidRPr="00F74F21">
              <w:t>Musculoskeletal and connective tissue disorders</w:t>
            </w:r>
          </w:p>
        </w:tc>
        <w:tc>
          <w:tcPr>
            <w:tcW w:w="1749" w:type="pct"/>
          </w:tcPr>
          <w:p w:rsidR="000756DF" w:rsidRPr="00F74F21" w:rsidRDefault="000756DF" w:rsidP="007C009A">
            <w:pPr>
              <w:pStyle w:val="TableText0"/>
            </w:pPr>
            <w:r w:rsidRPr="00F74F21">
              <w:t>Arthropathy</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Myalgia</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single" w:sz="4" w:space="0" w:color="000000"/>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Subtotal</w:t>
            </w:r>
          </w:p>
        </w:tc>
        <w:tc>
          <w:tcPr>
            <w:tcW w:w="1071" w:type="pct"/>
          </w:tcPr>
          <w:p w:rsidR="000756DF" w:rsidRPr="00F74F21" w:rsidRDefault="000756DF" w:rsidP="007C009A">
            <w:pPr>
              <w:pStyle w:val="TableText0"/>
            </w:pPr>
            <w:r w:rsidRPr="00F74F21">
              <w:t>2</w:t>
            </w:r>
          </w:p>
        </w:tc>
      </w:tr>
      <w:tr w:rsidR="000756DF" w:rsidRPr="00F74F21" w:rsidTr="000756DF">
        <w:tc>
          <w:tcPr>
            <w:tcW w:w="2179" w:type="pct"/>
            <w:tcBorders>
              <w:bottom w:val="nil"/>
            </w:tcBorders>
          </w:tcPr>
          <w:p w:rsidR="000756DF" w:rsidRPr="00F74F21" w:rsidRDefault="000756DF" w:rsidP="007C009A">
            <w:pPr>
              <w:pStyle w:val="TableText0"/>
            </w:pPr>
            <w:r w:rsidRPr="00F74F21">
              <w:t>Nervous system disorders</w:t>
            </w:r>
          </w:p>
        </w:tc>
        <w:tc>
          <w:tcPr>
            <w:tcW w:w="1749" w:type="pct"/>
          </w:tcPr>
          <w:p w:rsidR="000756DF" w:rsidRPr="00F74F21" w:rsidRDefault="000756DF" w:rsidP="007C009A">
            <w:pPr>
              <w:pStyle w:val="TableText0"/>
            </w:pPr>
            <w:r w:rsidRPr="00F74F21">
              <w:t>Dizziness</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Headache</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single" w:sz="4" w:space="0" w:color="000000"/>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Subtotal</w:t>
            </w:r>
          </w:p>
        </w:tc>
        <w:tc>
          <w:tcPr>
            <w:tcW w:w="1071" w:type="pct"/>
          </w:tcPr>
          <w:p w:rsidR="000756DF" w:rsidRPr="00F74F21" w:rsidRDefault="000756DF" w:rsidP="007C009A">
            <w:pPr>
              <w:pStyle w:val="TableText0"/>
            </w:pPr>
            <w:r w:rsidRPr="00F74F21">
              <w:t>2</w:t>
            </w:r>
          </w:p>
        </w:tc>
      </w:tr>
      <w:tr w:rsidR="000756DF" w:rsidRPr="00F74F21" w:rsidTr="000756DF">
        <w:tc>
          <w:tcPr>
            <w:tcW w:w="2179" w:type="pct"/>
            <w:tcBorders>
              <w:bottom w:val="nil"/>
            </w:tcBorders>
          </w:tcPr>
          <w:p w:rsidR="000756DF" w:rsidRPr="00F74F21" w:rsidRDefault="000756DF" w:rsidP="007C009A">
            <w:pPr>
              <w:pStyle w:val="TableText0"/>
            </w:pPr>
            <w:r w:rsidRPr="00F74F21">
              <w:t>Psychiatric disorders</w:t>
            </w:r>
          </w:p>
        </w:tc>
        <w:tc>
          <w:tcPr>
            <w:tcW w:w="1749" w:type="pct"/>
          </w:tcPr>
          <w:p w:rsidR="000756DF" w:rsidRPr="00F74F21" w:rsidRDefault="00497C6E" w:rsidP="007C009A">
            <w:pPr>
              <w:pStyle w:val="TableText0"/>
            </w:pPr>
            <w:r w:rsidRPr="00F74F21">
              <w:t>Agit</w:t>
            </w:r>
            <w:r w:rsidR="000756DF" w:rsidRPr="00F74F21">
              <w:t>ation</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single" w:sz="4" w:space="0" w:color="000000"/>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Subtotal</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bottom w:val="nil"/>
            </w:tcBorders>
          </w:tcPr>
          <w:p w:rsidR="000756DF" w:rsidRPr="00F74F21" w:rsidRDefault="000756DF" w:rsidP="007C009A">
            <w:pPr>
              <w:pStyle w:val="TableText0"/>
            </w:pPr>
            <w:r w:rsidRPr="00F74F21">
              <w:t>Respiratory, thoracic and mediastinal disorders</w:t>
            </w:r>
          </w:p>
        </w:tc>
        <w:tc>
          <w:tcPr>
            <w:tcW w:w="1749" w:type="pct"/>
          </w:tcPr>
          <w:p w:rsidR="000756DF" w:rsidRPr="00F74F21" w:rsidRDefault="000756DF" w:rsidP="007C009A">
            <w:pPr>
              <w:pStyle w:val="TableText0"/>
            </w:pPr>
            <w:r w:rsidRPr="00F74F21">
              <w:t>Apnoea</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Bronchospasm</w:t>
            </w:r>
          </w:p>
        </w:tc>
        <w:tc>
          <w:tcPr>
            <w:tcW w:w="1071" w:type="pct"/>
          </w:tcPr>
          <w:p w:rsidR="000756DF" w:rsidRPr="00F74F21" w:rsidRDefault="000756DF" w:rsidP="007C009A">
            <w:pPr>
              <w:pStyle w:val="TableText0"/>
            </w:pPr>
            <w:r w:rsidRPr="00F74F21">
              <w:t>3</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Cough</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Dyspnoea</w:t>
            </w:r>
          </w:p>
        </w:tc>
        <w:tc>
          <w:tcPr>
            <w:tcW w:w="1071" w:type="pct"/>
          </w:tcPr>
          <w:p w:rsidR="000756DF" w:rsidRPr="00F74F21" w:rsidRDefault="000756DF" w:rsidP="007C009A">
            <w:pPr>
              <w:pStyle w:val="TableText0"/>
            </w:pPr>
            <w:r w:rsidRPr="00F74F21">
              <w:t>8</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Hypoxia</w:t>
            </w:r>
          </w:p>
        </w:tc>
        <w:tc>
          <w:tcPr>
            <w:tcW w:w="1071" w:type="pct"/>
          </w:tcPr>
          <w:p w:rsidR="000756DF" w:rsidRPr="00F74F21" w:rsidRDefault="000756DF" w:rsidP="007C009A">
            <w:pPr>
              <w:pStyle w:val="TableText0"/>
            </w:pPr>
            <w:r w:rsidRPr="00F74F21">
              <w:t>4</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Laryngeal oedema</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Respiratory distress</w:t>
            </w:r>
          </w:p>
        </w:tc>
        <w:tc>
          <w:tcPr>
            <w:tcW w:w="1071" w:type="pct"/>
          </w:tcPr>
          <w:p w:rsidR="000756DF" w:rsidRPr="00F74F21" w:rsidRDefault="000756DF" w:rsidP="007C009A">
            <w:pPr>
              <w:pStyle w:val="TableText0"/>
            </w:pPr>
            <w:r w:rsidRPr="00F74F21">
              <w:t>5</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Tachypnoea</w:t>
            </w:r>
          </w:p>
        </w:tc>
        <w:tc>
          <w:tcPr>
            <w:tcW w:w="1071" w:type="pct"/>
          </w:tcPr>
          <w:p w:rsidR="000756DF" w:rsidRPr="00F74F21" w:rsidRDefault="000756DF" w:rsidP="007C009A">
            <w:pPr>
              <w:pStyle w:val="TableText0"/>
            </w:pPr>
            <w:r w:rsidRPr="00F74F21">
              <w:t>4</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Wheezing</w:t>
            </w:r>
          </w:p>
        </w:tc>
        <w:tc>
          <w:tcPr>
            <w:tcW w:w="1071" w:type="pct"/>
          </w:tcPr>
          <w:p w:rsidR="000756DF" w:rsidRPr="00F74F21" w:rsidRDefault="000756DF" w:rsidP="007C009A">
            <w:pPr>
              <w:pStyle w:val="TableText0"/>
            </w:pPr>
            <w:r w:rsidRPr="00F74F21">
              <w:t>2</w:t>
            </w:r>
          </w:p>
        </w:tc>
      </w:tr>
      <w:tr w:rsidR="000756DF" w:rsidRPr="00F74F21" w:rsidTr="000756DF">
        <w:tc>
          <w:tcPr>
            <w:tcW w:w="2179" w:type="pct"/>
            <w:tcBorders>
              <w:top w:val="nil"/>
              <w:bottom w:val="single" w:sz="4" w:space="0" w:color="000000"/>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Subtotal</w:t>
            </w:r>
          </w:p>
        </w:tc>
        <w:tc>
          <w:tcPr>
            <w:tcW w:w="1071" w:type="pct"/>
          </w:tcPr>
          <w:p w:rsidR="000756DF" w:rsidRPr="00F74F21" w:rsidRDefault="000756DF" w:rsidP="007C009A">
            <w:pPr>
              <w:pStyle w:val="TableText0"/>
            </w:pPr>
            <w:r w:rsidRPr="00F74F21">
              <w:t>29</w:t>
            </w:r>
          </w:p>
        </w:tc>
      </w:tr>
      <w:tr w:rsidR="000756DF" w:rsidRPr="00F74F21" w:rsidTr="000756DF">
        <w:tc>
          <w:tcPr>
            <w:tcW w:w="2179" w:type="pct"/>
            <w:tcBorders>
              <w:bottom w:val="nil"/>
            </w:tcBorders>
          </w:tcPr>
          <w:p w:rsidR="000756DF" w:rsidRPr="00F74F21" w:rsidRDefault="000756DF" w:rsidP="007C009A">
            <w:pPr>
              <w:pStyle w:val="TableText0"/>
            </w:pPr>
            <w:r w:rsidRPr="00F74F21">
              <w:t>Skin and subcutaneous tissue disorders</w:t>
            </w:r>
          </w:p>
        </w:tc>
        <w:tc>
          <w:tcPr>
            <w:tcW w:w="1749" w:type="pct"/>
          </w:tcPr>
          <w:p w:rsidR="000756DF" w:rsidRPr="00F74F21" w:rsidRDefault="000756DF" w:rsidP="007C009A">
            <w:pPr>
              <w:pStyle w:val="TableText0"/>
            </w:pPr>
            <w:r w:rsidRPr="00F74F21">
              <w:t>Erythema</w:t>
            </w:r>
          </w:p>
        </w:tc>
        <w:tc>
          <w:tcPr>
            <w:tcW w:w="1071" w:type="pct"/>
          </w:tcPr>
          <w:p w:rsidR="000756DF" w:rsidRPr="00F74F21" w:rsidRDefault="000756DF" w:rsidP="007C009A">
            <w:pPr>
              <w:pStyle w:val="TableText0"/>
            </w:pPr>
            <w:r w:rsidRPr="00F74F21">
              <w:t>2</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Hyperhidrosis</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Pruritis</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Rash</w:t>
            </w:r>
          </w:p>
        </w:tc>
        <w:tc>
          <w:tcPr>
            <w:tcW w:w="1071" w:type="pct"/>
          </w:tcPr>
          <w:p w:rsidR="000756DF" w:rsidRPr="00F74F21" w:rsidRDefault="000756DF" w:rsidP="007C009A">
            <w:pPr>
              <w:pStyle w:val="TableText0"/>
            </w:pPr>
            <w:r w:rsidRPr="00F74F21">
              <w:t>6</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Rash generalised</w:t>
            </w:r>
          </w:p>
        </w:tc>
        <w:tc>
          <w:tcPr>
            <w:tcW w:w="1071" w:type="pct"/>
          </w:tcPr>
          <w:p w:rsidR="000756DF" w:rsidRPr="00F74F21" w:rsidRDefault="000756DF" w:rsidP="007C009A">
            <w:pPr>
              <w:pStyle w:val="TableText0"/>
            </w:pPr>
            <w:r w:rsidRPr="00F74F21">
              <w:t>2</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Urticaria</w:t>
            </w:r>
          </w:p>
        </w:tc>
        <w:tc>
          <w:tcPr>
            <w:tcW w:w="1071" w:type="pct"/>
          </w:tcPr>
          <w:p w:rsidR="000756DF" w:rsidRPr="00F74F21" w:rsidRDefault="000756DF" w:rsidP="007C009A">
            <w:pPr>
              <w:pStyle w:val="TableText0"/>
            </w:pPr>
            <w:r w:rsidRPr="00F74F21">
              <w:t>9</w:t>
            </w:r>
          </w:p>
        </w:tc>
      </w:tr>
      <w:tr w:rsidR="000756DF" w:rsidRPr="00F74F21" w:rsidTr="000756DF">
        <w:tc>
          <w:tcPr>
            <w:tcW w:w="2179" w:type="pct"/>
            <w:tcBorders>
              <w:top w:val="nil"/>
              <w:bottom w:val="single" w:sz="4" w:space="0" w:color="000000"/>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Subtotal</w:t>
            </w:r>
          </w:p>
        </w:tc>
        <w:tc>
          <w:tcPr>
            <w:tcW w:w="1071" w:type="pct"/>
          </w:tcPr>
          <w:p w:rsidR="000756DF" w:rsidRPr="00F74F21" w:rsidRDefault="000756DF" w:rsidP="007C009A">
            <w:pPr>
              <w:pStyle w:val="TableText0"/>
            </w:pPr>
            <w:r w:rsidRPr="00F74F21">
              <w:t>21</w:t>
            </w:r>
          </w:p>
        </w:tc>
      </w:tr>
      <w:tr w:rsidR="000756DF" w:rsidRPr="00F74F21" w:rsidTr="000756DF">
        <w:tc>
          <w:tcPr>
            <w:tcW w:w="2179" w:type="pct"/>
            <w:tcBorders>
              <w:bottom w:val="nil"/>
            </w:tcBorders>
          </w:tcPr>
          <w:p w:rsidR="000756DF" w:rsidRPr="00F74F21" w:rsidRDefault="000756DF" w:rsidP="007C009A">
            <w:pPr>
              <w:pStyle w:val="TableText0"/>
            </w:pPr>
            <w:r w:rsidRPr="00F74F21">
              <w:t>Vascular disorders</w:t>
            </w:r>
          </w:p>
        </w:tc>
        <w:tc>
          <w:tcPr>
            <w:tcW w:w="1749" w:type="pct"/>
          </w:tcPr>
          <w:p w:rsidR="000756DF" w:rsidRPr="00F74F21" w:rsidRDefault="000756DF" w:rsidP="007C009A">
            <w:pPr>
              <w:pStyle w:val="TableText0"/>
            </w:pPr>
            <w:r w:rsidRPr="00F74F21">
              <w:t>Flushing</w:t>
            </w:r>
          </w:p>
        </w:tc>
        <w:tc>
          <w:tcPr>
            <w:tcW w:w="1071" w:type="pct"/>
          </w:tcPr>
          <w:p w:rsidR="000756DF" w:rsidRPr="00F74F21" w:rsidRDefault="000756DF" w:rsidP="007C009A">
            <w:pPr>
              <w:pStyle w:val="TableText0"/>
            </w:pPr>
            <w:r w:rsidRPr="00F74F21">
              <w:t>2</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Hypertension</w:t>
            </w:r>
          </w:p>
        </w:tc>
        <w:tc>
          <w:tcPr>
            <w:tcW w:w="1071" w:type="pct"/>
          </w:tcPr>
          <w:p w:rsidR="000756DF" w:rsidRPr="00F74F21" w:rsidRDefault="000756DF" w:rsidP="007C009A">
            <w:pPr>
              <w:pStyle w:val="TableText0"/>
            </w:pPr>
            <w:r w:rsidRPr="00F74F21">
              <w:t>2</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Hypotension</w:t>
            </w:r>
          </w:p>
        </w:tc>
        <w:tc>
          <w:tcPr>
            <w:tcW w:w="1071" w:type="pct"/>
          </w:tcPr>
          <w:p w:rsidR="000756DF" w:rsidRPr="00F74F21" w:rsidRDefault="000756DF" w:rsidP="007C009A">
            <w:pPr>
              <w:pStyle w:val="TableText0"/>
            </w:pPr>
            <w:r w:rsidRPr="00F74F21">
              <w:t>5</w:t>
            </w:r>
          </w:p>
        </w:tc>
      </w:tr>
      <w:tr w:rsidR="000756DF" w:rsidRPr="00F74F21" w:rsidTr="000756DF">
        <w:tc>
          <w:tcPr>
            <w:tcW w:w="2179" w:type="pct"/>
            <w:tcBorders>
              <w:top w:val="nil"/>
              <w:bottom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Pallor</w:t>
            </w:r>
          </w:p>
        </w:tc>
        <w:tc>
          <w:tcPr>
            <w:tcW w:w="1071" w:type="pct"/>
          </w:tcPr>
          <w:p w:rsidR="000756DF" w:rsidRPr="00F74F21" w:rsidRDefault="000756DF" w:rsidP="007C009A">
            <w:pPr>
              <w:pStyle w:val="TableText0"/>
            </w:pPr>
            <w:r w:rsidRPr="00F74F21">
              <w:t>1</w:t>
            </w:r>
          </w:p>
        </w:tc>
      </w:tr>
      <w:tr w:rsidR="000756DF" w:rsidRPr="00F74F21" w:rsidTr="000756DF">
        <w:tc>
          <w:tcPr>
            <w:tcW w:w="2179" w:type="pct"/>
            <w:tcBorders>
              <w:top w:val="nil"/>
            </w:tcBorders>
          </w:tcPr>
          <w:p w:rsidR="000756DF" w:rsidRPr="00F74F21" w:rsidRDefault="000756DF" w:rsidP="007C009A">
            <w:pPr>
              <w:pStyle w:val="TableText0"/>
            </w:pPr>
          </w:p>
        </w:tc>
        <w:tc>
          <w:tcPr>
            <w:tcW w:w="1749" w:type="pct"/>
          </w:tcPr>
          <w:p w:rsidR="000756DF" w:rsidRPr="00F74F21" w:rsidRDefault="000756DF" w:rsidP="007C009A">
            <w:pPr>
              <w:pStyle w:val="TableText0"/>
            </w:pPr>
            <w:r w:rsidRPr="00F74F21">
              <w:t xml:space="preserve">Subtotal </w:t>
            </w:r>
          </w:p>
        </w:tc>
        <w:tc>
          <w:tcPr>
            <w:tcW w:w="1071" w:type="pct"/>
          </w:tcPr>
          <w:p w:rsidR="000756DF" w:rsidRPr="00F74F21" w:rsidRDefault="000756DF" w:rsidP="007C009A">
            <w:pPr>
              <w:pStyle w:val="TableText0"/>
            </w:pPr>
            <w:r w:rsidRPr="00F74F21">
              <w:t>10</w:t>
            </w:r>
          </w:p>
        </w:tc>
      </w:tr>
      <w:tr w:rsidR="000756DF" w:rsidRPr="00F74F21" w:rsidTr="000756DF">
        <w:tc>
          <w:tcPr>
            <w:tcW w:w="2179" w:type="pct"/>
          </w:tcPr>
          <w:p w:rsidR="000756DF" w:rsidRPr="00F74F21" w:rsidRDefault="000756DF" w:rsidP="007C009A">
            <w:pPr>
              <w:pStyle w:val="TableText0"/>
            </w:pPr>
            <w:r w:rsidRPr="00F74F21">
              <w:t>Total</w:t>
            </w:r>
          </w:p>
        </w:tc>
        <w:tc>
          <w:tcPr>
            <w:tcW w:w="1749" w:type="pct"/>
          </w:tcPr>
          <w:p w:rsidR="000756DF" w:rsidRPr="00F74F21" w:rsidRDefault="000756DF" w:rsidP="007C009A">
            <w:pPr>
              <w:pStyle w:val="TableText0"/>
            </w:pPr>
          </w:p>
        </w:tc>
        <w:tc>
          <w:tcPr>
            <w:tcW w:w="1071" w:type="pct"/>
          </w:tcPr>
          <w:p w:rsidR="000756DF" w:rsidRPr="00F74F21" w:rsidRDefault="000756DF" w:rsidP="007C009A">
            <w:pPr>
              <w:pStyle w:val="TableText0"/>
            </w:pPr>
            <w:r w:rsidRPr="00F74F21">
              <w:t>146</w:t>
            </w:r>
          </w:p>
        </w:tc>
      </w:tr>
    </w:tbl>
    <w:p w:rsidR="000756DF" w:rsidRPr="000756DF" w:rsidRDefault="000756DF" w:rsidP="000756DF">
      <w:pPr>
        <w:tabs>
          <w:tab w:val="left" w:pos="851"/>
        </w:tabs>
        <w:spacing w:before="40" w:after="40" w:line="240" w:lineRule="auto"/>
        <w:rPr>
          <w:rFonts w:ascii="Arial Narrow" w:hAnsi="Arial Narrow"/>
          <w:bCs/>
          <w:sz w:val="20"/>
          <w:szCs w:val="20"/>
        </w:rPr>
      </w:pPr>
      <w:r w:rsidRPr="00F74F21">
        <w:rPr>
          <w:rFonts w:ascii="Arial Narrow" w:hAnsi="Arial Narrow"/>
          <w:bCs/>
          <w:sz w:val="20"/>
          <w:szCs w:val="20"/>
        </w:rPr>
        <w:t>Source: Myozyme PSUR, 29 September 2010 to 28 September 2011</w:t>
      </w:r>
      <w:r w:rsidR="00A130D0" w:rsidRPr="00F74F21">
        <w:rPr>
          <w:rFonts w:ascii="Arial Narrow" w:hAnsi="Arial Narrow"/>
          <w:bCs/>
          <w:noProof/>
          <w:sz w:val="20"/>
          <w:szCs w:val="20"/>
        </w:rPr>
        <w:t>(</w:t>
      </w:r>
      <w:r w:rsidR="00184B6F" w:rsidRPr="00F74F21">
        <w:rPr>
          <w:rFonts w:ascii="Arial Narrow" w:hAnsi="Arial Narrow"/>
          <w:bCs/>
          <w:noProof/>
          <w:sz w:val="20"/>
          <w:szCs w:val="20"/>
        </w:rPr>
        <w:t>Genzyme Australasia Pty Ltd 2011</w:t>
      </w:r>
      <w:r w:rsidR="00A130D0" w:rsidRPr="00F74F21">
        <w:rPr>
          <w:rFonts w:ascii="Arial Narrow" w:hAnsi="Arial Narrow"/>
          <w:bCs/>
          <w:noProof/>
          <w:sz w:val="20"/>
          <w:szCs w:val="20"/>
        </w:rPr>
        <w:t>)</w:t>
      </w:r>
      <w:r w:rsidRPr="00F74F21">
        <w:rPr>
          <w:rFonts w:ascii="Arial Narrow" w:hAnsi="Arial Narrow"/>
          <w:bCs/>
          <w:sz w:val="20"/>
          <w:szCs w:val="20"/>
        </w:rPr>
        <w:t>.</w:t>
      </w:r>
    </w:p>
    <w:p w:rsidR="000756DF" w:rsidRPr="000756DF" w:rsidRDefault="000756DF" w:rsidP="000756DF"/>
    <w:p w:rsidR="000756DF" w:rsidRPr="00A979FB" w:rsidRDefault="000756DF" w:rsidP="00A979FB">
      <w:pPr>
        <w:pStyle w:val="Heading5"/>
      </w:pPr>
      <w:r w:rsidRPr="00A979FB">
        <w:t>Adverse drug reactions</w:t>
      </w:r>
    </w:p>
    <w:p w:rsidR="000756DF" w:rsidRPr="000756DF" w:rsidRDefault="000756DF" w:rsidP="000756DF">
      <w:r w:rsidRPr="000756DF">
        <w:t>The most common adverse drug reactions (ADRs) in the two main infantile onset clinical studies were infusion associated reactions (IARs) (Myozyme PI</w:t>
      </w:r>
      <w:proofErr w:type="gramStart"/>
      <w:r w:rsidRPr="000756DF">
        <w:t>)</w:t>
      </w:r>
      <w:r w:rsidR="00746F05">
        <w:rPr>
          <w:noProof/>
        </w:rPr>
        <w:t>(</w:t>
      </w:r>
      <w:proofErr w:type="gramEnd"/>
      <w:r w:rsidR="00184B6F">
        <w:rPr>
          <w:noProof/>
        </w:rPr>
        <w:t>Therapeutic Goods Administration 2012a</w:t>
      </w:r>
      <w:r w:rsidR="00746F05">
        <w:rPr>
          <w:noProof/>
        </w:rPr>
        <w:t>)</w:t>
      </w:r>
      <w:r w:rsidRPr="000756DF">
        <w:t>.</w:t>
      </w:r>
    </w:p>
    <w:p w:rsidR="000756DF" w:rsidRPr="000756DF" w:rsidRDefault="000756DF" w:rsidP="000756DF">
      <w:r w:rsidRPr="000756DF">
        <w:t>Kishnani et al (2009) reported that 11 (61%) of the 18 patients experienced 224 infusion associated reactions (IARs) over the course of the study (median duration of treatment 121 weeks; range 60-150 weeks)</w:t>
      </w:r>
      <w:r w:rsidR="00497C6E">
        <w:t xml:space="preserve"> </w:t>
      </w:r>
      <w:r w:rsidR="00510D02">
        <w:rPr>
          <w:noProof/>
        </w:rPr>
        <w:t>(</w:t>
      </w:r>
      <w:r w:rsidR="00184B6F">
        <w:rPr>
          <w:noProof/>
        </w:rPr>
        <w:t>Kishnani, P S et al. 2009</w:t>
      </w:r>
      <w:r w:rsidR="00510D02">
        <w:rPr>
          <w:noProof/>
        </w:rPr>
        <w:t>)</w:t>
      </w:r>
      <w:r w:rsidRPr="000756DF">
        <w:t xml:space="preserve">. IARs were defined as any treatment related AE that occurred during an infusion or within 2 hours after the infusion. All IARs were mild or moderate in intensity; no severe reactions occurred. The most common IARs were urticarial (47 events, fever (27 events), and decreased oxygen saturation (24 events. </w:t>
      </w:r>
      <w:r w:rsidRPr="000756DF">
        <w:lastRenderedPageBreak/>
        <w:t>IARs were managed by slowing or interrupting infusions, and all patients recovered without sequelae. More IARs were reported in the 40mg/kg dose group than in the 20mg/kg dose group.</w:t>
      </w:r>
    </w:p>
    <w:p w:rsidR="000756DF" w:rsidRPr="000756DF" w:rsidRDefault="000756DF" w:rsidP="000756DF">
      <w:r w:rsidRPr="000756DF">
        <w:t>In Nicolino et al (2009), 11 (52%) of the 21 patients experienced 42 IARs, defined as A</w:t>
      </w:r>
      <w:r w:rsidR="00497C6E">
        <w:t>E</w:t>
      </w:r>
      <w:r w:rsidRPr="000756DF">
        <w:t xml:space="preserve">s occurring on the day of infusion and assessed by the investigator as being related to treatment </w:t>
      </w:r>
      <w:r w:rsidR="00510D02">
        <w:rPr>
          <w:noProof/>
        </w:rPr>
        <w:t>(</w:t>
      </w:r>
      <w:r w:rsidR="00184B6F">
        <w:rPr>
          <w:noProof/>
        </w:rPr>
        <w:t>Nicolino, M et al. 2009</w:t>
      </w:r>
      <w:r w:rsidR="00510D02">
        <w:rPr>
          <w:noProof/>
        </w:rPr>
        <w:t>)</w:t>
      </w:r>
      <w:r w:rsidRPr="000756DF">
        <w:t>. The most common IARs were skin and subcutaneous disorders (13 events), vascular disorders (10 events), and oxygen saturation, blood pressure increase, heart rate increase or respiratory rate increase (7 events). Reactions were managed by slowing or temporarily interrupting the infusion and administrating symptomatic treatment. All patients recovered without sequelae. Six of the patients died during the treatment period; none of the deaths were attributed to treatment.</w:t>
      </w:r>
    </w:p>
    <w:p w:rsidR="000756DF" w:rsidRPr="000756DF" w:rsidRDefault="000756DF" w:rsidP="000756DF">
      <w:r w:rsidRPr="000756DF">
        <w:t xml:space="preserve">Other ADRs reported in the clinical trials that were not assessed as IARs and occurred in more than one patient included increased blood creatinine phosphokinase MB. All ADRs are summarised in </w:t>
      </w:r>
      <w:r w:rsidR="00A72B26" w:rsidRPr="00A72B26">
        <w:t>Table 64</w:t>
      </w:r>
      <w:r w:rsidRPr="00DE28BF">
        <w:t>.</w:t>
      </w:r>
    </w:p>
    <w:p w:rsidR="000756DF" w:rsidRPr="000756DF" w:rsidRDefault="000756DF" w:rsidP="000756DF">
      <w:r w:rsidRPr="000756DF">
        <w:t>Due to the non-blinded nature of the studies, there is potential for bias in the reporting of treatment-related A</w:t>
      </w:r>
      <w:r w:rsidR="00497C6E">
        <w:t>E</w:t>
      </w:r>
      <w:r w:rsidRPr="000756DF">
        <w:t>s.</w:t>
      </w:r>
    </w:p>
    <w:p w:rsidR="000756DF" w:rsidRPr="00716774" w:rsidRDefault="000756DF" w:rsidP="00F44176">
      <w:pPr>
        <w:pStyle w:val="Caption"/>
        <w:keepNext/>
        <w:tabs>
          <w:tab w:val="clear" w:pos="851"/>
          <w:tab w:val="left" w:pos="1134"/>
        </w:tabs>
        <w:ind w:left="1134" w:hanging="1134"/>
      </w:pPr>
      <w:bookmarkStart w:id="305" w:name="_Ref406681482"/>
      <w:bookmarkStart w:id="306" w:name="_Toc411510446"/>
      <w:bookmarkStart w:id="307" w:name="_Toc415141862"/>
      <w:r w:rsidRPr="00716774">
        <w:t xml:space="preserve">Table </w:t>
      </w:r>
      <w:r w:rsidR="00A72B26">
        <w:rPr>
          <w:noProof/>
        </w:rPr>
        <w:t>65</w:t>
      </w:r>
      <w:bookmarkEnd w:id="305"/>
      <w:r w:rsidRPr="00716774">
        <w:tab/>
        <w:t>Summary of ADRs– Infantile onset pooled population (Hillmen et al 2007, Nicolino et al 2009)</w:t>
      </w:r>
      <w:bookmarkEnd w:id="306"/>
      <w:bookmarkEnd w:id="307"/>
    </w:p>
    <w:tbl>
      <w:tblPr>
        <w:tblStyle w:val="TableGrid"/>
        <w:tblW w:w="5000" w:type="pct"/>
        <w:tblLook w:val="04A0" w:firstRow="1" w:lastRow="0" w:firstColumn="1" w:lastColumn="0" w:noHBand="0" w:noVBand="1"/>
        <w:tblCaption w:val="Table 61 Summary of ADRs– Infantile onset pooled population (Hillmen et al 2007, Nicolino et al 2009)"/>
        <w:tblDescription w:val="Summary of Adverse Drug Reactions– Infantile onset pooled population (Hillmen et al 2007, Nicolino et al 2009)"/>
      </w:tblPr>
      <w:tblGrid>
        <w:gridCol w:w="4481"/>
        <w:gridCol w:w="2608"/>
        <w:gridCol w:w="2153"/>
      </w:tblGrid>
      <w:tr w:rsidR="000756DF" w:rsidRPr="000756DF" w:rsidTr="009A0365">
        <w:trPr>
          <w:tblHeader/>
        </w:trPr>
        <w:tc>
          <w:tcPr>
            <w:tcW w:w="2424" w:type="pct"/>
            <w:tcBorders>
              <w:bottom w:val="single" w:sz="4" w:space="0" w:color="000000"/>
            </w:tcBorders>
          </w:tcPr>
          <w:p w:rsidR="000756DF" w:rsidRPr="000756DF" w:rsidRDefault="000756DF" w:rsidP="000756DF">
            <w:pPr>
              <w:tabs>
                <w:tab w:val="left" w:pos="851"/>
              </w:tabs>
              <w:spacing w:before="40" w:after="40" w:line="240" w:lineRule="auto"/>
              <w:jc w:val="left"/>
              <w:rPr>
                <w:rFonts w:ascii="Arial Narrow" w:hAnsi="Arial Narrow"/>
                <w:b/>
                <w:bCs/>
                <w:sz w:val="20"/>
                <w:szCs w:val="20"/>
              </w:rPr>
            </w:pPr>
            <w:r w:rsidRPr="000756DF">
              <w:rPr>
                <w:rFonts w:ascii="Arial Narrow" w:hAnsi="Arial Narrow"/>
                <w:b/>
                <w:bCs/>
                <w:sz w:val="20"/>
                <w:szCs w:val="20"/>
              </w:rPr>
              <w:t>System Organ Class</w:t>
            </w:r>
          </w:p>
          <w:p w:rsidR="000756DF" w:rsidRPr="000756DF" w:rsidRDefault="000756DF" w:rsidP="000756DF">
            <w:pPr>
              <w:tabs>
                <w:tab w:val="left" w:pos="851"/>
              </w:tabs>
              <w:spacing w:before="40" w:after="40" w:line="240" w:lineRule="auto"/>
              <w:jc w:val="left"/>
              <w:rPr>
                <w:rFonts w:ascii="Arial Narrow" w:hAnsi="Arial Narrow"/>
                <w:b/>
                <w:bCs/>
                <w:sz w:val="20"/>
                <w:szCs w:val="20"/>
                <w:vertAlign w:val="superscript"/>
              </w:rPr>
            </w:pPr>
            <w:r w:rsidRPr="000756DF">
              <w:rPr>
                <w:rFonts w:ascii="Arial Narrow" w:hAnsi="Arial Narrow"/>
                <w:b/>
                <w:bCs/>
                <w:sz w:val="20"/>
                <w:szCs w:val="20"/>
              </w:rPr>
              <w:t>Preferred term</w:t>
            </w:r>
            <w:r w:rsidRPr="000756DF">
              <w:rPr>
                <w:rFonts w:ascii="Arial Narrow" w:hAnsi="Arial Narrow"/>
                <w:b/>
                <w:bCs/>
                <w:sz w:val="20"/>
                <w:szCs w:val="20"/>
                <w:vertAlign w:val="superscript"/>
              </w:rPr>
              <w:t>a</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
                <w:bCs/>
                <w:sz w:val="20"/>
                <w:szCs w:val="20"/>
              </w:rPr>
            </w:pPr>
            <w:r w:rsidRPr="000756DF">
              <w:rPr>
                <w:rFonts w:ascii="Arial Narrow" w:hAnsi="Arial Narrow"/>
                <w:b/>
                <w:bCs/>
                <w:sz w:val="20"/>
                <w:szCs w:val="20"/>
              </w:rPr>
              <w:t>Number of patients</w:t>
            </w:r>
            <w:r w:rsidRPr="000756DF">
              <w:rPr>
                <w:rFonts w:ascii="Arial Narrow" w:hAnsi="Arial Narrow"/>
                <w:b/>
                <w:bCs/>
                <w:sz w:val="20"/>
                <w:szCs w:val="20"/>
                <w:vertAlign w:val="superscript"/>
              </w:rPr>
              <w:t>b</w:t>
            </w:r>
            <w:r w:rsidRPr="000756DF">
              <w:rPr>
                <w:rFonts w:ascii="Arial Narrow" w:hAnsi="Arial Narrow"/>
                <w:b/>
                <w:bCs/>
                <w:sz w:val="20"/>
                <w:szCs w:val="20"/>
              </w:rPr>
              <w:t xml:space="preserve"> (N</w:t>
            </w:r>
            <w:r w:rsidR="00652355" w:rsidRPr="00652355">
              <w:rPr>
                <w:rFonts w:ascii="Arial Narrow" w:hAnsi="Arial Narrow"/>
                <w:b/>
                <w:bCs/>
                <w:spacing w:val="-20"/>
                <w:sz w:val="20"/>
                <w:szCs w:val="20"/>
              </w:rPr>
              <w:t xml:space="preserve"> = </w:t>
            </w:r>
            <w:r w:rsidRPr="000756DF">
              <w:rPr>
                <w:rFonts w:ascii="Arial Narrow" w:hAnsi="Arial Narrow"/>
                <w:b/>
                <w:bCs/>
                <w:sz w:val="20"/>
                <w:szCs w:val="20"/>
              </w:rPr>
              <w:t>39)</w:t>
            </w:r>
          </w:p>
          <w:p w:rsidR="000756DF" w:rsidRPr="000756DF" w:rsidRDefault="000756DF" w:rsidP="000756DF">
            <w:pPr>
              <w:tabs>
                <w:tab w:val="left" w:pos="851"/>
              </w:tabs>
              <w:spacing w:before="40" w:after="40" w:line="240" w:lineRule="auto"/>
              <w:jc w:val="center"/>
              <w:rPr>
                <w:rFonts w:ascii="Arial Narrow" w:hAnsi="Arial Narrow"/>
                <w:b/>
                <w:bCs/>
                <w:sz w:val="20"/>
                <w:szCs w:val="20"/>
              </w:rPr>
            </w:pPr>
            <w:proofErr w:type="gramStart"/>
            <w:r w:rsidRPr="000756DF">
              <w:rPr>
                <w:rFonts w:ascii="Arial Narrow" w:hAnsi="Arial Narrow"/>
                <w:b/>
                <w:bCs/>
                <w:sz w:val="20"/>
                <w:szCs w:val="20"/>
              </w:rPr>
              <w:t>n</w:t>
            </w:r>
            <w:proofErr w:type="gramEnd"/>
            <w:r w:rsidRPr="000756DF">
              <w:rPr>
                <w:rFonts w:ascii="Arial Narrow" w:hAnsi="Arial Narrow"/>
                <w:b/>
                <w:bCs/>
                <w:sz w:val="20"/>
                <w:szCs w:val="20"/>
              </w:rPr>
              <w:t xml:space="preserve"> (%)</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
                <w:bCs/>
                <w:sz w:val="20"/>
                <w:szCs w:val="20"/>
              </w:rPr>
            </w:pPr>
            <w:r w:rsidRPr="000756DF">
              <w:rPr>
                <w:rFonts w:ascii="Arial Narrow" w:hAnsi="Arial Narrow"/>
                <w:b/>
                <w:bCs/>
                <w:sz w:val="20"/>
                <w:szCs w:val="20"/>
              </w:rPr>
              <w:t>Number of A</w:t>
            </w:r>
            <w:r w:rsidR="00251331">
              <w:rPr>
                <w:rFonts w:ascii="Arial Narrow" w:hAnsi="Arial Narrow"/>
                <w:b/>
                <w:bCs/>
                <w:sz w:val="20"/>
                <w:szCs w:val="20"/>
              </w:rPr>
              <w:t>E</w:t>
            </w:r>
            <w:r w:rsidRPr="000756DF">
              <w:rPr>
                <w:rFonts w:ascii="Arial Narrow" w:hAnsi="Arial Narrow"/>
                <w:b/>
                <w:bCs/>
                <w:sz w:val="20"/>
                <w:szCs w:val="20"/>
              </w:rPr>
              <w:t>s</w:t>
            </w:r>
          </w:p>
          <w:p w:rsidR="000756DF" w:rsidRPr="000756DF" w:rsidRDefault="000756DF" w:rsidP="000756DF">
            <w:pPr>
              <w:tabs>
                <w:tab w:val="left" w:pos="851"/>
              </w:tabs>
              <w:spacing w:before="40" w:after="40" w:line="240" w:lineRule="auto"/>
              <w:jc w:val="center"/>
              <w:rPr>
                <w:rFonts w:ascii="Arial Narrow" w:hAnsi="Arial Narrow"/>
                <w:b/>
                <w:bCs/>
                <w:sz w:val="20"/>
                <w:szCs w:val="20"/>
              </w:rPr>
            </w:pPr>
            <w:r w:rsidRPr="000756DF">
              <w:rPr>
                <w:rFonts w:ascii="Arial Narrow" w:hAnsi="Arial Narrow"/>
                <w:b/>
                <w:bCs/>
                <w:sz w:val="20"/>
                <w:szCs w:val="20"/>
              </w:rPr>
              <w:t>N</w:t>
            </w:r>
          </w:p>
        </w:tc>
      </w:tr>
      <w:tr w:rsidR="000756DF" w:rsidRPr="000756DF" w:rsidTr="000756DF">
        <w:tc>
          <w:tcPr>
            <w:tcW w:w="2424" w:type="pct"/>
            <w:tcBorders>
              <w:bottom w:val="nil"/>
            </w:tcBorders>
          </w:tcPr>
          <w:p w:rsidR="000756DF" w:rsidRPr="000756DF" w:rsidRDefault="000756DF" w:rsidP="000756DF">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Any adverse event</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24 (61.5)</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222</w:t>
            </w:r>
          </w:p>
        </w:tc>
      </w:tr>
      <w:tr w:rsidR="000756DF" w:rsidRPr="000756DF" w:rsidTr="000756DF">
        <w:tc>
          <w:tcPr>
            <w:tcW w:w="2424" w:type="pct"/>
          </w:tcPr>
          <w:p w:rsidR="000756DF" w:rsidRPr="000756DF" w:rsidRDefault="000756DF" w:rsidP="000756DF">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Skin and subcutaneous tissue disorders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12 (30.8)</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 xml:space="preserve">65 </w:t>
            </w:r>
          </w:p>
        </w:tc>
      </w:tr>
      <w:tr w:rsidR="000756DF" w:rsidRPr="000756DF" w:rsidTr="000756DF">
        <w:tc>
          <w:tcPr>
            <w:tcW w:w="2424" w:type="pct"/>
            <w:tcBorders>
              <w:bottom w:val="single" w:sz="4" w:space="0" w:color="auto"/>
            </w:tcBorders>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Urticaria</w:t>
            </w:r>
          </w:p>
        </w:tc>
        <w:tc>
          <w:tcPr>
            <w:tcW w:w="1411" w:type="pct"/>
            <w:tcBorders>
              <w:bottom w:val="single" w:sz="4" w:space="0" w:color="auto"/>
            </w:tcBorders>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6 (15.4)</w:t>
            </w:r>
          </w:p>
        </w:tc>
        <w:tc>
          <w:tcPr>
            <w:tcW w:w="1165" w:type="pct"/>
            <w:tcBorders>
              <w:bottom w:val="single" w:sz="4" w:space="0" w:color="auto"/>
            </w:tcBorders>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 xml:space="preserve">23 </w:t>
            </w:r>
          </w:p>
        </w:tc>
      </w:tr>
      <w:tr w:rsidR="000756DF" w:rsidRPr="000756DF" w:rsidTr="000756DF">
        <w:tc>
          <w:tcPr>
            <w:tcW w:w="2424" w:type="pct"/>
            <w:tcBorders>
              <w:bottom w:val="single" w:sz="4" w:space="0" w:color="auto"/>
            </w:tcBorders>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Rash</w:t>
            </w:r>
          </w:p>
        </w:tc>
        <w:tc>
          <w:tcPr>
            <w:tcW w:w="1411" w:type="pct"/>
            <w:tcBorders>
              <w:bottom w:val="single" w:sz="4" w:space="0" w:color="auto"/>
            </w:tcBorders>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5 (12.8)</w:t>
            </w:r>
          </w:p>
        </w:tc>
        <w:tc>
          <w:tcPr>
            <w:tcW w:w="1165" w:type="pct"/>
            <w:tcBorders>
              <w:bottom w:val="single" w:sz="4" w:space="0" w:color="auto"/>
            </w:tcBorders>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11</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 xml:space="preserve">Rash </w:t>
            </w:r>
            <w:r w:rsidR="00F87099" w:rsidRPr="000756DF">
              <w:rPr>
                <w:rFonts w:ascii="Arial Narrow" w:hAnsi="Arial Narrow"/>
                <w:bCs/>
                <w:sz w:val="20"/>
                <w:szCs w:val="20"/>
              </w:rPr>
              <w:t>maculopapular</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3 (7.7)</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5</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Rash macular</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13</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Rash popular</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3</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Erythema</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Pruritis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w:t>
            </w:r>
          </w:p>
        </w:tc>
      </w:tr>
      <w:tr w:rsidR="000756DF" w:rsidRPr="000756DF" w:rsidTr="000756DF">
        <w:tc>
          <w:tcPr>
            <w:tcW w:w="2424" w:type="pct"/>
          </w:tcPr>
          <w:p w:rsidR="000756DF" w:rsidRPr="000756DF" w:rsidRDefault="000756DF" w:rsidP="000756DF">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Investigations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13 (33.3)</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38</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Oxygen saturation decreased</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7 (17.9)</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21</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Blood creatinine phosphokinase MB increased</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Blood pressure increased</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w:t>
            </w:r>
          </w:p>
        </w:tc>
      </w:tr>
      <w:tr w:rsidR="000756DF" w:rsidRPr="000756DF" w:rsidTr="000756DF">
        <w:tc>
          <w:tcPr>
            <w:tcW w:w="2424" w:type="pct"/>
            <w:tcBorders>
              <w:bottom w:val="nil"/>
            </w:tcBorders>
          </w:tcPr>
          <w:p w:rsidR="000756DF" w:rsidRPr="000756DF" w:rsidRDefault="000756DF" w:rsidP="000756DF">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General disorders and administration site conditions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11 (28.2)</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33</w:t>
            </w:r>
          </w:p>
        </w:tc>
      </w:tr>
      <w:tr w:rsidR="000756DF" w:rsidRPr="000756DF" w:rsidTr="000756DF">
        <w:tc>
          <w:tcPr>
            <w:tcW w:w="2424" w:type="pct"/>
            <w:tcBorders>
              <w:bottom w:val="nil"/>
            </w:tcBorders>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Pyrexia</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10 (25.6)</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28</w:t>
            </w:r>
          </w:p>
        </w:tc>
      </w:tr>
      <w:tr w:rsidR="000756DF" w:rsidRPr="000756DF" w:rsidTr="000756DF">
        <w:tc>
          <w:tcPr>
            <w:tcW w:w="2424" w:type="pct"/>
            <w:tcBorders>
              <w:bottom w:val="nil"/>
            </w:tcBorders>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Rigors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3</w:t>
            </w:r>
          </w:p>
        </w:tc>
      </w:tr>
      <w:tr w:rsidR="000756DF" w:rsidRPr="000756DF" w:rsidTr="000756DF">
        <w:tc>
          <w:tcPr>
            <w:tcW w:w="2424" w:type="pct"/>
            <w:tcBorders>
              <w:bottom w:val="nil"/>
            </w:tcBorders>
          </w:tcPr>
          <w:p w:rsidR="000756DF" w:rsidRPr="000756DF" w:rsidRDefault="000756DF" w:rsidP="000756DF">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Respiratory, thoracic and mediastinal disorders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8 (20.5)</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27</w:t>
            </w:r>
          </w:p>
        </w:tc>
      </w:tr>
      <w:tr w:rsidR="000756DF" w:rsidRPr="000756DF" w:rsidTr="000756DF">
        <w:tc>
          <w:tcPr>
            <w:tcW w:w="2424" w:type="pct"/>
            <w:tcBorders>
              <w:bottom w:val="nil"/>
            </w:tcBorders>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Cough</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5 (12.8)</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17</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Tachypnoea</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5 (12.8)</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8</w:t>
            </w:r>
          </w:p>
        </w:tc>
      </w:tr>
      <w:tr w:rsidR="000756DF" w:rsidRPr="000756DF" w:rsidTr="000756DF">
        <w:tc>
          <w:tcPr>
            <w:tcW w:w="2424" w:type="pct"/>
          </w:tcPr>
          <w:p w:rsidR="000756DF" w:rsidRPr="000756DF" w:rsidRDefault="000756DF" w:rsidP="000756DF">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Vascular disorders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8 (20.5)</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20</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lastRenderedPageBreak/>
              <w:t>Flushing</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5 (12.8)</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11</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Hypertension</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3 (7.7)</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4</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Pallor</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3</w:t>
            </w:r>
          </w:p>
        </w:tc>
      </w:tr>
      <w:tr w:rsidR="000756DF" w:rsidRPr="000756DF" w:rsidTr="000756DF">
        <w:tc>
          <w:tcPr>
            <w:tcW w:w="2424" w:type="pct"/>
          </w:tcPr>
          <w:p w:rsidR="000756DF" w:rsidRPr="000756DF" w:rsidRDefault="000756DF" w:rsidP="000756DF">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Gastrointestinal disorders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4 (10.3)</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17</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Vomiting</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3 (7.7)</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8</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Retching</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7</w:t>
            </w:r>
          </w:p>
        </w:tc>
      </w:tr>
      <w:tr w:rsidR="000756DF" w:rsidRPr="000756DF" w:rsidTr="000756DF">
        <w:tc>
          <w:tcPr>
            <w:tcW w:w="2424" w:type="pct"/>
          </w:tcPr>
          <w:p w:rsidR="000756DF" w:rsidRPr="000756DF" w:rsidRDefault="000756DF" w:rsidP="000756DF">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Cardiac disorders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4 (10.3)</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10</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Tachycardia</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4 (10.3)</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7</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Cyanosis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3</w:t>
            </w:r>
          </w:p>
        </w:tc>
      </w:tr>
      <w:tr w:rsidR="000756DF" w:rsidRPr="000756DF" w:rsidTr="000756DF">
        <w:tc>
          <w:tcPr>
            <w:tcW w:w="2424" w:type="pct"/>
          </w:tcPr>
          <w:p w:rsidR="000756DF" w:rsidRPr="000756DF" w:rsidRDefault="000756DF" w:rsidP="000756DF">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Psychiatric disorders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5 (12.8)</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8</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Agitation</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4</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Irritability</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w:t>
            </w:r>
          </w:p>
        </w:tc>
      </w:tr>
      <w:tr w:rsidR="000756DF" w:rsidRPr="000756DF" w:rsidTr="000756DF">
        <w:tc>
          <w:tcPr>
            <w:tcW w:w="2424" w:type="pct"/>
          </w:tcPr>
          <w:p w:rsidR="000756DF" w:rsidRPr="000756DF" w:rsidRDefault="000756DF" w:rsidP="000756DF">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Nervous system disorders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3</w:t>
            </w:r>
          </w:p>
        </w:tc>
      </w:tr>
      <w:tr w:rsidR="000756DF" w:rsidRPr="000756DF" w:rsidTr="000756DF">
        <w:tc>
          <w:tcPr>
            <w:tcW w:w="2424" w:type="pct"/>
          </w:tcPr>
          <w:p w:rsidR="000756DF" w:rsidRPr="000756DF" w:rsidRDefault="000756DF" w:rsidP="000756DF">
            <w:pPr>
              <w:tabs>
                <w:tab w:val="left" w:pos="851"/>
              </w:tabs>
              <w:spacing w:before="40" w:after="40" w:line="240" w:lineRule="auto"/>
              <w:ind w:left="227"/>
              <w:jc w:val="left"/>
              <w:rPr>
                <w:rFonts w:ascii="Arial Narrow" w:hAnsi="Arial Narrow"/>
                <w:bCs/>
                <w:sz w:val="20"/>
                <w:szCs w:val="20"/>
              </w:rPr>
            </w:pPr>
            <w:r w:rsidRPr="000756DF">
              <w:rPr>
                <w:rFonts w:ascii="Arial Narrow" w:hAnsi="Arial Narrow"/>
                <w:bCs/>
                <w:sz w:val="20"/>
                <w:szCs w:val="20"/>
              </w:rPr>
              <w:t>Tremor</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2 (5.1)</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3</w:t>
            </w:r>
          </w:p>
        </w:tc>
      </w:tr>
      <w:tr w:rsidR="000756DF" w:rsidRPr="000756DF" w:rsidTr="000756DF">
        <w:tc>
          <w:tcPr>
            <w:tcW w:w="2424" w:type="pct"/>
          </w:tcPr>
          <w:p w:rsidR="000756DF" w:rsidRPr="000756DF" w:rsidRDefault="000756DF" w:rsidP="000756DF">
            <w:pPr>
              <w:tabs>
                <w:tab w:val="left" w:pos="851"/>
              </w:tabs>
              <w:spacing w:before="40" w:after="40" w:line="240" w:lineRule="auto"/>
              <w:jc w:val="left"/>
              <w:rPr>
                <w:rFonts w:ascii="Arial Narrow" w:hAnsi="Arial Narrow"/>
                <w:bCs/>
                <w:sz w:val="20"/>
                <w:szCs w:val="20"/>
              </w:rPr>
            </w:pPr>
            <w:r w:rsidRPr="000756DF">
              <w:rPr>
                <w:rFonts w:ascii="Arial Narrow" w:hAnsi="Arial Narrow"/>
                <w:bCs/>
                <w:sz w:val="20"/>
                <w:szCs w:val="20"/>
              </w:rPr>
              <w:t>Injury, poisoning and procedural complications</w:t>
            </w:r>
          </w:p>
        </w:tc>
        <w:tc>
          <w:tcPr>
            <w:tcW w:w="1411"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 (2.6)</w:t>
            </w:r>
          </w:p>
        </w:tc>
        <w:tc>
          <w:tcPr>
            <w:tcW w:w="1165" w:type="pct"/>
          </w:tcPr>
          <w:p w:rsidR="000756DF" w:rsidRPr="000756DF" w:rsidRDefault="000756DF" w:rsidP="000756DF">
            <w:pPr>
              <w:tabs>
                <w:tab w:val="left" w:pos="851"/>
              </w:tabs>
              <w:spacing w:before="40" w:after="40" w:line="240" w:lineRule="auto"/>
              <w:jc w:val="center"/>
              <w:rPr>
                <w:rFonts w:ascii="Arial Narrow" w:hAnsi="Arial Narrow"/>
                <w:bCs/>
                <w:sz w:val="20"/>
                <w:szCs w:val="20"/>
              </w:rPr>
            </w:pPr>
            <w:r w:rsidRPr="000756DF">
              <w:rPr>
                <w:rFonts w:ascii="Arial Narrow" w:hAnsi="Arial Narrow"/>
                <w:bCs/>
                <w:sz w:val="20"/>
                <w:szCs w:val="20"/>
              </w:rPr>
              <w:t>1</w:t>
            </w:r>
          </w:p>
        </w:tc>
      </w:tr>
    </w:tbl>
    <w:p w:rsidR="00251331" w:rsidRPr="00251331" w:rsidRDefault="00251331" w:rsidP="00DE28BF">
      <w:pPr>
        <w:pStyle w:val="TableNote"/>
        <w:rPr>
          <w:lang w:val="en-GB"/>
        </w:rPr>
      </w:pPr>
      <w:r>
        <w:rPr>
          <w:lang w:val="en-GB"/>
        </w:rPr>
        <w:t>AE = adverse event</w:t>
      </w:r>
    </w:p>
    <w:p w:rsidR="000756DF" w:rsidRPr="000756DF" w:rsidRDefault="000756DF" w:rsidP="00DE28BF">
      <w:pPr>
        <w:pStyle w:val="TableNote"/>
        <w:rPr>
          <w:lang w:val="en-GB"/>
        </w:rPr>
      </w:pPr>
      <w:proofErr w:type="gramStart"/>
      <w:r w:rsidRPr="000756DF">
        <w:rPr>
          <w:vertAlign w:val="superscript"/>
          <w:lang w:val="en-GB"/>
        </w:rPr>
        <w:t>a</w:t>
      </w:r>
      <w:proofErr w:type="gramEnd"/>
      <w:r w:rsidRPr="000756DF">
        <w:rPr>
          <w:lang w:val="en-GB"/>
        </w:rPr>
        <w:t xml:space="preserve"> Number of events by preferred term are only listed for events occurring in more than one patient</w:t>
      </w:r>
    </w:p>
    <w:p w:rsidR="000756DF" w:rsidRPr="000756DF" w:rsidRDefault="000756DF" w:rsidP="00DE28BF">
      <w:pPr>
        <w:pStyle w:val="TableNote"/>
        <w:rPr>
          <w:lang w:val="en-GB"/>
        </w:rPr>
      </w:pPr>
      <w:proofErr w:type="gramStart"/>
      <w:r w:rsidRPr="000756DF">
        <w:rPr>
          <w:vertAlign w:val="superscript"/>
          <w:lang w:val="en-GB"/>
        </w:rPr>
        <w:t>b</w:t>
      </w:r>
      <w:proofErr w:type="gramEnd"/>
      <w:r w:rsidRPr="000756DF">
        <w:rPr>
          <w:vertAlign w:val="superscript"/>
          <w:lang w:val="en-GB"/>
        </w:rPr>
        <w:t xml:space="preserve"> </w:t>
      </w:r>
      <w:r w:rsidRPr="000756DF">
        <w:rPr>
          <w:lang w:val="en-GB"/>
        </w:rPr>
        <w:t>Percentages are based on the total number of patients treated in the studies.</w:t>
      </w:r>
    </w:p>
    <w:p w:rsidR="000756DF" w:rsidRPr="000756DF" w:rsidRDefault="000756DF" w:rsidP="00DE28BF">
      <w:pPr>
        <w:pStyle w:val="TableNote"/>
        <w:rPr>
          <w:lang w:val="en-GB"/>
        </w:rPr>
      </w:pPr>
      <w:r w:rsidRPr="000756DF">
        <w:rPr>
          <w:lang w:val="en-GB"/>
        </w:rPr>
        <w:t xml:space="preserve">Source: Myozyme </w:t>
      </w:r>
      <w:proofErr w:type="gramStart"/>
      <w:r w:rsidRPr="000756DF">
        <w:rPr>
          <w:lang w:val="en-GB"/>
        </w:rPr>
        <w:t>PI</w:t>
      </w:r>
      <w:r w:rsidR="00746F05">
        <w:rPr>
          <w:noProof/>
          <w:lang w:val="en-GB"/>
        </w:rPr>
        <w:t>(</w:t>
      </w:r>
      <w:proofErr w:type="gramEnd"/>
      <w:r w:rsidR="00184B6F">
        <w:rPr>
          <w:noProof/>
          <w:lang w:val="en-GB"/>
        </w:rPr>
        <w:t>Therapeutic Goods Administration 2012a</w:t>
      </w:r>
      <w:r w:rsidR="00746F05">
        <w:rPr>
          <w:noProof/>
          <w:lang w:val="en-GB"/>
        </w:rPr>
        <w:t>)</w:t>
      </w:r>
    </w:p>
    <w:p w:rsidR="000756DF" w:rsidRPr="000756DF" w:rsidRDefault="000756DF" w:rsidP="000756DF"/>
    <w:p w:rsidR="000756DF" w:rsidRPr="00F74F21" w:rsidRDefault="000756DF" w:rsidP="00A979FB">
      <w:pPr>
        <w:pStyle w:val="Heading4"/>
      </w:pPr>
      <w:r w:rsidRPr="00F74F21">
        <w:t>Extended assessment of safety</w:t>
      </w:r>
    </w:p>
    <w:p w:rsidR="000756DF" w:rsidRPr="00F74F21" w:rsidRDefault="000756DF" w:rsidP="000756DF">
      <w:r w:rsidRPr="00F74F21">
        <w:t>Alglucosidase alfa is currently authorised in a total of 53 countries, and has been commercially available in Europe since 29 March 2006 and in the US since 28 April 2006. The cumulative commercial exposure since 2006 is estimated at 4,845 patient-years, while the total cumulative exposure (commercial and clinical) is estimated at 5,599 patient-years (Myozyme PSUR</w:t>
      </w:r>
      <w:proofErr w:type="gramStart"/>
      <w:r w:rsidRPr="00F74F21">
        <w:t>)</w:t>
      </w:r>
      <w:r w:rsidR="00A130D0" w:rsidRPr="00F74F21">
        <w:rPr>
          <w:noProof/>
        </w:rPr>
        <w:t>(</w:t>
      </w:r>
      <w:proofErr w:type="gramEnd"/>
      <w:r w:rsidR="00184B6F" w:rsidRPr="00F74F21">
        <w:rPr>
          <w:noProof/>
        </w:rPr>
        <w:t>Genzyme Australasia Pty Ltd 2011</w:t>
      </w:r>
      <w:r w:rsidR="00A130D0" w:rsidRPr="00F74F21">
        <w:rPr>
          <w:noProof/>
        </w:rPr>
        <w:t>)</w:t>
      </w:r>
      <w:r w:rsidRPr="00F74F21">
        <w:t>.</w:t>
      </w:r>
    </w:p>
    <w:p w:rsidR="000756DF" w:rsidRPr="000756DF" w:rsidRDefault="000756DF" w:rsidP="000756DF">
      <w:r w:rsidRPr="00F74F21">
        <w:t>The only listed adverse event of special interest for alglucosidase alfa is anaphyla</w:t>
      </w:r>
      <w:r w:rsidR="007C009A" w:rsidRPr="00F74F21">
        <w:t>xis</w:t>
      </w:r>
      <w:r w:rsidRPr="00F74F21">
        <w:t xml:space="preserve"> and significant hypersensitivity reactions (Myozyme PSUR, 29 September 2010 to 28 September 2011). In addition, the following precautions are included in the TGA-approved </w:t>
      </w:r>
      <w:r w:rsidR="007C009A" w:rsidRPr="00F74F21">
        <w:t>Product Information (</w:t>
      </w:r>
      <w:r w:rsidRPr="00F74F21">
        <w:t>PI</w:t>
      </w:r>
      <w:r w:rsidR="007C009A" w:rsidRPr="00F74F21">
        <w:t>)</w:t>
      </w:r>
      <w:r w:rsidRPr="00F74F21">
        <w:t>: risk of cardiac arrhythmia and sudden cardiac death during general anaesthesia for central venous catheter placement; risk of acute cardiorespiratory failure; infusion associated reactions (IARs), and immunogenicity</w:t>
      </w:r>
      <w:r w:rsidR="007C009A" w:rsidRPr="00F74F21">
        <w:t xml:space="preserve"> </w:t>
      </w:r>
      <w:r w:rsidR="00746F05" w:rsidRPr="00F74F21">
        <w:rPr>
          <w:noProof/>
        </w:rPr>
        <w:t>(</w:t>
      </w:r>
      <w:r w:rsidR="00184B6F" w:rsidRPr="00F74F21">
        <w:rPr>
          <w:noProof/>
        </w:rPr>
        <w:t>Therapeutic Goods Administration 2012a</w:t>
      </w:r>
      <w:r w:rsidR="00746F05" w:rsidRPr="00F74F21">
        <w:rPr>
          <w:noProof/>
        </w:rPr>
        <w:t>)</w:t>
      </w:r>
      <w:r w:rsidRPr="00F74F21">
        <w:t>.</w:t>
      </w:r>
    </w:p>
    <w:p w:rsidR="000756DF" w:rsidRPr="000756DF" w:rsidRDefault="000756DF" w:rsidP="00017354">
      <w:pPr>
        <w:pStyle w:val="Heading5"/>
      </w:pPr>
      <w:r w:rsidRPr="000756DF">
        <w:t>Anaphyla</w:t>
      </w:r>
      <w:r w:rsidR="007C009A">
        <w:t>xis</w:t>
      </w:r>
      <w:r w:rsidRPr="000756DF">
        <w:t xml:space="preserve"> and significant hypersensitivity reactions</w:t>
      </w:r>
    </w:p>
    <w:p w:rsidR="000756DF" w:rsidRPr="000756DF" w:rsidRDefault="000756DF" w:rsidP="000756DF">
      <w:r w:rsidRPr="000756DF">
        <w:t>Serious hypersensitivity reactions, including life-threatening anaphyla</w:t>
      </w:r>
      <w:r w:rsidR="007C009A">
        <w:t>xis</w:t>
      </w:r>
      <w:r w:rsidRPr="000756DF">
        <w:t xml:space="preserve"> reactions, have been observed in infantile and late-onset Pompe patients during alglucosidase alfa treatment, some of which were IgE-mediated. A small number of patients (&lt;1%) in clinical trials and in the commercial setting developed anaphylactic shock and/or cardiac arrest </w:t>
      </w:r>
      <w:r w:rsidRPr="000756DF">
        <w:lastRenderedPageBreak/>
        <w:t>during infusion that required life-support measures</w:t>
      </w:r>
      <w:r w:rsidR="007C009A">
        <w:t xml:space="preserve"> </w:t>
      </w:r>
      <w:r w:rsidR="00746F05">
        <w:rPr>
          <w:noProof/>
        </w:rPr>
        <w:t>(</w:t>
      </w:r>
      <w:r w:rsidR="00184B6F">
        <w:rPr>
          <w:noProof/>
        </w:rPr>
        <w:t>Therapeutic Goods Administration 2012a</w:t>
      </w:r>
      <w:r w:rsidR="00746F05">
        <w:rPr>
          <w:noProof/>
        </w:rPr>
        <w:t>)</w:t>
      </w:r>
      <w:r w:rsidRPr="000756DF">
        <w:t>.</w:t>
      </w:r>
    </w:p>
    <w:p w:rsidR="000756DF" w:rsidRPr="000756DF" w:rsidRDefault="000756DF" w:rsidP="000756DF">
      <w:r w:rsidRPr="000756DF">
        <w:t>In clinical trials and expanded access programs with alglucosidase alfa, 38 out of 380 (14%) patients treated with alglucosidase alfa developed infusion reactions that involved at least 2 of 3 body systems, cutaneous, respiratory or cardiovascular systems. These events inc</w:t>
      </w:r>
      <w:r w:rsidR="00B574FD">
        <w:t>l</w:t>
      </w:r>
      <w:r w:rsidRPr="000756DF">
        <w:t>uded cardiovascular events (hypotension, cyanosis, hypertension, tachycardia, ventricular extrasystoles, bradycardia, pallor, flushing, nodal rhythm, peripheral coldness), respiratory events (tachypnoea, wheezing/bronchospasm, rales, throat tightness, hypoxia, dyspnoea, cough, respiratory tract irritation, oxygen saturation decrease), and cutaneous events (angioneurotic oedema, urticarial, rash, erythema, periorbital oedema, pruritis, hyperhidrosis, cold sweat, livedo reticularis). Of the 38 patients with infusion reactions, 8 patients experienced severe or significant hypersensitivity reactions (Myozyme PI</w:t>
      </w:r>
      <w:proofErr w:type="gramStart"/>
      <w:r w:rsidRPr="000756DF">
        <w:t>)</w:t>
      </w:r>
      <w:r w:rsidR="00746F05">
        <w:rPr>
          <w:noProof/>
        </w:rPr>
        <w:t>(</w:t>
      </w:r>
      <w:proofErr w:type="gramEnd"/>
      <w:r w:rsidR="00184B6F">
        <w:rPr>
          <w:noProof/>
        </w:rPr>
        <w:t>Therapeutic Goods Administration 2012a</w:t>
      </w:r>
      <w:r w:rsidR="00746F05">
        <w:rPr>
          <w:noProof/>
        </w:rPr>
        <w:t>)</w:t>
      </w:r>
      <w:r w:rsidRPr="000756DF">
        <w:t>.</w:t>
      </w:r>
    </w:p>
    <w:p w:rsidR="000756DF" w:rsidRPr="000756DF" w:rsidRDefault="000756DF" w:rsidP="000756DF">
      <w:r w:rsidRPr="000756DF">
        <w:t xml:space="preserve">Additional infusion associated reactions reported from worldwide post-marketing sources after marketing approval included: cardiac arrest, bradycardia, angioneurotic oedema, pharyngeal oedema, </w:t>
      </w:r>
      <w:r w:rsidR="007C009A" w:rsidRPr="000756DF">
        <w:t xml:space="preserve">peripheral </w:t>
      </w:r>
      <w:r w:rsidRPr="000756DF">
        <w:t>oedema, chest pain, chest discomfort, dyspnoea, muscle spasm, fatigue and conjunctivitis</w:t>
      </w:r>
      <w:r w:rsidR="007D52B7">
        <w:t xml:space="preserve"> </w:t>
      </w:r>
      <w:r w:rsidR="002E4F62">
        <w:rPr>
          <w:noProof/>
        </w:rPr>
        <w:t>(Therapeutic Goods Administration 2012a)</w:t>
      </w:r>
      <w:r w:rsidR="002E4F62" w:rsidRPr="000756DF">
        <w:t>.</w:t>
      </w:r>
    </w:p>
    <w:p w:rsidR="000756DF" w:rsidRPr="000756DF" w:rsidRDefault="000756DF" w:rsidP="000756DF"/>
    <w:p w:rsidR="000756DF" w:rsidRPr="00A979FB" w:rsidRDefault="000756DF" w:rsidP="00017354">
      <w:pPr>
        <w:pStyle w:val="Heading5"/>
      </w:pPr>
      <w:r w:rsidRPr="00A979FB">
        <w:t>Risk of cardiac arrhythmia and sudden cardiac death during general anaesthesia for central venous catheter placement</w:t>
      </w:r>
    </w:p>
    <w:p w:rsidR="000756DF" w:rsidRPr="000756DF" w:rsidRDefault="000756DF" w:rsidP="000756DF">
      <w:r w:rsidRPr="000756DF">
        <w:t xml:space="preserve">The Myozyme® PI states that cardiac arrhythmia, including ventricular </w:t>
      </w:r>
      <w:proofErr w:type="gramStart"/>
      <w:r w:rsidRPr="000756DF">
        <w:t>fibrillation,</w:t>
      </w:r>
      <w:proofErr w:type="gramEnd"/>
      <w:r w:rsidRPr="000756DF">
        <w:t xml:space="preserve"> ventricular tachycardia and bradycardia, resulting in cardiac arrest or death, or requiring cardiac resuscitation or defibrillation have been observed in infantile onset Pompe patients with cardiac hypertrophy, associated with the use of general anaesthesia for the placement of a central venous catheter intended for </w:t>
      </w:r>
      <w:r w:rsidR="007C009A">
        <w:t xml:space="preserve">a </w:t>
      </w:r>
      <w:r w:rsidRPr="000756DF">
        <w:t xml:space="preserve">Myozyme infusion. Caution </w:t>
      </w:r>
      <w:r w:rsidR="007C009A">
        <w:t>has been recommended</w:t>
      </w:r>
      <w:r w:rsidRPr="000756DF">
        <w:t xml:space="preserve"> when administering general anaesthetic for the placement of a central venous catheter in infantile onset Pompe disease patients with cardiac hypertrophy </w:t>
      </w:r>
      <w:r w:rsidR="00746F05">
        <w:rPr>
          <w:noProof/>
        </w:rPr>
        <w:t>(</w:t>
      </w:r>
      <w:r w:rsidR="00184B6F">
        <w:rPr>
          <w:noProof/>
        </w:rPr>
        <w:t>Therapeutic Goods Administration 2012a</w:t>
      </w:r>
      <w:r w:rsidR="00746F05">
        <w:rPr>
          <w:noProof/>
        </w:rPr>
        <w:t>)</w:t>
      </w:r>
      <w:r w:rsidRPr="000756DF">
        <w:t>.</w:t>
      </w:r>
    </w:p>
    <w:p w:rsidR="000756DF" w:rsidRPr="000756DF" w:rsidRDefault="000756DF" w:rsidP="00017354">
      <w:pPr>
        <w:pStyle w:val="Heading5"/>
      </w:pPr>
      <w:r w:rsidRPr="000756DF">
        <w:t>Risk of acute cardiorespiratory failure</w:t>
      </w:r>
    </w:p>
    <w:p w:rsidR="007C009A" w:rsidRPr="000756DF" w:rsidRDefault="007C009A" w:rsidP="007C009A">
      <w:r w:rsidRPr="000756DF">
        <w:t xml:space="preserve">Acute cardiorespiratory failure requiring intubation and inotropic support has been observed after infusion with Myozyme in one patient with infantile onset Pompe disease </w:t>
      </w:r>
      <w:r>
        <w:t xml:space="preserve">and </w:t>
      </w:r>
      <w:r w:rsidRPr="000756DF">
        <w:t xml:space="preserve">underlying cardiac hypertrophy, possibly associated with fluid overload with intravenous administration of Myozyme </w:t>
      </w:r>
      <w:r w:rsidR="00746F05">
        <w:rPr>
          <w:noProof/>
        </w:rPr>
        <w:t>(</w:t>
      </w:r>
      <w:r w:rsidR="00184B6F">
        <w:rPr>
          <w:noProof/>
        </w:rPr>
        <w:t>Therapeutic Goods Administration 2012a</w:t>
      </w:r>
      <w:r w:rsidR="00746F05">
        <w:rPr>
          <w:noProof/>
        </w:rPr>
        <w:t>)</w:t>
      </w:r>
      <w:r w:rsidRPr="000756DF">
        <w:t>.</w:t>
      </w:r>
    </w:p>
    <w:p w:rsidR="007C009A" w:rsidRPr="000756DF" w:rsidRDefault="007C009A" w:rsidP="00017354">
      <w:pPr>
        <w:pStyle w:val="Heading5"/>
      </w:pPr>
      <w:r w:rsidRPr="000756DF">
        <w:t>Infusion associated reactions (IARs)</w:t>
      </w:r>
    </w:p>
    <w:p w:rsidR="007C009A" w:rsidRPr="000756DF" w:rsidRDefault="007C009A" w:rsidP="007C009A">
      <w:r w:rsidRPr="000756DF">
        <w:t xml:space="preserve">Severe infusion reactions reported in more than one patient in clinical studies and </w:t>
      </w:r>
      <w:r>
        <w:t xml:space="preserve">in </w:t>
      </w:r>
      <w:r w:rsidRPr="000756DF">
        <w:t>the expanded access program include</w:t>
      </w:r>
      <w:r>
        <w:t>:</w:t>
      </w:r>
      <w:r w:rsidRPr="000756DF">
        <w:t xml:space="preserve"> pyrexia, decreased oxygen saturation, tachycardia, cyanosis, and hypotension. Other infusion reactions reported in more than one patient include rash, flushing, urticaria, pyrexia, cough, tachycardia, decreased oxygen saturation, </w:t>
      </w:r>
      <w:r w:rsidRPr="000756DF">
        <w:lastRenderedPageBreak/>
        <w:t>vomiting, tachypnoea, agitation, increased blood pressure, cyanosis, hypertension, irritability, pallor, pruritis, retching,</w:t>
      </w:r>
      <w:r>
        <w:t xml:space="preserve"> </w:t>
      </w:r>
      <w:r w:rsidRPr="000756DF">
        <w:t xml:space="preserve">rigors, tremor, hypotension, bronchospasm, erythema, face oedema, feeling hot, headache, hyperhidrosis, increased lacrimation, livedo reticularis, nausea, periorbital oedema, restlessness, and wheezing (Myozyme PI) </w:t>
      </w:r>
      <w:r w:rsidR="00746F05">
        <w:rPr>
          <w:noProof/>
        </w:rPr>
        <w:t>(</w:t>
      </w:r>
      <w:r w:rsidR="00184B6F">
        <w:rPr>
          <w:noProof/>
        </w:rPr>
        <w:t>Therapeutic Goods Administration 2012a</w:t>
      </w:r>
      <w:r w:rsidR="00746F05">
        <w:rPr>
          <w:noProof/>
        </w:rPr>
        <w:t>)</w:t>
      </w:r>
      <w:r w:rsidRPr="000756DF">
        <w:t>.</w:t>
      </w:r>
    </w:p>
    <w:p w:rsidR="007C009A" w:rsidRPr="000756DF" w:rsidRDefault="007C009A" w:rsidP="00017354">
      <w:pPr>
        <w:pStyle w:val="Heading5"/>
      </w:pPr>
      <w:r w:rsidRPr="000756DF">
        <w:t>Immunogenicity</w:t>
      </w:r>
    </w:p>
    <w:p w:rsidR="007C009A" w:rsidRPr="000756DF" w:rsidRDefault="007C009A" w:rsidP="007C009A">
      <w:r w:rsidRPr="000756DF">
        <w:t xml:space="preserve">In clinical studies, the majority of patients developed IgG antibodies to alglucosidase alfa, typically within 3 months of treatment. There does not appear to be a correlation between the onset of IARs and the time of antibody formation. There is evidence to suggest that patients developing sustained titres of ≥ 12,800 of anti-alglucosidase alfa antibodies may have a poorer clinical response to treatment, or may lose motor function as antibody titres increase (Myozyme PI). A small number of patients tested positive for alglucosidase alfa-specific IgE antibodies. The effect of antibody development on the long-term efficacy of alglucosidase alfa is not fully understood (Myozyme PI) </w:t>
      </w:r>
      <w:r w:rsidR="00746F05">
        <w:rPr>
          <w:noProof/>
        </w:rPr>
        <w:t>(</w:t>
      </w:r>
      <w:r w:rsidR="00184B6F">
        <w:rPr>
          <w:noProof/>
        </w:rPr>
        <w:t>Therapeutic Goods Administration 2012a</w:t>
      </w:r>
      <w:r w:rsidR="00746F05">
        <w:rPr>
          <w:noProof/>
        </w:rPr>
        <w:t>)</w:t>
      </w:r>
      <w:r w:rsidRPr="000756DF">
        <w:t>.</w:t>
      </w:r>
    </w:p>
    <w:p w:rsidR="007C009A" w:rsidRPr="000756DF" w:rsidRDefault="007C009A" w:rsidP="007C009A">
      <w:r w:rsidRPr="000756DF">
        <w:t>In clinical studies, infusion reactions appear to be more common in antibody-positive patients: 8 out of 15 patients with high antibody titres experienced infusion reactions, whereas none of three antibody-negative patients experienced infusion reactions.</w:t>
      </w:r>
    </w:p>
    <w:p w:rsidR="007C009A" w:rsidRDefault="007C009A" w:rsidP="007C009A">
      <w:r w:rsidRPr="000756DF">
        <w:t xml:space="preserve">Nephrotic syndrome was observed in a few Pompe patients treated with alglucosidase alfa </w:t>
      </w:r>
      <w:r>
        <w:t>w</w:t>
      </w:r>
      <w:r w:rsidRPr="000756DF">
        <w:t xml:space="preserve">ho had high IgG antibody titres (≥102,400). In these patients, renal biopsy was consistent with immune complex deposition. Patients improved following treatment interruption (Myozyme PI) </w:t>
      </w:r>
      <w:r w:rsidR="00746F05">
        <w:rPr>
          <w:noProof/>
        </w:rPr>
        <w:t>(</w:t>
      </w:r>
      <w:r w:rsidR="00184B6F">
        <w:rPr>
          <w:noProof/>
        </w:rPr>
        <w:t>Therapeutic Goods Administration 2012a</w:t>
      </w:r>
      <w:r w:rsidR="00746F05">
        <w:rPr>
          <w:noProof/>
        </w:rPr>
        <w:t>)</w:t>
      </w:r>
      <w:r w:rsidRPr="000756DF">
        <w:t>.</w:t>
      </w:r>
    </w:p>
    <w:p w:rsidR="007C009A" w:rsidRPr="000756DF" w:rsidRDefault="007C009A" w:rsidP="007C009A"/>
    <w:p w:rsidR="007C009A" w:rsidRPr="000756DF" w:rsidRDefault="007C009A" w:rsidP="00A979FB">
      <w:pPr>
        <w:pStyle w:val="Heading4"/>
      </w:pPr>
      <w:r w:rsidRPr="000756DF">
        <w:t>Australian data registry information</w:t>
      </w:r>
    </w:p>
    <w:p w:rsidR="003B48E3" w:rsidRPr="003B48E3" w:rsidRDefault="003B48E3" w:rsidP="003B48E3">
      <w:r w:rsidRPr="003B48E3">
        <w:t>The Infantile Onset Pompe Disease data available in the Patient Su</w:t>
      </w:r>
      <w:r w:rsidR="0025188D">
        <w:t>mmary sheets maintained by the D</w:t>
      </w:r>
      <w:r w:rsidRPr="003B48E3">
        <w:t xml:space="preserve">epartment </w:t>
      </w:r>
      <w:r w:rsidR="0025188D">
        <w:t xml:space="preserve">of Health </w:t>
      </w:r>
      <w:r w:rsidR="00AB3DFF">
        <w:t xml:space="preserve">were analysed and provided to the LSDP Reference Group. The data has been redacted in this report to protect the privacy of </w:t>
      </w:r>
      <w:r w:rsidR="00E07CBE">
        <w:t>patients.</w:t>
      </w:r>
    </w:p>
    <w:p w:rsidR="003B48E3" w:rsidRPr="00F05829" w:rsidRDefault="00A62C97" w:rsidP="003B48E3">
      <w:pPr>
        <w:rPr>
          <w:highlight w:val="yellow"/>
        </w:rPr>
      </w:pPr>
      <w:r>
        <w:rPr>
          <w:noProof/>
          <w:color w:val="000000"/>
          <w:highlight w:val="black"/>
        </w:rPr>
        <w:t>''''''''' ''''''''''''''''' '''''''''' '''''''''''''''' ''''''''''''''''''''' ''''''''''''''''''''''' '''''' '''''''''''''' ''''''' '''''''''' ''''' '''''''''''''''''' '''''''''''''' ''' '''''''''''''''' ''''' '''''''''' ''''''''''' '''''''''''''' ''''''''''''''' ''''' ''''''''''''''''''' ''''''''''''''' '''''' ''''''''' '''''''''''''' '''''''' '''''''''' '''''' ''''''''' ''''''' ''' '''''''''''''' ''''''' ''''''''''''''''''' ''''''' ''''''' ''''''''' '''''''''''''''' '''''''''' '''''''''''' ''''''''''''' '''''''''''' '''''' ''''''' ''''' ''''''''''''''' '''' '''''''' '''''''' '''''''''''''' '''''''''''''''' ''''''''''''''''''''''' ''''''' '''''' ''''''''''''''' ''''' ''''''''''' '''''''' ''''''''''''''' ''''''' '''''''''''''''' '''''''''''' ''' ''''''''' ''''''''' '''''''''''''''''''''' '''''''' '''''''''''''' '''' '''''' '''''''' '''''''''''''' ''''''' ''''''''' ''''' ''''' '''''''''''''' '''' '''''''' ''' ''''''''''''''' ''''''''' '''''''''''''''''' '''' ''''''''''''''''''''' '''''''''''' ''''''''</w:t>
      </w:r>
      <w:r w:rsidR="00177729">
        <w:rPr>
          <w:rFonts w:ascii="Arial Narrow" w:hAnsi="Arial Narrow"/>
          <w:noProof/>
          <w:color w:val="000000"/>
          <w:sz w:val="20"/>
          <w:szCs w:val="20"/>
          <w:highlight w:val="black"/>
        </w:rPr>
        <w:t xml:space="preserve"> </w:t>
      </w:r>
      <w:r w:rsidR="00996EF9" w:rsidRPr="00EE45AE">
        <w:t>Two year survival in an untreated population as estimated in the systematic review was 26.3% (</w:t>
      </w:r>
      <w:r w:rsidR="00A72B26" w:rsidRPr="00716774">
        <w:t xml:space="preserve">Table </w:t>
      </w:r>
      <w:r w:rsidR="00A72B26">
        <w:rPr>
          <w:noProof/>
        </w:rPr>
        <w:t>62</w:t>
      </w:r>
      <w:r w:rsidR="00B84F58" w:rsidRPr="00EE45AE">
        <w:t xml:space="preserve">, page </w:t>
      </w:r>
      <w:r w:rsidR="00A72B26">
        <w:rPr>
          <w:noProof/>
        </w:rPr>
        <w:t>118</w:t>
      </w:r>
      <w:r w:rsidR="00B84F58" w:rsidRPr="00EE45AE">
        <w:t>).</w:t>
      </w:r>
    </w:p>
    <w:p w:rsidR="003B48E3" w:rsidRPr="00A62C97" w:rsidRDefault="003B48E3" w:rsidP="003B48E3">
      <w:r w:rsidRPr="0025188D">
        <w:t xml:space="preserve">The PBAC minutes </w:t>
      </w:r>
      <w:r w:rsidR="0025188D" w:rsidRPr="0025188D">
        <w:t xml:space="preserve">indicated that treatment effectiveness was assessed in terms of survival and dependence on </w:t>
      </w:r>
      <w:r w:rsidR="00021E89" w:rsidRPr="0025188D">
        <w:t xml:space="preserve">ventilator support. </w:t>
      </w:r>
      <w:r w:rsidRPr="0025188D">
        <w:t xml:space="preserve">The current systematic review also identified low </w:t>
      </w:r>
      <w:r w:rsidRPr="0025188D">
        <w:lastRenderedPageBreak/>
        <w:t>quality evidence for a reduced time</w:t>
      </w:r>
      <w:r w:rsidR="00021E89" w:rsidRPr="0025188D">
        <w:t xml:space="preserve"> to walking.</w:t>
      </w:r>
      <w:r w:rsidRPr="0025188D">
        <w:t xml:space="preserve"> </w:t>
      </w:r>
      <w:r w:rsidR="00A62C97">
        <w:rPr>
          <w:noProof/>
          <w:color w:val="000000"/>
          <w:highlight w:val="black"/>
        </w:rPr>
        <w:t>'''''''''''' '''''''''''''''''' '''''''''''''' ''''' '''''''''''''''''''' '''''''''' '''''' '''''''' '''' '''''' '''''''''''''' ''''''''''''''''''' ''''''''''''</w:t>
      </w:r>
    </w:p>
    <w:p w:rsidR="00AB6797" w:rsidRDefault="003B48E3" w:rsidP="007C009A">
      <w:r w:rsidRPr="003B48E3">
        <w:t>There are insufficient numbers of patients to conclude whether any benefit has been derived from alglucosidase alfa, nor to quantify the extent of such benefit.</w:t>
      </w:r>
      <w:r w:rsidR="002E4F62">
        <w:t xml:space="preserve"> </w:t>
      </w:r>
      <w:r w:rsidR="00D5659A">
        <w:t>However, given the duration of survival of the patients receiving alglucosidase alfa through the LSDP, it is likely that some benefit, and perhaps substantial benefit, has been observed.</w:t>
      </w:r>
    </w:p>
    <w:p w:rsidR="00996EF9" w:rsidRDefault="00996EF9" w:rsidP="00996EF9">
      <w:pPr>
        <w:rPr>
          <w:noProof/>
          <w:color w:val="000000"/>
        </w:rPr>
      </w:pPr>
      <w:r>
        <w:t xml:space="preserve">The clinical studies assessed </w:t>
      </w:r>
      <w:r w:rsidR="00021E89">
        <w:t>a</w:t>
      </w:r>
      <w:r w:rsidR="006E04C5">
        <w:t>lglucosidase</w:t>
      </w:r>
      <w:r>
        <w:t xml:space="preserve"> </w:t>
      </w:r>
      <w:r w:rsidR="00021E89">
        <w:t xml:space="preserve">alfa </w:t>
      </w:r>
      <w:r>
        <w:t xml:space="preserve">at doses of 20 mg/kg/2 weeks or 40 mg/kg/2 weeks </w:t>
      </w:r>
      <w:r w:rsidR="00510D02">
        <w:rPr>
          <w:noProof/>
        </w:rPr>
        <w:t>(</w:t>
      </w:r>
      <w:r w:rsidR="00184B6F">
        <w:rPr>
          <w:noProof/>
        </w:rPr>
        <w:t>Chien et al. 2009</w:t>
      </w:r>
      <w:r w:rsidR="00510D02">
        <w:rPr>
          <w:noProof/>
        </w:rPr>
        <w:t xml:space="preserve">; </w:t>
      </w:r>
      <w:r w:rsidR="00184B6F">
        <w:rPr>
          <w:noProof/>
        </w:rPr>
        <w:t>Kishnani, PS, Nicolino, et al. 2006</w:t>
      </w:r>
      <w:r w:rsidR="00510D02">
        <w:rPr>
          <w:noProof/>
        </w:rPr>
        <w:t xml:space="preserve">; </w:t>
      </w:r>
      <w:r w:rsidR="00184B6F">
        <w:rPr>
          <w:noProof/>
        </w:rPr>
        <w:t>Nicolino, M et al. 2009</w:t>
      </w:r>
      <w:r w:rsidR="00510D02">
        <w:rPr>
          <w:noProof/>
        </w:rPr>
        <w:t>)</w:t>
      </w:r>
      <w:r>
        <w:t xml:space="preserve">. One study did not report dosing regimens </w:t>
      </w:r>
      <w:r>
        <w:rPr>
          <w:noProof/>
        </w:rPr>
        <w:t>(</w:t>
      </w:r>
      <w:r w:rsidR="00184B6F">
        <w:rPr>
          <w:noProof/>
        </w:rPr>
        <w:t>Chen et al. 2009</w:t>
      </w:r>
      <w:r>
        <w:rPr>
          <w:noProof/>
        </w:rPr>
        <w:t>)</w:t>
      </w:r>
      <w:r>
        <w:t>.</w:t>
      </w:r>
      <w:r w:rsidR="00021E89">
        <w:t xml:space="preserve"> </w:t>
      </w:r>
      <w:r w:rsidR="00021E89" w:rsidRPr="000756DF">
        <w:rPr>
          <w:rFonts w:cstheme="minorHAnsi"/>
        </w:rPr>
        <w:t>The TGA recommended dosage regimen for alglucosidase alfa is 20mg/kg of body weight administered once every 2 weeks</w:t>
      </w:r>
      <w:r w:rsidR="00D648FA">
        <w:rPr>
          <w:rFonts w:cstheme="minorHAnsi"/>
        </w:rPr>
        <w:t xml:space="preserve"> </w:t>
      </w:r>
      <w:r w:rsidR="00746F05">
        <w:rPr>
          <w:rFonts w:cstheme="minorHAnsi"/>
          <w:noProof/>
        </w:rPr>
        <w:t>(</w:t>
      </w:r>
      <w:r w:rsidR="00184B6F">
        <w:rPr>
          <w:rFonts w:cstheme="minorHAnsi"/>
          <w:noProof/>
        </w:rPr>
        <w:t>Therapeutic Goods Administration 2012a</w:t>
      </w:r>
      <w:r w:rsidR="00746F05">
        <w:rPr>
          <w:rFonts w:cstheme="minorHAnsi"/>
          <w:noProof/>
        </w:rPr>
        <w:t>)</w:t>
      </w:r>
      <w:r w:rsidR="00FC6E06">
        <w:rPr>
          <w:rFonts w:cstheme="minorHAnsi"/>
        </w:rPr>
        <w:t xml:space="preserve">. </w:t>
      </w:r>
      <w:r w:rsidR="00A62C97">
        <w:rPr>
          <w:noProof/>
          <w:color w:val="000000"/>
          <w:highlight w:val="black"/>
        </w:rPr>
        <w:t xml:space="preserve">''''' ''''''' '''''''''' '''''''''''' ''''''''''''''' ''''''''''' '''''''' ''''' ''''''''' '''''''''''''' ''''''''''''''' ''' ''''''''''''' '''''''''' '''''''' ''''''''''''''''''''''''''''' ''''''''' '''''''' ''''' ''''''''' ''''''''''''''''''' '''''''' '''' '''''''''''''''''''''' '''''''''''' ''''''' </w:t>
      </w:r>
    </w:p>
    <w:p w:rsidR="00F0480B" w:rsidRPr="00F05829" w:rsidRDefault="00F0480B" w:rsidP="00F0480B">
      <w:pPr>
        <w:pStyle w:val="Caption"/>
        <w:keepNext/>
        <w:ind w:left="1418" w:hanging="1418"/>
        <w:rPr>
          <w:highlight w:val="yellow"/>
        </w:rPr>
      </w:pPr>
      <w:bookmarkStart w:id="308" w:name="_Ref409189644"/>
      <w:bookmarkStart w:id="309" w:name="_Toc411510447"/>
      <w:bookmarkStart w:id="310" w:name="_Toc415141863"/>
      <w:r>
        <w:t xml:space="preserve">Table </w:t>
      </w:r>
      <w:r>
        <w:rPr>
          <w:noProof/>
        </w:rPr>
        <w:t>66</w:t>
      </w:r>
      <w:bookmarkEnd w:id="308"/>
      <w:r>
        <w:tab/>
      </w:r>
      <w:r w:rsidRPr="00F0480B">
        <w:t>Doses of alglucosidase alfa received by Australian patients with infantile onset Pompe disease</w:t>
      </w:r>
      <w:bookmarkEnd w:id="309"/>
      <w:bookmarkEnd w:id="310"/>
    </w:p>
    <w:tbl>
      <w:tblPr>
        <w:tblStyle w:val="TableGrid"/>
        <w:tblW w:w="0" w:type="auto"/>
        <w:tblLook w:val="04A0" w:firstRow="1" w:lastRow="0" w:firstColumn="1" w:lastColumn="0" w:noHBand="0" w:noVBand="1"/>
        <w:tblCaption w:val="Doses of alglucosidase alfa received by Australian patients with infantile onset Pompe disease"/>
      </w:tblPr>
      <w:tblGrid>
        <w:gridCol w:w="2320"/>
        <w:gridCol w:w="1775"/>
        <w:gridCol w:w="1663"/>
        <w:gridCol w:w="1814"/>
        <w:gridCol w:w="1670"/>
      </w:tblGrid>
      <w:tr w:rsidR="00F0480B" w:rsidRPr="00F05829" w:rsidTr="00926546">
        <w:trPr>
          <w:tblHeader/>
        </w:trPr>
        <w:tc>
          <w:tcPr>
            <w:tcW w:w="2518" w:type="dxa"/>
          </w:tcPr>
          <w:p w:rsidR="00F0480B" w:rsidRPr="004407D9" w:rsidRDefault="00F0480B" w:rsidP="00F0480B">
            <w:pPr>
              <w:pStyle w:val="TableText0"/>
              <w:tabs>
                <w:tab w:val="left" w:pos="1620"/>
              </w:tabs>
              <w:rPr>
                <w:b/>
                <w:color w:val="FFFFFF" w:themeColor="background1"/>
              </w:rPr>
            </w:pPr>
            <w:r w:rsidRPr="004407D9">
              <w:rPr>
                <w:b/>
              </w:rPr>
              <w:t>Characteristics</w:t>
            </w:r>
            <w:r w:rsidRPr="004407D9">
              <w:rPr>
                <w:b/>
              </w:rPr>
              <w:tab/>
            </w:r>
          </w:p>
        </w:tc>
        <w:tc>
          <w:tcPr>
            <w:tcW w:w="1681" w:type="dxa"/>
          </w:tcPr>
          <w:p w:rsidR="00F0480B" w:rsidRPr="00500271" w:rsidRDefault="00500271" w:rsidP="00926546">
            <w:pPr>
              <w:pStyle w:val="TableHeading"/>
              <w:rPr>
                <w:highlight w:val="black"/>
              </w:rPr>
            </w:pPr>
            <w:r>
              <w:rPr>
                <w:noProof/>
                <w:color w:val="000000"/>
                <w:highlight w:val="black"/>
              </w:rPr>
              <w:t>''''''''''''' '''</w:t>
            </w:r>
          </w:p>
        </w:tc>
        <w:tc>
          <w:tcPr>
            <w:tcW w:w="1681" w:type="dxa"/>
          </w:tcPr>
          <w:p w:rsidR="00F0480B" w:rsidRPr="00500271" w:rsidRDefault="00500271" w:rsidP="00926546">
            <w:pPr>
              <w:pStyle w:val="TableHeading"/>
              <w:rPr>
                <w:highlight w:val="black"/>
              </w:rPr>
            </w:pPr>
            <w:r>
              <w:rPr>
                <w:noProof/>
                <w:color w:val="000000"/>
                <w:highlight w:val="black"/>
              </w:rPr>
              <w:t>''''''''''''' '''</w:t>
            </w:r>
          </w:p>
        </w:tc>
        <w:tc>
          <w:tcPr>
            <w:tcW w:w="1681" w:type="dxa"/>
          </w:tcPr>
          <w:p w:rsidR="00F0480B" w:rsidRPr="00500271" w:rsidRDefault="00500271" w:rsidP="00926546">
            <w:pPr>
              <w:pStyle w:val="TableHeading"/>
              <w:rPr>
                <w:highlight w:val="black"/>
              </w:rPr>
            </w:pPr>
            <w:r>
              <w:rPr>
                <w:noProof/>
                <w:color w:val="000000"/>
                <w:highlight w:val="black"/>
              </w:rPr>
              <w:t>''''''''''''''' '''</w:t>
            </w:r>
          </w:p>
        </w:tc>
        <w:tc>
          <w:tcPr>
            <w:tcW w:w="1681" w:type="dxa"/>
          </w:tcPr>
          <w:p w:rsidR="00F0480B" w:rsidRPr="00500271" w:rsidRDefault="00500271" w:rsidP="00926546">
            <w:pPr>
              <w:pStyle w:val="TableHeading"/>
              <w:rPr>
                <w:highlight w:val="black"/>
              </w:rPr>
            </w:pPr>
            <w:r>
              <w:rPr>
                <w:noProof/>
                <w:color w:val="000000"/>
                <w:highlight w:val="black"/>
              </w:rPr>
              <w:t>''''''''''''''' '''</w:t>
            </w:r>
          </w:p>
        </w:tc>
      </w:tr>
      <w:tr w:rsidR="00F0480B" w:rsidRPr="00F05829" w:rsidTr="00926546">
        <w:tc>
          <w:tcPr>
            <w:tcW w:w="2518" w:type="dxa"/>
          </w:tcPr>
          <w:p w:rsidR="00F0480B" w:rsidRPr="004407D9" w:rsidRDefault="00F0480B" w:rsidP="00926546">
            <w:pPr>
              <w:pStyle w:val="TableText0"/>
              <w:rPr>
                <w:b/>
              </w:rPr>
            </w:pPr>
            <w:r w:rsidRPr="004407D9">
              <w:rPr>
                <w:b/>
              </w:rPr>
              <w:t>Age at start of treatment</w:t>
            </w:r>
          </w:p>
        </w:tc>
        <w:tc>
          <w:tcPr>
            <w:tcW w:w="1681" w:type="dxa"/>
          </w:tcPr>
          <w:p w:rsidR="00F0480B" w:rsidRPr="00500271" w:rsidRDefault="00500271" w:rsidP="00F0480B">
            <w:pPr>
              <w:pStyle w:val="TableHeading"/>
              <w:rPr>
                <w:highlight w:val="black"/>
              </w:rPr>
            </w:pPr>
            <w:r>
              <w:rPr>
                <w:noProof/>
                <w:color w:val="000000"/>
                <w:highlight w:val="black"/>
              </w:rPr>
              <w:t>''' ''''''''''''''''</w:t>
            </w:r>
          </w:p>
        </w:tc>
        <w:tc>
          <w:tcPr>
            <w:tcW w:w="1681" w:type="dxa"/>
          </w:tcPr>
          <w:p w:rsidR="00F0480B" w:rsidRPr="00500271" w:rsidRDefault="00500271" w:rsidP="00F0480B">
            <w:pPr>
              <w:pStyle w:val="TableHeading"/>
              <w:rPr>
                <w:highlight w:val="black"/>
              </w:rPr>
            </w:pPr>
            <w:r>
              <w:rPr>
                <w:noProof/>
                <w:color w:val="000000"/>
                <w:highlight w:val="black"/>
              </w:rPr>
              <w:t>''''' ''''''''''''''</w:t>
            </w:r>
          </w:p>
        </w:tc>
        <w:tc>
          <w:tcPr>
            <w:tcW w:w="1681" w:type="dxa"/>
          </w:tcPr>
          <w:p w:rsidR="00F0480B" w:rsidRPr="00500271" w:rsidRDefault="00500271" w:rsidP="00F0480B">
            <w:pPr>
              <w:pStyle w:val="TableHeading"/>
              <w:rPr>
                <w:highlight w:val="black"/>
              </w:rPr>
            </w:pPr>
            <w:r>
              <w:rPr>
                <w:noProof/>
                <w:color w:val="000000"/>
                <w:highlight w:val="black"/>
              </w:rPr>
              <w:t>'''' '''''''''''''''''</w:t>
            </w:r>
          </w:p>
        </w:tc>
        <w:tc>
          <w:tcPr>
            <w:tcW w:w="1681" w:type="dxa"/>
          </w:tcPr>
          <w:p w:rsidR="00F0480B" w:rsidRPr="00500271" w:rsidRDefault="00500271" w:rsidP="00F0480B">
            <w:pPr>
              <w:pStyle w:val="TableHeading"/>
              <w:rPr>
                <w:highlight w:val="black"/>
              </w:rPr>
            </w:pPr>
            <w:r>
              <w:rPr>
                <w:noProof/>
                <w:color w:val="000000"/>
                <w:highlight w:val="black"/>
              </w:rPr>
              <w:t>''' '''''''''''''''</w:t>
            </w:r>
          </w:p>
        </w:tc>
      </w:tr>
      <w:tr w:rsidR="00F0480B" w:rsidRPr="00F05829" w:rsidTr="00926546">
        <w:tc>
          <w:tcPr>
            <w:tcW w:w="2518" w:type="dxa"/>
          </w:tcPr>
          <w:p w:rsidR="00F0480B" w:rsidRPr="004407D9" w:rsidRDefault="00F0480B" w:rsidP="00926546">
            <w:pPr>
              <w:pStyle w:val="TableText0"/>
              <w:rPr>
                <w:b/>
              </w:rPr>
            </w:pPr>
            <w:r w:rsidRPr="004407D9">
              <w:rPr>
                <w:b/>
              </w:rPr>
              <w:t>Age at most recent review</w:t>
            </w:r>
          </w:p>
        </w:tc>
        <w:tc>
          <w:tcPr>
            <w:tcW w:w="1681" w:type="dxa"/>
          </w:tcPr>
          <w:p w:rsidR="00F0480B" w:rsidRPr="00500271" w:rsidRDefault="00500271" w:rsidP="00F0480B">
            <w:pPr>
              <w:pStyle w:val="TableHeading"/>
              <w:rPr>
                <w:highlight w:val="black"/>
              </w:rPr>
            </w:pPr>
            <w:r>
              <w:rPr>
                <w:noProof/>
                <w:color w:val="000000"/>
                <w:highlight w:val="black"/>
              </w:rPr>
              <w:t>''''' '''''''''''</w:t>
            </w:r>
          </w:p>
        </w:tc>
        <w:tc>
          <w:tcPr>
            <w:tcW w:w="1681" w:type="dxa"/>
          </w:tcPr>
          <w:p w:rsidR="00F0480B" w:rsidRPr="00500271" w:rsidRDefault="00500271" w:rsidP="00F0480B">
            <w:pPr>
              <w:pStyle w:val="TableHeading"/>
              <w:rPr>
                <w:highlight w:val="black"/>
              </w:rPr>
            </w:pPr>
            <w:r>
              <w:rPr>
                <w:noProof/>
                <w:color w:val="000000"/>
                <w:highlight w:val="black"/>
              </w:rPr>
              <w:t>''' ''''''''''''</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 ''''''''''''''''</w:t>
            </w:r>
          </w:p>
        </w:tc>
      </w:tr>
      <w:tr w:rsidR="00F0480B" w:rsidRPr="00F05829" w:rsidTr="00926546">
        <w:tc>
          <w:tcPr>
            <w:tcW w:w="2518" w:type="dxa"/>
          </w:tcPr>
          <w:p w:rsidR="00F0480B" w:rsidRPr="004407D9" w:rsidRDefault="00F0480B" w:rsidP="00926546">
            <w:pPr>
              <w:pStyle w:val="TableText0"/>
              <w:rPr>
                <w:b/>
              </w:rPr>
            </w:pPr>
            <w:r w:rsidRPr="004407D9">
              <w:rPr>
                <w:b/>
              </w:rPr>
              <w:t>Age at death</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 '''''''''''''''</w:t>
            </w:r>
          </w:p>
        </w:tc>
        <w:tc>
          <w:tcPr>
            <w:tcW w:w="1681" w:type="dxa"/>
          </w:tcPr>
          <w:p w:rsidR="00F0480B" w:rsidRPr="00500271" w:rsidRDefault="00500271" w:rsidP="00F0480B">
            <w:pPr>
              <w:pStyle w:val="TableHeading"/>
              <w:rPr>
                <w:highlight w:val="black"/>
              </w:rPr>
            </w:pPr>
            <w:r>
              <w:rPr>
                <w:noProof/>
                <w:color w:val="000000"/>
                <w:highlight w:val="black"/>
              </w:rPr>
              <w:t>''</w:t>
            </w:r>
          </w:p>
        </w:tc>
      </w:tr>
      <w:tr w:rsidR="00F0480B" w:rsidRPr="00F05829" w:rsidTr="00926546">
        <w:tc>
          <w:tcPr>
            <w:tcW w:w="2518" w:type="dxa"/>
          </w:tcPr>
          <w:p w:rsidR="00F0480B" w:rsidRPr="004407D9" w:rsidRDefault="00F0480B" w:rsidP="00926546">
            <w:pPr>
              <w:pStyle w:val="TableText0"/>
              <w:rPr>
                <w:b/>
              </w:rPr>
            </w:pPr>
            <w:r w:rsidRPr="004407D9">
              <w:rPr>
                <w:b/>
              </w:rPr>
              <w:t>Dose at most recent review</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w:t>
            </w:r>
          </w:p>
        </w:tc>
      </w:tr>
      <w:tr w:rsidR="00F0480B" w:rsidRPr="00F05829" w:rsidTr="00926546">
        <w:tc>
          <w:tcPr>
            <w:tcW w:w="2518" w:type="dxa"/>
          </w:tcPr>
          <w:p w:rsidR="00F0480B" w:rsidRPr="004407D9" w:rsidRDefault="00F0480B" w:rsidP="00926546">
            <w:pPr>
              <w:pStyle w:val="TableText0"/>
              <w:rPr>
                <w:b/>
              </w:rPr>
            </w:pPr>
            <w:r w:rsidRPr="004407D9">
              <w:rPr>
                <w:b/>
              </w:rPr>
              <w:t>Weight at most recent review</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w:t>
            </w:r>
          </w:p>
        </w:tc>
      </w:tr>
      <w:tr w:rsidR="00F0480B" w:rsidRPr="00F05829" w:rsidTr="00926546">
        <w:tc>
          <w:tcPr>
            <w:tcW w:w="2518" w:type="dxa"/>
          </w:tcPr>
          <w:p w:rsidR="00F0480B" w:rsidRPr="004407D9" w:rsidRDefault="00F0480B" w:rsidP="00926546">
            <w:pPr>
              <w:pStyle w:val="TableText0"/>
              <w:rPr>
                <w:b/>
              </w:rPr>
            </w:pPr>
            <w:r w:rsidRPr="004407D9">
              <w:rPr>
                <w:b/>
              </w:rPr>
              <w:t>Dose at most recent review</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 '''''''''''''''''''''''''''''</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w:t>
            </w:r>
          </w:p>
        </w:tc>
      </w:tr>
      <w:tr w:rsidR="00F0480B" w:rsidRPr="00F05829" w:rsidTr="00926546">
        <w:tc>
          <w:tcPr>
            <w:tcW w:w="2518" w:type="dxa"/>
          </w:tcPr>
          <w:p w:rsidR="00F0480B" w:rsidRPr="004407D9" w:rsidRDefault="00F0480B" w:rsidP="00926546">
            <w:pPr>
              <w:pStyle w:val="TableText0"/>
              <w:rPr>
                <w:b/>
              </w:rPr>
            </w:pPr>
            <w:r w:rsidRPr="004407D9">
              <w:rPr>
                <w:b/>
              </w:rPr>
              <w:t>Predicted dose</w:t>
            </w:r>
          </w:p>
          <w:p w:rsidR="00F0480B" w:rsidRPr="004407D9" w:rsidRDefault="00F0480B" w:rsidP="00926546">
            <w:pPr>
              <w:pStyle w:val="TableText0"/>
              <w:rPr>
                <w:b/>
              </w:rPr>
            </w:pPr>
            <w:r w:rsidRPr="004407D9">
              <w:rPr>
                <w:b/>
              </w:rPr>
              <w:t>(at 20mg/kg)</w:t>
            </w:r>
          </w:p>
        </w:tc>
        <w:tc>
          <w:tcPr>
            <w:tcW w:w="1681" w:type="dxa"/>
          </w:tcPr>
          <w:p w:rsidR="00F0480B" w:rsidRPr="00500271" w:rsidRDefault="00500271" w:rsidP="00F0480B">
            <w:pPr>
              <w:pStyle w:val="TableHeading"/>
              <w:rPr>
                <w:highlight w:val="black"/>
              </w:rPr>
            </w:pPr>
            <w:r>
              <w:rPr>
                <w:noProof/>
                <w:color w:val="000000"/>
                <w:highlight w:val="black"/>
              </w:rPr>
              <w:t>''''''''''''' '' ''''''''''''''''''''''</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w:t>
            </w:r>
          </w:p>
        </w:tc>
        <w:tc>
          <w:tcPr>
            <w:tcW w:w="1681" w:type="dxa"/>
          </w:tcPr>
          <w:p w:rsidR="00F0480B" w:rsidRPr="00500271" w:rsidRDefault="00500271" w:rsidP="00F0480B">
            <w:pPr>
              <w:pStyle w:val="TableHeading"/>
              <w:rPr>
                <w:highlight w:val="black"/>
              </w:rPr>
            </w:pPr>
            <w:r>
              <w:rPr>
                <w:noProof/>
                <w:color w:val="000000"/>
                <w:highlight w:val="black"/>
              </w:rPr>
              <w:t>'''''''''''''''</w:t>
            </w:r>
          </w:p>
        </w:tc>
      </w:tr>
    </w:tbl>
    <w:p w:rsidR="00F0480B" w:rsidRPr="00500271" w:rsidRDefault="00500271" w:rsidP="00F0480B">
      <w:pPr>
        <w:pStyle w:val="TableHeading"/>
        <w:rPr>
          <w:highlight w:val="black"/>
        </w:rPr>
      </w:pPr>
      <w:r>
        <w:rPr>
          <w:noProof/>
          <w:color w:val="000000"/>
          <w:highlight w:val="black"/>
        </w:rPr>
        <w:t>'''''''''' '''''''''''''''''''' ''''''' ''''''''''''''''''''' ''' ''''''''' ''''' ''''''''''''''''''' '''''' ''''''''''''''''''' ''' '''''''''' ''''' '''''''''''''' ''''''' ''''''''''''''''' ''''''''''' '''''''''' ''''''''''''' ''''' ''''''' ''''''''''''''' ''' ''''''''''''''''''''''''''</w:t>
      </w:r>
    </w:p>
    <w:p w:rsidR="00AE2A2A" w:rsidRPr="00A62C97" w:rsidRDefault="00AE2A2A" w:rsidP="00475E97"/>
    <w:p w:rsidR="00AE2A2A" w:rsidRDefault="00AE2A2A" w:rsidP="00AE2A2A">
      <w:pPr>
        <w:pStyle w:val="Heading4"/>
      </w:pPr>
      <w:r>
        <w:t>Impact of findings</w:t>
      </w:r>
    </w:p>
    <w:p w:rsidR="000362A6" w:rsidRDefault="00D648E2" w:rsidP="000362A6">
      <w:r>
        <w:t xml:space="preserve">No new trials were identified comparing alglucosidase alfa with placebo in patients with infantile onset Pompe disease. However, two new publications were identified, </w:t>
      </w:r>
      <w:r w:rsidR="0025188D">
        <w:t>that</w:t>
      </w:r>
      <w:r>
        <w:t xml:space="preserve"> provided longer term data from those </w:t>
      </w:r>
      <w:r w:rsidR="00F76F7F">
        <w:t xml:space="preserve">treated with alglucosidase alfa. Survival rates were considerably higher than what was documented prior to alglucosidase alfa being available, supporting the decision to fund the drug for patients with infantile onset Pompe disease. </w:t>
      </w:r>
    </w:p>
    <w:p w:rsidR="00F76F7F" w:rsidRPr="000362A6" w:rsidRDefault="00F76F7F" w:rsidP="000362A6">
      <w:r>
        <w:t xml:space="preserve">There were only data available on </w:t>
      </w:r>
      <w:r w:rsidR="00A62C97">
        <w:rPr>
          <w:noProof/>
          <w:color w:val="000000"/>
          <w:highlight w:val="black"/>
        </w:rPr>
        <w:t xml:space="preserve">'''''''' </w:t>
      </w:r>
      <w:r>
        <w:t xml:space="preserve">patients with infantile onset Pompe disease who have received treatment through the LSDP. </w:t>
      </w:r>
      <w:r w:rsidR="00A62C97">
        <w:rPr>
          <w:noProof/>
          <w:color w:val="000000"/>
          <w:highlight w:val="black"/>
        </w:rPr>
        <w:t xml:space="preserve">'''''''' ''''''''''''''' '''''''' ''''''''' ''' '''''''''''''' ''''' ''''''''''''''''''' </w:t>
      </w:r>
      <w:r w:rsidR="00A62C97">
        <w:rPr>
          <w:noProof/>
          <w:color w:val="000000"/>
          <w:highlight w:val="black"/>
        </w:rPr>
        <w:lastRenderedPageBreak/>
        <w:t xml:space="preserve">'''''''''' '''''' ''''''''''''''''' '''''''' '''''''''' ''' ''''''''''''''''' ''''''''' ''''''''' '''' ''''''''''' ''''''''''''''''' ''''' ''''''''' ''''' '''''''''''''' ''' '''''''''' '''''''' ''''' '''''''''''' </w:t>
      </w:r>
      <w:r w:rsidRPr="00F76F7F">
        <w:t>Given the poor survival of untreated patients with infantile onset Pompe disease, it is likely that these patients have benefited from alglucosidase alfa.</w:t>
      </w:r>
    </w:p>
    <w:p w:rsidR="00AE2A2A" w:rsidRPr="00716774" w:rsidRDefault="00AE2A2A" w:rsidP="00AE2A2A">
      <w:pPr>
        <w:pStyle w:val="Caption"/>
        <w:keepNext/>
        <w:tabs>
          <w:tab w:val="clear" w:pos="851"/>
          <w:tab w:val="left" w:pos="1134"/>
        </w:tabs>
        <w:ind w:left="1134" w:hanging="1134"/>
      </w:pPr>
      <w:bookmarkStart w:id="311" w:name="_Toc415141864"/>
      <w:r w:rsidRPr="00716774">
        <w:t xml:space="preserve">Table </w:t>
      </w:r>
      <w:r w:rsidR="00A72B26">
        <w:rPr>
          <w:noProof/>
        </w:rPr>
        <w:t>67</w:t>
      </w:r>
      <w:r w:rsidRPr="00305731">
        <w:t xml:space="preserve"> </w:t>
      </w:r>
      <w:r>
        <w:tab/>
        <w:t>Studies included assessing drug to treat infantile onset Pompe disease</w:t>
      </w:r>
      <w:bookmarkEnd w:id="311"/>
    </w:p>
    <w:tbl>
      <w:tblPr>
        <w:tblStyle w:val="TableGrid1"/>
        <w:tblW w:w="9180" w:type="dxa"/>
        <w:tblLayout w:type="fixed"/>
        <w:tblLook w:val="04A0" w:firstRow="1" w:lastRow="0" w:firstColumn="1" w:lastColumn="0" w:noHBand="0" w:noVBand="1"/>
        <w:tblCaption w:val="Table 49  Current therapy of patients on the LSDP"/>
        <w:tblDescription w:val="Current therapy of Fabry patients on the LSDP in Australia"/>
      </w:tblPr>
      <w:tblGrid>
        <w:gridCol w:w="1485"/>
        <w:gridCol w:w="1600"/>
        <w:gridCol w:w="1985"/>
        <w:gridCol w:w="4110"/>
      </w:tblGrid>
      <w:tr w:rsidR="00AE2A2A" w:rsidRPr="000756DF" w:rsidTr="00AE2A2A">
        <w:trPr>
          <w:trHeight w:val="280"/>
          <w:tblHeader/>
        </w:trPr>
        <w:tc>
          <w:tcPr>
            <w:tcW w:w="1485" w:type="dxa"/>
            <w:noWrap/>
            <w:hideMark/>
          </w:tcPr>
          <w:p w:rsidR="00AE2A2A" w:rsidRPr="000756DF" w:rsidRDefault="00AE2A2A" w:rsidP="00AE2A2A">
            <w:pPr>
              <w:pStyle w:val="TableHeading"/>
            </w:pPr>
            <w:r>
              <w:t>Drug</w:t>
            </w:r>
          </w:p>
        </w:tc>
        <w:tc>
          <w:tcPr>
            <w:tcW w:w="1600" w:type="dxa"/>
          </w:tcPr>
          <w:p w:rsidR="00AE2A2A" w:rsidRPr="000756DF" w:rsidRDefault="00AE2A2A" w:rsidP="00AE2A2A">
            <w:pPr>
              <w:pStyle w:val="TableHeading"/>
            </w:pPr>
            <w:r>
              <w:t>Results</w:t>
            </w:r>
          </w:p>
        </w:tc>
        <w:tc>
          <w:tcPr>
            <w:tcW w:w="1985" w:type="dxa"/>
            <w:noWrap/>
            <w:hideMark/>
          </w:tcPr>
          <w:p w:rsidR="00AE2A2A" w:rsidRPr="000756DF" w:rsidRDefault="00AE2A2A" w:rsidP="00AE2A2A">
            <w:pPr>
              <w:pStyle w:val="TableHeading"/>
            </w:pPr>
            <w:r>
              <w:t>References</w:t>
            </w:r>
          </w:p>
        </w:tc>
        <w:tc>
          <w:tcPr>
            <w:tcW w:w="4110" w:type="dxa"/>
          </w:tcPr>
          <w:p w:rsidR="00AE2A2A" w:rsidRPr="000756DF" w:rsidRDefault="00AE2A2A" w:rsidP="00D12B65">
            <w:pPr>
              <w:pStyle w:val="TableHeading"/>
            </w:pPr>
            <w:r>
              <w:t xml:space="preserve">Evidence not included in </w:t>
            </w:r>
            <w:r w:rsidR="00D12B65">
              <w:t>submission to the PBAC</w:t>
            </w:r>
          </w:p>
        </w:tc>
      </w:tr>
      <w:tr w:rsidR="00AE2A2A" w:rsidRPr="000756DF" w:rsidTr="00AE2A2A">
        <w:trPr>
          <w:trHeight w:val="280"/>
        </w:trPr>
        <w:tc>
          <w:tcPr>
            <w:tcW w:w="1485" w:type="dxa"/>
            <w:noWrap/>
          </w:tcPr>
          <w:p w:rsidR="00AE2A2A" w:rsidRPr="002C1CC5" w:rsidRDefault="00AE2A2A" w:rsidP="00AE2A2A">
            <w:pPr>
              <w:pStyle w:val="TableText0"/>
              <w:rPr>
                <w:lang w:val="en-AU"/>
              </w:rPr>
            </w:pPr>
            <w:r w:rsidRPr="002C1CC5">
              <w:rPr>
                <w:lang w:val="en-AU"/>
              </w:rPr>
              <w:t>Alglucosidase alfa</w:t>
            </w:r>
          </w:p>
          <w:p w:rsidR="00AE2A2A" w:rsidRPr="000756DF" w:rsidRDefault="00AE2A2A" w:rsidP="00AE2A2A">
            <w:pPr>
              <w:pStyle w:val="TableText0"/>
            </w:pPr>
          </w:p>
        </w:tc>
        <w:tc>
          <w:tcPr>
            <w:tcW w:w="1600" w:type="dxa"/>
          </w:tcPr>
          <w:p w:rsidR="00AE2A2A" w:rsidRPr="002C1CC5" w:rsidRDefault="00AE2A2A" w:rsidP="00AE2A2A">
            <w:pPr>
              <w:pStyle w:val="TableText0"/>
            </w:pPr>
            <w:r>
              <w:t>4</w:t>
            </w:r>
            <w:r w:rsidRPr="002C1CC5">
              <w:t xml:space="preserve"> historical control studies</w:t>
            </w:r>
          </w:p>
          <w:p w:rsidR="00AE2A2A" w:rsidRPr="000756DF" w:rsidRDefault="00AE2A2A" w:rsidP="00AE2A2A">
            <w:pPr>
              <w:pStyle w:val="TableText0"/>
            </w:pPr>
          </w:p>
        </w:tc>
        <w:tc>
          <w:tcPr>
            <w:tcW w:w="1985" w:type="dxa"/>
            <w:noWrap/>
          </w:tcPr>
          <w:p w:rsidR="00AE2A2A" w:rsidRPr="002C1CC5" w:rsidRDefault="00AE2A2A" w:rsidP="00AE2A2A">
            <w:pPr>
              <w:pStyle w:val="TableText0"/>
            </w:pPr>
            <w:r w:rsidRPr="002C1CC5">
              <w:t xml:space="preserve">Kishnani et al (2007), </w:t>
            </w:r>
            <w:r>
              <w:t>Kishnani et al</w:t>
            </w:r>
            <w:r w:rsidRPr="002C1CC5">
              <w:t xml:space="preserve"> (2009)</w:t>
            </w:r>
          </w:p>
          <w:p w:rsidR="00AE2A2A" w:rsidRPr="002C1CC5" w:rsidRDefault="00AE2A2A" w:rsidP="00AE2A2A">
            <w:pPr>
              <w:pStyle w:val="TableText0"/>
            </w:pPr>
            <w:r w:rsidRPr="002C1CC5">
              <w:t>Chen et al (2009)</w:t>
            </w:r>
          </w:p>
          <w:p w:rsidR="00AE2A2A" w:rsidRPr="002C1CC5" w:rsidRDefault="00AE2A2A" w:rsidP="00AE2A2A">
            <w:pPr>
              <w:pStyle w:val="TableText0"/>
            </w:pPr>
            <w:r w:rsidRPr="002C1CC5">
              <w:t>Chien et al (2009)</w:t>
            </w:r>
          </w:p>
          <w:p w:rsidR="00AE2A2A" w:rsidRPr="002C1CC5" w:rsidRDefault="00AE2A2A" w:rsidP="00AE2A2A">
            <w:pPr>
              <w:pStyle w:val="TableText0"/>
            </w:pPr>
            <w:r w:rsidRPr="002C1CC5">
              <w:t>Nicolino et al (2009)</w:t>
            </w:r>
          </w:p>
        </w:tc>
        <w:tc>
          <w:tcPr>
            <w:tcW w:w="4110" w:type="dxa"/>
          </w:tcPr>
          <w:p w:rsidR="00AE2A2A" w:rsidRDefault="00AE2A2A" w:rsidP="00AE2A2A">
            <w:pPr>
              <w:pStyle w:val="TableText0"/>
              <w:rPr>
                <w:lang w:val="en-AU"/>
              </w:rPr>
            </w:pPr>
            <w:r>
              <w:t xml:space="preserve">Kishnani et al (2009) was extension study of Kishnani et al (2007). Provided longer term data. </w:t>
            </w:r>
            <w:r w:rsidRPr="002C1CC5">
              <w:rPr>
                <w:lang w:val="en-AU"/>
              </w:rPr>
              <w:t xml:space="preserve">Survival estimate at 24 months </w:t>
            </w:r>
            <w:r>
              <w:rPr>
                <w:lang w:val="en-AU"/>
              </w:rPr>
              <w:t xml:space="preserve">was </w:t>
            </w:r>
            <w:r w:rsidRPr="002C1CC5">
              <w:rPr>
                <w:lang w:val="en-AU"/>
              </w:rPr>
              <w:t>94.4% (95%CI 83.9, 100)</w:t>
            </w:r>
            <w:r w:rsidR="00F87099" w:rsidRPr="002C1CC5">
              <w:rPr>
                <w:lang w:val="en-AU"/>
              </w:rPr>
              <w:t>;</w:t>
            </w:r>
            <w:r>
              <w:rPr>
                <w:lang w:val="en-AU"/>
              </w:rPr>
              <w:t xml:space="preserve"> at</w:t>
            </w:r>
            <w:r w:rsidRPr="002C1CC5">
              <w:rPr>
                <w:lang w:val="en-AU"/>
              </w:rPr>
              <w:t xml:space="preserve"> 36 months was 72% (95%CI 47.9, 96.0). Median age of surviving patients was 35.7 months (range 27.1 to 41.5 months)</w:t>
            </w:r>
            <w:r>
              <w:rPr>
                <w:lang w:val="en-AU"/>
              </w:rPr>
              <w:t>.</w:t>
            </w:r>
          </w:p>
          <w:p w:rsidR="00AE2A2A" w:rsidRPr="000756DF" w:rsidRDefault="00AE2A2A" w:rsidP="00AE2A2A">
            <w:pPr>
              <w:pStyle w:val="TableText0"/>
            </w:pPr>
            <w:r>
              <w:rPr>
                <w:lang w:val="en-AU"/>
              </w:rPr>
              <w:t xml:space="preserve">Nicolino et al (2009) reported that </w:t>
            </w:r>
            <w:r w:rsidRPr="002C1CC5">
              <w:rPr>
                <w:lang w:val="en-AU"/>
              </w:rPr>
              <w:t>median survival at 104 weeks was 71.1% (95%CI 51.5, 90.6) in treated group, 26.3% (95%CI 6.5, 46.1%) in untreated group</w:t>
            </w:r>
            <w:r>
              <w:rPr>
                <w:lang w:val="en-AU"/>
              </w:rPr>
              <w:t>.</w:t>
            </w:r>
          </w:p>
        </w:tc>
      </w:tr>
    </w:tbl>
    <w:p w:rsidR="00CB7E5F" w:rsidRDefault="00CB7E5F" w:rsidP="004E15DD">
      <w:r>
        <w:br w:type="page"/>
      </w:r>
    </w:p>
    <w:p w:rsidR="00CB7E5F" w:rsidRDefault="00CB7E5F" w:rsidP="00CB7E5F">
      <w:pPr>
        <w:pStyle w:val="Heading3"/>
      </w:pPr>
      <w:r>
        <w:lastRenderedPageBreak/>
        <w:t xml:space="preserve">Alglucosidase alfa to treat juvenile onset Pompe disease </w:t>
      </w:r>
    </w:p>
    <w:p w:rsidR="00CB7E5F" w:rsidRDefault="00CB7E5F" w:rsidP="00CB7E5F"/>
    <w:p w:rsidR="005C6842" w:rsidRPr="00CB7E5F" w:rsidRDefault="005C6842"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b/>
          <w:sz w:val="22"/>
          <w:szCs w:val="22"/>
        </w:rPr>
      </w:pPr>
      <w:r w:rsidRPr="00CB7E5F">
        <w:rPr>
          <w:rFonts w:ascii="Arial Narrow" w:hAnsi="Arial Narrow" w:cstheme="minorHAnsi"/>
          <w:b/>
          <w:sz w:val="22"/>
          <w:szCs w:val="22"/>
        </w:rPr>
        <w:t xml:space="preserve">Is alglucosidase alfa safe and effective compared to standard palliative care with/without placebo for treating patients with Juvenile </w:t>
      </w:r>
      <w:r w:rsidR="00926546">
        <w:rPr>
          <w:rFonts w:ascii="Arial Narrow" w:hAnsi="Arial Narrow" w:cstheme="minorHAnsi"/>
          <w:b/>
          <w:sz w:val="22"/>
          <w:szCs w:val="22"/>
        </w:rPr>
        <w:t>late-</w:t>
      </w:r>
      <w:r w:rsidRPr="00CB7E5F">
        <w:rPr>
          <w:rFonts w:ascii="Arial Narrow" w:hAnsi="Arial Narrow" w:cstheme="minorHAnsi"/>
          <w:b/>
          <w:sz w:val="22"/>
          <w:szCs w:val="22"/>
        </w:rPr>
        <w:t>Onset Pompe Disease?</w:t>
      </w:r>
    </w:p>
    <w:p w:rsidR="005C6842" w:rsidRDefault="005C6842" w:rsidP="00E502C3">
      <w:pPr>
        <w:pBdr>
          <w:top w:val="single" w:sz="4" w:space="4" w:color="auto"/>
          <w:left w:val="single" w:sz="4" w:space="4" w:color="auto"/>
          <w:bottom w:val="single" w:sz="4" w:space="4" w:color="auto"/>
          <w:right w:val="single" w:sz="4" w:space="4" w:color="auto"/>
        </w:pBdr>
        <w:rPr>
          <w:rFonts w:ascii="Arial Narrow" w:hAnsi="Arial Narrow"/>
        </w:rPr>
      </w:pPr>
      <w:r>
        <w:rPr>
          <w:rFonts w:ascii="Arial Narrow" w:hAnsi="Arial Narrow"/>
        </w:rPr>
        <w:t xml:space="preserve">Submissions made to the PBAC for consideration of alglucosidase alfa for late-onset Pompe disease have combined </w:t>
      </w:r>
      <w:r w:rsidR="0025188D">
        <w:rPr>
          <w:rFonts w:ascii="Arial Narrow" w:hAnsi="Arial Narrow"/>
        </w:rPr>
        <w:t xml:space="preserve">the </w:t>
      </w:r>
      <w:r>
        <w:rPr>
          <w:rFonts w:ascii="Arial Narrow" w:hAnsi="Arial Narrow"/>
        </w:rPr>
        <w:t xml:space="preserve">data </w:t>
      </w:r>
      <w:r w:rsidR="0025188D">
        <w:rPr>
          <w:rFonts w:ascii="Arial Narrow" w:hAnsi="Arial Narrow"/>
        </w:rPr>
        <w:t>from</w:t>
      </w:r>
      <w:r>
        <w:rPr>
          <w:rFonts w:ascii="Arial Narrow" w:hAnsi="Arial Narrow"/>
        </w:rPr>
        <w:t xml:space="preserve"> </w:t>
      </w:r>
      <w:r w:rsidR="002734FC">
        <w:rPr>
          <w:rFonts w:ascii="Arial Narrow" w:hAnsi="Arial Narrow"/>
        </w:rPr>
        <w:t>juvenile-late onset</w:t>
      </w:r>
      <w:r>
        <w:rPr>
          <w:rFonts w:ascii="Arial Narrow" w:hAnsi="Arial Narrow"/>
        </w:rPr>
        <w:t xml:space="preserve"> and adult-onset patients. No separate submission has been made for </w:t>
      </w:r>
      <w:r w:rsidR="002734FC">
        <w:rPr>
          <w:rFonts w:ascii="Arial Narrow" w:hAnsi="Arial Narrow"/>
        </w:rPr>
        <w:t>juvenile-late onset</w:t>
      </w:r>
      <w:r>
        <w:rPr>
          <w:rFonts w:ascii="Arial Narrow" w:hAnsi="Arial Narrow"/>
        </w:rPr>
        <w:t xml:space="preserve"> Pompe disease. </w:t>
      </w:r>
    </w:p>
    <w:p w:rsidR="005C6842" w:rsidRDefault="005C6842" w:rsidP="00E502C3">
      <w:pPr>
        <w:pBdr>
          <w:top w:val="single" w:sz="4" w:space="4" w:color="auto"/>
          <w:left w:val="single" w:sz="4" w:space="4" w:color="auto"/>
          <w:bottom w:val="single" w:sz="4" w:space="4" w:color="auto"/>
          <w:right w:val="single" w:sz="4" w:space="4" w:color="auto"/>
        </w:pBdr>
        <w:rPr>
          <w:rFonts w:ascii="Arial Narrow" w:hAnsi="Arial Narrow"/>
        </w:rPr>
      </w:pPr>
      <w:r w:rsidRPr="00FE08CA">
        <w:rPr>
          <w:rFonts w:ascii="Arial Narrow" w:hAnsi="Arial Narrow"/>
        </w:rPr>
        <w:t xml:space="preserve">There </w:t>
      </w:r>
      <w:r w:rsidR="0025188D">
        <w:rPr>
          <w:rFonts w:ascii="Arial Narrow" w:hAnsi="Arial Narrow"/>
        </w:rPr>
        <w:t>were</w:t>
      </w:r>
      <w:r w:rsidRPr="00FE08CA">
        <w:rPr>
          <w:rFonts w:ascii="Arial Narrow" w:hAnsi="Arial Narrow"/>
        </w:rPr>
        <w:t xml:space="preserve"> no data on the comparative safety of alglucosidase alfa versus standard palliative care in these patients.</w:t>
      </w:r>
    </w:p>
    <w:p w:rsidR="005C6842" w:rsidRDefault="005C6842" w:rsidP="00E502C3">
      <w:pPr>
        <w:pBdr>
          <w:top w:val="single" w:sz="4" w:space="4" w:color="auto"/>
          <w:left w:val="single" w:sz="4" w:space="4" w:color="auto"/>
          <w:bottom w:val="single" w:sz="4" w:space="4" w:color="auto"/>
          <w:right w:val="single" w:sz="4" w:space="4" w:color="auto"/>
        </w:pBdr>
        <w:rPr>
          <w:rFonts w:ascii="Arial Narrow" w:hAnsi="Arial Narrow"/>
        </w:rPr>
      </w:pPr>
      <w:r>
        <w:rPr>
          <w:rFonts w:ascii="Arial Narrow" w:hAnsi="Arial Narrow"/>
        </w:rPr>
        <w:t xml:space="preserve">Identified case reports suggest that respiratory function may improve, or be maintained in the early months of ERT, but that after 2 or more years </w:t>
      </w:r>
      <w:r w:rsidR="0025188D">
        <w:rPr>
          <w:rFonts w:ascii="Arial Narrow" w:hAnsi="Arial Narrow"/>
        </w:rPr>
        <w:t xml:space="preserve">respiratory </w:t>
      </w:r>
      <w:r>
        <w:rPr>
          <w:rFonts w:ascii="Arial Narrow" w:hAnsi="Arial Narrow"/>
        </w:rPr>
        <w:t xml:space="preserve">function declines </w:t>
      </w:r>
      <w:r w:rsidRPr="00305EB7">
        <w:rPr>
          <w:rFonts w:ascii="Arial Narrow" w:hAnsi="Arial Narrow"/>
        </w:rPr>
        <w:t>(GRADE</w:t>
      </w:r>
      <w:r w:rsidRPr="00FE08CA">
        <w:t xml:space="preserve"> </w:t>
      </w:r>
      <w:r w:rsidRPr="00FE08CA">
        <w:rPr>
          <w:rFonts w:ascii="Cambria Math" w:hAnsi="Cambria Math" w:cs="Cambria Math"/>
          <w:color w:val="00B050"/>
        </w:rPr>
        <w:t>⨁</w:t>
      </w:r>
      <w:r w:rsidRPr="00FE08CA">
        <w:rPr>
          <w:rFonts w:ascii="Cambria Math" w:hAnsi="Cambria Math" w:cs="Cambria Math"/>
          <w:color w:val="C00000"/>
        </w:rPr>
        <w:t>⨀⨀⨀</w:t>
      </w:r>
      <w:r w:rsidRPr="00305EB7">
        <w:rPr>
          <w:rFonts w:ascii="Arial Narrow" w:hAnsi="Arial Narrow"/>
        </w:rPr>
        <w:t>).</w:t>
      </w:r>
      <w:r>
        <w:rPr>
          <w:rFonts w:ascii="Arial Narrow" w:hAnsi="Arial Narrow"/>
        </w:rPr>
        <w:t xml:space="preserve"> </w:t>
      </w:r>
    </w:p>
    <w:p w:rsidR="005C6842" w:rsidRDefault="005C6842" w:rsidP="00E502C3">
      <w:pPr>
        <w:pBdr>
          <w:top w:val="single" w:sz="4" w:space="4" w:color="auto"/>
          <w:left w:val="single" w:sz="4" w:space="4" w:color="auto"/>
          <w:bottom w:val="single" w:sz="4" w:space="4" w:color="auto"/>
          <w:right w:val="single" w:sz="4" w:space="4" w:color="auto"/>
        </w:pBdr>
        <w:rPr>
          <w:rFonts w:ascii="Arial Narrow" w:hAnsi="Arial Narrow"/>
        </w:rPr>
      </w:pPr>
      <w:r>
        <w:rPr>
          <w:rFonts w:ascii="Arial Narrow" w:hAnsi="Arial Narrow"/>
        </w:rPr>
        <w:t xml:space="preserve">Case reports also suggest that the need for assisted ventilation may be decreased with the use of ERT. Improvements may occur in gastrointestinal function and fatigue with the use of ERT </w:t>
      </w:r>
      <w:r w:rsidRPr="00305EB7">
        <w:rPr>
          <w:rFonts w:ascii="Arial Narrow" w:hAnsi="Arial Narrow"/>
        </w:rPr>
        <w:t>(GRADE</w:t>
      </w:r>
      <w:r w:rsidRPr="00FE08CA">
        <w:t xml:space="preserve"> </w:t>
      </w:r>
      <w:r w:rsidRPr="00FE08CA">
        <w:rPr>
          <w:rFonts w:ascii="Cambria Math" w:hAnsi="Cambria Math" w:cs="Cambria Math"/>
          <w:color w:val="00B050"/>
        </w:rPr>
        <w:t>⨁</w:t>
      </w:r>
      <w:r w:rsidRPr="00FE08CA">
        <w:rPr>
          <w:rFonts w:ascii="Cambria Math" w:hAnsi="Cambria Math" w:cs="Cambria Math"/>
          <w:color w:val="C00000"/>
        </w:rPr>
        <w:t>⨀⨀⨀</w:t>
      </w:r>
      <w:r w:rsidRPr="00305EB7">
        <w:rPr>
          <w:rFonts w:ascii="Arial Narrow" w:hAnsi="Arial Narrow"/>
        </w:rPr>
        <w:t>).</w:t>
      </w:r>
    </w:p>
    <w:p w:rsidR="005C6842" w:rsidRDefault="005C6842" w:rsidP="00E502C3">
      <w:pPr>
        <w:pBdr>
          <w:top w:val="single" w:sz="4" w:space="4" w:color="auto"/>
          <w:left w:val="single" w:sz="4" w:space="4" w:color="auto"/>
          <w:bottom w:val="single" w:sz="4" w:space="4" w:color="auto"/>
          <w:right w:val="single" w:sz="4" w:space="4" w:color="auto"/>
        </w:pBdr>
        <w:rPr>
          <w:rFonts w:ascii="Arial Narrow" w:hAnsi="Arial Narrow"/>
        </w:rPr>
      </w:pPr>
      <w:r>
        <w:rPr>
          <w:rFonts w:ascii="Arial Narrow" w:hAnsi="Arial Narrow"/>
        </w:rPr>
        <w:t xml:space="preserve">Poor quality but consistent evidence suggests that muscle functioning improves with alglucosidase alfa, with the largest benefits seen in the first 6 to 12 months. Those patients who were treated at a younger age, and had a less severe baseline status, responded to a larger degree than patients who were treated as adults, and had severe disease status at baseline </w:t>
      </w:r>
      <w:r w:rsidRPr="00305EB7">
        <w:rPr>
          <w:rFonts w:ascii="Arial Narrow" w:hAnsi="Arial Narrow"/>
        </w:rPr>
        <w:t>(GRADE</w:t>
      </w:r>
      <w:r w:rsidRPr="00FE08CA">
        <w:t xml:space="preserve"> </w:t>
      </w:r>
      <w:r w:rsidRPr="00FE08CA">
        <w:rPr>
          <w:rFonts w:ascii="Cambria Math" w:hAnsi="Cambria Math" w:cs="Cambria Math"/>
          <w:color w:val="00B050"/>
        </w:rPr>
        <w:t>⨁</w:t>
      </w:r>
      <w:r w:rsidRPr="00FE08CA">
        <w:rPr>
          <w:rFonts w:ascii="Cambria Math" w:hAnsi="Cambria Math" w:cs="Cambria Math"/>
          <w:color w:val="C00000"/>
        </w:rPr>
        <w:t>⨀⨀⨀</w:t>
      </w:r>
      <w:r w:rsidRPr="00305EB7">
        <w:rPr>
          <w:rFonts w:ascii="Arial Narrow" w:hAnsi="Arial Narrow"/>
        </w:rPr>
        <w:t>).</w:t>
      </w:r>
    </w:p>
    <w:p w:rsidR="005C6842" w:rsidRDefault="005C6842" w:rsidP="00E502C3">
      <w:pPr>
        <w:pBdr>
          <w:top w:val="single" w:sz="4" w:space="4" w:color="auto"/>
          <w:left w:val="single" w:sz="4" w:space="4" w:color="auto"/>
          <w:bottom w:val="single" w:sz="4" w:space="4" w:color="auto"/>
          <w:right w:val="single" w:sz="4" w:space="4" w:color="auto"/>
        </w:pBdr>
      </w:pPr>
      <w:r>
        <w:rPr>
          <w:rFonts w:ascii="Arial Narrow" w:hAnsi="Arial Narrow"/>
        </w:rPr>
        <w:t>The evidence from case reports is low level and unreliable, and possibly subject to publication bias</w:t>
      </w:r>
      <w:r>
        <w:t>.</w:t>
      </w:r>
    </w:p>
    <w:p w:rsidR="00CB7E5F" w:rsidRDefault="00CB7E5F" w:rsidP="00475E97"/>
    <w:p w:rsidR="00CB7E5F" w:rsidRPr="00FE08CA" w:rsidRDefault="00CB7E5F" w:rsidP="00A979FB">
      <w:pPr>
        <w:pStyle w:val="Heading4"/>
      </w:pPr>
      <w:r w:rsidRPr="00FE08CA">
        <w:t>Background</w:t>
      </w:r>
    </w:p>
    <w:p w:rsidR="00CC1530" w:rsidRDefault="00CC1530" w:rsidP="00CC1530">
      <w:pPr>
        <w:pStyle w:val="Heading5"/>
      </w:pPr>
      <w:r>
        <w:t xml:space="preserve">Juvenile </w:t>
      </w:r>
      <w:r w:rsidR="00926546">
        <w:t xml:space="preserve">late </w:t>
      </w:r>
      <w:r>
        <w:t>onset Pompe disease</w:t>
      </w:r>
    </w:p>
    <w:p w:rsidR="00CB7E5F" w:rsidRDefault="00CB7E5F" w:rsidP="00CB7E5F">
      <w:pPr>
        <w:rPr>
          <w:rFonts w:cs="Calibri"/>
        </w:rPr>
      </w:pPr>
      <w:r>
        <w:rPr>
          <w:rFonts w:cs="Calibri"/>
        </w:rPr>
        <w:t xml:space="preserve">Patients diagnosed with Pompe disease at an age older than 2 years tend to have a varied amount of GAA activity, and considerable clinical heterogeneity. This late-onset form of </w:t>
      </w:r>
      <w:r w:rsidRPr="00FE08CA">
        <w:rPr>
          <w:rFonts w:cs="Calibri"/>
        </w:rPr>
        <w:t>Pompe disease</w:t>
      </w:r>
      <w:r>
        <w:rPr>
          <w:rFonts w:cs="Calibri"/>
        </w:rPr>
        <w:t xml:space="preserve"> can fall into the category of either juvenile or adult, depending on the age at diagnosis and has an incidence of around 1 in 57 000, with variations depending on ethnicity </w:t>
      </w:r>
      <w:r>
        <w:rPr>
          <w:rFonts w:cs="Calibri"/>
          <w:noProof/>
        </w:rPr>
        <w:t>(</w:t>
      </w:r>
      <w:r w:rsidR="00184B6F">
        <w:rPr>
          <w:rFonts w:cs="Calibri"/>
          <w:noProof/>
        </w:rPr>
        <w:t>Bembi et al. 2010</w:t>
      </w:r>
      <w:r>
        <w:rPr>
          <w:rFonts w:cs="Calibri"/>
          <w:noProof/>
        </w:rPr>
        <w:t>)</w:t>
      </w:r>
      <w:r>
        <w:rPr>
          <w:rFonts w:cs="Calibri"/>
        </w:rPr>
        <w:t>. Categorisation may be confused by the patient’s age at onset of symptoms, which may occur years after diagnosis if the patient was identified through genetic characterisation, or well before diagnosis, if symptoms were not associated with the disease in their early stages. Additionally, in the literature the categorisation of juvenile</w:t>
      </w:r>
      <w:r w:rsidR="00926546">
        <w:rPr>
          <w:rFonts w:cs="Calibri"/>
        </w:rPr>
        <w:t xml:space="preserve"> late-</w:t>
      </w:r>
      <w:r>
        <w:rPr>
          <w:rFonts w:cs="Calibri"/>
        </w:rPr>
        <w:t xml:space="preserve"> onset Pompe disease (JOPD) varies in starting age from 1 to 2 years, with upper limits of 16 to 20 years old. This review has used the criteria of onset of symptoms between the ages of 2 and 18 years for JOPD. Further criteria for systematic review of the effects of ERT in the treatment of JOPD can be seen </w:t>
      </w:r>
      <w:r w:rsidR="009343B5">
        <w:rPr>
          <w:rFonts w:cs="Calibri"/>
        </w:rPr>
        <w:t xml:space="preserve">in </w:t>
      </w:r>
      <w:r w:rsidR="00A72B26" w:rsidRPr="00A72B26">
        <w:rPr>
          <w:rFonts w:cs="Calibri"/>
        </w:rPr>
        <w:t>Table 69</w:t>
      </w:r>
      <w:r w:rsidR="009343B5">
        <w:rPr>
          <w:rFonts w:cs="Calibri"/>
        </w:rPr>
        <w:t>.</w:t>
      </w:r>
    </w:p>
    <w:p w:rsidR="00CB7E5F" w:rsidRDefault="00CB7E5F" w:rsidP="00CB7E5F">
      <w:pPr>
        <w:rPr>
          <w:rFonts w:cs="Calibri"/>
        </w:rPr>
      </w:pPr>
      <w:r>
        <w:rPr>
          <w:rFonts w:cs="Calibri"/>
        </w:rPr>
        <w:t xml:space="preserve">JOPD has been found to have somewhat milder symptoms than the classic infantile form of Pompe disease, and disease progression tends to be slower.  Limited evidence suggests that the earlier the age at which symptoms of Pompe occur, the worse the prognosis is likely to </w:t>
      </w:r>
      <w:r>
        <w:rPr>
          <w:rFonts w:cs="Calibri"/>
        </w:rPr>
        <w:lastRenderedPageBreak/>
        <w:t>be and hence adult onset disease tends to be less severe again than JOPD. A collection of 225 case reports from 19 countries was compiled by Winkel et al (2005) to determine the natural history of Pompe disease in patients who did not show the classic infantile phenotype (</w:t>
      </w:r>
      <w:r w:rsidR="00A72B26">
        <w:t xml:space="preserve">Table </w:t>
      </w:r>
      <w:r w:rsidR="00A72B26">
        <w:rPr>
          <w:noProof/>
        </w:rPr>
        <w:t>68</w:t>
      </w:r>
      <w:r>
        <w:rPr>
          <w:rFonts w:cs="Calibri"/>
        </w:rPr>
        <w:t xml:space="preserve">). </w:t>
      </w:r>
    </w:p>
    <w:p w:rsidR="00CB7E5F" w:rsidRDefault="00CB7E5F" w:rsidP="0087056D">
      <w:pPr>
        <w:pStyle w:val="Caption"/>
        <w:ind w:left="1418" w:hanging="1418"/>
      </w:pPr>
      <w:bookmarkStart w:id="312" w:name="_Ref410982424"/>
      <w:bookmarkStart w:id="313" w:name="_Toc411509176"/>
      <w:bookmarkStart w:id="314" w:name="_Toc415141865"/>
      <w:r>
        <w:t xml:space="preserve">Table </w:t>
      </w:r>
      <w:r w:rsidR="00A72B26">
        <w:rPr>
          <w:noProof/>
        </w:rPr>
        <w:t>68</w:t>
      </w:r>
      <w:bookmarkEnd w:id="312"/>
      <w:r>
        <w:tab/>
        <w:t xml:space="preserve">Natural history survival data for patients with non-classic Pompe’s disease </w:t>
      </w:r>
      <w:r w:rsidR="003303FE">
        <w:rPr>
          <w:noProof/>
        </w:rPr>
        <w:t>(</w:t>
      </w:r>
      <w:r w:rsidR="00184B6F">
        <w:rPr>
          <w:noProof/>
        </w:rPr>
        <w:t>Winkel, LP et al. 2005</w:t>
      </w:r>
      <w:r w:rsidR="003303FE">
        <w:rPr>
          <w:noProof/>
        </w:rPr>
        <w:t>)</w:t>
      </w:r>
      <w:bookmarkEnd w:id="313"/>
      <w:bookmarkEnd w:id="314"/>
    </w:p>
    <w:tbl>
      <w:tblPr>
        <w:tblStyle w:val="TableGrid"/>
        <w:tblW w:w="5000" w:type="pct"/>
        <w:tblLook w:val="04A0" w:firstRow="1" w:lastRow="0" w:firstColumn="1" w:lastColumn="0" w:noHBand="0" w:noVBand="1"/>
        <w:tblCaption w:val="Natural history data for non-classic Pompe's disease"/>
      </w:tblPr>
      <w:tblGrid>
        <w:gridCol w:w="1527"/>
        <w:gridCol w:w="1750"/>
        <w:gridCol w:w="1948"/>
        <w:gridCol w:w="1950"/>
        <w:gridCol w:w="2067"/>
      </w:tblGrid>
      <w:tr w:rsidR="00CB7E5F" w:rsidTr="009A0365">
        <w:trPr>
          <w:tblHeader/>
        </w:trPr>
        <w:tc>
          <w:tcPr>
            <w:tcW w:w="826" w:type="pct"/>
          </w:tcPr>
          <w:p w:rsidR="00CB7E5F" w:rsidRDefault="00CB7E5F" w:rsidP="00BC2239">
            <w:pPr>
              <w:pStyle w:val="TableHeading"/>
              <w:rPr>
                <w:lang w:eastAsia="en-US"/>
              </w:rPr>
            </w:pPr>
            <w:r>
              <w:rPr>
                <w:lang w:eastAsia="en-US"/>
              </w:rPr>
              <w:t>Age at onset</w:t>
            </w:r>
          </w:p>
        </w:tc>
        <w:tc>
          <w:tcPr>
            <w:tcW w:w="947" w:type="pct"/>
          </w:tcPr>
          <w:p w:rsidR="00CB7E5F" w:rsidRDefault="00CB7E5F" w:rsidP="006E04C5">
            <w:pPr>
              <w:pStyle w:val="TableHeading"/>
              <w:rPr>
                <w:lang w:eastAsia="en-US"/>
              </w:rPr>
            </w:pPr>
            <w:r>
              <w:rPr>
                <w:lang w:eastAsia="en-US"/>
              </w:rPr>
              <w:t xml:space="preserve">0 – 1 years (n = </w:t>
            </w:r>
            <w:r w:rsidR="006E04C5">
              <w:rPr>
                <w:lang w:eastAsia="en-US"/>
              </w:rPr>
              <w:t>32</w:t>
            </w:r>
            <w:r>
              <w:rPr>
                <w:lang w:eastAsia="en-US"/>
              </w:rPr>
              <w:t>)</w:t>
            </w:r>
          </w:p>
        </w:tc>
        <w:tc>
          <w:tcPr>
            <w:tcW w:w="1054" w:type="pct"/>
          </w:tcPr>
          <w:p w:rsidR="00CB7E5F" w:rsidRDefault="00CB7E5F" w:rsidP="006E04C5">
            <w:pPr>
              <w:pStyle w:val="TableHeading"/>
              <w:rPr>
                <w:lang w:eastAsia="en-US"/>
              </w:rPr>
            </w:pPr>
            <w:r>
              <w:rPr>
                <w:lang w:eastAsia="en-US"/>
              </w:rPr>
              <w:t xml:space="preserve">1 – 6 years (n = </w:t>
            </w:r>
            <w:r w:rsidR="006E04C5">
              <w:rPr>
                <w:lang w:eastAsia="en-US"/>
              </w:rPr>
              <w:t>24</w:t>
            </w:r>
            <w:r>
              <w:rPr>
                <w:lang w:eastAsia="en-US"/>
              </w:rPr>
              <w:t>)</w:t>
            </w:r>
          </w:p>
        </w:tc>
        <w:tc>
          <w:tcPr>
            <w:tcW w:w="1055" w:type="pct"/>
          </w:tcPr>
          <w:p w:rsidR="00CB7E5F" w:rsidRDefault="00CB7E5F" w:rsidP="00BC2239">
            <w:pPr>
              <w:pStyle w:val="TableHeading"/>
              <w:rPr>
                <w:lang w:eastAsia="en-US"/>
              </w:rPr>
            </w:pPr>
            <w:r>
              <w:rPr>
                <w:lang w:eastAsia="en-US"/>
              </w:rPr>
              <w:t>6 – 18 years (n = 30)</w:t>
            </w:r>
          </w:p>
        </w:tc>
        <w:tc>
          <w:tcPr>
            <w:tcW w:w="1119" w:type="pct"/>
          </w:tcPr>
          <w:p w:rsidR="00CB7E5F" w:rsidRDefault="00CB7E5F" w:rsidP="00BC2239">
            <w:pPr>
              <w:pStyle w:val="TableHeading"/>
              <w:rPr>
                <w:lang w:eastAsia="en-US"/>
              </w:rPr>
            </w:pPr>
            <w:r>
              <w:rPr>
                <w:lang w:eastAsia="en-US"/>
              </w:rPr>
              <w:t>18 years or older (n = 139)</w:t>
            </w:r>
          </w:p>
        </w:tc>
      </w:tr>
      <w:tr w:rsidR="006E04C5" w:rsidTr="006E04C5">
        <w:tc>
          <w:tcPr>
            <w:tcW w:w="826" w:type="pct"/>
          </w:tcPr>
          <w:p w:rsidR="006E04C5" w:rsidRPr="006E04C5" w:rsidRDefault="006E04C5" w:rsidP="00BC2239">
            <w:pPr>
              <w:pStyle w:val="TableHeading"/>
              <w:rPr>
                <w:b w:val="0"/>
                <w:lang w:eastAsia="en-US"/>
              </w:rPr>
            </w:pPr>
            <w:r w:rsidRPr="006E04C5">
              <w:rPr>
                <w:b w:val="0"/>
                <w:lang w:eastAsia="en-US"/>
              </w:rPr>
              <w:t>M</w:t>
            </w:r>
            <w:r>
              <w:rPr>
                <w:b w:val="0"/>
                <w:lang w:eastAsia="en-US"/>
              </w:rPr>
              <w:t>ean age at diagnosis (range)</w:t>
            </w:r>
          </w:p>
        </w:tc>
        <w:tc>
          <w:tcPr>
            <w:tcW w:w="947" w:type="pct"/>
          </w:tcPr>
          <w:p w:rsidR="006E04C5" w:rsidRDefault="006E04C5" w:rsidP="00BC2239">
            <w:pPr>
              <w:pStyle w:val="TableHeading"/>
              <w:rPr>
                <w:b w:val="0"/>
                <w:lang w:eastAsia="en-US"/>
              </w:rPr>
            </w:pPr>
            <w:r w:rsidRPr="006E04C5">
              <w:rPr>
                <w:b w:val="0"/>
                <w:lang w:eastAsia="en-US"/>
              </w:rPr>
              <w:t xml:space="preserve">3.8 years </w:t>
            </w:r>
          </w:p>
          <w:p w:rsidR="006E04C5" w:rsidRPr="006E04C5" w:rsidRDefault="006E04C5" w:rsidP="00BC2239">
            <w:pPr>
              <w:pStyle w:val="TableHeading"/>
              <w:rPr>
                <w:b w:val="0"/>
                <w:lang w:eastAsia="en-US"/>
              </w:rPr>
            </w:pPr>
            <w:r w:rsidRPr="006E04C5">
              <w:rPr>
                <w:b w:val="0"/>
                <w:lang w:eastAsia="en-US"/>
              </w:rPr>
              <w:t>(0.1 – 17)</w:t>
            </w:r>
          </w:p>
        </w:tc>
        <w:tc>
          <w:tcPr>
            <w:tcW w:w="1054" w:type="pct"/>
          </w:tcPr>
          <w:p w:rsidR="006E04C5" w:rsidRDefault="006E04C5" w:rsidP="00BC2239">
            <w:pPr>
              <w:pStyle w:val="TableHeading"/>
              <w:rPr>
                <w:b w:val="0"/>
                <w:lang w:eastAsia="en-US"/>
              </w:rPr>
            </w:pPr>
            <w:r>
              <w:rPr>
                <w:b w:val="0"/>
                <w:lang w:eastAsia="en-US"/>
              </w:rPr>
              <w:t xml:space="preserve">7 years </w:t>
            </w:r>
          </w:p>
          <w:p w:rsidR="006E04C5" w:rsidRPr="006E04C5" w:rsidRDefault="006E04C5" w:rsidP="00BC2239">
            <w:pPr>
              <w:pStyle w:val="TableHeading"/>
              <w:rPr>
                <w:b w:val="0"/>
                <w:lang w:eastAsia="en-US"/>
              </w:rPr>
            </w:pPr>
            <w:r>
              <w:rPr>
                <w:b w:val="0"/>
                <w:lang w:eastAsia="en-US"/>
              </w:rPr>
              <w:t xml:space="preserve"> (1.6 – 32)</w:t>
            </w:r>
          </w:p>
        </w:tc>
        <w:tc>
          <w:tcPr>
            <w:tcW w:w="1055" w:type="pct"/>
          </w:tcPr>
          <w:p w:rsidR="006E04C5" w:rsidRDefault="006E04C5" w:rsidP="00BC2239">
            <w:pPr>
              <w:pStyle w:val="TableHeading"/>
              <w:rPr>
                <w:b w:val="0"/>
                <w:lang w:eastAsia="en-US"/>
              </w:rPr>
            </w:pPr>
            <w:r>
              <w:rPr>
                <w:b w:val="0"/>
                <w:lang w:eastAsia="en-US"/>
              </w:rPr>
              <w:t xml:space="preserve">17 years </w:t>
            </w:r>
          </w:p>
          <w:p w:rsidR="006E04C5" w:rsidRPr="006E04C5" w:rsidRDefault="006E04C5" w:rsidP="00BC2239">
            <w:pPr>
              <w:pStyle w:val="TableHeading"/>
              <w:rPr>
                <w:b w:val="0"/>
                <w:lang w:eastAsia="en-US"/>
              </w:rPr>
            </w:pPr>
            <w:r>
              <w:rPr>
                <w:b w:val="0"/>
                <w:lang w:eastAsia="en-US"/>
              </w:rPr>
              <w:t xml:space="preserve">(6 – 61) </w:t>
            </w:r>
          </w:p>
        </w:tc>
        <w:tc>
          <w:tcPr>
            <w:tcW w:w="1119" w:type="pct"/>
          </w:tcPr>
          <w:p w:rsidR="006E04C5" w:rsidRDefault="006E04C5" w:rsidP="00BC2239">
            <w:pPr>
              <w:pStyle w:val="TableHeading"/>
              <w:rPr>
                <w:b w:val="0"/>
                <w:lang w:eastAsia="en-US"/>
              </w:rPr>
            </w:pPr>
            <w:r>
              <w:rPr>
                <w:b w:val="0"/>
                <w:lang w:eastAsia="en-US"/>
              </w:rPr>
              <w:t xml:space="preserve">43 years </w:t>
            </w:r>
          </w:p>
          <w:p w:rsidR="006E04C5" w:rsidRPr="006E04C5" w:rsidRDefault="006E04C5" w:rsidP="00BC2239">
            <w:pPr>
              <w:pStyle w:val="TableHeading"/>
              <w:rPr>
                <w:b w:val="0"/>
                <w:lang w:eastAsia="en-US"/>
              </w:rPr>
            </w:pPr>
            <w:r>
              <w:rPr>
                <w:b w:val="0"/>
                <w:lang w:eastAsia="en-US"/>
              </w:rPr>
              <w:t>(18 – 71)</w:t>
            </w:r>
          </w:p>
        </w:tc>
      </w:tr>
      <w:tr w:rsidR="00CB7E5F" w:rsidTr="006E04C5">
        <w:tc>
          <w:tcPr>
            <w:tcW w:w="826" w:type="pct"/>
          </w:tcPr>
          <w:p w:rsidR="00CB7E5F" w:rsidRDefault="00CB7E5F" w:rsidP="00BC2239">
            <w:pPr>
              <w:pStyle w:val="Tabletext1"/>
              <w:rPr>
                <w:lang w:eastAsia="en-US"/>
              </w:rPr>
            </w:pPr>
            <w:r>
              <w:rPr>
                <w:lang w:eastAsia="en-US"/>
              </w:rPr>
              <w:t>Mean age at death (range)</w:t>
            </w:r>
          </w:p>
        </w:tc>
        <w:tc>
          <w:tcPr>
            <w:tcW w:w="947" w:type="pct"/>
          </w:tcPr>
          <w:p w:rsidR="00CB7E5F" w:rsidRDefault="00CB7E5F" w:rsidP="00BC2239">
            <w:pPr>
              <w:pStyle w:val="Tabletext1"/>
              <w:rPr>
                <w:lang w:eastAsia="en-US"/>
              </w:rPr>
            </w:pPr>
            <w:r>
              <w:rPr>
                <w:lang w:eastAsia="en-US"/>
              </w:rPr>
              <w:t>6.1 years</w:t>
            </w:r>
            <w:r w:rsidR="006E04C5">
              <w:rPr>
                <w:lang w:eastAsia="en-US"/>
              </w:rPr>
              <w:t xml:space="preserve"> (n = 12)</w:t>
            </w:r>
          </w:p>
          <w:p w:rsidR="00CB7E5F" w:rsidRDefault="00CB7E5F" w:rsidP="00BC2239">
            <w:pPr>
              <w:pStyle w:val="Tabletext1"/>
              <w:rPr>
                <w:lang w:eastAsia="en-US"/>
              </w:rPr>
            </w:pPr>
            <w:r>
              <w:rPr>
                <w:lang w:eastAsia="en-US"/>
              </w:rPr>
              <w:t>(0.9 – 24)</w:t>
            </w:r>
          </w:p>
        </w:tc>
        <w:tc>
          <w:tcPr>
            <w:tcW w:w="1054" w:type="pct"/>
          </w:tcPr>
          <w:p w:rsidR="00CB7E5F" w:rsidRDefault="00CB7E5F" w:rsidP="00BC2239">
            <w:pPr>
              <w:pStyle w:val="Tabletext1"/>
              <w:rPr>
                <w:lang w:eastAsia="en-US"/>
              </w:rPr>
            </w:pPr>
            <w:r>
              <w:rPr>
                <w:lang w:eastAsia="en-US"/>
              </w:rPr>
              <w:t>22.6 years</w:t>
            </w:r>
            <w:r w:rsidR="006E04C5">
              <w:rPr>
                <w:lang w:eastAsia="en-US"/>
              </w:rPr>
              <w:t xml:space="preserve"> (n = 4)</w:t>
            </w:r>
          </w:p>
          <w:p w:rsidR="00CB7E5F" w:rsidRDefault="00CB7E5F" w:rsidP="00BC2239">
            <w:pPr>
              <w:pStyle w:val="Tabletext1"/>
              <w:rPr>
                <w:lang w:eastAsia="en-US"/>
              </w:rPr>
            </w:pPr>
            <w:r>
              <w:rPr>
                <w:lang w:eastAsia="en-US"/>
              </w:rPr>
              <w:t>(6.5 – 28)</w:t>
            </w:r>
          </w:p>
        </w:tc>
        <w:tc>
          <w:tcPr>
            <w:tcW w:w="1055" w:type="pct"/>
          </w:tcPr>
          <w:p w:rsidR="00CB7E5F" w:rsidRDefault="00CB7E5F" w:rsidP="00BC2239">
            <w:pPr>
              <w:pStyle w:val="Tabletext1"/>
              <w:rPr>
                <w:lang w:eastAsia="en-US"/>
              </w:rPr>
            </w:pPr>
            <w:r>
              <w:rPr>
                <w:lang w:eastAsia="en-US"/>
              </w:rPr>
              <w:t>25.1 years</w:t>
            </w:r>
            <w:r w:rsidR="006E04C5">
              <w:rPr>
                <w:lang w:eastAsia="en-US"/>
              </w:rPr>
              <w:t xml:space="preserve"> (n = 5)</w:t>
            </w:r>
          </w:p>
          <w:p w:rsidR="00CB7E5F" w:rsidRDefault="00CB7E5F" w:rsidP="00BC2239">
            <w:pPr>
              <w:pStyle w:val="Tabletext1"/>
              <w:rPr>
                <w:lang w:eastAsia="en-US"/>
              </w:rPr>
            </w:pPr>
            <w:r>
              <w:rPr>
                <w:lang w:eastAsia="en-US"/>
              </w:rPr>
              <w:t>(15 – 40.5)</w:t>
            </w:r>
          </w:p>
        </w:tc>
        <w:tc>
          <w:tcPr>
            <w:tcW w:w="1119" w:type="pct"/>
          </w:tcPr>
          <w:p w:rsidR="00CB7E5F" w:rsidRDefault="00CB7E5F" w:rsidP="00BC2239">
            <w:pPr>
              <w:pStyle w:val="Tabletext1"/>
              <w:rPr>
                <w:lang w:eastAsia="en-US"/>
              </w:rPr>
            </w:pPr>
            <w:r>
              <w:rPr>
                <w:lang w:eastAsia="en-US"/>
              </w:rPr>
              <w:t>44.9 years</w:t>
            </w:r>
            <w:r w:rsidR="006E04C5">
              <w:rPr>
                <w:lang w:eastAsia="en-US"/>
              </w:rPr>
              <w:t xml:space="preserve"> (n = 15)</w:t>
            </w:r>
          </w:p>
          <w:p w:rsidR="00CB7E5F" w:rsidRDefault="00CB7E5F" w:rsidP="00BC2239">
            <w:pPr>
              <w:pStyle w:val="Tabletext1"/>
              <w:rPr>
                <w:lang w:eastAsia="en-US"/>
              </w:rPr>
            </w:pPr>
            <w:r>
              <w:rPr>
                <w:lang w:eastAsia="en-US"/>
              </w:rPr>
              <w:t xml:space="preserve">(25 – 66) </w:t>
            </w:r>
          </w:p>
        </w:tc>
      </w:tr>
    </w:tbl>
    <w:p w:rsidR="00CB7E5F" w:rsidRDefault="00CB7E5F" w:rsidP="00CB7E5F">
      <w:pPr>
        <w:rPr>
          <w:rFonts w:cs="Calibri"/>
        </w:rPr>
      </w:pPr>
    </w:p>
    <w:p w:rsidR="00CB7E5F" w:rsidRDefault="00CB7E5F" w:rsidP="00CB7E5F">
      <w:pPr>
        <w:rPr>
          <w:rFonts w:cs="Calibri"/>
        </w:rPr>
      </w:pPr>
      <w:r>
        <w:rPr>
          <w:rFonts w:cs="Calibri"/>
        </w:rPr>
        <w:t xml:space="preserve">Likewise, average age at first ventilation requirement and age of wheelchair use was </w:t>
      </w:r>
      <w:r w:rsidR="00D556DB">
        <w:rPr>
          <w:rFonts w:cs="Calibri"/>
        </w:rPr>
        <w:t xml:space="preserve">positively </w:t>
      </w:r>
      <w:r>
        <w:rPr>
          <w:rFonts w:cs="Calibri"/>
        </w:rPr>
        <w:t xml:space="preserve">associated with age at onset </w:t>
      </w:r>
      <w:r>
        <w:rPr>
          <w:rFonts w:cs="Calibri"/>
          <w:noProof/>
        </w:rPr>
        <w:t>(</w:t>
      </w:r>
      <w:r w:rsidR="00184B6F">
        <w:rPr>
          <w:rFonts w:cs="Calibri"/>
          <w:noProof/>
        </w:rPr>
        <w:t>Winkel, LP et al. 2005</w:t>
      </w:r>
      <w:r>
        <w:rPr>
          <w:rFonts w:cs="Calibri"/>
          <w:noProof/>
        </w:rPr>
        <w:t>)</w:t>
      </w:r>
      <w:r>
        <w:rPr>
          <w:rFonts w:cs="Calibri"/>
        </w:rPr>
        <w:t xml:space="preserve">. Symptoms which are found in classic infantile-onset Pompe disease were more likely to occur in patients presenting with symptoms at a younger age. However, within each age group, there was wide variation in the course of disease </w:t>
      </w:r>
      <w:r>
        <w:rPr>
          <w:rFonts w:cs="Calibri"/>
          <w:noProof/>
        </w:rPr>
        <w:t>(</w:t>
      </w:r>
      <w:r w:rsidR="00184B6F">
        <w:rPr>
          <w:rFonts w:cs="Calibri"/>
          <w:noProof/>
        </w:rPr>
        <w:t>Winkel, LP et al. 2005</w:t>
      </w:r>
      <w:r>
        <w:rPr>
          <w:rFonts w:cs="Calibri"/>
          <w:noProof/>
        </w:rPr>
        <w:t>)</w:t>
      </w:r>
      <w:r>
        <w:rPr>
          <w:rFonts w:cs="Calibri"/>
        </w:rPr>
        <w:t xml:space="preserve">. </w:t>
      </w:r>
    </w:p>
    <w:p w:rsidR="00CC1530" w:rsidRDefault="00CC1530" w:rsidP="00CC1530">
      <w:pPr>
        <w:pStyle w:val="Heading5"/>
      </w:pPr>
      <w:r>
        <w:t>Pre-enzyme replacement therapy</w:t>
      </w:r>
    </w:p>
    <w:p w:rsidR="00CC1530" w:rsidRDefault="00CC1530" w:rsidP="00CB7E5F">
      <w:pPr>
        <w:rPr>
          <w:rFonts w:cs="Calibri"/>
        </w:rPr>
      </w:pPr>
      <w:r>
        <w:rPr>
          <w:rFonts w:cs="Calibri"/>
        </w:rPr>
        <w:t xml:space="preserve">Prior to alglucosidase alfa becoming available, there was no treatment for patients with juvenile </w:t>
      </w:r>
      <w:r w:rsidR="00926546">
        <w:rPr>
          <w:rFonts w:cs="Calibri"/>
        </w:rPr>
        <w:t>late-</w:t>
      </w:r>
      <w:r>
        <w:rPr>
          <w:rFonts w:cs="Calibri"/>
        </w:rPr>
        <w:t>onset Pompe disease, so their management involved supportive care and palliation</w:t>
      </w:r>
      <w:r w:rsidR="00147E74">
        <w:rPr>
          <w:rFonts w:cs="Calibri"/>
        </w:rPr>
        <w:t xml:space="preserve"> </w:t>
      </w:r>
      <w:r w:rsidR="00147E74" w:rsidRPr="000D69E5">
        <w:t>(including intensive respiratory support, cardiac care, dietary therapy and rehabilitative services)</w:t>
      </w:r>
      <w:r>
        <w:rPr>
          <w:rFonts w:cs="Calibri"/>
        </w:rPr>
        <w:t xml:space="preserve">. </w:t>
      </w:r>
    </w:p>
    <w:p w:rsidR="00CC1530" w:rsidRPr="00CC1530" w:rsidRDefault="00CC1530" w:rsidP="00CB7E5F">
      <w:pPr>
        <w:rPr>
          <w:rFonts w:ascii="Cambria" w:hAnsi="Cambria"/>
          <w:color w:val="243F60"/>
        </w:rPr>
      </w:pPr>
      <w:r w:rsidRPr="00CC1530">
        <w:rPr>
          <w:rFonts w:ascii="Cambria" w:hAnsi="Cambria"/>
          <w:color w:val="243F60"/>
        </w:rPr>
        <w:t>Enzyme replacement therapy</w:t>
      </w:r>
    </w:p>
    <w:p w:rsidR="00CC1530" w:rsidRDefault="00CC1530" w:rsidP="00CB7E5F">
      <w:pPr>
        <w:rPr>
          <w:rFonts w:cs="Calibri"/>
        </w:rPr>
      </w:pPr>
      <w:r>
        <w:rPr>
          <w:rFonts w:cs="Calibri"/>
        </w:rPr>
        <w:t xml:space="preserve">Alglucosidase alfa has been subsidised for patients with juvenile </w:t>
      </w:r>
      <w:r w:rsidR="00926546">
        <w:rPr>
          <w:rFonts w:cs="Calibri"/>
        </w:rPr>
        <w:t>late-</w:t>
      </w:r>
      <w:r>
        <w:rPr>
          <w:rFonts w:cs="Calibri"/>
        </w:rPr>
        <w:t xml:space="preserve">onset Pompe disease through the LSDP since </w:t>
      </w:r>
      <w:r w:rsidR="000A0FAC">
        <w:rPr>
          <w:rFonts w:cs="Calibri"/>
        </w:rPr>
        <w:t>December 2014</w:t>
      </w:r>
      <w:r>
        <w:rPr>
          <w:rFonts w:cs="Calibri"/>
        </w:rPr>
        <w:t xml:space="preserve">. </w:t>
      </w:r>
    </w:p>
    <w:p w:rsidR="001A6FF0" w:rsidRPr="00BD0506" w:rsidRDefault="001A6FF0" w:rsidP="00A979FB">
      <w:pPr>
        <w:pStyle w:val="Heading4"/>
      </w:pPr>
      <w:r w:rsidRPr="00BD0506">
        <w:t xml:space="preserve">Systematic review </w:t>
      </w:r>
    </w:p>
    <w:p w:rsidR="001A6FF0" w:rsidRDefault="001A6FF0" w:rsidP="001A6FF0">
      <w:pPr>
        <w:rPr>
          <w:rFonts w:cs="Calibri"/>
        </w:rPr>
      </w:pPr>
      <w:r>
        <w:rPr>
          <w:rFonts w:cs="Calibri"/>
        </w:rPr>
        <w:t xml:space="preserve">The systematic review for this section searched for data on juvenile onset patients of any age, including those currently of adult age. Where studies included </w:t>
      </w:r>
      <w:r w:rsidR="00C23674">
        <w:rPr>
          <w:rFonts w:cs="Calibri"/>
        </w:rPr>
        <w:t xml:space="preserve">both adult and juvenile onset </w:t>
      </w:r>
      <w:r>
        <w:rPr>
          <w:rFonts w:cs="Calibri"/>
        </w:rPr>
        <w:t xml:space="preserve">patients, an attempt was made to separate data for JOPD. One RCT </w:t>
      </w:r>
      <w:r>
        <w:rPr>
          <w:rFonts w:cs="Calibri"/>
          <w:noProof/>
        </w:rPr>
        <w:t>(</w:t>
      </w:r>
      <w:r w:rsidR="00184B6F">
        <w:rPr>
          <w:rFonts w:cs="Calibri"/>
          <w:noProof/>
        </w:rPr>
        <w:t>Van Der Ploeg et al. 2010</w:t>
      </w:r>
      <w:r>
        <w:rPr>
          <w:rFonts w:cs="Calibri"/>
          <w:noProof/>
        </w:rPr>
        <w:t>)</w:t>
      </w:r>
      <w:r>
        <w:rPr>
          <w:rFonts w:cs="Calibri"/>
        </w:rPr>
        <w:t xml:space="preserve"> and one SR </w:t>
      </w:r>
      <w:r>
        <w:rPr>
          <w:rFonts w:cs="Calibri"/>
          <w:noProof/>
        </w:rPr>
        <w:t>(</w:t>
      </w:r>
      <w:r w:rsidR="00184B6F">
        <w:rPr>
          <w:rFonts w:cs="Calibri"/>
          <w:noProof/>
        </w:rPr>
        <w:t>Toscano &amp; Schoser 2013</w:t>
      </w:r>
      <w:r>
        <w:rPr>
          <w:rFonts w:cs="Calibri"/>
          <w:noProof/>
        </w:rPr>
        <w:t>)</w:t>
      </w:r>
      <w:r>
        <w:rPr>
          <w:rFonts w:cs="Calibri"/>
        </w:rPr>
        <w:t xml:space="preserve"> were identified, both of which studied populations including juvenile </w:t>
      </w:r>
      <w:r w:rsidR="00926546">
        <w:rPr>
          <w:rFonts w:cs="Calibri"/>
        </w:rPr>
        <w:t xml:space="preserve">late-onset </w:t>
      </w:r>
      <w:r>
        <w:rPr>
          <w:rFonts w:cs="Calibri"/>
        </w:rPr>
        <w:t>and adult onset Pompe disease, however the data were not separated, nor were the proportions of each population published. This “higher level” evidence was therefore not included here. Lower level evidence (case series and case reports) have been used to provide evidence for the effectiveness of ERT</w:t>
      </w:r>
      <w:r w:rsidR="00F0206E">
        <w:rPr>
          <w:rFonts w:cs="Calibri"/>
        </w:rPr>
        <w:t xml:space="preserve"> (alglucosidase alfa)</w:t>
      </w:r>
      <w:r>
        <w:rPr>
          <w:rFonts w:cs="Calibri"/>
        </w:rPr>
        <w:t xml:space="preserve"> for JOPD.</w:t>
      </w:r>
      <w:r w:rsidR="006A63A8">
        <w:rPr>
          <w:rFonts w:cs="Calibri"/>
        </w:rPr>
        <w:t xml:space="preserve"> </w:t>
      </w:r>
      <w:r w:rsidR="006A63A8">
        <w:rPr>
          <w:rFonts w:asciiTheme="minorHAnsi" w:hAnsiTheme="minorHAnsi"/>
        </w:rPr>
        <w:t>There are no comparator groups for studies of this level of evidence.</w:t>
      </w:r>
    </w:p>
    <w:p w:rsidR="001A6FF0" w:rsidRPr="000D69E5" w:rsidRDefault="00A72B26" w:rsidP="001A6FF0">
      <w:pPr>
        <w:rPr>
          <w:rFonts w:cs="Calibri"/>
        </w:rPr>
      </w:pPr>
      <w:r w:rsidRPr="00A72B26">
        <w:rPr>
          <w:rFonts w:cs="Calibri"/>
        </w:rPr>
        <w:lastRenderedPageBreak/>
        <w:t>Table 69</w:t>
      </w:r>
      <w:r w:rsidR="001A6FF0" w:rsidRPr="000D69E5">
        <w:rPr>
          <w:rFonts w:cs="Calibri"/>
        </w:rPr>
        <w:t xml:space="preserve"> outlines the criteria for selecting studies that assess the safety and effectiveness of alglucosidase alfa for the treatment of patients with </w:t>
      </w:r>
      <w:r w:rsidR="001A6FF0">
        <w:rPr>
          <w:rFonts w:cs="Calibri"/>
        </w:rPr>
        <w:t>JOPD.</w:t>
      </w:r>
    </w:p>
    <w:p w:rsidR="001A6FF0" w:rsidRPr="000D69E5" w:rsidRDefault="001A6FF0" w:rsidP="00086C2D">
      <w:pPr>
        <w:pStyle w:val="Figureheading0"/>
        <w:keepNext/>
        <w:ind w:left="1418" w:hanging="1418"/>
      </w:pPr>
      <w:bookmarkStart w:id="315" w:name="_Ref410398142"/>
      <w:bookmarkStart w:id="316" w:name="_Toc397967907"/>
      <w:bookmarkStart w:id="317" w:name="_Toc415141866"/>
      <w:r w:rsidRPr="000D69E5">
        <w:t xml:space="preserve">Table </w:t>
      </w:r>
      <w:r w:rsidR="00A72B26">
        <w:rPr>
          <w:noProof/>
        </w:rPr>
        <w:t>69</w:t>
      </w:r>
      <w:bookmarkEnd w:id="315"/>
      <w:r w:rsidRPr="000D69E5">
        <w:tab/>
        <w:t xml:space="preserve">Criteria for selecting studies to assess the safety and effectiveness of </w:t>
      </w:r>
      <w:r w:rsidRPr="000D69E5">
        <w:rPr>
          <w:rFonts w:cs="Calibri"/>
        </w:rPr>
        <w:t>alglucosidase alfa</w:t>
      </w:r>
      <w:bookmarkEnd w:id="316"/>
      <w:bookmarkEnd w:id="317"/>
    </w:p>
    <w:tbl>
      <w:tblPr>
        <w:tblStyle w:val="TableGrid"/>
        <w:tblW w:w="0" w:type="auto"/>
        <w:tblLook w:val="04A0" w:firstRow="1" w:lastRow="0" w:firstColumn="1" w:lastColumn="0" w:noHBand="0" w:noVBand="1"/>
        <w:tblCaption w:val="Inclusion criteria for selection studies on alglucosidase alfa "/>
      </w:tblPr>
      <w:tblGrid>
        <w:gridCol w:w="1555"/>
        <w:gridCol w:w="7687"/>
      </w:tblGrid>
      <w:tr w:rsidR="001A6FF0" w:rsidRPr="000D69E5" w:rsidTr="009A0365">
        <w:trPr>
          <w:tblHeader/>
        </w:trPr>
        <w:tc>
          <w:tcPr>
            <w:tcW w:w="1555" w:type="dxa"/>
          </w:tcPr>
          <w:p w:rsidR="001A6FF0" w:rsidRPr="000D69E5" w:rsidRDefault="001A6FF0" w:rsidP="006A63A8">
            <w:pPr>
              <w:pStyle w:val="TableHeading"/>
            </w:pPr>
            <w:r w:rsidRPr="000D69E5">
              <w:t>Characteristic</w:t>
            </w:r>
          </w:p>
        </w:tc>
        <w:tc>
          <w:tcPr>
            <w:tcW w:w="7687" w:type="dxa"/>
          </w:tcPr>
          <w:p w:rsidR="001A6FF0" w:rsidRPr="000D69E5" w:rsidRDefault="001A6FF0" w:rsidP="006A63A8">
            <w:pPr>
              <w:pStyle w:val="TableHeading"/>
            </w:pPr>
            <w:r w:rsidRPr="000D69E5">
              <w:t>Inclusion criteria</w:t>
            </w:r>
          </w:p>
        </w:tc>
      </w:tr>
      <w:tr w:rsidR="001A6FF0" w:rsidRPr="000D69E5" w:rsidTr="00BC2239">
        <w:tc>
          <w:tcPr>
            <w:tcW w:w="1555" w:type="dxa"/>
          </w:tcPr>
          <w:p w:rsidR="001A6FF0" w:rsidRPr="000D69E5" w:rsidRDefault="001A6FF0" w:rsidP="006A63A8">
            <w:pPr>
              <w:pStyle w:val="TableText0"/>
              <w:rPr>
                <w:bCs/>
                <w:caps/>
                <w:color w:val="002060"/>
              </w:rPr>
            </w:pPr>
            <w:r w:rsidRPr="000D69E5">
              <w:t>Study design</w:t>
            </w:r>
          </w:p>
        </w:tc>
        <w:tc>
          <w:tcPr>
            <w:tcW w:w="7687" w:type="dxa"/>
          </w:tcPr>
          <w:p w:rsidR="001A6FF0" w:rsidRPr="000D69E5" w:rsidRDefault="001A6FF0" w:rsidP="006A63A8">
            <w:pPr>
              <w:pStyle w:val="TableText0"/>
              <w:rPr>
                <w:bCs/>
                <w:caps/>
                <w:color w:val="002060"/>
              </w:rPr>
            </w:pPr>
            <w:r w:rsidRPr="000D69E5">
              <w:t xml:space="preserve">Randomised trials, pseudo-randomised trials, cohort studies and historical control studies. </w:t>
            </w:r>
            <w:r>
              <w:t>In the absence of comparative evidence, case series and case reports were included.</w:t>
            </w:r>
          </w:p>
        </w:tc>
      </w:tr>
      <w:tr w:rsidR="001A6FF0" w:rsidRPr="000D69E5" w:rsidTr="00BC2239">
        <w:tc>
          <w:tcPr>
            <w:tcW w:w="1555" w:type="dxa"/>
          </w:tcPr>
          <w:p w:rsidR="001A6FF0" w:rsidRPr="000D69E5" w:rsidRDefault="001A6FF0" w:rsidP="006A63A8">
            <w:pPr>
              <w:pStyle w:val="TableText0"/>
            </w:pPr>
            <w:r w:rsidRPr="000D69E5">
              <w:t>Population</w:t>
            </w:r>
          </w:p>
        </w:tc>
        <w:tc>
          <w:tcPr>
            <w:tcW w:w="7687" w:type="dxa"/>
          </w:tcPr>
          <w:p w:rsidR="001A6FF0" w:rsidRPr="000D69E5" w:rsidRDefault="001A6FF0" w:rsidP="006A63A8">
            <w:pPr>
              <w:pStyle w:val="TableText0"/>
            </w:pPr>
            <w:r w:rsidRPr="000D69E5">
              <w:t>Patients with Juvenile Onset Pompe Disease (glycogen storage disease type II, or acid maltase deficiency; presentation when 2 to 18 years old)</w:t>
            </w:r>
          </w:p>
        </w:tc>
      </w:tr>
      <w:tr w:rsidR="001A6FF0" w:rsidRPr="000D69E5" w:rsidTr="00BC2239">
        <w:tc>
          <w:tcPr>
            <w:tcW w:w="1555" w:type="dxa"/>
          </w:tcPr>
          <w:p w:rsidR="001A6FF0" w:rsidRPr="000D69E5" w:rsidRDefault="001A6FF0" w:rsidP="006A63A8">
            <w:pPr>
              <w:pStyle w:val="TableText0"/>
            </w:pPr>
            <w:r w:rsidRPr="000D69E5">
              <w:t>Intervention</w:t>
            </w:r>
          </w:p>
        </w:tc>
        <w:tc>
          <w:tcPr>
            <w:tcW w:w="7687" w:type="dxa"/>
          </w:tcPr>
          <w:p w:rsidR="001A6FF0" w:rsidRPr="000D69E5" w:rsidRDefault="001A6FF0" w:rsidP="006A63A8">
            <w:pPr>
              <w:pStyle w:val="TableText0"/>
            </w:pPr>
            <w:r w:rsidRPr="000D69E5">
              <w:t>Alglucosidase alfa (Myozyme®)</w:t>
            </w:r>
          </w:p>
          <w:p w:rsidR="001A6FF0" w:rsidRPr="000D69E5" w:rsidRDefault="001A6FF0" w:rsidP="006A63A8">
            <w:pPr>
              <w:pStyle w:val="TableText0"/>
            </w:pPr>
            <w:r w:rsidRPr="000D69E5">
              <w:t>Subgroup analysis: by dose (e</w:t>
            </w:r>
            <w:r w:rsidR="004B6BA9">
              <w:t>.</w:t>
            </w:r>
            <w:r w:rsidRPr="000D69E5">
              <w:t>g</w:t>
            </w:r>
            <w:r w:rsidR="004B6BA9">
              <w:t>.</w:t>
            </w:r>
            <w:r w:rsidRPr="000D69E5">
              <w:t xml:space="preserve"> doses consistent with TGA listing, as well as experimental dosing regimens); by whether immunosuppressives (e</w:t>
            </w:r>
            <w:r w:rsidR="004B6BA9">
              <w:t>.</w:t>
            </w:r>
            <w:r w:rsidRPr="000D69E5">
              <w:t>g</w:t>
            </w:r>
            <w:r w:rsidR="004B6BA9">
              <w:t>.</w:t>
            </w:r>
            <w:r w:rsidRPr="000D69E5">
              <w:t xml:space="preserve"> infliximab, prednisolone) were co-administered</w:t>
            </w:r>
          </w:p>
        </w:tc>
      </w:tr>
      <w:tr w:rsidR="001A6FF0" w:rsidRPr="000D69E5" w:rsidTr="00BC2239">
        <w:tc>
          <w:tcPr>
            <w:tcW w:w="1555" w:type="dxa"/>
          </w:tcPr>
          <w:p w:rsidR="001A6FF0" w:rsidRPr="000D69E5" w:rsidRDefault="001A6FF0" w:rsidP="006A63A8">
            <w:pPr>
              <w:pStyle w:val="TableText0"/>
            </w:pPr>
            <w:r w:rsidRPr="000D69E5">
              <w:t>Comparator</w:t>
            </w:r>
          </w:p>
        </w:tc>
        <w:tc>
          <w:tcPr>
            <w:tcW w:w="7687" w:type="dxa"/>
          </w:tcPr>
          <w:p w:rsidR="001A6FF0" w:rsidRPr="000D69E5" w:rsidRDefault="001A6FF0" w:rsidP="006A63A8">
            <w:pPr>
              <w:pStyle w:val="TableText0"/>
            </w:pPr>
            <w:r w:rsidRPr="000D69E5">
              <w:t>Standard palliative care (including intensive respiratory support, cardiac care, dietary therapy and rehabilitative services) with/without placebo</w:t>
            </w:r>
          </w:p>
        </w:tc>
      </w:tr>
      <w:tr w:rsidR="001A6FF0" w:rsidRPr="000D69E5" w:rsidTr="00BC2239">
        <w:tc>
          <w:tcPr>
            <w:tcW w:w="1555" w:type="dxa"/>
          </w:tcPr>
          <w:p w:rsidR="001A6FF0" w:rsidRPr="000D69E5" w:rsidRDefault="001A6FF0" w:rsidP="006A63A8">
            <w:pPr>
              <w:pStyle w:val="TableText0"/>
            </w:pPr>
            <w:r w:rsidRPr="000D69E5">
              <w:t>Outcomes</w:t>
            </w:r>
          </w:p>
        </w:tc>
        <w:tc>
          <w:tcPr>
            <w:tcW w:w="7687" w:type="dxa"/>
          </w:tcPr>
          <w:p w:rsidR="001A6FF0" w:rsidRPr="000D69E5" w:rsidRDefault="001A6FF0" w:rsidP="006A63A8">
            <w:pPr>
              <w:pStyle w:val="TableText0"/>
            </w:pPr>
            <w:r w:rsidRPr="000D69E5">
              <w:rPr>
                <w:i/>
                <w:iCs/>
              </w:rPr>
              <w:t>Safety:</w:t>
            </w:r>
            <w:r w:rsidRPr="000D69E5">
              <w:t xml:space="preserve"> adverse events related to treatment – for example, urticaria, pyrexia, anaphylactic shock; and compliance with treatment (i.e. treatment withdrawal or suboptimal dosing)</w:t>
            </w:r>
          </w:p>
          <w:p w:rsidR="001A6FF0" w:rsidRPr="000D69E5" w:rsidRDefault="001A6FF0" w:rsidP="006A63A8">
            <w:pPr>
              <w:pStyle w:val="TableText0"/>
            </w:pPr>
            <w:r w:rsidRPr="000D69E5">
              <w:rPr>
                <w:i/>
                <w:iCs/>
              </w:rPr>
              <w:t>Primary effectiveness:</w:t>
            </w:r>
            <w:r w:rsidRPr="000D69E5">
              <w:t xml:space="preserve"> survival</w:t>
            </w:r>
          </w:p>
          <w:p w:rsidR="001A6FF0" w:rsidRPr="000D69E5" w:rsidRDefault="001A6FF0" w:rsidP="006A63A8">
            <w:pPr>
              <w:pStyle w:val="TableText0"/>
            </w:pPr>
            <w:r w:rsidRPr="000D69E5">
              <w:rPr>
                <w:i/>
                <w:iCs/>
              </w:rPr>
              <w:t>Secondary effectiveness:</w:t>
            </w:r>
            <w:r w:rsidRPr="000D69E5">
              <w:t xml:space="preserve"> quality of life; cardiorespiratory functioning (ventilator free survival, supplementary oxygen, apnoea/hypopnoea, sleep apnoea, CPAP requirements: nocturnal or all day); cardiovascular function (hypertension, left ventricular measures, exercise capacity, heart failure); gross motor functioning; swallowing; audiology outcomes; neurological outcomes.</w:t>
            </w:r>
          </w:p>
        </w:tc>
      </w:tr>
      <w:tr w:rsidR="001A6FF0" w:rsidRPr="000D69E5" w:rsidTr="00BC2239">
        <w:tc>
          <w:tcPr>
            <w:tcW w:w="1555" w:type="dxa"/>
          </w:tcPr>
          <w:p w:rsidR="001A6FF0" w:rsidRPr="000D69E5" w:rsidRDefault="001A6FF0" w:rsidP="006A63A8">
            <w:pPr>
              <w:pStyle w:val="TableText0"/>
            </w:pPr>
            <w:r w:rsidRPr="000D69E5">
              <w:t>Language</w:t>
            </w:r>
          </w:p>
        </w:tc>
        <w:tc>
          <w:tcPr>
            <w:tcW w:w="7687" w:type="dxa"/>
          </w:tcPr>
          <w:p w:rsidR="001A6FF0" w:rsidRPr="000D69E5" w:rsidRDefault="001A6FF0" w:rsidP="006A63A8">
            <w:pPr>
              <w:pStyle w:val="TableText0"/>
            </w:pPr>
            <w:r w:rsidRPr="000D69E5">
              <w:t xml:space="preserve">Studies in languages other than English </w:t>
            </w:r>
            <w:r>
              <w:t xml:space="preserve">would only have been translated if they appeared from the abstract to </w:t>
            </w:r>
            <w:r w:rsidRPr="000D69E5">
              <w:t>represent a higher level of evidence than that available in English.</w:t>
            </w:r>
          </w:p>
        </w:tc>
      </w:tr>
      <w:tr w:rsidR="001A6FF0" w:rsidRPr="000D69E5" w:rsidTr="00BC2239">
        <w:tc>
          <w:tcPr>
            <w:tcW w:w="1555" w:type="dxa"/>
          </w:tcPr>
          <w:p w:rsidR="001A6FF0" w:rsidRPr="000D69E5" w:rsidRDefault="001A6FF0" w:rsidP="006A63A8">
            <w:pPr>
              <w:pStyle w:val="TableText0"/>
            </w:pPr>
            <w:r w:rsidRPr="000D69E5">
              <w:t>Research question</w:t>
            </w:r>
          </w:p>
        </w:tc>
        <w:tc>
          <w:tcPr>
            <w:tcW w:w="7687" w:type="dxa"/>
          </w:tcPr>
          <w:p w:rsidR="001A6FF0" w:rsidRPr="000D69E5" w:rsidRDefault="001A6FF0" w:rsidP="006A63A8">
            <w:pPr>
              <w:pStyle w:val="TableText0"/>
            </w:pPr>
            <w:r w:rsidRPr="000D69E5">
              <w:t>Is alglucosidase alfa safe and effective compared to standard palliative care with/without placebo for treating patients with Juvenile Onset Pompe Disease?</w:t>
            </w:r>
          </w:p>
        </w:tc>
      </w:tr>
    </w:tbl>
    <w:p w:rsidR="001A6FF0" w:rsidRPr="000D69E5" w:rsidRDefault="001A6FF0" w:rsidP="001A6FF0">
      <w:pPr>
        <w:rPr>
          <w:rFonts w:ascii="Arial Narrow" w:hAnsi="Arial Narrow" w:cs="Calibri"/>
          <w:sz w:val="20"/>
          <w:szCs w:val="20"/>
        </w:rPr>
      </w:pPr>
      <w:r w:rsidRPr="000D69E5">
        <w:rPr>
          <w:rFonts w:ascii="Arial Narrow" w:hAnsi="Arial Narrow" w:cs="Calibri"/>
          <w:sz w:val="20"/>
          <w:szCs w:val="20"/>
        </w:rPr>
        <w:t>TGA</w:t>
      </w:r>
      <w:r w:rsidR="0025188D">
        <w:rPr>
          <w:rFonts w:ascii="Arial Narrow" w:hAnsi="Arial Narrow" w:cs="Calibri"/>
          <w:sz w:val="20"/>
          <w:szCs w:val="20"/>
        </w:rPr>
        <w:t xml:space="preserve"> </w:t>
      </w:r>
      <w:r w:rsidRPr="000D69E5">
        <w:rPr>
          <w:rFonts w:ascii="Arial Narrow" w:hAnsi="Arial Narrow" w:cs="Calibri"/>
          <w:sz w:val="20"/>
          <w:szCs w:val="20"/>
        </w:rPr>
        <w:t>=</w:t>
      </w:r>
      <w:r w:rsidR="0025188D">
        <w:rPr>
          <w:rFonts w:ascii="Arial Narrow" w:hAnsi="Arial Narrow" w:cs="Calibri"/>
          <w:sz w:val="20"/>
          <w:szCs w:val="20"/>
        </w:rPr>
        <w:t xml:space="preserve"> </w:t>
      </w:r>
      <w:r w:rsidRPr="000D69E5">
        <w:rPr>
          <w:rFonts w:ascii="Arial Narrow" w:hAnsi="Arial Narrow" w:cs="Calibri"/>
          <w:sz w:val="20"/>
          <w:szCs w:val="20"/>
        </w:rPr>
        <w:t>Therapeutic Goods Administration; CPAP</w:t>
      </w:r>
      <w:r w:rsidR="0025188D">
        <w:rPr>
          <w:rFonts w:ascii="Arial Narrow" w:hAnsi="Arial Narrow" w:cs="Calibri"/>
          <w:sz w:val="20"/>
          <w:szCs w:val="20"/>
        </w:rPr>
        <w:t xml:space="preserve"> </w:t>
      </w:r>
      <w:r w:rsidRPr="000D69E5">
        <w:rPr>
          <w:rFonts w:ascii="Arial Narrow" w:hAnsi="Arial Narrow" w:cs="Calibri"/>
          <w:sz w:val="20"/>
          <w:szCs w:val="20"/>
        </w:rPr>
        <w:t>=</w:t>
      </w:r>
      <w:r w:rsidR="0025188D">
        <w:rPr>
          <w:rFonts w:ascii="Arial Narrow" w:hAnsi="Arial Narrow" w:cs="Calibri"/>
          <w:sz w:val="20"/>
          <w:szCs w:val="20"/>
        </w:rPr>
        <w:t xml:space="preserve"> </w:t>
      </w:r>
      <w:r w:rsidRPr="000D69E5">
        <w:rPr>
          <w:rFonts w:ascii="Arial Narrow" w:hAnsi="Arial Narrow" w:cs="Calibri"/>
          <w:sz w:val="20"/>
          <w:szCs w:val="20"/>
        </w:rPr>
        <w:t>continuous positive airway pressure</w:t>
      </w:r>
    </w:p>
    <w:p w:rsidR="001A6FF0" w:rsidRDefault="001A6FF0" w:rsidP="001A6FF0">
      <w:pPr>
        <w:rPr>
          <w:rFonts w:cs="Calibri"/>
        </w:rPr>
      </w:pPr>
    </w:p>
    <w:p w:rsidR="001A6FF0" w:rsidRPr="00FE08CA" w:rsidRDefault="001A6FF0" w:rsidP="00A979FB">
      <w:pPr>
        <w:pStyle w:val="Heading4"/>
      </w:pPr>
      <w:r w:rsidRPr="00FE08CA">
        <w:t>Results of the literature search</w:t>
      </w:r>
    </w:p>
    <w:p w:rsidR="001A6FF0" w:rsidRPr="002556D5" w:rsidRDefault="001A6FF0" w:rsidP="001A6FF0">
      <w:pPr>
        <w:rPr>
          <w:rFonts w:asciiTheme="minorHAnsi" w:hAnsiTheme="minorHAnsi"/>
        </w:rPr>
      </w:pPr>
      <w:r w:rsidRPr="002556D5">
        <w:rPr>
          <w:rFonts w:asciiTheme="minorHAnsi" w:hAnsiTheme="minorHAnsi"/>
        </w:rPr>
        <w:t>The literature se</w:t>
      </w:r>
      <w:r>
        <w:rPr>
          <w:rFonts w:asciiTheme="minorHAnsi" w:hAnsiTheme="minorHAnsi"/>
        </w:rPr>
        <w:t>arch identified one case series</w:t>
      </w:r>
      <w:r w:rsidRPr="002556D5">
        <w:rPr>
          <w:rFonts w:asciiTheme="minorHAnsi" w:hAnsiTheme="minorHAnsi"/>
        </w:rPr>
        <w:t xml:space="preserve"> </w:t>
      </w:r>
      <w:r w:rsidRPr="002556D5">
        <w:rPr>
          <w:rFonts w:asciiTheme="minorHAnsi" w:hAnsiTheme="minorHAnsi"/>
          <w:noProof/>
        </w:rPr>
        <w:t>(</w:t>
      </w:r>
      <w:r w:rsidR="00184B6F" w:rsidRPr="002556D5">
        <w:rPr>
          <w:rFonts w:asciiTheme="minorHAnsi" w:hAnsiTheme="minorHAnsi"/>
          <w:noProof/>
        </w:rPr>
        <w:t>Bembi et al. 2010</w:t>
      </w:r>
      <w:r w:rsidRPr="002556D5">
        <w:rPr>
          <w:rFonts w:asciiTheme="minorHAnsi" w:hAnsiTheme="minorHAnsi"/>
          <w:noProof/>
        </w:rPr>
        <w:t>)</w:t>
      </w:r>
      <w:r w:rsidRPr="002556D5">
        <w:rPr>
          <w:rFonts w:asciiTheme="minorHAnsi" w:hAnsiTheme="minorHAnsi"/>
        </w:rPr>
        <w:t xml:space="preserve"> and 15 case report studies which provided separate data for JOPD patients</w:t>
      </w:r>
      <w:r>
        <w:rPr>
          <w:rFonts w:asciiTheme="minorHAnsi" w:hAnsiTheme="minorHAnsi"/>
        </w:rPr>
        <w:t xml:space="preserve"> </w:t>
      </w:r>
      <w:r w:rsidR="00746F05">
        <w:rPr>
          <w:rFonts w:asciiTheme="minorHAnsi" w:hAnsiTheme="minorHAnsi"/>
          <w:noProof/>
        </w:rPr>
        <w:t>(</w:t>
      </w:r>
      <w:r w:rsidR="00184B6F">
        <w:rPr>
          <w:rFonts w:asciiTheme="minorHAnsi" w:hAnsiTheme="minorHAnsi"/>
          <w:noProof/>
        </w:rPr>
        <w:t>Bernstein et al. 2010</w:t>
      </w:r>
      <w:r w:rsidR="00746F05">
        <w:rPr>
          <w:rFonts w:asciiTheme="minorHAnsi" w:hAnsiTheme="minorHAnsi"/>
          <w:noProof/>
        </w:rPr>
        <w:t xml:space="preserve">; </w:t>
      </w:r>
      <w:r w:rsidR="00184B6F">
        <w:rPr>
          <w:rFonts w:asciiTheme="minorHAnsi" w:hAnsiTheme="minorHAnsi"/>
          <w:noProof/>
        </w:rPr>
        <w:t>Deroma et al. 2014</w:t>
      </w:r>
      <w:r w:rsidR="00746F05">
        <w:rPr>
          <w:rFonts w:asciiTheme="minorHAnsi" w:hAnsiTheme="minorHAnsi"/>
          <w:noProof/>
        </w:rPr>
        <w:t xml:space="preserve">; </w:t>
      </w:r>
      <w:r w:rsidR="00184B6F">
        <w:rPr>
          <w:rFonts w:asciiTheme="minorHAnsi" w:hAnsiTheme="minorHAnsi"/>
          <w:noProof/>
        </w:rPr>
        <w:t>Fecarotta et al. 2013</w:t>
      </w:r>
      <w:r w:rsidR="00746F05">
        <w:rPr>
          <w:rFonts w:asciiTheme="minorHAnsi" w:hAnsiTheme="minorHAnsi"/>
          <w:noProof/>
        </w:rPr>
        <w:t xml:space="preserve">; </w:t>
      </w:r>
      <w:r w:rsidR="00184B6F">
        <w:rPr>
          <w:rFonts w:asciiTheme="minorHAnsi" w:hAnsiTheme="minorHAnsi"/>
          <w:noProof/>
        </w:rPr>
        <w:t>Furusawa et al. 2014</w:t>
      </w:r>
      <w:r w:rsidR="00746F05">
        <w:rPr>
          <w:rFonts w:asciiTheme="minorHAnsi" w:hAnsiTheme="minorHAnsi"/>
          <w:noProof/>
        </w:rPr>
        <w:t xml:space="preserve">; </w:t>
      </w:r>
      <w:r w:rsidR="00184B6F">
        <w:rPr>
          <w:rFonts w:asciiTheme="minorHAnsi" w:hAnsiTheme="minorHAnsi"/>
          <w:noProof/>
        </w:rPr>
        <w:t>Furusawa et al. 2012</w:t>
      </w:r>
      <w:r w:rsidR="00746F05">
        <w:rPr>
          <w:rFonts w:asciiTheme="minorHAnsi" w:hAnsiTheme="minorHAnsi"/>
          <w:noProof/>
        </w:rPr>
        <w:t xml:space="preserve">; </w:t>
      </w:r>
      <w:r w:rsidR="00184B6F">
        <w:rPr>
          <w:rFonts w:asciiTheme="minorHAnsi" w:hAnsiTheme="minorHAnsi"/>
          <w:noProof/>
        </w:rPr>
        <w:t>Ishigaki et al. 2012</w:t>
      </w:r>
      <w:r w:rsidR="00746F05">
        <w:rPr>
          <w:rFonts w:asciiTheme="minorHAnsi" w:hAnsiTheme="minorHAnsi"/>
          <w:noProof/>
        </w:rPr>
        <w:t xml:space="preserve">; </w:t>
      </w:r>
      <w:r w:rsidR="00184B6F">
        <w:rPr>
          <w:rFonts w:asciiTheme="minorHAnsi" w:hAnsiTheme="minorHAnsi"/>
          <w:noProof/>
        </w:rPr>
        <w:t>Kobayashi et al. 2010</w:t>
      </w:r>
      <w:r w:rsidR="00746F05">
        <w:rPr>
          <w:rFonts w:asciiTheme="minorHAnsi" w:hAnsiTheme="minorHAnsi"/>
          <w:noProof/>
        </w:rPr>
        <w:t xml:space="preserve">; </w:t>
      </w:r>
      <w:r w:rsidR="00184B6F">
        <w:rPr>
          <w:rFonts w:asciiTheme="minorHAnsi" w:hAnsiTheme="minorHAnsi"/>
          <w:noProof/>
        </w:rPr>
        <w:t>Korpela et al. 2009</w:t>
      </w:r>
      <w:r w:rsidR="00746F05">
        <w:rPr>
          <w:rFonts w:asciiTheme="minorHAnsi" w:hAnsiTheme="minorHAnsi"/>
          <w:noProof/>
        </w:rPr>
        <w:t xml:space="preserve">; </w:t>
      </w:r>
      <w:r w:rsidR="00184B6F">
        <w:rPr>
          <w:rFonts w:asciiTheme="minorHAnsi" w:hAnsiTheme="minorHAnsi"/>
          <w:noProof/>
        </w:rPr>
        <w:t>Merk et al. 2009</w:t>
      </w:r>
      <w:r w:rsidR="00746F05">
        <w:rPr>
          <w:rFonts w:asciiTheme="minorHAnsi" w:hAnsiTheme="minorHAnsi"/>
          <w:noProof/>
        </w:rPr>
        <w:t xml:space="preserve">; </w:t>
      </w:r>
      <w:r w:rsidR="00184B6F">
        <w:rPr>
          <w:rFonts w:asciiTheme="minorHAnsi" w:hAnsiTheme="minorHAnsi"/>
          <w:noProof/>
        </w:rPr>
        <w:t>Orlikowski et al. 2011</w:t>
      </w:r>
      <w:r w:rsidR="00746F05">
        <w:rPr>
          <w:rFonts w:asciiTheme="minorHAnsi" w:hAnsiTheme="minorHAnsi"/>
          <w:noProof/>
        </w:rPr>
        <w:t xml:space="preserve">; </w:t>
      </w:r>
      <w:r w:rsidR="00184B6F">
        <w:rPr>
          <w:rFonts w:asciiTheme="minorHAnsi" w:hAnsiTheme="minorHAnsi"/>
          <w:noProof/>
        </w:rPr>
        <w:t>Papadimas et al. 2011</w:t>
      </w:r>
      <w:r w:rsidR="00746F05">
        <w:rPr>
          <w:rFonts w:asciiTheme="minorHAnsi" w:hAnsiTheme="minorHAnsi"/>
          <w:noProof/>
        </w:rPr>
        <w:t xml:space="preserve">; </w:t>
      </w:r>
      <w:r w:rsidR="00184B6F">
        <w:rPr>
          <w:rFonts w:asciiTheme="minorHAnsi" w:hAnsiTheme="minorHAnsi"/>
          <w:noProof/>
        </w:rPr>
        <w:t>Sugai et al. 2010</w:t>
      </w:r>
      <w:r w:rsidR="00746F05">
        <w:rPr>
          <w:rFonts w:asciiTheme="minorHAnsi" w:hAnsiTheme="minorHAnsi"/>
          <w:noProof/>
        </w:rPr>
        <w:t xml:space="preserve">; </w:t>
      </w:r>
      <w:r w:rsidR="00184B6F">
        <w:rPr>
          <w:rFonts w:asciiTheme="minorHAnsi" w:hAnsiTheme="minorHAnsi"/>
          <w:noProof/>
        </w:rPr>
        <w:t>van Capelle et al. 2010</w:t>
      </w:r>
      <w:r w:rsidR="00746F05">
        <w:rPr>
          <w:rFonts w:asciiTheme="minorHAnsi" w:hAnsiTheme="minorHAnsi"/>
          <w:noProof/>
        </w:rPr>
        <w:t xml:space="preserve">; </w:t>
      </w:r>
      <w:r w:rsidR="00184B6F">
        <w:rPr>
          <w:rFonts w:asciiTheme="minorHAnsi" w:hAnsiTheme="minorHAnsi"/>
          <w:noProof/>
        </w:rPr>
        <w:t>van Capelle et al. 2008</w:t>
      </w:r>
      <w:r w:rsidR="00746F05">
        <w:rPr>
          <w:rFonts w:asciiTheme="minorHAnsi" w:hAnsiTheme="minorHAnsi"/>
          <w:noProof/>
        </w:rPr>
        <w:t xml:space="preserve">; </w:t>
      </w:r>
      <w:r w:rsidR="00184B6F">
        <w:rPr>
          <w:rFonts w:asciiTheme="minorHAnsi" w:hAnsiTheme="minorHAnsi"/>
          <w:noProof/>
        </w:rPr>
        <w:t>Winkel, LP et al. 2005</w:t>
      </w:r>
      <w:r w:rsidR="00746F05">
        <w:rPr>
          <w:rFonts w:asciiTheme="minorHAnsi" w:hAnsiTheme="minorHAnsi"/>
          <w:noProof/>
        </w:rPr>
        <w:t>)</w:t>
      </w:r>
      <w:r w:rsidRPr="002556D5">
        <w:rPr>
          <w:rFonts w:asciiTheme="minorHAnsi" w:hAnsiTheme="minorHAnsi"/>
        </w:rPr>
        <w:t xml:space="preserve">. Two studies reported on the same two JOPD patients, one at 3 years and one at 8 years follow-up </w:t>
      </w:r>
      <w:r w:rsidR="00746F05">
        <w:rPr>
          <w:rFonts w:asciiTheme="minorHAnsi" w:hAnsiTheme="minorHAnsi"/>
          <w:noProof/>
        </w:rPr>
        <w:t>(</w:t>
      </w:r>
      <w:r w:rsidR="00184B6F">
        <w:rPr>
          <w:rFonts w:asciiTheme="minorHAnsi" w:hAnsiTheme="minorHAnsi"/>
          <w:noProof/>
        </w:rPr>
        <w:t>van Capelle et al. 2008</w:t>
      </w:r>
      <w:r w:rsidR="00746F05">
        <w:rPr>
          <w:rFonts w:asciiTheme="minorHAnsi" w:hAnsiTheme="minorHAnsi"/>
          <w:noProof/>
        </w:rPr>
        <w:t xml:space="preserve">; </w:t>
      </w:r>
      <w:r w:rsidR="00184B6F">
        <w:rPr>
          <w:rFonts w:asciiTheme="minorHAnsi" w:hAnsiTheme="minorHAnsi"/>
          <w:noProof/>
        </w:rPr>
        <w:t>Winkel, LP et al. 2005</w:t>
      </w:r>
      <w:r w:rsidR="00746F05">
        <w:rPr>
          <w:rFonts w:asciiTheme="minorHAnsi" w:hAnsiTheme="minorHAnsi"/>
          <w:noProof/>
        </w:rPr>
        <w:t>)</w:t>
      </w:r>
      <w:r w:rsidRPr="002556D5">
        <w:rPr>
          <w:rFonts w:asciiTheme="minorHAnsi" w:hAnsiTheme="minorHAnsi"/>
        </w:rPr>
        <w:t xml:space="preserve">. </w:t>
      </w:r>
      <w:r w:rsidR="00855BF9">
        <w:rPr>
          <w:rFonts w:asciiTheme="minorHAnsi" w:hAnsiTheme="minorHAnsi"/>
        </w:rPr>
        <w:t xml:space="preserve">One case report (Furuwasa et al. 2014) did not state the dose of alglucosidase alfa, but all the other studies were consistent, and used a dose of 20 mg/kg per fortnight. </w:t>
      </w:r>
    </w:p>
    <w:p w:rsidR="001A6FF0" w:rsidRDefault="001A6FF0" w:rsidP="001A6FF0">
      <w:pPr>
        <w:rPr>
          <w:rFonts w:asciiTheme="minorHAnsi" w:hAnsiTheme="minorHAnsi"/>
        </w:rPr>
      </w:pPr>
      <w:r w:rsidRPr="002556D5">
        <w:rPr>
          <w:rFonts w:asciiTheme="minorHAnsi" w:hAnsiTheme="minorHAnsi"/>
        </w:rPr>
        <w:t xml:space="preserve">The case series included 24 late-onset PD patients in </w:t>
      </w:r>
      <w:r>
        <w:rPr>
          <w:rFonts w:asciiTheme="minorHAnsi" w:hAnsiTheme="minorHAnsi"/>
        </w:rPr>
        <w:t>total</w:t>
      </w:r>
      <w:r w:rsidRPr="002556D5">
        <w:rPr>
          <w:rFonts w:asciiTheme="minorHAnsi" w:hAnsiTheme="minorHAnsi"/>
        </w:rPr>
        <w:t xml:space="preserve">, seven of whom had </w:t>
      </w:r>
      <w:r>
        <w:rPr>
          <w:rFonts w:asciiTheme="minorHAnsi" w:hAnsiTheme="minorHAnsi"/>
        </w:rPr>
        <w:t>JOPD</w:t>
      </w:r>
      <w:r w:rsidRPr="002556D5">
        <w:rPr>
          <w:rFonts w:asciiTheme="minorHAnsi" w:hAnsiTheme="minorHAnsi"/>
        </w:rPr>
        <w:t>. Outcomes were reported separately at baseline and 12 month intervals up to 3 years from the initiation of ERT for juvenile patients, and some data synthesis</w:t>
      </w:r>
      <w:r w:rsidR="00100A8C">
        <w:rPr>
          <w:rFonts w:asciiTheme="minorHAnsi" w:hAnsiTheme="minorHAnsi"/>
        </w:rPr>
        <w:t xml:space="preserve"> was performed</w:t>
      </w:r>
      <w:r w:rsidRPr="002556D5">
        <w:rPr>
          <w:rFonts w:asciiTheme="minorHAnsi" w:hAnsiTheme="minorHAnsi"/>
        </w:rPr>
        <w:t>. The case reports provided before and after ERT data on one to f</w:t>
      </w:r>
      <w:r w:rsidR="00100A8C">
        <w:rPr>
          <w:rFonts w:asciiTheme="minorHAnsi" w:hAnsiTheme="minorHAnsi"/>
        </w:rPr>
        <w:t>ive</w:t>
      </w:r>
      <w:r w:rsidRPr="002556D5">
        <w:rPr>
          <w:rFonts w:asciiTheme="minorHAnsi" w:hAnsiTheme="minorHAnsi"/>
        </w:rPr>
        <w:t xml:space="preserve"> JOPD patients. A </w:t>
      </w:r>
      <w:r>
        <w:rPr>
          <w:rFonts w:asciiTheme="minorHAnsi" w:hAnsiTheme="minorHAnsi"/>
        </w:rPr>
        <w:t>s</w:t>
      </w:r>
      <w:r w:rsidRPr="002556D5">
        <w:rPr>
          <w:rFonts w:asciiTheme="minorHAnsi" w:hAnsiTheme="minorHAnsi"/>
        </w:rPr>
        <w:t xml:space="preserve">ummary of the </w:t>
      </w:r>
      <w:r w:rsidRPr="002556D5">
        <w:rPr>
          <w:rFonts w:asciiTheme="minorHAnsi" w:hAnsiTheme="minorHAnsi"/>
        </w:rPr>
        <w:lastRenderedPageBreak/>
        <w:t xml:space="preserve">study profiles can be seen in </w:t>
      </w:r>
      <w:r w:rsidR="00A72B26" w:rsidRPr="00A72B26">
        <w:rPr>
          <w:rFonts w:asciiTheme="minorHAnsi" w:hAnsiTheme="minorHAnsi"/>
        </w:rPr>
        <w:t>Table 160</w:t>
      </w:r>
      <w:r w:rsidRPr="007D0798">
        <w:rPr>
          <w:rFonts w:asciiTheme="minorHAnsi" w:hAnsiTheme="minorHAnsi"/>
        </w:rPr>
        <w:t>.</w:t>
      </w:r>
      <w:r w:rsidRPr="002556D5">
        <w:rPr>
          <w:rFonts w:asciiTheme="minorHAnsi" w:hAnsiTheme="minorHAnsi"/>
        </w:rPr>
        <w:t xml:space="preserve"> Outcome measures were similar between studies and were focused on determining muscle strength and function, and respiratory function. Less common outcomes reported assessed fatigue and gastrointestinal function. Due to the low level of evidence identified, </w:t>
      </w:r>
      <w:r>
        <w:rPr>
          <w:rFonts w:asciiTheme="minorHAnsi" w:hAnsiTheme="minorHAnsi"/>
        </w:rPr>
        <w:t xml:space="preserve">formal </w:t>
      </w:r>
      <w:r w:rsidRPr="002556D5">
        <w:rPr>
          <w:rFonts w:asciiTheme="minorHAnsi" w:hAnsiTheme="minorHAnsi"/>
        </w:rPr>
        <w:t xml:space="preserve">quality assessment was not performed. </w:t>
      </w:r>
    </w:p>
    <w:p w:rsidR="00F0206E" w:rsidRDefault="00F0206E" w:rsidP="001A6FF0">
      <w:pPr>
        <w:rPr>
          <w:rFonts w:asciiTheme="minorHAnsi" w:hAnsiTheme="minorHAnsi"/>
        </w:rPr>
      </w:pPr>
      <w:r>
        <w:rPr>
          <w:rFonts w:asciiTheme="minorHAnsi" w:hAnsiTheme="minorHAnsi"/>
        </w:rPr>
        <w:t xml:space="preserve">Patients in the included studies were either juvenile at onset </w:t>
      </w:r>
      <w:r>
        <w:rPr>
          <w:rFonts w:asciiTheme="minorHAnsi" w:hAnsiTheme="minorHAnsi"/>
          <w:i/>
        </w:rPr>
        <w:t>and treatment</w:t>
      </w:r>
      <w:r>
        <w:rPr>
          <w:rFonts w:asciiTheme="minorHAnsi" w:hAnsiTheme="minorHAnsi"/>
        </w:rPr>
        <w:t xml:space="preserve">, or juvenile at onset, but </w:t>
      </w:r>
      <w:r w:rsidRPr="00F0206E">
        <w:rPr>
          <w:rFonts w:asciiTheme="minorHAnsi" w:hAnsiTheme="minorHAnsi"/>
          <w:i/>
        </w:rPr>
        <w:t>adults</w:t>
      </w:r>
      <w:r>
        <w:rPr>
          <w:rFonts w:asciiTheme="minorHAnsi" w:hAnsiTheme="minorHAnsi"/>
        </w:rPr>
        <w:t xml:space="preserve"> at age of treatment. </w:t>
      </w:r>
      <w:r w:rsidR="00BB4A7F">
        <w:rPr>
          <w:rFonts w:asciiTheme="minorHAnsi" w:hAnsiTheme="minorHAnsi"/>
        </w:rPr>
        <w:t xml:space="preserve">The age of symptom onset varied from 2 to 17 years of age, and the age at first treatment with alglucosidase alfa varied from 2.3 years to 44 years. </w:t>
      </w:r>
    </w:p>
    <w:p w:rsidR="00354BC1" w:rsidRPr="00D36135" w:rsidRDefault="00AA1E77" w:rsidP="001A6FF0">
      <w:pPr>
        <w:rPr>
          <w:rFonts w:asciiTheme="minorHAnsi" w:hAnsiTheme="minorHAnsi"/>
        </w:rPr>
      </w:pPr>
      <w:r>
        <w:rPr>
          <w:rFonts w:asciiTheme="minorHAnsi" w:hAnsiTheme="minorHAnsi"/>
        </w:rPr>
        <w:t xml:space="preserve">There were a high number of case reports on late-onset Pompe disease presented at conferences, of which only a small proportion appear to have been published as journal articles. It is unknown whether the cases published are representative of the body of patients who receive alglucosidase alfa, or whether there is publication bias, which may influence the results. </w:t>
      </w:r>
    </w:p>
    <w:p w:rsidR="001A6FF0" w:rsidRPr="00FE08CA" w:rsidRDefault="001A6FF0" w:rsidP="00A979FB">
      <w:pPr>
        <w:pStyle w:val="Heading4"/>
      </w:pPr>
      <w:r w:rsidRPr="00FE08CA">
        <w:t>Results of the included studies</w:t>
      </w:r>
    </w:p>
    <w:p w:rsidR="001A6FF0" w:rsidRPr="00FE08CA" w:rsidRDefault="001A6FF0" w:rsidP="00A979FB">
      <w:pPr>
        <w:pStyle w:val="Heading5"/>
      </w:pPr>
      <w:r w:rsidRPr="00FE08CA">
        <w:t>Primary effectiveness: Survival</w:t>
      </w:r>
    </w:p>
    <w:p w:rsidR="001A6FF0" w:rsidRPr="002B3B9E" w:rsidRDefault="001A6FF0" w:rsidP="001A6FF0">
      <w:pPr>
        <w:rPr>
          <w:rFonts w:asciiTheme="minorHAnsi" w:hAnsiTheme="minorHAnsi"/>
        </w:rPr>
      </w:pPr>
      <w:r w:rsidRPr="002B3B9E">
        <w:rPr>
          <w:rFonts w:asciiTheme="minorHAnsi" w:hAnsiTheme="minorHAnsi"/>
        </w:rPr>
        <w:t xml:space="preserve">There were no data specific to patients with JOPD which addressed whether ERT would extend survival or not. Individual case reports mentioned age at death, but given the wide variability in the natural history of the disease, nothing can be concluded from individual data. </w:t>
      </w:r>
    </w:p>
    <w:p w:rsidR="001A6FF0" w:rsidRPr="001C1176" w:rsidRDefault="001A6FF0" w:rsidP="00A979FB">
      <w:pPr>
        <w:pStyle w:val="Heading5"/>
      </w:pPr>
      <w:r w:rsidRPr="001C1176">
        <w:t xml:space="preserve">Quality of life </w:t>
      </w:r>
    </w:p>
    <w:p w:rsidR="001A6FF0" w:rsidRDefault="004F190D" w:rsidP="004F190D">
      <w:r>
        <w:t>Quality of life was discussed in two articles. Orlikowski et al (2011) presented results for two patients with JOPD, who were treated at ages 28 and 40. S</w:t>
      </w:r>
      <w:r w:rsidR="001A6FF0">
        <w:t>elf-reported ph</w:t>
      </w:r>
      <w:r>
        <w:t>ysical and mental health scores were given,</w:t>
      </w:r>
      <w:r w:rsidR="001A6FF0">
        <w:t xml:space="preserve"> which were measured using the Short form-36 (36-item Short Form Health Survey, SF-36, scale 0 – 100, where 0 = maximum disability, and 100 = no disability). Both JOPD patients had been invasively ventilated for at least 5 years prior to baseline, and patient 5 </w:t>
      </w:r>
      <w:proofErr w:type="gramStart"/>
      <w:r w:rsidR="001A6FF0">
        <w:t>was</w:t>
      </w:r>
      <w:proofErr w:type="gramEnd"/>
      <w:r w:rsidR="001A6FF0">
        <w:t xml:space="preserve"> bed-ridden. The two patients both reported an improvement from baseline after 1 year of ERT in the mental component of the survey. For the physical component, one patient score increased, while the other decreased, although neither of these changes </w:t>
      </w:r>
      <w:r w:rsidR="00F87099">
        <w:t>is</w:t>
      </w:r>
      <w:r w:rsidR="001A6FF0">
        <w:t xml:space="preserve"> likely to be considered large enough to be clinically meaningful (</w:t>
      </w:r>
      <w:r w:rsidR="00A72B26" w:rsidRPr="007D26FA">
        <w:t xml:space="preserve">Table </w:t>
      </w:r>
      <w:r w:rsidR="00A72B26">
        <w:t>70</w:t>
      </w:r>
      <w:r w:rsidR="001A6FF0">
        <w:t>).</w:t>
      </w:r>
      <w:r>
        <w:t xml:space="preserve"> </w:t>
      </w:r>
    </w:p>
    <w:p w:rsidR="001A6FF0" w:rsidRPr="007D26FA" w:rsidRDefault="001A6FF0" w:rsidP="00086C2D">
      <w:pPr>
        <w:pStyle w:val="Caption"/>
        <w:keepNext/>
        <w:ind w:left="1418" w:hanging="1418"/>
      </w:pPr>
      <w:bookmarkStart w:id="318" w:name="_Ref410909597"/>
      <w:bookmarkStart w:id="319" w:name="_Toc411510448"/>
      <w:bookmarkStart w:id="320" w:name="_Toc415141867"/>
      <w:r w:rsidRPr="007D26FA">
        <w:lastRenderedPageBreak/>
        <w:t xml:space="preserve">Table </w:t>
      </w:r>
      <w:r w:rsidR="00A72B26">
        <w:rPr>
          <w:noProof/>
        </w:rPr>
        <w:t>70</w:t>
      </w:r>
      <w:bookmarkEnd w:id="318"/>
      <w:r w:rsidRPr="007D26FA">
        <w:t xml:space="preserve"> </w:t>
      </w:r>
      <w:r w:rsidR="00F71730">
        <w:tab/>
      </w:r>
      <w:r>
        <w:t>Self-reported</w:t>
      </w:r>
      <w:r w:rsidRPr="007D26FA">
        <w:t xml:space="preserve"> physical and mental health scores</w:t>
      </w:r>
      <w:r>
        <w:t xml:space="preserve"> </w:t>
      </w:r>
      <w:r w:rsidR="00DF5C70" w:rsidRPr="00DF5C70">
        <w:rPr>
          <w:rStyle w:val="FigureheadingChar"/>
        </w:rPr>
        <w:t>before and after alglucosidase alfa in patients with JOPD</w:t>
      </w:r>
      <w:bookmarkEnd w:id="319"/>
      <w:bookmarkEnd w:id="320"/>
    </w:p>
    <w:tbl>
      <w:tblPr>
        <w:tblStyle w:val="TableGrid"/>
        <w:tblW w:w="5000" w:type="pct"/>
        <w:tblLook w:val="04A0" w:firstRow="1" w:lastRow="0" w:firstColumn="1" w:lastColumn="0" w:noHBand="0" w:noVBand="1"/>
        <w:tblCaption w:val="Table 20 Self-reported physical and mental health scores in JOPD patients"/>
      </w:tblPr>
      <w:tblGrid>
        <w:gridCol w:w="3510"/>
        <w:gridCol w:w="1985"/>
        <w:gridCol w:w="1135"/>
        <w:gridCol w:w="1558"/>
        <w:gridCol w:w="1054"/>
      </w:tblGrid>
      <w:tr w:rsidR="001A6FF0" w:rsidRPr="008F5C81" w:rsidTr="009A0365">
        <w:trPr>
          <w:tblHeader/>
        </w:trPr>
        <w:tc>
          <w:tcPr>
            <w:tcW w:w="1899" w:type="pct"/>
          </w:tcPr>
          <w:p w:rsidR="001A6FF0" w:rsidRDefault="001A6FF0" w:rsidP="00D45DAB">
            <w:pPr>
              <w:pStyle w:val="Tabletext1"/>
              <w:keepNext/>
              <w:rPr>
                <w:b/>
                <w:lang w:eastAsia="en-US"/>
              </w:rPr>
            </w:pPr>
            <w:r>
              <w:rPr>
                <w:b/>
                <w:lang w:eastAsia="en-US"/>
              </w:rPr>
              <w:t>Study</w:t>
            </w:r>
          </w:p>
          <w:p w:rsidR="001A6FF0" w:rsidRDefault="001A6FF0" w:rsidP="00D45DAB">
            <w:pPr>
              <w:pStyle w:val="Tabletext1"/>
              <w:keepNext/>
              <w:rPr>
                <w:b/>
                <w:lang w:eastAsia="en-US"/>
              </w:rPr>
            </w:pPr>
            <w:r>
              <w:rPr>
                <w:b/>
                <w:lang w:eastAsia="en-US"/>
              </w:rPr>
              <w:t>Measure</w:t>
            </w:r>
          </w:p>
        </w:tc>
        <w:tc>
          <w:tcPr>
            <w:tcW w:w="1074" w:type="pct"/>
          </w:tcPr>
          <w:p w:rsidR="001A6FF0" w:rsidRPr="008F5C81" w:rsidRDefault="001A6FF0" w:rsidP="00D45DAB">
            <w:pPr>
              <w:pStyle w:val="Tabletext1"/>
              <w:keepNext/>
              <w:rPr>
                <w:b/>
                <w:lang w:eastAsia="en-US"/>
              </w:rPr>
            </w:pPr>
            <w:r>
              <w:rPr>
                <w:b/>
                <w:lang w:eastAsia="en-US"/>
              </w:rPr>
              <w:t xml:space="preserve">Patient </w:t>
            </w:r>
          </w:p>
        </w:tc>
        <w:tc>
          <w:tcPr>
            <w:tcW w:w="614" w:type="pct"/>
          </w:tcPr>
          <w:p w:rsidR="001A6FF0" w:rsidRPr="008F5C81" w:rsidRDefault="001A6FF0" w:rsidP="00D45DAB">
            <w:pPr>
              <w:pStyle w:val="Tabletext1"/>
              <w:keepNext/>
              <w:rPr>
                <w:b/>
                <w:lang w:eastAsia="en-US"/>
              </w:rPr>
            </w:pPr>
            <w:r w:rsidRPr="008F5C81">
              <w:rPr>
                <w:b/>
                <w:lang w:eastAsia="en-US"/>
              </w:rPr>
              <w:t>Baseline</w:t>
            </w:r>
          </w:p>
        </w:tc>
        <w:tc>
          <w:tcPr>
            <w:tcW w:w="843" w:type="pct"/>
          </w:tcPr>
          <w:p w:rsidR="001A6FF0" w:rsidRPr="008F5C81" w:rsidRDefault="001A6FF0" w:rsidP="00D45DAB">
            <w:pPr>
              <w:pStyle w:val="Tabletext1"/>
              <w:keepNext/>
              <w:rPr>
                <w:b/>
                <w:lang w:eastAsia="en-US"/>
              </w:rPr>
            </w:pPr>
            <w:r>
              <w:rPr>
                <w:b/>
                <w:lang w:eastAsia="en-US"/>
              </w:rPr>
              <w:t>1 year ERT</w:t>
            </w:r>
          </w:p>
        </w:tc>
        <w:tc>
          <w:tcPr>
            <w:tcW w:w="570" w:type="pct"/>
          </w:tcPr>
          <w:p w:rsidR="001A6FF0" w:rsidRDefault="001A6FF0" w:rsidP="00D45DAB">
            <w:pPr>
              <w:pStyle w:val="Tabletext1"/>
              <w:keepNext/>
              <w:rPr>
                <w:b/>
                <w:lang w:eastAsia="en-US"/>
              </w:rPr>
            </w:pPr>
            <w:r>
              <w:rPr>
                <w:b/>
                <w:lang w:eastAsia="en-US"/>
              </w:rPr>
              <w:t>Change</w:t>
            </w:r>
          </w:p>
        </w:tc>
      </w:tr>
      <w:tr w:rsidR="001A6FF0" w:rsidTr="00D45DAB">
        <w:tc>
          <w:tcPr>
            <w:tcW w:w="1899" w:type="pct"/>
          </w:tcPr>
          <w:p w:rsidR="001A6FF0" w:rsidRDefault="001A6FF0" w:rsidP="00D45DAB">
            <w:pPr>
              <w:pStyle w:val="Tabletext1"/>
              <w:keepNext/>
              <w:rPr>
                <w:lang w:eastAsia="en-US"/>
              </w:rPr>
            </w:pPr>
            <w:r>
              <w:rPr>
                <w:lang w:eastAsia="en-US"/>
              </w:rPr>
              <w:t>Orlikowski 2011</w:t>
            </w:r>
          </w:p>
          <w:p w:rsidR="001A6FF0" w:rsidRDefault="001A6FF0" w:rsidP="00D45DAB">
            <w:pPr>
              <w:pStyle w:val="Tabletext1"/>
              <w:keepNext/>
              <w:rPr>
                <w:lang w:eastAsia="en-US"/>
              </w:rPr>
            </w:pPr>
            <w:r>
              <w:rPr>
                <w:lang w:eastAsia="en-US"/>
              </w:rPr>
              <w:t>SF-36 Physical component score (points)</w:t>
            </w:r>
          </w:p>
        </w:tc>
        <w:tc>
          <w:tcPr>
            <w:tcW w:w="1074" w:type="pct"/>
          </w:tcPr>
          <w:p w:rsidR="001A6FF0" w:rsidRDefault="001A6FF0" w:rsidP="00D45DAB">
            <w:pPr>
              <w:pStyle w:val="Tabletext1"/>
              <w:keepNext/>
              <w:rPr>
                <w:lang w:eastAsia="en-US"/>
              </w:rPr>
            </w:pPr>
            <w:r>
              <w:rPr>
                <w:lang w:eastAsia="en-US"/>
              </w:rPr>
              <w:t>Patient 1</w:t>
            </w:r>
          </w:p>
          <w:p w:rsidR="001A6FF0" w:rsidRDefault="001A6FF0" w:rsidP="00D45DAB">
            <w:pPr>
              <w:pStyle w:val="Tabletext1"/>
              <w:keepNext/>
              <w:rPr>
                <w:lang w:eastAsia="en-US"/>
              </w:rPr>
            </w:pPr>
            <w:r>
              <w:rPr>
                <w:lang w:eastAsia="en-US"/>
              </w:rPr>
              <w:t>Patient 5</w:t>
            </w:r>
          </w:p>
        </w:tc>
        <w:tc>
          <w:tcPr>
            <w:tcW w:w="614" w:type="pct"/>
          </w:tcPr>
          <w:p w:rsidR="001A6FF0" w:rsidRDefault="001A6FF0" w:rsidP="00D45DAB">
            <w:pPr>
              <w:pStyle w:val="Tabletext1"/>
              <w:keepNext/>
              <w:rPr>
                <w:lang w:eastAsia="en-US"/>
              </w:rPr>
            </w:pPr>
            <w:r>
              <w:rPr>
                <w:lang w:eastAsia="en-US"/>
              </w:rPr>
              <w:t>34.9</w:t>
            </w:r>
          </w:p>
          <w:p w:rsidR="001A6FF0" w:rsidRDefault="001A6FF0" w:rsidP="00D45DAB">
            <w:pPr>
              <w:pStyle w:val="Tabletext1"/>
              <w:keepNext/>
              <w:rPr>
                <w:lang w:eastAsia="en-US"/>
              </w:rPr>
            </w:pPr>
            <w:r>
              <w:rPr>
                <w:lang w:eastAsia="en-US"/>
              </w:rPr>
              <w:t>26.1</w:t>
            </w:r>
          </w:p>
        </w:tc>
        <w:tc>
          <w:tcPr>
            <w:tcW w:w="843" w:type="pct"/>
          </w:tcPr>
          <w:p w:rsidR="001A6FF0" w:rsidRDefault="001A6FF0" w:rsidP="00D45DAB">
            <w:pPr>
              <w:pStyle w:val="Tabletext1"/>
              <w:keepNext/>
              <w:rPr>
                <w:lang w:eastAsia="en-US"/>
              </w:rPr>
            </w:pPr>
            <w:r>
              <w:rPr>
                <w:lang w:eastAsia="en-US"/>
              </w:rPr>
              <w:t>33.8</w:t>
            </w:r>
          </w:p>
          <w:p w:rsidR="001A6FF0" w:rsidRDefault="001A6FF0" w:rsidP="00D45DAB">
            <w:pPr>
              <w:pStyle w:val="Tabletext1"/>
              <w:keepNext/>
              <w:rPr>
                <w:lang w:eastAsia="en-US"/>
              </w:rPr>
            </w:pPr>
            <w:r>
              <w:rPr>
                <w:lang w:eastAsia="en-US"/>
              </w:rPr>
              <w:t>30.8 (week 38)</w:t>
            </w:r>
          </w:p>
        </w:tc>
        <w:tc>
          <w:tcPr>
            <w:tcW w:w="570" w:type="pct"/>
          </w:tcPr>
          <w:p w:rsidR="001A6FF0" w:rsidRDefault="001A6FF0" w:rsidP="00D45DAB">
            <w:pPr>
              <w:pStyle w:val="Tabletext1"/>
              <w:keepNext/>
              <w:rPr>
                <w:lang w:eastAsia="en-US"/>
              </w:rPr>
            </w:pPr>
            <w:r>
              <w:rPr>
                <w:lang w:eastAsia="en-US"/>
              </w:rPr>
              <w:t>-1.1</w:t>
            </w:r>
          </w:p>
          <w:p w:rsidR="001A6FF0" w:rsidRDefault="001A6FF0" w:rsidP="00D45DAB">
            <w:pPr>
              <w:pStyle w:val="Tabletext1"/>
              <w:keepNext/>
              <w:rPr>
                <w:lang w:eastAsia="en-US"/>
              </w:rPr>
            </w:pPr>
            <w:r>
              <w:rPr>
                <w:lang w:eastAsia="en-US"/>
              </w:rPr>
              <w:t>4.7</w:t>
            </w:r>
          </w:p>
        </w:tc>
      </w:tr>
      <w:tr w:rsidR="001A6FF0" w:rsidTr="00D45DAB">
        <w:tc>
          <w:tcPr>
            <w:tcW w:w="1899" w:type="pct"/>
          </w:tcPr>
          <w:p w:rsidR="001A6FF0" w:rsidRDefault="001A6FF0" w:rsidP="00D45DAB">
            <w:pPr>
              <w:pStyle w:val="Tabletext1"/>
              <w:keepNext/>
              <w:rPr>
                <w:lang w:eastAsia="en-US"/>
              </w:rPr>
            </w:pPr>
            <w:r>
              <w:rPr>
                <w:lang w:eastAsia="en-US"/>
              </w:rPr>
              <w:t>Orlikowski 2011</w:t>
            </w:r>
          </w:p>
          <w:p w:rsidR="001A6FF0" w:rsidRDefault="001A6FF0" w:rsidP="00D45DAB">
            <w:pPr>
              <w:pStyle w:val="Tabletext1"/>
              <w:keepNext/>
              <w:rPr>
                <w:lang w:eastAsia="en-US"/>
              </w:rPr>
            </w:pPr>
            <w:r>
              <w:rPr>
                <w:lang w:eastAsia="en-US"/>
              </w:rPr>
              <w:t>SF-36 Mental component score (points)</w:t>
            </w:r>
          </w:p>
        </w:tc>
        <w:tc>
          <w:tcPr>
            <w:tcW w:w="1074" w:type="pct"/>
          </w:tcPr>
          <w:p w:rsidR="001A6FF0" w:rsidRDefault="001A6FF0" w:rsidP="00D45DAB">
            <w:pPr>
              <w:pStyle w:val="Tabletext1"/>
              <w:keepNext/>
              <w:rPr>
                <w:lang w:eastAsia="en-US"/>
              </w:rPr>
            </w:pPr>
            <w:r>
              <w:rPr>
                <w:lang w:eastAsia="en-US"/>
              </w:rPr>
              <w:t>Patient 1</w:t>
            </w:r>
          </w:p>
          <w:p w:rsidR="001A6FF0" w:rsidRDefault="001A6FF0" w:rsidP="00D45DAB">
            <w:pPr>
              <w:pStyle w:val="Tabletext1"/>
              <w:keepNext/>
              <w:rPr>
                <w:lang w:eastAsia="en-US"/>
              </w:rPr>
            </w:pPr>
            <w:r>
              <w:rPr>
                <w:lang w:eastAsia="en-US"/>
              </w:rPr>
              <w:t>Patient 5</w:t>
            </w:r>
          </w:p>
        </w:tc>
        <w:tc>
          <w:tcPr>
            <w:tcW w:w="614" w:type="pct"/>
          </w:tcPr>
          <w:p w:rsidR="001A6FF0" w:rsidRDefault="001A6FF0" w:rsidP="00D45DAB">
            <w:pPr>
              <w:pStyle w:val="Tabletext1"/>
              <w:keepNext/>
              <w:rPr>
                <w:lang w:eastAsia="en-US"/>
              </w:rPr>
            </w:pPr>
            <w:r>
              <w:rPr>
                <w:lang w:eastAsia="en-US"/>
              </w:rPr>
              <w:t>55.9</w:t>
            </w:r>
          </w:p>
          <w:p w:rsidR="001A6FF0" w:rsidRDefault="001A6FF0" w:rsidP="00D45DAB">
            <w:pPr>
              <w:pStyle w:val="Tabletext1"/>
              <w:keepNext/>
              <w:rPr>
                <w:lang w:eastAsia="en-US"/>
              </w:rPr>
            </w:pPr>
            <w:r>
              <w:rPr>
                <w:lang w:eastAsia="en-US"/>
              </w:rPr>
              <w:t>39.4</w:t>
            </w:r>
          </w:p>
        </w:tc>
        <w:tc>
          <w:tcPr>
            <w:tcW w:w="843" w:type="pct"/>
          </w:tcPr>
          <w:p w:rsidR="001A6FF0" w:rsidRDefault="001A6FF0" w:rsidP="00D45DAB">
            <w:pPr>
              <w:pStyle w:val="Tabletext1"/>
              <w:keepNext/>
              <w:rPr>
                <w:lang w:eastAsia="en-US"/>
              </w:rPr>
            </w:pPr>
            <w:r>
              <w:rPr>
                <w:lang w:eastAsia="en-US"/>
              </w:rPr>
              <w:t>64.4</w:t>
            </w:r>
          </w:p>
          <w:p w:rsidR="001A6FF0" w:rsidRDefault="001A6FF0" w:rsidP="00D45DAB">
            <w:pPr>
              <w:pStyle w:val="Tabletext1"/>
              <w:keepNext/>
              <w:rPr>
                <w:lang w:eastAsia="en-US"/>
              </w:rPr>
            </w:pPr>
            <w:r>
              <w:rPr>
                <w:lang w:eastAsia="en-US"/>
              </w:rPr>
              <w:t>65.9 (week 38)</w:t>
            </w:r>
          </w:p>
        </w:tc>
        <w:tc>
          <w:tcPr>
            <w:tcW w:w="570" w:type="pct"/>
          </w:tcPr>
          <w:p w:rsidR="001A6FF0" w:rsidRDefault="001A6FF0" w:rsidP="00D45DAB">
            <w:pPr>
              <w:pStyle w:val="Tabletext1"/>
              <w:keepNext/>
              <w:rPr>
                <w:lang w:eastAsia="en-US"/>
              </w:rPr>
            </w:pPr>
            <w:r>
              <w:rPr>
                <w:lang w:eastAsia="en-US"/>
              </w:rPr>
              <w:t>8.5</w:t>
            </w:r>
          </w:p>
          <w:p w:rsidR="001A6FF0" w:rsidRDefault="008B0F23" w:rsidP="00D45DAB">
            <w:pPr>
              <w:pStyle w:val="Tabletext1"/>
              <w:keepNext/>
              <w:rPr>
                <w:lang w:eastAsia="en-US"/>
              </w:rPr>
            </w:pPr>
            <w:r>
              <w:rPr>
                <w:lang w:eastAsia="en-US"/>
              </w:rPr>
              <w:t>-26</w:t>
            </w:r>
            <w:r w:rsidR="001A6FF0">
              <w:rPr>
                <w:lang w:eastAsia="en-US"/>
              </w:rPr>
              <w:t>.</w:t>
            </w:r>
            <w:r>
              <w:rPr>
                <w:lang w:eastAsia="en-US"/>
              </w:rPr>
              <w:t>5</w:t>
            </w:r>
          </w:p>
        </w:tc>
      </w:tr>
    </w:tbl>
    <w:p w:rsidR="001A6FF0" w:rsidRDefault="001A6FF0" w:rsidP="001A6FF0">
      <w:pPr>
        <w:pStyle w:val="TableNote"/>
        <w:rPr>
          <w:lang w:eastAsia="en-US"/>
        </w:rPr>
      </w:pPr>
      <w:r>
        <w:rPr>
          <w:lang w:eastAsia="en-US"/>
        </w:rPr>
        <w:t>ERT = enzyme replacement therapy; NR = not reported; SF-36 = 36 item Short Form Health Survey</w:t>
      </w:r>
    </w:p>
    <w:p w:rsidR="00067305" w:rsidRDefault="00067305" w:rsidP="00067305"/>
    <w:p w:rsidR="001A6FF0" w:rsidRPr="00113DBB" w:rsidRDefault="001A6FF0" w:rsidP="00067305">
      <w:r w:rsidRPr="00113DBB">
        <w:t xml:space="preserve">Although no </w:t>
      </w:r>
      <w:r>
        <w:t>validated tool was used by Winkel et al (2004) to measure quality of life, the authors described an increase in quality of life in two JOPD patients</w:t>
      </w:r>
      <w:r w:rsidR="00BB4A7F">
        <w:t xml:space="preserve"> treated at ages 16 and 32</w:t>
      </w:r>
      <w:r>
        <w:t xml:space="preserve">. Both JOPD patients required less ventilation. Patients 1 and 2 were more severe, and remained wheelchair bound. However, patient 1 was able to resume her education, and participate in social life, with the requirement for ventilation decreasing from 18 to 10 hours per day. Prior to ERT, patient 2 was bedridden for 21 hours of the day, which reduced to 11 hours after 3 years of treatment, allowing him to go out </w:t>
      </w:r>
      <w:r w:rsidR="003303FE">
        <w:rPr>
          <w:noProof/>
        </w:rPr>
        <w:t>(</w:t>
      </w:r>
      <w:r w:rsidR="00184B6F">
        <w:rPr>
          <w:noProof/>
        </w:rPr>
        <w:t>Winkel, LPF et al. 2004</w:t>
      </w:r>
      <w:r w:rsidR="003303FE">
        <w:rPr>
          <w:noProof/>
        </w:rPr>
        <w:t>)</w:t>
      </w:r>
      <w:r>
        <w:t xml:space="preserve">. </w:t>
      </w:r>
    </w:p>
    <w:p w:rsidR="001A6FF0" w:rsidRDefault="001A6FF0" w:rsidP="00E66FAB"/>
    <w:p w:rsidR="001A6FF0" w:rsidRPr="00E84F8C" w:rsidRDefault="006A63A8" w:rsidP="00A979FB">
      <w:pPr>
        <w:pStyle w:val="Heading5"/>
      </w:pPr>
      <w:r>
        <w:t>Cardior</w:t>
      </w:r>
      <w:r w:rsidR="001A6FF0" w:rsidRPr="00E84F8C">
        <w:t>espiratory function</w:t>
      </w:r>
    </w:p>
    <w:p w:rsidR="001A6FF0" w:rsidRPr="00CE74A9" w:rsidRDefault="006A63A8" w:rsidP="001A6FF0">
      <w:r>
        <w:t>Cardior</w:t>
      </w:r>
      <w:r w:rsidR="001A6FF0">
        <w:t xml:space="preserve">espiratory function was measured in nine case reports using a number of </w:t>
      </w:r>
      <w:r w:rsidR="00793A68">
        <w:t xml:space="preserve">surrogate </w:t>
      </w:r>
      <w:r w:rsidR="001A6FF0">
        <w:t xml:space="preserve">assessment methods. The most commonly used measures were </w:t>
      </w:r>
      <w:r w:rsidR="00991F34">
        <w:t xml:space="preserve">slow </w:t>
      </w:r>
      <w:r w:rsidR="001A6FF0">
        <w:t xml:space="preserve">vital capacity (VC), which may be measured in the supine or sitting position, and forced vital capacity (FVC). Other </w:t>
      </w:r>
      <w:r w:rsidR="00793A68">
        <w:t xml:space="preserve">surrogate </w:t>
      </w:r>
      <w:r w:rsidR="001A6FF0">
        <w:t xml:space="preserve">measures reported were peak expiratory flow, maximum expiratory flow, forced expiratory volume, inspiratory pressure, and expiratory pressure.  </w:t>
      </w:r>
    </w:p>
    <w:p w:rsidR="001A6FF0" w:rsidRDefault="001A6FF0" w:rsidP="001A6FF0">
      <w:r>
        <w:t xml:space="preserve">Vital capacity was measured in seven case reports, two of which </w:t>
      </w:r>
      <w:r>
        <w:rPr>
          <w:noProof/>
        </w:rPr>
        <w:t>(</w:t>
      </w:r>
      <w:r w:rsidR="00184B6F">
        <w:rPr>
          <w:noProof/>
        </w:rPr>
        <w:t>Orlikowski et al. 2011</w:t>
      </w:r>
      <w:r>
        <w:rPr>
          <w:noProof/>
        </w:rPr>
        <w:t xml:space="preserve">; </w:t>
      </w:r>
      <w:r w:rsidR="00184B6F">
        <w:rPr>
          <w:noProof/>
        </w:rPr>
        <w:t>Papadimas et al. 2011</w:t>
      </w:r>
      <w:r>
        <w:rPr>
          <w:noProof/>
        </w:rPr>
        <w:t>)</w:t>
      </w:r>
      <w:r>
        <w:t xml:space="preserve"> measured VC in sitting and supine positions (</w:t>
      </w:r>
      <w:r w:rsidR="00A72B26" w:rsidRPr="00A72B26">
        <w:t>Table 71</w:t>
      </w:r>
      <w:r>
        <w:t>). All measurements taken at the 6 month time-point from baseline showed an increase in VC. Both JOPD patients discussed by Orlikowski et al (2011) had severe Pompe symptoms at baseline, and remained on continuous ventilation support 24 hours per day throughout the study.</w:t>
      </w:r>
    </w:p>
    <w:p w:rsidR="001A6FF0" w:rsidRDefault="001A6FF0" w:rsidP="001A6FF0">
      <w:r>
        <w:t xml:space="preserve">At 1 year after the initiation of ERT results are more varied with some patients still measuring an increase in %VC and others showing a decline. Measurements at 2 years or more after baseline are also inconsistent. FVC was measured in 5 patients from one study </w:t>
      </w:r>
      <w:r>
        <w:rPr>
          <w:noProof/>
        </w:rPr>
        <w:t>(</w:t>
      </w:r>
      <w:r w:rsidR="00184B6F">
        <w:rPr>
          <w:noProof/>
        </w:rPr>
        <w:t>Deroma et al. 2014</w:t>
      </w:r>
      <w:r>
        <w:rPr>
          <w:noProof/>
        </w:rPr>
        <w:t>)</w:t>
      </w:r>
      <w:r>
        <w:t xml:space="preserve"> after 4 to 5 years of ERT (</w:t>
      </w:r>
      <w:r w:rsidR="00A72B26" w:rsidRPr="00A72B26">
        <w:t>Table 72</w:t>
      </w:r>
      <w:r>
        <w:t xml:space="preserve">). </w:t>
      </w:r>
      <w:r w:rsidR="00105454">
        <w:t>FVC scores over 80% are considered to be within the normal range</w:t>
      </w:r>
      <w:r w:rsidR="005E0277">
        <w:t xml:space="preserve"> </w:t>
      </w:r>
      <w:r w:rsidR="00B05798">
        <w:rPr>
          <w:noProof/>
        </w:rPr>
        <w:t>(</w:t>
      </w:r>
      <w:r w:rsidR="00184B6F">
        <w:rPr>
          <w:noProof/>
        </w:rPr>
        <w:t>Lachmann &amp; Schoser 2013</w:t>
      </w:r>
      <w:r w:rsidR="00B05798">
        <w:rPr>
          <w:noProof/>
        </w:rPr>
        <w:t>)</w:t>
      </w:r>
      <w:r w:rsidR="00105454">
        <w:t>, so at baseline, three out of five patients were considered to have normal respiratory functioning. One patient</w:t>
      </w:r>
      <w:r>
        <w:t xml:space="preserve"> who had much lower capacity at baseline than the others indicated a significant increase in capacity over that time period (increase from 14% to 30%). </w:t>
      </w:r>
      <w:r w:rsidR="00991F34">
        <w:t xml:space="preserve">The four other patients were within the </w:t>
      </w:r>
      <w:r w:rsidR="00105454">
        <w:t>normal range at follow-up.</w:t>
      </w:r>
      <w:r>
        <w:t xml:space="preserve"> </w:t>
      </w:r>
    </w:p>
    <w:p w:rsidR="001A6FF0" w:rsidRPr="00CC62EA" w:rsidRDefault="001A6FF0" w:rsidP="001A6FF0">
      <w:r>
        <w:lastRenderedPageBreak/>
        <w:t xml:space="preserve">Winkel et al (2004) performed piece-wise linear regression (“broken-stick” method) to compare the difference in the rate of change prior to receiving ERT, and after ERT. Patients 1 and 2 had both had a significant decline of vital capacity in the 6 to 9 years prior to starting ERT (Patient 1 </w:t>
      </w:r>
      <w:r>
        <w:rPr>
          <w:i/>
        </w:rPr>
        <w:t>r</w:t>
      </w:r>
      <w:r>
        <w:t xml:space="preserve"> = -0.99, p&lt;0.001; Patient 2, </w:t>
      </w:r>
      <w:r>
        <w:rPr>
          <w:i/>
        </w:rPr>
        <w:t>r</w:t>
      </w:r>
      <w:r>
        <w:t xml:space="preserve"> = -0.98, p=0.02). After the start of treatment, the slope of VC changed significantly (Patient 1 p=0.002; Patient 2 p=0.021)</w:t>
      </w:r>
      <w:r w:rsidR="00D45DAB">
        <w:t>, favouring the use of alglucosidase alfa</w:t>
      </w:r>
      <w:r>
        <w:t xml:space="preserve">. </w:t>
      </w:r>
    </w:p>
    <w:p w:rsidR="001A6FF0" w:rsidRPr="00AC7ACE" w:rsidRDefault="001A6FF0" w:rsidP="001A6FF0">
      <w:pPr>
        <w:keepNext/>
        <w:tabs>
          <w:tab w:val="left" w:pos="1134"/>
        </w:tabs>
        <w:spacing w:before="240" w:after="160"/>
        <w:ind w:left="1134" w:hanging="1134"/>
        <w:rPr>
          <w:rFonts w:ascii="Cambria" w:hAnsi="Cambria"/>
          <w:bCs/>
          <w:color w:val="1F497D"/>
          <w:szCs w:val="18"/>
        </w:rPr>
      </w:pPr>
      <w:bookmarkStart w:id="321" w:name="_Ref410836163"/>
      <w:bookmarkStart w:id="322" w:name="_Toc415141868"/>
      <w:r w:rsidRPr="00AC7ACE">
        <w:rPr>
          <w:rFonts w:ascii="Cambria" w:hAnsi="Cambria"/>
          <w:bCs/>
          <w:color w:val="1F497D"/>
          <w:szCs w:val="18"/>
        </w:rPr>
        <w:t xml:space="preserve">Table </w:t>
      </w:r>
      <w:r w:rsidR="00A72B26">
        <w:rPr>
          <w:rFonts w:ascii="Cambria" w:hAnsi="Cambria"/>
          <w:bCs/>
          <w:noProof/>
          <w:color w:val="1F497D"/>
          <w:szCs w:val="18"/>
        </w:rPr>
        <w:t>71</w:t>
      </w:r>
      <w:bookmarkEnd w:id="321"/>
      <w:r w:rsidRPr="00AC7ACE">
        <w:rPr>
          <w:rFonts w:ascii="Cambria" w:hAnsi="Cambria"/>
          <w:bCs/>
          <w:color w:val="1F497D"/>
          <w:szCs w:val="18"/>
        </w:rPr>
        <w:tab/>
        <w:t xml:space="preserve">Vital capacity </w:t>
      </w:r>
      <w:r w:rsidR="00DF5C70" w:rsidRPr="00DF5C70">
        <w:rPr>
          <w:rStyle w:val="FigureheadingChar"/>
        </w:rPr>
        <w:t>before and after alglucosidase alfa in patients with JOPD</w:t>
      </w:r>
      <w:bookmarkEnd w:id="322"/>
    </w:p>
    <w:tbl>
      <w:tblPr>
        <w:tblStyle w:val="TableGrid"/>
        <w:tblW w:w="5000" w:type="pct"/>
        <w:tblLook w:val="04A0" w:firstRow="1" w:lastRow="0" w:firstColumn="1" w:lastColumn="0" w:noHBand="0" w:noVBand="1"/>
        <w:tblCaption w:val="Table 7 Vital capacity in JOPD patients"/>
      </w:tblPr>
      <w:tblGrid>
        <w:gridCol w:w="2235"/>
        <w:gridCol w:w="1275"/>
        <w:gridCol w:w="937"/>
        <w:gridCol w:w="1898"/>
        <w:gridCol w:w="1355"/>
        <w:gridCol w:w="1542"/>
      </w:tblGrid>
      <w:tr w:rsidR="001A6FF0" w:rsidRPr="008F5C81" w:rsidTr="009A0365">
        <w:trPr>
          <w:tblHeader/>
        </w:trPr>
        <w:tc>
          <w:tcPr>
            <w:tcW w:w="1209" w:type="pct"/>
          </w:tcPr>
          <w:p w:rsidR="001A6FF0" w:rsidRDefault="001A6FF0" w:rsidP="00DF5C70">
            <w:pPr>
              <w:pStyle w:val="Tabletext1"/>
              <w:keepNext/>
              <w:rPr>
                <w:b/>
                <w:lang w:eastAsia="en-US"/>
              </w:rPr>
            </w:pPr>
            <w:r>
              <w:rPr>
                <w:b/>
                <w:lang w:eastAsia="en-US"/>
              </w:rPr>
              <w:t>Study</w:t>
            </w:r>
          </w:p>
          <w:p w:rsidR="001A6FF0" w:rsidRDefault="001A6FF0" w:rsidP="00DF5C70">
            <w:pPr>
              <w:pStyle w:val="Tabletext1"/>
              <w:keepNext/>
              <w:rPr>
                <w:b/>
                <w:lang w:eastAsia="en-US"/>
              </w:rPr>
            </w:pPr>
            <w:r>
              <w:rPr>
                <w:b/>
                <w:lang w:eastAsia="en-US"/>
              </w:rPr>
              <w:t>Measure</w:t>
            </w:r>
          </w:p>
        </w:tc>
        <w:tc>
          <w:tcPr>
            <w:tcW w:w="690" w:type="pct"/>
          </w:tcPr>
          <w:p w:rsidR="001A6FF0" w:rsidRPr="008F5C81" w:rsidRDefault="001A6FF0" w:rsidP="00DF5C70">
            <w:pPr>
              <w:pStyle w:val="Tabletext1"/>
              <w:keepNext/>
              <w:rPr>
                <w:b/>
                <w:lang w:eastAsia="en-US"/>
              </w:rPr>
            </w:pPr>
            <w:r>
              <w:rPr>
                <w:b/>
                <w:lang w:eastAsia="en-US"/>
              </w:rPr>
              <w:t xml:space="preserve">Patient </w:t>
            </w:r>
          </w:p>
        </w:tc>
        <w:tc>
          <w:tcPr>
            <w:tcW w:w="507" w:type="pct"/>
          </w:tcPr>
          <w:p w:rsidR="001A6FF0" w:rsidRPr="008F5C81" w:rsidRDefault="001A6FF0" w:rsidP="00DF5C70">
            <w:pPr>
              <w:pStyle w:val="Tabletext1"/>
              <w:keepNext/>
              <w:rPr>
                <w:b/>
                <w:lang w:eastAsia="en-US"/>
              </w:rPr>
            </w:pPr>
            <w:r w:rsidRPr="008F5C81">
              <w:rPr>
                <w:b/>
                <w:lang w:eastAsia="en-US"/>
              </w:rPr>
              <w:t>Baseline</w:t>
            </w:r>
            <w:r>
              <w:rPr>
                <w:b/>
                <w:lang w:eastAsia="en-US"/>
              </w:rPr>
              <w:t xml:space="preserve"> </w:t>
            </w:r>
          </w:p>
        </w:tc>
        <w:tc>
          <w:tcPr>
            <w:tcW w:w="1027" w:type="pct"/>
          </w:tcPr>
          <w:p w:rsidR="001A6FF0" w:rsidRDefault="001A6FF0" w:rsidP="00DF5C70">
            <w:pPr>
              <w:pStyle w:val="Tabletext1"/>
              <w:keepNext/>
              <w:rPr>
                <w:b/>
                <w:lang w:eastAsia="en-US"/>
              </w:rPr>
            </w:pPr>
            <w:r>
              <w:rPr>
                <w:b/>
                <w:lang w:eastAsia="en-US"/>
              </w:rPr>
              <w:t>Duration of treatment</w:t>
            </w:r>
          </w:p>
        </w:tc>
        <w:tc>
          <w:tcPr>
            <w:tcW w:w="733" w:type="pct"/>
          </w:tcPr>
          <w:p w:rsidR="001A6FF0" w:rsidRPr="008F5C81" w:rsidRDefault="001A6FF0" w:rsidP="00DF5C70">
            <w:pPr>
              <w:pStyle w:val="Tabletext1"/>
              <w:keepNext/>
              <w:rPr>
                <w:b/>
                <w:lang w:eastAsia="en-US"/>
              </w:rPr>
            </w:pPr>
            <w:r>
              <w:rPr>
                <w:b/>
                <w:lang w:eastAsia="en-US"/>
              </w:rPr>
              <w:t xml:space="preserve">Follow-up </w:t>
            </w:r>
          </w:p>
        </w:tc>
        <w:tc>
          <w:tcPr>
            <w:tcW w:w="835" w:type="pct"/>
          </w:tcPr>
          <w:p w:rsidR="001A6FF0" w:rsidRPr="008F5C81" w:rsidRDefault="001A6FF0" w:rsidP="00DF5C70">
            <w:pPr>
              <w:pStyle w:val="Tabletext1"/>
              <w:keepNext/>
              <w:rPr>
                <w:b/>
                <w:vertAlign w:val="superscript"/>
                <w:lang w:eastAsia="en-US"/>
              </w:rPr>
            </w:pPr>
            <w:r>
              <w:rPr>
                <w:b/>
                <w:lang w:eastAsia="en-US"/>
              </w:rPr>
              <w:t>Change</w:t>
            </w:r>
          </w:p>
        </w:tc>
      </w:tr>
      <w:tr w:rsidR="001A6FF0" w:rsidTr="006747FF">
        <w:tc>
          <w:tcPr>
            <w:tcW w:w="1209" w:type="pct"/>
          </w:tcPr>
          <w:p w:rsidR="001A6FF0" w:rsidRDefault="001A6FF0" w:rsidP="00DF5C70">
            <w:pPr>
              <w:pStyle w:val="Tabletext1"/>
              <w:keepNext/>
              <w:rPr>
                <w:lang w:eastAsia="en-US"/>
              </w:rPr>
            </w:pPr>
            <w:r>
              <w:rPr>
                <w:lang w:eastAsia="en-US"/>
              </w:rPr>
              <w:t>Winkel et al 2004</w:t>
            </w:r>
          </w:p>
          <w:p w:rsidR="001A6FF0" w:rsidRDefault="001A6FF0" w:rsidP="00DF5C70">
            <w:pPr>
              <w:pStyle w:val="Tabletext1"/>
              <w:keepNext/>
              <w:rPr>
                <w:lang w:eastAsia="en-US"/>
              </w:rPr>
            </w:pPr>
            <w:r>
              <w:rPr>
                <w:lang w:eastAsia="en-US"/>
              </w:rPr>
              <w:t>VC, % of predicted</w:t>
            </w:r>
          </w:p>
        </w:tc>
        <w:tc>
          <w:tcPr>
            <w:tcW w:w="690" w:type="pct"/>
          </w:tcPr>
          <w:p w:rsidR="001A6FF0" w:rsidRDefault="001A6FF0" w:rsidP="00DF5C70">
            <w:pPr>
              <w:pStyle w:val="Tabletext1"/>
              <w:keepNext/>
              <w:rPr>
                <w:lang w:eastAsia="en-US"/>
              </w:rPr>
            </w:pPr>
            <w:r>
              <w:rPr>
                <w:lang w:eastAsia="en-US"/>
              </w:rPr>
              <w:t>Patient 1</w:t>
            </w:r>
          </w:p>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Patient 2</w:t>
            </w:r>
          </w:p>
          <w:p w:rsidR="001A6FF0" w:rsidRDefault="001A6FF0" w:rsidP="00DF5C70">
            <w:pPr>
              <w:pStyle w:val="Tabletext1"/>
              <w:keepNext/>
              <w:rPr>
                <w:lang w:eastAsia="en-US"/>
              </w:rPr>
            </w:pPr>
          </w:p>
        </w:tc>
        <w:tc>
          <w:tcPr>
            <w:tcW w:w="507" w:type="pct"/>
          </w:tcPr>
          <w:p w:rsidR="001A6FF0" w:rsidRDefault="001A6FF0" w:rsidP="00DF5C70">
            <w:pPr>
              <w:pStyle w:val="Tabletext1"/>
              <w:keepNext/>
              <w:rPr>
                <w:lang w:eastAsia="en-US"/>
              </w:rPr>
            </w:pPr>
            <w:r>
              <w:rPr>
                <w:lang w:eastAsia="en-US"/>
              </w:rPr>
              <w:t>14</w:t>
            </w:r>
          </w:p>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9</w:t>
            </w:r>
          </w:p>
          <w:p w:rsidR="001A6FF0" w:rsidRDefault="001A6FF0" w:rsidP="00DF5C70">
            <w:pPr>
              <w:pStyle w:val="Tabletext1"/>
              <w:keepNext/>
              <w:rPr>
                <w:lang w:eastAsia="en-US"/>
              </w:rPr>
            </w:pPr>
          </w:p>
        </w:tc>
        <w:tc>
          <w:tcPr>
            <w:tcW w:w="1027" w:type="pct"/>
          </w:tcPr>
          <w:p w:rsidR="001A6FF0" w:rsidRDefault="001A6FF0" w:rsidP="00DF5C70">
            <w:pPr>
              <w:pStyle w:val="Tabletext1"/>
              <w:keepNext/>
              <w:rPr>
                <w:lang w:eastAsia="en-US"/>
              </w:rPr>
            </w:pPr>
            <w:r>
              <w:rPr>
                <w:lang w:eastAsia="en-US"/>
              </w:rPr>
              <w:t>3 years</w:t>
            </w:r>
          </w:p>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3 years</w:t>
            </w:r>
          </w:p>
          <w:p w:rsidR="001A6FF0" w:rsidRDefault="001A6FF0" w:rsidP="00DF5C70">
            <w:pPr>
              <w:pStyle w:val="Tabletext1"/>
              <w:keepNext/>
              <w:rPr>
                <w:lang w:eastAsia="en-US"/>
              </w:rPr>
            </w:pPr>
          </w:p>
        </w:tc>
        <w:tc>
          <w:tcPr>
            <w:tcW w:w="733" w:type="pct"/>
          </w:tcPr>
          <w:p w:rsidR="001A6FF0" w:rsidRDefault="001A6FF0" w:rsidP="00DF5C70">
            <w:pPr>
              <w:pStyle w:val="Tabletext1"/>
              <w:keepNext/>
              <w:rPr>
                <w:lang w:eastAsia="en-US"/>
              </w:rPr>
            </w:pPr>
            <w:r>
              <w:rPr>
                <w:lang w:eastAsia="en-US"/>
              </w:rPr>
              <w:t>NR</w:t>
            </w:r>
          </w:p>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16</w:t>
            </w:r>
          </w:p>
          <w:p w:rsidR="001A6FF0" w:rsidRDefault="001A6FF0" w:rsidP="00DF5C70">
            <w:pPr>
              <w:pStyle w:val="Tabletext1"/>
              <w:keepNext/>
              <w:rPr>
                <w:lang w:eastAsia="en-US"/>
              </w:rPr>
            </w:pPr>
          </w:p>
        </w:tc>
        <w:tc>
          <w:tcPr>
            <w:tcW w:w="835" w:type="pct"/>
          </w:tcPr>
          <w:p w:rsidR="001A6FF0" w:rsidRDefault="001A6FF0" w:rsidP="00DF5C70">
            <w:pPr>
              <w:pStyle w:val="Tabletext1"/>
              <w:keepNext/>
              <w:rPr>
                <w:lang w:eastAsia="en-US"/>
              </w:rPr>
            </w:pPr>
            <w:r>
              <w:rPr>
                <w:lang w:eastAsia="en-US"/>
              </w:rPr>
              <w:t>r NR</w:t>
            </w:r>
          </w:p>
          <w:p w:rsidR="001A6FF0" w:rsidRPr="00DD62F3" w:rsidRDefault="001A6FF0" w:rsidP="00DF5C70">
            <w:pPr>
              <w:pStyle w:val="Tabletext1"/>
              <w:keepNext/>
              <w:rPr>
                <w:vertAlign w:val="superscript"/>
                <w:lang w:eastAsia="en-US"/>
              </w:rPr>
            </w:pPr>
            <w:r>
              <w:rPr>
                <w:lang w:eastAsia="en-US"/>
              </w:rPr>
              <w:t>p = 0.002</w:t>
            </w:r>
            <w:r>
              <w:rPr>
                <w:vertAlign w:val="superscript"/>
                <w:lang w:eastAsia="en-US"/>
              </w:rPr>
              <w:t>a</w:t>
            </w:r>
          </w:p>
          <w:p w:rsidR="001A6FF0" w:rsidRPr="006633B1" w:rsidRDefault="001A6FF0" w:rsidP="00DF5C70">
            <w:pPr>
              <w:pStyle w:val="Tabletext1"/>
              <w:keepNext/>
              <w:rPr>
                <w:vertAlign w:val="superscript"/>
                <w:lang w:eastAsia="en-US"/>
              </w:rPr>
            </w:pPr>
            <w:r>
              <w:rPr>
                <w:lang w:eastAsia="en-US"/>
              </w:rPr>
              <w:t>7, r = 0.58</w:t>
            </w:r>
            <w:r>
              <w:rPr>
                <w:vertAlign w:val="superscript"/>
                <w:lang w:eastAsia="en-US"/>
              </w:rPr>
              <w:t>b</w:t>
            </w:r>
          </w:p>
          <w:p w:rsidR="001A6FF0" w:rsidRPr="00EB28FF" w:rsidRDefault="001A6FF0" w:rsidP="00DF5C70">
            <w:pPr>
              <w:pStyle w:val="Tabletext1"/>
              <w:keepNext/>
              <w:rPr>
                <w:vertAlign w:val="superscript"/>
                <w:lang w:eastAsia="en-US"/>
              </w:rPr>
            </w:pPr>
            <w:r>
              <w:rPr>
                <w:lang w:eastAsia="en-US"/>
              </w:rPr>
              <w:t>p = 0.024</w:t>
            </w:r>
            <w:r>
              <w:rPr>
                <w:vertAlign w:val="superscript"/>
                <w:lang w:eastAsia="en-US"/>
              </w:rPr>
              <w:t>a</w:t>
            </w:r>
          </w:p>
        </w:tc>
      </w:tr>
      <w:tr w:rsidR="001A6FF0" w:rsidTr="006747FF">
        <w:tc>
          <w:tcPr>
            <w:tcW w:w="1209" w:type="pct"/>
          </w:tcPr>
          <w:p w:rsidR="001A6FF0" w:rsidRDefault="001A6FF0" w:rsidP="00DF5C70">
            <w:pPr>
              <w:pStyle w:val="Tabletext1"/>
              <w:keepNext/>
              <w:rPr>
                <w:lang w:eastAsia="en-US"/>
              </w:rPr>
            </w:pPr>
            <w:r>
              <w:rPr>
                <w:lang w:eastAsia="en-US"/>
              </w:rPr>
              <w:t>Orlikowski et al 2011</w:t>
            </w:r>
          </w:p>
          <w:p w:rsidR="001A6FF0" w:rsidRDefault="001A6FF0" w:rsidP="00DF5C70">
            <w:pPr>
              <w:pStyle w:val="Tabletext1"/>
              <w:keepNext/>
              <w:rPr>
                <w:lang w:eastAsia="en-US"/>
              </w:rPr>
            </w:pPr>
            <w:r>
              <w:rPr>
                <w:lang w:eastAsia="en-US"/>
              </w:rPr>
              <w:t>VC, supine (% of predicted)</w:t>
            </w:r>
          </w:p>
        </w:tc>
        <w:tc>
          <w:tcPr>
            <w:tcW w:w="690" w:type="pct"/>
          </w:tcPr>
          <w:p w:rsidR="001A6FF0" w:rsidRDefault="001A6FF0" w:rsidP="00DF5C70">
            <w:pPr>
              <w:pStyle w:val="Tabletext1"/>
              <w:keepNext/>
              <w:rPr>
                <w:lang w:eastAsia="en-US"/>
              </w:rPr>
            </w:pPr>
            <w:r>
              <w:rPr>
                <w:lang w:eastAsia="en-US"/>
              </w:rPr>
              <w:t>Patient 1</w:t>
            </w:r>
          </w:p>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Patient 5</w:t>
            </w:r>
          </w:p>
        </w:tc>
        <w:tc>
          <w:tcPr>
            <w:tcW w:w="507" w:type="pct"/>
          </w:tcPr>
          <w:p w:rsidR="001A6FF0" w:rsidRDefault="001A6FF0" w:rsidP="00DF5C70">
            <w:pPr>
              <w:pStyle w:val="Tabletext1"/>
              <w:keepNext/>
              <w:rPr>
                <w:lang w:eastAsia="en-US"/>
              </w:rPr>
            </w:pPr>
            <w:r>
              <w:rPr>
                <w:lang w:eastAsia="en-US"/>
              </w:rPr>
              <w:t>8</w:t>
            </w:r>
          </w:p>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0</w:t>
            </w:r>
          </w:p>
        </w:tc>
        <w:tc>
          <w:tcPr>
            <w:tcW w:w="1027" w:type="pct"/>
          </w:tcPr>
          <w:p w:rsidR="001A6FF0" w:rsidRDefault="001A6FF0" w:rsidP="00DF5C70">
            <w:pPr>
              <w:pStyle w:val="Tabletext1"/>
              <w:keepNext/>
              <w:rPr>
                <w:lang w:eastAsia="en-US"/>
              </w:rPr>
            </w:pPr>
            <w:r>
              <w:rPr>
                <w:lang w:eastAsia="en-US"/>
              </w:rPr>
              <w:t>6 months</w:t>
            </w:r>
          </w:p>
          <w:p w:rsidR="001A6FF0" w:rsidRDefault="001A6FF0" w:rsidP="00DF5C70">
            <w:pPr>
              <w:pStyle w:val="Tabletext1"/>
              <w:keepNext/>
              <w:rPr>
                <w:lang w:eastAsia="en-US"/>
              </w:rPr>
            </w:pPr>
            <w:r>
              <w:rPr>
                <w:lang w:eastAsia="en-US"/>
              </w:rPr>
              <w:t>1 year</w:t>
            </w:r>
          </w:p>
          <w:p w:rsidR="001A6FF0" w:rsidRDefault="001A6FF0" w:rsidP="00DF5C70">
            <w:pPr>
              <w:pStyle w:val="Tabletext1"/>
              <w:keepNext/>
              <w:rPr>
                <w:lang w:eastAsia="en-US"/>
              </w:rPr>
            </w:pPr>
            <w:r>
              <w:rPr>
                <w:lang w:eastAsia="en-US"/>
              </w:rPr>
              <w:t>6 months</w:t>
            </w:r>
          </w:p>
          <w:p w:rsidR="001A6FF0" w:rsidRDefault="001A6FF0" w:rsidP="00DF5C70">
            <w:pPr>
              <w:pStyle w:val="Tabletext1"/>
              <w:keepNext/>
              <w:rPr>
                <w:lang w:eastAsia="en-US"/>
              </w:rPr>
            </w:pPr>
            <w:r>
              <w:rPr>
                <w:lang w:eastAsia="en-US"/>
              </w:rPr>
              <w:t>week 38</w:t>
            </w:r>
          </w:p>
        </w:tc>
        <w:tc>
          <w:tcPr>
            <w:tcW w:w="733" w:type="pct"/>
          </w:tcPr>
          <w:p w:rsidR="001A6FF0" w:rsidRDefault="001A6FF0" w:rsidP="00DF5C70">
            <w:pPr>
              <w:pStyle w:val="Tabletext1"/>
              <w:keepNext/>
              <w:rPr>
                <w:lang w:eastAsia="en-US"/>
              </w:rPr>
            </w:pPr>
            <w:r>
              <w:rPr>
                <w:lang w:eastAsia="en-US"/>
              </w:rPr>
              <w:t>11</w:t>
            </w:r>
          </w:p>
          <w:p w:rsidR="001A6FF0" w:rsidRDefault="001A6FF0" w:rsidP="00DF5C70">
            <w:pPr>
              <w:pStyle w:val="Tabletext1"/>
              <w:keepNext/>
              <w:rPr>
                <w:lang w:eastAsia="en-US"/>
              </w:rPr>
            </w:pPr>
            <w:r>
              <w:rPr>
                <w:lang w:eastAsia="en-US"/>
              </w:rPr>
              <w:t>12</w:t>
            </w:r>
          </w:p>
          <w:p w:rsidR="001A6FF0" w:rsidRDefault="001A6FF0" w:rsidP="00DF5C70">
            <w:pPr>
              <w:pStyle w:val="Tabletext1"/>
              <w:keepNext/>
              <w:rPr>
                <w:lang w:eastAsia="en-US"/>
              </w:rPr>
            </w:pPr>
            <w:r>
              <w:rPr>
                <w:lang w:eastAsia="en-US"/>
              </w:rPr>
              <w:t>5</w:t>
            </w:r>
          </w:p>
          <w:p w:rsidR="001A6FF0" w:rsidRDefault="001A6FF0" w:rsidP="00DF5C70">
            <w:pPr>
              <w:pStyle w:val="Tabletext1"/>
              <w:keepNext/>
              <w:rPr>
                <w:lang w:eastAsia="en-US"/>
              </w:rPr>
            </w:pPr>
            <w:r>
              <w:rPr>
                <w:lang w:eastAsia="en-US"/>
              </w:rPr>
              <w:t>4</w:t>
            </w:r>
          </w:p>
        </w:tc>
        <w:tc>
          <w:tcPr>
            <w:tcW w:w="835" w:type="pct"/>
          </w:tcPr>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48%</w:t>
            </w:r>
          </w:p>
          <w:p w:rsidR="001A6FF0" w:rsidRDefault="001A6FF0" w:rsidP="00DF5C70">
            <w:pPr>
              <w:pStyle w:val="Tabletext1"/>
              <w:keepNext/>
              <w:rPr>
                <w:lang w:eastAsia="en-US"/>
              </w:rPr>
            </w:pPr>
          </w:p>
          <w:p w:rsidR="001A6FF0" w:rsidRPr="006633B1" w:rsidRDefault="001A6FF0" w:rsidP="00DF5C70">
            <w:pPr>
              <w:pStyle w:val="Tabletext1"/>
              <w:keepNext/>
              <w:rPr>
                <w:lang w:eastAsia="en-US"/>
              </w:rPr>
            </w:pPr>
            <w:r>
              <w:rPr>
                <w:lang w:eastAsia="en-US"/>
              </w:rPr>
              <w:t>Not evaluable</w:t>
            </w:r>
          </w:p>
        </w:tc>
      </w:tr>
      <w:tr w:rsidR="001A6FF0" w:rsidTr="006747FF">
        <w:tc>
          <w:tcPr>
            <w:tcW w:w="1209" w:type="pct"/>
          </w:tcPr>
          <w:p w:rsidR="001A6FF0" w:rsidRDefault="001A6FF0" w:rsidP="00DF5C70">
            <w:pPr>
              <w:pStyle w:val="Tabletext1"/>
              <w:keepNext/>
              <w:rPr>
                <w:lang w:eastAsia="en-US"/>
              </w:rPr>
            </w:pPr>
            <w:r>
              <w:rPr>
                <w:lang w:eastAsia="en-US"/>
              </w:rPr>
              <w:t>Orlikowski et al 2011</w:t>
            </w:r>
          </w:p>
          <w:p w:rsidR="001A6FF0" w:rsidRDefault="001A6FF0" w:rsidP="00DF5C70">
            <w:pPr>
              <w:pStyle w:val="Tabletext1"/>
              <w:keepNext/>
              <w:rPr>
                <w:lang w:eastAsia="en-US"/>
              </w:rPr>
            </w:pPr>
            <w:r>
              <w:rPr>
                <w:lang w:eastAsia="en-US"/>
              </w:rPr>
              <w:t>VC, sitting (%of predicted)</w:t>
            </w:r>
          </w:p>
        </w:tc>
        <w:tc>
          <w:tcPr>
            <w:tcW w:w="690" w:type="pct"/>
          </w:tcPr>
          <w:p w:rsidR="001A6FF0" w:rsidRDefault="001A6FF0" w:rsidP="00DF5C70">
            <w:pPr>
              <w:pStyle w:val="Tabletext1"/>
              <w:keepNext/>
              <w:rPr>
                <w:lang w:eastAsia="en-US"/>
              </w:rPr>
            </w:pPr>
            <w:r>
              <w:rPr>
                <w:lang w:eastAsia="en-US"/>
              </w:rPr>
              <w:t>Patient 1</w:t>
            </w:r>
          </w:p>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Patient 5</w:t>
            </w:r>
          </w:p>
        </w:tc>
        <w:tc>
          <w:tcPr>
            <w:tcW w:w="507" w:type="pct"/>
          </w:tcPr>
          <w:p w:rsidR="001A6FF0" w:rsidRDefault="001A6FF0" w:rsidP="00DF5C70">
            <w:pPr>
              <w:pStyle w:val="Tabletext1"/>
              <w:keepNext/>
              <w:rPr>
                <w:lang w:eastAsia="en-US"/>
              </w:rPr>
            </w:pPr>
            <w:r>
              <w:rPr>
                <w:lang w:eastAsia="en-US"/>
              </w:rPr>
              <w:t>7</w:t>
            </w:r>
          </w:p>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6</w:t>
            </w:r>
          </w:p>
        </w:tc>
        <w:tc>
          <w:tcPr>
            <w:tcW w:w="1027" w:type="pct"/>
          </w:tcPr>
          <w:p w:rsidR="001A6FF0" w:rsidRDefault="001A6FF0" w:rsidP="00DF5C70">
            <w:pPr>
              <w:pStyle w:val="Tabletext1"/>
              <w:keepNext/>
              <w:rPr>
                <w:lang w:eastAsia="en-US"/>
              </w:rPr>
            </w:pPr>
            <w:r>
              <w:rPr>
                <w:lang w:eastAsia="en-US"/>
              </w:rPr>
              <w:t>6 months</w:t>
            </w:r>
          </w:p>
          <w:p w:rsidR="001A6FF0" w:rsidRDefault="001A6FF0" w:rsidP="00DF5C70">
            <w:pPr>
              <w:pStyle w:val="Tabletext1"/>
              <w:keepNext/>
              <w:rPr>
                <w:lang w:eastAsia="en-US"/>
              </w:rPr>
            </w:pPr>
            <w:r>
              <w:rPr>
                <w:lang w:eastAsia="en-US"/>
              </w:rPr>
              <w:t>1 year</w:t>
            </w:r>
          </w:p>
          <w:p w:rsidR="001A6FF0" w:rsidRDefault="001A6FF0" w:rsidP="00DF5C70">
            <w:pPr>
              <w:pStyle w:val="Tabletext1"/>
              <w:keepNext/>
              <w:rPr>
                <w:lang w:eastAsia="en-US"/>
              </w:rPr>
            </w:pPr>
            <w:r>
              <w:rPr>
                <w:lang w:eastAsia="en-US"/>
              </w:rPr>
              <w:t>6 months</w:t>
            </w:r>
          </w:p>
          <w:p w:rsidR="001A6FF0" w:rsidRDefault="001A6FF0" w:rsidP="00DF5C70">
            <w:pPr>
              <w:pStyle w:val="Tabletext1"/>
              <w:keepNext/>
              <w:rPr>
                <w:lang w:eastAsia="en-US"/>
              </w:rPr>
            </w:pPr>
            <w:r>
              <w:rPr>
                <w:lang w:eastAsia="en-US"/>
              </w:rPr>
              <w:t>week 38</w:t>
            </w:r>
          </w:p>
        </w:tc>
        <w:tc>
          <w:tcPr>
            <w:tcW w:w="733" w:type="pct"/>
          </w:tcPr>
          <w:p w:rsidR="001A6FF0" w:rsidRDefault="001A6FF0" w:rsidP="00DF5C70">
            <w:pPr>
              <w:pStyle w:val="Tabletext1"/>
              <w:keepNext/>
              <w:rPr>
                <w:lang w:eastAsia="en-US"/>
              </w:rPr>
            </w:pPr>
            <w:r>
              <w:rPr>
                <w:lang w:eastAsia="en-US"/>
              </w:rPr>
              <w:t>15</w:t>
            </w:r>
          </w:p>
          <w:p w:rsidR="001A6FF0" w:rsidRDefault="001A6FF0" w:rsidP="00DF5C70">
            <w:pPr>
              <w:pStyle w:val="Tabletext1"/>
              <w:keepNext/>
              <w:rPr>
                <w:lang w:eastAsia="en-US"/>
              </w:rPr>
            </w:pPr>
            <w:r>
              <w:rPr>
                <w:lang w:eastAsia="en-US"/>
              </w:rPr>
              <w:t>11</w:t>
            </w:r>
          </w:p>
          <w:p w:rsidR="001A6FF0" w:rsidRDefault="001A6FF0" w:rsidP="00DF5C70">
            <w:pPr>
              <w:pStyle w:val="Tabletext1"/>
              <w:keepNext/>
              <w:rPr>
                <w:lang w:eastAsia="en-US"/>
              </w:rPr>
            </w:pPr>
            <w:r>
              <w:rPr>
                <w:lang w:eastAsia="en-US"/>
              </w:rPr>
              <w:t>6</w:t>
            </w:r>
          </w:p>
          <w:p w:rsidR="001A6FF0" w:rsidRDefault="001A6FF0" w:rsidP="00DF5C70">
            <w:pPr>
              <w:pStyle w:val="Tabletext1"/>
              <w:keepNext/>
              <w:rPr>
                <w:lang w:eastAsia="en-US"/>
              </w:rPr>
            </w:pPr>
            <w:r>
              <w:rPr>
                <w:lang w:eastAsia="en-US"/>
              </w:rPr>
              <w:t>5</w:t>
            </w:r>
          </w:p>
        </w:tc>
        <w:tc>
          <w:tcPr>
            <w:tcW w:w="835" w:type="pct"/>
          </w:tcPr>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56%</w:t>
            </w:r>
          </w:p>
          <w:p w:rsidR="001A6FF0" w:rsidRDefault="001A6FF0" w:rsidP="00DF5C70">
            <w:pPr>
              <w:pStyle w:val="Tabletext1"/>
              <w:keepNext/>
              <w:rPr>
                <w:lang w:eastAsia="en-US"/>
              </w:rPr>
            </w:pPr>
          </w:p>
          <w:p w:rsidR="001A6FF0" w:rsidRPr="006633B1" w:rsidRDefault="001A6FF0" w:rsidP="00DF5C70">
            <w:pPr>
              <w:pStyle w:val="Tabletext1"/>
              <w:keepNext/>
              <w:rPr>
                <w:lang w:eastAsia="en-US"/>
              </w:rPr>
            </w:pPr>
            <w:r>
              <w:rPr>
                <w:lang w:eastAsia="en-US"/>
              </w:rPr>
              <w:t>-16%</w:t>
            </w:r>
          </w:p>
        </w:tc>
      </w:tr>
      <w:tr w:rsidR="001A6FF0" w:rsidTr="006747FF">
        <w:tc>
          <w:tcPr>
            <w:tcW w:w="1209" w:type="pct"/>
          </w:tcPr>
          <w:p w:rsidR="001A6FF0" w:rsidRDefault="001A6FF0" w:rsidP="00DF5C70">
            <w:pPr>
              <w:pStyle w:val="Tabletext1"/>
              <w:keepNext/>
              <w:rPr>
                <w:lang w:eastAsia="en-US"/>
              </w:rPr>
            </w:pPr>
            <w:r>
              <w:rPr>
                <w:lang w:eastAsia="en-US"/>
              </w:rPr>
              <w:t>Furusawa 2012</w:t>
            </w:r>
          </w:p>
          <w:p w:rsidR="001A6FF0" w:rsidRDefault="001A6FF0" w:rsidP="00DF5C70">
            <w:pPr>
              <w:pStyle w:val="Tabletext1"/>
              <w:keepNext/>
              <w:rPr>
                <w:lang w:eastAsia="en-US"/>
              </w:rPr>
            </w:pPr>
            <w:r>
              <w:rPr>
                <w:lang w:eastAsia="en-US"/>
              </w:rPr>
              <w:t>VC, % of predicted</w:t>
            </w:r>
          </w:p>
        </w:tc>
        <w:tc>
          <w:tcPr>
            <w:tcW w:w="690" w:type="pct"/>
          </w:tcPr>
          <w:p w:rsidR="001A6FF0" w:rsidRDefault="001A6FF0" w:rsidP="00DF5C70">
            <w:pPr>
              <w:pStyle w:val="Tabletext1"/>
              <w:keepNext/>
              <w:rPr>
                <w:lang w:eastAsia="en-US"/>
              </w:rPr>
            </w:pPr>
            <w:r>
              <w:rPr>
                <w:lang w:eastAsia="en-US"/>
              </w:rPr>
              <w:t>Patient 4</w:t>
            </w:r>
          </w:p>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Patient 5</w:t>
            </w:r>
          </w:p>
        </w:tc>
        <w:tc>
          <w:tcPr>
            <w:tcW w:w="507" w:type="pct"/>
          </w:tcPr>
          <w:p w:rsidR="001A6FF0" w:rsidRDefault="001A6FF0" w:rsidP="00DF5C70">
            <w:pPr>
              <w:pStyle w:val="Tabletext1"/>
              <w:keepNext/>
              <w:rPr>
                <w:lang w:eastAsia="en-US"/>
              </w:rPr>
            </w:pPr>
            <w:r>
              <w:rPr>
                <w:lang w:eastAsia="en-US"/>
              </w:rPr>
              <w:t>17.6</w:t>
            </w:r>
          </w:p>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13.1</w:t>
            </w:r>
          </w:p>
        </w:tc>
        <w:tc>
          <w:tcPr>
            <w:tcW w:w="1027" w:type="pct"/>
          </w:tcPr>
          <w:p w:rsidR="001A6FF0" w:rsidRDefault="001A6FF0" w:rsidP="00DF5C70">
            <w:pPr>
              <w:pStyle w:val="Tabletext1"/>
              <w:keepNext/>
              <w:rPr>
                <w:lang w:eastAsia="en-US"/>
              </w:rPr>
            </w:pPr>
            <w:r>
              <w:rPr>
                <w:lang w:eastAsia="en-US"/>
              </w:rPr>
              <w:t>1 year</w:t>
            </w:r>
          </w:p>
          <w:p w:rsidR="001A6FF0" w:rsidRDefault="001A6FF0" w:rsidP="00DF5C70">
            <w:pPr>
              <w:pStyle w:val="Tabletext1"/>
              <w:keepNext/>
              <w:rPr>
                <w:lang w:eastAsia="en-US"/>
              </w:rPr>
            </w:pPr>
            <w:r>
              <w:rPr>
                <w:lang w:eastAsia="en-US"/>
              </w:rPr>
              <w:t>2 years</w:t>
            </w:r>
          </w:p>
          <w:p w:rsidR="001A6FF0" w:rsidRDefault="001A6FF0" w:rsidP="00DF5C70">
            <w:pPr>
              <w:pStyle w:val="Tabletext1"/>
              <w:keepNext/>
              <w:rPr>
                <w:lang w:eastAsia="en-US"/>
              </w:rPr>
            </w:pPr>
            <w:r>
              <w:rPr>
                <w:lang w:eastAsia="en-US"/>
              </w:rPr>
              <w:t>1 year</w:t>
            </w:r>
          </w:p>
          <w:p w:rsidR="001A6FF0" w:rsidRDefault="001A6FF0" w:rsidP="00DF5C70">
            <w:pPr>
              <w:pStyle w:val="Tabletext1"/>
              <w:keepNext/>
              <w:rPr>
                <w:lang w:eastAsia="en-US"/>
              </w:rPr>
            </w:pPr>
            <w:r>
              <w:rPr>
                <w:lang w:eastAsia="en-US"/>
              </w:rPr>
              <w:t>2 years</w:t>
            </w:r>
          </w:p>
        </w:tc>
        <w:tc>
          <w:tcPr>
            <w:tcW w:w="733" w:type="pct"/>
          </w:tcPr>
          <w:p w:rsidR="001A6FF0" w:rsidRDefault="001A6FF0" w:rsidP="00DF5C70">
            <w:pPr>
              <w:pStyle w:val="Tabletext1"/>
              <w:keepNext/>
              <w:rPr>
                <w:lang w:eastAsia="en-US"/>
              </w:rPr>
            </w:pPr>
            <w:r>
              <w:rPr>
                <w:lang w:eastAsia="en-US"/>
              </w:rPr>
              <w:t>Not taken</w:t>
            </w:r>
          </w:p>
          <w:p w:rsidR="001A6FF0" w:rsidRDefault="001A6FF0" w:rsidP="00DF5C70">
            <w:pPr>
              <w:pStyle w:val="Tabletext1"/>
              <w:keepNext/>
              <w:rPr>
                <w:lang w:eastAsia="en-US"/>
              </w:rPr>
            </w:pPr>
            <w:r>
              <w:rPr>
                <w:lang w:eastAsia="en-US"/>
              </w:rPr>
              <w:t>9.2</w:t>
            </w:r>
          </w:p>
          <w:p w:rsidR="001A6FF0" w:rsidRDefault="001A6FF0" w:rsidP="00DF5C70">
            <w:pPr>
              <w:pStyle w:val="Tabletext1"/>
              <w:keepNext/>
              <w:rPr>
                <w:lang w:eastAsia="en-US"/>
              </w:rPr>
            </w:pPr>
            <w:r>
              <w:rPr>
                <w:lang w:eastAsia="en-US"/>
              </w:rPr>
              <w:t>19.5</w:t>
            </w:r>
          </w:p>
          <w:p w:rsidR="001A6FF0" w:rsidRDefault="001A6FF0" w:rsidP="00DF5C70">
            <w:pPr>
              <w:pStyle w:val="Tabletext1"/>
              <w:keepNext/>
              <w:rPr>
                <w:lang w:eastAsia="en-US"/>
              </w:rPr>
            </w:pPr>
            <w:r>
              <w:rPr>
                <w:lang w:eastAsia="en-US"/>
              </w:rPr>
              <w:t>21.4</w:t>
            </w:r>
          </w:p>
        </w:tc>
        <w:tc>
          <w:tcPr>
            <w:tcW w:w="835" w:type="pct"/>
          </w:tcPr>
          <w:p w:rsidR="001A6FF0" w:rsidRDefault="001A6FF0" w:rsidP="00DF5C70">
            <w:pPr>
              <w:pStyle w:val="Tabletext1"/>
              <w:keepNext/>
              <w:rPr>
                <w:lang w:eastAsia="en-US"/>
              </w:rPr>
            </w:pPr>
            <w:r>
              <w:rPr>
                <w:lang w:eastAsia="en-US"/>
              </w:rPr>
              <w:t>NR</w:t>
            </w:r>
          </w:p>
          <w:p w:rsidR="001A6FF0" w:rsidRDefault="001A6FF0" w:rsidP="00DF5C70">
            <w:pPr>
              <w:pStyle w:val="Tabletext1"/>
              <w:keepNext/>
              <w:rPr>
                <w:lang w:eastAsia="en-US"/>
              </w:rPr>
            </w:pPr>
            <w:r>
              <w:rPr>
                <w:lang w:eastAsia="en-US"/>
              </w:rPr>
              <w:t>NR</w:t>
            </w:r>
          </w:p>
        </w:tc>
      </w:tr>
      <w:tr w:rsidR="001A6FF0" w:rsidTr="006747FF">
        <w:tc>
          <w:tcPr>
            <w:tcW w:w="1209" w:type="pct"/>
          </w:tcPr>
          <w:p w:rsidR="001A6FF0" w:rsidRDefault="001A6FF0" w:rsidP="00DF5C70">
            <w:pPr>
              <w:pStyle w:val="Tabletext1"/>
              <w:keepNext/>
              <w:rPr>
                <w:lang w:eastAsia="en-US"/>
              </w:rPr>
            </w:pPr>
            <w:r>
              <w:rPr>
                <w:lang w:eastAsia="en-US"/>
              </w:rPr>
              <w:t>Korpela 2009</w:t>
            </w:r>
          </w:p>
          <w:p w:rsidR="001A6FF0" w:rsidRDefault="001A6FF0" w:rsidP="00DF5C70">
            <w:pPr>
              <w:pStyle w:val="Tabletext1"/>
              <w:keepNext/>
              <w:rPr>
                <w:lang w:eastAsia="en-US"/>
              </w:rPr>
            </w:pPr>
            <w:r>
              <w:rPr>
                <w:lang w:eastAsia="en-US"/>
              </w:rPr>
              <w:t>VC, % of predicted</w:t>
            </w:r>
          </w:p>
        </w:tc>
        <w:tc>
          <w:tcPr>
            <w:tcW w:w="690" w:type="pct"/>
          </w:tcPr>
          <w:p w:rsidR="001A6FF0" w:rsidRDefault="001A6FF0" w:rsidP="00DF5C70">
            <w:pPr>
              <w:pStyle w:val="Tabletext1"/>
              <w:keepNext/>
              <w:rPr>
                <w:lang w:eastAsia="en-US"/>
              </w:rPr>
            </w:pPr>
            <w:r>
              <w:rPr>
                <w:lang w:eastAsia="en-US"/>
              </w:rPr>
              <w:t>Patient 1</w:t>
            </w:r>
          </w:p>
        </w:tc>
        <w:tc>
          <w:tcPr>
            <w:tcW w:w="507" w:type="pct"/>
          </w:tcPr>
          <w:p w:rsidR="001A6FF0" w:rsidRDefault="001A6FF0" w:rsidP="00DF5C70">
            <w:pPr>
              <w:pStyle w:val="Tabletext1"/>
              <w:keepNext/>
              <w:rPr>
                <w:lang w:eastAsia="en-US"/>
              </w:rPr>
            </w:pPr>
            <w:r>
              <w:rPr>
                <w:lang w:eastAsia="en-US"/>
              </w:rPr>
              <w:t>26</w:t>
            </w:r>
          </w:p>
        </w:tc>
        <w:tc>
          <w:tcPr>
            <w:tcW w:w="1027" w:type="pct"/>
          </w:tcPr>
          <w:p w:rsidR="001A6FF0" w:rsidRDefault="001A6FF0" w:rsidP="00DF5C70">
            <w:pPr>
              <w:pStyle w:val="Tabletext1"/>
              <w:keepNext/>
              <w:rPr>
                <w:lang w:eastAsia="en-US"/>
              </w:rPr>
            </w:pPr>
            <w:r>
              <w:rPr>
                <w:lang w:eastAsia="en-US"/>
              </w:rPr>
              <w:t>6 months</w:t>
            </w:r>
          </w:p>
        </w:tc>
        <w:tc>
          <w:tcPr>
            <w:tcW w:w="733" w:type="pct"/>
          </w:tcPr>
          <w:p w:rsidR="001A6FF0" w:rsidRDefault="001A6FF0" w:rsidP="00DF5C70">
            <w:pPr>
              <w:pStyle w:val="Tabletext1"/>
              <w:keepNext/>
              <w:rPr>
                <w:lang w:eastAsia="en-US"/>
              </w:rPr>
            </w:pPr>
            <w:r>
              <w:rPr>
                <w:lang w:eastAsia="en-US"/>
              </w:rPr>
              <w:t>NR</w:t>
            </w:r>
          </w:p>
        </w:tc>
        <w:tc>
          <w:tcPr>
            <w:tcW w:w="835" w:type="pct"/>
          </w:tcPr>
          <w:p w:rsidR="001A6FF0" w:rsidRDefault="001A6FF0" w:rsidP="00DF5C70">
            <w:pPr>
              <w:pStyle w:val="Tabletext1"/>
              <w:keepNext/>
              <w:rPr>
                <w:lang w:eastAsia="en-US"/>
              </w:rPr>
            </w:pPr>
            <w:r>
              <w:rPr>
                <w:lang w:eastAsia="en-US"/>
              </w:rPr>
              <w:t>increased</w:t>
            </w:r>
          </w:p>
        </w:tc>
      </w:tr>
      <w:tr w:rsidR="001A6FF0" w:rsidTr="006747FF">
        <w:tc>
          <w:tcPr>
            <w:tcW w:w="1209" w:type="pct"/>
          </w:tcPr>
          <w:p w:rsidR="001A6FF0" w:rsidRDefault="001A6FF0" w:rsidP="00DF5C70">
            <w:pPr>
              <w:pStyle w:val="Tabletext1"/>
              <w:keepNext/>
              <w:rPr>
                <w:lang w:eastAsia="en-US"/>
              </w:rPr>
            </w:pPr>
            <w:r>
              <w:rPr>
                <w:lang w:eastAsia="en-US"/>
              </w:rPr>
              <w:t>Ishigaki 2012</w:t>
            </w:r>
          </w:p>
          <w:p w:rsidR="001A6FF0" w:rsidRDefault="001A6FF0" w:rsidP="00DF5C70">
            <w:pPr>
              <w:pStyle w:val="Tabletext1"/>
              <w:keepNext/>
              <w:rPr>
                <w:lang w:eastAsia="en-US"/>
              </w:rPr>
            </w:pPr>
            <w:r>
              <w:rPr>
                <w:lang w:eastAsia="en-US"/>
              </w:rPr>
              <w:t>VC, sitting (% of predicted)</w:t>
            </w:r>
          </w:p>
        </w:tc>
        <w:tc>
          <w:tcPr>
            <w:tcW w:w="690" w:type="pct"/>
          </w:tcPr>
          <w:p w:rsidR="001A6FF0" w:rsidRDefault="001A6FF0" w:rsidP="00DF5C70">
            <w:pPr>
              <w:pStyle w:val="Tabletext1"/>
              <w:keepNext/>
              <w:rPr>
                <w:lang w:eastAsia="en-US"/>
              </w:rPr>
            </w:pPr>
            <w:r>
              <w:rPr>
                <w:lang w:eastAsia="en-US"/>
              </w:rPr>
              <w:t>Patient 1</w:t>
            </w:r>
          </w:p>
        </w:tc>
        <w:tc>
          <w:tcPr>
            <w:tcW w:w="507" w:type="pct"/>
          </w:tcPr>
          <w:p w:rsidR="001A6FF0" w:rsidRDefault="001A6FF0" w:rsidP="00DF5C70">
            <w:pPr>
              <w:pStyle w:val="Tabletext1"/>
              <w:keepNext/>
              <w:rPr>
                <w:lang w:eastAsia="en-US"/>
              </w:rPr>
            </w:pPr>
            <w:r>
              <w:rPr>
                <w:lang w:eastAsia="en-US"/>
              </w:rPr>
              <w:t>57</w:t>
            </w:r>
          </w:p>
        </w:tc>
        <w:tc>
          <w:tcPr>
            <w:tcW w:w="1027" w:type="pct"/>
          </w:tcPr>
          <w:p w:rsidR="001A6FF0" w:rsidRDefault="001A6FF0" w:rsidP="00DF5C70">
            <w:pPr>
              <w:pStyle w:val="Tabletext1"/>
              <w:keepNext/>
              <w:rPr>
                <w:lang w:eastAsia="en-US"/>
              </w:rPr>
            </w:pPr>
            <w:r>
              <w:rPr>
                <w:lang w:eastAsia="en-US"/>
              </w:rPr>
              <w:t>4 months</w:t>
            </w:r>
          </w:p>
          <w:p w:rsidR="001A6FF0" w:rsidRDefault="001A6FF0" w:rsidP="00DF5C70">
            <w:pPr>
              <w:pStyle w:val="Tabletext1"/>
              <w:keepNext/>
              <w:rPr>
                <w:lang w:eastAsia="en-US"/>
              </w:rPr>
            </w:pPr>
            <w:r>
              <w:rPr>
                <w:lang w:eastAsia="en-US"/>
              </w:rPr>
              <w:t>18 months</w:t>
            </w:r>
          </w:p>
        </w:tc>
        <w:tc>
          <w:tcPr>
            <w:tcW w:w="733" w:type="pct"/>
          </w:tcPr>
          <w:p w:rsidR="001A6FF0" w:rsidRDefault="001A6FF0" w:rsidP="00DF5C70">
            <w:pPr>
              <w:pStyle w:val="Tabletext1"/>
              <w:keepNext/>
              <w:rPr>
                <w:lang w:eastAsia="en-US"/>
              </w:rPr>
            </w:pPr>
            <w:r>
              <w:rPr>
                <w:lang w:eastAsia="en-US"/>
              </w:rPr>
              <w:t xml:space="preserve">65 </w:t>
            </w:r>
          </w:p>
          <w:p w:rsidR="001A6FF0" w:rsidRDefault="001A6FF0" w:rsidP="00DF5C70">
            <w:pPr>
              <w:pStyle w:val="Tabletext1"/>
              <w:keepNext/>
              <w:rPr>
                <w:lang w:eastAsia="en-US"/>
              </w:rPr>
            </w:pPr>
            <w:r>
              <w:rPr>
                <w:lang w:eastAsia="en-US"/>
              </w:rPr>
              <w:t>NR</w:t>
            </w:r>
          </w:p>
        </w:tc>
        <w:tc>
          <w:tcPr>
            <w:tcW w:w="835" w:type="pct"/>
          </w:tcPr>
          <w:p w:rsidR="001A6FF0" w:rsidRDefault="001A6FF0" w:rsidP="00DF5C70">
            <w:pPr>
              <w:pStyle w:val="Tabletext1"/>
              <w:keepNext/>
              <w:rPr>
                <w:lang w:eastAsia="en-US"/>
              </w:rPr>
            </w:pPr>
          </w:p>
          <w:p w:rsidR="001A6FF0" w:rsidRDefault="001A6FF0" w:rsidP="00DF5C70">
            <w:pPr>
              <w:pStyle w:val="Tabletext1"/>
              <w:keepNext/>
              <w:rPr>
                <w:lang w:eastAsia="en-US"/>
              </w:rPr>
            </w:pPr>
            <w:r>
              <w:rPr>
                <w:lang w:eastAsia="en-US"/>
              </w:rPr>
              <w:t>return to baseline</w:t>
            </w:r>
          </w:p>
        </w:tc>
      </w:tr>
      <w:tr w:rsidR="001A6FF0" w:rsidTr="006747FF">
        <w:tc>
          <w:tcPr>
            <w:tcW w:w="1209" w:type="pct"/>
          </w:tcPr>
          <w:p w:rsidR="001A6FF0" w:rsidRDefault="001A6FF0" w:rsidP="00DF5C70">
            <w:pPr>
              <w:pStyle w:val="Tabletext1"/>
              <w:keepNext/>
              <w:rPr>
                <w:lang w:eastAsia="en-US"/>
              </w:rPr>
            </w:pPr>
            <w:r>
              <w:rPr>
                <w:lang w:eastAsia="en-US"/>
              </w:rPr>
              <w:t>Furusawa 2014</w:t>
            </w:r>
          </w:p>
          <w:p w:rsidR="001A6FF0" w:rsidRDefault="001A6FF0" w:rsidP="00DF5C70">
            <w:pPr>
              <w:pStyle w:val="Tabletext1"/>
              <w:keepNext/>
              <w:rPr>
                <w:lang w:eastAsia="en-US"/>
              </w:rPr>
            </w:pPr>
            <w:r>
              <w:rPr>
                <w:lang w:eastAsia="en-US"/>
              </w:rPr>
              <w:t>VC, % of predicted</w:t>
            </w:r>
          </w:p>
        </w:tc>
        <w:tc>
          <w:tcPr>
            <w:tcW w:w="690" w:type="pct"/>
          </w:tcPr>
          <w:p w:rsidR="001A6FF0" w:rsidRDefault="001A6FF0" w:rsidP="00DF5C70">
            <w:pPr>
              <w:pStyle w:val="Tabletext1"/>
              <w:keepNext/>
              <w:rPr>
                <w:lang w:eastAsia="en-US"/>
              </w:rPr>
            </w:pPr>
            <w:r>
              <w:rPr>
                <w:lang w:eastAsia="en-US"/>
              </w:rPr>
              <w:t>Patient 1</w:t>
            </w:r>
          </w:p>
        </w:tc>
        <w:tc>
          <w:tcPr>
            <w:tcW w:w="507" w:type="pct"/>
          </w:tcPr>
          <w:p w:rsidR="001A6FF0" w:rsidRDefault="001A6FF0" w:rsidP="00DF5C70">
            <w:pPr>
              <w:pStyle w:val="Tabletext1"/>
              <w:keepNext/>
              <w:rPr>
                <w:lang w:eastAsia="en-US"/>
              </w:rPr>
            </w:pPr>
            <w:r>
              <w:rPr>
                <w:lang w:eastAsia="en-US"/>
              </w:rPr>
              <w:t>65</w:t>
            </w:r>
          </w:p>
        </w:tc>
        <w:tc>
          <w:tcPr>
            <w:tcW w:w="1027" w:type="pct"/>
          </w:tcPr>
          <w:p w:rsidR="001A6FF0" w:rsidRDefault="001A6FF0" w:rsidP="00DF5C70">
            <w:pPr>
              <w:pStyle w:val="Tabletext1"/>
              <w:keepNext/>
              <w:rPr>
                <w:lang w:eastAsia="en-US"/>
              </w:rPr>
            </w:pPr>
            <w:r>
              <w:rPr>
                <w:lang w:eastAsia="en-US"/>
              </w:rPr>
              <w:t>4 years</w:t>
            </w:r>
          </w:p>
        </w:tc>
        <w:tc>
          <w:tcPr>
            <w:tcW w:w="733" w:type="pct"/>
          </w:tcPr>
          <w:p w:rsidR="001A6FF0" w:rsidRDefault="001A6FF0" w:rsidP="00DF5C70">
            <w:pPr>
              <w:pStyle w:val="Tabletext1"/>
              <w:keepNext/>
              <w:rPr>
                <w:lang w:eastAsia="en-US"/>
              </w:rPr>
            </w:pPr>
            <w:r>
              <w:rPr>
                <w:lang w:eastAsia="en-US"/>
              </w:rPr>
              <w:t>9.2</w:t>
            </w:r>
          </w:p>
        </w:tc>
        <w:tc>
          <w:tcPr>
            <w:tcW w:w="835" w:type="pct"/>
          </w:tcPr>
          <w:p w:rsidR="001A6FF0" w:rsidRDefault="001A6FF0" w:rsidP="00DF5C70">
            <w:pPr>
              <w:pStyle w:val="Tabletext1"/>
              <w:keepNext/>
              <w:rPr>
                <w:lang w:eastAsia="en-US"/>
              </w:rPr>
            </w:pPr>
            <w:r>
              <w:rPr>
                <w:lang w:eastAsia="en-US"/>
              </w:rPr>
              <w:t>NR</w:t>
            </w:r>
          </w:p>
        </w:tc>
      </w:tr>
      <w:tr w:rsidR="001A6FF0" w:rsidTr="006747FF">
        <w:tc>
          <w:tcPr>
            <w:tcW w:w="1209" w:type="pct"/>
          </w:tcPr>
          <w:p w:rsidR="001A6FF0" w:rsidRDefault="001A6FF0" w:rsidP="00DF5C70">
            <w:pPr>
              <w:pStyle w:val="Tabletext1"/>
              <w:keepNext/>
              <w:rPr>
                <w:lang w:eastAsia="en-US"/>
              </w:rPr>
            </w:pPr>
            <w:r>
              <w:rPr>
                <w:lang w:eastAsia="en-US"/>
              </w:rPr>
              <w:t>Papadimas 2011</w:t>
            </w:r>
          </w:p>
          <w:p w:rsidR="001A6FF0" w:rsidRDefault="001A6FF0" w:rsidP="00DF5C70">
            <w:pPr>
              <w:pStyle w:val="Tabletext1"/>
              <w:keepNext/>
              <w:rPr>
                <w:lang w:eastAsia="en-US"/>
              </w:rPr>
            </w:pPr>
            <w:r>
              <w:rPr>
                <w:lang w:eastAsia="en-US"/>
              </w:rPr>
              <w:t>VC, sitting  (% of predicted)</w:t>
            </w:r>
          </w:p>
        </w:tc>
        <w:tc>
          <w:tcPr>
            <w:tcW w:w="690" w:type="pct"/>
          </w:tcPr>
          <w:p w:rsidR="001A6FF0" w:rsidRDefault="001A6FF0" w:rsidP="00DF5C70">
            <w:pPr>
              <w:pStyle w:val="Tabletext1"/>
              <w:keepNext/>
              <w:rPr>
                <w:lang w:eastAsia="en-US"/>
              </w:rPr>
            </w:pPr>
            <w:r>
              <w:rPr>
                <w:lang w:eastAsia="en-US"/>
              </w:rPr>
              <w:t>Patient 2</w:t>
            </w:r>
          </w:p>
        </w:tc>
        <w:tc>
          <w:tcPr>
            <w:tcW w:w="507" w:type="pct"/>
          </w:tcPr>
          <w:p w:rsidR="001A6FF0" w:rsidRDefault="001A6FF0" w:rsidP="00DF5C70">
            <w:pPr>
              <w:pStyle w:val="Tabletext1"/>
              <w:keepNext/>
              <w:rPr>
                <w:lang w:eastAsia="en-US"/>
              </w:rPr>
            </w:pPr>
            <w:r>
              <w:rPr>
                <w:lang w:eastAsia="en-US"/>
              </w:rPr>
              <w:t>32</w:t>
            </w:r>
          </w:p>
        </w:tc>
        <w:tc>
          <w:tcPr>
            <w:tcW w:w="1027" w:type="pct"/>
          </w:tcPr>
          <w:p w:rsidR="001A6FF0" w:rsidRDefault="001A6FF0" w:rsidP="00DF5C70">
            <w:pPr>
              <w:pStyle w:val="Tabletext1"/>
              <w:keepNext/>
              <w:rPr>
                <w:lang w:eastAsia="en-US"/>
              </w:rPr>
            </w:pPr>
            <w:r>
              <w:rPr>
                <w:lang w:eastAsia="en-US"/>
              </w:rPr>
              <w:t xml:space="preserve">3 years </w:t>
            </w:r>
          </w:p>
        </w:tc>
        <w:tc>
          <w:tcPr>
            <w:tcW w:w="733" w:type="pct"/>
          </w:tcPr>
          <w:p w:rsidR="001A6FF0" w:rsidRDefault="001A6FF0" w:rsidP="00DF5C70">
            <w:pPr>
              <w:pStyle w:val="Tabletext1"/>
              <w:keepNext/>
              <w:rPr>
                <w:lang w:eastAsia="en-US"/>
              </w:rPr>
            </w:pPr>
            <w:r>
              <w:rPr>
                <w:lang w:eastAsia="en-US"/>
              </w:rPr>
              <w:t>31</w:t>
            </w:r>
          </w:p>
        </w:tc>
        <w:tc>
          <w:tcPr>
            <w:tcW w:w="835" w:type="pct"/>
          </w:tcPr>
          <w:p w:rsidR="001A6FF0" w:rsidRDefault="001A6FF0" w:rsidP="00DF5C70">
            <w:pPr>
              <w:pStyle w:val="Tabletext1"/>
              <w:keepNext/>
              <w:rPr>
                <w:lang w:eastAsia="en-US"/>
              </w:rPr>
            </w:pPr>
            <w:r>
              <w:rPr>
                <w:lang w:eastAsia="en-US"/>
              </w:rPr>
              <w:t>NR</w:t>
            </w:r>
          </w:p>
        </w:tc>
      </w:tr>
      <w:tr w:rsidR="001A6FF0" w:rsidTr="006747FF">
        <w:tc>
          <w:tcPr>
            <w:tcW w:w="1209" w:type="pct"/>
          </w:tcPr>
          <w:p w:rsidR="001A6FF0" w:rsidRDefault="001A6FF0" w:rsidP="00DF5C70">
            <w:pPr>
              <w:pStyle w:val="Tabletext1"/>
              <w:keepNext/>
              <w:rPr>
                <w:lang w:eastAsia="en-US"/>
              </w:rPr>
            </w:pPr>
            <w:r>
              <w:rPr>
                <w:lang w:eastAsia="en-US"/>
              </w:rPr>
              <w:t>Papadimas 2011</w:t>
            </w:r>
          </w:p>
          <w:p w:rsidR="001A6FF0" w:rsidRDefault="001A6FF0" w:rsidP="00DF5C70">
            <w:pPr>
              <w:pStyle w:val="Tabletext1"/>
              <w:keepNext/>
              <w:rPr>
                <w:lang w:eastAsia="en-US"/>
              </w:rPr>
            </w:pPr>
            <w:r>
              <w:rPr>
                <w:lang w:eastAsia="en-US"/>
              </w:rPr>
              <w:t>VC, supine (% of predicted)</w:t>
            </w:r>
          </w:p>
        </w:tc>
        <w:tc>
          <w:tcPr>
            <w:tcW w:w="690" w:type="pct"/>
          </w:tcPr>
          <w:p w:rsidR="001A6FF0" w:rsidRDefault="001A6FF0" w:rsidP="00DF5C70">
            <w:pPr>
              <w:pStyle w:val="Tabletext1"/>
              <w:keepNext/>
              <w:rPr>
                <w:lang w:eastAsia="en-US"/>
              </w:rPr>
            </w:pPr>
            <w:r>
              <w:rPr>
                <w:lang w:eastAsia="en-US"/>
              </w:rPr>
              <w:t>Patient 2</w:t>
            </w:r>
          </w:p>
        </w:tc>
        <w:tc>
          <w:tcPr>
            <w:tcW w:w="507" w:type="pct"/>
          </w:tcPr>
          <w:p w:rsidR="001A6FF0" w:rsidRDefault="001A6FF0" w:rsidP="00DF5C70">
            <w:pPr>
              <w:pStyle w:val="Tabletext1"/>
              <w:keepNext/>
              <w:rPr>
                <w:lang w:eastAsia="en-US"/>
              </w:rPr>
            </w:pPr>
            <w:r>
              <w:rPr>
                <w:lang w:eastAsia="en-US"/>
              </w:rPr>
              <w:t>23</w:t>
            </w:r>
          </w:p>
        </w:tc>
        <w:tc>
          <w:tcPr>
            <w:tcW w:w="1027" w:type="pct"/>
          </w:tcPr>
          <w:p w:rsidR="001A6FF0" w:rsidRDefault="001A6FF0" w:rsidP="00DF5C70">
            <w:pPr>
              <w:pStyle w:val="Tabletext1"/>
              <w:keepNext/>
              <w:rPr>
                <w:lang w:eastAsia="en-US"/>
              </w:rPr>
            </w:pPr>
            <w:r>
              <w:rPr>
                <w:lang w:eastAsia="en-US"/>
              </w:rPr>
              <w:t>3 years</w:t>
            </w:r>
          </w:p>
        </w:tc>
        <w:tc>
          <w:tcPr>
            <w:tcW w:w="733" w:type="pct"/>
          </w:tcPr>
          <w:p w:rsidR="001A6FF0" w:rsidRDefault="001A6FF0" w:rsidP="00DF5C70">
            <w:pPr>
              <w:pStyle w:val="Tabletext1"/>
              <w:keepNext/>
              <w:rPr>
                <w:lang w:eastAsia="en-US"/>
              </w:rPr>
            </w:pPr>
            <w:r>
              <w:rPr>
                <w:lang w:eastAsia="en-US"/>
              </w:rPr>
              <w:t>22</w:t>
            </w:r>
          </w:p>
        </w:tc>
        <w:tc>
          <w:tcPr>
            <w:tcW w:w="835" w:type="pct"/>
          </w:tcPr>
          <w:p w:rsidR="001A6FF0" w:rsidRDefault="001A6FF0" w:rsidP="00DF5C70">
            <w:pPr>
              <w:pStyle w:val="Tabletext1"/>
              <w:keepNext/>
              <w:rPr>
                <w:lang w:eastAsia="en-US"/>
              </w:rPr>
            </w:pPr>
            <w:r>
              <w:rPr>
                <w:lang w:eastAsia="en-US"/>
              </w:rPr>
              <w:t>NR</w:t>
            </w:r>
          </w:p>
        </w:tc>
      </w:tr>
    </w:tbl>
    <w:p w:rsidR="001A6FF0" w:rsidRDefault="001A6FF0" w:rsidP="001A6FF0">
      <w:pPr>
        <w:pStyle w:val="TableNote"/>
        <w:rPr>
          <w:lang w:eastAsia="en-US"/>
        </w:rPr>
      </w:pPr>
      <w:r w:rsidRPr="0079341A">
        <w:rPr>
          <w:lang w:eastAsia="en-US"/>
        </w:rPr>
        <w:t>NR = not reported</w:t>
      </w:r>
      <w:r>
        <w:rPr>
          <w:lang w:eastAsia="en-US"/>
        </w:rPr>
        <w:t>; VC = vital capacity; ERT = enzyme replacement therapy; JOPD = juvenile</w:t>
      </w:r>
      <w:r w:rsidR="00926546">
        <w:rPr>
          <w:lang w:eastAsia="en-US"/>
        </w:rPr>
        <w:t xml:space="preserve"> late -</w:t>
      </w:r>
      <w:r>
        <w:rPr>
          <w:lang w:eastAsia="en-US"/>
        </w:rPr>
        <w:t>onset Pompe disease</w:t>
      </w:r>
    </w:p>
    <w:p w:rsidR="001A6FF0" w:rsidRPr="006633B1" w:rsidRDefault="001A6FF0" w:rsidP="001A6FF0">
      <w:pPr>
        <w:pStyle w:val="TableNote"/>
        <w:rPr>
          <w:lang w:eastAsia="en-US"/>
        </w:rPr>
      </w:pPr>
      <w:proofErr w:type="gramStart"/>
      <w:r>
        <w:rPr>
          <w:vertAlign w:val="superscript"/>
          <w:lang w:eastAsia="en-US"/>
        </w:rPr>
        <w:t>a</w:t>
      </w:r>
      <w:proofErr w:type="gramEnd"/>
      <w:r w:rsidRPr="00F83920">
        <w:rPr>
          <w:vertAlign w:val="superscript"/>
          <w:lang w:eastAsia="en-US"/>
        </w:rPr>
        <w:t xml:space="preserve"> </w:t>
      </w:r>
      <w:r>
        <w:rPr>
          <w:lang w:eastAsia="en-US"/>
        </w:rPr>
        <w:t>Change in slopes pre and post ERT initiation using Broken Stick analysis</w:t>
      </w:r>
    </w:p>
    <w:p w:rsidR="001A6FF0" w:rsidRDefault="001A6FF0" w:rsidP="00D45DAB">
      <w:pPr>
        <w:pStyle w:val="TableNote"/>
        <w:keepNext w:val="0"/>
        <w:ind w:left="130" w:hanging="130"/>
        <w:rPr>
          <w:lang w:eastAsia="en-US"/>
        </w:rPr>
      </w:pPr>
      <w:proofErr w:type="gramStart"/>
      <w:r>
        <w:rPr>
          <w:vertAlign w:val="superscript"/>
          <w:lang w:eastAsia="en-US"/>
        </w:rPr>
        <w:t>b</w:t>
      </w:r>
      <w:proofErr w:type="gramEnd"/>
      <w:r w:rsidR="0025188D">
        <w:rPr>
          <w:vertAlign w:val="superscript"/>
          <w:lang w:eastAsia="en-US"/>
        </w:rPr>
        <w:t xml:space="preserve"> </w:t>
      </w:r>
      <w:r>
        <w:rPr>
          <w:lang w:eastAsia="en-US"/>
        </w:rPr>
        <w:t>Spearman’s correlation coefficient</w:t>
      </w:r>
    </w:p>
    <w:p w:rsidR="001A6FF0" w:rsidRPr="00AC7ACE" w:rsidRDefault="001A6FF0" w:rsidP="00DF5C70">
      <w:pPr>
        <w:keepNext/>
        <w:tabs>
          <w:tab w:val="left" w:pos="1134"/>
        </w:tabs>
        <w:spacing w:before="240" w:after="160"/>
        <w:ind w:left="1134" w:hanging="1134"/>
        <w:rPr>
          <w:rFonts w:ascii="Cambria" w:hAnsi="Cambria"/>
          <w:bCs/>
          <w:color w:val="1F497D"/>
          <w:szCs w:val="18"/>
        </w:rPr>
      </w:pPr>
      <w:bookmarkStart w:id="323" w:name="_Ref410837244"/>
      <w:bookmarkStart w:id="324" w:name="_Toc415141869"/>
      <w:r w:rsidRPr="00AC7ACE">
        <w:rPr>
          <w:rFonts w:ascii="Cambria" w:hAnsi="Cambria"/>
          <w:bCs/>
          <w:color w:val="1F497D"/>
          <w:szCs w:val="18"/>
        </w:rPr>
        <w:lastRenderedPageBreak/>
        <w:t xml:space="preserve">Table </w:t>
      </w:r>
      <w:r w:rsidR="00A72B26">
        <w:rPr>
          <w:rFonts w:ascii="Cambria" w:hAnsi="Cambria"/>
          <w:bCs/>
          <w:noProof/>
          <w:color w:val="1F497D"/>
          <w:szCs w:val="18"/>
        </w:rPr>
        <w:t>72</w:t>
      </w:r>
      <w:bookmarkEnd w:id="323"/>
      <w:r>
        <w:rPr>
          <w:rFonts w:ascii="Cambria" w:hAnsi="Cambria"/>
          <w:bCs/>
          <w:color w:val="1F497D"/>
          <w:szCs w:val="18"/>
        </w:rPr>
        <w:tab/>
      </w:r>
      <w:r w:rsidRPr="00DF5C70">
        <w:rPr>
          <w:rStyle w:val="FigureheadingChar"/>
        </w:rPr>
        <w:t>Forced vital capacity</w:t>
      </w:r>
      <w:r>
        <w:rPr>
          <w:rFonts w:ascii="Cambria" w:hAnsi="Cambria"/>
          <w:bCs/>
          <w:color w:val="1F497D"/>
          <w:szCs w:val="18"/>
        </w:rPr>
        <w:t xml:space="preserve"> </w:t>
      </w:r>
      <w:r w:rsidR="00DF5C70" w:rsidRPr="00DF5C70">
        <w:rPr>
          <w:rStyle w:val="FigureheadingChar"/>
        </w:rPr>
        <w:t>before and after alglucosidase alfa in patients with JOPD</w:t>
      </w:r>
      <w:bookmarkEnd w:id="324"/>
    </w:p>
    <w:tbl>
      <w:tblPr>
        <w:tblStyle w:val="TableGrid"/>
        <w:tblW w:w="5000" w:type="pct"/>
        <w:tblLook w:val="04A0" w:firstRow="1" w:lastRow="0" w:firstColumn="1" w:lastColumn="0" w:noHBand="0" w:noVBand="1"/>
        <w:tblCaption w:val="Table 8 Forced vital capacity in JOPD patients"/>
      </w:tblPr>
      <w:tblGrid>
        <w:gridCol w:w="1448"/>
        <w:gridCol w:w="1510"/>
        <w:gridCol w:w="1980"/>
        <w:gridCol w:w="1457"/>
        <w:gridCol w:w="1527"/>
        <w:gridCol w:w="1320"/>
      </w:tblGrid>
      <w:tr w:rsidR="001A6FF0" w:rsidRPr="008F5C81" w:rsidTr="009A0365">
        <w:trPr>
          <w:tblHeader/>
        </w:trPr>
        <w:tc>
          <w:tcPr>
            <w:tcW w:w="784" w:type="pct"/>
          </w:tcPr>
          <w:p w:rsidR="001A6FF0" w:rsidRDefault="001A6FF0" w:rsidP="00DF5C70">
            <w:pPr>
              <w:pStyle w:val="Tabletext1"/>
              <w:keepNext/>
              <w:rPr>
                <w:b/>
                <w:lang w:eastAsia="en-US"/>
              </w:rPr>
            </w:pPr>
            <w:r>
              <w:rPr>
                <w:b/>
                <w:lang w:eastAsia="en-US"/>
              </w:rPr>
              <w:t>Study</w:t>
            </w:r>
          </w:p>
          <w:p w:rsidR="001A6FF0" w:rsidRPr="008F5C81" w:rsidRDefault="001A6FF0" w:rsidP="00DF5C70">
            <w:pPr>
              <w:pStyle w:val="Tabletext1"/>
              <w:keepNext/>
              <w:rPr>
                <w:b/>
                <w:lang w:eastAsia="en-US"/>
              </w:rPr>
            </w:pPr>
            <w:r>
              <w:rPr>
                <w:b/>
                <w:lang w:eastAsia="en-US"/>
              </w:rPr>
              <w:t>Measure</w:t>
            </w:r>
          </w:p>
        </w:tc>
        <w:tc>
          <w:tcPr>
            <w:tcW w:w="817" w:type="pct"/>
          </w:tcPr>
          <w:p w:rsidR="001A6FF0" w:rsidRPr="008F5C81" w:rsidRDefault="001A6FF0" w:rsidP="00DF5C70">
            <w:pPr>
              <w:pStyle w:val="Tabletext1"/>
              <w:keepNext/>
              <w:rPr>
                <w:b/>
                <w:lang w:eastAsia="en-US"/>
              </w:rPr>
            </w:pPr>
            <w:r>
              <w:rPr>
                <w:b/>
                <w:lang w:eastAsia="en-US"/>
              </w:rPr>
              <w:t>Patient</w:t>
            </w:r>
          </w:p>
        </w:tc>
        <w:tc>
          <w:tcPr>
            <w:tcW w:w="1071" w:type="pct"/>
            <w:tcBorders>
              <w:right w:val="single" w:sz="4" w:space="0" w:color="auto"/>
            </w:tcBorders>
          </w:tcPr>
          <w:p w:rsidR="001A6FF0" w:rsidRPr="008F5C81" w:rsidRDefault="001A6FF0" w:rsidP="00DF5C70">
            <w:pPr>
              <w:pStyle w:val="Tabletext1"/>
              <w:keepNext/>
              <w:rPr>
                <w:b/>
                <w:lang w:eastAsia="en-US"/>
              </w:rPr>
            </w:pPr>
            <w:r w:rsidRPr="008F5C81">
              <w:rPr>
                <w:b/>
                <w:lang w:eastAsia="en-US"/>
              </w:rPr>
              <w:t>Baseline</w:t>
            </w:r>
            <w:r>
              <w:rPr>
                <w:b/>
                <w:lang w:eastAsia="en-US"/>
              </w:rPr>
              <w:t xml:space="preserve"> </w:t>
            </w:r>
          </w:p>
        </w:tc>
        <w:tc>
          <w:tcPr>
            <w:tcW w:w="788" w:type="pct"/>
            <w:tcBorders>
              <w:left w:val="single" w:sz="4" w:space="0" w:color="auto"/>
            </w:tcBorders>
          </w:tcPr>
          <w:p w:rsidR="001A6FF0" w:rsidRPr="008F5C81" w:rsidRDefault="001A6FF0" w:rsidP="00DF5C70">
            <w:pPr>
              <w:pStyle w:val="Tabletext1"/>
              <w:keepNext/>
              <w:rPr>
                <w:b/>
                <w:lang w:eastAsia="en-US"/>
              </w:rPr>
            </w:pPr>
            <w:r>
              <w:rPr>
                <w:b/>
                <w:lang w:eastAsia="en-US"/>
              </w:rPr>
              <w:t>Duration of treatment</w:t>
            </w:r>
          </w:p>
        </w:tc>
        <w:tc>
          <w:tcPr>
            <w:tcW w:w="826" w:type="pct"/>
          </w:tcPr>
          <w:p w:rsidR="001A6FF0" w:rsidRDefault="001A6FF0" w:rsidP="00DF5C70">
            <w:pPr>
              <w:pStyle w:val="Tabletext1"/>
              <w:keepNext/>
              <w:rPr>
                <w:b/>
                <w:lang w:eastAsia="en-US"/>
              </w:rPr>
            </w:pPr>
            <w:r>
              <w:rPr>
                <w:b/>
                <w:lang w:eastAsia="en-US"/>
              </w:rPr>
              <w:t>Follow-up</w:t>
            </w:r>
          </w:p>
        </w:tc>
        <w:tc>
          <w:tcPr>
            <w:tcW w:w="714" w:type="pct"/>
          </w:tcPr>
          <w:p w:rsidR="001A6FF0" w:rsidRDefault="001A6FF0" w:rsidP="00DF5C70">
            <w:pPr>
              <w:pStyle w:val="Tabletext1"/>
              <w:keepNext/>
              <w:rPr>
                <w:b/>
                <w:lang w:eastAsia="en-US"/>
              </w:rPr>
            </w:pPr>
            <w:r>
              <w:rPr>
                <w:b/>
                <w:lang w:eastAsia="en-US"/>
              </w:rPr>
              <w:t>Change</w:t>
            </w:r>
          </w:p>
        </w:tc>
      </w:tr>
      <w:tr w:rsidR="001A6FF0" w:rsidRPr="00F53467" w:rsidTr="00BC2239">
        <w:tc>
          <w:tcPr>
            <w:tcW w:w="784" w:type="pct"/>
          </w:tcPr>
          <w:p w:rsidR="001A6FF0" w:rsidRDefault="001A6FF0" w:rsidP="00DF5C70">
            <w:pPr>
              <w:pStyle w:val="Tabletext1"/>
              <w:keepNext/>
              <w:rPr>
                <w:lang w:eastAsia="en-US"/>
              </w:rPr>
            </w:pPr>
            <w:r>
              <w:rPr>
                <w:lang w:eastAsia="en-US"/>
              </w:rPr>
              <w:t>Deroma 2014</w:t>
            </w:r>
          </w:p>
          <w:p w:rsidR="001A6FF0" w:rsidRDefault="00C71A46" w:rsidP="00C71A46">
            <w:pPr>
              <w:pStyle w:val="Tabletext1"/>
              <w:keepNext/>
              <w:rPr>
                <w:lang w:eastAsia="en-US"/>
              </w:rPr>
            </w:pPr>
            <w:r>
              <w:rPr>
                <w:lang w:eastAsia="en-US"/>
              </w:rPr>
              <w:t xml:space="preserve">FVC (% </w:t>
            </w:r>
            <w:r w:rsidR="001A6FF0">
              <w:rPr>
                <w:lang w:eastAsia="en-US"/>
              </w:rPr>
              <w:t>predicted)</w:t>
            </w:r>
          </w:p>
        </w:tc>
        <w:tc>
          <w:tcPr>
            <w:tcW w:w="817" w:type="pct"/>
          </w:tcPr>
          <w:p w:rsidR="001A6FF0" w:rsidRDefault="001A6FF0" w:rsidP="00DF5C70">
            <w:pPr>
              <w:pStyle w:val="Tabletext1"/>
              <w:keepNext/>
              <w:rPr>
                <w:lang w:eastAsia="en-US"/>
              </w:rPr>
            </w:pPr>
            <w:r>
              <w:rPr>
                <w:lang w:eastAsia="en-US"/>
              </w:rPr>
              <w:t>Patient 3</w:t>
            </w:r>
          </w:p>
          <w:p w:rsidR="001A6FF0" w:rsidRDefault="001A6FF0" w:rsidP="00DF5C70">
            <w:pPr>
              <w:pStyle w:val="Tabletext1"/>
              <w:keepNext/>
              <w:rPr>
                <w:lang w:eastAsia="en-US"/>
              </w:rPr>
            </w:pPr>
            <w:r>
              <w:rPr>
                <w:lang w:eastAsia="en-US"/>
              </w:rPr>
              <w:t>Patient 4</w:t>
            </w:r>
          </w:p>
          <w:p w:rsidR="001A6FF0" w:rsidRDefault="001A6FF0" w:rsidP="00DF5C70">
            <w:pPr>
              <w:pStyle w:val="Tabletext1"/>
              <w:keepNext/>
              <w:rPr>
                <w:lang w:eastAsia="en-US"/>
              </w:rPr>
            </w:pPr>
            <w:r>
              <w:rPr>
                <w:lang w:eastAsia="en-US"/>
              </w:rPr>
              <w:t>Patient 5</w:t>
            </w:r>
          </w:p>
          <w:p w:rsidR="001A6FF0" w:rsidRDefault="001A6FF0" w:rsidP="00DF5C70">
            <w:pPr>
              <w:pStyle w:val="Tabletext1"/>
              <w:keepNext/>
              <w:rPr>
                <w:lang w:eastAsia="en-US"/>
              </w:rPr>
            </w:pPr>
            <w:r>
              <w:rPr>
                <w:lang w:eastAsia="en-US"/>
              </w:rPr>
              <w:t xml:space="preserve">Patient 6 </w:t>
            </w:r>
          </w:p>
          <w:p w:rsidR="001A6FF0" w:rsidRDefault="001A6FF0" w:rsidP="00DF5C70">
            <w:pPr>
              <w:pStyle w:val="Tabletext1"/>
              <w:keepNext/>
              <w:rPr>
                <w:lang w:eastAsia="en-US"/>
              </w:rPr>
            </w:pPr>
            <w:r>
              <w:rPr>
                <w:lang w:eastAsia="en-US"/>
              </w:rPr>
              <w:t>Patient 7</w:t>
            </w:r>
          </w:p>
        </w:tc>
        <w:tc>
          <w:tcPr>
            <w:tcW w:w="1071" w:type="pct"/>
            <w:tcBorders>
              <w:right w:val="single" w:sz="4" w:space="0" w:color="auto"/>
            </w:tcBorders>
          </w:tcPr>
          <w:p w:rsidR="001A6FF0" w:rsidRDefault="001A6FF0" w:rsidP="00DF5C70">
            <w:pPr>
              <w:pStyle w:val="Tabletext1"/>
              <w:keepNext/>
              <w:rPr>
                <w:lang w:eastAsia="en-US"/>
              </w:rPr>
            </w:pPr>
            <w:r>
              <w:rPr>
                <w:lang w:eastAsia="en-US"/>
              </w:rPr>
              <w:t>138</w:t>
            </w:r>
          </w:p>
          <w:p w:rsidR="001A6FF0" w:rsidRDefault="001A6FF0" w:rsidP="00DF5C70">
            <w:pPr>
              <w:pStyle w:val="Tabletext1"/>
              <w:keepNext/>
              <w:rPr>
                <w:lang w:eastAsia="en-US"/>
              </w:rPr>
            </w:pPr>
            <w:r>
              <w:rPr>
                <w:lang w:eastAsia="en-US"/>
              </w:rPr>
              <w:t>14 (tracheostomy)</w:t>
            </w:r>
          </w:p>
          <w:p w:rsidR="001A6FF0" w:rsidRDefault="001A6FF0" w:rsidP="00DF5C70">
            <w:pPr>
              <w:pStyle w:val="Tabletext1"/>
              <w:keepNext/>
              <w:rPr>
                <w:lang w:eastAsia="en-US"/>
              </w:rPr>
            </w:pPr>
            <w:r>
              <w:rPr>
                <w:lang w:eastAsia="en-US"/>
              </w:rPr>
              <w:t>88</w:t>
            </w:r>
          </w:p>
          <w:p w:rsidR="001A6FF0" w:rsidRDefault="001A6FF0" w:rsidP="00DF5C70">
            <w:pPr>
              <w:pStyle w:val="Tabletext1"/>
              <w:keepNext/>
              <w:rPr>
                <w:lang w:eastAsia="en-US"/>
              </w:rPr>
            </w:pPr>
            <w:r>
              <w:rPr>
                <w:lang w:eastAsia="en-US"/>
              </w:rPr>
              <w:t>83</w:t>
            </w:r>
          </w:p>
          <w:p w:rsidR="001A6FF0" w:rsidRDefault="001A6FF0" w:rsidP="00DF5C70">
            <w:pPr>
              <w:pStyle w:val="Tabletext1"/>
              <w:keepNext/>
              <w:rPr>
                <w:lang w:eastAsia="en-US"/>
              </w:rPr>
            </w:pPr>
            <w:r>
              <w:rPr>
                <w:lang w:eastAsia="en-US"/>
              </w:rPr>
              <w:t>75</w:t>
            </w:r>
          </w:p>
        </w:tc>
        <w:tc>
          <w:tcPr>
            <w:tcW w:w="788" w:type="pct"/>
            <w:tcBorders>
              <w:left w:val="single" w:sz="4" w:space="0" w:color="auto"/>
            </w:tcBorders>
          </w:tcPr>
          <w:p w:rsidR="001A6FF0" w:rsidRDefault="001A6FF0" w:rsidP="00DF5C70">
            <w:pPr>
              <w:pStyle w:val="Tabletext1"/>
              <w:keepNext/>
              <w:rPr>
                <w:lang w:eastAsia="en-US"/>
              </w:rPr>
            </w:pPr>
            <w:r>
              <w:rPr>
                <w:lang w:eastAsia="en-US"/>
              </w:rPr>
              <w:t>4-5 years</w:t>
            </w:r>
          </w:p>
        </w:tc>
        <w:tc>
          <w:tcPr>
            <w:tcW w:w="826" w:type="pct"/>
          </w:tcPr>
          <w:p w:rsidR="001A6FF0" w:rsidRDefault="001A6FF0" w:rsidP="00DF5C70">
            <w:pPr>
              <w:pStyle w:val="Tabletext1"/>
              <w:keepNext/>
              <w:rPr>
                <w:lang w:eastAsia="en-US"/>
              </w:rPr>
            </w:pPr>
            <w:r>
              <w:rPr>
                <w:lang w:eastAsia="en-US"/>
              </w:rPr>
              <w:t>119</w:t>
            </w:r>
          </w:p>
          <w:p w:rsidR="001A6FF0" w:rsidRDefault="001A6FF0" w:rsidP="00DF5C70">
            <w:pPr>
              <w:pStyle w:val="Tabletext1"/>
              <w:keepNext/>
              <w:rPr>
                <w:lang w:eastAsia="en-US"/>
              </w:rPr>
            </w:pPr>
            <w:r>
              <w:rPr>
                <w:lang w:eastAsia="en-US"/>
              </w:rPr>
              <w:t>30</w:t>
            </w:r>
          </w:p>
          <w:p w:rsidR="001A6FF0" w:rsidRDefault="001A6FF0" w:rsidP="00DF5C70">
            <w:pPr>
              <w:pStyle w:val="Tabletext1"/>
              <w:keepNext/>
              <w:rPr>
                <w:lang w:eastAsia="en-US"/>
              </w:rPr>
            </w:pPr>
            <w:r>
              <w:rPr>
                <w:lang w:eastAsia="en-US"/>
              </w:rPr>
              <w:t>87</w:t>
            </w:r>
          </w:p>
          <w:p w:rsidR="001A6FF0" w:rsidRDefault="001A6FF0" w:rsidP="00DF5C70">
            <w:pPr>
              <w:pStyle w:val="Tabletext1"/>
              <w:keepNext/>
              <w:rPr>
                <w:lang w:eastAsia="en-US"/>
              </w:rPr>
            </w:pPr>
            <w:r>
              <w:rPr>
                <w:lang w:eastAsia="en-US"/>
              </w:rPr>
              <w:t>91</w:t>
            </w:r>
          </w:p>
          <w:p w:rsidR="001A6FF0" w:rsidRDefault="001A6FF0" w:rsidP="00DF5C70">
            <w:pPr>
              <w:pStyle w:val="Tabletext1"/>
              <w:keepNext/>
              <w:rPr>
                <w:lang w:eastAsia="en-US"/>
              </w:rPr>
            </w:pPr>
            <w:r>
              <w:rPr>
                <w:lang w:eastAsia="en-US"/>
              </w:rPr>
              <w:t>91</w:t>
            </w:r>
          </w:p>
        </w:tc>
        <w:tc>
          <w:tcPr>
            <w:tcW w:w="714" w:type="pct"/>
          </w:tcPr>
          <w:p w:rsidR="001A6FF0" w:rsidRDefault="001A6FF0" w:rsidP="00DF5C70">
            <w:pPr>
              <w:pStyle w:val="Tabletext1"/>
              <w:keepNext/>
              <w:rPr>
                <w:lang w:eastAsia="en-US"/>
              </w:rPr>
            </w:pPr>
            <w:r>
              <w:rPr>
                <w:lang w:eastAsia="en-US"/>
              </w:rPr>
              <w:t>NR</w:t>
            </w:r>
          </w:p>
        </w:tc>
      </w:tr>
      <w:tr w:rsidR="001A6FF0" w:rsidRPr="00F53467" w:rsidTr="00BC2239">
        <w:tc>
          <w:tcPr>
            <w:tcW w:w="784" w:type="pct"/>
          </w:tcPr>
          <w:p w:rsidR="001A6FF0" w:rsidRDefault="001A6FF0" w:rsidP="00DF5C70">
            <w:pPr>
              <w:pStyle w:val="Tabletext1"/>
              <w:keepNext/>
              <w:rPr>
                <w:lang w:eastAsia="en-US"/>
              </w:rPr>
            </w:pPr>
            <w:r>
              <w:rPr>
                <w:lang w:eastAsia="en-US"/>
              </w:rPr>
              <w:t>Furusawa 2012</w:t>
            </w:r>
          </w:p>
          <w:p w:rsidR="001A6FF0" w:rsidRDefault="00C71A46" w:rsidP="00DF5C70">
            <w:pPr>
              <w:pStyle w:val="Tabletext1"/>
              <w:keepNext/>
              <w:rPr>
                <w:lang w:eastAsia="en-US"/>
              </w:rPr>
            </w:pPr>
            <w:r>
              <w:rPr>
                <w:lang w:eastAsia="en-US"/>
              </w:rPr>
              <w:t>FVC</w:t>
            </w:r>
            <w:r w:rsidR="001A6FF0">
              <w:rPr>
                <w:lang w:eastAsia="en-US"/>
              </w:rPr>
              <w:t xml:space="preserve"> </w:t>
            </w:r>
            <w:r>
              <w:rPr>
                <w:lang w:eastAsia="en-US"/>
              </w:rPr>
              <w:t>(</w:t>
            </w:r>
            <w:r w:rsidR="001A6FF0">
              <w:rPr>
                <w:lang w:eastAsia="en-US"/>
              </w:rPr>
              <w:t>%</w:t>
            </w:r>
            <w:r>
              <w:rPr>
                <w:lang w:eastAsia="en-US"/>
              </w:rPr>
              <w:t xml:space="preserve"> predicted)</w:t>
            </w:r>
          </w:p>
        </w:tc>
        <w:tc>
          <w:tcPr>
            <w:tcW w:w="817" w:type="pct"/>
          </w:tcPr>
          <w:p w:rsidR="001A6FF0" w:rsidRDefault="001A6FF0" w:rsidP="00DF5C70">
            <w:pPr>
              <w:pStyle w:val="Tabletext1"/>
              <w:keepNext/>
              <w:rPr>
                <w:lang w:eastAsia="en-US"/>
              </w:rPr>
            </w:pPr>
            <w:r>
              <w:rPr>
                <w:lang w:eastAsia="en-US"/>
              </w:rPr>
              <w:t>Patient 4</w:t>
            </w:r>
          </w:p>
          <w:p w:rsidR="001A6FF0" w:rsidRDefault="001A6FF0" w:rsidP="00DF5C70">
            <w:pPr>
              <w:pStyle w:val="Tabletext1"/>
              <w:keepNext/>
              <w:rPr>
                <w:lang w:eastAsia="en-US"/>
              </w:rPr>
            </w:pPr>
            <w:r>
              <w:rPr>
                <w:lang w:eastAsia="en-US"/>
              </w:rPr>
              <w:t>Patient 5</w:t>
            </w:r>
          </w:p>
        </w:tc>
        <w:tc>
          <w:tcPr>
            <w:tcW w:w="1071" w:type="pct"/>
            <w:tcBorders>
              <w:right w:val="single" w:sz="4" w:space="0" w:color="auto"/>
            </w:tcBorders>
          </w:tcPr>
          <w:p w:rsidR="001A6FF0" w:rsidRDefault="001A6FF0" w:rsidP="00DF5C70">
            <w:pPr>
              <w:pStyle w:val="Tabletext1"/>
              <w:keepNext/>
              <w:rPr>
                <w:lang w:eastAsia="en-US"/>
              </w:rPr>
            </w:pPr>
            <w:r>
              <w:rPr>
                <w:lang w:eastAsia="en-US"/>
              </w:rPr>
              <w:t>14.2</w:t>
            </w:r>
          </w:p>
          <w:p w:rsidR="001A6FF0" w:rsidRDefault="001A6FF0" w:rsidP="00DF5C70">
            <w:pPr>
              <w:pStyle w:val="Tabletext1"/>
              <w:keepNext/>
              <w:rPr>
                <w:lang w:eastAsia="en-US"/>
              </w:rPr>
            </w:pPr>
            <w:r>
              <w:rPr>
                <w:lang w:eastAsia="en-US"/>
              </w:rPr>
              <w:t>10.3</w:t>
            </w:r>
          </w:p>
        </w:tc>
        <w:tc>
          <w:tcPr>
            <w:tcW w:w="788" w:type="pct"/>
            <w:tcBorders>
              <w:left w:val="single" w:sz="4" w:space="0" w:color="auto"/>
            </w:tcBorders>
          </w:tcPr>
          <w:p w:rsidR="001A6FF0" w:rsidRDefault="001A6FF0" w:rsidP="00DF5C70">
            <w:pPr>
              <w:pStyle w:val="Tabletext1"/>
              <w:keepNext/>
              <w:rPr>
                <w:lang w:eastAsia="en-US"/>
              </w:rPr>
            </w:pPr>
            <w:r>
              <w:rPr>
                <w:lang w:eastAsia="en-US"/>
              </w:rPr>
              <w:t>2 years</w:t>
            </w:r>
          </w:p>
          <w:p w:rsidR="001A6FF0" w:rsidRDefault="001A6FF0" w:rsidP="00DF5C70">
            <w:pPr>
              <w:pStyle w:val="Tabletext1"/>
              <w:keepNext/>
              <w:rPr>
                <w:lang w:eastAsia="en-US"/>
              </w:rPr>
            </w:pPr>
            <w:r>
              <w:rPr>
                <w:lang w:eastAsia="en-US"/>
              </w:rPr>
              <w:t>1 year</w:t>
            </w:r>
          </w:p>
          <w:p w:rsidR="001A6FF0" w:rsidRDefault="001A6FF0" w:rsidP="00DF5C70">
            <w:pPr>
              <w:pStyle w:val="Tabletext1"/>
              <w:keepNext/>
              <w:rPr>
                <w:lang w:eastAsia="en-US"/>
              </w:rPr>
            </w:pPr>
            <w:r>
              <w:rPr>
                <w:lang w:eastAsia="en-US"/>
              </w:rPr>
              <w:t>2 years</w:t>
            </w:r>
          </w:p>
          <w:p w:rsidR="001A6FF0" w:rsidRDefault="001A6FF0" w:rsidP="00DF5C70">
            <w:pPr>
              <w:pStyle w:val="Tabletext1"/>
              <w:keepNext/>
              <w:rPr>
                <w:lang w:eastAsia="en-US"/>
              </w:rPr>
            </w:pPr>
          </w:p>
        </w:tc>
        <w:tc>
          <w:tcPr>
            <w:tcW w:w="826" w:type="pct"/>
          </w:tcPr>
          <w:p w:rsidR="001A6FF0" w:rsidRDefault="001A6FF0" w:rsidP="00DF5C70">
            <w:pPr>
              <w:pStyle w:val="Tabletext1"/>
              <w:keepNext/>
              <w:rPr>
                <w:lang w:eastAsia="en-US"/>
              </w:rPr>
            </w:pPr>
            <w:r>
              <w:rPr>
                <w:lang w:eastAsia="en-US"/>
              </w:rPr>
              <w:t>7.0</w:t>
            </w:r>
          </w:p>
          <w:p w:rsidR="001A6FF0" w:rsidRDefault="001A6FF0" w:rsidP="00DF5C70">
            <w:pPr>
              <w:pStyle w:val="Tabletext1"/>
              <w:keepNext/>
              <w:rPr>
                <w:lang w:eastAsia="en-US"/>
              </w:rPr>
            </w:pPr>
            <w:r>
              <w:rPr>
                <w:lang w:eastAsia="en-US"/>
              </w:rPr>
              <w:t>17.7</w:t>
            </w:r>
          </w:p>
          <w:p w:rsidR="001A6FF0" w:rsidRDefault="001A6FF0" w:rsidP="00DF5C70">
            <w:pPr>
              <w:pStyle w:val="Tabletext1"/>
              <w:keepNext/>
              <w:rPr>
                <w:lang w:eastAsia="en-US"/>
              </w:rPr>
            </w:pPr>
            <w:r>
              <w:rPr>
                <w:lang w:eastAsia="en-US"/>
              </w:rPr>
              <w:t>20.4</w:t>
            </w:r>
          </w:p>
        </w:tc>
        <w:tc>
          <w:tcPr>
            <w:tcW w:w="714" w:type="pct"/>
          </w:tcPr>
          <w:p w:rsidR="001A6FF0" w:rsidRDefault="001A6FF0" w:rsidP="00DF5C70">
            <w:pPr>
              <w:pStyle w:val="Tabletext1"/>
              <w:keepNext/>
              <w:rPr>
                <w:lang w:eastAsia="en-US"/>
              </w:rPr>
            </w:pPr>
            <w:r>
              <w:rPr>
                <w:lang w:eastAsia="en-US"/>
              </w:rPr>
              <w:t>NR</w:t>
            </w:r>
          </w:p>
        </w:tc>
      </w:tr>
      <w:tr w:rsidR="001A6FF0" w:rsidRPr="00F53467" w:rsidTr="00BC2239">
        <w:tc>
          <w:tcPr>
            <w:tcW w:w="784" w:type="pct"/>
          </w:tcPr>
          <w:p w:rsidR="001A6FF0" w:rsidRDefault="001A6FF0" w:rsidP="00DF5C70">
            <w:pPr>
              <w:pStyle w:val="Tabletext1"/>
              <w:keepNext/>
              <w:rPr>
                <w:lang w:eastAsia="en-US"/>
              </w:rPr>
            </w:pPr>
            <w:r>
              <w:rPr>
                <w:lang w:eastAsia="en-US"/>
              </w:rPr>
              <w:t>Korpela 2009</w:t>
            </w:r>
          </w:p>
          <w:p w:rsidR="001A6FF0" w:rsidRDefault="001A6FF0" w:rsidP="00DF5C70">
            <w:pPr>
              <w:pStyle w:val="Tabletext1"/>
              <w:keepNext/>
              <w:rPr>
                <w:lang w:eastAsia="en-US"/>
              </w:rPr>
            </w:pPr>
            <w:r>
              <w:rPr>
                <w:lang w:eastAsia="en-US"/>
              </w:rPr>
              <w:t>FVC (%</w:t>
            </w:r>
            <w:r w:rsidR="00C71A46">
              <w:rPr>
                <w:lang w:eastAsia="en-US"/>
              </w:rPr>
              <w:t xml:space="preserve"> predicted</w:t>
            </w:r>
            <w:r>
              <w:rPr>
                <w:lang w:eastAsia="en-US"/>
              </w:rPr>
              <w:t>)</w:t>
            </w:r>
          </w:p>
        </w:tc>
        <w:tc>
          <w:tcPr>
            <w:tcW w:w="817" w:type="pct"/>
          </w:tcPr>
          <w:p w:rsidR="001A6FF0" w:rsidRDefault="001A6FF0" w:rsidP="00DF5C70">
            <w:pPr>
              <w:pStyle w:val="Tabletext1"/>
              <w:keepNext/>
              <w:rPr>
                <w:lang w:eastAsia="en-US"/>
              </w:rPr>
            </w:pPr>
            <w:r>
              <w:rPr>
                <w:lang w:eastAsia="en-US"/>
              </w:rPr>
              <w:t>Patient 1</w:t>
            </w:r>
          </w:p>
        </w:tc>
        <w:tc>
          <w:tcPr>
            <w:tcW w:w="1071" w:type="pct"/>
            <w:tcBorders>
              <w:right w:val="single" w:sz="4" w:space="0" w:color="auto"/>
            </w:tcBorders>
          </w:tcPr>
          <w:p w:rsidR="001A6FF0" w:rsidRDefault="001A6FF0" w:rsidP="00DF5C70">
            <w:pPr>
              <w:pStyle w:val="Tabletext1"/>
              <w:keepNext/>
              <w:rPr>
                <w:lang w:eastAsia="en-US"/>
              </w:rPr>
            </w:pPr>
            <w:r>
              <w:rPr>
                <w:lang w:eastAsia="en-US"/>
              </w:rPr>
              <w:t>29</w:t>
            </w:r>
          </w:p>
        </w:tc>
        <w:tc>
          <w:tcPr>
            <w:tcW w:w="788" w:type="pct"/>
            <w:tcBorders>
              <w:left w:val="single" w:sz="4" w:space="0" w:color="auto"/>
            </w:tcBorders>
          </w:tcPr>
          <w:p w:rsidR="001A6FF0" w:rsidRDefault="001A6FF0" w:rsidP="00DF5C70">
            <w:pPr>
              <w:pStyle w:val="Tabletext1"/>
              <w:keepNext/>
              <w:rPr>
                <w:lang w:eastAsia="en-US"/>
              </w:rPr>
            </w:pPr>
            <w:r>
              <w:rPr>
                <w:lang w:eastAsia="en-US"/>
              </w:rPr>
              <w:t>6 months</w:t>
            </w:r>
          </w:p>
        </w:tc>
        <w:tc>
          <w:tcPr>
            <w:tcW w:w="826" w:type="pct"/>
          </w:tcPr>
          <w:p w:rsidR="001A6FF0" w:rsidRDefault="001A6FF0" w:rsidP="00DF5C70">
            <w:pPr>
              <w:pStyle w:val="Tabletext1"/>
              <w:keepNext/>
              <w:rPr>
                <w:lang w:eastAsia="en-US"/>
              </w:rPr>
            </w:pPr>
            <w:r>
              <w:rPr>
                <w:lang w:eastAsia="en-US"/>
              </w:rPr>
              <w:t>increased</w:t>
            </w:r>
          </w:p>
        </w:tc>
        <w:tc>
          <w:tcPr>
            <w:tcW w:w="714" w:type="pct"/>
          </w:tcPr>
          <w:p w:rsidR="001A6FF0" w:rsidRDefault="001A6FF0" w:rsidP="00DF5C70">
            <w:pPr>
              <w:pStyle w:val="Tabletext1"/>
              <w:keepNext/>
              <w:rPr>
                <w:lang w:eastAsia="en-US"/>
              </w:rPr>
            </w:pPr>
            <w:r>
              <w:rPr>
                <w:lang w:eastAsia="en-US"/>
              </w:rPr>
              <w:t>16%</w:t>
            </w:r>
          </w:p>
        </w:tc>
      </w:tr>
    </w:tbl>
    <w:p w:rsidR="001A6FF0" w:rsidRDefault="001A6FF0" w:rsidP="0025188D">
      <w:pPr>
        <w:pStyle w:val="TableNote"/>
        <w:rPr>
          <w:lang w:eastAsia="en-US"/>
        </w:rPr>
      </w:pPr>
      <w:r w:rsidRPr="0079341A">
        <w:rPr>
          <w:lang w:eastAsia="en-US"/>
        </w:rPr>
        <w:t>NR = not reported</w:t>
      </w:r>
      <w:r>
        <w:rPr>
          <w:lang w:eastAsia="en-US"/>
        </w:rPr>
        <w:t xml:space="preserve">; FVC = forced vital capacity; ERT = enzyme replacement therapy; JOPD = juvenile </w:t>
      </w:r>
      <w:r w:rsidR="00926546">
        <w:rPr>
          <w:lang w:eastAsia="en-US"/>
        </w:rPr>
        <w:t xml:space="preserve">late </w:t>
      </w:r>
      <w:r>
        <w:rPr>
          <w:lang w:eastAsia="en-US"/>
        </w:rPr>
        <w:t>onset Pompe disease</w:t>
      </w:r>
    </w:p>
    <w:p w:rsidR="001A6FF0" w:rsidRDefault="001A6FF0" w:rsidP="001A6FF0"/>
    <w:p w:rsidR="001A6FF0" w:rsidRDefault="001A6FF0" w:rsidP="001A6FF0">
      <w:r>
        <w:t>Peak expiratory flow (PEF) and Maximum expiratory flow (MEF) were each measured in one study (</w:t>
      </w:r>
      <w:r w:rsidR="00A72B26" w:rsidRPr="00A72B26">
        <w:t>Table 73</w:t>
      </w:r>
      <w:r>
        <w:t>). An increase of 65% in MEF (measured at 50% exhalation of FVC) was measured after 6 months of ERT in one patient. When PEF was measured at 2 years after the initiation of ERT, results were inconsistent, with one patient showing improvement and th</w:t>
      </w:r>
      <w:r w:rsidR="00023527">
        <w:t xml:space="preserve">e other showing deterioration. </w:t>
      </w:r>
      <w:r>
        <w:t xml:space="preserve">Forced expiratory volume (FEV1) increased in two </w:t>
      </w:r>
      <w:r w:rsidR="00F17CF5">
        <w:t xml:space="preserve">out of three </w:t>
      </w:r>
      <w:r>
        <w:t xml:space="preserve">patients from different studies, when </w:t>
      </w:r>
      <w:r w:rsidR="00F17CF5">
        <w:t>measured after 6 months of ERT (</w:t>
      </w:r>
      <w:r w:rsidR="00A72B26" w:rsidRPr="008B500A">
        <w:t xml:space="preserve">Table </w:t>
      </w:r>
      <w:r w:rsidR="00A72B26">
        <w:t>74</w:t>
      </w:r>
      <w:r>
        <w:t>). After 3 years of ERT, one patient showed only a slight decrease in FEV1 in both the sitting and supine positions. Inspiratory and expiratory pressure w</w:t>
      </w:r>
      <w:r w:rsidR="00023527">
        <w:t>as</w:t>
      </w:r>
      <w:r>
        <w:t xml:space="preserve"> measured in three patients from two studies (</w:t>
      </w:r>
      <w:r w:rsidR="00A72B26" w:rsidRPr="008B500A">
        <w:t xml:space="preserve">Table </w:t>
      </w:r>
      <w:r w:rsidR="00A72B26">
        <w:t>75</w:t>
      </w:r>
      <w:r>
        <w:t>). Results after 6 months of ERT were inconsistent, but after 1 year, results in showed improvement in both patients tested.</w:t>
      </w:r>
    </w:p>
    <w:p w:rsidR="001A6FF0" w:rsidRPr="007E26D3" w:rsidRDefault="001A6FF0" w:rsidP="001A6FF0">
      <w:pPr>
        <w:keepNext/>
        <w:tabs>
          <w:tab w:val="left" w:pos="1134"/>
        </w:tabs>
        <w:spacing w:before="240" w:after="160"/>
        <w:ind w:left="1134" w:hanging="1134"/>
        <w:rPr>
          <w:rFonts w:ascii="Cambria" w:hAnsi="Cambria"/>
          <w:bCs/>
          <w:color w:val="1F497D"/>
          <w:szCs w:val="18"/>
        </w:rPr>
      </w:pPr>
      <w:bookmarkStart w:id="325" w:name="_Ref410838103"/>
      <w:bookmarkStart w:id="326" w:name="_Toc415141870"/>
      <w:r w:rsidRPr="007E26D3">
        <w:rPr>
          <w:rFonts w:ascii="Cambria" w:hAnsi="Cambria"/>
          <w:bCs/>
          <w:color w:val="1F497D"/>
          <w:szCs w:val="18"/>
        </w:rPr>
        <w:lastRenderedPageBreak/>
        <w:t xml:space="preserve">Table </w:t>
      </w:r>
      <w:r w:rsidR="00A72B26">
        <w:rPr>
          <w:rFonts w:ascii="Cambria" w:hAnsi="Cambria"/>
          <w:bCs/>
          <w:noProof/>
          <w:color w:val="1F497D"/>
          <w:szCs w:val="18"/>
        </w:rPr>
        <w:t>73</w:t>
      </w:r>
      <w:bookmarkEnd w:id="325"/>
      <w:r w:rsidRPr="007E26D3">
        <w:rPr>
          <w:rFonts w:ascii="Cambria" w:hAnsi="Cambria"/>
          <w:bCs/>
          <w:color w:val="1F497D"/>
          <w:szCs w:val="18"/>
        </w:rPr>
        <w:tab/>
        <w:t>Peak expiratory flow (PEF) and maximum expiratory flow at 50% (MEF 50%)</w:t>
      </w:r>
      <w:r>
        <w:rPr>
          <w:rFonts w:ascii="Cambria" w:hAnsi="Cambria"/>
          <w:bCs/>
          <w:color w:val="1F497D"/>
          <w:szCs w:val="18"/>
        </w:rPr>
        <w:t xml:space="preserve"> </w:t>
      </w:r>
      <w:r w:rsidR="00DF5C70" w:rsidRPr="00DF5C70">
        <w:rPr>
          <w:rStyle w:val="FigureheadingChar"/>
        </w:rPr>
        <w:t>before and after alglucosidase alfa in patients with JOPD</w:t>
      </w:r>
      <w:bookmarkEnd w:id="326"/>
    </w:p>
    <w:tbl>
      <w:tblPr>
        <w:tblStyle w:val="TableGrid"/>
        <w:tblW w:w="5000" w:type="pct"/>
        <w:tblLook w:val="04A0" w:firstRow="1" w:lastRow="0" w:firstColumn="1" w:lastColumn="0" w:noHBand="0" w:noVBand="1"/>
        <w:tblCaption w:val="Table 9 Peak expiratory flow (PEF) and maximum expiratory flow at 50% (MEF 50%) in JOPD patients"/>
      </w:tblPr>
      <w:tblGrid>
        <w:gridCol w:w="1382"/>
        <w:gridCol w:w="1103"/>
        <w:gridCol w:w="1331"/>
        <w:gridCol w:w="1377"/>
        <w:gridCol w:w="1429"/>
        <w:gridCol w:w="1433"/>
        <w:gridCol w:w="1187"/>
      </w:tblGrid>
      <w:tr w:rsidR="001A6FF0" w:rsidRPr="008F5C81" w:rsidTr="009A0365">
        <w:trPr>
          <w:tblHeader/>
        </w:trPr>
        <w:tc>
          <w:tcPr>
            <w:tcW w:w="747" w:type="pct"/>
          </w:tcPr>
          <w:p w:rsidR="001A6FF0" w:rsidRDefault="001A6FF0" w:rsidP="00F17CF5">
            <w:pPr>
              <w:pStyle w:val="Tabletext1"/>
              <w:keepNext/>
              <w:rPr>
                <w:b/>
                <w:lang w:eastAsia="en-US"/>
              </w:rPr>
            </w:pPr>
            <w:r>
              <w:rPr>
                <w:b/>
                <w:lang w:eastAsia="en-US"/>
              </w:rPr>
              <w:t>Study</w:t>
            </w:r>
          </w:p>
          <w:p w:rsidR="001A6FF0" w:rsidRPr="008F5C81" w:rsidRDefault="001A6FF0" w:rsidP="00F17CF5">
            <w:pPr>
              <w:pStyle w:val="Tabletext1"/>
              <w:keepNext/>
              <w:rPr>
                <w:b/>
                <w:lang w:eastAsia="en-US"/>
              </w:rPr>
            </w:pPr>
            <w:r>
              <w:rPr>
                <w:b/>
                <w:lang w:eastAsia="en-US"/>
              </w:rPr>
              <w:t>Measure</w:t>
            </w:r>
          </w:p>
        </w:tc>
        <w:tc>
          <w:tcPr>
            <w:tcW w:w="597" w:type="pct"/>
          </w:tcPr>
          <w:p w:rsidR="001A6FF0" w:rsidRPr="008F5C81" w:rsidRDefault="001A6FF0" w:rsidP="00F17CF5">
            <w:pPr>
              <w:pStyle w:val="Tabletext1"/>
              <w:keepNext/>
              <w:rPr>
                <w:b/>
                <w:lang w:eastAsia="en-US"/>
              </w:rPr>
            </w:pPr>
            <w:r>
              <w:rPr>
                <w:b/>
                <w:lang w:eastAsia="en-US"/>
              </w:rPr>
              <w:t>Patient</w:t>
            </w:r>
          </w:p>
        </w:tc>
        <w:tc>
          <w:tcPr>
            <w:tcW w:w="720" w:type="pct"/>
          </w:tcPr>
          <w:p w:rsidR="001A6FF0" w:rsidRPr="008F5C81" w:rsidRDefault="001A6FF0" w:rsidP="00F17CF5">
            <w:pPr>
              <w:pStyle w:val="Tabletext1"/>
              <w:keepNext/>
              <w:rPr>
                <w:b/>
                <w:lang w:eastAsia="en-US"/>
              </w:rPr>
            </w:pPr>
            <w:r w:rsidRPr="008F5C81">
              <w:rPr>
                <w:b/>
                <w:lang w:eastAsia="en-US"/>
              </w:rPr>
              <w:t>Baseline</w:t>
            </w:r>
            <w:r>
              <w:rPr>
                <w:b/>
                <w:lang w:eastAsia="en-US"/>
              </w:rPr>
              <w:t xml:space="preserve"> </w:t>
            </w:r>
          </w:p>
        </w:tc>
        <w:tc>
          <w:tcPr>
            <w:tcW w:w="745" w:type="pct"/>
          </w:tcPr>
          <w:p w:rsidR="001A6FF0" w:rsidRDefault="001A6FF0" w:rsidP="00F17CF5">
            <w:pPr>
              <w:pStyle w:val="Tabletext1"/>
              <w:keepNext/>
              <w:rPr>
                <w:b/>
                <w:lang w:eastAsia="en-US"/>
              </w:rPr>
            </w:pPr>
            <w:r>
              <w:rPr>
                <w:b/>
                <w:lang w:eastAsia="en-US"/>
              </w:rPr>
              <w:t>6 months ERT</w:t>
            </w:r>
          </w:p>
        </w:tc>
        <w:tc>
          <w:tcPr>
            <w:tcW w:w="773" w:type="pct"/>
          </w:tcPr>
          <w:p w:rsidR="001A6FF0" w:rsidRDefault="001A6FF0" w:rsidP="00F17CF5">
            <w:pPr>
              <w:pStyle w:val="Tabletext1"/>
              <w:keepNext/>
              <w:rPr>
                <w:b/>
                <w:lang w:eastAsia="en-US"/>
              </w:rPr>
            </w:pPr>
            <w:r>
              <w:rPr>
                <w:b/>
                <w:lang w:eastAsia="en-US"/>
              </w:rPr>
              <w:t>1 year ERT</w:t>
            </w:r>
          </w:p>
        </w:tc>
        <w:tc>
          <w:tcPr>
            <w:tcW w:w="775" w:type="pct"/>
          </w:tcPr>
          <w:p w:rsidR="001A6FF0" w:rsidRDefault="001A6FF0" w:rsidP="00F17CF5">
            <w:pPr>
              <w:pStyle w:val="Tabletext1"/>
              <w:keepNext/>
              <w:rPr>
                <w:b/>
                <w:lang w:eastAsia="en-US"/>
              </w:rPr>
            </w:pPr>
            <w:r>
              <w:rPr>
                <w:b/>
                <w:lang w:eastAsia="en-US"/>
              </w:rPr>
              <w:t>2 years ERT</w:t>
            </w:r>
          </w:p>
        </w:tc>
        <w:tc>
          <w:tcPr>
            <w:tcW w:w="642" w:type="pct"/>
          </w:tcPr>
          <w:p w:rsidR="001A6FF0" w:rsidRDefault="001A6FF0" w:rsidP="00F17CF5">
            <w:pPr>
              <w:pStyle w:val="Tabletext1"/>
              <w:keepNext/>
              <w:rPr>
                <w:b/>
                <w:lang w:eastAsia="en-US"/>
              </w:rPr>
            </w:pPr>
            <w:r>
              <w:rPr>
                <w:b/>
                <w:lang w:eastAsia="en-US"/>
              </w:rPr>
              <w:t>Change</w:t>
            </w:r>
          </w:p>
        </w:tc>
      </w:tr>
      <w:tr w:rsidR="001A6FF0" w:rsidRPr="00F53467" w:rsidTr="00F17CF5">
        <w:tc>
          <w:tcPr>
            <w:tcW w:w="747" w:type="pct"/>
          </w:tcPr>
          <w:p w:rsidR="001A6FF0" w:rsidRDefault="001A6FF0" w:rsidP="00F17CF5">
            <w:pPr>
              <w:pStyle w:val="Tabletext1"/>
              <w:keepNext/>
              <w:rPr>
                <w:lang w:eastAsia="en-US"/>
              </w:rPr>
            </w:pPr>
            <w:r>
              <w:rPr>
                <w:lang w:eastAsia="en-US"/>
              </w:rPr>
              <w:t>Furusawa 2012</w:t>
            </w:r>
          </w:p>
          <w:p w:rsidR="001A6FF0" w:rsidRDefault="001A6FF0" w:rsidP="00F17CF5">
            <w:pPr>
              <w:pStyle w:val="Tabletext1"/>
              <w:keepNext/>
              <w:rPr>
                <w:lang w:eastAsia="en-US"/>
              </w:rPr>
            </w:pPr>
            <w:r>
              <w:rPr>
                <w:lang w:eastAsia="en-US"/>
              </w:rPr>
              <w:t>PEF (L/s)</w:t>
            </w:r>
          </w:p>
        </w:tc>
        <w:tc>
          <w:tcPr>
            <w:tcW w:w="597" w:type="pct"/>
          </w:tcPr>
          <w:p w:rsidR="001A6FF0" w:rsidRDefault="001A6FF0" w:rsidP="00F17CF5">
            <w:pPr>
              <w:pStyle w:val="Tabletext1"/>
              <w:keepNext/>
              <w:rPr>
                <w:lang w:eastAsia="en-US"/>
              </w:rPr>
            </w:pPr>
            <w:r>
              <w:rPr>
                <w:lang w:eastAsia="en-US"/>
              </w:rPr>
              <w:t>Patient 4</w:t>
            </w:r>
          </w:p>
          <w:p w:rsidR="001A6FF0" w:rsidRDefault="001A6FF0" w:rsidP="00F17CF5">
            <w:pPr>
              <w:pStyle w:val="Tabletext1"/>
              <w:keepNext/>
              <w:rPr>
                <w:lang w:eastAsia="en-US"/>
              </w:rPr>
            </w:pPr>
            <w:r>
              <w:rPr>
                <w:lang w:eastAsia="en-US"/>
              </w:rPr>
              <w:t>Patient 5</w:t>
            </w:r>
          </w:p>
          <w:p w:rsidR="001A6FF0" w:rsidRDefault="001A6FF0" w:rsidP="00F17CF5">
            <w:pPr>
              <w:pStyle w:val="Tabletext1"/>
              <w:keepNext/>
              <w:rPr>
                <w:lang w:eastAsia="en-US"/>
              </w:rPr>
            </w:pPr>
          </w:p>
        </w:tc>
        <w:tc>
          <w:tcPr>
            <w:tcW w:w="720" w:type="pct"/>
          </w:tcPr>
          <w:p w:rsidR="001A6FF0" w:rsidRDefault="001A6FF0" w:rsidP="00F17CF5">
            <w:pPr>
              <w:pStyle w:val="Tabletext1"/>
              <w:keepNext/>
              <w:rPr>
                <w:lang w:eastAsia="en-US"/>
              </w:rPr>
            </w:pPr>
            <w:r>
              <w:rPr>
                <w:lang w:eastAsia="en-US"/>
              </w:rPr>
              <w:t>0.58</w:t>
            </w:r>
          </w:p>
          <w:p w:rsidR="001A6FF0" w:rsidRDefault="001A6FF0" w:rsidP="00F17CF5">
            <w:pPr>
              <w:pStyle w:val="Tabletext1"/>
              <w:keepNext/>
              <w:rPr>
                <w:lang w:eastAsia="en-US"/>
              </w:rPr>
            </w:pPr>
            <w:r>
              <w:rPr>
                <w:lang w:eastAsia="en-US"/>
              </w:rPr>
              <w:t>1.24</w:t>
            </w:r>
          </w:p>
          <w:p w:rsidR="001A6FF0" w:rsidRDefault="001A6FF0" w:rsidP="00F17CF5">
            <w:pPr>
              <w:pStyle w:val="Tabletext1"/>
              <w:keepNext/>
              <w:rPr>
                <w:lang w:eastAsia="en-US"/>
              </w:rPr>
            </w:pPr>
          </w:p>
        </w:tc>
        <w:tc>
          <w:tcPr>
            <w:tcW w:w="745" w:type="pct"/>
          </w:tcPr>
          <w:p w:rsidR="001A6FF0" w:rsidRDefault="001A6FF0" w:rsidP="00F17CF5">
            <w:pPr>
              <w:pStyle w:val="Tabletext1"/>
              <w:keepNext/>
              <w:rPr>
                <w:lang w:eastAsia="en-US"/>
              </w:rPr>
            </w:pPr>
            <w:r>
              <w:rPr>
                <w:lang w:eastAsia="en-US"/>
              </w:rPr>
              <w:t>-</w:t>
            </w:r>
          </w:p>
          <w:p w:rsidR="001A6FF0" w:rsidRDefault="001A6FF0" w:rsidP="00F17CF5">
            <w:pPr>
              <w:pStyle w:val="Tabletext1"/>
              <w:keepNext/>
              <w:rPr>
                <w:lang w:eastAsia="en-US"/>
              </w:rPr>
            </w:pPr>
            <w:r>
              <w:rPr>
                <w:lang w:eastAsia="en-US"/>
              </w:rPr>
              <w:t>-</w:t>
            </w:r>
          </w:p>
        </w:tc>
        <w:tc>
          <w:tcPr>
            <w:tcW w:w="773" w:type="pct"/>
          </w:tcPr>
          <w:p w:rsidR="001A6FF0" w:rsidRDefault="001A6FF0" w:rsidP="00F17CF5">
            <w:pPr>
              <w:pStyle w:val="Tabletext1"/>
              <w:keepNext/>
              <w:rPr>
                <w:lang w:eastAsia="en-US"/>
              </w:rPr>
            </w:pPr>
            <w:r>
              <w:rPr>
                <w:lang w:eastAsia="en-US"/>
              </w:rPr>
              <w:t>Not taken</w:t>
            </w:r>
          </w:p>
          <w:p w:rsidR="001A6FF0" w:rsidRDefault="001A6FF0" w:rsidP="00F17CF5">
            <w:pPr>
              <w:pStyle w:val="Tabletext1"/>
              <w:keepNext/>
              <w:rPr>
                <w:lang w:eastAsia="en-US"/>
              </w:rPr>
            </w:pPr>
            <w:r>
              <w:rPr>
                <w:lang w:eastAsia="en-US"/>
              </w:rPr>
              <w:t>1.63</w:t>
            </w:r>
          </w:p>
        </w:tc>
        <w:tc>
          <w:tcPr>
            <w:tcW w:w="775" w:type="pct"/>
          </w:tcPr>
          <w:p w:rsidR="001A6FF0" w:rsidRDefault="001A6FF0" w:rsidP="00F17CF5">
            <w:pPr>
              <w:pStyle w:val="Tabletext1"/>
              <w:keepNext/>
              <w:rPr>
                <w:lang w:eastAsia="en-US"/>
              </w:rPr>
            </w:pPr>
            <w:r>
              <w:rPr>
                <w:lang w:eastAsia="en-US"/>
              </w:rPr>
              <w:t>0.25</w:t>
            </w:r>
          </w:p>
          <w:p w:rsidR="001A6FF0" w:rsidRDefault="001A6FF0" w:rsidP="00F17CF5">
            <w:pPr>
              <w:pStyle w:val="Tabletext1"/>
              <w:keepNext/>
              <w:rPr>
                <w:lang w:eastAsia="en-US"/>
              </w:rPr>
            </w:pPr>
            <w:r>
              <w:rPr>
                <w:lang w:eastAsia="en-US"/>
              </w:rPr>
              <w:t>1.70</w:t>
            </w:r>
          </w:p>
        </w:tc>
        <w:tc>
          <w:tcPr>
            <w:tcW w:w="642" w:type="pct"/>
          </w:tcPr>
          <w:p w:rsidR="001A6FF0" w:rsidRDefault="001A6FF0" w:rsidP="00F17CF5">
            <w:pPr>
              <w:pStyle w:val="Tabletext1"/>
              <w:keepNext/>
              <w:rPr>
                <w:lang w:eastAsia="en-US"/>
              </w:rPr>
            </w:pPr>
            <w:r>
              <w:rPr>
                <w:lang w:eastAsia="en-US"/>
              </w:rPr>
              <w:t>NR</w:t>
            </w:r>
          </w:p>
        </w:tc>
      </w:tr>
      <w:tr w:rsidR="001A6FF0" w:rsidRPr="00F53467" w:rsidTr="00F17CF5">
        <w:tc>
          <w:tcPr>
            <w:tcW w:w="747" w:type="pct"/>
          </w:tcPr>
          <w:p w:rsidR="001A6FF0" w:rsidRDefault="001A6FF0" w:rsidP="00F17CF5">
            <w:pPr>
              <w:pStyle w:val="Tabletext1"/>
              <w:keepNext/>
              <w:rPr>
                <w:lang w:eastAsia="en-US"/>
              </w:rPr>
            </w:pPr>
            <w:r>
              <w:rPr>
                <w:lang w:eastAsia="en-US"/>
              </w:rPr>
              <w:t>Korpela 2009</w:t>
            </w:r>
          </w:p>
          <w:p w:rsidR="001A6FF0" w:rsidRDefault="001A6FF0" w:rsidP="00F17CF5">
            <w:pPr>
              <w:pStyle w:val="Tabletext1"/>
              <w:keepNext/>
              <w:rPr>
                <w:lang w:eastAsia="en-US"/>
              </w:rPr>
            </w:pPr>
            <w:r>
              <w:rPr>
                <w:lang w:eastAsia="en-US"/>
              </w:rPr>
              <w:t xml:space="preserve">MEF </w:t>
            </w:r>
          </w:p>
        </w:tc>
        <w:tc>
          <w:tcPr>
            <w:tcW w:w="597" w:type="pct"/>
          </w:tcPr>
          <w:p w:rsidR="001A6FF0" w:rsidRDefault="001A6FF0" w:rsidP="00F17CF5">
            <w:pPr>
              <w:pStyle w:val="Tabletext1"/>
              <w:keepNext/>
              <w:rPr>
                <w:lang w:eastAsia="en-US"/>
              </w:rPr>
            </w:pPr>
            <w:r>
              <w:rPr>
                <w:lang w:eastAsia="en-US"/>
              </w:rPr>
              <w:t>Patient 1</w:t>
            </w:r>
          </w:p>
        </w:tc>
        <w:tc>
          <w:tcPr>
            <w:tcW w:w="720" w:type="pct"/>
          </w:tcPr>
          <w:p w:rsidR="001A6FF0" w:rsidRDefault="001A6FF0" w:rsidP="00F17CF5">
            <w:pPr>
              <w:pStyle w:val="Tabletext1"/>
              <w:keepNext/>
              <w:rPr>
                <w:lang w:eastAsia="en-US"/>
              </w:rPr>
            </w:pPr>
            <w:r>
              <w:rPr>
                <w:lang w:eastAsia="en-US"/>
              </w:rPr>
              <w:t>NR</w:t>
            </w:r>
          </w:p>
        </w:tc>
        <w:tc>
          <w:tcPr>
            <w:tcW w:w="745" w:type="pct"/>
          </w:tcPr>
          <w:p w:rsidR="001A6FF0" w:rsidRDefault="001A6FF0" w:rsidP="00F17CF5">
            <w:pPr>
              <w:pStyle w:val="Tabletext1"/>
              <w:keepNext/>
              <w:rPr>
                <w:lang w:eastAsia="en-US"/>
              </w:rPr>
            </w:pPr>
            <w:r>
              <w:rPr>
                <w:lang w:eastAsia="en-US"/>
              </w:rPr>
              <w:t>increased</w:t>
            </w:r>
          </w:p>
        </w:tc>
        <w:tc>
          <w:tcPr>
            <w:tcW w:w="773" w:type="pct"/>
          </w:tcPr>
          <w:p w:rsidR="001A6FF0" w:rsidRDefault="001A6FF0" w:rsidP="00F17CF5">
            <w:pPr>
              <w:pStyle w:val="Tabletext1"/>
              <w:keepNext/>
              <w:rPr>
                <w:lang w:eastAsia="en-US"/>
              </w:rPr>
            </w:pPr>
            <w:r>
              <w:rPr>
                <w:lang w:eastAsia="en-US"/>
              </w:rPr>
              <w:t>-</w:t>
            </w:r>
          </w:p>
        </w:tc>
        <w:tc>
          <w:tcPr>
            <w:tcW w:w="775" w:type="pct"/>
          </w:tcPr>
          <w:p w:rsidR="001A6FF0" w:rsidRDefault="001A6FF0" w:rsidP="00F17CF5">
            <w:pPr>
              <w:pStyle w:val="Tabletext1"/>
              <w:keepNext/>
              <w:rPr>
                <w:lang w:eastAsia="en-US"/>
              </w:rPr>
            </w:pPr>
            <w:r>
              <w:rPr>
                <w:lang w:eastAsia="en-US"/>
              </w:rPr>
              <w:t>-</w:t>
            </w:r>
          </w:p>
        </w:tc>
        <w:tc>
          <w:tcPr>
            <w:tcW w:w="642" w:type="pct"/>
          </w:tcPr>
          <w:p w:rsidR="001A6FF0" w:rsidRDefault="001A6FF0" w:rsidP="00F17CF5">
            <w:pPr>
              <w:pStyle w:val="Tabletext1"/>
              <w:keepNext/>
              <w:rPr>
                <w:lang w:eastAsia="en-US"/>
              </w:rPr>
            </w:pPr>
            <w:r>
              <w:rPr>
                <w:lang w:eastAsia="en-US"/>
              </w:rPr>
              <w:t>65%</w:t>
            </w:r>
          </w:p>
        </w:tc>
      </w:tr>
    </w:tbl>
    <w:p w:rsidR="001A6FF0" w:rsidRDefault="001A6FF0" w:rsidP="0025188D">
      <w:pPr>
        <w:pStyle w:val="TableNote"/>
        <w:ind w:left="0" w:firstLine="0"/>
        <w:rPr>
          <w:lang w:eastAsia="en-US"/>
        </w:rPr>
      </w:pPr>
      <w:r>
        <w:rPr>
          <w:lang w:eastAsia="en-US"/>
        </w:rPr>
        <w:t>ERT = enzyme replacement therapy; PEF = peak expiratory flow; NR = not reported; MEF 50% = maximum expiratory flow when 50% of the forced vital capacity has been exhaled;</w:t>
      </w:r>
      <w:r w:rsidRPr="008B500A">
        <w:rPr>
          <w:lang w:eastAsia="en-US"/>
        </w:rPr>
        <w:t xml:space="preserve"> </w:t>
      </w:r>
      <w:r>
        <w:rPr>
          <w:lang w:eastAsia="en-US"/>
        </w:rPr>
        <w:t xml:space="preserve">JOPD = juvenile </w:t>
      </w:r>
      <w:r w:rsidR="00926546">
        <w:rPr>
          <w:lang w:eastAsia="en-US"/>
        </w:rPr>
        <w:t xml:space="preserve">late </w:t>
      </w:r>
      <w:r>
        <w:rPr>
          <w:lang w:eastAsia="en-US"/>
        </w:rPr>
        <w:t>onset Pompe disease</w:t>
      </w:r>
    </w:p>
    <w:p w:rsidR="001A6FF0" w:rsidRDefault="001A6FF0" w:rsidP="001A6FF0">
      <w:pPr>
        <w:pStyle w:val="TableNote"/>
        <w:rPr>
          <w:lang w:eastAsia="en-US"/>
        </w:rPr>
      </w:pPr>
    </w:p>
    <w:p w:rsidR="001A6FF0" w:rsidRPr="008B500A" w:rsidRDefault="001A6FF0" w:rsidP="00086C2D">
      <w:pPr>
        <w:pStyle w:val="Caption"/>
        <w:keepNext/>
        <w:ind w:left="1418" w:hanging="1418"/>
      </w:pPr>
      <w:bookmarkStart w:id="327" w:name="_Ref410839097"/>
      <w:bookmarkStart w:id="328" w:name="_Ref410890594"/>
      <w:bookmarkStart w:id="329" w:name="_Toc411510449"/>
      <w:bookmarkStart w:id="330" w:name="_Toc415141871"/>
      <w:r w:rsidRPr="008B500A">
        <w:t xml:space="preserve">Table </w:t>
      </w:r>
      <w:r w:rsidR="00A72B26">
        <w:rPr>
          <w:noProof/>
        </w:rPr>
        <w:t>74</w:t>
      </w:r>
      <w:bookmarkEnd w:id="327"/>
      <w:bookmarkEnd w:id="328"/>
      <w:r>
        <w:tab/>
      </w:r>
      <w:r w:rsidRPr="008B500A">
        <w:t>Forced expiratory volume in 1 second (FEV1)</w:t>
      </w:r>
      <w:r>
        <w:t xml:space="preserve"> </w:t>
      </w:r>
      <w:r w:rsidR="00DF5C70">
        <w:t>before and after alglucosidase alfa in patients with JOPD</w:t>
      </w:r>
      <w:bookmarkEnd w:id="329"/>
      <w:bookmarkEnd w:id="330"/>
    </w:p>
    <w:tbl>
      <w:tblPr>
        <w:tblStyle w:val="TableGrid"/>
        <w:tblW w:w="5000" w:type="pct"/>
        <w:tblLook w:val="04A0" w:firstRow="1" w:lastRow="0" w:firstColumn="1" w:lastColumn="0" w:noHBand="0" w:noVBand="1"/>
        <w:tblCaption w:val="Table 10 Forced expiratory volume in 1 second (FEV1) in JOPD patients"/>
      </w:tblPr>
      <w:tblGrid>
        <w:gridCol w:w="2044"/>
        <w:gridCol w:w="1222"/>
        <w:gridCol w:w="1259"/>
        <w:gridCol w:w="1895"/>
        <w:gridCol w:w="1667"/>
        <w:gridCol w:w="1155"/>
      </w:tblGrid>
      <w:tr w:rsidR="001A6FF0" w:rsidRPr="008F5C81" w:rsidTr="009A0365">
        <w:trPr>
          <w:tblHeader/>
        </w:trPr>
        <w:tc>
          <w:tcPr>
            <w:tcW w:w="1106" w:type="pct"/>
          </w:tcPr>
          <w:p w:rsidR="001A6FF0" w:rsidRDefault="001A6FF0" w:rsidP="00BC2239">
            <w:pPr>
              <w:pStyle w:val="Tabletext1"/>
              <w:keepNext/>
              <w:rPr>
                <w:b/>
                <w:lang w:eastAsia="en-US"/>
              </w:rPr>
            </w:pPr>
            <w:r>
              <w:rPr>
                <w:b/>
                <w:lang w:eastAsia="en-US"/>
              </w:rPr>
              <w:t>Study</w:t>
            </w:r>
          </w:p>
          <w:p w:rsidR="001A6FF0" w:rsidRPr="008F5C81" w:rsidRDefault="001A6FF0" w:rsidP="00BC2239">
            <w:pPr>
              <w:pStyle w:val="Tabletext1"/>
              <w:keepNext/>
              <w:rPr>
                <w:b/>
                <w:lang w:eastAsia="en-US"/>
              </w:rPr>
            </w:pPr>
            <w:r>
              <w:rPr>
                <w:b/>
                <w:lang w:eastAsia="en-US"/>
              </w:rPr>
              <w:t>Measure</w:t>
            </w:r>
          </w:p>
        </w:tc>
        <w:tc>
          <w:tcPr>
            <w:tcW w:w="661" w:type="pct"/>
          </w:tcPr>
          <w:p w:rsidR="001A6FF0" w:rsidRPr="008F5C81" w:rsidRDefault="001A6FF0" w:rsidP="00BC2239">
            <w:pPr>
              <w:pStyle w:val="Tabletext1"/>
              <w:keepNext/>
              <w:rPr>
                <w:b/>
                <w:lang w:eastAsia="en-US"/>
              </w:rPr>
            </w:pPr>
            <w:r>
              <w:rPr>
                <w:b/>
                <w:lang w:eastAsia="en-US"/>
              </w:rPr>
              <w:t>Patient</w:t>
            </w:r>
          </w:p>
        </w:tc>
        <w:tc>
          <w:tcPr>
            <w:tcW w:w="681" w:type="pct"/>
          </w:tcPr>
          <w:p w:rsidR="001A6FF0" w:rsidRPr="008F5C81" w:rsidRDefault="001A6FF0" w:rsidP="00BC2239">
            <w:pPr>
              <w:pStyle w:val="Tabletext1"/>
              <w:keepNext/>
              <w:rPr>
                <w:b/>
                <w:lang w:eastAsia="en-US"/>
              </w:rPr>
            </w:pPr>
            <w:r w:rsidRPr="008F5C81">
              <w:rPr>
                <w:b/>
                <w:lang w:eastAsia="en-US"/>
              </w:rPr>
              <w:t>Baseline</w:t>
            </w:r>
            <w:r>
              <w:rPr>
                <w:b/>
                <w:lang w:eastAsia="en-US"/>
              </w:rPr>
              <w:t xml:space="preserve"> </w:t>
            </w:r>
          </w:p>
        </w:tc>
        <w:tc>
          <w:tcPr>
            <w:tcW w:w="1025" w:type="pct"/>
            <w:tcBorders>
              <w:left w:val="single" w:sz="4" w:space="0" w:color="auto"/>
            </w:tcBorders>
          </w:tcPr>
          <w:p w:rsidR="001A6FF0" w:rsidRDefault="001A6FF0" w:rsidP="00BC2239">
            <w:pPr>
              <w:pStyle w:val="Tabletext1"/>
              <w:keepNext/>
              <w:rPr>
                <w:b/>
                <w:lang w:eastAsia="en-US"/>
              </w:rPr>
            </w:pPr>
            <w:r>
              <w:rPr>
                <w:b/>
                <w:lang w:eastAsia="en-US"/>
              </w:rPr>
              <w:t>Follow-up length</w:t>
            </w:r>
          </w:p>
        </w:tc>
        <w:tc>
          <w:tcPr>
            <w:tcW w:w="902" w:type="pct"/>
          </w:tcPr>
          <w:p w:rsidR="001A6FF0" w:rsidRDefault="001A6FF0" w:rsidP="00BC2239">
            <w:pPr>
              <w:pStyle w:val="Tabletext1"/>
              <w:keepNext/>
              <w:rPr>
                <w:b/>
                <w:lang w:eastAsia="en-US"/>
              </w:rPr>
            </w:pPr>
            <w:r>
              <w:rPr>
                <w:b/>
                <w:lang w:eastAsia="en-US"/>
              </w:rPr>
              <w:t>Follow-up</w:t>
            </w:r>
          </w:p>
        </w:tc>
        <w:tc>
          <w:tcPr>
            <w:tcW w:w="625" w:type="pct"/>
          </w:tcPr>
          <w:p w:rsidR="001A6FF0" w:rsidRDefault="001A6FF0" w:rsidP="00BC2239">
            <w:pPr>
              <w:pStyle w:val="Tabletext1"/>
              <w:keepNext/>
              <w:rPr>
                <w:b/>
                <w:lang w:eastAsia="en-US"/>
              </w:rPr>
            </w:pPr>
            <w:r>
              <w:rPr>
                <w:b/>
                <w:lang w:eastAsia="en-US"/>
              </w:rPr>
              <w:t>Change</w:t>
            </w:r>
          </w:p>
        </w:tc>
      </w:tr>
      <w:tr w:rsidR="001A6FF0" w:rsidRPr="00F53467" w:rsidTr="00BC2239">
        <w:tc>
          <w:tcPr>
            <w:tcW w:w="1106" w:type="pct"/>
          </w:tcPr>
          <w:p w:rsidR="001A6FF0" w:rsidRDefault="001A6FF0" w:rsidP="00BC2239">
            <w:pPr>
              <w:pStyle w:val="Tabletext1"/>
              <w:keepNext/>
              <w:rPr>
                <w:lang w:eastAsia="en-US"/>
              </w:rPr>
            </w:pPr>
            <w:r>
              <w:rPr>
                <w:lang w:eastAsia="en-US"/>
              </w:rPr>
              <w:t>Korpela 2009</w:t>
            </w:r>
          </w:p>
          <w:p w:rsidR="001A6FF0" w:rsidRDefault="001A6FF0" w:rsidP="00BC2239">
            <w:pPr>
              <w:pStyle w:val="Tabletext1"/>
              <w:keepNext/>
              <w:rPr>
                <w:lang w:eastAsia="en-US"/>
              </w:rPr>
            </w:pPr>
            <w:r>
              <w:rPr>
                <w:lang w:eastAsia="en-US"/>
              </w:rPr>
              <w:t>FEV1 (ml)</w:t>
            </w:r>
          </w:p>
        </w:tc>
        <w:tc>
          <w:tcPr>
            <w:tcW w:w="661" w:type="pct"/>
          </w:tcPr>
          <w:p w:rsidR="001A6FF0" w:rsidRDefault="001A6FF0" w:rsidP="00BC2239">
            <w:pPr>
              <w:pStyle w:val="Tabletext1"/>
              <w:keepNext/>
              <w:rPr>
                <w:lang w:eastAsia="en-US"/>
              </w:rPr>
            </w:pPr>
            <w:r>
              <w:rPr>
                <w:lang w:eastAsia="en-US"/>
              </w:rPr>
              <w:t>Patient 1</w:t>
            </w:r>
          </w:p>
        </w:tc>
        <w:tc>
          <w:tcPr>
            <w:tcW w:w="681" w:type="pct"/>
          </w:tcPr>
          <w:p w:rsidR="001A6FF0" w:rsidRDefault="001A6FF0" w:rsidP="00BC2239">
            <w:pPr>
              <w:pStyle w:val="Tabletext1"/>
              <w:keepNext/>
              <w:rPr>
                <w:lang w:eastAsia="en-US"/>
              </w:rPr>
            </w:pPr>
            <w:r>
              <w:rPr>
                <w:lang w:eastAsia="en-US"/>
              </w:rPr>
              <w:t>NR</w:t>
            </w:r>
          </w:p>
        </w:tc>
        <w:tc>
          <w:tcPr>
            <w:tcW w:w="1025" w:type="pct"/>
            <w:tcBorders>
              <w:left w:val="single" w:sz="4" w:space="0" w:color="auto"/>
            </w:tcBorders>
          </w:tcPr>
          <w:p w:rsidR="001A6FF0" w:rsidRDefault="001A6FF0" w:rsidP="00BC2239">
            <w:pPr>
              <w:pStyle w:val="Tabletext1"/>
              <w:keepNext/>
              <w:rPr>
                <w:lang w:eastAsia="en-US"/>
              </w:rPr>
            </w:pPr>
            <w:r>
              <w:rPr>
                <w:lang w:eastAsia="en-US"/>
              </w:rPr>
              <w:t>6 months</w:t>
            </w:r>
          </w:p>
        </w:tc>
        <w:tc>
          <w:tcPr>
            <w:tcW w:w="902" w:type="pct"/>
          </w:tcPr>
          <w:p w:rsidR="001A6FF0" w:rsidRDefault="001A6FF0" w:rsidP="00BC2239">
            <w:pPr>
              <w:pStyle w:val="Tabletext1"/>
              <w:keepNext/>
              <w:rPr>
                <w:lang w:eastAsia="en-US"/>
              </w:rPr>
            </w:pPr>
            <w:r>
              <w:rPr>
                <w:lang w:eastAsia="en-US"/>
              </w:rPr>
              <w:t>Increased</w:t>
            </w:r>
          </w:p>
        </w:tc>
        <w:tc>
          <w:tcPr>
            <w:tcW w:w="625" w:type="pct"/>
          </w:tcPr>
          <w:p w:rsidR="001A6FF0" w:rsidRDefault="001A6FF0" w:rsidP="00BC2239">
            <w:pPr>
              <w:pStyle w:val="Tabletext1"/>
              <w:keepNext/>
              <w:rPr>
                <w:lang w:eastAsia="en-US"/>
              </w:rPr>
            </w:pPr>
            <w:r>
              <w:rPr>
                <w:lang w:eastAsia="en-US"/>
              </w:rPr>
              <w:t>16%</w:t>
            </w:r>
          </w:p>
        </w:tc>
      </w:tr>
      <w:tr w:rsidR="001A6FF0" w:rsidRPr="00F53467" w:rsidTr="00BC2239">
        <w:tc>
          <w:tcPr>
            <w:tcW w:w="1106" w:type="pct"/>
          </w:tcPr>
          <w:p w:rsidR="001A6FF0" w:rsidRDefault="001A6FF0" w:rsidP="00BC2239">
            <w:pPr>
              <w:pStyle w:val="Tabletext1"/>
              <w:keepNext/>
              <w:rPr>
                <w:lang w:eastAsia="en-US"/>
              </w:rPr>
            </w:pPr>
            <w:r>
              <w:rPr>
                <w:lang w:eastAsia="en-US"/>
              </w:rPr>
              <w:t>Merk 2008</w:t>
            </w:r>
          </w:p>
          <w:p w:rsidR="001A6FF0" w:rsidRDefault="001A6FF0" w:rsidP="00BC2239">
            <w:pPr>
              <w:pStyle w:val="Tabletext1"/>
              <w:keepNext/>
              <w:rPr>
                <w:lang w:eastAsia="en-US"/>
              </w:rPr>
            </w:pPr>
            <w:r>
              <w:rPr>
                <w:lang w:eastAsia="en-US"/>
              </w:rPr>
              <w:t>FEV1 (ml)</w:t>
            </w:r>
          </w:p>
        </w:tc>
        <w:tc>
          <w:tcPr>
            <w:tcW w:w="661" w:type="pct"/>
          </w:tcPr>
          <w:p w:rsidR="001A6FF0" w:rsidRDefault="001A6FF0" w:rsidP="00BC2239">
            <w:pPr>
              <w:pStyle w:val="Tabletext1"/>
              <w:keepNext/>
              <w:rPr>
                <w:lang w:eastAsia="en-US"/>
              </w:rPr>
            </w:pPr>
            <w:r>
              <w:rPr>
                <w:lang w:eastAsia="en-US"/>
              </w:rPr>
              <w:t>Patient 1</w:t>
            </w:r>
          </w:p>
        </w:tc>
        <w:tc>
          <w:tcPr>
            <w:tcW w:w="681" w:type="pct"/>
          </w:tcPr>
          <w:p w:rsidR="001A6FF0" w:rsidRDefault="001A6FF0" w:rsidP="00BC2239">
            <w:pPr>
              <w:pStyle w:val="Tabletext1"/>
              <w:keepNext/>
              <w:rPr>
                <w:lang w:eastAsia="en-US"/>
              </w:rPr>
            </w:pPr>
            <w:r>
              <w:rPr>
                <w:lang w:eastAsia="en-US"/>
              </w:rPr>
              <w:t>550</w:t>
            </w:r>
          </w:p>
        </w:tc>
        <w:tc>
          <w:tcPr>
            <w:tcW w:w="1025" w:type="pct"/>
            <w:tcBorders>
              <w:left w:val="single" w:sz="4" w:space="0" w:color="auto"/>
            </w:tcBorders>
          </w:tcPr>
          <w:p w:rsidR="001A6FF0" w:rsidRDefault="001A6FF0" w:rsidP="00BC2239">
            <w:pPr>
              <w:pStyle w:val="Tabletext1"/>
              <w:keepNext/>
              <w:rPr>
                <w:lang w:eastAsia="en-US"/>
              </w:rPr>
            </w:pPr>
            <w:r>
              <w:rPr>
                <w:lang w:eastAsia="en-US"/>
              </w:rPr>
              <w:t>6 months</w:t>
            </w:r>
          </w:p>
        </w:tc>
        <w:tc>
          <w:tcPr>
            <w:tcW w:w="902" w:type="pct"/>
          </w:tcPr>
          <w:p w:rsidR="001A6FF0" w:rsidRDefault="001A6FF0" w:rsidP="00BC2239">
            <w:pPr>
              <w:pStyle w:val="Tabletext1"/>
              <w:keepNext/>
              <w:rPr>
                <w:lang w:eastAsia="en-US"/>
              </w:rPr>
            </w:pPr>
            <w:r>
              <w:rPr>
                <w:lang w:eastAsia="en-US"/>
              </w:rPr>
              <w:t>580</w:t>
            </w:r>
          </w:p>
        </w:tc>
        <w:tc>
          <w:tcPr>
            <w:tcW w:w="625" w:type="pct"/>
          </w:tcPr>
          <w:p w:rsidR="001A6FF0" w:rsidRDefault="001A6FF0" w:rsidP="00BC2239">
            <w:pPr>
              <w:pStyle w:val="Tabletext1"/>
              <w:keepNext/>
              <w:rPr>
                <w:lang w:eastAsia="en-US"/>
              </w:rPr>
            </w:pPr>
            <w:r>
              <w:rPr>
                <w:lang w:eastAsia="en-US"/>
              </w:rPr>
              <w:t>30</w:t>
            </w:r>
          </w:p>
        </w:tc>
      </w:tr>
      <w:tr w:rsidR="001A6FF0" w:rsidRPr="00F53467" w:rsidTr="00BC2239">
        <w:tc>
          <w:tcPr>
            <w:tcW w:w="1106" w:type="pct"/>
          </w:tcPr>
          <w:p w:rsidR="001A6FF0" w:rsidRDefault="001A6FF0" w:rsidP="00BC2239">
            <w:pPr>
              <w:pStyle w:val="Tabletext1"/>
              <w:keepNext/>
              <w:rPr>
                <w:lang w:eastAsia="en-US"/>
              </w:rPr>
            </w:pPr>
            <w:r>
              <w:rPr>
                <w:lang w:eastAsia="en-US"/>
              </w:rPr>
              <w:t>Papadimas 2011</w:t>
            </w:r>
          </w:p>
          <w:p w:rsidR="001A6FF0" w:rsidRDefault="001A6FF0" w:rsidP="00BC2239">
            <w:pPr>
              <w:pStyle w:val="Tabletext1"/>
              <w:keepNext/>
              <w:rPr>
                <w:lang w:eastAsia="en-US"/>
              </w:rPr>
            </w:pPr>
            <w:r>
              <w:rPr>
                <w:lang w:eastAsia="en-US"/>
              </w:rPr>
              <w:t>FEV1, sitting</w:t>
            </w:r>
          </w:p>
          <w:p w:rsidR="001A6FF0" w:rsidRDefault="001A6FF0" w:rsidP="00BC2239">
            <w:pPr>
              <w:pStyle w:val="Tabletext1"/>
              <w:keepNext/>
              <w:rPr>
                <w:lang w:eastAsia="en-US"/>
              </w:rPr>
            </w:pPr>
            <w:r>
              <w:rPr>
                <w:lang w:eastAsia="en-US"/>
              </w:rPr>
              <w:t xml:space="preserve"> (% predicted)</w:t>
            </w:r>
          </w:p>
        </w:tc>
        <w:tc>
          <w:tcPr>
            <w:tcW w:w="661" w:type="pct"/>
          </w:tcPr>
          <w:p w:rsidR="001A6FF0" w:rsidRDefault="001A6FF0" w:rsidP="00BC2239">
            <w:pPr>
              <w:pStyle w:val="Tabletext1"/>
              <w:keepNext/>
              <w:rPr>
                <w:lang w:eastAsia="en-US"/>
              </w:rPr>
            </w:pPr>
            <w:r>
              <w:rPr>
                <w:lang w:eastAsia="en-US"/>
              </w:rPr>
              <w:t>Patient 2</w:t>
            </w:r>
          </w:p>
        </w:tc>
        <w:tc>
          <w:tcPr>
            <w:tcW w:w="681" w:type="pct"/>
          </w:tcPr>
          <w:p w:rsidR="001A6FF0" w:rsidRDefault="001A6FF0" w:rsidP="00BC2239">
            <w:pPr>
              <w:pStyle w:val="Tabletext1"/>
              <w:keepNext/>
              <w:rPr>
                <w:lang w:eastAsia="en-US"/>
              </w:rPr>
            </w:pPr>
            <w:r>
              <w:rPr>
                <w:lang w:eastAsia="en-US"/>
              </w:rPr>
              <w:t>29</w:t>
            </w:r>
          </w:p>
        </w:tc>
        <w:tc>
          <w:tcPr>
            <w:tcW w:w="1025" w:type="pct"/>
            <w:tcBorders>
              <w:left w:val="single" w:sz="4" w:space="0" w:color="auto"/>
            </w:tcBorders>
          </w:tcPr>
          <w:p w:rsidR="001A6FF0" w:rsidRDefault="001A6FF0" w:rsidP="00BC2239">
            <w:pPr>
              <w:pStyle w:val="Tabletext1"/>
              <w:keepNext/>
              <w:rPr>
                <w:lang w:eastAsia="en-US"/>
              </w:rPr>
            </w:pPr>
            <w:r>
              <w:rPr>
                <w:lang w:eastAsia="en-US"/>
              </w:rPr>
              <w:t>3 years</w:t>
            </w:r>
          </w:p>
        </w:tc>
        <w:tc>
          <w:tcPr>
            <w:tcW w:w="902" w:type="pct"/>
          </w:tcPr>
          <w:p w:rsidR="001A6FF0" w:rsidRDefault="001A6FF0" w:rsidP="00BC2239">
            <w:pPr>
              <w:pStyle w:val="Tabletext1"/>
              <w:keepNext/>
              <w:rPr>
                <w:lang w:eastAsia="en-US"/>
              </w:rPr>
            </w:pPr>
            <w:r>
              <w:rPr>
                <w:lang w:eastAsia="en-US"/>
              </w:rPr>
              <w:t>28</w:t>
            </w:r>
          </w:p>
        </w:tc>
        <w:tc>
          <w:tcPr>
            <w:tcW w:w="625" w:type="pct"/>
          </w:tcPr>
          <w:p w:rsidR="001A6FF0" w:rsidRDefault="001A6FF0" w:rsidP="00BC2239">
            <w:pPr>
              <w:pStyle w:val="Tabletext1"/>
              <w:keepNext/>
              <w:rPr>
                <w:lang w:eastAsia="en-US"/>
              </w:rPr>
            </w:pPr>
            <w:r>
              <w:rPr>
                <w:lang w:eastAsia="en-US"/>
              </w:rPr>
              <w:t>-1</w:t>
            </w:r>
          </w:p>
        </w:tc>
      </w:tr>
      <w:tr w:rsidR="001A6FF0" w:rsidRPr="00F53467" w:rsidTr="00BC2239">
        <w:tc>
          <w:tcPr>
            <w:tcW w:w="1106" w:type="pct"/>
          </w:tcPr>
          <w:p w:rsidR="001A6FF0" w:rsidRDefault="001A6FF0" w:rsidP="00BC2239">
            <w:pPr>
              <w:pStyle w:val="Tabletext1"/>
              <w:keepNext/>
              <w:rPr>
                <w:lang w:eastAsia="en-US"/>
              </w:rPr>
            </w:pPr>
            <w:r>
              <w:rPr>
                <w:lang w:eastAsia="en-US"/>
              </w:rPr>
              <w:t>Papadimas 2011</w:t>
            </w:r>
          </w:p>
          <w:p w:rsidR="001A6FF0" w:rsidRDefault="001A6FF0" w:rsidP="00BC2239">
            <w:pPr>
              <w:pStyle w:val="Tabletext1"/>
              <w:keepNext/>
              <w:rPr>
                <w:lang w:eastAsia="en-US"/>
              </w:rPr>
            </w:pPr>
            <w:r>
              <w:rPr>
                <w:lang w:eastAsia="en-US"/>
              </w:rPr>
              <w:t>FEV1, supine</w:t>
            </w:r>
          </w:p>
          <w:p w:rsidR="001A6FF0" w:rsidRDefault="001A6FF0" w:rsidP="00BC2239">
            <w:pPr>
              <w:pStyle w:val="Tabletext1"/>
              <w:keepNext/>
              <w:rPr>
                <w:lang w:eastAsia="en-US"/>
              </w:rPr>
            </w:pPr>
            <w:r>
              <w:rPr>
                <w:lang w:eastAsia="en-US"/>
              </w:rPr>
              <w:t xml:space="preserve"> (% predicted)</w:t>
            </w:r>
          </w:p>
        </w:tc>
        <w:tc>
          <w:tcPr>
            <w:tcW w:w="661" w:type="pct"/>
          </w:tcPr>
          <w:p w:rsidR="001A6FF0" w:rsidRDefault="001A6FF0" w:rsidP="00BC2239">
            <w:pPr>
              <w:pStyle w:val="Tabletext1"/>
              <w:keepNext/>
              <w:rPr>
                <w:lang w:eastAsia="en-US"/>
              </w:rPr>
            </w:pPr>
            <w:r>
              <w:rPr>
                <w:lang w:eastAsia="en-US"/>
              </w:rPr>
              <w:t>Patient 2</w:t>
            </w:r>
          </w:p>
        </w:tc>
        <w:tc>
          <w:tcPr>
            <w:tcW w:w="681" w:type="pct"/>
          </w:tcPr>
          <w:p w:rsidR="001A6FF0" w:rsidRDefault="001A6FF0" w:rsidP="00BC2239">
            <w:pPr>
              <w:pStyle w:val="Tabletext1"/>
              <w:keepNext/>
              <w:rPr>
                <w:lang w:eastAsia="en-US"/>
              </w:rPr>
            </w:pPr>
            <w:r>
              <w:rPr>
                <w:lang w:eastAsia="en-US"/>
              </w:rPr>
              <w:t>21</w:t>
            </w:r>
          </w:p>
        </w:tc>
        <w:tc>
          <w:tcPr>
            <w:tcW w:w="1025" w:type="pct"/>
            <w:tcBorders>
              <w:left w:val="single" w:sz="4" w:space="0" w:color="auto"/>
            </w:tcBorders>
          </w:tcPr>
          <w:p w:rsidR="001A6FF0" w:rsidRDefault="001A6FF0" w:rsidP="00BC2239">
            <w:pPr>
              <w:pStyle w:val="Tabletext1"/>
              <w:keepNext/>
              <w:rPr>
                <w:lang w:eastAsia="en-US"/>
              </w:rPr>
            </w:pPr>
            <w:r>
              <w:rPr>
                <w:lang w:eastAsia="en-US"/>
              </w:rPr>
              <w:t>3 years</w:t>
            </w:r>
          </w:p>
        </w:tc>
        <w:tc>
          <w:tcPr>
            <w:tcW w:w="902" w:type="pct"/>
          </w:tcPr>
          <w:p w:rsidR="001A6FF0" w:rsidRDefault="001A6FF0" w:rsidP="00BC2239">
            <w:pPr>
              <w:pStyle w:val="Tabletext1"/>
              <w:keepNext/>
              <w:rPr>
                <w:lang w:eastAsia="en-US"/>
              </w:rPr>
            </w:pPr>
            <w:r>
              <w:rPr>
                <w:lang w:eastAsia="en-US"/>
              </w:rPr>
              <w:t>21</w:t>
            </w:r>
          </w:p>
        </w:tc>
        <w:tc>
          <w:tcPr>
            <w:tcW w:w="625" w:type="pct"/>
          </w:tcPr>
          <w:p w:rsidR="001A6FF0" w:rsidRDefault="001A6FF0" w:rsidP="00BC2239">
            <w:pPr>
              <w:pStyle w:val="Tabletext1"/>
              <w:keepNext/>
              <w:rPr>
                <w:lang w:eastAsia="en-US"/>
              </w:rPr>
            </w:pPr>
            <w:r>
              <w:rPr>
                <w:lang w:eastAsia="en-US"/>
              </w:rPr>
              <w:t>0</w:t>
            </w:r>
          </w:p>
        </w:tc>
      </w:tr>
    </w:tbl>
    <w:p w:rsidR="001A6FF0" w:rsidRDefault="0025188D" w:rsidP="0025188D">
      <w:pPr>
        <w:pStyle w:val="TableNote"/>
        <w:ind w:left="0" w:firstLine="0"/>
        <w:rPr>
          <w:lang w:eastAsia="en-US"/>
        </w:rPr>
      </w:pPr>
      <w:r>
        <w:rPr>
          <w:lang w:eastAsia="en-US"/>
        </w:rPr>
        <w:t xml:space="preserve">ERT = </w:t>
      </w:r>
      <w:r w:rsidR="001A6FF0">
        <w:rPr>
          <w:lang w:eastAsia="en-US"/>
        </w:rPr>
        <w:t>enzyme replacement therapy; FEV1 = forced expiratory volume in 1 second; NR = not reported; JOPD = juvenile</w:t>
      </w:r>
      <w:r w:rsidR="00926546">
        <w:rPr>
          <w:lang w:eastAsia="en-US"/>
        </w:rPr>
        <w:t xml:space="preserve"> late</w:t>
      </w:r>
      <w:r w:rsidR="001A6FF0">
        <w:rPr>
          <w:lang w:eastAsia="en-US"/>
        </w:rPr>
        <w:t xml:space="preserve"> onset Pompe disease</w:t>
      </w:r>
    </w:p>
    <w:p w:rsidR="001A6FF0" w:rsidRDefault="001A6FF0" w:rsidP="001A6FF0">
      <w:pPr>
        <w:pStyle w:val="TableNote"/>
        <w:rPr>
          <w:lang w:eastAsia="en-US"/>
        </w:rPr>
      </w:pPr>
    </w:p>
    <w:p w:rsidR="001A6FF0" w:rsidRDefault="001A6FF0" w:rsidP="001A6FF0"/>
    <w:p w:rsidR="001A6FF0" w:rsidRPr="008B500A" w:rsidRDefault="001A6FF0" w:rsidP="00086C2D">
      <w:pPr>
        <w:pStyle w:val="Caption"/>
        <w:keepNext/>
        <w:ind w:left="1418" w:hanging="1418"/>
      </w:pPr>
      <w:bookmarkStart w:id="331" w:name="_Ref410890700"/>
      <w:bookmarkStart w:id="332" w:name="_Toc411510450"/>
      <w:bookmarkStart w:id="333" w:name="_Toc415141872"/>
      <w:r w:rsidRPr="008B500A">
        <w:lastRenderedPageBreak/>
        <w:t xml:space="preserve">Table </w:t>
      </w:r>
      <w:r w:rsidR="00A72B26">
        <w:rPr>
          <w:noProof/>
        </w:rPr>
        <w:t>75</w:t>
      </w:r>
      <w:bookmarkEnd w:id="331"/>
      <w:r>
        <w:tab/>
      </w:r>
      <w:r w:rsidRPr="008B500A">
        <w:t>Pressure, expiratory and inspiratory</w:t>
      </w:r>
      <w:r>
        <w:t xml:space="preserve"> </w:t>
      </w:r>
      <w:r w:rsidR="00DF5C70">
        <w:t>before and after alglucosidase alfa in patients with JOPD</w:t>
      </w:r>
      <w:bookmarkEnd w:id="332"/>
      <w:bookmarkEnd w:id="333"/>
    </w:p>
    <w:tbl>
      <w:tblPr>
        <w:tblStyle w:val="TableGrid"/>
        <w:tblW w:w="5000" w:type="pct"/>
        <w:tblLook w:val="04A0" w:firstRow="1" w:lastRow="0" w:firstColumn="1" w:lastColumn="0" w:noHBand="0" w:noVBand="1"/>
        <w:tblCaption w:val="Table 11 Pressure, expiratory and inspiratory in JOPD patients"/>
      </w:tblPr>
      <w:tblGrid>
        <w:gridCol w:w="1810"/>
        <w:gridCol w:w="1536"/>
        <w:gridCol w:w="1384"/>
        <w:gridCol w:w="1536"/>
        <w:gridCol w:w="1571"/>
        <w:gridCol w:w="1405"/>
      </w:tblGrid>
      <w:tr w:rsidR="001A6FF0" w:rsidRPr="008F5C81" w:rsidTr="009A0365">
        <w:trPr>
          <w:tblHeader/>
        </w:trPr>
        <w:tc>
          <w:tcPr>
            <w:tcW w:w="979" w:type="pct"/>
          </w:tcPr>
          <w:p w:rsidR="001A6FF0" w:rsidRDefault="001A6FF0" w:rsidP="00F17CF5">
            <w:pPr>
              <w:pStyle w:val="Tabletext1"/>
              <w:keepNext/>
              <w:rPr>
                <w:b/>
                <w:lang w:eastAsia="en-US"/>
              </w:rPr>
            </w:pPr>
            <w:r>
              <w:rPr>
                <w:b/>
                <w:lang w:eastAsia="en-US"/>
              </w:rPr>
              <w:t>Study</w:t>
            </w:r>
          </w:p>
          <w:p w:rsidR="001A6FF0" w:rsidRPr="008F5C81" w:rsidRDefault="001A6FF0" w:rsidP="00F17CF5">
            <w:pPr>
              <w:pStyle w:val="Tabletext1"/>
              <w:keepNext/>
              <w:rPr>
                <w:b/>
                <w:lang w:eastAsia="en-US"/>
              </w:rPr>
            </w:pPr>
            <w:r>
              <w:rPr>
                <w:b/>
                <w:lang w:eastAsia="en-US"/>
              </w:rPr>
              <w:t>Measure</w:t>
            </w:r>
          </w:p>
        </w:tc>
        <w:tc>
          <w:tcPr>
            <w:tcW w:w="831" w:type="pct"/>
          </w:tcPr>
          <w:p w:rsidR="001A6FF0" w:rsidRPr="008F5C81" w:rsidRDefault="001A6FF0" w:rsidP="00F17CF5">
            <w:pPr>
              <w:pStyle w:val="Tabletext1"/>
              <w:keepNext/>
              <w:rPr>
                <w:b/>
                <w:lang w:eastAsia="en-US"/>
              </w:rPr>
            </w:pPr>
            <w:r>
              <w:rPr>
                <w:b/>
                <w:lang w:eastAsia="en-US"/>
              </w:rPr>
              <w:t>Patient</w:t>
            </w:r>
          </w:p>
        </w:tc>
        <w:tc>
          <w:tcPr>
            <w:tcW w:w="749" w:type="pct"/>
          </w:tcPr>
          <w:p w:rsidR="001A6FF0" w:rsidRPr="008F5C81" w:rsidRDefault="001A6FF0" w:rsidP="00F17CF5">
            <w:pPr>
              <w:pStyle w:val="Tabletext1"/>
              <w:keepNext/>
              <w:rPr>
                <w:b/>
                <w:lang w:eastAsia="en-US"/>
              </w:rPr>
            </w:pPr>
            <w:r w:rsidRPr="008F5C81">
              <w:rPr>
                <w:b/>
                <w:lang w:eastAsia="en-US"/>
              </w:rPr>
              <w:t>Baseline</w:t>
            </w:r>
          </w:p>
        </w:tc>
        <w:tc>
          <w:tcPr>
            <w:tcW w:w="831" w:type="pct"/>
          </w:tcPr>
          <w:p w:rsidR="001A6FF0" w:rsidRPr="008F5C81" w:rsidRDefault="001A6FF0" w:rsidP="00F17CF5">
            <w:pPr>
              <w:pStyle w:val="Tabletext1"/>
              <w:keepNext/>
              <w:rPr>
                <w:b/>
                <w:lang w:eastAsia="en-US"/>
              </w:rPr>
            </w:pPr>
            <w:r>
              <w:rPr>
                <w:b/>
                <w:lang w:eastAsia="en-US"/>
              </w:rPr>
              <w:t>6 months ERT</w:t>
            </w:r>
          </w:p>
        </w:tc>
        <w:tc>
          <w:tcPr>
            <w:tcW w:w="850" w:type="pct"/>
          </w:tcPr>
          <w:p w:rsidR="001A6FF0" w:rsidRPr="008F5C81" w:rsidRDefault="001A6FF0" w:rsidP="00F17CF5">
            <w:pPr>
              <w:pStyle w:val="Tabletext1"/>
              <w:keepNext/>
              <w:rPr>
                <w:b/>
                <w:lang w:eastAsia="en-US"/>
              </w:rPr>
            </w:pPr>
            <w:r>
              <w:rPr>
                <w:b/>
                <w:lang w:eastAsia="en-US"/>
              </w:rPr>
              <w:t>1 year ERT</w:t>
            </w:r>
          </w:p>
        </w:tc>
        <w:tc>
          <w:tcPr>
            <w:tcW w:w="760" w:type="pct"/>
          </w:tcPr>
          <w:p w:rsidR="001A6FF0" w:rsidRDefault="001A6FF0" w:rsidP="00F17CF5">
            <w:pPr>
              <w:pStyle w:val="Tabletext1"/>
              <w:keepNext/>
              <w:rPr>
                <w:b/>
                <w:lang w:eastAsia="en-US"/>
              </w:rPr>
            </w:pPr>
            <w:r>
              <w:rPr>
                <w:b/>
                <w:lang w:eastAsia="en-US"/>
              </w:rPr>
              <w:t>Change</w:t>
            </w:r>
          </w:p>
        </w:tc>
      </w:tr>
      <w:tr w:rsidR="001A6FF0" w:rsidRPr="00F53467" w:rsidTr="00BC2239">
        <w:tc>
          <w:tcPr>
            <w:tcW w:w="979" w:type="pct"/>
          </w:tcPr>
          <w:p w:rsidR="001A6FF0" w:rsidRDefault="001A6FF0" w:rsidP="00F17CF5">
            <w:pPr>
              <w:pStyle w:val="Tabletext1"/>
              <w:keepNext/>
              <w:rPr>
                <w:lang w:eastAsia="en-US"/>
              </w:rPr>
            </w:pPr>
            <w:r>
              <w:rPr>
                <w:lang w:eastAsia="en-US"/>
              </w:rPr>
              <w:t>Orlikowski 2011</w:t>
            </w:r>
          </w:p>
          <w:p w:rsidR="001A6FF0" w:rsidRDefault="001A6FF0" w:rsidP="00F17CF5">
            <w:pPr>
              <w:pStyle w:val="Tabletext1"/>
              <w:keepNext/>
              <w:rPr>
                <w:lang w:eastAsia="en-US"/>
              </w:rPr>
            </w:pPr>
            <w:r>
              <w:rPr>
                <w:lang w:eastAsia="en-US"/>
              </w:rPr>
              <w:t>Pe</w:t>
            </w:r>
            <w:r>
              <w:rPr>
                <w:vertAlign w:val="subscript"/>
                <w:lang w:eastAsia="en-US"/>
              </w:rPr>
              <w:t>max</w:t>
            </w:r>
            <w:r>
              <w:rPr>
                <w:lang w:eastAsia="en-US"/>
              </w:rPr>
              <w:t xml:space="preserve"> (cmH</w:t>
            </w:r>
            <w:r w:rsidRPr="00DD7B17">
              <w:rPr>
                <w:vertAlign w:val="subscript"/>
                <w:lang w:eastAsia="en-US"/>
              </w:rPr>
              <w:t>2</w:t>
            </w:r>
            <w:r>
              <w:rPr>
                <w:lang w:eastAsia="en-US"/>
              </w:rPr>
              <w:t>O)</w:t>
            </w:r>
          </w:p>
        </w:tc>
        <w:tc>
          <w:tcPr>
            <w:tcW w:w="831" w:type="pct"/>
          </w:tcPr>
          <w:p w:rsidR="001A6FF0" w:rsidRDefault="001A6FF0" w:rsidP="00F17CF5">
            <w:pPr>
              <w:pStyle w:val="Tabletext1"/>
              <w:keepNext/>
              <w:rPr>
                <w:lang w:eastAsia="en-US"/>
              </w:rPr>
            </w:pPr>
            <w:r>
              <w:rPr>
                <w:lang w:eastAsia="en-US"/>
              </w:rPr>
              <w:t>Patient 1</w:t>
            </w:r>
          </w:p>
          <w:p w:rsidR="001A6FF0" w:rsidRDefault="001A6FF0" w:rsidP="00F17CF5">
            <w:pPr>
              <w:pStyle w:val="Tabletext1"/>
              <w:keepNext/>
              <w:rPr>
                <w:lang w:eastAsia="en-US"/>
              </w:rPr>
            </w:pPr>
            <w:r>
              <w:rPr>
                <w:lang w:eastAsia="en-US"/>
              </w:rPr>
              <w:t>Patient 5</w:t>
            </w:r>
          </w:p>
        </w:tc>
        <w:tc>
          <w:tcPr>
            <w:tcW w:w="749" w:type="pct"/>
          </w:tcPr>
          <w:p w:rsidR="001A6FF0" w:rsidRDefault="001A6FF0" w:rsidP="00F17CF5">
            <w:pPr>
              <w:pStyle w:val="Tabletext1"/>
              <w:keepNext/>
              <w:rPr>
                <w:lang w:eastAsia="en-US"/>
              </w:rPr>
            </w:pPr>
            <w:r>
              <w:rPr>
                <w:lang w:eastAsia="en-US"/>
              </w:rPr>
              <w:t>7</w:t>
            </w:r>
          </w:p>
          <w:p w:rsidR="001A6FF0" w:rsidRDefault="001A6FF0" w:rsidP="00F17CF5">
            <w:pPr>
              <w:pStyle w:val="Tabletext1"/>
              <w:keepNext/>
              <w:rPr>
                <w:lang w:eastAsia="en-US"/>
              </w:rPr>
            </w:pPr>
            <w:r>
              <w:rPr>
                <w:lang w:eastAsia="en-US"/>
              </w:rPr>
              <w:t>2</w:t>
            </w:r>
          </w:p>
        </w:tc>
        <w:tc>
          <w:tcPr>
            <w:tcW w:w="831" w:type="pct"/>
          </w:tcPr>
          <w:p w:rsidR="001A6FF0" w:rsidRDefault="001A6FF0" w:rsidP="00F17CF5">
            <w:pPr>
              <w:pStyle w:val="Tabletext1"/>
              <w:keepNext/>
              <w:rPr>
                <w:lang w:eastAsia="en-US"/>
              </w:rPr>
            </w:pPr>
            <w:r>
              <w:rPr>
                <w:lang w:eastAsia="en-US"/>
              </w:rPr>
              <w:t>10</w:t>
            </w:r>
          </w:p>
          <w:p w:rsidR="001A6FF0" w:rsidRDefault="001A6FF0" w:rsidP="00F17CF5">
            <w:pPr>
              <w:pStyle w:val="Tabletext1"/>
              <w:keepNext/>
              <w:rPr>
                <w:lang w:eastAsia="en-US"/>
              </w:rPr>
            </w:pPr>
            <w:r>
              <w:rPr>
                <w:lang w:eastAsia="en-US"/>
              </w:rPr>
              <w:t>2</w:t>
            </w:r>
          </w:p>
        </w:tc>
        <w:tc>
          <w:tcPr>
            <w:tcW w:w="850" w:type="pct"/>
          </w:tcPr>
          <w:p w:rsidR="001A6FF0" w:rsidRDefault="001A6FF0" w:rsidP="00F17CF5">
            <w:pPr>
              <w:pStyle w:val="Tabletext1"/>
              <w:keepNext/>
              <w:rPr>
                <w:lang w:eastAsia="en-US"/>
              </w:rPr>
            </w:pPr>
            <w:r>
              <w:rPr>
                <w:lang w:eastAsia="en-US"/>
              </w:rPr>
              <w:t>13</w:t>
            </w:r>
          </w:p>
          <w:p w:rsidR="001A6FF0" w:rsidRDefault="001A6FF0" w:rsidP="00F17CF5">
            <w:pPr>
              <w:pStyle w:val="Tabletext1"/>
              <w:keepNext/>
              <w:rPr>
                <w:lang w:eastAsia="en-US"/>
              </w:rPr>
            </w:pPr>
            <w:r>
              <w:rPr>
                <w:lang w:eastAsia="en-US"/>
              </w:rPr>
              <w:t>3 (week 38)</w:t>
            </w:r>
          </w:p>
        </w:tc>
        <w:tc>
          <w:tcPr>
            <w:tcW w:w="760" w:type="pct"/>
          </w:tcPr>
          <w:p w:rsidR="001A6FF0" w:rsidRDefault="001A6FF0" w:rsidP="00F17CF5">
            <w:pPr>
              <w:pStyle w:val="Tabletext1"/>
              <w:keepNext/>
              <w:rPr>
                <w:lang w:eastAsia="en-US"/>
              </w:rPr>
            </w:pPr>
            <w:r>
              <w:rPr>
                <w:lang w:eastAsia="en-US"/>
              </w:rPr>
              <w:t>86%</w:t>
            </w:r>
          </w:p>
          <w:p w:rsidR="001A6FF0" w:rsidRDefault="001A6FF0" w:rsidP="00F17CF5">
            <w:pPr>
              <w:pStyle w:val="Tabletext1"/>
              <w:keepNext/>
              <w:rPr>
                <w:lang w:eastAsia="en-US"/>
              </w:rPr>
            </w:pPr>
            <w:r>
              <w:rPr>
                <w:lang w:eastAsia="en-US"/>
              </w:rPr>
              <w:t>50%</w:t>
            </w:r>
          </w:p>
        </w:tc>
      </w:tr>
      <w:tr w:rsidR="001A6FF0" w:rsidRPr="00F53467" w:rsidTr="00BC2239">
        <w:tc>
          <w:tcPr>
            <w:tcW w:w="979" w:type="pct"/>
          </w:tcPr>
          <w:p w:rsidR="001A6FF0" w:rsidRDefault="001A6FF0" w:rsidP="00F17CF5">
            <w:pPr>
              <w:pStyle w:val="Tabletext1"/>
              <w:keepNext/>
              <w:rPr>
                <w:lang w:eastAsia="en-US"/>
              </w:rPr>
            </w:pPr>
            <w:r>
              <w:rPr>
                <w:lang w:eastAsia="en-US"/>
              </w:rPr>
              <w:t>Orlikowski 2011</w:t>
            </w:r>
          </w:p>
          <w:p w:rsidR="001A6FF0" w:rsidRDefault="001A6FF0" w:rsidP="00F17CF5">
            <w:pPr>
              <w:pStyle w:val="Tabletext1"/>
              <w:keepNext/>
              <w:rPr>
                <w:lang w:eastAsia="en-US"/>
              </w:rPr>
            </w:pPr>
            <w:r>
              <w:rPr>
                <w:lang w:eastAsia="en-US"/>
              </w:rPr>
              <w:t>Pi</w:t>
            </w:r>
            <w:r>
              <w:rPr>
                <w:vertAlign w:val="subscript"/>
                <w:lang w:eastAsia="en-US"/>
              </w:rPr>
              <w:t>max</w:t>
            </w:r>
            <w:r>
              <w:rPr>
                <w:lang w:eastAsia="en-US"/>
              </w:rPr>
              <w:t xml:space="preserve"> (cmH</w:t>
            </w:r>
            <w:r w:rsidRPr="00DD7B17">
              <w:rPr>
                <w:vertAlign w:val="subscript"/>
                <w:lang w:eastAsia="en-US"/>
              </w:rPr>
              <w:t>2</w:t>
            </w:r>
            <w:r>
              <w:rPr>
                <w:lang w:eastAsia="en-US"/>
              </w:rPr>
              <w:t>O)</w:t>
            </w:r>
          </w:p>
        </w:tc>
        <w:tc>
          <w:tcPr>
            <w:tcW w:w="831" w:type="pct"/>
          </w:tcPr>
          <w:p w:rsidR="001A6FF0" w:rsidRDefault="001A6FF0" w:rsidP="00F17CF5">
            <w:pPr>
              <w:pStyle w:val="Tabletext1"/>
              <w:keepNext/>
              <w:rPr>
                <w:lang w:eastAsia="en-US"/>
              </w:rPr>
            </w:pPr>
            <w:r>
              <w:rPr>
                <w:lang w:eastAsia="en-US"/>
              </w:rPr>
              <w:t>Patient 1</w:t>
            </w:r>
          </w:p>
          <w:p w:rsidR="001A6FF0" w:rsidRDefault="001A6FF0" w:rsidP="00F17CF5">
            <w:pPr>
              <w:pStyle w:val="Tabletext1"/>
              <w:keepNext/>
              <w:rPr>
                <w:lang w:eastAsia="en-US"/>
              </w:rPr>
            </w:pPr>
            <w:r>
              <w:rPr>
                <w:lang w:eastAsia="en-US"/>
              </w:rPr>
              <w:t>Patient 5</w:t>
            </w:r>
          </w:p>
        </w:tc>
        <w:tc>
          <w:tcPr>
            <w:tcW w:w="749" w:type="pct"/>
          </w:tcPr>
          <w:p w:rsidR="001A6FF0" w:rsidRDefault="001A6FF0" w:rsidP="00F17CF5">
            <w:pPr>
              <w:pStyle w:val="Tabletext1"/>
              <w:keepNext/>
              <w:rPr>
                <w:lang w:eastAsia="en-US"/>
              </w:rPr>
            </w:pPr>
            <w:r>
              <w:rPr>
                <w:lang w:eastAsia="en-US"/>
              </w:rPr>
              <w:t>8</w:t>
            </w:r>
          </w:p>
          <w:p w:rsidR="001A6FF0" w:rsidRDefault="001A6FF0" w:rsidP="00F17CF5">
            <w:pPr>
              <w:pStyle w:val="Tabletext1"/>
              <w:keepNext/>
              <w:rPr>
                <w:lang w:eastAsia="en-US"/>
              </w:rPr>
            </w:pPr>
            <w:r>
              <w:rPr>
                <w:lang w:eastAsia="en-US"/>
              </w:rPr>
              <w:t>1</w:t>
            </w:r>
          </w:p>
        </w:tc>
        <w:tc>
          <w:tcPr>
            <w:tcW w:w="831" w:type="pct"/>
          </w:tcPr>
          <w:p w:rsidR="001A6FF0" w:rsidRDefault="001A6FF0" w:rsidP="00F17CF5">
            <w:pPr>
              <w:pStyle w:val="Tabletext1"/>
              <w:keepNext/>
              <w:rPr>
                <w:lang w:eastAsia="en-US"/>
              </w:rPr>
            </w:pPr>
            <w:r>
              <w:rPr>
                <w:lang w:eastAsia="en-US"/>
              </w:rPr>
              <w:t>13</w:t>
            </w:r>
          </w:p>
          <w:p w:rsidR="001A6FF0" w:rsidRDefault="001A6FF0" w:rsidP="00F17CF5">
            <w:pPr>
              <w:pStyle w:val="Tabletext1"/>
              <w:keepNext/>
              <w:rPr>
                <w:lang w:eastAsia="en-US"/>
              </w:rPr>
            </w:pPr>
            <w:r>
              <w:rPr>
                <w:lang w:eastAsia="en-US"/>
              </w:rPr>
              <w:t>2</w:t>
            </w:r>
          </w:p>
        </w:tc>
        <w:tc>
          <w:tcPr>
            <w:tcW w:w="850" w:type="pct"/>
          </w:tcPr>
          <w:p w:rsidR="001A6FF0" w:rsidRDefault="001A6FF0" w:rsidP="00F17CF5">
            <w:pPr>
              <w:pStyle w:val="Tabletext1"/>
              <w:keepNext/>
              <w:rPr>
                <w:lang w:eastAsia="en-US"/>
              </w:rPr>
            </w:pPr>
            <w:r>
              <w:rPr>
                <w:lang w:eastAsia="en-US"/>
              </w:rPr>
              <w:t>15</w:t>
            </w:r>
          </w:p>
          <w:p w:rsidR="001A6FF0" w:rsidRDefault="001A6FF0" w:rsidP="00F17CF5">
            <w:pPr>
              <w:pStyle w:val="Tabletext1"/>
              <w:keepNext/>
              <w:rPr>
                <w:lang w:eastAsia="en-US"/>
              </w:rPr>
            </w:pPr>
            <w:r>
              <w:rPr>
                <w:lang w:eastAsia="en-US"/>
              </w:rPr>
              <w:t>3 (week 38)</w:t>
            </w:r>
          </w:p>
        </w:tc>
        <w:tc>
          <w:tcPr>
            <w:tcW w:w="760" w:type="pct"/>
          </w:tcPr>
          <w:p w:rsidR="001A6FF0" w:rsidRDefault="001A6FF0" w:rsidP="00F17CF5">
            <w:pPr>
              <w:pStyle w:val="Tabletext1"/>
              <w:keepNext/>
              <w:rPr>
                <w:lang w:eastAsia="en-US"/>
              </w:rPr>
            </w:pPr>
            <w:r>
              <w:rPr>
                <w:lang w:eastAsia="en-US"/>
              </w:rPr>
              <w:t>88%</w:t>
            </w:r>
          </w:p>
          <w:p w:rsidR="001A6FF0" w:rsidRDefault="001A6FF0" w:rsidP="00F17CF5">
            <w:pPr>
              <w:pStyle w:val="Tabletext1"/>
              <w:keepNext/>
              <w:rPr>
                <w:lang w:eastAsia="en-US"/>
              </w:rPr>
            </w:pPr>
            <w:r>
              <w:rPr>
                <w:lang w:eastAsia="en-US"/>
              </w:rPr>
              <w:t>200</w:t>
            </w:r>
          </w:p>
        </w:tc>
      </w:tr>
      <w:tr w:rsidR="001A6FF0" w:rsidRPr="00F53467" w:rsidTr="00BC2239">
        <w:tc>
          <w:tcPr>
            <w:tcW w:w="979" w:type="pct"/>
          </w:tcPr>
          <w:p w:rsidR="001A6FF0" w:rsidRDefault="001A6FF0" w:rsidP="00F17CF5">
            <w:pPr>
              <w:pStyle w:val="Tabletext1"/>
              <w:keepNext/>
              <w:rPr>
                <w:lang w:eastAsia="en-US"/>
              </w:rPr>
            </w:pPr>
            <w:r>
              <w:rPr>
                <w:lang w:eastAsia="en-US"/>
              </w:rPr>
              <w:t>Merk 2008</w:t>
            </w:r>
          </w:p>
          <w:p w:rsidR="001A6FF0" w:rsidRDefault="001A6FF0" w:rsidP="00F17CF5">
            <w:pPr>
              <w:pStyle w:val="Tabletext1"/>
              <w:keepNext/>
              <w:rPr>
                <w:lang w:eastAsia="en-US"/>
              </w:rPr>
            </w:pPr>
            <w:r>
              <w:rPr>
                <w:lang w:eastAsia="en-US"/>
              </w:rPr>
              <w:t>Pi</w:t>
            </w:r>
            <w:r>
              <w:rPr>
                <w:vertAlign w:val="subscript"/>
                <w:lang w:eastAsia="en-US"/>
              </w:rPr>
              <w:t xml:space="preserve">max, </w:t>
            </w:r>
            <w:r>
              <w:rPr>
                <w:lang w:eastAsia="en-US"/>
              </w:rPr>
              <w:t>(kPa)</w:t>
            </w:r>
          </w:p>
          <w:p w:rsidR="001A6FF0" w:rsidRPr="000B6B84" w:rsidRDefault="001A6FF0" w:rsidP="00F17CF5">
            <w:pPr>
              <w:pStyle w:val="Tabletext1"/>
              <w:keepNext/>
              <w:rPr>
                <w:lang w:eastAsia="en-US"/>
              </w:rPr>
            </w:pPr>
            <w:r>
              <w:rPr>
                <w:lang w:eastAsia="en-US"/>
              </w:rPr>
              <w:t>(% of rated value)</w:t>
            </w:r>
          </w:p>
        </w:tc>
        <w:tc>
          <w:tcPr>
            <w:tcW w:w="831" w:type="pct"/>
          </w:tcPr>
          <w:p w:rsidR="001A6FF0" w:rsidRDefault="001A6FF0" w:rsidP="00F17CF5">
            <w:pPr>
              <w:pStyle w:val="Tabletext1"/>
              <w:keepNext/>
              <w:rPr>
                <w:lang w:eastAsia="en-US"/>
              </w:rPr>
            </w:pPr>
            <w:r>
              <w:rPr>
                <w:lang w:eastAsia="en-US"/>
              </w:rPr>
              <w:t>Patient 1</w:t>
            </w:r>
          </w:p>
        </w:tc>
        <w:tc>
          <w:tcPr>
            <w:tcW w:w="749" w:type="pct"/>
          </w:tcPr>
          <w:p w:rsidR="001A6FF0" w:rsidRDefault="001A6FF0" w:rsidP="00F17CF5">
            <w:pPr>
              <w:pStyle w:val="Tabletext1"/>
              <w:keepNext/>
              <w:rPr>
                <w:lang w:eastAsia="en-US"/>
              </w:rPr>
            </w:pPr>
            <w:r>
              <w:rPr>
                <w:lang w:eastAsia="en-US"/>
              </w:rPr>
              <w:t>1.59</w:t>
            </w:r>
          </w:p>
          <w:p w:rsidR="001A6FF0" w:rsidRDefault="001A6FF0" w:rsidP="00F17CF5">
            <w:pPr>
              <w:pStyle w:val="Tabletext1"/>
              <w:keepNext/>
              <w:rPr>
                <w:lang w:eastAsia="en-US"/>
              </w:rPr>
            </w:pPr>
            <w:r>
              <w:rPr>
                <w:lang w:eastAsia="en-US"/>
              </w:rPr>
              <w:t>(14)</w:t>
            </w:r>
          </w:p>
        </w:tc>
        <w:tc>
          <w:tcPr>
            <w:tcW w:w="831" w:type="pct"/>
          </w:tcPr>
          <w:p w:rsidR="001A6FF0" w:rsidRDefault="001A6FF0" w:rsidP="00F17CF5">
            <w:pPr>
              <w:pStyle w:val="Tabletext1"/>
              <w:keepNext/>
              <w:rPr>
                <w:lang w:eastAsia="en-US"/>
              </w:rPr>
            </w:pPr>
            <w:r>
              <w:rPr>
                <w:lang w:eastAsia="en-US"/>
              </w:rPr>
              <w:t>1.82</w:t>
            </w:r>
          </w:p>
          <w:p w:rsidR="001A6FF0" w:rsidRDefault="001A6FF0" w:rsidP="00F17CF5">
            <w:pPr>
              <w:pStyle w:val="Tabletext1"/>
              <w:keepNext/>
              <w:rPr>
                <w:lang w:eastAsia="en-US"/>
              </w:rPr>
            </w:pPr>
            <w:r>
              <w:rPr>
                <w:lang w:eastAsia="en-US"/>
              </w:rPr>
              <w:t>(16)</w:t>
            </w:r>
          </w:p>
        </w:tc>
        <w:tc>
          <w:tcPr>
            <w:tcW w:w="850" w:type="pct"/>
          </w:tcPr>
          <w:p w:rsidR="001A6FF0" w:rsidRDefault="001A6FF0" w:rsidP="00F17CF5">
            <w:pPr>
              <w:pStyle w:val="Tabletext1"/>
              <w:keepNext/>
              <w:rPr>
                <w:lang w:eastAsia="en-US"/>
              </w:rPr>
            </w:pPr>
            <w:r>
              <w:rPr>
                <w:lang w:eastAsia="en-US"/>
              </w:rPr>
              <w:t>-</w:t>
            </w:r>
          </w:p>
        </w:tc>
        <w:tc>
          <w:tcPr>
            <w:tcW w:w="760" w:type="pct"/>
          </w:tcPr>
          <w:p w:rsidR="001A6FF0" w:rsidRDefault="001A6FF0" w:rsidP="00F17CF5">
            <w:pPr>
              <w:pStyle w:val="Tabletext1"/>
              <w:keepNext/>
              <w:rPr>
                <w:lang w:eastAsia="en-US"/>
              </w:rPr>
            </w:pPr>
            <w:r>
              <w:rPr>
                <w:lang w:eastAsia="en-US"/>
              </w:rPr>
              <w:t>NR</w:t>
            </w:r>
          </w:p>
        </w:tc>
      </w:tr>
      <w:tr w:rsidR="001A6FF0" w:rsidRPr="00F53467" w:rsidTr="00BC2239">
        <w:tc>
          <w:tcPr>
            <w:tcW w:w="979" w:type="pct"/>
          </w:tcPr>
          <w:p w:rsidR="001A6FF0" w:rsidRDefault="001A6FF0" w:rsidP="00F17CF5">
            <w:pPr>
              <w:pStyle w:val="Tabletext1"/>
              <w:keepNext/>
              <w:rPr>
                <w:lang w:eastAsia="en-US"/>
              </w:rPr>
            </w:pPr>
            <w:r>
              <w:rPr>
                <w:lang w:eastAsia="en-US"/>
              </w:rPr>
              <w:t>Merk 2008</w:t>
            </w:r>
          </w:p>
          <w:p w:rsidR="001A6FF0" w:rsidRDefault="001A6FF0" w:rsidP="00F17CF5">
            <w:pPr>
              <w:pStyle w:val="Tabletext1"/>
              <w:keepNext/>
              <w:rPr>
                <w:lang w:eastAsia="en-US"/>
              </w:rPr>
            </w:pPr>
            <w:r>
              <w:rPr>
                <w:lang w:eastAsia="en-US"/>
              </w:rPr>
              <w:t>Pi</w:t>
            </w:r>
            <w:r>
              <w:rPr>
                <w:vertAlign w:val="subscript"/>
                <w:lang w:eastAsia="en-US"/>
              </w:rPr>
              <w:t>0.1</w:t>
            </w:r>
            <w:r>
              <w:rPr>
                <w:lang w:eastAsia="en-US"/>
              </w:rPr>
              <w:t xml:space="preserve"> (kPa)</w:t>
            </w:r>
          </w:p>
          <w:p w:rsidR="001A6FF0" w:rsidRPr="000B6B84" w:rsidRDefault="001A6FF0" w:rsidP="00F17CF5">
            <w:pPr>
              <w:pStyle w:val="Tabletext1"/>
              <w:keepNext/>
              <w:rPr>
                <w:lang w:eastAsia="en-US"/>
              </w:rPr>
            </w:pPr>
            <w:r>
              <w:rPr>
                <w:lang w:eastAsia="en-US"/>
              </w:rPr>
              <w:t>(% of rated value)</w:t>
            </w:r>
          </w:p>
        </w:tc>
        <w:tc>
          <w:tcPr>
            <w:tcW w:w="831" w:type="pct"/>
          </w:tcPr>
          <w:p w:rsidR="001A6FF0" w:rsidRDefault="001A6FF0" w:rsidP="00F17CF5">
            <w:pPr>
              <w:pStyle w:val="Tabletext1"/>
              <w:keepNext/>
              <w:rPr>
                <w:lang w:eastAsia="en-US"/>
              </w:rPr>
            </w:pPr>
            <w:r>
              <w:rPr>
                <w:lang w:eastAsia="en-US"/>
              </w:rPr>
              <w:t>Patient 1</w:t>
            </w:r>
          </w:p>
        </w:tc>
        <w:tc>
          <w:tcPr>
            <w:tcW w:w="749" w:type="pct"/>
          </w:tcPr>
          <w:p w:rsidR="001A6FF0" w:rsidRDefault="001A6FF0" w:rsidP="00F17CF5">
            <w:pPr>
              <w:pStyle w:val="Tabletext1"/>
              <w:keepNext/>
              <w:rPr>
                <w:lang w:eastAsia="en-US"/>
              </w:rPr>
            </w:pPr>
            <w:r>
              <w:rPr>
                <w:lang w:eastAsia="en-US"/>
              </w:rPr>
              <w:t>0.43</w:t>
            </w:r>
          </w:p>
          <w:p w:rsidR="001A6FF0" w:rsidRDefault="001A6FF0" w:rsidP="00F17CF5">
            <w:pPr>
              <w:pStyle w:val="Tabletext1"/>
              <w:keepNext/>
              <w:rPr>
                <w:lang w:eastAsia="en-US"/>
              </w:rPr>
            </w:pPr>
            <w:r>
              <w:rPr>
                <w:lang w:eastAsia="en-US"/>
              </w:rPr>
              <w:t>(505)</w:t>
            </w:r>
          </w:p>
        </w:tc>
        <w:tc>
          <w:tcPr>
            <w:tcW w:w="831" w:type="pct"/>
          </w:tcPr>
          <w:p w:rsidR="001A6FF0" w:rsidRDefault="001A6FF0" w:rsidP="00F17CF5">
            <w:pPr>
              <w:pStyle w:val="Tabletext1"/>
              <w:keepNext/>
              <w:rPr>
                <w:lang w:eastAsia="en-US"/>
              </w:rPr>
            </w:pPr>
            <w:r>
              <w:rPr>
                <w:lang w:eastAsia="en-US"/>
              </w:rPr>
              <w:t>0.35</w:t>
            </w:r>
          </w:p>
          <w:p w:rsidR="001A6FF0" w:rsidRDefault="001A6FF0" w:rsidP="00F17CF5">
            <w:pPr>
              <w:pStyle w:val="Tabletext1"/>
              <w:keepNext/>
              <w:rPr>
                <w:lang w:eastAsia="en-US"/>
              </w:rPr>
            </w:pPr>
            <w:r>
              <w:rPr>
                <w:lang w:eastAsia="en-US"/>
              </w:rPr>
              <w:t>(345)</w:t>
            </w:r>
          </w:p>
        </w:tc>
        <w:tc>
          <w:tcPr>
            <w:tcW w:w="850" w:type="pct"/>
          </w:tcPr>
          <w:p w:rsidR="001A6FF0" w:rsidRDefault="001A6FF0" w:rsidP="00F17CF5">
            <w:pPr>
              <w:pStyle w:val="Tabletext1"/>
              <w:keepNext/>
              <w:rPr>
                <w:lang w:eastAsia="en-US"/>
              </w:rPr>
            </w:pPr>
            <w:r>
              <w:rPr>
                <w:lang w:eastAsia="en-US"/>
              </w:rPr>
              <w:t>-</w:t>
            </w:r>
          </w:p>
        </w:tc>
        <w:tc>
          <w:tcPr>
            <w:tcW w:w="760" w:type="pct"/>
          </w:tcPr>
          <w:p w:rsidR="001A6FF0" w:rsidRDefault="001A6FF0" w:rsidP="00F17CF5">
            <w:pPr>
              <w:pStyle w:val="Tabletext1"/>
              <w:keepNext/>
              <w:rPr>
                <w:lang w:eastAsia="en-US"/>
              </w:rPr>
            </w:pPr>
            <w:r>
              <w:rPr>
                <w:lang w:eastAsia="en-US"/>
              </w:rPr>
              <w:t>NR</w:t>
            </w:r>
          </w:p>
        </w:tc>
      </w:tr>
    </w:tbl>
    <w:p w:rsidR="001A6FF0" w:rsidRPr="000B6B84" w:rsidRDefault="001A6FF0" w:rsidP="0025188D">
      <w:pPr>
        <w:pStyle w:val="TableNote"/>
        <w:ind w:left="0" w:firstLine="0"/>
        <w:rPr>
          <w:lang w:eastAsia="en-US"/>
        </w:rPr>
      </w:pPr>
      <w:r>
        <w:rPr>
          <w:lang w:eastAsia="en-US"/>
        </w:rPr>
        <w:t xml:space="preserve">ERT = enzyme replacement therapy; </w:t>
      </w:r>
      <w:r w:rsidRPr="00285A59">
        <w:rPr>
          <w:lang w:eastAsia="en-US"/>
        </w:rPr>
        <w:t>Pe</w:t>
      </w:r>
      <w:r>
        <w:rPr>
          <w:vertAlign w:val="subscript"/>
          <w:lang w:eastAsia="en-US"/>
        </w:rPr>
        <w:t>max</w:t>
      </w:r>
      <w:r>
        <w:rPr>
          <w:lang w:eastAsia="en-US"/>
        </w:rPr>
        <w:t xml:space="preserve"> = maximum expiratory pressure;</w:t>
      </w:r>
      <w:r w:rsidRPr="00285A59">
        <w:rPr>
          <w:lang w:eastAsia="en-US"/>
        </w:rPr>
        <w:t xml:space="preserve"> Pi</w:t>
      </w:r>
      <w:r w:rsidRPr="00285A59">
        <w:rPr>
          <w:vertAlign w:val="subscript"/>
          <w:lang w:eastAsia="en-US"/>
        </w:rPr>
        <w:t>max</w:t>
      </w:r>
      <w:r>
        <w:rPr>
          <w:lang w:eastAsia="en-US"/>
        </w:rPr>
        <w:t xml:space="preserve"> = maximum inspiration pressure; Pi</w:t>
      </w:r>
      <w:r>
        <w:rPr>
          <w:vertAlign w:val="subscript"/>
          <w:lang w:eastAsia="en-US"/>
        </w:rPr>
        <w:t>0.1</w:t>
      </w:r>
      <w:r>
        <w:rPr>
          <w:lang w:eastAsia="en-US"/>
        </w:rPr>
        <w:t xml:space="preserve"> = inspiration pressure 0.1 seconds after the onset of inspiration; JOPD = juvenile </w:t>
      </w:r>
      <w:r w:rsidR="00926546">
        <w:rPr>
          <w:lang w:eastAsia="en-US"/>
        </w:rPr>
        <w:t xml:space="preserve">late </w:t>
      </w:r>
      <w:r>
        <w:rPr>
          <w:lang w:eastAsia="en-US"/>
        </w:rPr>
        <w:t>onset Pompe disease</w:t>
      </w:r>
    </w:p>
    <w:p w:rsidR="001A6FF0" w:rsidRPr="004950CB" w:rsidRDefault="001A6FF0" w:rsidP="001A6FF0"/>
    <w:p w:rsidR="008B0F23" w:rsidRDefault="008B0F23" w:rsidP="008B0F23">
      <w:r>
        <w:t>In summary, the results presented for cardiorespiratory function in JOPD patients after 4 to 6 months of ERT reflect an improvement using the majority of assessment methods for vital capacity, inspiration and expiration volume, flow and pressure. It should be noted that the 16 measurements described in Table 71 to Table 75 were conducted in only five JOPD patients. The exceptions to improvement at the 4 to 6 month time point were seen in three measurements from two patients. One patient remained stable for measurements of slow %VC and Pe</w:t>
      </w:r>
      <w:r>
        <w:rPr>
          <w:vertAlign w:val="subscript"/>
        </w:rPr>
        <w:t>max</w:t>
      </w:r>
      <w:r>
        <w:t xml:space="preserve"> (patient 5, Orlikowski et al 2011). This patient, whose first symptom appeared at age 14 years, was bed-ridden at baseline (age 40) but was able to sit in a wheelchair by the end of the study (12 months ERT) according to the authors. A second patient (aged 41 at treatment initiation) had a decrease in Pi</w:t>
      </w:r>
      <w:r>
        <w:rPr>
          <w:vertAlign w:val="subscript"/>
        </w:rPr>
        <w:t>0.1</w:t>
      </w:r>
      <w:r>
        <w:t xml:space="preserve"> at 6 months, despite showing improvements in other measurements (Pimax, FEV1) (Merk 2009). This patient was reported to have chronic respiratory insufficiency at baseline. Her age at first symptom onset was 15 years.  </w:t>
      </w:r>
    </w:p>
    <w:p w:rsidR="001A6FF0" w:rsidRDefault="001A6FF0" w:rsidP="001A6FF0">
      <w:r>
        <w:t>At 1 year post ERT initiation 11 measurements reflect an improvement in respiratory function in 2 patients and a decline in one. The patient showing a decline was described in the paragraph above (patient 5, Orlikowski et al 2011). Results reported after 2 or more years of ERT tend to reflect either stabilisation or decline in patient condition, possibly indicative of the disease progression in competition with effects of enzyme replacement.</w:t>
      </w:r>
    </w:p>
    <w:p w:rsidR="00086C2D" w:rsidRDefault="001A6FF0" w:rsidP="001A6FF0">
      <w:r>
        <w:t xml:space="preserve">Further studies gave narrative reports of JOPD cases. In a Chinese case report of 15 patients, 5 of 8 patients (65%) for whom there were data showed improvement or no deterioration in FVC after 12 months ERT </w:t>
      </w:r>
      <w:r>
        <w:rPr>
          <w:noProof/>
        </w:rPr>
        <w:t>(</w:t>
      </w:r>
      <w:r w:rsidR="00184B6F">
        <w:rPr>
          <w:noProof/>
        </w:rPr>
        <w:t>Yang et al. 2011</w:t>
      </w:r>
      <w:r>
        <w:rPr>
          <w:noProof/>
        </w:rPr>
        <w:t>)</w:t>
      </w:r>
      <w:r>
        <w:t xml:space="preserve">. After 3.8 years of ERT however, only 2 patients did not show deterioration. In another study two patients who were assessed before and after 48 weeks of ERT showed stabilisation or </w:t>
      </w:r>
      <w:r w:rsidR="00D2028F">
        <w:t>mild improvement</w:t>
      </w:r>
      <w:r>
        <w:t xml:space="preserve"> in both %FVC and %FEV1 </w:t>
      </w:r>
      <w:r>
        <w:rPr>
          <w:noProof/>
        </w:rPr>
        <w:t>(</w:t>
      </w:r>
      <w:r w:rsidR="00184B6F">
        <w:rPr>
          <w:noProof/>
        </w:rPr>
        <w:t>Park et al. 2014</w:t>
      </w:r>
      <w:r>
        <w:rPr>
          <w:noProof/>
        </w:rPr>
        <w:t>)</w:t>
      </w:r>
      <w:r>
        <w:t xml:space="preserve">. A further study which included one JOPD case reported an overall decline in FVC from baseline after 18 months of ERT </w:t>
      </w:r>
      <w:r>
        <w:rPr>
          <w:noProof/>
        </w:rPr>
        <w:t>(</w:t>
      </w:r>
      <w:r w:rsidR="00184B6F">
        <w:rPr>
          <w:noProof/>
        </w:rPr>
        <w:t>Angelini et al. 2009</w:t>
      </w:r>
      <w:r>
        <w:rPr>
          <w:noProof/>
        </w:rPr>
        <w:t>)</w:t>
      </w:r>
      <w:r>
        <w:t>.</w:t>
      </w:r>
      <w:r w:rsidR="00086C2D">
        <w:t xml:space="preserve"> </w:t>
      </w:r>
      <w:r w:rsidR="00086C2D">
        <w:br w:type="page"/>
      </w:r>
    </w:p>
    <w:p w:rsidR="001A6FF0" w:rsidRDefault="001A6FF0" w:rsidP="001A6FF0">
      <w:r>
        <w:lastRenderedPageBreak/>
        <w:t xml:space="preserve">Single case studies reported on </w:t>
      </w:r>
      <w:r w:rsidR="00793A68">
        <w:t xml:space="preserve">other surrogate measures of cardiorespiratory function - </w:t>
      </w:r>
      <w:r>
        <w:t xml:space="preserve">patient ventilation time </w:t>
      </w:r>
      <w:r w:rsidR="003303FE">
        <w:rPr>
          <w:noProof/>
        </w:rPr>
        <w:t>(</w:t>
      </w:r>
      <w:r w:rsidR="00184B6F">
        <w:rPr>
          <w:noProof/>
        </w:rPr>
        <w:t>van Capelle et al. 2008</w:t>
      </w:r>
      <w:r w:rsidR="003303FE">
        <w:rPr>
          <w:noProof/>
        </w:rPr>
        <w:t>)</w:t>
      </w:r>
      <w:r>
        <w:t>,</w:t>
      </w:r>
      <w:r w:rsidRPr="009575B8">
        <w:t xml:space="preserve"> </w:t>
      </w:r>
      <w:r>
        <w:t xml:space="preserve">patient need for assisted respiration </w:t>
      </w:r>
      <w:r>
        <w:rPr>
          <w:noProof/>
        </w:rPr>
        <w:t>(</w:t>
      </w:r>
      <w:r w:rsidR="00184B6F">
        <w:rPr>
          <w:noProof/>
        </w:rPr>
        <w:t>Kobayashi et al. 2010</w:t>
      </w:r>
      <w:r>
        <w:rPr>
          <w:noProof/>
        </w:rPr>
        <w:t>)</w:t>
      </w:r>
      <w:r>
        <w:t>, periods of low overnight O</w:t>
      </w:r>
      <w:r>
        <w:rPr>
          <w:vertAlign w:val="subscript"/>
        </w:rPr>
        <w:t xml:space="preserve">2 </w:t>
      </w:r>
      <w:r w:rsidRPr="004950CB">
        <w:t>saturation</w:t>
      </w:r>
      <w:r>
        <w:t xml:space="preserve"> </w:t>
      </w:r>
      <w:r>
        <w:rPr>
          <w:noProof/>
        </w:rPr>
        <w:t>(</w:t>
      </w:r>
      <w:r w:rsidR="00184B6F">
        <w:rPr>
          <w:noProof/>
        </w:rPr>
        <w:t>Ishigaki et al. 2012</w:t>
      </w:r>
      <w:r>
        <w:rPr>
          <w:noProof/>
        </w:rPr>
        <w:t>)</w:t>
      </w:r>
      <w:r>
        <w:t xml:space="preserve"> and time until hypercapnia (measured in the sitting and supine positions) </w:t>
      </w:r>
      <w:r>
        <w:rPr>
          <w:noProof/>
        </w:rPr>
        <w:t>(</w:t>
      </w:r>
      <w:r w:rsidR="00184B6F">
        <w:rPr>
          <w:noProof/>
        </w:rPr>
        <w:t>Orlikowski et al. 2011</w:t>
      </w:r>
      <w:r>
        <w:rPr>
          <w:noProof/>
        </w:rPr>
        <w:t>)</w:t>
      </w:r>
      <w:r>
        <w:t xml:space="preserve">. Results are reported here in </w:t>
      </w:r>
      <w:r w:rsidR="00A72B26" w:rsidRPr="00B96543">
        <w:t xml:space="preserve">Table </w:t>
      </w:r>
      <w:r w:rsidR="00A72B26">
        <w:rPr>
          <w:noProof/>
        </w:rPr>
        <w:t>76</w:t>
      </w:r>
      <w:r>
        <w:t xml:space="preserve"> to </w:t>
      </w:r>
      <w:r w:rsidR="00A72B26" w:rsidRPr="009A3445">
        <w:t xml:space="preserve">Table </w:t>
      </w:r>
      <w:r w:rsidR="00A72B26">
        <w:rPr>
          <w:noProof/>
        </w:rPr>
        <w:t>79</w:t>
      </w:r>
      <w:r>
        <w:t xml:space="preserve">. Ventilation time was found to be reduced moderately in one patient </w:t>
      </w:r>
      <w:r w:rsidR="00F17CF5">
        <w:t xml:space="preserve">(aged 16 at treatment initiation) </w:t>
      </w:r>
      <w:r>
        <w:t>and remained consistent in another after 8 years of ERT</w:t>
      </w:r>
      <w:r w:rsidR="00F17CF5">
        <w:t xml:space="preserve"> (aged 32 at treatment initiation)</w:t>
      </w:r>
      <w:r>
        <w:t>. Changes to requirements for ventilation assistance requirements showed improvement for three out of four patients after 12 months of ERT</w:t>
      </w:r>
      <w:r w:rsidR="00F17CF5">
        <w:t xml:space="preserve"> (age at treatment onset 17 to 44 years)</w:t>
      </w:r>
      <w:r>
        <w:t xml:space="preserve">, as their status changed from ‘nocturnal dyspnoea’ to ‘normal’. </w:t>
      </w:r>
      <w:r w:rsidR="009A07A7">
        <w:t>Patient 1, aged</w:t>
      </w:r>
      <w:r w:rsidR="00F17CF5">
        <w:t xml:space="preserve"> 28 at treatment onset, </w:t>
      </w:r>
      <w:r>
        <w:t>deteriorated after 12 months ERT, requiring intermittent mechanical ventilation rather than non-invasive ventilation at baseline.</w:t>
      </w:r>
      <w:r w:rsidR="00BA32B6">
        <w:t xml:space="preserve"> All </w:t>
      </w:r>
      <w:r w:rsidR="009A07A7">
        <w:t xml:space="preserve">other </w:t>
      </w:r>
      <w:r w:rsidR="00BA32B6">
        <w:t xml:space="preserve">patients had some reduction for the requirement of ventilation support on alglucosidase alfa, although there were differences between patients to the degree of improvement </w:t>
      </w:r>
      <w:r w:rsidR="00BA32B6" w:rsidRPr="00FE08CA">
        <w:t xml:space="preserve">(GRADE </w:t>
      </w:r>
      <w:r w:rsidR="00BA32B6" w:rsidRPr="00FE08CA">
        <w:rPr>
          <w:rFonts w:ascii="Cambria Math" w:hAnsi="Cambria Math" w:cs="Cambria Math"/>
          <w:color w:val="00B050"/>
        </w:rPr>
        <w:t>⨁</w:t>
      </w:r>
      <w:r w:rsidR="00BA32B6" w:rsidRPr="00FE08CA">
        <w:rPr>
          <w:rFonts w:ascii="Cambria Math" w:hAnsi="Cambria Math" w:cs="Cambria Math"/>
          <w:color w:val="C00000"/>
        </w:rPr>
        <w:t>⨀⨀⨀</w:t>
      </w:r>
      <w:r w:rsidR="00BA32B6" w:rsidRPr="00FE08CA">
        <w:rPr>
          <w:rFonts w:cs="Cambria Math"/>
          <w:spacing w:val="-20"/>
        </w:rPr>
        <w:t>)</w:t>
      </w:r>
      <w:r w:rsidR="00BA32B6" w:rsidRPr="00FE08CA">
        <w:rPr>
          <w:rFonts w:ascii="Cambria Math" w:hAnsi="Cambria Math" w:cs="Cambria Math"/>
        </w:rPr>
        <w:t>.</w:t>
      </w:r>
    </w:p>
    <w:p w:rsidR="001A6FF0" w:rsidRDefault="001A6FF0" w:rsidP="001A6FF0">
      <w:pPr>
        <w:spacing w:after="0" w:line="240" w:lineRule="auto"/>
      </w:pPr>
    </w:p>
    <w:p w:rsidR="001A6FF0" w:rsidRPr="00B96543" w:rsidRDefault="001A6FF0" w:rsidP="001A6FF0">
      <w:pPr>
        <w:pStyle w:val="Caption"/>
      </w:pPr>
      <w:bookmarkStart w:id="334" w:name="_Ref410839782"/>
      <w:bookmarkStart w:id="335" w:name="_Toc411510451"/>
      <w:bookmarkStart w:id="336" w:name="_Toc415141873"/>
      <w:r w:rsidRPr="00B96543">
        <w:t xml:space="preserve">Table </w:t>
      </w:r>
      <w:r w:rsidR="00A72B26">
        <w:rPr>
          <w:noProof/>
        </w:rPr>
        <w:t>76</w:t>
      </w:r>
      <w:bookmarkEnd w:id="334"/>
      <w:r>
        <w:t xml:space="preserve"> </w:t>
      </w:r>
      <w:r w:rsidRPr="00B96543">
        <w:t xml:space="preserve"> </w:t>
      </w:r>
      <w:r w:rsidR="00F71730">
        <w:tab/>
      </w:r>
      <w:r w:rsidRPr="00B96543">
        <w:t>Ventilation time</w:t>
      </w:r>
      <w:r>
        <w:t xml:space="preserve"> </w:t>
      </w:r>
      <w:r w:rsidR="00DF5C70">
        <w:t>before and after alglucosidase alfa in patients with JOPD</w:t>
      </w:r>
      <w:bookmarkEnd w:id="335"/>
      <w:bookmarkEnd w:id="336"/>
    </w:p>
    <w:tbl>
      <w:tblPr>
        <w:tblStyle w:val="TableGrid"/>
        <w:tblW w:w="5000" w:type="pct"/>
        <w:tblLook w:val="04A0" w:firstRow="1" w:lastRow="0" w:firstColumn="1" w:lastColumn="0" w:noHBand="0" w:noVBand="1"/>
        <w:tblCaption w:val="Table 12  Ventilation time in JOPD patients"/>
      </w:tblPr>
      <w:tblGrid>
        <w:gridCol w:w="1977"/>
        <w:gridCol w:w="1368"/>
        <w:gridCol w:w="1146"/>
        <w:gridCol w:w="1298"/>
        <w:gridCol w:w="1669"/>
        <w:gridCol w:w="1784"/>
      </w:tblGrid>
      <w:tr w:rsidR="001A6FF0" w:rsidRPr="008F5C81" w:rsidTr="009A0365">
        <w:trPr>
          <w:tblHeader/>
        </w:trPr>
        <w:tc>
          <w:tcPr>
            <w:tcW w:w="1070" w:type="pct"/>
          </w:tcPr>
          <w:p w:rsidR="001A6FF0" w:rsidRDefault="001A6FF0" w:rsidP="00BC2239">
            <w:pPr>
              <w:pStyle w:val="Tabletext1"/>
              <w:rPr>
                <w:b/>
                <w:lang w:eastAsia="en-US"/>
              </w:rPr>
            </w:pPr>
            <w:r>
              <w:rPr>
                <w:b/>
                <w:lang w:eastAsia="en-US"/>
              </w:rPr>
              <w:t>Study</w:t>
            </w:r>
          </w:p>
          <w:p w:rsidR="001A6FF0" w:rsidRDefault="001A6FF0" w:rsidP="00BC2239">
            <w:pPr>
              <w:pStyle w:val="Tabletext1"/>
              <w:rPr>
                <w:b/>
                <w:lang w:eastAsia="en-US"/>
              </w:rPr>
            </w:pPr>
            <w:r>
              <w:rPr>
                <w:b/>
                <w:lang w:eastAsia="en-US"/>
              </w:rPr>
              <w:t>Measure</w:t>
            </w:r>
          </w:p>
        </w:tc>
        <w:tc>
          <w:tcPr>
            <w:tcW w:w="740" w:type="pct"/>
          </w:tcPr>
          <w:p w:rsidR="001A6FF0" w:rsidRPr="008F5C81" w:rsidRDefault="001A6FF0" w:rsidP="00BC2239">
            <w:pPr>
              <w:pStyle w:val="Tabletext1"/>
              <w:rPr>
                <w:b/>
                <w:lang w:eastAsia="en-US"/>
              </w:rPr>
            </w:pPr>
            <w:r>
              <w:rPr>
                <w:b/>
                <w:lang w:eastAsia="en-US"/>
              </w:rPr>
              <w:t>Patient</w:t>
            </w:r>
          </w:p>
        </w:tc>
        <w:tc>
          <w:tcPr>
            <w:tcW w:w="620" w:type="pct"/>
            <w:tcBorders>
              <w:right w:val="single" w:sz="4" w:space="0" w:color="auto"/>
            </w:tcBorders>
          </w:tcPr>
          <w:p w:rsidR="001A6FF0" w:rsidRPr="008F5C81" w:rsidRDefault="001A6FF0" w:rsidP="00BC2239">
            <w:pPr>
              <w:pStyle w:val="Tabletext1"/>
              <w:rPr>
                <w:b/>
                <w:lang w:eastAsia="en-US"/>
              </w:rPr>
            </w:pPr>
            <w:r w:rsidRPr="008F5C81">
              <w:rPr>
                <w:b/>
                <w:lang w:eastAsia="en-US"/>
              </w:rPr>
              <w:t>Baseline</w:t>
            </w:r>
          </w:p>
        </w:tc>
        <w:tc>
          <w:tcPr>
            <w:tcW w:w="702" w:type="pct"/>
            <w:tcBorders>
              <w:left w:val="single" w:sz="4" w:space="0" w:color="auto"/>
            </w:tcBorders>
          </w:tcPr>
          <w:p w:rsidR="001A6FF0" w:rsidRPr="008F5C81" w:rsidRDefault="001A6FF0" w:rsidP="00BC2239">
            <w:pPr>
              <w:pStyle w:val="Tabletext1"/>
              <w:rPr>
                <w:b/>
                <w:lang w:eastAsia="en-US"/>
              </w:rPr>
            </w:pPr>
            <w:r>
              <w:rPr>
                <w:b/>
                <w:lang w:eastAsia="en-US"/>
              </w:rPr>
              <w:t>Treatment duration</w:t>
            </w:r>
          </w:p>
        </w:tc>
        <w:tc>
          <w:tcPr>
            <w:tcW w:w="903" w:type="pct"/>
          </w:tcPr>
          <w:p w:rsidR="001A6FF0" w:rsidRPr="008F5C81" w:rsidRDefault="001A6FF0" w:rsidP="00BC2239">
            <w:pPr>
              <w:pStyle w:val="Tabletext1"/>
              <w:rPr>
                <w:b/>
                <w:lang w:eastAsia="en-US"/>
              </w:rPr>
            </w:pPr>
            <w:r>
              <w:rPr>
                <w:b/>
                <w:lang w:eastAsia="en-US"/>
              </w:rPr>
              <w:t>Follow-up</w:t>
            </w:r>
          </w:p>
        </w:tc>
        <w:tc>
          <w:tcPr>
            <w:tcW w:w="965" w:type="pct"/>
          </w:tcPr>
          <w:p w:rsidR="001A6FF0" w:rsidRPr="008F5C81" w:rsidRDefault="001A6FF0" w:rsidP="00BC2239">
            <w:pPr>
              <w:pStyle w:val="Tabletext1"/>
              <w:rPr>
                <w:b/>
                <w:vertAlign w:val="superscript"/>
                <w:lang w:eastAsia="en-US"/>
              </w:rPr>
            </w:pPr>
            <w:r>
              <w:rPr>
                <w:b/>
                <w:lang w:eastAsia="en-US"/>
              </w:rPr>
              <w:t>Change</w:t>
            </w:r>
          </w:p>
        </w:tc>
      </w:tr>
      <w:tr w:rsidR="001A6FF0" w:rsidTr="00BC2239">
        <w:tc>
          <w:tcPr>
            <w:tcW w:w="1070" w:type="pct"/>
          </w:tcPr>
          <w:p w:rsidR="001A6FF0" w:rsidRDefault="001A6FF0" w:rsidP="00BC2239">
            <w:pPr>
              <w:pStyle w:val="Tabletext1"/>
              <w:rPr>
                <w:lang w:eastAsia="en-US"/>
              </w:rPr>
            </w:pPr>
            <w:r>
              <w:rPr>
                <w:lang w:eastAsia="en-US"/>
              </w:rPr>
              <w:t>van Capelle 2008</w:t>
            </w:r>
          </w:p>
          <w:p w:rsidR="001A6FF0" w:rsidRDefault="001A6FF0" w:rsidP="00BC2239">
            <w:pPr>
              <w:pStyle w:val="Tabletext1"/>
              <w:rPr>
                <w:lang w:eastAsia="en-US"/>
              </w:rPr>
            </w:pPr>
            <w:r>
              <w:rPr>
                <w:lang w:eastAsia="en-US"/>
              </w:rPr>
              <w:t>Ventilation time (hours)</w:t>
            </w:r>
          </w:p>
        </w:tc>
        <w:tc>
          <w:tcPr>
            <w:tcW w:w="740" w:type="pct"/>
          </w:tcPr>
          <w:p w:rsidR="001A6FF0" w:rsidRDefault="001A6FF0" w:rsidP="00BC2239">
            <w:pPr>
              <w:pStyle w:val="Tabletext1"/>
              <w:rPr>
                <w:lang w:eastAsia="en-US"/>
              </w:rPr>
            </w:pPr>
            <w:r>
              <w:rPr>
                <w:lang w:eastAsia="en-US"/>
              </w:rPr>
              <w:t>Patient 1</w:t>
            </w:r>
          </w:p>
          <w:p w:rsidR="001A6FF0" w:rsidRDefault="001A6FF0" w:rsidP="00BC2239">
            <w:pPr>
              <w:pStyle w:val="Tabletext1"/>
              <w:rPr>
                <w:lang w:eastAsia="en-US"/>
              </w:rPr>
            </w:pPr>
          </w:p>
          <w:p w:rsidR="001A6FF0" w:rsidRDefault="001A6FF0" w:rsidP="00BC2239">
            <w:pPr>
              <w:pStyle w:val="Tabletext1"/>
              <w:rPr>
                <w:lang w:eastAsia="en-US"/>
              </w:rPr>
            </w:pPr>
            <w:r>
              <w:rPr>
                <w:lang w:eastAsia="en-US"/>
              </w:rPr>
              <w:t>Patient 2</w:t>
            </w:r>
          </w:p>
        </w:tc>
        <w:tc>
          <w:tcPr>
            <w:tcW w:w="620" w:type="pct"/>
            <w:tcBorders>
              <w:right w:val="single" w:sz="4" w:space="0" w:color="auto"/>
            </w:tcBorders>
          </w:tcPr>
          <w:p w:rsidR="001A6FF0" w:rsidRDefault="001A6FF0" w:rsidP="00BC2239">
            <w:pPr>
              <w:pStyle w:val="Tabletext1"/>
              <w:rPr>
                <w:lang w:eastAsia="en-US"/>
              </w:rPr>
            </w:pPr>
            <w:r>
              <w:rPr>
                <w:lang w:eastAsia="en-US"/>
              </w:rPr>
              <w:t>16-18</w:t>
            </w:r>
          </w:p>
          <w:p w:rsidR="001A6FF0" w:rsidRDefault="001A6FF0" w:rsidP="00BC2239">
            <w:pPr>
              <w:pStyle w:val="Tabletext1"/>
              <w:rPr>
                <w:lang w:eastAsia="en-US"/>
              </w:rPr>
            </w:pPr>
          </w:p>
          <w:p w:rsidR="001A6FF0" w:rsidRDefault="001A6FF0" w:rsidP="00BC2239">
            <w:pPr>
              <w:pStyle w:val="Tabletext1"/>
              <w:rPr>
                <w:lang w:eastAsia="en-US"/>
              </w:rPr>
            </w:pPr>
            <w:r>
              <w:rPr>
                <w:lang w:eastAsia="en-US"/>
              </w:rPr>
              <w:t>24</w:t>
            </w:r>
          </w:p>
        </w:tc>
        <w:tc>
          <w:tcPr>
            <w:tcW w:w="702" w:type="pct"/>
            <w:tcBorders>
              <w:left w:val="single" w:sz="4" w:space="0" w:color="auto"/>
            </w:tcBorders>
          </w:tcPr>
          <w:p w:rsidR="001A6FF0" w:rsidRDefault="001A6FF0" w:rsidP="00BC2239">
            <w:pPr>
              <w:pStyle w:val="Tabletext1"/>
              <w:rPr>
                <w:lang w:eastAsia="en-US"/>
              </w:rPr>
            </w:pPr>
            <w:r>
              <w:rPr>
                <w:lang w:eastAsia="en-US"/>
              </w:rPr>
              <w:t>3 years</w:t>
            </w:r>
          </w:p>
          <w:p w:rsidR="001A6FF0" w:rsidRDefault="001A6FF0" w:rsidP="00BC2239">
            <w:pPr>
              <w:pStyle w:val="Tabletext1"/>
              <w:rPr>
                <w:lang w:eastAsia="en-US"/>
              </w:rPr>
            </w:pPr>
            <w:r>
              <w:rPr>
                <w:lang w:eastAsia="en-US"/>
              </w:rPr>
              <w:t>8 years</w:t>
            </w:r>
          </w:p>
          <w:p w:rsidR="001A6FF0" w:rsidRDefault="001A6FF0" w:rsidP="00BC2239">
            <w:pPr>
              <w:pStyle w:val="Tabletext1"/>
              <w:rPr>
                <w:lang w:eastAsia="en-US"/>
              </w:rPr>
            </w:pPr>
            <w:r>
              <w:rPr>
                <w:lang w:eastAsia="en-US"/>
              </w:rPr>
              <w:t>3 years</w:t>
            </w:r>
          </w:p>
          <w:p w:rsidR="001A6FF0" w:rsidRDefault="001A6FF0" w:rsidP="00BC2239">
            <w:pPr>
              <w:pStyle w:val="Tabletext1"/>
              <w:rPr>
                <w:lang w:eastAsia="en-US"/>
              </w:rPr>
            </w:pPr>
            <w:r>
              <w:rPr>
                <w:lang w:eastAsia="en-US"/>
              </w:rPr>
              <w:t>8 years</w:t>
            </w:r>
          </w:p>
        </w:tc>
        <w:tc>
          <w:tcPr>
            <w:tcW w:w="903" w:type="pct"/>
          </w:tcPr>
          <w:p w:rsidR="001A6FF0" w:rsidRDefault="001A6FF0" w:rsidP="00BC2239">
            <w:pPr>
              <w:pStyle w:val="Tabletext1"/>
              <w:rPr>
                <w:lang w:eastAsia="en-US"/>
              </w:rPr>
            </w:pPr>
            <w:r>
              <w:rPr>
                <w:lang w:eastAsia="en-US"/>
              </w:rPr>
              <w:t>11-12</w:t>
            </w:r>
          </w:p>
          <w:p w:rsidR="001A6FF0" w:rsidRDefault="001A6FF0" w:rsidP="00BC2239">
            <w:pPr>
              <w:pStyle w:val="Tabletext1"/>
              <w:rPr>
                <w:lang w:eastAsia="en-US"/>
              </w:rPr>
            </w:pPr>
            <w:r>
              <w:rPr>
                <w:lang w:eastAsia="en-US"/>
              </w:rPr>
              <w:t>11-12</w:t>
            </w:r>
          </w:p>
          <w:p w:rsidR="001A6FF0" w:rsidRDefault="001A6FF0" w:rsidP="00BC2239">
            <w:pPr>
              <w:pStyle w:val="Tabletext1"/>
              <w:rPr>
                <w:lang w:eastAsia="en-US"/>
              </w:rPr>
            </w:pPr>
            <w:r>
              <w:rPr>
                <w:lang w:eastAsia="en-US"/>
              </w:rPr>
              <w:t>23.5</w:t>
            </w:r>
          </w:p>
          <w:p w:rsidR="001A6FF0" w:rsidRDefault="001A6FF0" w:rsidP="00BC2239">
            <w:pPr>
              <w:pStyle w:val="Tabletext1"/>
              <w:rPr>
                <w:lang w:eastAsia="en-US"/>
              </w:rPr>
            </w:pPr>
            <w:r>
              <w:rPr>
                <w:lang w:eastAsia="en-US"/>
              </w:rPr>
              <w:t>23.5</w:t>
            </w:r>
          </w:p>
        </w:tc>
        <w:tc>
          <w:tcPr>
            <w:tcW w:w="965" w:type="pct"/>
          </w:tcPr>
          <w:p w:rsidR="001A6FF0" w:rsidRDefault="001A6FF0" w:rsidP="00BC2239">
            <w:pPr>
              <w:pStyle w:val="Tabletext1"/>
              <w:rPr>
                <w:lang w:eastAsia="en-US"/>
              </w:rPr>
            </w:pPr>
            <w:r>
              <w:rPr>
                <w:lang w:eastAsia="en-US"/>
              </w:rPr>
              <w:t>4-6 hours less</w:t>
            </w:r>
          </w:p>
          <w:p w:rsidR="001A6FF0" w:rsidRDefault="001A6FF0" w:rsidP="00BC2239">
            <w:pPr>
              <w:pStyle w:val="Tabletext1"/>
              <w:rPr>
                <w:lang w:eastAsia="en-US"/>
              </w:rPr>
            </w:pPr>
            <w:r>
              <w:rPr>
                <w:lang w:eastAsia="en-US"/>
              </w:rPr>
              <w:t>4-6 hours less</w:t>
            </w:r>
          </w:p>
          <w:p w:rsidR="001A6FF0" w:rsidRDefault="001A6FF0" w:rsidP="00BC2239">
            <w:pPr>
              <w:pStyle w:val="Tabletext1"/>
              <w:rPr>
                <w:lang w:eastAsia="en-US"/>
              </w:rPr>
            </w:pPr>
            <w:r>
              <w:rPr>
                <w:lang w:eastAsia="en-US"/>
              </w:rPr>
              <w:t>½ hour less</w:t>
            </w:r>
          </w:p>
          <w:p w:rsidR="001A6FF0" w:rsidRDefault="001A6FF0" w:rsidP="00BC2239">
            <w:pPr>
              <w:pStyle w:val="Tabletext1"/>
              <w:rPr>
                <w:lang w:eastAsia="en-US"/>
              </w:rPr>
            </w:pPr>
            <w:r>
              <w:rPr>
                <w:lang w:eastAsia="en-US"/>
              </w:rPr>
              <w:t>½ hour less</w:t>
            </w:r>
          </w:p>
        </w:tc>
      </w:tr>
    </w:tbl>
    <w:p w:rsidR="001A6FF0" w:rsidRPr="0079341A" w:rsidRDefault="001A6FF0" w:rsidP="001A6FF0">
      <w:pPr>
        <w:pStyle w:val="TableNote"/>
        <w:rPr>
          <w:lang w:eastAsia="en-US"/>
        </w:rPr>
      </w:pPr>
      <w:r>
        <w:rPr>
          <w:lang w:eastAsia="en-US"/>
        </w:rPr>
        <w:t xml:space="preserve">ERT = enzyme replacement therapy; </w:t>
      </w:r>
      <w:r w:rsidRPr="0079341A">
        <w:rPr>
          <w:lang w:eastAsia="en-US"/>
        </w:rPr>
        <w:t>NR = not reported</w:t>
      </w:r>
      <w:r>
        <w:rPr>
          <w:lang w:eastAsia="en-US"/>
        </w:rPr>
        <w:t xml:space="preserve">; JOPD = juvenile </w:t>
      </w:r>
      <w:r w:rsidR="00926546">
        <w:rPr>
          <w:lang w:eastAsia="en-US"/>
        </w:rPr>
        <w:t xml:space="preserve">late </w:t>
      </w:r>
      <w:r>
        <w:rPr>
          <w:lang w:eastAsia="en-US"/>
        </w:rPr>
        <w:t>onset Pompe disease</w:t>
      </w:r>
    </w:p>
    <w:p w:rsidR="001A6FF0" w:rsidRDefault="001A6FF0" w:rsidP="001A6FF0"/>
    <w:p w:rsidR="001A6FF0" w:rsidRPr="00B96543" w:rsidRDefault="001A6FF0" w:rsidP="00F71730">
      <w:pPr>
        <w:pStyle w:val="Caption"/>
        <w:keepNext/>
        <w:ind w:left="1418" w:hanging="1418"/>
      </w:pPr>
      <w:bookmarkStart w:id="337" w:name="_Toc411510452"/>
      <w:bookmarkStart w:id="338" w:name="_Toc415141874"/>
      <w:r w:rsidRPr="00B96543">
        <w:t xml:space="preserve">Table </w:t>
      </w:r>
      <w:r w:rsidR="00A72B26">
        <w:rPr>
          <w:noProof/>
        </w:rPr>
        <w:t>77</w:t>
      </w:r>
      <w:r w:rsidRPr="00B96543">
        <w:t xml:space="preserve"> </w:t>
      </w:r>
      <w:r w:rsidR="00F71730">
        <w:tab/>
      </w:r>
      <w:r w:rsidRPr="00B96543">
        <w:t xml:space="preserve">Assisted </w:t>
      </w:r>
      <w:r>
        <w:t>ventil</w:t>
      </w:r>
      <w:r w:rsidRPr="00B96543">
        <w:t>ation requirements</w:t>
      </w:r>
      <w:r>
        <w:t xml:space="preserve"> </w:t>
      </w:r>
      <w:r w:rsidR="00DF5C70">
        <w:t>before and after alglucosidase alfa in patients with JOPD</w:t>
      </w:r>
      <w:bookmarkEnd w:id="337"/>
      <w:bookmarkEnd w:id="338"/>
    </w:p>
    <w:tbl>
      <w:tblPr>
        <w:tblStyle w:val="TableGrid"/>
        <w:tblW w:w="5000" w:type="pct"/>
        <w:tblLook w:val="04A0" w:firstRow="1" w:lastRow="0" w:firstColumn="1" w:lastColumn="0" w:noHBand="0" w:noVBand="1"/>
        <w:tblCaption w:val="Table 13 Assisted ventilation requirements in JOPD patients"/>
      </w:tblPr>
      <w:tblGrid>
        <w:gridCol w:w="1222"/>
        <w:gridCol w:w="1144"/>
        <w:gridCol w:w="2630"/>
        <w:gridCol w:w="3146"/>
        <w:gridCol w:w="1100"/>
      </w:tblGrid>
      <w:tr w:rsidR="001A6FF0" w:rsidRPr="008F5C81" w:rsidTr="009A0365">
        <w:trPr>
          <w:tblHeader/>
        </w:trPr>
        <w:tc>
          <w:tcPr>
            <w:tcW w:w="661" w:type="pct"/>
          </w:tcPr>
          <w:p w:rsidR="001A6FF0" w:rsidRDefault="001A6FF0" w:rsidP="00BC2239">
            <w:pPr>
              <w:pStyle w:val="Tabletext1"/>
              <w:keepNext/>
              <w:rPr>
                <w:b/>
                <w:lang w:eastAsia="en-US"/>
              </w:rPr>
            </w:pPr>
            <w:r>
              <w:rPr>
                <w:b/>
                <w:lang w:eastAsia="en-US"/>
              </w:rPr>
              <w:t>Study</w:t>
            </w:r>
          </w:p>
          <w:p w:rsidR="001A6FF0" w:rsidRDefault="001A6FF0" w:rsidP="00BC2239">
            <w:pPr>
              <w:pStyle w:val="Tabletext1"/>
              <w:keepNext/>
              <w:rPr>
                <w:b/>
                <w:lang w:eastAsia="en-US"/>
              </w:rPr>
            </w:pPr>
            <w:r>
              <w:rPr>
                <w:b/>
                <w:lang w:eastAsia="en-US"/>
              </w:rPr>
              <w:t>Measure</w:t>
            </w:r>
          </w:p>
        </w:tc>
        <w:tc>
          <w:tcPr>
            <w:tcW w:w="619" w:type="pct"/>
          </w:tcPr>
          <w:p w:rsidR="001A6FF0" w:rsidRPr="008F5C81" w:rsidRDefault="001A6FF0" w:rsidP="00BC2239">
            <w:pPr>
              <w:pStyle w:val="Tabletext1"/>
              <w:keepNext/>
              <w:rPr>
                <w:b/>
                <w:lang w:eastAsia="en-US"/>
              </w:rPr>
            </w:pPr>
            <w:r>
              <w:rPr>
                <w:b/>
                <w:lang w:eastAsia="en-US"/>
              </w:rPr>
              <w:t>Patient</w:t>
            </w:r>
          </w:p>
          <w:p w:rsidR="001A6FF0" w:rsidRPr="008F5C81" w:rsidRDefault="001A6FF0" w:rsidP="00BC2239">
            <w:pPr>
              <w:pStyle w:val="Tabletext1"/>
              <w:keepNext/>
              <w:rPr>
                <w:b/>
                <w:lang w:eastAsia="en-US"/>
              </w:rPr>
            </w:pPr>
          </w:p>
        </w:tc>
        <w:tc>
          <w:tcPr>
            <w:tcW w:w="1423" w:type="pct"/>
          </w:tcPr>
          <w:p w:rsidR="001A6FF0" w:rsidRDefault="001A6FF0" w:rsidP="00BC2239">
            <w:pPr>
              <w:pStyle w:val="Tabletext1"/>
              <w:keepNext/>
              <w:rPr>
                <w:b/>
                <w:lang w:eastAsia="en-US"/>
              </w:rPr>
            </w:pPr>
            <w:r>
              <w:rPr>
                <w:b/>
                <w:lang w:eastAsia="en-US"/>
              </w:rPr>
              <w:t>Baseline</w:t>
            </w:r>
          </w:p>
        </w:tc>
        <w:tc>
          <w:tcPr>
            <w:tcW w:w="1702" w:type="pct"/>
          </w:tcPr>
          <w:p w:rsidR="001A6FF0" w:rsidRDefault="001A6FF0" w:rsidP="00BC2239">
            <w:pPr>
              <w:pStyle w:val="Tabletext1"/>
              <w:keepNext/>
              <w:rPr>
                <w:b/>
                <w:lang w:eastAsia="en-US"/>
              </w:rPr>
            </w:pPr>
            <w:r>
              <w:rPr>
                <w:b/>
                <w:lang w:eastAsia="en-US"/>
              </w:rPr>
              <w:t>12 months ERT</w:t>
            </w:r>
          </w:p>
          <w:p w:rsidR="001A6FF0" w:rsidRDefault="001A6FF0" w:rsidP="00BC2239">
            <w:pPr>
              <w:pStyle w:val="Tabletext1"/>
              <w:keepNext/>
              <w:rPr>
                <w:b/>
                <w:lang w:eastAsia="en-US"/>
              </w:rPr>
            </w:pPr>
          </w:p>
        </w:tc>
        <w:tc>
          <w:tcPr>
            <w:tcW w:w="595" w:type="pct"/>
          </w:tcPr>
          <w:p w:rsidR="001A6FF0" w:rsidRDefault="001A6FF0" w:rsidP="00BC2239">
            <w:pPr>
              <w:pStyle w:val="Tabletext1"/>
              <w:keepNext/>
              <w:rPr>
                <w:b/>
                <w:lang w:eastAsia="en-US"/>
              </w:rPr>
            </w:pPr>
            <w:r>
              <w:rPr>
                <w:b/>
                <w:lang w:eastAsia="en-US"/>
              </w:rPr>
              <w:t>Change</w:t>
            </w:r>
          </w:p>
        </w:tc>
      </w:tr>
      <w:tr w:rsidR="001A6FF0" w:rsidTr="00BC2239">
        <w:trPr>
          <w:trHeight w:val="2086"/>
        </w:trPr>
        <w:tc>
          <w:tcPr>
            <w:tcW w:w="661" w:type="pct"/>
          </w:tcPr>
          <w:p w:rsidR="001A6FF0" w:rsidRDefault="001A6FF0" w:rsidP="00BC2239">
            <w:pPr>
              <w:pStyle w:val="Tabletext1"/>
              <w:keepNext/>
              <w:rPr>
                <w:lang w:eastAsia="en-US"/>
              </w:rPr>
            </w:pPr>
            <w:r>
              <w:rPr>
                <w:lang w:eastAsia="en-US"/>
              </w:rPr>
              <w:t>Kobayashi 2010</w:t>
            </w:r>
          </w:p>
          <w:p w:rsidR="001A6FF0" w:rsidRDefault="001A6FF0" w:rsidP="00BC2239">
            <w:pPr>
              <w:pStyle w:val="Tabletext1"/>
              <w:keepNext/>
              <w:rPr>
                <w:lang w:eastAsia="en-US"/>
              </w:rPr>
            </w:pPr>
            <w:r>
              <w:rPr>
                <w:lang w:eastAsia="en-US"/>
              </w:rPr>
              <w:t>Respiratory assistance required</w:t>
            </w:r>
          </w:p>
        </w:tc>
        <w:tc>
          <w:tcPr>
            <w:tcW w:w="619" w:type="pct"/>
          </w:tcPr>
          <w:p w:rsidR="001A6FF0" w:rsidRDefault="001A6FF0" w:rsidP="00BC2239">
            <w:pPr>
              <w:pStyle w:val="Tabletext1"/>
              <w:keepNext/>
              <w:rPr>
                <w:lang w:eastAsia="en-US"/>
              </w:rPr>
            </w:pPr>
            <w:r>
              <w:rPr>
                <w:lang w:eastAsia="en-US"/>
              </w:rPr>
              <w:t>Patient 1</w:t>
            </w:r>
          </w:p>
          <w:p w:rsidR="001A6FF0" w:rsidRDefault="001A6FF0" w:rsidP="00BC2239">
            <w:pPr>
              <w:pStyle w:val="Tabletext1"/>
              <w:keepNext/>
              <w:rPr>
                <w:lang w:eastAsia="en-US"/>
              </w:rPr>
            </w:pPr>
            <w:r>
              <w:rPr>
                <w:lang w:eastAsia="en-US"/>
              </w:rPr>
              <w:t>Patient 2</w:t>
            </w:r>
          </w:p>
          <w:p w:rsidR="001A6FF0" w:rsidRDefault="001A6FF0" w:rsidP="00BC2239">
            <w:pPr>
              <w:pStyle w:val="Tabletext1"/>
              <w:keepNext/>
              <w:rPr>
                <w:lang w:eastAsia="en-US"/>
              </w:rPr>
            </w:pPr>
            <w:r>
              <w:rPr>
                <w:lang w:eastAsia="en-US"/>
              </w:rPr>
              <w:t>Patient 3</w:t>
            </w:r>
          </w:p>
          <w:p w:rsidR="001A6FF0" w:rsidRDefault="001A6FF0" w:rsidP="00BC2239">
            <w:pPr>
              <w:pStyle w:val="Tabletext1"/>
              <w:keepNext/>
              <w:rPr>
                <w:lang w:eastAsia="en-US"/>
              </w:rPr>
            </w:pPr>
            <w:r>
              <w:rPr>
                <w:lang w:eastAsia="en-US"/>
              </w:rPr>
              <w:t>Patient 4</w:t>
            </w:r>
          </w:p>
          <w:p w:rsidR="001A6FF0" w:rsidRDefault="001A6FF0" w:rsidP="00BC2239">
            <w:pPr>
              <w:pStyle w:val="Tabletext1"/>
              <w:keepNext/>
              <w:rPr>
                <w:lang w:eastAsia="en-US"/>
              </w:rPr>
            </w:pPr>
          </w:p>
          <w:p w:rsidR="001A6FF0" w:rsidRDefault="001A6FF0" w:rsidP="00BC2239">
            <w:pPr>
              <w:pStyle w:val="Tabletext1"/>
              <w:keepNext/>
              <w:rPr>
                <w:lang w:eastAsia="en-US"/>
              </w:rPr>
            </w:pPr>
            <w:r>
              <w:rPr>
                <w:lang w:eastAsia="en-US"/>
              </w:rPr>
              <w:t>Reference</w:t>
            </w:r>
            <w:r>
              <w:rPr>
                <w:vertAlign w:val="superscript"/>
                <w:lang w:eastAsia="en-US"/>
              </w:rPr>
              <w:t>a</w:t>
            </w:r>
          </w:p>
        </w:tc>
        <w:tc>
          <w:tcPr>
            <w:tcW w:w="1423" w:type="pct"/>
          </w:tcPr>
          <w:p w:rsidR="001A6FF0" w:rsidRDefault="001A6FF0" w:rsidP="00BC2239">
            <w:pPr>
              <w:pStyle w:val="Tabletext1"/>
              <w:keepNext/>
              <w:rPr>
                <w:lang w:eastAsia="en-US"/>
              </w:rPr>
            </w:pPr>
            <w:r>
              <w:rPr>
                <w:lang w:eastAsia="en-US"/>
              </w:rPr>
              <w:t>Non-invasive ventilation</w:t>
            </w:r>
          </w:p>
          <w:p w:rsidR="001A6FF0" w:rsidRDefault="001A6FF0" w:rsidP="00BC2239">
            <w:pPr>
              <w:pStyle w:val="Tabletext1"/>
              <w:keepNext/>
              <w:rPr>
                <w:lang w:eastAsia="en-US"/>
              </w:rPr>
            </w:pPr>
            <w:r>
              <w:rPr>
                <w:lang w:eastAsia="en-US"/>
              </w:rPr>
              <w:t xml:space="preserve">Nocturnal </w:t>
            </w:r>
            <w:r w:rsidR="00F87099">
              <w:rPr>
                <w:lang w:eastAsia="en-US"/>
              </w:rPr>
              <w:t>dyspnoea</w:t>
            </w:r>
          </w:p>
          <w:p w:rsidR="001A6FF0" w:rsidRDefault="001A6FF0" w:rsidP="00BC2239">
            <w:pPr>
              <w:pStyle w:val="Tabletext1"/>
              <w:keepNext/>
              <w:rPr>
                <w:lang w:eastAsia="en-US"/>
              </w:rPr>
            </w:pPr>
            <w:r>
              <w:rPr>
                <w:lang w:eastAsia="en-US"/>
              </w:rPr>
              <w:t xml:space="preserve">Nocturnal </w:t>
            </w:r>
            <w:r w:rsidR="00F87099">
              <w:rPr>
                <w:lang w:eastAsia="en-US"/>
              </w:rPr>
              <w:t>dyspnoea</w:t>
            </w:r>
          </w:p>
          <w:p w:rsidR="001A6FF0" w:rsidRDefault="001A6FF0" w:rsidP="00BC2239">
            <w:pPr>
              <w:pStyle w:val="Tabletext1"/>
              <w:keepNext/>
              <w:rPr>
                <w:lang w:eastAsia="en-US"/>
              </w:rPr>
            </w:pPr>
            <w:r>
              <w:rPr>
                <w:lang w:eastAsia="en-US"/>
              </w:rPr>
              <w:t xml:space="preserve">Nocturnal </w:t>
            </w:r>
            <w:r w:rsidR="00F87099">
              <w:rPr>
                <w:lang w:eastAsia="en-US"/>
              </w:rPr>
              <w:t>dyspnoea</w:t>
            </w:r>
          </w:p>
          <w:p w:rsidR="001A6FF0" w:rsidRDefault="001A6FF0" w:rsidP="00BC2239">
            <w:pPr>
              <w:pStyle w:val="Tabletext1"/>
              <w:keepNext/>
              <w:rPr>
                <w:lang w:eastAsia="en-US"/>
              </w:rPr>
            </w:pPr>
          </w:p>
          <w:p w:rsidR="001A6FF0" w:rsidRDefault="001A6FF0" w:rsidP="00BC2239">
            <w:pPr>
              <w:pStyle w:val="Tabletext1"/>
              <w:keepNext/>
              <w:rPr>
                <w:lang w:eastAsia="en-US"/>
              </w:rPr>
            </w:pPr>
            <w:r>
              <w:rPr>
                <w:lang w:eastAsia="en-US"/>
              </w:rPr>
              <w:t>Non-invasive ventilation 40%</w:t>
            </w:r>
          </w:p>
          <w:p w:rsidR="001A6FF0" w:rsidRDefault="001A6FF0" w:rsidP="00BC2239">
            <w:pPr>
              <w:pStyle w:val="Tabletext1"/>
              <w:keepNext/>
              <w:rPr>
                <w:lang w:eastAsia="en-US"/>
              </w:rPr>
            </w:pPr>
            <w:r>
              <w:rPr>
                <w:lang w:eastAsia="en-US"/>
              </w:rPr>
              <w:t>Intermittent mechanical ventilation 60%</w:t>
            </w:r>
          </w:p>
        </w:tc>
        <w:tc>
          <w:tcPr>
            <w:tcW w:w="1702" w:type="pct"/>
          </w:tcPr>
          <w:p w:rsidR="001A6FF0" w:rsidRDefault="001A6FF0" w:rsidP="00BC2239">
            <w:pPr>
              <w:pStyle w:val="Tabletext1"/>
              <w:keepNext/>
              <w:rPr>
                <w:lang w:eastAsia="en-US"/>
              </w:rPr>
            </w:pPr>
            <w:r>
              <w:rPr>
                <w:lang w:eastAsia="en-US"/>
              </w:rPr>
              <w:t>Intermittent mechanical ventilation</w:t>
            </w:r>
          </w:p>
          <w:p w:rsidR="001A6FF0" w:rsidRDefault="001A6FF0" w:rsidP="00BC2239">
            <w:pPr>
              <w:pStyle w:val="Tabletext1"/>
              <w:keepNext/>
              <w:rPr>
                <w:lang w:eastAsia="en-US"/>
              </w:rPr>
            </w:pPr>
            <w:r>
              <w:rPr>
                <w:lang w:eastAsia="en-US"/>
              </w:rPr>
              <w:t>Normal</w:t>
            </w:r>
          </w:p>
          <w:p w:rsidR="001A6FF0" w:rsidRDefault="001A6FF0" w:rsidP="00BC2239">
            <w:pPr>
              <w:pStyle w:val="Tabletext1"/>
              <w:keepNext/>
              <w:rPr>
                <w:lang w:eastAsia="en-US"/>
              </w:rPr>
            </w:pPr>
            <w:r>
              <w:rPr>
                <w:lang w:eastAsia="en-US"/>
              </w:rPr>
              <w:t>Normal</w:t>
            </w:r>
          </w:p>
          <w:p w:rsidR="001A6FF0" w:rsidRDefault="001A6FF0" w:rsidP="00BC2239">
            <w:pPr>
              <w:pStyle w:val="Tabletext1"/>
              <w:keepNext/>
              <w:rPr>
                <w:lang w:eastAsia="en-US"/>
              </w:rPr>
            </w:pPr>
            <w:r>
              <w:rPr>
                <w:lang w:eastAsia="en-US"/>
              </w:rPr>
              <w:t>Normal</w:t>
            </w:r>
          </w:p>
          <w:p w:rsidR="001A6FF0" w:rsidRDefault="001A6FF0" w:rsidP="00BC2239">
            <w:pPr>
              <w:pStyle w:val="Tabletext1"/>
              <w:keepNext/>
              <w:rPr>
                <w:lang w:eastAsia="en-US"/>
              </w:rPr>
            </w:pPr>
          </w:p>
          <w:p w:rsidR="001A6FF0" w:rsidRDefault="001A6FF0" w:rsidP="00BC2239">
            <w:pPr>
              <w:pStyle w:val="Tabletext1"/>
              <w:keepNext/>
              <w:rPr>
                <w:lang w:eastAsia="en-US"/>
              </w:rPr>
            </w:pPr>
            <w:r>
              <w:rPr>
                <w:lang w:eastAsia="en-US"/>
              </w:rPr>
              <w:t>Non-invasive ventilation 20%</w:t>
            </w:r>
          </w:p>
          <w:p w:rsidR="001A6FF0" w:rsidRDefault="001A6FF0" w:rsidP="00BC2239">
            <w:pPr>
              <w:pStyle w:val="Tabletext1"/>
              <w:keepNext/>
              <w:rPr>
                <w:lang w:eastAsia="en-US"/>
              </w:rPr>
            </w:pPr>
            <w:r>
              <w:rPr>
                <w:lang w:eastAsia="en-US"/>
              </w:rPr>
              <w:t>Intermittent mechanical ventilation 80%</w:t>
            </w:r>
          </w:p>
        </w:tc>
        <w:tc>
          <w:tcPr>
            <w:tcW w:w="595" w:type="pct"/>
          </w:tcPr>
          <w:p w:rsidR="001A6FF0" w:rsidRDefault="001A6FF0" w:rsidP="00BC2239">
            <w:pPr>
              <w:pStyle w:val="Tabletext1"/>
              <w:keepNext/>
              <w:rPr>
                <w:lang w:eastAsia="en-US"/>
              </w:rPr>
            </w:pPr>
            <w:r>
              <w:rPr>
                <w:lang w:eastAsia="en-US"/>
              </w:rPr>
              <w:t>NR</w:t>
            </w:r>
          </w:p>
        </w:tc>
      </w:tr>
    </w:tbl>
    <w:p w:rsidR="001A6FF0" w:rsidRDefault="001A6FF0" w:rsidP="0025188D">
      <w:pPr>
        <w:pStyle w:val="TableNote"/>
        <w:ind w:left="0" w:firstLine="0"/>
        <w:rPr>
          <w:lang w:eastAsia="en-US"/>
        </w:rPr>
      </w:pPr>
      <w:r>
        <w:rPr>
          <w:lang w:eastAsia="en-US"/>
        </w:rPr>
        <w:t xml:space="preserve">ERT = enzyme replacement therapy; NIV = non-invasive ventilation; IMV = intermittent mechanical ventilation (tracheotomy); NR = not reported; JOPD = juvenile </w:t>
      </w:r>
      <w:r w:rsidR="00926546">
        <w:rPr>
          <w:lang w:eastAsia="en-US"/>
        </w:rPr>
        <w:t xml:space="preserve">late </w:t>
      </w:r>
      <w:r>
        <w:rPr>
          <w:lang w:eastAsia="en-US"/>
        </w:rPr>
        <w:t>onset Pompe disease</w:t>
      </w:r>
    </w:p>
    <w:p w:rsidR="001A6FF0" w:rsidRPr="002971AC" w:rsidRDefault="001A6FF0" w:rsidP="001A6FF0">
      <w:pPr>
        <w:pStyle w:val="TableNote"/>
        <w:rPr>
          <w:lang w:eastAsia="en-US"/>
        </w:rPr>
      </w:pPr>
      <w:proofErr w:type="gramStart"/>
      <w:r>
        <w:rPr>
          <w:vertAlign w:val="superscript"/>
          <w:lang w:eastAsia="en-US"/>
        </w:rPr>
        <w:t>a</w:t>
      </w:r>
      <w:proofErr w:type="gramEnd"/>
      <w:r w:rsidR="00F87099">
        <w:rPr>
          <w:vertAlign w:val="superscript"/>
          <w:lang w:eastAsia="en-US"/>
        </w:rPr>
        <w:t xml:space="preserve"> </w:t>
      </w:r>
      <w:r>
        <w:rPr>
          <w:lang w:eastAsia="en-US"/>
        </w:rPr>
        <w:t>Average data of Expanded Access Program (Genzyme Co., n-5)</w:t>
      </w:r>
    </w:p>
    <w:p w:rsidR="001A6FF0" w:rsidRDefault="001A6FF0" w:rsidP="001A6FF0"/>
    <w:p w:rsidR="001A6FF0" w:rsidRPr="009A3445" w:rsidRDefault="001A6FF0" w:rsidP="00793A68">
      <w:pPr>
        <w:pStyle w:val="Caption"/>
        <w:keepNext/>
        <w:ind w:left="1418" w:hanging="1418"/>
      </w:pPr>
      <w:bookmarkStart w:id="339" w:name="_Toc411510453"/>
      <w:bookmarkStart w:id="340" w:name="_Toc415141875"/>
      <w:r w:rsidRPr="009A3445">
        <w:lastRenderedPageBreak/>
        <w:t xml:space="preserve">Table </w:t>
      </w:r>
      <w:r w:rsidR="00A72B26">
        <w:rPr>
          <w:noProof/>
        </w:rPr>
        <w:t>78</w:t>
      </w:r>
      <w:r>
        <w:t xml:space="preserve">  </w:t>
      </w:r>
      <w:r w:rsidR="00F71730">
        <w:tab/>
      </w:r>
      <w:r w:rsidRPr="009A3445">
        <w:t>Overnight O2 saturation</w:t>
      </w:r>
      <w:r>
        <w:t xml:space="preserve"> </w:t>
      </w:r>
      <w:r w:rsidR="00DF5C70">
        <w:t>before and after alglucosidase alfa in patients with JOPD</w:t>
      </w:r>
      <w:bookmarkEnd w:id="339"/>
      <w:bookmarkEnd w:id="340"/>
    </w:p>
    <w:tbl>
      <w:tblPr>
        <w:tblStyle w:val="TableGrid"/>
        <w:tblW w:w="5000" w:type="pct"/>
        <w:tblLook w:val="04A0" w:firstRow="1" w:lastRow="0" w:firstColumn="1" w:lastColumn="0" w:noHBand="0" w:noVBand="1"/>
        <w:tblCaption w:val="Table 14  Overnight O2 saturation in JOPD patients"/>
      </w:tblPr>
      <w:tblGrid>
        <w:gridCol w:w="2794"/>
        <w:gridCol w:w="1100"/>
        <w:gridCol w:w="1102"/>
        <w:gridCol w:w="1414"/>
        <w:gridCol w:w="1416"/>
        <w:gridCol w:w="1416"/>
      </w:tblGrid>
      <w:tr w:rsidR="001A6FF0" w:rsidRPr="008F5C81" w:rsidTr="009A0365">
        <w:trPr>
          <w:tblHeader/>
        </w:trPr>
        <w:tc>
          <w:tcPr>
            <w:tcW w:w="1511" w:type="pct"/>
          </w:tcPr>
          <w:p w:rsidR="001A6FF0" w:rsidRDefault="001A6FF0" w:rsidP="00BC2239">
            <w:pPr>
              <w:pStyle w:val="Tabletext1"/>
              <w:rPr>
                <w:b/>
                <w:lang w:eastAsia="en-US"/>
              </w:rPr>
            </w:pPr>
            <w:r>
              <w:rPr>
                <w:b/>
                <w:lang w:eastAsia="en-US"/>
              </w:rPr>
              <w:t>Study</w:t>
            </w:r>
          </w:p>
          <w:p w:rsidR="001A6FF0" w:rsidRDefault="001A6FF0" w:rsidP="00BC2239">
            <w:pPr>
              <w:pStyle w:val="Tabletext1"/>
              <w:rPr>
                <w:b/>
                <w:lang w:eastAsia="en-US"/>
              </w:rPr>
            </w:pPr>
            <w:r>
              <w:rPr>
                <w:b/>
                <w:lang w:eastAsia="en-US"/>
              </w:rPr>
              <w:t>Measure</w:t>
            </w:r>
          </w:p>
        </w:tc>
        <w:tc>
          <w:tcPr>
            <w:tcW w:w="595" w:type="pct"/>
          </w:tcPr>
          <w:p w:rsidR="001A6FF0" w:rsidRPr="008F5C81" w:rsidRDefault="001A6FF0" w:rsidP="00BC2239">
            <w:pPr>
              <w:pStyle w:val="Tabletext1"/>
              <w:rPr>
                <w:b/>
                <w:lang w:eastAsia="en-US"/>
              </w:rPr>
            </w:pPr>
            <w:r>
              <w:rPr>
                <w:b/>
                <w:lang w:eastAsia="en-US"/>
              </w:rPr>
              <w:t>Patient</w:t>
            </w:r>
          </w:p>
          <w:p w:rsidR="001A6FF0" w:rsidRPr="008F5C81" w:rsidRDefault="001A6FF0" w:rsidP="00BC2239">
            <w:pPr>
              <w:pStyle w:val="Tabletext1"/>
              <w:rPr>
                <w:b/>
                <w:lang w:eastAsia="en-US"/>
              </w:rPr>
            </w:pPr>
          </w:p>
        </w:tc>
        <w:tc>
          <w:tcPr>
            <w:tcW w:w="596" w:type="pct"/>
          </w:tcPr>
          <w:p w:rsidR="001A6FF0" w:rsidRDefault="001A6FF0" w:rsidP="00BC2239">
            <w:pPr>
              <w:pStyle w:val="Tabletext1"/>
              <w:rPr>
                <w:b/>
                <w:lang w:eastAsia="en-US"/>
              </w:rPr>
            </w:pPr>
            <w:r>
              <w:rPr>
                <w:b/>
                <w:lang w:eastAsia="en-US"/>
              </w:rPr>
              <w:t>Baseline</w:t>
            </w:r>
          </w:p>
        </w:tc>
        <w:tc>
          <w:tcPr>
            <w:tcW w:w="765" w:type="pct"/>
          </w:tcPr>
          <w:p w:rsidR="001A6FF0" w:rsidRDefault="001A6FF0" w:rsidP="00BC2239">
            <w:pPr>
              <w:pStyle w:val="Tabletext1"/>
              <w:rPr>
                <w:b/>
                <w:lang w:eastAsia="en-US"/>
              </w:rPr>
            </w:pPr>
            <w:r>
              <w:rPr>
                <w:b/>
                <w:lang w:eastAsia="en-US"/>
              </w:rPr>
              <w:t>4 months ERT</w:t>
            </w:r>
          </w:p>
        </w:tc>
        <w:tc>
          <w:tcPr>
            <w:tcW w:w="766" w:type="pct"/>
          </w:tcPr>
          <w:p w:rsidR="001A6FF0" w:rsidRDefault="001A6FF0" w:rsidP="00BC2239">
            <w:pPr>
              <w:pStyle w:val="Tabletext1"/>
              <w:rPr>
                <w:b/>
                <w:lang w:eastAsia="en-US"/>
              </w:rPr>
            </w:pPr>
            <w:r>
              <w:rPr>
                <w:b/>
                <w:lang w:eastAsia="en-US"/>
              </w:rPr>
              <w:t>18 months ERT</w:t>
            </w:r>
          </w:p>
        </w:tc>
        <w:tc>
          <w:tcPr>
            <w:tcW w:w="766" w:type="pct"/>
          </w:tcPr>
          <w:p w:rsidR="001A6FF0" w:rsidRDefault="001A6FF0" w:rsidP="00BC2239">
            <w:pPr>
              <w:pStyle w:val="Tabletext1"/>
              <w:rPr>
                <w:b/>
                <w:lang w:eastAsia="en-US"/>
              </w:rPr>
            </w:pPr>
            <w:r>
              <w:rPr>
                <w:b/>
                <w:lang w:eastAsia="en-US"/>
              </w:rPr>
              <w:t>Change</w:t>
            </w:r>
          </w:p>
        </w:tc>
      </w:tr>
      <w:tr w:rsidR="001A6FF0" w:rsidTr="00BC2239">
        <w:trPr>
          <w:trHeight w:val="920"/>
        </w:trPr>
        <w:tc>
          <w:tcPr>
            <w:tcW w:w="1511" w:type="pct"/>
          </w:tcPr>
          <w:p w:rsidR="001A6FF0" w:rsidRDefault="001A6FF0" w:rsidP="00BC2239">
            <w:pPr>
              <w:pStyle w:val="Tabletext1"/>
              <w:rPr>
                <w:lang w:eastAsia="en-US"/>
              </w:rPr>
            </w:pPr>
            <w:r>
              <w:rPr>
                <w:lang w:eastAsia="en-US"/>
              </w:rPr>
              <w:t>Ishigaki 2012</w:t>
            </w:r>
          </w:p>
          <w:p w:rsidR="001A6FF0" w:rsidRDefault="001A6FF0" w:rsidP="00BC2239">
            <w:pPr>
              <w:pStyle w:val="Tabletext1"/>
              <w:rPr>
                <w:lang w:eastAsia="en-US"/>
              </w:rPr>
            </w:pPr>
            <w:r>
              <w:rPr>
                <w:lang w:eastAsia="en-US"/>
              </w:rPr>
              <w:t>Low overnight O</w:t>
            </w:r>
            <w:r>
              <w:rPr>
                <w:vertAlign w:val="subscript"/>
                <w:lang w:eastAsia="en-US"/>
              </w:rPr>
              <w:t xml:space="preserve">2 </w:t>
            </w:r>
            <w:r w:rsidRPr="007556A3">
              <w:rPr>
                <w:lang w:eastAsia="en-US"/>
              </w:rPr>
              <w:t>saturation</w:t>
            </w:r>
          </w:p>
          <w:p w:rsidR="001A6FF0" w:rsidRPr="007556A3" w:rsidRDefault="001A6FF0" w:rsidP="00BC2239">
            <w:pPr>
              <w:pStyle w:val="Tabletext1"/>
              <w:rPr>
                <w:vertAlign w:val="subscript"/>
                <w:lang w:eastAsia="en-US"/>
              </w:rPr>
            </w:pPr>
            <w:r>
              <w:rPr>
                <w:lang w:eastAsia="en-US"/>
              </w:rPr>
              <w:t>(no. of periods at 90% or less)</w:t>
            </w:r>
          </w:p>
        </w:tc>
        <w:tc>
          <w:tcPr>
            <w:tcW w:w="595" w:type="pct"/>
          </w:tcPr>
          <w:p w:rsidR="001A6FF0" w:rsidRDefault="001A6FF0" w:rsidP="00BC2239">
            <w:pPr>
              <w:pStyle w:val="Tabletext1"/>
              <w:rPr>
                <w:lang w:eastAsia="en-US"/>
              </w:rPr>
            </w:pPr>
            <w:r>
              <w:rPr>
                <w:lang w:eastAsia="en-US"/>
              </w:rPr>
              <w:t>Patient 1</w:t>
            </w:r>
          </w:p>
        </w:tc>
        <w:tc>
          <w:tcPr>
            <w:tcW w:w="596" w:type="pct"/>
          </w:tcPr>
          <w:p w:rsidR="001A6FF0" w:rsidRDefault="001A6FF0" w:rsidP="00BC2239">
            <w:pPr>
              <w:pStyle w:val="Tabletext1"/>
              <w:rPr>
                <w:lang w:eastAsia="en-US"/>
              </w:rPr>
            </w:pPr>
            <w:r>
              <w:rPr>
                <w:lang w:eastAsia="en-US"/>
              </w:rPr>
              <w:t>2-3</w:t>
            </w:r>
          </w:p>
        </w:tc>
        <w:tc>
          <w:tcPr>
            <w:tcW w:w="765" w:type="pct"/>
          </w:tcPr>
          <w:p w:rsidR="001A6FF0" w:rsidRDefault="001A6FF0" w:rsidP="00BC2239">
            <w:pPr>
              <w:pStyle w:val="Tabletext1"/>
              <w:rPr>
                <w:lang w:eastAsia="en-US"/>
              </w:rPr>
            </w:pPr>
            <w:r>
              <w:rPr>
                <w:lang w:eastAsia="en-US"/>
              </w:rPr>
              <w:t>&lt; 2-3</w:t>
            </w:r>
          </w:p>
        </w:tc>
        <w:tc>
          <w:tcPr>
            <w:tcW w:w="766" w:type="pct"/>
          </w:tcPr>
          <w:p w:rsidR="001A6FF0" w:rsidRDefault="001A6FF0" w:rsidP="00BC2239">
            <w:pPr>
              <w:pStyle w:val="Tabletext1"/>
              <w:rPr>
                <w:lang w:eastAsia="en-US"/>
              </w:rPr>
            </w:pPr>
            <w:r>
              <w:rPr>
                <w:lang w:eastAsia="en-US"/>
              </w:rPr>
              <w:t>increased</w:t>
            </w:r>
          </w:p>
        </w:tc>
        <w:tc>
          <w:tcPr>
            <w:tcW w:w="766" w:type="pct"/>
          </w:tcPr>
          <w:p w:rsidR="001A6FF0" w:rsidRDefault="001A6FF0" w:rsidP="00BC2239">
            <w:pPr>
              <w:pStyle w:val="Tabletext1"/>
              <w:rPr>
                <w:lang w:eastAsia="en-US"/>
              </w:rPr>
            </w:pPr>
            <w:r>
              <w:rPr>
                <w:lang w:eastAsia="en-US"/>
              </w:rPr>
              <w:t>NR</w:t>
            </w:r>
          </w:p>
        </w:tc>
      </w:tr>
    </w:tbl>
    <w:p w:rsidR="001A6FF0" w:rsidRDefault="001A6FF0" w:rsidP="001A6FF0">
      <w:pPr>
        <w:pStyle w:val="TableNote"/>
        <w:rPr>
          <w:lang w:eastAsia="en-US"/>
        </w:rPr>
      </w:pPr>
      <w:r>
        <w:rPr>
          <w:lang w:eastAsia="en-US"/>
        </w:rPr>
        <w:t xml:space="preserve">ERT = enzyme replacement therapy; NR = not reported; JOPD = juvenile </w:t>
      </w:r>
      <w:r w:rsidR="00926546">
        <w:rPr>
          <w:lang w:eastAsia="en-US"/>
        </w:rPr>
        <w:t xml:space="preserve">late </w:t>
      </w:r>
      <w:r>
        <w:rPr>
          <w:lang w:eastAsia="en-US"/>
        </w:rPr>
        <w:t>onset Pompe disease</w:t>
      </w:r>
    </w:p>
    <w:p w:rsidR="001A6FF0" w:rsidRPr="00AD37A3" w:rsidRDefault="001A6FF0" w:rsidP="001A6FF0"/>
    <w:p w:rsidR="001A6FF0" w:rsidRPr="009A3445" w:rsidRDefault="001A6FF0" w:rsidP="00F71730">
      <w:pPr>
        <w:pStyle w:val="Caption"/>
        <w:keepNext/>
        <w:ind w:left="1418" w:hanging="1418"/>
      </w:pPr>
      <w:bookmarkStart w:id="341" w:name="_Ref410839788"/>
      <w:bookmarkStart w:id="342" w:name="_Toc411510454"/>
      <w:bookmarkStart w:id="343" w:name="_Toc415141876"/>
      <w:r w:rsidRPr="009A3445">
        <w:t xml:space="preserve">Table </w:t>
      </w:r>
      <w:r w:rsidR="00A72B26">
        <w:rPr>
          <w:noProof/>
        </w:rPr>
        <w:t>79</w:t>
      </w:r>
      <w:bookmarkEnd w:id="341"/>
      <w:r w:rsidRPr="009A3445">
        <w:t xml:space="preserve"> </w:t>
      </w:r>
      <w:r>
        <w:t xml:space="preserve"> </w:t>
      </w:r>
      <w:r w:rsidR="00F71730">
        <w:tab/>
      </w:r>
      <w:r w:rsidRPr="009A3445">
        <w:t>Time until hypercapnia</w:t>
      </w:r>
      <w:r>
        <w:t xml:space="preserve"> </w:t>
      </w:r>
      <w:r w:rsidR="00DF5C70">
        <w:t>before and after alglucosidase alfa in patients with JOPD</w:t>
      </w:r>
      <w:bookmarkEnd w:id="342"/>
      <w:bookmarkEnd w:id="343"/>
    </w:p>
    <w:tbl>
      <w:tblPr>
        <w:tblStyle w:val="TableGrid"/>
        <w:tblW w:w="5000" w:type="pct"/>
        <w:tblLook w:val="04A0" w:firstRow="1" w:lastRow="0" w:firstColumn="1" w:lastColumn="0" w:noHBand="0" w:noVBand="1"/>
        <w:tblCaption w:val="Table 15  Time until hypercapnia in JOPD patients"/>
      </w:tblPr>
      <w:tblGrid>
        <w:gridCol w:w="2117"/>
        <w:gridCol w:w="1075"/>
        <w:gridCol w:w="1078"/>
        <w:gridCol w:w="1253"/>
        <w:gridCol w:w="889"/>
        <w:gridCol w:w="1416"/>
        <w:gridCol w:w="1414"/>
      </w:tblGrid>
      <w:tr w:rsidR="001A6FF0" w:rsidRPr="008F5C81" w:rsidTr="009A0365">
        <w:trPr>
          <w:tblHeader/>
        </w:trPr>
        <w:tc>
          <w:tcPr>
            <w:tcW w:w="1145" w:type="pct"/>
          </w:tcPr>
          <w:p w:rsidR="001A6FF0" w:rsidRDefault="001A6FF0" w:rsidP="00BC2239">
            <w:pPr>
              <w:pStyle w:val="Tabletext1"/>
              <w:keepNext/>
              <w:rPr>
                <w:b/>
                <w:lang w:eastAsia="en-US"/>
              </w:rPr>
            </w:pPr>
            <w:r>
              <w:rPr>
                <w:b/>
                <w:lang w:eastAsia="en-US"/>
              </w:rPr>
              <w:t>Study</w:t>
            </w:r>
          </w:p>
          <w:p w:rsidR="001A6FF0" w:rsidRPr="008F5C81" w:rsidRDefault="001A6FF0" w:rsidP="00BC2239">
            <w:pPr>
              <w:pStyle w:val="Tabletext1"/>
              <w:keepNext/>
              <w:rPr>
                <w:b/>
                <w:lang w:eastAsia="en-US"/>
              </w:rPr>
            </w:pPr>
            <w:r>
              <w:rPr>
                <w:b/>
                <w:lang w:eastAsia="en-US"/>
              </w:rPr>
              <w:t>Measure</w:t>
            </w:r>
          </w:p>
        </w:tc>
        <w:tc>
          <w:tcPr>
            <w:tcW w:w="581" w:type="pct"/>
          </w:tcPr>
          <w:p w:rsidR="001A6FF0" w:rsidRPr="008F5C81" w:rsidRDefault="001A6FF0" w:rsidP="00BC2239">
            <w:pPr>
              <w:pStyle w:val="Tabletext1"/>
              <w:keepNext/>
              <w:rPr>
                <w:b/>
                <w:lang w:eastAsia="en-US"/>
              </w:rPr>
            </w:pPr>
            <w:r>
              <w:rPr>
                <w:b/>
                <w:lang w:eastAsia="en-US"/>
              </w:rPr>
              <w:t>Patient</w:t>
            </w:r>
          </w:p>
        </w:tc>
        <w:tc>
          <w:tcPr>
            <w:tcW w:w="583" w:type="pct"/>
          </w:tcPr>
          <w:p w:rsidR="001A6FF0" w:rsidRPr="008F5C81" w:rsidRDefault="001A6FF0" w:rsidP="00BC2239">
            <w:pPr>
              <w:pStyle w:val="Tabletext1"/>
              <w:keepNext/>
              <w:rPr>
                <w:b/>
                <w:lang w:eastAsia="en-US"/>
              </w:rPr>
            </w:pPr>
            <w:r w:rsidRPr="008F5C81">
              <w:rPr>
                <w:b/>
                <w:lang w:eastAsia="en-US"/>
              </w:rPr>
              <w:t>Baseline</w:t>
            </w:r>
          </w:p>
        </w:tc>
        <w:tc>
          <w:tcPr>
            <w:tcW w:w="678" w:type="pct"/>
            <w:tcBorders>
              <w:right w:val="single" w:sz="4" w:space="0" w:color="auto"/>
            </w:tcBorders>
          </w:tcPr>
          <w:p w:rsidR="001A6FF0" w:rsidRPr="008F5C81" w:rsidRDefault="001A6FF0" w:rsidP="00BC2239">
            <w:pPr>
              <w:pStyle w:val="Tabletext1"/>
              <w:keepNext/>
              <w:rPr>
                <w:b/>
                <w:lang w:eastAsia="en-US"/>
              </w:rPr>
            </w:pPr>
            <w:r>
              <w:rPr>
                <w:b/>
                <w:lang w:eastAsia="en-US"/>
              </w:rPr>
              <w:t>6 months ERT</w:t>
            </w:r>
          </w:p>
        </w:tc>
        <w:tc>
          <w:tcPr>
            <w:tcW w:w="481" w:type="pct"/>
            <w:tcBorders>
              <w:left w:val="single" w:sz="4" w:space="0" w:color="auto"/>
            </w:tcBorders>
          </w:tcPr>
          <w:p w:rsidR="001A6FF0" w:rsidRPr="008F5C81" w:rsidRDefault="001A6FF0" w:rsidP="00BC2239">
            <w:pPr>
              <w:pStyle w:val="Tabletext1"/>
              <w:keepNext/>
              <w:rPr>
                <w:b/>
                <w:lang w:eastAsia="en-US"/>
              </w:rPr>
            </w:pPr>
            <w:r>
              <w:rPr>
                <w:b/>
                <w:lang w:eastAsia="en-US"/>
              </w:rPr>
              <w:t>Change</w:t>
            </w:r>
          </w:p>
        </w:tc>
        <w:tc>
          <w:tcPr>
            <w:tcW w:w="766" w:type="pct"/>
          </w:tcPr>
          <w:p w:rsidR="001A6FF0" w:rsidRPr="008F5C81" w:rsidRDefault="001A6FF0" w:rsidP="00BC2239">
            <w:pPr>
              <w:pStyle w:val="Tabletext1"/>
              <w:keepNext/>
              <w:rPr>
                <w:b/>
                <w:lang w:eastAsia="en-US"/>
              </w:rPr>
            </w:pPr>
            <w:r>
              <w:rPr>
                <w:b/>
                <w:lang w:eastAsia="en-US"/>
              </w:rPr>
              <w:t>1 year ERT</w:t>
            </w:r>
          </w:p>
        </w:tc>
        <w:tc>
          <w:tcPr>
            <w:tcW w:w="765" w:type="pct"/>
          </w:tcPr>
          <w:p w:rsidR="001A6FF0" w:rsidRDefault="001A6FF0" w:rsidP="00BC2239">
            <w:pPr>
              <w:pStyle w:val="Tabletext1"/>
              <w:keepNext/>
              <w:rPr>
                <w:b/>
                <w:lang w:eastAsia="en-US"/>
              </w:rPr>
            </w:pPr>
            <w:r>
              <w:rPr>
                <w:b/>
                <w:lang w:eastAsia="en-US"/>
              </w:rPr>
              <w:t>Change</w:t>
            </w:r>
          </w:p>
        </w:tc>
      </w:tr>
      <w:tr w:rsidR="001A6FF0" w:rsidRPr="00F53467" w:rsidTr="00BC2239">
        <w:tc>
          <w:tcPr>
            <w:tcW w:w="1145" w:type="pct"/>
          </w:tcPr>
          <w:p w:rsidR="001A6FF0" w:rsidRDefault="001A6FF0" w:rsidP="00BC2239">
            <w:pPr>
              <w:pStyle w:val="Tabletext1"/>
              <w:keepNext/>
              <w:rPr>
                <w:lang w:eastAsia="en-US"/>
              </w:rPr>
            </w:pPr>
            <w:r>
              <w:rPr>
                <w:lang w:eastAsia="en-US"/>
              </w:rPr>
              <w:t>Orlikowski 2011</w:t>
            </w:r>
          </w:p>
          <w:p w:rsidR="001A6FF0" w:rsidRDefault="001A6FF0" w:rsidP="00BC2239">
            <w:pPr>
              <w:pStyle w:val="Tabletext1"/>
              <w:keepNext/>
              <w:rPr>
                <w:lang w:eastAsia="en-US"/>
              </w:rPr>
            </w:pPr>
            <w:r>
              <w:rPr>
                <w:lang w:eastAsia="en-US"/>
              </w:rPr>
              <w:t>Time until hypercapnia, sitting (min)</w:t>
            </w:r>
          </w:p>
        </w:tc>
        <w:tc>
          <w:tcPr>
            <w:tcW w:w="581" w:type="pct"/>
          </w:tcPr>
          <w:p w:rsidR="001A6FF0" w:rsidRDefault="001A6FF0" w:rsidP="00BC2239">
            <w:pPr>
              <w:pStyle w:val="Tabletext1"/>
              <w:keepNext/>
              <w:rPr>
                <w:lang w:eastAsia="en-US"/>
              </w:rPr>
            </w:pPr>
            <w:r>
              <w:rPr>
                <w:lang w:eastAsia="en-US"/>
              </w:rPr>
              <w:t>Patient 1</w:t>
            </w:r>
          </w:p>
          <w:p w:rsidR="001A6FF0" w:rsidRDefault="001A6FF0" w:rsidP="00BC2239">
            <w:pPr>
              <w:pStyle w:val="Tabletext1"/>
              <w:keepNext/>
              <w:rPr>
                <w:lang w:eastAsia="en-US"/>
              </w:rPr>
            </w:pPr>
            <w:r>
              <w:rPr>
                <w:lang w:eastAsia="en-US"/>
              </w:rPr>
              <w:t>Patient 5</w:t>
            </w:r>
          </w:p>
        </w:tc>
        <w:tc>
          <w:tcPr>
            <w:tcW w:w="583" w:type="pct"/>
          </w:tcPr>
          <w:p w:rsidR="001A6FF0" w:rsidRDefault="001A6FF0" w:rsidP="00BC2239">
            <w:pPr>
              <w:pStyle w:val="Tabletext1"/>
              <w:keepNext/>
              <w:rPr>
                <w:lang w:eastAsia="en-US"/>
              </w:rPr>
            </w:pPr>
            <w:r>
              <w:rPr>
                <w:lang w:eastAsia="en-US"/>
              </w:rPr>
              <w:t>6:55</w:t>
            </w:r>
          </w:p>
          <w:p w:rsidR="001A6FF0" w:rsidRDefault="001A6FF0" w:rsidP="00BC2239">
            <w:pPr>
              <w:pStyle w:val="Tabletext1"/>
              <w:keepNext/>
              <w:rPr>
                <w:lang w:eastAsia="en-US"/>
              </w:rPr>
            </w:pPr>
            <w:r>
              <w:rPr>
                <w:lang w:eastAsia="en-US"/>
              </w:rPr>
              <w:t>2:00</w:t>
            </w:r>
          </w:p>
        </w:tc>
        <w:tc>
          <w:tcPr>
            <w:tcW w:w="678" w:type="pct"/>
            <w:tcBorders>
              <w:right w:val="single" w:sz="4" w:space="0" w:color="auto"/>
            </w:tcBorders>
          </w:tcPr>
          <w:p w:rsidR="001A6FF0" w:rsidRDefault="001A6FF0" w:rsidP="00BC2239">
            <w:pPr>
              <w:pStyle w:val="Tabletext1"/>
              <w:keepNext/>
              <w:rPr>
                <w:lang w:eastAsia="en-US"/>
              </w:rPr>
            </w:pPr>
            <w:r>
              <w:rPr>
                <w:lang w:eastAsia="en-US"/>
              </w:rPr>
              <w:t>12:00</w:t>
            </w:r>
          </w:p>
          <w:p w:rsidR="001A6FF0" w:rsidRDefault="001A6FF0" w:rsidP="00BC2239">
            <w:pPr>
              <w:pStyle w:val="Tabletext1"/>
              <w:keepNext/>
              <w:rPr>
                <w:lang w:eastAsia="en-US"/>
              </w:rPr>
            </w:pPr>
            <w:r>
              <w:rPr>
                <w:lang w:eastAsia="en-US"/>
              </w:rPr>
              <w:t>&gt;20:00</w:t>
            </w:r>
          </w:p>
        </w:tc>
        <w:tc>
          <w:tcPr>
            <w:tcW w:w="481" w:type="pct"/>
            <w:tcBorders>
              <w:left w:val="single" w:sz="4" w:space="0" w:color="auto"/>
            </w:tcBorders>
          </w:tcPr>
          <w:p w:rsidR="001A6FF0" w:rsidRDefault="001A6FF0" w:rsidP="00BC2239">
            <w:pPr>
              <w:pStyle w:val="Tabletext1"/>
              <w:keepNext/>
              <w:rPr>
                <w:lang w:eastAsia="en-US"/>
              </w:rPr>
            </w:pPr>
            <w:r>
              <w:rPr>
                <w:lang w:eastAsia="en-US"/>
              </w:rPr>
              <w:t>5:05</w:t>
            </w:r>
          </w:p>
          <w:p w:rsidR="001A6FF0" w:rsidRDefault="001A6FF0" w:rsidP="00BC2239">
            <w:pPr>
              <w:pStyle w:val="Tabletext1"/>
              <w:keepNext/>
              <w:rPr>
                <w:lang w:eastAsia="en-US"/>
              </w:rPr>
            </w:pPr>
            <w:r>
              <w:rPr>
                <w:lang w:eastAsia="en-US"/>
              </w:rPr>
              <w:t>&gt;18:00</w:t>
            </w:r>
          </w:p>
        </w:tc>
        <w:tc>
          <w:tcPr>
            <w:tcW w:w="766" w:type="pct"/>
          </w:tcPr>
          <w:p w:rsidR="001A6FF0" w:rsidRDefault="001A6FF0" w:rsidP="00BC2239">
            <w:pPr>
              <w:pStyle w:val="Tabletext1"/>
              <w:keepNext/>
              <w:rPr>
                <w:lang w:eastAsia="en-US"/>
              </w:rPr>
            </w:pPr>
            <w:r>
              <w:rPr>
                <w:lang w:eastAsia="en-US"/>
              </w:rPr>
              <w:t>22:00</w:t>
            </w:r>
          </w:p>
          <w:p w:rsidR="001A6FF0" w:rsidRDefault="001A6FF0" w:rsidP="00BC2239">
            <w:pPr>
              <w:pStyle w:val="Tabletext1"/>
              <w:keepNext/>
              <w:rPr>
                <w:lang w:eastAsia="en-US"/>
              </w:rPr>
            </w:pPr>
            <w:r>
              <w:rPr>
                <w:lang w:eastAsia="en-US"/>
              </w:rPr>
              <w:t>10:00</w:t>
            </w:r>
          </w:p>
        </w:tc>
        <w:tc>
          <w:tcPr>
            <w:tcW w:w="765" w:type="pct"/>
          </w:tcPr>
          <w:p w:rsidR="001A6FF0" w:rsidRDefault="001A6FF0" w:rsidP="00BC2239">
            <w:pPr>
              <w:pStyle w:val="Tabletext1"/>
              <w:keepNext/>
              <w:rPr>
                <w:lang w:eastAsia="en-US"/>
              </w:rPr>
            </w:pPr>
            <w:r>
              <w:rPr>
                <w:lang w:eastAsia="en-US"/>
              </w:rPr>
              <w:t>15:05</w:t>
            </w:r>
          </w:p>
          <w:p w:rsidR="001A6FF0" w:rsidRDefault="001A6FF0" w:rsidP="00BC2239">
            <w:pPr>
              <w:pStyle w:val="Tabletext1"/>
              <w:keepNext/>
              <w:rPr>
                <w:lang w:eastAsia="en-US"/>
              </w:rPr>
            </w:pPr>
            <w:r>
              <w:rPr>
                <w:lang w:eastAsia="en-US"/>
              </w:rPr>
              <w:t>8:00</w:t>
            </w:r>
          </w:p>
        </w:tc>
      </w:tr>
      <w:tr w:rsidR="001A6FF0" w:rsidRPr="00F53467" w:rsidTr="00BC2239">
        <w:tc>
          <w:tcPr>
            <w:tcW w:w="1145" w:type="pct"/>
          </w:tcPr>
          <w:p w:rsidR="001A6FF0" w:rsidRDefault="001A6FF0" w:rsidP="00BC2239">
            <w:pPr>
              <w:pStyle w:val="Tabletext1"/>
              <w:keepNext/>
              <w:rPr>
                <w:lang w:eastAsia="en-US"/>
              </w:rPr>
            </w:pPr>
            <w:r>
              <w:rPr>
                <w:lang w:eastAsia="en-US"/>
              </w:rPr>
              <w:t>Orlikowski 2011</w:t>
            </w:r>
          </w:p>
          <w:p w:rsidR="001A6FF0" w:rsidRDefault="001A6FF0" w:rsidP="00BC2239">
            <w:pPr>
              <w:pStyle w:val="Tabletext1"/>
              <w:keepNext/>
              <w:rPr>
                <w:lang w:eastAsia="en-US"/>
              </w:rPr>
            </w:pPr>
            <w:r>
              <w:rPr>
                <w:lang w:eastAsia="en-US"/>
              </w:rPr>
              <w:t>Time until hypercapnia, supine (min)</w:t>
            </w:r>
          </w:p>
        </w:tc>
        <w:tc>
          <w:tcPr>
            <w:tcW w:w="581" w:type="pct"/>
          </w:tcPr>
          <w:p w:rsidR="001A6FF0" w:rsidRDefault="001A6FF0" w:rsidP="00BC2239">
            <w:pPr>
              <w:pStyle w:val="Tabletext1"/>
              <w:keepNext/>
              <w:rPr>
                <w:lang w:eastAsia="en-US"/>
              </w:rPr>
            </w:pPr>
            <w:r>
              <w:rPr>
                <w:lang w:eastAsia="en-US"/>
              </w:rPr>
              <w:t>Patient 1</w:t>
            </w:r>
          </w:p>
          <w:p w:rsidR="001A6FF0" w:rsidRDefault="001A6FF0" w:rsidP="00BC2239">
            <w:pPr>
              <w:pStyle w:val="Tabletext1"/>
              <w:keepNext/>
              <w:rPr>
                <w:lang w:eastAsia="en-US"/>
              </w:rPr>
            </w:pPr>
            <w:r>
              <w:rPr>
                <w:lang w:eastAsia="en-US"/>
              </w:rPr>
              <w:t>Patient 5</w:t>
            </w:r>
          </w:p>
        </w:tc>
        <w:tc>
          <w:tcPr>
            <w:tcW w:w="583" w:type="pct"/>
          </w:tcPr>
          <w:p w:rsidR="001A6FF0" w:rsidRDefault="001A6FF0" w:rsidP="00BC2239">
            <w:pPr>
              <w:pStyle w:val="Tabletext1"/>
              <w:keepNext/>
              <w:rPr>
                <w:lang w:eastAsia="en-US"/>
              </w:rPr>
            </w:pPr>
            <w:r>
              <w:rPr>
                <w:lang w:eastAsia="en-US"/>
              </w:rPr>
              <w:t>1:45</w:t>
            </w:r>
          </w:p>
          <w:p w:rsidR="001A6FF0" w:rsidRDefault="001A6FF0" w:rsidP="00BC2239">
            <w:pPr>
              <w:pStyle w:val="Tabletext1"/>
              <w:keepNext/>
              <w:rPr>
                <w:lang w:eastAsia="en-US"/>
              </w:rPr>
            </w:pPr>
            <w:r>
              <w:rPr>
                <w:lang w:eastAsia="en-US"/>
              </w:rPr>
              <w:t>0:00</w:t>
            </w:r>
          </w:p>
        </w:tc>
        <w:tc>
          <w:tcPr>
            <w:tcW w:w="678" w:type="pct"/>
            <w:tcBorders>
              <w:right w:val="single" w:sz="4" w:space="0" w:color="auto"/>
            </w:tcBorders>
          </w:tcPr>
          <w:p w:rsidR="001A6FF0" w:rsidRDefault="001A6FF0" w:rsidP="00BC2239">
            <w:pPr>
              <w:pStyle w:val="Tabletext1"/>
              <w:keepNext/>
              <w:rPr>
                <w:lang w:eastAsia="en-US"/>
              </w:rPr>
            </w:pPr>
            <w:r>
              <w:rPr>
                <w:lang w:eastAsia="en-US"/>
              </w:rPr>
              <w:t>3:20</w:t>
            </w:r>
          </w:p>
          <w:p w:rsidR="001A6FF0" w:rsidRDefault="001A6FF0" w:rsidP="00BC2239">
            <w:pPr>
              <w:pStyle w:val="Tabletext1"/>
              <w:keepNext/>
              <w:rPr>
                <w:lang w:eastAsia="en-US"/>
              </w:rPr>
            </w:pPr>
            <w:r>
              <w:rPr>
                <w:lang w:eastAsia="en-US"/>
              </w:rPr>
              <w:t>2:00</w:t>
            </w:r>
          </w:p>
        </w:tc>
        <w:tc>
          <w:tcPr>
            <w:tcW w:w="481" w:type="pct"/>
            <w:tcBorders>
              <w:left w:val="single" w:sz="4" w:space="0" w:color="auto"/>
            </w:tcBorders>
          </w:tcPr>
          <w:p w:rsidR="001A6FF0" w:rsidRDefault="001A6FF0" w:rsidP="00BC2239">
            <w:pPr>
              <w:pStyle w:val="Tabletext1"/>
              <w:keepNext/>
              <w:rPr>
                <w:lang w:eastAsia="en-US"/>
              </w:rPr>
            </w:pPr>
            <w:r>
              <w:rPr>
                <w:lang w:eastAsia="en-US"/>
              </w:rPr>
              <w:t>1:35</w:t>
            </w:r>
          </w:p>
          <w:p w:rsidR="001A6FF0" w:rsidRDefault="001A6FF0" w:rsidP="00BC2239">
            <w:pPr>
              <w:pStyle w:val="Tabletext1"/>
              <w:keepNext/>
              <w:rPr>
                <w:lang w:eastAsia="en-US"/>
              </w:rPr>
            </w:pPr>
            <w:r>
              <w:rPr>
                <w:lang w:eastAsia="en-US"/>
              </w:rPr>
              <w:t>2:00</w:t>
            </w:r>
          </w:p>
          <w:p w:rsidR="001A6FF0" w:rsidRDefault="001A6FF0" w:rsidP="00BC2239">
            <w:pPr>
              <w:pStyle w:val="Tabletext1"/>
              <w:keepNext/>
              <w:rPr>
                <w:lang w:eastAsia="en-US"/>
              </w:rPr>
            </w:pPr>
          </w:p>
        </w:tc>
        <w:tc>
          <w:tcPr>
            <w:tcW w:w="766" w:type="pct"/>
          </w:tcPr>
          <w:p w:rsidR="001A6FF0" w:rsidRDefault="001A6FF0" w:rsidP="00BC2239">
            <w:pPr>
              <w:pStyle w:val="Tabletext1"/>
              <w:keepNext/>
              <w:rPr>
                <w:lang w:eastAsia="en-US"/>
              </w:rPr>
            </w:pPr>
            <w:r>
              <w:rPr>
                <w:lang w:eastAsia="en-US"/>
              </w:rPr>
              <w:t>15:00</w:t>
            </w:r>
          </w:p>
          <w:p w:rsidR="001A6FF0" w:rsidRDefault="001A6FF0" w:rsidP="00BC2239">
            <w:pPr>
              <w:pStyle w:val="Tabletext1"/>
              <w:keepNext/>
              <w:rPr>
                <w:lang w:eastAsia="en-US"/>
              </w:rPr>
            </w:pPr>
            <w:r>
              <w:rPr>
                <w:lang w:eastAsia="en-US"/>
              </w:rPr>
              <w:t>Not done</w:t>
            </w:r>
          </w:p>
        </w:tc>
        <w:tc>
          <w:tcPr>
            <w:tcW w:w="765" w:type="pct"/>
          </w:tcPr>
          <w:p w:rsidR="001A6FF0" w:rsidRDefault="001A6FF0" w:rsidP="00BC2239">
            <w:pPr>
              <w:pStyle w:val="Tabletext1"/>
              <w:keepNext/>
              <w:rPr>
                <w:lang w:eastAsia="en-US"/>
              </w:rPr>
            </w:pPr>
            <w:r>
              <w:rPr>
                <w:lang w:eastAsia="en-US"/>
              </w:rPr>
              <w:t>13:15</w:t>
            </w:r>
          </w:p>
          <w:p w:rsidR="001A6FF0" w:rsidRDefault="001A6FF0" w:rsidP="00BC2239">
            <w:pPr>
              <w:pStyle w:val="Tabletext1"/>
              <w:keepNext/>
              <w:rPr>
                <w:lang w:eastAsia="en-US"/>
              </w:rPr>
            </w:pPr>
          </w:p>
        </w:tc>
      </w:tr>
    </w:tbl>
    <w:p w:rsidR="001A6FF0" w:rsidRDefault="001A6FF0" w:rsidP="00793A68">
      <w:pPr>
        <w:pStyle w:val="TableNote"/>
        <w:rPr>
          <w:lang w:eastAsia="en-US"/>
        </w:rPr>
      </w:pPr>
      <w:r>
        <w:rPr>
          <w:lang w:eastAsia="en-US"/>
        </w:rPr>
        <w:t xml:space="preserve">ERT = enzyme replacement therapy; NR = not reported; JOPD = juvenile </w:t>
      </w:r>
      <w:r w:rsidR="00926546">
        <w:rPr>
          <w:lang w:eastAsia="en-US"/>
        </w:rPr>
        <w:t xml:space="preserve">late </w:t>
      </w:r>
      <w:r>
        <w:rPr>
          <w:lang w:eastAsia="en-US"/>
        </w:rPr>
        <w:t>onset Pompe disease</w:t>
      </w:r>
    </w:p>
    <w:p w:rsidR="001A6FF0" w:rsidRDefault="001A6FF0" w:rsidP="001A6FF0">
      <w:pPr>
        <w:spacing w:after="0" w:line="240" w:lineRule="auto"/>
      </w:pPr>
    </w:p>
    <w:p w:rsidR="001A6FF0" w:rsidRDefault="001A6FF0" w:rsidP="001A6FF0">
      <w:r>
        <w:t xml:space="preserve">An overview of </w:t>
      </w:r>
      <w:r w:rsidR="00793A68">
        <w:t xml:space="preserve">cardiorespiratory function assessed by </w:t>
      </w:r>
      <w:r>
        <w:t>the ventilation needs measured in case reports of JOPD patients suggests an overall trend of stabilised or decreasing need</w:t>
      </w:r>
      <w:r w:rsidR="00B958DB">
        <w:t xml:space="preserve"> </w:t>
      </w:r>
      <w:r w:rsidR="00B958DB" w:rsidRPr="00FE08CA">
        <w:t xml:space="preserve">(GRADE </w:t>
      </w:r>
      <w:r w:rsidR="00B958DB" w:rsidRPr="00FE08CA">
        <w:rPr>
          <w:rFonts w:ascii="Cambria Math" w:hAnsi="Cambria Math" w:cs="Cambria Math"/>
          <w:color w:val="00B050"/>
        </w:rPr>
        <w:t>⨁</w:t>
      </w:r>
      <w:r w:rsidR="00B958DB" w:rsidRPr="00FE08CA">
        <w:rPr>
          <w:rFonts w:ascii="Cambria Math" w:hAnsi="Cambria Math" w:cs="Cambria Math"/>
          <w:color w:val="C00000"/>
        </w:rPr>
        <w:t>⨀⨀⨀</w:t>
      </w:r>
      <w:r w:rsidR="00B958DB" w:rsidRPr="00FE08CA">
        <w:rPr>
          <w:rFonts w:cs="Cambria Math"/>
          <w:spacing w:val="-20"/>
        </w:rPr>
        <w:t>)</w:t>
      </w:r>
      <w:r>
        <w:t>. Ventilation time decreased in one patient indicating improvement after 12 months of ERT and remained stable in another at the</w:t>
      </w:r>
      <w:r w:rsidR="00DB5C21">
        <w:t xml:space="preserve"> same time point. After 8 years</w:t>
      </w:r>
      <w:r>
        <w:t xml:space="preserve"> of ERT the same two patients showed no further change. These results support the hypothesis that ERT generates improvement the first few months of administration and ther</w:t>
      </w:r>
      <w:r w:rsidR="00D678EB">
        <w:t xml:space="preserve">eafter sustains stabilisation. </w:t>
      </w:r>
      <w:r>
        <w:t xml:space="preserve">Patient need for assisted ventilation requirements are more varied. Out of four cases in one study, three showed improvement after 1 year of ERT but one increased their need for assisted ventilation. </w:t>
      </w:r>
    </w:p>
    <w:p w:rsidR="001A6FF0" w:rsidRPr="00D22E5B" w:rsidRDefault="001A6FF0" w:rsidP="001A6FF0">
      <w:r>
        <w:t>Other measures also showed long-term improvement or stabilisation: overnight O</w:t>
      </w:r>
      <w:r w:rsidRPr="00FD622D">
        <w:rPr>
          <w:vertAlign w:val="subscript"/>
        </w:rPr>
        <w:t>2</w:t>
      </w:r>
      <w:r>
        <w:t xml:space="preserve"> saturation improved after 18 months ERT in one patient, and time to hypercapnia indicated improved respiration after 1 year ERT. T</w:t>
      </w:r>
      <w:r w:rsidR="002C115C">
        <w:t>hree</w:t>
      </w:r>
      <w:r>
        <w:t xml:space="preserve"> patients in a study by Parks et al, 2014 </w:t>
      </w:r>
      <w:r>
        <w:rPr>
          <w:noProof/>
        </w:rPr>
        <w:t>(</w:t>
      </w:r>
      <w:r w:rsidR="00184B6F">
        <w:rPr>
          <w:noProof/>
        </w:rPr>
        <w:t>Park et al. 2014</w:t>
      </w:r>
      <w:r>
        <w:rPr>
          <w:noProof/>
        </w:rPr>
        <w:t>)</w:t>
      </w:r>
      <w:r>
        <w:t xml:space="preserve"> </w:t>
      </w:r>
      <w:r w:rsidR="002C115C">
        <w:t xml:space="preserve">were </w:t>
      </w:r>
      <w:r>
        <w:t xml:space="preserve">reported </w:t>
      </w:r>
      <w:r w:rsidR="002C115C">
        <w:t>to have</w:t>
      </w:r>
      <w:r>
        <w:t xml:space="preserve"> no change in terms of respiratory patterns or </w:t>
      </w:r>
      <w:r w:rsidR="002C115C">
        <w:t>duration</w:t>
      </w:r>
      <w:r>
        <w:t xml:space="preserve"> </w:t>
      </w:r>
      <w:r w:rsidR="002C115C">
        <w:t>of</w:t>
      </w:r>
      <w:r>
        <w:t xml:space="preserve"> </w:t>
      </w:r>
      <w:r w:rsidR="002C115C">
        <w:t>artificial</w:t>
      </w:r>
      <w:r>
        <w:t xml:space="preserve"> ventilation during ERT compared to baseline. In contrast a patient severely affected by JOPD at baseline required continuous intermittent mandatory ventilation through tracheostomy and O</w:t>
      </w:r>
      <w:r>
        <w:rPr>
          <w:vertAlign w:val="subscript"/>
        </w:rPr>
        <w:t>2</w:t>
      </w:r>
      <w:r>
        <w:t xml:space="preserve"> supplementation for about 8 hours per night on most nights, throughout the 20 week ERT treatment period and subsequently died </w:t>
      </w:r>
      <w:r>
        <w:rPr>
          <w:noProof/>
        </w:rPr>
        <w:t>(</w:t>
      </w:r>
      <w:r w:rsidR="00184B6F">
        <w:rPr>
          <w:noProof/>
        </w:rPr>
        <w:t>Rossi et al. 2007</w:t>
      </w:r>
      <w:r>
        <w:rPr>
          <w:noProof/>
        </w:rPr>
        <w:t>)</w:t>
      </w:r>
      <w:r>
        <w:t>.</w:t>
      </w:r>
    </w:p>
    <w:p w:rsidR="001A6FF0" w:rsidRDefault="001A6FF0" w:rsidP="001A6FF0"/>
    <w:p w:rsidR="001A6FF0" w:rsidRDefault="00793A68" w:rsidP="00A979FB">
      <w:pPr>
        <w:pStyle w:val="Heading5"/>
      </w:pPr>
      <w:r>
        <w:lastRenderedPageBreak/>
        <w:t>Gross motor function</w:t>
      </w:r>
    </w:p>
    <w:p w:rsidR="001A6FF0" w:rsidRDefault="001A6FF0" w:rsidP="001A6FF0">
      <w:r>
        <w:t xml:space="preserve">Objective muscle weakness and functioning was measured in a </w:t>
      </w:r>
      <w:r w:rsidR="00DB5C21">
        <w:t xml:space="preserve">variety of ways by the studies included, such as the 6MWT, global motor functioning and disability, gross motor functioning, muscle strength, motor testing, and levels of fatigue. </w:t>
      </w:r>
      <w:r w:rsidR="00793A68">
        <w:t>These assessments are considered together here as surrogate measures of gross-motor function. Fatigue and 6MWT can also be indicators of cardiovascular function.</w:t>
      </w:r>
    </w:p>
    <w:p w:rsidR="001A6FF0" w:rsidRDefault="001A6FF0" w:rsidP="00A979FB">
      <w:pPr>
        <w:pStyle w:val="Heading5"/>
      </w:pPr>
      <w:r>
        <w:t>Distance walked</w:t>
      </w:r>
    </w:p>
    <w:p w:rsidR="001A6FF0" w:rsidRDefault="001A6FF0" w:rsidP="001A6FF0">
      <w:r>
        <w:t>Six articles published data on how far patients with JOPD could walk on the 6MWT or ten minute walk test (10MWT) before and after treatment with alglucosidase alfa (Bembi et al 2010; Deroma et al 2014</w:t>
      </w:r>
      <w:r w:rsidRPr="00366AB8">
        <w:t>; Merk et al 2008; Ishigaki</w:t>
      </w:r>
      <w:r>
        <w:t xml:space="preserve"> et al 2012; von Capelle et al 2010; Korpela et al 2009). </w:t>
      </w:r>
    </w:p>
    <w:p w:rsidR="001A6FF0" w:rsidRPr="00E07C77" w:rsidRDefault="001A6FF0" w:rsidP="001A6FF0">
      <w:r>
        <w:t xml:space="preserve">Similar improvements were seen across most cases, with </w:t>
      </w:r>
      <w:r w:rsidR="005E0277">
        <w:t xml:space="preserve">clinically important </w:t>
      </w:r>
      <w:r>
        <w:t>improvements observed over time</w:t>
      </w:r>
      <w:r w:rsidR="005E0277">
        <w:rPr>
          <w:rStyle w:val="FootnoteReference"/>
        </w:rPr>
        <w:footnoteReference w:id="14"/>
      </w:r>
      <w:r>
        <w:t xml:space="preserve">, particularly in the short term </w:t>
      </w:r>
      <w:r w:rsidRPr="00FE08CA">
        <w:t xml:space="preserve">(GRADE </w:t>
      </w:r>
      <w:r w:rsidRPr="00FE08CA">
        <w:rPr>
          <w:rFonts w:ascii="Cambria Math" w:hAnsi="Cambria Math" w:cs="Cambria Math"/>
          <w:color w:val="00B050"/>
        </w:rPr>
        <w:t>⨁</w:t>
      </w:r>
      <w:r w:rsidRPr="00FE08CA">
        <w:rPr>
          <w:rFonts w:ascii="Cambria Math" w:hAnsi="Cambria Math" w:cs="Cambria Math"/>
          <w:color w:val="C00000"/>
        </w:rPr>
        <w:t>⨀⨀⨀</w:t>
      </w:r>
      <w:r w:rsidRPr="00FE08CA">
        <w:rPr>
          <w:rFonts w:cs="Cambria Math"/>
          <w:spacing w:val="-20"/>
        </w:rPr>
        <w:t>)</w:t>
      </w:r>
      <w:r w:rsidRPr="00FE08CA">
        <w:rPr>
          <w:rFonts w:ascii="Cambria Math" w:hAnsi="Cambria Math" w:cs="Cambria Math"/>
        </w:rPr>
        <w:t>.</w:t>
      </w:r>
      <w:r>
        <w:rPr>
          <w:rFonts w:ascii="Cambria Math" w:hAnsi="Cambria Math" w:cs="Cambria Math"/>
        </w:rPr>
        <w:t xml:space="preserve"> </w:t>
      </w:r>
      <w:r w:rsidR="00024560" w:rsidRPr="00024560">
        <w:t xml:space="preserve">There were two exceptions to this, Patient 7, discussed by Deroma et al (2014) </w:t>
      </w:r>
      <w:r w:rsidR="006F7828">
        <w:t>(</w:t>
      </w:r>
      <w:r w:rsidR="006E457E">
        <w:t xml:space="preserve">a patient </w:t>
      </w:r>
      <w:r w:rsidR="006F7828">
        <w:t xml:space="preserve">who was not considered to have any significant muscle impairment at baseline) </w:t>
      </w:r>
      <w:r w:rsidR="00024560" w:rsidRPr="00024560">
        <w:t xml:space="preserve">and the single case </w:t>
      </w:r>
      <w:r w:rsidRPr="00024560">
        <w:t>reported by Merk et al (20</w:t>
      </w:r>
      <w:r w:rsidRPr="00930936">
        <w:rPr>
          <w:rFonts w:ascii="Tahoma" w:hAnsi="Tahoma" w:cs="Tahoma"/>
          <w:sz w:val="22"/>
          <w:szCs w:val="22"/>
        </w:rPr>
        <w:t>08)</w:t>
      </w:r>
      <w:r w:rsidR="00024560">
        <w:rPr>
          <w:rFonts w:ascii="Tahoma" w:hAnsi="Tahoma" w:cs="Tahoma"/>
          <w:sz w:val="22"/>
          <w:szCs w:val="22"/>
        </w:rPr>
        <w:t>. Merk et al (2008) reported on</w:t>
      </w:r>
      <w:r>
        <w:t xml:space="preserve"> a 41 year old woman, whose symptoms of PD started at age 15 years. She had seriously impaired mobility, which did not allow her to perform the 6MWT at either time point, despite respiratory improvements.</w:t>
      </w:r>
    </w:p>
    <w:p w:rsidR="001A6FF0" w:rsidRDefault="001A6FF0" w:rsidP="001A6FF0">
      <w:r>
        <w:t xml:space="preserve">Bembi et al (2010) reported that all juvenile patients (mean age at onset was 2.5 years) had an improvement in walking performance on the 6MWT over 3 years, with the greatest change seen in the first 12 months. After three years of alglucosidase alfa, JOPD patients were able to walk an average of 192 metres further than at baseline, which is similar to the improvement reported by van Capelle (2010) (mean improvement 157.7 metres) and Deroma et al (2014) (mean of 209.2 metres improvement) after 4-5 years. </w:t>
      </w:r>
      <w:r w:rsidR="0056276F">
        <w:t xml:space="preserve">In all three studies, the patients were treated when they aged between 5.9 years and 15.2 years. </w:t>
      </w:r>
    </w:p>
    <w:p w:rsidR="001A6FF0" w:rsidRDefault="001A6FF0" w:rsidP="001A6FF0">
      <w:r>
        <w:t xml:space="preserve">Ishigaki et al (2012) reported on a single case, </w:t>
      </w:r>
      <w:r w:rsidR="00F87099">
        <w:t>which</w:t>
      </w:r>
      <w:r>
        <w:t xml:space="preserve"> first showed symptoms of JOPD at age 2, and started to receive ERT at age 10. He improved on the 6MWT over the first 8 months, at which point his progress halted (results presented graphically). For a healthy child aged between 6 and 8 years, the reference range is 577.8 ±  56.1 metres, and for a child aged 9 to 11 years, the reference range is 672 ± 61.6 metres</w:t>
      </w:r>
      <w:r w:rsidRPr="008872E9">
        <w:t xml:space="preserve"> </w:t>
      </w:r>
      <w:r w:rsidR="003303FE">
        <w:rPr>
          <w:noProof/>
        </w:rPr>
        <w:t>(</w:t>
      </w:r>
      <w:r w:rsidR="00184B6F">
        <w:rPr>
          <w:noProof/>
        </w:rPr>
        <w:t>Ishigaki et al. 2012</w:t>
      </w:r>
      <w:r w:rsidR="003303FE">
        <w:rPr>
          <w:noProof/>
        </w:rPr>
        <w:t>)</w:t>
      </w:r>
      <w:r>
        <w:t xml:space="preserve">. </w:t>
      </w:r>
    </w:p>
    <w:p w:rsidR="001A6FF0" w:rsidRDefault="001A6FF0" w:rsidP="00F71730">
      <w:pPr>
        <w:pStyle w:val="Figureheading0"/>
        <w:keepNext/>
        <w:ind w:left="1418" w:hanging="1418"/>
      </w:pPr>
      <w:bookmarkStart w:id="344" w:name="_Toc411509177"/>
      <w:bookmarkStart w:id="345" w:name="_Toc415141877"/>
      <w:r>
        <w:lastRenderedPageBreak/>
        <w:t xml:space="preserve">Table </w:t>
      </w:r>
      <w:r w:rsidR="00A72B26">
        <w:rPr>
          <w:noProof/>
        </w:rPr>
        <w:t>80</w:t>
      </w:r>
      <w:r>
        <w:tab/>
        <w:t xml:space="preserve">Walking performance on 6MWT (metres) or 10MWT (metres) </w:t>
      </w:r>
      <w:r w:rsidR="00DF5C70">
        <w:t>before and after alglucosidase alfa in patients with JOPD</w:t>
      </w:r>
      <w:bookmarkEnd w:id="344"/>
      <w:bookmarkEnd w:id="345"/>
    </w:p>
    <w:tbl>
      <w:tblPr>
        <w:tblStyle w:val="TableGrid"/>
        <w:tblW w:w="5000" w:type="pct"/>
        <w:tblLook w:val="04A0" w:firstRow="1" w:lastRow="0" w:firstColumn="1" w:lastColumn="0" w:noHBand="0" w:noVBand="1"/>
        <w:tblCaption w:val="Walking performance before and after alglucosidase alfa"/>
      </w:tblPr>
      <w:tblGrid>
        <w:gridCol w:w="1178"/>
        <w:gridCol w:w="1218"/>
        <w:gridCol w:w="1747"/>
        <w:gridCol w:w="1390"/>
        <w:gridCol w:w="2116"/>
        <w:gridCol w:w="1593"/>
      </w:tblGrid>
      <w:tr w:rsidR="001A6FF0" w:rsidRPr="008F5C81" w:rsidTr="009A0365">
        <w:trPr>
          <w:tblHeader/>
        </w:trPr>
        <w:tc>
          <w:tcPr>
            <w:tcW w:w="637" w:type="pct"/>
            <w:tcBorders>
              <w:right w:val="single" w:sz="4" w:space="0" w:color="auto"/>
            </w:tcBorders>
          </w:tcPr>
          <w:p w:rsidR="001A6FF0" w:rsidRDefault="001A6FF0" w:rsidP="003F3CC2">
            <w:pPr>
              <w:pStyle w:val="Tabletext1"/>
              <w:keepNext/>
              <w:rPr>
                <w:b/>
                <w:lang w:eastAsia="en-US"/>
              </w:rPr>
            </w:pPr>
            <w:r>
              <w:rPr>
                <w:b/>
                <w:lang w:eastAsia="en-US"/>
              </w:rPr>
              <w:t>Study</w:t>
            </w:r>
          </w:p>
          <w:p w:rsidR="001A6FF0" w:rsidRPr="008F5C81" w:rsidRDefault="001A6FF0" w:rsidP="003F3CC2">
            <w:pPr>
              <w:pStyle w:val="Tabletext1"/>
              <w:keepNext/>
              <w:rPr>
                <w:b/>
                <w:lang w:eastAsia="en-US"/>
              </w:rPr>
            </w:pPr>
            <w:r>
              <w:rPr>
                <w:b/>
                <w:lang w:eastAsia="en-US"/>
              </w:rPr>
              <w:t>Measure</w:t>
            </w:r>
          </w:p>
        </w:tc>
        <w:tc>
          <w:tcPr>
            <w:tcW w:w="659" w:type="pct"/>
            <w:tcBorders>
              <w:left w:val="single" w:sz="4" w:space="0" w:color="auto"/>
              <w:right w:val="single" w:sz="4" w:space="0" w:color="auto"/>
            </w:tcBorders>
          </w:tcPr>
          <w:p w:rsidR="001A6FF0" w:rsidRPr="008F5C81" w:rsidRDefault="001A6FF0" w:rsidP="003F3CC2">
            <w:pPr>
              <w:pStyle w:val="Tabletext1"/>
              <w:keepNext/>
              <w:rPr>
                <w:b/>
                <w:lang w:eastAsia="en-US"/>
              </w:rPr>
            </w:pPr>
            <w:r>
              <w:rPr>
                <w:b/>
                <w:lang w:eastAsia="en-US"/>
              </w:rPr>
              <w:t>Sample</w:t>
            </w:r>
          </w:p>
        </w:tc>
        <w:tc>
          <w:tcPr>
            <w:tcW w:w="945" w:type="pct"/>
            <w:tcBorders>
              <w:right w:val="single" w:sz="4" w:space="0" w:color="auto"/>
            </w:tcBorders>
          </w:tcPr>
          <w:p w:rsidR="001A6FF0" w:rsidRPr="008F5C81" w:rsidRDefault="001A6FF0" w:rsidP="003F3CC2">
            <w:pPr>
              <w:pStyle w:val="Tabletext1"/>
              <w:keepNext/>
              <w:rPr>
                <w:b/>
                <w:lang w:eastAsia="en-US"/>
              </w:rPr>
            </w:pPr>
            <w:r w:rsidRPr="008F5C81">
              <w:rPr>
                <w:b/>
                <w:lang w:eastAsia="en-US"/>
              </w:rPr>
              <w:t>Baseline</w:t>
            </w:r>
            <w:r>
              <w:rPr>
                <w:b/>
                <w:lang w:eastAsia="en-US"/>
              </w:rPr>
              <w:t xml:space="preserve"> </w:t>
            </w:r>
          </w:p>
        </w:tc>
        <w:tc>
          <w:tcPr>
            <w:tcW w:w="752" w:type="pct"/>
            <w:tcBorders>
              <w:left w:val="single" w:sz="4" w:space="0" w:color="auto"/>
            </w:tcBorders>
          </w:tcPr>
          <w:p w:rsidR="001A6FF0" w:rsidRPr="008F5C81" w:rsidRDefault="001A6FF0" w:rsidP="003F3CC2">
            <w:pPr>
              <w:pStyle w:val="Tabletext1"/>
              <w:keepNext/>
              <w:rPr>
                <w:b/>
                <w:lang w:eastAsia="en-US"/>
              </w:rPr>
            </w:pPr>
            <w:r>
              <w:rPr>
                <w:b/>
                <w:lang w:eastAsia="en-US"/>
              </w:rPr>
              <w:t>Follow-up length</w:t>
            </w:r>
          </w:p>
        </w:tc>
        <w:tc>
          <w:tcPr>
            <w:tcW w:w="1145" w:type="pct"/>
          </w:tcPr>
          <w:p w:rsidR="001A6FF0" w:rsidRPr="008F5C81" w:rsidRDefault="001A6FF0" w:rsidP="003F3CC2">
            <w:pPr>
              <w:pStyle w:val="Tabletext1"/>
              <w:keepNext/>
              <w:rPr>
                <w:b/>
                <w:lang w:eastAsia="en-US"/>
              </w:rPr>
            </w:pPr>
            <w:r>
              <w:rPr>
                <w:b/>
                <w:lang w:eastAsia="en-US"/>
              </w:rPr>
              <w:t xml:space="preserve">Follow-up </w:t>
            </w:r>
          </w:p>
        </w:tc>
        <w:tc>
          <w:tcPr>
            <w:tcW w:w="862" w:type="pct"/>
          </w:tcPr>
          <w:p w:rsidR="001A6FF0" w:rsidRDefault="001A6FF0" w:rsidP="003F3CC2">
            <w:pPr>
              <w:pStyle w:val="Tabletext1"/>
              <w:keepNext/>
              <w:rPr>
                <w:b/>
                <w:lang w:eastAsia="en-US"/>
              </w:rPr>
            </w:pPr>
            <w:r>
              <w:rPr>
                <w:b/>
                <w:lang w:eastAsia="en-US"/>
              </w:rPr>
              <w:t xml:space="preserve">Change </w:t>
            </w:r>
          </w:p>
        </w:tc>
      </w:tr>
      <w:tr w:rsidR="001A6FF0" w:rsidRPr="008F5C81" w:rsidTr="00BC2239">
        <w:tc>
          <w:tcPr>
            <w:tcW w:w="637" w:type="pct"/>
            <w:tcBorders>
              <w:right w:val="single" w:sz="4" w:space="0" w:color="auto"/>
            </w:tcBorders>
          </w:tcPr>
          <w:p w:rsidR="001A6FF0" w:rsidRDefault="003303FE" w:rsidP="003F3CC2">
            <w:pPr>
              <w:pStyle w:val="Tabletext1"/>
              <w:keepNext/>
              <w:rPr>
                <w:lang w:eastAsia="en-US"/>
              </w:rPr>
            </w:pPr>
            <w:r>
              <w:rPr>
                <w:noProof/>
                <w:lang w:eastAsia="en-US"/>
              </w:rPr>
              <w:t>(</w:t>
            </w:r>
            <w:r w:rsidR="00184B6F">
              <w:rPr>
                <w:noProof/>
                <w:lang w:eastAsia="en-US"/>
              </w:rPr>
              <w:t>Bembi et al. 2010</w:t>
            </w:r>
            <w:r>
              <w:rPr>
                <w:noProof/>
                <w:lang w:eastAsia="en-US"/>
              </w:rPr>
              <w:t>)</w:t>
            </w:r>
          </w:p>
          <w:p w:rsidR="001A6FF0" w:rsidRPr="00BF48F4" w:rsidRDefault="001A6FF0" w:rsidP="003F3CC2">
            <w:pPr>
              <w:pStyle w:val="Tabletext1"/>
              <w:keepNext/>
              <w:rPr>
                <w:lang w:eastAsia="en-US"/>
              </w:rPr>
            </w:pPr>
            <w:r>
              <w:rPr>
                <w:lang w:eastAsia="en-US"/>
              </w:rPr>
              <w:t>6MWT</w:t>
            </w:r>
          </w:p>
        </w:tc>
        <w:tc>
          <w:tcPr>
            <w:tcW w:w="659" w:type="pct"/>
            <w:tcBorders>
              <w:left w:val="single" w:sz="4" w:space="0" w:color="auto"/>
              <w:right w:val="single" w:sz="4" w:space="0" w:color="auto"/>
            </w:tcBorders>
          </w:tcPr>
          <w:p w:rsidR="001A6FF0" w:rsidRPr="00BF48F4" w:rsidRDefault="001A6FF0" w:rsidP="003F3CC2">
            <w:pPr>
              <w:pStyle w:val="Tabletext1"/>
              <w:keepNext/>
              <w:rPr>
                <w:lang w:eastAsia="en-US"/>
              </w:rPr>
            </w:pPr>
            <w:r>
              <w:rPr>
                <w:lang w:eastAsia="en-US"/>
              </w:rPr>
              <w:t>n=7</w:t>
            </w:r>
          </w:p>
        </w:tc>
        <w:tc>
          <w:tcPr>
            <w:tcW w:w="945" w:type="pct"/>
            <w:tcBorders>
              <w:right w:val="single" w:sz="4" w:space="0" w:color="auto"/>
            </w:tcBorders>
          </w:tcPr>
          <w:p w:rsidR="001A6FF0" w:rsidRPr="00BF48F4" w:rsidRDefault="001A6FF0" w:rsidP="003F3CC2">
            <w:pPr>
              <w:pStyle w:val="Tabletext1"/>
              <w:keepNext/>
              <w:rPr>
                <w:lang w:eastAsia="en-US"/>
              </w:rPr>
            </w:pPr>
            <w:r>
              <w:rPr>
                <w:lang w:eastAsia="en-US"/>
              </w:rPr>
              <w:t>434.7 ± 260.8</w:t>
            </w:r>
          </w:p>
        </w:tc>
        <w:tc>
          <w:tcPr>
            <w:tcW w:w="752" w:type="pct"/>
            <w:tcBorders>
              <w:left w:val="single" w:sz="4" w:space="0" w:color="auto"/>
            </w:tcBorders>
          </w:tcPr>
          <w:p w:rsidR="001A6FF0" w:rsidRDefault="001A6FF0" w:rsidP="003F3CC2">
            <w:pPr>
              <w:pStyle w:val="Tabletext1"/>
              <w:keepNext/>
              <w:rPr>
                <w:lang w:eastAsia="en-US"/>
              </w:rPr>
            </w:pPr>
            <w:r>
              <w:rPr>
                <w:lang w:eastAsia="en-US"/>
              </w:rPr>
              <w:t>12 months</w:t>
            </w:r>
          </w:p>
          <w:p w:rsidR="001A6FF0" w:rsidRDefault="001A6FF0" w:rsidP="003F3CC2">
            <w:pPr>
              <w:pStyle w:val="Tabletext1"/>
              <w:keepNext/>
              <w:rPr>
                <w:lang w:eastAsia="en-US"/>
              </w:rPr>
            </w:pPr>
            <w:r>
              <w:rPr>
                <w:lang w:eastAsia="en-US"/>
              </w:rPr>
              <w:t>24 months</w:t>
            </w:r>
          </w:p>
          <w:p w:rsidR="001A6FF0" w:rsidRPr="00BF48F4" w:rsidRDefault="001A6FF0" w:rsidP="003F3CC2">
            <w:pPr>
              <w:pStyle w:val="Tabletext1"/>
              <w:keepNext/>
              <w:rPr>
                <w:lang w:eastAsia="en-US"/>
              </w:rPr>
            </w:pPr>
            <w:r>
              <w:rPr>
                <w:lang w:eastAsia="en-US"/>
              </w:rPr>
              <w:t xml:space="preserve">36 months </w:t>
            </w:r>
          </w:p>
        </w:tc>
        <w:tc>
          <w:tcPr>
            <w:tcW w:w="1145" w:type="pct"/>
          </w:tcPr>
          <w:p w:rsidR="001A6FF0" w:rsidRDefault="001A6FF0" w:rsidP="003F3CC2">
            <w:pPr>
              <w:pStyle w:val="Tabletext1"/>
              <w:keepNext/>
              <w:rPr>
                <w:lang w:eastAsia="en-US"/>
              </w:rPr>
            </w:pPr>
            <w:r>
              <w:rPr>
                <w:lang w:eastAsia="en-US"/>
              </w:rPr>
              <w:t>590.6 ± 213.6</w:t>
            </w:r>
          </w:p>
          <w:p w:rsidR="001A6FF0" w:rsidRDefault="001A6FF0" w:rsidP="003F3CC2">
            <w:pPr>
              <w:pStyle w:val="Tabletext1"/>
              <w:keepNext/>
              <w:rPr>
                <w:lang w:eastAsia="en-US"/>
              </w:rPr>
            </w:pPr>
            <w:r>
              <w:rPr>
                <w:lang w:eastAsia="en-US"/>
              </w:rPr>
              <w:t>599.6 ± 240.9 (n=6)</w:t>
            </w:r>
          </w:p>
          <w:p w:rsidR="001A6FF0" w:rsidRPr="00BF48F4" w:rsidRDefault="001A6FF0" w:rsidP="003F3CC2">
            <w:pPr>
              <w:pStyle w:val="Tabletext1"/>
              <w:keepNext/>
              <w:rPr>
                <w:lang w:eastAsia="en-US"/>
              </w:rPr>
            </w:pPr>
            <w:r>
              <w:rPr>
                <w:lang w:eastAsia="en-US"/>
              </w:rPr>
              <w:t>614.3 ± 233.1 (n=6)</w:t>
            </w:r>
          </w:p>
        </w:tc>
        <w:tc>
          <w:tcPr>
            <w:tcW w:w="862" w:type="pct"/>
          </w:tcPr>
          <w:p w:rsidR="001A6FF0" w:rsidRDefault="001A6FF0" w:rsidP="003F3CC2">
            <w:pPr>
              <w:pStyle w:val="Tabletext1"/>
              <w:keepNext/>
              <w:rPr>
                <w:lang w:eastAsia="en-US"/>
              </w:rPr>
            </w:pPr>
            <w:r>
              <w:rPr>
                <w:lang w:eastAsia="en-US"/>
              </w:rPr>
              <w:t>155.9 ± 195.9</w:t>
            </w:r>
          </w:p>
          <w:p w:rsidR="001A6FF0" w:rsidRDefault="001A6FF0" w:rsidP="003F3CC2">
            <w:pPr>
              <w:pStyle w:val="Tabletext1"/>
              <w:keepNext/>
              <w:rPr>
                <w:lang w:eastAsia="en-US"/>
              </w:rPr>
            </w:pPr>
            <w:r>
              <w:rPr>
                <w:lang w:eastAsia="en-US"/>
              </w:rPr>
              <w:t>188.0 ± 201.1</w:t>
            </w:r>
          </w:p>
          <w:p w:rsidR="001A6FF0" w:rsidRPr="00BF48F4" w:rsidRDefault="001A6FF0" w:rsidP="003F3CC2">
            <w:pPr>
              <w:pStyle w:val="Tabletext1"/>
              <w:keepNext/>
              <w:rPr>
                <w:lang w:eastAsia="en-US"/>
              </w:rPr>
            </w:pPr>
            <w:r>
              <w:rPr>
                <w:lang w:eastAsia="en-US"/>
              </w:rPr>
              <w:t>192.4 ± 203.7</w:t>
            </w:r>
          </w:p>
        </w:tc>
      </w:tr>
      <w:tr w:rsidR="001A6FF0" w:rsidTr="00BC2239">
        <w:tc>
          <w:tcPr>
            <w:tcW w:w="637" w:type="pct"/>
            <w:tcBorders>
              <w:right w:val="single" w:sz="4" w:space="0" w:color="auto"/>
            </w:tcBorders>
          </w:tcPr>
          <w:p w:rsidR="001A6FF0" w:rsidRDefault="001A6FF0" w:rsidP="003F3CC2">
            <w:pPr>
              <w:pStyle w:val="Tabletext1"/>
              <w:keepNext/>
              <w:rPr>
                <w:lang w:eastAsia="en-US"/>
              </w:rPr>
            </w:pPr>
            <w:r>
              <w:rPr>
                <w:lang w:eastAsia="en-US"/>
              </w:rPr>
              <w:t xml:space="preserve">Deroma et al 2014 </w:t>
            </w:r>
          </w:p>
          <w:p w:rsidR="001A6FF0" w:rsidRDefault="001A6FF0" w:rsidP="003F3CC2">
            <w:pPr>
              <w:pStyle w:val="Tabletext1"/>
              <w:keepNext/>
              <w:rPr>
                <w:lang w:eastAsia="en-US"/>
              </w:rPr>
            </w:pPr>
            <w:r>
              <w:rPr>
                <w:lang w:eastAsia="en-US"/>
              </w:rPr>
              <w:t>6MWT</w:t>
            </w:r>
          </w:p>
        </w:tc>
        <w:tc>
          <w:tcPr>
            <w:tcW w:w="659" w:type="pct"/>
            <w:tcBorders>
              <w:left w:val="single" w:sz="4" w:space="0" w:color="auto"/>
              <w:right w:val="single" w:sz="4" w:space="0" w:color="auto"/>
            </w:tcBorders>
          </w:tcPr>
          <w:p w:rsidR="001A6FF0" w:rsidRDefault="001A6FF0" w:rsidP="003F3CC2">
            <w:pPr>
              <w:pStyle w:val="Tabletext1"/>
              <w:keepNext/>
              <w:rPr>
                <w:lang w:eastAsia="en-US"/>
              </w:rPr>
            </w:pPr>
            <w:r>
              <w:rPr>
                <w:lang w:eastAsia="en-US"/>
              </w:rPr>
              <w:t>Patient 3</w:t>
            </w:r>
          </w:p>
          <w:p w:rsidR="001A6FF0" w:rsidRDefault="001A6FF0" w:rsidP="003F3CC2">
            <w:pPr>
              <w:pStyle w:val="Tabletext1"/>
              <w:keepNext/>
              <w:rPr>
                <w:lang w:eastAsia="en-US"/>
              </w:rPr>
            </w:pPr>
            <w:r>
              <w:rPr>
                <w:lang w:eastAsia="en-US"/>
              </w:rPr>
              <w:t>Patient 4</w:t>
            </w:r>
          </w:p>
          <w:p w:rsidR="001A6FF0" w:rsidRDefault="001A6FF0" w:rsidP="003F3CC2">
            <w:pPr>
              <w:pStyle w:val="Tabletext1"/>
              <w:keepNext/>
              <w:rPr>
                <w:lang w:eastAsia="en-US"/>
              </w:rPr>
            </w:pPr>
            <w:r>
              <w:rPr>
                <w:lang w:eastAsia="en-US"/>
              </w:rPr>
              <w:t>Patient 5</w:t>
            </w:r>
          </w:p>
          <w:p w:rsidR="001A6FF0" w:rsidRDefault="001A6FF0" w:rsidP="003F3CC2">
            <w:pPr>
              <w:pStyle w:val="Tabletext1"/>
              <w:keepNext/>
              <w:rPr>
                <w:lang w:eastAsia="en-US"/>
              </w:rPr>
            </w:pPr>
            <w:r>
              <w:rPr>
                <w:lang w:eastAsia="en-US"/>
              </w:rPr>
              <w:t xml:space="preserve">Patient 6 </w:t>
            </w:r>
          </w:p>
          <w:p w:rsidR="001A6FF0" w:rsidRDefault="001A6FF0" w:rsidP="003F3CC2">
            <w:pPr>
              <w:pStyle w:val="Tabletext1"/>
              <w:keepNext/>
              <w:rPr>
                <w:lang w:eastAsia="en-US"/>
              </w:rPr>
            </w:pPr>
            <w:r>
              <w:rPr>
                <w:lang w:eastAsia="en-US"/>
              </w:rPr>
              <w:t>Patient 7</w:t>
            </w:r>
          </w:p>
          <w:p w:rsidR="001A6FF0" w:rsidRDefault="001A6FF0" w:rsidP="003F3CC2">
            <w:pPr>
              <w:pStyle w:val="Tabletext1"/>
              <w:keepNext/>
              <w:rPr>
                <w:lang w:eastAsia="en-US"/>
              </w:rPr>
            </w:pPr>
            <w:r>
              <w:rPr>
                <w:lang w:eastAsia="en-US"/>
              </w:rPr>
              <w:t>Mean ± SD</w:t>
            </w:r>
          </w:p>
        </w:tc>
        <w:tc>
          <w:tcPr>
            <w:tcW w:w="945" w:type="pct"/>
            <w:tcBorders>
              <w:right w:val="single" w:sz="4" w:space="0" w:color="auto"/>
            </w:tcBorders>
          </w:tcPr>
          <w:p w:rsidR="001A6FF0" w:rsidRDefault="001A6FF0" w:rsidP="003F3CC2">
            <w:pPr>
              <w:pStyle w:val="Tabletext1"/>
              <w:keepNext/>
              <w:rPr>
                <w:lang w:eastAsia="en-US"/>
              </w:rPr>
            </w:pPr>
            <w:r>
              <w:rPr>
                <w:lang w:eastAsia="en-US"/>
              </w:rPr>
              <w:t>617</w:t>
            </w:r>
          </w:p>
          <w:p w:rsidR="001A6FF0" w:rsidRDefault="001A6FF0" w:rsidP="003F3CC2">
            <w:pPr>
              <w:pStyle w:val="Tabletext1"/>
              <w:keepNext/>
              <w:rPr>
                <w:lang w:eastAsia="en-US"/>
              </w:rPr>
            </w:pPr>
            <w:r>
              <w:rPr>
                <w:lang w:eastAsia="en-US"/>
              </w:rPr>
              <w:t>15</w:t>
            </w:r>
          </w:p>
          <w:p w:rsidR="001A6FF0" w:rsidRDefault="001A6FF0" w:rsidP="003F3CC2">
            <w:pPr>
              <w:pStyle w:val="Tabletext1"/>
              <w:keepNext/>
              <w:rPr>
                <w:lang w:eastAsia="en-US"/>
              </w:rPr>
            </w:pPr>
            <w:r>
              <w:rPr>
                <w:lang w:eastAsia="en-US"/>
              </w:rPr>
              <w:t>580</w:t>
            </w:r>
          </w:p>
          <w:p w:rsidR="001A6FF0" w:rsidRDefault="001A6FF0" w:rsidP="003F3CC2">
            <w:pPr>
              <w:pStyle w:val="Tabletext1"/>
              <w:keepNext/>
              <w:rPr>
                <w:lang w:eastAsia="en-US"/>
              </w:rPr>
            </w:pPr>
            <w:r>
              <w:rPr>
                <w:lang w:eastAsia="en-US"/>
              </w:rPr>
              <w:t>690</w:t>
            </w:r>
          </w:p>
          <w:p w:rsidR="001A6FF0" w:rsidRDefault="001A6FF0" w:rsidP="003F3CC2">
            <w:pPr>
              <w:pStyle w:val="Tabletext1"/>
              <w:keepNext/>
              <w:rPr>
                <w:lang w:eastAsia="en-US"/>
              </w:rPr>
            </w:pPr>
            <w:r>
              <w:rPr>
                <w:lang w:eastAsia="en-US"/>
              </w:rPr>
              <w:t>636</w:t>
            </w:r>
          </w:p>
          <w:p w:rsidR="001A6FF0" w:rsidRDefault="001A6FF0" w:rsidP="003F3CC2">
            <w:pPr>
              <w:pStyle w:val="Tabletext1"/>
              <w:keepNext/>
              <w:rPr>
                <w:lang w:eastAsia="en-US"/>
              </w:rPr>
            </w:pPr>
            <w:r>
              <w:rPr>
                <w:lang w:eastAsia="en-US"/>
              </w:rPr>
              <w:t>507.6 ± 278.2</w:t>
            </w:r>
          </w:p>
        </w:tc>
        <w:tc>
          <w:tcPr>
            <w:tcW w:w="752" w:type="pct"/>
            <w:tcBorders>
              <w:left w:val="single" w:sz="4" w:space="0" w:color="auto"/>
            </w:tcBorders>
          </w:tcPr>
          <w:p w:rsidR="001A6FF0" w:rsidRDefault="001A6FF0" w:rsidP="002B131E">
            <w:pPr>
              <w:pStyle w:val="Tabletext1"/>
              <w:keepNext/>
            </w:pPr>
            <w:r>
              <w:t>4-5 years</w:t>
            </w:r>
          </w:p>
          <w:p w:rsidR="001A6FF0" w:rsidRPr="00383828" w:rsidRDefault="001A6FF0" w:rsidP="003F3CC2">
            <w:pPr>
              <w:keepNext/>
              <w:spacing w:after="0" w:line="240" w:lineRule="auto"/>
              <w:rPr>
                <w:rFonts w:ascii="Arial Narrow" w:hAnsi="Arial Narrow"/>
                <w:sz w:val="20"/>
                <w:szCs w:val="20"/>
              </w:rPr>
            </w:pPr>
          </w:p>
        </w:tc>
        <w:tc>
          <w:tcPr>
            <w:tcW w:w="1145" w:type="pct"/>
          </w:tcPr>
          <w:p w:rsidR="001A6FF0" w:rsidRDefault="001A6FF0" w:rsidP="003F3CC2">
            <w:pPr>
              <w:pStyle w:val="Tabletext1"/>
              <w:keepNext/>
              <w:rPr>
                <w:lang w:eastAsia="en-US"/>
              </w:rPr>
            </w:pPr>
            <w:r>
              <w:rPr>
                <w:lang w:eastAsia="en-US"/>
              </w:rPr>
              <w:t>821</w:t>
            </w:r>
          </w:p>
          <w:p w:rsidR="001A6FF0" w:rsidRDefault="001A6FF0" w:rsidP="003F3CC2">
            <w:pPr>
              <w:pStyle w:val="Tabletext1"/>
              <w:keepNext/>
              <w:rPr>
                <w:lang w:eastAsia="en-US"/>
              </w:rPr>
            </w:pPr>
            <w:r>
              <w:rPr>
                <w:lang w:eastAsia="en-US"/>
              </w:rPr>
              <w:t>510</w:t>
            </w:r>
          </w:p>
          <w:p w:rsidR="001A6FF0" w:rsidRDefault="001A6FF0" w:rsidP="003F3CC2">
            <w:pPr>
              <w:pStyle w:val="Tabletext1"/>
              <w:keepNext/>
              <w:rPr>
                <w:lang w:eastAsia="en-US"/>
              </w:rPr>
            </w:pPr>
            <w:r>
              <w:rPr>
                <w:lang w:eastAsia="en-US"/>
              </w:rPr>
              <w:t>830</w:t>
            </w:r>
          </w:p>
          <w:p w:rsidR="001A6FF0" w:rsidRDefault="001A6FF0" w:rsidP="003F3CC2">
            <w:pPr>
              <w:pStyle w:val="Tabletext1"/>
              <w:keepNext/>
              <w:rPr>
                <w:lang w:eastAsia="en-US"/>
              </w:rPr>
            </w:pPr>
            <w:r>
              <w:rPr>
                <w:lang w:eastAsia="en-US"/>
              </w:rPr>
              <w:t>782</w:t>
            </w:r>
          </w:p>
          <w:p w:rsidR="001A6FF0" w:rsidRDefault="001A6FF0" w:rsidP="003F3CC2">
            <w:pPr>
              <w:pStyle w:val="Tabletext1"/>
              <w:keepNext/>
              <w:rPr>
                <w:lang w:eastAsia="en-US"/>
              </w:rPr>
            </w:pPr>
            <w:r>
              <w:rPr>
                <w:lang w:eastAsia="en-US"/>
              </w:rPr>
              <w:t>641</w:t>
            </w:r>
          </w:p>
          <w:p w:rsidR="001A6FF0" w:rsidRDefault="001A6FF0" w:rsidP="003F3CC2">
            <w:pPr>
              <w:pStyle w:val="Tabletext1"/>
              <w:keepNext/>
              <w:rPr>
                <w:lang w:eastAsia="en-US"/>
              </w:rPr>
            </w:pPr>
            <w:r>
              <w:rPr>
                <w:lang w:eastAsia="en-US"/>
              </w:rPr>
              <w:t xml:space="preserve">716.8 ± 138.2 </w:t>
            </w:r>
          </w:p>
        </w:tc>
        <w:tc>
          <w:tcPr>
            <w:tcW w:w="862" w:type="pct"/>
          </w:tcPr>
          <w:p w:rsidR="001A6FF0" w:rsidRDefault="001A6FF0" w:rsidP="003F3CC2">
            <w:pPr>
              <w:pStyle w:val="Tabletext1"/>
              <w:keepNext/>
              <w:rPr>
                <w:lang w:eastAsia="en-US"/>
              </w:rPr>
            </w:pPr>
            <w:r>
              <w:rPr>
                <w:lang w:eastAsia="en-US"/>
              </w:rPr>
              <w:t>204</w:t>
            </w:r>
          </w:p>
          <w:p w:rsidR="001A6FF0" w:rsidRDefault="001A6FF0" w:rsidP="003F3CC2">
            <w:pPr>
              <w:pStyle w:val="Tabletext1"/>
              <w:keepNext/>
              <w:rPr>
                <w:lang w:eastAsia="en-US"/>
              </w:rPr>
            </w:pPr>
            <w:r>
              <w:rPr>
                <w:lang w:eastAsia="en-US"/>
              </w:rPr>
              <w:t>495</w:t>
            </w:r>
          </w:p>
          <w:p w:rsidR="001A6FF0" w:rsidRDefault="001A6FF0" w:rsidP="003F3CC2">
            <w:pPr>
              <w:pStyle w:val="Tabletext1"/>
              <w:keepNext/>
              <w:rPr>
                <w:lang w:eastAsia="en-US"/>
              </w:rPr>
            </w:pPr>
            <w:r>
              <w:rPr>
                <w:lang w:eastAsia="en-US"/>
              </w:rPr>
              <w:t>250</w:t>
            </w:r>
          </w:p>
          <w:p w:rsidR="001A6FF0" w:rsidRDefault="001A6FF0" w:rsidP="003F3CC2">
            <w:pPr>
              <w:pStyle w:val="Tabletext1"/>
              <w:keepNext/>
              <w:rPr>
                <w:lang w:eastAsia="en-US"/>
              </w:rPr>
            </w:pPr>
            <w:r>
              <w:rPr>
                <w:lang w:eastAsia="en-US"/>
              </w:rPr>
              <w:t>92</w:t>
            </w:r>
          </w:p>
          <w:p w:rsidR="001A6FF0" w:rsidRDefault="001A6FF0" w:rsidP="003F3CC2">
            <w:pPr>
              <w:pStyle w:val="Tabletext1"/>
              <w:keepNext/>
              <w:rPr>
                <w:lang w:eastAsia="en-US"/>
              </w:rPr>
            </w:pPr>
            <w:r>
              <w:rPr>
                <w:lang w:eastAsia="en-US"/>
              </w:rPr>
              <w:t>5</w:t>
            </w:r>
          </w:p>
          <w:p w:rsidR="001A6FF0" w:rsidRDefault="001A6FF0" w:rsidP="003F3CC2">
            <w:pPr>
              <w:pStyle w:val="Tabletext1"/>
              <w:keepNext/>
              <w:rPr>
                <w:lang w:eastAsia="en-US"/>
              </w:rPr>
            </w:pPr>
            <w:r>
              <w:rPr>
                <w:lang w:eastAsia="en-US"/>
              </w:rPr>
              <w:t>209.2 ± 186.3</w:t>
            </w:r>
          </w:p>
        </w:tc>
      </w:tr>
      <w:tr w:rsidR="001A6FF0" w:rsidTr="00BC2239">
        <w:tc>
          <w:tcPr>
            <w:tcW w:w="637" w:type="pct"/>
            <w:tcBorders>
              <w:right w:val="single" w:sz="4" w:space="0" w:color="auto"/>
            </w:tcBorders>
          </w:tcPr>
          <w:p w:rsidR="001A6FF0" w:rsidRDefault="001A6FF0" w:rsidP="003F3CC2">
            <w:pPr>
              <w:pStyle w:val="Tabletext1"/>
              <w:keepNext/>
              <w:rPr>
                <w:lang w:eastAsia="en-US"/>
              </w:rPr>
            </w:pPr>
            <w:r>
              <w:rPr>
                <w:lang w:eastAsia="en-US"/>
              </w:rPr>
              <w:t>Merk et al (2008)</w:t>
            </w:r>
          </w:p>
          <w:p w:rsidR="001A6FF0" w:rsidRDefault="001A6FF0" w:rsidP="003F3CC2">
            <w:pPr>
              <w:pStyle w:val="Tabletext1"/>
              <w:keepNext/>
              <w:rPr>
                <w:lang w:eastAsia="en-US"/>
              </w:rPr>
            </w:pPr>
            <w:r>
              <w:rPr>
                <w:lang w:eastAsia="en-US"/>
              </w:rPr>
              <w:t>6MWT</w:t>
            </w:r>
          </w:p>
        </w:tc>
        <w:tc>
          <w:tcPr>
            <w:tcW w:w="659" w:type="pct"/>
            <w:tcBorders>
              <w:left w:val="single" w:sz="4" w:space="0" w:color="auto"/>
              <w:right w:val="single" w:sz="4" w:space="0" w:color="auto"/>
            </w:tcBorders>
          </w:tcPr>
          <w:p w:rsidR="001A6FF0" w:rsidRDefault="001A6FF0" w:rsidP="003F3CC2">
            <w:pPr>
              <w:pStyle w:val="Tabletext1"/>
              <w:keepNext/>
              <w:rPr>
                <w:lang w:eastAsia="en-US"/>
              </w:rPr>
            </w:pPr>
            <w:r>
              <w:rPr>
                <w:lang w:eastAsia="en-US"/>
              </w:rPr>
              <w:t>Patient 2</w:t>
            </w:r>
          </w:p>
        </w:tc>
        <w:tc>
          <w:tcPr>
            <w:tcW w:w="945" w:type="pct"/>
            <w:tcBorders>
              <w:right w:val="single" w:sz="4" w:space="0" w:color="auto"/>
            </w:tcBorders>
          </w:tcPr>
          <w:p w:rsidR="001A6FF0" w:rsidRDefault="001A6FF0" w:rsidP="003F3CC2">
            <w:pPr>
              <w:pStyle w:val="Tabletext1"/>
              <w:keepNext/>
              <w:rPr>
                <w:lang w:eastAsia="en-US"/>
              </w:rPr>
            </w:pPr>
            <w:r>
              <w:rPr>
                <w:lang w:eastAsia="en-US"/>
              </w:rPr>
              <w:t>Not possible</w:t>
            </w:r>
          </w:p>
        </w:tc>
        <w:tc>
          <w:tcPr>
            <w:tcW w:w="752" w:type="pct"/>
            <w:tcBorders>
              <w:left w:val="single" w:sz="4" w:space="0" w:color="auto"/>
            </w:tcBorders>
          </w:tcPr>
          <w:p w:rsidR="001A6FF0" w:rsidRDefault="001A6FF0" w:rsidP="003F3CC2">
            <w:pPr>
              <w:pStyle w:val="Tabletext1"/>
              <w:keepNext/>
              <w:rPr>
                <w:lang w:eastAsia="en-US"/>
              </w:rPr>
            </w:pPr>
            <w:r>
              <w:rPr>
                <w:lang w:eastAsia="en-US"/>
              </w:rPr>
              <w:t>6 months</w:t>
            </w:r>
          </w:p>
        </w:tc>
        <w:tc>
          <w:tcPr>
            <w:tcW w:w="1145" w:type="pct"/>
          </w:tcPr>
          <w:p w:rsidR="001A6FF0" w:rsidRDefault="001A6FF0" w:rsidP="003F3CC2">
            <w:pPr>
              <w:pStyle w:val="Tabletext1"/>
              <w:keepNext/>
              <w:rPr>
                <w:lang w:eastAsia="en-US"/>
              </w:rPr>
            </w:pPr>
            <w:r>
              <w:rPr>
                <w:lang w:eastAsia="en-US"/>
              </w:rPr>
              <w:t>Not possible</w:t>
            </w:r>
          </w:p>
        </w:tc>
        <w:tc>
          <w:tcPr>
            <w:tcW w:w="862" w:type="pct"/>
          </w:tcPr>
          <w:p w:rsidR="001A6FF0" w:rsidRDefault="001A6FF0" w:rsidP="003F3CC2">
            <w:pPr>
              <w:pStyle w:val="Tabletext1"/>
              <w:keepNext/>
              <w:rPr>
                <w:lang w:eastAsia="en-US"/>
              </w:rPr>
            </w:pPr>
            <w:r>
              <w:rPr>
                <w:lang w:eastAsia="en-US"/>
              </w:rPr>
              <w:t>NR</w:t>
            </w:r>
          </w:p>
        </w:tc>
      </w:tr>
      <w:tr w:rsidR="001A6FF0" w:rsidTr="00BC2239">
        <w:tc>
          <w:tcPr>
            <w:tcW w:w="637" w:type="pct"/>
            <w:tcBorders>
              <w:right w:val="single" w:sz="4" w:space="0" w:color="auto"/>
            </w:tcBorders>
          </w:tcPr>
          <w:p w:rsidR="001A6FF0" w:rsidRDefault="001A6FF0" w:rsidP="003F3CC2">
            <w:pPr>
              <w:pStyle w:val="Tabletext1"/>
              <w:keepNext/>
              <w:rPr>
                <w:lang w:eastAsia="en-US"/>
              </w:rPr>
            </w:pPr>
            <w:r>
              <w:rPr>
                <w:lang w:eastAsia="en-US"/>
              </w:rPr>
              <w:t>Ishigaki et al 2012</w:t>
            </w:r>
          </w:p>
          <w:p w:rsidR="001A6FF0" w:rsidRDefault="001A6FF0" w:rsidP="003F3CC2">
            <w:pPr>
              <w:pStyle w:val="Tabletext1"/>
              <w:keepNext/>
              <w:rPr>
                <w:lang w:eastAsia="en-US"/>
              </w:rPr>
            </w:pPr>
            <w:r>
              <w:rPr>
                <w:lang w:eastAsia="en-US"/>
              </w:rPr>
              <w:t>6MWT</w:t>
            </w:r>
          </w:p>
        </w:tc>
        <w:tc>
          <w:tcPr>
            <w:tcW w:w="659" w:type="pct"/>
            <w:tcBorders>
              <w:left w:val="single" w:sz="4" w:space="0" w:color="auto"/>
              <w:right w:val="single" w:sz="4" w:space="0" w:color="auto"/>
            </w:tcBorders>
          </w:tcPr>
          <w:p w:rsidR="001A6FF0" w:rsidRDefault="001A6FF0" w:rsidP="003F3CC2">
            <w:pPr>
              <w:pStyle w:val="Tabletext1"/>
              <w:keepNext/>
              <w:rPr>
                <w:lang w:eastAsia="en-US"/>
              </w:rPr>
            </w:pPr>
            <w:r>
              <w:rPr>
                <w:lang w:eastAsia="en-US"/>
              </w:rPr>
              <w:t>Patient 1</w:t>
            </w:r>
          </w:p>
        </w:tc>
        <w:tc>
          <w:tcPr>
            <w:tcW w:w="945" w:type="pct"/>
            <w:tcBorders>
              <w:right w:val="single" w:sz="4" w:space="0" w:color="auto"/>
            </w:tcBorders>
          </w:tcPr>
          <w:p w:rsidR="001A6FF0" w:rsidRDefault="001A6FF0" w:rsidP="003F3CC2">
            <w:pPr>
              <w:pStyle w:val="Tabletext1"/>
              <w:keepNext/>
              <w:rPr>
                <w:lang w:eastAsia="en-US"/>
              </w:rPr>
            </w:pPr>
            <w:r>
              <w:rPr>
                <w:lang w:eastAsia="en-US"/>
              </w:rPr>
              <w:t>320</w:t>
            </w:r>
          </w:p>
        </w:tc>
        <w:tc>
          <w:tcPr>
            <w:tcW w:w="752" w:type="pct"/>
            <w:tcBorders>
              <w:left w:val="single" w:sz="4" w:space="0" w:color="auto"/>
            </w:tcBorders>
          </w:tcPr>
          <w:p w:rsidR="001A6FF0" w:rsidRDefault="001A6FF0" w:rsidP="003F3CC2">
            <w:pPr>
              <w:pStyle w:val="Tabletext1"/>
              <w:keepNext/>
              <w:rPr>
                <w:lang w:eastAsia="en-US"/>
              </w:rPr>
            </w:pPr>
            <w:r>
              <w:rPr>
                <w:lang w:eastAsia="en-US"/>
              </w:rPr>
              <w:t>4 months</w:t>
            </w:r>
          </w:p>
        </w:tc>
        <w:tc>
          <w:tcPr>
            <w:tcW w:w="1145" w:type="pct"/>
          </w:tcPr>
          <w:p w:rsidR="001A6FF0" w:rsidRDefault="001A6FF0" w:rsidP="003F3CC2">
            <w:pPr>
              <w:pStyle w:val="Tabletext1"/>
              <w:keepNext/>
              <w:rPr>
                <w:lang w:eastAsia="en-US"/>
              </w:rPr>
            </w:pPr>
            <w:r>
              <w:rPr>
                <w:lang w:eastAsia="en-US"/>
              </w:rPr>
              <w:t>500</w:t>
            </w:r>
          </w:p>
        </w:tc>
        <w:tc>
          <w:tcPr>
            <w:tcW w:w="862" w:type="pct"/>
          </w:tcPr>
          <w:p w:rsidR="001A6FF0" w:rsidRDefault="001A6FF0" w:rsidP="003F3CC2">
            <w:pPr>
              <w:pStyle w:val="Tabletext1"/>
              <w:keepNext/>
              <w:rPr>
                <w:lang w:eastAsia="en-US"/>
              </w:rPr>
            </w:pPr>
            <w:r>
              <w:rPr>
                <w:lang w:eastAsia="en-US"/>
              </w:rPr>
              <w:t>180</w:t>
            </w:r>
          </w:p>
        </w:tc>
      </w:tr>
      <w:tr w:rsidR="001A6FF0" w:rsidTr="00BC2239">
        <w:tc>
          <w:tcPr>
            <w:tcW w:w="637" w:type="pct"/>
            <w:tcBorders>
              <w:right w:val="single" w:sz="4" w:space="0" w:color="auto"/>
            </w:tcBorders>
          </w:tcPr>
          <w:p w:rsidR="001A6FF0" w:rsidRDefault="003303FE" w:rsidP="003F3CC2">
            <w:pPr>
              <w:pStyle w:val="Tabletext1"/>
              <w:keepNext/>
              <w:rPr>
                <w:lang w:eastAsia="en-US"/>
              </w:rPr>
            </w:pPr>
            <w:r>
              <w:rPr>
                <w:noProof/>
                <w:lang w:eastAsia="en-US"/>
              </w:rPr>
              <w:t>(</w:t>
            </w:r>
            <w:r w:rsidR="00184B6F">
              <w:rPr>
                <w:noProof/>
                <w:lang w:eastAsia="en-US"/>
              </w:rPr>
              <w:t>van Capelle et al. 2010</w:t>
            </w:r>
            <w:r>
              <w:rPr>
                <w:noProof/>
                <w:lang w:eastAsia="en-US"/>
              </w:rPr>
              <w:t>)</w:t>
            </w:r>
          </w:p>
          <w:p w:rsidR="001A6FF0" w:rsidRDefault="001A6FF0" w:rsidP="003F3CC2">
            <w:pPr>
              <w:pStyle w:val="Tabletext1"/>
              <w:keepNext/>
              <w:rPr>
                <w:lang w:eastAsia="en-US"/>
              </w:rPr>
            </w:pPr>
            <w:r>
              <w:rPr>
                <w:lang w:eastAsia="en-US"/>
              </w:rPr>
              <w:t>6MWT</w:t>
            </w:r>
          </w:p>
        </w:tc>
        <w:tc>
          <w:tcPr>
            <w:tcW w:w="659" w:type="pct"/>
            <w:tcBorders>
              <w:left w:val="single" w:sz="4" w:space="0" w:color="auto"/>
              <w:right w:val="single" w:sz="4" w:space="0" w:color="auto"/>
            </w:tcBorders>
          </w:tcPr>
          <w:p w:rsidR="001A6FF0" w:rsidRDefault="001A6FF0" w:rsidP="003F3CC2">
            <w:pPr>
              <w:pStyle w:val="Tabletext1"/>
              <w:keepNext/>
              <w:rPr>
                <w:lang w:eastAsia="en-US"/>
              </w:rPr>
            </w:pPr>
            <w:r>
              <w:rPr>
                <w:lang w:eastAsia="en-US"/>
              </w:rPr>
              <w:t>Patient 1</w:t>
            </w:r>
          </w:p>
          <w:p w:rsidR="001A6FF0" w:rsidRDefault="001A6FF0" w:rsidP="003F3CC2">
            <w:pPr>
              <w:pStyle w:val="Tabletext1"/>
              <w:keepNext/>
              <w:rPr>
                <w:lang w:eastAsia="en-US"/>
              </w:rPr>
            </w:pPr>
            <w:r>
              <w:rPr>
                <w:lang w:eastAsia="en-US"/>
              </w:rPr>
              <w:t>Patient 2</w:t>
            </w:r>
          </w:p>
          <w:p w:rsidR="001A6FF0" w:rsidRDefault="001A6FF0" w:rsidP="003F3CC2">
            <w:pPr>
              <w:pStyle w:val="Tabletext1"/>
              <w:keepNext/>
              <w:rPr>
                <w:lang w:eastAsia="en-US"/>
              </w:rPr>
            </w:pPr>
            <w:r>
              <w:rPr>
                <w:lang w:eastAsia="en-US"/>
              </w:rPr>
              <w:t>Patient 4</w:t>
            </w:r>
          </w:p>
        </w:tc>
        <w:tc>
          <w:tcPr>
            <w:tcW w:w="945" w:type="pct"/>
            <w:tcBorders>
              <w:right w:val="single" w:sz="4" w:space="0" w:color="auto"/>
            </w:tcBorders>
          </w:tcPr>
          <w:p w:rsidR="001A6FF0" w:rsidRDefault="001A6FF0" w:rsidP="003F3CC2">
            <w:pPr>
              <w:pStyle w:val="Tabletext1"/>
              <w:keepNext/>
              <w:rPr>
                <w:lang w:eastAsia="en-US"/>
              </w:rPr>
            </w:pPr>
            <w:r>
              <w:rPr>
                <w:lang w:eastAsia="en-US"/>
              </w:rPr>
              <w:t>340</w:t>
            </w:r>
          </w:p>
          <w:p w:rsidR="001A6FF0" w:rsidRDefault="001A6FF0" w:rsidP="003F3CC2">
            <w:pPr>
              <w:pStyle w:val="Tabletext1"/>
              <w:keepNext/>
              <w:rPr>
                <w:lang w:eastAsia="en-US"/>
              </w:rPr>
            </w:pPr>
            <w:r>
              <w:rPr>
                <w:lang w:eastAsia="en-US"/>
              </w:rPr>
              <w:t>470</w:t>
            </w:r>
          </w:p>
          <w:p w:rsidR="001A6FF0" w:rsidRDefault="001A6FF0" w:rsidP="003F3CC2">
            <w:pPr>
              <w:pStyle w:val="Tabletext1"/>
              <w:keepNext/>
              <w:rPr>
                <w:lang w:eastAsia="en-US"/>
              </w:rPr>
            </w:pPr>
            <w:r>
              <w:rPr>
                <w:lang w:eastAsia="en-US"/>
              </w:rPr>
              <w:t>400</w:t>
            </w:r>
          </w:p>
        </w:tc>
        <w:tc>
          <w:tcPr>
            <w:tcW w:w="752" w:type="pct"/>
            <w:tcBorders>
              <w:left w:val="single" w:sz="4" w:space="0" w:color="auto"/>
            </w:tcBorders>
          </w:tcPr>
          <w:p w:rsidR="001A6FF0" w:rsidRDefault="001A6FF0" w:rsidP="003F3CC2">
            <w:pPr>
              <w:pStyle w:val="Tabletext1"/>
              <w:keepNext/>
              <w:rPr>
                <w:lang w:eastAsia="en-US"/>
              </w:rPr>
            </w:pPr>
            <w:r>
              <w:rPr>
                <w:lang w:eastAsia="en-US"/>
              </w:rPr>
              <w:t>3 years</w:t>
            </w:r>
          </w:p>
          <w:p w:rsidR="001A6FF0" w:rsidRDefault="001A6FF0" w:rsidP="003F3CC2">
            <w:pPr>
              <w:pStyle w:val="Tabletext1"/>
              <w:keepNext/>
              <w:rPr>
                <w:lang w:eastAsia="en-US"/>
              </w:rPr>
            </w:pPr>
          </w:p>
        </w:tc>
        <w:tc>
          <w:tcPr>
            <w:tcW w:w="1145" w:type="pct"/>
          </w:tcPr>
          <w:p w:rsidR="001A6FF0" w:rsidRDefault="001A6FF0" w:rsidP="003F3CC2">
            <w:pPr>
              <w:pStyle w:val="Tabletext1"/>
              <w:keepNext/>
              <w:rPr>
                <w:lang w:eastAsia="en-US"/>
              </w:rPr>
            </w:pPr>
            <w:r>
              <w:rPr>
                <w:lang w:eastAsia="en-US"/>
              </w:rPr>
              <w:t>530</w:t>
            </w:r>
          </w:p>
          <w:p w:rsidR="001A6FF0" w:rsidRDefault="001A6FF0" w:rsidP="003F3CC2">
            <w:pPr>
              <w:pStyle w:val="Tabletext1"/>
              <w:keepNext/>
              <w:rPr>
                <w:lang w:eastAsia="en-US"/>
              </w:rPr>
            </w:pPr>
            <w:r>
              <w:rPr>
                <w:lang w:eastAsia="en-US"/>
              </w:rPr>
              <w:t>580</w:t>
            </w:r>
          </w:p>
          <w:p w:rsidR="001A6FF0" w:rsidRDefault="001A6FF0" w:rsidP="003F3CC2">
            <w:pPr>
              <w:pStyle w:val="Tabletext1"/>
              <w:keepNext/>
              <w:rPr>
                <w:lang w:eastAsia="en-US"/>
              </w:rPr>
            </w:pPr>
            <w:r>
              <w:rPr>
                <w:lang w:eastAsia="en-US"/>
              </w:rPr>
              <w:t>570</w:t>
            </w:r>
          </w:p>
        </w:tc>
        <w:tc>
          <w:tcPr>
            <w:tcW w:w="862" w:type="pct"/>
          </w:tcPr>
          <w:p w:rsidR="001A6FF0" w:rsidRDefault="001A6FF0" w:rsidP="003F3CC2">
            <w:pPr>
              <w:pStyle w:val="Tabletext1"/>
              <w:keepNext/>
              <w:rPr>
                <w:lang w:eastAsia="en-US"/>
              </w:rPr>
            </w:pPr>
            <w:r>
              <w:rPr>
                <w:lang w:eastAsia="en-US"/>
              </w:rPr>
              <w:t>190</w:t>
            </w:r>
          </w:p>
          <w:p w:rsidR="001A6FF0" w:rsidRDefault="001A6FF0" w:rsidP="003F3CC2">
            <w:pPr>
              <w:pStyle w:val="Tabletext1"/>
              <w:keepNext/>
              <w:rPr>
                <w:lang w:eastAsia="en-US"/>
              </w:rPr>
            </w:pPr>
            <w:r>
              <w:rPr>
                <w:lang w:eastAsia="en-US"/>
              </w:rPr>
              <w:t>110</w:t>
            </w:r>
          </w:p>
          <w:p w:rsidR="001A6FF0" w:rsidRDefault="001A6FF0" w:rsidP="003F3CC2">
            <w:pPr>
              <w:pStyle w:val="Tabletext1"/>
              <w:keepNext/>
              <w:rPr>
                <w:lang w:eastAsia="en-US"/>
              </w:rPr>
            </w:pPr>
            <w:r>
              <w:rPr>
                <w:lang w:eastAsia="en-US"/>
              </w:rPr>
              <w:t>170</w:t>
            </w:r>
          </w:p>
        </w:tc>
      </w:tr>
      <w:tr w:rsidR="001A6FF0" w:rsidTr="00BC2239">
        <w:tc>
          <w:tcPr>
            <w:tcW w:w="637" w:type="pct"/>
            <w:tcBorders>
              <w:right w:val="single" w:sz="4" w:space="0" w:color="auto"/>
            </w:tcBorders>
          </w:tcPr>
          <w:p w:rsidR="001A6FF0" w:rsidRDefault="001A6FF0" w:rsidP="003F3CC2">
            <w:pPr>
              <w:pStyle w:val="Tabletext1"/>
              <w:keepNext/>
              <w:rPr>
                <w:lang w:eastAsia="en-US"/>
              </w:rPr>
            </w:pPr>
            <w:r>
              <w:rPr>
                <w:lang w:eastAsia="en-US"/>
              </w:rPr>
              <w:t>Korpela et al (2009)</w:t>
            </w:r>
          </w:p>
          <w:p w:rsidR="001A6FF0" w:rsidRPr="003B6634" w:rsidRDefault="001A6FF0" w:rsidP="003F3CC2">
            <w:pPr>
              <w:pStyle w:val="Tabletext1"/>
              <w:keepNext/>
              <w:rPr>
                <w:lang w:eastAsia="en-US"/>
              </w:rPr>
            </w:pPr>
            <w:r>
              <w:rPr>
                <w:lang w:eastAsia="en-US"/>
              </w:rPr>
              <w:t>10MWT</w:t>
            </w:r>
          </w:p>
        </w:tc>
        <w:tc>
          <w:tcPr>
            <w:tcW w:w="659" w:type="pct"/>
            <w:tcBorders>
              <w:left w:val="single" w:sz="4" w:space="0" w:color="auto"/>
              <w:right w:val="single" w:sz="4" w:space="0" w:color="auto"/>
            </w:tcBorders>
          </w:tcPr>
          <w:p w:rsidR="001A6FF0" w:rsidRDefault="001A6FF0" w:rsidP="003F3CC2">
            <w:pPr>
              <w:pStyle w:val="Tabletext1"/>
              <w:keepNext/>
              <w:rPr>
                <w:lang w:eastAsia="en-US"/>
              </w:rPr>
            </w:pPr>
            <w:r>
              <w:rPr>
                <w:lang w:eastAsia="en-US"/>
              </w:rPr>
              <w:t>Patient 1</w:t>
            </w:r>
          </w:p>
        </w:tc>
        <w:tc>
          <w:tcPr>
            <w:tcW w:w="945" w:type="pct"/>
            <w:tcBorders>
              <w:right w:val="single" w:sz="4" w:space="0" w:color="auto"/>
            </w:tcBorders>
          </w:tcPr>
          <w:p w:rsidR="001A6FF0" w:rsidRDefault="001A6FF0" w:rsidP="003F3CC2">
            <w:pPr>
              <w:pStyle w:val="Tabletext1"/>
              <w:keepNext/>
              <w:rPr>
                <w:lang w:eastAsia="en-US"/>
              </w:rPr>
            </w:pPr>
            <w:r>
              <w:rPr>
                <w:lang w:eastAsia="en-US"/>
              </w:rPr>
              <w:t>wheelchair bound</w:t>
            </w:r>
          </w:p>
        </w:tc>
        <w:tc>
          <w:tcPr>
            <w:tcW w:w="752" w:type="pct"/>
            <w:tcBorders>
              <w:left w:val="single" w:sz="4" w:space="0" w:color="auto"/>
            </w:tcBorders>
          </w:tcPr>
          <w:p w:rsidR="001A6FF0" w:rsidRDefault="001A6FF0" w:rsidP="003F3CC2">
            <w:pPr>
              <w:pStyle w:val="Tabletext1"/>
              <w:keepNext/>
              <w:rPr>
                <w:lang w:eastAsia="en-US"/>
              </w:rPr>
            </w:pPr>
            <w:r>
              <w:rPr>
                <w:lang w:eastAsia="en-US"/>
              </w:rPr>
              <w:t>6 months</w:t>
            </w:r>
          </w:p>
          <w:p w:rsidR="001A6FF0" w:rsidRDefault="001A6FF0" w:rsidP="003F3CC2">
            <w:pPr>
              <w:pStyle w:val="Tabletext1"/>
              <w:keepNext/>
              <w:rPr>
                <w:lang w:eastAsia="en-US"/>
              </w:rPr>
            </w:pPr>
            <w:r>
              <w:rPr>
                <w:lang w:eastAsia="en-US"/>
              </w:rPr>
              <w:t>12 months</w:t>
            </w:r>
          </w:p>
        </w:tc>
        <w:tc>
          <w:tcPr>
            <w:tcW w:w="1145" w:type="pct"/>
          </w:tcPr>
          <w:p w:rsidR="001A6FF0" w:rsidRDefault="001A6FF0" w:rsidP="003F3CC2">
            <w:pPr>
              <w:pStyle w:val="Tabletext1"/>
              <w:keepNext/>
              <w:rPr>
                <w:lang w:eastAsia="en-US"/>
              </w:rPr>
            </w:pPr>
            <w:r>
              <w:rPr>
                <w:lang w:eastAsia="en-US"/>
              </w:rPr>
              <w:t>93</w:t>
            </w:r>
          </w:p>
          <w:p w:rsidR="001A6FF0" w:rsidRDefault="001A6FF0" w:rsidP="003F3CC2">
            <w:pPr>
              <w:pStyle w:val="Tabletext1"/>
              <w:keepNext/>
              <w:rPr>
                <w:lang w:eastAsia="en-US"/>
              </w:rPr>
            </w:pPr>
            <w:r>
              <w:rPr>
                <w:lang w:eastAsia="en-US"/>
              </w:rPr>
              <w:t>87</w:t>
            </w:r>
          </w:p>
        </w:tc>
        <w:tc>
          <w:tcPr>
            <w:tcW w:w="862" w:type="pct"/>
          </w:tcPr>
          <w:p w:rsidR="001A6FF0" w:rsidRDefault="001A6FF0" w:rsidP="003F3CC2">
            <w:pPr>
              <w:pStyle w:val="Tabletext1"/>
              <w:keepNext/>
              <w:rPr>
                <w:lang w:eastAsia="en-US"/>
              </w:rPr>
            </w:pPr>
            <w:r>
              <w:rPr>
                <w:lang w:eastAsia="en-US"/>
              </w:rPr>
              <w:t>93</w:t>
            </w:r>
          </w:p>
          <w:p w:rsidR="001A6FF0" w:rsidRDefault="001A6FF0" w:rsidP="003F3CC2">
            <w:pPr>
              <w:pStyle w:val="Tabletext1"/>
              <w:keepNext/>
              <w:rPr>
                <w:lang w:eastAsia="en-US"/>
              </w:rPr>
            </w:pPr>
            <w:r>
              <w:rPr>
                <w:lang w:eastAsia="en-US"/>
              </w:rPr>
              <w:t>87</w:t>
            </w:r>
          </w:p>
        </w:tc>
      </w:tr>
    </w:tbl>
    <w:p w:rsidR="001A6FF0" w:rsidRDefault="001A6FF0" w:rsidP="001A6FF0">
      <w:pPr>
        <w:pStyle w:val="TableNote"/>
        <w:rPr>
          <w:lang w:eastAsia="en-US"/>
        </w:rPr>
      </w:pPr>
      <w:r>
        <w:rPr>
          <w:lang w:eastAsia="en-US"/>
        </w:rPr>
        <w:t>6MWT = 6-minute walk test; 10MWT = 10-minute walk test</w:t>
      </w:r>
    </w:p>
    <w:p w:rsidR="001A6FF0" w:rsidRDefault="001A6FF0" w:rsidP="001A6FF0"/>
    <w:p w:rsidR="001A6FF0" w:rsidRPr="00B259C8" w:rsidRDefault="001A6FF0" w:rsidP="00A979FB">
      <w:pPr>
        <w:pStyle w:val="Heading5"/>
      </w:pPr>
      <w:r w:rsidRPr="00B259C8">
        <w:t>Global motor functioning</w:t>
      </w:r>
    </w:p>
    <w:p w:rsidR="001A6FF0" w:rsidRPr="002364E4" w:rsidRDefault="001A6FF0" w:rsidP="001A6FF0">
      <w:pPr>
        <w:spacing w:after="240" w:line="312" w:lineRule="auto"/>
        <w:rPr>
          <w:rFonts w:ascii="Tahoma" w:hAnsi="Tahoma" w:cs="Tahoma"/>
          <w:sz w:val="22"/>
          <w:szCs w:val="22"/>
        </w:rPr>
      </w:pPr>
      <w:r>
        <w:t>Deroma et al (2014) assessed the benefit of ERT in five JOPD patients, four of whom were asymptomatic at baseline. Therapy was started when the patients were between 9.6 years and 11.9 years old. After 4 to 5 years of treatment, no deterioration or improvement</w:t>
      </w:r>
      <w:r w:rsidR="00F87099">
        <w:t>s,</w:t>
      </w:r>
      <w:r>
        <w:t xml:space="preserve"> </w:t>
      </w:r>
      <w:r w:rsidR="0025188D">
        <w:t>i</w:t>
      </w:r>
      <w:r>
        <w:t xml:space="preserve">n global motor disability on the Modified Walton Scale were noted </w:t>
      </w:r>
      <w:r w:rsidRPr="00FE08CA">
        <w:t xml:space="preserve">(GRADE </w:t>
      </w:r>
      <w:r w:rsidRPr="00FE08CA">
        <w:rPr>
          <w:rFonts w:ascii="Cambria Math" w:hAnsi="Cambria Math" w:cs="Cambria Math"/>
          <w:color w:val="00B050"/>
        </w:rPr>
        <w:t>⨁</w:t>
      </w:r>
      <w:r w:rsidRPr="00FE08CA">
        <w:rPr>
          <w:rFonts w:ascii="Cambria Math" w:hAnsi="Cambria Math" w:cs="Cambria Math"/>
          <w:color w:val="C00000"/>
        </w:rPr>
        <w:t>⨀⨀⨀</w:t>
      </w:r>
      <w:r w:rsidRPr="00FE08CA">
        <w:rPr>
          <w:rFonts w:cs="Cambria Math"/>
          <w:spacing w:val="-20"/>
        </w:rPr>
        <w:t>)</w:t>
      </w:r>
      <w:r>
        <w:t xml:space="preserve">. </w:t>
      </w:r>
    </w:p>
    <w:p w:rsidR="001A6FF0" w:rsidRDefault="001A6FF0" w:rsidP="00F71730">
      <w:pPr>
        <w:pStyle w:val="Figureheading0"/>
        <w:keepNext/>
        <w:ind w:left="1418" w:hanging="1418"/>
      </w:pPr>
      <w:bookmarkStart w:id="346" w:name="_Toc411509178"/>
      <w:bookmarkStart w:id="347" w:name="_Toc415141878"/>
      <w:r>
        <w:t xml:space="preserve">Table </w:t>
      </w:r>
      <w:r w:rsidR="00A72B26">
        <w:rPr>
          <w:noProof/>
        </w:rPr>
        <w:t>81</w:t>
      </w:r>
      <w:r>
        <w:tab/>
        <w:t>Global motor disabili</w:t>
      </w:r>
      <w:r w:rsidR="00F90A6F">
        <w:t>ty on the Modified Walton Scale</w:t>
      </w:r>
      <w:r w:rsidR="00DF5C70">
        <w:t xml:space="preserve"> before and after alglucosidase alfa in patients with JOPD</w:t>
      </w:r>
      <w:bookmarkEnd w:id="346"/>
      <w:bookmarkEnd w:id="347"/>
    </w:p>
    <w:tbl>
      <w:tblPr>
        <w:tblStyle w:val="TableGrid"/>
        <w:tblW w:w="5000" w:type="pct"/>
        <w:tblLook w:val="04A0" w:firstRow="1" w:lastRow="0" w:firstColumn="1" w:lastColumn="0" w:noHBand="0" w:noVBand="1"/>
        <w:tblCaption w:val="Modified Walton scale before and after alglucosidase alfa for JOPD"/>
      </w:tblPr>
      <w:tblGrid>
        <w:gridCol w:w="1213"/>
        <w:gridCol w:w="1606"/>
        <w:gridCol w:w="1200"/>
        <w:gridCol w:w="1909"/>
        <w:gridCol w:w="1719"/>
        <w:gridCol w:w="1595"/>
      </w:tblGrid>
      <w:tr w:rsidR="001A6FF0" w:rsidRPr="008F5C81" w:rsidTr="00331C22">
        <w:trPr>
          <w:tblHeader/>
        </w:trPr>
        <w:tc>
          <w:tcPr>
            <w:tcW w:w="656" w:type="pct"/>
            <w:tcBorders>
              <w:right w:val="single" w:sz="4" w:space="0" w:color="auto"/>
            </w:tcBorders>
          </w:tcPr>
          <w:p w:rsidR="001A6FF0" w:rsidRPr="008F5C81" w:rsidRDefault="001A6FF0" w:rsidP="00BC2239">
            <w:pPr>
              <w:pStyle w:val="Tabletext1"/>
              <w:keepNext/>
              <w:rPr>
                <w:b/>
                <w:lang w:eastAsia="en-US"/>
              </w:rPr>
            </w:pPr>
            <w:r>
              <w:rPr>
                <w:b/>
                <w:lang w:eastAsia="en-US"/>
              </w:rPr>
              <w:t>Study</w:t>
            </w:r>
          </w:p>
        </w:tc>
        <w:tc>
          <w:tcPr>
            <w:tcW w:w="869" w:type="pct"/>
          </w:tcPr>
          <w:p w:rsidR="001A6FF0" w:rsidRPr="008F5C81" w:rsidRDefault="001A6FF0" w:rsidP="00BC2239">
            <w:pPr>
              <w:pStyle w:val="Tabletext1"/>
              <w:keepNext/>
              <w:rPr>
                <w:b/>
                <w:lang w:eastAsia="en-US"/>
              </w:rPr>
            </w:pPr>
            <w:r>
              <w:rPr>
                <w:b/>
                <w:lang w:eastAsia="en-US"/>
              </w:rPr>
              <w:t>Sample</w:t>
            </w:r>
          </w:p>
        </w:tc>
        <w:tc>
          <w:tcPr>
            <w:tcW w:w="649" w:type="pct"/>
            <w:tcBorders>
              <w:right w:val="single" w:sz="4" w:space="0" w:color="auto"/>
            </w:tcBorders>
          </w:tcPr>
          <w:p w:rsidR="001A6FF0" w:rsidRPr="008F5C81" w:rsidRDefault="001A6FF0" w:rsidP="00BC2239">
            <w:pPr>
              <w:pStyle w:val="Tabletext1"/>
              <w:keepNext/>
              <w:rPr>
                <w:b/>
                <w:lang w:eastAsia="en-US"/>
              </w:rPr>
            </w:pPr>
            <w:r w:rsidRPr="008F5C81">
              <w:rPr>
                <w:b/>
                <w:lang w:eastAsia="en-US"/>
              </w:rPr>
              <w:t>Baseline</w:t>
            </w:r>
            <w:r>
              <w:rPr>
                <w:b/>
                <w:lang w:eastAsia="en-US"/>
              </w:rPr>
              <w:t xml:space="preserve"> </w:t>
            </w:r>
          </w:p>
        </w:tc>
        <w:tc>
          <w:tcPr>
            <w:tcW w:w="1033" w:type="pct"/>
            <w:tcBorders>
              <w:left w:val="single" w:sz="4" w:space="0" w:color="auto"/>
            </w:tcBorders>
          </w:tcPr>
          <w:p w:rsidR="001A6FF0" w:rsidRPr="008F5C81" w:rsidRDefault="001A6FF0" w:rsidP="00BC2239">
            <w:pPr>
              <w:pStyle w:val="Tabletext1"/>
              <w:keepNext/>
              <w:rPr>
                <w:b/>
                <w:lang w:eastAsia="en-US"/>
              </w:rPr>
            </w:pPr>
            <w:r>
              <w:rPr>
                <w:b/>
                <w:lang w:eastAsia="en-US"/>
              </w:rPr>
              <w:t>Follow up length</w:t>
            </w:r>
          </w:p>
        </w:tc>
        <w:tc>
          <w:tcPr>
            <w:tcW w:w="930" w:type="pct"/>
          </w:tcPr>
          <w:p w:rsidR="001A6FF0" w:rsidRPr="008F5C81" w:rsidRDefault="001A6FF0" w:rsidP="00BC2239">
            <w:pPr>
              <w:pStyle w:val="Tabletext1"/>
              <w:keepNext/>
              <w:rPr>
                <w:b/>
                <w:lang w:eastAsia="en-US"/>
              </w:rPr>
            </w:pPr>
            <w:r>
              <w:rPr>
                <w:b/>
                <w:lang w:eastAsia="en-US"/>
              </w:rPr>
              <w:t xml:space="preserve">Follow up </w:t>
            </w:r>
          </w:p>
        </w:tc>
        <w:tc>
          <w:tcPr>
            <w:tcW w:w="863" w:type="pct"/>
          </w:tcPr>
          <w:p w:rsidR="001A6FF0" w:rsidRDefault="001A6FF0" w:rsidP="00BC2239">
            <w:pPr>
              <w:pStyle w:val="Tabletext1"/>
              <w:keepNext/>
              <w:rPr>
                <w:b/>
                <w:lang w:eastAsia="en-US"/>
              </w:rPr>
            </w:pPr>
            <w:r>
              <w:rPr>
                <w:b/>
                <w:lang w:eastAsia="en-US"/>
              </w:rPr>
              <w:t>Change</w:t>
            </w:r>
          </w:p>
        </w:tc>
      </w:tr>
      <w:tr w:rsidR="001A6FF0" w:rsidTr="00BC2239">
        <w:tc>
          <w:tcPr>
            <w:tcW w:w="656" w:type="pct"/>
            <w:tcBorders>
              <w:right w:val="single" w:sz="4" w:space="0" w:color="auto"/>
            </w:tcBorders>
          </w:tcPr>
          <w:p w:rsidR="001A6FF0" w:rsidRDefault="003303FE" w:rsidP="00BC2239">
            <w:pPr>
              <w:pStyle w:val="Tabletext1"/>
              <w:keepNext/>
              <w:rPr>
                <w:lang w:eastAsia="en-US"/>
              </w:rPr>
            </w:pPr>
            <w:r>
              <w:rPr>
                <w:noProof/>
                <w:lang w:eastAsia="en-US"/>
              </w:rPr>
              <w:t>(</w:t>
            </w:r>
            <w:r w:rsidR="00184B6F">
              <w:rPr>
                <w:noProof/>
                <w:lang w:eastAsia="en-US"/>
              </w:rPr>
              <w:t>Deroma et al. 2014</w:t>
            </w:r>
            <w:r>
              <w:rPr>
                <w:noProof/>
                <w:lang w:eastAsia="en-US"/>
              </w:rPr>
              <w:t>)</w:t>
            </w:r>
            <w:r w:rsidR="001A6FF0">
              <w:rPr>
                <w:lang w:eastAsia="en-US"/>
              </w:rPr>
              <w:tab/>
            </w:r>
          </w:p>
          <w:p w:rsidR="00F90A6F" w:rsidRDefault="00F90A6F" w:rsidP="00BC2239">
            <w:pPr>
              <w:pStyle w:val="Tabletext1"/>
              <w:keepNext/>
              <w:rPr>
                <w:lang w:eastAsia="en-US"/>
              </w:rPr>
            </w:pPr>
            <w:r>
              <w:rPr>
                <w:lang w:eastAsia="en-US"/>
              </w:rPr>
              <w:t>MWS</w:t>
            </w:r>
          </w:p>
          <w:p w:rsidR="001A6FF0" w:rsidRDefault="001A6FF0" w:rsidP="00BC2239">
            <w:pPr>
              <w:pStyle w:val="Tabletext1"/>
              <w:keepNext/>
              <w:rPr>
                <w:lang w:eastAsia="en-US"/>
              </w:rPr>
            </w:pPr>
          </w:p>
        </w:tc>
        <w:tc>
          <w:tcPr>
            <w:tcW w:w="869" w:type="pct"/>
          </w:tcPr>
          <w:p w:rsidR="001A6FF0" w:rsidRDefault="001A6FF0" w:rsidP="00BC2239">
            <w:pPr>
              <w:pStyle w:val="Tabletext1"/>
              <w:keepNext/>
              <w:rPr>
                <w:lang w:eastAsia="en-US"/>
              </w:rPr>
            </w:pPr>
            <w:r>
              <w:rPr>
                <w:lang w:eastAsia="en-US"/>
              </w:rPr>
              <w:t>Patient 3</w:t>
            </w:r>
          </w:p>
          <w:p w:rsidR="001A6FF0" w:rsidRDefault="001A6FF0" w:rsidP="00BC2239">
            <w:pPr>
              <w:pStyle w:val="Tabletext1"/>
              <w:keepNext/>
              <w:rPr>
                <w:lang w:eastAsia="en-US"/>
              </w:rPr>
            </w:pPr>
            <w:r>
              <w:rPr>
                <w:lang w:eastAsia="en-US"/>
              </w:rPr>
              <w:t>Patient 4</w:t>
            </w:r>
          </w:p>
          <w:p w:rsidR="001A6FF0" w:rsidRDefault="001A6FF0" w:rsidP="00BC2239">
            <w:pPr>
              <w:pStyle w:val="Tabletext1"/>
              <w:keepNext/>
              <w:rPr>
                <w:lang w:eastAsia="en-US"/>
              </w:rPr>
            </w:pPr>
            <w:r>
              <w:rPr>
                <w:lang w:eastAsia="en-US"/>
              </w:rPr>
              <w:t>Patient 5</w:t>
            </w:r>
          </w:p>
          <w:p w:rsidR="001A6FF0" w:rsidRDefault="001A6FF0" w:rsidP="00BC2239">
            <w:pPr>
              <w:pStyle w:val="Tabletext1"/>
              <w:keepNext/>
              <w:rPr>
                <w:lang w:eastAsia="en-US"/>
              </w:rPr>
            </w:pPr>
            <w:r>
              <w:rPr>
                <w:lang w:eastAsia="en-US"/>
              </w:rPr>
              <w:t xml:space="preserve">Patient 6 </w:t>
            </w:r>
          </w:p>
          <w:p w:rsidR="001A6FF0" w:rsidRDefault="001A6FF0" w:rsidP="00BC2239">
            <w:pPr>
              <w:pStyle w:val="Tabletext1"/>
              <w:keepNext/>
              <w:rPr>
                <w:lang w:eastAsia="en-US"/>
              </w:rPr>
            </w:pPr>
            <w:r>
              <w:rPr>
                <w:lang w:eastAsia="en-US"/>
              </w:rPr>
              <w:t>Patient 7</w:t>
            </w:r>
          </w:p>
        </w:tc>
        <w:tc>
          <w:tcPr>
            <w:tcW w:w="649" w:type="pct"/>
            <w:tcBorders>
              <w:right w:val="single" w:sz="4" w:space="0" w:color="auto"/>
            </w:tcBorders>
          </w:tcPr>
          <w:p w:rsidR="001A6FF0" w:rsidRDefault="001A6FF0" w:rsidP="00BC2239">
            <w:pPr>
              <w:pStyle w:val="Tabletext1"/>
              <w:keepNext/>
              <w:rPr>
                <w:lang w:eastAsia="en-US"/>
              </w:rPr>
            </w:pPr>
            <w:r>
              <w:rPr>
                <w:lang w:eastAsia="en-US"/>
              </w:rPr>
              <w:t>2</w:t>
            </w:r>
          </w:p>
          <w:p w:rsidR="001A6FF0" w:rsidRDefault="001A6FF0" w:rsidP="00BC2239">
            <w:pPr>
              <w:pStyle w:val="Tabletext1"/>
              <w:keepNext/>
              <w:rPr>
                <w:lang w:eastAsia="en-US"/>
              </w:rPr>
            </w:pPr>
            <w:r>
              <w:rPr>
                <w:lang w:eastAsia="en-US"/>
              </w:rPr>
              <w:t>2.5</w:t>
            </w:r>
          </w:p>
          <w:p w:rsidR="001A6FF0" w:rsidRDefault="001A6FF0" w:rsidP="00BC2239">
            <w:pPr>
              <w:pStyle w:val="Tabletext1"/>
              <w:keepNext/>
              <w:rPr>
                <w:lang w:eastAsia="en-US"/>
              </w:rPr>
            </w:pPr>
            <w:r>
              <w:rPr>
                <w:lang w:eastAsia="en-US"/>
              </w:rPr>
              <w:t>0</w:t>
            </w:r>
          </w:p>
          <w:p w:rsidR="001A6FF0" w:rsidRDefault="001A6FF0" w:rsidP="00BC2239">
            <w:pPr>
              <w:pStyle w:val="Tabletext1"/>
              <w:keepNext/>
              <w:rPr>
                <w:lang w:eastAsia="en-US"/>
              </w:rPr>
            </w:pPr>
            <w:r>
              <w:rPr>
                <w:lang w:eastAsia="en-US"/>
              </w:rPr>
              <w:t>0</w:t>
            </w:r>
          </w:p>
          <w:p w:rsidR="001A6FF0" w:rsidRDefault="001A6FF0" w:rsidP="00BC2239">
            <w:pPr>
              <w:pStyle w:val="Tabletext1"/>
              <w:keepNext/>
              <w:rPr>
                <w:lang w:eastAsia="en-US"/>
              </w:rPr>
            </w:pPr>
            <w:r>
              <w:rPr>
                <w:lang w:eastAsia="en-US"/>
              </w:rPr>
              <w:t>0</w:t>
            </w:r>
          </w:p>
        </w:tc>
        <w:tc>
          <w:tcPr>
            <w:tcW w:w="1033" w:type="pct"/>
            <w:tcBorders>
              <w:left w:val="single" w:sz="4" w:space="0" w:color="auto"/>
            </w:tcBorders>
          </w:tcPr>
          <w:p w:rsidR="00165E79" w:rsidRPr="00165E79" w:rsidRDefault="001A6FF0" w:rsidP="00165E79">
            <w:pPr>
              <w:keepNext/>
              <w:spacing w:after="0" w:line="240" w:lineRule="auto"/>
              <w:rPr>
                <w:rFonts w:ascii="Arial Narrow" w:hAnsi="Arial Narrow"/>
                <w:sz w:val="20"/>
                <w:szCs w:val="20"/>
              </w:rPr>
            </w:pPr>
            <w:r>
              <w:rPr>
                <w:rFonts w:ascii="Arial Narrow" w:hAnsi="Arial Narrow"/>
                <w:sz w:val="20"/>
                <w:szCs w:val="20"/>
              </w:rPr>
              <w:t>4-5 years</w:t>
            </w:r>
          </w:p>
        </w:tc>
        <w:tc>
          <w:tcPr>
            <w:tcW w:w="930" w:type="pct"/>
          </w:tcPr>
          <w:p w:rsidR="001A6FF0" w:rsidRDefault="001A6FF0" w:rsidP="00BC2239">
            <w:pPr>
              <w:pStyle w:val="Tabletext1"/>
              <w:keepNext/>
              <w:rPr>
                <w:lang w:eastAsia="en-US"/>
              </w:rPr>
            </w:pPr>
            <w:r>
              <w:rPr>
                <w:lang w:eastAsia="en-US"/>
              </w:rPr>
              <w:t>2</w:t>
            </w:r>
          </w:p>
          <w:p w:rsidR="001A6FF0" w:rsidRDefault="001A6FF0" w:rsidP="00BC2239">
            <w:pPr>
              <w:pStyle w:val="Tabletext1"/>
              <w:keepNext/>
              <w:rPr>
                <w:lang w:eastAsia="en-US"/>
              </w:rPr>
            </w:pPr>
            <w:r>
              <w:rPr>
                <w:lang w:eastAsia="en-US"/>
              </w:rPr>
              <w:t>2.5</w:t>
            </w:r>
          </w:p>
          <w:p w:rsidR="001A6FF0" w:rsidRDefault="001A6FF0" w:rsidP="00BC2239">
            <w:pPr>
              <w:pStyle w:val="Tabletext1"/>
              <w:keepNext/>
              <w:rPr>
                <w:lang w:eastAsia="en-US"/>
              </w:rPr>
            </w:pPr>
            <w:r>
              <w:rPr>
                <w:lang w:eastAsia="en-US"/>
              </w:rPr>
              <w:t>0</w:t>
            </w:r>
          </w:p>
          <w:p w:rsidR="001A6FF0" w:rsidRDefault="001A6FF0" w:rsidP="00BC2239">
            <w:pPr>
              <w:pStyle w:val="Tabletext1"/>
              <w:keepNext/>
              <w:rPr>
                <w:lang w:eastAsia="en-US"/>
              </w:rPr>
            </w:pPr>
            <w:r>
              <w:rPr>
                <w:lang w:eastAsia="en-US"/>
              </w:rPr>
              <w:t>0</w:t>
            </w:r>
          </w:p>
          <w:p w:rsidR="001A6FF0" w:rsidRDefault="001A6FF0" w:rsidP="00BC2239">
            <w:pPr>
              <w:pStyle w:val="Tabletext1"/>
              <w:keepNext/>
              <w:rPr>
                <w:lang w:eastAsia="en-US"/>
              </w:rPr>
            </w:pPr>
            <w:r>
              <w:rPr>
                <w:lang w:eastAsia="en-US"/>
              </w:rPr>
              <w:t>0</w:t>
            </w:r>
          </w:p>
        </w:tc>
        <w:tc>
          <w:tcPr>
            <w:tcW w:w="863" w:type="pct"/>
          </w:tcPr>
          <w:p w:rsidR="001A6FF0" w:rsidRDefault="001A6FF0" w:rsidP="00BC2239">
            <w:pPr>
              <w:pStyle w:val="Tabletext1"/>
              <w:keepNext/>
              <w:rPr>
                <w:lang w:eastAsia="en-US"/>
              </w:rPr>
            </w:pPr>
            <w:r>
              <w:rPr>
                <w:lang w:eastAsia="en-US"/>
              </w:rPr>
              <w:t>0</w:t>
            </w:r>
          </w:p>
          <w:p w:rsidR="001A6FF0" w:rsidRDefault="001A6FF0" w:rsidP="00BC2239">
            <w:pPr>
              <w:pStyle w:val="Tabletext1"/>
              <w:keepNext/>
              <w:rPr>
                <w:lang w:eastAsia="en-US"/>
              </w:rPr>
            </w:pPr>
            <w:r>
              <w:rPr>
                <w:lang w:eastAsia="en-US"/>
              </w:rPr>
              <w:t>0</w:t>
            </w:r>
          </w:p>
          <w:p w:rsidR="001A6FF0" w:rsidRDefault="001A6FF0" w:rsidP="00BC2239">
            <w:pPr>
              <w:pStyle w:val="Tabletext1"/>
              <w:keepNext/>
              <w:rPr>
                <w:lang w:eastAsia="en-US"/>
              </w:rPr>
            </w:pPr>
            <w:r>
              <w:rPr>
                <w:lang w:eastAsia="en-US"/>
              </w:rPr>
              <w:t>0</w:t>
            </w:r>
          </w:p>
          <w:p w:rsidR="001A6FF0" w:rsidRDefault="001A6FF0" w:rsidP="00BC2239">
            <w:pPr>
              <w:pStyle w:val="Tabletext1"/>
              <w:keepNext/>
              <w:rPr>
                <w:lang w:eastAsia="en-US"/>
              </w:rPr>
            </w:pPr>
            <w:r>
              <w:rPr>
                <w:lang w:eastAsia="en-US"/>
              </w:rPr>
              <w:t>0</w:t>
            </w:r>
          </w:p>
          <w:p w:rsidR="001A6FF0" w:rsidRDefault="001A6FF0" w:rsidP="00BC2239">
            <w:pPr>
              <w:pStyle w:val="Tabletext1"/>
              <w:keepNext/>
              <w:rPr>
                <w:lang w:eastAsia="en-US"/>
              </w:rPr>
            </w:pPr>
            <w:r>
              <w:rPr>
                <w:lang w:eastAsia="en-US"/>
              </w:rPr>
              <w:t>0</w:t>
            </w:r>
          </w:p>
        </w:tc>
      </w:tr>
    </w:tbl>
    <w:p w:rsidR="001A6FF0" w:rsidRDefault="001A6FF0" w:rsidP="0025188D">
      <w:pPr>
        <w:pStyle w:val="TableNote"/>
        <w:ind w:left="0" w:firstLine="0"/>
        <w:rPr>
          <w:lang w:eastAsia="en-US"/>
        </w:rPr>
      </w:pPr>
      <w:r>
        <w:rPr>
          <w:lang w:eastAsia="en-US"/>
        </w:rPr>
        <w:t>*</w:t>
      </w:r>
      <w:r w:rsidR="00F90A6F">
        <w:rPr>
          <w:lang w:eastAsia="en-US"/>
        </w:rPr>
        <w:t xml:space="preserve">MWS = </w:t>
      </w:r>
      <w:r>
        <w:rPr>
          <w:lang w:eastAsia="en-US"/>
        </w:rPr>
        <w:t>Modified Walton Scale</w:t>
      </w:r>
      <w:r w:rsidR="00F90A6F">
        <w:rPr>
          <w:lang w:eastAsia="en-US"/>
        </w:rPr>
        <w:t>, which</w:t>
      </w:r>
      <w:r>
        <w:rPr>
          <w:lang w:eastAsia="en-US"/>
        </w:rPr>
        <w:t xml:space="preserve"> measures global motor disability, 0=normal to 7=wheelchair bound. Scores≤2 indicate no significant muscle function impairment.</w:t>
      </w:r>
    </w:p>
    <w:p w:rsidR="001A6FF0" w:rsidRDefault="001A6FF0" w:rsidP="001A6FF0"/>
    <w:p w:rsidR="001A6FF0" w:rsidRDefault="001A6FF0" w:rsidP="001A6FF0">
      <w:r>
        <w:lastRenderedPageBreak/>
        <w:t xml:space="preserve">Van Capelle et al (2008) reported that gross motor function improved slightly over the 3 to 8 years of the study, with the patients’ scoliosis being corrected during this period. The overall level of handicap (measured on the Rotterdam 9-item Handicap Scale; RHS) was decrease slightly in both patients, with patient 1 being able to resume education. Patient 2 was able to perform domestic activities outdoors and leisure activities independently, with no limitations on participating in social activities </w:t>
      </w:r>
      <w:r w:rsidR="003303FE">
        <w:rPr>
          <w:noProof/>
        </w:rPr>
        <w:t>(</w:t>
      </w:r>
      <w:r w:rsidR="00184B6F">
        <w:rPr>
          <w:noProof/>
        </w:rPr>
        <w:t>van Capelle et al. 2008</w:t>
      </w:r>
      <w:r w:rsidR="003303FE">
        <w:rPr>
          <w:noProof/>
        </w:rPr>
        <w:t>)</w:t>
      </w:r>
      <w:r>
        <w:t xml:space="preserve">. </w:t>
      </w:r>
    </w:p>
    <w:p w:rsidR="001A6FF0" w:rsidRDefault="001A6FF0" w:rsidP="00F71730">
      <w:pPr>
        <w:pStyle w:val="Figureheading0"/>
        <w:ind w:left="1418" w:hanging="1418"/>
      </w:pPr>
      <w:bookmarkStart w:id="348" w:name="_Toc411509179"/>
      <w:bookmarkStart w:id="349" w:name="_Toc415141879"/>
      <w:r>
        <w:t xml:space="preserve">Table </w:t>
      </w:r>
      <w:r w:rsidR="00A72B26">
        <w:rPr>
          <w:noProof/>
        </w:rPr>
        <w:t>82</w:t>
      </w:r>
      <w:r>
        <w:tab/>
        <w:t>Gross motor functioning</w:t>
      </w:r>
      <w:r w:rsidR="00DF5C70">
        <w:t xml:space="preserve"> before and after alglucosidase alfa in patients with JOPD</w:t>
      </w:r>
      <w:bookmarkEnd w:id="348"/>
      <w:bookmarkEnd w:id="349"/>
    </w:p>
    <w:tbl>
      <w:tblPr>
        <w:tblStyle w:val="TableGrid"/>
        <w:tblW w:w="5000" w:type="pct"/>
        <w:tblLook w:val="04A0" w:firstRow="1" w:lastRow="0" w:firstColumn="1" w:lastColumn="0" w:noHBand="0" w:noVBand="1"/>
        <w:tblCaption w:val="Gross motor functioning before and after alglucosidase alfa for JOPD"/>
      </w:tblPr>
      <w:tblGrid>
        <w:gridCol w:w="1151"/>
        <w:gridCol w:w="1963"/>
        <w:gridCol w:w="1070"/>
        <w:gridCol w:w="1214"/>
        <w:gridCol w:w="1059"/>
        <w:gridCol w:w="1362"/>
        <w:gridCol w:w="1423"/>
      </w:tblGrid>
      <w:tr w:rsidR="001A6FF0" w:rsidTr="009A0365">
        <w:trPr>
          <w:tblHeader/>
        </w:trPr>
        <w:tc>
          <w:tcPr>
            <w:tcW w:w="622" w:type="pct"/>
            <w:tcBorders>
              <w:right w:val="single" w:sz="4" w:space="0" w:color="auto"/>
            </w:tcBorders>
          </w:tcPr>
          <w:p w:rsidR="001A6FF0" w:rsidRDefault="001A6FF0" w:rsidP="00BC2239">
            <w:pPr>
              <w:pStyle w:val="TableHeading"/>
            </w:pPr>
            <w:r>
              <w:t>Study</w:t>
            </w:r>
          </w:p>
          <w:p w:rsidR="001A6FF0" w:rsidRPr="008F5C81" w:rsidRDefault="001A6FF0" w:rsidP="00BC2239">
            <w:pPr>
              <w:pStyle w:val="TableHeading"/>
            </w:pPr>
            <w:r>
              <w:t>Measure</w:t>
            </w:r>
          </w:p>
        </w:tc>
        <w:tc>
          <w:tcPr>
            <w:tcW w:w="1062" w:type="pct"/>
            <w:tcBorders>
              <w:left w:val="single" w:sz="4" w:space="0" w:color="auto"/>
              <w:right w:val="single" w:sz="4" w:space="0" w:color="auto"/>
            </w:tcBorders>
          </w:tcPr>
          <w:p w:rsidR="001A6FF0" w:rsidRPr="008F5C81" w:rsidRDefault="001A6FF0" w:rsidP="00BC2239">
            <w:pPr>
              <w:pStyle w:val="TableHeading"/>
            </w:pPr>
            <w:r>
              <w:t>Sample</w:t>
            </w:r>
          </w:p>
        </w:tc>
        <w:tc>
          <w:tcPr>
            <w:tcW w:w="579" w:type="pct"/>
            <w:tcBorders>
              <w:right w:val="single" w:sz="4" w:space="0" w:color="auto"/>
            </w:tcBorders>
          </w:tcPr>
          <w:p w:rsidR="001A6FF0" w:rsidRPr="008F5C81" w:rsidRDefault="001A6FF0" w:rsidP="00BC2239">
            <w:pPr>
              <w:pStyle w:val="TableHeading"/>
            </w:pPr>
            <w:r w:rsidRPr="008F5C81">
              <w:t>Baseline</w:t>
            </w:r>
            <w:r>
              <w:t xml:space="preserve"> </w:t>
            </w:r>
          </w:p>
        </w:tc>
        <w:tc>
          <w:tcPr>
            <w:tcW w:w="657" w:type="pct"/>
            <w:tcBorders>
              <w:left w:val="single" w:sz="4" w:space="0" w:color="auto"/>
              <w:right w:val="single" w:sz="4" w:space="0" w:color="auto"/>
            </w:tcBorders>
          </w:tcPr>
          <w:p w:rsidR="001A6FF0" w:rsidRPr="008F5C81" w:rsidRDefault="001A6FF0" w:rsidP="00BC2239">
            <w:pPr>
              <w:pStyle w:val="TableHeading"/>
            </w:pPr>
            <w:r>
              <w:t>3 year follow-up</w:t>
            </w:r>
          </w:p>
        </w:tc>
        <w:tc>
          <w:tcPr>
            <w:tcW w:w="573" w:type="pct"/>
            <w:tcBorders>
              <w:left w:val="single" w:sz="4" w:space="0" w:color="auto"/>
            </w:tcBorders>
          </w:tcPr>
          <w:p w:rsidR="001A6FF0" w:rsidRPr="008F5C81" w:rsidRDefault="001A6FF0" w:rsidP="00BC2239">
            <w:pPr>
              <w:pStyle w:val="TableHeading"/>
            </w:pPr>
            <w:r>
              <w:t>Change</w:t>
            </w:r>
          </w:p>
        </w:tc>
        <w:tc>
          <w:tcPr>
            <w:tcW w:w="737" w:type="pct"/>
          </w:tcPr>
          <w:p w:rsidR="001A6FF0" w:rsidRPr="008F5C81" w:rsidRDefault="001A6FF0" w:rsidP="00BC2239">
            <w:pPr>
              <w:pStyle w:val="TableHeading"/>
            </w:pPr>
            <w:r>
              <w:t>8 year follow-up</w:t>
            </w:r>
          </w:p>
        </w:tc>
        <w:tc>
          <w:tcPr>
            <w:tcW w:w="770" w:type="pct"/>
          </w:tcPr>
          <w:p w:rsidR="001A6FF0" w:rsidRDefault="001A6FF0" w:rsidP="00BC2239">
            <w:pPr>
              <w:pStyle w:val="TableHeading"/>
            </w:pPr>
            <w:r>
              <w:t xml:space="preserve">Change </w:t>
            </w:r>
          </w:p>
        </w:tc>
      </w:tr>
      <w:tr w:rsidR="001A6FF0" w:rsidRPr="00383828" w:rsidTr="00BC2239">
        <w:trPr>
          <w:trHeight w:val="707"/>
        </w:trPr>
        <w:tc>
          <w:tcPr>
            <w:tcW w:w="622" w:type="pct"/>
            <w:tcBorders>
              <w:right w:val="single" w:sz="4" w:space="0" w:color="auto"/>
            </w:tcBorders>
          </w:tcPr>
          <w:p w:rsidR="001A6FF0" w:rsidRDefault="001A6FF0" w:rsidP="00BC2239">
            <w:pPr>
              <w:pStyle w:val="Tabletext1"/>
            </w:pPr>
            <w:r>
              <w:t>Van Capelle et al (2008)</w:t>
            </w:r>
          </w:p>
          <w:p w:rsidR="001A6FF0" w:rsidRPr="00BA5700" w:rsidRDefault="001A6FF0" w:rsidP="00BC2239">
            <w:pPr>
              <w:pStyle w:val="Tabletext1"/>
              <w:rPr>
                <w:vertAlign w:val="superscript"/>
              </w:rPr>
            </w:pPr>
            <w:r w:rsidRPr="00B564EC">
              <w:t>GMFM</w:t>
            </w:r>
            <w:r>
              <w:t xml:space="preserve"> (%)</w:t>
            </w:r>
          </w:p>
        </w:tc>
        <w:tc>
          <w:tcPr>
            <w:tcW w:w="1062" w:type="pct"/>
            <w:tcBorders>
              <w:left w:val="single" w:sz="4" w:space="0" w:color="auto"/>
              <w:right w:val="single" w:sz="4" w:space="0" w:color="auto"/>
            </w:tcBorders>
          </w:tcPr>
          <w:p w:rsidR="001A6FF0" w:rsidRDefault="001A6FF0" w:rsidP="00BC2239">
            <w:pPr>
              <w:pStyle w:val="Tabletext1"/>
            </w:pPr>
            <w:r>
              <w:t>Patient 1 (sitting)</w:t>
            </w:r>
          </w:p>
          <w:p w:rsidR="001A6FF0" w:rsidRDefault="001A6FF0" w:rsidP="00BC2239">
            <w:pPr>
              <w:pStyle w:val="Tabletext1"/>
            </w:pPr>
            <w:r>
              <w:t>Patient 1 (lying)</w:t>
            </w:r>
          </w:p>
          <w:p w:rsidR="001A6FF0" w:rsidRDefault="001A6FF0" w:rsidP="00BC2239">
            <w:pPr>
              <w:pStyle w:val="Tabletext1"/>
            </w:pPr>
            <w:r>
              <w:t>Patient 1 (crawling)</w:t>
            </w:r>
          </w:p>
          <w:p w:rsidR="001A6FF0" w:rsidRDefault="001A6FF0" w:rsidP="00BC2239">
            <w:pPr>
              <w:pStyle w:val="Tabletext1"/>
            </w:pPr>
            <w:r>
              <w:t>Patient 2 (total)</w:t>
            </w:r>
          </w:p>
        </w:tc>
        <w:tc>
          <w:tcPr>
            <w:tcW w:w="579" w:type="pct"/>
            <w:tcBorders>
              <w:right w:val="single" w:sz="4" w:space="0" w:color="auto"/>
            </w:tcBorders>
          </w:tcPr>
          <w:p w:rsidR="001A6FF0" w:rsidRDefault="001A6FF0" w:rsidP="00BC2239">
            <w:pPr>
              <w:pStyle w:val="Tabletext1"/>
            </w:pPr>
            <w:r>
              <w:t>47</w:t>
            </w:r>
          </w:p>
          <w:p w:rsidR="001A6FF0" w:rsidRDefault="001A6FF0" w:rsidP="00BC2239">
            <w:pPr>
              <w:pStyle w:val="Tabletext1"/>
            </w:pPr>
            <w:r>
              <w:t>67</w:t>
            </w:r>
          </w:p>
          <w:p w:rsidR="001A6FF0" w:rsidRDefault="001A6FF0" w:rsidP="00BC2239">
            <w:pPr>
              <w:pStyle w:val="Tabletext1"/>
            </w:pPr>
            <w:r>
              <w:t>21</w:t>
            </w:r>
          </w:p>
          <w:p w:rsidR="001A6FF0" w:rsidRPr="00383828" w:rsidRDefault="001A6FF0" w:rsidP="00BC2239">
            <w:pPr>
              <w:pStyle w:val="Tabletext1"/>
            </w:pPr>
            <w:r>
              <w:t>12</w:t>
            </w:r>
          </w:p>
        </w:tc>
        <w:tc>
          <w:tcPr>
            <w:tcW w:w="657" w:type="pct"/>
            <w:tcBorders>
              <w:left w:val="single" w:sz="4" w:space="0" w:color="auto"/>
              <w:right w:val="single" w:sz="4" w:space="0" w:color="auto"/>
            </w:tcBorders>
          </w:tcPr>
          <w:p w:rsidR="001A6FF0" w:rsidRDefault="001A6FF0" w:rsidP="00BC2239">
            <w:pPr>
              <w:pStyle w:val="Tabletext1"/>
            </w:pPr>
            <w:r>
              <w:t>80</w:t>
            </w:r>
          </w:p>
          <w:p w:rsidR="001A6FF0" w:rsidRDefault="001A6FF0" w:rsidP="00BC2239">
            <w:pPr>
              <w:pStyle w:val="Tabletext1"/>
            </w:pPr>
            <w:r>
              <w:t>78</w:t>
            </w:r>
          </w:p>
          <w:p w:rsidR="001A6FF0" w:rsidRDefault="001A6FF0" w:rsidP="00BC2239">
            <w:pPr>
              <w:pStyle w:val="Tabletext1"/>
            </w:pPr>
            <w:r>
              <w:t>33</w:t>
            </w:r>
          </w:p>
          <w:p w:rsidR="001A6FF0" w:rsidRPr="00383828" w:rsidRDefault="001A6FF0" w:rsidP="00BC2239">
            <w:pPr>
              <w:pStyle w:val="Tabletext1"/>
            </w:pPr>
            <w:r>
              <w:t>13</w:t>
            </w:r>
          </w:p>
        </w:tc>
        <w:tc>
          <w:tcPr>
            <w:tcW w:w="573" w:type="pct"/>
            <w:tcBorders>
              <w:left w:val="single" w:sz="4" w:space="0" w:color="auto"/>
            </w:tcBorders>
          </w:tcPr>
          <w:p w:rsidR="001A6FF0" w:rsidRDefault="001A6FF0" w:rsidP="00BC2239">
            <w:pPr>
              <w:pStyle w:val="Tabletext1"/>
            </w:pPr>
            <w:r>
              <w:t>33</w:t>
            </w:r>
          </w:p>
          <w:p w:rsidR="001A6FF0" w:rsidRDefault="001A6FF0" w:rsidP="00BC2239">
            <w:pPr>
              <w:pStyle w:val="Tabletext1"/>
            </w:pPr>
            <w:r>
              <w:t>11</w:t>
            </w:r>
          </w:p>
          <w:p w:rsidR="001A6FF0" w:rsidRDefault="001A6FF0" w:rsidP="00BC2239">
            <w:pPr>
              <w:pStyle w:val="Tabletext1"/>
            </w:pPr>
            <w:r>
              <w:t>12</w:t>
            </w:r>
          </w:p>
          <w:p w:rsidR="001A6FF0" w:rsidRPr="00383828" w:rsidRDefault="001A6FF0" w:rsidP="00BC2239">
            <w:pPr>
              <w:pStyle w:val="Tabletext1"/>
            </w:pPr>
            <w:r>
              <w:t>1</w:t>
            </w:r>
          </w:p>
        </w:tc>
        <w:tc>
          <w:tcPr>
            <w:tcW w:w="737" w:type="pct"/>
          </w:tcPr>
          <w:p w:rsidR="001A6FF0" w:rsidRDefault="001A6FF0" w:rsidP="00BC2239">
            <w:pPr>
              <w:pStyle w:val="Tabletext1"/>
            </w:pPr>
            <w:r>
              <w:t>83</w:t>
            </w:r>
          </w:p>
          <w:p w:rsidR="001A6FF0" w:rsidRDefault="001A6FF0" w:rsidP="00BC2239">
            <w:pPr>
              <w:pStyle w:val="Tabletext1"/>
            </w:pPr>
            <w:r>
              <w:t>73</w:t>
            </w:r>
          </w:p>
          <w:p w:rsidR="001A6FF0" w:rsidRDefault="001A6FF0" w:rsidP="00BC2239">
            <w:pPr>
              <w:pStyle w:val="Tabletext1"/>
            </w:pPr>
            <w:r>
              <w:t>36</w:t>
            </w:r>
          </w:p>
          <w:p w:rsidR="001A6FF0" w:rsidRPr="00383828" w:rsidRDefault="001A6FF0" w:rsidP="00BC2239">
            <w:pPr>
              <w:pStyle w:val="Tabletext1"/>
            </w:pPr>
            <w:r>
              <w:t>12</w:t>
            </w:r>
          </w:p>
        </w:tc>
        <w:tc>
          <w:tcPr>
            <w:tcW w:w="770" w:type="pct"/>
          </w:tcPr>
          <w:p w:rsidR="001A6FF0" w:rsidRDefault="001A6FF0" w:rsidP="00BC2239">
            <w:pPr>
              <w:pStyle w:val="Tabletext1"/>
            </w:pPr>
            <w:r>
              <w:t>36</w:t>
            </w:r>
          </w:p>
          <w:p w:rsidR="001A6FF0" w:rsidRDefault="001A6FF0" w:rsidP="00BC2239">
            <w:pPr>
              <w:pStyle w:val="Tabletext1"/>
            </w:pPr>
            <w:r>
              <w:t>6</w:t>
            </w:r>
          </w:p>
          <w:p w:rsidR="001A6FF0" w:rsidRDefault="001A6FF0" w:rsidP="00BC2239">
            <w:pPr>
              <w:pStyle w:val="Tabletext1"/>
            </w:pPr>
            <w:r>
              <w:t>15</w:t>
            </w:r>
          </w:p>
          <w:p w:rsidR="001A6FF0" w:rsidRPr="00383828" w:rsidRDefault="001A6FF0" w:rsidP="00BC2239">
            <w:pPr>
              <w:pStyle w:val="Tabletext1"/>
            </w:pPr>
            <w:r>
              <w:t>0</w:t>
            </w:r>
          </w:p>
        </w:tc>
      </w:tr>
      <w:tr w:rsidR="001A6FF0" w:rsidRPr="00383828" w:rsidTr="00BC2239">
        <w:trPr>
          <w:trHeight w:val="707"/>
        </w:trPr>
        <w:tc>
          <w:tcPr>
            <w:tcW w:w="622" w:type="pct"/>
            <w:tcBorders>
              <w:right w:val="single" w:sz="4" w:space="0" w:color="auto"/>
            </w:tcBorders>
          </w:tcPr>
          <w:p w:rsidR="001A6FF0" w:rsidRDefault="001A6FF0" w:rsidP="00BC2239">
            <w:pPr>
              <w:pStyle w:val="Tabletext1"/>
            </w:pPr>
            <w:r>
              <w:t>Van Capelle et al (2008)</w:t>
            </w:r>
          </w:p>
          <w:p w:rsidR="001A6FF0" w:rsidRPr="00B564EC" w:rsidRDefault="001A6FF0" w:rsidP="00BC2239">
            <w:pPr>
              <w:pStyle w:val="Tabletext1"/>
            </w:pPr>
            <w:r>
              <w:t>RHS</w:t>
            </w:r>
          </w:p>
        </w:tc>
        <w:tc>
          <w:tcPr>
            <w:tcW w:w="1062" w:type="pct"/>
            <w:tcBorders>
              <w:left w:val="single" w:sz="4" w:space="0" w:color="auto"/>
              <w:right w:val="single" w:sz="4" w:space="0" w:color="auto"/>
            </w:tcBorders>
          </w:tcPr>
          <w:p w:rsidR="001A6FF0" w:rsidRDefault="001A6FF0" w:rsidP="00BC2239">
            <w:pPr>
              <w:pStyle w:val="Tabletext1"/>
            </w:pPr>
            <w:r>
              <w:t>Patient 1</w:t>
            </w:r>
          </w:p>
          <w:p w:rsidR="001A6FF0" w:rsidRDefault="001A6FF0" w:rsidP="00BC2239">
            <w:pPr>
              <w:pStyle w:val="Tabletext1"/>
            </w:pPr>
            <w:r>
              <w:t>Patient 2</w:t>
            </w:r>
          </w:p>
        </w:tc>
        <w:tc>
          <w:tcPr>
            <w:tcW w:w="579" w:type="pct"/>
            <w:tcBorders>
              <w:right w:val="single" w:sz="4" w:space="0" w:color="auto"/>
            </w:tcBorders>
          </w:tcPr>
          <w:p w:rsidR="001A6FF0" w:rsidRDefault="001A6FF0" w:rsidP="00BC2239">
            <w:pPr>
              <w:pStyle w:val="Tabletext1"/>
            </w:pPr>
            <w:r>
              <w:t>NR</w:t>
            </w:r>
          </w:p>
          <w:p w:rsidR="001A6FF0" w:rsidRDefault="001A6FF0" w:rsidP="00BC2239">
            <w:pPr>
              <w:pStyle w:val="Tabletext1"/>
            </w:pPr>
            <w:r>
              <w:t>NR</w:t>
            </w:r>
          </w:p>
        </w:tc>
        <w:tc>
          <w:tcPr>
            <w:tcW w:w="657" w:type="pct"/>
            <w:tcBorders>
              <w:left w:val="single" w:sz="4" w:space="0" w:color="auto"/>
              <w:right w:val="single" w:sz="4" w:space="0" w:color="auto"/>
            </w:tcBorders>
          </w:tcPr>
          <w:p w:rsidR="001A6FF0" w:rsidRDefault="001A6FF0" w:rsidP="00BC2239">
            <w:pPr>
              <w:pStyle w:val="Tabletext1"/>
            </w:pPr>
            <w:r>
              <w:t>16</w:t>
            </w:r>
          </w:p>
          <w:p w:rsidR="001A6FF0" w:rsidRDefault="001A6FF0" w:rsidP="00BC2239">
            <w:pPr>
              <w:pStyle w:val="Tabletext1"/>
            </w:pPr>
            <w:r>
              <w:t>18</w:t>
            </w:r>
          </w:p>
        </w:tc>
        <w:tc>
          <w:tcPr>
            <w:tcW w:w="573" w:type="pct"/>
            <w:tcBorders>
              <w:left w:val="single" w:sz="4" w:space="0" w:color="auto"/>
            </w:tcBorders>
          </w:tcPr>
          <w:p w:rsidR="001A6FF0" w:rsidRDefault="001A6FF0" w:rsidP="00BC2239">
            <w:pPr>
              <w:pStyle w:val="Tabletext1"/>
            </w:pPr>
            <w:r>
              <w:t>NR</w:t>
            </w:r>
          </w:p>
        </w:tc>
        <w:tc>
          <w:tcPr>
            <w:tcW w:w="737" w:type="pct"/>
          </w:tcPr>
          <w:p w:rsidR="001A6FF0" w:rsidRDefault="001A6FF0" w:rsidP="00BC2239">
            <w:pPr>
              <w:pStyle w:val="Tabletext1"/>
            </w:pPr>
            <w:r>
              <w:t>25</w:t>
            </w:r>
          </w:p>
          <w:p w:rsidR="001A6FF0" w:rsidRDefault="001A6FF0" w:rsidP="00BC2239">
            <w:pPr>
              <w:pStyle w:val="Tabletext1"/>
            </w:pPr>
            <w:r>
              <w:t>20</w:t>
            </w:r>
          </w:p>
        </w:tc>
        <w:tc>
          <w:tcPr>
            <w:tcW w:w="770" w:type="pct"/>
          </w:tcPr>
          <w:p w:rsidR="001A6FF0" w:rsidRDefault="001A6FF0" w:rsidP="00BC2239">
            <w:pPr>
              <w:pStyle w:val="Tabletext1"/>
            </w:pPr>
            <w:r>
              <w:t>NR</w:t>
            </w:r>
          </w:p>
        </w:tc>
      </w:tr>
    </w:tbl>
    <w:p w:rsidR="001A6FF0" w:rsidRDefault="001A6FF0" w:rsidP="001A6FF0">
      <w:pPr>
        <w:pStyle w:val="TableNote"/>
        <w:rPr>
          <w:lang w:eastAsia="en-US"/>
        </w:rPr>
      </w:pPr>
      <w:r>
        <w:rPr>
          <w:lang w:eastAsia="en-US"/>
        </w:rPr>
        <w:t>GMFM = gross motor function assessment, reference value = 100</w:t>
      </w:r>
    </w:p>
    <w:p w:rsidR="001A6FF0" w:rsidRPr="00B259C8" w:rsidRDefault="001A6FF0" w:rsidP="001A6FF0">
      <w:pPr>
        <w:pStyle w:val="TableNote"/>
        <w:rPr>
          <w:lang w:eastAsia="en-US"/>
        </w:rPr>
      </w:pPr>
      <w:r>
        <w:rPr>
          <w:lang w:eastAsia="en-US"/>
        </w:rPr>
        <w:t>RHS = Rotterdam handicap scale</w:t>
      </w:r>
    </w:p>
    <w:p w:rsidR="001A6FF0" w:rsidRDefault="001A6FF0" w:rsidP="001A6FF0">
      <w:pPr>
        <w:pStyle w:val="TableNote"/>
        <w:rPr>
          <w:lang w:eastAsia="en-US"/>
        </w:rPr>
      </w:pPr>
    </w:p>
    <w:p w:rsidR="001A6FF0" w:rsidRPr="00EC5DFF" w:rsidRDefault="001A6FF0" w:rsidP="00EC5DFF">
      <w:pPr>
        <w:pStyle w:val="Heading5"/>
      </w:pPr>
      <w:r w:rsidRPr="00EC5DFF">
        <w:t>Muscle strength</w:t>
      </w:r>
    </w:p>
    <w:p w:rsidR="001A6FF0" w:rsidRDefault="001A6FF0" w:rsidP="001A6FF0">
      <w:r>
        <w:t>Muscle strength was measured by hand held dynamometry (HHD), manual muscle testing (MMT)</w:t>
      </w:r>
      <w:proofErr w:type="gramStart"/>
      <w:r>
        <w:t>,</w:t>
      </w:r>
      <w:proofErr w:type="gramEnd"/>
      <w:r>
        <w:t xml:space="preserve"> motor function measure (MFM), and the quick motor function test. </w:t>
      </w:r>
    </w:p>
    <w:p w:rsidR="001A6FF0" w:rsidRDefault="001A6FF0" w:rsidP="001A6FF0">
      <w:r>
        <w:t xml:space="preserve">Three articles used the HDD method of measuring muscle strength. A small improvement was seen after one year of treatment in a 26 year old, who had had symptoms of PD since age 15 </w:t>
      </w:r>
      <w:r w:rsidR="003303FE">
        <w:rPr>
          <w:noProof/>
        </w:rPr>
        <w:t>(</w:t>
      </w:r>
      <w:r w:rsidR="00184B6F">
        <w:rPr>
          <w:noProof/>
        </w:rPr>
        <w:t>Sugai et al. 2010</w:t>
      </w:r>
      <w:r w:rsidR="003303FE">
        <w:rPr>
          <w:noProof/>
        </w:rPr>
        <w:t>)</w:t>
      </w:r>
      <w:r>
        <w:t>. She had relatively severe disease, requiring invasive ventilation and lower limbs were ‘severely difficult to move’.</w:t>
      </w:r>
    </w:p>
    <w:p w:rsidR="001A6FF0" w:rsidRDefault="001A6FF0" w:rsidP="001A6FF0">
      <w:r>
        <w:t xml:space="preserve">Larger improvements were seen over 3 and 8 years of treatment in patients aged 5.9 to 32 years at the start of treatment (age of onset between 2.5 years and 10 years)  </w:t>
      </w:r>
      <w:r w:rsidR="003303FE">
        <w:rPr>
          <w:noProof/>
        </w:rPr>
        <w:t>(</w:t>
      </w:r>
      <w:r w:rsidR="00184B6F">
        <w:rPr>
          <w:noProof/>
        </w:rPr>
        <w:t>van Capelle et al. 2010</w:t>
      </w:r>
      <w:r w:rsidR="003303FE">
        <w:rPr>
          <w:noProof/>
        </w:rPr>
        <w:t xml:space="preserve">; </w:t>
      </w:r>
      <w:r w:rsidR="00184B6F">
        <w:rPr>
          <w:noProof/>
        </w:rPr>
        <w:t>van Capelle et al. 2008</w:t>
      </w:r>
      <w:r w:rsidR="003303FE">
        <w:rPr>
          <w:noProof/>
        </w:rPr>
        <w:t>)</w:t>
      </w:r>
      <w:r>
        <w:t xml:space="preserve">. However, muscle strength remained below normal values, with van Capelle et al (2008) providing age-appropriate reference values for their patients after 8 years, as 3356 Newtons for patient 1, and 4759 Newtons for Patient 2 </w:t>
      </w:r>
      <w:r w:rsidR="003303FE">
        <w:rPr>
          <w:noProof/>
        </w:rPr>
        <w:t>(</w:t>
      </w:r>
      <w:r w:rsidR="00184B6F">
        <w:rPr>
          <w:noProof/>
        </w:rPr>
        <w:t>van Capelle et al. 2008</w:t>
      </w:r>
      <w:r w:rsidR="003303FE">
        <w:rPr>
          <w:noProof/>
        </w:rPr>
        <w:t>)</w:t>
      </w:r>
      <w:r>
        <w:t xml:space="preserve">. </w:t>
      </w:r>
      <w:r w:rsidR="00A61CB5">
        <w:t>Comparisons across these studies, would suggest that the patients treated at an earlier stage of disease progression (i.e. with better baseline scores, and at a younger age; Patients 1, 2 and 4 in van Capelle et al 2010 and Patient 1 in van Capelle et al 2008) show larger improvements than those treated when they are adults (Patient 2 in the study by van Capelle et al 2008 and the patient treated by Sugai et al 2010)</w:t>
      </w:r>
      <w:r w:rsidR="00646376">
        <w:t xml:space="preserve"> </w:t>
      </w:r>
      <w:r w:rsidR="00646376" w:rsidRPr="00FE08CA">
        <w:t xml:space="preserve">(GRADE </w:t>
      </w:r>
      <w:r w:rsidR="00646376" w:rsidRPr="00FE08CA">
        <w:rPr>
          <w:rFonts w:ascii="Cambria Math" w:hAnsi="Cambria Math" w:cs="Cambria Math"/>
          <w:color w:val="00B050"/>
        </w:rPr>
        <w:t>⨁</w:t>
      </w:r>
      <w:r w:rsidR="00646376" w:rsidRPr="00FE08CA">
        <w:rPr>
          <w:rFonts w:ascii="Cambria Math" w:hAnsi="Cambria Math" w:cs="Cambria Math"/>
          <w:color w:val="C00000"/>
        </w:rPr>
        <w:t>⨀⨀⨀</w:t>
      </w:r>
      <w:r w:rsidR="00646376" w:rsidRPr="00FE08CA">
        <w:rPr>
          <w:rFonts w:cs="Cambria Math"/>
          <w:spacing w:val="-20"/>
        </w:rPr>
        <w:t>)</w:t>
      </w:r>
      <w:r w:rsidR="00A61CB5">
        <w:t xml:space="preserve">. </w:t>
      </w:r>
    </w:p>
    <w:p w:rsidR="001A6FF0" w:rsidRDefault="001A6FF0" w:rsidP="00F71730">
      <w:pPr>
        <w:pStyle w:val="Figureheading0"/>
        <w:keepNext/>
        <w:ind w:left="1418" w:hanging="1418"/>
      </w:pPr>
      <w:bookmarkStart w:id="350" w:name="_Toc411509180"/>
      <w:bookmarkStart w:id="351" w:name="_Toc415141880"/>
      <w:r>
        <w:lastRenderedPageBreak/>
        <w:t xml:space="preserve">Table </w:t>
      </w:r>
      <w:r w:rsidR="00A72B26">
        <w:rPr>
          <w:noProof/>
        </w:rPr>
        <w:t>83</w:t>
      </w:r>
      <w:r>
        <w:tab/>
        <w:t>Muscle strength measured using hand held dynamometry (HHD)</w:t>
      </w:r>
      <w:r w:rsidR="00DF5C70">
        <w:t xml:space="preserve"> before and after alglucosidase alfa in patients with JOPD</w:t>
      </w:r>
      <w:bookmarkEnd w:id="350"/>
      <w:bookmarkEnd w:id="351"/>
    </w:p>
    <w:tbl>
      <w:tblPr>
        <w:tblStyle w:val="TableGrid"/>
        <w:tblW w:w="5000" w:type="pct"/>
        <w:tblLook w:val="04A0" w:firstRow="1" w:lastRow="0" w:firstColumn="1" w:lastColumn="0" w:noHBand="0" w:noVBand="1"/>
        <w:tblCaption w:val="Muscle strength before and after alglucosidase alfa for JOPD"/>
      </w:tblPr>
      <w:tblGrid>
        <w:gridCol w:w="1384"/>
        <w:gridCol w:w="1137"/>
        <w:gridCol w:w="1839"/>
        <w:gridCol w:w="1418"/>
        <w:gridCol w:w="2128"/>
        <w:gridCol w:w="1336"/>
      </w:tblGrid>
      <w:tr w:rsidR="001A6FF0" w:rsidTr="009A0365">
        <w:trPr>
          <w:tblHeader/>
        </w:trPr>
        <w:tc>
          <w:tcPr>
            <w:tcW w:w="749" w:type="pct"/>
            <w:tcBorders>
              <w:right w:val="single" w:sz="4" w:space="0" w:color="auto"/>
            </w:tcBorders>
          </w:tcPr>
          <w:p w:rsidR="001A6FF0" w:rsidRPr="008F5C81" w:rsidRDefault="001A6FF0" w:rsidP="00563A77">
            <w:pPr>
              <w:pStyle w:val="Tabletext1"/>
              <w:keepNext/>
              <w:rPr>
                <w:b/>
                <w:lang w:eastAsia="en-US"/>
              </w:rPr>
            </w:pPr>
            <w:r>
              <w:rPr>
                <w:b/>
                <w:lang w:eastAsia="en-US"/>
              </w:rPr>
              <w:t>Study</w:t>
            </w:r>
          </w:p>
        </w:tc>
        <w:tc>
          <w:tcPr>
            <w:tcW w:w="615" w:type="pct"/>
            <w:tcBorders>
              <w:left w:val="single" w:sz="4" w:space="0" w:color="auto"/>
              <w:right w:val="single" w:sz="4" w:space="0" w:color="auto"/>
            </w:tcBorders>
          </w:tcPr>
          <w:p w:rsidR="001A6FF0" w:rsidRPr="008F5C81" w:rsidRDefault="001A6FF0" w:rsidP="00563A77">
            <w:pPr>
              <w:pStyle w:val="Tabletext1"/>
              <w:keepNext/>
              <w:rPr>
                <w:b/>
                <w:lang w:eastAsia="en-US"/>
              </w:rPr>
            </w:pPr>
            <w:r>
              <w:rPr>
                <w:b/>
                <w:lang w:eastAsia="en-US"/>
              </w:rPr>
              <w:t>Sample</w:t>
            </w:r>
          </w:p>
        </w:tc>
        <w:tc>
          <w:tcPr>
            <w:tcW w:w="995" w:type="pct"/>
            <w:tcBorders>
              <w:right w:val="single" w:sz="4" w:space="0" w:color="auto"/>
            </w:tcBorders>
          </w:tcPr>
          <w:p w:rsidR="001A6FF0" w:rsidRPr="008F5C81" w:rsidRDefault="001A6FF0" w:rsidP="00563A77">
            <w:pPr>
              <w:pStyle w:val="Tabletext1"/>
              <w:keepNext/>
              <w:rPr>
                <w:b/>
                <w:lang w:eastAsia="en-US"/>
              </w:rPr>
            </w:pPr>
            <w:r w:rsidRPr="008F5C81">
              <w:rPr>
                <w:b/>
                <w:lang w:eastAsia="en-US"/>
              </w:rPr>
              <w:t>Baseline</w:t>
            </w:r>
            <w:r>
              <w:rPr>
                <w:b/>
                <w:lang w:eastAsia="en-US"/>
              </w:rPr>
              <w:t xml:space="preserve"> HHD sumscore (Newtons)</w:t>
            </w:r>
          </w:p>
        </w:tc>
        <w:tc>
          <w:tcPr>
            <w:tcW w:w="767" w:type="pct"/>
            <w:tcBorders>
              <w:left w:val="single" w:sz="4" w:space="0" w:color="auto"/>
            </w:tcBorders>
          </w:tcPr>
          <w:p w:rsidR="001A6FF0" w:rsidRPr="008F5C81" w:rsidRDefault="001A6FF0" w:rsidP="00563A77">
            <w:pPr>
              <w:pStyle w:val="Tabletext1"/>
              <w:keepNext/>
              <w:rPr>
                <w:b/>
                <w:lang w:eastAsia="en-US"/>
              </w:rPr>
            </w:pPr>
            <w:r>
              <w:rPr>
                <w:b/>
                <w:lang w:eastAsia="en-US"/>
              </w:rPr>
              <w:t>Follow-up length</w:t>
            </w:r>
          </w:p>
        </w:tc>
        <w:tc>
          <w:tcPr>
            <w:tcW w:w="1151" w:type="pct"/>
          </w:tcPr>
          <w:p w:rsidR="001A6FF0" w:rsidRPr="008F5C81" w:rsidRDefault="001A6FF0" w:rsidP="00563A77">
            <w:pPr>
              <w:pStyle w:val="Tabletext1"/>
              <w:keepNext/>
              <w:rPr>
                <w:b/>
                <w:lang w:eastAsia="en-US"/>
              </w:rPr>
            </w:pPr>
            <w:r>
              <w:rPr>
                <w:b/>
                <w:lang w:eastAsia="en-US"/>
              </w:rPr>
              <w:t>Follow-up HHD sumscore (Newtons)</w:t>
            </w:r>
          </w:p>
        </w:tc>
        <w:tc>
          <w:tcPr>
            <w:tcW w:w="723" w:type="pct"/>
          </w:tcPr>
          <w:p w:rsidR="001A6FF0" w:rsidRDefault="001A6FF0" w:rsidP="00563A77">
            <w:pPr>
              <w:pStyle w:val="Tabletext1"/>
              <w:keepNext/>
              <w:rPr>
                <w:b/>
                <w:lang w:eastAsia="en-US"/>
              </w:rPr>
            </w:pPr>
            <w:r>
              <w:rPr>
                <w:b/>
                <w:lang w:eastAsia="en-US"/>
              </w:rPr>
              <w:t xml:space="preserve">Change </w:t>
            </w:r>
          </w:p>
        </w:tc>
      </w:tr>
      <w:tr w:rsidR="001A6FF0" w:rsidTr="00DF5C70">
        <w:tc>
          <w:tcPr>
            <w:tcW w:w="749" w:type="pct"/>
            <w:tcBorders>
              <w:right w:val="single" w:sz="4" w:space="0" w:color="auto"/>
            </w:tcBorders>
          </w:tcPr>
          <w:p w:rsidR="001A6FF0" w:rsidRPr="00383828" w:rsidRDefault="001A6FF0" w:rsidP="00563A77">
            <w:pPr>
              <w:pStyle w:val="Tabletext1"/>
              <w:keepNext/>
              <w:rPr>
                <w:lang w:eastAsia="en-US"/>
              </w:rPr>
            </w:pPr>
            <w:r w:rsidRPr="00383828">
              <w:rPr>
                <w:lang w:eastAsia="en-US"/>
              </w:rPr>
              <w:t>van Capelle (2010)</w:t>
            </w:r>
          </w:p>
        </w:tc>
        <w:tc>
          <w:tcPr>
            <w:tcW w:w="615" w:type="pct"/>
            <w:tcBorders>
              <w:left w:val="single" w:sz="4" w:space="0" w:color="auto"/>
              <w:right w:val="single" w:sz="4" w:space="0" w:color="auto"/>
            </w:tcBorders>
          </w:tcPr>
          <w:p w:rsidR="001A6FF0" w:rsidRDefault="001A6FF0" w:rsidP="00563A77">
            <w:pPr>
              <w:pStyle w:val="Tabletext1"/>
              <w:keepNext/>
              <w:rPr>
                <w:lang w:eastAsia="en-US"/>
              </w:rPr>
            </w:pPr>
            <w:r>
              <w:rPr>
                <w:lang w:eastAsia="en-US"/>
              </w:rPr>
              <w:t>Patient 1</w:t>
            </w:r>
          </w:p>
          <w:p w:rsidR="001A6FF0" w:rsidRDefault="001A6FF0" w:rsidP="00563A77">
            <w:pPr>
              <w:pStyle w:val="Tabletext1"/>
              <w:keepNext/>
              <w:rPr>
                <w:lang w:eastAsia="en-US"/>
              </w:rPr>
            </w:pPr>
            <w:r>
              <w:rPr>
                <w:lang w:eastAsia="en-US"/>
              </w:rPr>
              <w:t>Patient 2</w:t>
            </w:r>
          </w:p>
          <w:p w:rsidR="001A6FF0" w:rsidRDefault="001A6FF0" w:rsidP="00563A77">
            <w:pPr>
              <w:pStyle w:val="Tabletext1"/>
              <w:keepNext/>
              <w:rPr>
                <w:lang w:eastAsia="en-US"/>
              </w:rPr>
            </w:pPr>
            <w:r>
              <w:rPr>
                <w:lang w:eastAsia="en-US"/>
              </w:rPr>
              <w:t>Patient 4</w:t>
            </w:r>
          </w:p>
        </w:tc>
        <w:tc>
          <w:tcPr>
            <w:tcW w:w="995" w:type="pct"/>
            <w:tcBorders>
              <w:right w:val="single" w:sz="4" w:space="0" w:color="auto"/>
            </w:tcBorders>
          </w:tcPr>
          <w:p w:rsidR="001A6FF0" w:rsidRDefault="001A6FF0" w:rsidP="00563A77">
            <w:pPr>
              <w:pStyle w:val="Tabletext1"/>
              <w:keepNext/>
              <w:rPr>
                <w:lang w:eastAsia="en-US"/>
              </w:rPr>
            </w:pPr>
            <w:r>
              <w:rPr>
                <w:lang w:eastAsia="en-US"/>
              </w:rPr>
              <w:t>521.5</w:t>
            </w:r>
          </w:p>
          <w:p w:rsidR="001A6FF0" w:rsidRDefault="001A6FF0" w:rsidP="00563A77">
            <w:pPr>
              <w:pStyle w:val="Tabletext1"/>
              <w:keepNext/>
              <w:rPr>
                <w:lang w:eastAsia="en-US"/>
              </w:rPr>
            </w:pPr>
            <w:r>
              <w:rPr>
                <w:lang w:eastAsia="en-US"/>
              </w:rPr>
              <w:t>521</w:t>
            </w:r>
          </w:p>
          <w:p w:rsidR="001A6FF0" w:rsidRPr="00383828" w:rsidRDefault="001A6FF0" w:rsidP="00563A77">
            <w:pPr>
              <w:pStyle w:val="Tabletext1"/>
              <w:keepNext/>
              <w:rPr>
                <w:lang w:eastAsia="en-US"/>
              </w:rPr>
            </w:pPr>
            <w:r>
              <w:rPr>
                <w:lang w:eastAsia="en-US"/>
              </w:rPr>
              <w:t>608</w:t>
            </w:r>
          </w:p>
        </w:tc>
        <w:tc>
          <w:tcPr>
            <w:tcW w:w="767" w:type="pct"/>
            <w:tcBorders>
              <w:left w:val="single" w:sz="4" w:space="0" w:color="auto"/>
            </w:tcBorders>
          </w:tcPr>
          <w:p w:rsidR="001A6FF0" w:rsidRDefault="001A6FF0" w:rsidP="00563A77">
            <w:pPr>
              <w:pStyle w:val="Tabletext1"/>
              <w:keepNext/>
              <w:rPr>
                <w:lang w:eastAsia="en-US"/>
              </w:rPr>
            </w:pPr>
            <w:r>
              <w:rPr>
                <w:lang w:eastAsia="en-US"/>
              </w:rPr>
              <w:t>3 years</w:t>
            </w:r>
          </w:p>
          <w:p w:rsidR="001A6FF0" w:rsidRPr="00383828" w:rsidRDefault="001A6FF0" w:rsidP="00563A77">
            <w:pPr>
              <w:pStyle w:val="Tabletext1"/>
              <w:keepNext/>
              <w:rPr>
                <w:lang w:eastAsia="en-US"/>
              </w:rPr>
            </w:pPr>
          </w:p>
        </w:tc>
        <w:tc>
          <w:tcPr>
            <w:tcW w:w="1151" w:type="pct"/>
          </w:tcPr>
          <w:p w:rsidR="001A6FF0" w:rsidRDefault="001A6FF0" w:rsidP="00563A77">
            <w:pPr>
              <w:pStyle w:val="Tabletext1"/>
              <w:keepNext/>
              <w:rPr>
                <w:lang w:eastAsia="en-US"/>
              </w:rPr>
            </w:pPr>
            <w:r>
              <w:rPr>
                <w:lang w:eastAsia="en-US"/>
              </w:rPr>
              <w:t>750</w:t>
            </w:r>
          </w:p>
          <w:p w:rsidR="001A6FF0" w:rsidRDefault="001A6FF0" w:rsidP="00563A77">
            <w:pPr>
              <w:pStyle w:val="Tabletext1"/>
              <w:keepNext/>
              <w:rPr>
                <w:lang w:eastAsia="en-US"/>
              </w:rPr>
            </w:pPr>
            <w:r>
              <w:rPr>
                <w:lang w:eastAsia="en-US"/>
              </w:rPr>
              <w:t>865</w:t>
            </w:r>
          </w:p>
          <w:p w:rsidR="001A6FF0" w:rsidRPr="00383828" w:rsidRDefault="001A6FF0" w:rsidP="00563A77">
            <w:pPr>
              <w:pStyle w:val="Tabletext1"/>
              <w:keepNext/>
              <w:rPr>
                <w:lang w:eastAsia="en-US"/>
              </w:rPr>
            </w:pPr>
            <w:r>
              <w:rPr>
                <w:lang w:eastAsia="en-US"/>
              </w:rPr>
              <w:t>1158</w:t>
            </w:r>
          </w:p>
        </w:tc>
        <w:tc>
          <w:tcPr>
            <w:tcW w:w="723" w:type="pct"/>
          </w:tcPr>
          <w:p w:rsidR="001A6FF0" w:rsidRDefault="001A6FF0" w:rsidP="00563A77">
            <w:pPr>
              <w:pStyle w:val="Tabletext1"/>
              <w:keepNext/>
              <w:rPr>
                <w:lang w:eastAsia="en-US"/>
              </w:rPr>
            </w:pPr>
            <w:r>
              <w:rPr>
                <w:lang w:eastAsia="en-US"/>
              </w:rPr>
              <w:t>228.5</w:t>
            </w:r>
          </w:p>
          <w:p w:rsidR="001A6FF0" w:rsidRDefault="001A6FF0" w:rsidP="00563A77">
            <w:pPr>
              <w:pStyle w:val="Tabletext1"/>
              <w:keepNext/>
              <w:rPr>
                <w:lang w:eastAsia="en-US"/>
              </w:rPr>
            </w:pPr>
            <w:r>
              <w:rPr>
                <w:lang w:eastAsia="en-US"/>
              </w:rPr>
              <w:t>344</w:t>
            </w:r>
          </w:p>
          <w:p w:rsidR="001A6FF0" w:rsidRPr="00383828" w:rsidRDefault="001A6FF0" w:rsidP="00563A77">
            <w:pPr>
              <w:pStyle w:val="Tabletext1"/>
              <w:keepNext/>
              <w:rPr>
                <w:lang w:eastAsia="en-US"/>
              </w:rPr>
            </w:pPr>
            <w:r>
              <w:rPr>
                <w:lang w:eastAsia="en-US"/>
              </w:rPr>
              <w:t>550</w:t>
            </w:r>
          </w:p>
        </w:tc>
      </w:tr>
      <w:tr w:rsidR="001A6FF0" w:rsidTr="00DF5C70">
        <w:tc>
          <w:tcPr>
            <w:tcW w:w="749" w:type="pct"/>
            <w:tcBorders>
              <w:right w:val="single" w:sz="4" w:space="0" w:color="auto"/>
            </w:tcBorders>
          </w:tcPr>
          <w:p w:rsidR="001A6FF0" w:rsidRPr="00383828" w:rsidRDefault="003303FE" w:rsidP="00184B6F">
            <w:pPr>
              <w:pStyle w:val="Tabletext1"/>
              <w:keepNext/>
              <w:rPr>
                <w:lang w:eastAsia="en-US"/>
              </w:rPr>
            </w:pPr>
            <w:r>
              <w:rPr>
                <w:noProof/>
                <w:lang w:eastAsia="en-US"/>
              </w:rPr>
              <w:t>(</w:t>
            </w:r>
            <w:r w:rsidR="00184B6F">
              <w:rPr>
                <w:noProof/>
                <w:lang w:eastAsia="en-US"/>
              </w:rPr>
              <w:t>van Capelle et al. 2008</w:t>
            </w:r>
            <w:r>
              <w:rPr>
                <w:noProof/>
                <w:lang w:eastAsia="en-US"/>
              </w:rPr>
              <w:t>)</w:t>
            </w:r>
          </w:p>
        </w:tc>
        <w:tc>
          <w:tcPr>
            <w:tcW w:w="615" w:type="pct"/>
            <w:tcBorders>
              <w:left w:val="single" w:sz="4" w:space="0" w:color="auto"/>
              <w:right w:val="single" w:sz="4" w:space="0" w:color="auto"/>
            </w:tcBorders>
          </w:tcPr>
          <w:p w:rsidR="001A6FF0" w:rsidRDefault="001A6FF0" w:rsidP="00563A77">
            <w:pPr>
              <w:pStyle w:val="Tabletext1"/>
              <w:keepNext/>
              <w:rPr>
                <w:lang w:eastAsia="en-US"/>
              </w:rPr>
            </w:pPr>
            <w:r>
              <w:rPr>
                <w:lang w:eastAsia="en-US"/>
              </w:rPr>
              <w:t>Patient 1</w:t>
            </w:r>
          </w:p>
          <w:p w:rsidR="001A6FF0" w:rsidRDefault="001A6FF0" w:rsidP="00563A77">
            <w:pPr>
              <w:pStyle w:val="Tabletext1"/>
              <w:keepNext/>
              <w:rPr>
                <w:lang w:eastAsia="en-US"/>
              </w:rPr>
            </w:pPr>
            <w:r>
              <w:rPr>
                <w:lang w:eastAsia="en-US"/>
              </w:rPr>
              <w:br/>
              <w:t>Patient 2</w:t>
            </w:r>
            <w:r w:rsidR="00A61CB5">
              <w:rPr>
                <w:lang w:eastAsia="en-US"/>
              </w:rPr>
              <w:t xml:space="preserve"> </w:t>
            </w:r>
          </w:p>
        </w:tc>
        <w:tc>
          <w:tcPr>
            <w:tcW w:w="995" w:type="pct"/>
            <w:tcBorders>
              <w:right w:val="single" w:sz="4" w:space="0" w:color="auto"/>
            </w:tcBorders>
          </w:tcPr>
          <w:p w:rsidR="001A6FF0" w:rsidRDefault="001A6FF0" w:rsidP="00563A77">
            <w:pPr>
              <w:pStyle w:val="Tabletext1"/>
              <w:keepNext/>
              <w:rPr>
                <w:lang w:eastAsia="en-US"/>
              </w:rPr>
            </w:pPr>
            <w:r>
              <w:rPr>
                <w:lang w:eastAsia="en-US"/>
              </w:rPr>
              <w:t>751</w:t>
            </w:r>
          </w:p>
          <w:p w:rsidR="001A6FF0" w:rsidRDefault="001A6FF0" w:rsidP="00563A77">
            <w:pPr>
              <w:pStyle w:val="Tabletext1"/>
              <w:keepNext/>
              <w:rPr>
                <w:lang w:eastAsia="en-US"/>
              </w:rPr>
            </w:pPr>
          </w:p>
          <w:p w:rsidR="001A6FF0" w:rsidRDefault="001A6FF0" w:rsidP="00563A77">
            <w:pPr>
              <w:pStyle w:val="Tabletext1"/>
              <w:keepNext/>
              <w:rPr>
                <w:lang w:eastAsia="en-US"/>
              </w:rPr>
            </w:pPr>
            <w:r>
              <w:rPr>
                <w:lang w:eastAsia="en-US"/>
              </w:rPr>
              <w:t>199</w:t>
            </w:r>
          </w:p>
        </w:tc>
        <w:tc>
          <w:tcPr>
            <w:tcW w:w="767" w:type="pct"/>
            <w:tcBorders>
              <w:left w:val="single" w:sz="4" w:space="0" w:color="auto"/>
            </w:tcBorders>
          </w:tcPr>
          <w:p w:rsidR="001A6FF0" w:rsidRDefault="001A6FF0" w:rsidP="00563A77">
            <w:pPr>
              <w:pStyle w:val="Tabletext1"/>
              <w:keepNext/>
              <w:rPr>
                <w:lang w:eastAsia="en-US"/>
              </w:rPr>
            </w:pPr>
            <w:r>
              <w:rPr>
                <w:lang w:eastAsia="en-US"/>
              </w:rPr>
              <w:t>3 years</w:t>
            </w:r>
          </w:p>
          <w:p w:rsidR="001A6FF0" w:rsidRDefault="001A6FF0" w:rsidP="00563A77">
            <w:pPr>
              <w:pStyle w:val="Tabletext1"/>
              <w:keepNext/>
              <w:rPr>
                <w:lang w:eastAsia="en-US"/>
              </w:rPr>
            </w:pPr>
            <w:r>
              <w:rPr>
                <w:lang w:eastAsia="en-US"/>
              </w:rPr>
              <w:t>8 years</w:t>
            </w:r>
          </w:p>
          <w:p w:rsidR="001A6FF0" w:rsidRDefault="001A6FF0" w:rsidP="00563A77">
            <w:pPr>
              <w:pStyle w:val="Tabletext1"/>
              <w:keepNext/>
              <w:rPr>
                <w:lang w:eastAsia="en-US"/>
              </w:rPr>
            </w:pPr>
            <w:r>
              <w:rPr>
                <w:lang w:eastAsia="en-US"/>
              </w:rPr>
              <w:t>3 years</w:t>
            </w:r>
          </w:p>
          <w:p w:rsidR="001A6FF0" w:rsidRDefault="001A6FF0" w:rsidP="00563A77">
            <w:pPr>
              <w:pStyle w:val="Tabletext1"/>
              <w:keepNext/>
              <w:rPr>
                <w:lang w:eastAsia="en-US"/>
              </w:rPr>
            </w:pPr>
            <w:r>
              <w:rPr>
                <w:lang w:eastAsia="en-US"/>
              </w:rPr>
              <w:t>8 years</w:t>
            </w:r>
          </w:p>
        </w:tc>
        <w:tc>
          <w:tcPr>
            <w:tcW w:w="1151" w:type="pct"/>
          </w:tcPr>
          <w:p w:rsidR="001A6FF0" w:rsidRDefault="001A6FF0" w:rsidP="00563A77">
            <w:pPr>
              <w:pStyle w:val="Tabletext1"/>
              <w:keepNext/>
              <w:rPr>
                <w:lang w:eastAsia="en-US"/>
              </w:rPr>
            </w:pPr>
            <w:r>
              <w:rPr>
                <w:lang w:eastAsia="en-US"/>
              </w:rPr>
              <w:t>848</w:t>
            </w:r>
          </w:p>
          <w:p w:rsidR="001A6FF0" w:rsidRDefault="001A6FF0" w:rsidP="00563A77">
            <w:pPr>
              <w:pStyle w:val="Tabletext1"/>
              <w:keepNext/>
              <w:rPr>
                <w:lang w:eastAsia="en-US"/>
              </w:rPr>
            </w:pPr>
            <w:r>
              <w:rPr>
                <w:lang w:eastAsia="en-US"/>
              </w:rPr>
              <w:t>1371</w:t>
            </w:r>
          </w:p>
          <w:p w:rsidR="001A6FF0" w:rsidRDefault="001A6FF0" w:rsidP="00563A77">
            <w:pPr>
              <w:pStyle w:val="Tabletext1"/>
              <w:keepNext/>
              <w:rPr>
                <w:lang w:eastAsia="en-US"/>
              </w:rPr>
            </w:pPr>
            <w:r>
              <w:rPr>
                <w:lang w:eastAsia="en-US"/>
              </w:rPr>
              <w:t>305</w:t>
            </w:r>
          </w:p>
          <w:p w:rsidR="001A6FF0" w:rsidRDefault="001A6FF0" w:rsidP="00563A77">
            <w:pPr>
              <w:pStyle w:val="Tabletext1"/>
              <w:keepNext/>
              <w:rPr>
                <w:lang w:eastAsia="en-US"/>
              </w:rPr>
            </w:pPr>
            <w:r>
              <w:rPr>
                <w:lang w:eastAsia="en-US"/>
              </w:rPr>
              <w:t>349</w:t>
            </w:r>
          </w:p>
        </w:tc>
        <w:tc>
          <w:tcPr>
            <w:tcW w:w="723" w:type="pct"/>
          </w:tcPr>
          <w:p w:rsidR="001A6FF0" w:rsidRDefault="001A6FF0" w:rsidP="00563A77">
            <w:pPr>
              <w:pStyle w:val="Tabletext1"/>
              <w:keepNext/>
              <w:rPr>
                <w:lang w:eastAsia="en-US"/>
              </w:rPr>
            </w:pPr>
            <w:r>
              <w:rPr>
                <w:lang w:eastAsia="en-US"/>
              </w:rPr>
              <w:t>97</w:t>
            </w:r>
          </w:p>
          <w:p w:rsidR="001A6FF0" w:rsidRDefault="001A6FF0" w:rsidP="00563A77">
            <w:pPr>
              <w:pStyle w:val="Tabletext1"/>
              <w:keepNext/>
              <w:rPr>
                <w:lang w:eastAsia="en-US"/>
              </w:rPr>
            </w:pPr>
            <w:r>
              <w:rPr>
                <w:lang w:eastAsia="en-US"/>
              </w:rPr>
              <w:t>620</w:t>
            </w:r>
          </w:p>
          <w:p w:rsidR="001A6FF0" w:rsidRDefault="001A6FF0" w:rsidP="00563A77">
            <w:pPr>
              <w:pStyle w:val="Tabletext1"/>
              <w:keepNext/>
              <w:rPr>
                <w:lang w:eastAsia="en-US"/>
              </w:rPr>
            </w:pPr>
            <w:r>
              <w:rPr>
                <w:lang w:eastAsia="en-US"/>
              </w:rPr>
              <w:t>106</w:t>
            </w:r>
          </w:p>
          <w:p w:rsidR="001A6FF0" w:rsidRDefault="001A6FF0" w:rsidP="00563A77">
            <w:pPr>
              <w:pStyle w:val="Tabletext1"/>
              <w:keepNext/>
              <w:rPr>
                <w:lang w:eastAsia="en-US"/>
              </w:rPr>
            </w:pPr>
            <w:r>
              <w:rPr>
                <w:lang w:eastAsia="en-US"/>
              </w:rPr>
              <w:t>150</w:t>
            </w:r>
          </w:p>
        </w:tc>
      </w:tr>
      <w:tr w:rsidR="001A6FF0" w:rsidTr="00DF5C70">
        <w:tc>
          <w:tcPr>
            <w:tcW w:w="749" w:type="pct"/>
            <w:tcBorders>
              <w:right w:val="single" w:sz="4" w:space="0" w:color="auto"/>
            </w:tcBorders>
          </w:tcPr>
          <w:p w:rsidR="001A6FF0" w:rsidRDefault="001A6FF0" w:rsidP="00563A77">
            <w:pPr>
              <w:pStyle w:val="Tabletext1"/>
              <w:keepNext/>
              <w:rPr>
                <w:lang w:eastAsia="en-US"/>
              </w:rPr>
            </w:pPr>
            <w:r>
              <w:rPr>
                <w:lang w:eastAsia="en-US"/>
              </w:rPr>
              <w:t>Sugai et al 2010</w:t>
            </w:r>
          </w:p>
        </w:tc>
        <w:tc>
          <w:tcPr>
            <w:tcW w:w="615" w:type="pct"/>
            <w:tcBorders>
              <w:left w:val="single" w:sz="4" w:space="0" w:color="auto"/>
              <w:right w:val="single" w:sz="4" w:space="0" w:color="auto"/>
            </w:tcBorders>
          </w:tcPr>
          <w:p w:rsidR="001A6FF0" w:rsidRDefault="001A6FF0" w:rsidP="00563A77">
            <w:pPr>
              <w:pStyle w:val="Tabletext1"/>
              <w:keepNext/>
              <w:rPr>
                <w:lang w:eastAsia="en-US"/>
              </w:rPr>
            </w:pPr>
            <w:r>
              <w:rPr>
                <w:lang w:eastAsia="en-US"/>
              </w:rPr>
              <w:t>Patient 1</w:t>
            </w:r>
          </w:p>
        </w:tc>
        <w:tc>
          <w:tcPr>
            <w:tcW w:w="995" w:type="pct"/>
            <w:tcBorders>
              <w:right w:val="single" w:sz="4" w:space="0" w:color="auto"/>
            </w:tcBorders>
          </w:tcPr>
          <w:p w:rsidR="001A6FF0" w:rsidRDefault="001A6FF0" w:rsidP="00563A77">
            <w:pPr>
              <w:pStyle w:val="Tabletext1"/>
              <w:keepNext/>
              <w:rPr>
                <w:lang w:eastAsia="en-US"/>
              </w:rPr>
            </w:pPr>
            <w:r>
              <w:rPr>
                <w:lang w:eastAsia="en-US"/>
              </w:rPr>
              <w:t>123.2</w:t>
            </w:r>
          </w:p>
        </w:tc>
        <w:tc>
          <w:tcPr>
            <w:tcW w:w="767" w:type="pct"/>
            <w:tcBorders>
              <w:left w:val="single" w:sz="4" w:space="0" w:color="auto"/>
            </w:tcBorders>
          </w:tcPr>
          <w:p w:rsidR="001A6FF0" w:rsidRDefault="001A6FF0" w:rsidP="00563A77">
            <w:pPr>
              <w:pStyle w:val="Tabletext1"/>
              <w:keepNext/>
              <w:rPr>
                <w:lang w:eastAsia="en-US"/>
              </w:rPr>
            </w:pPr>
            <w:r>
              <w:rPr>
                <w:lang w:eastAsia="en-US"/>
              </w:rPr>
              <w:t>1 year</w:t>
            </w:r>
          </w:p>
        </w:tc>
        <w:tc>
          <w:tcPr>
            <w:tcW w:w="1151" w:type="pct"/>
          </w:tcPr>
          <w:p w:rsidR="001A6FF0" w:rsidRDefault="001A6FF0" w:rsidP="00563A77">
            <w:pPr>
              <w:pStyle w:val="Tabletext1"/>
              <w:keepNext/>
              <w:rPr>
                <w:lang w:eastAsia="en-US"/>
              </w:rPr>
            </w:pPr>
            <w:r>
              <w:rPr>
                <w:lang w:eastAsia="en-US"/>
              </w:rPr>
              <w:t>141.9</w:t>
            </w:r>
          </w:p>
        </w:tc>
        <w:tc>
          <w:tcPr>
            <w:tcW w:w="723" w:type="pct"/>
          </w:tcPr>
          <w:p w:rsidR="001A6FF0" w:rsidRDefault="001A6FF0" w:rsidP="00563A77">
            <w:pPr>
              <w:pStyle w:val="Tabletext1"/>
              <w:keepNext/>
              <w:rPr>
                <w:lang w:eastAsia="en-US"/>
              </w:rPr>
            </w:pPr>
            <w:r>
              <w:rPr>
                <w:lang w:eastAsia="en-US"/>
              </w:rPr>
              <w:t>18.7</w:t>
            </w:r>
          </w:p>
        </w:tc>
      </w:tr>
    </w:tbl>
    <w:p w:rsidR="001A6FF0" w:rsidRDefault="001A6FF0" w:rsidP="0025188D">
      <w:pPr>
        <w:pStyle w:val="TableNote"/>
        <w:ind w:left="0" w:firstLine="0"/>
        <w:rPr>
          <w:lang w:eastAsia="en-US"/>
        </w:rPr>
      </w:pPr>
      <w:r>
        <w:rPr>
          <w:lang w:eastAsia="en-US"/>
        </w:rPr>
        <w:t xml:space="preserve">HHD = hand-held dynamometry, conducted using a hand-held dynamometer; van Capelle et al HHD values represent the sum score  of the following muscle groups: neck flexion and extension, shoulder abduction, elbow flexion and extension, wrist extension, hip flexion and abduction, knee extension and flexion, ankle dorsiflexion and plantar flexion </w:t>
      </w:r>
    </w:p>
    <w:p w:rsidR="001A6FF0" w:rsidRDefault="001A6FF0" w:rsidP="002F6AE6">
      <w:pPr>
        <w:pStyle w:val="TableNote"/>
        <w:spacing w:after="480"/>
        <w:rPr>
          <w:lang w:eastAsia="en-US"/>
        </w:rPr>
      </w:pPr>
      <w:r>
        <w:rPr>
          <w:lang w:eastAsia="en-US"/>
        </w:rPr>
        <w:t>Sugai et al HDD sumscore combines elbow extension and flexion, knee extension, key pinch and palmar pinch</w:t>
      </w:r>
    </w:p>
    <w:p w:rsidR="00605982" w:rsidRDefault="001A6FF0" w:rsidP="001A6FF0">
      <w:r>
        <w:t>Muscle strength was measured by three studies using manual muscle testing (MMT). There was a large amount of heterogeneity in both baseline values and response to treatment in the cases reported</w:t>
      </w:r>
      <w:r w:rsidR="00605982">
        <w:t xml:space="preserve">, although all patients either remained stable, or improved </w:t>
      </w:r>
      <w:r w:rsidR="00605982" w:rsidRPr="00FE08CA">
        <w:t xml:space="preserve">(GRADE </w:t>
      </w:r>
      <w:r w:rsidR="00605982" w:rsidRPr="00FE08CA">
        <w:rPr>
          <w:rFonts w:ascii="Cambria Math" w:hAnsi="Cambria Math" w:cs="Cambria Math"/>
          <w:color w:val="00B050"/>
        </w:rPr>
        <w:t>⨁</w:t>
      </w:r>
      <w:r w:rsidR="00605982" w:rsidRPr="00FE08CA">
        <w:rPr>
          <w:rFonts w:ascii="Cambria Math" w:hAnsi="Cambria Math" w:cs="Cambria Math"/>
          <w:color w:val="C00000"/>
        </w:rPr>
        <w:t>⨀⨀⨀</w:t>
      </w:r>
      <w:r w:rsidR="00605982" w:rsidRPr="00FE08CA">
        <w:rPr>
          <w:rFonts w:cs="Cambria Math"/>
          <w:spacing w:val="-20"/>
        </w:rPr>
        <w:t>)</w:t>
      </w:r>
      <w:r>
        <w:t xml:space="preserve">. </w:t>
      </w:r>
      <w:r w:rsidR="00605982">
        <w:t xml:space="preserve">It is unknown whether there would have been further deterioration in the absence of treatment. </w:t>
      </w:r>
    </w:p>
    <w:p w:rsidR="001A6FF0" w:rsidRDefault="001A6FF0" w:rsidP="001A6FF0">
      <w:r>
        <w:t xml:space="preserve">In the study by van Capelle et al (2010), muscle strength increased significantly to near normal values </w:t>
      </w:r>
      <w:r w:rsidR="003303FE">
        <w:rPr>
          <w:noProof/>
        </w:rPr>
        <w:t>(</w:t>
      </w:r>
      <w:r w:rsidR="00184B6F">
        <w:rPr>
          <w:noProof/>
        </w:rPr>
        <w:t>van Capelle et al. 2010</w:t>
      </w:r>
      <w:r w:rsidR="003303FE">
        <w:rPr>
          <w:noProof/>
        </w:rPr>
        <w:t>)</w:t>
      </w:r>
      <w:r w:rsidR="00605982">
        <w:t>.</w:t>
      </w:r>
      <w:r w:rsidR="00646376">
        <w:t xml:space="preserve"> </w:t>
      </w:r>
      <w:r w:rsidR="00E85066">
        <w:t xml:space="preserve">These patients were aged between 5.9 and 12.7 years at treatment. </w:t>
      </w:r>
    </w:p>
    <w:p w:rsidR="001A6FF0" w:rsidRDefault="001A6FF0" w:rsidP="001A6FF0">
      <w:r>
        <w:t xml:space="preserve">In the study by Furuwasa et al (2012), patients were aged 32 and 38 at initiation of </w:t>
      </w:r>
      <w:r w:rsidR="00E85066">
        <w:t>alglucosidase alfa</w:t>
      </w:r>
      <w:r>
        <w:t xml:space="preserve">. Their age of symptom onset was 7-8 years, both patients had required ventilation for over 5 years, and one was completely wheelchair-bound. These more severe patients did not show any noticeable improvement on the MMT, although patient 4 was reported to be able to stand with less effort after 6 months of treatment, and patient 5 could move her hip from floor to chair unaided after 44 weeks of treatment, which she had been unable to do for several years </w:t>
      </w:r>
      <w:r w:rsidR="003303FE">
        <w:rPr>
          <w:noProof/>
        </w:rPr>
        <w:t>(</w:t>
      </w:r>
      <w:r w:rsidR="00184B6F">
        <w:rPr>
          <w:noProof/>
        </w:rPr>
        <w:t>Furusawa et al. 2012</w:t>
      </w:r>
      <w:r w:rsidR="003303FE">
        <w:rPr>
          <w:noProof/>
        </w:rPr>
        <w:t>)</w:t>
      </w:r>
      <w:r>
        <w:t xml:space="preserve">. </w:t>
      </w:r>
    </w:p>
    <w:p w:rsidR="001A6FF0" w:rsidRPr="008F5C81" w:rsidRDefault="001A6FF0" w:rsidP="001A6FF0">
      <w:r>
        <w:t xml:space="preserve">Ishigaki et al (2012) similarly reported that a 10 year old boy (first signs of JOPD at age 2) showed only minimal change on the MMT. </w:t>
      </w:r>
    </w:p>
    <w:p w:rsidR="001A6FF0" w:rsidRDefault="001A6FF0" w:rsidP="00F71730">
      <w:pPr>
        <w:pStyle w:val="Figureheading0"/>
        <w:keepNext/>
        <w:ind w:left="1418" w:hanging="1418"/>
      </w:pPr>
      <w:bookmarkStart w:id="352" w:name="_Toc411509181"/>
      <w:bookmarkStart w:id="353" w:name="_Toc415141881"/>
      <w:r>
        <w:lastRenderedPageBreak/>
        <w:t xml:space="preserve">Table </w:t>
      </w:r>
      <w:r w:rsidR="00A72B26">
        <w:rPr>
          <w:noProof/>
        </w:rPr>
        <w:t>84</w:t>
      </w:r>
      <w:r>
        <w:tab/>
        <w:t xml:space="preserve">Manual muscle testing </w:t>
      </w:r>
      <w:r w:rsidR="00DF5C70">
        <w:t>before and after alglucosidase alfa in patients with JOPD</w:t>
      </w:r>
      <w:bookmarkEnd w:id="352"/>
      <w:bookmarkEnd w:id="353"/>
    </w:p>
    <w:tbl>
      <w:tblPr>
        <w:tblStyle w:val="TableGrid"/>
        <w:tblW w:w="5000" w:type="pct"/>
        <w:tblLook w:val="04A0" w:firstRow="1" w:lastRow="0" w:firstColumn="1" w:lastColumn="0" w:noHBand="0" w:noVBand="1"/>
        <w:tblCaption w:val="Manual muscle testing before and after alglucosidase alfa for JOPD"/>
      </w:tblPr>
      <w:tblGrid>
        <w:gridCol w:w="1692"/>
        <w:gridCol w:w="1510"/>
        <w:gridCol w:w="1510"/>
        <w:gridCol w:w="1510"/>
        <w:gridCol w:w="1510"/>
        <w:gridCol w:w="1510"/>
      </w:tblGrid>
      <w:tr w:rsidR="001A6FF0" w:rsidTr="009A0365">
        <w:trPr>
          <w:tblHeader/>
        </w:trPr>
        <w:tc>
          <w:tcPr>
            <w:tcW w:w="915" w:type="pct"/>
            <w:tcBorders>
              <w:right w:val="single" w:sz="4" w:space="0" w:color="auto"/>
            </w:tcBorders>
          </w:tcPr>
          <w:p w:rsidR="001A6FF0" w:rsidRDefault="001A6FF0" w:rsidP="00563A77">
            <w:pPr>
              <w:pStyle w:val="Tabletext1"/>
              <w:keepNext/>
              <w:rPr>
                <w:b/>
                <w:lang w:eastAsia="en-US"/>
              </w:rPr>
            </w:pPr>
            <w:r>
              <w:rPr>
                <w:b/>
                <w:lang w:eastAsia="en-US"/>
              </w:rPr>
              <w:t>Study</w:t>
            </w:r>
          </w:p>
          <w:p w:rsidR="001A6FF0" w:rsidRPr="008F5C81" w:rsidRDefault="001A6FF0" w:rsidP="00563A77">
            <w:pPr>
              <w:pStyle w:val="Tabletext1"/>
              <w:keepNext/>
              <w:rPr>
                <w:b/>
                <w:lang w:eastAsia="en-US"/>
              </w:rPr>
            </w:pPr>
            <w:r>
              <w:rPr>
                <w:b/>
                <w:lang w:eastAsia="en-US"/>
              </w:rPr>
              <w:t>Measure</w:t>
            </w:r>
          </w:p>
        </w:tc>
        <w:tc>
          <w:tcPr>
            <w:tcW w:w="817" w:type="pct"/>
            <w:tcBorders>
              <w:left w:val="single" w:sz="4" w:space="0" w:color="auto"/>
              <w:right w:val="single" w:sz="4" w:space="0" w:color="auto"/>
            </w:tcBorders>
          </w:tcPr>
          <w:p w:rsidR="001A6FF0" w:rsidRPr="008F5C81" w:rsidRDefault="001A6FF0" w:rsidP="00563A77">
            <w:pPr>
              <w:pStyle w:val="Tabletext1"/>
              <w:keepNext/>
              <w:rPr>
                <w:b/>
                <w:lang w:eastAsia="en-US"/>
              </w:rPr>
            </w:pPr>
            <w:r>
              <w:rPr>
                <w:b/>
                <w:lang w:eastAsia="en-US"/>
              </w:rPr>
              <w:t>Patient</w:t>
            </w:r>
          </w:p>
        </w:tc>
        <w:tc>
          <w:tcPr>
            <w:tcW w:w="817" w:type="pct"/>
            <w:tcBorders>
              <w:right w:val="single" w:sz="4" w:space="0" w:color="auto"/>
            </w:tcBorders>
          </w:tcPr>
          <w:p w:rsidR="001A6FF0" w:rsidRPr="008F5C81" w:rsidRDefault="001A6FF0" w:rsidP="00563A77">
            <w:pPr>
              <w:pStyle w:val="Tabletext1"/>
              <w:keepNext/>
              <w:rPr>
                <w:b/>
                <w:lang w:eastAsia="en-US"/>
              </w:rPr>
            </w:pPr>
            <w:r w:rsidRPr="008F5C81">
              <w:rPr>
                <w:b/>
                <w:lang w:eastAsia="en-US"/>
              </w:rPr>
              <w:t>Baseline</w:t>
            </w:r>
            <w:r>
              <w:rPr>
                <w:b/>
                <w:lang w:eastAsia="en-US"/>
              </w:rPr>
              <w:t xml:space="preserve"> </w:t>
            </w:r>
          </w:p>
        </w:tc>
        <w:tc>
          <w:tcPr>
            <w:tcW w:w="817" w:type="pct"/>
            <w:tcBorders>
              <w:left w:val="single" w:sz="4" w:space="0" w:color="auto"/>
            </w:tcBorders>
          </w:tcPr>
          <w:p w:rsidR="001A6FF0" w:rsidRPr="008F5C81" w:rsidRDefault="001A6FF0" w:rsidP="00563A77">
            <w:pPr>
              <w:pStyle w:val="Tabletext1"/>
              <w:keepNext/>
              <w:rPr>
                <w:b/>
                <w:lang w:eastAsia="en-US"/>
              </w:rPr>
            </w:pPr>
            <w:r>
              <w:rPr>
                <w:b/>
                <w:lang w:eastAsia="en-US"/>
              </w:rPr>
              <w:t>Follow-up length</w:t>
            </w:r>
          </w:p>
        </w:tc>
        <w:tc>
          <w:tcPr>
            <w:tcW w:w="817" w:type="pct"/>
          </w:tcPr>
          <w:p w:rsidR="001A6FF0" w:rsidRPr="008F5C81" w:rsidRDefault="001A6FF0" w:rsidP="00563A77">
            <w:pPr>
              <w:pStyle w:val="Tabletext1"/>
              <w:keepNext/>
              <w:rPr>
                <w:b/>
                <w:lang w:eastAsia="en-US"/>
              </w:rPr>
            </w:pPr>
            <w:r>
              <w:rPr>
                <w:b/>
                <w:lang w:eastAsia="en-US"/>
              </w:rPr>
              <w:t xml:space="preserve">Follow-up </w:t>
            </w:r>
          </w:p>
        </w:tc>
        <w:tc>
          <w:tcPr>
            <w:tcW w:w="817" w:type="pct"/>
          </w:tcPr>
          <w:p w:rsidR="001A6FF0" w:rsidRDefault="001A6FF0" w:rsidP="00563A77">
            <w:pPr>
              <w:pStyle w:val="Tabletext1"/>
              <w:keepNext/>
              <w:rPr>
                <w:b/>
                <w:lang w:eastAsia="en-US"/>
              </w:rPr>
            </w:pPr>
            <w:r>
              <w:rPr>
                <w:b/>
                <w:lang w:eastAsia="en-US"/>
              </w:rPr>
              <w:t xml:space="preserve">Change </w:t>
            </w:r>
          </w:p>
        </w:tc>
      </w:tr>
      <w:tr w:rsidR="001A6FF0" w:rsidTr="008023D1">
        <w:tc>
          <w:tcPr>
            <w:tcW w:w="915" w:type="pct"/>
            <w:tcBorders>
              <w:right w:val="single" w:sz="4" w:space="0" w:color="auto"/>
            </w:tcBorders>
          </w:tcPr>
          <w:p w:rsidR="001A6FF0" w:rsidRDefault="001A6FF0" w:rsidP="00563A77">
            <w:pPr>
              <w:pStyle w:val="Tabletext1"/>
              <w:keepNext/>
              <w:rPr>
                <w:vertAlign w:val="superscript"/>
                <w:lang w:eastAsia="en-US"/>
              </w:rPr>
            </w:pPr>
            <w:r w:rsidRPr="00383828">
              <w:rPr>
                <w:lang w:eastAsia="en-US"/>
              </w:rPr>
              <w:t>van Capelle (2010)</w:t>
            </w:r>
            <w:r>
              <w:rPr>
                <w:vertAlign w:val="superscript"/>
                <w:lang w:eastAsia="en-US"/>
              </w:rPr>
              <w:t>a</w:t>
            </w:r>
          </w:p>
          <w:p w:rsidR="001A6FF0" w:rsidRPr="006E366D" w:rsidRDefault="001A6FF0" w:rsidP="00563A77">
            <w:pPr>
              <w:pStyle w:val="Tabletext1"/>
              <w:keepNext/>
              <w:rPr>
                <w:lang w:eastAsia="en-US"/>
              </w:rPr>
            </w:pPr>
            <w:r w:rsidRPr="006E366D">
              <w:rPr>
                <w:lang w:eastAsia="en-US"/>
              </w:rPr>
              <w:t xml:space="preserve">MMT </w:t>
            </w:r>
            <w:r>
              <w:rPr>
                <w:lang w:eastAsia="en-US"/>
              </w:rPr>
              <w:t xml:space="preserve">sumscore, </w:t>
            </w:r>
            <w:r w:rsidRPr="006E366D">
              <w:rPr>
                <w:lang w:eastAsia="en-US"/>
              </w:rPr>
              <w:t>% maximum</w:t>
            </w:r>
          </w:p>
        </w:tc>
        <w:tc>
          <w:tcPr>
            <w:tcW w:w="817" w:type="pct"/>
            <w:tcBorders>
              <w:left w:val="single" w:sz="4" w:space="0" w:color="auto"/>
              <w:right w:val="single" w:sz="4" w:space="0" w:color="auto"/>
            </w:tcBorders>
          </w:tcPr>
          <w:p w:rsidR="001A6FF0" w:rsidRDefault="001A6FF0" w:rsidP="00563A77">
            <w:pPr>
              <w:pStyle w:val="Tabletext1"/>
              <w:keepNext/>
              <w:rPr>
                <w:lang w:eastAsia="en-US"/>
              </w:rPr>
            </w:pPr>
            <w:r>
              <w:rPr>
                <w:lang w:eastAsia="en-US"/>
              </w:rPr>
              <w:t>Patient 1</w:t>
            </w:r>
          </w:p>
          <w:p w:rsidR="001A6FF0" w:rsidRDefault="001A6FF0" w:rsidP="00563A77">
            <w:pPr>
              <w:pStyle w:val="Tabletext1"/>
              <w:keepNext/>
              <w:rPr>
                <w:lang w:eastAsia="en-US"/>
              </w:rPr>
            </w:pPr>
            <w:r>
              <w:rPr>
                <w:lang w:eastAsia="en-US"/>
              </w:rPr>
              <w:t>Patient 2</w:t>
            </w:r>
          </w:p>
          <w:p w:rsidR="001A6FF0" w:rsidRDefault="001A6FF0" w:rsidP="00563A77">
            <w:pPr>
              <w:pStyle w:val="Tabletext1"/>
              <w:keepNext/>
              <w:rPr>
                <w:lang w:eastAsia="en-US"/>
              </w:rPr>
            </w:pPr>
            <w:r>
              <w:rPr>
                <w:lang w:eastAsia="en-US"/>
              </w:rPr>
              <w:t>Patient 4</w:t>
            </w:r>
          </w:p>
        </w:tc>
        <w:tc>
          <w:tcPr>
            <w:tcW w:w="817" w:type="pct"/>
            <w:tcBorders>
              <w:right w:val="single" w:sz="4" w:space="0" w:color="auto"/>
            </w:tcBorders>
          </w:tcPr>
          <w:p w:rsidR="001A6FF0" w:rsidRDefault="001A6FF0" w:rsidP="00563A77">
            <w:pPr>
              <w:pStyle w:val="Tabletext1"/>
              <w:keepNext/>
              <w:rPr>
                <w:lang w:eastAsia="en-US"/>
              </w:rPr>
            </w:pPr>
            <w:r>
              <w:rPr>
                <w:lang w:eastAsia="en-US"/>
              </w:rPr>
              <w:t>86</w:t>
            </w:r>
          </w:p>
          <w:p w:rsidR="001A6FF0" w:rsidRDefault="001A6FF0" w:rsidP="00563A77">
            <w:pPr>
              <w:pStyle w:val="Tabletext1"/>
              <w:keepNext/>
              <w:rPr>
                <w:lang w:eastAsia="en-US"/>
              </w:rPr>
            </w:pPr>
            <w:r>
              <w:rPr>
                <w:lang w:eastAsia="en-US"/>
              </w:rPr>
              <w:t>79</w:t>
            </w:r>
          </w:p>
          <w:p w:rsidR="001A6FF0" w:rsidRPr="00383828" w:rsidRDefault="001A6FF0" w:rsidP="00563A77">
            <w:pPr>
              <w:pStyle w:val="Tabletext1"/>
              <w:keepNext/>
              <w:rPr>
                <w:lang w:eastAsia="en-US"/>
              </w:rPr>
            </w:pPr>
            <w:r>
              <w:rPr>
                <w:lang w:eastAsia="en-US"/>
              </w:rPr>
              <w:t>79</w:t>
            </w:r>
          </w:p>
        </w:tc>
        <w:tc>
          <w:tcPr>
            <w:tcW w:w="817" w:type="pct"/>
            <w:tcBorders>
              <w:left w:val="single" w:sz="4" w:space="0" w:color="auto"/>
            </w:tcBorders>
          </w:tcPr>
          <w:p w:rsidR="001A6FF0" w:rsidRDefault="001A6FF0" w:rsidP="00563A77">
            <w:pPr>
              <w:pStyle w:val="Tabletext1"/>
              <w:keepNext/>
              <w:rPr>
                <w:lang w:eastAsia="en-US"/>
              </w:rPr>
            </w:pPr>
            <w:r>
              <w:rPr>
                <w:lang w:eastAsia="en-US"/>
              </w:rPr>
              <w:t>3 years</w:t>
            </w:r>
          </w:p>
          <w:p w:rsidR="001A6FF0" w:rsidRPr="00383828" w:rsidRDefault="001A6FF0" w:rsidP="00563A77">
            <w:pPr>
              <w:pStyle w:val="Tabletext1"/>
              <w:keepNext/>
              <w:rPr>
                <w:lang w:eastAsia="en-US"/>
              </w:rPr>
            </w:pPr>
          </w:p>
        </w:tc>
        <w:tc>
          <w:tcPr>
            <w:tcW w:w="817" w:type="pct"/>
          </w:tcPr>
          <w:p w:rsidR="001A6FF0" w:rsidRDefault="001A6FF0" w:rsidP="00563A77">
            <w:pPr>
              <w:pStyle w:val="Tabletext1"/>
              <w:keepNext/>
              <w:rPr>
                <w:lang w:eastAsia="en-US"/>
              </w:rPr>
            </w:pPr>
            <w:r>
              <w:rPr>
                <w:lang w:eastAsia="en-US"/>
              </w:rPr>
              <w:t>92</w:t>
            </w:r>
          </w:p>
          <w:p w:rsidR="001A6FF0" w:rsidRDefault="001A6FF0" w:rsidP="00563A77">
            <w:pPr>
              <w:pStyle w:val="Tabletext1"/>
              <w:keepNext/>
              <w:rPr>
                <w:lang w:eastAsia="en-US"/>
              </w:rPr>
            </w:pPr>
            <w:r>
              <w:rPr>
                <w:lang w:eastAsia="en-US"/>
              </w:rPr>
              <w:t>93</w:t>
            </w:r>
          </w:p>
          <w:p w:rsidR="001A6FF0" w:rsidRPr="00383828" w:rsidRDefault="001A6FF0" w:rsidP="00563A77">
            <w:pPr>
              <w:pStyle w:val="Tabletext1"/>
              <w:keepNext/>
              <w:rPr>
                <w:lang w:eastAsia="en-US"/>
              </w:rPr>
            </w:pPr>
            <w:r>
              <w:rPr>
                <w:lang w:eastAsia="en-US"/>
              </w:rPr>
              <w:t>100</w:t>
            </w:r>
          </w:p>
        </w:tc>
        <w:tc>
          <w:tcPr>
            <w:tcW w:w="817" w:type="pct"/>
          </w:tcPr>
          <w:p w:rsidR="001A6FF0" w:rsidRDefault="001A6FF0" w:rsidP="00563A77">
            <w:pPr>
              <w:pStyle w:val="Tabletext1"/>
              <w:keepNext/>
              <w:rPr>
                <w:lang w:eastAsia="en-US"/>
              </w:rPr>
            </w:pPr>
            <w:r>
              <w:rPr>
                <w:lang w:eastAsia="en-US"/>
              </w:rPr>
              <w:t>16</w:t>
            </w:r>
          </w:p>
          <w:p w:rsidR="001A6FF0" w:rsidRDefault="001A6FF0" w:rsidP="00563A77">
            <w:pPr>
              <w:pStyle w:val="Tabletext1"/>
              <w:keepNext/>
              <w:rPr>
                <w:lang w:eastAsia="en-US"/>
              </w:rPr>
            </w:pPr>
            <w:r>
              <w:rPr>
                <w:lang w:eastAsia="en-US"/>
              </w:rPr>
              <w:t>14</w:t>
            </w:r>
          </w:p>
          <w:p w:rsidR="001A6FF0" w:rsidRPr="00383828" w:rsidRDefault="001A6FF0" w:rsidP="00563A77">
            <w:pPr>
              <w:pStyle w:val="Tabletext1"/>
              <w:keepNext/>
              <w:rPr>
                <w:lang w:eastAsia="en-US"/>
              </w:rPr>
            </w:pPr>
            <w:r>
              <w:rPr>
                <w:lang w:eastAsia="en-US"/>
              </w:rPr>
              <w:t>21</w:t>
            </w:r>
          </w:p>
        </w:tc>
      </w:tr>
      <w:tr w:rsidR="001A6FF0" w:rsidTr="008023D1">
        <w:tc>
          <w:tcPr>
            <w:tcW w:w="915" w:type="pct"/>
            <w:tcBorders>
              <w:right w:val="single" w:sz="4" w:space="0" w:color="auto"/>
            </w:tcBorders>
          </w:tcPr>
          <w:p w:rsidR="001A6FF0" w:rsidRDefault="001A6FF0" w:rsidP="00563A77">
            <w:pPr>
              <w:pStyle w:val="Tabletext1"/>
              <w:keepNext/>
              <w:rPr>
                <w:lang w:eastAsia="en-US"/>
              </w:rPr>
            </w:pPr>
            <w:r>
              <w:rPr>
                <w:lang w:eastAsia="en-US"/>
              </w:rPr>
              <w:t xml:space="preserve">Furusawa et al </w:t>
            </w:r>
            <w:r w:rsidR="00155E84">
              <w:rPr>
                <w:lang w:eastAsia="en-US"/>
              </w:rPr>
              <w:t>(</w:t>
            </w:r>
            <w:r>
              <w:rPr>
                <w:lang w:eastAsia="en-US"/>
              </w:rPr>
              <w:t>2012</w:t>
            </w:r>
            <w:r w:rsidR="00155E84">
              <w:rPr>
                <w:lang w:eastAsia="en-US"/>
              </w:rPr>
              <w:t>)</w:t>
            </w:r>
            <w:r>
              <w:rPr>
                <w:vertAlign w:val="superscript"/>
                <w:lang w:eastAsia="en-US"/>
              </w:rPr>
              <w:t xml:space="preserve"> a</w:t>
            </w:r>
          </w:p>
          <w:p w:rsidR="001A6FF0" w:rsidRDefault="001A6FF0" w:rsidP="00563A77">
            <w:pPr>
              <w:pStyle w:val="Tabletext1"/>
              <w:keepNext/>
              <w:rPr>
                <w:lang w:eastAsia="en-US"/>
              </w:rPr>
            </w:pPr>
            <w:r w:rsidRPr="006E366D">
              <w:rPr>
                <w:lang w:eastAsia="en-US"/>
              </w:rPr>
              <w:t xml:space="preserve">MMT </w:t>
            </w:r>
            <w:r>
              <w:rPr>
                <w:lang w:eastAsia="en-US"/>
              </w:rPr>
              <w:t xml:space="preserve">sumscore, </w:t>
            </w:r>
            <w:r w:rsidRPr="006E366D">
              <w:rPr>
                <w:lang w:eastAsia="en-US"/>
              </w:rPr>
              <w:t>% maximum</w:t>
            </w:r>
          </w:p>
        </w:tc>
        <w:tc>
          <w:tcPr>
            <w:tcW w:w="817" w:type="pct"/>
            <w:tcBorders>
              <w:left w:val="single" w:sz="4" w:space="0" w:color="auto"/>
              <w:right w:val="single" w:sz="4" w:space="0" w:color="auto"/>
            </w:tcBorders>
          </w:tcPr>
          <w:p w:rsidR="001A6FF0" w:rsidRDefault="001A6FF0" w:rsidP="00563A77">
            <w:pPr>
              <w:pStyle w:val="Tabletext1"/>
              <w:keepNext/>
              <w:rPr>
                <w:lang w:eastAsia="en-US"/>
              </w:rPr>
            </w:pPr>
            <w:r>
              <w:rPr>
                <w:lang w:eastAsia="en-US"/>
              </w:rPr>
              <w:t>Patient 4</w:t>
            </w:r>
          </w:p>
          <w:p w:rsidR="001A6FF0" w:rsidRDefault="001A6FF0" w:rsidP="00563A77">
            <w:pPr>
              <w:pStyle w:val="Tabletext1"/>
              <w:keepNext/>
              <w:rPr>
                <w:lang w:eastAsia="en-US"/>
              </w:rPr>
            </w:pPr>
          </w:p>
          <w:p w:rsidR="001A6FF0" w:rsidRDefault="001A6FF0" w:rsidP="00563A77">
            <w:pPr>
              <w:pStyle w:val="Tabletext1"/>
              <w:keepNext/>
              <w:rPr>
                <w:lang w:eastAsia="en-US"/>
              </w:rPr>
            </w:pPr>
            <w:r>
              <w:rPr>
                <w:lang w:eastAsia="en-US"/>
              </w:rPr>
              <w:t>Patient 5</w:t>
            </w:r>
          </w:p>
        </w:tc>
        <w:tc>
          <w:tcPr>
            <w:tcW w:w="817" w:type="pct"/>
            <w:tcBorders>
              <w:right w:val="single" w:sz="4" w:space="0" w:color="auto"/>
            </w:tcBorders>
          </w:tcPr>
          <w:p w:rsidR="001A6FF0" w:rsidRDefault="001A6FF0" w:rsidP="00563A77">
            <w:pPr>
              <w:pStyle w:val="Tabletext1"/>
              <w:keepNext/>
              <w:rPr>
                <w:lang w:eastAsia="en-US"/>
              </w:rPr>
            </w:pPr>
            <w:r>
              <w:rPr>
                <w:lang w:eastAsia="en-US"/>
              </w:rPr>
              <w:t>30</w:t>
            </w:r>
          </w:p>
          <w:p w:rsidR="001A6FF0" w:rsidRDefault="001A6FF0" w:rsidP="00563A77">
            <w:pPr>
              <w:pStyle w:val="Tabletext1"/>
              <w:keepNext/>
              <w:rPr>
                <w:lang w:eastAsia="en-US"/>
              </w:rPr>
            </w:pPr>
          </w:p>
          <w:p w:rsidR="001A6FF0" w:rsidRDefault="001A6FF0" w:rsidP="00563A77">
            <w:pPr>
              <w:pStyle w:val="Tabletext1"/>
              <w:keepNext/>
              <w:rPr>
                <w:lang w:eastAsia="en-US"/>
              </w:rPr>
            </w:pPr>
            <w:r>
              <w:rPr>
                <w:lang w:eastAsia="en-US"/>
              </w:rPr>
              <w:t>28</w:t>
            </w:r>
          </w:p>
        </w:tc>
        <w:tc>
          <w:tcPr>
            <w:tcW w:w="817" w:type="pct"/>
            <w:tcBorders>
              <w:left w:val="single" w:sz="4" w:space="0" w:color="auto"/>
            </w:tcBorders>
          </w:tcPr>
          <w:p w:rsidR="001A6FF0" w:rsidRDefault="001A6FF0" w:rsidP="00563A77">
            <w:pPr>
              <w:pStyle w:val="Tabletext1"/>
              <w:keepNext/>
              <w:rPr>
                <w:lang w:eastAsia="en-US"/>
              </w:rPr>
            </w:pPr>
            <w:r>
              <w:rPr>
                <w:lang w:eastAsia="en-US"/>
              </w:rPr>
              <w:t>1 year</w:t>
            </w:r>
          </w:p>
          <w:p w:rsidR="001A6FF0" w:rsidRDefault="001A6FF0" w:rsidP="00563A77">
            <w:pPr>
              <w:pStyle w:val="Tabletext1"/>
              <w:keepNext/>
              <w:rPr>
                <w:lang w:eastAsia="en-US"/>
              </w:rPr>
            </w:pPr>
            <w:r>
              <w:rPr>
                <w:lang w:eastAsia="en-US"/>
              </w:rPr>
              <w:t>2 years</w:t>
            </w:r>
          </w:p>
          <w:p w:rsidR="001A6FF0" w:rsidRDefault="001A6FF0" w:rsidP="00563A77">
            <w:pPr>
              <w:pStyle w:val="Tabletext1"/>
              <w:keepNext/>
              <w:rPr>
                <w:lang w:eastAsia="en-US"/>
              </w:rPr>
            </w:pPr>
            <w:r>
              <w:rPr>
                <w:lang w:eastAsia="en-US"/>
              </w:rPr>
              <w:t>1 year</w:t>
            </w:r>
          </w:p>
          <w:p w:rsidR="001A6FF0" w:rsidRDefault="001A6FF0" w:rsidP="00563A77">
            <w:pPr>
              <w:pStyle w:val="Tabletext1"/>
              <w:keepNext/>
              <w:rPr>
                <w:lang w:eastAsia="en-US"/>
              </w:rPr>
            </w:pPr>
            <w:r>
              <w:rPr>
                <w:lang w:eastAsia="en-US"/>
              </w:rPr>
              <w:t>2 years</w:t>
            </w:r>
          </w:p>
        </w:tc>
        <w:tc>
          <w:tcPr>
            <w:tcW w:w="817" w:type="pct"/>
          </w:tcPr>
          <w:p w:rsidR="001A6FF0" w:rsidRDefault="001A6FF0" w:rsidP="00563A77">
            <w:pPr>
              <w:pStyle w:val="Tabletext1"/>
              <w:keepNext/>
              <w:rPr>
                <w:lang w:eastAsia="en-US"/>
              </w:rPr>
            </w:pPr>
            <w:r>
              <w:rPr>
                <w:lang w:eastAsia="en-US"/>
              </w:rPr>
              <w:t>30</w:t>
            </w:r>
          </w:p>
          <w:p w:rsidR="001A6FF0" w:rsidRDefault="001A6FF0" w:rsidP="00563A77">
            <w:pPr>
              <w:pStyle w:val="Tabletext1"/>
              <w:keepNext/>
              <w:rPr>
                <w:lang w:eastAsia="en-US"/>
              </w:rPr>
            </w:pPr>
            <w:r>
              <w:rPr>
                <w:lang w:eastAsia="en-US"/>
              </w:rPr>
              <w:t>30</w:t>
            </w:r>
          </w:p>
          <w:p w:rsidR="001A6FF0" w:rsidRDefault="001A6FF0" w:rsidP="00563A77">
            <w:pPr>
              <w:pStyle w:val="Tabletext1"/>
              <w:keepNext/>
              <w:rPr>
                <w:lang w:eastAsia="en-US"/>
              </w:rPr>
            </w:pPr>
            <w:r>
              <w:rPr>
                <w:lang w:eastAsia="en-US"/>
              </w:rPr>
              <w:t>28</w:t>
            </w:r>
          </w:p>
          <w:p w:rsidR="001A6FF0" w:rsidRDefault="001A6FF0" w:rsidP="00563A77">
            <w:pPr>
              <w:pStyle w:val="Tabletext1"/>
              <w:keepNext/>
              <w:rPr>
                <w:lang w:eastAsia="en-US"/>
              </w:rPr>
            </w:pPr>
            <w:r>
              <w:rPr>
                <w:lang w:eastAsia="en-US"/>
              </w:rPr>
              <w:t>29</w:t>
            </w:r>
          </w:p>
        </w:tc>
        <w:tc>
          <w:tcPr>
            <w:tcW w:w="817" w:type="pct"/>
          </w:tcPr>
          <w:p w:rsidR="001A6FF0" w:rsidRDefault="001A6FF0" w:rsidP="00563A77">
            <w:pPr>
              <w:pStyle w:val="Tabletext1"/>
              <w:keepNext/>
              <w:rPr>
                <w:lang w:eastAsia="en-US"/>
              </w:rPr>
            </w:pPr>
            <w:r>
              <w:rPr>
                <w:lang w:eastAsia="en-US"/>
              </w:rPr>
              <w:t>0</w:t>
            </w:r>
          </w:p>
          <w:p w:rsidR="001A6FF0" w:rsidRDefault="001A6FF0" w:rsidP="00563A77">
            <w:pPr>
              <w:pStyle w:val="Tabletext1"/>
              <w:keepNext/>
              <w:rPr>
                <w:lang w:eastAsia="en-US"/>
              </w:rPr>
            </w:pPr>
            <w:r>
              <w:rPr>
                <w:lang w:eastAsia="en-US"/>
              </w:rPr>
              <w:t>0</w:t>
            </w:r>
          </w:p>
          <w:p w:rsidR="001A6FF0" w:rsidRDefault="001A6FF0" w:rsidP="00563A77">
            <w:pPr>
              <w:pStyle w:val="Tabletext1"/>
              <w:keepNext/>
              <w:rPr>
                <w:lang w:eastAsia="en-US"/>
              </w:rPr>
            </w:pPr>
            <w:r>
              <w:rPr>
                <w:lang w:eastAsia="en-US"/>
              </w:rPr>
              <w:t>0</w:t>
            </w:r>
          </w:p>
          <w:p w:rsidR="001A6FF0" w:rsidRDefault="001A6FF0" w:rsidP="00563A77">
            <w:pPr>
              <w:pStyle w:val="Tabletext1"/>
              <w:keepNext/>
              <w:rPr>
                <w:lang w:eastAsia="en-US"/>
              </w:rPr>
            </w:pPr>
            <w:r>
              <w:rPr>
                <w:lang w:eastAsia="en-US"/>
              </w:rPr>
              <w:t>1</w:t>
            </w:r>
          </w:p>
        </w:tc>
      </w:tr>
      <w:tr w:rsidR="001A6FF0" w:rsidTr="008023D1">
        <w:tc>
          <w:tcPr>
            <w:tcW w:w="915" w:type="pct"/>
            <w:tcBorders>
              <w:right w:val="single" w:sz="4" w:space="0" w:color="auto"/>
            </w:tcBorders>
          </w:tcPr>
          <w:p w:rsidR="001A6FF0" w:rsidRDefault="001A6FF0" w:rsidP="00563A77">
            <w:pPr>
              <w:pStyle w:val="Tabletext1"/>
              <w:keepNext/>
              <w:rPr>
                <w:vertAlign w:val="superscript"/>
                <w:lang w:eastAsia="en-US"/>
              </w:rPr>
            </w:pPr>
            <w:r>
              <w:rPr>
                <w:lang w:eastAsia="en-US"/>
              </w:rPr>
              <w:t xml:space="preserve">Ishigaki et al </w:t>
            </w:r>
            <w:r w:rsidR="00155E84">
              <w:rPr>
                <w:lang w:eastAsia="en-US"/>
              </w:rPr>
              <w:t>(</w:t>
            </w:r>
            <w:r>
              <w:rPr>
                <w:lang w:eastAsia="en-US"/>
              </w:rPr>
              <w:t>2012</w:t>
            </w:r>
            <w:r w:rsidR="00155E84">
              <w:rPr>
                <w:lang w:eastAsia="en-US"/>
              </w:rPr>
              <w:t>)</w:t>
            </w:r>
            <w:r>
              <w:rPr>
                <w:vertAlign w:val="superscript"/>
                <w:lang w:eastAsia="en-US"/>
              </w:rPr>
              <w:t>b</w:t>
            </w:r>
          </w:p>
          <w:p w:rsidR="001A6FF0" w:rsidRPr="009B70CE" w:rsidRDefault="001A6FF0" w:rsidP="00563A77">
            <w:pPr>
              <w:pStyle w:val="Tabletext1"/>
              <w:keepNext/>
              <w:rPr>
                <w:lang w:eastAsia="en-US"/>
              </w:rPr>
            </w:pPr>
            <w:r>
              <w:rPr>
                <w:lang w:eastAsia="en-US"/>
              </w:rPr>
              <w:t>MMT rawscores</w:t>
            </w:r>
          </w:p>
        </w:tc>
        <w:tc>
          <w:tcPr>
            <w:tcW w:w="817" w:type="pct"/>
            <w:tcBorders>
              <w:left w:val="single" w:sz="4" w:space="0" w:color="auto"/>
              <w:right w:val="single" w:sz="4" w:space="0" w:color="auto"/>
            </w:tcBorders>
          </w:tcPr>
          <w:p w:rsidR="001A6FF0" w:rsidRDefault="001A6FF0" w:rsidP="00563A77">
            <w:pPr>
              <w:pStyle w:val="Tabletext1"/>
              <w:keepNext/>
              <w:rPr>
                <w:lang w:eastAsia="en-US"/>
              </w:rPr>
            </w:pPr>
            <w:r>
              <w:rPr>
                <w:lang w:eastAsia="en-US"/>
              </w:rPr>
              <w:t>Patient 1</w:t>
            </w:r>
          </w:p>
        </w:tc>
        <w:tc>
          <w:tcPr>
            <w:tcW w:w="817" w:type="pct"/>
            <w:tcBorders>
              <w:right w:val="single" w:sz="4" w:space="0" w:color="auto"/>
            </w:tcBorders>
          </w:tcPr>
          <w:p w:rsidR="001A6FF0" w:rsidRDefault="001A6FF0" w:rsidP="00563A77">
            <w:pPr>
              <w:pStyle w:val="Tabletext1"/>
              <w:keepNext/>
              <w:rPr>
                <w:lang w:eastAsia="en-US"/>
              </w:rPr>
            </w:pPr>
            <w:r>
              <w:rPr>
                <w:lang w:eastAsia="en-US"/>
              </w:rPr>
              <w:t>proximal: 3+</w:t>
            </w:r>
          </w:p>
          <w:p w:rsidR="001A6FF0" w:rsidRDefault="001A6FF0" w:rsidP="00563A77">
            <w:pPr>
              <w:pStyle w:val="Tabletext1"/>
              <w:keepNext/>
              <w:rPr>
                <w:lang w:eastAsia="en-US"/>
              </w:rPr>
            </w:pPr>
            <w:r>
              <w:rPr>
                <w:lang w:eastAsia="en-US"/>
              </w:rPr>
              <w:t>distal: 4</w:t>
            </w:r>
          </w:p>
          <w:p w:rsidR="001A6FF0" w:rsidRDefault="001A6FF0" w:rsidP="00563A77">
            <w:pPr>
              <w:pStyle w:val="Tabletext1"/>
              <w:keepNext/>
              <w:rPr>
                <w:lang w:eastAsia="en-US"/>
              </w:rPr>
            </w:pPr>
            <w:r>
              <w:rPr>
                <w:lang w:eastAsia="en-US"/>
              </w:rPr>
              <w:t>neck: 2</w:t>
            </w:r>
          </w:p>
          <w:p w:rsidR="001A6FF0" w:rsidRDefault="001A6FF0" w:rsidP="00563A77">
            <w:pPr>
              <w:pStyle w:val="Tabletext1"/>
              <w:keepNext/>
              <w:rPr>
                <w:lang w:eastAsia="en-US"/>
              </w:rPr>
            </w:pPr>
            <w:r>
              <w:rPr>
                <w:lang w:eastAsia="en-US"/>
              </w:rPr>
              <w:t>trunk: 2</w:t>
            </w:r>
          </w:p>
        </w:tc>
        <w:tc>
          <w:tcPr>
            <w:tcW w:w="817" w:type="pct"/>
            <w:tcBorders>
              <w:left w:val="single" w:sz="4" w:space="0" w:color="auto"/>
            </w:tcBorders>
          </w:tcPr>
          <w:p w:rsidR="001A6FF0" w:rsidRDefault="001A6FF0" w:rsidP="00563A77">
            <w:pPr>
              <w:pStyle w:val="Tabletext1"/>
              <w:keepNext/>
              <w:rPr>
                <w:lang w:eastAsia="en-US"/>
              </w:rPr>
            </w:pPr>
            <w:r>
              <w:rPr>
                <w:lang w:eastAsia="en-US"/>
              </w:rPr>
              <w:t>6 months</w:t>
            </w:r>
          </w:p>
        </w:tc>
        <w:tc>
          <w:tcPr>
            <w:tcW w:w="817" w:type="pct"/>
          </w:tcPr>
          <w:p w:rsidR="001A6FF0" w:rsidRDefault="001A6FF0" w:rsidP="00563A77">
            <w:pPr>
              <w:pStyle w:val="Tabletext1"/>
              <w:keepNext/>
              <w:rPr>
                <w:lang w:eastAsia="en-US"/>
              </w:rPr>
            </w:pPr>
            <w:r>
              <w:rPr>
                <w:lang w:eastAsia="en-US"/>
              </w:rPr>
              <w:t>proximal: 4</w:t>
            </w:r>
          </w:p>
          <w:p w:rsidR="001A6FF0" w:rsidRDefault="001A6FF0" w:rsidP="00563A77">
            <w:pPr>
              <w:pStyle w:val="Tabletext1"/>
              <w:keepNext/>
              <w:rPr>
                <w:lang w:eastAsia="en-US"/>
              </w:rPr>
            </w:pPr>
            <w:r>
              <w:rPr>
                <w:lang w:eastAsia="en-US"/>
              </w:rPr>
              <w:t>distal: 4-5</w:t>
            </w:r>
          </w:p>
          <w:p w:rsidR="001A6FF0" w:rsidRDefault="001A6FF0" w:rsidP="00563A77">
            <w:pPr>
              <w:pStyle w:val="Tabletext1"/>
              <w:keepNext/>
              <w:rPr>
                <w:lang w:eastAsia="en-US"/>
              </w:rPr>
            </w:pPr>
            <w:r>
              <w:rPr>
                <w:lang w:eastAsia="en-US"/>
              </w:rPr>
              <w:t>neck: 2</w:t>
            </w:r>
          </w:p>
          <w:p w:rsidR="001A6FF0" w:rsidRDefault="001A6FF0" w:rsidP="00563A77">
            <w:pPr>
              <w:pStyle w:val="Tabletext1"/>
              <w:keepNext/>
              <w:rPr>
                <w:lang w:eastAsia="en-US"/>
              </w:rPr>
            </w:pPr>
            <w:r>
              <w:rPr>
                <w:lang w:eastAsia="en-US"/>
              </w:rPr>
              <w:t>trunk: 2</w:t>
            </w:r>
          </w:p>
        </w:tc>
        <w:tc>
          <w:tcPr>
            <w:tcW w:w="817" w:type="pct"/>
          </w:tcPr>
          <w:p w:rsidR="001A6FF0" w:rsidRDefault="001A6FF0" w:rsidP="00563A77">
            <w:pPr>
              <w:pStyle w:val="Tabletext1"/>
              <w:keepNext/>
              <w:rPr>
                <w:lang w:eastAsia="en-US"/>
              </w:rPr>
            </w:pPr>
            <w:r>
              <w:rPr>
                <w:lang w:eastAsia="en-US"/>
              </w:rPr>
              <w:t>proximal: 1</w:t>
            </w:r>
          </w:p>
          <w:p w:rsidR="001A6FF0" w:rsidRDefault="001A6FF0" w:rsidP="00563A77">
            <w:pPr>
              <w:pStyle w:val="Tabletext1"/>
              <w:keepNext/>
              <w:rPr>
                <w:lang w:eastAsia="en-US"/>
              </w:rPr>
            </w:pPr>
            <w:r>
              <w:rPr>
                <w:lang w:eastAsia="en-US"/>
              </w:rPr>
              <w:t>distal: 0-1</w:t>
            </w:r>
          </w:p>
          <w:p w:rsidR="001A6FF0" w:rsidRDefault="001A6FF0" w:rsidP="00563A77">
            <w:pPr>
              <w:pStyle w:val="Tabletext1"/>
              <w:keepNext/>
              <w:rPr>
                <w:lang w:eastAsia="en-US"/>
              </w:rPr>
            </w:pPr>
            <w:r>
              <w:rPr>
                <w:lang w:eastAsia="en-US"/>
              </w:rPr>
              <w:t>neck: 0</w:t>
            </w:r>
          </w:p>
          <w:p w:rsidR="001A6FF0" w:rsidRDefault="001A6FF0" w:rsidP="00563A77">
            <w:pPr>
              <w:pStyle w:val="Tabletext1"/>
              <w:keepNext/>
              <w:rPr>
                <w:lang w:eastAsia="en-US"/>
              </w:rPr>
            </w:pPr>
            <w:r>
              <w:rPr>
                <w:lang w:eastAsia="en-US"/>
              </w:rPr>
              <w:t>trunk: 0</w:t>
            </w:r>
          </w:p>
        </w:tc>
      </w:tr>
    </w:tbl>
    <w:p w:rsidR="001A6FF0" w:rsidRDefault="001A6FF0" w:rsidP="0025188D">
      <w:pPr>
        <w:pStyle w:val="TableNote"/>
        <w:ind w:left="0" w:firstLine="0"/>
        <w:rPr>
          <w:lang w:eastAsia="en-US"/>
        </w:rPr>
      </w:pPr>
      <w:proofErr w:type="gramStart"/>
      <w:r w:rsidRPr="0087536F">
        <w:rPr>
          <w:vertAlign w:val="superscript"/>
          <w:lang w:eastAsia="en-US"/>
        </w:rPr>
        <w:t>a</w:t>
      </w:r>
      <w:proofErr w:type="gramEnd"/>
      <w:r w:rsidR="0025188D">
        <w:rPr>
          <w:vertAlign w:val="superscript"/>
          <w:lang w:eastAsia="en-US"/>
        </w:rPr>
        <w:t xml:space="preserve"> </w:t>
      </w:r>
      <w:r w:rsidRPr="0087536F">
        <w:rPr>
          <w:lang w:eastAsia="en-US"/>
        </w:rPr>
        <w:t>MMT</w:t>
      </w:r>
      <w:r>
        <w:rPr>
          <w:lang w:eastAsia="en-US"/>
        </w:rPr>
        <w:t xml:space="preserve"> = manual muscle testing, scored by an 11-point modified version of the Medical Research Council scale, % of maximum score (i.e. 0 to 100%)</w:t>
      </w:r>
    </w:p>
    <w:p w:rsidR="001A6FF0" w:rsidRDefault="001A6FF0" w:rsidP="001A6FF0">
      <w:pPr>
        <w:pStyle w:val="TableNote"/>
        <w:rPr>
          <w:lang w:eastAsia="en-US"/>
        </w:rPr>
      </w:pPr>
      <w:proofErr w:type="gramStart"/>
      <w:r w:rsidRPr="0087536F">
        <w:rPr>
          <w:vertAlign w:val="superscript"/>
          <w:lang w:eastAsia="en-US"/>
        </w:rPr>
        <w:t>b</w:t>
      </w:r>
      <w:proofErr w:type="gramEnd"/>
      <w:r w:rsidR="0025188D">
        <w:rPr>
          <w:vertAlign w:val="superscript"/>
          <w:lang w:eastAsia="en-US"/>
        </w:rPr>
        <w:t xml:space="preserve"> </w:t>
      </w:r>
      <w:r>
        <w:rPr>
          <w:lang w:eastAsia="en-US"/>
        </w:rPr>
        <w:t>Raw scores on 5 point scale</w:t>
      </w:r>
    </w:p>
    <w:p w:rsidR="001A6FF0" w:rsidRPr="0087536F" w:rsidRDefault="001A6FF0" w:rsidP="001A6FF0">
      <w:pPr>
        <w:pStyle w:val="TableNote"/>
        <w:rPr>
          <w:lang w:eastAsia="en-US"/>
        </w:rPr>
      </w:pPr>
    </w:p>
    <w:p w:rsidR="001A6FF0" w:rsidRDefault="001A6FF0" w:rsidP="001A6FF0">
      <w:r>
        <w:t xml:space="preserve">The quick motor function test (QMFT) is a 16-item scale, which was developed and validated for use in patients with PD by van Capelle et al (2012) to assess clinical severity and motor function </w:t>
      </w:r>
      <w:r w:rsidR="003303FE">
        <w:rPr>
          <w:noProof/>
        </w:rPr>
        <w:t>(</w:t>
      </w:r>
      <w:r w:rsidR="00184B6F">
        <w:rPr>
          <w:noProof/>
        </w:rPr>
        <w:t>van Capelle et al. 2012</w:t>
      </w:r>
      <w:r w:rsidR="003303FE">
        <w:rPr>
          <w:noProof/>
        </w:rPr>
        <w:t>)</w:t>
      </w:r>
      <w:r>
        <w:t xml:space="preserve"> (scores are as a percen</w:t>
      </w:r>
      <w:r w:rsidR="008F40D3">
        <w:t>t of maximum possible</w:t>
      </w:r>
      <w:r>
        <w:t xml:space="preserve">). Over 3 years all three patients </w:t>
      </w:r>
      <w:r w:rsidR="00F87099">
        <w:t xml:space="preserve">had considerable </w:t>
      </w:r>
      <w:r>
        <w:t>improve</w:t>
      </w:r>
      <w:r w:rsidR="00F87099">
        <w:t>ments in</w:t>
      </w:r>
      <w:r>
        <w:t xml:space="preserve"> </w:t>
      </w:r>
      <w:r w:rsidRPr="00D613B7">
        <w:t xml:space="preserve">muscle functioning. The time it took patients to rise </w:t>
      </w:r>
      <w:r>
        <w:t xml:space="preserve">from supine to standing position, and to run 10 metres all decreased marginally, but would only be considered clinically important in one out of three patients. </w:t>
      </w:r>
    </w:p>
    <w:p w:rsidR="001A6FF0" w:rsidRDefault="001A6FF0" w:rsidP="005C6842">
      <w:pPr>
        <w:pStyle w:val="Figureheading0"/>
        <w:keepNext/>
        <w:ind w:left="1418" w:hanging="1418"/>
      </w:pPr>
      <w:bookmarkStart w:id="354" w:name="_Toc411509182"/>
      <w:bookmarkStart w:id="355" w:name="_Toc415141882"/>
      <w:r>
        <w:t xml:space="preserve">Table </w:t>
      </w:r>
      <w:r w:rsidR="00A72B26">
        <w:rPr>
          <w:noProof/>
        </w:rPr>
        <w:t>85</w:t>
      </w:r>
      <w:r>
        <w:tab/>
        <w:t xml:space="preserve">Muscle functioning outcomes </w:t>
      </w:r>
      <w:r w:rsidR="00DF5C70">
        <w:t>before and after alglucosidase alfa in patients with JOPD</w:t>
      </w:r>
      <w:bookmarkEnd w:id="354"/>
      <w:bookmarkEnd w:id="355"/>
    </w:p>
    <w:tbl>
      <w:tblPr>
        <w:tblStyle w:val="TableGrid"/>
        <w:tblW w:w="5000" w:type="pct"/>
        <w:tblLook w:val="04A0" w:firstRow="1" w:lastRow="0" w:firstColumn="1" w:lastColumn="0" w:noHBand="0" w:noVBand="1"/>
        <w:tblCaption w:val="Muscle functioning before and after alglucosidase alfa for JOPD"/>
      </w:tblPr>
      <w:tblGrid>
        <w:gridCol w:w="1974"/>
        <w:gridCol w:w="1817"/>
        <w:gridCol w:w="1817"/>
        <w:gridCol w:w="1817"/>
        <w:gridCol w:w="1817"/>
      </w:tblGrid>
      <w:tr w:rsidR="001A6FF0" w:rsidTr="009A0365">
        <w:trPr>
          <w:tblHeader/>
        </w:trPr>
        <w:tc>
          <w:tcPr>
            <w:tcW w:w="1068" w:type="pct"/>
            <w:tcBorders>
              <w:right w:val="single" w:sz="4" w:space="0" w:color="auto"/>
            </w:tcBorders>
          </w:tcPr>
          <w:p w:rsidR="001A6FF0" w:rsidRDefault="001A6FF0" w:rsidP="005C6842">
            <w:pPr>
              <w:pStyle w:val="Tabletext1"/>
              <w:keepNext/>
              <w:rPr>
                <w:b/>
                <w:lang w:eastAsia="en-US"/>
              </w:rPr>
            </w:pPr>
            <w:r>
              <w:rPr>
                <w:b/>
                <w:lang w:eastAsia="en-US"/>
              </w:rPr>
              <w:t>Study</w:t>
            </w:r>
          </w:p>
          <w:p w:rsidR="001A6FF0" w:rsidRPr="008F5C81" w:rsidRDefault="001A6FF0" w:rsidP="005C6842">
            <w:pPr>
              <w:pStyle w:val="Tabletext1"/>
              <w:keepNext/>
              <w:rPr>
                <w:b/>
                <w:lang w:eastAsia="en-US"/>
              </w:rPr>
            </w:pPr>
            <w:r>
              <w:rPr>
                <w:b/>
                <w:lang w:eastAsia="en-US"/>
              </w:rPr>
              <w:t>Measure</w:t>
            </w:r>
          </w:p>
        </w:tc>
        <w:tc>
          <w:tcPr>
            <w:tcW w:w="983" w:type="pct"/>
            <w:tcBorders>
              <w:left w:val="single" w:sz="4" w:space="0" w:color="auto"/>
              <w:right w:val="single" w:sz="4" w:space="0" w:color="auto"/>
            </w:tcBorders>
          </w:tcPr>
          <w:p w:rsidR="001A6FF0" w:rsidRPr="008F5C81" w:rsidRDefault="001A6FF0" w:rsidP="005C6842">
            <w:pPr>
              <w:pStyle w:val="Tabletext1"/>
              <w:keepNext/>
              <w:rPr>
                <w:b/>
                <w:lang w:eastAsia="en-US"/>
              </w:rPr>
            </w:pPr>
            <w:r>
              <w:rPr>
                <w:b/>
                <w:lang w:eastAsia="en-US"/>
              </w:rPr>
              <w:t>Sample</w:t>
            </w:r>
          </w:p>
        </w:tc>
        <w:tc>
          <w:tcPr>
            <w:tcW w:w="983" w:type="pct"/>
          </w:tcPr>
          <w:p w:rsidR="001A6FF0" w:rsidRPr="008F5C81" w:rsidRDefault="001A6FF0" w:rsidP="005C6842">
            <w:pPr>
              <w:pStyle w:val="Tabletext1"/>
              <w:keepNext/>
              <w:rPr>
                <w:b/>
                <w:lang w:eastAsia="en-US"/>
              </w:rPr>
            </w:pPr>
            <w:r w:rsidRPr="008F5C81">
              <w:rPr>
                <w:b/>
                <w:lang w:eastAsia="en-US"/>
              </w:rPr>
              <w:t>Baseline</w:t>
            </w:r>
            <w:r>
              <w:rPr>
                <w:b/>
                <w:lang w:eastAsia="en-US"/>
              </w:rPr>
              <w:t xml:space="preserve"> </w:t>
            </w:r>
          </w:p>
        </w:tc>
        <w:tc>
          <w:tcPr>
            <w:tcW w:w="983" w:type="pct"/>
          </w:tcPr>
          <w:p w:rsidR="001A6FF0" w:rsidRPr="008F5C81" w:rsidRDefault="001A6FF0" w:rsidP="005C6842">
            <w:pPr>
              <w:pStyle w:val="Tabletext1"/>
              <w:keepNext/>
              <w:rPr>
                <w:b/>
                <w:lang w:eastAsia="en-US"/>
              </w:rPr>
            </w:pPr>
            <w:r>
              <w:rPr>
                <w:b/>
                <w:lang w:eastAsia="en-US"/>
              </w:rPr>
              <w:t>3 year follow-up</w:t>
            </w:r>
          </w:p>
        </w:tc>
        <w:tc>
          <w:tcPr>
            <w:tcW w:w="983" w:type="pct"/>
          </w:tcPr>
          <w:p w:rsidR="001A6FF0" w:rsidRDefault="001A6FF0" w:rsidP="005C6842">
            <w:pPr>
              <w:pStyle w:val="Tabletext1"/>
              <w:keepNext/>
              <w:rPr>
                <w:b/>
                <w:lang w:eastAsia="en-US"/>
              </w:rPr>
            </w:pPr>
            <w:r>
              <w:rPr>
                <w:b/>
                <w:lang w:eastAsia="en-US"/>
              </w:rPr>
              <w:t xml:space="preserve">Change </w:t>
            </w:r>
          </w:p>
        </w:tc>
      </w:tr>
      <w:tr w:rsidR="001A6FF0" w:rsidRPr="00383828" w:rsidTr="008023D1">
        <w:trPr>
          <w:trHeight w:val="707"/>
        </w:trPr>
        <w:tc>
          <w:tcPr>
            <w:tcW w:w="1068" w:type="pct"/>
            <w:tcBorders>
              <w:right w:val="single" w:sz="4" w:space="0" w:color="auto"/>
            </w:tcBorders>
          </w:tcPr>
          <w:p w:rsidR="001A6FF0" w:rsidRPr="00D613B7" w:rsidRDefault="001A6FF0" w:rsidP="005C6842">
            <w:pPr>
              <w:pStyle w:val="Tabletext1"/>
              <w:keepNext/>
              <w:rPr>
                <w:lang w:eastAsia="en-US"/>
              </w:rPr>
            </w:pPr>
            <w:r>
              <w:rPr>
                <w:lang w:eastAsia="en-US"/>
              </w:rPr>
              <w:t>van Capelle et al (2010)</w:t>
            </w:r>
          </w:p>
          <w:p w:rsidR="001A6FF0" w:rsidRPr="00D613B7" w:rsidRDefault="001A6FF0" w:rsidP="005C6842">
            <w:pPr>
              <w:pStyle w:val="Tabletext1"/>
              <w:keepNext/>
              <w:rPr>
                <w:vertAlign w:val="superscript"/>
                <w:lang w:eastAsia="en-US"/>
              </w:rPr>
            </w:pPr>
            <w:r w:rsidRPr="00D613B7">
              <w:rPr>
                <w:lang w:eastAsia="en-US"/>
              </w:rPr>
              <w:t>Rising (sec)</w:t>
            </w:r>
            <w:r w:rsidRPr="00D613B7">
              <w:rPr>
                <w:vertAlign w:val="superscript"/>
                <w:lang w:eastAsia="en-US"/>
              </w:rPr>
              <w:t>a</w:t>
            </w:r>
          </w:p>
        </w:tc>
        <w:tc>
          <w:tcPr>
            <w:tcW w:w="983" w:type="pct"/>
            <w:tcBorders>
              <w:left w:val="single" w:sz="4" w:space="0" w:color="auto"/>
              <w:right w:val="single" w:sz="4" w:space="0" w:color="auto"/>
            </w:tcBorders>
          </w:tcPr>
          <w:p w:rsidR="001A6FF0" w:rsidRDefault="001A6FF0" w:rsidP="005C6842">
            <w:pPr>
              <w:pStyle w:val="Tabletext1"/>
              <w:keepNext/>
              <w:rPr>
                <w:lang w:eastAsia="en-US"/>
              </w:rPr>
            </w:pPr>
            <w:r>
              <w:rPr>
                <w:lang w:eastAsia="en-US"/>
              </w:rPr>
              <w:t>Patient 1</w:t>
            </w:r>
          </w:p>
          <w:p w:rsidR="001A6FF0" w:rsidRDefault="001A6FF0" w:rsidP="005C6842">
            <w:pPr>
              <w:pStyle w:val="Tabletext1"/>
              <w:keepNext/>
              <w:rPr>
                <w:lang w:eastAsia="en-US"/>
              </w:rPr>
            </w:pPr>
            <w:r>
              <w:rPr>
                <w:lang w:eastAsia="en-US"/>
              </w:rPr>
              <w:t>Patient 2</w:t>
            </w:r>
          </w:p>
          <w:p w:rsidR="001A6FF0" w:rsidRDefault="001A6FF0" w:rsidP="005C6842">
            <w:pPr>
              <w:pStyle w:val="Tabletext1"/>
              <w:keepNext/>
              <w:rPr>
                <w:lang w:eastAsia="en-US"/>
              </w:rPr>
            </w:pPr>
            <w:r>
              <w:rPr>
                <w:lang w:eastAsia="en-US"/>
              </w:rPr>
              <w:t>Patient 4</w:t>
            </w:r>
          </w:p>
        </w:tc>
        <w:tc>
          <w:tcPr>
            <w:tcW w:w="983" w:type="pct"/>
          </w:tcPr>
          <w:p w:rsidR="001A6FF0" w:rsidRDefault="001A6FF0" w:rsidP="005C6842">
            <w:pPr>
              <w:pStyle w:val="Tabletext1"/>
              <w:keepNext/>
              <w:rPr>
                <w:lang w:eastAsia="en-US"/>
              </w:rPr>
            </w:pPr>
            <w:r>
              <w:rPr>
                <w:lang w:eastAsia="en-US"/>
              </w:rPr>
              <w:t>4.4</w:t>
            </w:r>
          </w:p>
          <w:p w:rsidR="001A6FF0" w:rsidRDefault="001A6FF0" w:rsidP="005C6842">
            <w:pPr>
              <w:pStyle w:val="Tabletext1"/>
              <w:keepNext/>
              <w:rPr>
                <w:lang w:eastAsia="en-US"/>
              </w:rPr>
            </w:pPr>
            <w:r>
              <w:rPr>
                <w:lang w:eastAsia="en-US"/>
              </w:rPr>
              <w:t>5.1</w:t>
            </w:r>
          </w:p>
          <w:p w:rsidR="001A6FF0" w:rsidRPr="00383828" w:rsidRDefault="001A6FF0" w:rsidP="005C6842">
            <w:pPr>
              <w:pStyle w:val="Tabletext1"/>
              <w:keepNext/>
              <w:rPr>
                <w:lang w:eastAsia="en-US"/>
              </w:rPr>
            </w:pPr>
            <w:r>
              <w:rPr>
                <w:lang w:eastAsia="en-US"/>
              </w:rPr>
              <w:t>6.2</w:t>
            </w:r>
          </w:p>
        </w:tc>
        <w:tc>
          <w:tcPr>
            <w:tcW w:w="983" w:type="pct"/>
          </w:tcPr>
          <w:p w:rsidR="001A6FF0" w:rsidRDefault="001A6FF0" w:rsidP="005C6842">
            <w:pPr>
              <w:pStyle w:val="Tabletext1"/>
              <w:keepNext/>
              <w:rPr>
                <w:lang w:eastAsia="en-US"/>
              </w:rPr>
            </w:pPr>
            <w:r>
              <w:rPr>
                <w:lang w:eastAsia="en-US"/>
              </w:rPr>
              <w:t>3.94</w:t>
            </w:r>
          </w:p>
          <w:p w:rsidR="001A6FF0" w:rsidRDefault="001A6FF0" w:rsidP="005C6842">
            <w:pPr>
              <w:pStyle w:val="Tabletext1"/>
              <w:keepNext/>
              <w:rPr>
                <w:lang w:eastAsia="en-US"/>
              </w:rPr>
            </w:pPr>
            <w:r>
              <w:rPr>
                <w:lang w:eastAsia="en-US"/>
              </w:rPr>
              <w:t>4.13</w:t>
            </w:r>
          </w:p>
          <w:p w:rsidR="001A6FF0" w:rsidRPr="00383828" w:rsidRDefault="001A6FF0" w:rsidP="005C6842">
            <w:pPr>
              <w:pStyle w:val="Tabletext1"/>
              <w:keepNext/>
              <w:rPr>
                <w:lang w:eastAsia="en-US"/>
              </w:rPr>
            </w:pPr>
            <w:r>
              <w:rPr>
                <w:lang w:eastAsia="en-US"/>
              </w:rPr>
              <w:t>3.2</w:t>
            </w:r>
          </w:p>
        </w:tc>
        <w:tc>
          <w:tcPr>
            <w:tcW w:w="983" w:type="pct"/>
          </w:tcPr>
          <w:p w:rsidR="001A6FF0" w:rsidRDefault="001A6FF0" w:rsidP="005C6842">
            <w:pPr>
              <w:pStyle w:val="Tabletext1"/>
              <w:keepNext/>
              <w:rPr>
                <w:lang w:eastAsia="en-US"/>
              </w:rPr>
            </w:pPr>
            <w:r>
              <w:rPr>
                <w:lang w:eastAsia="en-US"/>
              </w:rPr>
              <w:t>-0.46</w:t>
            </w:r>
          </w:p>
          <w:p w:rsidR="001A6FF0" w:rsidRDefault="001A6FF0" w:rsidP="005C6842">
            <w:pPr>
              <w:pStyle w:val="Tabletext1"/>
              <w:keepNext/>
              <w:rPr>
                <w:lang w:eastAsia="en-US"/>
              </w:rPr>
            </w:pPr>
            <w:r>
              <w:rPr>
                <w:lang w:eastAsia="en-US"/>
              </w:rPr>
              <w:t>-0.97</w:t>
            </w:r>
          </w:p>
          <w:p w:rsidR="001A6FF0" w:rsidRPr="00383828" w:rsidRDefault="001A6FF0" w:rsidP="005C6842">
            <w:pPr>
              <w:pStyle w:val="Tabletext1"/>
              <w:keepNext/>
              <w:rPr>
                <w:lang w:eastAsia="en-US"/>
              </w:rPr>
            </w:pPr>
            <w:r>
              <w:rPr>
                <w:lang w:eastAsia="en-US"/>
              </w:rPr>
              <w:t>-3.0</w:t>
            </w:r>
          </w:p>
        </w:tc>
      </w:tr>
      <w:tr w:rsidR="001A6FF0" w:rsidRPr="00383828" w:rsidTr="008023D1">
        <w:trPr>
          <w:trHeight w:val="707"/>
        </w:trPr>
        <w:tc>
          <w:tcPr>
            <w:tcW w:w="1068" w:type="pct"/>
            <w:tcBorders>
              <w:right w:val="single" w:sz="4" w:space="0" w:color="auto"/>
            </w:tcBorders>
          </w:tcPr>
          <w:p w:rsidR="001A6FF0" w:rsidRPr="00D613B7" w:rsidRDefault="001A6FF0" w:rsidP="005C6842">
            <w:pPr>
              <w:pStyle w:val="Tabletext1"/>
              <w:keepNext/>
              <w:rPr>
                <w:lang w:eastAsia="en-US"/>
              </w:rPr>
            </w:pPr>
            <w:r>
              <w:rPr>
                <w:lang w:eastAsia="en-US"/>
              </w:rPr>
              <w:t>van Capelle et al (2010)</w:t>
            </w:r>
          </w:p>
          <w:p w:rsidR="001A6FF0" w:rsidRPr="00D613B7" w:rsidRDefault="001A6FF0" w:rsidP="005C6842">
            <w:pPr>
              <w:pStyle w:val="Tabletext1"/>
              <w:keepNext/>
              <w:rPr>
                <w:lang w:eastAsia="en-US"/>
              </w:rPr>
            </w:pPr>
            <w:r w:rsidRPr="00D613B7">
              <w:rPr>
                <w:lang w:eastAsia="en-US"/>
              </w:rPr>
              <w:t>10-metre running (sec)</w:t>
            </w:r>
            <w:r w:rsidRPr="00D613B7">
              <w:rPr>
                <w:vertAlign w:val="superscript"/>
                <w:lang w:eastAsia="en-US"/>
              </w:rPr>
              <w:t>b</w:t>
            </w:r>
            <w:r w:rsidRPr="00D613B7">
              <w:rPr>
                <w:lang w:eastAsia="en-US"/>
              </w:rPr>
              <w:t xml:space="preserve"> </w:t>
            </w:r>
          </w:p>
        </w:tc>
        <w:tc>
          <w:tcPr>
            <w:tcW w:w="983" w:type="pct"/>
            <w:tcBorders>
              <w:left w:val="single" w:sz="4" w:space="0" w:color="auto"/>
              <w:right w:val="single" w:sz="4" w:space="0" w:color="auto"/>
            </w:tcBorders>
          </w:tcPr>
          <w:p w:rsidR="001A6FF0" w:rsidRDefault="001A6FF0" w:rsidP="005C6842">
            <w:pPr>
              <w:pStyle w:val="Tabletext1"/>
              <w:keepNext/>
              <w:rPr>
                <w:lang w:eastAsia="en-US"/>
              </w:rPr>
            </w:pPr>
            <w:r>
              <w:rPr>
                <w:lang w:eastAsia="en-US"/>
              </w:rPr>
              <w:t>Patient 1</w:t>
            </w:r>
          </w:p>
          <w:p w:rsidR="001A6FF0" w:rsidRDefault="001A6FF0" w:rsidP="005C6842">
            <w:pPr>
              <w:pStyle w:val="Tabletext1"/>
              <w:keepNext/>
              <w:rPr>
                <w:lang w:eastAsia="en-US"/>
              </w:rPr>
            </w:pPr>
            <w:r>
              <w:rPr>
                <w:lang w:eastAsia="en-US"/>
              </w:rPr>
              <w:t>Patient 2</w:t>
            </w:r>
          </w:p>
          <w:p w:rsidR="001A6FF0" w:rsidRDefault="001A6FF0" w:rsidP="005C6842">
            <w:pPr>
              <w:pStyle w:val="Tabletext1"/>
              <w:keepNext/>
              <w:rPr>
                <w:lang w:eastAsia="en-US"/>
              </w:rPr>
            </w:pPr>
            <w:r>
              <w:rPr>
                <w:lang w:eastAsia="en-US"/>
              </w:rPr>
              <w:t>Patient 4</w:t>
            </w:r>
          </w:p>
        </w:tc>
        <w:tc>
          <w:tcPr>
            <w:tcW w:w="983" w:type="pct"/>
          </w:tcPr>
          <w:p w:rsidR="001A6FF0" w:rsidRDefault="001A6FF0" w:rsidP="005C6842">
            <w:pPr>
              <w:pStyle w:val="Tabletext1"/>
              <w:keepNext/>
              <w:rPr>
                <w:lang w:eastAsia="en-US"/>
              </w:rPr>
            </w:pPr>
            <w:r>
              <w:rPr>
                <w:lang w:eastAsia="en-US"/>
              </w:rPr>
              <w:t>4.1</w:t>
            </w:r>
          </w:p>
          <w:p w:rsidR="001A6FF0" w:rsidRDefault="001A6FF0" w:rsidP="005C6842">
            <w:pPr>
              <w:pStyle w:val="Tabletext1"/>
              <w:keepNext/>
              <w:rPr>
                <w:lang w:eastAsia="en-US"/>
              </w:rPr>
            </w:pPr>
            <w:r>
              <w:rPr>
                <w:lang w:eastAsia="en-US"/>
              </w:rPr>
              <w:t>4.2</w:t>
            </w:r>
          </w:p>
          <w:p w:rsidR="001A6FF0" w:rsidRPr="00383828" w:rsidRDefault="001A6FF0" w:rsidP="005C6842">
            <w:pPr>
              <w:pStyle w:val="Tabletext1"/>
              <w:keepNext/>
              <w:rPr>
                <w:lang w:eastAsia="en-US"/>
              </w:rPr>
            </w:pPr>
            <w:r>
              <w:rPr>
                <w:lang w:eastAsia="en-US"/>
              </w:rPr>
              <w:t>4.5</w:t>
            </w:r>
          </w:p>
        </w:tc>
        <w:tc>
          <w:tcPr>
            <w:tcW w:w="983" w:type="pct"/>
          </w:tcPr>
          <w:p w:rsidR="001A6FF0" w:rsidRDefault="001A6FF0" w:rsidP="005C6842">
            <w:pPr>
              <w:pStyle w:val="Tabletext1"/>
              <w:keepNext/>
              <w:rPr>
                <w:lang w:eastAsia="en-US"/>
              </w:rPr>
            </w:pPr>
            <w:r>
              <w:rPr>
                <w:lang w:eastAsia="en-US"/>
              </w:rPr>
              <w:t>4.0</w:t>
            </w:r>
          </w:p>
          <w:p w:rsidR="001A6FF0" w:rsidRDefault="001A6FF0" w:rsidP="005C6842">
            <w:pPr>
              <w:pStyle w:val="Tabletext1"/>
              <w:keepNext/>
              <w:rPr>
                <w:lang w:eastAsia="en-US"/>
              </w:rPr>
            </w:pPr>
            <w:r>
              <w:rPr>
                <w:lang w:eastAsia="en-US"/>
              </w:rPr>
              <w:t>4.0</w:t>
            </w:r>
          </w:p>
          <w:p w:rsidR="001A6FF0" w:rsidRPr="00383828" w:rsidRDefault="001A6FF0" w:rsidP="005C6842">
            <w:pPr>
              <w:pStyle w:val="Tabletext1"/>
              <w:keepNext/>
              <w:rPr>
                <w:lang w:eastAsia="en-US"/>
              </w:rPr>
            </w:pPr>
            <w:r>
              <w:rPr>
                <w:lang w:eastAsia="en-US"/>
              </w:rPr>
              <w:t>3.8</w:t>
            </w:r>
          </w:p>
        </w:tc>
        <w:tc>
          <w:tcPr>
            <w:tcW w:w="983" w:type="pct"/>
          </w:tcPr>
          <w:p w:rsidR="001A6FF0" w:rsidRDefault="001A6FF0" w:rsidP="005C6842">
            <w:pPr>
              <w:pStyle w:val="Tabletext1"/>
              <w:keepNext/>
              <w:rPr>
                <w:lang w:eastAsia="en-US"/>
              </w:rPr>
            </w:pPr>
            <w:r>
              <w:rPr>
                <w:lang w:eastAsia="en-US"/>
              </w:rPr>
              <w:t>-0.1</w:t>
            </w:r>
          </w:p>
          <w:p w:rsidR="001A6FF0" w:rsidRDefault="001A6FF0" w:rsidP="005C6842">
            <w:pPr>
              <w:pStyle w:val="Tabletext1"/>
              <w:keepNext/>
              <w:rPr>
                <w:lang w:eastAsia="en-US"/>
              </w:rPr>
            </w:pPr>
            <w:r>
              <w:rPr>
                <w:lang w:eastAsia="en-US"/>
              </w:rPr>
              <w:t>-0.2</w:t>
            </w:r>
          </w:p>
          <w:p w:rsidR="001A6FF0" w:rsidRPr="00383828" w:rsidRDefault="001A6FF0" w:rsidP="005C6842">
            <w:pPr>
              <w:pStyle w:val="Tabletext1"/>
              <w:keepNext/>
              <w:rPr>
                <w:lang w:eastAsia="en-US"/>
              </w:rPr>
            </w:pPr>
            <w:r>
              <w:rPr>
                <w:lang w:eastAsia="en-US"/>
              </w:rPr>
              <w:t>-0.7</w:t>
            </w:r>
          </w:p>
        </w:tc>
      </w:tr>
      <w:tr w:rsidR="001A6FF0" w:rsidRPr="00383828" w:rsidTr="008023D1">
        <w:trPr>
          <w:trHeight w:val="950"/>
        </w:trPr>
        <w:tc>
          <w:tcPr>
            <w:tcW w:w="1068" w:type="pct"/>
            <w:tcBorders>
              <w:bottom w:val="single" w:sz="4" w:space="0" w:color="000000"/>
              <w:right w:val="single" w:sz="4" w:space="0" w:color="auto"/>
            </w:tcBorders>
          </w:tcPr>
          <w:p w:rsidR="001A6FF0" w:rsidRPr="00D613B7" w:rsidRDefault="001A6FF0" w:rsidP="005C6842">
            <w:pPr>
              <w:pStyle w:val="Tabletext1"/>
              <w:keepNext/>
              <w:rPr>
                <w:lang w:eastAsia="en-US"/>
              </w:rPr>
            </w:pPr>
            <w:r>
              <w:rPr>
                <w:lang w:eastAsia="en-US"/>
              </w:rPr>
              <w:t>van Capelle et al (2010)</w:t>
            </w:r>
          </w:p>
          <w:p w:rsidR="001A6FF0" w:rsidRPr="00D613B7" w:rsidRDefault="001A6FF0" w:rsidP="005C6842">
            <w:pPr>
              <w:pStyle w:val="Tabletext1"/>
              <w:keepNext/>
              <w:rPr>
                <w:lang w:eastAsia="en-US"/>
              </w:rPr>
            </w:pPr>
            <w:r w:rsidRPr="00D613B7">
              <w:rPr>
                <w:lang w:eastAsia="en-US"/>
              </w:rPr>
              <w:t>QMFT</w:t>
            </w:r>
          </w:p>
        </w:tc>
        <w:tc>
          <w:tcPr>
            <w:tcW w:w="983" w:type="pct"/>
            <w:tcBorders>
              <w:left w:val="single" w:sz="4" w:space="0" w:color="auto"/>
              <w:bottom w:val="single" w:sz="4" w:space="0" w:color="000000"/>
              <w:right w:val="single" w:sz="4" w:space="0" w:color="auto"/>
            </w:tcBorders>
          </w:tcPr>
          <w:p w:rsidR="001A6FF0" w:rsidRDefault="001A6FF0" w:rsidP="005C6842">
            <w:pPr>
              <w:pStyle w:val="Tabletext1"/>
              <w:keepNext/>
              <w:rPr>
                <w:lang w:eastAsia="en-US"/>
              </w:rPr>
            </w:pPr>
            <w:r>
              <w:rPr>
                <w:lang w:eastAsia="en-US"/>
              </w:rPr>
              <w:t>Patient 1</w:t>
            </w:r>
          </w:p>
          <w:p w:rsidR="001A6FF0" w:rsidRDefault="001A6FF0" w:rsidP="005C6842">
            <w:pPr>
              <w:pStyle w:val="Tabletext1"/>
              <w:keepNext/>
              <w:rPr>
                <w:lang w:eastAsia="en-US"/>
              </w:rPr>
            </w:pPr>
            <w:r>
              <w:rPr>
                <w:lang w:eastAsia="en-US"/>
              </w:rPr>
              <w:t>Patient 2</w:t>
            </w:r>
          </w:p>
          <w:p w:rsidR="001A6FF0" w:rsidRDefault="001A6FF0" w:rsidP="005C6842">
            <w:pPr>
              <w:pStyle w:val="Tabletext1"/>
              <w:keepNext/>
              <w:rPr>
                <w:lang w:eastAsia="en-US"/>
              </w:rPr>
            </w:pPr>
            <w:r>
              <w:rPr>
                <w:lang w:eastAsia="en-US"/>
              </w:rPr>
              <w:t>Patient 4</w:t>
            </w:r>
          </w:p>
        </w:tc>
        <w:tc>
          <w:tcPr>
            <w:tcW w:w="983" w:type="pct"/>
            <w:tcBorders>
              <w:bottom w:val="single" w:sz="4" w:space="0" w:color="000000"/>
            </w:tcBorders>
          </w:tcPr>
          <w:p w:rsidR="001A6FF0" w:rsidRDefault="001A6FF0" w:rsidP="005C6842">
            <w:pPr>
              <w:pStyle w:val="Tabletext1"/>
              <w:keepNext/>
              <w:rPr>
                <w:lang w:eastAsia="en-US"/>
              </w:rPr>
            </w:pPr>
            <w:r>
              <w:rPr>
                <w:lang w:eastAsia="en-US"/>
              </w:rPr>
              <w:t>70.3</w:t>
            </w:r>
          </w:p>
          <w:p w:rsidR="001A6FF0" w:rsidRDefault="001A6FF0" w:rsidP="005C6842">
            <w:pPr>
              <w:pStyle w:val="Tabletext1"/>
              <w:keepNext/>
              <w:rPr>
                <w:lang w:eastAsia="en-US"/>
              </w:rPr>
            </w:pPr>
            <w:r>
              <w:rPr>
                <w:lang w:eastAsia="en-US"/>
              </w:rPr>
              <w:t>73.4</w:t>
            </w:r>
          </w:p>
          <w:p w:rsidR="001A6FF0" w:rsidRDefault="001A6FF0" w:rsidP="005C6842">
            <w:pPr>
              <w:pStyle w:val="Tabletext1"/>
              <w:keepNext/>
              <w:rPr>
                <w:lang w:eastAsia="en-US"/>
              </w:rPr>
            </w:pPr>
            <w:r>
              <w:rPr>
                <w:lang w:eastAsia="en-US"/>
              </w:rPr>
              <w:t>67.2</w:t>
            </w:r>
          </w:p>
        </w:tc>
        <w:tc>
          <w:tcPr>
            <w:tcW w:w="983" w:type="pct"/>
            <w:tcBorders>
              <w:bottom w:val="single" w:sz="4" w:space="0" w:color="000000"/>
            </w:tcBorders>
          </w:tcPr>
          <w:p w:rsidR="001A6FF0" w:rsidRDefault="001A6FF0" w:rsidP="005C6842">
            <w:pPr>
              <w:pStyle w:val="Tabletext1"/>
              <w:keepNext/>
              <w:rPr>
                <w:lang w:eastAsia="en-US"/>
              </w:rPr>
            </w:pPr>
            <w:r>
              <w:rPr>
                <w:lang w:eastAsia="en-US"/>
              </w:rPr>
              <w:t>95.3</w:t>
            </w:r>
          </w:p>
          <w:p w:rsidR="001A6FF0" w:rsidRDefault="001A6FF0" w:rsidP="005C6842">
            <w:pPr>
              <w:pStyle w:val="Tabletext1"/>
              <w:keepNext/>
              <w:rPr>
                <w:lang w:eastAsia="en-US"/>
              </w:rPr>
            </w:pPr>
            <w:r>
              <w:rPr>
                <w:lang w:eastAsia="en-US"/>
              </w:rPr>
              <w:t>92.2</w:t>
            </w:r>
          </w:p>
          <w:p w:rsidR="001A6FF0" w:rsidRDefault="001A6FF0" w:rsidP="005C6842">
            <w:pPr>
              <w:pStyle w:val="Tabletext1"/>
              <w:keepNext/>
              <w:rPr>
                <w:lang w:eastAsia="en-US"/>
              </w:rPr>
            </w:pPr>
            <w:r>
              <w:rPr>
                <w:lang w:eastAsia="en-US"/>
              </w:rPr>
              <w:t>92.2</w:t>
            </w:r>
          </w:p>
        </w:tc>
        <w:tc>
          <w:tcPr>
            <w:tcW w:w="983" w:type="pct"/>
            <w:tcBorders>
              <w:bottom w:val="single" w:sz="4" w:space="0" w:color="000000"/>
            </w:tcBorders>
          </w:tcPr>
          <w:p w:rsidR="001A6FF0" w:rsidRDefault="001A6FF0" w:rsidP="005C6842">
            <w:pPr>
              <w:pStyle w:val="Tabletext1"/>
              <w:keepNext/>
              <w:rPr>
                <w:lang w:eastAsia="en-US"/>
              </w:rPr>
            </w:pPr>
            <w:r>
              <w:rPr>
                <w:lang w:eastAsia="en-US"/>
              </w:rPr>
              <w:t>25</w:t>
            </w:r>
          </w:p>
          <w:p w:rsidR="001A6FF0" w:rsidRDefault="001A6FF0" w:rsidP="005C6842">
            <w:pPr>
              <w:pStyle w:val="Tabletext1"/>
              <w:keepNext/>
              <w:rPr>
                <w:lang w:eastAsia="en-US"/>
              </w:rPr>
            </w:pPr>
            <w:r>
              <w:rPr>
                <w:lang w:eastAsia="en-US"/>
              </w:rPr>
              <w:t>18.8</w:t>
            </w:r>
          </w:p>
          <w:p w:rsidR="001A6FF0" w:rsidRDefault="001A6FF0" w:rsidP="005C6842">
            <w:pPr>
              <w:pStyle w:val="Tabletext1"/>
              <w:keepNext/>
              <w:rPr>
                <w:lang w:eastAsia="en-US"/>
              </w:rPr>
            </w:pPr>
            <w:r>
              <w:rPr>
                <w:lang w:eastAsia="en-US"/>
              </w:rPr>
              <w:t>25</w:t>
            </w:r>
          </w:p>
        </w:tc>
      </w:tr>
    </w:tbl>
    <w:p w:rsidR="001A6FF0" w:rsidRDefault="001A6FF0" w:rsidP="001A6FF0">
      <w:pPr>
        <w:pStyle w:val="TableNote"/>
        <w:rPr>
          <w:lang w:eastAsia="en-US"/>
        </w:rPr>
      </w:pPr>
      <w:proofErr w:type="gramStart"/>
      <w:r w:rsidRPr="0008480C">
        <w:rPr>
          <w:vertAlign w:val="superscript"/>
          <w:lang w:eastAsia="en-US"/>
        </w:rPr>
        <w:t>a</w:t>
      </w:r>
      <w:proofErr w:type="gramEnd"/>
      <w:r w:rsidR="0025188D">
        <w:rPr>
          <w:vertAlign w:val="superscript"/>
          <w:lang w:eastAsia="en-US"/>
        </w:rPr>
        <w:t xml:space="preserve"> </w:t>
      </w:r>
      <w:r w:rsidR="0025188D">
        <w:rPr>
          <w:lang w:eastAsia="en-US"/>
        </w:rPr>
        <w:t>T</w:t>
      </w:r>
      <w:r>
        <w:rPr>
          <w:lang w:eastAsia="en-US"/>
        </w:rPr>
        <w:t>ime taken to rise from a supine position to standing position</w:t>
      </w:r>
    </w:p>
    <w:p w:rsidR="001A6FF0" w:rsidRDefault="001A6FF0" w:rsidP="001A6FF0">
      <w:pPr>
        <w:pStyle w:val="TableNote"/>
        <w:rPr>
          <w:lang w:eastAsia="en-US"/>
        </w:rPr>
      </w:pPr>
      <w:proofErr w:type="gramStart"/>
      <w:r>
        <w:rPr>
          <w:vertAlign w:val="superscript"/>
          <w:lang w:eastAsia="en-US"/>
        </w:rPr>
        <w:t>b</w:t>
      </w:r>
      <w:proofErr w:type="gramEnd"/>
      <w:r w:rsidR="0025188D">
        <w:rPr>
          <w:vertAlign w:val="superscript"/>
          <w:lang w:eastAsia="en-US"/>
        </w:rPr>
        <w:t xml:space="preserve"> </w:t>
      </w:r>
      <w:r>
        <w:rPr>
          <w:lang w:eastAsia="en-US"/>
        </w:rPr>
        <w:t>10 metre running time</w:t>
      </w:r>
    </w:p>
    <w:p w:rsidR="001A6FF0" w:rsidRPr="00B564EC" w:rsidRDefault="001A6FF0" w:rsidP="001A6FF0">
      <w:pPr>
        <w:pStyle w:val="TableNote"/>
        <w:rPr>
          <w:lang w:eastAsia="en-US"/>
        </w:rPr>
      </w:pPr>
      <w:r>
        <w:rPr>
          <w:vertAlign w:val="superscript"/>
          <w:lang w:eastAsia="en-US"/>
        </w:rPr>
        <w:t>c</w:t>
      </w:r>
      <w:r w:rsidR="0025188D">
        <w:rPr>
          <w:vertAlign w:val="superscript"/>
          <w:lang w:eastAsia="en-US"/>
        </w:rPr>
        <w:t xml:space="preserve"> </w:t>
      </w:r>
      <w:r>
        <w:rPr>
          <w:lang w:eastAsia="en-US"/>
        </w:rPr>
        <w:t>QMFT = quick motor function test, % of maximum possible (i.e. 0 to 100%), covering: raising the torso, neck flexion, hand across midline, hip and knee flexion, extending the legs, sit up, extending the arms, standing from a chair, standing up from half knee, squatting, standing up from squatting, picking up an object, standing on one leg, walking in ten metres, jumping, and walking up steps.</w:t>
      </w:r>
    </w:p>
    <w:p w:rsidR="001A6FF0" w:rsidRDefault="001A6FF0" w:rsidP="001A6FF0"/>
    <w:p w:rsidR="001A6FF0" w:rsidRPr="009366A5" w:rsidRDefault="001A6FF0" w:rsidP="001A6FF0">
      <w:pPr>
        <w:rPr>
          <w:rFonts w:ascii="Tahoma" w:hAnsi="Tahoma" w:cs="Tahoma"/>
          <w:sz w:val="22"/>
          <w:szCs w:val="22"/>
        </w:rPr>
      </w:pPr>
      <w:r w:rsidRPr="00692D9A">
        <w:lastRenderedPageBreak/>
        <w:t>A single case series of 5 severe PD patients (including two with JOPD</w:t>
      </w:r>
      <w:r w:rsidR="00605982">
        <w:t>, treated at ages 28 and 40</w:t>
      </w:r>
      <w:r w:rsidRPr="00692D9A">
        <w:t>) assessed muscle functioning on the mot</w:t>
      </w:r>
      <w:r>
        <w:t xml:space="preserve">or function measure (MFM) scale </w:t>
      </w:r>
      <w:r w:rsidR="003303FE">
        <w:rPr>
          <w:noProof/>
        </w:rPr>
        <w:t>(</w:t>
      </w:r>
      <w:r w:rsidR="00184B6F">
        <w:rPr>
          <w:noProof/>
        </w:rPr>
        <w:t>Orlikowski et al. 2011</w:t>
      </w:r>
      <w:r w:rsidR="003303FE">
        <w:rPr>
          <w:noProof/>
        </w:rPr>
        <w:t>)</w:t>
      </w:r>
      <w:r>
        <w:t xml:space="preserve">. Both JOPD patients required invasive ventilation 24 hours a day. Patient 5, who was bed-ridden at baseline, was able to sit in his wheelchair at follow-up, although the MFM scale detected no improvements for this patient. Patient 1 experienced only minor improvements. </w:t>
      </w:r>
    </w:p>
    <w:p w:rsidR="001A6FF0" w:rsidRDefault="001A6FF0" w:rsidP="00F71730">
      <w:pPr>
        <w:pStyle w:val="Figureheading0"/>
        <w:ind w:left="1418" w:hanging="1418"/>
      </w:pPr>
      <w:bookmarkStart w:id="356" w:name="_Toc411509183"/>
      <w:bookmarkStart w:id="357" w:name="_Toc415141883"/>
      <w:r>
        <w:t xml:space="preserve">Table </w:t>
      </w:r>
      <w:r w:rsidR="00A72B26">
        <w:rPr>
          <w:noProof/>
        </w:rPr>
        <w:t>86</w:t>
      </w:r>
      <w:r>
        <w:tab/>
        <w:t>Motor function measure scale</w:t>
      </w:r>
      <w:r w:rsidR="00DF5C70" w:rsidRPr="00DF5C70">
        <w:t xml:space="preserve"> </w:t>
      </w:r>
      <w:r w:rsidR="00DF5C70">
        <w:t>before and after alglucosidase alfa in patients with JOPD</w:t>
      </w:r>
      <w:bookmarkEnd w:id="356"/>
      <w:bookmarkEnd w:id="357"/>
    </w:p>
    <w:tbl>
      <w:tblPr>
        <w:tblStyle w:val="TableGrid"/>
        <w:tblW w:w="5000" w:type="pct"/>
        <w:tblLook w:val="04A0" w:firstRow="1" w:lastRow="0" w:firstColumn="1" w:lastColumn="0" w:noHBand="0" w:noVBand="1"/>
        <w:tblCaption w:val="Motor function measure before and after alglucosidase alfa for JOPD"/>
      </w:tblPr>
      <w:tblGrid>
        <w:gridCol w:w="2297"/>
        <w:gridCol w:w="1389"/>
        <w:gridCol w:w="1388"/>
        <w:gridCol w:w="1390"/>
        <w:gridCol w:w="1388"/>
        <w:gridCol w:w="1390"/>
      </w:tblGrid>
      <w:tr w:rsidR="001A6FF0" w:rsidRPr="008F5C81" w:rsidTr="009A0365">
        <w:trPr>
          <w:tblHeader/>
        </w:trPr>
        <w:tc>
          <w:tcPr>
            <w:tcW w:w="1242" w:type="pct"/>
          </w:tcPr>
          <w:p w:rsidR="001A6FF0" w:rsidRDefault="001A6FF0" w:rsidP="00BC2239">
            <w:pPr>
              <w:pStyle w:val="Tabletext1"/>
              <w:rPr>
                <w:b/>
                <w:lang w:eastAsia="en-US"/>
              </w:rPr>
            </w:pPr>
            <w:r>
              <w:rPr>
                <w:b/>
                <w:lang w:eastAsia="en-US"/>
              </w:rPr>
              <w:t>Study</w:t>
            </w:r>
          </w:p>
          <w:p w:rsidR="001A6FF0" w:rsidRPr="008F5C81" w:rsidRDefault="001A6FF0" w:rsidP="00BC2239">
            <w:pPr>
              <w:pStyle w:val="Tabletext1"/>
              <w:rPr>
                <w:b/>
                <w:lang w:eastAsia="en-US"/>
              </w:rPr>
            </w:pPr>
            <w:r>
              <w:rPr>
                <w:b/>
                <w:lang w:eastAsia="en-US"/>
              </w:rPr>
              <w:t>Measure</w:t>
            </w:r>
          </w:p>
        </w:tc>
        <w:tc>
          <w:tcPr>
            <w:tcW w:w="751" w:type="pct"/>
          </w:tcPr>
          <w:p w:rsidR="001A6FF0" w:rsidRPr="008F5C81" w:rsidRDefault="001A6FF0" w:rsidP="00BC2239">
            <w:pPr>
              <w:pStyle w:val="Tabletext1"/>
              <w:rPr>
                <w:b/>
                <w:lang w:eastAsia="en-US"/>
              </w:rPr>
            </w:pPr>
            <w:r>
              <w:rPr>
                <w:b/>
                <w:lang w:eastAsia="en-US"/>
              </w:rPr>
              <w:t>Patient</w:t>
            </w:r>
          </w:p>
        </w:tc>
        <w:tc>
          <w:tcPr>
            <w:tcW w:w="751" w:type="pct"/>
          </w:tcPr>
          <w:p w:rsidR="001A6FF0" w:rsidRPr="008F5C81" w:rsidRDefault="001A6FF0" w:rsidP="00BC2239">
            <w:pPr>
              <w:pStyle w:val="Tabletext1"/>
              <w:rPr>
                <w:b/>
                <w:lang w:eastAsia="en-US"/>
              </w:rPr>
            </w:pPr>
            <w:r w:rsidRPr="008F5C81">
              <w:rPr>
                <w:b/>
                <w:lang w:eastAsia="en-US"/>
              </w:rPr>
              <w:t>Baseline</w:t>
            </w:r>
          </w:p>
        </w:tc>
        <w:tc>
          <w:tcPr>
            <w:tcW w:w="752" w:type="pct"/>
          </w:tcPr>
          <w:p w:rsidR="001A6FF0" w:rsidRDefault="001A6FF0" w:rsidP="00BC2239">
            <w:pPr>
              <w:pStyle w:val="Tabletext1"/>
              <w:rPr>
                <w:b/>
                <w:lang w:eastAsia="en-US"/>
              </w:rPr>
            </w:pPr>
            <w:r>
              <w:rPr>
                <w:b/>
                <w:lang w:eastAsia="en-US"/>
              </w:rPr>
              <w:t>Follow-up length</w:t>
            </w:r>
          </w:p>
        </w:tc>
        <w:tc>
          <w:tcPr>
            <w:tcW w:w="751" w:type="pct"/>
          </w:tcPr>
          <w:p w:rsidR="001A6FF0" w:rsidRPr="008F5C81" w:rsidRDefault="001A6FF0" w:rsidP="00BC2239">
            <w:pPr>
              <w:pStyle w:val="Tabletext1"/>
              <w:rPr>
                <w:b/>
                <w:lang w:eastAsia="en-US"/>
              </w:rPr>
            </w:pPr>
            <w:r>
              <w:rPr>
                <w:b/>
                <w:lang w:eastAsia="en-US"/>
              </w:rPr>
              <w:t>Follow-up</w:t>
            </w:r>
          </w:p>
        </w:tc>
        <w:tc>
          <w:tcPr>
            <w:tcW w:w="752" w:type="pct"/>
          </w:tcPr>
          <w:p w:rsidR="001A6FF0" w:rsidRDefault="001A6FF0" w:rsidP="00BC2239">
            <w:pPr>
              <w:pStyle w:val="Tabletext1"/>
              <w:rPr>
                <w:b/>
                <w:lang w:eastAsia="en-US"/>
              </w:rPr>
            </w:pPr>
            <w:r>
              <w:rPr>
                <w:b/>
                <w:lang w:eastAsia="en-US"/>
              </w:rPr>
              <w:t>% Change</w:t>
            </w:r>
          </w:p>
        </w:tc>
      </w:tr>
      <w:tr w:rsidR="001A6FF0" w:rsidRPr="00F53467" w:rsidTr="008023D1">
        <w:tc>
          <w:tcPr>
            <w:tcW w:w="1242" w:type="pct"/>
          </w:tcPr>
          <w:p w:rsidR="001A6FF0" w:rsidRDefault="001A6FF0" w:rsidP="00BC2239">
            <w:pPr>
              <w:pStyle w:val="Tabletext1"/>
              <w:rPr>
                <w:lang w:eastAsia="en-US"/>
              </w:rPr>
            </w:pPr>
            <w:r>
              <w:rPr>
                <w:lang w:eastAsia="en-US"/>
              </w:rPr>
              <w:t>Orlikowski et al (2011) MFM scale, standing and transfers</w:t>
            </w:r>
          </w:p>
        </w:tc>
        <w:tc>
          <w:tcPr>
            <w:tcW w:w="751" w:type="pct"/>
          </w:tcPr>
          <w:p w:rsidR="001A6FF0" w:rsidRDefault="001A6FF0" w:rsidP="00BC2239">
            <w:pPr>
              <w:pStyle w:val="Tabletext1"/>
              <w:rPr>
                <w:lang w:eastAsia="en-US"/>
              </w:rPr>
            </w:pPr>
            <w:r>
              <w:rPr>
                <w:lang w:eastAsia="en-US"/>
              </w:rPr>
              <w:t>Patient 1</w:t>
            </w:r>
          </w:p>
          <w:p w:rsidR="001A6FF0" w:rsidRDefault="001A6FF0" w:rsidP="00BC2239">
            <w:pPr>
              <w:pStyle w:val="Tabletext1"/>
              <w:rPr>
                <w:lang w:eastAsia="en-US"/>
              </w:rPr>
            </w:pPr>
            <w:r>
              <w:rPr>
                <w:lang w:eastAsia="en-US"/>
              </w:rPr>
              <w:t>Patient 5</w:t>
            </w:r>
          </w:p>
        </w:tc>
        <w:tc>
          <w:tcPr>
            <w:tcW w:w="751" w:type="pct"/>
          </w:tcPr>
          <w:p w:rsidR="001A6FF0" w:rsidRDefault="001A6FF0" w:rsidP="00BC2239">
            <w:pPr>
              <w:pStyle w:val="Tabletext1"/>
              <w:rPr>
                <w:lang w:eastAsia="en-US"/>
              </w:rPr>
            </w:pPr>
            <w:r>
              <w:rPr>
                <w:lang w:eastAsia="en-US"/>
              </w:rPr>
              <w:t>0</w:t>
            </w:r>
          </w:p>
          <w:p w:rsidR="001A6FF0" w:rsidRDefault="001A6FF0" w:rsidP="00BC2239">
            <w:pPr>
              <w:pStyle w:val="Tabletext1"/>
              <w:rPr>
                <w:lang w:eastAsia="en-US"/>
              </w:rPr>
            </w:pPr>
            <w:r>
              <w:rPr>
                <w:lang w:eastAsia="en-US"/>
              </w:rPr>
              <w:t>0</w:t>
            </w:r>
          </w:p>
        </w:tc>
        <w:tc>
          <w:tcPr>
            <w:tcW w:w="752" w:type="pct"/>
          </w:tcPr>
          <w:p w:rsidR="001A6FF0" w:rsidRDefault="001A6FF0" w:rsidP="00BC2239">
            <w:pPr>
              <w:pStyle w:val="Tabletext1"/>
              <w:rPr>
                <w:lang w:eastAsia="en-US"/>
              </w:rPr>
            </w:pPr>
            <w:r>
              <w:rPr>
                <w:lang w:eastAsia="en-US"/>
              </w:rPr>
              <w:t>52 weeks</w:t>
            </w:r>
          </w:p>
          <w:p w:rsidR="001A6FF0" w:rsidRDefault="001A6FF0" w:rsidP="00BC2239">
            <w:pPr>
              <w:pStyle w:val="Tabletext1"/>
              <w:rPr>
                <w:lang w:eastAsia="en-US"/>
              </w:rPr>
            </w:pPr>
            <w:r>
              <w:rPr>
                <w:lang w:eastAsia="en-US"/>
              </w:rPr>
              <w:t>38 weeks</w:t>
            </w:r>
          </w:p>
        </w:tc>
        <w:tc>
          <w:tcPr>
            <w:tcW w:w="751" w:type="pct"/>
          </w:tcPr>
          <w:p w:rsidR="001A6FF0" w:rsidRDefault="001A6FF0" w:rsidP="00BC2239">
            <w:pPr>
              <w:pStyle w:val="Tabletext1"/>
              <w:rPr>
                <w:lang w:eastAsia="en-US"/>
              </w:rPr>
            </w:pPr>
            <w:r>
              <w:rPr>
                <w:lang w:eastAsia="en-US"/>
              </w:rPr>
              <w:t>3</w:t>
            </w:r>
          </w:p>
          <w:p w:rsidR="001A6FF0" w:rsidRDefault="001A6FF0" w:rsidP="00BC2239">
            <w:pPr>
              <w:pStyle w:val="Tabletext1"/>
              <w:rPr>
                <w:lang w:eastAsia="en-US"/>
              </w:rPr>
            </w:pPr>
            <w:r>
              <w:rPr>
                <w:lang w:eastAsia="en-US"/>
              </w:rPr>
              <w:t xml:space="preserve">0 </w:t>
            </w:r>
          </w:p>
        </w:tc>
        <w:tc>
          <w:tcPr>
            <w:tcW w:w="752" w:type="pct"/>
          </w:tcPr>
          <w:p w:rsidR="001A6FF0" w:rsidRDefault="001A6FF0" w:rsidP="00BC2239">
            <w:pPr>
              <w:pStyle w:val="Tabletext1"/>
              <w:rPr>
                <w:lang w:eastAsia="en-US"/>
              </w:rPr>
            </w:pPr>
            <w:r>
              <w:rPr>
                <w:lang w:eastAsia="en-US"/>
              </w:rPr>
              <w:t>3</w:t>
            </w:r>
          </w:p>
          <w:p w:rsidR="001A6FF0" w:rsidRDefault="001A6FF0" w:rsidP="00BC2239">
            <w:pPr>
              <w:pStyle w:val="Tabletext1"/>
              <w:rPr>
                <w:lang w:eastAsia="en-US"/>
              </w:rPr>
            </w:pPr>
            <w:r>
              <w:rPr>
                <w:lang w:eastAsia="en-US"/>
              </w:rPr>
              <w:t>0</w:t>
            </w:r>
          </w:p>
        </w:tc>
      </w:tr>
      <w:tr w:rsidR="001A6FF0" w:rsidRPr="00F53467" w:rsidTr="008023D1">
        <w:tc>
          <w:tcPr>
            <w:tcW w:w="1242" w:type="pct"/>
          </w:tcPr>
          <w:p w:rsidR="001A6FF0" w:rsidRDefault="001A6FF0" w:rsidP="00BC2239">
            <w:pPr>
              <w:pStyle w:val="Tabletext1"/>
              <w:rPr>
                <w:lang w:eastAsia="en-US"/>
              </w:rPr>
            </w:pPr>
            <w:r>
              <w:rPr>
                <w:lang w:eastAsia="en-US"/>
              </w:rPr>
              <w:t xml:space="preserve">Orlikowski et al (2011) </w:t>
            </w:r>
          </w:p>
          <w:p w:rsidR="001A6FF0" w:rsidRDefault="001A6FF0" w:rsidP="00BC2239">
            <w:pPr>
              <w:pStyle w:val="Tabletext1"/>
              <w:rPr>
                <w:lang w:eastAsia="en-US"/>
              </w:rPr>
            </w:pPr>
            <w:r>
              <w:rPr>
                <w:lang w:eastAsia="en-US"/>
              </w:rPr>
              <w:t>MFM scale, sitting and proximal</w:t>
            </w:r>
          </w:p>
        </w:tc>
        <w:tc>
          <w:tcPr>
            <w:tcW w:w="751" w:type="pct"/>
          </w:tcPr>
          <w:p w:rsidR="001A6FF0" w:rsidRDefault="001A6FF0" w:rsidP="00BC2239">
            <w:pPr>
              <w:pStyle w:val="Tabletext1"/>
              <w:rPr>
                <w:lang w:eastAsia="en-US"/>
              </w:rPr>
            </w:pPr>
            <w:r>
              <w:rPr>
                <w:lang w:eastAsia="en-US"/>
              </w:rPr>
              <w:t>Patient 1</w:t>
            </w:r>
          </w:p>
          <w:p w:rsidR="001A6FF0" w:rsidRDefault="001A6FF0" w:rsidP="00BC2239">
            <w:pPr>
              <w:pStyle w:val="Tabletext1"/>
              <w:rPr>
                <w:lang w:eastAsia="en-US"/>
              </w:rPr>
            </w:pPr>
            <w:r>
              <w:rPr>
                <w:lang w:eastAsia="en-US"/>
              </w:rPr>
              <w:t>Patient 5</w:t>
            </w:r>
          </w:p>
        </w:tc>
        <w:tc>
          <w:tcPr>
            <w:tcW w:w="751" w:type="pct"/>
          </w:tcPr>
          <w:p w:rsidR="001A6FF0" w:rsidRDefault="001A6FF0" w:rsidP="00BC2239">
            <w:pPr>
              <w:pStyle w:val="Tabletext1"/>
              <w:rPr>
                <w:lang w:eastAsia="en-US"/>
              </w:rPr>
            </w:pPr>
            <w:r>
              <w:rPr>
                <w:lang w:eastAsia="en-US"/>
              </w:rPr>
              <w:t>44</w:t>
            </w:r>
          </w:p>
          <w:p w:rsidR="001A6FF0" w:rsidRDefault="001A6FF0" w:rsidP="00BC2239">
            <w:pPr>
              <w:pStyle w:val="Tabletext1"/>
              <w:rPr>
                <w:lang w:eastAsia="en-US"/>
              </w:rPr>
            </w:pPr>
            <w:r>
              <w:rPr>
                <w:lang w:eastAsia="en-US"/>
              </w:rPr>
              <w:t>25</w:t>
            </w:r>
          </w:p>
        </w:tc>
        <w:tc>
          <w:tcPr>
            <w:tcW w:w="752" w:type="pct"/>
          </w:tcPr>
          <w:p w:rsidR="001A6FF0" w:rsidRDefault="001A6FF0" w:rsidP="00BC2239">
            <w:pPr>
              <w:pStyle w:val="Tabletext1"/>
              <w:rPr>
                <w:lang w:eastAsia="en-US"/>
              </w:rPr>
            </w:pPr>
            <w:r>
              <w:rPr>
                <w:lang w:eastAsia="en-US"/>
              </w:rPr>
              <w:t>52 weeks</w:t>
            </w:r>
          </w:p>
          <w:p w:rsidR="001A6FF0" w:rsidRDefault="001A6FF0" w:rsidP="00BC2239">
            <w:pPr>
              <w:pStyle w:val="Tabletext1"/>
              <w:rPr>
                <w:lang w:eastAsia="en-US"/>
              </w:rPr>
            </w:pPr>
            <w:r>
              <w:rPr>
                <w:lang w:eastAsia="en-US"/>
              </w:rPr>
              <w:t>38 weeks</w:t>
            </w:r>
          </w:p>
        </w:tc>
        <w:tc>
          <w:tcPr>
            <w:tcW w:w="751" w:type="pct"/>
          </w:tcPr>
          <w:p w:rsidR="001A6FF0" w:rsidRDefault="001A6FF0" w:rsidP="00BC2239">
            <w:pPr>
              <w:pStyle w:val="Tabletext1"/>
              <w:rPr>
                <w:lang w:eastAsia="en-US"/>
              </w:rPr>
            </w:pPr>
            <w:r>
              <w:rPr>
                <w:lang w:eastAsia="en-US"/>
              </w:rPr>
              <w:t>56</w:t>
            </w:r>
          </w:p>
          <w:p w:rsidR="001A6FF0" w:rsidRDefault="001A6FF0" w:rsidP="00BC2239">
            <w:pPr>
              <w:pStyle w:val="Tabletext1"/>
              <w:rPr>
                <w:lang w:eastAsia="en-US"/>
              </w:rPr>
            </w:pPr>
            <w:r>
              <w:rPr>
                <w:lang w:eastAsia="en-US"/>
              </w:rPr>
              <w:t xml:space="preserve">25 </w:t>
            </w:r>
          </w:p>
        </w:tc>
        <w:tc>
          <w:tcPr>
            <w:tcW w:w="752" w:type="pct"/>
          </w:tcPr>
          <w:p w:rsidR="001A6FF0" w:rsidRDefault="001A6FF0" w:rsidP="00BC2239">
            <w:pPr>
              <w:pStyle w:val="Tabletext1"/>
              <w:rPr>
                <w:lang w:eastAsia="en-US"/>
              </w:rPr>
            </w:pPr>
            <w:r>
              <w:rPr>
                <w:lang w:eastAsia="en-US"/>
              </w:rPr>
              <w:t>12</w:t>
            </w:r>
          </w:p>
          <w:p w:rsidR="001A6FF0" w:rsidRDefault="001A6FF0" w:rsidP="00BC2239">
            <w:pPr>
              <w:pStyle w:val="Tabletext1"/>
              <w:rPr>
                <w:lang w:eastAsia="en-US"/>
              </w:rPr>
            </w:pPr>
            <w:r>
              <w:rPr>
                <w:lang w:eastAsia="en-US"/>
              </w:rPr>
              <w:t>0</w:t>
            </w:r>
          </w:p>
        </w:tc>
      </w:tr>
      <w:tr w:rsidR="001A6FF0" w:rsidRPr="00F53467" w:rsidTr="008023D1">
        <w:trPr>
          <w:trHeight w:val="481"/>
        </w:trPr>
        <w:tc>
          <w:tcPr>
            <w:tcW w:w="1242" w:type="pct"/>
          </w:tcPr>
          <w:p w:rsidR="001A6FF0" w:rsidRDefault="001A6FF0" w:rsidP="00BC2239">
            <w:pPr>
              <w:pStyle w:val="Tabletext1"/>
              <w:rPr>
                <w:lang w:eastAsia="en-US"/>
              </w:rPr>
            </w:pPr>
            <w:r>
              <w:rPr>
                <w:lang w:eastAsia="en-US"/>
              </w:rPr>
              <w:t xml:space="preserve">Orlikowski et al (2011) </w:t>
            </w:r>
          </w:p>
          <w:p w:rsidR="001A6FF0" w:rsidRDefault="001A6FF0" w:rsidP="00BC2239">
            <w:pPr>
              <w:pStyle w:val="Tabletext1"/>
              <w:rPr>
                <w:lang w:eastAsia="en-US"/>
              </w:rPr>
            </w:pPr>
            <w:r>
              <w:rPr>
                <w:lang w:eastAsia="en-US"/>
              </w:rPr>
              <w:t>MFM scale, distal</w:t>
            </w:r>
          </w:p>
        </w:tc>
        <w:tc>
          <w:tcPr>
            <w:tcW w:w="751" w:type="pct"/>
          </w:tcPr>
          <w:p w:rsidR="001A6FF0" w:rsidRDefault="001A6FF0" w:rsidP="00BC2239">
            <w:pPr>
              <w:pStyle w:val="Tabletext1"/>
              <w:rPr>
                <w:lang w:eastAsia="en-US"/>
              </w:rPr>
            </w:pPr>
            <w:r>
              <w:rPr>
                <w:lang w:eastAsia="en-US"/>
              </w:rPr>
              <w:t>Patient 1</w:t>
            </w:r>
          </w:p>
          <w:p w:rsidR="001A6FF0" w:rsidRDefault="001A6FF0" w:rsidP="00BC2239">
            <w:pPr>
              <w:pStyle w:val="Tabletext1"/>
              <w:rPr>
                <w:lang w:eastAsia="en-US"/>
              </w:rPr>
            </w:pPr>
            <w:r>
              <w:rPr>
                <w:lang w:eastAsia="en-US"/>
              </w:rPr>
              <w:t>Patient 5</w:t>
            </w:r>
          </w:p>
        </w:tc>
        <w:tc>
          <w:tcPr>
            <w:tcW w:w="751" w:type="pct"/>
          </w:tcPr>
          <w:p w:rsidR="001A6FF0" w:rsidRDefault="001A6FF0" w:rsidP="00BC2239">
            <w:pPr>
              <w:pStyle w:val="Tabletext1"/>
              <w:rPr>
                <w:lang w:eastAsia="en-US"/>
              </w:rPr>
            </w:pPr>
            <w:r>
              <w:rPr>
                <w:lang w:eastAsia="en-US"/>
              </w:rPr>
              <w:t>95</w:t>
            </w:r>
          </w:p>
          <w:p w:rsidR="001A6FF0" w:rsidRDefault="001A6FF0" w:rsidP="00BC2239">
            <w:pPr>
              <w:pStyle w:val="Tabletext1"/>
              <w:rPr>
                <w:lang w:eastAsia="en-US"/>
              </w:rPr>
            </w:pPr>
            <w:r>
              <w:rPr>
                <w:lang w:eastAsia="en-US"/>
              </w:rPr>
              <w:t>81</w:t>
            </w:r>
          </w:p>
        </w:tc>
        <w:tc>
          <w:tcPr>
            <w:tcW w:w="752" w:type="pct"/>
          </w:tcPr>
          <w:p w:rsidR="001A6FF0" w:rsidRDefault="001A6FF0" w:rsidP="00BC2239">
            <w:pPr>
              <w:pStyle w:val="Tabletext1"/>
              <w:rPr>
                <w:lang w:eastAsia="en-US"/>
              </w:rPr>
            </w:pPr>
            <w:r>
              <w:rPr>
                <w:lang w:eastAsia="en-US"/>
              </w:rPr>
              <w:t>52 weeks</w:t>
            </w:r>
          </w:p>
          <w:p w:rsidR="001A6FF0" w:rsidRDefault="001A6FF0" w:rsidP="00BC2239">
            <w:pPr>
              <w:pStyle w:val="Tabletext1"/>
              <w:rPr>
                <w:lang w:eastAsia="en-US"/>
              </w:rPr>
            </w:pPr>
            <w:r>
              <w:rPr>
                <w:lang w:eastAsia="en-US"/>
              </w:rPr>
              <w:t>38 weeks</w:t>
            </w:r>
          </w:p>
        </w:tc>
        <w:tc>
          <w:tcPr>
            <w:tcW w:w="751" w:type="pct"/>
          </w:tcPr>
          <w:p w:rsidR="001A6FF0" w:rsidRDefault="001A6FF0" w:rsidP="00BC2239">
            <w:pPr>
              <w:pStyle w:val="Tabletext1"/>
              <w:rPr>
                <w:lang w:eastAsia="en-US"/>
              </w:rPr>
            </w:pPr>
            <w:r>
              <w:rPr>
                <w:lang w:eastAsia="en-US"/>
              </w:rPr>
              <w:t>95</w:t>
            </w:r>
          </w:p>
          <w:p w:rsidR="001A6FF0" w:rsidRDefault="001A6FF0" w:rsidP="00BC2239">
            <w:pPr>
              <w:pStyle w:val="Tabletext1"/>
              <w:rPr>
                <w:lang w:eastAsia="en-US"/>
              </w:rPr>
            </w:pPr>
            <w:r>
              <w:rPr>
                <w:lang w:eastAsia="en-US"/>
              </w:rPr>
              <w:t xml:space="preserve">76 </w:t>
            </w:r>
          </w:p>
        </w:tc>
        <w:tc>
          <w:tcPr>
            <w:tcW w:w="752" w:type="pct"/>
          </w:tcPr>
          <w:p w:rsidR="001A6FF0" w:rsidRDefault="001A6FF0" w:rsidP="00BC2239">
            <w:pPr>
              <w:pStyle w:val="Tabletext1"/>
              <w:rPr>
                <w:lang w:eastAsia="en-US"/>
              </w:rPr>
            </w:pPr>
            <w:r>
              <w:rPr>
                <w:lang w:eastAsia="en-US"/>
              </w:rPr>
              <w:t>0</w:t>
            </w:r>
          </w:p>
          <w:p w:rsidR="001A6FF0" w:rsidRDefault="001A6FF0" w:rsidP="00BC2239">
            <w:pPr>
              <w:pStyle w:val="Tabletext1"/>
              <w:rPr>
                <w:lang w:eastAsia="en-US"/>
              </w:rPr>
            </w:pPr>
            <w:r>
              <w:rPr>
                <w:lang w:eastAsia="en-US"/>
              </w:rPr>
              <w:t>-5</w:t>
            </w:r>
          </w:p>
        </w:tc>
      </w:tr>
      <w:tr w:rsidR="001A6FF0" w:rsidRPr="00F53467" w:rsidTr="008023D1">
        <w:tc>
          <w:tcPr>
            <w:tcW w:w="1242" w:type="pct"/>
          </w:tcPr>
          <w:p w:rsidR="001A6FF0" w:rsidRDefault="001A6FF0" w:rsidP="00BC2239">
            <w:pPr>
              <w:pStyle w:val="Tabletext1"/>
              <w:rPr>
                <w:lang w:eastAsia="en-US"/>
              </w:rPr>
            </w:pPr>
            <w:r>
              <w:rPr>
                <w:lang w:eastAsia="en-US"/>
              </w:rPr>
              <w:t xml:space="preserve">Orlikowski et al (2011) </w:t>
            </w:r>
          </w:p>
          <w:p w:rsidR="001A6FF0" w:rsidRDefault="001A6FF0" w:rsidP="00BC2239">
            <w:pPr>
              <w:pStyle w:val="Tabletext1"/>
              <w:rPr>
                <w:lang w:eastAsia="en-US"/>
              </w:rPr>
            </w:pPr>
            <w:r>
              <w:rPr>
                <w:lang w:eastAsia="en-US"/>
              </w:rPr>
              <w:t>MFM scale, total</w:t>
            </w:r>
          </w:p>
          <w:p w:rsidR="001A6FF0" w:rsidRDefault="001A6FF0" w:rsidP="00BC2239">
            <w:pPr>
              <w:pStyle w:val="Tabletext1"/>
              <w:rPr>
                <w:lang w:eastAsia="en-US"/>
              </w:rPr>
            </w:pPr>
            <w:r>
              <w:rPr>
                <w:lang w:eastAsia="en-US"/>
              </w:rPr>
              <w:tab/>
            </w:r>
          </w:p>
        </w:tc>
        <w:tc>
          <w:tcPr>
            <w:tcW w:w="751" w:type="pct"/>
          </w:tcPr>
          <w:p w:rsidR="001A6FF0" w:rsidRDefault="001A6FF0" w:rsidP="00BC2239">
            <w:pPr>
              <w:pStyle w:val="Tabletext1"/>
              <w:rPr>
                <w:lang w:eastAsia="en-US"/>
              </w:rPr>
            </w:pPr>
            <w:r>
              <w:rPr>
                <w:lang w:eastAsia="en-US"/>
              </w:rPr>
              <w:t>Patient 1</w:t>
            </w:r>
          </w:p>
          <w:p w:rsidR="001A6FF0" w:rsidRDefault="001A6FF0" w:rsidP="00BC2239">
            <w:pPr>
              <w:pStyle w:val="Tabletext1"/>
              <w:rPr>
                <w:lang w:eastAsia="en-US"/>
              </w:rPr>
            </w:pPr>
            <w:r>
              <w:rPr>
                <w:lang w:eastAsia="en-US"/>
              </w:rPr>
              <w:t>Patient 5</w:t>
            </w:r>
          </w:p>
        </w:tc>
        <w:tc>
          <w:tcPr>
            <w:tcW w:w="751" w:type="pct"/>
          </w:tcPr>
          <w:p w:rsidR="001A6FF0" w:rsidRDefault="001A6FF0" w:rsidP="00BC2239">
            <w:pPr>
              <w:pStyle w:val="Tabletext1"/>
              <w:rPr>
                <w:lang w:eastAsia="en-US"/>
              </w:rPr>
            </w:pPr>
            <w:r>
              <w:rPr>
                <w:lang w:eastAsia="en-US"/>
              </w:rPr>
              <w:t>38</w:t>
            </w:r>
          </w:p>
          <w:p w:rsidR="001A6FF0" w:rsidRDefault="001A6FF0" w:rsidP="00BC2239">
            <w:pPr>
              <w:pStyle w:val="Tabletext1"/>
              <w:rPr>
                <w:lang w:eastAsia="en-US"/>
              </w:rPr>
            </w:pPr>
            <w:r>
              <w:rPr>
                <w:lang w:eastAsia="en-US"/>
              </w:rPr>
              <w:t>27</w:t>
            </w:r>
          </w:p>
        </w:tc>
        <w:tc>
          <w:tcPr>
            <w:tcW w:w="752" w:type="pct"/>
          </w:tcPr>
          <w:p w:rsidR="001A6FF0" w:rsidRDefault="001A6FF0" w:rsidP="00BC2239">
            <w:pPr>
              <w:pStyle w:val="Tabletext1"/>
              <w:rPr>
                <w:lang w:eastAsia="en-US"/>
              </w:rPr>
            </w:pPr>
            <w:r>
              <w:rPr>
                <w:lang w:eastAsia="en-US"/>
              </w:rPr>
              <w:t>52 weeks</w:t>
            </w:r>
          </w:p>
          <w:p w:rsidR="001A6FF0" w:rsidRDefault="001A6FF0" w:rsidP="00BC2239">
            <w:pPr>
              <w:pStyle w:val="Tabletext1"/>
              <w:rPr>
                <w:lang w:eastAsia="en-US"/>
              </w:rPr>
            </w:pPr>
            <w:r>
              <w:rPr>
                <w:lang w:eastAsia="en-US"/>
              </w:rPr>
              <w:t>38 weeks</w:t>
            </w:r>
          </w:p>
        </w:tc>
        <w:tc>
          <w:tcPr>
            <w:tcW w:w="751" w:type="pct"/>
          </w:tcPr>
          <w:p w:rsidR="001A6FF0" w:rsidRDefault="001A6FF0" w:rsidP="00BC2239">
            <w:pPr>
              <w:pStyle w:val="Tabletext1"/>
              <w:rPr>
                <w:lang w:eastAsia="en-US"/>
              </w:rPr>
            </w:pPr>
            <w:r>
              <w:rPr>
                <w:lang w:eastAsia="en-US"/>
              </w:rPr>
              <w:t>43</w:t>
            </w:r>
          </w:p>
          <w:p w:rsidR="001A6FF0" w:rsidRDefault="001A6FF0" w:rsidP="00BC2239">
            <w:pPr>
              <w:pStyle w:val="Tabletext1"/>
              <w:rPr>
                <w:lang w:eastAsia="en-US"/>
              </w:rPr>
            </w:pPr>
            <w:r>
              <w:rPr>
                <w:lang w:eastAsia="en-US"/>
              </w:rPr>
              <w:t xml:space="preserve">26 </w:t>
            </w:r>
          </w:p>
        </w:tc>
        <w:tc>
          <w:tcPr>
            <w:tcW w:w="752" w:type="pct"/>
          </w:tcPr>
          <w:p w:rsidR="001A6FF0" w:rsidRDefault="001A6FF0" w:rsidP="00BC2239">
            <w:pPr>
              <w:pStyle w:val="Tabletext1"/>
              <w:rPr>
                <w:lang w:eastAsia="en-US"/>
              </w:rPr>
            </w:pPr>
            <w:r>
              <w:rPr>
                <w:lang w:eastAsia="en-US"/>
              </w:rPr>
              <w:t>5</w:t>
            </w:r>
          </w:p>
          <w:p w:rsidR="001A6FF0" w:rsidRDefault="001A6FF0" w:rsidP="00BC2239">
            <w:pPr>
              <w:pStyle w:val="Tabletext1"/>
              <w:rPr>
                <w:lang w:eastAsia="en-US"/>
              </w:rPr>
            </w:pPr>
            <w:r>
              <w:rPr>
                <w:lang w:eastAsia="en-US"/>
              </w:rPr>
              <w:t>-1</w:t>
            </w:r>
          </w:p>
        </w:tc>
      </w:tr>
    </w:tbl>
    <w:p w:rsidR="001A6FF0" w:rsidRPr="00DF5C70" w:rsidRDefault="001A6FF0" w:rsidP="001A6FF0">
      <w:pPr>
        <w:pStyle w:val="TableNote"/>
        <w:rPr>
          <w:lang w:eastAsia="en-US"/>
        </w:rPr>
      </w:pPr>
      <w:r w:rsidRPr="00DF5C70">
        <w:rPr>
          <w:lang w:eastAsia="en-US"/>
        </w:rPr>
        <w:t>MFM = motor function measure, % of maximum (i.e. 0 to 100%)</w:t>
      </w:r>
    </w:p>
    <w:p w:rsidR="001A6FF0" w:rsidRPr="00DF5C70" w:rsidRDefault="001A6FF0" w:rsidP="001A6FF0">
      <w:pPr>
        <w:spacing w:after="0" w:line="240" w:lineRule="auto"/>
        <w:rPr>
          <w:rFonts w:ascii="Cambria" w:hAnsi="Cambria" w:cs="Calibri"/>
          <w:bCs/>
          <w:color w:val="002060"/>
        </w:rPr>
      </w:pPr>
    </w:p>
    <w:p w:rsidR="00DF5C70" w:rsidRPr="00B62380" w:rsidRDefault="00CF0076" w:rsidP="00155E84">
      <w:r w:rsidRPr="00CF0076">
        <w:t xml:space="preserve">Muscle strength was measured by grip power (Dynamometer®) in one study </w:t>
      </w:r>
      <w:r w:rsidR="003303FE">
        <w:rPr>
          <w:noProof/>
        </w:rPr>
        <w:t>(</w:t>
      </w:r>
      <w:r w:rsidR="00184B6F">
        <w:rPr>
          <w:noProof/>
        </w:rPr>
        <w:t>Furusawa et al. 2012</w:t>
      </w:r>
      <w:r w:rsidR="003303FE">
        <w:rPr>
          <w:noProof/>
        </w:rPr>
        <w:t>)</w:t>
      </w:r>
      <w:r w:rsidRPr="00CF0076">
        <w:t xml:space="preserve">. </w:t>
      </w:r>
      <w:r w:rsidR="00DF5C70" w:rsidRPr="00CF0076">
        <w:t>Two patients in a case series of five were juvenile onset patients who were followed up for two years. The patients were both female and aged 7 and 8 years of age at onset</w:t>
      </w:r>
      <w:r w:rsidR="00B62380">
        <w:t>, but treated at ages 32 and 38</w:t>
      </w:r>
      <w:r w:rsidR="00DF5C70" w:rsidRPr="00CF0076">
        <w:t xml:space="preserve">. Both had relatively serious disease with one wheelchair bound and requiring ventilation for most of the day, and the other was partially wheelchair bound and required ventilation at night. Patient 4 was very ill during the treatment period, experiencing severe </w:t>
      </w:r>
      <w:r w:rsidR="00F87099" w:rsidRPr="00CF0076">
        <w:t>dyspnoea</w:t>
      </w:r>
      <w:r w:rsidR="00DF5C70" w:rsidRPr="00CF0076">
        <w:t xml:space="preserve"> and recurrent pneumothorax after 64 weeks of treatment and emphysema at 80 weeks of treatment. She also was treated with parenteral hyperalimentation for a month due to inability to eat. After recovery from emphysema she remained bedridden and lost ambulation. </w:t>
      </w:r>
      <w:r w:rsidRPr="00CF0076">
        <w:t xml:space="preserve">Grip strength only improved marginally in this patient. For patient 5, grip </w:t>
      </w:r>
      <w:r w:rsidR="00B62380">
        <w:t>power</w:t>
      </w:r>
      <w:r w:rsidRPr="00CF0076">
        <w:t xml:space="preserve"> increased by 7.5kg after 2 years. </w:t>
      </w:r>
    </w:p>
    <w:p w:rsidR="00DF5C70" w:rsidRDefault="00DF5C70" w:rsidP="00DF5C70">
      <w:pPr>
        <w:pStyle w:val="Caption"/>
        <w:keepNext/>
      </w:pPr>
      <w:bookmarkStart w:id="358" w:name="_Toc411510455"/>
      <w:bookmarkStart w:id="359" w:name="_Toc415141884"/>
      <w:r>
        <w:t xml:space="preserve">Table </w:t>
      </w:r>
      <w:r w:rsidR="00A72B26">
        <w:rPr>
          <w:noProof/>
        </w:rPr>
        <w:t>87</w:t>
      </w:r>
      <w:r>
        <w:tab/>
        <w:t>Grip power before and after alglucosidase alfa in patients with JOPD</w:t>
      </w:r>
      <w:bookmarkEnd w:id="358"/>
      <w:bookmarkEnd w:id="359"/>
    </w:p>
    <w:tbl>
      <w:tblPr>
        <w:tblStyle w:val="TableGrid"/>
        <w:tblW w:w="5000" w:type="pct"/>
        <w:tblLook w:val="04A0" w:firstRow="1" w:lastRow="0" w:firstColumn="1" w:lastColumn="0" w:noHBand="0" w:noVBand="1"/>
        <w:tblCaption w:val="Grip power before and after alglucosidase alfa for JOPD"/>
      </w:tblPr>
      <w:tblGrid>
        <w:gridCol w:w="1528"/>
        <w:gridCol w:w="1287"/>
        <w:gridCol w:w="1286"/>
        <w:gridCol w:w="1286"/>
        <w:gridCol w:w="1286"/>
        <w:gridCol w:w="1286"/>
        <w:gridCol w:w="1283"/>
      </w:tblGrid>
      <w:tr w:rsidR="00DF5C70" w:rsidRPr="00DF5C70" w:rsidTr="009A0365">
        <w:trPr>
          <w:tblHeader/>
        </w:trPr>
        <w:tc>
          <w:tcPr>
            <w:tcW w:w="826" w:type="pct"/>
            <w:tcBorders>
              <w:right w:val="single" w:sz="4" w:space="0" w:color="auto"/>
            </w:tcBorders>
          </w:tcPr>
          <w:p w:rsidR="00DF5C70" w:rsidRDefault="00DF5C70" w:rsidP="00DF5C70">
            <w:pPr>
              <w:pStyle w:val="Tabletext1"/>
              <w:keepNext/>
              <w:rPr>
                <w:b/>
                <w:lang w:eastAsia="en-US"/>
              </w:rPr>
            </w:pPr>
            <w:r>
              <w:rPr>
                <w:b/>
                <w:lang w:eastAsia="en-US"/>
              </w:rPr>
              <w:t>Study</w:t>
            </w:r>
          </w:p>
          <w:p w:rsidR="00DF5C70" w:rsidRPr="00DF5C70" w:rsidRDefault="00DF5C70" w:rsidP="00DF5C70">
            <w:pPr>
              <w:pStyle w:val="Tabletext1"/>
              <w:keepNext/>
              <w:rPr>
                <w:b/>
                <w:lang w:eastAsia="en-US"/>
              </w:rPr>
            </w:pPr>
            <w:r>
              <w:rPr>
                <w:b/>
                <w:lang w:eastAsia="en-US"/>
              </w:rPr>
              <w:t>Measure</w:t>
            </w:r>
          </w:p>
        </w:tc>
        <w:tc>
          <w:tcPr>
            <w:tcW w:w="696" w:type="pct"/>
            <w:tcBorders>
              <w:left w:val="single" w:sz="4" w:space="0" w:color="auto"/>
            </w:tcBorders>
          </w:tcPr>
          <w:p w:rsidR="00DF5C70" w:rsidRPr="00DF5C70" w:rsidRDefault="00DF5C70" w:rsidP="00DF5C70">
            <w:pPr>
              <w:pStyle w:val="Tabletext1"/>
              <w:keepNext/>
              <w:rPr>
                <w:b/>
                <w:lang w:eastAsia="en-US"/>
              </w:rPr>
            </w:pPr>
            <w:r>
              <w:rPr>
                <w:b/>
                <w:lang w:eastAsia="en-US"/>
              </w:rPr>
              <w:t>Patient</w:t>
            </w:r>
          </w:p>
        </w:tc>
        <w:tc>
          <w:tcPr>
            <w:tcW w:w="696" w:type="pct"/>
          </w:tcPr>
          <w:p w:rsidR="00DF5C70" w:rsidRPr="00DF5C70" w:rsidRDefault="00DF5C70" w:rsidP="00DF5C70">
            <w:pPr>
              <w:pStyle w:val="Tabletext1"/>
              <w:keepNext/>
              <w:rPr>
                <w:b/>
                <w:lang w:eastAsia="en-US"/>
              </w:rPr>
            </w:pPr>
            <w:r w:rsidRPr="00DF5C70">
              <w:rPr>
                <w:b/>
                <w:lang w:eastAsia="en-US"/>
              </w:rPr>
              <w:t>Baseline</w:t>
            </w:r>
          </w:p>
        </w:tc>
        <w:tc>
          <w:tcPr>
            <w:tcW w:w="696" w:type="pct"/>
            <w:tcBorders>
              <w:right w:val="single" w:sz="4" w:space="0" w:color="auto"/>
            </w:tcBorders>
          </w:tcPr>
          <w:p w:rsidR="00DF5C70" w:rsidRPr="00DF5C70" w:rsidRDefault="00DF5C70" w:rsidP="00DF5C70">
            <w:pPr>
              <w:pStyle w:val="Tabletext1"/>
              <w:keepNext/>
              <w:rPr>
                <w:b/>
                <w:lang w:eastAsia="en-US"/>
              </w:rPr>
            </w:pPr>
            <w:r w:rsidRPr="00DF5C70">
              <w:rPr>
                <w:b/>
                <w:lang w:eastAsia="en-US"/>
              </w:rPr>
              <w:t>52 weeks</w:t>
            </w:r>
          </w:p>
        </w:tc>
        <w:tc>
          <w:tcPr>
            <w:tcW w:w="696" w:type="pct"/>
            <w:tcBorders>
              <w:left w:val="single" w:sz="4" w:space="0" w:color="auto"/>
            </w:tcBorders>
          </w:tcPr>
          <w:p w:rsidR="00DF5C70" w:rsidRPr="00DF5C70" w:rsidRDefault="00DF5C70" w:rsidP="00DF5C70">
            <w:pPr>
              <w:pStyle w:val="Tabletext1"/>
              <w:keepNext/>
              <w:rPr>
                <w:b/>
                <w:lang w:eastAsia="en-US"/>
              </w:rPr>
            </w:pPr>
            <w:r>
              <w:rPr>
                <w:b/>
                <w:lang w:eastAsia="en-US"/>
              </w:rPr>
              <w:t>Change</w:t>
            </w:r>
          </w:p>
        </w:tc>
        <w:tc>
          <w:tcPr>
            <w:tcW w:w="696" w:type="pct"/>
            <w:tcBorders>
              <w:right w:val="single" w:sz="4" w:space="0" w:color="auto"/>
            </w:tcBorders>
          </w:tcPr>
          <w:p w:rsidR="00DF5C70" w:rsidRPr="00DF5C70" w:rsidRDefault="00DF5C70" w:rsidP="00DF5C70">
            <w:pPr>
              <w:pStyle w:val="Tabletext1"/>
              <w:keepNext/>
              <w:rPr>
                <w:b/>
                <w:lang w:eastAsia="en-US"/>
              </w:rPr>
            </w:pPr>
            <w:r w:rsidRPr="00DF5C70">
              <w:rPr>
                <w:b/>
                <w:lang w:eastAsia="en-US"/>
              </w:rPr>
              <w:t>104 weeks</w:t>
            </w:r>
          </w:p>
        </w:tc>
        <w:tc>
          <w:tcPr>
            <w:tcW w:w="696" w:type="pct"/>
            <w:tcBorders>
              <w:left w:val="single" w:sz="4" w:space="0" w:color="auto"/>
            </w:tcBorders>
          </w:tcPr>
          <w:p w:rsidR="00DF5C70" w:rsidRPr="00DF5C70" w:rsidRDefault="00DF5C70" w:rsidP="00DF5C70">
            <w:pPr>
              <w:pStyle w:val="Tabletext1"/>
              <w:keepNext/>
              <w:rPr>
                <w:b/>
                <w:lang w:eastAsia="en-US"/>
              </w:rPr>
            </w:pPr>
            <w:r>
              <w:rPr>
                <w:b/>
                <w:lang w:eastAsia="en-US"/>
              </w:rPr>
              <w:t>Change</w:t>
            </w:r>
          </w:p>
        </w:tc>
      </w:tr>
      <w:tr w:rsidR="00DF5C70" w:rsidRPr="0086503D" w:rsidTr="009A0365">
        <w:tc>
          <w:tcPr>
            <w:tcW w:w="826" w:type="pct"/>
            <w:tcBorders>
              <w:right w:val="single" w:sz="4" w:space="0" w:color="auto"/>
            </w:tcBorders>
          </w:tcPr>
          <w:p w:rsidR="00DF5C70" w:rsidRPr="00DF5C70" w:rsidRDefault="00DF5C70" w:rsidP="00DF5C70">
            <w:pPr>
              <w:pStyle w:val="Tabletext1"/>
              <w:keepNext/>
              <w:rPr>
                <w:lang w:eastAsia="en-US"/>
              </w:rPr>
            </w:pPr>
            <w:r w:rsidRPr="00DF5C70">
              <w:rPr>
                <w:lang w:eastAsia="en-US"/>
              </w:rPr>
              <w:t xml:space="preserve">Furusawa et al </w:t>
            </w:r>
            <w:r w:rsidR="00155E84">
              <w:rPr>
                <w:lang w:eastAsia="en-US"/>
              </w:rPr>
              <w:t>(</w:t>
            </w:r>
            <w:r w:rsidRPr="00DF5C70">
              <w:rPr>
                <w:lang w:eastAsia="en-US"/>
              </w:rPr>
              <w:t>2012</w:t>
            </w:r>
            <w:r w:rsidR="00155E84">
              <w:rPr>
                <w:lang w:eastAsia="en-US"/>
              </w:rPr>
              <w:t>)</w:t>
            </w:r>
          </w:p>
          <w:p w:rsidR="00DF5C70" w:rsidRPr="00DF5C70" w:rsidRDefault="00DF5C70" w:rsidP="00DF5C70">
            <w:pPr>
              <w:pStyle w:val="Tabletext1"/>
              <w:keepNext/>
              <w:rPr>
                <w:lang w:eastAsia="en-US"/>
              </w:rPr>
            </w:pPr>
            <w:r w:rsidRPr="00DF5C70">
              <w:rPr>
                <w:lang w:eastAsia="en-US"/>
              </w:rPr>
              <w:t>Grip power, kg:</w:t>
            </w:r>
          </w:p>
        </w:tc>
        <w:tc>
          <w:tcPr>
            <w:tcW w:w="696" w:type="pct"/>
            <w:tcBorders>
              <w:left w:val="single" w:sz="4" w:space="0" w:color="auto"/>
            </w:tcBorders>
          </w:tcPr>
          <w:p w:rsidR="00DF5C70" w:rsidRPr="00DF5C70" w:rsidRDefault="00DF5C70" w:rsidP="00DF5C70">
            <w:pPr>
              <w:pStyle w:val="Tabletext1"/>
              <w:keepNext/>
              <w:rPr>
                <w:lang w:eastAsia="en-US"/>
              </w:rPr>
            </w:pPr>
            <w:r w:rsidRPr="00DF5C70">
              <w:rPr>
                <w:lang w:eastAsia="en-US"/>
              </w:rPr>
              <w:t xml:space="preserve">Patient </w:t>
            </w:r>
            <w:r>
              <w:rPr>
                <w:lang w:eastAsia="en-US"/>
              </w:rPr>
              <w:t>4</w:t>
            </w:r>
            <w:r w:rsidRPr="00DF5C70">
              <w:rPr>
                <w:lang w:eastAsia="en-US"/>
              </w:rPr>
              <w:t xml:space="preserve"> </w:t>
            </w:r>
          </w:p>
          <w:p w:rsidR="00DF5C70" w:rsidRPr="00DF5C70" w:rsidRDefault="00DF5C70" w:rsidP="00DF5C70">
            <w:pPr>
              <w:pStyle w:val="Tabletext1"/>
              <w:keepNext/>
              <w:rPr>
                <w:lang w:eastAsia="en-US"/>
              </w:rPr>
            </w:pPr>
            <w:r w:rsidRPr="00DF5C70">
              <w:rPr>
                <w:lang w:eastAsia="en-US"/>
              </w:rPr>
              <w:t xml:space="preserve">Patient </w:t>
            </w:r>
            <w:r>
              <w:rPr>
                <w:lang w:eastAsia="en-US"/>
              </w:rPr>
              <w:t>5</w:t>
            </w:r>
          </w:p>
        </w:tc>
        <w:tc>
          <w:tcPr>
            <w:tcW w:w="696" w:type="pct"/>
          </w:tcPr>
          <w:p w:rsidR="00DF5C70" w:rsidRPr="00DF5C70" w:rsidRDefault="00DF5C70" w:rsidP="00DF5C70">
            <w:pPr>
              <w:pStyle w:val="Tabletext1"/>
              <w:keepNext/>
              <w:rPr>
                <w:lang w:eastAsia="en-US"/>
              </w:rPr>
            </w:pPr>
            <w:r w:rsidRPr="00DF5C70">
              <w:rPr>
                <w:lang w:eastAsia="en-US"/>
              </w:rPr>
              <w:t>17.0</w:t>
            </w:r>
          </w:p>
          <w:p w:rsidR="00DF5C70" w:rsidRPr="00DF5C70" w:rsidRDefault="00DF5C70" w:rsidP="00DF5C70">
            <w:pPr>
              <w:pStyle w:val="Tabletext1"/>
              <w:keepNext/>
              <w:rPr>
                <w:lang w:eastAsia="en-US"/>
              </w:rPr>
            </w:pPr>
            <w:r w:rsidRPr="00DF5C70">
              <w:rPr>
                <w:lang w:eastAsia="en-US"/>
              </w:rPr>
              <w:t>17.5</w:t>
            </w:r>
          </w:p>
        </w:tc>
        <w:tc>
          <w:tcPr>
            <w:tcW w:w="696" w:type="pct"/>
            <w:tcBorders>
              <w:right w:val="single" w:sz="4" w:space="0" w:color="auto"/>
            </w:tcBorders>
          </w:tcPr>
          <w:p w:rsidR="00DF5C70" w:rsidRPr="00DF5C70" w:rsidRDefault="00DF5C70" w:rsidP="00DF5C70">
            <w:pPr>
              <w:pStyle w:val="Tabletext1"/>
              <w:keepNext/>
              <w:rPr>
                <w:lang w:eastAsia="en-US"/>
              </w:rPr>
            </w:pPr>
            <w:r w:rsidRPr="00DF5C70">
              <w:rPr>
                <w:lang w:eastAsia="en-US"/>
              </w:rPr>
              <w:t>18.0</w:t>
            </w:r>
          </w:p>
          <w:p w:rsidR="00DF5C70" w:rsidRPr="00DF5C70" w:rsidRDefault="00DF5C70" w:rsidP="00DF5C70">
            <w:pPr>
              <w:pStyle w:val="Tabletext1"/>
              <w:keepNext/>
              <w:rPr>
                <w:lang w:eastAsia="en-US"/>
              </w:rPr>
            </w:pPr>
            <w:r w:rsidRPr="00DF5C70">
              <w:rPr>
                <w:lang w:eastAsia="en-US"/>
              </w:rPr>
              <w:t>23.9</w:t>
            </w:r>
          </w:p>
        </w:tc>
        <w:tc>
          <w:tcPr>
            <w:tcW w:w="696" w:type="pct"/>
            <w:tcBorders>
              <w:left w:val="single" w:sz="4" w:space="0" w:color="auto"/>
            </w:tcBorders>
          </w:tcPr>
          <w:p w:rsidR="00DF5C70" w:rsidRPr="00DF5C70" w:rsidRDefault="00DF5C70" w:rsidP="00DF5C70">
            <w:pPr>
              <w:pStyle w:val="Tabletext1"/>
              <w:keepNext/>
              <w:rPr>
                <w:lang w:eastAsia="en-US"/>
              </w:rPr>
            </w:pPr>
            <w:r>
              <w:rPr>
                <w:lang w:eastAsia="en-US"/>
              </w:rPr>
              <w:t>1.0</w:t>
            </w:r>
          </w:p>
          <w:p w:rsidR="00DF5C70" w:rsidRPr="00DF5C70" w:rsidRDefault="00DF5C70" w:rsidP="00DF5C70">
            <w:pPr>
              <w:pStyle w:val="Tabletext1"/>
              <w:keepNext/>
              <w:rPr>
                <w:lang w:eastAsia="en-US"/>
              </w:rPr>
            </w:pPr>
            <w:r>
              <w:rPr>
                <w:lang w:eastAsia="en-US"/>
              </w:rPr>
              <w:t>6.4</w:t>
            </w:r>
          </w:p>
          <w:p w:rsidR="00DF5C70" w:rsidRPr="00DF5C70" w:rsidRDefault="00DF5C70" w:rsidP="00DF5C70">
            <w:pPr>
              <w:pStyle w:val="Tabletext1"/>
              <w:keepNext/>
              <w:rPr>
                <w:lang w:eastAsia="en-US"/>
              </w:rPr>
            </w:pPr>
          </w:p>
        </w:tc>
        <w:tc>
          <w:tcPr>
            <w:tcW w:w="696" w:type="pct"/>
            <w:tcBorders>
              <w:right w:val="single" w:sz="4" w:space="0" w:color="auto"/>
            </w:tcBorders>
          </w:tcPr>
          <w:p w:rsidR="00DF5C70" w:rsidRPr="00DF5C70" w:rsidRDefault="00DF5C70" w:rsidP="00DF5C70">
            <w:pPr>
              <w:pStyle w:val="Tabletext1"/>
              <w:keepNext/>
              <w:rPr>
                <w:lang w:eastAsia="en-US"/>
              </w:rPr>
            </w:pPr>
            <w:r w:rsidRPr="00DF5C70">
              <w:rPr>
                <w:lang w:eastAsia="en-US"/>
              </w:rPr>
              <w:t>17.7</w:t>
            </w:r>
          </w:p>
          <w:p w:rsidR="00DF5C70" w:rsidRPr="00DF5C70" w:rsidRDefault="00DF5C70" w:rsidP="00DF5C70">
            <w:pPr>
              <w:pStyle w:val="Tabletext1"/>
              <w:keepNext/>
              <w:rPr>
                <w:lang w:eastAsia="en-US"/>
              </w:rPr>
            </w:pPr>
            <w:r w:rsidRPr="00DF5C70">
              <w:rPr>
                <w:lang w:eastAsia="en-US"/>
              </w:rPr>
              <w:t>25.0</w:t>
            </w:r>
          </w:p>
        </w:tc>
        <w:tc>
          <w:tcPr>
            <w:tcW w:w="696" w:type="pct"/>
            <w:tcBorders>
              <w:left w:val="single" w:sz="4" w:space="0" w:color="auto"/>
            </w:tcBorders>
          </w:tcPr>
          <w:p w:rsidR="00DF5C70" w:rsidRPr="00DF5C70" w:rsidRDefault="00DF5C70" w:rsidP="00DF5C70">
            <w:pPr>
              <w:pStyle w:val="Tabletext1"/>
              <w:keepNext/>
              <w:rPr>
                <w:lang w:eastAsia="en-US"/>
              </w:rPr>
            </w:pPr>
            <w:r>
              <w:rPr>
                <w:lang w:eastAsia="en-US"/>
              </w:rPr>
              <w:t>0.7</w:t>
            </w:r>
          </w:p>
          <w:p w:rsidR="00DF5C70" w:rsidRPr="00DF5C70" w:rsidRDefault="00DF5C70" w:rsidP="00DF5C70">
            <w:pPr>
              <w:pStyle w:val="Tabletext1"/>
              <w:keepNext/>
              <w:rPr>
                <w:lang w:eastAsia="en-US"/>
              </w:rPr>
            </w:pPr>
            <w:r>
              <w:rPr>
                <w:lang w:eastAsia="en-US"/>
              </w:rPr>
              <w:t>7.5</w:t>
            </w:r>
          </w:p>
          <w:p w:rsidR="00DF5C70" w:rsidRPr="00DF5C70" w:rsidRDefault="00DF5C70" w:rsidP="00DF5C70">
            <w:pPr>
              <w:pStyle w:val="Tabletext1"/>
              <w:keepNext/>
              <w:rPr>
                <w:lang w:eastAsia="en-US"/>
              </w:rPr>
            </w:pPr>
          </w:p>
        </w:tc>
      </w:tr>
    </w:tbl>
    <w:p w:rsidR="00DF5C70" w:rsidRDefault="00DF5C70" w:rsidP="00475E97"/>
    <w:p w:rsidR="001A6FF0" w:rsidRPr="001C1176" w:rsidRDefault="001A6FF0" w:rsidP="00EC5DFF">
      <w:pPr>
        <w:pStyle w:val="Heading5"/>
      </w:pPr>
      <w:r>
        <w:lastRenderedPageBreak/>
        <w:t>Fatigue</w:t>
      </w:r>
      <w:r w:rsidRPr="001C1176">
        <w:t xml:space="preserve"> (self-reported patient outcomes)</w:t>
      </w:r>
    </w:p>
    <w:p w:rsidR="001A6FF0" w:rsidRDefault="001A6FF0" w:rsidP="001A6FF0">
      <w:r>
        <w:t xml:space="preserve">Three included studies published results for self-reported fatigue using the Fatigue Severity Scale (FSS) </w:t>
      </w:r>
      <w:r>
        <w:rPr>
          <w:noProof/>
        </w:rPr>
        <w:t>(</w:t>
      </w:r>
      <w:r w:rsidR="00184B6F">
        <w:rPr>
          <w:noProof/>
        </w:rPr>
        <w:t>Orlikowski et al. 2011</w:t>
      </w:r>
      <w:r>
        <w:rPr>
          <w:noProof/>
        </w:rPr>
        <w:t xml:space="preserve">; </w:t>
      </w:r>
      <w:r w:rsidR="00184B6F">
        <w:rPr>
          <w:noProof/>
        </w:rPr>
        <w:t>Papadimas et al. 2011</w:t>
      </w:r>
      <w:r>
        <w:rPr>
          <w:noProof/>
        </w:rPr>
        <w:t xml:space="preserve">; </w:t>
      </w:r>
      <w:r w:rsidR="00184B6F">
        <w:rPr>
          <w:noProof/>
        </w:rPr>
        <w:t>van Capelle et al. 2008</w:t>
      </w:r>
      <w:r>
        <w:rPr>
          <w:noProof/>
        </w:rPr>
        <w:t>)</w:t>
      </w:r>
      <w:r>
        <w:t xml:space="preserve"> in a total of five patients </w:t>
      </w:r>
      <w:r w:rsidR="008023D1">
        <w:t>(</w:t>
      </w:r>
      <w:r w:rsidR="00A72B26" w:rsidRPr="007D26FA">
        <w:t xml:space="preserve">Table </w:t>
      </w:r>
      <w:r w:rsidR="00A72B26">
        <w:rPr>
          <w:noProof/>
        </w:rPr>
        <w:t>88</w:t>
      </w:r>
      <w:r>
        <w:t>). In van Capelle’s study, two JOPD patients were found to have a decrease in self-reported fatigue after 8 years of ERT compared to 3 years of ERT. There was no baseline fatigue level recorded. In the second study, Orlikowski et al also found there was a decrease in fatigue in two patients after 1 year of ERT compared to baseline. In a third case report one patient reported a decrease in fatigue 3 years after ERT initiation.</w:t>
      </w:r>
      <w:r w:rsidRPr="00EE613B">
        <w:t xml:space="preserve"> </w:t>
      </w:r>
      <w:r>
        <w:t xml:space="preserve">In summary, fatigue was consistently reduced in five JOPD patients who used the self-reported FSS tool. Other single case studies report a decrease in fatigue levels following ERT </w:t>
      </w:r>
      <w:r>
        <w:rPr>
          <w:noProof/>
        </w:rPr>
        <w:t>(</w:t>
      </w:r>
      <w:r w:rsidR="00184B6F">
        <w:rPr>
          <w:noProof/>
        </w:rPr>
        <w:t>Bernstein et al. 2010</w:t>
      </w:r>
      <w:r>
        <w:rPr>
          <w:noProof/>
        </w:rPr>
        <w:t xml:space="preserve">; </w:t>
      </w:r>
      <w:r w:rsidR="00184B6F">
        <w:rPr>
          <w:noProof/>
        </w:rPr>
        <w:t>Fernandez et al. 2012</w:t>
      </w:r>
      <w:r>
        <w:rPr>
          <w:noProof/>
        </w:rPr>
        <w:t>)</w:t>
      </w:r>
      <w:r w:rsidR="00406CB2">
        <w:t xml:space="preserve"> </w:t>
      </w:r>
      <w:r w:rsidR="00406CB2" w:rsidRPr="00FE08CA">
        <w:t xml:space="preserve">(GRADE </w:t>
      </w:r>
      <w:r w:rsidR="00406CB2" w:rsidRPr="00FE08CA">
        <w:rPr>
          <w:rFonts w:ascii="Cambria Math" w:hAnsi="Cambria Math" w:cs="Cambria Math"/>
          <w:color w:val="00B050"/>
        </w:rPr>
        <w:t>⨁</w:t>
      </w:r>
      <w:r w:rsidR="00406CB2" w:rsidRPr="00FE08CA">
        <w:rPr>
          <w:rFonts w:ascii="Cambria Math" w:hAnsi="Cambria Math" w:cs="Cambria Math"/>
          <w:color w:val="C00000"/>
        </w:rPr>
        <w:t>⨀⨀⨀</w:t>
      </w:r>
      <w:r w:rsidR="00406CB2" w:rsidRPr="00FE08CA">
        <w:rPr>
          <w:rFonts w:cs="Cambria Math"/>
          <w:spacing w:val="-20"/>
        </w:rPr>
        <w:t>)</w:t>
      </w:r>
      <w:r w:rsidR="00406CB2">
        <w:t>.</w:t>
      </w:r>
    </w:p>
    <w:p w:rsidR="001A6FF0" w:rsidRPr="007D26FA" w:rsidRDefault="001A6FF0" w:rsidP="00F71730">
      <w:pPr>
        <w:pStyle w:val="Caption"/>
        <w:keepNext/>
        <w:ind w:left="1418" w:hanging="1418"/>
      </w:pPr>
      <w:bookmarkStart w:id="360" w:name="_Ref411343137"/>
      <w:bookmarkStart w:id="361" w:name="_Toc415141885"/>
      <w:bookmarkStart w:id="362" w:name="_Toc411510456"/>
      <w:r w:rsidRPr="007D26FA">
        <w:t xml:space="preserve">Table </w:t>
      </w:r>
      <w:r w:rsidR="00A72B26">
        <w:rPr>
          <w:noProof/>
        </w:rPr>
        <w:t>88</w:t>
      </w:r>
      <w:bookmarkEnd w:id="360"/>
      <w:r w:rsidRPr="007D26FA">
        <w:t xml:space="preserve"> </w:t>
      </w:r>
      <w:r w:rsidR="00F71730">
        <w:tab/>
      </w:r>
      <w:r>
        <w:t>Self- reported f</w:t>
      </w:r>
      <w:r w:rsidRPr="007D26FA">
        <w:t>atigue</w:t>
      </w:r>
      <w:r>
        <w:t xml:space="preserve"> in JOPD patients on FSS</w:t>
      </w:r>
      <w:r w:rsidR="00DF5C70">
        <w:t xml:space="preserve"> </w:t>
      </w:r>
      <w:r w:rsidR="00DF5C70" w:rsidRPr="00DF5C70">
        <w:rPr>
          <w:rStyle w:val="FigureheadingChar"/>
        </w:rPr>
        <w:t>before and after alglucosidase alfa</w:t>
      </w:r>
      <w:bookmarkEnd w:id="361"/>
      <w:r w:rsidR="00DF5C70" w:rsidRPr="00DF5C70">
        <w:rPr>
          <w:rStyle w:val="FigureheadingChar"/>
        </w:rPr>
        <w:t xml:space="preserve"> </w:t>
      </w:r>
      <w:bookmarkEnd w:id="362"/>
    </w:p>
    <w:tbl>
      <w:tblPr>
        <w:tblStyle w:val="TableGrid"/>
        <w:tblW w:w="5000" w:type="pct"/>
        <w:tblLook w:val="04A0" w:firstRow="1" w:lastRow="0" w:firstColumn="1" w:lastColumn="0" w:noHBand="0" w:noVBand="1"/>
        <w:tblCaption w:val="Table 19 Self- reported fatigue in JOPD patients"/>
      </w:tblPr>
      <w:tblGrid>
        <w:gridCol w:w="2142"/>
        <w:gridCol w:w="1420"/>
        <w:gridCol w:w="1420"/>
        <w:gridCol w:w="1420"/>
        <w:gridCol w:w="1420"/>
        <w:gridCol w:w="1420"/>
      </w:tblGrid>
      <w:tr w:rsidR="001A6FF0" w:rsidRPr="008F5C81" w:rsidTr="009A0365">
        <w:trPr>
          <w:tblHeader/>
        </w:trPr>
        <w:tc>
          <w:tcPr>
            <w:tcW w:w="1159" w:type="pct"/>
          </w:tcPr>
          <w:p w:rsidR="001A6FF0" w:rsidRDefault="001A6FF0" w:rsidP="00563A77">
            <w:pPr>
              <w:pStyle w:val="Tabletext1"/>
              <w:keepNext/>
              <w:rPr>
                <w:b/>
                <w:lang w:eastAsia="en-US"/>
              </w:rPr>
            </w:pPr>
            <w:r>
              <w:rPr>
                <w:b/>
                <w:lang w:eastAsia="en-US"/>
              </w:rPr>
              <w:t>Study</w:t>
            </w:r>
          </w:p>
          <w:p w:rsidR="001A6FF0" w:rsidRDefault="001A6FF0" w:rsidP="00563A77">
            <w:pPr>
              <w:pStyle w:val="Tabletext1"/>
              <w:keepNext/>
              <w:rPr>
                <w:b/>
                <w:lang w:eastAsia="en-US"/>
              </w:rPr>
            </w:pPr>
            <w:r>
              <w:rPr>
                <w:b/>
                <w:lang w:eastAsia="en-US"/>
              </w:rPr>
              <w:t>Measure</w:t>
            </w:r>
          </w:p>
        </w:tc>
        <w:tc>
          <w:tcPr>
            <w:tcW w:w="768" w:type="pct"/>
          </w:tcPr>
          <w:p w:rsidR="001A6FF0" w:rsidRPr="008F5C81" w:rsidRDefault="001A6FF0" w:rsidP="00563A77">
            <w:pPr>
              <w:pStyle w:val="Tabletext1"/>
              <w:keepNext/>
              <w:rPr>
                <w:b/>
                <w:lang w:eastAsia="en-US"/>
              </w:rPr>
            </w:pPr>
            <w:r>
              <w:rPr>
                <w:b/>
                <w:lang w:eastAsia="en-US"/>
              </w:rPr>
              <w:t xml:space="preserve">Patient </w:t>
            </w:r>
          </w:p>
        </w:tc>
        <w:tc>
          <w:tcPr>
            <w:tcW w:w="768" w:type="pct"/>
          </w:tcPr>
          <w:p w:rsidR="001A6FF0" w:rsidRPr="008F5C81" w:rsidRDefault="001A6FF0" w:rsidP="00563A77">
            <w:pPr>
              <w:pStyle w:val="Tabletext1"/>
              <w:keepNext/>
              <w:rPr>
                <w:b/>
                <w:lang w:eastAsia="en-US"/>
              </w:rPr>
            </w:pPr>
            <w:r w:rsidRPr="008F5C81">
              <w:rPr>
                <w:b/>
                <w:lang w:eastAsia="en-US"/>
              </w:rPr>
              <w:t>Baseline</w:t>
            </w:r>
          </w:p>
        </w:tc>
        <w:tc>
          <w:tcPr>
            <w:tcW w:w="768" w:type="pct"/>
            <w:tcBorders>
              <w:right w:val="single" w:sz="4" w:space="0" w:color="auto"/>
            </w:tcBorders>
          </w:tcPr>
          <w:p w:rsidR="001A6FF0" w:rsidRPr="008F5C81" w:rsidRDefault="001A6FF0" w:rsidP="00563A77">
            <w:pPr>
              <w:pStyle w:val="Tabletext1"/>
              <w:keepNext/>
              <w:rPr>
                <w:b/>
                <w:lang w:eastAsia="en-US"/>
              </w:rPr>
            </w:pPr>
            <w:r>
              <w:rPr>
                <w:b/>
                <w:lang w:eastAsia="en-US"/>
              </w:rPr>
              <w:t>Duration of treatment</w:t>
            </w:r>
          </w:p>
        </w:tc>
        <w:tc>
          <w:tcPr>
            <w:tcW w:w="768" w:type="pct"/>
            <w:tcBorders>
              <w:right w:val="single" w:sz="4" w:space="0" w:color="auto"/>
            </w:tcBorders>
          </w:tcPr>
          <w:p w:rsidR="001A6FF0" w:rsidRPr="008F5C81" w:rsidRDefault="001A6FF0" w:rsidP="00563A77">
            <w:pPr>
              <w:pStyle w:val="Tabletext1"/>
              <w:keepNext/>
              <w:rPr>
                <w:b/>
                <w:lang w:eastAsia="en-US"/>
              </w:rPr>
            </w:pPr>
            <w:r>
              <w:rPr>
                <w:b/>
                <w:lang w:eastAsia="en-US"/>
              </w:rPr>
              <w:t>Follow-up</w:t>
            </w:r>
          </w:p>
        </w:tc>
        <w:tc>
          <w:tcPr>
            <w:tcW w:w="768" w:type="pct"/>
            <w:tcBorders>
              <w:left w:val="single" w:sz="4" w:space="0" w:color="auto"/>
            </w:tcBorders>
          </w:tcPr>
          <w:p w:rsidR="001A6FF0" w:rsidRPr="008F5C81" w:rsidRDefault="001A6FF0" w:rsidP="00563A77">
            <w:pPr>
              <w:pStyle w:val="Tabletext1"/>
              <w:keepNext/>
              <w:rPr>
                <w:b/>
                <w:lang w:eastAsia="en-US"/>
              </w:rPr>
            </w:pPr>
            <w:r>
              <w:rPr>
                <w:b/>
                <w:lang w:eastAsia="en-US"/>
              </w:rPr>
              <w:t>Change</w:t>
            </w:r>
          </w:p>
        </w:tc>
      </w:tr>
      <w:tr w:rsidR="001A6FF0" w:rsidTr="008023D1">
        <w:tc>
          <w:tcPr>
            <w:tcW w:w="1159" w:type="pct"/>
          </w:tcPr>
          <w:p w:rsidR="001A6FF0" w:rsidRPr="008348A0" w:rsidRDefault="001A6FF0" w:rsidP="00563A77">
            <w:pPr>
              <w:pStyle w:val="Tabletext1"/>
              <w:keepNext/>
              <w:rPr>
                <w:lang w:eastAsia="en-US"/>
              </w:rPr>
            </w:pPr>
            <w:r>
              <w:rPr>
                <w:lang w:eastAsia="en-US"/>
              </w:rPr>
              <w:t>v</w:t>
            </w:r>
            <w:r w:rsidRPr="008348A0">
              <w:rPr>
                <w:lang w:eastAsia="en-US"/>
              </w:rPr>
              <w:t xml:space="preserve">an Capelle </w:t>
            </w:r>
            <w:r>
              <w:rPr>
                <w:lang w:eastAsia="en-US"/>
              </w:rPr>
              <w:t xml:space="preserve">et al </w:t>
            </w:r>
            <w:r w:rsidRPr="008348A0">
              <w:rPr>
                <w:lang w:eastAsia="en-US"/>
              </w:rPr>
              <w:t>2008</w:t>
            </w:r>
          </w:p>
          <w:p w:rsidR="001A6FF0" w:rsidRDefault="001A6FF0" w:rsidP="00563A77">
            <w:pPr>
              <w:pStyle w:val="Tabletext1"/>
              <w:keepNext/>
              <w:rPr>
                <w:lang w:eastAsia="en-US"/>
              </w:rPr>
            </w:pPr>
            <w:r w:rsidRPr="008348A0">
              <w:rPr>
                <w:lang w:eastAsia="en-US"/>
              </w:rPr>
              <w:t>Fatigue</w:t>
            </w:r>
            <w:r>
              <w:rPr>
                <w:vertAlign w:val="superscript"/>
                <w:lang w:eastAsia="en-US"/>
              </w:rPr>
              <w:t xml:space="preserve">a  </w:t>
            </w:r>
            <w:r w:rsidRPr="008348A0">
              <w:rPr>
                <w:lang w:eastAsia="en-US"/>
              </w:rPr>
              <w:t>(FSS)</w:t>
            </w:r>
          </w:p>
        </w:tc>
        <w:tc>
          <w:tcPr>
            <w:tcW w:w="768" w:type="pct"/>
          </w:tcPr>
          <w:p w:rsidR="001A6FF0" w:rsidRDefault="001A6FF0" w:rsidP="00563A77">
            <w:pPr>
              <w:pStyle w:val="Tabletext1"/>
              <w:keepNext/>
              <w:rPr>
                <w:lang w:eastAsia="en-US"/>
              </w:rPr>
            </w:pPr>
            <w:r>
              <w:rPr>
                <w:lang w:eastAsia="en-US"/>
              </w:rPr>
              <w:t>Patient 1</w:t>
            </w:r>
          </w:p>
          <w:p w:rsidR="001A6FF0" w:rsidRDefault="001A6FF0" w:rsidP="00563A77">
            <w:pPr>
              <w:pStyle w:val="Tabletext1"/>
              <w:keepNext/>
              <w:rPr>
                <w:lang w:eastAsia="en-US"/>
              </w:rPr>
            </w:pPr>
          </w:p>
          <w:p w:rsidR="001A6FF0" w:rsidRDefault="001A6FF0" w:rsidP="00563A77">
            <w:pPr>
              <w:pStyle w:val="Tabletext1"/>
              <w:keepNext/>
              <w:rPr>
                <w:lang w:eastAsia="en-US"/>
              </w:rPr>
            </w:pPr>
            <w:r>
              <w:rPr>
                <w:lang w:eastAsia="en-US"/>
              </w:rPr>
              <w:t>Patient 2</w:t>
            </w:r>
          </w:p>
        </w:tc>
        <w:tc>
          <w:tcPr>
            <w:tcW w:w="768" w:type="pct"/>
          </w:tcPr>
          <w:p w:rsidR="001A6FF0" w:rsidRDefault="001A6FF0" w:rsidP="00563A77">
            <w:pPr>
              <w:pStyle w:val="Tabletext1"/>
              <w:keepNext/>
              <w:rPr>
                <w:lang w:eastAsia="en-US"/>
              </w:rPr>
            </w:pPr>
            <w:r>
              <w:rPr>
                <w:lang w:eastAsia="en-US"/>
              </w:rPr>
              <w:t>NR</w:t>
            </w:r>
          </w:p>
          <w:p w:rsidR="001A6FF0" w:rsidRDefault="001A6FF0" w:rsidP="00563A77">
            <w:pPr>
              <w:pStyle w:val="Tabletext1"/>
              <w:keepNext/>
              <w:rPr>
                <w:lang w:eastAsia="en-US"/>
              </w:rPr>
            </w:pPr>
          </w:p>
          <w:p w:rsidR="001A6FF0" w:rsidRDefault="001A6FF0" w:rsidP="00563A77">
            <w:pPr>
              <w:pStyle w:val="Tabletext1"/>
              <w:keepNext/>
              <w:rPr>
                <w:lang w:eastAsia="en-US"/>
              </w:rPr>
            </w:pPr>
            <w:r>
              <w:rPr>
                <w:lang w:eastAsia="en-US"/>
              </w:rPr>
              <w:t>NR</w:t>
            </w:r>
          </w:p>
        </w:tc>
        <w:tc>
          <w:tcPr>
            <w:tcW w:w="768" w:type="pct"/>
            <w:tcBorders>
              <w:right w:val="single" w:sz="4" w:space="0" w:color="auto"/>
            </w:tcBorders>
          </w:tcPr>
          <w:p w:rsidR="001A6FF0" w:rsidRDefault="001A6FF0" w:rsidP="00563A77">
            <w:pPr>
              <w:pStyle w:val="Tabletext1"/>
              <w:keepNext/>
              <w:rPr>
                <w:lang w:eastAsia="en-US"/>
              </w:rPr>
            </w:pPr>
            <w:r>
              <w:rPr>
                <w:lang w:eastAsia="en-US"/>
              </w:rPr>
              <w:t>3 years</w:t>
            </w:r>
          </w:p>
          <w:p w:rsidR="001A6FF0" w:rsidRDefault="001A6FF0" w:rsidP="00563A77">
            <w:pPr>
              <w:pStyle w:val="Tabletext1"/>
              <w:keepNext/>
              <w:rPr>
                <w:lang w:eastAsia="en-US"/>
              </w:rPr>
            </w:pPr>
            <w:r>
              <w:rPr>
                <w:lang w:eastAsia="en-US"/>
              </w:rPr>
              <w:t>8 years</w:t>
            </w:r>
          </w:p>
          <w:p w:rsidR="001A6FF0" w:rsidRDefault="001A6FF0" w:rsidP="00563A77">
            <w:pPr>
              <w:pStyle w:val="Tabletext1"/>
              <w:keepNext/>
              <w:rPr>
                <w:lang w:eastAsia="en-US"/>
              </w:rPr>
            </w:pPr>
            <w:r>
              <w:rPr>
                <w:lang w:eastAsia="en-US"/>
              </w:rPr>
              <w:t>3 years</w:t>
            </w:r>
          </w:p>
          <w:p w:rsidR="001A6FF0" w:rsidRDefault="001A6FF0" w:rsidP="00563A77">
            <w:pPr>
              <w:pStyle w:val="Tabletext1"/>
              <w:keepNext/>
              <w:rPr>
                <w:lang w:eastAsia="en-US"/>
              </w:rPr>
            </w:pPr>
            <w:r>
              <w:rPr>
                <w:lang w:eastAsia="en-US"/>
              </w:rPr>
              <w:t>8 years</w:t>
            </w:r>
          </w:p>
        </w:tc>
        <w:tc>
          <w:tcPr>
            <w:tcW w:w="768" w:type="pct"/>
            <w:tcBorders>
              <w:right w:val="single" w:sz="4" w:space="0" w:color="auto"/>
            </w:tcBorders>
          </w:tcPr>
          <w:p w:rsidR="001A6FF0" w:rsidRDefault="001A6FF0" w:rsidP="00563A77">
            <w:pPr>
              <w:pStyle w:val="Tabletext1"/>
              <w:keepNext/>
              <w:rPr>
                <w:lang w:eastAsia="en-US"/>
              </w:rPr>
            </w:pPr>
            <w:r>
              <w:rPr>
                <w:lang w:eastAsia="en-US"/>
              </w:rPr>
              <w:t>5.6</w:t>
            </w:r>
          </w:p>
          <w:p w:rsidR="001A6FF0" w:rsidRDefault="001A6FF0" w:rsidP="00563A77">
            <w:pPr>
              <w:pStyle w:val="Tabletext1"/>
              <w:keepNext/>
              <w:rPr>
                <w:lang w:eastAsia="en-US"/>
              </w:rPr>
            </w:pPr>
            <w:r>
              <w:rPr>
                <w:lang w:eastAsia="en-US"/>
              </w:rPr>
              <w:t>3.9</w:t>
            </w:r>
          </w:p>
          <w:p w:rsidR="001A6FF0" w:rsidRDefault="001A6FF0" w:rsidP="00563A77">
            <w:pPr>
              <w:pStyle w:val="Tabletext1"/>
              <w:keepNext/>
              <w:rPr>
                <w:lang w:eastAsia="en-US"/>
              </w:rPr>
            </w:pPr>
            <w:r>
              <w:rPr>
                <w:lang w:eastAsia="en-US"/>
              </w:rPr>
              <w:t>6</w:t>
            </w:r>
          </w:p>
          <w:p w:rsidR="001A6FF0" w:rsidRDefault="001A6FF0" w:rsidP="00563A77">
            <w:pPr>
              <w:pStyle w:val="Tabletext1"/>
              <w:keepNext/>
              <w:rPr>
                <w:lang w:eastAsia="en-US"/>
              </w:rPr>
            </w:pPr>
            <w:r>
              <w:rPr>
                <w:lang w:eastAsia="en-US"/>
              </w:rPr>
              <w:t>4.2</w:t>
            </w:r>
          </w:p>
        </w:tc>
        <w:tc>
          <w:tcPr>
            <w:tcW w:w="768" w:type="pct"/>
            <w:tcBorders>
              <w:left w:val="single" w:sz="4" w:space="0" w:color="auto"/>
            </w:tcBorders>
          </w:tcPr>
          <w:p w:rsidR="001A6FF0" w:rsidRDefault="001A6FF0" w:rsidP="00563A77">
            <w:pPr>
              <w:pStyle w:val="Tabletext1"/>
              <w:keepNext/>
              <w:rPr>
                <w:lang w:eastAsia="en-US"/>
              </w:rPr>
            </w:pPr>
            <w:r>
              <w:rPr>
                <w:lang w:eastAsia="en-US"/>
              </w:rPr>
              <w:t>NR</w:t>
            </w:r>
          </w:p>
          <w:p w:rsidR="001A6FF0" w:rsidRDefault="001A6FF0" w:rsidP="00563A77">
            <w:pPr>
              <w:pStyle w:val="Tabletext1"/>
              <w:keepNext/>
              <w:rPr>
                <w:lang w:eastAsia="en-US"/>
              </w:rPr>
            </w:pPr>
            <w:r>
              <w:rPr>
                <w:lang w:eastAsia="en-US"/>
              </w:rPr>
              <w:t>NR</w:t>
            </w:r>
          </w:p>
          <w:p w:rsidR="001A6FF0" w:rsidRDefault="001A6FF0" w:rsidP="00563A77">
            <w:pPr>
              <w:pStyle w:val="Tabletext1"/>
              <w:keepNext/>
              <w:rPr>
                <w:lang w:eastAsia="en-US"/>
              </w:rPr>
            </w:pPr>
            <w:r>
              <w:rPr>
                <w:lang w:eastAsia="en-US"/>
              </w:rPr>
              <w:t>NR</w:t>
            </w:r>
          </w:p>
          <w:p w:rsidR="001A6FF0" w:rsidRDefault="001A6FF0" w:rsidP="00563A77">
            <w:pPr>
              <w:pStyle w:val="Tabletext1"/>
              <w:keepNext/>
              <w:rPr>
                <w:lang w:eastAsia="en-US"/>
              </w:rPr>
            </w:pPr>
            <w:r>
              <w:rPr>
                <w:lang w:eastAsia="en-US"/>
              </w:rPr>
              <w:t>NR</w:t>
            </w:r>
          </w:p>
        </w:tc>
      </w:tr>
      <w:tr w:rsidR="001A6FF0" w:rsidTr="008023D1">
        <w:tc>
          <w:tcPr>
            <w:tcW w:w="1159" w:type="pct"/>
          </w:tcPr>
          <w:p w:rsidR="001A6FF0" w:rsidRDefault="001A6FF0" w:rsidP="00563A77">
            <w:pPr>
              <w:pStyle w:val="Tabletext1"/>
              <w:keepNext/>
              <w:rPr>
                <w:lang w:eastAsia="en-US"/>
              </w:rPr>
            </w:pPr>
            <w:r>
              <w:rPr>
                <w:lang w:eastAsia="en-US"/>
              </w:rPr>
              <w:t>Orlikowski et al 2011</w:t>
            </w:r>
          </w:p>
          <w:p w:rsidR="001A6FF0" w:rsidRDefault="001A6FF0" w:rsidP="00563A77">
            <w:pPr>
              <w:pStyle w:val="Tabletext1"/>
              <w:keepNext/>
              <w:rPr>
                <w:lang w:eastAsia="en-US"/>
              </w:rPr>
            </w:pPr>
            <w:r>
              <w:rPr>
                <w:lang w:eastAsia="en-US"/>
              </w:rPr>
              <w:t>Fatigue (FSS)</w:t>
            </w:r>
          </w:p>
        </w:tc>
        <w:tc>
          <w:tcPr>
            <w:tcW w:w="768" w:type="pct"/>
          </w:tcPr>
          <w:p w:rsidR="001A6FF0" w:rsidRDefault="001A6FF0" w:rsidP="00563A77">
            <w:pPr>
              <w:pStyle w:val="Tabletext1"/>
              <w:keepNext/>
              <w:rPr>
                <w:lang w:eastAsia="en-US"/>
              </w:rPr>
            </w:pPr>
            <w:r>
              <w:rPr>
                <w:lang w:eastAsia="en-US"/>
              </w:rPr>
              <w:t>Patient 1</w:t>
            </w:r>
          </w:p>
          <w:p w:rsidR="001A6FF0" w:rsidRDefault="001A6FF0" w:rsidP="00563A77">
            <w:pPr>
              <w:pStyle w:val="Tabletext1"/>
              <w:keepNext/>
              <w:rPr>
                <w:lang w:eastAsia="en-US"/>
              </w:rPr>
            </w:pPr>
            <w:r>
              <w:rPr>
                <w:lang w:eastAsia="en-US"/>
              </w:rPr>
              <w:t>Patient 5</w:t>
            </w:r>
          </w:p>
        </w:tc>
        <w:tc>
          <w:tcPr>
            <w:tcW w:w="768" w:type="pct"/>
          </w:tcPr>
          <w:p w:rsidR="001A6FF0" w:rsidRDefault="001A6FF0" w:rsidP="00563A77">
            <w:pPr>
              <w:pStyle w:val="Tabletext1"/>
              <w:keepNext/>
              <w:rPr>
                <w:lang w:eastAsia="en-US"/>
              </w:rPr>
            </w:pPr>
            <w:r>
              <w:rPr>
                <w:lang w:eastAsia="en-US"/>
              </w:rPr>
              <w:t>4.6</w:t>
            </w:r>
          </w:p>
          <w:p w:rsidR="001A6FF0" w:rsidRDefault="001A6FF0" w:rsidP="00563A77">
            <w:pPr>
              <w:pStyle w:val="Tabletext1"/>
              <w:keepNext/>
              <w:rPr>
                <w:lang w:eastAsia="en-US"/>
              </w:rPr>
            </w:pPr>
            <w:r>
              <w:rPr>
                <w:lang w:eastAsia="en-US"/>
              </w:rPr>
              <w:t>4.7</w:t>
            </w:r>
          </w:p>
        </w:tc>
        <w:tc>
          <w:tcPr>
            <w:tcW w:w="768" w:type="pct"/>
            <w:tcBorders>
              <w:right w:val="single" w:sz="4" w:space="0" w:color="auto"/>
            </w:tcBorders>
          </w:tcPr>
          <w:p w:rsidR="001A6FF0" w:rsidRDefault="001A6FF0" w:rsidP="00563A77">
            <w:pPr>
              <w:pStyle w:val="Tabletext1"/>
              <w:keepNext/>
              <w:rPr>
                <w:lang w:eastAsia="en-US"/>
              </w:rPr>
            </w:pPr>
            <w:r>
              <w:rPr>
                <w:lang w:eastAsia="en-US"/>
              </w:rPr>
              <w:t>1 year</w:t>
            </w:r>
          </w:p>
          <w:p w:rsidR="001A6FF0" w:rsidRDefault="001A6FF0" w:rsidP="00563A77">
            <w:pPr>
              <w:pStyle w:val="Tabletext1"/>
              <w:keepNext/>
              <w:rPr>
                <w:lang w:eastAsia="en-US"/>
              </w:rPr>
            </w:pPr>
            <w:r>
              <w:rPr>
                <w:lang w:eastAsia="en-US"/>
              </w:rPr>
              <w:t>1 year</w:t>
            </w:r>
          </w:p>
        </w:tc>
        <w:tc>
          <w:tcPr>
            <w:tcW w:w="768" w:type="pct"/>
            <w:tcBorders>
              <w:right w:val="single" w:sz="4" w:space="0" w:color="auto"/>
            </w:tcBorders>
          </w:tcPr>
          <w:p w:rsidR="001A6FF0" w:rsidRDefault="001A6FF0" w:rsidP="00563A77">
            <w:pPr>
              <w:pStyle w:val="Tabletext1"/>
              <w:keepNext/>
              <w:rPr>
                <w:lang w:eastAsia="en-US"/>
              </w:rPr>
            </w:pPr>
            <w:r>
              <w:rPr>
                <w:lang w:eastAsia="en-US"/>
              </w:rPr>
              <w:t>3.1</w:t>
            </w:r>
          </w:p>
          <w:p w:rsidR="001A6FF0" w:rsidRDefault="001A6FF0" w:rsidP="00563A77">
            <w:pPr>
              <w:pStyle w:val="Tabletext1"/>
              <w:keepNext/>
              <w:rPr>
                <w:lang w:eastAsia="en-US"/>
              </w:rPr>
            </w:pPr>
            <w:r>
              <w:rPr>
                <w:lang w:eastAsia="en-US"/>
              </w:rPr>
              <w:t>3.2</w:t>
            </w:r>
          </w:p>
        </w:tc>
        <w:tc>
          <w:tcPr>
            <w:tcW w:w="768" w:type="pct"/>
            <w:tcBorders>
              <w:left w:val="single" w:sz="4" w:space="0" w:color="auto"/>
            </w:tcBorders>
          </w:tcPr>
          <w:p w:rsidR="001A6FF0" w:rsidRDefault="001A6FF0" w:rsidP="00563A77">
            <w:pPr>
              <w:pStyle w:val="Tabletext1"/>
              <w:keepNext/>
              <w:rPr>
                <w:lang w:eastAsia="en-US"/>
              </w:rPr>
            </w:pPr>
            <w:r>
              <w:rPr>
                <w:lang w:eastAsia="en-US"/>
              </w:rPr>
              <w:t>-1.5</w:t>
            </w:r>
          </w:p>
          <w:p w:rsidR="001A6FF0" w:rsidRDefault="001A6FF0" w:rsidP="00563A77">
            <w:pPr>
              <w:pStyle w:val="Tabletext1"/>
              <w:keepNext/>
              <w:rPr>
                <w:lang w:eastAsia="en-US"/>
              </w:rPr>
            </w:pPr>
            <w:r>
              <w:rPr>
                <w:lang w:eastAsia="en-US"/>
              </w:rPr>
              <w:t>-1.5</w:t>
            </w:r>
          </w:p>
        </w:tc>
      </w:tr>
      <w:tr w:rsidR="001A6FF0" w:rsidTr="008023D1">
        <w:tc>
          <w:tcPr>
            <w:tcW w:w="1159" w:type="pct"/>
          </w:tcPr>
          <w:p w:rsidR="001A6FF0" w:rsidRDefault="001A6FF0" w:rsidP="00563A77">
            <w:pPr>
              <w:pStyle w:val="Tabletext1"/>
              <w:keepNext/>
              <w:rPr>
                <w:lang w:eastAsia="en-US"/>
              </w:rPr>
            </w:pPr>
            <w:r>
              <w:rPr>
                <w:lang w:eastAsia="en-US"/>
              </w:rPr>
              <w:t>Papadimas et al 2011</w:t>
            </w:r>
          </w:p>
          <w:p w:rsidR="001A6FF0" w:rsidRDefault="001A6FF0" w:rsidP="00563A77">
            <w:pPr>
              <w:pStyle w:val="Tabletext1"/>
              <w:keepNext/>
              <w:rPr>
                <w:lang w:eastAsia="en-US"/>
              </w:rPr>
            </w:pPr>
            <w:r>
              <w:rPr>
                <w:lang w:eastAsia="en-US"/>
              </w:rPr>
              <w:t>Fatigue (FSS)</w:t>
            </w:r>
          </w:p>
        </w:tc>
        <w:tc>
          <w:tcPr>
            <w:tcW w:w="768" w:type="pct"/>
          </w:tcPr>
          <w:p w:rsidR="001A6FF0" w:rsidRDefault="001A6FF0" w:rsidP="00563A77">
            <w:pPr>
              <w:pStyle w:val="Tabletext1"/>
              <w:keepNext/>
              <w:rPr>
                <w:lang w:eastAsia="en-US"/>
              </w:rPr>
            </w:pPr>
            <w:r>
              <w:rPr>
                <w:lang w:eastAsia="en-US"/>
              </w:rPr>
              <w:t>Patient 2</w:t>
            </w:r>
          </w:p>
        </w:tc>
        <w:tc>
          <w:tcPr>
            <w:tcW w:w="768" w:type="pct"/>
          </w:tcPr>
          <w:p w:rsidR="001A6FF0" w:rsidRDefault="001A6FF0" w:rsidP="00563A77">
            <w:pPr>
              <w:pStyle w:val="Tabletext1"/>
              <w:keepNext/>
              <w:rPr>
                <w:lang w:eastAsia="en-US"/>
              </w:rPr>
            </w:pPr>
            <w:r>
              <w:rPr>
                <w:lang w:eastAsia="en-US"/>
              </w:rPr>
              <w:t>5.9</w:t>
            </w:r>
          </w:p>
        </w:tc>
        <w:tc>
          <w:tcPr>
            <w:tcW w:w="768" w:type="pct"/>
            <w:tcBorders>
              <w:right w:val="single" w:sz="4" w:space="0" w:color="auto"/>
            </w:tcBorders>
          </w:tcPr>
          <w:p w:rsidR="001A6FF0" w:rsidRDefault="001A6FF0" w:rsidP="00563A77">
            <w:pPr>
              <w:pStyle w:val="Tabletext1"/>
              <w:keepNext/>
              <w:rPr>
                <w:lang w:eastAsia="en-US"/>
              </w:rPr>
            </w:pPr>
            <w:r>
              <w:rPr>
                <w:lang w:eastAsia="en-US"/>
              </w:rPr>
              <w:t>3 years</w:t>
            </w:r>
          </w:p>
        </w:tc>
        <w:tc>
          <w:tcPr>
            <w:tcW w:w="768" w:type="pct"/>
            <w:tcBorders>
              <w:right w:val="single" w:sz="4" w:space="0" w:color="auto"/>
            </w:tcBorders>
          </w:tcPr>
          <w:p w:rsidR="001A6FF0" w:rsidRDefault="001A6FF0" w:rsidP="00563A77">
            <w:pPr>
              <w:pStyle w:val="Tabletext1"/>
              <w:keepNext/>
              <w:rPr>
                <w:lang w:eastAsia="en-US"/>
              </w:rPr>
            </w:pPr>
            <w:r>
              <w:rPr>
                <w:lang w:eastAsia="en-US"/>
              </w:rPr>
              <w:t>4.9</w:t>
            </w:r>
          </w:p>
        </w:tc>
        <w:tc>
          <w:tcPr>
            <w:tcW w:w="768" w:type="pct"/>
            <w:tcBorders>
              <w:left w:val="single" w:sz="4" w:space="0" w:color="auto"/>
            </w:tcBorders>
          </w:tcPr>
          <w:p w:rsidR="001A6FF0" w:rsidRDefault="001A6FF0" w:rsidP="00563A77">
            <w:pPr>
              <w:pStyle w:val="Tabletext1"/>
              <w:keepNext/>
              <w:rPr>
                <w:lang w:eastAsia="en-US"/>
              </w:rPr>
            </w:pPr>
            <w:r>
              <w:rPr>
                <w:lang w:eastAsia="en-US"/>
              </w:rPr>
              <w:t>-1.0</w:t>
            </w:r>
          </w:p>
        </w:tc>
      </w:tr>
    </w:tbl>
    <w:p w:rsidR="001A6FF0" w:rsidRDefault="001A6FF0" w:rsidP="001A6FF0">
      <w:pPr>
        <w:pStyle w:val="TableNote"/>
        <w:rPr>
          <w:lang w:eastAsia="en-US"/>
        </w:rPr>
      </w:pPr>
      <w:r>
        <w:rPr>
          <w:lang w:eastAsia="en-US"/>
        </w:rPr>
        <w:t>ERT = enzyme replacement therapy; FSS = Fatigue severity scale; NR = not reported</w:t>
      </w:r>
    </w:p>
    <w:p w:rsidR="001A6FF0" w:rsidRPr="00232348" w:rsidRDefault="001A6FF0" w:rsidP="0025188D">
      <w:pPr>
        <w:pStyle w:val="TableNote"/>
        <w:ind w:left="0" w:firstLine="0"/>
        <w:rPr>
          <w:lang w:eastAsia="en-US"/>
        </w:rPr>
      </w:pPr>
      <w:proofErr w:type="gramStart"/>
      <w:r>
        <w:rPr>
          <w:vertAlign w:val="superscript"/>
          <w:lang w:eastAsia="en-US"/>
        </w:rPr>
        <w:t>a</w:t>
      </w:r>
      <w:proofErr w:type="gramEnd"/>
      <w:r w:rsidR="0025188D">
        <w:rPr>
          <w:lang w:eastAsia="en-US"/>
        </w:rPr>
        <w:t xml:space="preserve"> R</w:t>
      </w:r>
      <w:r>
        <w:rPr>
          <w:lang w:eastAsia="en-US"/>
        </w:rPr>
        <w:t>eference value 2.9 (general population)</w:t>
      </w:r>
      <w:r w:rsidR="00B62380">
        <w:rPr>
          <w:lang w:eastAsia="en-US"/>
        </w:rPr>
        <w:t>; scale 1 to 7, where 1 = no fatigue or interference from fatigue in everyday life, and 7 = large amount of fatigue and interference with functioning from fatigue in everyday life</w:t>
      </w:r>
    </w:p>
    <w:p w:rsidR="001A6FF0" w:rsidRDefault="001A6FF0" w:rsidP="001A6FF0">
      <w:pPr>
        <w:spacing w:after="0" w:line="240" w:lineRule="auto"/>
      </w:pPr>
    </w:p>
    <w:p w:rsidR="001A6FF0" w:rsidRPr="008635B0" w:rsidRDefault="001A6FF0" w:rsidP="00EC5DFF">
      <w:pPr>
        <w:pStyle w:val="Heading5"/>
      </w:pPr>
      <w:r w:rsidRPr="008635B0">
        <w:t xml:space="preserve">Summary of </w:t>
      </w:r>
      <w:r w:rsidR="00793A68">
        <w:t>gross motor function</w:t>
      </w:r>
    </w:p>
    <w:p w:rsidR="001A6FF0" w:rsidRPr="00155E84" w:rsidRDefault="00AB2FF7" w:rsidP="00155E84">
      <w:r>
        <w:t xml:space="preserve">The collection of case reports and one case series were relatively consistent across outcome measures, that on average, patients with JOPD experienced improvements in muscle functioning and strength with alglucosidase alfa compared to baseline figures, prior to receiving treatment. </w:t>
      </w:r>
      <w:r w:rsidR="008635B0">
        <w:t xml:space="preserve">Only one patient deteriorated from baseline on a muscle functioning measure, and all other patients, on all other muscle functioning/strength outcomes either remained or stable or improved. </w:t>
      </w:r>
      <w:r>
        <w:t>The improvements were larger in patients who had less severe JOPD at baseline, and who were treated at an earlier age</w:t>
      </w:r>
      <w:r w:rsidR="008635B0">
        <w:t xml:space="preserve"> </w:t>
      </w:r>
      <w:r w:rsidR="008635B0" w:rsidRPr="00FE08CA">
        <w:t xml:space="preserve">(GRADE </w:t>
      </w:r>
      <w:r w:rsidR="008635B0" w:rsidRPr="00FE08CA">
        <w:rPr>
          <w:rFonts w:ascii="Cambria Math" w:hAnsi="Cambria Math" w:cs="Cambria Math"/>
          <w:color w:val="00B050"/>
        </w:rPr>
        <w:t>⨁</w:t>
      </w:r>
      <w:r w:rsidR="008635B0" w:rsidRPr="00FE08CA">
        <w:rPr>
          <w:rFonts w:ascii="Cambria Math" w:hAnsi="Cambria Math" w:cs="Cambria Math"/>
          <w:color w:val="C00000"/>
        </w:rPr>
        <w:t>⨀⨀⨀</w:t>
      </w:r>
      <w:r w:rsidR="008635B0" w:rsidRPr="00FE08CA">
        <w:rPr>
          <w:rFonts w:cs="Cambria Math"/>
          <w:spacing w:val="-20"/>
        </w:rPr>
        <w:t>)</w:t>
      </w:r>
      <w:r>
        <w:t xml:space="preserve">. </w:t>
      </w:r>
    </w:p>
    <w:p w:rsidR="001A6FF0" w:rsidRPr="001C1176" w:rsidRDefault="00793A68" w:rsidP="00EC5DFF">
      <w:pPr>
        <w:pStyle w:val="Heading5"/>
      </w:pPr>
      <w:r>
        <w:t>Swallowing and g</w:t>
      </w:r>
      <w:r w:rsidR="001A6FF0" w:rsidRPr="001C1176">
        <w:t>astrointestinal symptoms</w:t>
      </w:r>
    </w:p>
    <w:p w:rsidR="001A6FF0" w:rsidRDefault="001A6FF0" w:rsidP="001A6FF0">
      <w:r>
        <w:t xml:space="preserve">Poor digestive function and weight loss are common symptoms among PD patients. Three case studies published data on gastrointestinal symptoms in a total of five JOPD cases </w:t>
      </w:r>
      <w:r>
        <w:rPr>
          <w:noProof/>
        </w:rPr>
        <w:t>(</w:t>
      </w:r>
      <w:r w:rsidR="00184B6F">
        <w:rPr>
          <w:noProof/>
        </w:rPr>
        <w:t>Bernstein et al. 2010</w:t>
      </w:r>
      <w:r>
        <w:rPr>
          <w:noProof/>
        </w:rPr>
        <w:t xml:space="preserve">; </w:t>
      </w:r>
      <w:r w:rsidR="00184B6F">
        <w:rPr>
          <w:noProof/>
        </w:rPr>
        <w:t>Fecarotta et al. 2013</w:t>
      </w:r>
      <w:r>
        <w:rPr>
          <w:noProof/>
        </w:rPr>
        <w:t xml:space="preserve">; </w:t>
      </w:r>
      <w:r w:rsidR="00184B6F">
        <w:rPr>
          <w:noProof/>
        </w:rPr>
        <w:t>Sugai et al. 2010</w:t>
      </w:r>
      <w:r>
        <w:rPr>
          <w:noProof/>
        </w:rPr>
        <w:t>)</w:t>
      </w:r>
      <w:r>
        <w:t xml:space="preserve">. Bernstein et al 2010 recorded time to resolution of gastrointestinal symptoms in three JOPD patients and found that all </w:t>
      </w:r>
      <w:r>
        <w:lastRenderedPageBreak/>
        <w:t>symptoms were resolved after initiation of ERT in 3 to 10 months (</w:t>
      </w:r>
      <w:r w:rsidR="00A72B26" w:rsidRPr="007D26FA">
        <w:t xml:space="preserve">Table </w:t>
      </w:r>
      <w:r w:rsidR="00A72B26">
        <w:t>89</w:t>
      </w:r>
      <w:r>
        <w:t>)</w:t>
      </w:r>
      <w:r w:rsidR="008635B0">
        <w:t xml:space="preserve"> </w:t>
      </w:r>
      <w:r w:rsidR="008635B0" w:rsidRPr="00FE08CA">
        <w:t xml:space="preserve">(GRADE </w:t>
      </w:r>
      <w:r w:rsidR="008635B0" w:rsidRPr="00FE08CA">
        <w:rPr>
          <w:rFonts w:ascii="Cambria Math" w:hAnsi="Cambria Math" w:cs="Cambria Math"/>
          <w:color w:val="00B050"/>
        </w:rPr>
        <w:t>⨁</w:t>
      </w:r>
      <w:r w:rsidR="008635B0" w:rsidRPr="00FE08CA">
        <w:rPr>
          <w:rFonts w:ascii="Cambria Math" w:hAnsi="Cambria Math" w:cs="Cambria Math"/>
          <w:color w:val="C00000"/>
        </w:rPr>
        <w:t>⨀⨀⨀</w:t>
      </w:r>
      <w:r w:rsidR="008635B0" w:rsidRPr="00FE08CA">
        <w:rPr>
          <w:rFonts w:cs="Cambria Math"/>
          <w:spacing w:val="-20"/>
        </w:rPr>
        <w:t>)</w:t>
      </w:r>
      <w:r w:rsidR="00793A68">
        <w:t>.</w:t>
      </w:r>
      <w:r>
        <w:t xml:space="preserve"> The same three patients were found to have gained weight after 6-12 months on ERT compared to baseline (</w:t>
      </w:r>
      <w:r w:rsidR="00A72B26" w:rsidRPr="007D26FA">
        <w:t xml:space="preserve">Table </w:t>
      </w:r>
      <w:r w:rsidR="00A72B26">
        <w:t>90</w:t>
      </w:r>
      <w:r>
        <w:t xml:space="preserve">). The authors comment that patient 1 had only one episode of bowel movement urgency, and patient 2 and 3 remain free of gastrointestinal symptoms after 2-3 years of ERT. </w:t>
      </w:r>
    </w:p>
    <w:p w:rsidR="001A6FF0" w:rsidRDefault="001A6FF0" w:rsidP="001A6FF0">
      <w:r>
        <w:t xml:space="preserve">A second case study also reported on weight changes and found that one patient increased their weight after 13 months ERT compared to baseline. Swallowing function was measured in one patient using the dysphagia severity scale (DSS) and found to be improved after 6 months ERT </w:t>
      </w:r>
      <w:r>
        <w:rPr>
          <w:noProof/>
        </w:rPr>
        <w:t>(</w:t>
      </w:r>
      <w:r w:rsidR="00184B6F">
        <w:rPr>
          <w:noProof/>
        </w:rPr>
        <w:t>Fecarotta et al. 2013</w:t>
      </w:r>
      <w:r>
        <w:rPr>
          <w:noProof/>
        </w:rPr>
        <w:t>)</w:t>
      </w:r>
      <w:r>
        <w:t xml:space="preserve"> (</w:t>
      </w:r>
      <w:r w:rsidR="00A72B26" w:rsidRPr="009E537E">
        <w:t xml:space="preserve">Table </w:t>
      </w:r>
      <w:r w:rsidR="00A72B26">
        <w:rPr>
          <w:noProof/>
        </w:rPr>
        <w:t>91</w:t>
      </w:r>
      <w:r>
        <w:t>)</w:t>
      </w:r>
      <w:r w:rsidR="008635B0">
        <w:t xml:space="preserve"> </w:t>
      </w:r>
      <w:r w:rsidR="008635B0" w:rsidRPr="00FE08CA">
        <w:t xml:space="preserve">(GRADE </w:t>
      </w:r>
      <w:r w:rsidR="008635B0" w:rsidRPr="00FE08CA">
        <w:rPr>
          <w:rFonts w:ascii="Cambria Math" w:hAnsi="Cambria Math" w:cs="Cambria Math"/>
          <w:color w:val="00B050"/>
        </w:rPr>
        <w:t>⨁</w:t>
      </w:r>
      <w:r w:rsidR="008635B0" w:rsidRPr="00FE08CA">
        <w:rPr>
          <w:rFonts w:ascii="Cambria Math" w:hAnsi="Cambria Math" w:cs="Cambria Math"/>
          <w:color w:val="C00000"/>
        </w:rPr>
        <w:t>⨀⨀⨀</w:t>
      </w:r>
      <w:r w:rsidR="008635B0" w:rsidRPr="00FE08CA">
        <w:rPr>
          <w:rFonts w:cs="Cambria Math"/>
          <w:spacing w:val="-20"/>
        </w:rPr>
        <w:t>)</w:t>
      </w:r>
      <w:r>
        <w:t>.</w:t>
      </w:r>
    </w:p>
    <w:p w:rsidR="001A6FF0" w:rsidRPr="007D26FA" w:rsidRDefault="001A6FF0" w:rsidP="00F71730">
      <w:pPr>
        <w:pStyle w:val="Caption"/>
        <w:keepNext/>
        <w:ind w:left="1418" w:hanging="1418"/>
      </w:pPr>
      <w:bookmarkStart w:id="363" w:name="_Ref410907174"/>
      <w:bookmarkStart w:id="364" w:name="_Toc411510457"/>
      <w:bookmarkStart w:id="365" w:name="_Toc415141886"/>
      <w:r w:rsidRPr="007D26FA">
        <w:t xml:space="preserve">Table </w:t>
      </w:r>
      <w:r w:rsidR="00A72B26">
        <w:rPr>
          <w:noProof/>
        </w:rPr>
        <w:t>89</w:t>
      </w:r>
      <w:bookmarkEnd w:id="363"/>
      <w:r w:rsidRPr="007D26FA">
        <w:t xml:space="preserve"> </w:t>
      </w:r>
      <w:r w:rsidR="00F71730">
        <w:tab/>
      </w:r>
      <w:r w:rsidRPr="007D26FA">
        <w:t xml:space="preserve">Changes to gastrointestinal symptoms after </w:t>
      </w:r>
      <w:r w:rsidR="00DF5C70">
        <w:t>alglucosidase alfa</w:t>
      </w:r>
      <w:r w:rsidRPr="007D26FA">
        <w:t xml:space="preserve"> in JOPD patients</w:t>
      </w:r>
      <w:bookmarkEnd w:id="364"/>
      <w:bookmarkEnd w:id="365"/>
    </w:p>
    <w:tbl>
      <w:tblPr>
        <w:tblStyle w:val="TableGrid"/>
        <w:tblW w:w="5000" w:type="pct"/>
        <w:tblLook w:val="04A0" w:firstRow="1" w:lastRow="0" w:firstColumn="1" w:lastColumn="0" w:noHBand="0" w:noVBand="1"/>
        <w:tblCaption w:val="Table 16 Changes to gastrointestinal symptoms after ERT in JOPD patients"/>
      </w:tblPr>
      <w:tblGrid>
        <w:gridCol w:w="1366"/>
        <w:gridCol w:w="1225"/>
        <w:gridCol w:w="4795"/>
        <w:gridCol w:w="1856"/>
      </w:tblGrid>
      <w:tr w:rsidR="001A6FF0" w:rsidRPr="008F5C81" w:rsidTr="009A0365">
        <w:trPr>
          <w:tblHeader/>
        </w:trPr>
        <w:tc>
          <w:tcPr>
            <w:tcW w:w="739" w:type="pct"/>
          </w:tcPr>
          <w:p w:rsidR="001A6FF0" w:rsidRDefault="001A6FF0" w:rsidP="00563A77">
            <w:pPr>
              <w:pStyle w:val="Tabletext1"/>
              <w:keepNext/>
              <w:rPr>
                <w:b/>
                <w:lang w:eastAsia="en-US"/>
              </w:rPr>
            </w:pPr>
            <w:r>
              <w:rPr>
                <w:b/>
                <w:lang w:eastAsia="en-US"/>
              </w:rPr>
              <w:t>Study</w:t>
            </w:r>
          </w:p>
          <w:p w:rsidR="001A6FF0" w:rsidRDefault="001A6FF0" w:rsidP="00563A77">
            <w:pPr>
              <w:pStyle w:val="Tabletext1"/>
              <w:keepNext/>
              <w:rPr>
                <w:b/>
                <w:lang w:eastAsia="en-US"/>
              </w:rPr>
            </w:pPr>
            <w:r>
              <w:rPr>
                <w:b/>
                <w:lang w:eastAsia="en-US"/>
              </w:rPr>
              <w:t>Measure</w:t>
            </w:r>
          </w:p>
        </w:tc>
        <w:tc>
          <w:tcPr>
            <w:tcW w:w="663" w:type="pct"/>
          </w:tcPr>
          <w:p w:rsidR="001A6FF0" w:rsidRPr="008F5C81" w:rsidRDefault="001A6FF0" w:rsidP="00563A77">
            <w:pPr>
              <w:pStyle w:val="Tabletext1"/>
              <w:keepNext/>
              <w:rPr>
                <w:b/>
                <w:lang w:eastAsia="en-US"/>
              </w:rPr>
            </w:pPr>
            <w:r>
              <w:rPr>
                <w:b/>
                <w:lang w:eastAsia="en-US"/>
              </w:rPr>
              <w:t>Patient</w:t>
            </w:r>
          </w:p>
        </w:tc>
        <w:tc>
          <w:tcPr>
            <w:tcW w:w="2594" w:type="pct"/>
          </w:tcPr>
          <w:p w:rsidR="001A6FF0" w:rsidRPr="008F5C81" w:rsidRDefault="001A6FF0" w:rsidP="00563A77">
            <w:pPr>
              <w:pStyle w:val="Tabletext1"/>
              <w:keepNext/>
              <w:rPr>
                <w:b/>
                <w:lang w:eastAsia="en-US"/>
              </w:rPr>
            </w:pPr>
            <w:r>
              <w:rPr>
                <w:b/>
                <w:lang w:eastAsia="en-US"/>
              </w:rPr>
              <w:t>Symptoms at start of ERT</w:t>
            </w:r>
          </w:p>
        </w:tc>
        <w:tc>
          <w:tcPr>
            <w:tcW w:w="1004" w:type="pct"/>
          </w:tcPr>
          <w:p w:rsidR="001A6FF0" w:rsidRPr="008F5C81" w:rsidRDefault="001A6FF0" w:rsidP="00563A77">
            <w:pPr>
              <w:pStyle w:val="Tabletext1"/>
              <w:keepNext/>
              <w:rPr>
                <w:b/>
                <w:lang w:eastAsia="en-US"/>
              </w:rPr>
            </w:pPr>
            <w:r>
              <w:rPr>
                <w:b/>
                <w:lang w:eastAsia="en-US"/>
              </w:rPr>
              <w:t>Time to resolution of symptoms</w:t>
            </w:r>
          </w:p>
        </w:tc>
      </w:tr>
      <w:tr w:rsidR="001A6FF0" w:rsidTr="002F6AE6">
        <w:trPr>
          <w:trHeight w:val="1039"/>
        </w:trPr>
        <w:tc>
          <w:tcPr>
            <w:tcW w:w="739" w:type="pct"/>
            <w:tcBorders>
              <w:bottom w:val="nil"/>
            </w:tcBorders>
          </w:tcPr>
          <w:p w:rsidR="001A6FF0" w:rsidRDefault="001A6FF0" w:rsidP="00563A77">
            <w:pPr>
              <w:pStyle w:val="Tabletext1"/>
              <w:keepNext/>
              <w:rPr>
                <w:lang w:eastAsia="en-US"/>
              </w:rPr>
            </w:pPr>
            <w:r>
              <w:rPr>
                <w:lang w:eastAsia="en-US"/>
              </w:rPr>
              <w:t>Bernstein 2010</w:t>
            </w:r>
          </w:p>
          <w:p w:rsidR="001A6FF0" w:rsidRDefault="001A6FF0" w:rsidP="00563A77">
            <w:pPr>
              <w:pStyle w:val="Tabletext1"/>
              <w:keepNext/>
              <w:rPr>
                <w:lang w:eastAsia="en-US"/>
              </w:rPr>
            </w:pPr>
            <w:r>
              <w:rPr>
                <w:lang w:eastAsia="en-US"/>
              </w:rPr>
              <w:t xml:space="preserve">Time to resolution of symptoms </w:t>
            </w:r>
            <w:r w:rsidR="002F6AE6">
              <w:rPr>
                <w:lang w:eastAsia="en-US"/>
              </w:rPr>
              <w:t>(months)</w:t>
            </w:r>
          </w:p>
        </w:tc>
        <w:tc>
          <w:tcPr>
            <w:tcW w:w="663" w:type="pct"/>
            <w:tcBorders>
              <w:bottom w:val="nil"/>
            </w:tcBorders>
          </w:tcPr>
          <w:p w:rsidR="001A6FF0" w:rsidRDefault="0059755B" w:rsidP="00563A77">
            <w:pPr>
              <w:pStyle w:val="Tabletext1"/>
              <w:keepNext/>
              <w:rPr>
                <w:lang w:eastAsia="en-US"/>
              </w:rPr>
            </w:pPr>
            <w:r>
              <w:rPr>
                <w:lang w:eastAsia="en-US"/>
              </w:rPr>
              <w:t xml:space="preserve">Patient </w:t>
            </w:r>
            <w:r w:rsidR="001A6FF0">
              <w:rPr>
                <w:lang w:eastAsia="en-US"/>
              </w:rPr>
              <w:t>1</w:t>
            </w:r>
          </w:p>
        </w:tc>
        <w:tc>
          <w:tcPr>
            <w:tcW w:w="2594" w:type="pct"/>
            <w:tcBorders>
              <w:bottom w:val="nil"/>
            </w:tcBorders>
          </w:tcPr>
          <w:p w:rsidR="001A6FF0" w:rsidRDefault="00F87099" w:rsidP="00F87099">
            <w:pPr>
              <w:pStyle w:val="Tabletext1"/>
              <w:keepNext/>
              <w:rPr>
                <w:lang w:eastAsia="en-US"/>
              </w:rPr>
            </w:pPr>
            <w:r>
              <w:rPr>
                <w:lang w:eastAsia="en-US"/>
              </w:rPr>
              <w:t>Diarrhea, consti</w:t>
            </w:r>
            <w:r w:rsidR="001A6FF0">
              <w:rPr>
                <w:lang w:eastAsia="en-US"/>
              </w:rPr>
              <w:t>pation, cramps, abdominal pain, bloating, early sa</w:t>
            </w:r>
            <w:r>
              <w:rPr>
                <w:lang w:eastAsia="en-US"/>
              </w:rPr>
              <w:t>tie</w:t>
            </w:r>
            <w:r w:rsidR="001A6FF0">
              <w:rPr>
                <w:lang w:eastAsia="en-US"/>
              </w:rPr>
              <w:t>ty/fullness, bowel urgency/incontinence, unable to chew, swallowing difficulty, weight loss</w:t>
            </w:r>
          </w:p>
        </w:tc>
        <w:tc>
          <w:tcPr>
            <w:tcW w:w="1004" w:type="pct"/>
            <w:tcBorders>
              <w:bottom w:val="nil"/>
            </w:tcBorders>
          </w:tcPr>
          <w:p w:rsidR="001A6FF0" w:rsidRDefault="001A6FF0" w:rsidP="00563A77">
            <w:pPr>
              <w:pStyle w:val="Tabletext1"/>
              <w:keepNext/>
              <w:rPr>
                <w:lang w:eastAsia="en-US"/>
              </w:rPr>
            </w:pPr>
            <w:r>
              <w:rPr>
                <w:lang w:eastAsia="en-US"/>
              </w:rPr>
              <w:t>10</w:t>
            </w:r>
          </w:p>
        </w:tc>
      </w:tr>
      <w:tr w:rsidR="002F6AE6" w:rsidTr="002F6AE6">
        <w:trPr>
          <w:trHeight w:val="637"/>
        </w:trPr>
        <w:tc>
          <w:tcPr>
            <w:tcW w:w="739" w:type="pct"/>
            <w:tcBorders>
              <w:top w:val="nil"/>
              <w:bottom w:val="nil"/>
            </w:tcBorders>
          </w:tcPr>
          <w:p w:rsidR="002F6AE6" w:rsidRPr="002F6AE6" w:rsidRDefault="002F6AE6" w:rsidP="00563A77">
            <w:pPr>
              <w:pStyle w:val="Tabletext1"/>
              <w:keepNext/>
              <w:rPr>
                <w:color w:val="FFFFFF" w:themeColor="background1"/>
                <w:lang w:eastAsia="en-US"/>
              </w:rPr>
            </w:pPr>
            <w:r w:rsidRPr="002F6AE6">
              <w:rPr>
                <w:color w:val="FFFFFF" w:themeColor="background1"/>
                <w:lang w:eastAsia="en-US"/>
              </w:rPr>
              <w:t>Bernstein</w:t>
            </w:r>
          </w:p>
        </w:tc>
        <w:tc>
          <w:tcPr>
            <w:tcW w:w="663" w:type="pct"/>
            <w:tcBorders>
              <w:top w:val="nil"/>
              <w:bottom w:val="nil"/>
            </w:tcBorders>
          </w:tcPr>
          <w:p w:rsidR="002F6AE6" w:rsidRDefault="002F6AE6" w:rsidP="00563A77">
            <w:pPr>
              <w:pStyle w:val="Tabletext1"/>
              <w:keepNext/>
              <w:rPr>
                <w:lang w:eastAsia="en-US"/>
              </w:rPr>
            </w:pPr>
            <w:r>
              <w:rPr>
                <w:lang w:eastAsia="en-US"/>
              </w:rPr>
              <w:t>Patient 2</w:t>
            </w:r>
          </w:p>
        </w:tc>
        <w:tc>
          <w:tcPr>
            <w:tcW w:w="2594" w:type="pct"/>
            <w:tcBorders>
              <w:top w:val="nil"/>
              <w:bottom w:val="nil"/>
            </w:tcBorders>
          </w:tcPr>
          <w:p w:rsidR="002F6AE6" w:rsidRDefault="00E66055" w:rsidP="001B4E29">
            <w:pPr>
              <w:pStyle w:val="Tabletext1"/>
              <w:keepNext/>
              <w:rPr>
                <w:lang w:eastAsia="en-US"/>
              </w:rPr>
            </w:pPr>
            <w:r>
              <w:rPr>
                <w:lang w:eastAsia="en-US"/>
              </w:rPr>
              <w:t>Diarrhoea</w:t>
            </w:r>
            <w:r w:rsidR="002F6AE6">
              <w:rPr>
                <w:lang w:eastAsia="en-US"/>
              </w:rPr>
              <w:t xml:space="preserve">, cramps, </w:t>
            </w:r>
            <w:r w:rsidR="001B4E29">
              <w:rPr>
                <w:lang w:eastAsia="en-US"/>
              </w:rPr>
              <w:t>abdominal</w:t>
            </w:r>
            <w:r w:rsidR="002F6AE6">
              <w:rPr>
                <w:lang w:eastAsia="en-US"/>
              </w:rPr>
              <w:t xml:space="preserve"> pain, bloating, early sa</w:t>
            </w:r>
            <w:r w:rsidR="001B4E29">
              <w:rPr>
                <w:lang w:eastAsia="en-US"/>
              </w:rPr>
              <w:t>tiet</w:t>
            </w:r>
            <w:r w:rsidR="002F6AE6">
              <w:rPr>
                <w:lang w:eastAsia="en-US"/>
              </w:rPr>
              <w:t>y/fullness, anorexia, weight loss</w:t>
            </w:r>
          </w:p>
        </w:tc>
        <w:tc>
          <w:tcPr>
            <w:tcW w:w="1004" w:type="pct"/>
            <w:tcBorders>
              <w:top w:val="nil"/>
              <w:bottom w:val="nil"/>
            </w:tcBorders>
          </w:tcPr>
          <w:p w:rsidR="002F6AE6" w:rsidRDefault="002F6AE6" w:rsidP="00563A77">
            <w:pPr>
              <w:pStyle w:val="Tabletext1"/>
              <w:keepNext/>
              <w:rPr>
                <w:lang w:eastAsia="en-US"/>
              </w:rPr>
            </w:pPr>
            <w:r>
              <w:rPr>
                <w:lang w:eastAsia="en-US"/>
              </w:rPr>
              <w:t>3</w:t>
            </w:r>
          </w:p>
        </w:tc>
      </w:tr>
      <w:tr w:rsidR="002F6AE6" w:rsidTr="002F6AE6">
        <w:trPr>
          <w:trHeight w:val="887"/>
        </w:trPr>
        <w:tc>
          <w:tcPr>
            <w:tcW w:w="739" w:type="pct"/>
            <w:tcBorders>
              <w:top w:val="nil"/>
            </w:tcBorders>
          </w:tcPr>
          <w:p w:rsidR="002F6AE6" w:rsidRPr="002F6AE6" w:rsidRDefault="002F6AE6" w:rsidP="00563A77">
            <w:pPr>
              <w:pStyle w:val="Tabletext1"/>
              <w:keepNext/>
              <w:rPr>
                <w:color w:val="FFFFFF" w:themeColor="background1"/>
                <w:lang w:eastAsia="en-US"/>
              </w:rPr>
            </w:pPr>
            <w:r w:rsidRPr="002F6AE6">
              <w:rPr>
                <w:color w:val="FFFFFF" w:themeColor="background1"/>
                <w:lang w:eastAsia="en-US"/>
              </w:rPr>
              <w:t>Bernstein</w:t>
            </w:r>
          </w:p>
        </w:tc>
        <w:tc>
          <w:tcPr>
            <w:tcW w:w="663" w:type="pct"/>
            <w:tcBorders>
              <w:top w:val="nil"/>
            </w:tcBorders>
          </w:tcPr>
          <w:p w:rsidR="002F6AE6" w:rsidRDefault="002F6AE6" w:rsidP="00563A77">
            <w:pPr>
              <w:pStyle w:val="Tabletext1"/>
              <w:keepNext/>
              <w:rPr>
                <w:lang w:eastAsia="en-US"/>
              </w:rPr>
            </w:pPr>
            <w:r>
              <w:rPr>
                <w:lang w:eastAsia="en-US"/>
              </w:rPr>
              <w:t>Patient 3</w:t>
            </w:r>
          </w:p>
        </w:tc>
        <w:tc>
          <w:tcPr>
            <w:tcW w:w="2594" w:type="pct"/>
            <w:tcBorders>
              <w:top w:val="nil"/>
            </w:tcBorders>
          </w:tcPr>
          <w:p w:rsidR="002F6AE6" w:rsidRDefault="002F6AE6" w:rsidP="00563A77">
            <w:pPr>
              <w:pStyle w:val="Tabletext1"/>
              <w:keepNext/>
              <w:rPr>
                <w:lang w:eastAsia="en-US"/>
              </w:rPr>
            </w:pPr>
            <w:r>
              <w:rPr>
                <w:lang w:eastAsia="en-US"/>
              </w:rPr>
              <w:t xml:space="preserve">Chronic, synchronous diarrhea and vomiting, constipation, early </w:t>
            </w:r>
            <w:r w:rsidR="001B4E29">
              <w:rPr>
                <w:lang w:eastAsia="en-US"/>
              </w:rPr>
              <w:t>satiety</w:t>
            </w:r>
            <w:r>
              <w:rPr>
                <w:lang w:eastAsia="en-US"/>
              </w:rPr>
              <w:t>, abdominal pain, postprandial bloating, weight fluctuation</w:t>
            </w:r>
          </w:p>
        </w:tc>
        <w:tc>
          <w:tcPr>
            <w:tcW w:w="1004" w:type="pct"/>
            <w:tcBorders>
              <w:top w:val="nil"/>
            </w:tcBorders>
          </w:tcPr>
          <w:p w:rsidR="002F6AE6" w:rsidRDefault="002F6AE6" w:rsidP="00563A77">
            <w:pPr>
              <w:pStyle w:val="Tabletext1"/>
              <w:keepNext/>
              <w:rPr>
                <w:lang w:eastAsia="en-US"/>
              </w:rPr>
            </w:pPr>
            <w:r>
              <w:rPr>
                <w:lang w:eastAsia="en-US"/>
              </w:rPr>
              <w:t>5</w:t>
            </w:r>
          </w:p>
        </w:tc>
      </w:tr>
    </w:tbl>
    <w:p w:rsidR="001A6FF0" w:rsidRDefault="001A6FF0" w:rsidP="001A6FF0">
      <w:pPr>
        <w:pStyle w:val="TableNote"/>
        <w:rPr>
          <w:lang w:eastAsia="en-US"/>
        </w:rPr>
      </w:pPr>
      <w:r>
        <w:rPr>
          <w:lang w:eastAsia="en-US"/>
        </w:rPr>
        <w:t xml:space="preserve">ERT = enzyme replacement therapy; JOPD = juvenile </w:t>
      </w:r>
      <w:r w:rsidR="00926546">
        <w:rPr>
          <w:lang w:eastAsia="en-US"/>
        </w:rPr>
        <w:t xml:space="preserve">late </w:t>
      </w:r>
      <w:r>
        <w:rPr>
          <w:lang w:eastAsia="en-US"/>
        </w:rPr>
        <w:t>onset Pompe disease</w:t>
      </w:r>
    </w:p>
    <w:p w:rsidR="001A6FF0" w:rsidRDefault="001A6FF0" w:rsidP="001A6FF0">
      <w:pPr>
        <w:spacing w:after="0" w:line="240" w:lineRule="auto"/>
      </w:pPr>
    </w:p>
    <w:p w:rsidR="001A6FF0" w:rsidRDefault="001A6FF0" w:rsidP="001A6FF0">
      <w:pPr>
        <w:spacing w:after="0" w:line="240" w:lineRule="auto"/>
      </w:pPr>
    </w:p>
    <w:p w:rsidR="001A6FF0" w:rsidRPr="007D26FA" w:rsidRDefault="001A6FF0" w:rsidP="007F3D1F">
      <w:pPr>
        <w:pStyle w:val="Caption"/>
        <w:keepNext/>
      </w:pPr>
      <w:bookmarkStart w:id="366" w:name="_Ref410907233"/>
      <w:bookmarkStart w:id="367" w:name="_Toc411510458"/>
      <w:bookmarkStart w:id="368" w:name="_Toc415141887"/>
      <w:r w:rsidRPr="007D26FA">
        <w:t xml:space="preserve">Table </w:t>
      </w:r>
      <w:r w:rsidR="00A72B26">
        <w:rPr>
          <w:noProof/>
        </w:rPr>
        <w:t>90</w:t>
      </w:r>
      <w:bookmarkEnd w:id="366"/>
      <w:r w:rsidRPr="007D26FA">
        <w:t xml:space="preserve"> </w:t>
      </w:r>
      <w:r w:rsidR="00F71730">
        <w:tab/>
      </w:r>
      <w:r w:rsidRPr="007D26FA">
        <w:t>Weight changes in JOPD patients</w:t>
      </w:r>
      <w:r w:rsidR="00DF5C70">
        <w:t xml:space="preserve"> after alglucosidase alfa</w:t>
      </w:r>
      <w:bookmarkEnd w:id="367"/>
      <w:bookmarkEnd w:id="368"/>
      <w:r w:rsidR="00DF5C70">
        <w:t xml:space="preserve"> </w:t>
      </w:r>
    </w:p>
    <w:tbl>
      <w:tblPr>
        <w:tblStyle w:val="TableGrid"/>
        <w:tblW w:w="5000" w:type="pct"/>
        <w:tblLook w:val="04A0" w:firstRow="1" w:lastRow="0" w:firstColumn="1" w:lastColumn="0" w:noHBand="0" w:noVBand="1"/>
        <w:tblCaption w:val="Table 17 Weight changes in JOPD patients"/>
      </w:tblPr>
      <w:tblGrid>
        <w:gridCol w:w="1885"/>
        <w:gridCol w:w="1880"/>
        <w:gridCol w:w="1386"/>
        <w:gridCol w:w="2405"/>
        <w:gridCol w:w="1686"/>
      </w:tblGrid>
      <w:tr w:rsidR="001A6FF0" w:rsidRPr="008F5C81" w:rsidTr="009A0365">
        <w:trPr>
          <w:tblHeader/>
        </w:trPr>
        <w:tc>
          <w:tcPr>
            <w:tcW w:w="1020" w:type="pct"/>
          </w:tcPr>
          <w:p w:rsidR="001A6FF0" w:rsidRDefault="001A6FF0" w:rsidP="007F3D1F">
            <w:pPr>
              <w:pStyle w:val="Tabletext1"/>
              <w:keepNext/>
              <w:rPr>
                <w:b/>
                <w:lang w:eastAsia="en-US"/>
              </w:rPr>
            </w:pPr>
            <w:r>
              <w:rPr>
                <w:b/>
                <w:lang w:eastAsia="en-US"/>
              </w:rPr>
              <w:t>Study</w:t>
            </w:r>
          </w:p>
          <w:p w:rsidR="001A6FF0" w:rsidRDefault="001A6FF0" w:rsidP="007F3D1F">
            <w:pPr>
              <w:pStyle w:val="Tabletext1"/>
              <w:keepNext/>
              <w:rPr>
                <w:b/>
                <w:lang w:eastAsia="en-US"/>
              </w:rPr>
            </w:pPr>
            <w:r>
              <w:rPr>
                <w:b/>
                <w:lang w:eastAsia="en-US"/>
              </w:rPr>
              <w:t>Measure</w:t>
            </w:r>
          </w:p>
        </w:tc>
        <w:tc>
          <w:tcPr>
            <w:tcW w:w="1017" w:type="pct"/>
          </w:tcPr>
          <w:p w:rsidR="001A6FF0" w:rsidRDefault="001A6FF0" w:rsidP="007F3D1F">
            <w:pPr>
              <w:pStyle w:val="Tabletext1"/>
              <w:keepNext/>
              <w:rPr>
                <w:b/>
                <w:lang w:eastAsia="en-US"/>
              </w:rPr>
            </w:pPr>
            <w:r>
              <w:rPr>
                <w:b/>
                <w:lang w:eastAsia="en-US"/>
              </w:rPr>
              <w:t>Patient</w:t>
            </w:r>
          </w:p>
          <w:p w:rsidR="001A6FF0" w:rsidRPr="008F5C81" w:rsidRDefault="001A6FF0" w:rsidP="007F3D1F">
            <w:pPr>
              <w:pStyle w:val="Tabletext1"/>
              <w:keepNext/>
              <w:rPr>
                <w:b/>
                <w:lang w:eastAsia="en-US"/>
              </w:rPr>
            </w:pPr>
            <w:r>
              <w:rPr>
                <w:b/>
                <w:lang w:eastAsia="en-US"/>
              </w:rPr>
              <w:t>(height in cm)</w:t>
            </w:r>
          </w:p>
        </w:tc>
        <w:tc>
          <w:tcPr>
            <w:tcW w:w="750" w:type="pct"/>
          </w:tcPr>
          <w:p w:rsidR="001A6FF0" w:rsidRDefault="001A6FF0" w:rsidP="007F3D1F">
            <w:pPr>
              <w:pStyle w:val="Tabletext1"/>
              <w:keepNext/>
              <w:rPr>
                <w:b/>
                <w:lang w:eastAsia="en-US"/>
              </w:rPr>
            </w:pPr>
            <w:r>
              <w:rPr>
                <w:b/>
                <w:lang w:eastAsia="en-US"/>
              </w:rPr>
              <w:t>Baseline</w:t>
            </w:r>
          </w:p>
          <w:p w:rsidR="001A6FF0" w:rsidRDefault="001A6FF0" w:rsidP="007F3D1F">
            <w:pPr>
              <w:pStyle w:val="Tabletext1"/>
              <w:keepNext/>
              <w:rPr>
                <w:b/>
                <w:lang w:eastAsia="en-US"/>
              </w:rPr>
            </w:pPr>
          </w:p>
        </w:tc>
        <w:tc>
          <w:tcPr>
            <w:tcW w:w="1301" w:type="pct"/>
          </w:tcPr>
          <w:p w:rsidR="001A6FF0" w:rsidRPr="008F5C81" w:rsidRDefault="001A6FF0" w:rsidP="007F3D1F">
            <w:pPr>
              <w:pStyle w:val="Tabletext1"/>
              <w:keepNext/>
              <w:rPr>
                <w:b/>
                <w:lang w:eastAsia="en-US"/>
              </w:rPr>
            </w:pPr>
            <w:r>
              <w:rPr>
                <w:b/>
                <w:lang w:eastAsia="en-US"/>
              </w:rPr>
              <w:t>6-12 months ERT</w:t>
            </w:r>
          </w:p>
        </w:tc>
        <w:tc>
          <w:tcPr>
            <w:tcW w:w="913" w:type="pct"/>
          </w:tcPr>
          <w:p w:rsidR="001A6FF0" w:rsidRDefault="001A6FF0" w:rsidP="007F3D1F">
            <w:pPr>
              <w:pStyle w:val="Tabletext1"/>
              <w:keepNext/>
              <w:rPr>
                <w:b/>
                <w:lang w:eastAsia="en-US"/>
              </w:rPr>
            </w:pPr>
            <w:r>
              <w:rPr>
                <w:b/>
                <w:lang w:eastAsia="en-US"/>
              </w:rPr>
              <w:t>Change</w:t>
            </w:r>
          </w:p>
        </w:tc>
      </w:tr>
      <w:tr w:rsidR="001A6FF0" w:rsidTr="00A413F6">
        <w:trPr>
          <w:trHeight w:val="948"/>
        </w:trPr>
        <w:tc>
          <w:tcPr>
            <w:tcW w:w="1020" w:type="pct"/>
          </w:tcPr>
          <w:p w:rsidR="001A6FF0" w:rsidRDefault="001A6FF0" w:rsidP="007F3D1F">
            <w:pPr>
              <w:pStyle w:val="Tabletext1"/>
              <w:keepNext/>
              <w:rPr>
                <w:lang w:eastAsia="en-US"/>
              </w:rPr>
            </w:pPr>
            <w:r>
              <w:rPr>
                <w:lang w:eastAsia="en-US"/>
              </w:rPr>
              <w:t>Bernstein 2010</w:t>
            </w:r>
          </w:p>
          <w:p w:rsidR="001A6FF0" w:rsidRDefault="001A6FF0" w:rsidP="007F3D1F">
            <w:pPr>
              <w:pStyle w:val="Tabletext1"/>
              <w:keepNext/>
              <w:rPr>
                <w:lang w:eastAsia="en-US"/>
              </w:rPr>
            </w:pPr>
            <w:r>
              <w:rPr>
                <w:lang w:eastAsia="en-US"/>
              </w:rPr>
              <w:t>Weight (kg)</w:t>
            </w:r>
          </w:p>
        </w:tc>
        <w:tc>
          <w:tcPr>
            <w:tcW w:w="1017" w:type="pct"/>
          </w:tcPr>
          <w:p w:rsidR="001A6FF0" w:rsidRDefault="001A6FF0" w:rsidP="007F3D1F">
            <w:pPr>
              <w:pStyle w:val="Tabletext1"/>
              <w:keepNext/>
              <w:rPr>
                <w:lang w:eastAsia="en-US"/>
              </w:rPr>
            </w:pPr>
            <w:r>
              <w:rPr>
                <w:lang w:eastAsia="en-US"/>
              </w:rPr>
              <w:t>1 (201)</w:t>
            </w:r>
          </w:p>
          <w:p w:rsidR="001A6FF0" w:rsidRDefault="001A6FF0" w:rsidP="007F3D1F">
            <w:pPr>
              <w:pStyle w:val="Tabletext1"/>
              <w:keepNext/>
              <w:rPr>
                <w:lang w:eastAsia="en-US"/>
              </w:rPr>
            </w:pPr>
            <w:r>
              <w:rPr>
                <w:lang w:eastAsia="en-US"/>
              </w:rPr>
              <w:t>2 (157.5)</w:t>
            </w:r>
          </w:p>
          <w:p w:rsidR="001A6FF0" w:rsidRDefault="001A6FF0" w:rsidP="007F3D1F">
            <w:pPr>
              <w:pStyle w:val="Tabletext1"/>
              <w:keepNext/>
              <w:rPr>
                <w:lang w:eastAsia="en-US"/>
              </w:rPr>
            </w:pPr>
            <w:r>
              <w:rPr>
                <w:lang w:eastAsia="en-US"/>
              </w:rPr>
              <w:t>3 (154.8)</w:t>
            </w:r>
          </w:p>
        </w:tc>
        <w:tc>
          <w:tcPr>
            <w:tcW w:w="750" w:type="pct"/>
          </w:tcPr>
          <w:p w:rsidR="001A6FF0" w:rsidRDefault="001A6FF0" w:rsidP="007F3D1F">
            <w:pPr>
              <w:pStyle w:val="Tabletext1"/>
              <w:keepNext/>
              <w:rPr>
                <w:lang w:eastAsia="en-US"/>
              </w:rPr>
            </w:pPr>
            <w:r>
              <w:rPr>
                <w:lang w:eastAsia="en-US"/>
              </w:rPr>
              <w:t>73</w:t>
            </w:r>
          </w:p>
          <w:p w:rsidR="001A6FF0" w:rsidRDefault="001A6FF0" w:rsidP="007F3D1F">
            <w:pPr>
              <w:pStyle w:val="Tabletext1"/>
              <w:keepNext/>
              <w:rPr>
                <w:lang w:eastAsia="en-US"/>
              </w:rPr>
            </w:pPr>
            <w:r>
              <w:rPr>
                <w:lang w:eastAsia="en-US"/>
              </w:rPr>
              <w:t>48</w:t>
            </w:r>
          </w:p>
          <w:p w:rsidR="001A6FF0" w:rsidRDefault="001A6FF0" w:rsidP="007F3D1F">
            <w:pPr>
              <w:pStyle w:val="Tabletext1"/>
              <w:keepNext/>
              <w:rPr>
                <w:lang w:eastAsia="en-US"/>
              </w:rPr>
            </w:pPr>
            <w:r>
              <w:rPr>
                <w:lang w:eastAsia="en-US"/>
              </w:rPr>
              <w:t>56</w:t>
            </w:r>
          </w:p>
        </w:tc>
        <w:tc>
          <w:tcPr>
            <w:tcW w:w="1301" w:type="pct"/>
          </w:tcPr>
          <w:p w:rsidR="001A6FF0" w:rsidRDefault="001A6FF0" w:rsidP="007F3D1F">
            <w:pPr>
              <w:pStyle w:val="Tabletext1"/>
              <w:keepNext/>
              <w:rPr>
                <w:lang w:eastAsia="en-US"/>
              </w:rPr>
            </w:pPr>
            <w:r>
              <w:rPr>
                <w:lang w:eastAsia="en-US"/>
              </w:rPr>
              <w:t>78</w:t>
            </w:r>
          </w:p>
          <w:p w:rsidR="001A6FF0" w:rsidRDefault="001A6FF0" w:rsidP="007F3D1F">
            <w:pPr>
              <w:pStyle w:val="Tabletext1"/>
              <w:keepNext/>
              <w:rPr>
                <w:lang w:eastAsia="en-US"/>
              </w:rPr>
            </w:pPr>
            <w:r>
              <w:rPr>
                <w:lang w:eastAsia="en-US"/>
              </w:rPr>
              <w:t>56</w:t>
            </w:r>
          </w:p>
          <w:p w:rsidR="001A6FF0" w:rsidRDefault="001A6FF0" w:rsidP="007F3D1F">
            <w:pPr>
              <w:pStyle w:val="Tabletext1"/>
              <w:keepNext/>
              <w:rPr>
                <w:lang w:eastAsia="en-US"/>
              </w:rPr>
            </w:pPr>
            <w:r>
              <w:rPr>
                <w:lang w:eastAsia="en-US"/>
              </w:rPr>
              <w:t>58</w:t>
            </w:r>
          </w:p>
        </w:tc>
        <w:tc>
          <w:tcPr>
            <w:tcW w:w="913" w:type="pct"/>
          </w:tcPr>
          <w:p w:rsidR="001A6FF0" w:rsidRDefault="001A6FF0" w:rsidP="007F3D1F">
            <w:pPr>
              <w:pStyle w:val="Tabletext1"/>
              <w:keepNext/>
              <w:rPr>
                <w:lang w:eastAsia="en-US"/>
              </w:rPr>
            </w:pPr>
            <w:r>
              <w:rPr>
                <w:lang w:eastAsia="en-US"/>
              </w:rPr>
              <w:t>5</w:t>
            </w:r>
          </w:p>
          <w:p w:rsidR="001A6FF0" w:rsidRDefault="001A6FF0" w:rsidP="007F3D1F">
            <w:pPr>
              <w:pStyle w:val="Tabletext1"/>
              <w:keepNext/>
              <w:rPr>
                <w:lang w:eastAsia="en-US"/>
              </w:rPr>
            </w:pPr>
            <w:r>
              <w:rPr>
                <w:lang w:eastAsia="en-US"/>
              </w:rPr>
              <w:t>8</w:t>
            </w:r>
          </w:p>
          <w:p w:rsidR="001A6FF0" w:rsidRDefault="001A6FF0" w:rsidP="007F3D1F">
            <w:pPr>
              <w:pStyle w:val="Tabletext1"/>
              <w:keepNext/>
              <w:rPr>
                <w:lang w:eastAsia="en-US"/>
              </w:rPr>
            </w:pPr>
            <w:r>
              <w:rPr>
                <w:lang w:eastAsia="en-US"/>
              </w:rPr>
              <w:t>2</w:t>
            </w:r>
          </w:p>
        </w:tc>
      </w:tr>
      <w:tr w:rsidR="001A6FF0" w:rsidTr="00A413F6">
        <w:tc>
          <w:tcPr>
            <w:tcW w:w="1020" w:type="pct"/>
          </w:tcPr>
          <w:p w:rsidR="001A6FF0" w:rsidRDefault="001A6FF0" w:rsidP="007F3D1F">
            <w:pPr>
              <w:pStyle w:val="Tabletext1"/>
              <w:keepNext/>
              <w:rPr>
                <w:lang w:eastAsia="en-US"/>
              </w:rPr>
            </w:pPr>
            <w:r>
              <w:rPr>
                <w:lang w:eastAsia="en-US"/>
              </w:rPr>
              <w:t>Sugai 2010</w:t>
            </w:r>
          </w:p>
          <w:p w:rsidR="001A6FF0" w:rsidRDefault="001A6FF0" w:rsidP="007F3D1F">
            <w:pPr>
              <w:pStyle w:val="Tabletext1"/>
              <w:keepNext/>
              <w:rPr>
                <w:lang w:eastAsia="en-US"/>
              </w:rPr>
            </w:pPr>
            <w:r>
              <w:rPr>
                <w:lang w:eastAsia="en-US"/>
              </w:rPr>
              <w:t>Bodyweight (kg)</w:t>
            </w:r>
          </w:p>
        </w:tc>
        <w:tc>
          <w:tcPr>
            <w:tcW w:w="1017" w:type="pct"/>
          </w:tcPr>
          <w:p w:rsidR="001A6FF0" w:rsidRDefault="001A6FF0" w:rsidP="007F3D1F">
            <w:pPr>
              <w:pStyle w:val="Tabletext1"/>
              <w:keepNext/>
              <w:rPr>
                <w:lang w:eastAsia="en-US"/>
              </w:rPr>
            </w:pPr>
            <w:r>
              <w:rPr>
                <w:lang w:eastAsia="en-US"/>
              </w:rPr>
              <w:t>1</w:t>
            </w:r>
          </w:p>
        </w:tc>
        <w:tc>
          <w:tcPr>
            <w:tcW w:w="750" w:type="pct"/>
          </w:tcPr>
          <w:p w:rsidR="001A6FF0" w:rsidRDefault="001A6FF0" w:rsidP="007F3D1F">
            <w:pPr>
              <w:pStyle w:val="Tabletext1"/>
              <w:keepNext/>
              <w:rPr>
                <w:lang w:eastAsia="en-US"/>
              </w:rPr>
            </w:pPr>
            <w:r>
              <w:rPr>
                <w:lang w:eastAsia="en-US"/>
              </w:rPr>
              <w:t>36.0</w:t>
            </w:r>
          </w:p>
        </w:tc>
        <w:tc>
          <w:tcPr>
            <w:tcW w:w="1301" w:type="pct"/>
          </w:tcPr>
          <w:p w:rsidR="001A6FF0" w:rsidRDefault="001A6FF0" w:rsidP="007F3D1F">
            <w:pPr>
              <w:pStyle w:val="Tabletext1"/>
              <w:keepNext/>
              <w:rPr>
                <w:lang w:eastAsia="en-US"/>
              </w:rPr>
            </w:pPr>
            <w:r>
              <w:rPr>
                <w:lang w:eastAsia="en-US"/>
              </w:rPr>
              <w:t>40.1 (13 months)</w:t>
            </w:r>
          </w:p>
        </w:tc>
        <w:tc>
          <w:tcPr>
            <w:tcW w:w="913" w:type="pct"/>
          </w:tcPr>
          <w:p w:rsidR="001A6FF0" w:rsidRDefault="001A6FF0" w:rsidP="007F3D1F">
            <w:pPr>
              <w:pStyle w:val="Tabletext1"/>
              <w:keepNext/>
              <w:rPr>
                <w:lang w:eastAsia="en-US"/>
              </w:rPr>
            </w:pPr>
            <w:r>
              <w:rPr>
                <w:lang w:eastAsia="en-US"/>
              </w:rPr>
              <w:t>11.4%</w:t>
            </w:r>
          </w:p>
        </w:tc>
      </w:tr>
    </w:tbl>
    <w:p w:rsidR="001A6FF0" w:rsidRDefault="001A6FF0" w:rsidP="001A6FF0">
      <w:pPr>
        <w:pStyle w:val="TableNote"/>
        <w:rPr>
          <w:lang w:eastAsia="en-US"/>
        </w:rPr>
      </w:pPr>
      <w:r>
        <w:rPr>
          <w:lang w:eastAsia="en-US"/>
        </w:rPr>
        <w:t xml:space="preserve">ERT = enzyme replacement therapy; JOPD = juvenile </w:t>
      </w:r>
      <w:r w:rsidR="00926546">
        <w:rPr>
          <w:lang w:eastAsia="en-US"/>
        </w:rPr>
        <w:t xml:space="preserve">late </w:t>
      </w:r>
      <w:r>
        <w:rPr>
          <w:lang w:eastAsia="en-US"/>
        </w:rPr>
        <w:t>onset Pompe disease; NR = not reported</w:t>
      </w:r>
    </w:p>
    <w:p w:rsidR="001A6FF0" w:rsidRDefault="001A6FF0" w:rsidP="001A6FF0">
      <w:pPr>
        <w:spacing w:after="0"/>
      </w:pPr>
    </w:p>
    <w:p w:rsidR="001A6FF0" w:rsidRPr="009E537E" w:rsidRDefault="001A6FF0" w:rsidP="00155E84">
      <w:pPr>
        <w:pStyle w:val="Caption"/>
        <w:keepNext/>
        <w:ind w:left="1418" w:hanging="1418"/>
      </w:pPr>
      <w:bookmarkStart w:id="369" w:name="_Ref410915779"/>
      <w:bookmarkStart w:id="370" w:name="_Toc411510459"/>
      <w:bookmarkStart w:id="371" w:name="_Toc415141888"/>
      <w:r w:rsidRPr="009E537E">
        <w:lastRenderedPageBreak/>
        <w:t xml:space="preserve">Table </w:t>
      </w:r>
      <w:r w:rsidR="00A72B26">
        <w:rPr>
          <w:noProof/>
        </w:rPr>
        <w:t>91</w:t>
      </w:r>
      <w:bookmarkEnd w:id="369"/>
      <w:r w:rsidRPr="009E537E">
        <w:t xml:space="preserve"> </w:t>
      </w:r>
      <w:r w:rsidR="00F71730">
        <w:tab/>
      </w:r>
      <w:r w:rsidRPr="009E537E">
        <w:t xml:space="preserve">Swallowing function </w:t>
      </w:r>
      <w:r w:rsidR="00DF5C70" w:rsidRPr="00DF5C70">
        <w:rPr>
          <w:rStyle w:val="FigureheadingChar"/>
        </w:rPr>
        <w:t>before and afte</w:t>
      </w:r>
      <w:r w:rsidR="00DF5C70">
        <w:rPr>
          <w:rStyle w:val="FigureheadingChar"/>
        </w:rPr>
        <w:t>r alglucosidase alfa in a patient</w:t>
      </w:r>
      <w:r w:rsidR="00DF5C70" w:rsidRPr="00DF5C70">
        <w:rPr>
          <w:rStyle w:val="FigureheadingChar"/>
        </w:rPr>
        <w:t xml:space="preserve"> with JOPD</w:t>
      </w:r>
      <w:bookmarkEnd w:id="370"/>
      <w:bookmarkEnd w:id="371"/>
    </w:p>
    <w:tbl>
      <w:tblPr>
        <w:tblStyle w:val="TableGrid"/>
        <w:tblW w:w="5000" w:type="pct"/>
        <w:tblLook w:val="04A0" w:firstRow="1" w:lastRow="0" w:firstColumn="1" w:lastColumn="0" w:noHBand="0" w:noVBand="1"/>
        <w:tblCaption w:val="Table 18 Swallowing function in a JOPD patient"/>
      </w:tblPr>
      <w:tblGrid>
        <w:gridCol w:w="2326"/>
        <w:gridCol w:w="1531"/>
        <w:gridCol w:w="1672"/>
        <w:gridCol w:w="2042"/>
        <w:gridCol w:w="1671"/>
      </w:tblGrid>
      <w:tr w:rsidR="001A6FF0" w:rsidRPr="008F5C81" w:rsidTr="009A0365">
        <w:trPr>
          <w:tblHeader/>
        </w:trPr>
        <w:tc>
          <w:tcPr>
            <w:tcW w:w="1258" w:type="pct"/>
          </w:tcPr>
          <w:p w:rsidR="001A6FF0" w:rsidRDefault="001A6FF0" w:rsidP="00155E84">
            <w:pPr>
              <w:pStyle w:val="Tabletext1"/>
              <w:keepNext/>
              <w:rPr>
                <w:b/>
                <w:lang w:eastAsia="en-US"/>
              </w:rPr>
            </w:pPr>
            <w:r>
              <w:rPr>
                <w:b/>
                <w:lang w:eastAsia="en-US"/>
              </w:rPr>
              <w:t>Study</w:t>
            </w:r>
          </w:p>
          <w:p w:rsidR="001A6FF0" w:rsidRPr="008F5C81" w:rsidRDefault="001A6FF0" w:rsidP="00155E84">
            <w:pPr>
              <w:pStyle w:val="Tabletext1"/>
              <w:keepNext/>
              <w:rPr>
                <w:b/>
                <w:lang w:eastAsia="en-US"/>
              </w:rPr>
            </w:pPr>
            <w:r>
              <w:rPr>
                <w:b/>
                <w:lang w:eastAsia="en-US"/>
              </w:rPr>
              <w:t>Measure</w:t>
            </w:r>
          </w:p>
        </w:tc>
        <w:tc>
          <w:tcPr>
            <w:tcW w:w="828" w:type="pct"/>
          </w:tcPr>
          <w:p w:rsidR="001A6FF0" w:rsidRDefault="001A6FF0" w:rsidP="00155E84">
            <w:pPr>
              <w:pStyle w:val="Tabletext1"/>
              <w:keepNext/>
              <w:rPr>
                <w:b/>
                <w:lang w:eastAsia="en-US"/>
              </w:rPr>
            </w:pPr>
            <w:r>
              <w:rPr>
                <w:b/>
                <w:lang w:eastAsia="en-US"/>
              </w:rPr>
              <w:t xml:space="preserve">Patient </w:t>
            </w:r>
          </w:p>
        </w:tc>
        <w:tc>
          <w:tcPr>
            <w:tcW w:w="904" w:type="pct"/>
          </w:tcPr>
          <w:p w:rsidR="001A6FF0" w:rsidRDefault="001A6FF0" w:rsidP="00155E84">
            <w:pPr>
              <w:pStyle w:val="Tabletext1"/>
              <w:keepNext/>
              <w:rPr>
                <w:b/>
                <w:lang w:eastAsia="en-US"/>
              </w:rPr>
            </w:pPr>
            <w:r>
              <w:rPr>
                <w:b/>
                <w:lang w:eastAsia="en-US"/>
              </w:rPr>
              <w:t>Before ERT</w:t>
            </w:r>
          </w:p>
        </w:tc>
        <w:tc>
          <w:tcPr>
            <w:tcW w:w="1105" w:type="pct"/>
          </w:tcPr>
          <w:p w:rsidR="001A6FF0" w:rsidRDefault="001A6FF0" w:rsidP="00155E84">
            <w:pPr>
              <w:pStyle w:val="Tabletext1"/>
              <w:keepNext/>
              <w:rPr>
                <w:b/>
                <w:lang w:eastAsia="en-US"/>
              </w:rPr>
            </w:pPr>
            <w:r>
              <w:rPr>
                <w:b/>
                <w:lang w:eastAsia="en-US"/>
              </w:rPr>
              <w:t>6 months ERT</w:t>
            </w:r>
          </w:p>
          <w:p w:rsidR="001A6FF0" w:rsidRDefault="001A6FF0" w:rsidP="00155E84">
            <w:pPr>
              <w:pStyle w:val="Tabletext1"/>
              <w:keepNext/>
              <w:rPr>
                <w:b/>
                <w:lang w:eastAsia="en-US"/>
              </w:rPr>
            </w:pPr>
          </w:p>
        </w:tc>
        <w:tc>
          <w:tcPr>
            <w:tcW w:w="904" w:type="pct"/>
          </w:tcPr>
          <w:p w:rsidR="001A6FF0" w:rsidRDefault="001A6FF0" w:rsidP="00155E84">
            <w:pPr>
              <w:pStyle w:val="Tabletext1"/>
              <w:keepNext/>
              <w:rPr>
                <w:b/>
                <w:lang w:eastAsia="en-US"/>
              </w:rPr>
            </w:pPr>
            <w:r>
              <w:rPr>
                <w:b/>
                <w:lang w:eastAsia="en-US"/>
              </w:rPr>
              <w:t>Change</w:t>
            </w:r>
          </w:p>
        </w:tc>
      </w:tr>
      <w:tr w:rsidR="001A6FF0" w:rsidTr="00A413F6">
        <w:tc>
          <w:tcPr>
            <w:tcW w:w="1258" w:type="pct"/>
          </w:tcPr>
          <w:p w:rsidR="001A6FF0" w:rsidRDefault="001A6FF0" w:rsidP="00155E84">
            <w:pPr>
              <w:pStyle w:val="Tabletext1"/>
              <w:keepNext/>
              <w:rPr>
                <w:lang w:eastAsia="en-US"/>
              </w:rPr>
            </w:pPr>
            <w:r>
              <w:rPr>
                <w:lang w:eastAsia="en-US"/>
              </w:rPr>
              <w:t>Fecarotta 2013</w:t>
            </w:r>
          </w:p>
          <w:p w:rsidR="001A6FF0" w:rsidRPr="000B547D" w:rsidRDefault="001A6FF0" w:rsidP="00155E84">
            <w:pPr>
              <w:pStyle w:val="Tabletext1"/>
              <w:keepNext/>
              <w:rPr>
                <w:lang w:eastAsia="en-US"/>
              </w:rPr>
            </w:pPr>
            <w:r w:rsidRPr="000B547D">
              <w:rPr>
                <w:lang w:eastAsia="en-US"/>
              </w:rPr>
              <w:t>Dysphagia</w:t>
            </w:r>
            <w:r w:rsidRPr="000B547D">
              <w:rPr>
                <w:vertAlign w:val="superscript"/>
                <w:lang w:eastAsia="en-US"/>
              </w:rPr>
              <w:t>a</w:t>
            </w:r>
            <w:r w:rsidRPr="000B547D">
              <w:rPr>
                <w:lang w:eastAsia="en-US"/>
              </w:rPr>
              <w:t xml:space="preserve"> </w:t>
            </w:r>
          </w:p>
          <w:p w:rsidR="001A6FF0" w:rsidRDefault="001A6FF0" w:rsidP="00155E84">
            <w:pPr>
              <w:pStyle w:val="Tabletext1"/>
              <w:keepNext/>
              <w:rPr>
                <w:lang w:eastAsia="en-US"/>
              </w:rPr>
            </w:pPr>
            <w:r>
              <w:rPr>
                <w:lang w:eastAsia="en-US"/>
              </w:rPr>
              <w:t>(DSS grade)</w:t>
            </w:r>
          </w:p>
        </w:tc>
        <w:tc>
          <w:tcPr>
            <w:tcW w:w="828" w:type="pct"/>
          </w:tcPr>
          <w:p w:rsidR="001A6FF0" w:rsidRDefault="001A6FF0" w:rsidP="00155E84">
            <w:pPr>
              <w:pStyle w:val="Tabletext1"/>
              <w:keepNext/>
              <w:rPr>
                <w:lang w:eastAsia="en-US"/>
              </w:rPr>
            </w:pPr>
            <w:r>
              <w:rPr>
                <w:lang w:eastAsia="en-US"/>
              </w:rPr>
              <w:t>1</w:t>
            </w:r>
          </w:p>
        </w:tc>
        <w:tc>
          <w:tcPr>
            <w:tcW w:w="904" w:type="pct"/>
          </w:tcPr>
          <w:p w:rsidR="001A6FF0" w:rsidRDefault="001A6FF0" w:rsidP="00155E84">
            <w:pPr>
              <w:pStyle w:val="Tabletext1"/>
              <w:keepNext/>
              <w:rPr>
                <w:lang w:eastAsia="en-US"/>
              </w:rPr>
            </w:pPr>
            <w:r>
              <w:rPr>
                <w:lang w:eastAsia="en-US"/>
              </w:rPr>
              <w:t>1</w:t>
            </w:r>
          </w:p>
        </w:tc>
        <w:tc>
          <w:tcPr>
            <w:tcW w:w="1105" w:type="pct"/>
          </w:tcPr>
          <w:p w:rsidR="001A6FF0" w:rsidRDefault="001A6FF0" w:rsidP="00155E84">
            <w:pPr>
              <w:pStyle w:val="Tabletext1"/>
              <w:keepNext/>
              <w:rPr>
                <w:lang w:eastAsia="en-US"/>
              </w:rPr>
            </w:pPr>
            <w:r>
              <w:rPr>
                <w:lang w:eastAsia="en-US"/>
              </w:rPr>
              <w:t>0</w:t>
            </w:r>
          </w:p>
        </w:tc>
        <w:tc>
          <w:tcPr>
            <w:tcW w:w="904" w:type="pct"/>
          </w:tcPr>
          <w:p w:rsidR="001A6FF0" w:rsidRDefault="001A6FF0" w:rsidP="00155E84">
            <w:pPr>
              <w:pStyle w:val="Tabletext1"/>
              <w:keepNext/>
              <w:rPr>
                <w:lang w:eastAsia="en-US"/>
              </w:rPr>
            </w:pPr>
            <w:r>
              <w:rPr>
                <w:lang w:eastAsia="en-US"/>
              </w:rPr>
              <w:t>NR</w:t>
            </w:r>
          </w:p>
        </w:tc>
      </w:tr>
    </w:tbl>
    <w:p w:rsidR="001A6FF0" w:rsidRDefault="001A6FF0" w:rsidP="001A6FF0">
      <w:pPr>
        <w:pStyle w:val="TableNote"/>
        <w:rPr>
          <w:lang w:eastAsia="en-US"/>
        </w:rPr>
      </w:pPr>
      <w:r>
        <w:rPr>
          <w:lang w:eastAsia="en-US"/>
        </w:rPr>
        <w:t>DSS = dysphagia severity scale adapted by Gates et al, 2006; ERT = enzyme replacement therapy</w:t>
      </w:r>
    </w:p>
    <w:p w:rsidR="001A6FF0" w:rsidRPr="002457DB" w:rsidRDefault="001A6FF0" w:rsidP="001A6FF0">
      <w:pPr>
        <w:pStyle w:val="TableNote"/>
        <w:rPr>
          <w:lang w:eastAsia="en-US"/>
        </w:rPr>
      </w:pPr>
      <w:proofErr w:type="gramStart"/>
      <w:r>
        <w:rPr>
          <w:vertAlign w:val="superscript"/>
          <w:lang w:eastAsia="en-US"/>
        </w:rPr>
        <w:t>a</w:t>
      </w:r>
      <w:r>
        <w:rPr>
          <w:lang w:eastAsia="en-US"/>
        </w:rPr>
        <w:t>Dysphagia</w:t>
      </w:r>
      <w:proofErr w:type="gramEnd"/>
      <w:r>
        <w:rPr>
          <w:lang w:eastAsia="en-US"/>
        </w:rPr>
        <w:t xml:space="preserve"> investigated by Videofluroscopy Swallowing Study</w:t>
      </w:r>
    </w:p>
    <w:p w:rsidR="001A6FF0" w:rsidRDefault="001A6FF0" w:rsidP="001A6FF0"/>
    <w:p w:rsidR="001A6FF0" w:rsidRDefault="001A6FF0" w:rsidP="001A6FF0">
      <w:r>
        <w:t>Although the evidence is limited and poor quality, results are consistent in showing that gastrointestinal symptoms improve after several months of ERT and this condition is maintained for 2 to 3 years of ERT. Weight gain in four patients on ERT also reflects improved gastrointestinal function</w:t>
      </w:r>
      <w:r w:rsidR="008635B0">
        <w:t xml:space="preserve"> </w:t>
      </w:r>
      <w:r w:rsidR="008635B0" w:rsidRPr="00FE08CA">
        <w:t xml:space="preserve">(GRADE </w:t>
      </w:r>
      <w:r w:rsidR="008635B0" w:rsidRPr="00FE08CA">
        <w:rPr>
          <w:rFonts w:ascii="Cambria Math" w:hAnsi="Cambria Math" w:cs="Cambria Math"/>
          <w:color w:val="00B050"/>
        </w:rPr>
        <w:t>⨁</w:t>
      </w:r>
      <w:r w:rsidR="008635B0" w:rsidRPr="00FE08CA">
        <w:rPr>
          <w:rFonts w:ascii="Cambria Math" w:hAnsi="Cambria Math" w:cs="Cambria Math"/>
          <w:color w:val="C00000"/>
        </w:rPr>
        <w:t>⨀⨀⨀</w:t>
      </w:r>
      <w:r w:rsidR="008635B0" w:rsidRPr="00FE08CA">
        <w:rPr>
          <w:rFonts w:cs="Cambria Math"/>
          <w:spacing w:val="-20"/>
        </w:rPr>
        <w:t>)</w:t>
      </w:r>
      <w:r>
        <w:t>.</w:t>
      </w:r>
    </w:p>
    <w:p w:rsidR="004407D9" w:rsidRDefault="004407D9" w:rsidP="00E965BD">
      <w:pPr>
        <w:pStyle w:val="Heading3"/>
      </w:pPr>
    </w:p>
    <w:p w:rsidR="00712792" w:rsidRDefault="00712792" w:rsidP="00E965BD">
      <w:pPr>
        <w:pStyle w:val="Heading3"/>
      </w:pPr>
      <w:r>
        <w:t xml:space="preserve">Medicines to treat </w:t>
      </w:r>
      <w:r w:rsidR="00713B21">
        <w:t>Mucopolysaccharidoses (</w:t>
      </w:r>
      <w:r>
        <w:t>MPS</w:t>
      </w:r>
      <w:r w:rsidR="00713B21">
        <w:t>)</w:t>
      </w:r>
      <w:r>
        <w:t xml:space="preserve"> I, II, VI</w:t>
      </w:r>
    </w:p>
    <w:p w:rsidR="000756DF" w:rsidRDefault="000756DF" w:rsidP="00E965BD"/>
    <w:p w:rsidR="00074F6C" w:rsidRDefault="00074F6C"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b/>
          <w:sz w:val="22"/>
          <w:szCs w:val="22"/>
        </w:rPr>
      </w:pPr>
      <w:r w:rsidRPr="00872992">
        <w:rPr>
          <w:rFonts w:ascii="Arial Narrow" w:hAnsi="Arial Narrow" w:cstheme="minorHAnsi"/>
          <w:b/>
          <w:sz w:val="22"/>
          <w:szCs w:val="22"/>
        </w:rPr>
        <w:t>Is laronidase safe and effective compared to standard medical management plus placebo in the treatment of patients with Mucopolysaccharidosis Type I (Hurler-Scheie syndrome)?</w:t>
      </w:r>
    </w:p>
    <w:p w:rsidR="00074F6C" w:rsidRDefault="00074F6C"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bCs/>
          <w:sz w:val="22"/>
          <w:szCs w:val="22"/>
        </w:rPr>
      </w:pPr>
      <w:r>
        <w:rPr>
          <w:rFonts w:ascii="Arial Narrow" w:hAnsi="Arial Narrow" w:cstheme="minorHAnsi"/>
          <w:bCs/>
          <w:sz w:val="22"/>
          <w:szCs w:val="22"/>
        </w:rPr>
        <w:t xml:space="preserve">The submission to </w:t>
      </w:r>
      <w:r w:rsidR="008B0F23">
        <w:rPr>
          <w:rFonts w:ascii="Arial Narrow" w:hAnsi="Arial Narrow" w:cstheme="minorHAnsi"/>
          <w:bCs/>
          <w:sz w:val="22"/>
          <w:szCs w:val="22"/>
        </w:rPr>
        <w:t xml:space="preserve">the </w:t>
      </w:r>
      <w:r>
        <w:rPr>
          <w:rFonts w:ascii="Arial Narrow" w:hAnsi="Arial Narrow" w:cstheme="minorHAnsi"/>
          <w:bCs/>
          <w:sz w:val="22"/>
          <w:szCs w:val="22"/>
        </w:rPr>
        <w:t xml:space="preserve">PBAC asserted that improvements in forced vital capacity (FVC) and a 6-minute walk test (6MWT) would translate into lesser cardiorespiratory morbidity and mortality in MPS I. The PBAC considered it may be reasonable to expect that improvements in FVC may lead to increasing lifespan, and other benefits, such as a reduction in sleep apnoea and liver side would favour laronidase. A new extension trial was identified, which provides longer term outcome clinical data for patients treated with laronidase. </w:t>
      </w:r>
    </w:p>
    <w:p w:rsidR="00074F6C" w:rsidRDefault="00793A68"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bCs/>
          <w:sz w:val="22"/>
          <w:szCs w:val="22"/>
        </w:rPr>
      </w:pPr>
      <w:r w:rsidRPr="00026B4E">
        <w:rPr>
          <w:rFonts w:ascii="Arial Narrow" w:hAnsi="Arial Narrow" w:cstheme="minorHAnsi"/>
          <w:bCs/>
          <w:sz w:val="22"/>
          <w:szCs w:val="22"/>
        </w:rPr>
        <w:t>One</w:t>
      </w:r>
      <w:r>
        <w:rPr>
          <w:rFonts w:ascii="Arial Narrow" w:hAnsi="Arial Narrow" w:cstheme="minorHAnsi"/>
          <w:bCs/>
          <w:sz w:val="22"/>
          <w:szCs w:val="22"/>
        </w:rPr>
        <w:t xml:space="preserve"> double-blind</w:t>
      </w:r>
      <w:r w:rsidRPr="00026B4E">
        <w:rPr>
          <w:rFonts w:ascii="Arial Narrow" w:hAnsi="Arial Narrow" w:cstheme="minorHAnsi"/>
          <w:bCs/>
          <w:sz w:val="22"/>
          <w:szCs w:val="22"/>
        </w:rPr>
        <w:t xml:space="preserve"> randomised</w:t>
      </w:r>
      <w:r>
        <w:rPr>
          <w:rFonts w:ascii="Arial Narrow" w:hAnsi="Arial Narrow" w:cstheme="minorHAnsi"/>
          <w:bCs/>
          <w:sz w:val="22"/>
          <w:szCs w:val="22"/>
        </w:rPr>
        <w:t xml:space="preserve"> placebo-controlled</w:t>
      </w:r>
      <w:r w:rsidRPr="00026B4E">
        <w:rPr>
          <w:rFonts w:ascii="Arial Narrow" w:hAnsi="Arial Narrow" w:cstheme="minorHAnsi"/>
          <w:bCs/>
          <w:sz w:val="22"/>
          <w:szCs w:val="22"/>
        </w:rPr>
        <w:t xml:space="preserve"> trial</w:t>
      </w:r>
      <w:r>
        <w:rPr>
          <w:rFonts w:ascii="Arial Narrow" w:hAnsi="Arial Narrow" w:cstheme="minorHAnsi"/>
          <w:bCs/>
          <w:sz w:val="22"/>
          <w:szCs w:val="22"/>
        </w:rPr>
        <w:t xml:space="preserve"> reported that 6 months of laronidase treatment was effective at improving cardiac function (assessed with 6MWT) and respiratory function (assessed with FVC) by a significantly greater amount than placebo </w:t>
      </w:r>
      <w:r w:rsidRPr="009101DD">
        <w:rPr>
          <w:rFonts w:ascii="Arial Narrow" w:hAnsi="Arial Narrow" w:cstheme="minorHAnsi"/>
          <w:bCs/>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9101DD">
        <w:rPr>
          <w:rFonts w:ascii="Arial Narrow" w:hAnsi="Arial Narrow" w:cstheme="minorHAnsi"/>
          <w:bCs/>
          <w:sz w:val="22"/>
          <w:szCs w:val="22"/>
        </w:rPr>
        <w:t>)</w:t>
      </w:r>
      <w:r>
        <w:rPr>
          <w:rFonts w:ascii="Arial Narrow" w:hAnsi="Arial Narrow" w:cstheme="minorHAnsi"/>
          <w:bCs/>
          <w:sz w:val="22"/>
          <w:szCs w:val="22"/>
        </w:rPr>
        <w:t xml:space="preserve"> However, these results are difficult to interpret, due to baseline differences favouring placebo. </w:t>
      </w:r>
      <w:r w:rsidRPr="005E6E1C">
        <w:rPr>
          <w:rFonts w:ascii="Arial Narrow" w:hAnsi="Arial Narrow" w:cstheme="minorHAnsi"/>
          <w:bCs/>
          <w:i/>
          <w:sz w:val="22"/>
          <w:szCs w:val="22"/>
        </w:rPr>
        <w:t>Post hoc</w:t>
      </w:r>
      <w:r>
        <w:rPr>
          <w:rFonts w:ascii="Arial Narrow" w:hAnsi="Arial Narrow" w:cstheme="minorHAnsi"/>
          <w:bCs/>
          <w:sz w:val="22"/>
          <w:szCs w:val="22"/>
        </w:rPr>
        <w:t xml:space="preserve"> analyses also showed reductions in sleep apnoea and improvement in joint movement, although these were only statistically significant in the sub-group who had severe symptoms at baseline and may have been affected by confounding </w:t>
      </w:r>
      <w:r w:rsidRPr="009101DD">
        <w:rPr>
          <w:rFonts w:ascii="Arial Narrow" w:hAnsi="Arial Narrow" w:cstheme="minorHAnsi"/>
          <w:bCs/>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9101DD">
        <w:rPr>
          <w:rFonts w:ascii="Arial Narrow" w:hAnsi="Arial Narrow" w:cstheme="minorHAnsi"/>
          <w:bCs/>
          <w:sz w:val="22"/>
          <w:szCs w:val="22"/>
        </w:rPr>
        <w:t>)</w:t>
      </w:r>
      <w:r>
        <w:rPr>
          <w:rFonts w:ascii="Arial Narrow" w:hAnsi="Arial Narrow" w:cstheme="minorHAnsi"/>
          <w:bCs/>
          <w:sz w:val="22"/>
          <w:szCs w:val="22"/>
        </w:rPr>
        <w:t xml:space="preserve">. Laronidase appears safe, with a very similar profile of adverse events to placebo infusions. </w:t>
      </w:r>
    </w:p>
    <w:p w:rsidR="00074F6C" w:rsidRDefault="00074F6C"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bCs/>
          <w:sz w:val="22"/>
          <w:szCs w:val="22"/>
        </w:rPr>
      </w:pPr>
      <w:r>
        <w:rPr>
          <w:rFonts w:ascii="Arial Narrow" w:hAnsi="Arial Narrow" w:cstheme="minorHAnsi"/>
          <w:bCs/>
          <w:sz w:val="22"/>
          <w:szCs w:val="22"/>
        </w:rPr>
        <w:t>An extension to the randomised trial assessed the benefit of laronidase over 3.5 to 4 years, and found that % predicted normal FVC was reduced from baseline by a small amount (i.e. the 4.9% benefit observed in the first 6 months of treatment during the trial was not maintained on average during the extension). In 29/40 patients FVC improved or remained stable over 3.5-4 years, while</w:t>
      </w:r>
      <w:r w:rsidR="00E44ADC">
        <w:rPr>
          <w:rFonts w:ascii="Arial Narrow" w:hAnsi="Arial Narrow" w:cstheme="minorHAnsi"/>
          <w:bCs/>
          <w:sz w:val="22"/>
          <w:szCs w:val="22"/>
        </w:rPr>
        <w:t xml:space="preserve"> </w:t>
      </w:r>
      <w:r w:rsidR="001B4E29">
        <w:rPr>
          <w:rFonts w:ascii="Arial Narrow" w:hAnsi="Arial Narrow" w:cstheme="minorHAnsi"/>
          <w:bCs/>
          <w:sz w:val="22"/>
          <w:szCs w:val="22"/>
        </w:rPr>
        <w:t>the remaining</w:t>
      </w:r>
      <w:r w:rsidR="00E44ADC">
        <w:rPr>
          <w:rFonts w:ascii="Arial Narrow" w:hAnsi="Arial Narrow" w:cstheme="minorHAnsi"/>
          <w:bCs/>
          <w:sz w:val="22"/>
          <w:szCs w:val="22"/>
        </w:rPr>
        <w:t xml:space="preserve">11 patients declined by ≤15%. </w:t>
      </w:r>
      <w:r>
        <w:rPr>
          <w:rFonts w:ascii="Arial Narrow" w:hAnsi="Arial Narrow" w:cstheme="minorHAnsi"/>
          <w:bCs/>
          <w:sz w:val="22"/>
          <w:szCs w:val="22"/>
        </w:rPr>
        <w:t xml:space="preserve">Similarly, the distance walked in the 6MWT (which improved by an average of 19.7 metres during the randomised trial), improved only 17.1 metres on average from baseline in the extension trial, which was an improvement of ≥ 54 metres in 50% of patients, limited increase or decrease in 28% of patients, and a reduction of ≥ 54 metres in 23% of patients. Given the lack of comparative data for the longer-term, it cannot be determined whether the poorer outcomes at 3.5-4 years (as compared to after 6 months in the laronidase arm of the randomised trial) are due to lack of longer-term efficacy, or normal disease-related decline. </w:t>
      </w:r>
    </w:p>
    <w:p w:rsidR="00074F6C" w:rsidRPr="00872992" w:rsidRDefault="00074F6C"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sz w:val="22"/>
          <w:szCs w:val="22"/>
        </w:rPr>
      </w:pPr>
      <w:r>
        <w:rPr>
          <w:rFonts w:ascii="Arial Narrow" w:hAnsi="Arial Narrow" w:cstheme="minorHAnsi"/>
          <w:bCs/>
          <w:sz w:val="22"/>
          <w:szCs w:val="22"/>
        </w:rPr>
        <w:lastRenderedPageBreak/>
        <w:t xml:space="preserve">Data on the baseline status of Australian patients receiving laronidase were scant, and the benefit of laronidase could not be assessed. </w:t>
      </w:r>
    </w:p>
    <w:p w:rsidR="00074F6C" w:rsidRPr="00E91831" w:rsidRDefault="00074F6C"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sz w:val="22"/>
          <w:szCs w:val="22"/>
        </w:rPr>
      </w:pPr>
      <w:r w:rsidRPr="00872992">
        <w:rPr>
          <w:rFonts w:ascii="Arial Narrow" w:hAnsi="Arial Narrow" w:cstheme="minorHAnsi"/>
          <w:b/>
          <w:sz w:val="22"/>
          <w:szCs w:val="22"/>
        </w:rPr>
        <w:t xml:space="preserve">Is idursulfase safe and effective compared to standard medical management plus placebo in the treatment </w:t>
      </w:r>
      <w:r w:rsidRPr="00E91831">
        <w:rPr>
          <w:rFonts w:ascii="Arial Narrow" w:hAnsi="Arial Narrow" w:cstheme="minorHAnsi"/>
          <w:b/>
          <w:sz w:val="22"/>
          <w:szCs w:val="22"/>
        </w:rPr>
        <w:t>of patients with Mucopolysaccharidosis Type II (Hunter syndrome)?</w:t>
      </w:r>
    </w:p>
    <w:p w:rsidR="00074F6C" w:rsidRDefault="00074F6C"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sz w:val="22"/>
          <w:szCs w:val="22"/>
        </w:rPr>
      </w:pPr>
      <w:r>
        <w:rPr>
          <w:rFonts w:ascii="Arial Narrow" w:hAnsi="Arial Narrow" w:cstheme="minorHAnsi"/>
          <w:sz w:val="22"/>
          <w:szCs w:val="22"/>
        </w:rPr>
        <w:t xml:space="preserve">The submission to </w:t>
      </w:r>
      <w:r w:rsidR="008B0F23">
        <w:rPr>
          <w:rFonts w:ascii="Arial Narrow" w:hAnsi="Arial Narrow" w:cstheme="minorHAnsi"/>
          <w:sz w:val="22"/>
          <w:szCs w:val="22"/>
        </w:rPr>
        <w:t xml:space="preserve">the </w:t>
      </w:r>
      <w:r>
        <w:rPr>
          <w:rFonts w:ascii="Arial Narrow" w:hAnsi="Arial Narrow" w:cstheme="minorHAnsi"/>
          <w:sz w:val="22"/>
          <w:szCs w:val="22"/>
        </w:rPr>
        <w:t xml:space="preserve">PBAC claimed that improvements on surrogate endpoints of FVC and the 6MWT compared to placebo are clinically meaningful. The PBAC accepted that it was sufficiently likely that treatment with idursulfase would improve survival in patients with MPS II. Longer term data were available from one new extension trial, following the randomised trial which was included in the </w:t>
      </w:r>
      <w:r w:rsidR="00D12B65">
        <w:rPr>
          <w:rFonts w:ascii="Arial Narrow" w:hAnsi="Arial Narrow" w:cstheme="minorHAnsi"/>
          <w:sz w:val="22"/>
          <w:szCs w:val="22"/>
        </w:rPr>
        <w:t>submission to the PBAC</w:t>
      </w:r>
      <w:r>
        <w:rPr>
          <w:rFonts w:ascii="Arial Narrow" w:hAnsi="Arial Narrow" w:cstheme="minorHAnsi"/>
          <w:sz w:val="22"/>
          <w:szCs w:val="22"/>
        </w:rPr>
        <w:t xml:space="preserve">. </w:t>
      </w:r>
    </w:p>
    <w:p w:rsidR="00793A68" w:rsidRDefault="00793A68"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sz w:val="22"/>
          <w:szCs w:val="22"/>
        </w:rPr>
      </w:pPr>
      <w:r w:rsidRPr="00E91831">
        <w:rPr>
          <w:rFonts w:ascii="Arial Narrow" w:hAnsi="Arial Narrow" w:cstheme="minorHAnsi"/>
          <w:sz w:val="22"/>
          <w:szCs w:val="22"/>
        </w:rPr>
        <w:t>A hi</w:t>
      </w:r>
      <w:r>
        <w:rPr>
          <w:rFonts w:ascii="Arial Narrow" w:hAnsi="Arial Narrow" w:cstheme="minorHAnsi"/>
          <w:sz w:val="22"/>
          <w:szCs w:val="22"/>
        </w:rPr>
        <w:t xml:space="preserve">gh quality double-blind randomised placebo-controlled trial found that MPS II patients taking idursulfase weekly had significantly better physical functional capacity (6MWT) and respiratory function (absolute FVC) after one year than patients who received placebo </w:t>
      </w:r>
      <w:r w:rsidRPr="009101DD">
        <w:rPr>
          <w:rFonts w:ascii="Arial Narrow" w:hAnsi="Arial Narrow" w:cstheme="minorHAnsi"/>
          <w:bCs/>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9101DD">
        <w:rPr>
          <w:rFonts w:ascii="Arial Narrow" w:hAnsi="Arial Narrow" w:cstheme="minorHAnsi"/>
          <w:bCs/>
          <w:sz w:val="22"/>
          <w:szCs w:val="22"/>
        </w:rPr>
        <w:t>)</w:t>
      </w:r>
      <w:r>
        <w:rPr>
          <w:rFonts w:ascii="Arial Narrow" w:hAnsi="Arial Narrow" w:cstheme="minorHAnsi"/>
          <w:sz w:val="22"/>
          <w:szCs w:val="22"/>
        </w:rPr>
        <w:t xml:space="preserve">. Liver and spleen volumes, and urinary GAG were also significantly reduced in patients taking idursulfase compared to those taking placebo </w:t>
      </w:r>
      <w:r w:rsidRPr="009101DD">
        <w:rPr>
          <w:rFonts w:ascii="Arial Narrow" w:hAnsi="Arial Narrow" w:cstheme="minorHAnsi"/>
          <w:bCs/>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9101DD">
        <w:rPr>
          <w:rFonts w:ascii="Arial Narrow" w:hAnsi="Arial Narrow" w:cstheme="minorHAnsi"/>
          <w:bCs/>
          <w:sz w:val="22"/>
          <w:szCs w:val="22"/>
        </w:rPr>
        <w:t>)</w:t>
      </w:r>
      <w:r>
        <w:rPr>
          <w:rFonts w:ascii="Arial Narrow" w:hAnsi="Arial Narrow" w:cstheme="minorHAnsi"/>
          <w:sz w:val="22"/>
          <w:szCs w:val="22"/>
        </w:rPr>
        <w:t xml:space="preserve">. Improvements were less pronounced in patients taking idursulfase every other week than in those who received idursulfase weekly.  An extension study reported that improvements in 6MWT and absolute FVC were largely maintained with treatment for a further 24 months </w:t>
      </w:r>
      <w:r w:rsidRPr="009101DD">
        <w:rPr>
          <w:rFonts w:ascii="Arial Narrow" w:hAnsi="Arial Narrow" w:cstheme="minorHAnsi"/>
          <w:bCs/>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9101DD">
        <w:rPr>
          <w:rFonts w:ascii="Arial Narrow" w:hAnsi="Arial Narrow" w:cstheme="minorHAnsi"/>
          <w:bCs/>
          <w:sz w:val="22"/>
          <w:szCs w:val="22"/>
        </w:rPr>
        <w:t>)</w:t>
      </w:r>
      <w:r>
        <w:rPr>
          <w:rFonts w:ascii="Arial Narrow" w:hAnsi="Arial Narrow" w:cstheme="minorHAnsi"/>
          <w:sz w:val="22"/>
          <w:szCs w:val="22"/>
        </w:rPr>
        <w:t xml:space="preserve">. </w:t>
      </w:r>
    </w:p>
    <w:p w:rsidR="00E502C3" w:rsidRDefault="00E502C3"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sz w:val="22"/>
          <w:szCs w:val="22"/>
        </w:rPr>
      </w:pPr>
      <w:r>
        <w:rPr>
          <w:rFonts w:ascii="Arial Narrow" w:hAnsi="Arial Narrow" w:cstheme="minorHAnsi"/>
          <w:sz w:val="22"/>
          <w:szCs w:val="22"/>
        </w:rPr>
        <w:t xml:space="preserve">Adverse events were more common in the patients taking idursulfase compared to those taking placebo and some are likely to be drug-related </w:t>
      </w:r>
      <w:r w:rsidRPr="009101DD">
        <w:rPr>
          <w:rFonts w:ascii="Arial Narrow" w:hAnsi="Arial Narrow" w:cstheme="minorHAnsi"/>
          <w:bCs/>
          <w:sz w:val="22"/>
          <w:szCs w:val="22"/>
        </w:rPr>
        <w:t>(GRADE</w:t>
      </w:r>
      <w:r>
        <w:t xml:space="preserve"> </w:t>
      </w:r>
      <w:r w:rsidRPr="00D4733A">
        <w:rPr>
          <w:rFonts w:ascii="Cambria Math" w:hAnsi="Cambria Math"/>
          <w:color w:val="00B050"/>
        </w:rPr>
        <w:t>⨁⨁⨁⨁</w:t>
      </w:r>
      <w:r w:rsidRPr="009101DD">
        <w:rPr>
          <w:rFonts w:ascii="Arial Narrow" w:hAnsi="Arial Narrow" w:cstheme="minorHAnsi"/>
          <w:bCs/>
          <w:sz w:val="22"/>
          <w:szCs w:val="22"/>
        </w:rPr>
        <w:t>)</w:t>
      </w:r>
      <w:r>
        <w:rPr>
          <w:rFonts w:ascii="Arial Narrow" w:hAnsi="Arial Narrow" w:cstheme="minorHAnsi"/>
          <w:sz w:val="22"/>
          <w:szCs w:val="22"/>
        </w:rPr>
        <w:t xml:space="preserve">. </w:t>
      </w:r>
    </w:p>
    <w:p w:rsidR="00E502C3" w:rsidRPr="00E91831" w:rsidRDefault="00E502C3"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sz w:val="22"/>
          <w:szCs w:val="22"/>
        </w:rPr>
      </w:pPr>
      <w:r>
        <w:rPr>
          <w:rFonts w:ascii="Arial Narrow" w:hAnsi="Arial Narrow" w:cstheme="minorHAnsi"/>
          <w:sz w:val="22"/>
          <w:szCs w:val="22"/>
        </w:rPr>
        <w:t xml:space="preserve">Data on the Australian patients receiving idursulfase could not be collated due to the lack of consistency in reporting. </w:t>
      </w:r>
    </w:p>
    <w:p w:rsidR="00E502C3" w:rsidRDefault="00E502C3"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b/>
          <w:sz w:val="22"/>
          <w:szCs w:val="22"/>
        </w:rPr>
      </w:pPr>
      <w:r w:rsidRPr="00872992">
        <w:rPr>
          <w:rFonts w:ascii="Arial Narrow" w:hAnsi="Arial Narrow" w:cstheme="minorHAnsi"/>
          <w:b/>
          <w:sz w:val="22"/>
          <w:szCs w:val="22"/>
        </w:rPr>
        <w:t>Is galsulfase safe and effective compared to standard medical management plus placebo in the treatment of patients with Mucopolysaccharidosis Type VI (Maroteaux-Lamy syndrome)?</w:t>
      </w:r>
    </w:p>
    <w:p w:rsidR="00E502C3" w:rsidRPr="005F2890" w:rsidRDefault="00E502C3"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sz w:val="22"/>
          <w:szCs w:val="22"/>
        </w:rPr>
      </w:pPr>
      <w:r>
        <w:rPr>
          <w:rFonts w:ascii="Arial Narrow" w:hAnsi="Arial Narrow" w:cstheme="minorHAnsi"/>
          <w:sz w:val="22"/>
          <w:szCs w:val="22"/>
        </w:rPr>
        <w:t>The submission claimed that galsulfase had significant advantages in effectiveness over placebo (plus standard medical management) and similar or less toxicity. The PBAC accepted that galsulfase had significant clinically effectiveness over placebo for the primary outcome of 12-minute walk test (12MWT) over 24 weeks, but more toxicity</w:t>
      </w:r>
      <w:r w:rsidRPr="005F2890">
        <w:rPr>
          <w:rFonts w:ascii="Arial Narrow" w:hAnsi="Arial Narrow" w:cstheme="minorHAnsi"/>
          <w:sz w:val="22"/>
          <w:szCs w:val="22"/>
        </w:rPr>
        <w:t xml:space="preserve">. No new data were identified through the systematic review. </w:t>
      </w:r>
    </w:p>
    <w:p w:rsidR="00E502C3" w:rsidRDefault="00E502C3"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sz w:val="22"/>
          <w:szCs w:val="22"/>
        </w:rPr>
      </w:pPr>
      <w:r w:rsidRPr="005F2890">
        <w:rPr>
          <w:rFonts w:ascii="Arial Narrow" w:hAnsi="Arial Narrow" w:cstheme="minorHAnsi"/>
          <w:sz w:val="22"/>
          <w:szCs w:val="22"/>
        </w:rPr>
        <w:t xml:space="preserve">One randomised double-blind trial detected a </w:t>
      </w:r>
      <w:r w:rsidR="005F2890">
        <w:rPr>
          <w:rFonts w:ascii="Arial Narrow" w:hAnsi="Arial Narrow" w:cstheme="minorHAnsi"/>
          <w:sz w:val="22"/>
          <w:szCs w:val="22"/>
        </w:rPr>
        <w:t xml:space="preserve">statistically significant </w:t>
      </w:r>
      <w:r w:rsidR="00EF0542">
        <w:rPr>
          <w:rFonts w:ascii="Arial Narrow" w:hAnsi="Arial Narrow" w:cstheme="minorHAnsi"/>
          <w:sz w:val="22"/>
          <w:szCs w:val="22"/>
        </w:rPr>
        <w:t xml:space="preserve">difference favouring galsulfase on the 12-minute walk test, and a non-statistically significant trend favouring galsulfase on the 3-minute stair climb </w:t>
      </w:r>
      <w:r w:rsidRPr="005F2890">
        <w:rPr>
          <w:rFonts w:ascii="Arial Narrow" w:hAnsi="Arial Narrow" w:cstheme="minorHAnsi"/>
          <w:bCs/>
          <w:sz w:val="22"/>
          <w:szCs w:val="22"/>
        </w:rPr>
        <w:t>(GRADE</w:t>
      </w:r>
      <w:r w:rsidRPr="005F2890">
        <w:t xml:space="preserve"> </w:t>
      </w:r>
      <w:r w:rsidRPr="005F2890">
        <w:rPr>
          <w:rFonts w:ascii="Cambria Math" w:hAnsi="Cambria Math"/>
          <w:color w:val="00B050"/>
        </w:rPr>
        <w:t>⨁⨁</w:t>
      </w:r>
      <w:r w:rsidRPr="005F2890">
        <w:rPr>
          <w:rFonts w:ascii="Cambria Math" w:hAnsi="Cambria Math"/>
          <w:color w:val="C00000"/>
        </w:rPr>
        <w:t>⨀⨀</w:t>
      </w:r>
      <w:r w:rsidRPr="005F2890">
        <w:rPr>
          <w:rFonts w:ascii="Arial Narrow" w:hAnsi="Arial Narrow" w:cstheme="minorHAnsi"/>
          <w:bCs/>
          <w:sz w:val="22"/>
          <w:szCs w:val="22"/>
        </w:rPr>
        <w:t>)</w:t>
      </w:r>
      <w:r w:rsidRPr="005F2890">
        <w:rPr>
          <w:rFonts w:ascii="Arial Narrow" w:hAnsi="Arial Narrow" w:cstheme="minorHAnsi"/>
          <w:sz w:val="22"/>
          <w:szCs w:val="22"/>
        </w:rPr>
        <w:t xml:space="preserve">. </w:t>
      </w:r>
      <w:r w:rsidR="00E328E5">
        <w:rPr>
          <w:rFonts w:ascii="Arial Narrow" w:hAnsi="Arial Narrow" w:cstheme="minorHAnsi"/>
          <w:sz w:val="22"/>
          <w:szCs w:val="22"/>
        </w:rPr>
        <w:t xml:space="preserve">No significant </w:t>
      </w:r>
      <w:r w:rsidR="00E01F52">
        <w:rPr>
          <w:rFonts w:ascii="Arial Narrow" w:hAnsi="Arial Narrow" w:cstheme="minorHAnsi"/>
          <w:sz w:val="22"/>
          <w:szCs w:val="22"/>
        </w:rPr>
        <w:t>improvements</w:t>
      </w:r>
      <w:r w:rsidR="00E328E5">
        <w:rPr>
          <w:rFonts w:ascii="Arial Narrow" w:hAnsi="Arial Narrow" w:cstheme="minorHAnsi"/>
          <w:sz w:val="22"/>
          <w:szCs w:val="22"/>
        </w:rPr>
        <w:t xml:space="preserve"> were detected on respiratory functioning</w:t>
      </w:r>
      <w:r w:rsidR="00F16AF1">
        <w:rPr>
          <w:rFonts w:ascii="Arial Narrow" w:hAnsi="Arial Narrow" w:cstheme="minorHAnsi"/>
          <w:sz w:val="22"/>
          <w:szCs w:val="22"/>
        </w:rPr>
        <w:t xml:space="preserve"> over the 24 weeks </w:t>
      </w:r>
      <w:r w:rsidR="00F16AF1" w:rsidRPr="005F2890">
        <w:rPr>
          <w:rFonts w:ascii="Arial Narrow" w:hAnsi="Arial Narrow" w:cstheme="minorHAnsi"/>
          <w:bCs/>
          <w:sz w:val="22"/>
          <w:szCs w:val="22"/>
        </w:rPr>
        <w:t>(GRADE</w:t>
      </w:r>
      <w:r w:rsidR="00F16AF1" w:rsidRPr="005F2890">
        <w:t xml:space="preserve"> </w:t>
      </w:r>
      <w:r w:rsidR="00F16AF1" w:rsidRPr="005F2890">
        <w:rPr>
          <w:rFonts w:ascii="Cambria Math" w:hAnsi="Cambria Math"/>
          <w:color w:val="00B050"/>
        </w:rPr>
        <w:t>⨁⨁</w:t>
      </w:r>
      <w:r w:rsidR="00F16AF1" w:rsidRPr="005F2890">
        <w:rPr>
          <w:rFonts w:ascii="Cambria Math" w:hAnsi="Cambria Math"/>
          <w:color w:val="C00000"/>
        </w:rPr>
        <w:t>⨀⨀</w:t>
      </w:r>
      <w:r w:rsidR="00F16AF1" w:rsidRPr="005F2890">
        <w:rPr>
          <w:rFonts w:ascii="Arial Narrow" w:hAnsi="Arial Narrow" w:cstheme="minorHAnsi"/>
          <w:bCs/>
          <w:sz w:val="22"/>
          <w:szCs w:val="22"/>
        </w:rPr>
        <w:t>)</w:t>
      </w:r>
      <w:r w:rsidR="00E328E5">
        <w:rPr>
          <w:rFonts w:ascii="Arial Narrow" w:hAnsi="Arial Narrow" w:cstheme="minorHAnsi"/>
          <w:sz w:val="22"/>
          <w:szCs w:val="22"/>
        </w:rPr>
        <w:t xml:space="preserve">. </w:t>
      </w:r>
      <w:r>
        <w:rPr>
          <w:rFonts w:ascii="Arial Narrow" w:hAnsi="Arial Narrow" w:cstheme="minorHAnsi"/>
          <w:sz w:val="22"/>
          <w:szCs w:val="22"/>
        </w:rPr>
        <w:t>While there were more adverse events in the galsulfase group than the placebo group,</w:t>
      </w:r>
      <w:r w:rsidR="004A7808">
        <w:rPr>
          <w:rFonts w:ascii="Arial Narrow" w:hAnsi="Arial Narrow" w:cstheme="minorHAnsi"/>
          <w:sz w:val="22"/>
          <w:szCs w:val="22"/>
        </w:rPr>
        <w:t xml:space="preserve"> these were </w:t>
      </w:r>
      <w:r w:rsidR="003705D6">
        <w:rPr>
          <w:rFonts w:ascii="Arial Narrow" w:hAnsi="Arial Narrow" w:cstheme="minorHAnsi"/>
          <w:sz w:val="22"/>
          <w:szCs w:val="22"/>
        </w:rPr>
        <w:t>predominantly</w:t>
      </w:r>
      <w:r w:rsidR="004A7808">
        <w:rPr>
          <w:rFonts w:ascii="Arial Narrow" w:hAnsi="Arial Narrow" w:cstheme="minorHAnsi"/>
          <w:sz w:val="22"/>
          <w:szCs w:val="22"/>
        </w:rPr>
        <w:t xml:space="preserve"> infusion-related, and</w:t>
      </w:r>
      <w:r>
        <w:rPr>
          <w:rFonts w:ascii="Arial Narrow" w:hAnsi="Arial Narrow" w:cstheme="minorHAnsi"/>
          <w:sz w:val="22"/>
          <w:szCs w:val="22"/>
        </w:rPr>
        <w:t xml:space="preserve"> the difference was not shown to be statistically significant </w:t>
      </w:r>
      <w:r w:rsidRPr="009101DD">
        <w:rPr>
          <w:rFonts w:ascii="Arial Narrow" w:hAnsi="Arial Narrow" w:cstheme="minorHAnsi"/>
          <w:bCs/>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9101DD">
        <w:rPr>
          <w:rFonts w:ascii="Arial Narrow" w:hAnsi="Arial Narrow" w:cstheme="minorHAnsi"/>
          <w:bCs/>
          <w:sz w:val="22"/>
          <w:szCs w:val="22"/>
        </w:rPr>
        <w:t>)</w:t>
      </w:r>
      <w:r>
        <w:rPr>
          <w:rFonts w:ascii="Arial Narrow" w:hAnsi="Arial Narrow" w:cstheme="minorHAnsi"/>
          <w:sz w:val="22"/>
          <w:szCs w:val="22"/>
        </w:rPr>
        <w:t>.</w:t>
      </w:r>
    </w:p>
    <w:p w:rsidR="00E502C3" w:rsidRDefault="00E502C3" w:rsidP="00E502C3">
      <w:pPr>
        <w:pBdr>
          <w:top w:val="single" w:sz="4" w:space="4" w:color="auto"/>
          <w:left w:val="single" w:sz="4" w:space="4" w:color="auto"/>
          <w:bottom w:val="single" w:sz="4" w:space="4" w:color="auto"/>
          <w:right w:val="single" w:sz="4" w:space="4" w:color="auto"/>
        </w:pBdr>
        <w:rPr>
          <w:rFonts w:cstheme="minorHAnsi"/>
        </w:rPr>
      </w:pPr>
      <w:r>
        <w:rPr>
          <w:rFonts w:ascii="Arial Narrow" w:hAnsi="Arial Narrow" w:cstheme="minorHAnsi"/>
          <w:sz w:val="22"/>
          <w:szCs w:val="22"/>
        </w:rPr>
        <w:t>Data on the Australian patients receiving galsulfase were not comprehensive enough to determine the clinical impact of treatment.</w:t>
      </w:r>
    </w:p>
    <w:p w:rsidR="00074F6C" w:rsidRDefault="00074F6C" w:rsidP="00074F6C"/>
    <w:p w:rsidR="000756DF" w:rsidRPr="000756DF" w:rsidRDefault="000756DF" w:rsidP="00EC5DFF">
      <w:pPr>
        <w:pStyle w:val="Heading4"/>
      </w:pPr>
      <w:r w:rsidRPr="000756DF">
        <w:t>Background</w:t>
      </w:r>
    </w:p>
    <w:p w:rsidR="00793A68" w:rsidRDefault="00793A68" w:rsidP="00793A68">
      <w:pPr>
        <w:pStyle w:val="Heading5"/>
        <w:rPr>
          <w:rFonts w:eastAsiaTheme="majorEastAsia"/>
        </w:rPr>
      </w:pPr>
      <w:r>
        <w:rPr>
          <w:rFonts w:eastAsiaTheme="majorEastAsia"/>
        </w:rPr>
        <w:t>Mucopolysaccharidoses</w:t>
      </w:r>
    </w:p>
    <w:p w:rsidR="00EC580E" w:rsidRPr="000756DF" w:rsidRDefault="00EC580E" w:rsidP="00EC580E">
      <w:pPr>
        <w:rPr>
          <w:rFonts w:eastAsiaTheme="majorEastAsia"/>
        </w:rPr>
      </w:pPr>
      <w:r w:rsidRPr="000756DF">
        <w:rPr>
          <w:rFonts w:eastAsiaTheme="majorEastAsia"/>
        </w:rPr>
        <w:t xml:space="preserve">The mucopolysaccharidoses are severe progressive lysosomal storage disorders caused by the absence or reduced function of specific lysosomal enzymes. The enzymes are required for different steps of glycosaminoglycan (GAG) catabolism. The lack of enzyme function is </w:t>
      </w:r>
      <w:r w:rsidRPr="000756DF">
        <w:rPr>
          <w:rFonts w:eastAsiaTheme="majorEastAsia"/>
        </w:rPr>
        <w:lastRenderedPageBreak/>
        <w:t>the result of gene mutations and leads to the build-up of GAGs, specifically dermatan sul</w:t>
      </w:r>
      <w:r>
        <w:rPr>
          <w:rFonts w:eastAsiaTheme="majorEastAsia"/>
        </w:rPr>
        <w:t>ph</w:t>
      </w:r>
      <w:r w:rsidRPr="000756DF">
        <w:rPr>
          <w:rFonts w:eastAsiaTheme="majorEastAsia"/>
        </w:rPr>
        <w:t xml:space="preserve">ate and heparin sulphate. Accumulation of GAGs within lysosomes leads to permanent cell damage and progressive deterioration of organs and tissues. </w:t>
      </w:r>
    </w:p>
    <w:p w:rsidR="00793A68" w:rsidRDefault="00EC580E" w:rsidP="00EC580E">
      <w:pPr>
        <w:rPr>
          <w:rFonts w:cstheme="minorHAnsi"/>
        </w:rPr>
      </w:pPr>
      <w:r w:rsidRPr="000756DF">
        <w:rPr>
          <w:rFonts w:cstheme="minorHAnsi"/>
        </w:rPr>
        <w:t xml:space="preserve">Mucopolysaccharidosis I (MPS I) is a chronic, life-threatening disorder in which a deficiency in enzyme α-L-iduronidase results in an accumulation of GAGs, compromising organs and tissues </w:t>
      </w:r>
      <w:r w:rsidR="00B05798">
        <w:rPr>
          <w:rFonts w:cstheme="minorHAnsi"/>
          <w:noProof/>
        </w:rPr>
        <w:t>(</w:t>
      </w:r>
      <w:r w:rsidR="00184B6F">
        <w:rPr>
          <w:rFonts w:cstheme="minorHAnsi"/>
          <w:noProof/>
        </w:rPr>
        <w:t>Wraith, J. E. et al. 2004</w:t>
      </w:r>
      <w:r w:rsidR="00B05798">
        <w:rPr>
          <w:rFonts w:cstheme="minorHAnsi"/>
          <w:noProof/>
        </w:rPr>
        <w:t>)</w:t>
      </w:r>
      <w:r w:rsidRPr="000756DF">
        <w:rPr>
          <w:rFonts w:cstheme="minorHAnsi"/>
        </w:rPr>
        <w:t>. Mutations in the α-L-iduronidase gene are inherited in a recessive autosomal fashion, affecting males and females equally. Common causes of morbidity and mortality in MPS I are respiratory insufficiency</w:t>
      </w:r>
      <w:r>
        <w:rPr>
          <w:rFonts w:cstheme="minorHAnsi"/>
        </w:rPr>
        <w:t>,</w:t>
      </w:r>
      <w:r w:rsidRPr="000756DF">
        <w:rPr>
          <w:rFonts w:cstheme="minorHAnsi"/>
        </w:rPr>
        <w:t xml:space="preserve"> cardiac compromise, and joint problems. Clinically, MPS I can be classified into three syndromes, namely Hurler (the most severe), Scheie (least severe) and Hurler-Scheie syndrome</w:t>
      </w:r>
      <w:r>
        <w:rPr>
          <w:rFonts w:cstheme="minorHAnsi"/>
        </w:rPr>
        <w:t>;</w:t>
      </w:r>
      <w:r w:rsidRPr="000756DF">
        <w:rPr>
          <w:rFonts w:cstheme="minorHAnsi"/>
        </w:rPr>
        <w:t xml:space="preserve"> however</w:t>
      </w:r>
      <w:r>
        <w:rPr>
          <w:rFonts w:cstheme="minorHAnsi"/>
        </w:rPr>
        <w:t>,</w:t>
      </w:r>
      <w:r w:rsidRPr="000756DF">
        <w:rPr>
          <w:rFonts w:cstheme="minorHAnsi"/>
        </w:rPr>
        <w:t xml:space="preserve"> the three groups are not distinct. </w:t>
      </w:r>
    </w:p>
    <w:p w:rsidR="00063A48" w:rsidRDefault="00063A48" w:rsidP="00EC580E">
      <w:pPr>
        <w:rPr>
          <w:rFonts w:cstheme="minorHAnsi"/>
        </w:rPr>
      </w:pPr>
      <w:r w:rsidRPr="000756DF">
        <w:rPr>
          <w:rFonts w:cstheme="minorHAnsi"/>
        </w:rPr>
        <w:t xml:space="preserve">Deficiency in the lysosomal enzyme iduronate-2-sulfatase (I2S) is the cause of Mucopolysaccharidosis II (MPS II), also called Hunter syndrome. I2S is involved in the breakdown of GAGs and </w:t>
      </w:r>
      <w:r>
        <w:rPr>
          <w:rFonts w:cstheme="minorHAnsi"/>
        </w:rPr>
        <w:t xml:space="preserve">a </w:t>
      </w:r>
      <w:r w:rsidRPr="000756DF">
        <w:rPr>
          <w:rFonts w:cstheme="minorHAnsi"/>
        </w:rPr>
        <w:t>deficiency leads to progressive tissue and organ dysfunction. The gene encoding I2S is X-linked and the disease occurs primarily, although not exclusively, in males. Phenotypic variation is high but GAG accumulation commonly leads to neurological impairment, bone disease, decreased respiratory function and impaired cardiac function. Physical abnormalities worsen with age and severely affect quality of life.</w:t>
      </w:r>
    </w:p>
    <w:p w:rsidR="00063A48" w:rsidRDefault="00063A48" w:rsidP="00EC580E">
      <w:pPr>
        <w:rPr>
          <w:rFonts w:cstheme="minorHAnsi"/>
        </w:rPr>
      </w:pPr>
      <w:r w:rsidRPr="000756DF">
        <w:rPr>
          <w:rFonts w:cstheme="minorHAnsi"/>
        </w:rPr>
        <w:t xml:space="preserve">Mutations in a third enzyme, N-acetylgalactosamine-4-sulfatase, </w:t>
      </w:r>
      <w:r>
        <w:rPr>
          <w:rFonts w:cstheme="minorHAnsi"/>
        </w:rPr>
        <w:t>cause</w:t>
      </w:r>
      <w:r w:rsidRPr="000756DF">
        <w:rPr>
          <w:rFonts w:cstheme="minorHAnsi"/>
        </w:rPr>
        <w:t xml:space="preserve"> Mucopolysaccharidosis VI (MPS VI), also known as Maroteaux-Lamy syndrome. Enzyme deficiency leads to dermatan sul</w:t>
      </w:r>
      <w:r>
        <w:rPr>
          <w:rFonts w:cstheme="minorHAnsi"/>
        </w:rPr>
        <w:t>ph</w:t>
      </w:r>
      <w:r w:rsidRPr="000756DF">
        <w:rPr>
          <w:rFonts w:cstheme="minorHAnsi"/>
        </w:rPr>
        <w:t>ate accumulation and consequent tissue and organ damage. MPS VI is inherited in an autosomal recessive pattern. Skeletal abnormalit</w:t>
      </w:r>
      <w:r>
        <w:rPr>
          <w:rFonts w:cstheme="minorHAnsi"/>
        </w:rPr>
        <w:t>ies are</w:t>
      </w:r>
      <w:r w:rsidRPr="000756DF">
        <w:rPr>
          <w:rFonts w:cstheme="minorHAnsi"/>
        </w:rPr>
        <w:t xml:space="preserve"> common and patients experience compromised pulmonary and cardiovascular function. Progression of disease often results in </w:t>
      </w:r>
      <w:r>
        <w:rPr>
          <w:rFonts w:cstheme="minorHAnsi"/>
        </w:rPr>
        <w:t xml:space="preserve">the </w:t>
      </w:r>
      <w:r w:rsidRPr="000756DF">
        <w:rPr>
          <w:rFonts w:cstheme="minorHAnsi"/>
        </w:rPr>
        <w:t xml:space="preserve">death of patients </w:t>
      </w:r>
      <w:r>
        <w:rPr>
          <w:rFonts w:cstheme="minorHAnsi"/>
        </w:rPr>
        <w:t>who</w:t>
      </w:r>
      <w:r w:rsidRPr="000756DF">
        <w:rPr>
          <w:rFonts w:cstheme="minorHAnsi"/>
        </w:rPr>
        <w:t xml:space="preserve"> are aged in their teens or early 20s.</w:t>
      </w:r>
    </w:p>
    <w:p w:rsidR="00793A68" w:rsidRDefault="00793A68" w:rsidP="00793A68">
      <w:pPr>
        <w:pStyle w:val="Heading5"/>
      </w:pPr>
      <w:r>
        <w:t>Pre-enzyme replacement therapies</w:t>
      </w:r>
    </w:p>
    <w:p w:rsidR="00793A68" w:rsidRDefault="00793A68" w:rsidP="00EC580E">
      <w:pPr>
        <w:rPr>
          <w:rFonts w:cstheme="minorHAnsi"/>
        </w:rPr>
      </w:pPr>
      <w:r w:rsidRPr="000756DF">
        <w:rPr>
          <w:rFonts w:cstheme="minorHAnsi"/>
        </w:rPr>
        <w:t xml:space="preserve">Most treatments for MPS I are </w:t>
      </w:r>
      <w:r w:rsidR="001B4E29">
        <w:rPr>
          <w:rFonts w:cstheme="minorHAnsi"/>
        </w:rPr>
        <w:t xml:space="preserve">aimed at </w:t>
      </w:r>
      <w:r w:rsidRPr="000756DF">
        <w:rPr>
          <w:rFonts w:cstheme="minorHAnsi"/>
        </w:rPr>
        <w:t>symptom</w:t>
      </w:r>
      <w:r w:rsidR="001B4E29">
        <w:rPr>
          <w:rFonts w:cstheme="minorHAnsi"/>
        </w:rPr>
        <w:t xml:space="preserve"> relief. P</w:t>
      </w:r>
      <w:r>
        <w:rPr>
          <w:rFonts w:cstheme="minorHAnsi"/>
        </w:rPr>
        <w:t xml:space="preserve">rior to </w:t>
      </w:r>
      <w:r w:rsidR="001B4E29">
        <w:rPr>
          <w:rFonts w:cstheme="minorHAnsi"/>
        </w:rPr>
        <w:t xml:space="preserve">the development of </w:t>
      </w:r>
      <w:r>
        <w:rPr>
          <w:rFonts w:cstheme="minorHAnsi"/>
        </w:rPr>
        <w:t xml:space="preserve">ERT </w:t>
      </w:r>
      <w:r w:rsidR="001B4E29">
        <w:rPr>
          <w:rFonts w:cstheme="minorHAnsi"/>
        </w:rPr>
        <w:t xml:space="preserve">these treatments </w:t>
      </w:r>
      <w:r>
        <w:rPr>
          <w:rFonts w:cstheme="minorHAnsi"/>
        </w:rPr>
        <w:t>involved orthopaedic, otolaryngological, cardiac ophthalmological and neurosurgical interventions. H</w:t>
      </w:r>
      <w:r w:rsidRPr="000756DF">
        <w:rPr>
          <w:rFonts w:cstheme="minorHAnsi"/>
        </w:rPr>
        <w:t xml:space="preserve">aemopoietic stem cell transplantation (HSCT) has been used </w:t>
      </w:r>
      <w:r>
        <w:rPr>
          <w:rFonts w:cstheme="minorHAnsi"/>
        </w:rPr>
        <w:t xml:space="preserve">with some success </w:t>
      </w:r>
      <w:r w:rsidRPr="000756DF">
        <w:rPr>
          <w:rFonts w:cstheme="minorHAnsi"/>
        </w:rPr>
        <w:t xml:space="preserve">alone </w:t>
      </w:r>
      <w:r>
        <w:rPr>
          <w:rFonts w:cstheme="minorHAnsi"/>
        </w:rPr>
        <w:t>and</w:t>
      </w:r>
      <w:r w:rsidRPr="000756DF">
        <w:rPr>
          <w:rFonts w:cstheme="minorHAnsi"/>
        </w:rPr>
        <w:t xml:space="preserve"> in combination with ERT</w:t>
      </w:r>
      <w:r>
        <w:rPr>
          <w:rFonts w:cstheme="minorHAnsi"/>
        </w:rPr>
        <w:t xml:space="preserve"> to treat patients and has been found to maintain their intellectual function</w:t>
      </w:r>
      <w:r w:rsidRPr="000756DF">
        <w:rPr>
          <w:rFonts w:cstheme="minorHAnsi"/>
        </w:rPr>
        <w:t>.</w:t>
      </w:r>
    </w:p>
    <w:p w:rsidR="00063A48" w:rsidRPr="000756DF" w:rsidRDefault="00063A48" w:rsidP="00063A48">
      <w:pPr>
        <w:rPr>
          <w:rFonts w:cstheme="minorHAnsi"/>
        </w:rPr>
      </w:pPr>
      <w:r w:rsidRPr="000756DF">
        <w:rPr>
          <w:rFonts w:cstheme="minorHAnsi"/>
        </w:rPr>
        <w:t xml:space="preserve">HSCT and bone marrow transplant have been attempted but </w:t>
      </w:r>
      <w:r>
        <w:rPr>
          <w:rFonts w:cstheme="minorHAnsi"/>
        </w:rPr>
        <w:t xml:space="preserve">have not been found to prevent neurodegeneration and </w:t>
      </w:r>
      <w:r w:rsidRPr="000756DF">
        <w:rPr>
          <w:rFonts w:cstheme="minorHAnsi"/>
        </w:rPr>
        <w:t xml:space="preserve">are not routine treatment options for MPS II. </w:t>
      </w:r>
    </w:p>
    <w:p w:rsidR="00063A48" w:rsidRDefault="009E3804" w:rsidP="00EC580E">
      <w:pPr>
        <w:rPr>
          <w:rFonts w:cstheme="minorHAnsi"/>
        </w:rPr>
      </w:pPr>
      <w:r>
        <w:rPr>
          <w:rFonts w:cstheme="minorHAnsi"/>
        </w:rPr>
        <w:t>For patients with MPS VI, there has been some success with bone marrow transplant and HSCT in patients with severe somatic disease, but with little benefit to bone tissue</w:t>
      </w:r>
      <w:r w:rsidR="00713B21">
        <w:rPr>
          <w:rFonts w:cstheme="minorHAnsi"/>
        </w:rPr>
        <w:t xml:space="preserve">, and there </w:t>
      </w:r>
      <w:r w:rsidR="00713B21" w:rsidRPr="000756DF">
        <w:rPr>
          <w:rFonts w:cstheme="minorHAnsi"/>
        </w:rPr>
        <w:t xml:space="preserve">is a reported high mortality </w:t>
      </w:r>
      <w:r w:rsidR="00713B21">
        <w:rPr>
          <w:rFonts w:cstheme="minorHAnsi"/>
          <w:noProof/>
        </w:rPr>
        <w:t>(</w:t>
      </w:r>
      <w:r w:rsidR="00184B6F">
        <w:rPr>
          <w:rFonts w:cstheme="minorHAnsi"/>
          <w:noProof/>
        </w:rPr>
        <w:t>Braunlin et al. 2013</w:t>
      </w:r>
      <w:r w:rsidR="00713B21">
        <w:rPr>
          <w:rFonts w:cstheme="minorHAnsi"/>
          <w:noProof/>
        </w:rPr>
        <w:t xml:space="preserve">; </w:t>
      </w:r>
      <w:r w:rsidR="00184B6F">
        <w:rPr>
          <w:rFonts w:cstheme="minorHAnsi"/>
          <w:noProof/>
        </w:rPr>
        <w:t>Harmatz et al. 2006</w:t>
      </w:r>
      <w:r w:rsidR="00713B21">
        <w:rPr>
          <w:rFonts w:cstheme="minorHAnsi"/>
          <w:noProof/>
        </w:rPr>
        <w:t>)</w:t>
      </w:r>
      <w:r w:rsidR="00713B21" w:rsidRPr="000756DF">
        <w:rPr>
          <w:rFonts w:cstheme="minorHAnsi"/>
        </w:rPr>
        <w:t>.</w:t>
      </w:r>
    </w:p>
    <w:p w:rsidR="00793A68" w:rsidRDefault="00793A68" w:rsidP="00793A68">
      <w:pPr>
        <w:pStyle w:val="Heading5"/>
      </w:pPr>
      <w:r>
        <w:lastRenderedPageBreak/>
        <w:t>Enzyme replacement therapies</w:t>
      </w:r>
    </w:p>
    <w:p w:rsidR="009E3804" w:rsidRDefault="00EC580E" w:rsidP="009E3804">
      <w:pPr>
        <w:rPr>
          <w:rFonts w:cstheme="minorHAnsi"/>
        </w:rPr>
      </w:pPr>
      <w:r>
        <w:rPr>
          <w:rFonts w:cstheme="minorHAnsi"/>
        </w:rPr>
        <w:t>The use of</w:t>
      </w:r>
      <w:r w:rsidRPr="000756DF">
        <w:rPr>
          <w:rFonts w:cstheme="minorHAnsi"/>
        </w:rPr>
        <w:t xml:space="preserve"> laronidase </w:t>
      </w:r>
      <w:r>
        <w:rPr>
          <w:rFonts w:cstheme="minorHAnsi"/>
        </w:rPr>
        <w:t xml:space="preserve">ERT </w:t>
      </w:r>
      <w:r w:rsidRPr="000756DF">
        <w:rPr>
          <w:rFonts w:cstheme="minorHAnsi"/>
        </w:rPr>
        <w:t xml:space="preserve">attempts to target the underlying cause of the disorder </w:t>
      </w:r>
      <w:r w:rsidR="00A130D0">
        <w:rPr>
          <w:rFonts w:cstheme="minorHAnsi"/>
          <w:noProof/>
        </w:rPr>
        <w:t>(</w:t>
      </w:r>
      <w:r w:rsidR="00184B6F">
        <w:rPr>
          <w:rFonts w:cstheme="minorHAnsi"/>
          <w:noProof/>
        </w:rPr>
        <w:t>El Dib, R. P. &amp; Pastores 2007</w:t>
      </w:r>
      <w:r w:rsidR="00A130D0">
        <w:rPr>
          <w:rFonts w:cstheme="minorHAnsi"/>
          <w:noProof/>
        </w:rPr>
        <w:t xml:space="preserve">; </w:t>
      </w:r>
      <w:r w:rsidR="00184B6F">
        <w:rPr>
          <w:rFonts w:cstheme="minorHAnsi"/>
          <w:noProof/>
        </w:rPr>
        <w:t>Jameson, Jones &amp; Wraith 2013</w:t>
      </w:r>
      <w:r w:rsidR="00A130D0">
        <w:rPr>
          <w:rFonts w:cstheme="minorHAnsi"/>
          <w:noProof/>
        </w:rPr>
        <w:t>)</w:t>
      </w:r>
      <w:r w:rsidRPr="000756DF">
        <w:rPr>
          <w:rFonts w:cstheme="minorHAnsi"/>
        </w:rPr>
        <w:t xml:space="preserve">. </w:t>
      </w:r>
      <w:r w:rsidR="00713B21">
        <w:rPr>
          <w:rFonts w:cstheme="minorHAnsi"/>
        </w:rPr>
        <w:t>Laronidase has been subsidised through the LSDP since 2007.</w:t>
      </w:r>
      <w:r w:rsidR="00713B21" w:rsidRPr="00713B21">
        <w:rPr>
          <w:rFonts w:cstheme="minorHAnsi"/>
        </w:rPr>
        <w:t xml:space="preserve"> </w:t>
      </w:r>
      <w:r w:rsidR="00713B21">
        <w:rPr>
          <w:rFonts w:cstheme="minorHAnsi"/>
        </w:rPr>
        <w:t>The standard intravenous dose for laronidase is 100 U/kg (0.58mg/kg) weekly</w:t>
      </w:r>
      <w:r w:rsidR="001B4E29">
        <w:rPr>
          <w:rFonts w:cstheme="minorHAnsi"/>
        </w:rPr>
        <w:t>. D</w:t>
      </w:r>
      <w:r w:rsidR="00713B21">
        <w:rPr>
          <w:rFonts w:cstheme="minorHAnsi"/>
        </w:rPr>
        <w:t>ifferent dilutions are applied to patients</w:t>
      </w:r>
      <w:r w:rsidR="001B4E29">
        <w:rPr>
          <w:rFonts w:cstheme="minorHAnsi"/>
        </w:rPr>
        <w:t xml:space="preserve"> who weigh ≤ or &gt; 20 kg</w:t>
      </w:r>
      <w:r w:rsidR="00713B21">
        <w:rPr>
          <w:rFonts w:cstheme="minorHAnsi"/>
        </w:rPr>
        <w:t xml:space="preserve">. In order to minimise reactions the infusion rate is begun at 2 U/kg/hour and is doubled every 15 minutes, provided it is tolerated. The </w:t>
      </w:r>
      <w:r w:rsidR="001B4E29">
        <w:rPr>
          <w:rFonts w:cstheme="minorHAnsi"/>
        </w:rPr>
        <w:t>initial</w:t>
      </w:r>
      <w:r w:rsidR="00713B21">
        <w:rPr>
          <w:rFonts w:cstheme="minorHAnsi"/>
        </w:rPr>
        <w:t xml:space="preserve"> dose of 100 U/kg would take 5.5 hours to deliver, but subsequent infusions may be administered more quickly over 3 to 4 hours.</w:t>
      </w:r>
    </w:p>
    <w:p w:rsidR="00713B21" w:rsidRPr="000756DF" w:rsidRDefault="009E3804" w:rsidP="00EC580E">
      <w:pPr>
        <w:rPr>
          <w:rFonts w:cstheme="minorHAnsi"/>
        </w:rPr>
      </w:pPr>
      <w:r w:rsidRPr="000756DF">
        <w:rPr>
          <w:rFonts w:cstheme="minorHAnsi"/>
        </w:rPr>
        <w:t xml:space="preserve">ERT with idursulfase aims to reduce the level of GAGs and thereby reduce disease progression in patients </w:t>
      </w:r>
      <w:r>
        <w:rPr>
          <w:rFonts w:cstheme="minorHAnsi"/>
          <w:noProof/>
        </w:rPr>
        <w:t>(</w:t>
      </w:r>
      <w:r w:rsidR="00184B6F">
        <w:rPr>
          <w:rFonts w:cstheme="minorHAnsi"/>
          <w:noProof/>
        </w:rPr>
        <w:t>All Wales Medicines Strategy Group 2007</w:t>
      </w:r>
      <w:r>
        <w:rPr>
          <w:rFonts w:cstheme="minorHAnsi"/>
          <w:noProof/>
        </w:rPr>
        <w:t xml:space="preserve">; </w:t>
      </w:r>
      <w:r w:rsidR="00184B6F">
        <w:rPr>
          <w:rFonts w:cstheme="minorHAnsi"/>
          <w:noProof/>
        </w:rPr>
        <w:t>da Silva et al. 2014</w:t>
      </w:r>
      <w:r>
        <w:rPr>
          <w:rFonts w:cstheme="minorHAnsi"/>
          <w:noProof/>
        </w:rPr>
        <w:t>)</w:t>
      </w:r>
      <w:r w:rsidRPr="000756DF">
        <w:rPr>
          <w:rFonts w:cstheme="minorHAnsi"/>
        </w:rPr>
        <w:t>.</w:t>
      </w:r>
      <w:r w:rsidR="00713B21">
        <w:rPr>
          <w:rFonts w:cstheme="minorHAnsi"/>
        </w:rPr>
        <w:t xml:space="preserve"> Idursulfase has been subsidised through the LSDP since 2008. Idursulfase, which has a recommended dose of 0.5 mg/kg weekly, is delivered at an initial rate of 8 mL/ hour for the first 15 minutes. Once tolerance is established the rate may be increased incrementally to a maximum of 100 U/hour, leading to a delivery time of between one and three hours. </w:t>
      </w:r>
    </w:p>
    <w:p w:rsidR="00063A48" w:rsidRDefault="00063A48" w:rsidP="00063A48">
      <w:pPr>
        <w:rPr>
          <w:rFonts w:cstheme="minorHAnsi"/>
        </w:rPr>
      </w:pPr>
      <w:r w:rsidRPr="000756DF">
        <w:rPr>
          <w:rFonts w:cstheme="minorHAnsi"/>
        </w:rPr>
        <w:t xml:space="preserve">Galsulfase </w:t>
      </w:r>
      <w:r w:rsidR="00790CC5">
        <w:rPr>
          <w:rFonts w:cstheme="minorHAnsi"/>
        </w:rPr>
        <w:t>is</w:t>
      </w:r>
      <w:r w:rsidRPr="000756DF">
        <w:rPr>
          <w:rFonts w:cstheme="minorHAnsi"/>
        </w:rPr>
        <w:t xml:space="preserve"> an ERT </w:t>
      </w:r>
      <w:r w:rsidR="00790CC5">
        <w:rPr>
          <w:rFonts w:cstheme="minorHAnsi"/>
        </w:rPr>
        <w:t>that is intended to reduce</w:t>
      </w:r>
      <w:r w:rsidRPr="000756DF">
        <w:rPr>
          <w:rFonts w:cstheme="minorHAnsi"/>
        </w:rPr>
        <w:t xml:space="preserve"> GAG levels in MPS VI patients. </w:t>
      </w:r>
      <w:r w:rsidR="00713B21">
        <w:rPr>
          <w:rFonts w:cstheme="minorHAnsi"/>
        </w:rPr>
        <w:t xml:space="preserve">Galsulfase has been subsidised through the LSDP since 2008. The recommendation for galsulfase is for delivery at 1 mg/kg weekly by </w:t>
      </w:r>
      <w:r w:rsidR="001B4E29">
        <w:rPr>
          <w:rFonts w:cstheme="minorHAnsi"/>
        </w:rPr>
        <w:t>intravenous</w:t>
      </w:r>
      <w:r w:rsidR="00713B21">
        <w:rPr>
          <w:rFonts w:cstheme="minorHAnsi"/>
        </w:rPr>
        <w:t xml:space="preserve"> infusion, following pre-treatment with antihistamines (with or without antipyretics)</w:t>
      </w:r>
      <w:r w:rsidR="00CD4F8E">
        <w:rPr>
          <w:rFonts w:cstheme="minorHAnsi"/>
        </w:rPr>
        <w:t xml:space="preserve"> 30 to 60 minutes prior to the start of infusion</w:t>
      </w:r>
      <w:r w:rsidR="00713B21">
        <w:rPr>
          <w:rFonts w:cstheme="minorHAnsi"/>
        </w:rPr>
        <w:t>. Infusion time should be no less than 4 hours.</w:t>
      </w:r>
    </w:p>
    <w:p w:rsidR="00713B21" w:rsidRDefault="00063A48" w:rsidP="00063A48">
      <w:pPr>
        <w:rPr>
          <w:rFonts w:cstheme="minorHAnsi"/>
        </w:rPr>
      </w:pPr>
      <w:r>
        <w:rPr>
          <w:rFonts w:cstheme="minorHAnsi"/>
        </w:rPr>
        <w:t xml:space="preserve">It is important to note that although ERT provides a possible treatment option for MPS, it is not without burden for the patients. The drugs are delivered through intravenous infusion, and infusion reactions are not uncommon. To reduce the reactions, protocols are provided for drug delivery whereby the first dose is delivered </w:t>
      </w:r>
      <w:r w:rsidR="00D53B6B">
        <w:rPr>
          <w:rFonts w:cstheme="minorHAnsi"/>
        </w:rPr>
        <w:t>under the supervision of a pjysician experiences in the management of patients with MPS or other inhereited metabolic diseases. Administration of ERT should be carried out in an appropriate setting</w:t>
      </w:r>
      <w:r w:rsidR="00717BE7">
        <w:rPr>
          <w:rFonts w:cstheme="minorHAnsi"/>
        </w:rPr>
        <w:t xml:space="preserve"> where resuscitation equipment to manage clinical emergencies would be readily available</w:t>
      </w:r>
      <w:proofErr w:type="gramStart"/>
      <w:r w:rsidR="00717BE7">
        <w:rPr>
          <w:rFonts w:cstheme="minorHAnsi"/>
        </w:rPr>
        <w:t>.</w:t>
      </w:r>
      <w:r>
        <w:rPr>
          <w:rFonts w:cstheme="minorHAnsi"/>
        </w:rPr>
        <w:t>.</w:t>
      </w:r>
      <w:proofErr w:type="gramEnd"/>
      <w:r>
        <w:rPr>
          <w:rFonts w:cstheme="minorHAnsi"/>
        </w:rPr>
        <w:t xml:space="preserve"> </w:t>
      </w:r>
    </w:p>
    <w:p w:rsidR="00063A48" w:rsidRDefault="00063A48" w:rsidP="00063A48">
      <w:pPr>
        <w:rPr>
          <w:rFonts w:cstheme="minorHAnsi"/>
        </w:rPr>
      </w:pPr>
      <w:r>
        <w:rPr>
          <w:rFonts w:cstheme="minorHAnsi"/>
        </w:rPr>
        <w:t xml:space="preserve">If reactions occur, infusion is stopped and the patient may not </w:t>
      </w:r>
      <w:r w:rsidR="001B4E29">
        <w:rPr>
          <w:rFonts w:cstheme="minorHAnsi"/>
        </w:rPr>
        <w:t>receive</w:t>
      </w:r>
      <w:r>
        <w:rPr>
          <w:rFonts w:cstheme="minorHAnsi"/>
        </w:rPr>
        <w:t xml:space="preserve"> further therapy until the next dose is due. In some instances, infusion may be restarted when the reaction is under control. Drug infusions must be prepared in correct dilutions from concentrated vials immediately prior to patient delivery. Due to the high cost of the drugs, wastage due to discontinuation of infusions or non-attendance of a patient for treatment is to be avoided if at all possible.</w:t>
      </w:r>
    </w:p>
    <w:p w:rsidR="000756DF" w:rsidRPr="000756DF" w:rsidRDefault="000756DF" w:rsidP="00EC5DFF">
      <w:pPr>
        <w:pStyle w:val="Heading4"/>
      </w:pPr>
      <w:r w:rsidRPr="000756DF">
        <w:t>Systematic review inclusion criteria</w:t>
      </w:r>
    </w:p>
    <w:p w:rsidR="000756DF" w:rsidRPr="000756DF" w:rsidRDefault="00A72B26" w:rsidP="000756DF">
      <w:pPr>
        <w:rPr>
          <w:rFonts w:cstheme="minorHAnsi"/>
        </w:rPr>
      </w:pPr>
      <w:r w:rsidRPr="00716774">
        <w:t xml:space="preserve">Table </w:t>
      </w:r>
      <w:r>
        <w:rPr>
          <w:noProof/>
        </w:rPr>
        <w:t>94</w:t>
      </w:r>
      <w:r w:rsidR="000756DF" w:rsidRPr="000756DF">
        <w:rPr>
          <w:rFonts w:cstheme="minorHAnsi"/>
        </w:rPr>
        <w:t xml:space="preserve"> presents the criteria for selecting studies that assess</w:t>
      </w:r>
      <w:r w:rsidR="00EC580E">
        <w:rPr>
          <w:rFonts w:cstheme="minorHAnsi"/>
        </w:rPr>
        <w:t>ed</w:t>
      </w:r>
      <w:r w:rsidR="000756DF" w:rsidRPr="000756DF">
        <w:rPr>
          <w:rFonts w:cstheme="minorHAnsi"/>
        </w:rPr>
        <w:t xml:space="preserve"> the safety and effectiveness of laronidase, idursulfase and galsulfase for the treatment of patients with mucopolysaccharidosis.</w:t>
      </w:r>
    </w:p>
    <w:p w:rsidR="000756DF" w:rsidRPr="00716774" w:rsidRDefault="000756DF" w:rsidP="00F44176">
      <w:pPr>
        <w:pStyle w:val="Caption"/>
        <w:keepNext/>
        <w:tabs>
          <w:tab w:val="clear" w:pos="851"/>
          <w:tab w:val="left" w:pos="1134"/>
        </w:tabs>
        <w:ind w:left="1134" w:hanging="1134"/>
      </w:pPr>
      <w:bookmarkStart w:id="372" w:name="_Ref393314271"/>
      <w:bookmarkStart w:id="373" w:name="_Toc411510460"/>
      <w:bookmarkStart w:id="374" w:name="_Toc415141891"/>
      <w:r w:rsidRPr="00716774">
        <w:lastRenderedPageBreak/>
        <w:t xml:space="preserve">Table </w:t>
      </w:r>
      <w:r w:rsidR="00A72B26">
        <w:rPr>
          <w:noProof/>
        </w:rPr>
        <w:t>94</w:t>
      </w:r>
      <w:bookmarkEnd w:id="372"/>
      <w:r w:rsidRPr="00716774">
        <w:tab/>
        <w:t>Criteria for selecting studies to assess the safety and effectiveness of laronidase, idursulfase, and galsulfase</w:t>
      </w:r>
      <w:bookmarkEnd w:id="373"/>
      <w:bookmarkEnd w:id="374"/>
    </w:p>
    <w:tbl>
      <w:tblPr>
        <w:tblStyle w:val="TableGrid"/>
        <w:tblW w:w="0" w:type="auto"/>
        <w:tblLook w:val="04A0" w:firstRow="1" w:lastRow="0" w:firstColumn="1" w:lastColumn="0" w:noHBand="0" w:noVBand="1"/>
        <w:tblCaption w:val="Table 62 Criteria for selecting studies to assess the safety and effectiveness of laronidase, idursulfase, and galsulfase"/>
      </w:tblPr>
      <w:tblGrid>
        <w:gridCol w:w="1555"/>
        <w:gridCol w:w="7687"/>
      </w:tblGrid>
      <w:tr w:rsidR="00EC580E" w:rsidRPr="000756DF" w:rsidTr="009A0365">
        <w:trPr>
          <w:tblHeader/>
        </w:trPr>
        <w:tc>
          <w:tcPr>
            <w:tcW w:w="1555" w:type="dxa"/>
          </w:tcPr>
          <w:p w:rsidR="00EC580E" w:rsidRPr="000756DF" w:rsidRDefault="00EC580E" w:rsidP="00EC580E">
            <w:pPr>
              <w:pStyle w:val="TableHeading"/>
              <w:rPr>
                <w:rFonts w:cstheme="minorHAnsi"/>
                <w:sz w:val="22"/>
                <w:szCs w:val="22"/>
              </w:rPr>
            </w:pPr>
            <w:r w:rsidRPr="000756DF">
              <w:t>Characteristic</w:t>
            </w:r>
          </w:p>
        </w:tc>
        <w:tc>
          <w:tcPr>
            <w:tcW w:w="7687" w:type="dxa"/>
          </w:tcPr>
          <w:p w:rsidR="00EC580E" w:rsidRPr="000756DF" w:rsidRDefault="00EC580E" w:rsidP="00EC580E">
            <w:pPr>
              <w:pStyle w:val="TableHeading"/>
              <w:rPr>
                <w:rFonts w:cstheme="minorHAnsi"/>
                <w:sz w:val="22"/>
                <w:szCs w:val="22"/>
              </w:rPr>
            </w:pPr>
            <w:r w:rsidRPr="000756DF">
              <w:t>Inclusion criteria</w:t>
            </w:r>
          </w:p>
        </w:tc>
      </w:tr>
      <w:tr w:rsidR="00EC580E" w:rsidRPr="000756DF" w:rsidTr="000756DF">
        <w:tc>
          <w:tcPr>
            <w:tcW w:w="1555" w:type="dxa"/>
          </w:tcPr>
          <w:p w:rsidR="00EC580E" w:rsidRPr="000756DF" w:rsidRDefault="00EC580E" w:rsidP="00EC580E">
            <w:pPr>
              <w:pStyle w:val="TableText0"/>
              <w:rPr>
                <w:rFonts w:cstheme="minorHAnsi"/>
                <w:b/>
                <w:bCs/>
                <w:caps/>
                <w:color w:val="002060"/>
                <w:sz w:val="22"/>
                <w:szCs w:val="22"/>
              </w:rPr>
            </w:pPr>
            <w:r w:rsidRPr="000756DF">
              <w:t>Study design</w:t>
            </w:r>
          </w:p>
        </w:tc>
        <w:tc>
          <w:tcPr>
            <w:tcW w:w="7687" w:type="dxa"/>
          </w:tcPr>
          <w:p w:rsidR="00EC580E" w:rsidRPr="000756DF" w:rsidRDefault="00EC580E" w:rsidP="00AB7029">
            <w:pPr>
              <w:pStyle w:val="TableText0"/>
              <w:rPr>
                <w:rFonts w:cstheme="minorHAnsi"/>
                <w:b/>
                <w:bCs/>
                <w:caps/>
                <w:color w:val="002060"/>
                <w:sz w:val="22"/>
                <w:szCs w:val="22"/>
              </w:rPr>
            </w:pPr>
            <w:r w:rsidRPr="000756DF">
              <w:t>The highest level of evidence available (from</w:t>
            </w:r>
            <w:r w:rsidR="004409D5">
              <w:t xml:space="preserve"> </w:t>
            </w:r>
            <w:r w:rsidR="00A72B26">
              <w:t xml:space="preserve">Table </w:t>
            </w:r>
            <w:r w:rsidR="00A72B26">
              <w:rPr>
                <w:noProof/>
              </w:rPr>
              <w:t>2</w:t>
            </w:r>
            <w:r w:rsidRPr="000756DF">
              <w:t xml:space="preserve">) that addressed the research questions. Case reports would have been included if none of the study designs in </w:t>
            </w:r>
            <w:r w:rsidR="00A72B26">
              <w:t xml:space="preserve">Table </w:t>
            </w:r>
            <w:r w:rsidR="00A72B26">
              <w:rPr>
                <w:noProof/>
              </w:rPr>
              <w:t>2</w:t>
            </w:r>
            <w:r w:rsidR="00F8590C">
              <w:t xml:space="preserve"> </w:t>
            </w:r>
            <w:r w:rsidRPr="000756DF">
              <w:t>were available.</w:t>
            </w:r>
          </w:p>
        </w:tc>
      </w:tr>
      <w:tr w:rsidR="00EC580E" w:rsidRPr="000756DF" w:rsidTr="00F8590C">
        <w:trPr>
          <w:trHeight w:val="70"/>
        </w:trPr>
        <w:tc>
          <w:tcPr>
            <w:tcW w:w="1555" w:type="dxa"/>
          </w:tcPr>
          <w:p w:rsidR="00EC580E" w:rsidRPr="000756DF" w:rsidRDefault="00EC580E" w:rsidP="00EC580E">
            <w:pPr>
              <w:pStyle w:val="TableText0"/>
              <w:rPr>
                <w:rFonts w:cstheme="minorHAnsi"/>
                <w:sz w:val="22"/>
                <w:szCs w:val="22"/>
              </w:rPr>
            </w:pPr>
            <w:r w:rsidRPr="000756DF">
              <w:t>Populations</w:t>
            </w:r>
          </w:p>
        </w:tc>
        <w:tc>
          <w:tcPr>
            <w:tcW w:w="7687" w:type="dxa"/>
          </w:tcPr>
          <w:p w:rsidR="00EC580E" w:rsidRPr="000756DF" w:rsidRDefault="00EC580E" w:rsidP="00EC580E">
            <w:pPr>
              <w:pStyle w:val="TableText0"/>
            </w:pPr>
            <w:r w:rsidRPr="000756DF">
              <w:t xml:space="preserve">Patients with Mucopolysaccharidosis (MPS) </w:t>
            </w:r>
          </w:p>
          <w:p w:rsidR="00EC580E" w:rsidRPr="000756DF" w:rsidRDefault="00EC580E" w:rsidP="00EC580E">
            <w:pPr>
              <w:pStyle w:val="TableText0"/>
              <w:rPr>
                <w:rFonts w:eastAsia="Calibri"/>
              </w:rPr>
            </w:pPr>
            <w:r w:rsidRPr="000756DF">
              <w:rPr>
                <w:rFonts w:eastAsia="Calibri"/>
              </w:rPr>
              <w:t xml:space="preserve">Type I (MPS I; MPS HIS; Hurler-Scheie syndrome, but </w:t>
            </w:r>
            <w:r w:rsidRPr="000756DF">
              <w:rPr>
                <w:rFonts w:eastAsia="Calibri"/>
                <w:u w:val="single"/>
              </w:rPr>
              <w:t>not</w:t>
            </w:r>
            <w:r w:rsidRPr="000756DF">
              <w:rPr>
                <w:rFonts w:eastAsia="Calibri"/>
              </w:rPr>
              <w:t xml:space="preserve"> Hurler syndrome or Scheie syndrome)</w:t>
            </w:r>
          </w:p>
          <w:p w:rsidR="00EC580E" w:rsidRPr="000756DF" w:rsidRDefault="00EC580E" w:rsidP="00EC580E">
            <w:pPr>
              <w:pStyle w:val="TableText0"/>
              <w:rPr>
                <w:rFonts w:eastAsia="Calibri"/>
              </w:rPr>
            </w:pPr>
            <w:r w:rsidRPr="000756DF">
              <w:rPr>
                <w:rFonts w:eastAsia="Calibri"/>
              </w:rPr>
              <w:t xml:space="preserve">Type II (MPS II; Hunter syndrome) or </w:t>
            </w:r>
          </w:p>
          <w:p w:rsidR="00EC580E" w:rsidRPr="000756DF" w:rsidRDefault="00EC580E" w:rsidP="00EC580E">
            <w:pPr>
              <w:pStyle w:val="TableText0"/>
              <w:rPr>
                <w:rFonts w:eastAsia="Calibri" w:cstheme="minorHAnsi"/>
                <w:sz w:val="22"/>
                <w:szCs w:val="22"/>
              </w:rPr>
            </w:pPr>
            <w:r w:rsidRPr="000756DF">
              <w:rPr>
                <w:rFonts w:eastAsia="Calibri"/>
              </w:rPr>
              <w:t xml:space="preserve">Type VI (MPS VI; Maroteaux-Lamy syndrome) </w:t>
            </w:r>
          </w:p>
        </w:tc>
      </w:tr>
      <w:tr w:rsidR="00EC580E" w:rsidRPr="000756DF" w:rsidTr="000756DF">
        <w:tc>
          <w:tcPr>
            <w:tcW w:w="1555" w:type="dxa"/>
          </w:tcPr>
          <w:p w:rsidR="00EC580E" w:rsidRPr="000756DF" w:rsidRDefault="00EC580E" w:rsidP="00EC580E">
            <w:pPr>
              <w:pStyle w:val="TableText0"/>
              <w:rPr>
                <w:rFonts w:cstheme="minorHAnsi"/>
                <w:sz w:val="22"/>
                <w:szCs w:val="22"/>
              </w:rPr>
            </w:pPr>
            <w:r w:rsidRPr="000756DF">
              <w:t>Interventions</w:t>
            </w:r>
          </w:p>
        </w:tc>
        <w:tc>
          <w:tcPr>
            <w:tcW w:w="7687" w:type="dxa"/>
          </w:tcPr>
          <w:p w:rsidR="00EC580E" w:rsidRPr="000756DF" w:rsidRDefault="00EC580E" w:rsidP="00EC580E">
            <w:pPr>
              <w:pStyle w:val="TableText0"/>
              <w:rPr>
                <w:rFonts w:eastAsia="Calibri"/>
              </w:rPr>
            </w:pPr>
            <w:r w:rsidRPr="000756DF">
              <w:rPr>
                <w:rFonts w:eastAsia="Calibri"/>
              </w:rPr>
              <w:t>Laronidase (Aldurazyme®)</w:t>
            </w:r>
          </w:p>
          <w:p w:rsidR="00EC580E" w:rsidRPr="000756DF" w:rsidRDefault="00EC580E" w:rsidP="00EC580E">
            <w:pPr>
              <w:pStyle w:val="TableText0"/>
              <w:rPr>
                <w:rFonts w:eastAsia="Calibri"/>
              </w:rPr>
            </w:pPr>
            <w:r w:rsidRPr="000756DF">
              <w:rPr>
                <w:rFonts w:eastAsia="Calibri"/>
              </w:rPr>
              <w:t>Idursulfase (Elaprase®)</w:t>
            </w:r>
          </w:p>
          <w:p w:rsidR="00EC580E" w:rsidRPr="000756DF" w:rsidRDefault="00EC580E" w:rsidP="00EC580E">
            <w:pPr>
              <w:pStyle w:val="TableText0"/>
              <w:rPr>
                <w:rFonts w:eastAsia="Calibri"/>
              </w:rPr>
            </w:pPr>
            <w:r w:rsidRPr="000756DF">
              <w:rPr>
                <w:rFonts w:eastAsia="Calibri"/>
              </w:rPr>
              <w:t>Galsulfase (Naglazyme ®)</w:t>
            </w:r>
          </w:p>
          <w:p w:rsidR="00EC580E" w:rsidRPr="000756DF" w:rsidRDefault="00EC580E" w:rsidP="00EC580E">
            <w:pPr>
              <w:pStyle w:val="TableText0"/>
              <w:rPr>
                <w:sz w:val="22"/>
              </w:rPr>
            </w:pPr>
            <w:r w:rsidRPr="000756DF">
              <w:t>Subgroup analysis: by dose (e</w:t>
            </w:r>
            <w:r w:rsidR="004B6BA9">
              <w:t>.</w:t>
            </w:r>
            <w:r w:rsidRPr="000756DF">
              <w:t>g</w:t>
            </w:r>
            <w:r w:rsidR="004B6BA9">
              <w:t>.</w:t>
            </w:r>
            <w:r w:rsidRPr="000756DF">
              <w:t xml:space="preserve"> doses consistent with TGA listing, as well as experimental dosing regimens)</w:t>
            </w:r>
          </w:p>
        </w:tc>
      </w:tr>
      <w:tr w:rsidR="00EC580E" w:rsidRPr="000756DF" w:rsidTr="000756DF">
        <w:tc>
          <w:tcPr>
            <w:tcW w:w="1555" w:type="dxa"/>
          </w:tcPr>
          <w:p w:rsidR="00EC580E" w:rsidRPr="000756DF" w:rsidRDefault="00EC580E" w:rsidP="00EC580E">
            <w:pPr>
              <w:pStyle w:val="TableText0"/>
              <w:rPr>
                <w:rFonts w:cstheme="minorHAnsi"/>
                <w:sz w:val="22"/>
                <w:szCs w:val="22"/>
              </w:rPr>
            </w:pPr>
            <w:r w:rsidRPr="000756DF">
              <w:t>Comparator</w:t>
            </w:r>
          </w:p>
        </w:tc>
        <w:tc>
          <w:tcPr>
            <w:tcW w:w="7687" w:type="dxa"/>
          </w:tcPr>
          <w:p w:rsidR="00EC580E" w:rsidRPr="000756DF" w:rsidRDefault="00EC580E" w:rsidP="00EC580E">
            <w:pPr>
              <w:pStyle w:val="TableText0"/>
              <w:rPr>
                <w:rFonts w:cstheme="minorHAnsi"/>
                <w:sz w:val="22"/>
                <w:szCs w:val="22"/>
              </w:rPr>
            </w:pPr>
            <w:r w:rsidRPr="000756DF">
              <w:t>Standard medical management plus placebo</w:t>
            </w:r>
          </w:p>
        </w:tc>
      </w:tr>
      <w:tr w:rsidR="00EC580E" w:rsidRPr="000756DF" w:rsidTr="000756DF">
        <w:tc>
          <w:tcPr>
            <w:tcW w:w="1555" w:type="dxa"/>
          </w:tcPr>
          <w:p w:rsidR="00EC580E" w:rsidRPr="000756DF" w:rsidRDefault="00EC580E" w:rsidP="00EC580E">
            <w:pPr>
              <w:pStyle w:val="TableText0"/>
              <w:rPr>
                <w:rFonts w:cstheme="minorHAnsi"/>
                <w:sz w:val="22"/>
                <w:szCs w:val="22"/>
              </w:rPr>
            </w:pPr>
            <w:r w:rsidRPr="000756DF">
              <w:t>Outcomes</w:t>
            </w:r>
          </w:p>
        </w:tc>
        <w:tc>
          <w:tcPr>
            <w:tcW w:w="7687" w:type="dxa"/>
          </w:tcPr>
          <w:p w:rsidR="00EC580E" w:rsidRPr="000756DF" w:rsidRDefault="00EC580E" w:rsidP="00EC580E">
            <w:pPr>
              <w:pStyle w:val="TableText0"/>
            </w:pPr>
            <w:r w:rsidRPr="000756DF">
              <w:rPr>
                <w:i/>
                <w:iCs/>
              </w:rPr>
              <w:t>Safety:</w:t>
            </w:r>
            <w:r w:rsidRPr="000756DF">
              <w:t xml:space="preserve"> adverse events related to treatment – for example, abdominal pain, dyspnoea, rigors, chest pain; and compliance with treatment (i.e. treatment withdrawal or suboptimal dosing)</w:t>
            </w:r>
          </w:p>
          <w:p w:rsidR="00EC580E" w:rsidRPr="000756DF" w:rsidRDefault="00EC580E" w:rsidP="00EC580E">
            <w:pPr>
              <w:pStyle w:val="TableText0"/>
            </w:pPr>
            <w:r w:rsidRPr="000756DF">
              <w:rPr>
                <w:i/>
                <w:iCs/>
              </w:rPr>
              <w:t>Primary effectiveness:</w:t>
            </w:r>
            <w:r w:rsidRPr="000756DF">
              <w:t xml:space="preserve"> survival</w:t>
            </w:r>
          </w:p>
          <w:p w:rsidR="00EC580E" w:rsidRPr="000756DF" w:rsidRDefault="00EC580E" w:rsidP="00EC580E">
            <w:pPr>
              <w:pStyle w:val="TableText0"/>
              <w:rPr>
                <w:rFonts w:cstheme="minorHAnsi"/>
                <w:sz w:val="22"/>
                <w:szCs w:val="22"/>
              </w:rPr>
            </w:pPr>
            <w:r w:rsidRPr="000756DF">
              <w:rPr>
                <w:i/>
                <w:iCs/>
              </w:rPr>
              <w:t>Secondary effectiveness:</w:t>
            </w:r>
            <w:r w:rsidRPr="000756DF">
              <w:t xml:space="preserve"> quality of life; pain; respiratory function (supplementary oxygen, CPAP (nocturnal or all day), sleep disordered breathing: apnoea/hypopnoea); cardiac functioning (ejection fraction, fraction shortening, LV hypertrophy, heart failure); joint movement.</w:t>
            </w:r>
          </w:p>
        </w:tc>
      </w:tr>
      <w:tr w:rsidR="00EC580E" w:rsidRPr="000756DF" w:rsidTr="000756DF">
        <w:tc>
          <w:tcPr>
            <w:tcW w:w="1555" w:type="dxa"/>
          </w:tcPr>
          <w:p w:rsidR="00EC580E" w:rsidRPr="000756DF" w:rsidRDefault="00EC580E" w:rsidP="00EC580E">
            <w:pPr>
              <w:pStyle w:val="TableText0"/>
              <w:rPr>
                <w:rFonts w:cstheme="minorHAnsi"/>
                <w:sz w:val="22"/>
                <w:szCs w:val="22"/>
              </w:rPr>
            </w:pPr>
            <w:r w:rsidRPr="000756DF">
              <w:t>Language</w:t>
            </w:r>
          </w:p>
        </w:tc>
        <w:tc>
          <w:tcPr>
            <w:tcW w:w="7687" w:type="dxa"/>
          </w:tcPr>
          <w:p w:rsidR="00EC580E" w:rsidRPr="000756DF" w:rsidRDefault="00EC580E" w:rsidP="00EC580E">
            <w:pPr>
              <w:pStyle w:val="TableText0"/>
              <w:rPr>
                <w:rFonts w:cstheme="minorHAnsi"/>
                <w:sz w:val="22"/>
                <w:szCs w:val="22"/>
              </w:rPr>
            </w:pPr>
            <w:r w:rsidRPr="000756DF">
              <w:t>Studies in languages other than English would have been translated if it appeared from the abstract that they represented a higher level of evidence than that available in English.</w:t>
            </w:r>
          </w:p>
        </w:tc>
      </w:tr>
      <w:tr w:rsidR="00EC580E" w:rsidRPr="000756DF" w:rsidTr="000756DF">
        <w:tc>
          <w:tcPr>
            <w:tcW w:w="1555" w:type="dxa"/>
          </w:tcPr>
          <w:p w:rsidR="00EC580E" w:rsidRPr="000756DF" w:rsidRDefault="00EC580E" w:rsidP="00EC580E">
            <w:pPr>
              <w:pStyle w:val="TableText0"/>
              <w:rPr>
                <w:rFonts w:cstheme="minorHAnsi"/>
                <w:sz w:val="22"/>
                <w:szCs w:val="22"/>
              </w:rPr>
            </w:pPr>
            <w:r w:rsidRPr="000756DF">
              <w:t>Research questions</w:t>
            </w:r>
          </w:p>
        </w:tc>
        <w:tc>
          <w:tcPr>
            <w:tcW w:w="7687" w:type="dxa"/>
          </w:tcPr>
          <w:p w:rsidR="00EC580E" w:rsidRPr="000756DF" w:rsidRDefault="00EC580E" w:rsidP="00EC580E">
            <w:pPr>
              <w:pStyle w:val="TableText0"/>
            </w:pPr>
            <w:r w:rsidRPr="000756DF">
              <w:t>Is laronidase safe and effective compared to standard medical management plus placebo in the treatment of patients with Mucopolysaccharidosis Type I (Hurler-Scheie syndrome)?</w:t>
            </w:r>
          </w:p>
          <w:p w:rsidR="00EC580E" w:rsidRPr="000756DF" w:rsidRDefault="00EC580E" w:rsidP="00EC580E">
            <w:pPr>
              <w:pStyle w:val="TableText0"/>
            </w:pPr>
            <w:r w:rsidRPr="000756DF">
              <w:t>Is idursulfase safe and effective compared to standard medical management plus placebo in the treatment of patients with Mucopolysaccharidosis Type II (Hunter syndrome)?</w:t>
            </w:r>
          </w:p>
          <w:p w:rsidR="00EC580E" w:rsidRPr="000756DF" w:rsidRDefault="00EC580E" w:rsidP="00EC580E">
            <w:pPr>
              <w:pStyle w:val="TableText0"/>
              <w:rPr>
                <w:rFonts w:cstheme="minorHAnsi"/>
                <w:sz w:val="22"/>
                <w:szCs w:val="22"/>
              </w:rPr>
            </w:pPr>
            <w:r w:rsidRPr="000756DF">
              <w:t>Is galsulfase safe and effective compared to standard medical management plus placebo in the treatment of patients with Mucopolysaccharidosis Type VI (Maroteaux-Lamy syndrome)?</w:t>
            </w:r>
          </w:p>
        </w:tc>
      </w:tr>
    </w:tbl>
    <w:p w:rsidR="000756DF" w:rsidRPr="000756DF" w:rsidRDefault="000756DF" w:rsidP="000756DF">
      <w:pPr>
        <w:jc w:val="left"/>
        <w:rPr>
          <w:rFonts w:ascii="Arial Narrow" w:hAnsi="Arial Narrow" w:cstheme="minorHAnsi"/>
          <w:sz w:val="20"/>
          <w:szCs w:val="20"/>
        </w:rPr>
      </w:pPr>
      <w:r w:rsidRPr="000756DF">
        <w:rPr>
          <w:rFonts w:ascii="Arial Narrow" w:hAnsi="Arial Narrow" w:cstheme="minorHAnsi"/>
          <w:sz w:val="20"/>
          <w:szCs w:val="20"/>
        </w:rPr>
        <w:t>TGA</w:t>
      </w:r>
      <w:r w:rsidR="00652355" w:rsidRPr="00652355">
        <w:rPr>
          <w:rFonts w:ascii="Arial Narrow" w:hAnsi="Arial Narrow" w:cstheme="minorHAnsi"/>
          <w:spacing w:val="-20"/>
          <w:sz w:val="20"/>
          <w:szCs w:val="20"/>
        </w:rPr>
        <w:t xml:space="preserve"> = </w:t>
      </w:r>
      <w:r w:rsidRPr="000756DF">
        <w:rPr>
          <w:rFonts w:ascii="Arial Narrow" w:hAnsi="Arial Narrow" w:cstheme="minorHAnsi"/>
          <w:sz w:val="20"/>
          <w:szCs w:val="20"/>
        </w:rPr>
        <w:t>Therapeutic Goods Administration; CPAP</w:t>
      </w:r>
      <w:r w:rsidR="00652355" w:rsidRPr="00652355">
        <w:rPr>
          <w:rFonts w:ascii="Arial Narrow" w:hAnsi="Arial Narrow" w:cstheme="minorHAnsi"/>
          <w:spacing w:val="-20"/>
          <w:sz w:val="20"/>
          <w:szCs w:val="20"/>
        </w:rPr>
        <w:t xml:space="preserve"> = </w:t>
      </w:r>
      <w:r w:rsidRPr="000756DF">
        <w:rPr>
          <w:rFonts w:ascii="Arial Narrow" w:hAnsi="Arial Narrow" w:cstheme="minorHAnsi"/>
          <w:sz w:val="20"/>
          <w:szCs w:val="20"/>
        </w:rPr>
        <w:t>continuous positive airway pressure; LV</w:t>
      </w:r>
      <w:r w:rsidR="00652355" w:rsidRPr="00652355">
        <w:rPr>
          <w:rFonts w:ascii="Arial Narrow" w:hAnsi="Arial Narrow" w:cstheme="minorHAnsi"/>
          <w:spacing w:val="-20"/>
          <w:sz w:val="20"/>
          <w:szCs w:val="20"/>
        </w:rPr>
        <w:t xml:space="preserve"> = </w:t>
      </w:r>
      <w:r w:rsidRPr="000756DF">
        <w:rPr>
          <w:rFonts w:ascii="Arial Narrow" w:hAnsi="Arial Narrow" w:cstheme="minorHAnsi"/>
          <w:sz w:val="20"/>
          <w:szCs w:val="20"/>
        </w:rPr>
        <w:t>left ventricular</w:t>
      </w:r>
    </w:p>
    <w:p w:rsidR="000756DF" w:rsidRPr="000756DF" w:rsidRDefault="000756DF" w:rsidP="000756DF">
      <w:r w:rsidRPr="000756DF">
        <w:t xml:space="preserve">One randomised trial </w:t>
      </w:r>
      <w:r w:rsidR="00EC580E">
        <w:t xml:space="preserve">reporting </w:t>
      </w:r>
      <w:r w:rsidRPr="000756DF">
        <w:t xml:space="preserve">on idursulfase beta (Hunterase®) was excluded, as it was considered a different drug to idursulfase (Elaprase®). </w:t>
      </w:r>
    </w:p>
    <w:p w:rsidR="000756DF" w:rsidRPr="000756DF" w:rsidRDefault="000756DF" w:rsidP="00EC5DFF">
      <w:pPr>
        <w:pStyle w:val="Heading4"/>
      </w:pPr>
      <w:r w:rsidRPr="000756DF">
        <w:t>Results of the literature search</w:t>
      </w:r>
    </w:p>
    <w:p w:rsidR="00EC580E" w:rsidRDefault="00EC580E" w:rsidP="000756DF">
      <w:r w:rsidRPr="000756DF">
        <w:t xml:space="preserve">Randomised trials were identified for all three MPS types and drugs of interest. Non-randomised evidence was therefore not included in the systematic review, </w:t>
      </w:r>
      <w:r>
        <w:t>with the exception of</w:t>
      </w:r>
      <w:r w:rsidRPr="000756DF">
        <w:t xml:space="preserve"> extension studies </w:t>
      </w:r>
      <w:r>
        <w:t>of</w:t>
      </w:r>
      <w:r w:rsidRPr="000756DF">
        <w:t xml:space="preserve"> the included RCTs, providing longer term data. </w:t>
      </w:r>
    </w:p>
    <w:p w:rsidR="00EC580E" w:rsidRPr="000756DF" w:rsidRDefault="00892FCA" w:rsidP="00EC580E">
      <w:r>
        <w:t>One</w:t>
      </w:r>
      <w:r w:rsidRPr="000756DF">
        <w:t xml:space="preserve"> </w:t>
      </w:r>
      <w:r w:rsidR="00EC580E" w:rsidRPr="000756DF">
        <w:t xml:space="preserve">publication </w:t>
      </w:r>
      <w:r>
        <w:t>was</w:t>
      </w:r>
      <w:r w:rsidRPr="000756DF">
        <w:t xml:space="preserve"> </w:t>
      </w:r>
      <w:r w:rsidR="00EC580E" w:rsidRPr="000756DF">
        <w:t xml:space="preserve">identified through pearling </w:t>
      </w:r>
      <w:r w:rsidR="001B4E29">
        <w:t xml:space="preserve">of </w:t>
      </w:r>
      <w:r w:rsidR="00EC580E" w:rsidRPr="000756DF">
        <w:t xml:space="preserve">the reference lists of included studies (Harmatz et al 2006). </w:t>
      </w:r>
      <w:r w:rsidR="00EC580E">
        <w:t>The included evidence is described below:</w:t>
      </w:r>
    </w:p>
    <w:p w:rsidR="000756DF" w:rsidRPr="000756DF" w:rsidRDefault="000756DF" w:rsidP="00EC5DFF">
      <w:pPr>
        <w:pStyle w:val="Heading5"/>
      </w:pPr>
      <w:r w:rsidRPr="000756DF">
        <w:lastRenderedPageBreak/>
        <w:t>MPS I</w:t>
      </w:r>
    </w:p>
    <w:p w:rsidR="000756DF" w:rsidRPr="000756DF" w:rsidRDefault="000756DF" w:rsidP="000959DF">
      <w:pPr>
        <w:numPr>
          <w:ilvl w:val="0"/>
          <w:numId w:val="34"/>
        </w:numPr>
        <w:autoSpaceDE w:val="0"/>
        <w:autoSpaceDN w:val="0"/>
        <w:adjustRightInd w:val="0"/>
        <w:spacing w:line="240" w:lineRule="auto"/>
        <w:rPr>
          <w:rFonts w:eastAsia="Calibri"/>
          <w:szCs w:val="22"/>
        </w:rPr>
      </w:pPr>
      <w:r w:rsidRPr="000756DF">
        <w:rPr>
          <w:rFonts w:eastAsia="Calibri"/>
          <w:szCs w:val="22"/>
        </w:rPr>
        <w:t xml:space="preserve">One randomised, double-blind placebo controlled trial comparing 100 U/kg of body weight </w:t>
      </w:r>
      <w:r w:rsidR="00EC580E">
        <w:rPr>
          <w:rFonts w:eastAsia="Calibri"/>
          <w:szCs w:val="22"/>
        </w:rPr>
        <w:t xml:space="preserve">of </w:t>
      </w:r>
      <w:r w:rsidRPr="000756DF">
        <w:rPr>
          <w:rFonts w:eastAsia="Calibri"/>
          <w:szCs w:val="22"/>
        </w:rPr>
        <w:t xml:space="preserve">laronidase against placebo, administered once weekly by a 4-hour intravenous infusion, for a period of 6 months </w:t>
      </w:r>
      <w:r w:rsidR="00B05798">
        <w:rPr>
          <w:rFonts w:eastAsia="Calibri"/>
          <w:noProof/>
          <w:szCs w:val="22"/>
        </w:rPr>
        <w:t>(</w:t>
      </w:r>
      <w:r w:rsidR="00184B6F">
        <w:rPr>
          <w:rFonts w:eastAsia="Calibri"/>
          <w:noProof/>
          <w:szCs w:val="22"/>
        </w:rPr>
        <w:t>Wraith, J. E. et al. 2004</w:t>
      </w:r>
      <w:r w:rsidR="00B05798">
        <w:rPr>
          <w:rFonts w:eastAsia="Calibri"/>
          <w:noProof/>
          <w:szCs w:val="22"/>
        </w:rPr>
        <w:t>)</w:t>
      </w:r>
      <w:r w:rsidRPr="000756DF">
        <w:rPr>
          <w:rFonts w:eastAsia="Calibri"/>
          <w:szCs w:val="22"/>
        </w:rPr>
        <w:t xml:space="preserve">. </w:t>
      </w:r>
    </w:p>
    <w:p w:rsidR="000756DF" w:rsidRPr="000756DF" w:rsidRDefault="000756DF" w:rsidP="000959DF">
      <w:pPr>
        <w:numPr>
          <w:ilvl w:val="0"/>
          <w:numId w:val="34"/>
        </w:numPr>
        <w:autoSpaceDE w:val="0"/>
        <w:autoSpaceDN w:val="0"/>
        <w:adjustRightInd w:val="0"/>
        <w:spacing w:line="240" w:lineRule="auto"/>
        <w:rPr>
          <w:rFonts w:eastAsia="Calibri"/>
          <w:szCs w:val="22"/>
        </w:rPr>
      </w:pPr>
      <w:r w:rsidRPr="000756DF">
        <w:rPr>
          <w:rFonts w:eastAsia="Calibri"/>
          <w:szCs w:val="22"/>
        </w:rPr>
        <w:t xml:space="preserve">A 3.5 year open-label extension study to the above </w:t>
      </w:r>
      <w:r w:rsidR="00BD4A3A">
        <w:rPr>
          <w:rFonts w:eastAsia="Calibri"/>
          <w:noProof/>
          <w:szCs w:val="22"/>
        </w:rPr>
        <w:t>(</w:t>
      </w:r>
      <w:r w:rsidR="00184B6F">
        <w:rPr>
          <w:rFonts w:eastAsia="Calibri"/>
          <w:noProof/>
          <w:szCs w:val="22"/>
        </w:rPr>
        <w:t>Clarke et al. 2009</w:t>
      </w:r>
      <w:r w:rsidR="00BD4A3A">
        <w:rPr>
          <w:rFonts w:eastAsia="Calibri"/>
          <w:noProof/>
          <w:szCs w:val="22"/>
        </w:rPr>
        <w:t>)</w:t>
      </w:r>
      <w:r w:rsidR="00D80975">
        <w:rPr>
          <w:rFonts w:eastAsia="Calibri"/>
          <w:szCs w:val="22"/>
        </w:rPr>
        <w:t>.</w:t>
      </w:r>
    </w:p>
    <w:p w:rsidR="000756DF" w:rsidRPr="000756DF" w:rsidRDefault="000756DF" w:rsidP="00EC5DFF">
      <w:pPr>
        <w:pStyle w:val="Heading5"/>
      </w:pPr>
      <w:r w:rsidRPr="000756DF">
        <w:t>MPS II</w:t>
      </w:r>
    </w:p>
    <w:p w:rsidR="000756DF" w:rsidRPr="000756DF" w:rsidRDefault="000756DF" w:rsidP="000959DF">
      <w:pPr>
        <w:numPr>
          <w:ilvl w:val="0"/>
          <w:numId w:val="35"/>
        </w:numPr>
        <w:autoSpaceDE w:val="0"/>
        <w:autoSpaceDN w:val="0"/>
        <w:adjustRightInd w:val="0"/>
        <w:spacing w:line="240" w:lineRule="auto"/>
        <w:rPr>
          <w:rFonts w:eastAsia="Calibri"/>
          <w:szCs w:val="22"/>
        </w:rPr>
      </w:pPr>
      <w:r w:rsidRPr="000756DF">
        <w:rPr>
          <w:rFonts w:eastAsia="Calibri"/>
          <w:szCs w:val="22"/>
        </w:rPr>
        <w:t xml:space="preserve">A randomised, double-blind placebo-controlled trial of idursulfase, administered once weekly (0.5mg/kg) or every two weeks (0.5 mg/kg), compared to weekly placebo infusions, for a period of a year (TKT024) </w:t>
      </w:r>
      <w:r w:rsidR="00A130D0">
        <w:rPr>
          <w:rFonts w:eastAsia="Calibri"/>
          <w:noProof/>
          <w:szCs w:val="22"/>
        </w:rPr>
        <w:t>(</w:t>
      </w:r>
      <w:r w:rsidR="00184B6F">
        <w:rPr>
          <w:rFonts w:eastAsia="Calibri"/>
          <w:noProof/>
          <w:szCs w:val="22"/>
        </w:rPr>
        <w:t>Muenzer et al. 2006</w:t>
      </w:r>
      <w:r w:rsidR="00A130D0">
        <w:rPr>
          <w:rFonts w:eastAsia="Calibri"/>
          <w:noProof/>
          <w:szCs w:val="22"/>
        </w:rPr>
        <w:t>)</w:t>
      </w:r>
      <w:r w:rsidRPr="000756DF">
        <w:rPr>
          <w:rFonts w:eastAsia="Calibri"/>
          <w:szCs w:val="22"/>
        </w:rPr>
        <w:t>.</w:t>
      </w:r>
    </w:p>
    <w:p w:rsidR="000756DF" w:rsidRPr="000756DF" w:rsidRDefault="000756DF" w:rsidP="000959DF">
      <w:pPr>
        <w:numPr>
          <w:ilvl w:val="0"/>
          <w:numId w:val="35"/>
        </w:numPr>
        <w:autoSpaceDE w:val="0"/>
        <w:autoSpaceDN w:val="0"/>
        <w:adjustRightInd w:val="0"/>
        <w:spacing w:line="240" w:lineRule="auto"/>
        <w:rPr>
          <w:rFonts w:eastAsia="Calibri"/>
          <w:szCs w:val="22"/>
        </w:rPr>
      </w:pPr>
      <w:r w:rsidRPr="000756DF">
        <w:rPr>
          <w:rFonts w:eastAsia="Calibri"/>
          <w:szCs w:val="22"/>
        </w:rPr>
        <w:t>A 2-year open-label ex</w:t>
      </w:r>
      <w:r w:rsidR="00EC580E">
        <w:rPr>
          <w:rFonts w:eastAsia="Calibri"/>
          <w:szCs w:val="22"/>
        </w:rPr>
        <w:t xml:space="preserve">tension study to the above RCT - </w:t>
      </w:r>
      <w:r w:rsidRPr="000756DF">
        <w:rPr>
          <w:rFonts w:eastAsia="Calibri"/>
          <w:szCs w:val="22"/>
        </w:rPr>
        <w:t>including 3 year data from patients in active treatment</w:t>
      </w:r>
      <w:r w:rsidR="00EC580E">
        <w:rPr>
          <w:rFonts w:eastAsia="Calibri"/>
          <w:szCs w:val="22"/>
        </w:rPr>
        <w:t xml:space="preserve"> arms from the randomised trial</w:t>
      </w:r>
      <w:r w:rsidRPr="000756DF">
        <w:rPr>
          <w:rFonts w:eastAsia="Calibri"/>
          <w:szCs w:val="22"/>
        </w:rPr>
        <w:t xml:space="preserve"> </w:t>
      </w:r>
      <w:r w:rsidR="00A130D0">
        <w:rPr>
          <w:rFonts w:eastAsia="Calibri"/>
          <w:noProof/>
          <w:szCs w:val="22"/>
        </w:rPr>
        <w:t>(</w:t>
      </w:r>
      <w:r w:rsidR="00184B6F">
        <w:rPr>
          <w:rFonts w:eastAsia="Calibri"/>
          <w:noProof/>
          <w:szCs w:val="22"/>
        </w:rPr>
        <w:t>Muenzer et al. 2011</w:t>
      </w:r>
      <w:r w:rsidR="00A130D0">
        <w:rPr>
          <w:rFonts w:eastAsia="Calibri"/>
          <w:noProof/>
          <w:szCs w:val="22"/>
        </w:rPr>
        <w:t>)</w:t>
      </w:r>
      <w:r w:rsidRPr="000756DF">
        <w:rPr>
          <w:rFonts w:eastAsia="Calibri"/>
          <w:szCs w:val="22"/>
        </w:rPr>
        <w:t>.</w:t>
      </w:r>
    </w:p>
    <w:p w:rsidR="000756DF" w:rsidRPr="000756DF" w:rsidRDefault="000756DF" w:rsidP="00EC5DFF">
      <w:pPr>
        <w:pStyle w:val="Heading5"/>
      </w:pPr>
      <w:r w:rsidRPr="000756DF">
        <w:t>MPS VI</w:t>
      </w:r>
    </w:p>
    <w:p w:rsidR="000756DF" w:rsidRPr="000756DF" w:rsidRDefault="000756DF" w:rsidP="000959DF">
      <w:pPr>
        <w:numPr>
          <w:ilvl w:val="0"/>
          <w:numId w:val="36"/>
        </w:numPr>
        <w:autoSpaceDE w:val="0"/>
        <w:autoSpaceDN w:val="0"/>
        <w:adjustRightInd w:val="0"/>
        <w:spacing w:line="240" w:lineRule="auto"/>
        <w:rPr>
          <w:rFonts w:eastAsia="Calibri"/>
          <w:szCs w:val="22"/>
        </w:rPr>
      </w:pPr>
      <w:r w:rsidRPr="000756DF">
        <w:rPr>
          <w:rFonts w:eastAsia="Calibri"/>
          <w:szCs w:val="22"/>
        </w:rPr>
        <w:t>A double-blind, placebo-controlled trial of galsulfase over 24 weeks (Phase 3 trial)</w:t>
      </w:r>
      <w:r w:rsidR="0085438E">
        <w:rPr>
          <w:rFonts w:eastAsia="Calibri"/>
          <w:szCs w:val="22"/>
        </w:rPr>
        <w:t xml:space="preserve">, plus an open-label extension study over 24 weeks </w:t>
      </w:r>
      <w:r w:rsidR="0085438E">
        <w:rPr>
          <w:rFonts w:eastAsia="Calibri"/>
          <w:noProof/>
          <w:szCs w:val="22"/>
        </w:rPr>
        <w:t>(Harmatz et al. 2006)</w:t>
      </w:r>
      <w:r w:rsidRPr="000756DF">
        <w:rPr>
          <w:rFonts w:eastAsia="Calibri"/>
          <w:szCs w:val="22"/>
        </w:rPr>
        <w:t>.</w:t>
      </w:r>
    </w:p>
    <w:p w:rsidR="000756DF" w:rsidRPr="000756DF" w:rsidRDefault="000756DF" w:rsidP="000959DF">
      <w:pPr>
        <w:numPr>
          <w:ilvl w:val="0"/>
          <w:numId w:val="36"/>
        </w:numPr>
        <w:autoSpaceDE w:val="0"/>
        <w:autoSpaceDN w:val="0"/>
        <w:adjustRightInd w:val="0"/>
        <w:spacing w:line="240" w:lineRule="auto"/>
        <w:rPr>
          <w:rFonts w:eastAsia="Calibri"/>
          <w:szCs w:val="22"/>
        </w:rPr>
      </w:pPr>
      <w:r w:rsidRPr="000756DF">
        <w:rPr>
          <w:rFonts w:eastAsia="Calibri"/>
          <w:szCs w:val="22"/>
        </w:rPr>
        <w:t xml:space="preserve">Long-term outcomes of 3 clinical trials (including the RCT above), providing data after 97 – 260 weeks </w:t>
      </w:r>
      <w:r w:rsidR="00BD4A3A">
        <w:rPr>
          <w:rFonts w:eastAsia="Calibri"/>
          <w:noProof/>
          <w:szCs w:val="22"/>
        </w:rPr>
        <w:t>(</w:t>
      </w:r>
      <w:r w:rsidR="00184B6F">
        <w:rPr>
          <w:rFonts w:eastAsia="Calibri"/>
          <w:noProof/>
          <w:szCs w:val="22"/>
        </w:rPr>
        <w:t>Harmatz et al. 2010</w:t>
      </w:r>
      <w:r w:rsidR="00BD4A3A">
        <w:rPr>
          <w:rFonts w:eastAsia="Calibri"/>
          <w:noProof/>
          <w:szCs w:val="22"/>
        </w:rPr>
        <w:t>)</w:t>
      </w:r>
      <w:r w:rsidRPr="000756DF">
        <w:rPr>
          <w:rFonts w:eastAsia="Calibri"/>
          <w:szCs w:val="22"/>
        </w:rPr>
        <w:t xml:space="preserve">, and on cardiac outcomes </w:t>
      </w:r>
      <w:r w:rsidR="00A130D0">
        <w:rPr>
          <w:rFonts w:eastAsia="Calibri"/>
          <w:noProof/>
          <w:szCs w:val="22"/>
        </w:rPr>
        <w:t>(</w:t>
      </w:r>
      <w:r w:rsidR="00184B6F">
        <w:rPr>
          <w:rFonts w:eastAsia="Calibri"/>
          <w:noProof/>
          <w:szCs w:val="22"/>
        </w:rPr>
        <w:t>Braunlin et al. 2013</w:t>
      </w:r>
      <w:r w:rsidR="00A130D0">
        <w:rPr>
          <w:rFonts w:eastAsia="Calibri"/>
          <w:noProof/>
          <w:szCs w:val="22"/>
        </w:rPr>
        <w:t>)</w:t>
      </w:r>
      <w:r w:rsidR="002519DD">
        <w:rPr>
          <w:rFonts w:eastAsia="Calibri"/>
          <w:szCs w:val="22"/>
        </w:rPr>
        <w:t>, but these were excluded, due to the inclusion of patients from outside the included clinical trial</w:t>
      </w:r>
      <w:r w:rsidRPr="000756DF">
        <w:rPr>
          <w:rFonts w:eastAsia="Calibri"/>
          <w:szCs w:val="22"/>
        </w:rPr>
        <w:t>.</w:t>
      </w:r>
    </w:p>
    <w:p w:rsidR="000756DF" w:rsidRPr="000756DF" w:rsidRDefault="000756DF" w:rsidP="00EC5DFF">
      <w:pPr>
        <w:pStyle w:val="Heading4"/>
      </w:pPr>
      <w:r w:rsidRPr="000756DF">
        <w:t>Risk of bias assessment</w:t>
      </w:r>
    </w:p>
    <w:p w:rsidR="000756DF" w:rsidRPr="000756DF" w:rsidRDefault="000756DF" w:rsidP="00EC5DFF">
      <w:pPr>
        <w:pStyle w:val="Heading5"/>
      </w:pPr>
      <w:r w:rsidRPr="000756DF">
        <w:t>MPS I</w:t>
      </w:r>
    </w:p>
    <w:p w:rsidR="00EC580E" w:rsidRPr="000756DF" w:rsidRDefault="00EC580E" w:rsidP="00EC580E">
      <w:r w:rsidRPr="000756DF">
        <w:t xml:space="preserve">The double-blind placebo-controlled trial of laronidase had a low risk of bias, although it was not reported how patients were randomised, or the methods used to ensure blinding was </w:t>
      </w:r>
      <w:r>
        <w:t>maintained</w:t>
      </w:r>
      <w:r w:rsidRPr="000756DF">
        <w:t xml:space="preserve">. The baseline characteristics of the two randomised groups were well balanced, and it is expected that the only difference between the two groups is the active treatment in the laronidase arm. </w:t>
      </w:r>
    </w:p>
    <w:p w:rsidR="000756DF" w:rsidRPr="000756DF" w:rsidRDefault="000756DF" w:rsidP="00EC5DFF">
      <w:pPr>
        <w:pStyle w:val="Heading5"/>
      </w:pPr>
      <w:r w:rsidRPr="000756DF">
        <w:t>MPS II</w:t>
      </w:r>
    </w:p>
    <w:p w:rsidR="008875F8" w:rsidRPr="00523636" w:rsidRDefault="008875F8" w:rsidP="008875F8">
      <w:r>
        <w:rPr>
          <w:rFonts w:eastAsiaTheme="majorEastAsia"/>
        </w:rPr>
        <w:t>In this trial of 96 MPS II patients, all participants were blinded by receiv</w:t>
      </w:r>
      <w:r w:rsidR="00EC580E">
        <w:rPr>
          <w:rFonts w:eastAsiaTheme="majorEastAsia"/>
        </w:rPr>
        <w:t>ing</w:t>
      </w:r>
      <w:r>
        <w:rPr>
          <w:rFonts w:eastAsiaTheme="majorEastAsia"/>
        </w:rPr>
        <w:t xml:space="preserve"> weekly dosing, whether in the idursulfase weekly group, idursulfase every other week group</w:t>
      </w:r>
      <w:r w:rsidR="00EC580E">
        <w:rPr>
          <w:rFonts w:eastAsiaTheme="majorEastAsia"/>
        </w:rPr>
        <w:t xml:space="preserve"> (i.e. receiving placebo in alternate weeks)</w:t>
      </w:r>
      <w:r>
        <w:rPr>
          <w:rFonts w:eastAsiaTheme="majorEastAsia"/>
        </w:rPr>
        <w:t xml:space="preserve"> or placebo group. </w:t>
      </w:r>
      <w:r w:rsidR="00CE324B">
        <w:rPr>
          <w:rFonts w:eastAsiaTheme="majorEastAsia"/>
        </w:rPr>
        <w:t xml:space="preserve">The study was rated as </w:t>
      </w:r>
      <w:r w:rsidR="00EC580E">
        <w:rPr>
          <w:rFonts w:eastAsiaTheme="majorEastAsia"/>
        </w:rPr>
        <w:t xml:space="preserve">having a </w:t>
      </w:r>
      <w:r w:rsidR="00CE324B">
        <w:rPr>
          <w:rFonts w:eastAsiaTheme="majorEastAsia"/>
        </w:rPr>
        <w:t xml:space="preserve">moderate risk of bias. </w:t>
      </w:r>
      <w:r>
        <w:rPr>
          <w:rFonts w:eastAsiaTheme="majorEastAsia"/>
        </w:rPr>
        <w:t>Professionals unrelated to the trial used a standardi</w:t>
      </w:r>
      <w:r w:rsidR="00EC580E">
        <w:rPr>
          <w:rFonts w:eastAsiaTheme="majorEastAsia"/>
        </w:rPr>
        <w:t>s</w:t>
      </w:r>
      <w:r>
        <w:rPr>
          <w:rFonts w:eastAsiaTheme="majorEastAsia"/>
        </w:rPr>
        <w:t xml:space="preserve">ed protocol and detailed operational manual to conduct assessments. Allocation concealment and randomisation methods were not clearly described. There was a risk of selective reporting noted as some important clinical outcomes (e.g. score of height and weight, </w:t>
      </w:r>
      <w:r w:rsidR="00DE28BF">
        <w:rPr>
          <w:rFonts w:eastAsiaTheme="majorEastAsia"/>
        </w:rPr>
        <w:t>left ventricular mass index (</w:t>
      </w:r>
      <w:r>
        <w:rPr>
          <w:rFonts w:eastAsiaTheme="majorEastAsia"/>
        </w:rPr>
        <w:t>LVMI</w:t>
      </w:r>
      <w:r w:rsidR="00DE28BF">
        <w:rPr>
          <w:rFonts w:eastAsiaTheme="majorEastAsia"/>
        </w:rPr>
        <w:t>)</w:t>
      </w:r>
      <w:r>
        <w:rPr>
          <w:rFonts w:eastAsiaTheme="majorEastAsia"/>
        </w:rPr>
        <w:t xml:space="preserve"> and overnight AHI) were not reported. </w:t>
      </w:r>
    </w:p>
    <w:p w:rsidR="000756DF" w:rsidRPr="000756DF" w:rsidRDefault="000756DF" w:rsidP="00EC5DFF">
      <w:pPr>
        <w:pStyle w:val="Heading5"/>
      </w:pPr>
      <w:r w:rsidRPr="000756DF">
        <w:t>MPS VI</w:t>
      </w:r>
    </w:p>
    <w:p w:rsidR="008875F8" w:rsidRPr="008B4B74" w:rsidRDefault="00EC580E" w:rsidP="008875F8">
      <w:bookmarkStart w:id="375" w:name="_Toc404937272"/>
      <w:r>
        <w:rPr>
          <w:rFonts w:eastAsiaTheme="majorEastAsia"/>
        </w:rPr>
        <w:t xml:space="preserve">Patients, investigator and staff supervising the infusions were blinded in the 2006 galsulfase trial. </w:t>
      </w:r>
      <w:r w:rsidRPr="0087318A">
        <w:rPr>
          <w:rFonts w:eastAsiaTheme="majorEastAsia"/>
        </w:rPr>
        <w:t xml:space="preserve">Eleven of the </w:t>
      </w:r>
      <w:r w:rsidR="0087318A">
        <w:rPr>
          <w:rFonts w:eastAsiaTheme="majorEastAsia"/>
        </w:rPr>
        <w:t xml:space="preserve">39 </w:t>
      </w:r>
      <w:r>
        <w:rPr>
          <w:rFonts w:eastAsiaTheme="majorEastAsia"/>
        </w:rPr>
        <w:t xml:space="preserve">randomised patients did not fulfil the eligibility criteria </w:t>
      </w:r>
      <w:r w:rsidR="009144E0">
        <w:rPr>
          <w:rFonts w:eastAsiaTheme="majorEastAsia"/>
        </w:rPr>
        <w:t xml:space="preserve">set </w:t>
      </w:r>
      <w:r w:rsidR="009144E0">
        <w:rPr>
          <w:rFonts w:eastAsiaTheme="majorEastAsia"/>
          <w:i/>
        </w:rPr>
        <w:t xml:space="preserve">a </w:t>
      </w:r>
      <w:r w:rsidR="009144E0" w:rsidRPr="00746AE7">
        <w:rPr>
          <w:rFonts w:eastAsiaTheme="majorEastAsia"/>
        </w:rPr>
        <w:t>priori</w:t>
      </w:r>
      <w:r w:rsidR="009144E0">
        <w:rPr>
          <w:rFonts w:eastAsiaTheme="majorEastAsia"/>
        </w:rPr>
        <w:t xml:space="preserve">, but </w:t>
      </w:r>
      <w:r w:rsidR="009144E0">
        <w:rPr>
          <w:rFonts w:eastAsiaTheme="majorEastAsia"/>
        </w:rPr>
        <w:lastRenderedPageBreak/>
        <w:t>were included</w:t>
      </w:r>
      <w:r w:rsidR="009A253F">
        <w:rPr>
          <w:rFonts w:eastAsiaTheme="majorEastAsia"/>
        </w:rPr>
        <w:t>, despite the fact</w:t>
      </w:r>
      <w:r>
        <w:rPr>
          <w:rFonts w:eastAsiaTheme="majorEastAsia"/>
        </w:rPr>
        <w:t xml:space="preserve"> they exceeded the 12 minute walk test limit (n</w:t>
      </w:r>
      <w:r w:rsidR="00652355" w:rsidRPr="00652355">
        <w:rPr>
          <w:rFonts w:eastAsiaTheme="majorEastAsia"/>
          <w:spacing w:val="-20"/>
        </w:rPr>
        <w:t xml:space="preserve"> = </w:t>
      </w:r>
      <w:r>
        <w:rPr>
          <w:rFonts w:eastAsiaTheme="majorEastAsia"/>
        </w:rPr>
        <w:t>7), were too young (n</w:t>
      </w:r>
      <w:r w:rsidR="00652355" w:rsidRPr="00652355">
        <w:rPr>
          <w:rFonts w:eastAsiaTheme="majorEastAsia"/>
          <w:spacing w:val="-20"/>
        </w:rPr>
        <w:t xml:space="preserve"> = </w:t>
      </w:r>
      <w:r>
        <w:rPr>
          <w:rFonts w:eastAsiaTheme="majorEastAsia"/>
        </w:rPr>
        <w:t>3) or had a serious prior medical condition (n</w:t>
      </w:r>
      <w:r w:rsidR="00652355" w:rsidRPr="00652355">
        <w:rPr>
          <w:rFonts w:eastAsiaTheme="majorEastAsia"/>
          <w:spacing w:val="-20"/>
        </w:rPr>
        <w:t xml:space="preserve"> = </w:t>
      </w:r>
      <w:r>
        <w:rPr>
          <w:rFonts w:eastAsiaTheme="majorEastAsia"/>
        </w:rPr>
        <w:t>1)</w:t>
      </w:r>
      <w:r w:rsidR="00064201">
        <w:rPr>
          <w:rFonts w:eastAsiaTheme="majorEastAsia"/>
        </w:rPr>
        <w:t xml:space="preserve">. </w:t>
      </w:r>
      <w:r w:rsidR="009144E0">
        <w:rPr>
          <w:rFonts w:eastAsiaTheme="majorEastAsia"/>
        </w:rPr>
        <w:t>Those in the placebo arm</w:t>
      </w:r>
      <w:r w:rsidR="00446D95">
        <w:rPr>
          <w:rFonts w:eastAsiaTheme="majorEastAsia"/>
        </w:rPr>
        <w:t xml:space="preserve"> could walk an average of 154 metres further at baseline than those in the galsulfase arm</w:t>
      </w:r>
      <w:r>
        <w:rPr>
          <w:rFonts w:eastAsiaTheme="majorEastAsia"/>
        </w:rPr>
        <w:t xml:space="preserve">. Groups could therefore not be considered equal at baseline. </w:t>
      </w:r>
      <w:r w:rsidR="00BC1E40">
        <w:rPr>
          <w:rFonts w:eastAsiaTheme="majorEastAsia"/>
        </w:rPr>
        <w:t xml:space="preserve">There was a risk of selective reporting, as </w:t>
      </w:r>
      <w:r w:rsidR="00A74941">
        <w:rPr>
          <w:rFonts w:eastAsiaTheme="majorEastAsia"/>
        </w:rPr>
        <w:t xml:space="preserve">results on other </w:t>
      </w:r>
      <w:r w:rsidR="00932CD3">
        <w:rPr>
          <w:rFonts w:eastAsiaTheme="majorEastAsia"/>
        </w:rPr>
        <w:t xml:space="preserve">unspecified tertiary outcome measures, which did not show a change with galsulfase, were not reported. </w:t>
      </w:r>
    </w:p>
    <w:p w:rsidR="000756DF" w:rsidRPr="00E965BD" w:rsidRDefault="000756DF" w:rsidP="00EC5DFF">
      <w:pPr>
        <w:pStyle w:val="Heading4"/>
      </w:pPr>
      <w:r w:rsidRPr="00E965BD">
        <w:t>Effectiveness and safety of laronidase for treating MPS type I</w:t>
      </w:r>
      <w:bookmarkEnd w:id="375"/>
    </w:p>
    <w:p w:rsidR="00EC580E" w:rsidRPr="000756DF" w:rsidRDefault="00EC580E" w:rsidP="00EC580E">
      <w:r w:rsidRPr="000756DF">
        <w:t>One high quality randomised trial compared laronidase and placebo in patients at least 5 years old, with MPS</w:t>
      </w:r>
      <w:r w:rsidR="00FE05FD" w:rsidRPr="00FE05FD">
        <w:t xml:space="preserve"> </w:t>
      </w:r>
      <w:r w:rsidR="00B05798">
        <w:rPr>
          <w:noProof/>
        </w:rPr>
        <w:t>(</w:t>
      </w:r>
      <w:r w:rsidR="00184B6F">
        <w:rPr>
          <w:noProof/>
        </w:rPr>
        <w:t>Wraith, J. E. et al. 2004</w:t>
      </w:r>
      <w:r w:rsidR="00B05798">
        <w:rPr>
          <w:noProof/>
        </w:rPr>
        <w:t>)</w:t>
      </w:r>
      <w:r w:rsidR="00FE05FD">
        <w:t>.</w:t>
      </w:r>
      <w:r w:rsidRPr="000756DF">
        <w:t xml:space="preserve"> Patients randomised to </w:t>
      </w:r>
      <w:r>
        <w:t>receive</w:t>
      </w:r>
      <w:r w:rsidRPr="000756DF">
        <w:t xml:space="preserve"> laronidase </w:t>
      </w:r>
      <w:r>
        <w:t xml:space="preserve">were dosed at </w:t>
      </w:r>
      <w:r w:rsidRPr="000756DF">
        <w:t xml:space="preserve">100 U/kg of body weight (0.58mg/kg), in a solution of 100 mmol/L sodium phosphate, </w:t>
      </w:r>
      <w:proofErr w:type="gramStart"/>
      <w:r w:rsidRPr="000756DF">
        <w:t>150 mmol/L sodium chloride,</w:t>
      </w:r>
      <w:proofErr w:type="gramEnd"/>
      <w:r w:rsidRPr="000756DF">
        <w:t xml:space="preserve"> and 0.001% polysorbate-80. Patients in the placebo condition received the same solution without the laronidase. Both placebo and laronidase solutions were administered in 0.1% human serum albumin in normal saline, administered intravenously over 4-hours, once a week. To reduce the chance of infusion-related adverse events, patients were also given an antipyretic and an antihistamine before each infusion. The proportion of participants that were clinically diagnosed as Hurler-Scheie syndrome comprised 82% in the </w:t>
      </w:r>
      <w:r w:rsidR="001B4E29" w:rsidRPr="000756DF">
        <w:t>laronidase</w:t>
      </w:r>
      <w:r w:rsidRPr="000756DF">
        <w:t xml:space="preserve"> group and 83% in the placebo group.</w:t>
      </w:r>
      <w:r w:rsidRPr="000756DF" w:rsidDel="002E30D0">
        <w:t xml:space="preserve"> </w:t>
      </w:r>
      <w:r w:rsidRPr="000756DF">
        <w:t>Results were not separated according to clinical syndromes.</w:t>
      </w:r>
    </w:p>
    <w:p w:rsidR="000756DF" w:rsidRPr="000756DF" w:rsidRDefault="00EC580E" w:rsidP="00EC580E">
      <w:r w:rsidRPr="000756DF">
        <w:t>The two primary outcomes were lung function, as measured by the percent of normal forced vital capacity (FVC), and exercise tolerance, as measured by the distance covered in the 6-minute walk test</w:t>
      </w:r>
      <w:r w:rsidR="00A55E2D">
        <w:t xml:space="preserve"> (6MWT)</w:t>
      </w:r>
      <w:r w:rsidRPr="000756DF">
        <w:t xml:space="preserve">. </w:t>
      </w:r>
      <w:r w:rsidR="009E3804">
        <w:t xml:space="preserve">FVC and 6MWT can be considered surrogate measures for respiratory and cardiac function respectively. </w:t>
      </w:r>
      <w:r w:rsidRPr="000756DF">
        <w:t>On average, patients taking laronidase improved by 4.9%</w:t>
      </w:r>
      <w:r>
        <w:t xml:space="preserve"> in FVC</w:t>
      </w:r>
      <w:r w:rsidRPr="000756DF">
        <w:t xml:space="preserve">, whereas those in the placebo group decreased slightly (-0.7%). This difference </w:t>
      </w:r>
      <w:r>
        <w:t xml:space="preserve">of 5.6% </w:t>
      </w:r>
      <w:r w:rsidRPr="000756DF">
        <w:t>was considered statistically significant</w:t>
      </w:r>
      <w:r>
        <w:t xml:space="preserve"> but may not be clinically important</w:t>
      </w:r>
      <w:r w:rsidRPr="000756DF">
        <w:t xml:space="preserve"> (GRADE </w:t>
      </w:r>
      <w:r w:rsidRPr="00D4733A">
        <w:rPr>
          <w:rFonts w:ascii="Cambria Math" w:hAnsi="Cambria Math"/>
          <w:color w:val="00B050"/>
        </w:rPr>
        <w:t>⨁⨁⨁</w:t>
      </w:r>
      <w:r w:rsidRPr="00D4733A">
        <w:rPr>
          <w:rFonts w:ascii="Cambria Math" w:hAnsi="Cambria Math"/>
          <w:color w:val="C00000"/>
        </w:rPr>
        <w:t>⨀</w:t>
      </w:r>
      <w:r w:rsidRPr="000756DF">
        <w:t>). Patients on laronidase were able to walk an average of 19.7 metres further in 6 minutes, whereas those receiving placebo infusions walked on average 18.4 fewer metres than at baseline. Th</w:t>
      </w:r>
      <w:r>
        <w:t>e difference of 38 metres</w:t>
      </w:r>
      <w:r w:rsidRPr="000756DF">
        <w:t xml:space="preserve"> was statistically significant</w:t>
      </w:r>
      <w:r w:rsidR="00A55E2D">
        <w:t xml:space="preserve">. However, due to a potentially meaningful difference in baseline values on the 6MWT (those receiving placebo could walk a further 47 metres than those receiving laronidase), these results are difficult to interpret </w:t>
      </w:r>
      <w:r w:rsidRPr="000756DF">
        <w:t xml:space="preserve">(GRADE </w:t>
      </w:r>
      <w:r w:rsidRPr="00D4733A">
        <w:rPr>
          <w:rFonts w:ascii="Cambria Math" w:hAnsi="Cambria Math"/>
          <w:color w:val="00B050"/>
        </w:rPr>
        <w:t>⨁⨁⨁</w:t>
      </w:r>
      <w:r w:rsidRPr="00D4733A">
        <w:rPr>
          <w:rFonts w:ascii="Cambria Math" w:hAnsi="Cambria Math"/>
          <w:color w:val="C00000"/>
        </w:rPr>
        <w:t>⨀</w:t>
      </w:r>
      <w:r w:rsidRPr="000756DF">
        <w:t>).</w:t>
      </w:r>
    </w:p>
    <w:p w:rsidR="000756DF" w:rsidRPr="00716774" w:rsidRDefault="000756DF" w:rsidP="00F44176">
      <w:pPr>
        <w:pStyle w:val="Caption"/>
        <w:keepNext/>
        <w:tabs>
          <w:tab w:val="clear" w:pos="851"/>
          <w:tab w:val="left" w:pos="1134"/>
        </w:tabs>
        <w:ind w:left="1134" w:hanging="1134"/>
      </w:pPr>
      <w:bookmarkStart w:id="376" w:name="_Toc411510461"/>
      <w:bookmarkStart w:id="377" w:name="_Toc415141892"/>
      <w:r w:rsidRPr="00716774">
        <w:lastRenderedPageBreak/>
        <w:t xml:space="preserve">Table </w:t>
      </w:r>
      <w:r w:rsidR="00A72B26">
        <w:rPr>
          <w:noProof/>
        </w:rPr>
        <w:t>95</w:t>
      </w:r>
      <w:r w:rsidRPr="00716774">
        <w:tab/>
        <w:t xml:space="preserve">Lung </w:t>
      </w:r>
      <w:proofErr w:type="gramStart"/>
      <w:r w:rsidRPr="00716774">
        <w:t>function</w:t>
      </w:r>
      <w:proofErr w:type="gramEnd"/>
      <w:r w:rsidRPr="00716774">
        <w:t xml:space="preserve"> and exercise tolerance after laronidase and placebo</w:t>
      </w:r>
      <w:bookmarkEnd w:id="376"/>
      <w:bookmarkEnd w:id="377"/>
    </w:p>
    <w:tbl>
      <w:tblPr>
        <w:tblStyle w:val="TableGrid"/>
        <w:tblW w:w="5000" w:type="pct"/>
        <w:tblLook w:val="04A0" w:firstRow="1" w:lastRow="0" w:firstColumn="1" w:lastColumn="0" w:noHBand="0" w:noVBand="1"/>
        <w:tblCaption w:val="Table 63 Lung function and exercise tolerance after laronidase and placebo"/>
      </w:tblPr>
      <w:tblGrid>
        <w:gridCol w:w="3509"/>
        <w:gridCol w:w="1987"/>
        <w:gridCol w:w="1983"/>
        <w:gridCol w:w="1763"/>
      </w:tblGrid>
      <w:tr w:rsidR="000756DF" w:rsidRPr="000756DF" w:rsidTr="009A0365">
        <w:trPr>
          <w:tblHeader/>
        </w:trPr>
        <w:tc>
          <w:tcPr>
            <w:tcW w:w="1898" w:type="pct"/>
          </w:tcPr>
          <w:p w:rsidR="000756DF" w:rsidRPr="000756DF" w:rsidRDefault="000756DF" w:rsidP="00DE28BF">
            <w:pPr>
              <w:pStyle w:val="TableHeading"/>
            </w:pPr>
            <w:r w:rsidRPr="000756DF">
              <w:t>Outcome</w:t>
            </w:r>
          </w:p>
        </w:tc>
        <w:tc>
          <w:tcPr>
            <w:tcW w:w="1075" w:type="pct"/>
          </w:tcPr>
          <w:p w:rsidR="000756DF" w:rsidRPr="000756DF" w:rsidRDefault="000756DF" w:rsidP="00DE28BF">
            <w:pPr>
              <w:pStyle w:val="TableHeading"/>
            </w:pPr>
            <w:r w:rsidRPr="000756DF">
              <w:t>Laronidase (N</w:t>
            </w:r>
            <w:r w:rsidR="00652355" w:rsidRPr="00652355">
              <w:rPr>
                <w:spacing w:val="-20"/>
              </w:rPr>
              <w:t xml:space="preserve"> = </w:t>
            </w:r>
            <w:r w:rsidRPr="000756DF">
              <w:t>22)</w:t>
            </w:r>
          </w:p>
        </w:tc>
        <w:tc>
          <w:tcPr>
            <w:tcW w:w="1073" w:type="pct"/>
          </w:tcPr>
          <w:p w:rsidR="000756DF" w:rsidRPr="000756DF" w:rsidRDefault="000756DF" w:rsidP="00DE28BF">
            <w:pPr>
              <w:pStyle w:val="TableHeading"/>
            </w:pPr>
            <w:r w:rsidRPr="000756DF">
              <w:t>Placebo (N</w:t>
            </w:r>
            <w:r w:rsidR="00652355" w:rsidRPr="00652355">
              <w:rPr>
                <w:spacing w:val="-20"/>
              </w:rPr>
              <w:t xml:space="preserve"> = </w:t>
            </w:r>
            <w:r w:rsidRPr="000756DF">
              <w:t>23)</w:t>
            </w:r>
          </w:p>
        </w:tc>
        <w:tc>
          <w:tcPr>
            <w:tcW w:w="954" w:type="pct"/>
          </w:tcPr>
          <w:p w:rsidR="000756DF" w:rsidRPr="000756DF" w:rsidRDefault="000756DF" w:rsidP="00DE28BF">
            <w:pPr>
              <w:pStyle w:val="TableHeading"/>
            </w:pPr>
            <w:r w:rsidRPr="000756DF">
              <w:t>Difference</w:t>
            </w:r>
          </w:p>
        </w:tc>
      </w:tr>
      <w:tr w:rsidR="000756DF" w:rsidRPr="000756DF" w:rsidTr="00EC0C11">
        <w:tc>
          <w:tcPr>
            <w:tcW w:w="1898" w:type="pct"/>
          </w:tcPr>
          <w:p w:rsidR="000756DF" w:rsidRPr="000756DF" w:rsidRDefault="000756DF" w:rsidP="00DE28BF">
            <w:pPr>
              <w:pStyle w:val="TableHeading"/>
            </w:pPr>
            <w:r w:rsidRPr="000756DF">
              <w:t>Forced vital capacity (% of predicted normal; mean ± SD)</w:t>
            </w:r>
          </w:p>
        </w:tc>
        <w:tc>
          <w:tcPr>
            <w:tcW w:w="1075" w:type="pct"/>
            <w:shd w:val="clear" w:color="auto" w:fill="FFFFFF" w:themeFill="background1"/>
          </w:tcPr>
          <w:p w:rsidR="000756DF" w:rsidRPr="000756DF" w:rsidRDefault="00EC0C11" w:rsidP="00DE28BF">
            <w:pPr>
              <w:pStyle w:val="TableText0"/>
            </w:pPr>
            <w:r w:rsidRPr="00EC0C11">
              <w:rPr>
                <w:color w:val="FFFFFF" w:themeColor="background1"/>
              </w:rPr>
              <w:t>-</w:t>
            </w:r>
          </w:p>
        </w:tc>
        <w:tc>
          <w:tcPr>
            <w:tcW w:w="1073" w:type="pct"/>
          </w:tcPr>
          <w:p w:rsidR="000756DF" w:rsidRPr="000756DF" w:rsidRDefault="00EC0C11" w:rsidP="00DE28BF">
            <w:pPr>
              <w:pStyle w:val="TableText0"/>
            </w:pPr>
            <w:r w:rsidRPr="00EC0C11">
              <w:rPr>
                <w:color w:val="FFFFFF" w:themeColor="background1"/>
              </w:rPr>
              <w:t>-</w:t>
            </w:r>
          </w:p>
        </w:tc>
        <w:tc>
          <w:tcPr>
            <w:tcW w:w="954" w:type="pct"/>
          </w:tcPr>
          <w:p w:rsidR="000756DF" w:rsidRPr="000756DF" w:rsidRDefault="00EC0C11" w:rsidP="00DE28BF">
            <w:pPr>
              <w:pStyle w:val="TableText0"/>
            </w:pPr>
            <w:r w:rsidRPr="00EC0C11">
              <w:rPr>
                <w:color w:val="FFFFFF" w:themeColor="background1"/>
              </w:rPr>
              <w:t>-</w:t>
            </w:r>
          </w:p>
        </w:tc>
      </w:tr>
      <w:tr w:rsidR="000756DF" w:rsidRPr="000756DF" w:rsidTr="00DE28BF">
        <w:tc>
          <w:tcPr>
            <w:tcW w:w="1898" w:type="pct"/>
          </w:tcPr>
          <w:p w:rsidR="000756DF" w:rsidRPr="000756DF" w:rsidRDefault="000756DF" w:rsidP="00DE28BF">
            <w:pPr>
              <w:pStyle w:val="TableText0"/>
            </w:pPr>
            <w:r w:rsidRPr="000756DF">
              <w:tab/>
              <w:t>Baseline</w:t>
            </w:r>
          </w:p>
        </w:tc>
        <w:tc>
          <w:tcPr>
            <w:tcW w:w="1075" w:type="pct"/>
          </w:tcPr>
          <w:p w:rsidR="000756DF" w:rsidRPr="000756DF" w:rsidRDefault="000756DF" w:rsidP="00DE28BF">
            <w:pPr>
              <w:pStyle w:val="TableText0"/>
            </w:pPr>
            <w:r w:rsidRPr="000756DF">
              <w:t>48.4±14.5</w:t>
            </w:r>
          </w:p>
        </w:tc>
        <w:tc>
          <w:tcPr>
            <w:tcW w:w="1073" w:type="pct"/>
          </w:tcPr>
          <w:p w:rsidR="000756DF" w:rsidRPr="000756DF" w:rsidRDefault="000756DF" w:rsidP="00DE28BF">
            <w:pPr>
              <w:pStyle w:val="TableText0"/>
            </w:pPr>
            <w:r w:rsidRPr="000756DF">
              <w:t>54.2±16.0</w:t>
            </w:r>
          </w:p>
        </w:tc>
        <w:tc>
          <w:tcPr>
            <w:tcW w:w="954" w:type="pct"/>
          </w:tcPr>
          <w:p w:rsidR="000756DF" w:rsidRPr="000756DF" w:rsidRDefault="000756DF" w:rsidP="00DE28BF">
            <w:pPr>
              <w:pStyle w:val="TableText0"/>
            </w:pPr>
          </w:p>
        </w:tc>
      </w:tr>
      <w:tr w:rsidR="000756DF" w:rsidRPr="000756DF" w:rsidTr="00DE28BF">
        <w:tc>
          <w:tcPr>
            <w:tcW w:w="1898" w:type="pct"/>
          </w:tcPr>
          <w:p w:rsidR="000756DF" w:rsidRPr="000756DF" w:rsidRDefault="000756DF" w:rsidP="00DE28BF">
            <w:pPr>
              <w:pStyle w:val="TableText0"/>
            </w:pPr>
            <w:r w:rsidRPr="000756DF">
              <w:tab/>
              <w:t>Week 26</w:t>
            </w:r>
          </w:p>
        </w:tc>
        <w:tc>
          <w:tcPr>
            <w:tcW w:w="1075" w:type="pct"/>
          </w:tcPr>
          <w:p w:rsidR="000756DF" w:rsidRPr="000756DF" w:rsidRDefault="000756DF" w:rsidP="00DE28BF">
            <w:pPr>
              <w:pStyle w:val="TableText0"/>
            </w:pPr>
            <w:r w:rsidRPr="000756DF">
              <w:t>53.3±18.5</w:t>
            </w:r>
          </w:p>
        </w:tc>
        <w:tc>
          <w:tcPr>
            <w:tcW w:w="1073" w:type="pct"/>
          </w:tcPr>
          <w:p w:rsidR="000756DF" w:rsidRPr="000756DF" w:rsidRDefault="000756DF" w:rsidP="00DE28BF">
            <w:pPr>
              <w:pStyle w:val="TableText0"/>
            </w:pPr>
            <w:r w:rsidRPr="000756DF">
              <w:t>53.5±14.2</w:t>
            </w:r>
          </w:p>
        </w:tc>
        <w:tc>
          <w:tcPr>
            <w:tcW w:w="954" w:type="pct"/>
          </w:tcPr>
          <w:p w:rsidR="000756DF" w:rsidRPr="000756DF" w:rsidRDefault="000756DF" w:rsidP="00DE28BF">
            <w:pPr>
              <w:pStyle w:val="TableText0"/>
            </w:pPr>
          </w:p>
        </w:tc>
      </w:tr>
      <w:tr w:rsidR="000756DF" w:rsidRPr="000756DF" w:rsidTr="00DE28BF">
        <w:tc>
          <w:tcPr>
            <w:tcW w:w="1898" w:type="pct"/>
          </w:tcPr>
          <w:p w:rsidR="000756DF" w:rsidRPr="000756DF" w:rsidRDefault="000756DF" w:rsidP="00DE28BF">
            <w:pPr>
              <w:pStyle w:val="TableText0"/>
            </w:pPr>
            <w:r w:rsidRPr="000756DF">
              <w:tab/>
              <w:t>Change from baseline to week 26</w:t>
            </w:r>
          </w:p>
        </w:tc>
        <w:tc>
          <w:tcPr>
            <w:tcW w:w="1075" w:type="pct"/>
          </w:tcPr>
          <w:p w:rsidR="000756DF" w:rsidRPr="000756DF" w:rsidRDefault="000756DF" w:rsidP="00DE28BF">
            <w:pPr>
              <w:pStyle w:val="TableText0"/>
            </w:pPr>
            <w:r w:rsidRPr="000756DF">
              <w:t>4.9±8.7</w:t>
            </w:r>
          </w:p>
        </w:tc>
        <w:tc>
          <w:tcPr>
            <w:tcW w:w="1073" w:type="pct"/>
          </w:tcPr>
          <w:p w:rsidR="000756DF" w:rsidRPr="000756DF" w:rsidRDefault="000756DF" w:rsidP="00DE28BF">
            <w:pPr>
              <w:pStyle w:val="TableText0"/>
            </w:pPr>
            <w:r w:rsidRPr="000756DF">
              <w:t>-0.7±5.9</w:t>
            </w:r>
          </w:p>
        </w:tc>
        <w:tc>
          <w:tcPr>
            <w:tcW w:w="954" w:type="pct"/>
          </w:tcPr>
          <w:p w:rsidR="000756DF" w:rsidRPr="000756DF" w:rsidRDefault="000756DF" w:rsidP="00DE28BF">
            <w:pPr>
              <w:pStyle w:val="TableText0"/>
              <w:rPr>
                <w:vertAlign w:val="superscript"/>
              </w:rPr>
            </w:pPr>
            <w:r w:rsidRPr="000756DF">
              <w:t>5.6</w:t>
            </w:r>
            <w:r w:rsidR="00DE28BF">
              <w:t xml:space="preserve">, </w:t>
            </w:r>
            <w:r w:rsidRPr="000756DF">
              <w:t>p</w:t>
            </w:r>
            <w:r w:rsidR="00652355" w:rsidRPr="00652355">
              <w:rPr>
                <w:spacing w:val="-20"/>
              </w:rPr>
              <w:t xml:space="preserve"> = </w:t>
            </w:r>
            <w:r w:rsidRPr="000756DF">
              <w:t>0.007</w:t>
            </w:r>
            <w:r w:rsidRPr="000756DF">
              <w:rPr>
                <w:vertAlign w:val="superscript"/>
              </w:rPr>
              <w:t>a</w:t>
            </w:r>
          </w:p>
        </w:tc>
      </w:tr>
      <w:tr w:rsidR="000756DF" w:rsidRPr="000756DF" w:rsidTr="00DE28BF">
        <w:tc>
          <w:tcPr>
            <w:tcW w:w="1898" w:type="pct"/>
          </w:tcPr>
          <w:p w:rsidR="000756DF" w:rsidRPr="000756DF" w:rsidRDefault="000756DF" w:rsidP="00DE28BF">
            <w:pPr>
              <w:pStyle w:val="TableHeading"/>
            </w:pPr>
            <w:r w:rsidRPr="000756DF">
              <w:t>6-minute walk test (mean±SD)</w:t>
            </w:r>
          </w:p>
        </w:tc>
        <w:tc>
          <w:tcPr>
            <w:tcW w:w="1075" w:type="pct"/>
          </w:tcPr>
          <w:p w:rsidR="000756DF" w:rsidRPr="000756DF" w:rsidRDefault="00EC0C11" w:rsidP="00DE28BF">
            <w:pPr>
              <w:pStyle w:val="TableText0"/>
            </w:pPr>
            <w:r w:rsidRPr="00EC0C11">
              <w:rPr>
                <w:color w:val="FFFFFF" w:themeColor="background1"/>
              </w:rPr>
              <w:t>-</w:t>
            </w:r>
          </w:p>
        </w:tc>
        <w:tc>
          <w:tcPr>
            <w:tcW w:w="1073" w:type="pct"/>
          </w:tcPr>
          <w:p w:rsidR="000756DF" w:rsidRPr="000756DF" w:rsidRDefault="00EC0C11" w:rsidP="00DE28BF">
            <w:pPr>
              <w:pStyle w:val="TableText0"/>
            </w:pPr>
            <w:r w:rsidRPr="00EC0C11">
              <w:rPr>
                <w:color w:val="FFFFFF" w:themeColor="background1"/>
              </w:rPr>
              <w:t>-</w:t>
            </w:r>
          </w:p>
        </w:tc>
        <w:tc>
          <w:tcPr>
            <w:tcW w:w="954" w:type="pct"/>
          </w:tcPr>
          <w:p w:rsidR="000756DF" w:rsidRPr="000756DF" w:rsidRDefault="00EC0C11" w:rsidP="00DE28BF">
            <w:pPr>
              <w:pStyle w:val="TableText0"/>
            </w:pPr>
            <w:r w:rsidRPr="00EC0C11">
              <w:rPr>
                <w:color w:val="FFFFFF" w:themeColor="background1"/>
              </w:rPr>
              <w:t>-</w:t>
            </w:r>
          </w:p>
        </w:tc>
      </w:tr>
      <w:tr w:rsidR="000756DF" w:rsidRPr="000756DF" w:rsidTr="00DE28BF">
        <w:tc>
          <w:tcPr>
            <w:tcW w:w="1898" w:type="pct"/>
          </w:tcPr>
          <w:p w:rsidR="000756DF" w:rsidRPr="000756DF" w:rsidRDefault="000756DF" w:rsidP="00DE28BF">
            <w:pPr>
              <w:pStyle w:val="TableText0"/>
            </w:pPr>
            <w:r w:rsidRPr="000756DF">
              <w:tab/>
              <w:t>Baseline</w:t>
            </w:r>
          </w:p>
        </w:tc>
        <w:tc>
          <w:tcPr>
            <w:tcW w:w="1075" w:type="pct"/>
          </w:tcPr>
          <w:p w:rsidR="000756DF" w:rsidRPr="000756DF" w:rsidRDefault="000756DF" w:rsidP="00DE28BF">
            <w:pPr>
              <w:pStyle w:val="TableText0"/>
            </w:pPr>
            <w:r w:rsidRPr="000756DF">
              <w:t>319.1±131.4</w:t>
            </w:r>
          </w:p>
        </w:tc>
        <w:tc>
          <w:tcPr>
            <w:tcW w:w="1073" w:type="pct"/>
          </w:tcPr>
          <w:p w:rsidR="000756DF" w:rsidRPr="000756DF" w:rsidRDefault="000756DF" w:rsidP="00DE28BF">
            <w:pPr>
              <w:pStyle w:val="TableText0"/>
            </w:pPr>
            <w:r w:rsidRPr="000756DF">
              <w:t>366.7±113.7</w:t>
            </w:r>
          </w:p>
        </w:tc>
        <w:tc>
          <w:tcPr>
            <w:tcW w:w="954" w:type="pct"/>
          </w:tcPr>
          <w:p w:rsidR="000756DF" w:rsidRPr="000756DF" w:rsidRDefault="000756DF" w:rsidP="00DE28BF">
            <w:pPr>
              <w:pStyle w:val="TableText0"/>
            </w:pPr>
          </w:p>
        </w:tc>
      </w:tr>
      <w:tr w:rsidR="000756DF" w:rsidRPr="000756DF" w:rsidTr="00DE28BF">
        <w:tc>
          <w:tcPr>
            <w:tcW w:w="1898" w:type="pct"/>
          </w:tcPr>
          <w:p w:rsidR="000756DF" w:rsidRPr="000756DF" w:rsidRDefault="000756DF" w:rsidP="00DE28BF">
            <w:pPr>
              <w:pStyle w:val="TableText0"/>
            </w:pPr>
            <w:r w:rsidRPr="000756DF">
              <w:tab/>
              <w:t>Week 26</w:t>
            </w:r>
          </w:p>
        </w:tc>
        <w:tc>
          <w:tcPr>
            <w:tcW w:w="1075" w:type="pct"/>
          </w:tcPr>
          <w:p w:rsidR="000756DF" w:rsidRPr="000756DF" w:rsidRDefault="000756DF" w:rsidP="00DE28BF">
            <w:pPr>
              <w:pStyle w:val="TableText0"/>
            </w:pPr>
            <w:r w:rsidRPr="000756DF">
              <w:t>338.8±127.1</w:t>
            </w:r>
          </w:p>
        </w:tc>
        <w:tc>
          <w:tcPr>
            <w:tcW w:w="1073" w:type="pct"/>
          </w:tcPr>
          <w:p w:rsidR="000756DF" w:rsidRPr="000756DF" w:rsidRDefault="000756DF" w:rsidP="00DE28BF">
            <w:pPr>
              <w:pStyle w:val="TableText0"/>
            </w:pPr>
            <w:r w:rsidRPr="000756DF">
              <w:t>348.3±128.8</w:t>
            </w:r>
          </w:p>
        </w:tc>
        <w:tc>
          <w:tcPr>
            <w:tcW w:w="954" w:type="pct"/>
          </w:tcPr>
          <w:p w:rsidR="000756DF" w:rsidRPr="000756DF" w:rsidRDefault="000756DF" w:rsidP="00DE28BF">
            <w:pPr>
              <w:pStyle w:val="TableText0"/>
            </w:pPr>
          </w:p>
        </w:tc>
      </w:tr>
      <w:tr w:rsidR="000756DF" w:rsidRPr="000756DF" w:rsidTr="00DE28BF">
        <w:tc>
          <w:tcPr>
            <w:tcW w:w="1898" w:type="pct"/>
          </w:tcPr>
          <w:p w:rsidR="000756DF" w:rsidRPr="000756DF" w:rsidRDefault="000756DF" w:rsidP="00DE28BF">
            <w:pPr>
              <w:pStyle w:val="TableText0"/>
            </w:pPr>
            <w:r w:rsidRPr="000756DF">
              <w:tab/>
              <w:t>Change from baseline to week 26</w:t>
            </w:r>
          </w:p>
        </w:tc>
        <w:tc>
          <w:tcPr>
            <w:tcW w:w="1075" w:type="pct"/>
          </w:tcPr>
          <w:p w:rsidR="000756DF" w:rsidRPr="000756DF" w:rsidRDefault="000756DF" w:rsidP="00DE28BF">
            <w:pPr>
              <w:pStyle w:val="TableText0"/>
            </w:pPr>
            <w:r w:rsidRPr="000756DF">
              <w:t>19.7±68.6</w:t>
            </w:r>
          </w:p>
        </w:tc>
        <w:tc>
          <w:tcPr>
            <w:tcW w:w="1073" w:type="pct"/>
          </w:tcPr>
          <w:p w:rsidR="000756DF" w:rsidRPr="000756DF" w:rsidRDefault="000756DF" w:rsidP="00DE28BF">
            <w:pPr>
              <w:pStyle w:val="TableText0"/>
            </w:pPr>
            <w:r w:rsidRPr="000756DF">
              <w:t>-18.4±67.5</w:t>
            </w:r>
          </w:p>
        </w:tc>
        <w:tc>
          <w:tcPr>
            <w:tcW w:w="954" w:type="pct"/>
          </w:tcPr>
          <w:p w:rsidR="000756DF" w:rsidRPr="000756DF" w:rsidRDefault="000756DF" w:rsidP="00DE28BF">
            <w:pPr>
              <w:pStyle w:val="TableText0"/>
            </w:pPr>
            <w:r w:rsidRPr="000756DF">
              <w:t>38.1</w:t>
            </w:r>
            <w:r w:rsidR="00DE28BF">
              <w:t xml:space="preserve">, </w:t>
            </w:r>
            <w:r w:rsidRPr="000756DF">
              <w:t>p</w:t>
            </w:r>
            <w:r w:rsidR="00652355" w:rsidRPr="00652355">
              <w:rPr>
                <w:spacing w:val="-20"/>
              </w:rPr>
              <w:t xml:space="preserve"> = </w:t>
            </w:r>
            <w:r w:rsidRPr="000756DF">
              <w:t>0.039</w:t>
            </w:r>
          </w:p>
        </w:tc>
      </w:tr>
    </w:tbl>
    <w:p w:rsidR="000756DF" w:rsidRPr="000756DF" w:rsidRDefault="000756DF" w:rsidP="00BF727B">
      <w:pPr>
        <w:pStyle w:val="TableNote"/>
        <w:ind w:left="0" w:firstLine="0"/>
      </w:pPr>
      <w:proofErr w:type="gramStart"/>
      <w:r w:rsidRPr="00BF727B">
        <w:rPr>
          <w:vertAlign w:val="superscript"/>
        </w:rPr>
        <w:t>a</w:t>
      </w:r>
      <w:r w:rsidR="00892FCA">
        <w:t>ANCOVA</w:t>
      </w:r>
      <w:proofErr w:type="gramEnd"/>
      <w:r w:rsidR="00892FCA">
        <w:t xml:space="preserve"> a</w:t>
      </w:r>
      <w:r w:rsidRPr="00892FCA">
        <w:t>nalysis</w:t>
      </w:r>
      <w:r w:rsidRPr="000756DF">
        <w:t xml:space="preserve"> of covariance, prospectively conducted to account for disease heterogeneity and baseline differences between groups. </w:t>
      </w:r>
      <w:r w:rsidR="00BF727B">
        <w:t>SD</w:t>
      </w:r>
      <w:r w:rsidR="00652355" w:rsidRPr="00652355">
        <w:rPr>
          <w:spacing w:val="-20"/>
        </w:rPr>
        <w:t xml:space="preserve"> = </w:t>
      </w:r>
      <w:r w:rsidR="00A60421">
        <w:t>standard deviation</w:t>
      </w:r>
    </w:p>
    <w:p w:rsidR="000756DF" w:rsidRPr="000756DF" w:rsidRDefault="000756DF" w:rsidP="000756DF">
      <w:pPr>
        <w:keepNext/>
        <w:spacing w:after="0" w:line="240" w:lineRule="auto"/>
        <w:ind w:left="131" w:hanging="131"/>
        <w:rPr>
          <w:rFonts w:ascii="Arial Narrow" w:hAnsi="Arial Narrow"/>
          <w:sz w:val="16"/>
          <w:szCs w:val="16"/>
          <w:lang w:eastAsia="en-AU"/>
        </w:rPr>
      </w:pPr>
    </w:p>
    <w:p w:rsidR="00A60421" w:rsidRPr="000756DF" w:rsidRDefault="00A60421" w:rsidP="00A60421">
      <w:pPr>
        <w:tabs>
          <w:tab w:val="left" w:pos="2747"/>
        </w:tabs>
      </w:pPr>
      <w:r w:rsidRPr="000756DF">
        <w:t xml:space="preserve">On average, there was no difference between patients treated with laronidase or placebo, </w:t>
      </w:r>
      <w:r>
        <w:t>in terms of</w:t>
      </w:r>
      <w:r w:rsidRPr="000756DF">
        <w:t xml:space="preserve"> the change in total apnoea</w:t>
      </w:r>
      <w:r>
        <w:t xml:space="preserve"> event</w:t>
      </w:r>
      <w:r w:rsidRPr="000756DF">
        <w:t xml:space="preserve">s (no airflow for ≥10 seconds) </w:t>
      </w:r>
      <w:r>
        <w:t>or</w:t>
      </w:r>
      <w:r w:rsidRPr="000756DF">
        <w:t xml:space="preserve"> hypopnea</w:t>
      </w:r>
      <w:r>
        <w:t xml:space="preserve"> event</w:t>
      </w:r>
      <w:r w:rsidRPr="000756DF">
        <w:t xml:space="preserve">s (≥50% airflow reduction) (GRADE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rsidRPr="000756DF">
        <w:t xml:space="preserve">. However, </w:t>
      </w:r>
      <w:r w:rsidRPr="005E6E1C">
        <w:rPr>
          <w:i/>
        </w:rPr>
        <w:t>post hoc</w:t>
      </w:r>
      <w:r w:rsidRPr="000756DF">
        <w:t xml:space="preserve"> analyses of those </w:t>
      </w:r>
      <w:r>
        <w:t xml:space="preserve">patients </w:t>
      </w:r>
      <w:r w:rsidRPr="000756DF">
        <w:t>who</w:t>
      </w:r>
      <w:r>
        <w:t xml:space="preserve"> had</w:t>
      </w:r>
      <w:r w:rsidRPr="000756DF">
        <w:t xml:space="preserve"> abnormal baseline sleep studies on the apn</w:t>
      </w:r>
      <w:r>
        <w:t>o</w:t>
      </w:r>
      <w:r w:rsidRPr="000756DF">
        <w:t>ea/hypopnea index (AHI; sleep apnoea defined by score of ≥10 for ages ≤15 years, and ≥15 for ages &gt;15 years) suggested that laronidase decreased the number of events after 6 months by an average of 6 events per hour, whereas those in the placebo group had a slight increase in the number of apnoea and hypopnea events per hour (0.3; p</w:t>
      </w:r>
      <w:r w:rsidR="00652355" w:rsidRPr="00652355">
        <w:rPr>
          <w:spacing w:val="-20"/>
        </w:rPr>
        <w:t xml:space="preserve"> = </w:t>
      </w:r>
      <w:r w:rsidRPr="000756DF">
        <w:t xml:space="preserve">0.014). </w:t>
      </w:r>
      <w:r w:rsidR="009E3804">
        <w:t>These outcomes are surrogate outcomes for respiratory function.</w:t>
      </w:r>
    </w:p>
    <w:p w:rsidR="00A60421" w:rsidRDefault="00A60421" w:rsidP="00A60421">
      <w:pPr>
        <w:tabs>
          <w:tab w:val="left" w:pos="2747"/>
        </w:tabs>
      </w:pPr>
      <w:r w:rsidRPr="000756DF">
        <w:t>Similarly, mean change in joint movement, measured by should</w:t>
      </w:r>
      <w:r>
        <w:t>er</w:t>
      </w:r>
      <w:r w:rsidRPr="000756DF">
        <w:t xml:space="preserve"> flexion, did not differ to a significant degree between groups (GRADE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rsidRPr="000756DF">
        <w:t xml:space="preserve">. A </w:t>
      </w:r>
      <w:r w:rsidRPr="005E6E1C">
        <w:rPr>
          <w:i/>
        </w:rPr>
        <w:t>post hoc</w:t>
      </w:r>
      <w:r w:rsidRPr="000756DF">
        <w:t xml:space="preserve"> analysis of those whose flexion was limited at baseline showed an improvement </w:t>
      </w:r>
      <w:r>
        <w:t xml:space="preserve">while receiving </w:t>
      </w:r>
      <w:r w:rsidRPr="000756DF">
        <w:t>laronidase, whereas those on placebo had a reduction on average in should</w:t>
      </w:r>
      <w:r>
        <w:t>er</w:t>
      </w:r>
      <w:r w:rsidRPr="000756DF">
        <w:t xml:space="preserve"> flexion. </w:t>
      </w:r>
    </w:p>
    <w:p w:rsidR="00A60421" w:rsidRPr="000756DF" w:rsidRDefault="00A60421" w:rsidP="00A60421">
      <w:pPr>
        <w:tabs>
          <w:tab w:val="left" w:pos="2747"/>
        </w:tabs>
      </w:pPr>
      <w:r>
        <w:t>The results of both of these subgroup analyses may have been affected by confounding.</w:t>
      </w:r>
    </w:p>
    <w:p w:rsidR="000756DF" w:rsidRPr="000756DF" w:rsidRDefault="00A60421" w:rsidP="00A60421">
      <w:pPr>
        <w:tabs>
          <w:tab w:val="left" w:pos="2747"/>
        </w:tabs>
      </w:pPr>
      <w:r w:rsidRPr="000756DF">
        <w:t xml:space="preserve">Differences from baseline to follow-up were small on the CHAQ/HAQ Disability Index, and did not differ significantly between conditions </w:t>
      </w:r>
      <w:r w:rsidR="000756DF" w:rsidRPr="000756DF">
        <w:t xml:space="preserve">(GRADE </w:t>
      </w:r>
      <w:r w:rsidR="00D4733A" w:rsidRPr="00D4733A">
        <w:rPr>
          <w:rFonts w:ascii="Cambria Math" w:hAnsi="Cambria Math"/>
          <w:color w:val="00B050"/>
        </w:rPr>
        <w:t>⨁⨁</w:t>
      </w:r>
      <w:r w:rsidR="00D4733A" w:rsidRPr="00D4733A">
        <w:rPr>
          <w:rFonts w:ascii="Cambria Math" w:hAnsi="Cambria Math"/>
          <w:color w:val="C00000"/>
        </w:rPr>
        <w:t>⨀⨀</w:t>
      </w:r>
      <w:r w:rsidR="00D67ADB" w:rsidRPr="00D67ADB">
        <w:rPr>
          <w:spacing w:val="-20"/>
        </w:rPr>
        <w:t>)</w:t>
      </w:r>
      <w:r w:rsidR="000756DF" w:rsidRPr="000756DF">
        <w:t>.</w:t>
      </w:r>
    </w:p>
    <w:p w:rsidR="000756DF" w:rsidRPr="00716774" w:rsidRDefault="000756DF" w:rsidP="00F44176">
      <w:pPr>
        <w:pStyle w:val="Caption"/>
        <w:keepNext/>
        <w:tabs>
          <w:tab w:val="clear" w:pos="851"/>
          <w:tab w:val="left" w:pos="1134"/>
        </w:tabs>
        <w:ind w:left="1134" w:hanging="1134"/>
      </w:pPr>
      <w:bookmarkStart w:id="378" w:name="_Toc411510462"/>
      <w:bookmarkStart w:id="379" w:name="_Toc415141893"/>
      <w:r w:rsidRPr="00716774">
        <w:lastRenderedPageBreak/>
        <w:t xml:space="preserve">Table </w:t>
      </w:r>
      <w:r w:rsidR="00A72B26">
        <w:rPr>
          <w:noProof/>
        </w:rPr>
        <w:t>96</w:t>
      </w:r>
      <w:r w:rsidRPr="00716774">
        <w:tab/>
        <w:t xml:space="preserve">Sleep evaluation, joint movement and level of disability after </w:t>
      </w:r>
      <w:r w:rsidR="00A60421">
        <w:t xml:space="preserve">receiving </w:t>
      </w:r>
      <w:r w:rsidRPr="00716774">
        <w:t xml:space="preserve">laronidase </w:t>
      </w:r>
      <w:r w:rsidR="00A60421">
        <w:t>or</w:t>
      </w:r>
      <w:r w:rsidRPr="00716774">
        <w:t xml:space="preserve"> placebo</w:t>
      </w:r>
      <w:bookmarkEnd w:id="378"/>
      <w:bookmarkEnd w:id="379"/>
      <w:r w:rsidRPr="00716774">
        <w:t xml:space="preserve"> </w:t>
      </w:r>
    </w:p>
    <w:tbl>
      <w:tblPr>
        <w:tblStyle w:val="TableGrid"/>
        <w:tblW w:w="5000" w:type="pct"/>
        <w:tblLook w:val="04A0" w:firstRow="1" w:lastRow="0" w:firstColumn="1" w:lastColumn="0" w:noHBand="0" w:noVBand="1"/>
        <w:tblCaption w:val="Table 64 Sleep evaluation, joint movement and level of disability after receiving laronidase or placebo "/>
      </w:tblPr>
      <w:tblGrid>
        <w:gridCol w:w="3509"/>
        <w:gridCol w:w="2128"/>
        <w:gridCol w:w="2370"/>
        <w:gridCol w:w="1235"/>
      </w:tblGrid>
      <w:tr w:rsidR="000756DF" w:rsidRPr="000756DF" w:rsidTr="009A0365">
        <w:trPr>
          <w:tblHeader/>
        </w:trPr>
        <w:tc>
          <w:tcPr>
            <w:tcW w:w="1898" w:type="pct"/>
            <w:tcBorders>
              <w:top w:val="single" w:sz="4" w:space="0" w:color="auto"/>
            </w:tcBorders>
          </w:tcPr>
          <w:p w:rsidR="000756DF" w:rsidRPr="000756DF" w:rsidRDefault="000756DF" w:rsidP="00DE28BF">
            <w:pPr>
              <w:pStyle w:val="TableHeading"/>
            </w:pPr>
            <w:r w:rsidRPr="000756DF">
              <w:t>Outcome</w:t>
            </w:r>
          </w:p>
        </w:tc>
        <w:tc>
          <w:tcPr>
            <w:tcW w:w="1151" w:type="pct"/>
            <w:tcBorders>
              <w:top w:val="single" w:sz="4" w:space="0" w:color="auto"/>
            </w:tcBorders>
          </w:tcPr>
          <w:p w:rsidR="000756DF" w:rsidRPr="000756DF" w:rsidRDefault="000756DF" w:rsidP="00DE28BF">
            <w:pPr>
              <w:pStyle w:val="TableHeading"/>
            </w:pPr>
            <w:r w:rsidRPr="000756DF">
              <w:t>Laronidase (N</w:t>
            </w:r>
            <w:r w:rsidR="00652355" w:rsidRPr="00652355">
              <w:rPr>
                <w:spacing w:val="-20"/>
              </w:rPr>
              <w:t xml:space="preserve"> = </w:t>
            </w:r>
            <w:r w:rsidRPr="000756DF">
              <w:t>22)</w:t>
            </w:r>
          </w:p>
        </w:tc>
        <w:tc>
          <w:tcPr>
            <w:tcW w:w="1282" w:type="pct"/>
            <w:tcBorders>
              <w:top w:val="single" w:sz="4" w:space="0" w:color="auto"/>
            </w:tcBorders>
          </w:tcPr>
          <w:p w:rsidR="000756DF" w:rsidRPr="000756DF" w:rsidRDefault="000756DF" w:rsidP="00DE28BF">
            <w:pPr>
              <w:pStyle w:val="TableHeading"/>
            </w:pPr>
            <w:r w:rsidRPr="000756DF">
              <w:t>Placebo (N</w:t>
            </w:r>
            <w:r w:rsidR="00652355" w:rsidRPr="00652355">
              <w:rPr>
                <w:spacing w:val="-20"/>
              </w:rPr>
              <w:t xml:space="preserve"> = </w:t>
            </w:r>
            <w:r w:rsidRPr="000756DF">
              <w:t>23)</w:t>
            </w:r>
          </w:p>
        </w:tc>
        <w:tc>
          <w:tcPr>
            <w:tcW w:w="668" w:type="pct"/>
            <w:tcBorders>
              <w:top w:val="single" w:sz="4" w:space="0" w:color="auto"/>
            </w:tcBorders>
          </w:tcPr>
          <w:p w:rsidR="000756DF" w:rsidRPr="000756DF" w:rsidRDefault="000756DF" w:rsidP="00DE28BF">
            <w:pPr>
              <w:pStyle w:val="TableHeading"/>
            </w:pPr>
            <w:r w:rsidRPr="000756DF">
              <w:t>Difference</w:t>
            </w:r>
          </w:p>
        </w:tc>
      </w:tr>
      <w:tr w:rsidR="000756DF" w:rsidRPr="000756DF" w:rsidTr="000756DF">
        <w:tc>
          <w:tcPr>
            <w:tcW w:w="1898" w:type="pct"/>
            <w:tcBorders>
              <w:bottom w:val="nil"/>
            </w:tcBorders>
          </w:tcPr>
          <w:p w:rsidR="000756DF" w:rsidRPr="000756DF" w:rsidRDefault="000756DF" w:rsidP="00A60421">
            <w:pPr>
              <w:pStyle w:val="TableText0"/>
            </w:pPr>
            <w:r w:rsidRPr="00A60421">
              <w:rPr>
                <w:rStyle w:val="TableHeadingChar"/>
              </w:rPr>
              <w:t>Apn</w:t>
            </w:r>
            <w:r w:rsidR="00A60421" w:rsidRPr="00A60421">
              <w:rPr>
                <w:rStyle w:val="TableHeadingChar"/>
              </w:rPr>
              <w:t>o</w:t>
            </w:r>
            <w:r w:rsidRPr="00A60421">
              <w:rPr>
                <w:rStyle w:val="TableHeadingChar"/>
              </w:rPr>
              <w:t>ea and hypopnea</w:t>
            </w:r>
            <w:r w:rsidRPr="000756DF">
              <w:t xml:space="preserve"> (mean number of events/hour of sleep, based on a nocturnal polysomnogram) </w:t>
            </w:r>
          </w:p>
          <w:p w:rsidR="000756DF" w:rsidRPr="000756DF" w:rsidRDefault="000756DF" w:rsidP="00A60421">
            <w:pPr>
              <w:pStyle w:val="TableText0"/>
            </w:pPr>
            <w:r w:rsidRPr="000756DF">
              <w:t>Change from baseline to 26 weeks (mean)</w:t>
            </w:r>
          </w:p>
        </w:tc>
        <w:tc>
          <w:tcPr>
            <w:tcW w:w="1151" w:type="pct"/>
            <w:tcBorders>
              <w:bottom w:val="nil"/>
            </w:tcBorders>
          </w:tcPr>
          <w:p w:rsidR="000756DF" w:rsidRPr="000756DF" w:rsidRDefault="000756DF" w:rsidP="00DE28BF">
            <w:pPr>
              <w:pStyle w:val="TableText0"/>
            </w:pPr>
            <w:r w:rsidRPr="000756DF">
              <w:t>Decrease of 3.6 events per hour</w:t>
            </w:r>
          </w:p>
        </w:tc>
        <w:tc>
          <w:tcPr>
            <w:tcW w:w="1282" w:type="pct"/>
            <w:tcBorders>
              <w:bottom w:val="nil"/>
            </w:tcBorders>
          </w:tcPr>
          <w:p w:rsidR="000756DF" w:rsidRPr="000756DF" w:rsidRDefault="000756DF" w:rsidP="00DE28BF">
            <w:pPr>
              <w:pStyle w:val="TableText0"/>
            </w:pPr>
            <w:r w:rsidRPr="000756DF">
              <w:t>Not stated</w:t>
            </w:r>
          </w:p>
        </w:tc>
        <w:tc>
          <w:tcPr>
            <w:tcW w:w="668" w:type="pct"/>
            <w:tcBorders>
              <w:bottom w:val="nil"/>
            </w:tcBorders>
          </w:tcPr>
          <w:p w:rsidR="000756DF" w:rsidRPr="000756DF" w:rsidRDefault="000756DF" w:rsidP="00DE28BF">
            <w:pPr>
              <w:pStyle w:val="TableText0"/>
            </w:pPr>
            <w:r w:rsidRPr="000756DF">
              <w:t>p</w:t>
            </w:r>
            <w:r w:rsidR="00652355" w:rsidRPr="00652355">
              <w:rPr>
                <w:spacing w:val="-20"/>
              </w:rPr>
              <w:t xml:space="preserve"> = </w:t>
            </w:r>
            <w:r w:rsidRPr="000756DF">
              <w:t>0.145</w:t>
            </w:r>
          </w:p>
        </w:tc>
      </w:tr>
      <w:tr w:rsidR="000756DF" w:rsidRPr="000756DF" w:rsidTr="000756DF">
        <w:tc>
          <w:tcPr>
            <w:tcW w:w="1898" w:type="pct"/>
            <w:tcBorders>
              <w:top w:val="nil"/>
              <w:bottom w:val="single" w:sz="4" w:space="0" w:color="auto"/>
            </w:tcBorders>
          </w:tcPr>
          <w:p w:rsidR="000756DF" w:rsidRPr="000756DF" w:rsidRDefault="000756DF" w:rsidP="00DE28BF">
            <w:pPr>
              <w:pStyle w:val="TableText0"/>
            </w:pPr>
            <w:r w:rsidRPr="00A60421">
              <w:rPr>
                <w:i/>
              </w:rPr>
              <w:t>Post-hoc</w:t>
            </w:r>
            <w:r w:rsidRPr="000756DF">
              <w:t xml:space="preserve"> analysis of patients whose baseline AHI suggested sleep </w:t>
            </w:r>
            <w:r w:rsidR="001B4E29" w:rsidRPr="000756DF">
              <w:t>apnoea</w:t>
            </w:r>
          </w:p>
        </w:tc>
        <w:tc>
          <w:tcPr>
            <w:tcW w:w="1151" w:type="pct"/>
            <w:tcBorders>
              <w:top w:val="nil"/>
              <w:bottom w:val="single" w:sz="4" w:space="0" w:color="auto"/>
            </w:tcBorders>
          </w:tcPr>
          <w:p w:rsidR="000756DF" w:rsidRPr="000756DF" w:rsidRDefault="000756DF" w:rsidP="00DE28BF">
            <w:pPr>
              <w:pStyle w:val="TableText0"/>
            </w:pPr>
            <w:r w:rsidRPr="000756DF">
              <w:t>(n</w:t>
            </w:r>
            <w:r w:rsidR="00652355" w:rsidRPr="00652355">
              <w:rPr>
                <w:spacing w:val="-20"/>
              </w:rPr>
              <w:t xml:space="preserve"> = </w:t>
            </w:r>
            <w:r w:rsidRPr="000756DF">
              <w:t>10)</w:t>
            </w:r>
          </w:p>
          <w:p w:rsidR="000756DF" w:rsidRPr="000756DF" w:rsidRDefault="000756DF" w:rsidP="00DE28BF">
            <w:pPr>
              <w:pStyle w:val="TableText0"/>
            </w:pPr>
            <w:r w:rsidRPr="000756DF">
              <w:t>Mean decrease 6.0 events per hour of sleep</w:t>
            </w:r>
          </w:p>
        </w:tc>
        <w:tc>
          <w:tcPr>
            <w:tcW w:w="1282" w:type="pct"/>
            <w:tcBorders>
              <w:top w:val="nil"/>
              <w:bottom w:val="single" w:sz="4" w:space="0" w:color="auto"/>
            </w:tcBorders>
          </w:tcPr>
          <w:p w:rsidR="000756DF" w:rsidRPr="000756DF" w:rsidRDefault="000756DF" w:rsidP="00DE28BF">
            <w:pPr>
              <w:pStyle w:val="TableText0"/>
            </w:pPr>
            <w:r w:rsidRPr="000756DF">
              <w:t>(n</w:t>
            </w:r>
            <w:r w:rsidR="00652355" w:rsidRPr="00652355">
              <w:rPr>
                <w:spacing w:val="-20"/>
              </w:rPr>
              <w:t xml:space="preserve"> = </w:t>
            </w:r>
            <w:r w:rsidRPr="000756DF">
              <w:t>9)</w:t>
            </w:r>
          </w:p>
          <w:p w:rsidR="000756DF" w:rsidRPr="000756DF" w:rsidRDefault="000756DF" w:rsidP="00DE28BF">
            <w:pPr>
              <w:pStyle w:val="TableText0"/>
            </w:pPr>
            <w:r w:rsidRPr="000756DF">
              <w:t>Mean increase of 0.3 events per hour of sleep</w:t>
            </w:r>
          </w:p>
        </w:tc>
        <w:tc>
          <w:tcPr>
            <w:tcW w:w="668" w:type="pct"/>
            <w:tcBorders>
              <w:top w:val="nil"/>
              <w:bottom w:val="single" w:sz="4" w:space="0" w:color="auto"/>
            </w:tcBorders>
          </w:tcPr>
          <w:p w:rsidR="000756DF" w:rsidRPr="000756DF" w:rsidRDefault="000756DF" w:rsidP="000F0902">
            <w:pPr>
              <w:pStyle w:val="TableText0"/>
            </w:pPr>
            <w:r w:rsidRPr="000756DF">
              <w:t xml:space="preserve">11.4 events per hour treatment benefit </w:t>
            </w:r>
          </w:p>
          <w:p w:rsidR="000756DF" w:rsidRPr="000756DF" w:rsidRDefault="000756DF" w:rsidP="00DE28BF">
            <w:pPr>
              <w:pStyle w:val="TableText0"/>
              <w:rPr>
                <w:vertAlign w:val="superscript"/>
              </w:rPr>
            </w:pPr>
            <w:r w:rsidRPr="000756DF">
              <w:t>p</w:t>
            </w:r>
            <w:r w:rsidR="00652355" w:rsidRPr="00652355">
              <w:rPr>
                <w:spacing w:val="-20"/>
              </w:rPr>
              <w:t xml:space="preserve"> = </w:t>
            </w:r>
            <w:r w:rsidRPr="000756DF">
              <w:t>0.014</w:t>
            </w:r>
            <w:r w:rsidRPr="000756DF">
              <w:rPr>
                <w:vertAlign w:val="superscript"/>
              </w:rPr>
              <w:t>a</w:t>
            </w:r>
          </w:p>
        </w:tc>
      </w:tr>
      <w:tr w:rsidR="000756DF" w:rsidRPr="000756DF" w:rsidTr="000756DF">
        <w:tc>
          <w:tcPr>
            <w:tcW w:w="1898" w:type="pct"/>
            <w:tcBorders>
              <w:top w:val="single" w:sz="4" w:space="0" w:color="auto"/>
              <w:bottom w:val="nil"/>
            </w:tcBorders>
          </w:tcPr>
          <w:p w:rsidR="000756DF" w:rsidRPr="000756DF" w:rsidRDefault="000756DF" w:rsidP="00DE28BF">
            <w:pPr>
              <w:pStyle w:val="TableText0"/>
            </w:pPr>
            <w:r w:rsidRPr="00A60421">
              <w:rPr>
                <w:rStyle w:val="TableHeadingChar"/>
              </w:rPr>
              <w:t>Should</w:t>
            </w:r>
            <w:r w:rsidR="00A60421" w:rsidRPr="00A60421">
              <w:rPr>
                <w:rStyle w:val="TableHeadingChar"/>
              </w:rPr>
              <w:t>er</w:t>
            </w:r>
            <w:r w:rsidRPr="00A60421">
              <w:rPr>
                <w:rStyle w:val="TableHeadingChar"/>
              </w:rPr>
              <w:t xml:space="preserve"> flexion</w:t>
            </w:r>
            <w:r w:rsidRPr="000756DF">
              <w:t xml:space="preserve"> (mean of both shoulders)</w:t>
            </w:r>
          </w:p>
        </w:tc>
        <w:tc>
          <w:tcPr>
            <w:tcW w:w="1151" w:type="pct"/>
            <w:tcBorders>
              <w:top w:val="single" w:sz="4" w:space="0" w:color="auto"/>
              <w:bottom w:val="nil"/>
            </w:tcBorders>
          </w:tcPr>
          <w:p w:rsidR="000756DF" w:rsidRPr="000756DF" w:rsidRDefault="00A60421" w:rsidP="00DE28BF">
            <w:pPr>
              <w:pStyle w:val="TableText0"/>
            </w:pPr>
            <w:r>
              <w:t>NR</w:t>
            </w:r>
          </w:p>
        </w:tc>
        <w:tc>
          <w:tcPr>
            <w:tcW w:w="1282" w:type="pct"/>
            <w:tcBorders>
              <w:top w:val="single" w:sz="4" w:space="0" w:color="auto"/>
              <w:bottom w:val="nil"/>
            </w:tcBorders>
          </w:tcPr>
          <w:p w:rsidR="000756DF" w:rsidRPr="000756DF" w:rsidRDefault="00A60421" w:rsidP="00DE28BF">
            <w:pPr>
              <w:pStyle w:val="TableText0"/>
            </w:pPr>
            <w:r>
              <w:t>NR</w:t>
            </w:r>
          </w:p>
        </w:tc>
        <w:tc>
          <w:tcPr>
            <w:tcW w:w="668" w:type="pct"/>
            <w:tcBorders>
              <w:top w:val="single" w:sz="4" w:space="0" w:color="auto"/>
              <w:bottom w:val="nil"/>
            </w:tcBorders>
          </w:tcPr>
          <w:p w:rsidR="000756DF" w:rsidRPr="000756DF" w:rsidRDefault="00A60421" w:rsidP="00DE28BF">
            <w:pPr>
              <w:pStyle w:val="TableText0"/>
            </w:pPr>
            <w:r>
              <w:t>NS</w:t>
            </w:r>
          </w:p>
        </w:tc>
      </w:tr>
      <w:tr w:rsidR="000756DF" w:rsidRPr="000756DF" w:rsidTr="000756DF">
        <w:tc>
          <w:tcPr>
            <w:tcW w:w="1898" w:type="pct"/>
            <w:tcBorders>
              <w:top w:val="nil"/>
              <w:bottom w:val="single" w:sz="4" w:space="0" w:color="auto"/>
            </w:tcBorders>
          </w:tcPr>
          <w:p w:rsidR="000756DF" w:rsidRPr="000756DF" w:rsidRDefault="000756DF" w:rsidP="00A60421">
            <w:pPr>
              <w:pStyle w:val="TableText0"/>
            </w:pPr>
            <w:r w:rsidRPr="00A60421">
              <w:rPr>
                <w:i/>
              </w:rPr>
              <w:t>Post-hoc</w:t>
            </w:r>
            <w:r w:rsidRPr="000756DF">
              <w:t xml:space="preserve"> analysis of patients with baseline should flexion below median of 90.5”</w:t>
            </w:r>
          </w:p>
        </w:tc>
        <w:tc>
          <w:tcPr>
            <w:tcW w:w="1151" w:type="pct"/>
            <w:tcBorders>
              <w:top w:val="nil"/>
              <w:bottom w:val="single" w:sz="4" w:space="0" w:color="auto"/>
            </w:tcBorders>
          </w:tcPr>
          <w:p w:rsidR="000756DF" w:rsidRPr="000756DF" w:rsidRDefault="000756DF" w:rsidP="00DE28BF">
            <w:pPr>
              <w:pStyle w:val="TableText0"/>
            </w:pPr>
            <w:r w:rsidRPr="000756DF">
              <w:t>(n</w:t>
            </w:r>
            <w:r w:rsidR="00652355" w:rsidRPr="00652355">
              <w:rPr>
                <w:spacing w:val="-20"/>
              </w:rPr>
              <w:t xml:space="preserve"> = </w:t>
            </w:r>
            <w:r w:rsidRPr="000756DF">
              <w:t>7)</w:t>
            </w:r>
          </w:p>
          <w:p w:rsidR="000756DF" w:rsidRPr="000756DF" w:rsidRDefault="000756DF" w:rsidP="00DE28BF">
            <w:pPr>
              <w:pStyle w:val="TableText0"/>
            </w:pPr>
            <w:r w:rsidRPr="000756DF">
              <w:t>9.6”</w:t>
            </w:r>
          </w:p>
        </w:tc>
        <w:tc>
          <w:tcPr>
            <w:tcW w:w="1282" w:type="pct"/>
            <w:tcBorders>
              <w:top w:val="nil"/>
              <w:bottom w:val="single" w:sz="4" w:space="0" w:color="auto"/>
            </w:tcBorders>
          </w:tcPr>
          <w:p w:rsidR="000756DF" w:rsidRPr="000756DF" w:rsidRDefault="000756DF" w:rsidP="00DE28BF">
            <w:pPr>
              <w:pStyle w:val="TableText0"/>
            </w:pPr>
            <w:r w:rsidRPr="000756DF">
              <w:t>(n</w:t>
            </w:r>
            <w:r w:rsidR="00652355" w:rsidRPr="00652355">
              <w:rPr>
                <w:spacing w:val="-20"/>
              </w:rPr>
              <w:t xml:space="preserve"> = </w:t>
            </w:r>
            <w:r w:rsidRPr="000756DF">
              <w:t>12)</w:t>
            </w:r>
          </w:p>
          <w:p w:rsidR="000756DF" w:rsidRPr="000756DF" w:rsidRDefault="000756DF" w:rsidP="00DE28BF">
            <w:pPr>
              <w:pStyle w:val="TableText0"/>
            </w:pPr>
            <w:r w:rsidRPr="000756DF">
              <w:t>-4.8”</w:t>
            </w:r>
          </w:p>
        </w:tc>
        <w:tc>
          <w:tcPr>
            <w:tcW w:w="668" w:type="pct"/>
            <w:tcBorders>
              <w:top w:val="nil"/>
              <w:bottom w:val="single" w:sz="4" w:space="0" w:color="auto"/>
            </w:tcBorders>
          </w:tcPr>
          <w:p w:rsidR="000756DF" w:rsidRPr="000756DF" w:rsidRDefault="000756DF" w:rsidP="00DE28BF">
            <w:pPr>
              <w:pStyle w:val="TableText0"/>
            </w:pPr>
            <w:r w:rsidRPr="000756DF">
              <w:t>Trend towards significance</w:t>
            </w:r>
          </w:p>
        </w:tc>
      </w:tr>
      <w:tr w:rsidR="000756DF" w:rsidRPr="000756DF" w:rsidTr="000756DF">
        <w:tc>
          <w:tcPr>
            <w:tcW w:w="1898" w:type="pct"/>
            <w:tcBorders>
              <w:top w:val="single" w:sz="4" w:space="0" w:color="auto"/>
              <w:bottom w:val="nil"/>
            </w:tcBorders>
          </w:tcPr>
          <w:p w:rsidR="000756DF" w:rsidRPr="000756DF" w:rsidRDefault="000756DF" w:rsidP="00A60421">
            <w:pPr>
              <w:pStyle w:val="TableText0"/>
            </w:pPr>
            <w:r w:rsidRPr="00A60421">
              <w:rPr>
                <w:rStyle w:val="TableHeadingChar"/>
              </w:rPr>
              <w:t>Childhood Health Assessment Questionnaire</w:t>
            </w:r>
            <w:r w:rsidRPr="000756DF">
              <w:t xml:space="preserve"> (≤18 years), </w:t>
            </w:r>
            <w:r w:rsidRPr="00A60421">
              <w:rPr>
                <w:rStyle w:val="TableHeadingChar"/>
              </w:rPr>
              <w:t>or Health Assessment Questionnaire</w:t>
            </w:r>
            <w:r w:rsidRPr="000756DF">
              <w:t xml:space="preserve"> (&gt;18 years)</w:t>
            </w:r>
          </w:p>
        </w:tc>
        <w:tc>
          <w:tcPr>
            <w:tcW w:w="1151" w:type="pct"/>
            <w:tcBorders>
              <w:top w:val="single" w:sz="4" w:space="0" w:color="auto"/>
              <w:bottom w:val="nil"/>
            </w:tcBorders>
          </w:tcPr>
          <w:p w:rsidR="000756DF" w:rsidRPr="000756DF" w:rsidRDefault="000756DF" w:rsidP="00DE28BF">
            <w:pPr>
              <w:pStyle w:val="TableText0"/>
            </w:pPr>
          </w:p>
        </w:tc>
        <w:tc>
          <w:tcPr>
            <w:tcW w:w="1282" w:type="pct"/>
            <w:tcBorders>
              <w:top w:val="single" w:sz="4" w:space="0" w:color="auto"/>
              <w:bottom w:val="nil"/>
            </w:tcBorders>
          </w:tcPr>
          <w:p w:rsidR="000756DF" w:rsidRPr="000756DF" w:rsidRDefault="000756DF" w:rsidP="00DE28BF">
            <w:pPr>
              <w:pStyle w:val="TableText0"/>
            </w:pPr>
          </w:p>
        </w:tc>
        <w:tc>
          <w:tcPr>
            <w:tcW w:w="668" w:type="pct"/>
            <w:tcBorders>
              <w:top w:val="single" w:sz="4" w:space="0" w:color="auto"/>
              <w:bottom w:val="nil"/>
            </w:tcBorders>
          </w:tcPr>
          <w:p w:rsidR="000756DF" w:rsidRPr="000756DF" w:rsidRDefault="000756DF" w:rsidP="00DE28BF">
            <w:pPr>
              <w:pStyle w:val="TableText0"/>
            </w:pPr>
          </w:p>
        </w:tc>
      </w:tr>
      <w:tr w:rsidR="000756DF" w:rsidRPr="000756DF" w:rsidTr="000756DF">
        <w:tc>
          <w:tcPr>
            <w:tcW w:w="1898" w:type="pct"/>
            <w:tcBorders>
              <w:top w:val="nil"/>
              <w:bottom w:val="nil"/>
            </w:tcBorders>
          </w:tcPr>
          <w:p w:rsidR="000756DF" w:rsidRPr="000756DF" w:rsidRDefault="000756DF" w:rsidP="00DE28BF">
            <w:pPr>
              <w:pStyle w:val="TableText0"/>
            </w:pPr>
            <w:r w:rsidRPr="000756DF">
              <w:tab/>
              <w:t>Baseline</w:t>
            </w:r>
          </w:p>
        </w:tc>
        <w:tc>
          <w:tcPr>
            <w:tcW w:w="1151" w:type="pct"/>
            <w:tcBorders>
              <w:top w:val="nil"/>
              <w:bottom w:val="nil"/>
            </w:tcBorders>
          </w:tcPr>
          <w:p w:rsidR="000756DF" w:rsidRPr="000756DF" w:rsidRDefault="000756DF" w:rsidP="00DE28BF">
            <w:pPr>
              <w:pStyle w:val="TableText0"/>
            </w:pPr>
            <w:r w:rsidRPr="000756DF">
              <w:t>2.0</w:t>
            </w:r>
          </w:p>
        </w:tc>
        <w:tc>
          <w:tcPr>
            <w:tcW w:w="1282" w:type="pct"/>
            <w:tcBorders>
              <w:top w:val="nil"/>
              <w:bottom w:val="nil"/>
            </w:tcBorders>
          </w:tcPr>
          <w:p w:rsidR="000756DF" w:rsidRPr="000756DF" w:rsidRDefault="000756DF" w:rsidP="00DE28BF">
            <w:pPr>
              <w:pStyle w:val="TableText0"/>
            </w:pPr>
            <w:r w:rsidRPr="000756DF">
              <w:t>1.9</w:t>
            </w:r>
          </w:p>
        </w:tc>
        <w:tc>
          <w:tcPr>
            <w:tcW w:w="668" w:type="pct"/>
            <w:tcBorders>
              <w:top w:val="nil"/>
              <w:bottom w:val="nil"/>
            </w:tcBorders>
          </w:tcPr>
          <w:p w:rsidR="000756DF" w:rsidRPr="000756DF" w:rsidRDefault="000756DF" w:rsidP="00DE28BF">
            <w:pPr>
              <w:pStyle w:val="TableText0"/>
            </w:pPr>
          </w:p>
        </w:tc>
      </w:tr>
      <w:tr w:rsidR="000756DF" w:rsidRPr="000756DF" w:rsidTr="000756DF">
        <w:tc>
          <w:tcPr>
            <w:tcW w:w="1898" w:type="pct"/>
            <w:tcBorders>
              <w:top w:val="nil"/>
            </w:tcBorders>
          </w:tcPr>
          <w:p w:rsidR="000756DF" w:rsidRPr="000756DF" w:rsidRDefault="000756DF" w:rsidP="00DE28BF">
            <w:pPr>
              <w:pStyle w:val="TableText0"/>
            </w:pPr>
            <w:r w:rsidRPr="000756DF">
              <w:tab/>
              <w:t>Changes</w:t>
            </w:r>
          </w:p>
        </w:tc>
        <w:tc>
          <w:tcPr>
            <w:tcW w:w="1151" w:type="pct"/>
            <w:tcBorders>
              <w:top w:val="nil"/>
            </w:tcBorders>
          </w:tcPr>
          <w:p w:rsidR="000756DF" w:rsidRPr="000756DF" w:rsidRDefault="00A60421" w:rsidP="00DE28BF">
            <w:pPr>
              <w:pStyle w:val="TableText0"/>
            </w:pPr>
            <w:r>
              <w:t>NR</w:t>
            </w:r>
          </w:p>
        </w:tc>
        <w:tc>
          <w:tcPr>
            <w:tcW w:w="1282" w:type="pct"/>
            <w:tcBorders>
              <w:top w:val="nil"/>
            </w:tcBorders>
          </w:tcPr>
          <w:p w:rsidR="000756DF" w:rsidRPr="000756DF" w:rsidRDefault="00A60421" w:rsidP="00DE28BF">
            <w:pPr>
              <w:pStyle w:val="TableText0"/>
            </w:pPr>
            <w:r>
              <w:t>NR</w:t>
            </w:r>
          </w:p>
        </w:tc>
        <w:tc>
          <w:tcPr>
            <w:tcW w:w="668" w:type="pct"/>
            <w:tcBorders>
              <w:top w:val="nil"/>
            </w:tcBorders>
          </w:tcPr>
          <w:p w:rsidR="000756DF" w:rsidRPr="000756DF" w:rsidRDefault="000756DF" w:rsidP="00DE28BF">
            <w:pPr>
              <w:pStyle w:val="TableText0"/>
            </w:pPr>
            <w:r w:rsidRPr="000756DF">
              <w:t>NS</w:t>
            </w:r>
          </w:p>
        </w:tc>
      </w:tr>
    </w:tbl>
    <w:p w:rsidR="000756DF" w:rsidRPr="000756DF" w:rsidRDefault="000756DF" w:rsidP="00BF727B">
      <w:pPr>
        <w:pStyle w:val="TableNote"/>
        <w:ind w:left="0" w:firstLine="0"/>
      </w:pPr>
      <w:proofErr w:type="gramStart"/>
      <w:r w:rsidRPr="000756DF">
        <w:rPr>
          <w:vertAlign w:val="superscript"/>
        </w:rPr>
        <w:t>a</w:t>
      </w:r>
      <w:proofErr w:type="gramEnd"/>
      <w:r w:rsidR="00BF727B">
        <w:rPr>
          <w:vertAlign w:val="superscript"/>
        </w:rPr>
        <w:t xml:space="preserve"> </w:t>
      </w:r>
      <w:r w:rsidRPr="000756DF">
        <w:t>ANOVA model of between-group differen</w:t>
      </w:r>
      <w:r w:rsidR="00A60421">
        <w:t xml:space="preserve">ces in adjusted mean change; </w:t>
      </w:r>
      <w:r w:rsidR="001B4E29">
        <w:t xml:space="preserve">NR </w:t>
      </w:r>
      <w:r w:rsidR="001B4E29" w:rsidRPr="00652355">
        <w:rPr>
          <w:spacing w:val="-20"/>
        </w:rPr>
        <w:t xml:space="preserve">= </w:t>
      </w:r>
      <w:r w:rsidR="001B4E29">
        <w:t>not</w:t>
      </w:r>
      <w:r w:rsidR="00A60421">
        <w:t xml:space="preserve"> reported; </w:t>
      </w:r>
      <w:r w:rsidR="001B4E29">
        <w:t xml:space="preserve">NS </w:t>
      </w:r>
      <w:r w:rsidR="001B4E29" w:rsidRPr="00652355">
        <w:rPr>
          <w:spacing w:val="-20"/>
        </w:rPr>
        <w:t xml:space="preserve">= </w:t>
      </w:r>
      <w:r w:rsidR="001B4E29">
        <w:t>not</w:t>
      </w:r>
      <w:r w:rsidR="00A60421">
        <w:t xml:space="preserve"> significant; </w:t>
      </w:r>
      <w:r w:rsidR="001B4E29">
        <w:t xml:space="preserve">AHI </w:t>
      </w:r>
      <w:r w:rsidR="001B4E29" w:rsidRPr="00652355">
        <w:rPr>
          <w:spacing w:val="-20"/>
        </w:rPr>
        <w:t xml:space="preserve">= </w:t>
      </w:r>
      <w:r w:rsidR="001B4E29">
        <w:t>apnoea</w:t>
      </w:r>
      <w:r w:rsidR="00A60421">
        <w:t>/hypopnea index</w:t>
      </w:r>
    </w:p>
    <w:p w:rsidR="000756DF" w:rsidRPr="000756DF" w:rsidRDefault="000756DF" w:rsidP="002F6AE6">
      <w:pPr>
        <w:pStyle w:val="TableNote"/>
        <w:spacing w:after="480"/>
      </w:pPr>
      <w:r w:rsidRPr="000756DF">
        <w:t>CQAQ/HAQ scale 0 to 3, with 3 being most disabled</w:t>
      </w:r>
    </w:p>
    <w:p w:rsidR="00A60421" w:rsidRPr="000756DF" w:rsidRDefault="00A60421" w:rsidP="00A60421">
      <w:r w:rsidRPr="000756DF">
        <w:t xml:space="preserve">Overall, adverse events reported were considered to be related to the disease, more than the treatment. The rates of adverse events were similar between </w:t>
      </w:r>
      <w:r>
        <w:t xml:space="preserve">patients receiving </w:t>
      </w:r>
      <w:r w:rsidRPr="000756DF">
        <w:t xml:space="preserve">laronidase </w:t>
      </w:r>
      <w:r>
        <w:t>or</w:t>
      </w:r>
      <w:r w:rsidRPr="000756DF">
        <w:t xml:space="preserve"> placebo (</w:t>
      </w:r>
      <w:r w:rsidR="00A72B26" w:rsidRPr="00716774">
        <w:t xml:space="preserve">Table </w:t>
      </w:r>
      <w:r w:rsidR="00A72B26">
        <w:rPr>
          <w:noProof/>
        </w:rPr>
        <w:t>97</w:t>
      </w:r>
      <w:r w:rsidRPr="000756DF">
        <w:t>).</w:t>
      </w:r>
      <w:r w:rsidRPr="00E2306F">
        <w:t xml:space="preserve"> </w:t>
      </w:r>
      <w:r w:rsidRPr="000756DF">
        <w:t xml:space="preserve">Compliance </w:t>
      </w:r>
      <w:r>
        <w:t xml:space="preserve">with treatment </w:t>
      </w:r>
      <w:r w:rsidRPr="000756DF">
        <w:t>was equivalent between the two groups (</w:t>
      </w:r>
      <w:r w:rsidR="00A72B26" w:rsidRPr="00716774">
        <w:t xml:space="preserve">Table </w:t>
      </w:r>
      <w:r w:rsidR="00A72B26">
        <w:rPr>
          <w:noProof/>
        </w:rPr>
        <w:t>98</w:t>
      </w:r>
      <w:r w:rsidRPr="000756DF">
        <w:t>).</w:t>
      </w:r>
    </w:p>
    <w:p w:rsidR="00A60421" w:rsidRPr="000756DF" w:rsidRDefault="00A60421" w:rsidP="00A60421"/>
    <w:p w:rsidR="00A60421" w:rsidRPr="00716774" w:rsidRDefault="00A60421" w:rsidP="00A60421">
      <w:pPr>
        <w:pStyle w:val="Caption"/>
        <w:keepNext/>
        <w:tabs>
          <w:tab w:val="clear" w:pos="851"/>
          <w:tab w:val="left" w:pos="1134"/>
        </w:tabs>
        <w:ind w:left="1134" w:hanging="1134"/>
      </w:pPr>
      <w:bookmarkStart w:id="380" w:name="_Ref403374851"/>
      <w:bookmarkStart w:id="381" w:name="_Toc411510463"/>
      <w:bookmarkStart w:id="382" w:name="_Toc415141894"/>
      <w:r w:rsidRPr="00716774">
        <w:lastRenderedPageBreak/>
        <w:t xml:space="preserve">Table </w:t>
      </w:r>
      <w:r w:rsidR="00A72B26">
        <w:rPr>
          <w:noProof/>
        </w:rPr>
        <w:t>97</w:t>
      </w:r>
      <w:bookmarkEnd w:id="380"/>
      <w:r w:rsidRPr="00716774">
        <w:tab/>
        <w:t xml:space="preserve">Infusion-related reactions to laronidase </w:t>
      </w:r>
      <w:r>
        <w:t>or</w:t>
      </w:r>
      <w:r w:rsidRPr="00716774">
        <w:t xml:space="preserve"> placebo</w:t>
      </w:r>
      <w:bookmarkEnd w:id="381"/>
      <w:bookmarkEnd w:id="382"/>
    </w:p>
    <w:tbl>
      <w:tblPr>
        <w:tblStyle w:val="TableGrid"/>
        <w:tblW w:w="5000" w:type="pct"/>
        <w:tblLook w:val="04A0" w:firstRow="1" w:lastRow="0" w:firstColumn="1" w:lastColumn="0" w:noHBand="0" w:noVBand="1"/>
        <w:tblCaption w:val="Table 65 Infusion-related reactions to laronidase or placebo"/>
      </w:tblPr>
      <w:tblGrid>
        <w:gridCol w:w="3250"/>
        <w:gridCol w:w="1702"/>
        <w:gridCol w:w="1275"/>
        <w:gridCol w:w="1701"/>
        <w:gridCol w:w="1314"/>
      </w:tblGrid>
      <w:tr w:rsidR="00DA3CB3" w:rsidRPr="000756DF" w:rsidTr="00DA3CB3">
        <w:trPr>
          <w:tblHeader/>
        </w:trPr>
        <w:tc>
          <w:tcPr>
            <w:tcW w:w="1758" w:type="pct"/>
          </w:tcPr>
          <w:p w:rsidR="00DA3CB3" w:rsidRPr="00DA3CB3" w:rsidRDefault="00DA3CB3" w:rsidP="00DA3CB3">
            <w:pPr>
              <w:pStyle w:val="TableHeading"/>
            </w:pPr>
            <w:r w:rsidRPr="00DA3CB3">
              <w:t>Infusion-related reaction</w:t>
            </w:r>
          </w:p>
        </w:tc>
        <w:tc>
          <w:tcPr>
            <w:tcW w:w="921" w:type="pct"/>
            <w:tcBorders>
              <w:right w:val="single" w:sz="4" w:space="0" w:color="auto"/>
            </w:tcBorders>
          </w:tcPr>
          <w:p w:rsidR="00DA3CB3" w:rsidRPr="00DA3CB3" w:rsidRDefault="00DA3CB3" w:rsidP="00DA3CB3">
            <w:pPr>
              <w:pStyle w:val="TableHeading"/>
            </w:pPr>
            <w:r w:rsidRPr="00DA3CB3">
              <w:t>Laronidase (N</w:t>
            </w:r>
            <w:r w:rsidRPr="00DA3CB3">
              <w:rPr>
                <w:spacing w:val="-20"/>
              </w:rPr>
              <w:t xml:space="preserve"> = </w:t>
            </w:r>
            <w:r w:rsidRPr="00DA3CB3">
              <w:t>22)</w:t>
            </w:r>
          </w:p>
          <w:p w:rsidR="00DA3CB3" w:rsidRPr="00DA3CB3" w:rsidRDefault="00DA3CB3" w:rsidP="00DA3CB3">
            <w:pPr>
              <w:pStyle w:val="TableHeading"/>
            </w:pPr>
            <w:r w:rsidRPr="00DA3CB3">
              <w:t>No. of patients (%)</w:t>
            </w:r>
          </w:p>
        </w:tc>
        <w:tc>
          <w:tcPr>
            <w:tcW w:w="690" w:type="pct"/>
            <w:tcBorders>
              <w:left w:val="single" w:sz="4" w:space="0" w:color="auto"/>
            </w:tcBorders>
          </w:tcPr>
          <w:p w:rsidR="00DA3CB3" w:rsidRPr="00DA3CB3" w:rsidRDefault="00DA3CB3" w:rsidP="00DA3CB3">
            <w:pPr>
              <w:pStyle w:val="TableHeading"/>
            </w:pPr>
            <w:r w:rsidRPr="00DA3CB3">
              <w:t>Laronidase</w:t>
            </w:r>
          </w:p>
          <w:p w:rsidR="00DA3CB3" w:rsidRPr="00DA3CB3" w:rsidRDefault="00DA3CB3" w:rsidP="00DA3CB3">
            <w:pPr>
              <w:pStyle w:val="TableHeading"/>
            </w:pPr>
            <w:r w:rsidRPr="00DA3CB3">
              <w:t>No. of events</w:t>
            </w:r>
          </w:p>
        </w:tc>
        <w:tc>
          <w:tcPr>
            <w:tcW w:w="920" w:type="pct"/>
            <w:tcBorders>
              <w:right w:val="single" w:sz="4" w:space="0" w:color="auto"/>
            </w:tcBorders>
          </w:tcPr>
          <w:p w:rsidR="00DA3CB3" w:rsidRPr="00DA3CB3" w:rsidRDefault="00DA3CB3" w:rsidP="00DA3CB3">
            <w:pPr>
              <w:pStyle w:val="TableHeading"/>
            </w:pPr>
            <w:r w:rsidRPr="00DA3CB3">
              <w:t>Placebo (N</w:t>
            </w:r>
            <w:r w:rsidRPr="00DA3CB3">
              <w:rPr>
                <w:spacing w:val="-20"/>
              </w:rPr>
              <w:t xml:space="preserve"> = </w:t>
            </w:r>
            <w:r w:rsidRPr="00DA3CB3">
              <w:t>23)</w:t>
            </w:r>
          </w:p>
          <w:p w:rsidR="00DA3CB3" w:rsidRPr="00DA3CB3" w:rsidRDefault="00DA3CB3" w:rsidP="00DA3CB3">
            <w:pPr>
              <w:pStyle w:val="TableHeading"/>
            </w:pPr>
            <w:r w:rsidRPr="00DA3CB3">
              <w:t>No. of patients (%)</w:t>
            </w:r>
          </w:p>
        </w:tc>
        <w:tc>
          <w:tcPr>
            <w:tcW w:w="711" w:type="pct"/>
            <w:tcBorders>
              <w:left w:val="single" w:sz="4" w:space="0" w:color="auto"/>
            </w:tcBorders>
          </w:tcPr>
          <w:p w:rsidR="00DA3CB3" w:rsidRPr="00DA3CB3" w:rsidRDefault="00DA3CB3" w:rsidP="00DA3CB3">
            <w:pPr>
              <w:pStyle w:val="TableHeading"/>
            </w:pPr>
            <w:r w:rsidRPr="00DA3CB3">
              <w:t>Placebo</w:t>
            </w:r>
          </w:p>
          <w:p w:rsidR="00DA3CB3" w:rsidRPr="00DA3CB3" w:rsidRDefault="00DA3CB3" w:rsidP="00DA3CB3">
            <w:pPr>
              <w:pStyle w:val="TableHeading"/>
            </w:pPr>
            <w:r w:rsidRPr="00DA3CB3">
              <w:t>No. of events</w:t>
            </w:r>
          </w:p>
        </w:tc>
      </w:tr>
      <w:tr w:rsidR="00DA3CB3" w:rsidRPr="000756DF" w:rsidTr="009A0365">
        <w:tc>
          <w:tcPr>
            <w:tcW w:w="1758" w:type="pct"/>
          </w:tcPr>
          <w:p w:rsidR="00DA3CB3" w:rsidRPr="000756DF" w:rsidRDefault="00DA3CB3" w:rsidP="00A60421">
            <w:pPr>
              <w:pStyle w:val="TableText0"/>
            </w:pPr>
            <w:r w:rsidRPr="000756DF">
              <w:t>Any infusion-related reaction</w:t>
            </w:r>
          </w:p>
        </w:tc>
        <w:tc>
          <w:tcPr>
            <w:tcW w:w="921" w:type="pct"/>
            <w:tcBorders>
              <w:right w:val="single" w:sz="4" w:space="0" w:color="auto"/>
            </w:tcBorders>
          </w:tcPr>
          <w:p w:rsidR="00DA3CB3" w:rsidRPr="000756DF" w:rsidRDefault="00DA3CB3" w:rsidP="00A60421">
            <w:pPr>
              <w:pStyle w:val="TableText0"/>
              <w:jc w:val="center"/>
            </w:pPr>
            <w:r w:rsidRPr="000756DF">
              <w:t>7 (32)</w:t>
            </w:r>
          </w:p>
        </w:tc>
        <w:tc>
          <w:tcPr>
            <w:tcW w:w="690" w:type="pct"/>
            <w:tcBorders>
              <w:left w:val="single" w:sz="4" w:space="0" w:color="auto"/>
            </w:tcBorders>
          </w:tcPr>
          <w:p w:rsidR="00DA3CB3" w:rsidRPr="000756DF" w:rsidRDefault="00DA3CB3" w:rsidP="00A60421">
            <w:pPr>
              <w:pStyle w:val="TableText0"/>
              <w:jc w:val="center"/>
            </w:pPr>
            <w:r w:rsidRPr="000756DF">
              <w:t>66</w:t>
            </w:r>
          </w:p>
        </w:tc>
        <w:tc>
          <w:tcPr>
            <w:tcW w:w="920" w:type="pct"/>
            <w:tcBorders>
              <w:right w:val="single" w:sz="4" w:space="0" w:color="auto"/>
            </w:tcBorders>
          </w:tcPr>
          <w:p w:rsidR="00DA3CB3" w:rsidRPr="000756DF" w:rsidRDefault="00DA3CB3" w:rsidP="00A60421">
            <w:pPr>
              <w:pStyle w:val="TableText0"/>
              <w:jc w:val="center"/>
            </w:pPr>
            <w:r w:rsidRPr="000756DF">
              <w:t>11 (48)</w:t>
            </w:r>
          </w:p>
        </w:tc>
        <w:tc>
          <w:tcPr>
            <w:tcW w:w="711" w:type="pct"/>
            <w:tcBorders>
              <w:left w:val="single" w:sz="4" w:space="0" w:color="auto"/>
            </w:tcBorders>
          </w:tcPr>
          <w:p w:rsidR="00DA3CB3" w:rsidRPr="000756DF" w:rsidRDefault="00DA3CB3" w:rsidP="00A60421">
            <w:pPr>
              <w:pStyle w:val="TableText0"/>
              <w:jc w:val="center"/>
            </w:pPr>
            <w:r w:rsidRPr="000756DF">
              <w:t>82</w:t>
            </w:r>
          </w:p>
        </w:tc>
      </w:tr>
      <w:tr w:rsidR="00DA3CB3" w:rsidRPr="000756DF" w:rsidTr="009A0365">
        <w:tc>
          <w:tcPr>
            <w:tcW w:w="1758" w:type="pct"/>
          </w:tcPr>
          <w:p w:rsidR="00DA3CB3" w:rsidRPr="000756DF" w:rsidRDefault="00DA3CB3" w:rsidP="00A60421">
            <w:pPr>
              <w:pStyle w:val="TableText0"/>
            </w:pPr>
            <w:r w:rsidRPr="000756DF">
              <w:t>Flushing</w:t>
            </w:r>
          </w:p>
        </w:tc>
        <w:tc>
          <w:tcPr>
            <w:tcW w:w="921" w:type="pct"/>
            <w:tcBorders>
              <w:right w:val="single" w:sz="4" w:space="0" w:color="auto"/>
            </w:tcBorders>
          </w:tcPr>
          <w:p w:rsidR="00DA3CB3" w:rsidRPr="000756DF" w:rsidRDefault="00DA3CB3" w:rsidP="00A60421">
            <w:pPr>
              <w:pStyle w:val="TableText0"/>
              <w:jc w:val="center"/>
            </w:pPr>
            <w:r w:rsidRPr="000756DF">
              <w:t>5 (23)</w:t>
            </w:r>
          </w:p>
        </w:tc>
        <w:tc>
          <w:tcPr>
            <w:tcW w:w="690" w:type="pct"/>
            <w:tcBorders>
              <w:left w:val="single" w:sz="4" w:space="0" w:color="auto"/>
            </w:tcBorders>
          </w:tcPr>
          <w:p w:rsidR="00DA3CB3" w:rsidRPr="000756DF" w:rsidRDefault="00DA3CB3" w:rsidP="00A60421">
            <w:pPr>
              <w:pStyle w:val="TableText0"/>
              <w:jc w:val="center"/>
            </w:pPr>
            <w:r w:rsidRPr="000756DF">
              <w:t>48</w:t>
            </w:r>
          </w:p>
        </w:tc>
        <w:tc>
          <w:tcPr>
            <w:tcW w:w="920" w:type="pct"/>
            <w:tcBorders>
              <w:right w:val="single" w:sz="4" w:space="0" w:color="auto"/>
            </w:tcBorders>
          </w:tcPr>
          <w:p w:rsidR="00DA3CB3" w:rsidRPr="000756DF" w:rsidRDefault="00DA3CB3" w:rsidP="00A60421">
            <w:pPr>
              <w:pStyle w:val="TableText0"/>
              <w:jc w:val="center"/>
            </w:pPr>
            <w:r w:rsidRPr="000756DF">
              <w:t>4 (17)</w:t>
            </w:r>
          </w:p>
        </w:tc>
        <w:tc>
          <w:tcPr>
            <w:tcW w:w="711" w:type="pct"/>
            <w:tcBorders>
              <w:left w:val="single" w:sz="4" w:space="0" w:color="auto"/>
            </w:tcBorders>
          </w:tcPr>
          <w:p w:rsidR="00DA3CB3" w:rsidRPr="000756DF" w:rsidRDefault="00DA3CB3" w:rsidP="00A60421">
            <w:pPr>
              <w:pStyle w:val="TableText0"/>
              <w:jc w:val="center"/>
            </w:pPr>
            <w:r w:rsidRPr="000756DF">
              <w:t>47</w:t>
            </w:r>
          </w:p>
        </w:tc>
      </w:tr>
      <w:tr w:rsidR="00DA3CB3" w:rsidRPr="000756DF" w:rsidTr="009A0365">
        <w:tc>
          <w:tcPr>
            <w:tcW w:w="1758" w:type="pct"/>
          </w:tcPr>
          <w:p w:rsidR="00DA3CB3" w:rsidRPr="000756DF" w:rsidRDefault="00DA3CB3" w:rsidP="00A60421">
            <w:pPr>
              <w:pStyle w:val="TableText0"/>
            </w:pPr>
            <w:r w:rsidRPr="000756DF">
              <w:t>Fever</w:t>
            </w:r>
          </w:p>
        </w:tc>
        <w:tc>
          <w:tcPr>
            <w:tcW w:w="921" w:type="pct"/>
            <w:tcBorders>
              <w:right w:val="single" w:sz="4" w:space="0" w:color="auto"/>
            </w:tcBorders>
          </w:tcPr>
          <w:p w:rsidR="00DA3CB3" w:rsidRPr="000756DF" w:rsidRDefault="00DA3CB3" w:rsidP="00A60421">
            <w:pPr>
              <w:pStyle w:val="TableText0"/>
              <w:jc w:val="center"/>
            </w:pPr>
            <w:r w:rsidRPr="000756DF">
              <w:t>1 (5)</w:t>
            </w:r>
          </w:p>
        </w:tc>
        <w:tc>
          <w:tcPr>
            <w:tcW w:w="690" w:type="pct"/>
            <w:tcBorders>
              <w:left w:val="single" w:sz="4" w:space="0" w:color="auto"/>
            </w:tcBorders>
          </w:tcPr>
          <w:p w:rsidR="00DA3CB3" w:rsidRPr="000756DF" w:rsidRDefault="00DA3CB3" w:rsidP="00A60421">
            <w:pPr>
              <w:pStyle w:val="TableText0"/>
              <w:jc w:val="center"/>
            </w:pPr>
            <w:r w:rsidRPr="000756DF">
              <w:t>1</w:t>
            </w:r>
          </w:p>
        </w:tc>
        <w:tc>
          <w:tcPr>
            <w:tcW w:w="920" w:type="pct"/>
            <w:tcBorders>
              <w:right w:val="single" w:sz="4" w:space="0" w:color="auto"/>
            </w:tcBorders>
          </w:tcPr>
          <w:p w:rsidR="00DA3CB3" w:rsidRPr="000756DF" w:rsidRDefault="00DA3CB3" w:rsidP="00A60421">
            <w:pPr>
              <w:pStyle w:val="TableText0"/>
              <w:jc w:val="center"/>
            </w:pPr>
            <w:r w:rsidRPr="000756DF">
              <w:t>3 (13)</w:t>
            </w:r>
          </w:p>
        </w:tc>
        <w:tc>
          <w:tcPr>
            <w:tcW w:w="711" w:type="pct"/>
            <w:tcBorders>
              <w:left w:val="single" w:sz="4" w:space="0" w:color="auto"/>
            </w:tcBorders>
          </w:tcPr>
          <w:p w:rsidR="00DA3CB3" w:rsidRPr="000756DF" w:rsidRDefault="00DA3CB3" w:rsidP="00A60421">
            <w:pPr>
              <w:pStyle w:val="TableText0"/>
              <w:jc w:val="center"/>
            </w:pPr>
            <w:r w:rsidRPr="000756DF">
              <w:t>8</w:t>
            </w:r>
          </w:p>
        </w:tc>
      </w:tr>
      <w:tr w:rsidR="00DA3CB3" w:rsidRPr="000756DF" w:rsidTr="009A0365">
        <w:tc>
          <w:tcPr>
            <w:tcW w:w="1758" w:type="pct"/>
          </w:tcPr>
          <w:p w:rsidR="00DA3CB3" w:rsidRPr="000756DF" w:rsidRDefault="00DA3CB3" w:rsidP="00A60421">
            <w:pPr>
              <w:pStyle w:val="TableText0"/>
            </w:pPr>
            <w:r w:rsidRPr="000756DF">
              <w:t>Headache</w:t>
            </w:r>
          </w:p>
        </w:tc>
        <w:tc>
          <w:tcPr>
            <w:tcW w:w="921" w:type="pct"/>
            <w:tcBorders>
              <w:right w:val="single" w:sz="4" w:space="0" w:color="auto"/>
            </w:tcBorders>
          </w:tcPr>
          <w:p w:rsidR="00DA3CB3" w:rsidRPr="000756DF" w:rsidRDefault="00DA3CB3" w:rsidP="00A60421">
            <w:pPr>
              <w:pStyle w:val="TableText0"/>
              <w:jc w:val="center"/>
            </w:pPr>
            <w:r w:rsidRPr="000756DF">
              <w:t>2 (9)</w:t>
            </w:r>
          </w:p>
        </w:tc>
        <w:tc>
          <w:tcPr>
            <w:tcW w:w="690" w:type="pct"/>
            <w:tcBorders>
              <w:left w:val="single" w:sz="4" w:space="0" w:color="auto"/>
            </w:tcBorders>
          </w:tcPr>
          <w:p w:rsidR="00DA3CB3" w:rsidRPr="000756DF" w:rsidRDefault="00DA3CB3" w:rsidP="00A60421">
            <w:pPr>
              <w:pStyle w:val="TableText0"/>
              <w:jc w:val="center"/>
            </w:pPr>
            <w:r w:rsidRPr="000756DF">
              <w:t>4</w:t>
            </w:r>
          </w:p>
        </w:tc>
        <w:tc>
          <w:tcPr>
            <w:tcW w:w="920" w:type="pct"/>
            <w:tcBorders>
              <w:right w:val="single" w:sz="4" w:space="0" w:color="auto"/>
            </w:tcBorders>
          </w:tcPr>
          <w:p w:rsidR="00DA3CB3" w:rsidRPr="000756DF" w:rsidRDefault="00DA3CB3" w:rsidP="00A60421">
            <w:pPr>
              <w:pStyle w:val="TableText0"/>
              <w:jc w:val="center"/>
            </w:pPr>
            <w:r w:rsidRPr="000756DF">
              <w:t>2 (9)</w:t>
            </w:r>
          </w:p>
        </w:tc>
        <w:tc>
          <w:tcPr>
            <w:tcW w:w="711" w:type="pct"/>
            <w:tcBorders>
              <w:left w:val="single" w:sz="4" w:space="0" w:color="auto"/>
            </w:tcBorders>
          </w:tcPr>
          <w:p w:rsidR="00DA3CB3" w:rsidRPr="000756DF" w:rsidRDefault="00DA3CB3" w:rsidP="00A60421">
            <w:pPr>
              <w:pStyle w:val="TableText0"/>
              <w:jc w:val="center"/>
            </w:pPr>
            <w:r w:rsidRPr="000756DF">
              <w:t>3</w:t>
            </w:r>
          </w:p>
        </w:tc>
      </w:tr>
      <w:tr w:rsidR="00DA3CB3" w:rsidRPr="000756DF" w:rsidTr="009A0365">
        <w:tc>
          <w:tcPr>
            <w:tcW w:w="1758" w:type="pct"/>
          </w:tcPr>
          <w:p w:rsidR="00DA3CB3" w:rsidRPr="000756DF" w:rsidRDefault="00DA3CB3" w:rsidP="00A60421">
            <w:pPr>
              <w:pStyle w:val="TableText0"/>
            </w:pPr>
            <w:r w:rsidRPr="000756DF">
              <w:t>Rash</w:t>
            </w:r>
          </w:p>
        </w:tc>
        <w:tc>
          <w:tcPr>
            <w:tcW w:w="921" w:type="pct"/>
            <w:tcBorders>
              <w:right w:val="single" w:sz="4" w:space="0" w:color="auto"/>
            </w:tcBorders>
          </w:tcPr>
          <w:p w:rsidR="00DA3CB3" w:rsidRPr="000756DF" w:rsidRDefault="00DA3CB3" w:rsidP="00A60421">
            <w:pPr>
              <w:pStyle w:val="TableText0"/>
              <w:jc w:val="center"/>
            </w:pPr>
            <w:r w:rsidRPr="000756DF">
              <w:t>1 (5)</w:t>
            </w:r>
          </w:p>
        </w:tc>
        <w:tc>
          <w:tcPr>
            <w:tcW w:w="690" w:type="pct"/>
            <w:tcBorders>
              <w:left w:val="single" w:sz="4" w:space="0" w:color="auto"/>
            </w:tcBorders>
          </w:tcPr>
          <w:p w:rsidR="00DA3CB3" w:rsidRPr="000756DF" w:rsidRDefault="00DA3CB3" w:rsidP="00A60421">
            <w:pPr>
              <w:pStyle w:val="TableText0"/>
              <w:jc w:val="center"/>
            </w:pPr>
            <w:r w:rsidRPr="000756DF">
              <w:t>1</w:t>
            </w:r>
          </w:p>
        </w:tc>
        <w:tc>
          <w:tcPr>
            <w:tcW w:w="920" w:type="pct"/>
            <w:tcBorders>
              <w:right w:val="single" w:sz="4" w:space="0" w:color="auto"/>
            </w:tcBorders>
          </w:tcPr>
          <w:p w:rsidR="00DA3CB3" w:rsidRPr="000756DF" w:rsidRDefault="00DA3CB3" w:rsidP="00A60421">
            <w:pPr>
              <w:pStyle w:val="TableText0"/>
              <w:jc w:val="center"/>
            </w:pPr>
            <w:r w:rsidRPr="000756DF">
              <w:t>2 (9)</w:t>
            </w:r>
          </w:p>
        </w:tc>
        <w:tc>
          <w:tcPr>
            <w:tcW w:w="711" w:type="pct"/>
            <w:tcBorders>
              <w:left w:val="single" w:sz="4" w:space="0" w:color="auto"/>
            </w:tcBorders>
          </w:tcPr>
          <w:p w:rsidR="00DA3CB3" w:rsidRPr="000756DF" w:rsidRDefault="00DA3CB3" w:rsidP="00A60421">
            <w:pPr>
              <w:pStyle w:val="TableText0"/>
              <w:jc w:val="center"/>
            </w:pPr>
            <w:r w:rsidRPr="000756DF">
              <w:t>2</w:t>
            </w:r>
          </w:p>
        </w:tc>
      </w:tr>
      <w:tr w:rsidR="00DA3CB3" w:rsidRPr="000756DF" w:rsidTr="009A0365">
        <w:tc>
          <w:tcPr>
            <w:tcW w:w="1758" w:type="pct"/>
          </w:tcPr>
          <w:p w:rsidR="00DA3CB3" w:rsidRPr="000756DF" w:rsidRDefault="00DA3CB3" w:rsidP="00A60421">
            <w:pPr>
              <w:pStyle w:val="TableText0"/>
            </w:pPr>
            <w:r w:rsidRPr="000756DF">
              <w:t>Back pain</w:t>
            </w:r>
          </w:p>
        </w:tc>
        <w:tc>
          <w:tcPr>
            <w:tcW w:w="921" w:type="pct"/>
            <w:tcBorders>
              <w:right w:val="single" w:sz="4" w:space="0" w:color="auto"/>
            </w:tcBorders>
          </w:tcPr>
          <w:p w:rsidR="00DA3CB3" w:rsidRPr="000756DF" w:rsidRDefault="00DA3CB3" w:rsidP="00A60421">
            <w:pPr>
              <w:pStyle w:val="TableText0"/>
              <w:jc w:val="center"/>
            </w:pPr>
            <w:r w:rsidRPr="000756DF">
              <w:t>1 (5)</w:t>
            </w:r>
          </w:p>
        </w:tc>
        <w:tc>
          <w:tcPr>
            <w:tcW w:w="690" w:type="pct"/>
            <w:tcBorders>
              <w:left w:val="single" w:sz="4" w:space="0" w:color="auto"/>
            </w:tcBorders>
          </w:tcPr>
          <w:p w:rsidR="00DA3CB3" w:rsidRPr="000756DF" w:rsidRDefault="00DA3CB3" w:rsidP="00A60421">
            <w:pPr>
              <w:pStyle w:val="TableText0"/>
              <w:jc w:val="center"/>
            </w:pPr>
            <w:r w:rsidRPr="000756DF">
              <w:t>2</w:t>
            </w:r>
          </w:p>
        </w:tc>
        <w:tc>
          <w:tcPr>
            <w:tcW w:w="920" w:type="pct"/>
            <w:tcBorders>
              <w:right w:val="single" w:sz="4" w:space="0" w:color="auto"/>
            </w:tcBorders>
          </w:tcPr>
          <w:p w:rsidR="00DA3CB3" w:rsidRPr="000756DF" w:rsidRDefault="00DA3CB3" w:rsidP="00A60421">
            <w:pPr>
              <w:pStyle w:val="TableText0"/>
              <w:jc w:val="center"/>
            </w:pPr>
            <w:r w:rsidRPr="000756DF">
              <w:t>1 (4)</w:t>
            </w:r>
          </w:p>
        </w:tc>
        <w:tc>
          <w:tcPr>
            <w:tcW w:w="711" w:type="pct"/>
            <w:tcBorders>
              <w:left w:val="single" w:sz="4" w:space="0" w:color="auto"/>
            </w:tcBorders>
          </w:tcPr>
          <w:p w:rsidR="00DA3CB3" w:rsidRPr="000756DF" w:rsidRDefault="00DA3CB3" w:rsidP="00A60421">
            <w:pPr>
              <w:pStyle w:val="TableText0"/>
              <w:jc w:val="center"/>
            </w:pPr>
            <w:r w:rsidRPr="000756DF">
              <w:t>1</w:t>
            </w:r>
          </w:p>
        </w:tc>
      </w:tr>
      <w:tr w:rsidR="00DA3CB3" w:rsidRPr="000756DF" w:rsidTr="009A0365">
        <w:tc>
          <w:tcPr>
            <w:tcW w:w="1758" w:type="pct"/>
          </w:tcPr>
          <w:p w:rsidR="00DA3CB3" w:rsidRPr="000756DF" w:rsidRDefault="00DA3CB3" w:rsidP="00A60421">
            <w:pPr>
              <w:pStyle w:val="TableText0"/>
            </w:pPr>
            <w:r w:rsidRPr="000756DF">
              <w:t>Sweating increased</w:t>
            </w:r>
          </w:p>
        </w:tc>
        <w:tc>
          <w:tcPr>
            <w:tcW w:w="921" w:type="pct"/>
            <w:tcBorders>
              <w:right w:val="single" w:sz="4" w:space="0" w:color="auto"/>
            </w:tcBorders>
          </w:tcPr>
          <w:p w:rsidR="00DA3CB3" w:rsidRPr="000756DF" w:rsidRDefault="00DA3CB3" w:rsidP="00A60421">
            <w:pPr>
              <w:pStyle w:val="TableText0"/>
              <w:jc w:val="center"/>
            </w:pPr>
            <w:r w:rsidRPr="000756DF">
              <w:t>1 (5)</w:t>
            </w:r>
          </w:p>
        </w:tc>
        <w:tc>
          <w:tcPr>
            <w:tcW w:w="690" w:type="pct"/>
            <w:tcBorders>
              <w:left w:val="single" w:sz="4" w:space="0" w:color="auto"/>
            </w:tcBorders>
          </w:tcPr>
          <w:p w:rsidR="00DA3CB3" w:rsidRPr="000756DF" w:rsidRDefault="00DA3CB3" w:rsidP="00A60421">
            <w:pPr>
              <w:pStyle w:val="TableText0"/>
              <w:jc w:val="center"/>
            </w:pPr>
            <w:r w:rsidRPr="000756DF">
              <w:t>1</w:t>
            </w:r>
          </w:p>
        </w:tc>
        <w:tc>
          <w:tcPr>
            <w:tcW w:w="920" w:type="pct"/>
            <w:tcBorders>
              <w:right w:val="single" w:sz="4" w:space="0" w:color="auto"/>
            </w:tcBorders>
          </w:tcPr>
          <w:p w:rsidR="00DA3CB3" w:rsidRPr="000756DF" w:rsidRDefault="00DA3CB3" w:rsidP="00A60421">
            <w:pPr>
              <w:pStyle w:val="TableText0"/>
              <w:jc w:val="center"/>
            </w:pPr>
            <w:r w:rsidRPr="000756DF">
              <w:t>1 (4)</w:t>
            </w:r>
          </w:p>
        </w:tc>
        <w:tc>
          <w:tcPr>
            <w:tcW w:w="711" w:type="pct"/>
            <w:tcBorders>
              <w:left w:val="single" w:sz="4" w:space="0" w:color="auto"/>
            </w:tcBorders>
          </w:tcPr>
          <w:p w:rsidR="00DA3CB3" w:rsidRPr="000756DF" w:rsidRDefault="00DA3CB3" w:rsidP="00A60421">
            <w:pPr>
              <w:pStyle w:val="TableText0"/>
              <w:jc w:val="center"/>
            </w:pPr>
            <w:r w:rsidRPr="000756DF">
              <w:t>1</w:t>
            </w:r>
          </w:p>
        </w:tc>
      </w:tr>
      <w:tr w:rsidR="00DA3CB3" w:rsidRPr="000756DF" w:rsidTr="009A0365">
        <w:tc>
          <w:tcPr>
            <w:tcW w:w="1758" w:type="pct"/>
          </w:tcPr>
          <w:p w:rsidR="00DA3CB3" w:rsidRPr="000756DF" w:rsidRDefault="00DA3CB3" w:rsidP="00A60421">
            <w:pPr>
              <w:pStyle w:val="TableText0"/>
            </w:pPr>
            <w:r w:rsidRPr="000756DF">
              <w:t>Temperature change sensation</w:t>
            </w:r>
          </w:p>
        </w:tc>
        <w:tc>
          <w:tcPr>
            <w:tcW w:w="921" w:type="pct"/>
            <w:tcBorders>
              <w:right w:val="single" w:sz="4" w:space="0" w:color="auto"/>
            </w:tcBorders>
          </w:tcPr>
          <w:p w:rsidR="00DA3CB3" w:rsidRPr="000756DF" w:rsidRDefault="00DA3CB3" w:rsidP="00A60421">
            <w:pPr>
              <w:pStyle w:val="TableText0"/>
              <w:jc w:val="center"/>
            </w:pPr>
            <w:r w:rsidRPr="000756DF">
              <w:t>1 (5)</w:t>
            </w:r>
          </w:p>
        </w:tc>
        <w:tc>
          <w:tcPr>
            <w:tcW w:w="690" w:type="pct"/>
            <w:tcBorders>
              <w:left w:val="single" w:sz="4" w:space="0" w:color="auto"/>
            </w:tcBorders>
          </w:tcPr>
          <w:p w:rsidR="00DA3CB3" w:rsidRPr="000756DF" w:rsidRDefault="00DA3CB3" w:rsidP="00A60421">
            <w:pPr>
              <w:pStyle w:val="TableText0"/>
              <w:jc w:val="center"/>
            </w:pPr>
            <w:r w:rsidRPr="000756DF">
              <w:t>2</w:t>
            </w:r>
          </w:p>
        </w:tc>
        <w:tc>
          <w:tcPr>
            <w:tcW w:w="920" w:type="pct"/>
            <w:tcBorders>
              <w:right w:val="single" w:sz="4" w:space="0" w:color="auto"/>
            </w:tcBorders>
          </w:tcPr>
          <w:p w:rsidR="00DA3CB3" w:rsidRPr="000756DF" w:rsidRDefault="00DA3CB3" w:rsidP="00A60421">
            <w:pPr>
              <w:pStyle w:val="TableText0"/>
              <w:jc w:val="center"/>
            </w:pPr>
            <w:r w:rsidRPr="000756DF">
              <w:t>1 (4)</w:t>
            </w:r>
          </w:p>
        </w:tc>
        <w:tc>
          <w:tcPr>
            <w:tcW w:w="711" w:type="pct"/>
            <w:tcBorders>
              <w:left w:val="single" w:sz="4" w:space="0" w:color="auto"/>
            </w:tcBorders>
          </w:tcPr>
          <w:p w:rsidR="00DA3CB3" w:rsidRPr="000756DF" w:rsidRDefault="00DA3CB3" w:rsidP="00A60421">
            <w:pPr>
              <w:pStyle w:val="TableText0"/>
              <w:jc w:val="center"/>
            </w:pPr>
            <w:r w:rsidRPr="000756DF">
              <w:t>1</w:t>
            </w:r>
          </w:p>
        </w:tc>
      </w:tr>
      <w:tr w:rsidR="00DA3CB3" w:rsidRPr="000756DF" w:rsidTr="009A0365">
        <w:tc>
          <w:tcPr>
            <w:tcW w:w="1758" w:type="pct"/>
          </w:tcPr>
          <w:p w:rsidR="00DA3CB3" w:rsidRPr="000756DF" w:rsidRDefault="00DA3CB3" w:rsidP="00A60421">
            <w:pPr>
              <w:pStyle w:val="TableText0"/>
            </w:pPr>
            <w:r w:rsidRPr="000756DF">
              <w:t>Vomiting</w:t>
            </w:r>
          </w:p>
        </w:tc>
        <w:tc>
          <w:tcPr>
            <w:tcW w:w="921" w:type="pct"/>
            <w:tcBorders>
              <w:right w:val="single" w:sz="4" w:space="0" w:color="auto"/>
            </w:tcBorders>
          </w:tcPr>
          <w:p w:rsidR="00DA3CB3" w:rsidRPr="000756DF" w:rsidRDefault="00DA3CB3" w:rsidP="00A60421">
            <w:pPr>
              <w:pStyle w:val="TableText0"/>
              <w:jc w:val="center"/>
            </w:pPr>
            <w:r w:rsidRPr="000756DF">
              <w:t>1 (5)</w:t>
            </w:r>
          </w:p>
        </w:tc>
        <w:tc>
          <w:tcPr>
            <w:tcW w:w="690" w:type="pct"/>
            <w:tcBorders>
              <w:left w:val="single" w:sz="4" w:space="0" w:color="auto"/>
            </w:tcBorders>
          </w:tcPr>
          <w:p w:rsidR="00DA3CB3" w:rsidRPr="000756DF" w:rsidRDefault="00DA3CB3" w:rsidP="00A60421">
            <w:pPr>
              <w:pStyle w:val="TableText0"/>
              <w:jc w:val="center"/>
            </w:pPr>
            <w:r w:rsidRPr="000756DF">
              <w:t>1</w:t>
            </w:r>
          </w:p>
        </w:tc>
        <w:tc>
          <w:tcPr>
            <w:tcW w:w="920" w:type="pct"/>
            <w:tcBorders>
              <w:right w:val="single" w:sz="4" w:space="0" w:color="auto"/>
            </w:tcBorders>
          </w:tcPr>
          <w:p w:rsidR="00DA3CB3" w:rsidRPr="000756DF" w:rsidRDefault="00DA3CB3" w:rsidP="00A60421">
            <w:pPr>
              <w:pStyle w:val="TableText0"/>
              <w:jc w:val="center"/>
            </w:pPr>
            <w:r w:rsidRPr="000756DF">
              <w:t>1 (4)</w:t>
            </w:r>
          </w:p>
        </w:tc>
        <w:tc>
          <w:tcPr>
            <w:tcW w:w="711" w:type="pct"/>
            <w:tcBorders>
              <w:left w:val="single" w:sz="4" w:space="0" w:color="auto"/>
            </w:tcBorders>
          </w:tcPr>
          <w:p w:rsidR="00DA3CB3" w:rsidRPr="000756DF" w:rsidRDefault="00DA3CB3" w:rsidP="00A60421">
            <w:pPr>
              <w:pStyle w:val="TableText0"/>
              <w:jc w:val="center"/>
            </w:pPr>
            <w:r w:rsidRPr="000756DF">
              <w:t>1</w:t>
            </w:r>
          </w:p>
        </w:tc>
      </w:tr>
      <w:tr w:rsidR="00DA3CB3" w:rsidRPr="000756DF" w:rsidTr="009A0365">
        <w:tc>
          <w:tcPr>
            <w:tcW w:w="1758" w:type="pct"/>
          </w:tcPr>
          <w:p w:rsidR="00DA3CB3" w:rsidRPr="000756DF" w:rsidRDefault="00DA3CB3" w:rsidP="00A60421">
            <w:pPr>
              <w:pStyle w:val="TableText0"/>
            </w:pPr>
            <w:r w:rsidRPr="000756DF">
              <w:t xml:space="preserve">Coughing </w:t>
            </w:r>
          </w:p>
        </w:tc>
        <w:tc>
          <w:tcPr>
            <w:tcW w:w="921" w:type="pct"/>
            <w:tcBorders>
              <w:right w:val="single" w:sz="4" w:space="0" w:color="auto"/>
            </w:tcBorders>
          </w:tcPr>
          <w:p w:rsidR="00DA3CB3" w:rsidRPr="000756DF" w:rsidRDefault="00DA3CB3" w:rsidP="00A60421">
            <w:pPr>
              <w:pStyle w:val="TableText0"/>
              <w:jc w:val="center"/>
            </w:pPr>
            <w:r w:rsidRPr="000756DF">
              <w:t>1 (5)</w:t>
            </w:r>
          </w:p>
        </w:tc>
        <w:tc>
          <w:tcPr>
            <w:tcW w:w="690" w:type="pct"/>
            <w:tcBorders>
              <w:left w:val="single" w:sz="4" w:space="0" w:color="auto"/>
            </w:tcBorders>
          </w:tcPr>
          <w:p w:rsidR="00DA3CB3" w:rsidRPr="000756DF" w:rsidRDefault="00DA3CB3" w:rsidP="00A60421">
            <w:pPr>
              <w:pStyle w:val="TableText0"/>
              <w:jc w:val="center"/>
            </w:pPr>
            <w:r w:rsidRPr="000756DF">
              <w:t>1</w:t>
            </w:r>
          </w:p>
        </w:tc>
        <w:tc>
          <w:tcPr>
            <w:tcW w:w="920" w:type="pct"/>
            <w:tcBorders>
              <w:right w:val="single" w:sz="4" w:space="0" w:color="auto"/>
            </w:tcBorders>
          </w:tcPr>
          <w:p w:rsidR="00DA3CB3" w:rsidRPr="000756DF" w:rsidRDefault="00DA3CB3" w:rsidP="00A60421">
            <w:pPr>
              <w:pStyle w:val="TableText0"/>
              <w:jc w:val="center"/>
            </w:pPr>
            <w:r w:rsidRPr="000756DF">
              <w:t>0</w:t>
            </w:r>
          </w:p>
        </w:tc>
        <w:tc>
          <w:tcPr>
            <w:tcW w:w="711" w:type="pct"/>
            <w:tcBorders>
              <w:left w:val="single" w:sz="4" w:space="0" w:color="auto"/>
            </w:tcBorders>
          </w:tcPr>
          <w:p w:rsidR="00DA3CB3" w:rsidRPr="000756DF" w:rsidRDefault="00DA3CB3" w:rsidP="00A60421">
            <w:pPr>
              <w:pStyle w:val="TableText0"/>
              <w:jc w:val="center"/>
            </w:pPr>
            <w:r w:rsidRPr="000756DF">
              <w:t>0</w:t>
            </w:r>
          </w:p>
        </w:tc>
      </w:tr>
      <w:tr w:rsidR="00DA3CB3" w:rsidRPr="000756DF" w:rsidTr="009A0365">
        <w:tc>
          <w:tcPr>
            <w:tcW w:w="1758" w:type="pct"/>
          </w:tcPr>
          <w:p w:rsidR="00DA3CB3" w:rsidRPr="000756DF" w:rsidRDefault="00DA3CB3" w:rsidP="00A60421">
            <w:pPr>
              <w:pStyle w:val="TableText0"/>
            </w:pPr>
            <w:r w:rsidRPr="000756DF">
              <w:t>Face oedema</w:t>
            </w:r>
          </w:p>
        </w:tc>
        <w:tc>
          <w:tcPr>
            <w:tcW w:w="921" w:type="pct"/>
            <w:tcBorders>
              <w:right w:val="single" w:sz="4" w:space="0" w:color="auto"/>
            </w:tcBorders>
          </w:tcPr>
          <w:p w:rsidR="00DA3CB3" w:rsidRPr="000756DF" w:rsidRDefault="00DA3CB3" w:rsidP="00A60421">
            <w:pPr>
              <w:pStyle w:val="TableText0"/>
              <w:jc w:val="center"/>
            </w:pPr>
            <w:r w:rsidRPr="000756DF">
              <w:t>1 (5)</w:t>
            </w:r>
          </w:p>
        </w:tc>
        <w:tc>
          <w:tcPr>
            <w:tcW w:w="690" w:type="pct"/>
            <w:tcBorders>
              <w:left w:val="single" w:sz="4" w:space="0" w:color="auto"/>
            </w:tcBorders>
          </w:tcPr>
          <w:p w:rsidR="00DA3CB3" w:rsidRPr="000756DF" w:rsidRDefault="00DA3CB3" w:rsidP="00A60421">
            <w:pPr>
              <w:pStyle w:val="TableText0"/>
              <w:jc w:val="center"/>
            </w:pPr>
            <w:r w:rsidRPr="000756DF">
              <w:t>1</w:t>
            </w:r>
          </w:p>
        </w:tc>
        <w:tc>
          <w:tcPr>
            <w:tcW w:w="920" w:type="pct"/>
            <w:tcBorders>
              <w:right w:val="single" w:sz="4" w:space="0" w:color="auto"/>
            </w:tcBorders>
          </w:tcPr>
          <w:p w:rsidR="00DA3CB3" w:rsidRPr="000756DF" w:rsidRDefault="00DA3CB3" w:rsidP="00A60421">
            <w:pPr>
              <w:pStyle w:val="TableText0"/>
              <w:jc w:val="center"/>
            </w:pPr>
            <w:r w:rsidRPr="000756DF">
              <w:t>0</w:t>
            </w:r>
          </w:p>
        </w:tc>
        <w:tc>
          <w:tcPr>
            <w:tcW w:w="711" w:type="pct"/>
            <w:tcBorders>
              <w:left w:val="single" w:sz="4" w:space="0" w:color="auto"/>
            </w:tcBorders>
          </w:tcPr>
          <w:p w:rsidR="00DA3CB3" w:rsidRPr="000756DF" w:rsidRDefault="00DA3CB3" w:rsidP="00A60421">
            <w:pPr>
              <w:pStyle w:val="TableText0"/>
              <w:jc w:val="center"/>
            </w:pPr>
            <w:r w:rsidRPr="000756DF">
              <w:t>0</w:t>
            </w:r>
          </w:p>
        </w:tc>
      </w:tr>
      <w:tr w:rsidR="00DA3CB3" w:rsidRPr="000756DF" w:rsidTr="009A0365">
        <w:tc>
          <w:tcPr>
            <w:tcW w:w="1758" w:type="pct"/>
          </w:tcPr>
          <w:p w:rsidR="00DA3CB3" w:rsidRPr="000756DF" w:rsidRDefault="00DA3CB3" w:rsidP="00A60421">
            <w:pPr>
              <w:pStyle w:val="TableText0"/>
            </w:pPr>
            <w:r w:rsidRPr="000756DF">
              <w:t>Hypotension</w:t>
            </w:r>
          </w:p>
        </w:tc>
        <w:tc>
          <w:tcPr>
            <w:tcW w:w="921" w:type="pct"/>
            <w:tcBorders>
              <w:right w:val="single" w:sz="4" w:space="0" w:color="auto"/>
            </w:tcBorders>
          </w:tcPr>
          <w:p w:rsidR="00DA3CB3" w:rsidRPr="000756DF" w:rsidRDefault="00DA3CB3" w:rsidP="00A60421">
            <w:pPr>
              <w:pStyle w:val="TableText0"/>
              <w:jc w:val="center"/>
            </w:pPr>
            <w:r w:rsidRPr="000756DF">
              <w:t>1 (5)</w:t>
            </w:r>
          </w:p>
        </w:tc>
        <w:tc>
          <w:tcPr>
            <w:tcW w:w="690" w:type="pct"/>
            <w:tcBorders>
              <w:left w:val="single" w:sz="4" w:space="0" w:color="auto"/>
            </w:tcBorders>
          </w:tcPr>
          <w:p w:rsidR="00DA3CB3" w:rsidRPr="000756DF" w:rsidRDefault="00DA3CB3" w:rsidP="00A60421">
            <w:pPr>
              <w:pStyle w:val="TableText0"/>
              <w:jc w:val="center"/>
            </w:pPr>
            <w:r w:rsidRPr="000756DF">
              <w:t>1</w:t>
            </w:r>
          </w:p>
        </w:tc>
        <w:tc>
          <w:tcPr>
            <w:tcW w:w="920" w:type="pct"/>
            <w:tcBorders>
              <w:right w:val="single" w:sz="4" w:space="0" w:color="auto"/>
            </w:tcBorders>
          </w:tcPr>
          <w:p w:rsidR="00DA3CB3" w:rsidRPr="000756DF" w:rsidRDefault="00DA3CB3" w:rsidP="00A60421">
            <w:pPr>
              <w:pStyle w:val="TableText0"/>
              <w:jc w:val="center"/>
            </w:pPr>
            <w:r w:rsidRPr="000756DF">
              <w:t>0</w:t>
            </w:r>
          </w:p>
        </w:tc>
        <w:tc>
          <w:tcPr>
            <w:tcW w:w="711" w:type="pct"/>
            <w:tcBorders>
              <w:left w:val="single" w:sz="4" w:space="0" w:color="auto"/>
            </w:tcBorders>
          </w:tcPr>
          <w:p w:rsidR="00DA3CB3" w:rsidRPr="000756DF" w:rsidRDefault="00DA3CB3" w:rsidP="00A60421">
            <w:pPr>
              <w:pStyle w:val="TableText0"/>
              <w:jc w:val="center"/>
            </w:pPr>
            <w:r w:rsidRPr="000756DF">
              <w:t>0</w:t>
            </w:r>
          </w:p>
        </w:tc>
      </w:tr>
      <w:tr w:rsidR="00DA3CB3" w:rsidRPr="000756DF" w:rsidTr="009A0365">
        <w:tc>
          <w:tcPr>
            <w:tcW w:w="1758" w:type="pct"/>
          </w:tcPr>
          <w:p w:rsidR="00DA3CB3" w:rsidRPr="000756DF" w:rsidRDefault="00DA3CB3" w:rsidP="00A60421">
            <w:pPr>
              <w:pStyle w:val="TableText0"/>
            </w:pPr>
            <w:r w:rsidRPr="000756DF">
              <w:t>Paraesthesia</w:t>
            </w:r>
          </w:p>
        </w:tc>
        <w:tc>
          <w:tcPr>
            <w:tcW w:w="921" w:type="pct"/>
            <w:tcBorders>
              <w:right w:val="single" w:sz="4" w:space="0" w:color="auto"/>
            </w:tcBorders>
          </w:tcPr>
          <w:p w:rsidR="00DA3CB3" w:rsidRPr="000756DF" w:rsidRDefault="00DA3CB3" w:rsidP="00A60421">
            <w:pPr>
              <w:pStyle w:val="TableText0"/>
              <w:jc w:val="center"/>
            </w:pPr>
            <w:r w:rsidRPr="000756DF">
              <w:t>1 (5)</w:t>
            </w:r>
          </w:p>
        </w:tc>
        <w:tc>
          <w:tcPr>
            <w:tcW w:w="690" w:type="pct"/>
            <w:tcBorders>
              <w:left w:val="single" w:sz="4" w:space="0" w:color="auto"/>
            </w:tcBorders>
          </w:tcPr>
          <w:p w:rsidR="00DA3CB3" w:rsidRPr="000756DF" w:rsidRDefault="00DA3CB3" w:rsidP="00A60421">
            <w:pPr>
              <w:pStyle w:val="TableText0"/>
              <w:jc w:val="center"/>
            </w:pPr>
            <w:r w:rsidRPr="000756DF">
              <w:t>2</w:t>
            </w:r>
          </w:p>
        </w:tc>
        <w:tc>
          <w:tcPr>
            <w:tcW w:w="920" w:type="pct"/>
            <w:tcBorders>
              <w:right w:val="single" w:sz="4" w:space="0" w:color="auto"/>
            </w:tcBorders>
          </w:tcPr>
          <w:p w:rsidR="00DA3CB3" w:rsidRPr="000756DF" w:rsidRDefault="00DA3CB3" w:rsidP="00A60421">
            <w:pPr>
              <w:pStyle w:val="TableText0"/>
              <w:jc w:val="center"/>
            </w:pPr>
            <w:r w:rsidRPr="000756DF">
              <w:t>0</w:t>
            </w:r>
          </w:p>
        </w:tc>
        <w:tc>
          <w:tcPr>
            <w:tcW w:w="711" w:type="pct"/>
            <w:tcBorders>
              <w:left w:val="single" w:sz="4" w:space="0" w:color="auto"/>
            </w:tcBorders>
          </w:tcPr>
          <w:p w:rsidR="00DA3CB3" w:rsidRPr="000756DF" w:rsidRDefault="00DA3CB3" w:rsidP="00A60421">
            <w:pPr>
              <w:pStyle w:val="TableText0"/>
              <w:jc w:val="center"/>
            </w:pPr>
            <w:r w:rsidRPr="000756DF">
              <w:t>0</w:t>
            </w:r>
          </w:p>
        </w:tc>
      </w:tr>
      <w:tr w:rsidR="00DA3CB3" w:rsidRPr="000756DF" w:rsidTr="009A0365">
        <w:tc>
          <w:tcPr>
            <w:tcW w:w="1758" w:type="pct"/>
          </w:tcPr>
          <w:p w:rsidR="00DA3CB3" w:rsidRPr="000756DF" w:rsidRDefault="00DA3CB3" w:rsidP="00A60421">
            <w:pPr>
              <w:pStyle w:val="TableText0"/>
            </w:pPr>
            <w:r w:rsidRPr="000756DF">
              <w:t>Tachycardia</w:t>
            </w:r>
          </w:p>
        </w:tc>
        <w:tc>
          <w:tcPr>
            <w:tcW w:w="921" w:type="pct"/>
            <w:tcBorders>
              <w:right w:val="single" w:sz="4" w:space="0" w:color="auto"/>
            </w:tcBorders>
          </w:tcPr>
          <w:p w:rsidR="00DA3CB3" w:rsidRPr="000756DF" w:rsidRDefault="00DA3CB3" w:rsidP="00A60421">
            <w:pPr>
              <w:pStyle w:val="TableText0"/>
              <w:jc w:val="center"/>
            </w:pPr>
            <w:r w:rsidRPr="000756DF">
              <w:t>1 (5)</w:t>
            </w:r>
          </w:p>
        </w:tc>
        <w:tc>
          <w:tcPr>
            <w:tcW w:w="690" w:type="pct"/>
            <w:tcBorders>
              <w:left w:val="single" w:sz="4" w:space="0" w:color="auto"/>
            </w:tcBorders>
          </w:tcPr>
          <w:p w:rsidR="00DA3CB3" w:rsidRPr="000756DF" w:rsidRDefault="00DA3CB3" w:rsidP="00A60421">
            <w:pPr>
              <w:pStyle w:val="TableText0"/>
              <w:jc w:val="center"/>
            </w:pPr>
            <w:r w:rsidRPr="000756DF">
              <w:t>1</w:t>
            </w:r>
          </w:p>
        </w:tc>
        <w:tc>
          <w:tcPr>
            <w:tcW w:w="920" w:type="pct"/>
            <w:tcBorders>
              <w:right w:val="single" w:sz="4" w:space="0" w:color="auto"/>
            </w:tcBorders>
          </w:tcPr>
          <w:p w:rsidR="00DA3CB3" w:rsidRPr="000756DF" w:rsidRDefault="00DA3CB3" w:rsidP="00A60421">
            <w:pPr>
              <w:pStyle w:val="TableText0"/>
              <w:jc w:val="center"/>
            </w:pPr>
            <w:r w:rsidRPr="000756DF">
              <w:t>0</w:t>
            </w:r>
          </w:p>
        </w:tc>
        <w:tc>
          <w:tcPr>
            <w:tcW w:w="711" w:type="pct"/>
            <w:tcBorders>
              <w:left w:val="single" w:sz="4" w:space="0" w:color="auto"/>
            </w:tcBorders>
          </w:tcPr>
          <w:p w:rsidR="00DA3CB3" w:rsidRPr="000756DF" w:rsidRDefault="00DA3CB3" w:rsidP="00A60421">
            <w:pPr>
              <w:pStyle w:val="TableText0"/>
              <w:jc w:val="center"/>
            </w:pPr>
            <w:r w:rsidRPr="000756DF">
              <w:t>0</w:t>
            </w:r>
          </w:p>
        </w:tc>
      </w:tr>
    </w:tbl>
    <w:p w:rsidR="00A60421" w:rsidRPr="000756DF" w:rsidRDefault="00A60421" w:rsidP="00A60421"/>
    <w:p w:rsidR="00A60421" w:rsidRPr="000756DF" w:rsidRDefault="00A60421" w:rsidP="00A60421">
      <w:r w:rsidRPr="000756DF">
        <w:t>The majority of patients receiving laronidase developed IgG antibodies</w:t>
      </w:r>
      <w:r>
        <w:t xml:space="preserve"> </w:t>
      </w:r>
      <w:r w:rsidRPr="000756DF">
        <w:t>(</w:t>
      </w:r>
      <w:r w:rsidR="00A72B26" w:rsidRPr="00716774">
        <w:t xml:space="preserve">Table </w:t>
      </w:r>
      <w:r w:rsidR="00A72B26">
        <w:rPr>
          <w:noProof/>
        </w:rPr>
        <w:t>98</w:t>
      </w:r>
      <w:r w:rsidRPr="000756DF">
        <w:t xml:space="preserve">). </w:t>
      </w:r>
    </w:p>
    <w:p w:rsidR="00A60421" w:rsidRPr="00716774" w:rsidRDefault="00A60421" w:rsidP="00A60421">
      <w:pPr>
        <w:pStyle w:val="Caption"/>
        <w:keepNext/>
        <w:tabs>
          <w:tab w:val="clear" w:pos="851"/>
          <w:tab w:val="left" w:pos="1134"/>
        </w:tabs>
        <w:ind w:left="1134" w:hanging="1134"/>
      </w:pPr>
      <w:bookmarkStart w:id="383" w:name="_Ref404341782"/>
      <w:bookmarkStart w:id="384" w:name="_Toc411510464"/>
      <w:bookmarkStart w:id="385" w:name="_Toc415141895"/>
      <w:r w:rsidRPr="00716774">
        <w:t xml:space="preserve">Table </w:t>
      </w:r>
      <w:r w:rsidR="00A72B26">
        <w:rPr>
          <w:noProof/>
        </w:rPr>
        <w:t>98</w:t>
      </w:r>
      <w:bookmarkEnd w:id="383"/>
      <w:r w:rsidRPr="00716774">
        <w:tab/>
        <w:t xml:space="preserve">Development of antibodies and compliance with laronidase </w:t>
      </w:r>
      <w:r>
        <w:t xml:space="preserve">or </w:t>
      </w:r>
      <w:r w:rsidRPr="00716774">
        <w:t>placebo</w:t>
      </w:r>
      <w:r w:rsidRPr="006D652E">
        <w:t xml:space="preserve"> </w:t>
      </w:r>
      <w:r w:rsidRPr="00716774">
        <w:t>treatment</w:t>
      </w:r>
      <w:bookmarkEnd w:id="384"/>
      <w:bookmarkEnd w:id="385"/>
    </w:p>
    <w:tbl>
      <w:tblPr>
        <w:tblStyle w:val="TableGrid"/>
        <w:tblW w:w="5000" w:type="pct"/>
        <w:tblLook w:val="04A0" w:firstRow="1" w:lastRow="0" w:firstColumn="1" w:lastColumn="0" w:noHBand="0" w:noVBand="1"/>
        <w:tblCaption w:val="Table 66 Development of antibodies and compliance with laronidase or placebo treatment"/>
      </w:tblPr>
      <w:tblGrid>
        <w:gridCol w:w="3249"/>
        <w:gridCol w:w="2978"/>
        <w:gridCol w:w="3015"/>
      </w:tblGrid>
      <w:tr w:rsidR="00A60421" w:rsidRPr="000756DF" w:rsidTr="00A60421">
        <w:trPr>
          <w:tblHeader/>
        </w:trPr>
        <w:tc>
          <w:tcPr>
            <w:tcW w:w="1758" w:type="pct"/>
          </w:tcPr>
          <w:p w:rsidR="00A60421" w:rsidRPr="000756DF" w:rsidRDefault="00A60421" w:rsidP="00A60421">
            <w:pPr>
              <w:pStyle w:val="TableHeading"/>
            </w:pPr>
            <w:r w:rsidRPr="000756DF">
              <w:t>Outcomes</w:t>
            </w:r>
          </w:p>
        </w:tc>
        <w:tc>
          <w:tcPr>
            <w:tcW w:w="1611" w:type="pct"/>
          </w:tcPr>
          <w:p w:rsidR="00A60421" w:rsidRPr="000756DF" w:rsidRDefault="00A60421" w:rsidP="00A60421">
            <w:pPr>
              <w:pStyle w:val="TableHeading"/>
              <w:jc w:val="center"/>
            </w:pPr>
            <w:r w:rsidRPr="000756DF">
              <w:t>Laronidase (N</w:t>
            </w:r>
            <w:r w:rsidR="00652355" w:rsidRPr="00652355">
              <w:rPr>
                <w:spacing w:val="-20"/>
              </w:rPr>
              <w:t xml:space="preserve"> = </w:t>
            </w:r>
            <w:r w:rsidRPr="000756DF">
              <w:t>22)</w:t>
            </w:r>
          </w:p>
        </w:tc>
        <w:tc>
          <w:tcPr>
            <w:tcW w:w="1631" w:type="pct"/>
          </w:tcPr>
          <w:p w:rsidR="00A60421" w:rsidRPr="000756DF" w:rsidRDefault="00A60421" w:rsidP="00A60421">
            <w:pPr>
              <w:pStyle w:val="TableHeading"/>
              <w:jc w:val="center"/>
            </w:pPr>
            <w:r w:rsidRPr="000756DF">
              <w:t>Placebo (N</w:t>
            </w:r>
            <w:r w:rsidR="00652355" w:rsidRPr="00652355">
              <w:rPr>
                <w:spacing w:val="-20"/>
              </w:rPr>
              <w:t xml:space="preserve"> = </w:t>
            </w:r>
            <w:r w:rsidRPr="000756DF">
              <w:t>23)</w:t>
            </w:r>
          </w:p>
        </w:tc>
      </w:tr>
      <w:tr w:rsidR="00A60421" w:rsidRPr="000756DF" w:rsidTr="00A60421">
        <w:tc>
          <w:tcPr>
            <w:tcW w:w="1758" w:type="pct"/>
          </w:tcPr>
          <w:p w:rsidR="00A60421" w:rsidRPr="000756DF" w:rsidRDefault="00A60421" w:rsidP="00A60421">
            <w:pPr>
              <w:pStyle w:val="TableText0"/>
            </w:pPr>
            <w:r w:rsidRPr="000756DF">
              <w:t>Development of IgG antibodies</w:t>
            </w:r>
          </w:p>
        </w:tc>
        <w:tc>
          <w:tcPr>
            <w:tcW w:w="1611" w:type="pct"/>
          </w:tcPr>
          <w:p w:rsidR="00A60421" w:rsidRPr="000756DF" w:rsidRDefault="00A60421" w:rsidP="00A60421">
            <w:pPr>
              <w:pStyle w:val="TableText0"/>
              <w:jc w:val="center"/>
            </w:pPr>
            <w:r w:rsidRPr="000756DF">
              <w:t>20/22 (91%)</w:t>
            </w:r>
          </w:p>
        </w:tc>
        <w:tc>
          <w:tcPr>
            <w:tcW w:w="1631" w:type="pct"/>
          </w:tcPr>
          <w:p w:rsidR="00A60421" w:rsidRPr="000756DF" w:rsidRDefault="00A60421" w:rsidP="00A60421">
            <w:pPr>
              <w:pStyle w:val="TableText0"/>
              <w:jc w:val="center"/>
            </w:pPr>
            <w:r w:rsidRPr="000756DF">
              <w:t>Not stated</w:t>
            </w:r>
          </w:p>
        </w:tc>
      </w:tr>
      <w:tr w:rsidR="00A60421" w:rsidRPr="000756DF" w:rsidTr="00A60421">
        <w:tc>
          <w:tcPr>
            <w:tcW w:w="1758" w:type="pct"/>
          </w:tcPr>
          <w:p w:rsidR="00A60421" w:rsidRPr="000756DF" w:rsidRDefault="00A60421" w:rsidP="00A60421">
            <w:pPr>
              <w:pStyle w:val="TableText0"/>
            </w:pPr>
            <w:r w:rsidRPr="000756DF">
              <w:t>Compliance</w:t>
            </w:r>
            <w:r>
              <w:t xml:space="preserve"> with treatment</w:t>
            </w:r>
          </w:p>
        </w:tc>
        <w:tc>
          <w:tcPr>
            <w:tcW w:w="1611" w:type="pct"/>
          </w:tcPr>
          <w:p w:rsidR="00A60421" w:rsidRPr="000756DF" w:rsidRDefault="00A60421" w:rsidP="00A60421">
            <w:pPr>
              <w:pStyle w:val="TableText0"/>
              <w:jc w:val="center"/>
            </w:pPr>
            <w:r w:rsidRPr="000756DF">
              <w:t>&gt;97%</w:t>
            </w:r>
          </w:p>
        </w:tc>
        <w:tc>
          <w:tcPr>
            <w:tcW w:w="1631" w:type="pct"/>
          </w:tcPr>
          <w:p w:rsidR="00A60421" w:rsidRPr="000756DF" w:rsidRDefault="00A60421" w:rsidP="00A60421">
            <w:pPr>
              <w:pStyle w:val="TableText0"/>
              <w:jc w:val="center"/>
            </w:pPr>
            <w:r w:rsidRPr="000756DF">
              <w:t>&gt;97%</w:t>
            </w:r>
          </w:p>
        </w:tc>
      </w:tr>
    </w:tbl>
    <w:p w:rsidR="00A60421" w:rsidRPr="000756DF" w:rsidRDefault="00A60421" w:rsidP="00A60421">
      <w:pPr>
        <w:keepNext/>
        <w:spacing w:after="0" w:line="240" w:lineRule="auto"/>
        <w:ind w:left="131" w:hanging="131"/>
        <w:rPr>
          <w:rFonts w:ascii="Arial Narrow" w:hAnsi="Arial Narrow"/>
          <w:sz w:val="16"/>
          <w:szCs w:val="16"/>
          <w:lang w:eastAsia="en-AU"/>
        </w:rPr>
      </w:pPr>
    </w:p>
    <w:p w:rsidR="00A60421" w:rsidRPr="000756DF" w:rsidRDefault="00A60421" w:rsidP="00EC5DFF">
      <w:pPr>
        <w:pStyle w:val="Heading5"/>
      </w:pPr>
      <w:r w:rsidRPr="000756DF">
        <w:t>Extension study</w:t>
      </w:r>
    </w:p>
    <w:p w:rsidR="00A60421" w:rsidRPr="000756DF" w:rsidRDefault="00A60421" w:rsidP="00A60421">
      <w:r w:rsidRPr="000756DF">
        <w:t>An extension of the Wraith et al</w:t>
      </w:r>
      <w:r w:rsidRPr="006D652E">
        <w:t xml:space="preserve"> </w:t>
      </w:r>
      <w:r w:rsidRPr="000756DF">
        <w:t>study was published by Clarke et al (200</w:t>
      </w:r>
      <w:r w:rsidR="000C5C6B">
        <w:t>9</w:t>
      </w:r>
      <w:r w:rsidRPr="000756DF">
        <w:t xml:space="preserve">). Those MPS I patients (n </w:t>
      </w:r>
      <w:r w:rsidR="00652355" w:rsidRPr="00652355">
        <w:rPr>
          <w:spacing w:val="-20"/>
        </w:rPr>
        <w:t xml:space="preserve"> = </w:t>
      </w:r>
      <w:r w:rsidRPr="000756DF">
        <w:t xml:space="preserve"> 45) who successfully completed the 26-week randomised placebo-controlled trial of laronidase entered the </w:t>
      </w:r>
      <w:r w:rsidR="000C5C6B">
        <w:t xml:space="preserve">3.5 year </w:t>
      </w:r>
      <w:r w:rsidRPr="000756DF">
        <w:t>extension study, and received laronidase at weekly doses of 100 U/kg of body weight (0.58 mg/kg), diluted with saline and serum albumin, and infused over a period of 4 hours</w:t>
      </w:r>
      <w:r w:rsidRPr="000756DF">
        <w:rPr>
          <w:vertAlign w:val="superscript"/>
        </w:rPr>
        <w:footnoteReference w:id="15"/>
      </w:r>
      <w:r w:rsidRPr="000756DF">
        <w:t xml:space="preserve">. Forty patients completed the open-label phase, these receiving 80% or more of scheduled infusion treatments. There was one death during the trial and four patient withdrawals. Reasons given for withdrawal were a needle phobia, problems scheduling infusion due to school attendance, pregnancy, and an anaphylactic reaction. The death occurred in a patient with viral pneumonia and was considered </w:t>
      </w:r>
      <w:r w:rsidRPr="000756DF">
        <w:lastRenderedPageBreak/>
        <w:t>unrelated to treatment. Measures of effectiveness included change in urinary GAG, hepatomegaly, respiratory function, mobility, and limitations in activities of daily living.</w:t>
      </w:r>
      <w:r w:rsidR="009E3804">
        <w:t xml:space="preserve"> Change in liver volume is reported in </w:t>
      </w:r>
      <w:r w:rsidR="00A72B26" w:rsidRPr="00716774">
        <w:t xml:space="preserve">Table </w:t>
      </w:r>
      <w:r w:rsidR="00A72B26">
        <w:rPr>
          <w:noProof/>
        </w:rPr>
        <w:t>99</w:t>
      </w:r>
      <w:r w:rsidR="009E3804">
        <w:t xml:space="preserve">. </w:t>
      </w:r>
      <w:r w:rsidRPr="000756DF">
        <w:t xml:space="preserve">Liver volume improved at a smaller rate of 38% ± 3% from baseline to final assessment. Reduction in liver volume was more rapid in the first year of the trial and declined after that. </w:t>
      </w:r>
    </w:p>
    <w:p w:rsidR="00A60421" w:rsidRPr="00716774" w:rsidRDefault="00A60421" w:rsidP="00A60421">
      <w:pPr>
        <w:pStyle w:val="Caption"/>
        <w:keepNext/>
        <w:tabs>
          <w:tab w:val="clear" w:pos="851"/>
          <w:tab w:val="left" w:pos="1134"/>
        </w:tabs>
        <w:ind w:left="1134" w:hanging="1134"/>
      </w:pPr>
      <w:bookmarkStart w:id="386" w:name="_Ref404255848"/>
      <w:bookmarkStart w:id="387" w:name="_Toc411510465"/>
      <w:bookmarkStart w:id="388" w:name="_Toc415141896"/>
      <w:r w:rsidRPr="00716774">
        <w:t xml:space="preserve">Table </w:t>
      </w:r>
      <w:r w:rsidR="00A72B26">
        <w:rPr>
          <w:noProof/>
        </w:rPr>
        <w:t>99</w:t>
      </w:r>
      <w:bookmarkEnd w:id="386"/>
      <w:r w:rsidRPr="00716774">
        <w:t xml:space="preserve"> </w:t>
      </w:r>
      <w:r>
        <w:tab/>
      </w:r>
      <w:r w:rsidRPr="00716774">
        <w:t xml:space="preserve">Change in </w:t>
      </w:r>
      <w:r w:rsidR="00E41B1D">
        <w:t xml:space="preserve">liver volume in MPS </w:t>
      </w:r>
      <w:r w:rsidRPr="00716774">
        <w:t xml:space="preserve">I patients treated with laronidase </w:t>
      </w:r>
      <w:r w:rsidR="00A130D0">
        <w:rPr>
          <w:noProof/>
        </w:rPr>
        <w:t>(</w:t>
      </w:r>
      <w:r w:rsidR="00184B6F">
        <w:rPr>
          <w:noProof/>
        </w:rPr>
        <w:t>Clarke et al. 2009</w:t>
      </w:r>
      <w:r w:rsidR="00A130D0">
        <w:rPr>
          <w:noProof/>
        </w:rPr>
        <w:t>)</w:t>
      </w:r>
      <w:bookmarkEnd w:id="387"/>
      <w:bookmarkEnd w:id="388"/>
    </w:p>
    <w:tbl>
      <w:tblPr>
        <w:tblStyle w:val="TableGrid"/>
        <w:tblW w:w="4966" w:type="pct"/>
        <w:tblLook w:val="04A0" w:firstRow="1" w:lastRow="0" w:firstColumn="1" w:lastColumn="0" w:noHBand="0" w:noVBand="1"/>
        <w:tblCaption w:val="Table 67  Change in urinary glycosaminoglycans and liver volume in MPS I patients treated with laronidase (Clarke et al. 2009)"/>
      </w:tblPr>
      <w:tblGrid>
        <w:gridCol w:w="1102"/>
        <w:gridCol w:w="1278"/>
        <w:gridCol w:w="1272"/>
        <w:gridCol w:w="1417"/>
        <w:gridCol w:w="1276"/>
        <w:gridCol w:w="2834"/>
      </w:tblGrid>
      <w:tr w:rsidR="00A60421" w:rsidRPr="000756DF" w:rsidTr="00A60421">
        <w:trPr>
          <w:tblHeader/>
        </w:trPr>
        <w:tc>
          <w:tcPr>
            <w:tcW w:w="600" w:type="pct"/>
          </w:tcPr>
          <w:p w:rsidR="00A60421" w:rsidRPr="000756DF" w:rsidRDefault="00A60421" w:rsidP="00A60421">
            <w:pPr>
              <w:pStyle w:val="TableHeading"/>
            </w:pPr>
            <w:r w:rsidRPr="000756DF">
              <w:t>Outcome</w:t>
            </w:r>
          </w:p>
        </w:tc>
        <w:tc>
          <w:tcPr>
            <w:tcW w:w="696" w:type="pct"/>
            <w:tcBorders>
              <w:right w:val="single" w:sz="4" w:space="0" w:color="auto"/>
            </w:tcBorders>
          </w:tcPr>
          <w:p w:rsidR="00A60421" w:rsidRPr="000756DF" w:rsidRDefault="00A60421" w:rsidP="00A60421">
            <w:pPr>
              <w:pStyle w:val="TableHeading"/>
            </w:pPr>
            <w:r w:rsidRPr="000756DF">
              <w:t>Patients with abnormal value  % (n)</w:t>
            </w:r>
          </w:p>
        </w:tc>
        <w:tc>
          <w:tcPr>
            <w:tcW w:w="693" w:type="pct"/>
            <w:tcBorders>
              <w:left w:val="single" w:sz="4" w:space="0" w:color="auto"/>
            </w:tcBorders>
          </w:tcPr>
          <w:p w:rsidR="00A60421" w:rsidRPr="000756DF" w:rsidRDefault="00A60421" w:rsidP="00A60421">
            <w:pPr>
              <w:pStyle w:val="TableHeading"/>
            </w:pPr>
            <w:r w:rsidRPr="000756DF">
              <w:t>Baseline</w:t>
            </w:r>
            <w:r w:rsidRPr="000756DF">
              <w:rPr>
                <w:vertAlign w:val="superscript"/>
              </w:rPr>
              <w:t>a</w:t>
            </w:r>
            <w:r w:rsidRPr="000756DF">
              <w:t xml:space="preserve"> Mean value  ± SD</w:t>
            </w:r>
          </w:p>
        </w:tc>
        <w:tc>
          <w:tcPr>
            <w:tcW w:w="772" w:type="pct"/>
          </w:tcPr>
          <w:p w:rsidR="002F6AE6" w:rsidRDefault="00A60421" w:rsidP="002F6AE6">
            <w:pPr>
              <w:pStyle w:val="TableHeading"/>
              <w:rPr>
                <w:vertAlign w:val="superscript"/>
              </w:rPr>
            </w:pPr>
            <w:r w:rsidRPr="000756DF">
              <w:t>Final</w:t>
            </w:r>
            <w:r w:rsidRPr="000756DF">
              <w:rPr>
                <w:vertAlign w:val="superscript"/>
              </w:rPr>
              <w:t>a</w:t>
            </w:r>
          </w:p>
          <w:p w:rsidR="002F6AE6" w:rsidRDefault="00A60421" w:rsidP="002F6AE6">
            <w:pPr>
              <w:pStyle w:val="TableHeading"/>
            </w:pPr>
            <w:r w:rsidRPr="000756DF">
              <w:t>Mean value</w:t>
            </w:r>
          </w:p>
          <w:p w:rsidR="00A60421" w:rsidRPr="000756DF" w:rsidRDefault="00A60421" w:rsidP="002F6AE6">
            <w:pPr>
              <w:pStyle w:val="TableHeading"/>
            </w:pPr>
            <w:r w:rsidRPr="000756DF">
              <w:t>± SD (n)</w:t>
            </w:r>
          </w:p>
        </w:tc>
        <w:tc>
          <w:tcPr>
            <w:tcW w:w="695" w:type="pct"/>
            <w:tcBorders>
              <w:right w:val="single" w:sz="4" w:space="0" w:color="auto"/>
            </w:tcBorders>
          </w:tcPr>
          <w:p w:rsidR="00A60421" w:rsidRPr="000756DF" w:rsidRDefault="00A60421" w:rsidP="00A60421">
            <w:pPr>
              <w:pStyle w:val="TableHeading"/>
            </w:pPr>
            <w:r w:rsidRPr="000756DF">
              <w:t>Mean change</w:t>
            </w:r>
          </w:p>
          <w:p w:rsidR="00A60421" w:rsidRPr="000756DF" w:rsidRDefault="00A60421" w:rsidP="00A60421">
            <w:pPr>
              <w:pStyle w:val="TableHeading"/>
            </w:pPr>
            <w:r w:rsidRPr="000756DF">
              <w:t xml:space="preserve"> ± SD (n)</w:t>
            </w:r>
          </w:p>
        </w:tc>
        <w:tc>
          <w:tcPr>
            <w:tcW w:w="1544" w:type="pct"/>
            <w:tcBorders>
              <w:left w:val="single" w:sz="4" w:space="0" w:color="auto"/>
            </w:tcBorders>
          </w:tcPr>
          <w:p w:rsidR="00A60421" w:rsidRPr="000756DF" w:rsidRDefault="00A60421" w:rsidP="00A60421">
            <w:pPr>
              <w:pStyle w:val="TableHeading"/>
            </w:pPr>
            <w:r w:rsidRPr="000756DF">
              <w:t>Response by individual patients</w:t>
            </w:r>
          </w:p>
        </w:tc>
      </w:tr>
      <w:tr w:rsidR="00A60421" w:rsidRPr="000756DF" w:rsidTr="00A60421">
        <w:tc>
          <w:tcPr>
            <w:tcW w:w="600" w:type="pct"/>
          </w:tcPr>
          <w:p w:rsidR="00A60421" w:rsidRPr="000756DF" w:rsidRDefault="00A60421" w:rsidP="00A60421">
            <w:pPr>
              <w:pStyle w:val="TableText0"/>
            </w:pPr>
            <w:r w:rsidRPr="000756DF">
              <w:t>Liver volume (cc/g)</w:t>
            </w:r>
          </w:p>
        </w:tc>
        <w:tc>
          <w:tcPr>
            <w:tcW w:w="696" w:type="pct"/>
            <w:tcBorders>
              <w:right w:val="single" w:sz="4" w:space="0" w:color="auto"/>
            </w:tcBorders>
          </w:tcPr>
          <w:p w:rsidR="00A60421" w:rsidRPr="000756DF" w:rsidRDefault="00A60421" w:rsidP="00A60421">
            <w:pPr>
              <w:pStyle w:val="TableText0"/>
            </w:pPr>
            <w:r w:rsidRPr="000756DF">
              <w:t>68 (44)</w:t>
            </w:r>
          </w:p>
        </w:tc>
        <w:tc>
          <w:tcPr>
            <w:tcW w:w="693" w:type="pct"/>
            <w:tcBorders>
              <w:left w:val="single" w:sz="4" w:space="0" w:color="auto"/>
            </w:tcBorders>
          </w:tcPr>
          <w:p w:rsidR="00A60421" w:rsidRPr="000756DF" w:rsidRDefault="00A60421" w:rsidP="00A60421">
            <w:pPr>
              <w:pStyle w:val="TableText0"/>
            </w:pPr>
            <w:r w:rsidRPr="000756DF">
              <w:t>3.54 ± 1.02</w:t>
            </w:r>
          </w:p>
        </w:tc>
        <w:tc>
          <w:tcPr>
            <w:tcW w:w="772" w:type="pct"/>
          </w:tcPr>
          <w:p w:rsidR="00A60421" w:rsidRPr="000756DF" w:rsidRDefault="00A60421" w:rsidP="00A60421">
            <w:pPr>
              <w:pStyle w:val="TableText0"/>
            </w:pPr>
            <w:r w:rsidRPr="000756DF">
              <w:t>2.04 ± 0.36 (38)</w:t>
            </w:r>
          </w:p>
        </w:tc>
        <w:tc>
          <w:tcPr>
            <w:tcW w:w="695" w:type="pct"/>
            <w:tcBorders>
              <w:right w:val="single" w:sz="4" w:space="0" w:color="auto"/>
            </w:tcBorders>
          </w:tcPr>
          <w:p w:rsidR="00A60421" w:rsidRPr="000756DF" w:rsidRDefault="00A60421" w:rsidP="00A60421">
            <w:pPr>
              <w:pStyle w:val="TableText0"/>
            </w:pPr>
            <w:r w:rsidRPr="000756DF">
              <w:t>38% ± 3% (38) improvement</w:t>
            </w:r>
          </w:p>
        </w:tc>
        <w:tc>
          <w:tcPr>
            <w:tcW w:w="1544" w:type="pct"/>
            <w:tcBorders>
              <w:left w:val="single" w:sz="4" w:space="0" w:color="auto"/>
            </w:tcBorders>
          </w:tcPr>
          <w:p w:rsidR="00A60421" w:rsidRPr="000756DF" w:rsidRDefault="00A60421" w:rsidP="00A60421">
            <w:pPr>
              <w:pStyle w:val="TableText0"/>
            </w:pPr>
            <w:r w:rsidRPr="000756DF">
              <w:t>95% had normal values</w:t>
            </w:r>
          </w:p>
          <w:p w:rsidR="00A60421" w:rsidRPr="000756DF" w:rsidRDefault="00A60421" w:rsidP="00A60421">
            <w:pPr>
              <w:pStyle w:val="TableText0"/>
            </w:pPr>
            <w:r w:rsidRPr="000756DF">
              <w:t>92% of those with abnormal values attained normal values</w:t>
            </w:r>
          </w:p>
        </w:tc>
      </w:tr>
    </w:tbl>
    <w:p w:rsidR="00A60421" w:rsidRPr="000756DF" w:rsidRDefault="00A60421" w:rsidP="00A60421">
      <w:pPr>
        <w:pStyle w:val="TableNote"/>
      </w:pPr>
      <w:r w:rsidRPr="000756DF">
        <w:t xml:space="preserve">n </w:t>
      </w:r>
      <w:r w:rsidR="001B4E29" w:rsidRPr="00652355">
        <w:rPr>
          <w:spacing w:val="-20"/>
        </w:rPr>
        <w:t xml:space="preserve">= </w:t>
      </w:r>
      <w:r w:rsidR="001B4E29" w:rsidRPr="000756DF">
        <w:t>number</w:t>
      </w:r>
      <w:r w:rsidRPr="000756DF">
        <w:t xml:space="preserve"> of with available data</w:t>
      </w:r>
    </w:p>
    <w:p w:rsidR="00A60421" w:rsidRPr="000756DF" w:rsidRDefault="00A60421" w:rsidP="00475E97">
      <w:pPr>
        <w:rPr>
          <w:rFonts w:eastAsiaTheme="majorEastAsia"/>
        </w:rPr>
      </w:pPr>
    </w:p>
    <w:p w:rsidR="00A60421" w:rsidRPr="000756DF" w:rsidRDefault="00A60421" w:rsidP="00EC5DFF">
      <w:pPr>
        <w:pStyle w:val="Heading6"/>
        <w:rPr>
          <w:rFonts w:eastAsiaTheme="majorEastAsia"/>
        </w:rPr>
      </w:pPr>
      <w:r w:rsidRPr="000756DF">
        <w:rPr>
          <w:rFonts w:eastAsiaTheme="majorEastAsia"/>
        </w:rPr>
        <w:t>Changes in clinical endpoints</w:t>
      </w:r>
    </w:p>
    <w:p w:rsidR="00A60421" w:rsidRPr="000756DF" w:rsidRDefault="00A72B26" w:rsidP="00A60421">
      <w:pPr>
        <w:rPr>
          <w:rFonts w:asciiTheme="majorHAnsi" w:eastAsiaTheme="majorEastAsia" w:hAnsiTheme="majorHAnsi" w:cs="Calibri"/>
          <w:bCs/>
          <w:color w:val="002060"/>
          <w:sz w:val="26"/>
          <w:szCs w:val="26"/>
          <w:highlight w:val="yellow"/>
        </w:rPr>
      </w:pPr>
      <w:r w:rsidRPr="00716774">
        <w:t xml:space="preserve">Table </w:t>
      </w:r>
      <w:r>
        <w:rPr>
          <w:noProof/>
        </w:rPr>
        <w:t>100</w:t>
      </w:r>
      <w:r w:rsidR="00A60421" w:rsidRPr="000756DF">
        <w:rPr>
          <w:rFonts w:eastAsiaTheme="majorEastAsia"/>
        </w:rPr>
        <w:t xml:space="preserve"> provides data for a range of clinical outcomes measured in the laronidase extension trial. Respiratory function was assessed by percent predicted forced vital capacity (%FVC) and this outcome indicated patient decline fro</w:t>
      </w:r>
      <w:r w:rsidR="00AD462B">
        <w:rPr>
          <w:rFonts w:eastAsiaTheme="majorEastAsia"/>
        </w:rPr>
        <w:t>m baseline to final assessment,</w:t>
      </w:r>
      <w:r w:rsidR="00A60421" w:rsidRPr="000756DF">
        <w:rPr>
          <w:rFonts w:eastAsiaTheme="majorEastAsia"/>
        </w:rPr>
        <w:t xml:space="preserve"> albeit </w:t>
      </w:r>
      <w:r w:rsidR="00A60421">
        <w:rPr>
          <w:rFonts w:eastAsiaTheme="majorEastAsia"/>
        </w:rPr>
        <w:t xml:space="preserve">a </w:t>
      </w:r>
      <w:r w:rsidR="00A60421" w:rsidRPr="000756DF">
        <w:rPr>
          <w:rFonts w:eastAsiaTheme="majorEastAsia"/>
        </w:rPr>
        <w:t xml:space="preserve">slow </w:t>
      </w:r>
      <w:r w:rsidR="00A60421">
        <w:rPr>
          <w:rFonts w:eastAsiaTheme="majorEastAsia"/>
        </w:rPr>
        <w:t>decline of</w:t>
      </w:r>
      <w:r w:rsidR="00A60421" w:rsidRPr="000756DF">
        <w:rPr>
          <w:rFonts w:eastAsiaTheme="majorEastAsia"/>
        </w:rPr>
        <w:t xml:space="preserve"> approximately one percentage point per year</w:t>
      </w:r>
      <w:r w:rsidR="00BE0692">
        <w:rPr>
          <w:rFonts w:eastAsiaTheme="majorEastAsia"/>
        </w:rPr>
        <w:t xml:space="preserve"> (</w:t>
      </w:r>
      <w:r w:rsidR="00A03B89">
        <w:rPr>
          <w:rFonts w:eastAsiaTheme="majorEastAsia"/>
        </w:rPr>
        <w:t xml:space="preserve">not meeting the </w:t>
      </w:r>
      <w:r w:rsidR="00BE0692">
        <w:rPr>
          <w:rFonts w:eastAsiaTheme="majorEastAsia"/>
        </w:rPr>
        <w:t>minimum clinically important difference is defined as a %FVC ≥15%)</w:t>
      </w:r>
      <w:r w:rsidR="00A60421" w:rsidRPr="000756DF">
        <w:rPr>
          <w:rFonts w:eastAsiaTheme="majorEastAsia"/>
        </w:rPr>
        <w:t>. The other clinical measurements showed improvement from baseline to final assessment. The score with the greatest number of improved patients was the CHAQ/HAQ disability index which measures physical disability and limitations in activities of daily living</w:t>
      </w:r>
      <w:r w:rsidR="00BE0692">
        <w:rPr>
          <w:rFonts w:eastAsiaTheme="majorEastAsia"/>
        </w:rPr>
        <w:t xml:space="preserve"> on a scale of 0 to 3. The authors defined the </w:t>
      </w:r>
      <w:r w:rsidR="001B4E29">
        <w:rPr>
          <w:rFonts w:eastAsiaTheme="majorEastAsia"/>
        </w:rPr>
        <w:t>minimum</w:t>
      </w:r>
      <w:r w:rsidR="00BE0692">
        <w:rPr>
          <w:rFonts w:eastAsiaTheme="majorEastAsia"/>
        </w:rPr>
        <w:t xml:space="preserve"> clinically important difference as a change of 0.24 </w:t>
      </w:r>
      <w:r w:rsidR="00A130D0">
        <w:rPr>
          <w:rFonts w:eastAsiaTheme="majorEastAsia"/>
          <w:noProof/>
        </w:rPr>
        <w:t>(</w:t>
      </w:r>
      <w:r w:rsidR="00184B6F">
        <w:rPr>
          <w:rFonts w:eastAsiaTheme="majorEastAsia"/>
          <w:noProof/>
        </w:rPr>
        <w:t>Clarke et al. 2009</w:t>
      </w:r>
      <w:r w:rsidR="00A130D0">
        <w:rPr>
          <w:rFonts w:eastAsiaTheme="majorEastAsia"/>
          <w:noProof/>
        </w:rPr>
        <w:t>)</w:t>
      </w:r>
      <w:r w:rsidR="00A60421" w:rsidRPr="000756DF">
        <w:rPr>
          <w:rFonts w:eastAsiaTheme="majorEastAsia"/>
        </w:rPr>
        <w:t>. The index remained stable or improved gradually over time from a level of severe at baseline (overall baseline index score 1.91) in 27 out of 35 patients by the final assessment</w:t>
      </w:r>
      <w:r w:rsidR="00A03B89">
        <w:rPr>
          <w:rFonts w:eastAsiaTheme="majorEastAsia"/>
        </w:rPr>
        <w:t>, with a mean decrease of 0.31 being clinically important</w:t>
      </w:r>
      <w:r w:rsidR="00A60421" w:rsidRPr="008875F8">
        <w:rPr>
          <w:rFonts w:eastAsiaTheme="majorEastAsia"/>
        </w:rPr>
        <w:t xml:space="preserve"> </w:t>
      </w:r>
      <w:r w:rsidR="00A60421">
        <w:rPr>
          <w:rFonts w:eastAsiaTheme="majorEastAsia"/>
        </w:rPr>
        <w:t>(</w:t>
      </w:r>
      <w:r w:rsidR="00A60421">
        <w:t xml:space="preserve">GRADE </w:t>
      </w:r>
      <w:r w:rsidR="00A60421" w:rsidRPr="00D4733A">
        <w:rPr>
          <w:rFonts w:ascii="Cambria Math" w:hAnsi="Cambria Math"/>
          <w:color w:val="00B050"/>
        </w:rPr>
        <w:t>⨁⨁⨁</w:t>
      </w:r>
      <w:r w:rsidR="00A60421" w:rsidRPr="00D4733A">
        <w:rPr>
          <w:rFonts w:ascii="Cambria Math" w:hAnsi="Cambria Math"/>
          <w:color w:val="C00000"/>
        </w:rPr>
        <w:t>⨀</w:t>
      </w:r>
      <w:r w:rsidR="00A60421">
        <w:t>)</w:t>
      </w:r>
      <w:r w:rsidR="00AD462B">
        <w:rPr>
          <w:rFonts w:eastAsiaTheme="majorEastAsia"/>
        </w:rPr>
        <w:t>.</w:t>
      </w:r>
      <w:r w:rsidR="00A60421" w:rsidRPr="000756DF">
        <w:rPr>
          <w:rFonts w:eastAsiaTheme="majorEastAsia"/>
        </w:rPr>
        <w:t xml:space="preserve"> In addition there was improvement in pain in 30 patients when the Pain Index</w:t>
      </w:r>
      <w:r w:rsidR="00D1316F">
        <w:rPr>
          <w:rFonts w:eastAsiaTheme="majorEastAsia"/>
        </w:rPr>
        <w:t xml:space="preserve"> </w:t>
      </w:r>
      <w:r w:rsidR="00D1316F" w:rsidRPr="000756DF">
        <w:rPr>
          <w:rFonts w:eastAsiaTheme="majorEastAsia"/>
        </w:rPr>
        <w:t>was used to assess this outcome</w:t>
      </w:r>
      <w:r w:rsidR="00A60421" w:rsidRPr="000756DF">
        <w:rPr>
          <w:rFonts w:eastAsiaTheme="majorEastAsia"/>
        </w:rPr>
        <w:t xml:space="preserve"> </w:t>
      </w:r>
      <w:r w:rsidR="00D1316F">
        <w:rPr>
          <w:rFonts w:eastAsiaTheme="majorEastAsia"/>
        </w:rPr>
        <w:t xml:space="preserve">(a subscale of the CHAQ/HAQ, also on a scale of 0 to 3) </w:t>
      </w:r>
      <w:r w:rsidR="00A60421" w:rsidRPr="000756DF">
        <w:rPr>
          <w:rFonts w:eastAsiaTheme="majorEastAsia"/>
        </w:rPr>
        <w:t>(baseline mean value 0.93 ± 0.84; final mean value 0.56 ± 0.52, mean decrease 0.34 ± 0.14</w:t>
      </w:r>
      <w:r w:rsidR="00D1316F">
        <w:rPr>
          <w:rFonts w:eastAsiaTheme="majorEastAsia"/>
        </w:rPr>
        <w:t>. It is likely that this reflects a clinically meaningful difference</w:t>
      </w:r>
      <w:r w:rsidR="00A60421">
        <w:rPr>
          <w:rFonts w:eastAsiaTheme="majorEastAsia"/>
        </w:rPr>
        <w:t xml:space="preserve"> </w:t>
      </w:r>
      <w:r w:rsidR="00A60421">
        <w:t xml:space="preserve">(GRADE </w:t>
      </w:r>
      <w:r w:rsidR="00A60421" w:rsidRPr="00D4733A">
        <w:rPr>
          <w:rFonts w:ascii="Cambria Math" w:hAnsi="Cambria Math"/>
          <w:color w:val="00B050"/>
        </w:rPr>
        <w:t>⨁⨁⨁</w:t>
      </w:r>
      <w:r w:rsidR="00A60421" w:rsidRPr="00D4733A">
        <w:rPr>
          <w:rFonts w:ascii="Cambria Math" w:hAnsi="Cambria Math"/>
          <w:color w:val="C00000"/>
        </w:rPr>
        <w:t>⨀</w:t>
      </w:r>
      <w:r w:rsidR="00A60421" w:rsidRPr="000756DF">
        <w:rPr>
          <w:rFonts w:eastAsiaTheme="majorEastAsia"/>
        </w:rPr>
        <w:t xml:space="preserve">). There were also improvements in mobility. </w:t>
      </w:r>
      <w:r w:rsidR="00BE0692">
        <w:rPr>
          <w:rFonts w:eastAsiaTheme="majorEastAsia"/>
        </w:rPr>
        <w:t xml:space="preserve">An improvement on the 6MWT was defined as being able to walk at least an extra 54 metres. The average improvement over the study period was only 17.1 metres. </w:t>
      </w:r>
      <w:r w:rsidR="00A60421" w:rsidRPr="000756DF">
        <w:rPr>
          <w:rFonts w:eastAsiaTheme="majorEastAsia"/>
        </w:rPr>
        <w:t>Overall 31 out of 40 patients showed improvement or stabilisation in the 6MWT outcome at the final assessment compared to baseline</w:t>
      </w:r>
      <w:r w:rsidR="00A60421">
        <w:rPr>
          <w:rFonts w:eastAsiaTheme="majorEastAsia"/>
        </w:rPr>
        <w:t xml:space="preserve"> </w:t>
      </w:r>
      <w:r w:rsidR="00A60421">
        <w:t xml:space="preserve">(GRADE </w:t>
      </w:r>
      <w:r w:rsidR="00A60421" w:rsidRPr="00D4733A">
        <w:rPr>
          <w:rFonts w:ascii="Cambria Math" w:hAnsi="Cambria Math"/>
          <w:color w:val="00B050"/>
        </w:rPr>
        <w:t>⨁⨁⨁</w:t>
      </w:r>
      <w:r w:rsidR="00A60421" w:rsidRPr="00D4733A">
        <w:rPr>
          <w:rFonts w:ascii="Cambria Math" w:hAnsi="Cambria Math"/>
          <w:color w:val="C00000"/>
        </w:rPr>
        <w:t>⨀</w:t>
      </w:r>
      <w:r w:rsidR="00A60421">
        <w:t>)</w:t>
      </w:r>
      <w:r w:rsidR="00A60421" w:rsidRPr="000756DF">
        <w:rPr>
          <w:rFonts w:eastAsiaTheme="majorEastAsia"/>
        </w:rPr>
        <w:t xml:space="preserve">. Shoulder range of movement was </w:t>
      </w:r>
      <w:r w:rsidR="00D1316F">
        <w:rPr>
          <w:rFonts w:eastAsiaTheme="majorEastAsia"/>
        </w:rPr>
        <w:t xml:space="preserve">meaningfully </w:t>
      </w:r>
      <w:r w:rsidR="00A60421" w:rsidRPr="000756DF">
        <w:rPr>
          <w:rFonts w:eastAsiaTheme="majorEastAsia"/>
        </w:rPr>
        <w:t xml:space="preserve">improved in 46% of patients </w:t>
      </w:r>
      <w:r w:rsidR="00D1316F">
        <w:rPr>
          <w:rFonts w:eastAsiaTheme="majorEastAsia"/>
        </w:rPr>
        <w:t xml:space="preserve">(improvement by ≥20°) </w:t>
      </w:r>
      <w:r w:rsidR="00A60421" w:rsidRPr="000756DF">
        <w:rPr>
          <w:rFonts w:eastAsiaTheme="majorEastAsia"/>
        </w:rPr>
        <w:t>and remained sta</w:t>
      </w:r>
      <w:r w:rsidR="00A60421">
        <w:rPr>
          <w:rFonts w:eastAsiaTheme="majorEastAsia"/>
        </w:rPr>
        <w:t xml:space="preserve">ble in 49% over the same period </w:t>
      </w:r>
      <w:r w:rsidR="00A60421">
        <w:t xml:space="preserve">(GRADE </w:t>
      </w:r>
      <w:r w:rsidR="00A60421" w:rsidRPr="00D4733A">
        <w:rPr>
          <w:rFonts w:ascii="Cambria Math" w:hAnsi="Cambria Math"/>
          <w:color w:val="00B050"/>
        </w:rPr>
        <w:t>⨁⨁</w:t>
      </w:r>
      <w:r w:rsidR="00A60421" w:rsidRPr="00D4733A">
        <w:rPr>
          <w:rFonts w:ascii="Cambria Math" w:hAnsi="Cambria Math"/>
          <w:color w:val="C00000"/>
        </w:rPr>
        <w:t>⨀⨀</w:t>
      </w:r>
      <w:r w:rsidR="00A60421">
        <w:t>)</w:t>
      </w:r>
      <w:r w:rsidR="00A60421">
        <w:rPr>
          <w:rFonts w:eastAsiaTheme="majorEastAsia"/>
        </w:rPr>
        <w:t>.</w:t>
      </w:r>
    </w:p>
    <w:p w:rsidR="00A60421" w:rsidRPr="00E965BD" w:rsidRDefault="00A60421" w:rsidP="00A60421">
      <w:pPr>
        <w:pStyle w:val="Caption"/>
        <w:keepNext/>
        <w:tabs>
          <w:tab w:val="clear" w:pos="851"/>
          <w:tab w:val="left" w:pos="1134"/>
        </w:tabs>
        <w:ind w:left="1134" w:hanging="1134"/>
      </w:pPr>
      <w:bookmarkStart w:id="389" w:name="_Ref404255956"/>
      <w:bookmarkStart w:id="390" w:name="_Toc411510466"/>
      <w:bookmarkStart w:id="391" w:name="_Toc415141897"/>
      <w:r w:rsidRPr="00716774">
        <w:lastRenderedPageBreak/>
        <w:t xml:space="preserve">Table </w:t>
      </w:r>
      <w:r w:rsidR="00A72B26">
        <w:rPr>
          <w:noProof/>
        </w:rPr>
        <w:t>100</w:t>
      </w:r>
      <w:bookmarkEnd w:id="389"/>
      <w:r w:rsidRPr="00716774">
        <w:t xml:space="preserve"> </w:t>
      </w:r>
      <w:r>
        <w:tab/>
      </w:r>
      <w:r w:rsidRPr="00716774">
        <w:t>Changes</w:t>
      </w:r>
      <w:r w:rsidR="00E41B1D">
        <w:t xml:space="preserve"> in clinical endpoints for MPS </w:t>
      </w:r>
      <w:r w:rsidRPr="00716774">
        <w:t xml:space="preserve">I patients treated with laronidase </w:t>
      </w:r>
      <w:r w:rsidR="00A130D0">
        <w:rPr>
          <w:noProof/>
        </w:rPr>
        <w:t>(</w:t>
      </w:r>
      <w:r w:rsidR="00184B6F">
        <w:rPr>
          <w:noProof/>
        </w:rPr>
        <w:t>Clarke et al. 2009</w:t>
      </w:r>
      <w:r w:rsidR="00A130D0">
        <w:rPr>
          <w:noProof/>
        </w:rPr>
        <w:t>)</w:t>
      </w:r>
      <w:bookmarkEnd w:id="390"/>
      <w:bookmarkEnd w:id="391"/>
    </w:p>
    <w:tbl>
      <w:tblPr>
        <w:tblStyle w:val="TableGrid"/>
        <w:tblW w:w="0" w:type="auto"/>
        <w:tblLook w:val="04A0" w:firstRow="1" w:lastRow="0" w:firstColumn="1" w:lastColumn="0" w:noHBand="0" w:noVBand="1"/>
        <w:tblCaption w:val="Table 68  Changes in clinical endpoints for MPS I patients treated with laronidase (Clarke et al. 2009)"/>
      </w:tblPr>
      <w:tblGrid>
        <w:gridCol w:w="1242"/>
        <w:gridCol w:w="1418"/>
        <w:gridCol w:w="1134"/>
        <w:gridCol w:w="1134"/>
        <w:gridCol w:w="1627"/>
        <w:gridCol w:w="993"/>
        <w:gridCol w:w="756"/>
        <w:gridCol w:w="938"/>
      </w:tblGrid>
      <w:tr w:rsidR="00A60421" w:rsidRPr="000756DF" w:rsidTr="00CC6E89">
        <w:trPr>
          <w:trHeight w:val="751"/>
          <w:tblHeader/>
        </w:trPr>
        <w:tc>
          <w:tcPr>
            <w:tcW w:w="1242" w:type="dxa"/>
          </w:tcPr>
          <w:p w:rsidR="00A60421" w:rsidRPr="000756DF" w:rsidRDefault="00A60421" w:rsidP="00A60421">
            <w:pPr>
              <w:pStyle w:val="TableHeading"/>
            </w:pPr>
            <w:r w:rsidRPr="000756DF">
              <w:t>Outcome</w:t>
            </w:r>
          </w:p>
        </w:tc>
        <w:tc>
          <w:tcPr>
            <w:tcW w:w="1418" w:type="dxa"/>
            <w:tcBorders>
              <w:right w:val="single" w:sz="4" w:space="0" w:color="auto"/>
            </w:tcBorders>
          </w:tcPr>
          <w:p w:rsidR="00A60421" w:rsidRPr="000756DF" w:rsidRDefault="00A60421" w:rsidP="00A60421">
            <w:pPr>
              <w:pStyle w:val="TableHeading"/>
            </w:pPr>
            <w:r w:rsidRPr="000756DF">
              <w:t>Patients with abnormal value  % (n)</w:t>
            </w:r>
          </w:p>
        </w:tc>
        <w:tc>
          <w:tcPr>
            <w:tcW w:w="1134" w:type="dxa"/>
            <w:tcBorders>
              <w:left w:val="single" w:sz="4" w:space="0" w:color="auto"/>
            </w:tcBorders>
          </w:tcPr>
          <w:p w:rsidR="00A60421" w:rsidRPr="000756DF" w:rsidRDefault="00A60421" w:rsidP="00A60421">
            <w:pPr>
              <w:pStyle w:val="TableHeading"/>
            </w:pPr>
            <w:r w:rsidRPr="000756DF">
              <w:t>Baseline</w:t>
            </w:r>
            <w:r w:rsidRPr="000756DF">
              <w:rPr>
                <w:vertAlign w:val="superscript"/>
              </w:rPr>
              <w:t>a</w:t>
            </w:r>
            <w:r w:rsidRPr="000756DF">
              <w:t xml:space="preserve"> Mean value  ± SD</w:t>
            </w:r>
          </w:p>
        </w:tc>
        <w:tc>
          <w:tcPr>
            <w:tcW w:w="1134" w:type="dxa"/>
          </w:tcPr>
          <w:p w:rsidR="002F6AE6" w:rsidRDefault="00A60421" w:rsidP="002F6AE6">
            <w:pPr>
              <w:pStyle w:val="TableHeading"/>
            </w:pPr>
            <w:r w:rsidRPr="000756DF">
              <w:t>Final</w:t>
            </w:r>
            <w:r w:rsidRPr="000756DF">
              <w:rPr>
                <w:vertAlign w:val="superscript"/>
              </w:rPr>
              <w:t>a</w:t>
            </w:r>
          </w:p>
          <w:p w:rsidR="002F6AE6" w:rsidRDefault="00A60421" w:rsidP="002F6AE6">
            <w:pPr>
              <w:pStyle w:val="TableHeading"/>
            </w:pPr>
            <w:r w:rsidRPr="000756DF">
              <w:t>Mean value</w:t>
            </w:r>
          </w:p>
          <w:p w:rsidR="00A60421" w:rsidRPr="000756DF" w:rsidRDefault="00A60421" w:rsidP="002F6AE6">
            <w:pPr>
              <w:pStyle w:val="TableHeading"/>
            </w:pPr>
            <w:r w:rsidRPr="000756DF">
              <w:t>± SD (n)</w:t>
            </w:r>
          </w:p>
        </w:tc>
        <w:tc>
          <w:tcPr>
            <w:tcW w:w="1627" w:type="dxa"/>
            <w:tcBorders>
              <w:right w:val="single" w:sz="4" w:space="0" w:color="auto"/>
            </w:tcBorders>
          </w:tcPr>
          <w:p w:rsidR="00A60421" w:rsidRPr="000756DF" w:rsidRDefault="00A60421" w:rsidP="00A60421">
            <w:pPr>
              <w:pStyle w:val="TableHeading"/>
            </w:pPr>
            <w:r w:rsidRPr="000756DF">
              <w:t>Mean change</w:t>
            </w:r>
          </w:p>
          <w:p w:rsidR="00A60421" w:rsidRPr="000756DF" w:rsidRDefault="00A60421" w:rsidP="00A60421">
            <w:pPr>
              <w:pStyle w:val="TableHeading"/>
            </w:pPr>
            <w:r w:rsidRPr="000756DF">
              <w:t xml:space="preserve"> ± SD (n)</w:t>
            </w:r>
          </w:p>
        </w:tc>
        <w:tc>
          <w:tcPr>
            <w:tcW w:w="0" w:type="auto"/>
            <w:tcBorders>
              <w:left w:val="single" w:sz="4" w:space="0" w:color="auto"/>
            </w:tcBorders>
          </w:tcPr>
          <w:p w:rsidR="00A60421" w:rsidRPr="000756DF" w:rsidRDefault="00A60421" w:rsidP="00E41B1D">
            <w:pPr>
              <w:pStyle w:val="TableHeading"/>
            </w:pPr>
            <w:r w:rsidRPr="000756DF">
              <w:t>Improved %</w:t>
            </w:r>
          </w:p>
        </w:tc>
        <w:tc>
          <w:tcPr>
            <w:tcW w:w="756" w:type="dxa"/>
            <w:tcBorders>
              <w:left w:val="single" w:sz="4" w:space="0" w:color="auto"/>
            </w:tcBorders>
          </w:tcPr>
          <w:p w:rsidR="00A60421" w:rsidRPr="000756DF" w:rsidRDefault="00A60421" w:rsidP="00E41B1D">
            <w:pPr>
              <w:pStyle w:val="TableHeading"/>
            </w:pPr>
            <w:r w:rsidRPr="000756DF">
              <w:t>Stable  %</w:t>
            </w:r>
          </w:p>
        </w:tc>
        <w:tc>
          <w:tcPr>
            <w:tcW w:w="938" w:type="dxa"/>
            <w:tcBorders>
              <w:left w:val="single" w:sz="4" w:space="0" w:color="auto"/>
            </w:tcBorders>
          </w:tcPr>
          <w:p w:rsidR="00A60421" w:rsidRPr="000756DF" w:rsidRDefault="00A60421" w:rsidP="00E41B1D">
            <w:pPr>
              <w:pStyle w:val="TableHeading"/>
            </w:pPr>
            <w:r w:rsidRPr="000756DF">
              <w:t>Declined %</w:t>
            </w:r>
          </w:p>
        </w:tc>
      </w:tr>
      <w:tr w:rsidR="00A60421" w:rsidRPr="000756DF" w:rsidTr="00CC6E89">
        <w:trPr>
          <w:trHeight w:val="976"/>
        </w:trPr>
        <w:tc>
          <w:tcPr>
            <w:tcW w:w="1242" w:type="dxa"/>
          </w:tcPr>
          <w:p w:rsidR="00A60421" w:rsidRPr="000756DF" w:rsidRDefault="00A60421" w:rsidP="00A60421">
            <w:pPr>
              <w:pStyle w:val="TableText0"/>
            </w:pPr>
            <w:r w:rsidRPr="000756DF">
              <w:t>% predicted normal FVC</w:t>
            </w:r>
          </w:p>
        </w:tc>
        <w:tc>
          <w:tcPr>
            <w:tcW w:w="1418" w:type="dxa"/>
            <w:tcBorders>
              <w:right w:val="single" w:sz="4" w:space="0" w:color="auto"/>
            </w:tcBorders>
          </w:tcPr>
          <w:p w:rsidR="00A60421" w:rsidRPr="000756DF" w:rsidRDefault="00A60421" w:rsidP="00A60421">
            <w:pPr>
              <w:pStyle w:val="TableText0"/>
            </w:pPr>
            <w:r w:rsidRPr="000756DF">
              <w:t>100(45)</w:t>
            </w:r>
          </w:p>
        </w:tc>
        <w:tc>
          <w:tcPr>
            <w:tcW w:w="1134" w:type="dxa"/>
            <w:tcBorders>
              <w:left w:val="single" w:sz="4" w:space="0" w:color="auto"/>
            </w:tcBorders>
          </w:tcPr>
          <w:p w:rsidR="00A60421" w:rsidRPr="000756DF" w:rsidRDefault="00A60421" w:rsidP="00A60421">
            <w:pPr>
              <w:pStyle w:val="TableText0"/>
            </w:pPr>
            <w:r w:rsidRPr="000756DF">
              <w:t>49.9 ± 13.9</w:t>
            </w:r>
          </w:p>
        </w:tc>
        <w:tc>
          <w:tcPr>
            <w:tcW w:w="1134" w:type="dxa"/>
          </w:tcPr>
          <w:p w:rsidR="00A60421" w:rsidRPr="000756DF" w:rsidRDefault="00A60421" w:rsidP="00A60421">
            <w:pPr>
              <w:pStyle w:val="TableText0"/>
            </w:pPr>
            <w:r w:rsidRPr="000756DF">
              <w:t>48.3 ± 13.7 (40)</w:t>
            </w:r>
          </w:p>
        </w:tc>
        <w:tc>
          <w:tcPr>
            <w:tcW w:w="1627" w:type="dxa"/>
            <w:tcBorders>
              <w:right w:val="single" w:sz="4" w:space="0" w:color="auto"/>
            </w:tcBorders>
          </w:tcPr>
          <w:p w:rsidR="00A60421" w:rsidRPr="000756DF" w:rsidRDefault="00A60421" w:rsidP="00A60421">
            <w:pPr>
              <w:pStyle w:val="TableText0"/>
              <w:rPr>
                <w:vertAlign w:val="superscript"/>
              </w:rPr>
            </w:pPr>
            <w:r w:rsidRPr="000756DF">
              <w:t>0.78 ± 0.32 percentage point decline per year (45)</w:t>
            </w:r>
            <w:r w:rsidRPr="000756DF">
              <w:rPr>
                <w:vertAlign w:val="superscript"/>
              </w:rPr>
              <w:t>b</w:t>
            </w:r>
          </w:p>
        </w:tc>
        <w:tc>
          <w:tcPr>
            <w:tcW w:w="0" w:type="auto"/>
            <w:tcBorders>
              <w:left w:val="single" w:sz="4" w:space="0" w:color="auto"/>
            </w:tcBorders>
          </w:tcPr>
          <w:p w:rsidR="00A60421" w:rsidRPr="000756DF" w:rsidRDefault="00A60421" w:rsidP="00E41B1D">
            <w:pPr>
              <w:pStyle w:val="TableText0"/>
            </w:pPr>
            <w:r w:rsidRPr="000756DF">
              <w:t>18</w:t>
            </w:r>
          </w:p>
        </w:tc>
        <w:tc>
          <w:tcPr>
            <w:tcW w:w="756" w:type="dxa"/>
            <w:tcBorders>
              <w:left w:val="single" w:sz="4" w:space="0" w:color="auto"/>
            </w:tcBorders>
          </w:tcPr>
          <w:p w:rsidR="00A60421" w:rsidRPr="000756DF" w:rsidRDefault="00A60421" w:rsidP="00E41B1D">
            <w:pPr>
              <w:pStyle w:val="TableText0"/>
            </w:pPr>
            <w:r w:rsidRPr="000756DF">
              <w:t>55</w:t>
            </w:r>
          </w:p>
        </w:tc>
        <w:tc>
          <w:tcPr>
            <w:tcW w:w="938" w:type="dxa"/>
            <w:tcBorders>
              <w:left w:val="single" w:sz="4" w:space="0" w:color="auto"/>
            </w:tcBorders>
          </w:tcPr>
          <w:p w:rsidR="00A60421" w:rsidRPr="000756DF" w:rsidRDefault="00A60421" w:rsidP="00E41B1D">
            <w:pPr>
              <w:pStyle w:val="TableText0"/>
            </w:pPr>
            <w:r w:rsidRPr="000756DF">
              <w:t>28</w:t>
            </w:r>
          </w:p>
        </w:tc>
      </w:tr>
      <w:tr w:rsidR="00A60421" w:rsidRPr="000756DF" w:rsidTr="00CC6E89">
        <w:trPr>
          <w:trHeight w:val="764"/>
        </w:trPr>
        <w:tc>
          <w:tcPr>
            <w:tcW w:w="1242" w:type="dxa"/>
          </w:tcPr>
          <w:p w:rsidR="00A60421" w:rsidRPr="000756DF" w:rsidRDefault="00A60421" w:rsidP="00A60421">
            <w:pPr>
              <w:pStyle w:val="TableText0"/>
            </w:pPr>
            <w:r w:rsidRPr="000756DF">
              <w:t>Distance walked in the 6MWT (m)</w:t>
            </w:r>
          </w:p>
        </w:tc>
        <w:tc>
          <w:tcPr>
            <w:tcW w:w="1418" w:type="dxa"/>
            <w:tcBorders>
              <w:right w:val="single" w:sz="4" w:space="0" w:color="auto"/>
            </w:tcBorders>
          </w:tcPr>
          <w:p w:rsidR="00A60421" w:rsidRPr="000756DF" w:rsidRDefault="00A60421" w:rsidP="00A60421">
            <w:pPr>
              <w:pStyle w:val="TableText0"/>
            </w:pPr>
            <w:r w:rsidRPr="000756DF">
              <w:t>33 (45)</w:t>
            </w:r>
          </w:p>
        </w:tc>
        <w:tc>
          <w:tcPr>
            <w:tcW w:w="1134" w:type="dxa"/>
            <w:tcBorders>
              <w:left w:val="single" w:sz="4" w:space="0" w:color="auto"/>
            </w:tcBorders>
          </w:tcPr>
          <w:p w:rsidR="00A60421" w:rsidRPr="000756DF" w:rsidRDefault="00AA4512" w:rsidP="00A60421">
            <w:pPr>
              <w:pStyle w:val="TableText0"/>
            </w:pPr>
            <w:r>
              <w:t>334</w:t>
            </w:r>
            <w:r w:rsidR="00A60421" w:rsidRPr="000756DF">
              <w:t>.0 ± 129.5</w:t>
            </w:r>
          </w:p>
        </w:tc>
        <w:tc>
          <w:tcPr>
            <w:tcW w:w="1134" w:type="dxa"/>
          </w:tcPr>
          <w:p w:rsidR="00A60421" w:rsidRPr="000756DF" w:rsidRDefault="00A60421" w:rsidP="00A60421">
            <w:pPr>
              <w:pStyle w:val="TableText0"/>
            </w:pPr>
            <w:r w:rsidRPr="000756DF">
              <w:t>373.3 ± 133.0 (40)</w:t>
            </w:r>
          </w:p>
        </w:tc>
        <w:tc>
          <w:tcPr>
            <w:tcW w:w="1627" w:type="dxa"/>
            <w:tcBorders>
              <w:right w:val="single" w:sz="4" w:space="0" w:color="auto"/>
            </w:tcBorders>
          </w:tcPr>
          <w:p w:rsidR="00A60421" w:rsidRPr="000756DF" w:rsidRDefault="00A60421" w:rsidP="00A60421">
            <w:pPr>
              <w:pStyle w:val="TableText0"/>
              <w:rPr>
                <w:vertAlign w:val="superscript"/>
              </w:rPr>
            </w:pPr>
            <w:r w:rsidRPr="000756DF">
              <w:t>17.1 ± 16.8 improvement (45)</w:t>
            </w:r>
            <w:r w:rsidRPr="000756DF">
              <w:rPr>
                <w:vertAlign w:val="superscript"/>
              </w:rPr>
              <w:t>b</w:t>
            </w:r>
          </w:p>
        </w:tc>
        <w:tc>
          <w:tcPr>
            <w:tcW w:w="0" w:type="auto"/>
            <w:tcBorders>
              <w:left w:val="single" w:sz="4" w:space="0" w:color="auto"/>
            </w:tcBorders>
          </w:tcPr>
          <w:p w:rsidR="00A60421" w:rsidRPr="000756DF" w:rsidRDefault="00A60421" w:rsidP="00E41B1D">
            <w:pPr>
              <w:pStyle w:val="TableText0"/>
            </w:pPr>
            <w:r w:rsidRPr="000756DF">
              <w:t>50</w:t>
            </w:r>
          </w:p>
        </w:tc>
        <w:tc>
          <w:tcPr>
            <w:tcW w:w="756" w:type="dxa"/>
            <w:tcBorders>
              <w:left w:val="single" w:sz="4" w:space="0" w:color="auto"/>
            </w:tcBorders>
          </w:tcPr>
          <w:p w:rsidR="00A60421" w:rsidRPr="000756DF" w:rsidRDefault="00A60421" w:rsidP="00E41B1D">
            <w:pPr>
              <w:pStyle w:val="TableText0"/>
            </w:pPr>
            <w:r w:rsidRPr="000756DF">
              <w:t>28</w:t>
            </w:r>
          </w:p>
        </w:tc>
        <w:tc>
          <w:tcPr>
            <w:tcW w:w="938" w:type="dxa"/>
            <w:tcBorders>
              <w:left w:val="single" w:sz="4" w:space="0" w:color="auto"/>
            </w:tcBorders>
          </w:tcPr>
          <w:p w:rsidR="00A60421" w:rsidRPr="000756DF" w:rsidRDefault="00A60421" w:rsidP="00E41B1D">
            <w:pPr>
              <w:pStyle w:val="TableText0"/>
            </w:pPr>
            <w:r w:rsidRPr="000756DF">
              <w:t>23</w:t>
            </w:r>
          </w:p>
        </w:tc>
      </w:tr>
      <w:tr w:rsidR="00A60421" w:rsidRPr="000756DF" w:rsidTr="00CC6E89">
        <w:trPr>
          <w:trHeight w:val="751"/>
        </w:trPr>
        <w:tc>
          <w:tcPr>
            <w:tcW w:w="1242" w:type="dxa"/>
          </w:tcPr>
          <w:p w:rsidR="00A60421" w:rsidRPr="000756DF" w:rsidRDefault="00A60421" w:rsidP="00A60421">
            <w:pPr>
              <w:pStyle w:val="TableText0"/>
            </w:pPr>
            <w:r w:rsidRPr="000756DF">
              <w:t>AHI (events per hour)</w:t>
            </w:r>
          </w:p>
        </w:tc>
        <w:tc>
          <w:tcPr>
            <w:tcW w:w="1418" w:type="dxa"/>
            <w:tcBorders>
              <w:right w:val="single" w:sz="4" w:space="0" w:color="auto"/>
            </w:tcBorders>
          </w:tcPr>
          <w:p w:rsidR="00A60421" w:rsidRPr="000756DF" w:rsidRDefault="00A60421" w:rsidP="00A60421">
            <w:pPr>
              <w:pStyle w:val="TableText0"/>
            </w:pPr>
            <w:r w:rsidRPr="000756DF">
              <w:t>51 (39)</w:t>
            </w:r>
          </w:p>
        </w:tc>
        <w:tc>
          <w:tcPr>
            <w:tcW w:w="1134" w:type="dxa"/>
            <w:tcBorders>
              <w:left w:val="single" w:sz="4" w:space="0" w:color="auto"/>
            </w:tcBorders>
          </w:tcPr>
          <w:p w:rsidR="00A60421" w:rsidRPr="000756DF" w:rsidRDefault="00A60421" w:rsidP="00A60421">
            <w:pPr>
              <w:pStyle w:val="TableText0"/>
            </w:pPr>
            <w:r w:rsidRPr="000756DF">
              <w:t xml:space="preserve">17.5 ± 15.5 </w:t>
            </w:r>
          </w:p>
        </w:tc>
        <w:tc>
          <w:tcPr>
            <w:tcW w:w="1134" w:type="dxa"/>
          </w:tcPr>
          <w:p w:rsidR="00A60421" w:rsidRPr="000756DF" w:rsidRDefault="00A60421" w:rsidP="00A60421">
            <w:pPr>
              <w:pStyle w:val="TableText0"/>
            </w:pPr>
            <w:r w:rsidRPr="000756DF">
              <w:t>12.1 ± 16.6 (34)</w:t>
            </w:r>
          </w:p>
        </w:tc>
        <w:tc>
          <w:tcPr>
            <w:tcW w:w="1627" w:type="dxa"/>
            <w:tcBorders>
              <w:right w:val="single" w:sz="4" w:space="0" w:color="auto"/>
            </w:tcBorders>
          </w:tcPr>
          <w:p w:rsidR="00A60421" w:rsidRPr="000756DF" w:rsidRDefault="00A60421" w:rsidP="00A60421">
            <w:pPr>
              <w:pStyle w:val="TableText0"/>
            </w:pPr>
            <w:r w:rsidRPr="000756DF">
              <w:t>4.4 ± 2.3 improvement (32)</w:t>
            </w:r>
          </w:p>
        </w:tc>
        <w:tc>
          <w:tcPr>
            <w:tcW w:w="0" w:type="auto"/>
            <w:tcBorders>
              <w:left w:val="single" w:sz="4" w:space="0" w:color="auto"/>
            </w:tcBorders>
          </w:tcPr>
          <w:p w:rsidR="00A60421" w:rsidRPr="000756DF" w:rsidRDefault="00A60421" w:rsidP="00E41B1D">
            <w:pPr>
              <w:pStyle w:val="TableText0"/>
            </w:pPr>
            <w:r w:rsidRPr="000756DF">
              <w:t>31</w:t>
            </w:r>
          </w:p>
        </w:tc>
        <w:tc>
          <w:tcPr>
            <w:tcW w:w="756" w:type="dxa"/>
            <w:tcBorders>
              <w:left w:val="single" w:sz="4" w:space="0" w:color="auto"/>
            </w:tcBorders>
          </w:tcPr>
          <w:p w:rsidR="00A60421" w:rsidRPr="000756DF" w:rsidRDefault="00A60421" w:rsidP="00E41B1D">
            <w:pPr>
              <w:pStyle w:val="TableText0"/>
            </w:pPr>
            <w:r w:rsidRPr="000756DF">
              <w:t>63</w:t>
            </w:r>
          </w:p>
        </w:tc>
        <w:tc>
          <w:tcPr>
            <w:tcW w:w="938" w:type="dxa"/>
            <w:tcBorders>
              <w:left w:val="single" w:sz="4" w:space="0" w:color="auto"/>
            </w:tcBorders>
          </w:tcPr>
          <w:p w:rsidR="00A60421" w:rsidRPr="000756DF" w:rsidRDefault="00A60421" w:rsidP="00E41B1D">
            <w:pPr>
              <w:pStyle w:val="TableText0"/>
            </w:pPr>
            <w:r w:rsidRPr="000756DF">
              <w:t>6</w:t>
            </w:r>
          </w:p>
        </w:tc>
      </w:tr>
      <w:tr w:rsidR="00A60421" w:rsidRPr="000756DF" w:rsidTr="00CC6E89">
        <w:trPr>
          <w:trHeight w:val="764"/>
        </w:trPr>
        <w:tc>
          <w:tcPr>
            <w:tcW w:w="1242" w:type="dxa"/>
          </w:tcPr>
          <w:p w:rsidR="00A60421" w:rsidRPr="000756DF" w:rsidRDefault="00A60421" w:rsidP="00A60421">
            <w:pPr>
              <w:pStyle w:val="TableText0"/>
            </w:pPr>
            <w:r w:rsidRPr="000756DF">
              <w:t>Shoulder range of motion (</w:t>
            </w:r>
            <w:r w:rsidRPr="000756DF">
              <w:rPr>
                <w:vertAlign w:val="superscript"/>
              </w:rPr>
              <w:t>o</w:t>
            </w:r>
            <w:r w:rsidRPr="000756DF">
              <w:t>)</w:t>
            </w:r>
          </w:p>
        </w:tc>
        <w:tc>
          <w:tcPr>
            <w:tcW w:w="1418" w:type="dxa"/>
            <w:tcBorders>
              <w:right w:val="single" w:sz="4" w:space="0" w:color="auto"/>
            </w:tcBorders>
          </w:tcPr>
          <w:p w:rsidR="00A60421" w:rsidRPr="000756DF" w:rsidRDefault="00A60421" w:rsidP="00A60421">
            <w:pPr>
              <w:pStyle w:val="TableText0"/>
            </w:pPr>
            <w:r w:rsidRPr="000756DF">
              <w:t>100 (44)</w:t>
            </w:r>
          </w:p>
        </w:tc>
        <w:tc>
          <w:tcPr>
            <w:tcW w:w="1134" w:type="dxa"/>
            <w:tcBorders>
              <w:left w:val="single" w:sz="4" w:space="0" w:color="auto"/>
            </w:tcBorders>
          </w:tcPr>
          <w:p w:rsidR="00A60421" w:rsidRPr="000756DF" w:rsidRDefault="00A60421" w:rsidP="00A60421">
            <w:pPr>
              <w:pStyle w:val="TableText0"/>
            </w:pPr>
            <w:r w:rsidRPr="000756DF">
              <w:t>90.1 ± 31.7</w:t>
            </w:r>
          </w:p>
        </w:tc>
        <w:tc>
          <w:tcPr>
            <w:tcW w:w="1134" w:type="dxa"/>
          </w:tcPr>
          <w:p w:rsidR="00A60421" w:rsidRPr="000756DF" w:rsidRDefault="00A60421" w:rsidP="00A60421">
            <w:pPr>
              <w:pStyle w:val="TableText0"/>
            </w:pPr>
            <w:r w:rsidRPr="000756DF">
              <w:t>108.1 ± 20.8 (40)</w:t>
            </w:r>
          </w:p>
        </w:tc>
        <w:tc>
          <w:tcPr>
            <w:tcW w:w="1627" w:type="dxa"/>
            <w:tcBorders>
              <w:right w:val="single" w:sz="4" w:space="0" w:color="auto"/>
            </w:tcBorders>
          </w:tcPr>
          <w:p w:rsidR="00A60421" w:rsidRPr="000756DF" w:rsidRDefault="00A60421" w:rsidP="00A60421">
            <w:pPr>
              <w:pStyle w:val="TableText0"/>
            </w:pPr>
            <w:r w:rsidRPr="000756DF">
              <w:t>17.4 ± 3.6 improvement (37)</w:t>
            </w:r>
          </w:p>
        </w:tc>
        <w:tc>
          <w:tcPr>
            <w:tcW w:w="0" w:type="auto"/>
            <w:tcBorders>
              <w:left w:val="single" w:sz="4" w:space="0" w:color="auto"/>
            </w:tcBorders>
          </w:tcPr>
          <w:p w:rsidR="00A60421" w:rsidRPr="000756DF" w:rsidRDefault="00A60421" w:rsidP="00E41B1D">
            <w:pPr>
              <w:pStyle w:val="TableText0"/>
            </w:pPr>
            <w:r w:rsidRPr="000756DF">
              <w:t>46</w:t>
            </w:r>
          </w:p>
        </w:tc>
        <w:tc>
          <w:tcPr>
            <w:tcW w:w="756" w:type="dxa"/>
            <w:tcBorders>
              <w:left w:val="single" w:sz="4" w:space="0" w:color="auto"/>
            </w:tcBorders>
          </w:tcPr>
          <w:p w:rsidR="00A60421" w:rsidRPr="000756DF" w:rsidRDefault="00A60421" w:rsidP="00E41B1D">
            <w:pPr>
              <w:pStyle w:val="TableText0"/>
            </w:pPr>
            <w:r w:rsidRPr="000756DF">
              <w:t>49</w:t>
            </w:r>
          </w:p>
        </w:tc>
        <w:tc>
          <w:tcPr>
            <w:tcW w:w="938" w:type="dxa"/>
            <w:tcBorders>
              <w:left w:val="single" w:sz="4" w:space="0" w:color="auto"/>
            </w:tcBorders>
          </w:tcPr>
          <w:p w:rsidR="00A60421" w:rsidRPr="000756DF" w:rsidRDefault="00A60421" w:rsidP="00E41B1D">
            <w:pPr>
              <w:pStyle w:val="TableText0"/>
            </w:pPr>
            <w:r w:rsidRPr="000756DF">
              <w:t>5</w:t>
            </w:r>
          </w:p>
        </w:tc>
      </w:tr>
      <w:tr w:rsidR="00A60421" w:rsidRPr="000756DF" w:rsidTr="00CC6E89">
        <w:trPr>
          <w:trHeight w:val="751"/>
        </w:trPr>
        <w:tc>
          <w:tcPr>
            <w:tcW w:w="1242" w:type="dxa"/>
          </w:tcPr>
          <w:p w:rsidR="00A60421" w:rsidRPr="000756DF" w:rsidRDefault="00A60421" w:rsidP="00A60421">
            <w:pPr>
              <w:pStyle w:val="TableText0"/>
              <w:rPr>
                <w:vertAlign w:val="superscript"/>
              </w:rPr>
            </w:pPr>
            <w:r w:rsidRPr="000756DF">
              <w:t>Corrected visual acuity</w:t>
            </w:r>
            <w:r w:rsidRPr="000756DF">
              <w:rPr>
                <w:vertAlign w:val="superscript"/>
              </w:rPr>
              <w:t>c</w:t>
            </w:r>
          </w:p>
        </w:tc>
        <w:tc>
          <w:tcPr>
            <w:tcW w:w="1418" w:type="dxa"/>
            <w:tcBorders>
              <w:right w:val="single" w:sz="4" w:space="0" w:color="auto"/>
            </w:tcBorders>
          </w:tcPr>
          <w:p w:rsidR="00A60421" w:rsidRPr="000756DF" w:rsidRDefault="00A60421" w:rsidP="00A60421">
            <w:pPr>
              <w:pStyle w:val="TableText0"/>
            </w:pPr>
            <w:r w:rsidRPr="000756DF">
              <w:t>93 (43)</w:t>
            </w:r>
          </w:p>
        </w:tc>
        <w:tc>
          <w:tcPr>
            <w:tcW w:w="1134" w:type="dxa"/>
            <w:tcBorders>
              <w:left w:val="single" w:sz="4" w:space="0" w:color="auto"/>
            </w:tcBorders>
          </w:tcPr>
          <w:p w:rsidR="00A60421" w:rsidRPr="000756DF" w:rsidRDefault="00A60421" w:rsidP="00A60421">
            <w:pPr>
              <w:pStyle w:val="TableText0"/>
            </w:pPr>
            <w:r w:rsidRPr="000756DF">
              <w:t>1.66 ± 0.34</w:t>
            </w:r>
          </w:p>
        </w:tc>
        <w:tc>
          <w:tcPr>
            <w:tcW w:w="1134" w:type="dxa"/>
          </w:tcPr>
          <w:p w:rsidR="00A60421" w:rsidRPr="000756DF" w:rsidRDefault="00A60421" w:rsidP="00A60421">
            <w:pPr>
              <w:pStyle w:val="TableText0"/>
            </w:pPr>
            <w:r w:rsidRPr="000756DF">
              <w:t>1.60 ± 0.34 (39)</w:t>
            </w:r>
          </w:p>
        </w:tc>
        <w:tc>
          <w:tcPr>
            <w:tcW w:w="1627" w:type="dxa"/>
            <w:tcBorders>
              <w:right w:val="single" w:sz="4" w:space="0" w:color="auto"/>
            </w:tcBorders>
          </w:tcPr>
          <w:p w:rsidR="00A60421" w:rsidRPr="000756DF" w:rsidRDefault="00A60421" w:rsidP="00A60421">
            <w:pPr>
              <w:pStyle w:val="TableText0"/>
            </w:pPr>
            <w:r w:rsidRPr="000756DF">
              <w:t>0.03 ± 0.03 improvement (39)</w:t>
            </w:r>
          </w:p>
        </w:tc>
        <w:tc>
          <w:tcPr>
            <w:tcW w:w="0" w:type="auto"/>
            <w:tcBorders>
              <w:left w:val="single" w:sz="4" w:space="0" w:color="auto"/>
            </w:tcBorders>
          </w:tcPr>
          <w:p w:rsidR="00A60421" w:rsidRPr="000756DF" w:rsidRDefault="00A60421" w:rsidP="00E41B1D">
            <w:pPr>
              <w:pStyle w:val="TableText0"/>
            </w:pPr>
            <w:r w:rsidRPr="000756DF">
              <w:t>24</w:t>
            </w:r>
          </w:p>
        </w:tc>
        <w:tc>
          <w:tcPr>
            <w:tcW w:w="756" w:type="dxa"/>
            <w:tcBorders>
              <w:left w:val="single" w:sz="4" w:space="0" w:color="auto"/>
            </w:tcBorders>
          </w:tcPr>
          <w:p w:rsidR="00A60421" w:rsidRPr="000756DF" w:rsidRDefault="00A60421" w:rsidP="00E41B1D">
            <w:pPr>
              <w:pStyle w:val="TableText0"/>
            </w:pPr>
            <w:r w:rsidRPr="000756DF">
              <w:t>66</w:t>
            </w:r>
          </w:p>
        </w:tc>
        <w:tc>
          <w:tcPr>
            <w:tcW w:w="938" w:type="dxa"/>
            <w:tcBorders>
              <w:left w:val="single" w:sz="4" w:space="0" w:color="auto"/>
            </w:tcBorders>
          </w:tcPr>
          <w:p w:rsidR="00A60421" w:rsidRPr="000756DF" w:rsidRDefault="00A60421" w:rsidP="00E41B1D">
            <w:pPr>
              <w:pStyle w:val="TableText0"/>
            </w:pPr>
            <w:r w:rsidRPr="000756DF">
              <w:t>10</w:t>
            </w:r>
          </w:p>
        </w:tc>
      </w:tr>
      <w:tr w:rsidR="00A60421" w:rsidRPr="000756DF" w:rsidTr="00CC6E89">
        <w:trPr>
          <w:trHeight w:val="836"/>
        </w:trPr>
        <w:tc>
          <w:tcPr>
            <w:tcW w:w="1242" w:type="dxa"/>
          </w:tcPr>
          <w:p w:rsidR="00A60421" w:rsidRPr="000756DF" w:rsidRDefault="00A60421" w:rsidP="00A60421">
            <w:pPr>
              <w:pStyle w:val="TableText0"/>
            </w:pPr>
            <w:r w:rsidRPr="000756DF">
              <w:t>CHAQ/HAQ disability index</w:t>
            </w:r>
          </w:p>
        </w:tc>
        <w:tc>
          <w:tcPr>
            <w:tcW w:w="1418" w:type="dxa"/>
            <w:tcBorders>
              <w:right w:val="single" w:sz="4" w:space="0" w:color="auto"/>
            </w:tcBorders>
          </w:tcPr>
          <w:p w:rsidR="00A60421" w:rsidRPr="000756DF" w:rsidRDefault="00A60421" w:rsidP="00A60421">
            <w:pPr>
              <w:pStyle w:val="TableText0"/>
            </w:pPr>
            <w:r w:rsidRPr="000756DF">
              <w:t>100 (44)</w:t>
            </w:r>
          </w:p>
        </w:tc>
        <w:tc>
          <w:tcPr>
            <w:tcW w:w="1134" w:type="dxa"/>
            <w:tcBorders>
              <w:left w:val="single" w:sz="4" w:space="0" w:color="auto"/>
            </w:tcBorders>
          </w:tcPr>
          <w:p w:rsidR="00A60421" w:rsidRPr="000756DF" w:rsidRDefault="00A60421" w:rsidP="00A60421">
            <w:pPr>
              <w:pStyle w:val="TableText0"/>
            </w:pPr>
            <w:r w:rsidRPr="000756DF">
              <w:t>1.91 ± 0.61</w:t>
            </w:r>
          </w:p>
        </w:tc>
        <w:tc>
          <w:tcPr>
            <w:tcW w:w="1134" w:type="dxa"/>
          </w:tcPr>
          <w:p w:rsidR="00A60421" w:rsidRPr="000756DF" w:rsidRDefault="00A60421" w:rsidP="00A60421">
            <w:pPr>
              <w:pStyle w:val="TableText0"/>
            </w:pPr>
            <w:r w:rsidRPr="000756DF">
              <w:t>1.53 ± 0.77 (35)</w:t>
            </w:r>
          </w:p>
        </w:tc>
        <w:tc>
          <w:tcPr>
            <w:tcW w:w="1627" w:type="dxa"/>
            <w:tcBorders>
              <w:right w:val="single" w:sz="4" w:space="0" w:color="auto"/>
            </w:tcBorders>
          </w:tcPr>
          <w:p w:rsidR="00A60421" w:rsidRPr="000756DF" w:rsidRDefault="00A60421" w:rsidP="00A60421">
            <w:pPr>
              <w:pStyle w:val="TableText0"/>
            </w:pPr>
            <w:r w:rsidRPr="000756DF">
              <w:t>0.31 ± 0.11 improvement (35)</w:t>
            </w:r>
          </w:p>
        </w:tc>
        <w:tc>
          <w:tcPr>
            <w:tcW w:w="0" w:type="auto"/>
            <w:tcBorders>
              <w:left w:val="single" w:sz="4" w:space="0" w:color="auto"/>
            </w:tcBorders>
          </w:tcPr>
          <w:p w:rsidR="00A60421" w:rsidRPr="000756DF" w:rsidRDefault="00A60421" w:rsidP="00E41B1D">
            <w:pPr>
              <w:pStyle w:val="TableText0"/>
            </w:pPr>
            <w:r w:rsidRPr="000756DF">
              <w:t>57</w:t>
            </w:r>
          </w:p>
        </w:tc>
        <w:tc>
          <w:tcPr>
            <w:tcW w:w="756" w:type="dxa"/>
            <w:tcBorders>
              <w:left w:val="single" w:sz="4" w:space="0" w:color="auto"/>
            </w:tcBorders>
          </w:tcPr>
          <w:p w:rsidR="00A60421" w:rsidRPr="000756DF" w:rsidRDefault="00A60421" w:rsidP="00E41B1D">
            <w:pPr>
              <w:pStyle w:val="TableText0"/>
            </w:pPr>
            <w:r w:rsidRPr="000756DF">
              <w:t>20</w:t>
            </w:r>
          </w:p>
        </w:tc>
        <w:tc>
          <w:tcPr>
            <w:tcW w:w="938" w:type="dxa"/>
            <w:tcBorders>
              <w:left w:val="single" w:sz="4" w:space="0" w:color="auto"/>
            </w:tcBorders>
          </w:tcPr>
          <w:p w:rsidR="00A60421" w:rsidRPr="000756DF" w:rsidRDefault="00A60421" w:rsidP="00E41B1D">
            <w:pPr>
              <w:pStyle w:val="TableText0"/>
            </w:pPr>
            <w:r w:rsidRPr="000756DF">
              <w:t>23</w:t>
            </w:r>
          </w:p>
        </w:tc>
      </w:tr>
    </w:tbl>
    <w:p w:rsidR="00A60421" w:rsidRPr="000756DF" w:rsidRDefault="00A60421" w:rsidP="00BF727B">
      <w:pPr>
        <w:pStyle w:val="TableNote"/>
        <w:ind w:left="0" w:firstLine="0"/>
      </w:pPr>
      <w:r w:rsidRPr="000756DF">
        <w:t xml:space="preserve">6MWT </w:t>
      </w:r>
      <w:r w:rsidR="00652355" w:rsidRPr="00652355">
        <w:rPr>
          <w:spacing w:val="-20"/>
        </w:rPr>
        <w:t xml:space="preserve"> = </w:t>
      </w:r>
      <w:r w:rsidRPr="000756DF">
        <w:t xml:space="preserve"> 6 minute walk test; AHI </w:t>
      </w:r>
      <w:r w:rsidR="00652355" w:rsidRPr="00652355">
        <w:rPr>
          <w:spacing w:val="-20"/>
        </w:rPr>
        <w:t xml:space="preserve"> = </w:t>
      </w:r>
      <w:r w:rsidRPr="000756DF">
        <w:t xml:space="preserve"> </w:t>
      </w:r>
      <w:r w:rsidR="001B4E29" w:rsidRPr="000756DF">
        <w:t>apnoea</w:t>
      </w:r>
      <w:r w:rsidRPr="000756DF">
        <w:t xml:space="preserve">/hypopnea index; CHAQ </w:t>
      </w:r>
      <w:r w:rsidR="00652355" w:rsidRPr="00652355">
        <w:rPr>
          <w:spacing w:val="-20"/>
        </w:rPr>
        <w:t xml:space="preserve"> = </w:t>
      </w:r>
      <w:r w:rsidRPr="000756DF">
        <w:t xml:space="preserve"> child health assessment questionnaire</w:t>
      </w:r>
      <w:r w:rsidR="00E41B1D">
        <w:t xml:space="preserve"> (scale</w:t>
      </w:r>
      <w:r w:rsidR="00652355" w:rsidRPr="00652355">
        <w:rPr>
          <w:spacing w:val="-20"/>
        </w:rPr>
        <w:t xml:space="preserve"> = </w:t>
      </w:r>
      <w:r w:rsidR="00E41B1D">
        <w:t>0 to 3, where higher scores indicate greater disability)</w:t>
      </w:r>
      <w:r w:rsidRPr="000756DF">
        <w:t xml:space="preserve">; FVC </w:t>
      </w:r>
      <w:r w:rsidR="00652355" w:rsidRPr="00652355">
        <w:rPr>
          <w:spacing w:val="-20"/>
        </w:rPr>
        <w:t xml:space="preserve"> = </w:t>
      </w:r>
      <w:r w:rsidRPr="000756DF">
        <w:t xml:space="preserve"> forced vital capacity; HAQ </w:t>
      </w:r>
      <w:r w:rsidR="00652355" w:rsidRPr="00652355">
        <w:rPr>
          <w:spacing w:val="-20"/>
        </w:rPr>
        <w:t xml:space="preserve"> = </w:t>
      </w:r>
      <w:r w:rsidRPr="000756DF">
        <w:t xml:space="preserve"> health assessment questionnaire</w:t>
      </w:r>
      <w:r w:rsidR="00E41B1D">
        <w:t xml:space="preserve"> (scale</w:t>
      </w:r>
      <w:r w:rsidR="00652355" w:rsidRPr="00652355">
        <w:rPr>
          <w:spacing w:val="-20"/>
        </w:rPr>
        <w:t xml:space="preserve"> = </w:t>
      </w:r>
      <w:r w:rsidR="00E41B1D">
        <w:t>0 to 3, where higher scores indicate greater disability)</w:t>
      </w:r>
      <w:r w:rsidRPr="000756DF">
        <w:t xml:space="preserve">; n </w:t>
      </w:r>
      <w:r w:rsidR="00652355" w:rsidRPr="00652355">
        <w:rPr>
          <w:spacing w:val="-20"/>
        </w:rPr>
        <w:t xml:space="preserve"> = </w:t>
      </w:r>
      <w:r w:rsidRPr="000756DF">
        <w:t xml:space="preserve"> number of with available data; SD </w:t>
      </w:r>
      <w:r w:rsidR="00652355" w:rsidRPr="00652355">
        <w:rPr>
          <w:spacing w:val="-20"/>
        </w:rPr>
        <w:t xml:space="preserve"> = </w:t>
      </w:r>
      <w:r w:rsidRPr="000756DF">
        <w:t xml:space="preserve"> standard deviation</w:t>
      </w:r>
    </w:p>
    <w:p w:rsidR="00A60421" w:rsidRPr="000756DF" w:rsidRDefault="00A60421" w:rsidP="00855C2C">
      <w:pPr>
        <w:pStyle w:val="TableNote"/>
      </w:pPr>
      <w:proofErr w:type="gramStart"/>
      <w:r w:rsidRPr="000756DF">
        <w:rPr>
          <w:vertAlign w:val="superscript"/>
        </w:rPr>
        <w:t>a</w:t>
      </w:r>
      <w:proofErr w:type="gramEnd"/>
      <w:r>
        <w:rPr>
          <w:vertAlign w:val="superscript"/>
        </w:rPr>
        <w:t xml:space="preserve"> </w:t>
      </w:r>
      <w:r w:rsidRPr="000756DF">
        <w:t>Baseline and/or final assessment values were not available in all clinical domains</w:t>
      </w:r>
    </w:p>
    <w:p w:rsidR="00A60421" w:rsidRPr="000756DF" w:rsidRDefault="00A60421" w:rsidP="00855C2C">
      <w:pPr>
        <w:pStyle w:val="TableNote"/>
      </w:pPr>
      <w:proofErr w:type="gramStart"/>
      <w:r w:rsidRPr="000756DF">
        <w:rPr>
          <w:vertAlign w:val="superscript"/>
        </w:rPr>
        <w:t>b</w:t>
      </w:r>
      <w:proofErr w:type="gramEnd"/>
      <w:r>
        <w:rPr>
          <w:vertAlign w:val="superscript"/>
        </w:rPr>
        <w:t xml:space="preserve"> </w:t>
      </w:r>
      <w:r w:rsidRPr="000756DF">
        <w:t>45 patients contribute data to the regression model that estimates this result</w:t>
      </w:r>
    </w:p>
    <w:p w:rsidR="00A60421" w:rsidRPr="000756DF" w:rsidRDefault="00A60421" w:rsidP="0052627A">
      <w:pPr>
        <w:pStyle w:val="TableNote"/>
        <w:spacing w:after="480"/>
      </w:pPr>
      <w:proofErr w:type="gramStart"/>
      <w:r w:rsidRPr="000756DF">
        <w:rPr>
          <w:vertAlign w:val="superscript"/>
        </w:rPr>
        <w:t>c</w:t>
      </w:r>
      <w:proofErr w:type="gramEnd"/>
      <w:r>
        <w:rPr>
          <w:vertAlign w:val="superscript"/>
        </w:rPr>
        <w:t xml:space="preserve"> </w:t>
      </w:r>
      <w:r w:rsidRPr="000756DF">
        <w:t>Snellen visual acuity values were log-transformed; 1.66 corresponds to 20/46; 1.6 corresponds to 20/40</w:t>
      </w:r>
    </w:p>
    <w:p w:rsidR="00A60421" w:rsidRPr="000756DF" w:rsidRDefault="00A60421" w:rsidP="00EC5DFF">
      <w:pPr>
        <w:pStyle w:val="Heading6"/>
        <w:rPr>
          <w:rFonts w:eastAsiaTheme="majorEastAsia"/>
        </w:rPr>
      </w:pPr>
      <w:r w:rsidRPr="000756DF">
        <w:rPr>
          <w:rFonts w:eastAsiaTheme="majorEastAsia"/>
        </w:rPr>
        <w:t>Safety</w:t>
      </w:r>
    </w:p>
    <w:p w:rsidR="00A60421" w:rsidRPr="000756DF" w:rsidRDefault="00A60421" w:rsidP="00A60421">
      <w:pPr>
        <w:rPr>
          <w:rFonts w:eastAsiaTheme="majorEastAsia"/>
        </w:rPr>
      </w:pPr>
      <w:r w:rsidRPr="000756DF">
        <w:rPr>
          <w:rFonts w:eastAsiaTheme="majorEastAsia"/>
        </w:rPr>
        <w:t xml:space="preserve">While all patients experienced at least one adverse event, only 30 patients experienced adverse events </w:t>
      </w:r>
      <w:r>
        <w:rPr>
          <w:rFonts w:eastAsiaTheme="majorEastAsia"/>
        </w:rPr>
        <w:t xml:space="preserve">that appeared </w:t>
      </w:r>
      <w:r w:rsidRPr="000756DF">
        <w:rPr>
          <w:rFonts w:eastAsiaTheme="majorEastAsia"/>
        </w:rPr>
        <w:t xml:space="preserve">related to laronidase treatment. In total there were 682 adverse events related to treatment during the extension </w:t>
      </w:r>
      <w:r>
        <w:rPr>
          <w:rFonts w:eastAsiaTheme="majorEastAsia"/>
        </w:rPr>
        <w:t>study;</w:t>
      </w:r>
      <w:r w:rsidRPr="000756DF">
        <w:rPr>
          <w:rFonts w:eastAsiaTheme="majorEastAsia"/>
        </w:rPr>
        <w:t xml:space="preserve"> however</w:t>
      </w:r>
      <w:r>
        <w:rPr>
          <w:rFonts w:eastAsiaTheme="majorEastAsia"/>
        </w:rPr>
        <w:t>,</w:t>
      </w:r>
      <w:r w:rsidRPr="000756DF">
        <w:rPr>
          <w:rFonts w:eastAsiaTheme="majorEastAsia"/>
        </w:rPr>
        <w:t xml:space="preserve"> 414 (61%) of these were infusion associated reactions (IARs) experienced by one patient. </w:t>
      </w:r>
    </w:p>
    <w:p w:rsidR="00A60421" w:rsidRPr="000756DF" w:rsidRDefault="00A60421" w:rsidP="00A60421">
      <w:pPr>
        <w:rPr>
          <w:rFonts w:eastAsiaTheme="majorEastAsia"/>
        </w:rPr>
      </w:pPr>
      <w:r w:rsidRPr="000756DF">
        <w:rPr>
          <w:rFonts w:eastAsiaTheme="majorEastAsia"/>
        </w:rPr>
        <w:t>The most common adverse events related to treatment were</w:t>
      </w:r>
      <w:r>
        <w:rPr>
          <w:rFonts w:eastAsiaTheme="majorEastAsia"/>
        </w:rPr>
        <w:t>:</w:t>
      </w:r>
      <w:r w:rsidRPr="000756DF">
        <w:rPr>
          <w:rFonts w:eastAsiaTheme="majorEastAsia"/>
        </w:rPr>
        <w:t xml:space="preserve"> rash (22%), arthralgia (20%), headache (18%), flushing (16%), injection site reaction (13%), fever (13%), arthropathy (11%), abdominal pain (11%), back pain (11%), skeletal pain (11%) and nausea (11%). There were 9 serious adverse events in total which occurred in 3 patients – 7 IARs (2 patients), back pain (1 patient) and vein disorder (1 patient). One death occurred in a 7 year old boy which was unrelated to the treatment.</w:t>
      </w:r>
    </w:p>
    <w:p w:rsidR="000756DF" w:rsidRPr="000756DF" w:rsidRDefault="00A60421" w:rsidP="00A60421">
      <w:pPr>
        <w:rPr>
          <w:rFonts w:eastAsiaTheme="majorEastAsia"/>
          <w:highlight w:val="yellow"/>
        </w:rPr>
      </w:pPr>
      <w:r w:rsidRPr="000756DF">
        <w:rPr>
          <w:rFonts w:eastAsiaTheme="majorEastAsia"/>
        </w:rPr>
        <w:t xml:space="preserve">Of the 45 patients in the trial, 42 (93%) developed IgG antibodies to laronidase with 13 of these testing seronegative at their final assessment. Development of IgG antibodies did not appear to coincide with IARs and most IARs occurred following seroconversion. One patient </w:t>
      </w:r>
      <w:r w:rsidRPr="000756DF">
        <w:rPr>
          <w:rFonts w:eastAsiaTheme="majorEastAsia"/>
        </w:rPr>
        <w:lastRenderedPageBreak/>
        <w:t>who had an anaphylactic shock was found to be IgE positive and was withdrawn from the trial.</w:t>
      </w:r>
    </w:p>
    <w:p w:rsidR="000756DF" w:rsidRPr="00E965BD" w:rsidRDefault="000756DF" w:rsidP="00EC5DFF">
      <w:pPr>
        <w:pStyle w:val="Heading4"/>
      </w:pPr>
      <w:r w:rsidRPr="00E965BD">
        <w:t>Effectiveness and safety of idursulfase for treating MPS type II</w:t>
      </w:r>
    </w:p>
    <w:p w:rsidR="00855C2C" w:rsidRPr="000756DF" w:rsidRDefault="00855C2C" w:rsidP="00855C2C">
      <w:pPr>
        <w:rPr>
          <w:rFonts w:eastAsiaTheme="majorEastAsia"/>
        </w:rPr>
      </w:pPr>
      <w:r w:rsidRPr="000756DF">
        <w:rPr>
          <w:rFonts w:eastAsiaTheme="majorEastAsia"/>
        </w:rPr>
        <w:t xml:space="preserve">One high quality double-blind RCT </w:t>
      </w:r>
      <w:r w:rsidR="00A130D0">
        <w:rPr>
          <w:rFonts w:eastAsiaTheme="majorEastAsia"/>
          <w:noProof/>
        </w:rPr>
        <w:t>(</w:t>
      </w:r>
      <w:r w:rsidR="00184B6F">
        <w:rPr>
          <w:rFonts w:eastAsiaTheme="majorEastAsia"/>
          <w:noProof/>
        </w:rPr>
        <w:t>Muenzer et al. 2006</w:t>
      </w:r>
      <w:r w:rsidR="00A130D0">
        <w:rPr>
          <w:rFonts w:eastAsiaTheme="majorEastAsia"/>
          <w:noProof/>
        </w:rPr>
        <w:t>)</w:t>
      </w:r>
      <w:r w:rsidRPr="000756DF">
        <w:rPr>
          <w:rFonts w:eastAsiaTheme="majorEastAsia"/>
        </w:rPr>
        <w:t xml:space="preserve"> and one open-label extension study were identified which compared idursulfase with placebo in MPS II patients. The RCT randomised 96 patients to receive idursulfase weekly (0.5 mg/kg), idursulfase every other week (EOW</w:t>
      </w:r>
      <w:proofErr w:type="gramStart"/>
      <w:r w:rsidRPr="000756DF">
        <w:rPr>
          <w:rFonts w:eastAsiaTheme="majorEastAsia"/>
        </w:rPr>
        <w:t>)(</w:t>
      </w:r>
      <w:proofErr w:type="gramEnd"/>
      <w:r w:rsidRPr="000756DF">
        <w:rPr>
          <w:rFonts w:eastAsiaTheme="majorEastAsia"/>
        </w:rPr>
        <w:t xml:space="preserve">0.5mg/kg) or placebo weekly. The patients in the trial arm receiving idursulfase EOW received placebo infusions on the alternate week to maintain blinding. </w:t>
      </w:r>
      <w:r w:rsidR="009E3804">
        <w:rPr>
          <w:rFonts w:eastAsiaTheme="majorEastAsia"/>
        </w:rPr>
        <w:t xml:space="preserve">Patients who developed infusion reactions were treated with antihistamines and/or corticosteroids. Other than these treatments, standard medical management was not described. </w:t>
      </w:r>
      <w:r w:rsidRPr="000756DF">
        <w:rPr>
          <w:rFonts w:eastAsiaTheme="majorEastAsia"/>
        </w:rPr>
        <w:t xml:space="preserve">Participants were all males, and 45% were between the ages of 5 and 11 years, with 25% being over 18 years. An open label extension </w:t>
      </w:r>
      <w:r w:rsidR="00A130D0">
        <w:rPr>
          <w:rFonts w:eastAsiaTheme="majorEastAsia"/>
          <w:noProof/>
        </w:rPr>
        <w:t>(</w:t>
      </w:r>
      <w:r w:rsidR="00184B6F">
        <w:rPr>
          <w:rFonts w:eastAsiaTheme="majorEastAsia"/>
          <w:noProof/>
        </w:rPr>
        <w:t>Muenzer et al. 2011</w:t>
      </w:r>
      <w:r w:rsidR="00A130D0">
        <w:rPr>
          <w:rFonts w:eastAsiaTheme="majorEastAsia"/>
          <w:noProof/>
        </w:rPr>
        <w:t>)</w:t>
      </w:r>
      <w:r w:rsidRPr="000756DF">
        <w:rPr>
          <w:rFonts w:eastAsiaTheme="majorEastAsia"/>
        </w:rPr>
        <w:t xml:space="preserve"> provided 2 year follow-up data on 94 patients who completed the double-blind RCT. </w:t>
      </w:r>
    </w:p>
    <w:p w:rsidR="000756DF" w:rsidRPr="000756DF" w:rsidRDefault="000756DF" w:rsidP="00EC5DFF">
      <w:pPr>
        <w:pStyle w:val="Heading5"/>
        <w:rPr>
          <w:rFonts w:eastAsiaTheme="majorEastAsia"/>
        </w:rPr>
      </w:pPr>
      <w:r w:rsidRPr="000756DF">
        <w:rPr>
          <w:rFonts w:eastAsiaTheme="majorEastAsia"/>
        </w:rPr>
        <w:t>Primary effectiveness</w:t>
      </w:r>
    </w:p>
    <w:p w:rsidR="000756DF" w:rsidRPr="00EC5DFF" w:rsidRDefault="000756DF" w:rsidP="00EC5DFF">
      <w:pPr>
        <w:pStyle w:val="Heading5"/>
        <w:rPr>
          <w:rFonts w:eastAsiaTheme="majorEastAsia"/>
        </w:rPr>
      </w:pPr>
      <w:r w:rsidRPr="00EC5DFF">
        <w:rPr>
          <w:rFonts w:eastAsiaTheme="majorEastAsia"/>
        </w:rPr>
        <w:t>Survival</w:t>
      </w:r>
    </w:p>
    <w:p w:rsidR="000756DF" w:rsidRDefault="00855C2C" w:rsidP="0052627A">
      <w:pPr>
        <w:spacing w:after="480"/>
        <w:rPr>
          <w:rFonts w:eastAsiaTheme="majorEastAsia"/>
        </w:rPr>
      </w:pPr>
      <w:r w:rsidRPr="000756DF">
        <w:rPr>
          <w:rFonts w:eastAsiaTheme="majorEastAsia"/>
        </w:rPr>
        <w:t>There were two deaths in the study population within one year of treatment. One was a 24 year old from the idursulfase weekly group who died from a cardiac arrest 5 weeks after his first infusion</w:t>
      </w:r>
      <w:r>
        <w:rPr>
          <w:rFonts w:eastAsiaTheme="majorEastAsia"/>
        </w:rPr>
        <w:t>. This</w:t>
      </w:r>
      <w:r w:rsidRPr="000756DF">
        <w:rPr>
          <w:rFonts w:eastAsiaTheme="majorEastAsia"/>
        </w:rPr>
        <w:t xml:space="preserve"> followed the development of </w:t>
      </w:r>
      <w:r>
        <w:rPr>
          <w:rFonts w:eastAsiaTheme="majorEastAsia"/>
        </w:rPr>
        <w:t xml:space="preserve">a </w:t>
      </w:r>
      <w:r w:rsidRPr="000756DF">
        <w:rPr>
          <w:rFonts w:eastAsiaTheme="majorEastAsia"/>
        </w:rPr>
        <w:t xml:space="preserve">pulmonary infection and respiratory insufficiency. The second death was a 6 year old from the placebo group who developed streptococcus pneumonia and suffered a lung haemorrhage at 34 weeks. Neither death was attributed to </w:t>
      </w:r>
      <w:r>
        <w:rPr>
          <w:rFonts w:eastAsiaTheme="majorEastAsia"/>
        </w:rPr>
        <w:t>treatment</w:t>
      </w:r>
      <w:r w:rsidRPr="000756DF">
        <w:rPr>
          <w:rFonts w:eastAsiaTheme="majorEastAsia"/>
        </w:rPr>
        <w:t xml:space="preserve"> allocation </w:t>
      </w:r>
      <w:r w:rsidR="00A130D0">
        <w:rPr>
          <w:rFonts w:eastAsiaTheme="majorEastAsia"/>
          <w:noProof/>
        </w:rPr>
        <w:t>(</w:t>
      </w:r>
      <w:r w:rsidR="00184B6F">
        <w:rPr>
          <w:rFonts w:eastAsiaTheme="majorEastAsia"/>
          <w:noProof/>
        </w:rPr>
        <w:t>da Silva et al. 2014</w:t>
      </w:r>
      <w:r w:rsidR="00A130D0">
        <w:rPr>
          <w:rFonts w:eastAsiaTheme="majorEastAsia"/>
          <w:noProof/>
        </w:rPr>
        <w:t xml:space="preserve">; </w:t>
      </w:r>
      <w:r w:rsidR="00184B6F">
        <w:rPr>
          <w:rFonts w:eastAsiaTheme="majorEastAsia"/>
          <w:noProof/>
        </w:rPr>
        <w:t>Muenzer et al. 2006</w:t>
      </w:r>
      <w:r w:rsidR="00A130D0">
        <w:rPr>
          <w:rFonts w:eastAsiaTheme="majorEastAsia"/>
          <w:noProof/>
        </w:rPr>
        <w:t>)</w:t>
      </w:r>
      <w:r w:rsidRPr="000756DF">
        <w:rPr>
          <w:rFonts w:eastAsiaTheme="majorEastAsia"/>
        </w:rPr>
        <w:t>.</w:t>
      </w:r>
    </w:p>
    <w:p w:rsidR="000756DF" w:rsidRPr="000756DF" w:rsidRDefault="000756DF" w:rsidP="00EC5DFF">
      <w:pPr>
        <w:pStyle w:val="Heading5"/>
        <w:rPr>
          <w:rFonts w:eastAsiaTheme="majorEastAsia"/>
        </w:rPr>
      </w:pPr>
      <w:r w:rsidRPr="000756DF">
        <w:rPr>
          <w:rFonts w:eastAsiaTheme="majorEastAsia"/>
        </w:rPr>
        <w:t>Secondary effectiveness</w:t>
      </w:r>
    </w:p>
    <w:p w:rsidR="000756DF" w:rsidRPr="000756DF" w:rsidRDefault="000756DF" w:rsidP="00EC5DFF">
      <w:pPr>
        <w:pStyle w:val="Heading5"/>
        <w:rPr>
          <w:rFonts w:eastAsiaTheme="majorEastAsia"/>
        </w:rPr>
      </w:pPr>
      <w:r w:rsidRPr="000756DF">
        <w:rPr>
          <w:rFonts w:eastAsiaTheme="majorEastAsia"/>
        </w:rPr>
        <w:t>6 minute walk test and forced vital capacity</w:t>
      </w:r>
    </w:p>
    <w:p w:rsidR="000756DF" w:rsidRPr="000756DF" w:rsidRDefault="009E3804" w:rsidP="009E3804">
      <w:pPr>
        <w:spacing w:after="480"/>
        <w:rPr>
          <w:rFonts w:eastAsiaTheme="majorEastAsia"/>
        </w:rPr>
      </w:pPr>
      <w:r w:rsidRPr="000756DF">
        <w:rPr>
          <w:rFonts w:eastAsiaTheme="majorEastAsia"/>
        </w:rPr>
        <w:t xml:space="preserve">The primary outcome measures of the RCT by Muenzer et al </w:t>
      </w:r>
      <w:r>
        <w:rPr>
          <w:rFonts w:eastAsiaTheme="majorEastAsia"/>
        </w:rPr>
        <w:t xml:space="preserve">(2006) </w:t>
      </w:r>
      <w:r w:rsidRPr="000756DF">
        <w:rPr>
          <w:rFonts w:eastAsiaTheme="majorEastAsia"/>
        </w:rPr>
        <w:t xml:space="preserve">were the six-minute walk test (6MWT) which </w:t>
      </w:r>
      <w:r>
        <w:rPr>
          <w:rFonts w:eastAsiaTheme="majorEastAsia"/>
        </w:rPr>
        <w:t xml:space="preserve">claimed to </w:t>
      </w:r>
      <w:r w:rsidRPr="000756DF">
        <w:rPr>
          <w:rFonts w:eastAsiaTheme="majorEastAsia"/>
        </w:rPr>
        <w:t>estimate physical functional capacity, and the percent predicted forced vital capacity (%FVC) which provid</w:t>
      </w:r>
      <w:r>
        <w:rPr>
          <w:rFonts w:eastAsiaTheme="majorEastAsia"/>
        </w:rPr>
        <w:t>es</w:t>
      </w:r>
      <w:r w:rsidRPr="000756DF">
        <w:rPr>
          <w:rFonts w:eastAsiaTheme="majorEastAsia"/>
        </w:rPr>
        <w:t xml:space="preserve"> a </w:t>
      </w:r>
      <w:r>
        <w:rPr>
          <w:rFonts w:eastAsiaTheme="majorEastAsia"/>
        </w:rPr>
        <w:t xml:space="preserve">surrogate </w:t>
      </w:r>
      <w:r w:rsidRPr="000756DF">
        <w:rPr>
          <w:rFonts w:eastAsiaTheme="majorEastAsia"/>
        </w:rPr>
        <w:t>measure of respiratory function.</w:t>
      </w:r>
      <w:r>
        <w:rPr>
          <w:rFonts w:eastAsiaTheme="majorEastAsia"/>
        </w:rPr>
        <w:t xml:space="preserve"> In some studies 6MWT may be considered to be a surrogate measure of cardiac function.</w:t>
      </w:r>
      <w:r w:rsidRPr="000756DF">
        <w:rPr>
          <w:rFonts w:eastAsiaTheme="majorEastAsia"/>
        </w:rPr>
        <w:t xml:space="preserve"> A two-component composite score was also reported which was a combination of %FVC and 6MWT. Additional comparisons between groups were reported of live</w:t>
      </w:r>
      <w:r>
        <w:rPr>
          <w:rFonts w:eastAsiaTheme="majorEastAsia"/>
        </w:rPr>
        <w:t>r and spleen volumes</w:t>
      </w:r>
      <w:r w:rsidRPr="000756DF">
        <w:rPr>
          <w:rFonts w:eastAsiaTheme="majorEastAsia"/>
        </w:rPr>
        <w:t>. An intention-to-treat analysis of the population was conducted</w:t>
      </w:r>
      <w:r>
        <w:rPr>
          <w:rFonts w:eastAsiaTheme="majorEastAsia"/>
        </w:rPr>
        <w:t xml:space="preserve"> </w:t>
      </w:r>
      <w:r w:rsidR="00A130D0">
        <w:rPr>
          <w:rFonts w:eastAsiaTheme="majorEastAsia"/>
          <w:noProof/>
        </w:rPr>
        <w:t>(</w:t>
      </w:r>
      <w:r w:rsidR="00184B6F">
        <w:rPr>
          <w:rFonts w:eastAsiaTheme="majorEastAsia"/>
          <w:noProof/>
        </w:rPr>
        <w:t>Muenzer et al. 2006</w:t>
      </w:r>
      <w:r w:rsidR="00A130D0">
        <w:rPr>
          <w:rFonts w:eastAsiaTheme="majorEastAsia"/>
          <w:noProof/>
        </w:rPr>
        <w:t>)</w:t>
      </w:r>
      <w:r w:rsidR="00855C2C" w:rsidRPr="00855C2C">
        <w:rPr>
          <w:rFonts w:eastAsiaTheme="majorEastAsia"/>
        </w:rPr>
        <w:t xml:space="preserve"> </w:t>
      </w:r>
      <w:r w:rsidR="00855C2C">
        <w:rPr>
          <w:rFonts w:eastAsiaTheme="majorEastAsia"/>
        </w:rPr>
        <w:t>(</w:t>
      </w:r>
      <w:r w:rsidR="00A72B26" w:rsidRPr="00716774">
        <w:t xml:space="preserve">Table </w:t>
      </w:r>
      <w:r w:rsidR="00A72B26">
        <w:rPr>
          <w:noProof/>
        </w:rPr>
        <w:t>101</w:t>
      </w:r>
      <w:r w:rsidR="00855C2C">
        <w:rPr>
          <w:rFonts w:eastAsiaTheme="majorEastAsia"/>
        </w:rPr>
        <w:t>)</w:t>
      </w:r>
      <w:r>
        <w:rPr>
          <w:rFonts w:eastAsiaTheme="majorEastAsia"/>
        </w:rPr>
        <w:t xml:space="preserve">. </w:t>
      </w:r>
    </w:p>
    <w:p w:rsidR="000756DF" w:rsidRPr="00E965BD" w:rsidRDefault="000756DF" w:rsidP="00F44176">
      <w:pPr>
        <w:pStyle w:val="Caption"/>
        <w:keepNext/>
        <w:tabs>
          <w:tab w:val="clear" w:pos="851"/>
          <w:tab w:val="left" w:pos="1134"/>
        </w:tabs>
        <w:ind w:left="1134" w:hanging="1134"/>
        <w:rPr>
          <w:bCs w:val="0"/>
        </w:rPr>
      </w:pPr>
      <w:bookmarkStart w:id="392" w:name="_Ref404159550"/>
      <w:bookmarkStart w:id="393" w:name="_Toc411510467"/>
      <w:bookmarkStart w:id="394" w:name="_Toc415141898"/>
      <w:r w:rsidRPr="00716774">
        <w:lastRenderedPageBreak/>
        <w:t xml:space="preserve">Table </w:t>
      </w:r>
      <w:r w:rsidR="00A72B26">
        <w:rPr>
          <w:noProof/>
        </w:rPr>
        <w:t>101</w:t>
      </w:r>
      <w:bookmarkEnd w:id="392"/>
      <w:r w:rsidRPr="00716774">
        <w:t xml:space="preserve"> </w:t>
      </w:r>
      <w:r w:rsidR="00716774">
        <w:tab/>
      </w:r>
      <w:r w:rsidRPr="00716774">
        <w:t xml:space="preserve">Summary of changes from baseline to week 53 for MPS II patients randomised to idursulfase weekly, idursulfase every other week or placebo </w:t>
      </w:r>
      <w:r w:rsidR="00A130D0">
        <w:rPr>
          <w:noProof/>
        </w:rPr>
        <w:t>(</w:t>
      </w:r>
      <w:r w:rsidR="00184B6F">
        <w:rPr>
          <w:noProof/>
        </w:rPr>
        <w:t>Muenzer et al. 2006</w:t>
      </w:r>
      <w:r w:rsidR="00A130D0">
        <w:rPr>
          <w:noProof/>
        </w:rPr>
        <w:t>)</w:t>
      </w:r>
      <w:bookmarkEnd w:id="393"/>
      <w:bookmarkEnd w:id="394"/>
    </w:p>
    <w:tbl>
      <w:tblPr>
        <w:tblStyle w:val="TableGrid"/>
        <w:tblW w:w="4966" w:type="pct"/>
        <w:tblLook w:val="04A0" w:firstRow="1" w:lastRow="0" w:firstColumn="1" w:lastColumn="0" w:noHBand="0" w:noVBand="1"/>
        <w:tblCaption w:val="Table 69  Summary of changes from baseline to week 53 for MPS II patients randomised to idursulfase weekly, idursulfase every other week or placebo (Muenzer et al. 2006)"/>
      </w:tblPr>
      <w:tblGrid>
        <w:gridCol w:w="2947"/>
        <w:gridCol w:w="1417"/>
        <w:gridCol w:w="1417"/>
        <w:gridCol w:w="1560"/>
        <w:gridCol w:w="1838"/>
      </w:tblGrid>
      <w:tr w:rsidR="000756DF" w:rsidRPr="000756DF" w:rsidTr="009A0365">
        <w:trPr>
          <w:tblHeader/>
        </w:trPr>
        <w:tc>
          <w:tcPr>
            <w:tcW w:w="1605" w:type="pct"/>
          </w:tcPr>
          <w:p w:rsidR="000756DF" w:rsidRDefault="000756DF" w:rsidP="00DE28BF">
            <w:pPr>
              <w:pStyle w:val="TableHeading"/>
            </w:pPr>
            <w:r w:rsidRPr="000756DF">
              <w:t>Outcome</w:t>
            </w:r>
          </w:p>
          <w:p w:rsidR="003C729B" w:rsidRPr="000756DF" w:rsidRDefault="003C729B" w:rsidP="00DE28BF">
            <w:pPr>
              <w:pStyle w:val="TableHeading"/>
            </w:pPr>
            <w:r>
              <w:t>(observed mean ± SEM)</w:t>
            </w:r>
          </w:p>
        </w:tc>
        <w:tc>
          <w:tcPr>
            <w:tcW w:w="772" w:type="pct"/>
          </w:tcPr>
          <w:p w:rsidR="000756DF" w:rsidRPr="000756DF" w:rsidRDefault="000756DF" w:rsidP="00DE28BF">
            <w:pPr>
              <w:pStyle w:val="TableHeading"/>
            </w:pPr>
            <w:r w:rsidRPr="000756DF">
              <w:t xml:space="preserve"> Idursulfase weekly (n</w:t>
            </w:r>
            <w:r w:rsidR="00652355" w:rsidRPr="00652355">
              <w:rPr>
                <w:spacing w:val="-20"/>
              </w:rPr>
              <w:t xml:space="preserve"> = </w:t>
            </w:r>
            <w:r w:rsidRPr="000756DF">
              <w:t>32)</w:t>
            </w:r>
          </w:p>
        </w:tc>
        <w:tc>
          <w:tcPr>
            <w:tcW w:w="772" w:type="pct"/>
          </w:tcPr>
          <w:p w:rsidR="000756DF" w:rsidRPr="000756DF" w:rsidRDefault="000756DF" w:rsidP="00DE28BF">
            <w:pPr>
              <w:pStyle w:val="TableHeading"/>
            </w:pPr>
            <w:r w:rsidRPr="000756DF">
              <w:t>Idursulfase EOW (n</w:t>
            </w:r>
            <w:r w:rsidR="00652355" w:rsidRPr="00652355">
              <w:rPr>
                <w:spacing w:val="-20"/>
              </w:rPr>
              <w:t xml:space="preserve"> = </w:t>
            </w:r>
            <w:r w:rsidRPr="000756DF">
              <w:t>32)</w:t>
            </w:r>
          </w:p>
        </w:tc>
        <w:tc>
          <w:tcPr>
            <w:tcW w:w="850" w:type="pct"/>
          </w:tcPr>
          <w:p w:rsidR="000756DF" w:rsidRPr="000756DF" w:rsidRDefault="000756DF" w:rsidP="00DE28BF">
            <w:pPr>
              <w:pStyle w:val="TableHeading"/>
            </w:pPr>
            <w:r w:rsidRPr="000756DF">
              <w:t>Placebo (n</w:t>
            </w:r>
            <w:r w:rsidR="00652355" w:rsidRPr="00652355">
              <w:rPr>
                <w:spacing w:val="-20"/>
              </w:rPr>
              <w:t xml:space="preserve"> = </w:t>
            </w:r>
            <w:r w:rsidRPr="000756DF">
              <w:t>32)</w:t>
            </w:r>
          </w:p>
        </w:tc>
        <w:tc>
          <w:tcPr>
            <w:tcW w:w="1001" w:type="pct"/>
          </w:tcPr>
          <w:p w:rsidR="000756DF" w:rsidRPr="000756DF" w:rsidRDefault="000756DF" w:rsidP="00DE28BF">
            <w:pPr>
              <w:pStyle w:val="TableHeading"/>
            </w:pPr>
            <w:r w:rsidRPr="000756DF">
              <w:t>Difference</w:t>
            </w:r>
          </w:p>
          <w:p w:rsidR="000756DF" w:rsidRPr="003C729B" w:rsidRDefault="000756DF" w:rsidP="00DE28BF">
            <w:pPr>
              <w:pStyle w:val="TableHeading"/>
              <w:rPr>
                <w:vertAlign w:val="superscript"/>
              </w:rPr>
            </w:pPr>
            <w:r w:rsidRPr="000756DF">
              <w:t xml:space="preserve"> (vs placebo, p)</w:t>
            </w:r>
            <w:r w:rsidR="003C729B">
              <w:rPr>
                <w:vertAlign w:val="superscript"/>
              </w:rPr>
              <w:t>b</w:t>
            </w:r>
          </w:p>
        </w:tc>
      </w:tr>
      <w:tr w:rsidR="000B7D07" w:rsidRPr="000756DF" w:rsidTr="00855C2C">
        <w:tc>
          <w:tcPr>
            <w:tcW w:w="1605" w:type="pct"/>
          </w:tcPr>
          <w:p w:rsidR="000B7D07" w:rsidRPr="000756DF" w:rsidRDefault="000B7D07" w:rsidP="00DE28BF">
            <w:pPr>
              <w:pStyle w:val="TableText0"/>
            </w:pPr>
            <w:r w:rsidRPr="000756DF">
              <w:t>6MWT (metres ± SEM)</w:t>
            </w:r>
          </w:p>
        </w:tc>
        <w:tc>
          <w:tcPr>
            <w:tcW w:w="772" w:type="pct"/>
          </w:tcPr>
          <w:p w:rsidR="000B7D07" w:rsidRDefault="000B7D07" w:rsidP="00DC17CA">
            <w:pPr>
              <w:pStyle w:val="TableText0"/>
            </w:pPr>
            <w:r>
              <w:t>B = 392 ± 19</w:t>
            </w:r>
          </w:p>
          <w:p w:rsidR="000B7D07" w:rsidRPr="000756DF" w:rsidRDefault="000B7D07">
            <w:pPr>
              <w:pStyle w:val="TableText0"/>
            </w:pPr>
            <w:r>
              <w:t xml:space="preserve">C = </w:t>
            </w:r>
            <w:r w:rsidRPr="000756DF">
              <w:t>44.3 ± 12.3</w:t>
            </w:r>
          </w:p>
        </w:tc>
        <w:tc>
          <w:tcPr>
            <w:tcW w:w="772" w:type="pct"/>
          </w:tcPr>
          <w:p w:rsidR="000B7D07" w:rsidRDefault="000B7D07">
            <w:pPr>
              <w:pStyle w:val="TableText0"/>
            </w:pPr>
            <w:r>
              <w:t>B = 401 ± 18</w:t>
            </w:r>
          </w:p>
          <w:p w:rsidR="000B7D07" w:rsidRPr="000756DF" w:rsidRDefault="000B7D07">
            <w:pPr>
              <w:pStyle w:val="TableText0"/>
            </w:pPr>
            <w:r>
              <w:t xml:space="preserve">C = </w:t>
            </w:r>
            <w:r w:rsidRPr="000756DF">
              <w:t>30.3 ± 10.3</w:t>
            </w:r>
          </w:p>
        </w:tc>
        <w:tc>
          <w:tcPr>
            <w:tcW w:w="850" w:type="pct"/>
          </w:tcPr>
          <w:p w:rsidR="000B7D07" w:rsidRDefault="000B7D07">
            <w:pPr>
              <w:pStyle w:val="TableText0"/>
            </w:pPr>
            <w:r>
              <w:t>B = 392 ± 19</w:t>
            </w:r>
          </w:p>
          <w:p w:rsidR="000B7D07" w:rsidRPr="000756DF" w:rsidRDefault="000B7D07">
            <w:pPr>
              <w:pStyle w:val="TableText0"/>
            </w:pPr>
            <w:r>
              <w:t xml:space="preserve">C = </w:t>
            </w:r>
            <w:r w:rsidRPr="000756DF">
              <w:t>7.3 ± 9.5</w:t>
            </w:r>
          </w:p>
        </w:tc>
        <w:tc>
          <w:tcPr>
            <w:tcW w:w="1001" w:type="pct"/>
          </w:tcPr>
          <w:p w:rsidR="000B7D07" w:rsidRPr="000756DF" w:rsidRDefault="000B7D07" w:rsidP="00D05B69">
            <w:pPr>
              <w:pStyle w:val="TableText0"/>
            </w:pPr>
            <w:r w:rsidRPr="000756DF">
              <w:t xml:space="preserve">Weekly </w:t>
            </w:r>
            <w:r>
              <w:t>p</w:t>
            </w:r>
            <w:r w:rsidRPr="00652355">
              <w:rPr>
                <w:spacing w:val="-20"/>
              </w:rPr>
              <w:t xml:space="preserve"> = </w:t>
            </w:r>
            <w:r w:rsidRPr="000756DF">
              <w:t>0.0131</w:t>
            </w:r>
          </w:p>
          <w:p w:rsidR="000B7D07" w:rsidRPr="000756DF" w:rsidRDefault="000B7D07" w:rsidP="00DE28BF">
            <w:pPr>
              <w:pStyle w:val="TableText0"/>
            </w:pPr>
            <w:r w:rsidRPr="000756DF">
              <w:t xml:space="preserve">EOW </w:t>
            </w:r>
            <w:r>
              <w:t>p</w:t>
            </w:r>
            <w:r w:rsidRPr="00652355">
              <w:rPr>
                <w:spacing w:val="-20"/>
              </w:rPr>
              <w:t xml:space="preserve"> = </w:t>
            </w:r>
            <w:r w:rsidRPr="000756DF">
              <w:t>0.0732</w:t>
            </w:r>
          </w:p>
        </w:tc>
      </w:tr>
      <w:tr w:rsidR="000B7D07" w:rsidRPr="000756DF" w:rsidTr="00855C2C">
        <w:tc>
          <w:tcPr>
            <w:tcW w:w="1605" w:type="pct"/>
          </w:tcPr>
          <w:p w:rsidR="000B7D07" w:rsidRPr="000756DF" w:rsidRDefault="000B7D07" w:rsidP="00DE28BF">
            <w:pPr>
              <w:pStyle w:val="TableText0"/>
            </w:pPr>
            <w:r w:rsidRPr="000756DF">
              <w:t>FVC, (% predicted ± SEM)</w:t>
            </w:r>
          </w:p>
        </w:tc>
        <w:tc>
          <w:tcPr>
            <w:tcW w:w="772" w:type="pct"/>
          </w:tcPr>
          <w:p w:rsidR="000B7D07" w:rsidRDefault="000B7D07" w:rsidP="00FD267A">
            <w:pPr>
              <w:pStyle w:val="TableText0"/>
            </w:pPr>
            <w:r>
              <w:t>B = 55.3 ± 2.8</w:t>
            </w:r>
          </w:p>
          <w:p w:rsidR="000B7D07" w:rsidRPr="000756DF" w:rsidRDefault="000B7D07" w:rsidP="00FD267A">
            <w:pPr>
              <w:pStyle w:val="TableText0"/>
            </w:pPr>
            <w:r>
              <w:t xml:space="preserve">C = </w:t>
            </w:r>
            <w:r w:rsidRPr="000756DF">
              <w:t>3.45 ± 1.77</w:t>
            </w:r>
          </w:p>
        </w:tc>
        <w:tc>
          <w:tcPr>
            <w:tcW w:w="772" w:type="pct"/>
          </w:tcPr>
          <w:p w:rsidR="000B7D07" w:rsidRDefault="000B7D07" w:rsidP="000B7D07">
            <w:pPr>
              <w:pStyle w:val="TableText0"/>
            </w:pPr>
            <w:r>
              <w:t>B = 55.1 ± 2.5</w:t>
            </w:r>
          </w:p>
          <w:p w:rsidR="000B7D07" w:rsidRPr="000756DF" w:rsidRDefault="000B7D07" w:rsidP="00FD267A">
            <w:pPr>
              <w:pStyle w:val="TableText0"/>
            </w:pPr>
            <w:r>
              <w:t xml:space="preserve">C = </w:t>
            </w:r>
            <w:r w:rsidRPr="000756DF">
              <w:t>0.004 ± 1.32</w:t>
            </w:r>
          </w:p>
        </w:tc>
        <w:tc>
          <w:tcPr>
            <w:tcW w:w="850" w:type="pct"/>
          </w:tcPr>
          <w:p w:rsidR="000B7D07" w:rsidRDefault="000B7D07" w:rsidP="00FD267A">
            <w:pPr>
              <w:pStyle w:val="TableText0"/>
            </w:pPr>
            <w:r>
              <w:t>B = 55.6 ± 2.2</w:t>
            </w:r>
          </w:p>
          <w:p w:rsidR="000B7D07" w:rsidRDefault="000B7D07" w:rsidP="00FD267A">
            <w:pPr>
              <w:pStyle w:val="TableText0"/>
            </w:pPr>
            <w:r>
              <w:t xml:space="preserve">C = </w:t>
            </w:r>
            <w:r w:rsidRPr="000756DF">
              <w:t>0.75 ± 1.71</w:t>
            </w:r>
          </w:p>
          <w:p w:rsidR="000B7D07" w:rsidRPr="000756DF" w:rsidRDefault="000B7D07" w:rsidP="00FD267A">
            <w:pPr>
              <w:pStyle w:val="TableText0"/>
            </w:pPr>
          </w:p>
        </w:tc>
        <w:tc>
          <w:tcPr>
            <w:tcW w:w="1001" w:type="pct"/>
          </w:tcPr>
          <w:p w:rsidR="000B7D07" w:rsidRPr="000756DF" w:rsidRDefault="000B7D07" w:rsidP="00D05B69">
            <w:pPr>
              <w:pStyle w:val="TableText0"/>
            </w:pPr>
            <w:r w:rsidRPr="000756DF">
              <w:t xml:space="preserve">Weekly </w:t>
            </w:r>
            <w:r>
              <w:t>p</w:t>
            </w:r>
            <w:r w:rsidRPr="00652355">
              <w:rPr>
                <w:spacing w:val="-20"/>
              </w:rPr>
              <w:t xml:space="preserve"> = </w:t>
            </w:r>
            <w:r w:rsidRPr="000756DF">
              <w:t>0.0650</w:t>
            </w:r>
          </w:p>
          <w:p w:rsidR="000B7D07" w:rsidRPr="000756DF" w:rsidRDefault="000B7D07" w:rsidP="00DE28BF">
            <w:pPr>
              <w:pStyle w:val="TableText0"/>
            </w:pPr>
            <w:r w:rsidRPr="000756DF">
              <w:t>EOW</w:t>
            </w:r>
            <w:r>
              <w:t xml:space="preserve"> p</w:t>
            </w:r>
            <w:r w:rsidRPr="00652355">
              <w:rPr>
                <w:spacing w:val="-20"/>
              </w:rPr>
              <w:t xml:space="preserve"> = </w:t>
            </w:r>
            <w:r w:rsidRPr="000756DF">
              <w:t>0.9531</w:t>
            </w:r>
          </w:p>
        </w:tc>
      </w:tr>
      <w:tr w:rsidR="000B7D07" w:rsidRPr="000756DF" w:rsidTr="00855C2C">
        <w:tc>
          <w:tcPr>
            <w:tcW w:w="1605" w:type="pct"/>
          </w:tcPr>
          <w:p w:rsidR="000B7D07" w:rsidRPr="000756DF" w:rsidRDefault="000B7D07" w:rsidP="00DE28BF">
            <w:pPr>
              <w:pStyle w:val="TableText0"/>
            </w:pPr>
            <w:r w:rsidRPr="000756DF">
              <w:t>Absolute FVC (L ± SEM)</w:t>
            </w:r>
          </w:p>
        </w:tc>
        <w:tc>
          <w:tcPr>
            <w:tcW w:w="772" w:type="pct"/>
          </w:tcPr>
          <w:p w:rsidR="000B7D07" w:rsidRDefault="000B7D07" w:rsidP="00FD267A">
            <w:pPr>
              <w:pStyle w:val="TableText0"/>
            </w:pPr>
            <w:r>
              <w:t>B = 1.19 ± 0.10</w:t>
            </w:r>
          </w:p>
          <w:p w:rsidR="000B7D07" w:rsidRPr="000756DF" w:rsidRDefault="000B7D07" w:rsidP="00FD267A">
            <w:pPr>
              <w:pStyle w:val="TableText0"/>
              <w:rPr>
                <w:vertAlign w:val="superscript"/>
              </w:rPr>
            </w:pPr>
            <w:r>
              <w:t xml:space="preserve">C = </w:t>
            </w:r>
            <w:r w:rsidRPr="000756DF">
              <w:t>0.22 ± 0.05</w:t>
            </w:r>
            <w:r w:rsidRPr="000756DF">
              <w:rPr>
                <w:vertAlign w:val="superscript"/>
              </w:rPr>
              <w:t>a</w:t>
            </w:r>
          </w:p>
        </w:tc>
        <w:tc>
          <w:tcPr>
            <w:tcW w:w="772" w:type="pct"/>
          </w:tcPr>
          <w:p w:rsidR="000B7D07" w:rsidRDefault="000B7D07" w:rsidP="00FD267A">
            <w:pPr>
              <w:pStyle w:val="TableText0"/>
            </w:pPr>
            <w:r>
              <w:t>B = 1.17 ± 0.10</w:t>
            </w:r>
          </w:p>
          <w:p w:rsidR="000B7D07" w:rsidRPr="000756DF" w:rsidRDefault="000B7D07" w:rsidP="00FD267A">
            <w:pPr>
              <w:pStyle w:val="TableText0"/>
            </w:pPr>
            <w:r>
              <w:t xml:space="preserve">C = </w:t>
            </w:r>
            <w:r w:rsidRPr="000756DF">
              <w:t>0.07 ± 0.03</w:t>
            </w:r>
          </w:p>
        </w:tc>
        <w:tc>
          <w:tcPr>
            <w:tcW w:w="850" w:type="pct"/>
          </w:tcPr>
          <w:p w:rsidR="000B7D07" w:rsidRDefault="000B7D07" w:rsidP="00FD267A">
            <w:pPr>
              <w:pStyle w:val="TableText0"/>
            </w:pPr>
            <w:r>
              <w:t>B = 1.09 ± 0.09</w:t>
            </w:r>
          </w:p>
          <w:p w:rsidR="000B7D07" w:rsidRPr="000756DF" w:rsidRDefault="000B7D07" w:rsidP="00FD267A">
            <w:pPr>
              <w:pStyle w:val="TableText0"/>
              <w:rPr>
                <w:vertAlign w:val="superscript"/>
              </w:rPr>
            </w:pPr>
            <w:r>
              <w:t xml:space="preserve">C = </w:t>
            </w:r>
            <w:r w:rsidRPr="000756DF">
              <w:t>0.06 ± 0.03</w:t>
            </w:r>
          </w:p>
        </w:tc>
        <w:tc>
          <w:tcPr>
            <w:tcW w:w="1001" w:type="pct"/>
          </w:tcPr>
          <w:p w:rsidR="000B7D07" w:rsidRPr="000756DF" w:rsidRDefault="000B7D07" w:rsidP="00D05B69">
            <w:pPr>
              <w:pStyle w:val="TableText0"/>
            </w:pPr>
            <w:r w:rsidRPr="000756DF">
              <w:t xml:space="preserve">Weekly </w:t>
            </w:r>
            <w:r>
              <w:t>p</w:t>
            </w:r>
            <w:r w:rsidRPr="00652355">
              <w:rPr>
                <w:spacing w:val="-20"/>
              </w:rPr>
              <w:t xml:space="preserve"> = </w:t>
            </w:r>
            <w:r w:rsidRPr="000756DF">
              <w:t>0.0011</w:t>
            </w:r>
          </w:p>
          <w:p w:rsidR="000B7D07" w:rsidRPr="000756DF" w:rsidRDefault="000B7D07" w:rsidP="00DE28BF">
            <w:pPr>
              <w:pStyle w:val="TableText0"/>
            </w:pPr>
            <w:r w:rsidRPr="000756DF">
              <w:t>EOW</w:t>
            </w:r>
            <w:r>
              <w:t xml:space="preserve"> p</w:t>
            </w:r>
            <w:r w:rsidRPr="00652355">
              <w:rPr>
                <w:spacing w:val="-20"/>
              </w:rPr>
              <w:t xml:space="preserve"> = </w:t>
            </w:r>
            <w:r w:rsidRPr="000756DF">
              <w:t>0.3735</w:t>
            </w:r>
          </w:p>
        </w:tc>
      </w:tr>
    </w:tbl>
    <w:p w:rsidR="003C729B" w:rsidRPr="000756DF" w:rsidRDefault="003C729B" w:rsidP="00BF727B">
      <w:pPr>
        <w:pStyle w:val="TableNote"/>
        <w:ind w:left="0" w:firstLine="0"/>
      </w:pPr>
      <w:r w:rsidRPr="000756DF">
        <w:t xml:space="preserve">% </w:t>
      </w:r>
      <w:r w:rsidR="001B4E29" w:rsidRPr="000756DF">
        <w:t xml:space="preserve">FVC </w:t>
      </w:r>
      <w:r w:rsidR="001B4E29" w:rsidRPr="00652355">
        <w:rPr>
          <w:spacing w:val="-20"/>
        </w:rPr>
        <w:t xml:space="preserve">= </w:t>
      </w:r>
      <w:r w:rsidR="001B4E29" w:rsidRPr="000756DF">
        <w:t>percent</w:t>
      </w:r>
      <w:r w:rsidRPr="000756DF">
        <w:t xml:space="preserve"> predicted forced vital capacity; </w:t>
      </w:r>
      <w:r w:rsidR="001B4E29" w:rsidRPr="000756DF">
        <w:t xml:space="preserve">6MWT </w:t>
      </w:r>
      <w:r w:rsidR="001B4E29" w:rsidRPr="00652355">
        <w:rPr>
          <w:spacing w:val="-20"/>
        </w:rPr>
        <w:t xml:space="preserve">= </w:t>
      </w:r>
      <w:r w:rsidR="001B4E29" w:rsidRPr="000756DF">
        <w:t>6</w:t>
      </w:r>
      <w:r w:rsidRPr="000756DF">
        <w:t xml:space="preserve">-minute walking test; </w:t>
      </w:r>
      <w:r w:rsidR="001B4E29" w:rsidRPr="000756DF">
        <w:t xml:space="preserve">EOW </w:t>
      </w:r>
      <w:r w:rsidR="001B4E29" w:rsidRPr="00652355">
        <w:rPr>
          <w:spacing w:val="-20"/>
        </w:rPr>
        <w:t xml:space="preserve">= </w:t>
      </w:r>
      <w:r w:rsidR="001B4E29" w:rsidRPr="000756DF">
        <w:t>every</w:t>
      </w:r>
      <w:r w:rsidRPr="000756DF">
        <w:t xml:space="preserve"> other week</w:t>
      </w:r>
      <w:r w:rsidR="00257ED8">
        <w:t xml:space="preserve">; </w:t>
      </w:r>
      <w:r w:rsidR="001B4E29">
        <w:t xml:space="preserve">SEM </w:t>
      </w:r>
      <w:r w:rsidR="001B4E29" w:rsidRPr="00652355">
        <w:rPr>
          <w:spacing w:val="-20"/>
        </w:rPr>
        <w:t xml:space="preserve">= </w:t>
      </w:r>
      <w:r w:rsidR="001B4E29">
        <w:t>standard</w:t>
      </w:r>
      <w:r w:rsidR="00257ED8">
        <w:t xml:space="preserve"> error of the mean</w:t>
      </w:r>
      <w:r w:rsidR="000B7D07">
        <w:t>; B = baseline; C = change</w:t>
      </w:r>
    </w:p>
    <w:p w:rsidR="000756DF" w:rsidRDefault="000756DF" w:rsidP="00855C2C">
      <w:pPr>
        <w:pStyle w:val="TableNote"/>
      </w:pPr>
      <w:proofErr w:type="gramStart"/>
      <w:r w:rsidRPr="000756DF">
        <w:rPr>
          <w:vertAlign w:val="superscript"/>
        </w:rPr>
        <w:t>a</w:t>
      </w:r>
      <w:proofErr w:type="gramEnd"/>
      <w:r w:rsidR="00BF727B">
        <w:rPr>
          <w:vertAlign w:val="superscript"/>
        </w:rPr>
        <w:t xml:space="preserve"> </w:t>
      </w:r>
      <w:r w:rsidRPr="000756DF">
        <w:t>P</w:t>
      </w:r>
      <w:r w:rsidR="00652355" w:rsidRPr="00652355">
        <w:rPr>
          <w:spacing w:val="-20"/>
        </w:rPr>
        <w:t xml:space="preserve"> = </w:t>
      </w:r>
      <w:r w:rsidRPr="000756DF">
        <w:t>0.0176 compared to EOW dosing</w:t>
      </w:r>
    </w:p>
    <w:p w:rsidR="003C729B" w:rsidRDefault="003C729B" w:rsidP="0052627A">
      <w:pPr>
        <w:pStyle w:val="TableNote"/>
        <w:spacing w:after="480"/>
        <w:rPr>
          <w:rFonts w:eastAsiaTheme="majorEastAsia"/>
        </w:rPr>
      </w:pPr>
      <w:proofErr w:type="gramStart"/>
      <w:r>
        <w:rPr>
          <w:vertAlign w:val="superscript"/>
        </w:rPr>
        <w:t>b</w:t>
      </w:r>
      <w:proofErr w:type="gramEnd"/>
      <w:r w:rsidR="00BF727B">
        <w:rPr>
          <w:vertAlign w:val="superscript"/>
        </w:rPr>
        <w:t xml:space="preserve"> </w:t>
      </w:r>
      <w:r w:rsidRPr="000756DF">
        <w:t>P-values are based on ANCOVA for the comparison to placebo.</w:t>
      </w:r>
    </w:p>
    <w:p w:rsidR="000756DF" w:rsidRPr="000756DF" w:rsidRDefault="000756DF" w:rsidP="000756DF">
      <w:pPr>
        <w:rPr>
          <w:rFonts w:eastAsiaTheme="majorEastAsia"/>
        </w:rPr>
      </w:pPr>
      <w:r w:rsidRPr="000756DF">
        <w:rPr>
          <w:rFonts w:eastAsiaTheme="majorEastAsia"/>
        </w:rPr>
        <w:t>Patients in the idursulfase weekly group walked significantly further in 6 minutes than those in the placebo group for the 6 minute walk test (6MWT; 44.3 ± 12.3m versus 7.3 ± 9.5m, p</w:t>
      </w:r>
      <w:r w:rsidR="00652355" w:rsidRPr="00652355">
        <w:rPr>
          <w:rFonts w:eastAsiaTheme="majorEastAsia"/>
          <w:spacing w:val="-20"/>
        </w:rPr>
        <w:t xml:space="preserve"> = </w:t>
      </w:r>
      <w:r w:rsidRPr="000756DF">
        <w:rPr>
          <w:rFonts w:eastAsiaTheme="majorEastAsia"/>
        </w:rPr>
        <w:t>0.0131) and had significantly better absolute Forced Vital Capacity (FVC) compared to the placebo group (0.22 ± 0.05% versus 0.06 ± 0.03%, p</w:t>
      </w:r>
      <w:r w:rsidR="00652355" w:rsidRPr="00652355">
        <w:rPr>
          <w:rFonts w:eastAsiaTheme="majorEastAsia"/>
          <w:spacing w:val="-20"/>
        </w:rPr>
        <w:t xml:space="preserve"> = </w:t>
      </w:r>
      <w:r w:rsidRPr="000756DF">
        <w:rPr>
          <w:rFonts w:eastAsiaTheme="majorEastAsia"/>
        </w:rPr>
        <w:t>0.0011) after 53 weeks. The % predicted FVC increased more in the idursulfase weekly group compared to placebo but the difference was not statistically significant. When the same outcomes were compared between the idursulfase every other week (EOW) and placebo groups, none reached statistical significance, although the 6MWT showed a trend in favour of idursulfase EOW. The authors also reported that there was a statistically significant difference in the absolute FVC when the idursulfase weekly and EOW groups were compared (p</w:t>
      </w:r>
      <w:r w:rsidR="00652355" w:rsidRPr="00652355">
        <w:rPr>
          <w:rFonts w:eastAsiaTheme="majorEastAsia"/>
          <w:spacing w:val="-20"/>
        </w:rPr>
        <w:t xml:space="preserve"> = </w:t>
      </w:r>
      <w:r w:rsidRPr="000756DF">
        <w:rPr>
          <w:rFonts w:eastAsiaTheme="majorEastAsia"/>
        </w:rPr>
        <w:t>0.018).</w:t>
      </w:r>
    </w:p>
    <w:p w:rsidR="000756DF" w:rsidRPr="000756DF" w:rsidRDefault="000756DF" w:rsidP="000756DF">
      <w:pPr>
        <w:rPr>
          <w:rFonts w:eastAsiaTheme="majorEastAsia"/>
        </w:rPr>
      </w:pPr>
      <w:r w:rsidRPr="000756DF">
        <w:rPr>
          <w:rFonts w:eastAsiaTheme="majorEastAsia"/>
        </w:rPr>
        <w:t xml:space="preserve">In </w:t>
      </w:r>
      <w:r w:rsidR="00A72B26" w:rsidRPr="00716774">
        <w:t xml:space="preserve">Table </w:t>
      </w:r>
      <w:r w:rsidR="00A72B26">
        <w:rPr>
          <w:noProof/>
        </w:rPr>
        <w:t>102</w:t>
      </w:r>
      <w:r w:rsidRPr="000756DF">
        <w:rPr>
          <w:rFonts w:eastAsiaTheme="majorEastAsia"/>
        </w:rPr>
        <w:t xml:space="preserve"> the data for treatment difference between randomised groups for the two-component composite score is reported. The score gives a combined measure of respiratory function and physical function capacity using the O’Brien analysis procedure</w:t>
      </w:r>
      <w:r w:rsidRPr="000756DF">
        <w:rPr>
          <w:rFonts w:eastAsiaTheme="majorEastAsia"/>
          <w:vertAlign w:val="superscript"/>
        </w:rPr>
        <w:footnoteReference w:id="16"/>
      </w:r>
      <w:r w:rsidRPr="000756DF">
        <w:rPr>
          <w:rFonts w:eastAsiaTheme="majorEastAsia"/>
        </w:rPr>
        <w:t>. Using an ITT analysis, the score was significantly higher in the idursulfase weekly group compared to placebo (treatment difference 19.96 ± 6.47, 9</w:t>
      </w:r>
      <w:r w:rsidR="00652355" w:rsidRPr="00652355">
        <w:rPr>
          <w:rFonts w:eastAsiaTheme="majorEastAsia"/>
          <w:spacing w:val="-20"/>
        </w:rPr>
        <w:t xml:space="preserve"> = </w:t>
      </w:r>
      <w:r w:rsidRPr="000756DF">
        <w:rPr>
          <w:rFonts w:eastAsiaTheme="majorEastAsia"/>
        </w:rPr>
        <w:t>0.0049), and the difference was smaller but still significant between the idursulfase EOW group compared to placebo (treatment difference 12.86 ± 6.17, p</w:t>
      </w:r>
      <w:r w:rsidR="00652355" w:rsidRPr="00652355">
        <w:rPr>
          <w:rFonts w:eastAsiaTheme="majorEastAsia"/>
          <w:spacing w:val="-20"/>
        </w:rPr>
        <w:t xml:space="preserve"> = </w:t>
      </w:r>
      <w:r w:rsidRPr="000756DF">
        <w:rPr>
          <w:rFonts w:eastAsiaTheme="majorEastAsia"/>
        </w:rPr>
        <w:t xml:space="preserve">0.0416). </w:t>
      </w:r>
      <w:r w:rsidR="00855C2C" w:rsidRPr="000756DF">
        <w:rPr>
          <w:rFonts w:eastAsiaTheme="majorEastAsia"/>
        </w:rPr>
        <w:t>The</w:t>
      </w:r>
      <w:r w:rsidR="00855C2C">
        <w:rPr>
          <w:rFonts w:eastAsiaTheme="majorEastAsia"/>
        </w:rPr>
        <w:t>re was no</w:t>
      </w:r>
      <w:r w:rsidR="00855C2C" w:rsidRPr="000756DF">
        <w:rPr>
          <w:rFonts w:eastAsiaTheme="majorEastAsia"/>
        </w:rPr>
        <w:t xml:space="preserve"> difference between Weekly and EOW </w:t>
      </w:r>
      <w:r w:rsidR="00855C2C">
        <w:rPr>
          <w:rFonts w:eastAsiaTheme="majorEastAsia"/>
        </w:rPr>
        <w:t xml:space="preserve">dosing of </w:t>
      </w:r>
      <w:r w:rsidR="00855C2C" w:rsidRPr="000756DF">
        <w:rPr>
          <w:rFonts w:eastAsiaTheme="majorEastAsia"/>
        </w:rPr>
        <w:t xml:space="preserve">idursulfase </w:t>
      </w:r>
      <w:r w:rsidR="00855C2C">
        <w:t xml:space="preserve">(GRADE </w:t>
      </w:r>
      <w:r w:rsidR="00855C2C" w:rsidRPr="00D4733A">
        <w:rPr>
          <w:rFonts w:ascii="Cambria Math" w:hAnsi="Cambria Math"/>
          <w:color w:val="00B050"/>
        </w:rPr>
        <w:t>⨁⨁⨁</w:t>
      </w:r>
      <w:r w:rsidR="00855C2C" w:rsidRPr="00D4733A">
        <w:rPr>
          <w:rFonts w:ascii="Cambria Math" w:hAnsi="Cambria Math"/>
          <w:color w:val="C00000"/>
        </w:rPr>
        <w:t>⨀</w:t>
      </w:r>
      <w:r w:rsidR="00855C2C">
        <w:t>)</w:t>
      </w:r>
      <w:r w:rsidR="00855C2C">
        <w:rPr>
          <w:rFonts w:eastAsiaTheme="majorEastAsia"/>
        </w:rPr>
        <w:t>.</w:t>
      </w:r>
    </w:p>
    <w:p w:rsidR="000756DF" w:rsidRPr="00E965BD" w:rsidRDefault="000756DF" w:rsidP="00F44176">
      <w:pPr>
        <w:pStyle w:val="Caption"/>
        <w:keepNext/>
        <w:tabs>
          <w:tab w:val="clear" w:pos="851"/>
          <w:tab w:val="left" w:pos="1134"/>
        </w:tabs>
        <w:ind w:left="1134" w:hanging="1134"/>
        <w:rPr>
          <w:bCs w:val="0"/>
        </w:rPr>
      </w:pPr>
      <w:bookmarkStart w:id="395" w:name="_Ref404159543"/>
      <w:bookmarkStart w:id="396" w:name="_Toc411510468"/>
      <w:bookmarkStart w:id="397" w:name="_Toc415141899"/>
      <w:r w:rsidRPr="00716774">
        <w:lastRenderedPageBreak/>
        <w:t xml:space="preserve">Table </w:t>
      </w:r>
      <w:r w:rsidR="00A72B26">
        <w:rPr>
          <w:noProof/>
        </w:rPr>
        <w:t>102</w:t>
      </w:r>
      <w:bookmarkEnd w:id="395"/>
      <w:r w:rsidRPr="00716774">
        <w:t xml:space="preserve"> </w:t>
      </w:r>
      <w:r w:rsidR="003E509A">
        <w:tab/>
      </w:r>
      <w:r w:rsidRPr="003E509A">
        <w:t>Treatment difference in primary efficacy outcome for MPS II patients randomised to idursulfase weekly, idursulfase fortnightl</w:t>
      </w:r>
      <w:r w:rsidRPr="001D2216">
        <w:t xml:space="preserve">y, or placebo </w:t>
      </w:r>
      <w:r w:rsidR="00A130D0">
        <w:rPr>
          <w:noProof/>
        </w:rPr>
        <w:t>(</w:t>
      </w:r>
      <w:r w:rsidR="00184B6F">
        <w:rPr>
          <w:noProof/>
        </w:rPr>
        <w:t>Muenzer et al. 2006</w:t>
      </w:r>
      <w:r w:rsidR="00A130D0">
        <w:rPr>
          <w:noProof/>
        </w:rPr>
        <w:t>)</w:t>
      </w:r>
      <w:bookmarkEnd w:id="396"/>
      <w:bookmarkEnd w:id="397"/>
    </w:p>
    <w:tbl>
      <w:tblPr>
        <w:tblStyle w:val="TableGrid"/>
        <w:tblW w:w="4979" w:type="pct"/>
        <w:tblLook w:val="04A0" w:firstRow="1" w:lastRow="0" w:firstColumn="1" w:lastColumn="0" w:noHBand="0" w:noVBand="1"/>
        <w:tblCaption w:val="Table 70  Treatment difference in primary efficacy outcome for MPS II patients randomised to idursulfase weekly, idursulfase fortnightly, or placebo (Muenzer et al. 2006)"/>
      </w:tblPr>
      <w:tblGrid>
        <w:gridCol w:w="3004"/>
        <w:gridCol w:w="2065"/>
        <w:gridCol w:w="2067"/>
        <w:gridCol w:w="2067"/>
      </w:tblGrid>
      <w:tr w:rsidR="00855C2C" w:rsidRPr="000756DF" w:rsidTr="009A0365">
        <w:trPr>
          <w:trHeight w:val="842"/>
          <w:tblHeader/>
        </w:trPr>
        <w:tc>
          <w:tcPr>
            <w:tcW w:w="1632" w:type="pct"/>
          </w:tcPr>
          <w:p w:rsidR="00855C2C" w:rsidRPr="000756DF" w:rsidRDefault="00855C2C" w:rsidP="00D05B69">
            <w:pPr>
              <w:pStyle w:val="TableHeading"/>
            </w:pPr>
            <w:r w:rsidRPr="000756DF">
              <w:t>Outcome</w:t>
            </w:r>
          </w:p>
          <w:p w:rsidR="00855C2C" w:rsidRPr="000756DF" w:rsidRDefault="00855C2C" w:rsidP="00E44932">
            <w:pPr>
              <w:pStyle w:val="TableHeading"/>
            </w:pPr>
            <w:r w:rsidRPr="000756DF">
              <w:t>(ITT analysis)</w:t>
            </w:r>
          </w:p>
        </w:tc>
        <w:tc>
          <w:tcPr>
            <w:tcW w:w="1122" w:type="pct"/>
          </w:tcPr>
          <w:p w:rsidR="00855C2C" w:rsidRPr="000756DF" w:rsidRDefault="00855C2C" w:rsidP="00E44932">
            <w:pPr>
              <w:pStyle w:val="TableHeading"/>
            </w:pPr>
            <w:r w:rsidRPr="000756DF">
              <w:t>Idursulfase weekly versus placebo (n</w:t>
            </w:r>
            <w:r w:rsidR="00652355" w:rsidRPr="00652355">
              <w:rPr>
                <w:spacing w:val="-20"/>
              </w:rPr>
              <w:t xml:space="preserve"> = </w:t>
            </w:r>
            <w:r w:rsidRPr="000756DF">
              <w:t>32)</w:t>
            </w:r>
          </w:p>
        </w:tc>
        <w:tc>
          <w:tcPr>
            <w:tcW w:w="1123" w:type="pct"/>
          </w:tcPr>
          <w:p w:rsidR="00855C2C" w:rsidRPr="000756DF" w:rsidRDefault="00855C2C" w:rsidP="00E44932">
            <w:pPr>
              <w:pStyle w:val="TableHeading"/>
            </w:pPr>
            <w:r w:rsidRPr="000756DF">
              <w:t>Idursulfase EOW versus placebo (n</w:t>
            </w:r>
            <w:r w:rsidR="00652355" w:rsidRPr="00652355">
              <w:rPr>
                <w:spacing w:val="-20"/>
              </w:rPr>
              <w:t xml:space="preserve"> = </w:t>
            </w:r>
            <w:r w:rsidRPr="000756DF">
              <w:t>32)</w:t>
            </w:r>
          </w:p>
        </w:tc>
        <w:tc>
          <w:tcPr>
            <w:tcW w:w="1123" w:type="pct"/>
          </w:tcPr>
          <w:p w:rsidR="00855C2C" w:rsidRPr="000756DF" w:rsidRDefault="00855C2C" w:rsidP="00E44932">
            <w:pPr>
              <w:pStyle w:val="TableHeading"/>
            </w:pPr>
            <w:r w:rsidRPr="000756DF">
              <w:t>Weekly versus EOW (n</w:t>
            </w:r>
            <w:r w:rsidR="00652355" w:rsidRPr="00652355">
              <w:rPr>
                <w:spacing w:val="-20"/>
              </w:rPr>
              <w:t xml:space="preserve"> = </w:t>
            </w:r>
            <w:r w:rsidRPr="000756DF">
              <w:t>32)</w:t>
            </w:r>
          </w:p>
        </w:tc>
      </w:tr>
      <w:tr w:rsidR="000756DF" w:rsidRPr="000756DF" w:rsidTr="00855C2C">
        <w:trPr>
          <w:trHeight w:val="704"/>
        </w:trPr>
        <w:tc>
          <w:tcPr>
            <w:tcW w:w="1632" w:type="pct"/>
          </w:tcPr>
          <w:p w:rsidR="000756DF" w:rsidRPr="000756DF" w:rsidRDefault="000756DF" w:rsidP="004A49D4">
            <w:pPr>
              <w:pStyle w:val="TableText0"/>
            </w:pPr>
            <w:r w:rsidRPr="000756DF">
              <w:t>Treatment difference for the two-component composite score</w:t>
            </w:r>
            <w:r w:rsidRPr="000756DF">
              <w:rPr>
                <w:vertAlign w:val="superscript"/>
              </w:rPr>
              <w:t>a</w:t>
            </w:r>
            <w:r w:rsidRPr="000756DF">
              <w:t xml:space="preserve"> </w:t>
            </w:r>
          </w:p>
        </w:tc>
        <w:tc>
          <w:tcPr>
            <w:tcW w:w="1122" w:type="pct"/>
          </w:tcPr>
          <w:p w:rsidR="000756DF" w:rsidRPr="000756DF" w:rsidRDefault="000756DF" w:rsidP="00E44932">
            <w:pPr>
              <w:pStyle w:val="TableText0"/>
            </w:pPr>
            <w:r w:rsidRPr="000756DF">
              <w:t>18.96 ± 6.47</w:t>
            </w:r>
          </w:p>
          <w:p w:rsidR="000756DF" w:rsidRPr="000756DF" w:rsidRDefault="00E44932" w:rsidP="00E44932">
            <w:pPr>
              <w:pStyle w:val="TableText0"/>
            </w:pPr>
            <w:r>
              <w:t>p</w:t>
            </w:r>
            <w:r w:rsidR="00652355" w:rsidRPr="00652355">
              <w:rPr>
                <w:spacing w:val="-20"/>
              </w:rPr>
              <w:t xml:space="preserve"> = </w:t>
            </w:r>
            <w:r w:rsidR="000756DF" w:rsidRPr="000756DF">
              <w:t>0.0049</w:t>
            </w:r>
          </w:p>
        </w:tc>
        <w:tc>
          <w:tcPr>
            <w:tcW w:w="1123" w:type="pct"/>
          </w:tcPr>
          <w:p w:rsidR="000756DF" w:rsidRPr="000756DF" w:rsidRDefault="000756DF" w:rsidP="00E44932">
            <w:pPr>
              <w:pStyle w:val="TableText0"/>
            </w:pPr>
            <w:r w:rsidRPr="000756DF">
              <w:t>12.86 ± 6.17</w:t>
            </w:r>
          </w:p>
          <w:p w:rsidR="000756DF" w:rsidRPr="000756DF" w:rsidRDefault="00E44932" w:rsidP="00E44932">
            <w:pPr>
              <w:pStyle w:val="TableText0"/>
            </w:pPr>
            <w:r>
              <w:t>p</w:t>
            </w:r>
            <w:r w:rsidR="00652355" w:rsidRPr="00652355">
              <w:rPr>
                <w:spacing w:val="-20"/>
              </w:rPr>
              <w:t xml:space="preserve"> = </w:t>
            </w:r>
            <w:r w:rsidR="000756DF" w:rsidRPr="000756DF">
              <w:t>0.0416</w:t>
            </w:r>
          </w:p>
        </w:tc>
        <w:tc>
          <w:tcPr>
            <w:tcW w:w="1123" w:type="pct"/>
          </w:tcPr>
          <w:p w:rsidR="000756DF" w:rsidRPr="000756DF" w:rsidRDefault="000756DF" w:rsidP="00E44932">
            <w:pPr>
              <w:pStyle w:val="TableText0"/>
            </w:pPr>
            <w:r w:rsidRPr="000756DF">
              <w:t>10.84 ± 7.11</w:t>
            </w:r>
          </w:p>
          <w:p w:rsidR="000756DF" w:rsidRPr="000756DF" w:rsidRDefault="00E44932" w:rsidP="00E44932">
            <w:pPr>
              <w:pStyle w:val="TableText0"/>
            </w:pPr>
            <w:r>
              <w:t>p</w:t>
            </w:r>
            <w:r w:rsidR="00652355" w:rsidRPr="00652355">
              <w:rPr>
                <w:spacing w:val="-20"/>
              </w:rPr>
              <w:t xml:space="preserve"> = </w:t>
            </w:r>
            <w:r w:rsidR="000756DF" w:rsidRPr="000756DF">
              <w:t>0.1329</w:t>
            </w:r>
          </w:p>
        </w:tc>
      </w:tr>
    </w:tbl>
    <w:p w:rsidR="000756DF" w:rsidRDefault="000756DF" w:rsidP="00855C2C">
      <w:pPr>
        <w:pStyle w:val="TableNote"/>
      </w:pPr>
      <w:r w:rsidRPr="000756DF">
        <w:t xml:space="preserve">% </w:t>
      </w:r>
      <w:r w:rsidR="001B4E29" w:rsidRPr="000756DF">
        <w:t xml:space="preserve">FVC </w:t>
      </w:r>
      <w:r w:rsidR="001B4E29" w:rsidRPr="00652355">
        <w:rPr>
          <w:spacing w:val="-20"/>
        </w:rPr>
        <w:t xml:space="preserve">= </w:t>
      </w:r>
      <w:r w:rsidR="001B4E29" w:rsidRPr="000756DF">
        <w:t>percent</w:t>
      </w:r>
      <w:r w:rsidRPr="000756DF">
        <w:t xml:space="preserve"> predicted forced vital capacity; </w:t>
      </w:r>
      <w:r w:rsidR="001B4E29" w:rsidRPr="000756DF">
        <w:t xml:space="preserve">6MWT </w:t>
      </w:r>
      <w:r w:rsidR="001B4E29" w:rsidRPr="00652355">
        <w:rPr>
          <w:spacing w:val="-20"/>
        </w:rPr>
        <w:t xml:space="preserve">= </w:t>
      </w:r>
      <w:r w:rsidR="001B4E29" w:rsidRPr="000756DF">
        <w:t>6</w:t>
      </w:r>
      <w:r w:rsidRPr="000756DF">
        <w:t xml:space="preserve">-minute walking test; </w:t>
      </w:r>
      <w:r w:rsidR="001B4E29" w:rsidRPr="000756DF">
        <w:t xml:space="preserve">EOW </w:t>
      </w:r>
      <w:r w:rsidR="001B4E29" w:rsidRPr="00652355">
        <w:rPr>
          <w:spacing w:val="-20"/>
        </w:rPr>
        <w:t xml:space="preserve">= </w:t>
      </w:r>
      <w:r w:rsidR="001B4E29" w:rsidRPr="000756DF">
        <w:t>every</w:t>
      </w:r>
      <w:r w:rsidRPr="000756DF">
        <w:t xml:space="preserve"> other week; </w:t>
      </w:r>
      <w:r w:rsidR="001B4E29" w:rsidRPr="000756DF">
        <w:t xml:space="preserve">ITT </w:t>
      </w:r>
      <w:r w:rsidR="001B4E29" w:rsidRPr="00652355">
        <w:rPr>
          <w:spacing w:val="-20"/>
        </w:rPr>
        <w:t xml:space="preserve">= </w:t>
      </w:r>
      <w:r w:rsidR="001B4E29" w:rsidRPr="000756DF">
        <w:t>intention</w:t>
      </w:r>
      <w:r w:rsidRPr="000756DF">
        <w:t xml:space="preserve"> to treat</w:t>
      </w:r>
    </w:p>
    <w:p w:rsidR="00A2123D" w:rsidRPr="000756DF" w:rsidRDefault="00A2123D" w:rsidP="0052627A">
      <w:pPr>
        <w:pStyle w:val="TableNote"/>
        <w:spacing w:after="480"/>
      </w:pPr>
      <w:proofErr w:type="gramStart"/>
      <w:r w:rsidRPr="000756DF">
        <w:rPr>
          <w:vertAlign w:val="superscript"/>
        </w:rPr>
        <w:t>a</w:t>
      </w:r>
      <w:proofErr w:type="gramEnd"/>
      <w:r w:rsidR="00BF727B">
        <w:rPr>
          <w:vertAlign w:val="superscript"/>
        </w:rPr>
        <w:t xml:space="preserve"> </w:t>
      </w:r>
      <w:r w:rsidRPr="000756DF">
        <w:t>The composite score combines 6MWT and %FVC</w:t>
      </w:r>
    </w:p>
    <w:p w:rsidR="000756DF" w:rsidRPr="00EC5DFF" w:rsidRDefault="000756DF" w:rsidP="00EC5DFF">
      <w:pPr>
        <w:pStyle w:val="Heading5"/>
        <w:rPr>
          <w:rFonts w:eastAsiaTheme="majorEastAsia"/>
        </w:rPr>
      </w:pPr>
      <w:r w:rsidRPr="00EC5DFF">
        <w:rPr>
          <w:rFonts w:eastAsiaTheme="majorEastAsia"/>
        </w:rPr>
        <w:t>Change in liver and spleen volumes</w:t>
      </w:r>
    </w:p>
    <w:p w:rsidR="00A35392" w:rsidRDefault="00855C2C" w:rsidP="000756DF">
      <w:pPr>
        <w:rPr>
          <w:rFonts w:eastAsiaTheme="majorEastAsia"/>
        </w:rPr>
      </w:pPr>
      <w:r w:rsidRPr="000756DF">
        <w:rPr>
          <w:rFonts w:eastAsiaTheme="majorEastAsia"/>
        </w:rPr>
        <w:t>The % change in liver and spleen volumes were measured after 53 weeks of treatment</w:t>
      </w:r>
      <w:r w:rsidR="007801E5">
        <w:rPr>
          <w:rFonts w:eastAsiaTheme="majorEastAsia"/>
        </w:rPr>
        <w:t xml:space="preserve"> </w:t>
      </w:r>
      <w:r w:rsidR="007801E5">
        <w:t>(</w:t>
      </w:r>
      <w:r w:rsidR="00A72B26" w:rsidRPr="00716774">
        <w:t xml:space="preserve">Table </w:t>
      </w:r>
      <w:r w:rsidR="00A72B26">
        <w:rPr>
          <w:noProof/>
        </w:rPr>
        <w:t>103</w:t>
      </w:r>
      <w:r w:rsidR="007801E5">
        <w:t>)</w:t>
      </w:r>
      <w:r w:rsidR="007801E5">
        <w:rPr>
          <w:rFonts w:eastAsiaTheme="majorEastAsia"/>
        </w:rPr>
        <w:t>.</w:t>
      </w:r>
      <w:r w:rsidRPr="000756DF">
        <w:rPr>
          <w:rFonts w:eastAsiaTheme="majorEastAsia"/>
        </w:rPr>
        <w:t xml:space="preserve"> Liver volumes decreased by more than 20% in both idursulfase groups but remained unchanged in the placebo group. </w:t>
      </w:r>
      <w:r w:rsidR="00A35392">
        <w:rPr>
          <w:rFonts w:eastAsiaTheme="majorEastAsia"/>
        </w:rPr>
        <w:t xml:space="preserve">Hepatomegaly was defined as a liver volume of &gt;3.5% of body weight in patients aged 5 – 12 years, </w:t>
      </w:r>
      <w:r w:rsidR="007801E5">
        <w:rPr>
          <w:rFonts w:eastAsiaTheme="majorEastAsia"/>
        </w:rPr>
        <w:t xml:space="preserve">&gt;2.2% in patients 13 – 17 years, </w:t>
      </w:r>
      <w:r w:rsidR="00A35392">
        <w:rPr>
          <w:rFonts w:eastAsiaTheme="majorEastAsia"/>
        </w:rPr>
        <w:t xml:space="preserve">and &gt;2.6% in patients </w:t>
      </w:r>
      <w:r w:rsidR="007801E5">
        <w:rPr>
          <w:rFonts w:eastAsiaTheme="majorEastAsia"/>
        </w:rPr>
        <w:t>&gt;18 years. Approximately 80 percent of patients who had hepatomegaly at baseline, and were treated with idursulfase, had a normal liver volume after 18 weeks and 53 weeks. In contrast, only one patient out of 23 with baseline hepatomegaly who received placebo had a normal liver volume at week 53</w:t>
      </w:r>
      <w:r w:rsidR="006D755C">
        <w:rPr>
          <w:rFonts w:eastAsiaTheme="majorEastAsia"/>
        </w:rPr>
        <w:t xml:space="preserve"> </w:t>
      </w:r>
      <w:r w:rsidR="006D755C">
        <w:t xml:space="preserve">(GRADE </w:t>
      </w:r>
      <w:r w:rsidR="006D755C" w:rsidRPr="00D4733A">
        <w:rPr>
          <w:rFonts w:ascii="Cambria Math" w:hAnsi="Cambria Math"/>
          <w:color w:val="00B050"/>
        </w:rPr>
        <w:t>⨁⨁⨁</w:t>
      </w:r>
      <w:r w:rsidR="006D755C" w:rsidRPr="00D4733A">
        <w:rPr>
          <w:rFonts w:ascii="Cambria Math" w:hAnsi="Cambria Math"/>
          <w:color w:val="C00000"/>
        </w:rPr>
        <w:t>⨀</w:t>
      </w:r>
      <w:r w:rsidR="00D67ADB" w:rsidRPr="00D67ADB">
        <w:rPr>
          <w:color w:val="C00000"/>
          <w:spacing w:val="-20"/>
        </w:rPr>
        <w:t>)</w:t>
      </w:r>
      <w:r w:rsidR="007801E5">
        <w:rPr>
          <w:rFonts w:eastAsiaTheme="majorEastAsia"/>
        </w:rPr>
        <w:t>.</w:t>
      </w:r>
    </w:p>
    <w:p w:rsidR="000756DF" w:rsidRPr="000756DF" w:rsidRDefault="004A49D4" w:rsidP="000756DF">
      <w:pPr>
        <w:rPr>
          <w:rFonts w:eastAsiaTheme="majorEastAsia"/>
        </w:rPr>
      </w:pPr>
      <w:r>
        <w:t>Spenomegaly was defined as having a spleen volume greater than the 95</w:t>
      </w:r>
      <w:r w:rsidRPr="007801E5">
        <w:rPr>
          <w:vertAlign w:val="superscript"/>
        </w:rPr>
        <w:t>th</w:t>
      </w:r>
      <w:r>
        <w:t xml:space="preserve"> percentile of normal distribution of children. The majority of patients had normal spleen volumes at baseline. </w:t>
      </w:r>
      <w:r w:rsidR="00855C2C" w:rsidRPr="000756DF">
        <w:rPr>
          <w:rFonts w:eastAsiaTheme="majorEastAsia"/>
        </w:rPr>
        <w:t xml:space="preserve">Spleen volumes were similarly reduced in both the idursulfase weekly and EOW groups compared to placebo </w:t>
      </w:r>
      <w:r w:rsidR="008875F8">
        <w:t xml:space="preserve">(GRADE </w:t>
      </w:r>
      <w:r w:rsidR="00D4733A" w:rsidRPr="00D4733A">
        <w:rPr>
          <w:rFonts w:ascii="Cambria Math" w:hAnsi="Cambria Math"/>
          <w:color w:val="00B050"/>
        </w:rPr>
        <w:t>⨁⨁⨁</w:t>
      </w:r>
      <w:r w:rsidR="00D4733A" w:rsidRPr="00D4733A">
        <w:rPr>
          <w:rFonts w:ascii="Cambria Math" w:hAnsi="Cambria Math"/>
          <w:color w:val="C00000"/>
        </w:rPr>
        <w:t>⨀</w:t>
      </w:r>
      <w:r w:rsidR="008875F8">
        <w:t>)</w:t>
      </w:r>
      <w:r w:rsidR="007801E5">
        <w:t xml:space="preserve">. </w:t>
      </w:r>
    </w:p>
    <w:p w:rsidR="000756DF" w:rsidRPr="00E965BD" w:rsidRDefault="000756DF" w:rsidP="00F44176">
      <w:pPr>
        <w:pStyle w:val="Caption"/>
        <w:keepNext/>
        <w:tabs>
          <w:tab w:val="clear" w:pos="851"/>
          <w:tab w:val="left" w:pos="1134"/>
        </w:tabs>
        <w:ind w:left="1134" w:hanging="1134"/>
        <w:rPr>
          <w:bCs w:val="0"/>
        </w:rPr>
      </w:pPr>
      <w:bookmarkStart w:id="398" w:name="_Ref405715497"/>
      <w:bookmarkStart w:id="399" w:name="_Toc411510469"/>
      <w:bookmarkStart w:id="400" w:name="_Toc415141900"/>
      <w:r w:rsidRPr="00716774">
        <w:t xml:space="preserve">Table </w:t>
      </w:r>
      <w:r w:rsidR="00A72B26">
        <w:rPr>
          <w:noProof/>
        </w:rPr>
        <w:t>103</w:t>
      </w:r>
      <w:bookmarkEnd w:id="398"/>
      <w:r w:rsidRPr="00716774">
        <w:t xml:space="preserve"> </w:t>
      </w:r>
      <w:r w:rsidR="00716774">
        <w:tab/>
      </w:r>
      <w:r w:rsidRPr="00716774">
        <w:t xml:space="preserve">Change in liver and spleen volumes in MPS </w:t>
      </w:r>
      <w:r w:rsidR="00E93442">
        <w:t xml:space="preserve">II </w:t>
      </w:r>
      <w:r w:rsidRPr="00716774">
        <w:t>patients randomised to idursulfase weekly, idursulfase every other week or plac</w:t>
      </w:r>
      <w:r w:rsidRPr="003913B1">
        <w:t xml:space="preserve">ebo </w:t>
      </w:r>
      <w:r w:rsidR="00A130D0">
        <w:rPr>
          <w:noProof/>
        </w:rPr>
        <w:t>(</w:t>
      </w:r>
      <w:r w:rsidR="00184B6F">
        <w:rPr>
          <w:noProof/>
        </w:rPr>
        <w:t>Muenzer et al. 2006</w:t>
      </w:r>
      <w:r w:rsidR="00A130D0">
        <w:rPr>
          <w:noProof/>
        </w:rPr>
        <w:t>)</w:t>
      </w:r>
      <w:bookmarkEnd w:id="399"/>
      <w:bookmarkEnd w:id="400"/>
    </w:p>
    <w:tbl>
      <w:tblPr>
        <w:tblStyle w:val="TableGrid"/>
        <w:tblW w:w="4966" w:type="pct"/>
        <w:tblLook w:val="04A0" w:firstRow="1" w:lastRow="0" w:firstColumn="1" w:lastColumn="0" w:noHBand="0" w:noVBand="1"/>
        <w:tblCaption w:val="Table 71  Change in liver and spleen volumes in MPS II patients randomised to idursulfase weekly, idursulfase every other week or placebo (Muenzer et al. 2006)"/>
      </w:tblPr>
      <w:tblGrid>
        <w:gridCol w:w="2947"/>
        <w:gridCol w:w="1417"/>
        <w:gridCol w:w="1417"/>
        <w:gridCol w:w="1560"/>
        <w:gridCol w:w="1838"/>
      </w:tblGrid>
      <w:tr w:rsidR="000756DF" w:rsidRPr="000756DF" w:rsidTr="009A0365">
        <w:trPr>
          <w:tblHeader/>
        </w:trPr>
        <w:tc>
          <w:tcPr>
            <w:tcW w:w="1605" w:type="pct"/>
          </w:tcPr>
          <w:p w:rsidR="000756DF" w:rsidRDefault="000756DF" w:rsidP="00E44932">
            <w:pPr>
              <w:pStyle w:val="TableHeading"/>
            </w:pPr>
            <w:r w:rsidRPr="000756DF">
              <w:t>Outcome</w:t>
            </w:r>
          </w:p>
          <w:p w:rsidR="00A2123D" w:rsidRPr="000756DF" w:rsidRDefault="000D4F7A" w:rsidP="00E44932">
            <w:pPr>
              <w:pStyle w:val="TableHeading"/>
            </w:pPr>
            <w:r>
              <w:t>(observed value ± SE</w:t>
            </w:r>
            <w:r w:rsidR="00A2123D">
              <w:t>)</w:t>
            </w:r>
          </w:p>
        </w:tc>
        <w:tc>
          <w:tcPr>
            <w:tcW w:w="772" w:type="pct"/>
          </w:tcPr>
          <w:p w:rsidR="000756DF" w:rsidRPr="000756DF" w:rsidRDefault="000756DF" w:rsidP="00E44932">
            <w:pPr>
              <w:pStyle w:val="TableHeading"/>
            </w:pPr>
            <w:r w:rsidRPr="000756DF">
              <w:t>Weekly (n</w:t>
            </w:r>
            <w:r w:rsidR="00652355" w:rsidRPr="00652355">
              <w:rPr>
                <w:spacing w:val="-20"/>
              </w:rPr>
              <w:t xml:space="preserve"> = </w:t>
            </w:r>
            <w:r w:rsidRPr="000756DF">
              <w:t>32)</w:t>
            </w:r>
          </w:p>
        </w:tc>
        <w:tc>
          <w:tcPr>
            <w:tcW w:w="772" w:type="pct"/>
          </w:tcPr>
          <w:p w:rsidR="000756DF" w:rsidRPr="000756DF" w:rsidRDefault="000756DF" w:rsidP="00E44932">
            <w:pPr>
              <w:pStyle w:val="TableHeading"/>
            </w:pPr>
            <w:r w:rsidRPr="000756DF">
              <w:t>EOW (n</w:t>
            </w:r>
            <w:r w:rsidR="00652355" w:rsidRPr="00652355">
              <w:rPr>
                <w:spacing w:val="-20"/>
              </w:rPr>
              <w:t xml:space="preserve"> = </w:t>
            </w:r>
            <w:r w:rsidRPr="000756DF">
              <w:t>32)</w:t>
            </w:r>
          </w:p>
        </w:tc>
        <w:tc>
          <w:tcPr>
            <w:tcW w:w="850" w:type="pct"/>
          </w:tcPr>
          <w:p w:rsidR="000756DF" w:rsidRPr="000756DF" w:rsidRDefault="000756DF" w:rsidP="00E44932">
            <w:pPr>
              <w:pStyle w:val="TableHeading"/>
            </w:pPr>
            <w:r w:rsidRPr="000756DF">
              <w:t>Placebo (n</w:t>
            </w:r>
            <w:r w:rsidR="00652355" w:rsidRPr="00652355">
              <w:rPr>
                <w:spacing w:val="-20"/>
              </w:rPr>
              <w:t xml:space="preserve"> = </w:t>
            </w:r>
            <w:r w:rsidRPr="000756DF">
              <w:t>32)</w:t>
            </w:r>
          </w:p>
        </w:tc>
        <w:tc>
          <w:tcPr>
            <w:tcW w:w="1001" w:type="pct"/>
          </w:tcPr>
          <w:p w:rsidR="000756DF" w:rsidRPr="000756DF" w:rsidRDefault="000756DF" w:rsidP="00E44932">
            <w:pPr>
              <w:pStyle w:val="TableHeading"/>
            </w:pPr>
            <w:r w:rsidRPr="000756DF">
              <w:t>Difference</w:t>
            </w:r>
          </w:p>
          <w:p w:rsidR="000756DF" w:rsidRPr="00257ED8" w:rsidRDefault="000756DF" w:rsidP="00E44932">
            <w:pPr>
              <w:pStyle w:val="TableHeading"/>
              <w:rPr>
                <w:vertAlign w:val="superscript"/>
              </w:rPr>
            </w:pPr>
            <w:r w:rsidRPr="000756DF">
              <w:t xml:space="preserve"> (vs placebo, p)</w:t>
            </w:r>
            <w:r w:rsidR="00257ED8">
              <w:rPr>
                <w:vertAlign w:val="superscript"/>
              </w:rPr>
              <w:t>a</w:t>
            </w:r>
          </w:p>
        </w:tc>
      </w:tr>
      <w:tr w:rsidR="000B7D07" w:rsidRPr="000756DF" w:rsidTr="000756DF">
        <w:tc>
          <w:tcPr>
            <w:tcW w:w="1605" w:type="pct"/>
          </w:tcPr>
          <w:p w:rsidR="000B7D07" w:rsidRDefault="000B7D07" w:rsidP="00E44932">
            <w:pPr>
              <w:pStyle w:val="TableText0"/>
            </w:pPr>
            <w:r w:rsidRPr="000756DF">
              <w:t xml:space="preserve">Liver volume </w:t>
            </w:r>
            <w:r>
              <w:t>(mL) (mean±SE)</w:t>
            </w:r>
          </w:p>
          <w:p w:rsidR="000B7D07" w:rsidRPr="000756DF" w:rsidRDefault="000B7D07" w:rsidP="000D4F7A">
            <w:pPr>
              <w:pStyle w:val="TableText0"/>
            </w:pPr>
            <w:r w:rsidRPr="000756DF">
              <w:t>% change</w:t>
            </w:r>
          </w:p>
        </w:tc>
        <w:tc>
          <w:tcPr>
            <w:tcW w:w="772" w:type="pct"/>
          </w:tcPr>
          <w:p w:rsidR="000B7D07" w:rsidRDefault="000B7D07" w:rsidP="00DC17CA">
            <w:pPr>
              <w:pStyle w:val="TableText0"/>
            </w:pPr>
            <w:r>
              <w:t>B</w:t>
            </w:r>
            <w:r w:rsidRPr="00652355">
              <w:rPr>
                <w:spacing w:val="-20"/>
              </w:rPr>
              <w:t xml:space="preserve"> </w:t>
            </w:r>
            <w:r>
              <w:rPr>
                <w:spacing w:val="-20"/>
              </w:rPr>
              <w:t xml:space="preserve"> </w:t>
            </w:r>
            <w:r w:rsidRPr="00652355">
              <w:rPr>
                <w:spacing w:val="-20"/>
              </w:rPr>
              <w:t xml:space="preserve">= </w:t>
            </w:r>
            <w:r>
              <w:rPr>
                <w:spacing w:val="-20"/>
              </w:rPr>
              <w:t xml:space="preserve"> </w:t>
            </w:r>
            <w:r>
              <w:t>1262 ± 50</w:t>
            </w:r>
          </w:p>
          <w:p w:rsidR="000B7D07" w:rsidRPr="000756DF" w:rsidRDefault="000B7D07">
            <w:pPr>
              <w:pStyle w:val="TableText0"/>
            </w:pPr>
            <w:r>
              <w:t>C</w:t>
            </w:r>
            <w:r w:rsidRPr="00652355">
              <w:rPr>
                <w:spacing w:val="-20"/>
              </w:rPr>
              <w:t xml:space="preserve"> = </w:t>
            </w:r>
            <w:r>
              <w:t xml:space="preserve"> </w:t>
            </w:r>
            <w:r w:rsidRPr="000756DF">
              <w:t>-25.3 ± 1.6</w:t>
            </w:r>
          </w:p>
        </w:tc>
        <w:tc>
          <w:tcPr>
            <w:tcW w:w="772" w:type="pct"/>
          </w:tcPr>
          <w:p w:rsidR="000B7D07" w:rsidRDefault="000B7D07">
            <w:pPr>
              <w:pStyle w:val="TableText0"/>
            </w:pPr>
            <w:r>
              <w:t xml:space="preserve">B </w:t>
            </w:r>
            <w:r w:rsidRPr="00652355">
              <w:rPr>
                <w:spacing w:val="-20"/>
              </w:rPr>
              <w:t xml:space="preserve"> = </w:t>
            </w:r>
            <w:r>
              <w:rPr>
                <w:spacing w:val="-20"/>
              </w:rPr>
              <w:t xml:space="preserve"> </w:t>
            </w:r>
            <w:r>
              <w:t>1191 ± 48</w:t>
            </w:r>
          </w:p>
          <w:p w:rsidR="000B7D07" w:rsidRPr="000756DF" w:rsidRDefault="000B7D07">
            <w:pPr>
              <w:pStyle w:val="TableText0"/>
            </w:pPr>
            <w:r>
              <w:t>C</w:t>
            </w:r>
            <w:r w:rsidRPr="00652355">
              <w:rPr>
                <w:spacing w:val="-20"/>
              </w:rPr>
              <w:t xml:space="preserve"> = </w:t>
            </w:r>
            <w:r>
              <w:t xml:space="preserve"> </w:t>
            </w:r>
            <w:r w:rsidRPr="000756DF">
              <w:t>-24.0 ± 1.7</w:t>
            </w:r>
          </w:p>
        </w:tc>
        <w:tc>
          <w:tcPr>
            <w:tcW w:w="850" w:type="pct"/>
          </w:tcPr>
          <w:p w:rsidR="000B7D07" w:rsidRDefault="000B7D07">
            <w:pPr>
              <w:pStyle w:val="TableText0"/>
            </w:pPr>
            <w:r>
              <w:t>B</w:t>
            </w:r>
            <w:r w:rsidRPr="00652355">
              <w:rPr>
                <w:spacing w:val="-20"/>
              </w:rPr>
              <w:t xml:space="preserve"> </w:t>
            </w:r>
            <w:r>
              <w:rPr>
                <w:spacing w:val="-20"/>
              </w:rPr>
              <w:t xml:space="preserve"> </w:t>
            </w:r>
            <w:r w:rsidRPr="00652355">
              <w:rPr>
                <w:spacing w:val="-20"/>
              </w:rPr>
              <w:t xml:space="preserve">= </w:t>
            </w:r>
            <w:r>
              <w:rPr>
                <w:spacing w:val="-20"/>
              </w:rPr>
              <w:t xml:space="preserve"> </w:t>
            </w:r>
            <w:r>
              <w:t>1198 ± 48</w:t>
            </w:r>
          </w:p>
          <w:p w:rsidR="000B7D07" w:rsidRPr="000756DF" w:rsidRDefault="000B7D07">
            <w:pPr>
              <w:pStyle w:val="TableText0"/>
            </w:pPr>
            <w:r>
              <w:t>C</w:t>
            </w:r>
            <w:r w:rsidRPr="00652355">
              <w:rPr>
                <w:spacing w:val="-20"/>
              </w:rPr>
              <w:t xml:space="preserve"> = </w:t>
            </w:r>
            <w:r>
              <w:t xml:space="preserve"> </w:t>
            </w:r>
            <w:r w:rsidRPr="000756DF">
              <w:t>-0.8 ± 1.6</w:t>
            </w:r>
          </w:p>
        </w:tc>
        <w:tc>
          <w:tcPr>
            <w:tcW w:w="1001" w:type="pct"/>
          </w:tcPr>
          <w:p w:rsidR="000B7D07" w:rsidRPr="000756DF" w:rsidRDefault="000B7D07" w:rsidP="00D05B69">
            <w:pPr>
              <w:pStyle w:val="TableText0"/>
            </w:pPr>
            <w:r w:rsidRPr="000756DF">
              <w:t xml:space="preserve">Weekly </w:t>
            </w:r>
            <w:r>
              <w:t>p</w:t>
            </w:r>
            <w:r w:rsidRPr="000756DF">
              <w:t>&lt;0.0001</w:t>
            </w:r>
          </w:p>
          <w:p w:rsidR="000B7D07" w:rsidRPr="000756DF" w:rsidRDefault="000B7D07" w:rsidP="00E44932">
            <w:pPr>
              <w:pStyle w:val="TableText0"/>
              <w:rPr>
                <w:vertAlign w:val="superscript"/>
              </w:rPr>
            </w:pPr>
            <w:r w:rsidRPr="000756DF">
              <w:t xml:space="preserve">EOW </w:t>
            </w:r>
            <w:r>
              <w:t>p</w:t>
            </w:r>
            <w:r w:rsidRPr="000756DF">
              <w:t>&lt;0.0001</w:t>
            </w:r>
          </w:p>
        </w:tc>
      </w:tr>
      <w:tr w:rsidR="000B7D07" w:rsidRPr="000756DF" w:rsidTr="000756DF">
        <w:tc>
          <w:tcPr>
            <w:tcW w:w="1605" w:type="pct"/>
          </w:tcPr>
          <w:p w:rsidR="000B7D07" w:rsidRPr="000756DF" w:rsidRDefault="000B7D07" w:rsidP="00E44932">
            <w:pPr>
              <w:pStyle w:val="TableText0"/>
            </w:pPr>
            <w:r>
              <w:t>Spleen volume (% change ± SE</w:t>
            </w:r>
            <w:r w:rsidRPr="000756DF">
              <w:t>)</w:t>
            </w:r>
          </w:p>
        </w:tc>
        <w:tc>
          <w:tcPr>
            <w:tcW w:w="772" w:type="pct"/>
          </w:tcPr>
          <w:p w:rsidR="000B7D07" w:rsidRDefault="000B7D07" w:rsidP="00FD267A">
            <w:pPr>
              <w:pStyle w:val="TableText0"/>
            </w:pPr>
            <w:r>
              <w:t xml:space="preserve">B </w:t>
            </w:r>
            <w:r w:rsidRPr="00652355">
              <w:rPr>
                <w:spacing w:val="-20"/>
              </w:rPr>
              <w:t xml:space="preserve"> = </w:t>
            </w:r>
            <w:r>
              <w:rPr>
                <w:spacing w:val="-20"/>
              </w:rPr>
              <w:t xml:space="preserve"> </w:t>
            </w:r>
            <w:r>
              <w:t>316 ± 39</w:t>
            </w:r>
          </w:p>
          <w:p w:rsidR="000B7D07" w:rsidRPr="000756DF" w:rsidRDefault="000B7D07" w:rsidP="00FD267A">
            <w:pPr>
              <w:pStyle w:val="TableText0"/>
            </w:pPr>
            <w:r>
              <w:t>C</w:t>
            </w:r>
            <w:r w:rsidRPr="00652355">
              <w:rPr>
                <w:spacing w:val="-20"/>
              </w:rPr>
              <w:t xml:space="preserve"> = </w:t>
            </w:r>
            <w:r>
              <w:t xml:space="preserve"> </w:t>
            </w:r>
            <w:r w:rsidRPr="000756DF">
              <w:t>-25.1 ± 2.4</w:t>
            </w:r>
          </w:p>
        </w:tc>
        <w:tc>
          <w:tcPr>
            <w:tcW w:w="772" w:type="pct"/>
          </w:tcPr>
          <w:p w:rsidR="000B7D07" w:rsidRDefault="000B7D07" w:rsidP="00FD267A">
            <w:pPr>
              <w:pStyle w:val="TableText0"/>
            </w:pPr>
            <w:r>
              <w:t xml:space="preserve">B </w:t>
            </w:r>
            <w:r w:rsidRPr="00652355">
              <w:rPr>
                <w:spacing w:val="-20"/>
              </w:rPr>
              <w:t xml:space="preserve"> = </w:t>
            </w:r>
            <w:r>
              <w:rPr>
                <w:spacing w:val="-20"/>
              </w:rPr>
              <w:t xml:space="preserve"> </w:t>
            </w:r>
            <w:r>
              <w:t>251 ± 26</w:t>
            </w:r>
          </w:p>
          <w:p w:rsidR="000B7D07" w:rsidRPr="000756DF" w:rsidRDefault="000B7D07" w:rsidP="00FD267A">
            <w:pPr>
              <w:pStyle w:val="TableText0"/>
            </w:pPr>
            <w:r>
              <w:t>C</w:t>
            </w:r>
            <w:r w:rsidRPr="00652355">
              <w:rPr>
                <w:spacing w:val="-20"/>
              </w:rPr>
              <w:t xml:space="preserve"> = </w:t>
            </w:r>
            <w:r>
              <w:t xml:space="preserve"> </w:t>
            </w:r>
            <w:r w:rsidRPr="000756DF">
              <w:t>-19.8 ± 3.2</w:t>
            </w:r>
          </w:p>
        </w:tc>
        <w:tc>
          <w:tcPr>
            <w:tcW w:w="850" w:type="pct"/>
          </w:tcPr>
          <w:p w:rsidR="000B7D07" w:rsidRDefault="000B7D07" w:rsidP="00FD267A">
            <w:pPr>
              <w:pStyle w:val="TableText0"/>
            </w:pPr>
            <w:r>
              <w:t xml:space="preserve">B </w:t>
            </w:r>
            <w:r w:rsidRPr="00652355">
              <w:rPr>
                <w:spacing w:val="-20"/>
              </w:rPr>
              <w:t xml:space="preserve"> = </w:t>
            </w:r>
            <w:r>
              <w:rPr>
                <w:spacing w:val="-20"/>
              </w:rPr>
              <w:t xml:space="preserve"> </w:t>
            </w:r>
            <w:r>
              <w:t>288 ± 30</w:t>
            </w:r>
          </w:p>
          <w:p w:rsidR="000B7D07" w:rsidRPr="000756DF" w:rsidRDefault="000B7D07" w:rsidP="00FD267A">
            <w:pPr>
              <w:pStyle w:val="TableText0"/>
            </w:pPr>
            <w:r>
              <w:t>C</w:t>
            </w:r>
            <w:r>
              <w:rPr>
                <w:spacing w:val="-20"/>
              </w:rPr>
              <w:t xml:space="preserve"> </w:t>
            </w:r>
            <w:r w:rsidRPr="00652355">
              <w:rPr>
                <w:spacing w:val="-20"/>
              </w:rPr>
              <w:t xml:space="preserve">= </w:t>
            </w:r>
            <w:r w:rsidRPr="000756DF">
              <w:t>7.2 ± 4.2</w:t>
            </w:r>
          </w:p>
        </w:tc>
        <w:tc>
          <w:tcPr>
            <w:tcW w:w="1001" w:type="pct"/>
          </w:tcPr>
          <w:p w:rsidR="000B7D07" w:rsidRPr="000756DF" w:rsidRDefault="000B7D07" w:rsidP="00D05B69">
            <w:pPr>
              <w:pStyle w:val="TableText0"/>
            </w:pPr>
            <w:r w:rsidRPr="000756DF">
              <w:t xml:space="preserve">Weekly </w:t>
            </w:r>
            <w:r>
              <w:t>p</w:t>
            </w:r>
            <w:r w:rsidRPr="000756DF">
              <w:t>&lt;0.0001</w:t>
            </w:r>
          </w:p>
          <w:p w:rsidR="000B7D07" w:rsidRPr="000756DF" w:rsidRDefault="000B7D07" w:rsidP="00E44932">
            <w:pPr>
              <w:pStyle w:val="TableText0"/>
            </w:pPr>
            <w:r w:rsidRPr="000756DF">
              <w:t xml:space="preserve">EOW </w:t>
            </w:r>
            <w:r>
              <w:t>p</w:t>
            </w:r>
            <w:r w:rsidRPr="000756DF">
              <w:t>&lt;0.0001</w:t>
            </w:r>
          </w:p>
        </w:tc>
      </w:tr>
    </w:tbl>
    <w:p w:rsidR="00257ED8" w:rsidRPr="000756DF" w:rsidRDefault="00257ED8" w:rsidP="00855C2C">
      <w:pPr>
        <w:pStyle w:val="TableNote"/>
      </w:pPr>
      <w:r w:rsidRPr="000756DF">
        <w:t xml:space="preserve">EOW </w:t>
      </w:r>
      <w:r w:rsidR="00652355" w:rsidRPr="00652355">
        <w:rPr>
          <w:spacing w:val="-20"/>
        </w:rPr>
        <w:t xml:space="preserve">= </w:t>
      </w:r>
      <w:r w:rsidRPr="000756DF">
        <w:t>every other week</w:t>
      </w:r>
      <w:r w:rsidR="00BF727B">
        <w:t>; SE</w:t>
      </w:r>
      <w:r w:rsidR="00652355" w:rsidRPr="00652355">
        <w:rPr>
          <w:spacing w:val="-20"/>
        </w:rPr>
        <w:t xml:space="preserve"> = </w:t>
      </w:r>
      <w:r w:rsidR="00BF727B">
        <w:t>standard error; B</w:t>
      </w:r>
      <w:r w:rsidR="00652355" w:rsidRPr="00652355">
        <w:rPr>
          <w:spacing w:val="-20"/>
        </w:rPr>
        <w:t xml:space="preserve"> = </w:t>
      </w:r>
      <w:r w:rsidR="00BF727B">
        <w:t>baseline; C</w:t>
      </w:r>
      <w:r w:rsidR="00652355" w:rsidRPr="00652355">
        <w:rPr>
          <w:spacing w:val="-20"/>
        </w:rPr>
        <w:t xml:space="preserve"> = </w:t>
      </w:r>
      <w:r w:rsidR="000D4F7A">
        <w:t>change from baseline</w:t>
      </w:r>
    </w:p>
    <w:p w:rsidR="000756DF" w:rsidRPr="0052627A" w:rsidRDefault="00257ED8" w:rsidP="0052627A">
      <w:pPr>
        <w:pStyle w:val="TableNote"/>
        <w:spacing w:after="480"/>
      </w:pPr>
      <w:proofErr w:type="gramStart"/>
      <w:r>
        <w:rPr>
          <w:vertAlign w:val="superscript"/>
        </w:rPr>
        <w:t>a</w:t>
      </w:r>
      <w:proofErr w:type="gramEnd"/>
      <w:r w:rsidR="00BF727B">
        <w:rPr>
          <w:vertAlign w:val="superscript"/>
        </w:rPr>
        <w:t xml:space="preserve"> </w:t>
      </w:r>
      <w:r w:rsidR="000756DF" w:rsidRPr="000756DF">
        <w:t>P-values are based on ANCOVA for the comparison to placebo.</w:t>
      </w:r>
    </w:p>
    <w:p w:rsidR="000756DF" w:rsidRPr="000756DF" w:rsidRDefault="000756DF" w:rsidP="00EC5DFF">
      <w:pPr>
        <w:pStyle w:val="Heading5"/>
        <w:rPr>
          <w:rFonts w:eastAsiaTheme="majorEastAsia"/>
        </w:rPr>
      </w:pPr>
      <w:r w:rsidRPr="000756DF">
        <w:rPr>
          <w:rFonts w:eastAsiaTheme="majorEastAsia"/>
        </w:rPr>
        <w:t>Comparative safety</w:t>
      </w:r>
    </w:p>
    <w:p w:rsidR="000756DF" w:rsidRPr="000756DF" w:rsidRDefault="00812807" w:rsidP="000756DF">
      <w:pPr>
        <w:rPr>
          <w:rFonts w:eastAsiaTheme="majorEastAsia"/>
        </w:rPr>
      </w:pPr>
      <w:r w:rsidRPr="000756DF">
        <w:rPr>
          <w:rFonts w:eastAsiaTheme="majorEastAsia"/>
        </w:rPr>
        <w:t xml:space="preserve">Muenzer et al </w:t>
      </w:r>
      <w:r>
        <w:rPr>
          <w:rFonts w:eastAsiaTheme="majorEastAsia"/>
        </w:rPr>
        <w:t xml:space="preserve">(2006) </w:t>
      </w:r>
      <w:r w:rsidRPr="000756DF">
        <w:rPr>
          <w:rFonts w:eastAsiaTheme="majorEastAsia"/>
        </w:rPr>
        <w:t xml:space="preserve">reported adverse events that occurred </w:t>
      </w:r>
      <w:r>
        <w:rPr>
          <w:rFonts w:eastAsiaTheme="majorEastAsia"/>
        </w:rPr>
        <w:t>in</w:t>
      </w:r>
      <w:r w:rsidRPr="000756DF">
        <w:rPr>
          <w:rFonts w:eastAsiaTheme="majorEastAsia"/>
        </w:rPr>
        <w:t xml:space="preserve"> the idursulfase trial at least 9% more frequently in the idursulfase groups than in the placebo group </w:t>
      </w:r>
      <w:r w:rsidR="000756DF" w:rsidRPr="000756DF">
        <w:rPr>
          <w:rFonts w:eastAsiaTheme="majorEastAsia"/>
        </w:rPr>
        <w:t>(</w:t>
      </w:r>
      <w:r w:rsidR="00A72B26" w:rsidRPr="00716774">
        <w:t xml:space="preserve">Table </w:t>
      </w:r>
      <w:r w:rsidR="00A72B26">
        <w:rPr>
          <w:noProof/>
        </w:rPr>
        <w:t>104</w:t>
      </w:r>
      <w:r w:rsidR="008875F8">
        <w:rPr>
          <w:rFonts w:eastAsiaTheme="majorEastAsia"/>
        </w:rPr>
        <w:t xml:space="preserve">; GRADE </w:t>
      </w:r>
      <w:r w:rsidR="00D4733A" w:rsidRPr="00D4733A">
        <w:rPr>
          <w:rFonts w:ascii="Cambria Math" w:eastAsiaTheme="majorEastAsia" w:hAnsi="Cambria Math"/>
          <w:color w:val="00B050"/>
        </w:rPr>
        <w:lastRenderedPageBreak/>
        <w:t>⨁⨁⨁⨁</w:t>
      </w:r>
      <w:r w:rsidR="000756DF" w:rsidRPr="000756DF">
        <w:rPr>
          <w:rFonts w:eastAsiaTheme="majorEastAsia"/>
        </w:rPr>
        <w:t xml:space="preserve">). Adverse events of pruritic rash, infusion site swelling, urticarial, dyspepsia, anxiety and chest wall pain occurred only in the patients randomised to idursulfase, or only rarely in the placebo group, and may therefore be indicated as drug side effects. Whilst more frequent in the idursulfase groups headache, nasopharyngitis, abdominal pain, arthralgia and pruritus also occurred frequently in the placebo group, thus are possibly disease related. Fever, headache, cough, pharyngitis, upper respiratory tract infection, nasal congestion, nausea, vomiting, abdominal pain and diarrhoea were reported to be the most common adverse events overall. </w:t>
      </w:r>
    </w:p>
    <w:p w:rsidR="000756DF" w:rsidRPr="00E965BD" w:rsidRDefault="000756DF" w:rsidP="00F44176">
      <w:pPr>
        <w:pStyle w:val="Caption"/>
        <w:keepNext/>
        <w:tabs>
          <w:tab w:val="clear" w:pos="851"/>
          <w:tab w:val="left" w:pos="1134"/>
        </w:tabs>
        <w:ind w:left="1134" w:hanging="1134"/>
        <w:rPr>
          <w:bCs w:val="0"/>
        </w:rPr>
      </w:pPr>
      <w:bookmarkStart w:id="401" w:name="_Ref404175933"/>
      <w:bookmarkStart w:id="402" w:name="_Toc411510471"/>
      <w:bookmarkStart w:id="403" w:name="_Toc415141901"/>
      <w:r w:rsidRPr="00716774">
        <w:t xml:space="preserve">Table </w:t>
      </w:r>
      <w:r w:rsidR="00A72B26">
        <w:rPr>
          <w:noProof/>
        </w:rPr>
        <w:t>104</w:t>
      </w:r>
      <w:bookmarkEnd w:id="401"/>
      <w:r w:rsidRPr="00716774">
        <w:t xml:space="preserve"> </w:t>
      </w:r>
      <w:r w:rsidR="003913B1">
        <w:tab/>
      </w:r>
      <w:r w:rsidRPr="003913B1">
        <w:t xml:space="preserve">Number and percentage of </w:t>
      </w:r>
      <w:r w:rsidR="003327E2">
        <w:t xml:space="preserve">MPS II </w:t>
      </w:r>
      <w:r w:rsidRPr="003913B1">
        <w:t xml:space="preserve">patients with adverse events occurring at least 9% more frequently in idursulfase-treated patients than in placebo-treated patients </w:t>
      </w:r>
      <w:r w:rsidR="00A130D0">
        <w:rPr>
          <w:noProof/>
        </w:rPr>
        <w:t>(</w:t>
      </w:r>
      <w:r w:rsidR="00184B6F">
        <w:rPr>
          <w:noProof/>
        </w:rPr>
        <w:t>Muenzer et al. 2006</w:t>
      </w:r>
      <w:r w:rsidR="00A130D0">
        <w:rPr>
          <w:noProof/>
        </w:rPr>
        <w:t>)</w:t>
      </w:r>
      <w:bookmarkEnd w:id="402"/>
      <w:bookmarkEnd w:id="403"/>
    </w:p>
    <w:tbl>
      <w:tblPr>
        <w:tblStyle w:val="TableGrid"/>
        <w:tblW w:w="4966" w:type="pct"/>
        <w:tblLook w:val="04A0" w:firstRow="1" w:lastRow="0" w:firstColumn="1" w:lastColumn="0" w:noHBand="0" w:noVBand="1"/>
        <w:tblCaption w:val="Table 73  Number and percentage of MPS II patients with adverse events occurring at least 9% more frequently in idursulfase-treated patients than in placebo-treated patients (Muenzer et al. 2006)"/>
      </w:tblPr>
      <w:tblGrid>
        <w:gridCol w:w="2825"/>
        <w:gridCol w:w="2245"/>
        <w:gridCol w:w="2126"/>
        <w:gridCol w:w="1983"/>
      </w:tblGrid>
      <w:tr w:rsidR="000756DF" w:rsidRPr="000756DF" w:rsidTr="009A0365">
        <w:trPr>
          <w:tblHeader/>
        </w:trPr>
        <w:tc>
          <w:tcPr>
            <w:tcW w:w="1539" w:type="pct"/>
          </w:tcPr>
          <w:p w:rsidR="000756DF" w:rsidRPr="000756DF" w:rsidRDefault="000756DF" w:rsidP="00E44932">
            <w:pPr>
              <w:pStyle w:val="TableHeading"/>
            </w:pPr>
            <w:r w:rsidRPr="000756DF">
              <w:t>A</w:t>
            </w:r>
            <w:r w:rsidR="00E44932">
              <w:t>d</w:t>
            </w:r>
            <w:r w:rsidRPr="000756DF">
              <w:t>verse event</w:t>
            </w:r>
          </w:p>
        </w:tc>
        <w:tc>
          <w:tcPr>
            <w:tcW w:w="1223" w:type="pct"/>
          </w:tcPr>
          <w:p w:rsidR="000756DF" w:rsidRPr="000756DF" w:rsidRDefault="000756DF" w:rsidP="00E44932">
            <w:pPr>
              <w:pStyle w:val="TableHeading"/>
            </w:pPr>
            <w:r w:rsidRPr="000756DF">
              <w:t>Idursulfase weekly (n</w:t>
            </w:r>
            <w:r w:rsidR="00652355" w:rsidRPr="00652355">
              <w:rPr>
                <w:spacing w:val="-20"/>
              </w:rPr>
              <w:t xml:space="preserve"> = </w:t>
            </w:r>
            <w:r w:rsidRPr="000756DF">
              <w:t>32)</w:t>
            </w:r>
          </w:p>
          <w:p w:rsidR="000756DF" w:rsidRPr="000756DF" w:rsidRDefault="000756DF" w:rsidP="00E44932">
            <w:pPr>
              <w:pStyle w:val="TableHeading"/>
            </w:pPr>
            <w:r w:rsidRPr="000756DF">
              <w:t>N (%)</w:t>
            </w:r>
          </w:p>
        </w:tc>
        <w:tc>
          <w:tcPr>
            <w:tcW w:w="1158" w:type="pct"/>
          </w:tcPr>
          <w:p w:rsidR="000756DF" w:rsidRPr="000756DF" w:rsidRDefault="000756DF" w:rsidP="00E44932">
            <w:pPr>
              <w:pStyle w:val="TableHeading"/>
            </w:pPr>
            <w:r w:rsidRPr="000756DF">
              <w:t>Idursulfase EOW (n</w:t>
            </w:r>
            <w:r w:rsidR="00652355" w:rsidRPr="00652355">
              <w:rPr>
                <w:spacing w:val="-20"/>
              </w:rPr>
              <w:t xml:space="preserve"> = </w:t>
            </w:r>
            <w:r w:rsidRPr="000756DF">
              <w:t>32)</w:t>
            </w:r>
          </w:p>
          <w:p w:rsidR="000756DF" w:rsidRPr="000756DF" w:rsidRDefault="000756DF" w:rsidP="00E44932">
            <w:pPr>
              <w:pStyle w:val="TableHeading"/>
            </w:pPr>
            <w:r w:rsidRPr="000756DF">
              <w:t>N (%)</w:t>
            </w:r>
          </w:p>
        </w:tc>
        <w:tc>
          <w:tcPr>
            <w:tcW w:w="1080" w:type="pct"/>
          </w:tcPr>
          <w:p w:rsidR="000756DF" w:rsidRPr="000756DF" w:rsidRDefault="000756DF" w:rsidP="00E44932">
            <w:pPr>
              <w:pStyle w:val="TableHeading"/>
            </w:pPr>
            <w:r w:rsidRPr="000756DF">
              <w:t>Placebo (n</w:t>
            </w:r>
            <w:r w:rsidR="00652355" w:rsidRPr="00652355">
              <w:rPr>
                <w:spacing w:val="-20"/>
              </w:rPr>
              <w:t xml:space="preserve"> = </w:t>
            </w:r>
            <w:r w:rsidRPr="000756DF">
              <w:t>32)</w:t>
            </w:r>
          </w:p>
          <w:p w:rsidR="000756DF" w:rsidRPr="000756DF" w:rsidRDefault="000756DF" w:rsidP="00E44932">
            <w:pPr>
              <w:pStyle w:val="TableHeading"/>
            </w:pPr>
            <w:r w:rsidRPr="000756DF">
              <w:t>N (%)</w:t>
            </w:r>
          </w:p>
        </w:tc>
      </w:tr>
      <w:tr w:rsidR="000756DF" w:rsidRPr="000756DF" w:rsidTr="00A64D35">
        <w:tc>
          <w:tcPr>
            <w:tcW w:w="1539" w:type="pct"/>
          </w:tcPr>
          <w:p w:rsidR="000756DF" w:rsidRPr="000756DF" w:rsidRDefault="000756DF" w:rsidP="00E44932">
            <w:pPr>
              <w:pStyle w:val="TableText0"/>
            </w:pPr>
            <w:r w:rsidRPr="000756DF">
              <w:t>Headache</w:t>
            </w:r>
          </w:p>
        </w:tc>
        <w:tc>
          <w:tcPr>
            <w:tcW w:w="1223" w:type="pct"/>
          </w:tcPr>
          <w:p w:rsidR="000756DF" w:rsidRPr="000756DF" w:rsidRDefault="000756DF" w:rsidP="00E44932">
            <w:pPr>
              <w:pStyle w:val="TableText0"/>
            </w:pPr>
            <w:r w:rsidRPr="000756DF">
              <w:t>19 (59%)</w:t>
            </w:r>
          </w:p>
        </w:tc>
        <w:tc>
          <w:tcPr>
            <w:tcW w:w="1158" w:type="pct"/>
          </w:tcPr>
          <w:p w:rsidR="000756DF" w:rsidRPr="000756DF" w:rsidRDefault="000756DF" w:rsidP="00E44932">
            <w:pPr>
              <w:pStyle w:val="TableText0"/>
            </w:pPr>
            <w:r w:rsidRPr="000756DF">
              <w:t>21 (66%)</w:t>
            </w:r>
          </w:p>
        </w:tc>
        <w:tc>
          <w:tcPr>
            <w:tcW w:w="1080" w:type="pct"/>
          </w:tcPr>
          <w:p w:rsidR="000756DF" w:rsidRPr="000756DF" w:rsidRDefault="000756DF" w:rsidP="00E44932">
            <w:pPr>
              <w:pStyle w:val="TableText0"/>
            </w:pPr>
            <w:r w:rsidRPr="000756DF">
              <w:t>14 (44%)</w:t>
            </w:r>
          </w:p>
        </w:tc>
      </w:tr>
      <w:tr w:rsidR="000756DF" w:rsidRPr="000756DF" w:rsidTr="00A64D35">
        <w:tc>
          <w:tcPr>
            <w:tcW w:w="1539" w:type="pct"/>
          </w:tcPr>
          <w:p w:rsidR="000756DF" w:rsidRPr="000756DF" w:rsidRDefault="000756DF" w:rsidP="00E44932">
            <w:pPr>
              <w:pStyle w:val="TableText0"/>
            </w:pPr>
            <w:r w:rsidRPr="000756DF">
              <w:t>Nasopharyngitis</w:t>
            </w:r>
          </w:p>
        </w:tc>
        <w:tc>
          <w:tcPr>
            <w:tcW w:w="1223" w:type="pct"/>
          </w:tcPr>
          <w:p w:rsidR="000756DF" w:rsidRPr="000756DF" w:rsidRDefault="000756DF" w:rsidP="00E44932">
            <w:pPr>
              <w:pStyle w:val="TableText0"/>
            </w:pPr>
            <w:r w:rsidRPr="000756DF">
              <w:t>17 (53%)</w:t>
            </w:r>
          </w:p>
        </w:tc>
        <w:tc>
          <w:tcPr>
            <w:tcW w:w="1158" w:type="pct"/>
          </w:tcPr>
          <w:p w:rsidR="000756DF" w:rsidRPr="000756DF" w:rsidRDefault="000756DF" w:rsidP="00E44932">
            <w:pPr>
              <w:pStyle w:val="TableText0"/>
            </w:pPr>
            <w:r w:rsidRPr="000756DF">
              <w:t>19 (59%)</w:t>
            </w:r>
          </w:p>
        </w:tc>
        <w:tc>
          <w:tcPr>
            <w:tcW w:w="1080" w:type="pct"/>
          </w:tcPr>
          <w:p w:rsidR="000756DF" w:rsidRPr="000756DF" w:rsidRDefault="000756DF" w:rsidP="00E44932">
            <w:pPr>
              <w:pStyle w:val="TableText0"/>
            </w:pPr>
            <w:r w:rsidRPr="000756DF">
              <w:t>15 (47%)</w:t>
            </w:r>
          </w:p>
        </w:tc>
      </w:tr>
      <w:tr w:rsidR="000756DF" w:rsidRPr="000756DF" w:rsidTr="00A64D35">
        <w:tc>
          <w:tcPr>
            <w:tcW w:w="1539" w:type="pct"/>
          </w:tcPr>
          <w:p w:rsidR="000756DF" w:rsidRPr="000756DF" w:rsidRDefault="000756DF" w:rsidP="00E44932">
            <w:pPr>
              <w:pStyle w:val="TableText0"/>
            </w:pPr>
            <w:r w:rsidRPr="000756DF">
              <w:t>Abdominal pain</w:t>
            </w:r>
          </w:p>
        </w:tc>
        <w:tc>
          <w:tcPr>
            <w:tcW w:w="1223" w:type="pct"/>
          </w:tcPr>
          <w:p w:rsidR="000756DF" w:rsidRPr="000756DF" w:rsidRDefault="000756DF" w:rsidP="00E44932">
            <w:pPr>
              <w:pStyle w:val="TableText0"/>
            </w:pPr>
            <w:r w:rsidRPr="000756DF">
              <w:t>16 (50%)</w:t>
            </w:r>
          </w:p>
        </w:tc>
        <w:tc>
          <w:tcPr>
            <w:tcW w:w="1158" w:type="pct"/>
          </w:tcPr>
          <w:p w:rsidR="000756DF" w:rsidRPr="000756DF" w:rsidRDefault="000756DF" w:rsidP="00E44932">
            <w:pPr>
              <w:pStyle w:val="TableText0"/>
            </w:pPr>
            <w:r w:rsidRPr="000756DF">
              <w:t>19 (59%)</w:t>
            </w:r>
          </w:p>
        </w:tc>
        <w:tc>
          <w:tcPr>
            <w:tcW w:w="1080" w:type="pct"/>
          </w:tcPr>
          <w:p w:rsidR="000756DF" w:rsidRPr="000756DF" w:rsidRDefault="000756DF" w:rsidP="00E44932">
            <w:pPr>
              <w:pStyle w:val="TableText0"/>
            </w:pPr>
            <w:r w:rsidRPr="000756DF">
              <w:t>13 (41%)</w:t>
            </w:r>
          </w:p>
        </w:tc>
      </w:tr>
      <w:tr w:rsidR="000756DF" w:rsidRPr="000756DF" w:rsidTr="00A64D35">
        <w:tc>
          <w:tcPr>
            <w:tcW w:w="1539" w:type="pct"/>
          </w:tcPr>
          <w:p w:rsidR="000756DF" w:rsidRPr="000756DF" w:rsidRDefault="000756DF" w:rsidP="00E44932">
            <w:pPr>
              <w:pStyle w:val="TableText0"/>
            </w:pPr>
            <w:r w:rsidRPr="000756DF">
              <w:t>Arthralgia</w:t>
            </w:r>
          </w:p>
        </w:tc>
        <w:tc>
          <w:tcPr>
            <w:tcW w:w="1223" w:type="pct"/>
          </w:tcPr>
          <w:p w:rsidR="000756DF" w:rsidRPr="000756DF" w:rsidRDefault="000756DF" w:rsidP="00E44932">
            <w:pPr>
              <w:pStyle w:val="TableText0"/>
            </w:pPr>
            <w:r w:rsidRPr="000756DF">
              <w:t>10 (31%)</w:t>
            </w:r>
          </w:p>
        </w:tc>
        <w:tc>
          <w:tcPr>
            <w:tcW w:w="1158" w:type="pct"/>
          </w:tcPr>
          <w:p w:rsidR="000756DF" w:rsidRPr="000756DF" w:rsidRDefault="000756DF" w:rsidP="00E44932">
            <w:pPr>
              <w:pStyle w:val="TableText0"/>
            </w:pPr>
            <w:r w:rsidRPr="000756DF">
              <w:t>14 (44%)</w:t>
            </w:r>
          </w:p>
        </w:tc>
        <w:tc>
          <w:tcPr>
            <w:tcW w:w="1080" w:type="pct"/>
          </w:tcPr>
          <w:p w:rsidR="000756DF" w:rsidRPr="000756DF" w:rsidRDefault="000756DF" w:rsidP="00E44932">
            <w:pPr>
              <w:pStyle w:val="TableText0"/>
            </w:pPr>
            <w:r w:rsidRPr="000756DF">
              <w:t>9 (28%)</w:t>
            </w:r>
          </w:p>
        </w:tc>
      </w:tr>
      <w:tr w:rsidR="000756DF" w:rsidRPr="000756DF" w:rsidTr="00A64D35">
        <w:tc>
          <w:tcPr>
            <w:tcW w:w="1539" w:type="pct"/>
          </w:tcPr>
          <w:p w:rsidR="000756DF" w:rsidRPr="000756DF" w:rsidRDefault="000756DF" w:rsidP="00E44932">
            <w:pPr>
              <w:pStyle w:val="TableText0"/>
            </w:pPr>
            <w:r w:rsidRPr="000756DF">
              <w:t>Pruritus</w:t>
            </w:r>
          </w:p>
        </w:tc>
        <w:tc>
          <w:tcPr>
            <w:tcW w:w="1223" w:type="pct"/>
          </w:tcPr>
          <w:p w:rsidR="000756DF" w:rsidRPr="000756DF" w:rsidRDefault="000756DF" w:rsidP="00E44932">
            <w:pPr>
              <w:pStyle w:val="TableText0"/>
            </w:pPr>
            <w:r w:rsidRPr="000756DF">
              <w:t>10 (31%)</w:t>
            </w:r>
          </w:p>
        </w:tc>
        <w:tc>
          <w:tcPr>
            <w:tcW w:w="1158" w:type="pct"/>
          </w:tcPr>
          <w:p w:rsidR="000756DF" w:rsidRPr="000756DF" w:rsidRDefault="000756DF" w:rsidP="00E44932">
            <w:pPr>
              <w:pStyle w:val="TableText0"/>
            </w:pPr>
            <w:r w:rsidRPr="000756DF">
              <w:t>6 (19%)</w:t>
            </w:r>
          </w:p>
        </w:tc>
        <w:tc>
          <w:tcPr>
            <w:tcW w:w="1080" w:type="pct"/>
          </w:tcPr>
          <w:p w:rsidR="000756DF" w:rsidRPr="000756DF" w:rsidRDefault="000756DF" w:rsidP="00E44932">
            <w:pPr>
              <w:pStyle w:val="TableText0"/>
            </w:pPr>
            <w:r w:rsidRPr="000756DF">
              <w:t>5 (16%)</w:t>
            </w:r>
          </w:p>
        </w:tc>
      </w:tr>
      <w:tr w:rsidR="000756DF" w:rsidRPr="000756DF" w:rsidTr="00A64D35">
        <w:tc>
          <w:tcPr>
            <w:tcW w:w="1539" w:type="pct"/>
          </w:tcPr>
          <w:p w:rsidR="000756DF" w:rsidRPr="000756DF" w:rsidRDefault="000756DF" w:rsidP="00E44932">
            <w:pPr>
              <w:pStyle w:val="TableText0"/>
            </w:pPr>
            <w:r w:rsidRPr="000756DF">
              <w:t>Rash pruritic</w:t>
            </w:r>
          </w:p>
        </w:tc>
        <w:tc>
          <w:tcPr>
            <w:tcW w:w="1223" w:type="pct"/>
          </w:tcPr>
          <w:p w:rsidR="000756DF" w:rsidRPr="000756DF" w:rsidRDefault="000756DF" w:rsidP="00E44932">
            <w:pPr>
              <w:pStyle w:val="TableText0"/>
            </w:pPr>
            <w:r w:rsidRPr="000756DF">
              <w:t>5 (16%)</w:t>
            </w:r>
          </w:p>
        </w:tc>
        <w:tc>
          <w:tcPr>
            <w:tcW w:w="1158" w:type="pct"/>
          </w:tcPr>
          <w:p w:rsidR="000756DF" w:rsidRPr="000756DF" w:rsidRDefault="000756DF" w:rsidP="00E44932">
            <w:pPr>
              <w:pStyle w:val="TableText0"/>
            </w:pPr>
            <w:r w:rsidRPr="000756DF">
              <w:t>5 (16%)</w:t>
            </w:r>
          </w:p>
        </w:tc>
        <w:tc>
          <w:tcPr>
            <w:tcW w:w="1080" w:type="pct"/>
          </w:tcPr>
          <w:p w:rsidR="000756DF" w:rsidRPr="000756DF" w:rsidRDefault="000756DF" w:rsidP="00E44932">
            <w:pPr>
              <w:pStyle w:val="TableText0"/>
            </w:pPr>
            <w:r w:rsidRPr="000756DF">
              <w:t>0</w:t>
            </w:r>
          </w:p>
        </w:tc>
      </w:tr>
      <w:tr w:rsidR="000756DF" w:rsidRPr="000756DF" w:rsidTr="00A64D35">
        <w:tc>
          <w:tcPr>
            <w:tcW w:w="1539" w:type="pct"/>
          </w:tcPr>
          <w:p w:rsidR="000756DF" w:rsidRPr="000756DF" w:rsidRDefault="000756DF" w:rsidP="00E44932">
            <w:pPr>
              <w:pStyle w:val="TableText0"/>
            </w:pPr>
            <w:r w:rsidRPr="000756DF">
              <w:t>Infusion site swelling</w:t>
            </w:r>
          </w:p>
        </w:tc>
        <w:tc>
          <w:tcPr>
            <w:tcW w:w="1223" w:type="pct"/>
          </w:tcPr>
          <w:p w:rsidR="000756DF" w:rsidRPr="000756DF" w:rsidRDefault="000756DF" w:rsidP="00E44932">
            <w:pPr>
              <w:pStyle w:val="TableText0"/>
            </w:pPr>
            <w:r w:rsidRPr="000756DF">
              <w:t>4 (13%)</w:t>
            </w:r>
          </w:p>
        </w:tc>
        <w:tc>
          <w:tcPr>
            <w:tcW w:w="1158" w:type="pct"/>
          </w:tcPr>
          <w:p w:rsidR="000756DF" w:rsidRPr="000756DF" w:rsidRDefault="000756DF" w:rsidP="00E44932">
            <w:pPr>
              <w:pStyle w:val="TableText0"/>
            </w:pPr>
            <w:r w:rsidRPr="000756DF">
              <w:t>4 (13%)</w:t>
            </w:r>
          </w:p>
        </w:tc>
        <w:tc>
          <w:tcPr>
            <w:tcW w:w="1080" w:type="pct"/>
          </w:tcPr>
          <w:p w:rsidR="000756DF" w:rsidRPr="000756DF" w:rsidRDefault="000756DF" w:rsidP="00E44932">
            <w:pPr>
              <w:pStyle w:val="TableText0"/>
            </w:pPr>
            <w:r w:rsidRPr="000756DF">
              <w:t>1 (3%)</w:t>
            </w:r>
          </w:p>
        </w:tc>
      </w:tr>
      <w:tr w:rsidR="000756DF" w:rsidRPr="000756DF" w:rsidTr="00A64D35">
        <w:tc>
          <w:tcPr>
            <w:tcW w:w="1539" w:type="pct"/>
          </w:tcPr>
          <w:p w:rsidR="000756DF" w:rsidRPr="000756DF" w:rsidRDefault="000756DF" w:rsidP="00E44932">
            <w:pPr>
              <w:pStyle w:val="TableText0"/>
            </w:pPr>
            <w:r w:rsidRPr="000756DF">
              <w:t>Urticaria</w:t>
            </w:r>
          </w:p>
        </w:tc>
        <w:tc>
          <w:tcPr>
            <w:tcW w:w="1223" w:type="pct"/>
          </w:tcPr>
          <w:p w:rsidR="000756DF" w:rsidRPr="000756DF" w:rsidRDefault="000756DF" w:rsidP="00E44932">
            <w:pPr>
              <w:pStyle w:val="TableText0"/>
            </w:pPr>
            <w:r w:rsidRPr="000756DF">
              <w:t>5 (16%)</w:t>
            </w:r>
          </w:p>
        </w:tc>
        <w:tc>
          <w:tcPr>
            <w:tcW w:w="1158" w:type="pct"/>
          </w:tcPr>
          <w:p w:rsidR="000756DF" w:rsidRPr="000756DF" w:rsidRDefault="000756DF" w:rsidP="00E44932">
            <w:pPr>
              <w:pStyle w:val="TableText0"/>
            </w:pPr>
            <w:r w:rsidRPr="000756DF">
              <w:t>4 (13%)</w:t>
            </w:r>
          </w:p>
        </w:tc>
        <w:tc>
          <w:tcPr>
            <w:tcW w:w="1080" w:type="pct"/>
          </w:tcPr>
          <w:p w:rsidR="000756DF" w:rsidRPr="000756DF" w:rsidRDefault="000756DF" w:rsidP="00E44932">
            <w:pPr>
              <w:pStyle w:val="TableText0"/>
            </w:pPr>
            <w:r w:rsidRPr="000756DF">
              <w:t>0</w:t>
            </w:r>
          </w:p>
        </w:tc>
      </w:tr>
      <w:tr w:rsidR="000756DF" w:rsidRPr="000756DF" w:rsidTr="00A64D35">
        <w:tc>
          <w:tcPr>
            <w:tcW w:w="1539" w:type="pct"/>
          </w:tcPr>
          <w:p w:rsidR="000756DF" w:rsidRPr="000756DF" w:rsidRDefault="000756DF" w:rsidP="00E44932">
            <w:pPr>
              <w:pStyle w:val="TableText0"/>
            </w:pPr>
            <w:r w:rsidRPr="000756DF">
              <w:t>Dyspepsia</w:t>
            </w:r>
          </w:p>
        </w:tc>
        <w:tc>
          <w:tcPr>
            <w:tcW w:w="1223" w:type="pct"/>
          </w:tcPr>
          <w:p w:rsidR="000756DF" w:rsidRPr="000756DF" w:rsidRDefault="000756DF" w:rsidP="00E44932">
            <w:pPr>
              <w:pStyle w:val="TableText0"/>
            </w:pPr>
            <w:r w:rsidRPr="000756DF">
              <w:t>4 (13%)</w:t>
            </w:r>
          </w:p>
        </w:tc>
        <w:tc>
          <w:tcPr>
            <w:tcW w:w="1158" w:type="pct"/>
          </w:tcPr>
          <w:p w:rsidR="000756DF" w:rsidRPr="000756DF" w:rsidRDefault="000756DF" w:rsidP="00E44932">
            <w:pPr>
              <w:pStyle w:val="TableText0"/>
            </w:pPr>
            <w:r w:rsidRPr="000756DF">
              <w:t>4 (13%)</w:t>
            </w:r>
          </w:p>
        </w:tc>
        <w:tc>
          <w:tcPr>
            <w:tcW w:w="1080" w:type="pct"/>
          </w:tcPr>
          <w:p w:rsidR="000756DF" w:rsidRPr="000756DF" w:rsidRDefault="000756DF" w:rsidP="00E44932">
            <w:pPr>
              <w:pStyle w:val="TableText0"/>
            </w:pPr>
            <w:r w:rsidRPr="000756DF">
              <w:t>0</w:t>
            </w:r>
          </w:p>
        </w:tc>
      </w:tr>
      <w:tr w:rsidR="000756DF" w:rsidRPr="000756DF" w:rsidTr="00A64D35">
        <w:tc>
          <w:tcPr>
            <w:tcW w:w="1539" w:type="pct"/>
          </w:tcPr>
          <w:p w:rsidR="000756DF" w:rsidRPr="000756DF" w:rsidRDefault="000756DF" w:rsidP="00E44932">
            <w:pPr>
              <w:pStyle w:val="TableText0"/>
            </w:pPr>
            <w:r w:rsidRPr="000756DF">
              <w:t>Anxiety</w:t>
            </w:r>
          </w:p>
        </w:tc>
        <w:tc>
          <w:tcPr>
            <w:tcW w:w="1223" w:type="pct"/>
          </w:tcPr>
          <w:p w:rsidR="000756DF" w:rsidRPr="000756DF" w:rsidRDefault="000756DF" w:rsidP="00E44932">
            <w:pPr>
              <w:pStyle w:val="TableText0"/>
            </w:pPr>
            <w:r w:rsidRPr="000756DF">
              <w:t>2 (6%)</w:t>
            </w:r>
          </w:p>
        </w:tc>
        <w:tc>
          <w:tcPr>
            <w:tcW w:w="1158" w:type="pct"/>
          </w:tcPr>
          <w:p w:rsidR="000756DF" w:rsidRPr="000756DF" w:rsidRDefault="000756DF" w:rsidP="00E44932">
            <w:pPr>
              <w:pStyle w:val="TableText0"/>
            </w:pPr>
            <w:r w:rsidRPr="000756DF">
              <w:t>4 (13%)</w:t>
            </w:r>
          </w:p>
        </w:tc>
        <w:tc>
          <w:tcPr>
            <w:tcW w:w="1080" w:type="pct"/>
          </w:tcPr>
          <w:p w:rsidR="000756DF" w:rsidRPr="000756DF" w:rsidRDefault="000756DF" w:rsidP="00E44932">
            <w:pPr>
              <w:pStyle w:val="TableText0"/>
            </w:pPr>
            <w:r w:rsidRPr="000756DF">
              <w:t>0</w:t>
            </w:r>
          </w:p>
        </w:tc>
      </w:tr>
      <w:tr w:rsidR="000756DF" w:rsidRPr="000756DF" w:rsidTr="00A64D35">
        <w:tc>
          <w:tcPr>
            <w:tcW w:w="1539" w:type="pct"/>
          </w:tcPr>
          <w:p w:rsidR="000756DF" w:rsidRPr="000756DF" w:rsidRDefault="000756DF" w:rsidP="00E44932">
            <w:pPr>
              <w:pStyle w:val="TableText0"/>
            </w:pPr>
            <w:r w:rsidRPr="000756DF">
              <w:t>Chest wall pain</w:t>
            </w:r>
          </w:p>
        </w:tc>
        <w:tc>
          <w:tcPr>
            <w:tcW w:w="1223" w:type="pct"/>
          </w:tcPr>
          <w:p w:rsidR="000756DF" w:rsidRPr="000756DF" w:rsidRDefault="000756DF" w:rsidP="00E44932">
            <w:pPr>
              <w:pStyle w:val="TableText0"/>
            </w:pPr>
            <w:r w:rsidRPr="000756DF">
              <w:t>4 (13%)</w:t>
            </w:r>
          </w:p>
        </w:tc>
        <w:tc>
          <w:tcPr>
            <w:tcW w:w="1158" w:type="pct"/>
          </w:tcPr>
          <w:p w:rsidR="000756DF" w:rsidRPr="000756DF" w:rsidRDefault="000756DF" w:rsidP="00E44932">
            <w:pPr>
              <w:pStyle w:val="TableText0"/>
            </w:pPr>
            <w:r w:rsidRPr="000756DF">
              <w:t>0</w:t>
            </w:r>
          </w:p>
        </w:tc>
        <w:tc>
          <w:tcPr>
            <w:tcW w:w="1080" w:type="pct"/>
          </w:tcPr>
          <w:p w:rsidR="000756DF" w:rsidRPr="000756DF" w:rsidRDefault="000756DF" w:rsidP="00E44932">
            <w:pPr>
              <w:pStyle w:val="TableText0"/>
            </w:pPr>
            <w:r w:rsidRPr="000756DF">
              <w:t>0</w:t>
            </w:r>
          </w:p>
        </w:tc>
      </w:tr>
    </w:tbl>
    <w:p w:rsidR="000756DF" w:rsidRPr="000756DF" w:rsidRDefault="000756DF" w:rsidP="0052627A">
      <w:pPr>
        <w:spacing w:after="480"/>
        <w:rPr>
          <w:rFonts w:eastAsiaTheme="majorEastAsia"/>
        </w:rPr>
      </w:pPr>
    </w:p>
    <w:p w:rsidR="000756DF" w:rsidRPr="000756DF" w:rsidRDefault="000756DF" w:rsidP="00EC5DFF">
      <w:pPr>
        <w:pStyle w:val="Heading5"/>
        <w:rPr>
          <w:rFonts w:eastAsiaTheme="majorEastAsia"/>
        </w:rPr>
      </w:pPr>
      <w:r w:rsidRPr="000756DF">
        <w:rPr>
          <w:rFonts w:eastAsiaTheme="majorEastAsia"/>
        </w:rPr>
        <w:t xml:space="preserve">Extension study </w:t>
      </w:r>
    </w:p>
    <w:p w:rsidR="000756DF" w:rsidRPr="000756DF" w:rsidRDefault="003029AC" w:rsidP="000756DF">
      <w:pPr>
        <w:rPr>
          <w:rFonts w:eastAsiaTheme="majorEastAsia"/>
        </w:rPr>
      </w:pPr>
      <w:r w:rsidRPr="000756DF">
        <w:rPr>
          <w:rFonts w:eastAsiaTheme="majorEastAsia"/>
        </w:rPr>
        <w:t>All 94 patients who completed the double-blind phase enrolled in a 2 year open label trial extending the total study time to 36 months</w:t>
      </w:r>
      <w:r>
        <w:rPr>
          <w:rFonts w:eastAsiaTheme="majorEastAsia"/>
        </w:rPr>
        <w:t xml:space="preserve"> </w:t>
      </w:r>
      <w:r w:rsidR="00A130D0">
        <w:rPr>
          <w:rFonts w:eastAsiaTheme="majorEastAsia"/>
          <w:noProof/>
        </w:rPr>
        <w:t>(</w:t>
      </w:r>
      <w:r w:rsidR="00184B6F">
        <w:rPr>
          <w:rFonts w:eastAsiaTheme="majorEastAsia"/>
          <w:noProof/>
        </w:rPr>
        <w:t>Muenzer et al. 2011</w:t>
      </w:r>
      <w:r w:rsidR="00A130D0">
        <w:rPr>
          <w:rFonts w:eastAsiaTheme="majorEastAsia"/>
          <w:noProof/>
        </w:rPr>
        <w:t>)</w:t>
      </w:r>
      <w:r w:rsidRPr="000756DF">
        <w:rPr>
          <w:rFonts w:eastAsiaTheme="majorEastAsia"/>
        </w:rPr>
        <w:t xml:space="preserve">. </w:t>
      </w:r>
      <w:r>
        <w:rPr>
          <w:rFonts w:eastAsiaTheme="majorEastAsia"/>
        </w:rPr>
        <w:t>I</w:t>
      </w:r>
      <w:r w:rsidRPr="000756DF">
        <w:rPr>
          <w:rFonts w:eastAsiaTheme="majorEastAsia"/>
        </w:rPr>
        <w:t xml:space="preserve">dursulfase </w:t>
      </w:r>
      <w:r>
        <w:rPr>
          <w:rFonts w:eastAsiaTheme="majorEastAsia"/>
        </w:rPr>
        <w:t xml:space="preserve">was received </w:t>
      </w:r>
      <w:r w:rsidRPr="000756DF">
        <w:rPr>
          <w:rFonts w:eastAsiaTheme="majorEastAsia"/>
        </w:rPr>
        <w:t xml:space="preserve">weekly at a dose of 0.5 mg/kg and assessments were made 4 monthly. Eighty five patients completed the extension study. For </w:t>
      </w:r>
      <w:r>
        <w:rPr>
          <w:rFonts w:eastAsiaTheme="majorEastAsia"/>
        </w:rPr>
        <w:t xml:space="preserve">the </w:t>
      </w:r>
      <w:r w:rsidRPr="000756DF">
        <w:rPr>
          <w:rFonts w:eastAsiaTheme="majorEastAsia"/>
        </w:rPr>
        <w:t xml:space="preserve">endpoint data analysis, baseline was defined as the most recent assessment before the start of treatment, i.e. for patients who had been in the placebo group </w:t>
      </w:r>
      <w:r>
        <w:rPr>
          <w:rFonts w:eastAsiaTheme="majorEastAsia"/>
        </w:rPr>
        <w:t xml:space="preserve">in the original trial the </w:t>
      </w:r>
      <w:r w:rsidRPr="000756DF">
        <w:rPr>
          <w:rFonts w:eastAsiaTheme="majorEastAsia"/>
        </w:rPr>
        <w:t xml:space="preserve">baseline was at the final assessment of the double-blind </w:t>
      </w:r>
      <w:r>
        <w:rPr>
          <w:rFonts w:eastAsiaTheme="majorEastAsia"/>
        </w:rPr>
        <w:t>phase</w:t>
      </w:r>
      <w:r w:rsidRPr="000756DF">
        <w:rPr>
          <w:rFonts w:eastAsiaTheme="majorEastAsia"/>
        </w:rPr>
        <w:t xml:space="preserve">. </w:t>
      </w:r>
      <w:r>
        <w:rPr>
          <w:rFonts w:eastAsiaTheme="majorEastAsia"/>
        </w:rPr>
        <w:t>R</w:t>
      </w:r>
      <w:r w:rsidRPr="000756DF">
        <w:rPr>
          <w:rFonts w:eastAsiaTheme="majorEastAsia"/>
        </w:rPr>
        <w:t xml:space="preserve">esults </w:t>
      </w:r>
      <w:r>
        <w:rPr>
          <w:rFonts w:eastAsiaTheme="majorEastAsia"/>
        </w:rPr>
        <w:t>a</w:t>
      </w:r>
      <w:r w:rsidRPr="000756DF">
        <w:rPr>
          <w:rFonts w:eastAsiaTheme="majorEastAsia"/>
        </w:rPr>
        <w:t xml:space="preserve">re reported in </w:t>
      </w:r>
      <w:r w:rsidR="00A72B26" w:rsidRPr="00716774">
        <w:t xml:space="preserve">Table </w:t>
      </w:r>
      <w:r w:rsidR="00A72B26">
        <w:rPr>
          <w:noProof/>
        </w:rPr>
        <w:t>105</w:t>
      </w:r>
      <w:r w:rsidR="000756DF" w:rsidRPr="000756DF">
        <w:rPr>
          <w:rFonts w:eastAsiaTheme="majorEastAsia"/>
        </w:rPr>
        <w:t>.</w:t>
      </w:r>
    </w:p>
    <w:p w:rsidR="000756DF" w:rsidRPr="000756DF" w:rsidRDefault="003029AC" w:rsidP="000756DF">
      <w:pPr>
        <w:rPr>
          <w:rFonts w:eastAsiaTheme="majorEastAsia"/>
        </w:rPr>
      </w:pPr>
      <w:r>
        <w:rPr>
          <w:rFonts w:eastAsiaTheme="majorEastAsia"/>
        </w:rPr>
        <w:t>Statistically significant i</w:t>
      </w:r>
      <w:r w:rsidRPr="000756DF">
        <w:rPr>
          <w:rFonts w:eastAsiaTheme="majorEastAsia"/>
        </w:rPr>
        <w:t xml:space="preserve">mprovements from baseline were seen overall for </w:t>
      </w:r>
      <w:r>
        <w:rPr>
          <w:rFonts w:eastAsiaTheme="majorEastAsia"/>
        </w:rPr>
        <w:t xml:space="preserve">the </w:t>
      </w:r>
      <w:r w:rsidRPr="000756DF">
        <w:rPr>
          <w:rFonts w:eastAsiaTheme="majorEastAsia"/>
        </w:rPr>
        <w:t>6MWT</w:t>
      </w:r>
      <w:r>
        <w:rPr>
          <w:rFonts w:eastAsiaTheme="majorEastAsia"/>
        </w:rPr>
        <w:t xml:space="preserve"> </w:t>
      </w:r>
      <w:r w:rsidRPr="000756DF">
        <w:rPr>
          <w:rFonts w:eastAsiaTheme="majorEastAsia"/>
        </w:rPr>
        <w:t xml:space="preserve">and at several time points. When results were stratified by age group it was found that patients aged over 18 had improved the most at the final assessments </w:t>
      </w:r>
      <w:r>
        <w:t xml:space="preserve">(GRADE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rsidRPr="000756DF">
        <w:rPr>
          <w:rFonts w:eastAsiaTheme="majorEastAsia"/>
        </w:rPr>
        <w:t xml:space="preserve">. Absolute FVC was assessed at 36 months. For the whole population there was </w:t>
      </w:r>
      <w:r>
        <w:rPr>
          <w:rFonts w:eastAsiaTheme="majorEastAsia"/>
        </w:rPr>
        <w:t xml:space="preserve">an </w:t>
      </w:r>
      <w:r w:rsidRPr="000756DF">
        <w:rPr>
          <w:rFonts w:eastAsiaTheme="majorEastAsia"/>
        </w:rPr>
        <w:t xml:space="preserve">increase in capacity </w:t>
      </w:r>
      <w:r w:rsidRPr="000756DF">
        <w:rPr>
          <w:rFonts w:eastAsiaTheme="majorEastAsia"/>
        </w:rPr>
        <w:lastRenderedPageBreak/>
        <w:t>from baseline</w:t>
      </w:r>
      <w:r w:rsidR="005661FE">
        <w:rPr>
          <w:rFonts w:eastAsiaTheme="majorEastAsia"/>
        </w:rPr>
        <w:t xml:space="preserve"> of 0.31 L absolute FVC</w:t>
      </w:r>
      <w:r w:rsidRPr="000756DF">
        <w:rPr>
          <w:rFonts w:eastAsiaTheme="majorEastAsia"/>
        </w:rPr>
        <w:t xml:space="preserve">, indicating an improvement in respiratory function. </w:t>
      </w:r>
      <w:r w:rsidR="005661FE">
        <w:rPr>
          <w:rFonts w:eastAsiaTheme="majorEastAsia"/>
        </w:rPr>
        <w:t>This is a further improvement from what was observed in the randomised trial (</w:t>
      </w:r>
      <w:r w:rsidR="00CC4008">
        <w:rPr>
          <w:rFonts w:eastAsiaTheme="majorEastAsia"/>
        </w:rPr>
        <w:t xml:space="preserve">change of 0.07 L in </w:t>
      </w:r>
      <w:r w:rsidR="001B4E29">
        <w:rPr>
          <w:rFonts w:eastAsiaTheme="majorEastAsia"/>
        </w:rPr>
        <w:t>idursulfase</w:t>
      </w:r>
      <w:r w:rsidR="00CC4008">
        <w:rPr>
          <w:rFonts w:eastAsiaTheme="majorEastAsia"/>
        </w:rPr>
        <w:t xml:space="preserve"> EOW group, and 0.22 L in idursulfase weekly group). </w:t>
      </w:r>
      <w:r w:rsidRPr="000756DF">
        <w:rPr>
          <w:rFonts w:eastAsiaTheme="majorEastAsia"/>
        </w:rPr>
        <w:t>The improvement was found to be restricted to the &lt; 12 and 12 -18 year old age groups (increases of 0.39 ± 0.09 and 0.45 ± 0.11 L respectively)</w:t>
      </w:r>
      <w:r>
        <w:rPr>
          <w:rFonts w:eastAsiaTheme="majorEastAsia"/>
        </w:rPr>
        <w:t xml:space="preserve"> </w:t>
      </w:r>
      <w:r>
        <w:t xml:space="preserve">(GRADE </w:t>
      </w:r>
      <w:r w:rsidRPr="00D4733A">
        <w:rPr>
          <w:rFonts w:ascii="Cambria Math" w:hAnsi="Cambria Math"/>
          <w:color w:val="00B050"/>
        </w:rPr>
        <w:t>⨁⨁</w:t>
      </w:r>
      <w:r w:rsidRPr="00D4733A">
        <w:rPr>
          <w:rFonts w:ascii="Cambria Math" w:hAnsi="Cambria Math"/>
          <w:color w:val="C00000"/>
        </w:rPr>
        <w:t>⨀⨀</w:t>
      </w:r>
      <w:r w:rsidR="00D67ADB" w:rsidRPr="00D67ADB">
        <w:rPr>
          <w:spacing w:val="-20"/>
        </w:rPr>
        <w:t>)</w:t>
      </w:r>
      <w:r w:rsidRPr="000756DF">
        <w:rPr>
          <w:rFonts w:eastAsiaTheme="majorEastAsia"/>
        </w:rPr>
        <w:t xml:space="preserve">. </w:t>
      </w:r>
    </w:p>
    <w:p w:rsidR="000756DF" w:rsidRPr="003913B1" w:rsidRDefault="000756DF" w:rsidP="00F44176">
      <w:pPr>
        <w:pStyle w:val="Caption"/>
        <w:keepNext/>
        <w:tabs>
          <w:tab w:val="clear" w:pos="851"/>
          <w:tab w:val="left" w:pos="1134"/>
        </w:tabs>
        <w:ind w:left="1134" w:hanging="1134"/>
      </w:pPr>
      <w:bookmarkStart w:id="404" w:name="_Ref404169823"/>
      <w:bookmarkStart w:id="405" w:name="_Toc411510472"/>
      <w:bookmarkStart w:id="406" w:name="_Toc415141902"/>
      <w:r w:rsidRPr="00716774">
        <w:t xml:space="preserve">Table </w:t>
      </w:r>
      <w:r w:rsidR="00A72B26">
        <w:rPr>
          <w:noProof/>
        </w:rPr>
        <w:t>105</w:t>
      </w:r>
      <w:bookmarkEnd w:id="404"/>
      <w:r w:rsidRPr="00716774">
        <w:t xml:space="preserve"> </w:t>
      </w:r>
      <w:r w:rsidR="003913B1">
        <w:tab/>
      </w:r>
      <w:r w:rsidRPr="003913B1">
        <w:t xml:space="preserve">Long-term outcomes for </w:t>
      </w:r>
      <w:r w:rsidR="003327E2">
        <w:t xml:space="preserve">MPS II </w:t>
      </w:r>
      <w:r w:rsidRPr="003913B1">
        <w:t xml:space="preserve">patients receiving idursulfase in a 2 year open label extension study </w:t>
      </w:r>
      <w:r w:rsidR="00A130D0">
        <w:rPr>
          <w:noProof/>
        </w:rPr>
        <w:t>(</w:t>
      </w:r>
      <w:r w:rsidR="00184B6F">
        <w:rPr>
          <w:noProof/>
        </w:rPr>
        <w:t>Muenzer et al. 2011</w:t>
      </w:r>
      <w:r w:rsidR="00A130D0">
        <w:rPr>
          <w:noProof/>
        </w:rPr>
        <w:t>)</w:t>
      </w:r>
      <w:bookmarkEnd w:id="405"/>
      <w:bookmarkEnd w:id="406"/>
    </w:p>
    <w:tbl>
      <w:tblPr>
        <w:tblStyle w:val="TableGrid"/>
        <w:tblW w:w="4966" w:type="pct"/>
        <w:tblLook w:val="04A0" w:firstRow="1" w:lastRow="0" w:firstColumn="1" w:lastColumn="0" w:noHBand="0" w:noVBand="1"/>
        <w:tblCaption w:val="Table 74  Long-term outcomes for MPS II patients receiving idursulfase in a 2 year open label extension study (Muenzer et al. 2011)"/>
      </w:tblPr>
      <w:tblGrid>
        <w:gridCol w:w="3393"/>
        <w:gridCol w:w="1276"/>
        <w:gridCol w:w="1417"/>
        <w:gridCol w:w="1417"/>
        <w:gridCol w:w="1676"/>
      </w:tblGrid>
      <w:tr w:rsidR="000756DF" w:rsidRPr="000756DF" w:rsidTr="009A0365">
        <w:trPr>
          <w:tblHeader/>
        </w:trPr>
        <w:tc>
          <w:tcPr>
            <w:tcW w:w="1848" w:type="pct"/>
          </w:tcPr>
          <w:p w:rsidR="000756DF" w:rsidRDefault="000756DF" w:rsidP="003029AC">
            <w:pPr>
              <w:pStyle w:val="TableHeading"/>
            </w:pPr>
            <w:r w:rsidRPr="000756DF">
              <w:t>Outcome</w:t>
            </w:r>
          </w:p>
          <w:p w:rsidR="00257ED8" w:rsidRPr="000756DF" w:rsidRDefault="00257ED8" w:rsidP="003029AC">
            <w:pPr>
              <w:pStyle w:val="TableHeading"/>
            </w:pPr>
            <w:r>
              <w:t>(observed value ± SEM)</w:t>
            </w:r>
          </w:p>
        </w:tc>
        <w:tc>
          <w:tcPr>
            <w:tcW w:w="695" w:type="pct"/>
          </w:tcPr>
          <w:p w:rsidR="000756DF" w:rsidRPr="000756DF" w:rsidRDefault="000756DF" w:rsidP="003029AC">
            <w:pPr>
              <w:pStyle w:val="TableHeading"/>
            </w:pPr>
            <w:r w:rsidRPr="000756DF">
              <w:t xml:space="preserve"> Baseline </w:t>
            </w:r>
          </w:p>
          <w:p w:rsidR="000756DF" w:rsidRPr="000756DF" w:rsidRDefault="000756DF" w:rsidP="003029AC">
            <w:pPr>
              <w:pStyle w:val="TableHeading"/>
            </w:pPr>
            <w:r w:rsidRPr="000756DF">
              <w:t>(mean ± SE)</w:t>
            </w:r>
          </w:p>
        </w:tc>
        <w:tc>
          <w:tcPr>
            <w:tcW w:w="772" w:type="pct"/>
          </w:tcPr>
          <w:p w:rsidR="000756DF" w:rsidRPr="000756DF" w:rsidRDefault="000756DF" w:rsidP="003029AC">
            <w:pPr>
              <w:pStyle w:val="TableHeading"/>
            </w:pPr>
            <w:r w:rsidRPr="000756DF">
              <w:t>Change from baseline at</w:t>
            </w:r>
          </w:p>
          <w:p w:rsidR="000756DF" w:rsidRPr="000756DF" w:rsidRDefault="000756DF" w:rsidP="003029AC">
            <w:pPr>
              <w:pStyle w:val="TableHeading"/>
            </w:pPr>
            <w:r w:rsidRPr="000756DF">
              <w:t xml:space="preserve">4 months </w:t>
            </w:r>
          </w:p>
        </w:tc>
        <w:tc>
          <w:tcPr>
            <w:tcW w:w="772" w:type="pct"/>
          </w:tcPr>
          <w:p w:rsidR="000756DF" w:rsidRPr="000756DF" w:rsidRDefault="000756DF" w:rsidP="003029AC">
            <w:pPr>
              <w:pStyle w:val="TableHeading"/>
            </w:pPr>
            <w:r w:rsidRPr="000756DF">
              <w:t xml:space="preserve">Change from baseline at </w:t>
            </w:r>
          </w:p>
          <w:p w:rsidR="000756DF" w:rsidRPr="000756DF" w:rsidRDefault="000756DF" w:rsidP="003029AC">
            <w:pPr>
              <w:pStyle w:val="TableHeading"/>
            </w:pPr>
            <w:r w:rsidRPr="000756DF">
              <w:t>20 months</w:t>
            </w:r>
          </w:p>
        </w:tc>
        <w:tc>
          <w:tcPr>
            <w:tcW w:w="913" w:type="pct"/>
          </w:tcPr>
          <w:p w:rsidR="000756DF" w:rsidRPr="000756DF" w:rsidRDefault="000756DF" w:rsidP="003029AC">
            <w:pPr>
              <w:pStyle w:val="TableHeading"/>
            </w:pPr>
            <w:r w:rsidRPr="000756DF">
              <w:t>Change from baseline at</w:t>
            </w:r>
          </w:p>
          <w:p w:rsidR="000756DF" w:rsidRPr="000756DF" w:rsidRDefault="000756DF" w:rsidP="003029AC">
            <w:pPr>
              <w:pStyle w:val="TableHeading"/>
            </w:pPr>
            <w:r w:rsidRPr="000756DF">
              <w:t>36 months</w:t>
            </w:r>
          </w:p>
        </w:tc>
      </w:tr>
      <w:tr w:rsidR="000756DF" w:rsidRPr="000756DF" w:rsidTr="00E44932">
        <w:tc>
          <w:tcPr>
            <w:tcW w:w="1848" w:type="pct"/>
          </w:tcPr>
          <w:p w:rsidR="000756DF" w:rsidRPr="000756DF" w:rsidRDefault="00E44932" w:rsidP="00E44932">
            <w:pPr>
              <w:pStyle w:val="TableText0"/>
            </w:pPr>
            <w:r>
              <w:t>6MWT (metres ± SE</w:t>
            </w:r>
            <w:r w:rsidR="000756DF" w:rsidRPr="000756DF">
              <w:t>), all patients</w:t>
            </w:r>
          </w:p>
          <w:p w:rsidR="000756DF" w:rsidRPr="000756DF" w:rsidRDefault="000756DF" w:rsidP="003029AC">
            <w:pPr>
              <w:pStyle w:val="TableText0"/>
              <w:jc w:val="right"/>
              <w:rPr>
                <w:rFonts w:eastAsia="Calibri"/>
              </w:rPr>
            </w:pPr>
            <w:r w:rsidRPr="000756DF">
              <w:rPr>
                <w:rFonts w:eastAsia="Calibri"/>
              </w:rPr>
              <w:t>&lt; 12 yrs</w:t>
            </w:r>
          </w:p>
          <w:p w:rsidR="000756DF" w:rsidRPr="000756DF" w:rsidRDefault="000756DF" w:rsidP="003029AC">
            <w:pPr>
              <w:pStyle w:val="TableText0"/>
              <w:jc w:val="right"/>
              <w:rPr>
                <w:rFonts w:eastAsia="Calibri"/>
              </w:rPr>
            </w:pPr>
            <w:r w:rsidRPr="000756DF">
              <w:rPr>
                <w:rFonts w:eastAsia="Calibri"/>
              </w:rPr>
              <w:t>12-18 yrs</w:t>
            </w:r>
          </w:p>
          <w:p w:rsidR="000756DF" w:rsidRPr="000756DF" w:rsidRDefault="000756DF" w:rsidP="003029AC">
            <w:pPr>
              <w:pStyle w:val="TableText0"/>
              <w:jc w:val="right"/>
              <w:rPr>
                <w:rFonts w:eastAsia="Calibri"/>
              </w:rPr>
            </w:pPr>
            <w:r w:rsidRPr="000756DF">
              <w:rPr>
                <w:rFonts w:eastAsia="Calibri"/>
              </w:rPr>
              <w:t>&gt; 18 yrs</w:t>
            </w:r>
          </w:p>
        </w:tc>
        <w:tc>
          <w:tcPr>
            <w:tcW w:w="695" w:type="pct"/>
          </w:tcPr>
          <w:p w:rsidR="000756DF" w:rsidRPr="000756DF" w:rsidRDefault="000756DF" w:rsidP="00E44932">
            <w:pPr>
              <w:pStyle w:val="TableText0"/>
            </w:pPr>
            <w:r w:rsidRPr="000756DF">
              <w:t>400 ± 10</w:t>
            </w:r>
          </w:p>
          <w:p w:rsidR="000756DF" w:rsidRPr="000756DF" w:rsidRDefault="000756DF" w:rsidP="00E44932">
            <w:pPr>
              <w:pStyle w:val="TableText0"/>
            </w:pPr>
            <w:r w:rsidRPr="000756DF">
              <w:t>428 ± 11</w:t>
            </w:r>
          </w:p>
          <w:p w:rsidR="000756DF" w:rsidRPr="000756DF" w:rsidRDefault="000756DF" w:rsidP="00E44932">
            <w:pPr>
              <w:pStyle w:val="TableText0"/>
            </w:pPr>
            <w:r w:rsidRPr="000756DF">
              <w:t>103 ± 18</w:t>
            </w:r>
          </w:p>
          <w:p w:rsidR="000756DF" w:rsidRPr="000756DF" w:rsidRDefault="000756DF" w:rsidP="00E44932">
            <w:pPr>
              <w:pStyle w:val="TableText0"/>
            </w:pPr>
            <w:r w:rsidRPr="000756DF">
              <w:t>351 ± 27</w:t>
            </w:r>
          </w:p>
        </w:tc>
        <w:tc>
          <w:tcPr>
            <w:tcW w:w="772" w:type="pct"/>
          </w:tcPr>
          <w:p w:rsidR="000756DF" w:rsidRPr="000756DF" w:rsidRDefault="000756DF" w:rsidP="00E44932">
            <w:pPr>
              <w:pStyle w:val="TableText0"/>
            </w:pPr>
            <w:r w:rsidRPr="000756DF">
              <w:t>14 ± 5</w:t>
            </w:r>
          </w:p>
          <w:p w:rsidR="000756DF" w:rsidRPr="000756DF" w:rsidRDefault="000756DF" w:rsidP="00E44932">
            <w:pPr>
              <w:pStyle w:val="TableText0"/>
            </w:pPr>
            <w:r w:rsidRPr="000756DF">
              <w:t>-</w:t>
            </w:r>
          </w:p>
          <w:p w:rsidR="000756DF" w:rsidRPr="000756DF" w:rsidRDefault="000756DF" w:rsidP="00E44932">
            <w:pPr>
              <w:pStyle w:val="TableText0"/>
            </w:pPr>
            <w:r w:rsidRPr="000756DF">
              <w:t>-</w:t>
            </w:r>
          </w:p>
          <w:p w:rsidR="000756DF" w:rsidRPr="000756DF" w:rsidRDefault="000756DF" w:rsidP="00E44932">
            <w:pPr>
              <w:pStyle w:val="TableText0"/>
            </w:pPr>
            <w:r w:rsidRPr="000756DF">
              <w:t>-</w:t>
            </w:r>
          </w:p>
        </w:tc>
        <w:tc>
          <w:tcPr>
            <w:tcW w:w="772" w:type="pct"/>
          </w:tcPr>
          <w:p w:rsidR="000756DF" w:rsidRPr="000756DF" w:rsidRDefault="000756DF" w:rsidP="00E44932">
            <w:pPr>
              <w:pStyle w:val="TableText0"/>
            </w:pPr>
            <w:r w:rsidRPr="000756DF">
              <w:t>42 ± 10</w:t>
            </w:r>
          </w:p>
          <w:p w:rsidR="000756DF" w:rsidRPr="000756DF" w:rsidRDefault="000756DF" w:rsidP="00E44932">
            <w:pPr>
              <w:pStyle w:val="TableText0"/>
            </w:pPr>
            <w:r w:rsidRPr="000756DF">
              <w:t>-</w:t>
            </w:r>
          </w:p>
          <w:p w:rsidR="000756DF" w:rsidRPr="000756DF" w:rsidRDefault="000756DF" w:rsidP="00E44932">
            <w:pPr>
              <w:pStyle w:val="TableText0"/>
            </w:pPr>
            <w:r w:rsidRPr="000756DF">
              <w:t>-</w:t>
            </w:r>
          </w:p>
          <w:p w:rsidR="000756DF" w:rsidRPr="000756DF" w:rsidRDefault="000756DF" w:rsidP="00E44932">
            <w:pPr>
              <w:pStyle w:val="TableText0"/>
            </w:pPr>
            <w:r w:rsidRPr="000756DF">
              <w:t>-</w:t>
            </w:r>
          </w:p>
        </w:tc>
        <w:tc>
          <w:tcPr>
            <w:tcW w:w="913" w:type="pct"/>
          </w:tcPr>
          <w:p w:rsidR="000756DF" w:rsidRPr="000756DF" w:rsidRDefault="000756DF" w:rsidP="00E44932">
            <w:pPr>
              <w:pStyle w:val="TableText0"/>
            </w:pPr>
            <w:r w:rsidRPr="000756DF">
              <w:t>-</w:t>
            </w:r>
          </w:p>
          <w:p w:rsidR="000756DF" w:rsidRPr="000756DF" w:rsidRDefault="000756DF" w:rsidP="00E44932">
            <w:pPr>
              <w:pStyle w:val="TableText0"/>
            </w:pPr>
            <w:r w:rsidRPr="000756DF">
              <w:t>8 ± 6</w:t>
            </w:r>
          </w:p>
          <w:p w:rsidR="000756DF" w:rsidRPr="000756DF" w:rsidRDefault="000756DF" w:rsidP="00E44932">
            <w:pPr>
              <w:pStyle w:val="TableText0"/>
            </w:pPr>
            <w:r w:rsidRPr="000756DF">
              <w:t>0.7 ± 7</w:t>
            </w:r>
          </w:p>
          <w:p w:rsidR="000756DF" w:rsidRPr="000756DF" w:rsidRDefault="000756DF" w:rsidP="00E44932">
            <w:pPr>
              <w:pStyle w:val="TableText0"/>
            </w:pPr>
            <w:r w:rsidRPr="000756DF">
              <w:t>48 ± 13</w:t>
            </w:r>
          </w:p>
        </w:tc>
      </w:tr>
      <w:tr w:rsidR="000756DF" w:rsidRPr="000756DF" w:rsidTr="00E44932">
        <w:tc>
          <w:tcPr>
            <w:tcW w:w="1848" w:type="pct"/>
          </w:tcPr>
          <w:p w:rsidR="000756DF" w:rsidRPr="000756DF" w:rsidRDefault="00E44932" w:rsidP="00E44932">
            <w:pPr>
              <w:pStyle w:val="TableText0"/>
            </w:pPr>
            <w:r>
              <w:t>Absolute FVC (L ± SE</w:t>
            </w:r>
            <w:r w:rsidR="000756DF" w:rsidRPr="000756DF">
              <w:t>), all patients</w:t>
            </w:r>
          </w:p>
          <w:p w:rsidR="000756DF" w:rsidRPr="000756DF" w:rsidRDefault="000756DF" w:rsidP="003029AC">
            <w:pPr>
              <w:pStyle w:val="TableText0"/>
              <w:jc w:val="right"/>
              <w:rPr>
                <w:rFonts w:eastAsia="Calibri"/>
              </w:rPr>
            </w:pPr>
            <w:r w:rsidRPr="000756DF">
              <w:rPr>
                <w:rFonts w:eastAsia="Calibri"/>
              </w:rPr>
              <w:t>&lt; 12 yrs</w:t>
            </w:r>
          </w:p>
          <w:p w:rsidR="000756DF" w:rsidRPr="000756DF" w:rsidRDefault="000756DF" w:rsidP="003029AC">
            <w:pPr>
              <w:pStyle w:val="TableText0"/>
              <w:jc w:val="right"/>
              <w:rPr>
                <w:rFonts w:eastAsia="Calibri"/>
              </w:rPr>
            </w:pPr>
            <w:r w:rsidRPr="000756DF">
              <w:rPr>
                <w:rFonts w:eastAsia="Calibri"/>
              </w:rPr>
              <w:t>12-18 yrs</w:t>
            </w:r>
          </w:p>
          <w:p w:rsidR="000756DF" w:rsidRPr="000756DF" w:rsidRDefault="000756DF" w:rsidP="003029AC">
            <w:pPr>
              <w:pStyle w:val="TableText0"/>
              <w:jc w:val="right"/>
              <w:rPr>
                <w:rFonts w:eastAsia="Calibri"/>
              </w:rPr>
            </w:pPr>
            <w:r w:rsidRPr="000756DF">
              <w:rPr>
                <w:rFonts w:eastAsia="Calibri"/>
              </w:rPr>
              <w:t>&gt; 18 yrs</w:t>
            </w:r>
          </w:p>
        </w:tc>
        <w:tc>
          <w:tcPr>
            <w:tcW w:w="695" w:type="pct"/>
          </w:tcPr>
          <w:p w:rsidR="000756DF" w:rsidRPr="000756DF" w:rsidRDefault="000756DF" w:rsidP="00E44932">
            <w:pPr>
              <w:pStyle w:val="TableText0"/>
            </w:pPr>
            <w:r w:rsidRPr="000756DF">
              <w:t>1.18 ± 0.06</w:t>
            </w:r>
          </w:p>
          <w:p w:rsidR="000756DF" w:rsidRPr="000756DF" w:rsidRDefault="000756DF" w:rsidP="00E44932">
            <w:pPr>
              <w:pStyle w:val="TableText0"/>
            </w:pPr>
            <w:r w:rsidRPr="000756DF">
              <w:t>-</w:t>
            </w:r>
          </w:p>
          <w:p w:rsidR="000756DF" w:rsidRPr="000756DF" w:rsidRDefault="000756DF" w:rsidP="00E44932">
            <w:pPr>
              <w:pStyle w:val="TableText0"/>
            </w:pPr>
            <w:r w:rsidRPr="000756DF">
              <w:t>-</w:t>
            </w:r>
          </w:p>
          <w:p w:rsidR="000756DF" w:rsidRPr="000756DF" w:rsidRDefault="000756DF" w:rsidP="00E44932">
            <w:pPr>
              <w:pStyle w:val="TableText0"/>
              <w:rPr>
                <w:vertAlign w:val="superscript"/>
              </w:rPr>
            </w:pPr>
            <w:r w:rsidRPr="000756DF">
              <w:t>-</w:t>
            </w:r>
          </w:p>
        </w:tc>
        <w:tc>
          <w:tcPr>
            <w:tcW w:w="772" w:type="pct"/>
          </w:tcPr>
          <w:p w:rsidR="000756DF" w:rsidRPr="000756DF" w:rsidRDefault="000756DF" w:rsidP="00E44932">
            <w:pPr>
              <w:pStyle w:val="TableText0"/>
            </w:pPr>
            <w:r w:rsidRPr="000756DF">
              <w:t>-</w:t>
            </w:r>
          </w:p>
          <w:p w:rsidR="000756DF" w:rsidRPr="000756DF" w:rsidRDefault="000756DF" w:rsidP="00E44932">
            <w:pPr>
              <w:pStyle w:val="TableText0"/>
            </w:pPr>
            <w:r w:rsidRPr="000756DF">
              <w:t>-</w:t>
            </w:r>
          </w:p>
          <w:p w:rsidR="000756DF" w:rsidRPr="000756DF" w:rsidRDefault="000756DF" w:rsidP="00E44932">
            <w:pPr>
              <w:pStyle w:val="TableText0"/>
            </w:pPr>
            <w:r w:rsidRPr="000756DF">
              <w:t>-</w:t>
            </w:r>
          </w:p>
          <w:p w:rsidR="000756DF" w:rsidRPr="000756DF" w:rsidRDefault="000756DF" w:rsidP="00E44932">
            <w:pPr>
              <w:pStyle w:val="TableText0"/>
            </w:pPr>
            <w:r w:rsidRPr="000756DF">
              <w:t>-</w:t>
            </w:r>
          </w:p>
        </w:tc>
        <w:tc>
          <w:tcPr>
            <w:tcW w:w="772" w:type="pct"/>
          </w:tcPr>
          <w:p w:rsidR="000756DF" w:rsidRPr="000756DF" w:rsidRDefault="000756DF" w:rsidP="00E44932">
            <w:pPr>
              <w:pStyle w:val="TableText0"/>
            </w:pPr>
            <w:r w:rsidRPr="000756DF">
              <w:t>-</w:t>
            </w:r>
          </w:p>
          <w:p w:rsidR="000756DF" w:rsidRPr="000756DF" w:rsidRDefault="000756DF" w:rsidP="00E44932">
            <w:pPr>
              <w:pStyle w:val="TableText0"/>
            </w:pPr>
            <w:r w:rsidRPr="000756DF">
              <w:t>-</w:t>
            </w:r>
          </w:p>
          <w:p w:rsidR="000756DF" w:rsidRPr="000756DF" w:rsidRDefault="000756DF" w:rsidP="00E44932">
            <w:pPr>
              <w:pStyle w:val="TableText0"/>
            </w:pPr>
            <w:r w:rsidRPr="000756DF">
              <w:t>-</w:t>
            </w:r>
          </w:p>
          <w:p w:rsidR="000756DF" w:rsidRPr="000756DF" w:rsidRDefault="000756DF" w:rsidP="00E44932">
            <w:pPr>
              <w:pStyle w:val="TableText0"/>
              <w:rPr>
                <w:vertAlign w:val="superscript"/>
              </w:rPr>
            </w:pPr>
            <w:r w:rsidRPr="000756DF">
              <w:t>-</w:t>
            </w:r>
          </w:p>
        </w:tc>
        <w:tc>
          <w:tcPr>
            <w:tcW w:w="913" w:type="pct"/>
          </w:tcPr>
          <w:p w:rsidR="000756DF" w:rsidRPr="00257ED8" w:rsidRDefault="000756DF" w:rsidP="00E64603">
            <w:pPr>
              <w:pStyle w:val="TableText0"/>
              <w:rPr>
                <w:vertAlign w:val="superscript"/>
              </w:rPr>
            </w:pPr>
            <w:r w:rsidRPr="000756DF">
              <w:t xml:space="preserve">0.31 ± 0.06, </w:t>
            </w:r>
            <w:r w:rsidR="00F76FBF">
              <w:t>p</w:t>
            </w:r>
            <w:r w:rsidRPr="000756DF">
              <w:t>&lt;0.05</w:t>
            </w:r>
            <w:r w:rsidR="00257ED8">
              <w:rPr>
                <w:vertAlign w:val="superscript"/>
              </w:rPr>
              <w:t>a</w:t>
            </w:r>
          </w:p>
          <w:p w:rsidR="000756DF" w:rsidRPr="000756DF" w:rsidRDefault="000756DF" w:rsidP="00E44932">
            <w:pPr>
              <w:pStyle w:val="TableText0"/>
            </w:pPr>
            <w:r w:rsidRPr="000756DF">
              <w:t>0.39 ± 0.09</w:t>
            </w:r>
          </w:p>
          <w:p w:rsidR="000756DF" w:rsidRPr="000756DF" w:rsidRDefault="000756DF" w:rsidP="00E44932">
            <w:pPr>
              <w:pStyle w:val="TableText0"/>
            </w:pPr>
            <w:r w:rsidRPr="000756DF">
              <w:t>0.45 ± 0.11</w:t>
            </w:r>
          </w:p>
          <w:p w:rsidR="000756DF" w:rsidRPr="000756DF" w:rsidRDefault="000756DF" w:rsidP="00E44932">
            <w:pPr>
              <w:pStyle w:val="TableText0"/>
            </w:pPr>
            <w:r w:rsidRPr="000756DF">
              <w:t>-0.04</w:t>
            </w:r>
          </w:p>
        </w:tc>
      </w:tr>
    </w:tbl>
    <w:p w:rsidR="000756DF" w:rsidRDefault="000756DF" w:rsidP="00E44932">
      <w:pPr>
        <w:pStyle w:val="TableNote"/>
      </w:pPr>
      <w:r w:rsidRPr="000756DF">
        <w:t>6</w:t>
      </w:r>
      <w:r w:rsidR="00052F20">
        <w:t>MWT – 6-minute walking test</w:t>
      </w:r>
      <w:r w:rsidR="00E44932">
        <w:t>; SE</w:t>
      </w:r>
      <w:r w:rsidR="00652355" w:rsidRPr="00652355">
        <w:rPr>
          <w:spacing w:val="-20"/>
        </w:rPr>
        <w:t xml:space="preserve"> = </w:t>
      </w:r>
      <w:r w:rsidR="00257ED8">
        <w:t>standard error of the mean</w:t>
      </w:r>
      <w:r w:rsidR="00052F20">
        <w:t>; FVC= forced vital capacity</w:t>
      </w:r>
    </w:p>
    <w:p w:rsidR="000756DF" w:rsidRPr="0052627A" w:rsidRDefault="00257ED8" w:rsidP="0052627A">
      <w:pPr>
        <w:pStyle w:val="TableNote"/>
        <w:spacing w:after="480"/>
      </w:pPr>
      <w:proofErr w:type="gramStart"/>
      <w:r>
        <w:rPr>
          <w:vertAlign w:val="superscript"/>
        </w:rPr>
        <w:t>a</w:t>
      </w:r>
      <w:proofErr w:type="gramEnd"/>
      <w:r w:rsidR="00EF7A3A">
        <w:rPr>
          <w:vertAlign w:val="superscript"/>
        </w:rPr>
        <w:t xml:space="preserve"> </w:t>
      </w:r>
      <w:r>
        <w:t>P-value</w:t>
      </w:r>
      <w:r w:rsidRPr="000756DF">
        <w:t xml:space="preserve"> based on ANCOV</w:t>
      </w:r>
      <w:r>
        <w:t>A for the comparison to placebo</w:t>
      </w:r>
    </w:p>
    <w:p w:rsidR="007423F0" w:rsidRPr="000756DF" w:rsidRDefault="007423F0" w:rsidP="007423F0">
      <w:pPr>
        <w:rPr>
          <w:rFonts w:eastAsiaTheme="majorEastAsia"/>
        </w:rPr>
      </w:pPr>
      <w:r w:rsidRPr="000756DF">
        <w:rPr>
          <w:rFonts w:eastAsiaTheme="majorEastAsia"/>
        </w:rPr>
        <w:t xml:space="preserve">Further long-term outcomes were discussed by Muenzer et al </w:t>
      </w:r>
      <w:r>
        <w:rPr>
          <w:rFonts w:eastAsiaTheme="majorEastAsia"/>
        </w:rPr>
        <w:t xml:space="preserve">(2011); </w:t>
      </w:r>
      <w:r w:rsidRPr="000756DF">
        <w:rPr>
          <w:rFonts w:eastAsiaTheme="majorEastAsia"/>
        </w:rPr>
        <w:t>however</w:t>
      </w:r>
      <w:r>
        <w:rPr>
          <w:rFonts w:eastAsiaTheme="majorEastAsia"/>
        </w:rPr>
        <w:t>,</w:t>
      </w:r>
      <w:r w:rsidRPr="000756DF">
        <w:rPr>
          <w:rFonts w:eastAsiaTheme="majorEastAsia"/>
        </w:rPr>
        <w:t xml:space="preserve"> some results which were not significantly different from baseline were not published and this may have introduced some reporting bias into the study. Percent predicted FVC was found to be no different from baseline at all-time points except one (month 16). There were improvements in joint range of motion that indicated a progressive and statistically significant change from baseline for the shoulder (p ≤ 0.005), but no consistent changes for elbow, wrist, digits, hip, knee or ankle. The Chi</w:t>
      </w:r>
      <w:r w:rsidR="0022487A">
        <w:rPr>
          <w:rFonts w:eastAsiaTheme="majorEastAsia"/>
        </w:rPr>
        <w:t>l</w:t>
      </w:r>
      <w:r w:rsidRPr="000756DF">
        <w:rPr>
          <w:rFonts w:eastAsiaTheme="majorEastAsia"/>
        </w:rPr>
        <w:t xml:space="preserve">d Health Assessment Questionnaire </w:t>
      </w:r>
      <w:r>
        <w:rPr>
          <w:rFonts w:eastAsiaTheme="majorEastAsia"/>
        </w:rPr>
        <w:t>(</w:t>
      </w:r>
      <w:r w:rsidRPr="000756DF">
        <w:rPr>
          <w:rFonts w:eastAsiaTheme="majorEastAsia"/>
        </w:rPr>
        <w:t>CHAQ) tool was used to assess functional status and showed clinically important changes from baseline. When parents assessed their children using the CHAQ Disability Index Score</w:t>
      </w:r>
      <w:r>
        <w:rPr>
          <w:rFonts w:eastAsiaTheme="majorEastAsia"/>
        </w:rPr>
        <w:t xml:space="preserve"> (DIS)</w:t>
      </w:r>
      <w:r w:rsidRPr="000756DF">
        <w:rPr>
          <w:rFonts w:eastAsiaTheme="majorEastAsia"/>
        </w:rPr>
        <w:t xml:space="preserve"> there were statistically significant improvements at 8, 16, 20, 24 and 30 months. For the child-assessed DIS similar improvements from baseline were seen at 20, 24, 30, and 36 months (n</w:t>
      </w:r>
      <w:r w:rsidR="00652355" w:rsidRPr="00652355">
        <w:rPr>
          <w:rFonts w:eastAsiaTheme="majorEastAsia"/>
          <w:spacing w:val="-20"/>
        </w:rPr>
        <w:t xml:space="preserve"> = </w:t>
      </w:r>
      <w:r w:rsidR="00646689">
        <w:rPr>
          <w:rFonts w:eastAsiaTheme="majorEastAsia"/>
        </w:rPr>
        <w:t xml:space="preserve">48 children at baseline). </w:t>
      </w:r>
      <w:r w:rsidRPr="000756DF">
        <w:rPr>
          <w:rFonts w:eastAsiaTheme="majorEastAsia"/>
        </w:rPr>
        <w:t xml:space="preserve">No comment was made as to whether measurements indicating non-significant changes were in the positive or negative direction from baseline, or whether there were statistically significant changes indicating patient decline. </w:t>
      </w:r>
    </w:p>
    <w:p w:rsidR="007423F0" w:rsidRDefault="007423F0" w:rsidP="000756DF">
      <w:pPr>
        <w:rPr>
          <w:rFonts w:eastAsiaTheme="majorEastAsia"/>
        </w:rPr>
      </w:pPr>
      <w:r>
        <w:rPr>
          <w:rFonts w:eastAsiaTheme="majorEastAsia"/>
        </w:rPr>
        <w:br w:type="page"/>
      </w:r>
    </w:p>
    <w:p w:rsidR="000756DF" w:rsidRPr="00E965BD" w:rsidRDefault="000756DF" w:rsidP="00EC5DFF">
      <w:pPr>
        <w:pStyle w:val="Heading4"/>
      </w:pPr>
      <w:r w:rsidRPr="00E965BD">
        <w:lastRenderedPageBreak/>
        <w:t>Effectiveness and safety of galsulfase for treating MPS type VI</w:t>
      </w:r>
    </w:p>
    <w:p w:rsidR="007423F0" w:rsidRPr="000756DF" w:rsidRDefault="007423F0" w:rsidP="007423F0">
      <w:pPr>
        <w:rPr>
          <w:rFonts w:eastAsiaTheme="majorEastAsia"/>
        </w:rPr>
      </w:pPr>
      <w:r w:rsidRPr="000756DF">
        <w:rPr>
          <w:rFonts w:eastAsiaTheme="majorEastAsia"/>
        </w:rPr>
        <w:t xml:space="preserve">One randomised double-blind multicentre study </w:t>
      </w:r>
      <w:r w:rsidR="00A130D0">
        <w:rPr>
          <w:rFonts w:eastAsiaTheme="majorEastAsia"/>
          <w:noProof/>
        </w:rPr>
        <w:t>(</w:t>
      </w:r>
      <w:r w:rsidR="00184B6F">
        <w:rPr>
          <w:rFonts w:eastAsiaTheme="majorEastAsia"/>
          <w:noProof/>
        </w:rPr>
        <w:t>Harmatz et al. 2006</w:t>
      </w:r>
      <w:r w:rsidR="00A130D0">
        <w:rPr>
          <w:rFonts w:eastAsiaTheme="majorEastAsia"/>
          <w:noProof/>
        </w:rPr>
        <w:t>)</w:t>
      </w:r>
      <w:r w:rsidRPr="000756DF">
        <w:rPr>
          <w:rFonts w:eastAsiaTheme="majorEastAsia"/>
        </w:rPr>
        <w:t xml:space="preserve"> compared galsulfase with placebo in patients with MPS VI. Th</w:t>
      </w:r>
      <w:r>
        <w:rPr>
          <w:rFonts w:eastAsiaTheme="majorEastAsia"/>
        </w:rPr>
        <w:t>irty nine</w:t>
      </w:r>
      <w:r w:rsidRPr="000756DF">
        <w:rPr>
          <w:rFonts w:eastAsiaTheme="majorEastAsia"/>
        </w:rPr>
        <w:t xml:space="preserve"> patients from 6 clinical sites </w:t>
      </w:r>
      <w:r>
        <w:rPr>
          <w:rFonts w:eastAsiaTheme="majorEastAsia"/>
        </w:rPr>
        <w:t xml:space="preserve">were randomised </w:t>
      </w:r>
      <w:r w:rsidRPr="000756DF">
        <w:rPr>
          <w:rFonts w:eastAsiaTheme="majorEastAsia"/>
        </w:rPr>
        <w:t xml:space="preserve">to either galsulfase (rhASB 1.0 mg/kg) or placebo for 24 consecutive weeks. </w:t>
      </w:r>
      <w:r w:rsidR="009E3804">
        <w:rPr>
          <w:rFonts w:eastAsiaTheme="majorEastAsia"/>
        </w:rPr>
        <w:t xml:space="preserve">Both drug and placebo were administered with the same method. No description of standard medical management was provided. </w:t>
      </w:r>
      <w:r w:rsidR="002171C5">
        <w:rPr>
          <w:rFonts w:eastAsiaTheme="majorEastAsia"/>
        </w:rPr>
        <w:t>After 24 weeks</w:t>
      </w:r>
      <w:r>
        <w:rPr>
          <w:rFonts w:eastAsiaTheme="majorEastAsia"/>
        </w:rPr>
        <w:t>,</w:t>
      </w:r>
      <w:r w:rsidRPr="000756DF">
        <w:rPr>
          <w:rFonts w:eastAsiaTheme="majorEastAsia"/>
        </w:rPr>
        <w:t xml:space="preserve"> </w:t>
      </w:r>
      <w:r w:rsidR="00F80667">
        <w:rPr>
          <w:rFonts w:eastAsiaTheme="majorEastAsia"/>
        </w:rPr>
        <w:t xml:space="preserve">all </w:t>
      </w:r>
      <w:r w:rsidRPr="000756DF">
        <w:rPr>
          <w:rFonts w:eastAsiaTheme="majorEastAsia"/>
        </w:rPr>
        <w:t xml:space="preserve">participants </w:t>
      </w:r>
      <w:r w:rsidR="00F80667">
        <w:rPr>
          <w:rFonts w:eastAsiaTheme="majorEastAsia"/>
        </w:rPr>
        <w:t>received weekly infusions of galsulfase</w:t>
      </w:r>
      <w:r w:rsidRPr="000756DF">
        <w:rPr>
          <w:rFonts w:eastAsiaTheme="majorEastAsia"/>
        </w:rPr>
        <w:t xml:space="preserve"> and </w:t>
      </w:r>
      <w:r w:rsidR="00F80667">
        <w:rPr>
          <w:rFonts w:eastAsiaTheme="majorEastAsia"/>
        </w:rPr>
        <w:t xml:space="preserve">were </w:t>
      </w:r>
      <w:r w:rsidRPr="000756DF">
        <w:rPr>
          <w:rFonts w:eastAsiaTheme="majorEastAsia"/>
        </w:rPr>
        <w:t xml:space="preserve">assessed again at the </w:t>
      </w:r>
      <w:r w:rsidR="00D706B1">
        <w:rPr>
          <w:rFonts w:eastAsiaTheme="majorEastAsia"/>
        </w:rPr>
        <w:t xml:space="preserve">end of 48 weeks. </w:t>
      </w:r>
      <w:r w:rsidRPr="000756DF">
        <w:rPr>
          <w:rFonts w:eastAsiaTheme="majorEastAsia"/>
        </w:rPr>
        <w:t xml:space="preserve">The RCT was given a quality appraisal of moderate. While the study met criteria for blinding, </w:t>
      </w:r>
      <w:r>
        <w:rPr>
          <w:rFonts w:eastAsiaTheme="majorEastAsia"/>
        </w:rPr>
        <w:t>randomisation method and a</w:t>
      </w:r>
      <w:r w:rsidRPr="000756DF">
        <w:rPr>
          <w:rFonts w:eastAsiaTheme="majorEastAsia"/>
        </w:rPr>
        <w:t>llocation concealment method w</w:t>
      </w:r>
      <w:r>
        <w:rPr>
          <w:rFonts w:eastAsiaTheme="majorEastAsia"/>
        </w:rPr>
        <w:t>ere</w:t>
      </w:r>
      <w:r w:rsidRPr="000756DF">
        <w:rPr>
          <w:rFonts w:eastAsiaTheme="majorEastAsia"/>
        </w:rPr>
        <w:t xml:space="preserve"> not reported. More than 25% of randomised patients (11/39 patients) did not fulfil </w:t>
      </w:r>
      <w:r>
        <w:rPr>
          <w:rFonts w:eastAsiaTheme="majorEastAsia"/>
        </w:rPr>
        <w:t>the study eligibility</w:t>
      </w:r>
      <w:r w:rsidRPr="000756DF">
        <w:rPr>
          <w:rFonts w:eastAsiaTheme="majorEastAsia"/>
        </w:rPr>
        <w:t xml:space="preserve"> criteria with reasons being they exceeded the walk distance eligibility criteria (n</w:t>
      </w:r>
      <w:r w:rsidR="00652355" w:rsidRPr="00652355">
        <w:rPr>
          <w:rFonts w:eastAsiaTheme="majorEastAsia"/>
          <w:spacing w:val="-20"/>
        </w:rPr>
        <w:t xml:space="preserve"> = </w:t>
      </w:r>
      <w:r w:rsidRPr="000756DF">
        <w:rPr>
          <w:rFonts w:eastAsiaTheme="majorEastAsia"/>
        </w:rPr>
        <w:t>7), were &lt;7</w:t>
      </w:r>
      <w:r>
        <w:rPr>
          <w:rFonts w:eastAsiaTheme="majorEastAsia"/>
        </w:rPr>
        <w:t xml:space="preserve"> </w:t>
      </w:r>
      <w:r w:rsidRPr="000756DF">
        <w:rPr>
          <w:rFonts w:eastAsiaTheme="majorEastAsia"/>
        </w:rPr>
        <w:t>years old (n</w:t>
      </w:r>
      <w:r w:rsidR="00652355" w:rsidRPr="00652355">
        <w:rPr>
          <w:rFonts w:eastAsiaTheme="majorEastAsia"/>
          <w:spacing w:val="-20"/>
        </w:rPr>
        <w:t xml:space="preserve"> = </w:t>
      </w:r>
      <w:r w:rsidRPr="000756DF">
        <w:rPr>
          <w:rFonts w:eastAsiaTheme="majorEastAsia"/>
        </w:rPr>
        <w:t>3) or had an earlier medical complication (n</w:t>
      </w:r>
      <w:r w:rsidR="00652355" w:rsidRPr="00652355">
        <w:rPr>
          <w:rFonts w:eastAsiaTheme="majorEastAsia"/>
          <w:spacing w:val="-20"/>
        </w:rPr>
        <w:t xml:space="preserve"> = </w:t>
      </w:r>
      <w:r w:rsidRPr="000756DF">
        <w:rPr>
          <w:rFonts w:eastAsiaTheme="majorEastAsia"/>
        </w:rPr>
        <w:t xml:space="preserve">1). </w:t>
      </w:r>
      <w:r w:rsidR="009116BB">
        <w:rPr>
          <w:rFonts w:eastAsiaTheme="majorEastAsia"/>
        </w:rPr>
        <w:t xml:space="preserve">Measures of efficacy were analysed using an ITT </w:t>
      </w:r>
      <w:r w:rsidR="002C482E">
        <w:rPr>
          <w:rFonts w:eastAsiaTheme="majorEastAsia"/>
        </w:rPr>
        <w:t>analysis. The</w:t>
      </w:r>
      <w:r>
        <w:rPr>
          <w:rFonts w:eastAsiaTheme="majorEastAsia"/>
        </w:rPr>
        <w:t xml:space="preserve"> s</w:t>
      </w:r>
      <w:r w:rsidRPr="000756DF">
        <w:rPr>
          <w:rFonts w:eastAsiaTheme="majorEastAsia"/>
        </w:rPr>
        <w:t>afety outcome analysis was limited to those who received at least one dose. One patient withdrew after the 24 week time point.</w:t>
      </w:r>
    </w:p>
    <w:p w:rsidR="007423F0" w:rsidRPr="000756DF" w:rsidRDefault="007423F0" w:rsidP="007423F0">
      <w:pPr>
        <w:rPr>
          <w:rFonts w:eastAsiaTheme="majorEastAsia"/>
        </w:rPr>
      </w:pPr>
      <w:r w:rsidRPr="000756DF">
        <w:rPr>
          <w:rFonts w:eastAsiaTheme="majorEastAsia"/>
        </w:rPr>
        <w:t xml:space="preserve">Long term cardiac and pulmonary outcomes were assessed after open label treatment extension in two studies </w:t>
      </w:r>
      <w:r w:rsidR="00A130D0">
        <w:rPr>
          <w:rFonts w:eastAsiaTheme="majorEastAsia"/>
          <w:noProof/>
        </w:rPr>
        <w:t>(</w:t>
      </w:r>
      <w:r w:rsidR="00184B6F">
        <w:rPr>
          <w:rFonts w:eastAsiaTheme="majorEastAsia"/>
          <w:noProof/>
        </w:rPr>
        <w:t>Braunlin et al. 2013</w:t>
      </w:r>
      <w:r w:rsidR="00A130D0">
        <w:rPr>
          <w:rFonts w:eastAsiaTheme="majorEastAsia"/>
          <w:noProof/>
        </w:rPr>
        <w:t xml:space="preserve">; </w:t>
      </w:r>
      <w:r w:rsidR="00184B6F">
        <w:rPr>
          <w:rFonts w:eastAsiaTheme="majorEastAsia"/>
          <w:noProof/>
        </w:rPr>
        <w:t>Harmatz et al. 2010</w:t>
      </w:r>
      <w:r w:rsidR="00A130D0">
        <w:rPr>
          <w:rFonts w:eastAsiaTheme="majorEastAsia"/>
          <w:noProof/>
        </w:rPr>
        <w:t>)</w:t>
      </w:r>
      <w:r w:rsidRPr="000756DF">
        <w:rPr>
          <w:rFonts w:eastAsiaTheme="majorEastAsia"/>
        </w:rPr>
        <w:t xml:space="preserve"> in which patients were assessed at intervals up to 240 weeks. The extension group included patients who participated in earlier dose-comparison and open label studies and data for trial populations could not be separated for consideration here. </w:t>
      </w:r>
    </w:p>
    <w:p w:rsidR="000756DF" w:rsidRPr="000756DF" w:rsidRDefault="007423F0" w:rsidP="0052627A">
      <w:pPr>
        <w:spacing w:after="480"/>
        <w:rPr>
          <w:rFonts w:eastAsiaTheme="majorEastAsia"/>
        </w:rPr>
      </w:pPr>
      <w:r w:rsidRPr="000756DF">
        <w:rPr>
          <w:rFonts w:eastAsiaTheme="majorEastAsia"/>
        </w:rPr>
        <w:t xml:space="preserve">The primary outcome of the RCT and extension </w:t>
      </w:r>
      <w:r>
        <w:rPr>
          <w:rFonts w:eastAsiaTheme="majorEastAsia"/>
        </w:rPr>
        <w:t xml:space="preserve">period </w:t>
      </w:r>
      <w:r w:rsidRPr="000756DF">
        <w:rPr>
          <w:rFonts w:eastAsiaTheme="majorEastAsia"/>
        </w:rPr>
        <w:t>was the 12 minute walk test (12MWT) which provided a measure of endurance and was conducted 6 weekly from baseline to 24 weeks, then 12 weekly to 48 weeks</w:t>
      </w:r>
      <w:r>
        <w:rPr>
          <w:rFonts w:eastAsiaTheme="majorEastAsia"/>
        </w:rPr>
        <w:t xml:space="preserve"> follow-up</w:t>
      </w:r>
      <w:r w:rsidRPr="000756DF">
        <w:rPr>
          <w:rFonts w:eastAsiaTheme="majorEastAsia"/>
        </w:rPr>
        <w:t xml:space="preserve">. </w:t>
      </w:r>
      <w:r w:rsidR="005774D1">
        <w:rPr>
          <w:rFonts w:eastAsiaTheme="majorEastAsia"/>
        </w:rPr>
        <w:t xml:space="preserve">This </w:t>
      </w:r>
      <w:r w:rsidR="009E3804">
        <w:rPr>
          <w:rFonts w:eastAsiaTheme="majorEastAsia"/>
        </w:rPr>
        <w:t xml:space="preserve">measure may also be considered </w:t>
      </w:r>
      <w:r w:rsidR="00880496">
        <w:rPr>
          <w:rFonts w:eastAsiaTheme="majorEastAsia"/>
        </w:rPr>
        <w:t xml:space="preserve">a </w:t>
      </w:r>
      <w:r w:rsidR="009E3804">
        <w:rPr>
          <w:rFonts w:eastAsiaTheme="majorEastAsia"/>
        </w:rPr>
        <w:t>surrogate outcome for cardiac</w:t>
      </w:r>
      <w:r w:rsidR="005774D1">
        <w:rPr>
          <w:rFonts w:eastAsiaTheme="majorEastAsia"/>
        </w:rPr>
        <w:t xml:space="preserve"> and pulmonary</w:t>
      </w:r>
      <w:r w:rsidR="009E3804">
        <w:rPr>
          <w:rFonts w:eastAsiaTheme="majorEastAsia"/>
        </w:rPr>
        <w:t xml:space="preserve"> function.</w:t>
      </w:r>
      <w:r w:rsidR="005774D1" w:rsidRPr="005774D1">
        <w:rPr>
          <w:rFonts w:eastAsiaTheme="majorEastAsia"/>
        </w:rPr>
        <w:t xml:space="preserve"> </w:t>
      </w:r>
      <w:r w:rsidR="00A73228">
        <w:rPr>
          <w:rFonts w:eastAsiaTheme="majorEastAsia"/>
        </w:rPr>
        <w:t>S</w:t>
      </w:r>
      <w:r w:rsidR="005774D1">
        <w:rPr>
          <w:rFonts w:eastAsiaTheme="majorEastAsia"/>
        </w:rPr>
        <w:t>econdary measure</w:t>
      </w:r>
      <w:r w:rsidR="00A73228">
        <w:rPr>
          <w:rFonts w:eastAsiaTheme="majorEastAsia"/>
        </w:rPr>
        <w:t>s were</w:t>
      </w:r>
      <w:r w:rsidR="005774D1" w:rsidRPr="000756DF">
        <w:rPr>
          <w:rFonts w:eastAsiaTheme="majorEastAsia"/>
        </w:rPr>
        <w:t xml:space="preserve"> the 3 minute stair climb (3MSC)</w:t>
      </w:r>
      <w:r w:rsidR="00A73228">
        <w:rPr>
          <w:rFonts w:eastAsiaTheme="majorEastAsia"/>
        </w:rPr>
        <w:t xml:space="preserve"> and measures of respiratory function (forced vital capacity and the maximum voluntary ventilation)</w:t>
      </w:r>
      <w:r w:rsidR="005774D1" w:rsidRPr="000756DF">
        <w:rPr>
          <w:rFonts w:eastAsiaTheme="majorEastAsia"/>
        </w:rPr>
        <w:t>.</w:t>
      </w:r>
    </w:p>
    <w:p w:rsidR="000756DF" w:rsidRPr="000756DF" w:rsidRDefault="000756DF" w:rsidP="00EC5DFF">
      <w:pPr>
        <w:pStyle w:val="Heading5"/>
      </w:pPr>
      <w:r w:rsidRPr="000756DF">
        <w:t>Primary effectiveness</w:t>
      </w:r>
    </w:p>
    <w:p w:rsidR="000756DF" w:rsidRPr="00EC5DFF" w:rsidRDefault="000756DF" w:rsidP="00EC5DFF">
      <w:pPr>
        <w:pStyle w:val="Heading5"/>
      </w:pPr>
      <w:r w:rsidRPr="00EC5DFF">
        <w:t xml:space="preserve">Survival </w:t>
      </w:r>
    </w:p>
    <w:p w:rsidR="000756DF" w:rsidRPr="000756DF" w:rsidRDefault="000756DF" w:rsidP="0052627A">
      <w:pPr>
        <w:spacing w:after="480"/>
      </w:pPr>
      <w:r w:rsidRPr="000756DF">
        <w:t>There was no comparison of survival between patients randomised to galsulfase or placebo. No deaths were reported in either group.</w:t>
      </w:r>
    </w:p>
    <w:p w:rsidR="000756DF" w:rsidRPr="000756DF" w:rsidRDefault="000756DF" w:rsidP="00EC5DFF">
      <w:pPr>
        <w:pStyle w:val="Heading5"/>
      </w:pPr>
      <w:r w:rsidRPr="000756DF">
        <w:t>Secondary effectiveness</w:t>
      </w:r>
    </w:p>
    <w:p w:rsidR="000756DF" w:rsidRPr="000756DF" w:rsidRDefault="000756DF" w:rsidP="00EC5DFF">
      <w:pPr>
        <w:pStyle w:val="Heading5"/>
      </w:pPr>
      <w:r w:rsidRPr="000756DF">
        <w:t>Endurance</w:t>
      </w:r>
    </w:p>
    <w:p w:rsidR="00942F7C" w:rsidRDefault="007423F0" w:rsidP="000756DF">
      <w:r w:rsidRPr="000756DF">
        <w:t xml:space="preserve">A comparison of </w:t>
      </w:r>
      <w:r>
        <w:t xml:space="preserve">functional </w:t>
      </w:r>
      <w:r w:rsidRPr="000756DF">
        <w:t xml:space="preserve">endurance between </w:t>
      </w:r>
      <w:r>
        <w:t xml:space="preserve">patients in the </w:t>
      </w:r>
      <w:r w:rsidRPr="000756DF">
        <w:t xml:space="preserve">galsulfase and placebo groups was measured with 12MWT </w:t>
      </w:r>
      <w:r>
        <w:t>(</w:t>
      </w:r>
      <w:r w:rsidR="00A72B26" w:rsidRPr="003913B1">
        <w:t xml:space="preserve">Table </w:t>
      </w:r>
      <w:r w:rsidR="00A72B26">
        <w:rPr>
          <w:noProof/>
        </w:rPr>
        <w:t>106</w:t>
      </w:r>
      <w:r>
        <w:t>)</w:t>
      </w:r>
      <w:r w:rsidR="000756DF" w:rsidRPr="000756DF">
        <w:t xml:space="preserve">. </w:t>
      </w:r>
      <w:r w:rsidR="00745FA8">
        <w:t>Despite randomisation, t</w:t>
      </w:r>
      <w:r w:rsidR="00C54D82">
        <w:t>he</w:t>
      </w:r>
      <w:r w:rsidR="000756DF" w:rsidRPr="000756DF">
        <w:t xml:space="preserve"> difference between groups at baseline was statistically significant, with the placebo group able to walk the further distance (227 ± 170 versus 381 ± 202 m, p</w:t>
      </w:r>
      <w:r w:rsidR="00652355" w:rsidRPr="00652355">
        <w:rPr>
          <w:spacing w:val="-20"/>
        </w:rPr>
        <w:t xml:space="preserve"> = </w:t>
      </w:r>
      <w:r w:rsidR="000756DF" w:rsidRPr="000756DF">
        <w:t>0.014)</w:t>
      </w:r>
      <w:r w:rsidR="00561245">
        <w:t xml:space="preserve"> </w:t>
      </w:r>
      <w:r w:rsidR="00561245">
        <w:rPr>
          <w:rFonts w:eastAsiaTheme="majorEastAsia"/>
          <w:noProof/>
        </w:rPr>
        <w:t>(Harmatz et al. 2006)</w:t>
      </w:r>
      <w:r w:rsidR="000756DF" w:rsidRPr="000756DF">
        <w:t xml:space="preserve">. </w:t>
      </w:r>
      <w:r w:rsidR="00373F52">
        <w:t>W</w:t>
      </w:r>
      <w:r w:rsidRPr="000756DF">
        <w:t>hen the change in 12MWT at week 24 was compared between groups</w:t>
      </w:r>
      <w:r w:rsidR="00A91640">
        <w:t xml:space="preserve"> using a longitudinal </w:t>
      </w:r>
      <w:r w:rsidR="00A91640">
        <w:lastRenderedPageBreak/>
        <w:t xml:space="preserve">analysis, with the covariates of baseline values and site, the </w:t>
      </w:r>
      <w:r w:rsidR="00745FA8">
        <w:t xml:space="preserve">estimated </w:t>
      </w:r>
      <w:r w:rsidR="00A91640">
        <w:t>difference between groups was 92 metres in favour of galsulfase</w:t>
      </w:r>
      <w:r w:rsidRPr="000756DF">
        <w:t xml:space="preserve"> </w:t>
      </w:r>
      <w:r w:rsidR="00A91640">
        <w:t xml:space="preserve">(GRADE </w:t>
      </w:r>
      <w:r w:rsidR="00A91640" w:rsidRPr="00D4733A">
        <w:rPr>
          <w:rFonts w:ascii="Cambria Math" w:hAnsi="Cambria Math"/>
          <w:color w:val="00B050"/>
        </w:rPr>
        <w:t>⨁⨁</w:t>
      </w:r>
      <w:r w:rsidR="00A91640" w:rsidRPr="00D4733A">
        <w:rPr>
          <w:rFonts w:ascii="Cambria Math" w:hAnsi="Cambria Math"/>
          <w:color w:val="C00000"/>
        </w:rPr>
        <w:t>⨀⨀</w:t>
      </w:r>
      <w:r w:rsidR="00A91640" w:rsidRPr="00D67ADB">
        <w:rPr>
          <w:spacing w:val="-20"/>
        </w:rPr>
        <w:t>)</w:t>
      </w:r>
      <w:r w:rsidR="00A91640" w:rsidRPr="000756DF">
        <w:t>.</w:t>
      </w:r>
      <w:r w:rsidRPr="000756DF">
        <w:t xml:space="preserve"> </w:t>
      </w:r>
      <w:r w:rsidR="00A91640">
        <w:t xml:space="preserve"> </w:t>
      </w:r>
    </w:p>
    <w:p w:rsidR="000756DF" w:rsidRPr="000756DF" w:rsidRDefault="00A91640" w:rsidP="000756DF">
      <w:r>
        <w:t xml:space="preserve">Between 24 and 48 weeks, those who received placebo in the first 24 weeks increased the number of metres walked by a larger amount than those </w:t>
      </w:r>
      <w:r w:rsidR="002D4C11">
        <w:t>who had received galsulfase in the first 24 weeks (</w:t>
      </w:r>
      <w:r w:rsidR="00A72B26" w:rsidRPr="003913B1">
        <w:t xml:space="preserve">Table </w:t>
      </w:r>
      <w:r w:rsidR="00A72B26">
        <w:rPr>
          <w:noProof/>
        </w:rPr>
        <w:t>107</w:t>
      </w:r>
      <w:r w:rsidR="002D4C11">
        <w:t>).</w:t>
      </w:r>
    </w:p>
    <w:p w:rsidR="000756DF" w:rsidRPr="003913B1" w:rsidRDefault="000756DF" w:rsidP="00F44176">
      <w:pPr>
        <w:pStyle w:val="Caption"/>
        <w:keepNext/>
        <w:tabs>
          <w:tab w:val="clear" w:pos="851"/>
          <w:tab w:val="left" w:pos="1134"/>
        </w:tabs>
        <w:ind w:left="1134" w:hanging="1134"/>
      </w:pPr>
      <w:bookmarkStart w:id="407" w:name="_Ref404180136"/>
      <w:bookmarkStart w:id="408" w:name="_Toc411510473"/>
      <w:bookmarkStart w:id="409" w:name="_Toc415141903"/>
      <w:r w:rsidRPr="003913B1">
        <w:t xml:space="preserve">Table </w:t>
      </w:r>
      <w:r w:rsidR="00A72B26">
        <w:rPr>
          <w:noProof/>
        </w:rPr>
        <w:t>106</w:t>
      </w:r>
      <w:bookmarkEnd w:id="407"/>
      <w:r w:rsidRPr="003913B1">
        <w:t xml:space="preserve"> </w:t>
      </w:r>
      <w:r w:rsidR="003913B1">
        <w:tab/>
      </w:r>
      <w:r w:rsidRPr="003913B1">
        <w:t>Distance walked in a 12 minute walk test for MPS VI patients randomised to either galsulfase or placebo</w:t>
      </w:r>
      <w:bookmarkEnd w:id="408"/>
      <w:r w:rsidR="00535332">
        <w:t xml:space="preserve"> </w:t>
      </w:r>
      <w:r w:rsidR="00535332">
        <w:rPr>
          <w:rFonts w:eastAsiaTheme="majorEastAsia"/>
          <w:noProof/>
        </w:rPr>
        <w:t>(Harmatz et al. 2006)</w:t>
      </w:r>
      <w:bookmarkEnd w:id="409"/>
    </w:p>
    <w:tbl>
      <w:tblPr>
        <w:tblStyle w:val="TableGrid"/>
        <w:tblW w:w="4890" w:type="pct"/>
        <w:tblLook w:val="04A0" w:firstRow="1" w:lastRow="0" w:firstColumn="1" w:lastColumn="0" w:noHBand="0" w:noVBand="1"/>
        <w:tblCaption w:val="Table 75  Distance walked in a 12 minute walk test for MPS VI patients randomised to either galsulfase or placebo (El Dib, Regina P. &amp; Pastores 2009)"/>
      </w:tblPr>
      <w:tblGrid>
        <w:gridCol w:w="2948"/>
        <w:gridCol w:w="2031"/>
        <w:gridCol w:w="2030"/>
        <w:gridCol w:w="2030"/>
      </w:tblGrid>
      <w:tr w:rsidR="000571E4" w:rsidRPr="00E44932" w:rsidTr="008A4753">
        <w:trPr>
          <w:tblHeader/>
        </w:trPr>
        <w:tc>
          <w:tcPr>
            <w:tcW w:w="1630" w:type="pct"/>
          </w:tcPr>
          <w:p w:rsidR="000571E4" w:rsidRPr="00E44932" w:rsidRDefault="000571E4" w:rsidP="000B7D07">
            <w:pPr>
              <w:pStyle w:val="TableHeading"/>
            </w:pPr>
            <w:r w:rsidRPr="000756DF">
              <w:t>Time point</w:t>
            </w:r>
          </w:p>
        </w:tc>
        <w:tc>
          <w:tcPr>
            <w:tcW w:w="1123" w:type="pct"/>
          </w:tcPr>
          <w:p w:rsidR="000571E4" w:rsidRPr="000756DF" w:rsidRDefault="000571E4" w:rsidP="00E86315">
            <w:pPr>
              <w:pStyle w:val="TableHeading"/>
            </w:pPr>
            <w:r w:rsidRPr="000756DF">
              <w:t xml:space="preserve">Galsulfase </w:t>
            </w:r>
          </w:p>
          <w:p w:rsidR="000571E4" w:rsidRPr="00E44932" w:rsidRDefault="000571E4" w:rsidP="0068048E">
            <w:pPr>
              <w:pStyle w:val="TableHeading"/>
            </w:pPr>
            <w:r w:rsidRPr="000756DF">
              <w:t xml:space="preserve">Mean </w:t>
            </w:r>
            <w:r>
              <w:t xml:space="preserve">± </w:t>
            </w:r>
            <w:r w:rsidRPr="000756DF">
              <w:t>SD</w:t>
            </w:r>
          </w:p>
        </w:tc>
        <w:tc>
          <w:tcPr>
            <w:tcW w:w="1123" w:type="pct"/>
          </w:tcPr>
          <w:p w:rsidR="000571E4" w:rsidRPr="000756DF" w:rsidRDefault="000571E4" w:rsidP="0068048E">
            <w:pPr>
              <w:pStyle w:val="TableHeading"/>
            </w:pPr>
            <w:r w:rsidRPr="000756DF">
              <w:t>Placebo</w:t>
            </w:r>
          </w:p>
          <w:p w:rsidR="000571E4" w:rsidRPr="00E44932" w:rsidRDefault="000571E4" w:rsidP="008C0632">
            <w:pPr>
              <w:pStyle w:val="TableHeading"/>
            </w:pPr>
            <w:r w:rsidRPr="000756DF">
              <w:t xml:space="preserve">Mean </w:t>
            </w:r>
            <w:r>
              <w:t xml:space="preserve">± </w:t>
            </w:r>
            <w:r w:rsidRPr="000756DF">
              <w:t>SD</w:t>
            </w:r>
          </w:p>
        </w:tc>
        <w:tc>
          <w:tcPr>
            <w:tcW w:w="1123" w:type="pct"/>
          </w:tcPr>
          <w:p w:rsidR="000571E4" w:rsidRDefault="000571E4" w:rsidP="000D19DA">
            <w:pPr>
              <w:pStyle w:val="TableHeading"/>
            </w:pPr>
            <w:r>
              <w:t xml:space="preserve">Estimated </w:t>
            </w:r>
            <w:r w:rsidR="008A4753">
              <w:t xml:space="preserve">mean </w:t>
            </w:r>
            <w:r>
              <w:t>difference (95%CI )</w:t>
            </w:r>
          </w:p>
          <w:p w:rsidR="000571E4" w:rsidRPr="00E44932" w:rsidRDefault="000571E4" w:rsidP="002A5C27">
            <w:pPr>
              <w:pStyle w:val="TableHeading"/>
            </w:pPr>
            <w:r>
              <w:t>p-value</w:t>
            </w:r>
          </w:p>
        </w:tc>
      </w:tr>
      <w:tr w:rsidR="000571E4" w:rsidRPr="00B228E4" w:rsidTr="008A4753">
        <w:tc>
          <w:tcPr>
            <w:tcW w:w="1630" w:type="pct"/>
          </w:tcPr>
          <w:p w:rsidR="000571E4" w:rsidRPr="00B228E4" w:rsidRDefault="000571E4" w:rsidP="00B228E4">
            <w:pPr>
              <w:pStyle w:val="TableText0"/>
            </w:pPr>
            <w:r w:rsidRPr="00B228E4">
              <w:t>Baseline</w:t>
            </w:r>
          </w:p>
        </w:tc>
        <w:tc>
          <w:tcPr>
            <w:tcW w:w="1123" w:type="pct"/>
          </w:tcPr>
          <w:p w:rsidR="000571E4" w:rsidRPr="00B228E4" w:rsidRDefault="000571E4" w:rsidP="00B228E4">
            <w:pPr>
              <w:pStyle w:val="TableText0"/>
            </w:pPr>
            <w:r w:rsidRPr="00B228E4">
              <w:t>227 ±170</w:t>
            </w:r>
          </w:p>
        </w:tc>
        <w:tc>
          <w:tcPr>
            <w:tcW w:w="1123" w:type="pct"/>
          </w:tcPr>
          <w:p w:rsidR="000571E4" w:rsidRPr="00B228E4" w:rsidRDefault="000571E4" w:rsidP="00B228E4">
            <w:pPr>
              <w:pStyle w:val="TableText0"/>
            </w:pPr>
            <w:r w:rsidRPr="00B228E4">
              <w:t>381 ± 202</w:t>
            </w:r>
          </w:p>
        </w:tc>
        <w:tc>
          <w:tcPr>
            <w:tcW w:w="1123" w:type="pct"/>
          </w:tcPr>
          <w:p w:rsidR="000571E4" w:rsidRPr="00B228E4" w:rsidRDefault="005E3B0A" w:rsidP="00B228E4">
            <w:pPr>
              <w:pStyle w:val="TableText0"/>
            </w:pPr>
            <w:r>
              <w:t>-</w:t>
            </w:r>
          </w:p>
        </w:tc>
      </w:tr>
      <w:tr w:rsidR="000571E4" w:rsidRPr="00B228E4" w:rsidTr="008A4753">
        <w:tc>
          <w:tcPr>
            <w:tcW w:w="1630" w:type="pct"/>
          </w:tcPr>
          <w:p w:rsidR="000571E4" w:rsidRPr="00B228E4" w:rsidRDefault="000571E4" w:rsidP="00B228E4">
            <w:pPr>
              <w:pStyle w:val="TableText0"/>
            </w:pPr>
            <w:r w:rsidRPr="00B228E4">
              <w:t>Week 24</w:t>
            </w:r>
          </w:p>
        </w:tc>
        <w:tc>
          <w:tcPr>
            <w:tcW w:w="1123" w:type="pct"/>
          </w:tcPr>
          <w:p w:rsidR="000571E4" w:rsidRPr="00B228E4" w:rsidRDefault="000571E4" w:rsidP="00B228E4">
            <w:pPr>
              <w:pStyle w:val="TableText0"/>
            </w:pPr>
            <w:r w:rsidRPr="00B228E4">
              <w:t>336 ± 227</w:t>
            </w:r>
          </w:p>
        </w:tc>
        <w:tc>
          <w:tcPr>
            <w:tcW w:w="1123" w:type="pct"/>
          </w:tcPr>
          <w:p w:rsidR="000571E4" w:rsidRPr="00B228E4" w:rsidRDefault="000571E4" w:rsidP="00B228E4">
            <w:pPr>
              <w:pStyle w:val="TableText0"/>
            </w:pPr>
            <w:r w:rsidRPr="00B228E4">
              <w:t>399 ± 217</w:t>
            </w:r>
          </w:p>
        </w:tc>
        <w:tc>
          <w:tcPr>
            <w:tcW w:w="1123" w:type="pct"/>
          </w:tcPr>
          <w:p w:rsidR="000571E4" w:rsidRPr="00B228E4" w:rsidRDefault="005E3B0A" w:rsidP="00B228E4">
            <w:pPr>
              <w:pStyle w:val="TableText0"/>
            </w:pPr>
            <w:r>
              <w:t>-</w:t>
            </w:r>
          </w:p>
        </w:tc>
      </w:tr>
      <w:tr w:rsidR="000571E4" w:rsidRPr="00B228E4" w:rsidTr="008A4753">
        <w:tc>
          <w:tcPr>
            <w:tcW w:w="1630" w:type="pct"/>
          </w:tcPr>
          <w:p w:rsidR="000571E4" w:rsidRPr="00B228E4" w:rsidRDefault="000571E4" w:rsidP="005E3B0A">
            <w:pPr>
              <w:pStyle w:val="TableText0"/>
            </w:pPr>
            <w:r w:rsidRPr="00B228E4">
              <w:t>Week 24-Baseline (</w:t>
            </w:r>
            <w:r w:rsidR="007E2CD2">
              <w:t xml:space="preserve">absolute </w:t>
            </w:r>
            <w:r w:rsidRPr="00B228E4">
              <w:t>change)</w:t>
            </w:r>
          </w:p>
        </w:tc>
        <w:tc>
          <w:tcPr>
            <w:tcW w:w="1123" w:type="pct"/>
          </w:tcPr>
          <w:p w:rsidR="000571E4" w:rsidRPr="00B228E4" w:rsidRDefault="000571E4" w:rsidP="00B228E4">
            <w:pPr>
              <w:pStyle w:val="TableText0"/>
            </w:pPr>
            <w:r w:rsidRPr="00B228E4">
              <w:t>109 ± 154</w:t>
            </w:r>
          </w:p>
        </w:tc>
        <w:tc>
          <w:tcPr>
            <w:tcW w:w="1123" w:type="pct"/>
          </w:tcPr>
          <w:p w:rsidR="000571E4" w:rsidRPr="00B228E4" w:rsidRDefault="000571E4" w:rsidP="00B228E4">
            <w:pPr>
              <w:pStyle w:val="TableText0"/>
            </w:pPr>
            <w:r w:rsidRPr="00B228E4">
              <w:t>26 ± 122</w:t>
            </w:r>
          </w:p>
        </w:tc>
        <w:tc>
          <w:tcPr>
            <w:tcW w:w="1123" w:type="pct"/>
          </w:tcPr>
          <w:p w:rsidR="000571E4" w:rsidRDefault="000571E4" w:rsidP="000D19DA">
            <w:pPr>
              <w:pStyle w:val="TableText0"/>
            </w:pPr>
            <w:r>
              <w:t>92 (11, 172)</w:t>
            </w:r>
          </w:p>
          <w:p w:rsidR="000571E4" w:rsidRPr="00B228E4" w:rsidRDefault="000571E4" w:rsidP="00B228E4">
            <w:pPr>
              <w:pStyle w:val="TableText0"/>
            </w:pPr>
            <w:r>
              <w:t>p = 0.025</w:t>
            </w:r>
          </w:p>
        </w:tc>
      </w:tr>
    </w:tbl>
    <w:p w:rsidR="000756DF" w:rsidRDefault="00EF7A3A" w:rsidP="0052627A">
      <w:pPr>
        <w:pStyle w:val="TableNote"/>
        <w:spacing w:after="480"/>
      </w:pPr>
      <w:r>
        <w:t>SD</w:t>
      </w:r>
      <w:r w:rsidR="00652355" w:rsidRPr="00652355">
        <w:rPr>
          <w:spacing w:val="-20"/>
        </w:rPr>
        <w:t xml:space="preserve"> </w:t>
      </w:r>
      <w:r w:rsidR="001B4E29" w:rsidRPr="00652355">
        <w:rPr>
          <w:spacing w:val="-20"/>
        </w:rPr>
        <w:t xml:space="preserve">= </w:t>
      </w:r>
      <w:r w:rsidR="001B4E29">
        <w:t>standard</w:t>
      </w:r>
      <w:r w:rsidR="000571E4">
        <w:t xml:space="preserve"> deviation</w:t>
      </w:r>
    </w:p>
    <w:p w:rsidR="00561245" w:rsidRPr="003913B1" w:rsidRDefault="00561245" w:rsidP="00561245">
      <w:pPr>
        <w:pStyle w:val="Caption"/>
        <w:keepNext/>
        <w:tabs>
          <w:tab w:val="clear" w:pos="851"/>
          <w:tab w:val="left" w:pos="1134"/>
        </w:tabs>
        <w:ind w:left="1134" w:hanging="1134"/>
      </w:pPr>
      <w:bookmarkStart w:id="410" w:name="_Ref415140581"/>
      <w:bookmarkStart w:id="411" w:name="_Toc415141904"/>
      <w:r w:rsidRPr="003913B1">
        <w:t xml:space="preserve">Table </w:t>
      </w:r>
      <w:r w:rsidR="00A72B26">
        <w:rPr>
          <w:noProof/>
        </w:rPr>
        <w:t>107</w:t>
      </w:r>
      <w:bookmarkEnd w:id="410"/>
      <w:r w:rsidRPr="003913B1">
        <w:t xml:space="preserve"> </w:t>
      </w:r>
      <w:r>
        <w:tab/>
      </w:r>
      <w:r w:rsidRPr="003913B1">
        <w:t xml:space="preserve">Distance walked in a 12 minute walk test for MPS VI patients </w:t>
      </w:r>
      <w:r w:rsidR="00290090">
        <w:t xml:space="preserve">receiving galsulfase in </w:t>
      </w:r>
      <w:r w:rsidR="001B3162">
        <w:t xml:space="preserve">the </w:t>
      </w:r>
      <w:r w:rsidR="00290090">
        <w:t>extension study</w:t>
      </w:r>
      <w:r w:rsidRPr="003913B1">
        <w:t xml:space="preserve"> </w:t>
      </w:r>
      <w:r w:rsidR="00535332">
        <w:rPr>
          <w:rFonts w:eastAsiaTheme="majorEastAsia"/>
          <w:noProof/>
        </w:rPr>
        <w:t>(Harmatz et al. 2006)</w:t>
      </w:r>
      <w:bookmarkEnd w:id="411"/>
    </w:p>
    <w:tbl>
      <w:tblPr>
        <w:tblStyle w:val="TableGrid"/>
        <w:tblW w:w="4890" w:type="pct"/>
        <w:tblLook w:val="04A0" w:firstRow="1" w:lastRow="0" w:firstColumn="1" w:lastColumn="0" w:noHBand="0" w:noVBand="1"/>
        <w:tblDescription w:val="Distance walked in a 12 minute walk test for MPS VI patients receiving galsulfase in extension study "/>
      </w:tblPr>
      <w:tblGrid>
        <w:gridCol w:w="2947"/>
        <w:gridCol w:w="2831"/>
        <w:gridCol w:w="3261"/>
      </w:tblGrid>
      <w:tr w:rsidR="00373F52" w:rsidRPr="00E44932" w:rsidTr="00373F52">
        <w:trPr>
          <w:tblHeader/>
        </w:trPr>
        <w:tc>
          <w:tcPr>
            <w:tcW w:w="1630" w:type="pct"/>
          </w:tcPr>
          <w:p w:rsidR="00373F52" w:rsidRPr="00E44932" w:rsidRDefault="00373F52" w:rsidP="000D19DA">
            <w:pPr>
              <w:pStyle w:val="TableHeading"/>
            </w:pPr>
            <w:r w:rsidRPr="000756DF">
              <w:t>Time point</w:t>
            </w:r>
          </w:p>
        </w:tc>
        <w:tc>
          <w:tcPr>
            <w:tcW w:w="1566" w:type="pct"/>
          </w:tcPr>
          <w:p w:rsidR="00373F52" w:rsidRPr="000756DF" w:rsidRDefault="00373F52" w:rsidP="00746AE7">
            <w:pPr>
              <w:pStyle w:val="TableHeading"/>
            </w:pPr>
            <w:r w:rsidRPr="000756DF">
              <w:t>Galsulfase</w:t>
            </w:r>
            <w:r>
              <w:t>/ galsulfase</w:t>
            </w:r>
          </w:p>
          <w:p w:rsidR="00373F52" w:rsidRPr="00E44932" w:rsidRDefault="00373F52" w:rsidP="000D19DA">
            <w:pPr>
              <w:pStyle w:val="TableHeading"/>
            </w:pPr>
            <w:r w:rsidRPr="000756DF">
              <w:t xml:space="preserve">Mean </w:t>
            </w:r>
            <w:r>
              <w:t xml:space="preserve">± </w:t>
            </w:r>
            <w:r w:rsidRPr="000756DF">
              <w:t>SD</w:t>
            </w:r>
          </w:p>
        </w:tc>
        <w:tc>
          <w:tcPr>
            <w:tcW w:w="1804" w:type="pct"/>
          </w:tcPr>
          <w:p w:rsidR="00373F52" w:rsidRDefault="00373F52" w:rsidP="00746AE7">
            <w:pPr>
              <w:pStyle w:val="TableHeading"/>
            </w:pPr>
            <w:r>
              <w:t>Placebo/ galsulfase</w:t>
            </w:r>
          </w:p>
          <w:p w:rsidR="00373F52" w:rsidRPr="00E44932" w:rsidRDefault="00373F52" w:rsidP="000D19DA">
            <w:pPr>
              <w:pStyle w:val="TableHeading"/>
            </w:pPr>
            <w:r w:rsidRPr="000756DF">
              <w:t xml:space="preserve">Mean </w:t>
            </w:r>
            <w:r>
              <w:t xml:space="preserve">± </w:t>
            </w:r>
            <w:r w:rsidRPr="000756DF">
              <w:t>SD</w:t>
            </w:r>
          </w:p>
        </w:tc>
      </w:tr>
      <w:tr w:rsidR="00373F52" w:rsidRPr="00B228E4" w:rsidTr="00373F52">
        <w:tc>
          <w:tcPr>
            <w:tcW w:w="1630" w:type="pct"/>
          </w:tcPr>
          <w:p w:rsidR="00373F52" w:rsidRPr="00B228E4" w:rsidRDefault="00373F52" w:rsidP="000D19DA">
            <w:pPr>
              <w:pStyle w:val="TableText0"/>
            </w:pPr>
            <w:r w:rsidRPr="00B228E4">
              <w:t>Week 24</w:t>
            </w:r>
          </w:p>
        </w:tc>
        <w:tc>
          <w:tcPr>
            <w:tcW w:w="1566" w:type="pct"/>
          </w:tcPr>
          <w:p w:rsidR="00373F52" w:rsidRPr="00B228E4" w:rsidRDefault="00373F52" w:rsidP="000D19DA">
            <w:pPr>
              <w:pStyle w:val="TableText0"/>
            </w:pPr>
            <w:r w:rsidRPr="00B228E4">
              <w:t>336 ± 227</w:t>
            </w:r>
          </w:p>
        </w:tc>
        <w:tc>
          <w:tcPr>
            <w:tcW w:w="1804" w:type="pct"/>
          </w:tcPr>
          <w:p w:rsidR="00373F52" w:rsidRPr="00B228E4" w:rsidRDefault="00373F52" w:rsidP="000D19DA">
            <w:pPr>
              <w:pStyle w:val="TableText0"/>
            </w:pPr>
            <w:r w:rsidRPr="00B228E4">
              <w:t>399 ± 217</w:t>
            </w:r>
          </w:p>
        </w:tc>
      </w:tr>
      <w:tr w:rsidR="00373F52" w:rsidRPr="00B228E4" w:rsidTr="00373F52">
        <w:tc>
          <w:tcPr>
            <w:tcW w:w="1630" w:type="pct"/>
          </w:tcPr>
          <w:p w:rsidR="00373F52" w:rsidRPr="00B228E4" w:rsidRDefault="00373F52" w:rsidP="000D19DA">
            <w:pPr>
              <w:pStyle w:val="TableText0"/>
            </w:pPr>
            <w:r w:rsidRPr="00B228E4">
              <w:t>Week 48</w:t>
            </w:r>
          </w:p>
        </w:tc>
        <w:tc>
          <w:tcPr>
            <w:tcW w:w="1566" w:type="pct"/>
          </w:tcPr>
          <w:p w:rsidR="00373F52" w:rsidRPr="00B228E4" w:rsidRDefault="00373F52" w:rsidP="000D19DA">
            <w:pPr>
              <w:pStyle w:val="TableText0"/>
            </w:pPr>
            <w:r w:rsidRPr="00B228E4">
              <w:t>372 ± 240</w:t>
            </w:r>
          </w:p>
        </w:tc>
        <w:tc>
          <w:tcPr>
            <w:tcW w:w="1804" w:type="pct"/>
          </w:tcPr>
          <w:p w:rsidR="00373F52" w:rsidRPr="00B228E4" w:rsidRDefault="00373F52" w:rsidP="000D19DA">
            <w:pPr>
              <w:pStyle w:val="TableText0"/>
            </w:pPr>
            <w:r w:rsidRPr="00B228E4">
              <w:t>482 ± 206</w:t>
            </w:r>
          </w:p>
        </w:tc>
      </w:tr>
      <w:tr w:rsidR="00373F52" w:rsidRPr="00B228E4" w:rsidTr="00373F52">
        <w:tc>
          <w:tcPr>
            <w:tcW w:w="1630" w:type="pct"/>
          </w:tcPr>
          <w:p w:rsidR="00373F52" w:rsidRPr="00B228E4" w:rsidRDefault="00373F52" w:rsidP="000D19DA">
            <w:pPr>
              <w:pStyle w:val="TableText0"/>
            </w:pPr>
            <w:r w:rsidRPr="00B228E4">
              <w:t>Week 48-Week 24 (absolute change)</w:t>
            </w:r>
          </w:p>
        </w:tc>
        <w:tc>
          <w:tcPr>
            <w:tcW w:w="1566" w:type="pct"/>
          </w:tcPr>
          <w:p w:rsidR="00373F52" w:rsidRPr="00B228E4" w:rsidRDefault="00373F52" w:rsidP="000D19DA">
            <w:pPr>
              <w:pStyle w:val="TableText0"/>
            </w:pPr>
            <w:r w:rsidRPr="00B228E4">
              <w:t>36 ± 97</w:t>
            </w:r>
          </w:p>
        </w:tc>
        <w:tc>
          <w:tcPr>
            <w:tcW w:w="1804" w:type="pct"/>
          </w:tcPr>
          <w:p w:rsidR="00373F52" w:rsidRPr="00B228E4" w:rsidRDefault="00373F52" w:rsidP="000D19DA">
            <w:pPr>
              <w:pStyle w:val="TableText0"/>
            </w:pPr>
            <w:r w:rsidRPr="00B228E4">
              <w:t>66 ± 133</w:t>
            </w:r>
          </w:p>
        </w:tc>
      </w:tr>
    </w:tbl>
    <w:p w:rsidR="00561245" w:rsidRPr="000756DF" w:rsidRDefault="00561245" w:rsidP="0052627A">
      <w:pPr>
        <w:pStyle w:val="TableNote"/>
        <w:spacing w:after="480"/>
      </w:pPr>
    </w:p>
    <w:p w:rsidR="000756DF" w:rsidRDefault="007423F0" w:rsidP="007423F0">
      <w:r w:rsidRPr="000756DF">
        <w:t>A</w:t>
      </w:r>
      <w:r w:rsidR="00746AE7">
        <w:t>nother secondary</w:t>
      </w:r>
      <w:r w:rsidRPr="000756DF">
        <w:t xml:space="preserve"> measure of efficacy in the RCT was the 3MSC, with results paralleling those for 12MWT. There was </w:t>
      </w:r>
      <w:r w:rsidR="00A17244">
        <w:t>a trend towards a statistically</w:t>
      </w:r>
      <w:r w:rsidRPr="000756DF">
        <w:t xml:space="preserve"> significant difference between groups in stairs climbed in 3 minutes at 24 weeks</w:t>
      </w:r>
      <w:r w:rsidR="00746AE7">
        <w:t xml:space="preserve"> </w:t>
      </w:r>
      <w:r w:rsidR="00A17244">
        <w:t>(p = 0.53)</w:t>
      </w:r>
      <w:r w:rsidR="003B48A2">
        <w:t>, favouring galsulfase</w:t>
      </w:r>
      <w:r w:rsidRPr="000756DF">
        <w:t xml:space="preserve">. </w:t>
      </w:r>
      <w:r w:rsidR="00E44932">
        <w:t>(</w:t>
      </w:r>
      <w:r w:rsidR="00A72B26" w:rsidRPr="003913B1">
        <w:t xml:space="preserve">Table </w:t>
      </w:r>
      <w:r w:rsidR="00A72B26">
        <w:rPr>
          <w:noProof/>
        </w:rPr>
        <w:t>108</w:t>
      </w:r>
      <w:r w:rsidR="00E44932">
        <w:t>)</w:t>
      </w:r>
      <w:r w:rsidR="00746AE7">
        <w:t xml:space="preserve"> </w:t>
      </w:r>
      <w:proofErr w:type="gramStart"/>
      <w:r w:rsidR="008875F8">
        <w:t xml:space="preserve">(GRADE </w:t>
      </w:r>
      <w:r w:rsidR="00D4733A" w:rsidRPr="00D4733A">
        <w:rPr>
          <w:rFonts w:ascii="Cambria Math" w:hAnsi="Cambria Math"/>
          <w:color w:val="00B050"/>
        </w:rPr>
        <w:t>⨁⨁</w:t>
      </w:r>
      <w:r w:rsidR="00D4733A" w:rsidRPr="00D4733A">
        <w:rPr>
          <w:rFonts w:ascii="Cambria Math" w:hAnsi="Cambria Math"/>
          <w:color w:val="C00000"/>
        </w:rPr>
        <w:t>⨀⨀</w:t>
      </w:r>
      <w:r w:rsidR="00D67ADB" w:rsidRPr="00D67ADB">
        <w:rPr>
          <w:spacing w:val="-20"/>
        </w:rPr>
        <w:t>)</w:t>
      </w:r>
      <w:r w:rsidR="000756DF" w:rsidRPr="000756DF">
        <w:t>.</w:t>
      </w:r>
      <w:proofErr w:type="gramEnd"/>
      <w:r w:rsidR="00D976D5">
        <w:t xml:space="preserve"> </w:t>
      </w:r>
      <w:r w:rsidR="003E187D">
        <w:t xml:space="preserve">In the open-label study between weeks 24 and 48, patients continued to increase the number of stairs they were able to climb within 3 minutes, </w:t>
      </w:r>
      <w:r w:rsidR="003B48A2">
        <w:t>with</w:t>
      </w:r>
      <w:r w:rsidR="003E187D">
        <w:t xml:space="preserve"> the greatest increase seen in those </w:t>
      </w:r>
      <w:r w:rsidR="002F73FB">
        <w:t>newly treated with galsulfase</w:t>
      </w:r>
      <w:r w:rsidR="003B68C7">
        <w:t xml:space="preserve"> </w:t>
      </w:r>
      <w:r w:rsidR="002F73FB">
        <w:t>(</w:t>
      </w:r>
      <w:r w:rsidR="00A72B26" w:rsidRPr="003913B1">
        <w:t xml:space="preserve">Table </w:t>
      </w:r>
      <w:r w:rsidR="00A72B26">
        <w:rPr>
          <w:noProof/>
        </w:rPr>
        <w:t>109</w:t>
      </w:r>
      <w:r w:rsidR="002F73FB">
        <w:t xml:space="preserve">). </w:t>
      </w:r>
    </w:p>
    <w:p w:rsidR="00561245" w:rsidRPr="000756DF" w:rsidRDefault="00561245" w:rsidP="007423F0"/>
    <w:p w:rsidR="000756DF" w:rsidRPr="003913B1" w:rsidRDefault="000756DF" w:rsidP="00F44176">
      <w:pPr>
        <w:pStyle w:val="Caption"/>
        <w:keepNext/>
        <w:tabs>
          <w:tab w:val="clear" w:pos="851"/>
          <w:tab w:val="left" w:pos="1134"/>
        </w:tabs>
        <w:ind w:left="1134" w:hanging="1134"/>
      </w:pPr>
      <w:bookmarkStart w:id="412" w:name="_Ref405715668"/>
      <w:bookmarkStart w:id="413" w:name="_Toc411510474"/>
      <w:bookmarkStart w:id="414" w:name="_Toc415141905"/>
      <w:r w:rsidRPr="003913B1">
        <w:lastRenderedPageBreak/>
        <w:t xml:space="preserve">Table </w:t>
      </w:r>
      <w:r w:rsidR="00A72B26">
        <w:rPr>
          <w:noProof/>
        </w:rPr>
        <w:t>108</w:t>
      </w:r>
      <w:bookmarkEnd w:id="412"/>
      <w:r w:rsidRPr="003913B1">
        <w:t xml:space="preserve"> </w:t>
      </w:r>
      <w:r w:rsidR="003913B1">
        <w:tab/>
      </w:r>
      <w:r w:rsidRPr="003913B1">
        <w:t>Comparison of 3</w:t>
      </w:r>
      <w:r w:rsidR="00E44932">
        <w:t xml:space="preserve"> </w:t>
      </w:r>
      <w:r w:rsidRPr="003913B1">
        <w:t xml:space="preserve">minute stair climb for MPS VI patients randomised to either galsulfase or placebo </w:t>
      </w:r>
      <w:bookmarkEnd w:id="413"/>
      <w:r w:rsidR="00612DC6">
        <w:rPr>
          <w:rFonts w:eastAsiaTheme="majorEastAsia"/>
          <w:noProof/>
        </w:rPr>
        <w:t>(Harmatz et al. 2006)</w:t>
      </w:r>
      <w:bookmarkEnd w:id="414"/>
    </w:p>
    <w:tbl>
      <w:tblPr>
        <w:tblStyle w:val="TableGrid"/>
        <w:tblW w:w="4903" w:type="pct"/>
        <w:tblLook w:val="04A0" w:firstRow="1" w:lastRow="0" w:firstColumn="1" w:lastColumn="0" w:noHBand="0" w:noVBand="1"/>
        <w:tblDescription w:val="Comparison of 3 minute stair climb for MPS VI patients randomised to either galsulfase or placebo "/>
      </w:tblPr>
      <w:tblGrid>
        <w:gridCol w:w="2948"/>
        <w:gridCol w:w="2038"/>
        <w:gridCol w:w="2038"/>
        <w:gridCol w:w="2039"/>
      </w:tblGrid>
      <w:tr w:rsidR="000F005A" w:rsidRPr="000756DF" w:rsidTr="000F005A">
        <w:tc>
          <w:tcPr>
            <w:tcW w:w="1626" w:type="pct"/>
          </w:tcPr>
          <w:p w:rsidR="000F005A" w:rsidRPr="000756DF" w:rsidRDefault="000F005A" w:rsidP="00E44932">
            <w:pPr>
              <w:pStyle w:val="TableHeading"/>
            </w:pPr>
            <w:r w:rsidRPr="000756DF">
              <w:t>Time point</w:t>
            </w:r>
          </w:p>
        </w:tc>
        <w:tc>
          <w:tcPr>
            <w:tcW w:w="1124" w:type="pct"/>
          </w:tcPr>
          <w:p w:rsidR="000F005A" w:rsidRPr="000756DF" w:rsidRDefault="000F005A" w:rsidP="000B7D07">
            <w:pPr>
              <w:pStyle w:val="TableHeading"/>
            </w:pPr>
            <w:r w:rsidRPr="000756DF">
              <w:t xml:space="preserve">Galsulfase </w:t>
            </w:r>
          </w:p>
          <w:p w:rsidR="000F005A" w:rsidRPr="000756DF" w:rsidRDefault="000F005A" w:rsidP="0068048E">
            <w:pPr>
              <w:pStyle w:val="TableHeading"/>
            </w:pPr>
            <w:r w:rsidRPr="000756DF">
              <w:t xml:space="preserve">Mean </w:t>
            </w:r>
            <w:r>
              <w:t xml:space="preserve">± </w:t>
            </w:r>
            <w:r w:rsidRPr="000756DF">
              <w:t>SD</w:t>
            </w:r>
          </w:p>
        </w:tc>
        <w:tc>
          <w:tcPr>
            <w:tcW w:w="1124" w:type="pct"/>
          </w:tcPr>
          <w:p w:rsidR="000F005A" w:rsidRPr="000756DF" w:rsidRDefault="000F005A" w:rsidP="0068048E">
            <w:pPr>
              <w:pStyle w:val="TableHeading"/>
            </w:pPr>
            <w:r w:rsidRPr="000756DF">
              <w:t>Placebo</w:t>
            </w:r>
          </w:p>
          <w:p w:rsidR="000F005A" w:rsidRPr="000756DF" w:rsidRDefault="000F005A" w:rsidP="0068048E">
            <w:pPr>
              <w:pStyle w:val="TableHeading"/>
            </w:pPr>
            <w:r w:rsidRPr="000756DF">
              <w:t xml:space="preserve">Mean </w:t>
            </w:r>
            <w:r>
              <w:t xml:space="preserve">± </w:t>
            </w:r>
            <w:r w:rsidRPr="000756DF">
              <w:t>SD</w:t>
            </w:r>
          </w:p>
        </w:tc>
        <w:tc>
          <w:tcPr>
            <w:tcW w:w="1125" w:type="pct"/>
          </w:tcPr>
          <w:p w:rsidR="000F005A" w:rsidRDefault="000F005A" w:rsidP="00B674AF">
            <w:pPr>
              <w:pStyle w:val="TableHeading"/>
            </w:pPr>
            <w:r>
              <w:t>Difference</w:t>
            </w:r>
          </w:p>
          <w:p w:rsidR="000F005A" w:rsidRPr="000756DF" w:rsidRDefault="000F005A" w:rsidP="00B674AF">
            <w:pPr>
              <w:pStyle w:val="TableHeading"/>
            </w:pPr>
            <w:r>
              <w:t>p-value</w:t>
            </w:r>
          </w:p>
        </w:tc>
      </w:tr>
      <w:tr w:rsidR="000F005A" w:rsidRPr="000756DF" w:rsidTr="000F005A">
        <w:tc>
          <w:tcPr>
            <w:tcW w:w="1626" w:type="pct"/>
          </w:tcPr>
          <w:p w:rsidR="000F005A" w:rsidRPr="00756E56" w:rsidRDefault="000F005A" w:rsidP="00E44932">
            <w:pPr>
              <w:pStyle w:val="TableHeading"/>
              <w:rPr>
                <w:b w:val="0"/>
              </w:rPr>
            </w:pPr>
            <w:r w:rsidRPr="00756E56">
              <w:rPr>
                <w:b w:val="0"/>
              </w:rPr>
              <w:t>Baseline</w:t>
            </w:r>
          </w:p>
        </w:tc>
        <w:tc>
          <w:tcPr>
            <w:tcW w:w="1124" w:type="pct"/>
          </w:tcPr>
          <w:p w:rsidR="000F005A" w:rsidRPr="00756E56" w:rsidRDefault="000F005A" w:rsidP="000B7D07">
            <w:pPr>
              <w:pStyle w:val="TableHeading"/>
              <w:rPr>
                <w:b w:val="0"/>
              </w:rPr>
            </w:pPr>
            <w:r>
              <w:rPr>
                <w:b w:val="0"/>
              </w:rPr>
              <w:t>19.4 ± 12.9</w:t>
            </w:r>
          </w:p>
        </w:tc>
        <w:tc>
          <w:tcPr>
            <w:tcW w:w="1124" w:type="pct"/>
          </w:tcPr>
          <w:p w:rsidR="000F005A" w:rsidRPr="00756E56" w:rsidRDefault="000F005A" w:rsidP="0068048E">
            <w:pPr>
              <w:pStyle w:val="TableHeading"/>
              <w:rPr>
                <w:b w:val="0"/>
              </w:rPr>
            </w:pPr>
            <w:r>
              <w:rPr>
                <w:b w:val="0"/>
              </w:rPr>
              <w:t>31.0 ± 18.1</w:t>
            </w:r>
          </w:p>
        </w:tc>
        <w:tc>
          <w:tcPr>
            <w:tcW w:w="1125" w:type="pct"/>
          </w:tcPr>
          <w:p w:rsidR="000F005A" w:rsidRPr="00756E56" w:rsidRDefault="000F005A" w:rsidP="00E44932">
            <w:pPr>
              <w:pStyle w:val="TableHeading"/>
              <w:rPr>
                <w:b w:val="0"/>
              </w:rPr>
            </w:pPr>
            <w:r>
              <w:rPr>
                <w:b w:val="0"/>
              </w:rPr>
              <w:t>-</w:t>
            </w:r>
          </w:p>
        </w:tc>
      </w:tr>
      <w:tr w:rsidR="000F005A" w:rsidRPr="000756DF" w:rsidTr="000F005A">
        <w:tc>
          <w:tcPr>
            <w:tcW w:w="1626" w:type="pct"/>
          </w:tcPr>
          <w:p w:rsidR="000F005A" w:rsidRPr="000756DF" w:rsidRDefault="000F005A" w:rsidP="00E44932">
            <w:pPr>
              <w:pStyle w:val="TableText0"/>
            </w:pPr>
            <w:r w:rsidRPr="000756DF">
              <w:t>Week 24</w:t>
            </w:r>
          </w:p>
        </w:tc>
        <w:tc>
          <w:tcPr>
            <w:tcW w:w="1124" w:type="pct"/>
          </w:tcPr>
          <w:p w:rsidR="000F005A" w:rsidRPr="000756DF" w:rsidRDefault="000F005A" w:rsidP="00A64D35">
            <w:pPr>
              <w:pStyle w:val="TableText0"/>
            </w:pPr>
            <w:r>
              <w:t>26.9</w:t>
            </w:r>
            <w:r w:rsidRPr="000756DF">
              <w:t xml:space="preserve"> </w:t>
            </w:r>
            <w:r>
              <w:t>± 16.8</w:t>
            </w:r>
          </w:p>
        </w:tc>
        <w:tc>
          <w:tcPr>
            <w:tcW w:w="1124" w:type="pct"/>
          </w:tcPr>
          <w:p w:rsidR="000F005A" w:rsidRPr="000756DF" w:rsidRDefault="000F005A" w:rsidP="00A64D35">
            <w:pPr>
              <w:pStyle w:val="TableText0"/>
            </w:pPr>
            <w:r>
              <w:t>32.6</w:t>
            </w:r>
            <w:r w:rsidRPr="000756DF">
              <w:t xml:space="preserve"> </w:t>
            </w:r>
            <w:r>
              <w:t>± 19.6</w:t>
            </w:r>
          </w:p>
        </w:tc>
        <w:tc>
          <w:tcPr>
            <w:tcW w:w="1125" w:type="pct"/>
          </w:tcPr>
          <w:p w:rsidR="000F005A" w:rsidRPr="000756DF" w:rsidRDefault="000F005A" w:rsidP="00E57DF8">
            <w:pPr>
              <w:pStyle w:val="TableText0"/>
            </w:pPr>
          </w:p>
        </w:tc>
      </w:tr>
      <w:tr w:rsidR="000F005A" w:rsidRPr="000756DF" w:rsidTr="000F005A">
        <w:tc>
          <w:tcPr>
            <w:tcW w:w="1626" w:type="pct"/>
          </w:tcPr>
          <w:p w:rsidR="000F005A" w:rsidRPr="000756DF" w:rsidRDefault="000F005A" w:rsidP="00E44932">
            <w:pPr>
              <w:pStyle w:val="TableText0"/>
            </w:pPr>
            <w:r w:rsidRPr="000756DF">
              <w:t>Week 24/Baseline (absolute change)</w:t>
            </w:r>
          </w:p>
        </w:tc>
        <w:tc>
          <w:tcPr>
            <w:tcW w:w="1124" w:type="pct"/>
          </w:tcPr>
          <w:p w:rsidR="000F005A" w:rsidRPr="000756DF" w:rsidRDefault="000F005A" w:rsidP="00A64D35">
            <w:pPr>
              <w:pStyle w:val="TableText0"/>
            </w:pPr>
            <w:r>
              <w:t>7.4</w:t>
            </w:r>
            <w:r w:rsidRPr="000756DF">
              <w:t xml:space="preserve"> </w:t>
            </w:r>
            <w:r>
              <w:t>± 9.9</w:t>
            </w:r>
          </w:p>
        </w:tc>
        <w:tc>
          <w:tcPr>
            <w:tcW w:w="1124" w:type="pct"/>
          </w:tcPr>
          <w:p w:rsidR="000F005A" w:rsidRPr="000756DF" w:rsidRDefault="000F005A" w:rsidP="00A64D35">
            <w:pPr>
              <w:pStyle w:val="TableText0"/>
            </w:pPr>
            <w:r>
              <w:t>2.7</w:t>
            </w:r>
            <w:r w:rsidRPr="000756DF">
              <w:t xml:space="preserve"> </w:t>
            </w:r>
            <w:r>
              <w:t>± 6.9</w:t>
            </w:r>
          </w:p>
        </w:tc>
        <w:tc>
          <w:tcPr>
            <w:tcW w:w="1125" w:type="pct"/>
          </w:tcPr>
          <w:p w:rsidR="000F005A" w:rsidRDefault="000F005A" w:rsidP="00E57DF8">
            <w:pPr>
              <w:pStyle w:val="TableText0"/>
            </w:pPr>
            <w:r>
              <w:t>5.7 ± 2.9</w:t>
            </w:r>
          </w:p>
          <w:p w:rsidR="000F005A" w:rsidRPr="000756DF" w:rsidRDefault="000F005A" w:rsidP="00E57DF8">
            <w:pPr>
              <w:pStyle w:val="TableText0"/>
            </w:pPr>
            <w:r>
              <w:t>p = 0.053</w:t>
            </w:r>
          </w:p>
        </w:tc>
      </w:tr>
    </w:tbl>
    <w:p w:rsidR="000756DF" w:rsidRDefault="001B4E29" w:rsidP="0052627A">
      <w:pPr>
        <w:pStyle w:val="TableNote"/>
        <w:spacing w:after="480"/>
      </w:pPr>
      <w:r>
        <w:t xml:space="preserve">SD </w:t>
      </w:r>
      <w:r w:rsidRPr="00652355">
        <w:rPr>
          <w:spacing w:val="-20"/>
        </w:rPr>
        <w:t xml:space="preserve">= </w:t>
      </w:r>
      <w:r>
        <w:t>standard</w:t>
      </w:r>
      <w:r w:rsidR="00583103">
        <w:t xml:space="preserve"> deviation</w:t>
      </w:r>
    </w:p>
    <w:p w:rsidR="00290090" w:rsidRPr="003913B1" w:rsidRDefault="00290090" w:rsidP="00290090">
      <w:pPr>
        <w:pStyle w:val="Caption"/>
        <w:keepNext/>
        <w:tabs>
          <w:tab w:val="clear" w:pos="851"/>
          <w:tab w:val="left" w:pos="1134"/>
        </w:tabs>
        <w:ind w:left="1134" w:hanging="1134"/>
      </w:pPr>
      <w:bookmarkStart w:id="415" w:name="_Ref415140143"/>
      <w:bookmarkStart w:id="416" w:name="_Toc415141906"/>
      <w:r w:rsidRPr="003913B1">
        <w:t xml:space="preserve">Table </w:t>
      </w:r>
      <w:r w:rsidR="00A72B26">
        <w:rPr>
          <w:noProof/>
        </w:rPr>
        <w:t>109</w:t>
      </w:r>
      <w:bookmarkEnd w:id="415"/>
      <w:r w:rsidRPr="003913B1">
        <w:t xml:space="preserve"> </w:t>
      </w:r>
      <w:r>
        <w:tab/>
      </w:r>
      <w:r w:rsidRPr="003913B1">
        <w:t>Comparison of 3</w:t>
      </w:r>
      <w:r>
        <w:t xml:space="preserve"> </w:t>
      </w:r>
      <w:r w:rsidRPr="003913B1">
        <w:t xml:space="preserve">minute stair climb for MPS VI patients </w:t>
      </w:r>
      <w:r>
        <w:t xml:space="preserve">receiving galsulfase in </w:t>
      </w:r>
      <w:r w:rsidR="001B3162">
        <w:t xml:space="preserve">the </w:t>
      </w:r>
      <w:r>
        <w:t>extension study</w:t>
      </w:r>
      <w:bookmarkEnd w:id="416"/>
      <w:r w:rsidR="00EA552B" w:rsidRPr="003913B1">
        <w:t xml:space="preserve"> </w:t>
      </w:r>
      <w:r w:rsidR="00EA552B">
        <w:rPr>
          <w:rFonts w:eastAsiaTheme="majorEastAsia"/>
          <w:noProof/>
        </w:rPr>
        <w:t>(Harmatz et al. 2006)</w:t>
      </w:r>
    </w:p>
    <w:tbl>
      <w:tblPr>
        <w:tblStyle w:val="TableGrid"/>
        <w:tblW w:w="4979" w:type="pct"/>
        <w:tblLook w:val="04A0" w:firstRow="1" w:lastRow="0" w:firstColumn="1" w:lastColumn="0" w:noHBand="0" w:noVBand="1"/>
        <w:tblDescription w:val="Comparison of 3 minute stair climb for MPS VI patients receiving galsulfase in extension study "/>
      </w:tblPr>
      <w:tblGrid>
        <w:gridCol w:w="2947"/>
        <w:gridCol w:w="2855"/>
        <w:gridCol w:w="3401"/>
      </w:tblGrid>
      <w:tr w:rsidR="00D976D5" w:rsidRPr="000756DF" w:rsidTr="00746AE7">
        <w:trPr>
          <w:tblHeader/>
        </w:trPr>
        <w:tc>
          <w:tcPr>
            <w:tcW w:w="1601" w:type="pct"/>
          </w:tcPr>
          <w:p w:rsidR="00D976D5" w:rsidRPr="000756DF" w:rsidRDefault="00D976D5" w:rsidP="000D19DA">
            <w:pPr>
              <w:pStyle w:val="TableHeading"/>
            </w:pPr>
            <w:r w:rsidRPr="000756DF">
              <w:t>Time point</w:t>
            </w:r>
          </w:p>
        </w:tc>
        <w:tc>
          <w:tcPr>
            <w:tcW w:w="1551" w:type="pct"/>
          </w:tcPr>
          <w:p w:rsidR="00D976D5" w:rsidRPr="000756DF" w:rsidRDefault="00D976D5" w:rsidP="000D19DA">
            <w:pPr>
              <w:pStyle w:val="TableHeading"/>
            </w:pPr>
            <w:r w:rsidRPr="000756DF">
              <w:t>Galsulfase</w:t>
            </w:r>
            <w:r>
              <w:t>/ galsulfase</w:t>
            </w:r>
          </w:p>
          <w:p w:rsidR="00D976D5" w:rsidRPr="000756DF" w:rsidRDefault="00D976D5" w:rsidP="000D19DA">
            <w:pPr>
              <w:pStyle w:val="TableHeading"/>
            </w:pPr>
            <w:r w:rsidRPr="000756DF">
              <w:t xml:space="preserve">Mean </w:t>
            </w:r>
            <w:r>
              <w:t xml:space="preserve">± </w:t>
            </w:r>
            <w:r w:rsidRPr="000756DF">
              <w:t>SD</w:t>
            </w:r>
          </w:p>
        </w:tc>
        <w:tc>
          <w:tcPr>
            <w:tcW w:w="1848" w:type="pct"/>
          </w:tcPr>
          <w:p w:rsidR="00D976D5" w:rsidRDefault="00D976D5" w:rsidP="000D19DA">
            <w:pPr>
              <w:pStyle w:val="TableHeading"/>
            </w:pPr>
            <w:r>
              <w:t>Placebo/ galsulfase</w:t>
            </w:r>
          </w:p>
          <w:p w:rsidR="00D976D5" w:rsidRPr="000756DF" w:rsidRDefault="00D976D5" w:rsidP="000D19DA">
            <w:pPr>
              <w:pStyle w:val="TableHeading"/>
            </w:pPr>
            <w:r w:rsidRPr="000756DF">
              <w:t xml:space="preserve">Mean </w:t>
            </w:r>
            <w:r>
              <w:t xml:space="preserve">± </w:t>
            </w:r>
            <w:r w:rsidRPr="000756DF">
              <w:t>SD</w:t>
            </w:r>
          </w:p>
        </w:tc>
      </w:tr>
      <w:tr w:rsidR="00D976D5" w:rsidRPr="000756DF" w:rsidTr="00746AE7">
        <w:tc>
          <w:tcPr>
            <w:tcW w:w="1601" w:type="pct"/>
          </w:tcPr>
          <w:p w:rsidR="00D976D5" w:rsidRPr="000756DF" w:rsidRDefault="00D976D5" w:rsidP="000D19DA">
            <w:pPr>
              <w:pStyle w:val="TableText0"/>
            </w:pPr>
            <w:r w:rsidRPr="000756DF">
              <w:t>Week 24</w:t>
            </w:r>
          </w:p>
        </w:tc>
        <w:tc>
          <w:tcPr>
            <w:tcW w:w="1551" w:type="pct"/>
          </w:tcPr>
          <w:p w:rsidR="00D976D5" w:rsidRPr="000756DF" w:rsidRDefault="00D976D5" w:rsidP="000D19DA">
            <w:pPr>
              <w:pStyle w:val="TableText0"/>
            </w:pPr>
            <w:r w:rsidRPr="000756DF">
              <w:t xml:space="preserve">26.9 </w:t>
            </w:r>
            <w:r>
              <w:t xml:space="preserve">± </w:t>
            </w:r>
            <w:r w:rsidRPr="000756DF">
              <w:t>16.8</w:t>
            </w:r>
          </w:p>
        </w:tc>
        <w:tc>
          <w:tcPr>
            <w:tcW w:w="1848" w:type="pct"/>
          </w:tcPr>
          <w:p w:rsidR="00D976D5" w:rsidRPr="000756DF" w:rsidRDefault="00D976D5" w:rsidP="005B7A7E">
            <w:pPr>
              <w:pStyle w:val="TableText0"/>
            </w:pPr>
            <w:r w:rsidRPr="000756DF">
              <w:t xml:space="preserve">32.6 </w:t>
            </w:r>
            <w:r>
              <w:t xml:space="preserve">± </w:t>
            </w:r>
            <w:r w:rsidRPr="000756DF">
              <w:t>19.6</w:t>
            </w:r>
          </w:p>
        </w:tc>
      </w:tr>
      <w:tr w:rsidR="00D976D5" w:rsidRPr="000756DF" w:rsidTr="00746AE7">
        <w:tc>
          <w:tcPr>
            <w:tcW w:w="1601" w:type="pct"/>
          </w:tcPr>
          <w:p w:rsidR="00D976D5" w:rsidRPr="000756DF" w:rsidRDefault="00D976D5" w:rsidP="000D19DA">
            <w:pPr>
              <w:pStyle w:val="TableText0"/>
            </w:pPr>
            <w:r w:rsidRPr="000756DF">
              <w:t>Week 48</w:t>
            </w:r>
          </w:p>
        </w:tc>
        <w:tc>
          <w:tcPr>
            <w:tcW w:w="1551" w:type="pct"/>
          </w:tcPr>
          <w:p w:rsidR="00D976D5" w:rsidRPr="000756DF" w:rsidRDefault="00D976D5" w:rsidP="000D19DA">
            <w:pPr>
              <w:pStyle w:val="TableText0"/>
            </w:pPr>
            <w:r w:rsidRPr="000756DF">
              <w:t xml:space="preserve">29.8 </w:t>
            </w:r>
            <w:r>
              <w:t xml:space="preserve">± </w:t>
            </w:r>
            <w:r w:rsidRPr="000756DF">
              <w:t>16.0</w:t>
            </w:r>
          </w:p>
        </w:tc>
        <w:tc>
          <w:tcPr>
            <w:tcW w:w="1848" w:type="pct"/>
          </w:tcPr>
          <w:p w:rsidR="00D976D5" w:rsidRPr="000756DF" w:rsidRDefault="00D976D5" w:rsidP="005B7A7E">
            <w:pPr>
              <w:pStyle w:val="TableText0"/>
            </w:pPr>
            <w:r w:rsidRPr="000756DF">
              <w:t xml:space="preserve">39.6 </w:t>
            </w:r>
            <w:r>
              <w:t xml:space="preserve">± </w:t>
            </w:r>
            <w:r w:rsidRPr="000756DF">
              <w:t>19.5</w:t>
            </w:r>
          </w:p>
        </w:tc>
      </w:tr>
      <w:tr w:rsidR="00D976D5" w:rsidRPr="000756DF" w:rsidTr="00746AE7">
        <w:tc>
          <w:tcPr>
            <w:tcW w:w="1601" w:type="pct"/>
          </w:tcPr>
          <w:p w:rsidR="00D976D5" w:rsidRPr="000756DF" w:rsidRDefault="00D976D5" w:rsidP="000D19DA">
            <w:pPr>
              <w:pStyle w:val="TableText0"/>
            </w:pPr>
            <w:r w:rsidRPr="000756DF">
              <w:t>Week 48/Week 24 (absolute change)</w:t>
            </w:r>
          </w:p>
        </w:tc>
        <w:tc>
          <w:tcPr>
            <w:tcW w:w="1551" w:type="pct"/>
          </w:tcPr>
          <w:p w:rsidR="00D976D5" w:rsidRPr="000756DF" w:rsidRDefault="00D976D5" w:rsidP="005B7A7E">
            <w:pPr>
              <w:pStyle w:val="TableText0"/>
            </w:pPr>
            <w:r w:rsidRPr="000756DF">
              <w:t xml:space="preserve">2.9 </w:t>
            </w:r>
            <w:r>
              <w:t xml:space="preserve">± </w:t>
            </w:r>
            <w:r w:rsidRPr="000756DF">
              <w:t>7.2</w:t>
            </w:r>
          </w:p>
        </w:tc>
        <w:tc>
          <w:tcPr>
            <w:tcW w:w="1848" w:type="pct"/>
          </w:tcPr>
          <w:p w:rsidR="00D976D5" w:rsidRPr="000756DF" w:rsidRDefault="00D976D5" w:rsidP="000D19DA">
            <w:pPr>
              <w:pStyle w:val="TableText0"/>
            </w:pPr>
            <w:r w:rsidRPr="000756DF">
              <w:t xml:space="preserve">5.9 </w:t>
            </w:r>
            <w:r>
              <w:t xml:space="preserve">± </w:t>
            </w:r>
            <w:r w:rsidRPr="000756DF">
              <w:t>7.9</w:t>
            </w:r>
          </w:p>
        </w:tc>
      </w:tr>
    </w:tbl>
    <w:p w:rsidR="00290090" w:rsidRPr="0052627A" w:rsidRDefault="00290090" w:rsidP="00290090">
      <w:pPr>
        <w:pStyle w:val="TableNote"/>
        <w:spacing w:after="480"/>
      </w:pPr>
      <w:r>
        <w:t xml:space="preserve">SD </w:t>
      </w:r>
      <w:r w:rsidRPr="00652355">
        <w:rPr>
          <w:spacing w:val="-20"/>
        </w:rPr>
        <w:t xml:space="preserve">= </w:t>
      </w:r>
      <w:r w:rsidR="002F73FB">
        <w:t>standard deviation</w:t>
      </w:r>
    </w:p>
    <w:p w:rsidR="00646689" w:rsidRPr="000756DF" w:rsidRDefault="00F0048E" w:rsidP="00646689">
      <w:pPr>
        <w:pStyle w:val="Heading5"/>
      </w:pPr>
      <w:r>
        <w:t>Respiratory</w:t>
      </w:r>
      <w:r w:rsidR="00646689">
        <w:t xml:space="preserve"> function</w:t>
      </w:r>
    </w:p>
    <w:p w:rsidR="00646689" w:rsidRPr="005E6835" w:rsidRDefault="005E6835" w:rsidP="00646689">
      <w:r>
        <w:t>Respiratory function, as assessed by forced vital capacity</w:t>
      </w:r>
      <w:r w:rsidR="00795568">
        <w:t>,</w:t>
      </w:r>
      <w:r>
        <w:t xml:space="preserve"> forced </w:t>
      </w:r>
      <w:r w:rsidR="002C482E">
        <w:t>expiratory</w:t>
      </w:r>
      <w:r>
        <w:t xml:space="preserve"> volume in 1 second (FEV</w:t>
      </w:r>
      <w:r>
        <w:rPr>
          <w:vertAlign w:val="subscript"/>
        </w:rPr>
        <w:t>1</w:t>
      </w:r>
      <w:r>
        <w:t>, data not reported)</w:t>
      </w:r>
      <w:r w:rsidR="00795568">
        <w:t>, or the maximum voluntary ventilation (MVV)</w:t>
      </w:r>
      <w:r>
        <w:t>, did not improve over the course of the study</w:t>
      </w:r>
      <w:r w:rsidR="00795568">
        <w:t>, with a large amount of variability between patients</w:t>
      </w:r>
      <w:r>
        <w:t xml:space="preserve">. </w:t>
      </w:r>
    </w:p>
    <w:p w:rsidR="00795568" w:rsidRDefault="00795568" w:rsidP="00EA552B">
      <w:pPr>
        <w:pStyle w:val="Caption"/>
        <w:keepNext/>
        <w:ind w:left="1418" w:hanging="1418"/>
      </w:pPr>
      <w:bookmarkStart w:id="417" w:name="_Toc415141907"/>
      <w:r>
        <w:lastRenderedPageBreak/>
        <w:t xml:space="preserve">Table </w:t>
      </w:r>
      <w:r w:rsidR="00A72B26">
        <w:rPr>
          <w:noProof/>
        </w:rPr>
        <w:t>110</w:t>
      </w:r>
      <w:r>
        <w:tab/>
        <w:t xml:space="preserve">Forced vital capacity and maximum voluntary ventilation in patients randomised to either galsulfase or placebo </w:t>
      </w:r>
      <w:r>
        <w:rPr>
          <w:rFonts w:eastAsiaTheme="majorEastAsia"/>
          <w:noProof/>
        </w:rPr>
        <w:t>(Harmatz et al. 2006)</w:t>
      </w:r>
      <w:bookmarkEnd w:id="417"/>
    </w:p>
    <w:tbl>
      <w:tblPr>
        <w:tblStyle w:val="TableGrid"/>
        <w:tblW w:w="5000" w:type="pct"/>
        <w:tblLook w:val="04A0" w:firstRow="1" w:lastRow="0" w:firstColumn="1" w:lastColumn="0" w:noHBand="0" w:noVBand="1"/>
        <w:tblDescription w:val="Forced vital capacity and maximum voluntary ventilation in patients randomised to either galsulfase or placebo "/>
      </w:tblPr>
      <w:tblGrid>
        <w:gridCol w:w="3509"/>
        <w:gridCol w:w="1987"/>
        <w:gridCol w:w="1983"/>
        <w:gridCol w:w="1763"/>
      </w:tblGrid>
      <w:tr w:rsidR="000D19DA" w:rsidRPr="000756DF" w:rsidTr="000D19DA">
        <w:trPr>
          <w:tblHeader/>
        </w:trPr>
        <w:tc>
          <w:tcPr>
            <w:tcW w:w="1898" w:type="pct"/>
          </w:tcPr>
          <w:p w:rsidR="000D19DA" w:rsidRPr="000756DF" w:rsidRDefault="000D19DA" w:rsidP="000D19DA">
            <w:pPr>
              <w:pStyle w:val="TableHeading"/>
            </w:pPr>
            <w:r w:rsidRPr="000756DF">
              <w:t>Outcome</w:t>
            </w:r>
          </w:p>
        </w:tc>
        <w:tc>
          <w:tcPr>
            <w:tcW w:w="1075" w:type="pct"/>
          </w:tcPr>
          <w:p w:rsidR="000D19DA" w:rsidRPr="000756DF" w:rsidRDefault="000D19DA" w:rsidP="000D19DA">
            <w:pPr>
              <w:pStyle w:val="TableHeading"/>
            </w:pPr>
            <w:r>
              <w:t>Galsulfase (N=1</w:t>
            </w:r>
            <w:r w:rsidR="000C3E7E">
              <w:t>7, 15)</w:t>
            </w:r>
          </w:p>
        </w:tc>
        <w:tc>
          <w:tcPr>
            <w:tcW w:w="1073" w:type="pct"/>
          </w:tcPr>
          <w:p w:rsidR="000D19DA" w:rsidRPr="000756DF" w:rsidRDefault="000D19DA" w:rsidP="000D19DA">
            <w:pPr>
              <w:pStyle w:val="TableHeading"/>
            </w:pPr>
            <w:r w:rsidRPr="000756DF">
              <w:t>Placebo (N</w:t>
            </w:r>
            <w:r w:rsidRPr="00652355">
              <w:rPr>
                <w:spacing w:val="-20"/>
              </w:rPr>
              <w:t xml:space="preserve"> = </w:t>
            </w:r>
            <w:r w:rsidR="000C3E7E">
              <w:t>19, 17)</w:t>
            </w:r>
          </w:p>
        </w:tc>
        <w:tc>
          <w:tcPr>
            <w:tcW w:w="954" w:type="pct"/>
          </w:tcPr>
          <w:p w:rsidR="000D19DA" w:rsidRPr="000756DF" w:rsidRDefault="000D19DA" w:rsidP="000D19DA">
            <w:pPr>
              <w:pStyle w:val="TableHeading"/>
            </w:pPr>
            <w:r w:rsidRPr="000756DF">
              <w:t>Difference</w:t>
            </w:r>
          </w:p>
        </w:tc>
      </w:tr>
      <w:tr w:rsidR="000D19DA" w:rsidRPr="000756DF" w:rsidTr="000D19DA">
        <w:tc>
          <w:tcPr>
            <w:tcW w:w="1898" w:type="pct"/>
          </w:tcPr>
          <w:p w:rsidR="000D19DA" w:rsidRPr="000756DF" w:rsidRDefault="000D19DA" w:rsidP="000C3E7E">
            <w:pPr>
              <w:pStyle w:val="TableHeading"/>
            </w:pPr>
            <w:r w:rsidRPr="000756DF">
              <w:t xml:space="preserve">Forced vital capacity </w:t>
            </w:r>
            <w:r w:rsidR="000C3E7E">
              <w:t>L</w:t>
            </w:r>
            <w:r w:rsidRPr="000756DF">
              <w:t>; mean ± SD)</w:t>
            </w:r>
          </w:p>
        </w:tc>
        <w:tc>
          <w:tcPr>
            <w:tcW w:w="1075" w:type="pct"/>
            <w:shd w:val="clear" w:color="auto" w:fill="FFFFFF" w:themeFill="background1"/>
          </w:tcPr>
          <w:p w:rsidR="000D19DA" w:rsidRPr="000756DF" w:rsidRDefault="000D19DA" w:rsidP="000D19DA">
            <w:pPr>
              <w:pStyle w:val="TableText0"/>
            </w:pPr>
            <w:r w:rsidRPr="00EC0C11">
              <w:rPr>
                <w:color w:val="FFFFFF" w:themeColor="background1"/>
              </w:rPr>
              <w:t>-</w:t>
            </w:r>
          </w:p>
        </w:tc>
        <w:tc>
          <w:tcPr>
            <w:tcW w:w="1073" w:type="pct"/>
          </w:tcPr>
          <w:p w:rsidR="000D19DA" w:rsidRPr="000756DF" w:rsidRDefault="000D19DA" w:rsidP="000D19DA">
            <w:pPr>
              <w:pStyle w:val="TableText0"/>
            </w:pPr>
            <w:r w:rsidRPr="00EC0C11">
              <w:rPr>
                <w:color w:val="FFFFFF" w:themeColor="background1"/>
              </w:rPr>
              <w:t>-</w:t>
            </w:r>
          </w:p>
        </w:tc>
        <w:tc>
          <w:tcPr>
            <w:tcW w:w="954" w:type="pct"/>
          </w:tcPr>
          <w:p w:rsidR="000D19DA" w:rsidRPr="000756DF" w:rsidRDefault="000D19DA" w:rsidP="000D19DA">
            <w:pPr>
              <w:pStyle w:val="TableText0"/>
            </w:pPr>
            <w:r w:rsidRPr="00EC0C11">
              <w:rPr>
                <w:color w:val="FFFFFF" w:themeColor="background1"/>
              </w:rPr>
              <w:t>-</w:t>
            </w:r>
          </w:p>
        </w:tc>
      </w:tr>
      <w:tr w:rsidR="000D19DA" w:rsidRPr="000756DF" w:rsidTr="000D19DA">
        <w:tc>
          <w:tcPr>
            <w:tcW w:w="1898" w:type="pct"/>
          </w:tcPr>
          <w:p w:rsidR="000D19DA" w:rsidRPr="000756DF" w:rsidRDefault="000D19DA" w:rsidP="000D19DA">
            <w:pPr>
              <w:pStyle w:val="TableText0"/>
            </w:pPr>
            <w:r w:rsidRPr="000756DF">
              <w:tab/>
              <w:t>Baseline</w:t>
            </w:r>
          </w:p>
        </w:tc>
        <w:tc>
          <w:tcPr>
            <w:tcW w:w="1075" w:type="pct"/>
          </w:tcPr>
          <w:p w:rsidR="000D19DA" w:rsidRPr="000756DF" w:rsidRDefault="00FE604B" w:rsidP="000D19DA">
            <w:pPr>
              <w:pStyle w:val="TableText0"/>
            </w:pPr>
            <w:r>
              <w:t>0.65 ± 0.40</w:t>
            </w:r>
          </w:p>
        </w:tc>
        <w:tc>
          <w:tcPr>
            <w:tcW w:w="1073" w:type="pct"/>
          </w:tcPr>
          <w:p w:rsidR="000D19DA" w:rsidRPr="000756DF" w:rsidRDefault="005E186D" w:rsidP="000D19DA">
            <w:pPr>
              <w:pStyle w:val="TableText0"/>
            </w:pPr>
            <w:r>
              <w:t>0.50 ± 0.24</w:t>
            </w:r>
          </w:p>
        </w:tc>
        <w:tc>
          <w:tcPr>
            <w:tcW w:w="954" w:type="pct"/>
          </w:tcPr>
          <w:p w:rsidR="000D19DA" w:rsidRPr="000756DF" w:rsidRDefault="003A1B3E" w:rsidP="000D19DA">
            <w:pPr>
              <w:pStyle w:val="TableText0"/>
            </w:pPr>
            <w:r>
              <w:t>-</w:t>
            </w:r>
          </w:p>
        </w:tc>
      </w:tr>
      <w:tr w:rsidR="000D19DA" w:rsidRPr="000756DF" w:rsidTr="000D19DA">
        <w:tc>
          <w:tcPr>
            <w:tcW w:w="1898" w:type="pct"/>
          </w:tcPr>
          <w:p w:rsidR="000D19DA" w:rsidRPr="000756DF" w:rsidRDefault="000D19DA" w:rsidP="0031125F">
            <w:pPr>
              <w:pStyle w:val="TableText0"/>
            </w:pPr>
            <w:r w:rsidRPr="000756DF">
              <w:tab/>
              <w:t>Week 2</w:t>
            </w:r>
            <w:r w:rsidR="0031125F">
              <w:t>4</w:t>
            </w:r>
          </w:p>
        </w:tc>
        <w:tc>
          <w:tcPr>
            <w:tcW w:w="1075" w:type="pct"/>
          </w:tcPr>
          <w:p w:rsidR="000D19DA" w:rsidRPr="000756DF" w:rsidRDefault="00FE604B" w:rsidP="000D19DA">
            <w:pPr>
              <w:pStyle w:val="TableText0"/>
            </w:pPr>
            <w:r>
              <w:t>0.63 ± 0.47</w:t>
            </w:r>
          </w:p>
        </w:tc>
        <w:tc>
          <w:tcPr>
            <w:tcW w:w="1073" w:type="pct"/>
          </w:tcPr>
          <w:p w:rsidR="000D19DA" w:rsidRPr="000756DF" w:rsidRDefault="005E186D" w:rsidP="000D19DA">
            <w:pPr>
              <w:pStyle w:val="TableText0"/>
            </w:pPr>
            <w:r>
              <w:t>0.45 ± 0.13</w:t>
            </w:r>
          </w:p>
        </w:tc>
        <w:tc>
          <w:tcPr>
            <w:tcW w:w="954" w:type="pct"/>
          </w:tcPr>
          <w:p w:rsidR="000D19DA" w:rsidRPr="000756DF" w:rsidRDefault="003A1B3E" w:rsidP="000D19DA">
            <w:pPr>
              <w:pStyle w:val="TableText0"/>
            </w:pPr>
            <w:r>
              <w:t>-</w:t>
            </w:r>
          </w:p>
        </w:tc>
      </w:tr>
      <w:tr w:rsidR="000D19DA" w:rsidRPr="000756DF" w:rsidTr="000D19DA">
        <w:tc>
          <w:tcPr>
            <w:tcW w:w="1898" w:type="pct"/>
          </w:tcPr>
          <w:p w:rsidR="000D19DA" w:rsidRPr="000756DF" w:rsidRDefault="000D19DA" w:rsidP="00746AE7">
            <w:pPr>
              <w:pStyle w:val="TableText0"/>
              <w:ind w:left="709" w:hanging="709"/>
            </w:pPr>
            <w:r w:rsidRPr="000756DF">
              <w:tab/>
            </w:r>
            <w:r w:rsidR="0031125F">
              <w:t>Week 24/Baseline (absolute change)</w:t>
            </w:r>
          </w:p>
        </w:tc>
        <w:tc>
          <w:tcPr>
            <w:tcW w:w="1075" w:type="pct"/>
          </w:tcPr>
          <w:p w:rsidR="000D19DA" w:rsidRPr="000756DF" w:rsidRDefault="005E186D" w:rsidP="000D19DA">
            <w:pPr>
              <w:pStyle w:val="TableText0"/>
            </w:pPr>
            <w:r>
              <w:t>-4 ± 19</w:t>
            </w:r>
          </w:p>
        </w:tc>
        <w:tc>
          <w:tcPr>
            <w:tcW w:w="1073" w:type="pct"/>
          </w:tcPr>
          <w:p w:rsidR="000D19DA" w:rsidRPr="000756DF" w:rsidRDefault="005E186D" w:rsidP="000D19DA">
            <w:pPr>
              <w:pStyle w:val="TableText0"/>
            </w:pPr>
            <w:r>
              <w:t>3 ± 21</w:t>
            </w:r>
          </w:p>
        </w:tc>
        <w:tc>
          <w:tcPr>
            <w:tcW w:w="954" w:type="pct"/>
          </w:tcPr>
          <w:p w:rsidR="000D19DA" w:rsidRPr="00746AE7" w:rsidRDefault="005E186D" w:rsidP="000D19DA">
            <w:pPr>
              <w:pStyle w:val="TableText0"/>
            </w:pPr>
            <w:r>
              <w:t>Not significant</w:t>
            </w:r>
          </w:p>
        </w:tc>
      </w:tr>
      <w:tr w:rsidR="000D19DA" w:rsidRPr="000756DF" w:rsidTr="000D19DA">
        <w:tc>
          <w:tcPr>
            <w:tcW w:w="1898" w:type="pct"/>
          </w:tcPr>
          <w:p w:rsidR="000D19DA" w:rsidRPr="000756DF" w:rsidRDefault="00912B5C" w:rsidP="000D19DA">
            <w:pPr>
              <w:pStyle w:val="TableHeading"/>
            </w:pPr>
            <w:r>
              <w:t>MVV (L/min)</w:t>
            </w:r>
          </w:p>
        </w:tc>
        <w:tc>
          <w:tcPr>
            <w:tcW w:w="1075" w:type="pct"/>
          </w:tcPr>
          <w:p w:rsidR="000D19DA" w:rsidRPr="000756DF" w:rsidRDefault="000D19DA" w:rsidP="000D19DA">
            <w:pPr>
              <w:pStyle w:val="TableText0"/>
            </w:pPr>
            <w:r w:rsidRPr="00EC0C11">
              <w:rPr>
                <w:color w:val="FFFFFF" w:themeColor="background1"/>
              </w:rPr>
              <w:t>-</w:t>
            </w:r>
          </w:p>
        </w:tc>
        <w:tc>
          <w:tcPr>
            <w:tcW w:w="1073" w:type="pct"/>
          </w:tcPr>
          <w:p w:rsidR="000D19DA" w:rsidRPr="000756DF" w:rsidRDefault="000D19DA" w:rsidP="000D19DA">
            <w:pPr>
              <w:pStyle w:val="TableText0"/>
            </w:pPr>
            <w:r w:rsidRPr="00EC0C11">
              <w:rPr>
                <w:color w:val="FFFFFF" w:themeColor="background1"/>
              </w:rPr>
              <w:t>-</w:t>
            </w:r>
          </w:p>
        </w:tc>
        <w:tc>
          <w:tcPr>
            <w:tcW w:w="954" w:type="pct"/>
          </w:tcPr>
          <w:p w:rsidR="000D19DA" w:rsidRPr="000756DF" w:rsidRDefault="000D19DA" w:rsidP="000D19DA">
            <w:pPr>
              <w:pStyle w:val="TableText0"/>
            </w:pPr>
            <w:r w:rsidRPr="00EC0C11">
              <w:rPr>
                <w:color w:val="FFFFFF" w:themeColor="background1"/>
              </w:rPr>
              <w:t>-</w:t>
            </w:r>
          </w:p>
        </w:tc>
      </w:tr>
      <w:tr w:rsidR="00912B5C" w:rsidRPr="000756DF" w:rsidTr="000D19DA">
        <w:tc>
          <w:tcPr>
            <w:tcW w:w="1898" w:type="pct"/>
          </w:tcPr>
          <w:p w:rsidR="00912B5C" w:rsidRPr="000756DF" w:rsidRDefault="00912B5C" w:rsidP="000D19DA">
            <w:pPr>
              <w:pStyle w:val="TableText0"/>
            </w:pPr>
            <w:r w:rsidRPr="000756DF">
              <w:tab/>
              <w:t>Baseline</w:t>
            </w:r>
          </w:p>
        </w:tc>
        <w:tc>
          <w:tcPr>
            <w:tcW w:w="1075" w:type="pct"/>
          </w:tcPr>
          <w:p w:rsidR="00912B5C" w:rsidRPr="000756DF" w:rsidRDefault="00912B5C" w:rsidP="000D19DA">
            <w:pPr>
              <w:pStyle w:val="TableText0"/>
            </w:pPr>
            <w:r>
              <w:t>16.8 ± 8.9</w:t>
            </w:r>
          </w:p>
        </w:tc>
        <w:tc>
          <w:tcPr>
            <w:tcW w:w="1073" w:type="pct"/>
          </w:tcPr>
          <w:p w:rsidR="00912B5C" w:rsidRPr="000756DF" w:rsidRDefault="00FE604B" w:rsidP="000D19DA">
            <w:pPr>
              <w:pStyle w:val="TableText0"/>
            </w:pPr>
            <w:r>
              <w:t>15.9 ± 5.4</w:t>
            </w:r>
          </w:p>
        </w:tc>
        <w:tc>
          <w:tcPr>
            <w:tcW w:w="954" w:type="pct"/>
          </w:tcPr>
          <w:p w:rsidR="00912B5C" w:rsidRPr="000756DF" w:rsidRDefault="003A1B3E" w:rsidP="000D19DA">
            <w:pPr>
              <w:pStyle w:val="TableText0"/>
            </w:pPr>
            <w:r>
              <w:t>-</w:t>
            </w:r>
          </w:p>
        </w:tc>
      </w:tr>
      <w:tr w:rsidR="00912B5C" w:rsidRPr="000756DF" w:rsidTr="000D19DA">
        <w:tc>
          <w:tcPr>
            <w:tcW w:w="1898" w:type="pct"/>
          </w:tcPr>
          <w:p w:rsidR="00912B5C" w:rsidRPr="000756DF" w:rsidRDefault="00912B5C" w:rsidP="0031125F">
            <w:pPr>
              <w:pStyle w:val="TableText0"/>
            </w:pPr>
            <w:r w:rsidRPr="000756DF">
              <w:tab/>
              <w:t>Week 2</w:t>
            </w:r>
            <w:r>
              <w:t>4</w:t>
            </w:r>
          </w:p>
        </w:tc>
        <w:tc>
          <w:tcPr>
            <w:tcW w:w="1075" w:type="pct"/>
          </w:tcPr>
          <w:p w:rsidR="00912B5C" w:rsidRPr="000756DF" w:rsidRDefault="00912B5C" w:rsidP="000D19DA">
            <w:pPr>
              <w:pStyle w:val="TableText0"/>
            </w:pPr>
            <w:r>
              <w:t>20.5 ± 11.4</w:t>
            </w:r>
          </w:p>
        </w:tc>
        <w:tc>
          <w:tcPr>
            <w:tcW w:w="1073" w:type="pct"/>
          </w:tcPr>
          <w:p w:rsidR="00912B5C" w:rsidRPr="000756DF" w:rsidRDefault="00FE604B" w:rsidP="000D19DA">
            <w:pPr>
              <w:pStyle w:val="TableText0"/>
            </w:pPr>
            <w:r>
              <w:t>15.9 ± 4.6</w:t>
            </w:r>
          </w:p>
        </w:tc>
        <w:tc>
          <w:tcPr>
            <w:tcW w:w="954" w:type="pct"/>
          </w:tcPr>
          <w:p w:rsidR="00912B5C" w:rsidRPr="000756DF" w:rsidRDefault="003A1B3E" w:rsidP="000D19DA">
            <w:pPr>
              <w:pStyle w:val="TableText0"/>
            </w:pPr>
            <w:r>
              <w:t>-</w:t>
            </w:r>
          </w:p>
        </w:tc>
      </w:tr>
      <w:tr w:rsidR="00912B5C" w:rsidRPr="000756DF" w:rsidTr="000D19DA">
        <w:tc>
          <w:tcPr>
            <w:tcW w:w="1898" w:type="pct"/>
          </w:tcPr>
          <w:p w:rsidR="00912B5C" w:rsidRPr="000756DF" w:rsidRDefault="00912B5C" w:rsidP="00746AE7">
            <w:pPr>
              <w:pStyle w:val="TableText0"/>
              <w:ind w:left="709" w:hanging="709"/>
            </w:pPr>
            <w:r w:rsidRPr="000756DF">
              <w:tab/>
            </w:r>
            <w:r>
              <w:t>Week 24/Baseline (absolute change)</w:t>
            </w:r>
          </w:p>
        </w:tc>
        <w:tc>
          <w:tcPr>
            <w:tcW w:w="1075" w:type="pct"/>
          </w:tcPr>
          <w:p w:rsidR="00912B5C" w:rsidRPr="000756DF" w:rsidRDefault="00912B5C" w:rsidP="000D19DA">
            <w:pPr>
              <w:pStyle w:val="TableText0"/>
            </w:pPr>
            <w:r>
              <w:t>13 ± 29</w:t>
            </w:r>
          </w:p>
        </w:tc>
        <w:tc>
          <w:tcPr>
            <w:tcW w:w="1073" w:type="pct"/>
          </w:tcPr>
          <w:p w:rsidR="00912B5C" w:rsidRPr="000756DF" w:rsidRDefault="00FE604B" w:rsidP="000D19DA">
            <w:pPr>
              <w:pStyle w:val="TableText0"/>
            </w:pPr>
            <w:r>
              <w:t>8 ± 37</w:t>
            </w:r>
          </w:p>
        </w:tc>
        <w:tc>
          <w:tcPr>
            <w:tcW w:w="954" w:type="pct"/>
          </w:tcPr>
          <w:p w:rsidR="00912B5C" w:rsidRPr="000756DF" w:rsidRDefault="000044CC" w:rsidP="000D19DA">
            <w:pPr>
              <w:pStyle w:val="TableText0"/>
            </w:pPr>
            <w:r>
              <w:t>Not significant</w:t>
            </w:r>
          </w:p>
        </w:tc>
      </w:tr>
    </w:tbl>
    <w:p w:rsidR="000D19DA" w:rsidRDefault="003A1B3E" w:rsidP="00746AE7">
      <w:pPr>
        <w:pStyle w:val="TableNote"/>
      </w:pPr>
      <w:r>
        <w:t>MVV=</w:t>
      </w:r>
      <w:r w:rsidR="000044CC">
        <w:t>maximum volume ventilation</w:t>
      </w:r>
    </w:p>
    <w:p w:rsidR="00745FA8" w:rsidRPr="0052627A" w:rsidRDefault="00745FA8" w:rsidP="00745FA8">
      <w:pPr>
        <w:pStyle w:val="TableNote"/>
      </w:pPr>
    </w:p>
    <w:p w:rsidR="000756DF" w:rsidRPr="000756DF" w:rsidRDefault="000756DF" w:rsidP="00EC5DFF">
      <w:pPr>
        <w:pStyle w:val="Heading4"/>
      </w:pPr>
      <w:r w:rsidRPr="000756DF">
        <w:t>Safety</w:t>
      </w:r>
    </w:p>
    <w:p w:rsidR="007423F0" w:rsidRDefault="003A1760" w:rsidP="000756DF">
      <w:r>
        <w:t>The number of patients experiencing a</w:t>
      </w:r>
      <w:r w:rsidR="007423F0" w:rsidRPr="000756DF">
        <w:t xml:space="preserve">dverse events </w:t>
      </w:r>
      <w:r w:rsidR="007423F0">
        <w:t>from</w:t>
      </w:r>
      <w:r w:rsidR="007423F0" w:rsidRPr="000756DF">
        <w:t xml:space="preserve"> galsulfase </w:t>
      </w:r>
      <w:r w:rsidR="007423F0">
        <w:t>relative to</w:t>
      </w:r>
      <w:r w:rsidR="007423F0" w:rsidRPr="000756DF">
        <w:t xml:space="preserve"> placebo</w:t>
      </w:r>
      <w:r w:rsidR="007423F0">
        <w:t xml:space="preserve"> </w:t>
      </w:r>
      <w:r>
        <w:t xml:space="preserve">is </w:t>
      </w:r>
      <w:r w:rsidR="007423F0">
        <w:t>re</w:t>
      </w:r>
      <w:r w:rsidR="007423F0" w:rsidRPr="000756DF">
        <w:t>ported for weeks 1 to 24</w:t>
      </w:r>
      <w:r w:rsidR="00EA552B">
        <w:t xml:space="preserve"> </w:t>
      </w:r>
      <w:r>
        <w:rPr>
          <w:rFonts w:eastAsiaTheme="majorEastAsia"/>
          <w:noProof/>
        </w:rPr>
        <w:t>(Harmatz et al. 2006)</w:t>
      </w:r>
      <w:r w:rsidR="007423F0" w:rsidRPr="000756DF">
        <w:t>. There were more drug-related adverse events, adverse events during infusion, and drug-related adverse events during infusion</w:t>
      </w:r>
      <w:r w:rsidR="007423F0">
        <w:t>,</w:t>
      </w:r>
      <w:r w:rsidR="007423F0" w:rsidRPr="000756DF">
        <w:t xml:space="preserve"> in the galsulfase group than in the placebo group but the difference</w:t>
      </w:r>
      <w:r w:rsidR="007423F0">
        <w:t>s were not statistically sig</w:t>
      </w:r>
      <w:r w:rsidR="007423F0" w:rsidRPr="000756DF">
        <w:t>nificant</w:t>
      </w:r>
      <w:r w:rsidR="007423F0">
        <w:t xml:space="preserve"> </w:t>
      </w:r>
      <w:r w:rsidR="00E44932">
        <w:t>(</w:t>
      </w:r>
      <w:r w:rsidR="00A72B26" w:rsidRPr="003913B1">
        <w:t xml:space="preserve">Table </w:t>
      </w:r>
      <w:r w:rsidR="00A72B26">
        <w:rPr>
          <w:noProof/>
        </w:rPr>
        <w:t>111</w:t>
      </w:r>
      <w:r w:rsidR="00E44932">
        <w:t>)</w:t>
      </w:r>
      <w:r w:rsidR="000756DF" w:rsidRPr="000756DF">
        <w:t xml:space="preserve"> </w:t>
      </w:r>
      <w:r w:rsidR="007423F0">
        <w:t xml:space="preserve">(GRADE </w:t>
      </w:r>
      <w:r w:rsidR="007423F0" w:rsidRPr="00D4733A">
        <w:rPr>
          <w:rFonts w:ascii="Cambria Math" w:hAnsi="Cambria Math"/>
          <w:color w:val="00B050"/>
        </w:rPr>
        <w:t>⨁⨁⨁</w:t>
      </w:r>
      <w:r w:rsidR="007423F0" w:rsidRPr="00D4733A">
        <w:rPr>
          <w:rFonts w:ascii="Cambria Math" w:hAnsi="Cambria Math"/>
          <w:color w:val="C00000"/>
        </w:rPr>
        <w:t>⨀</w:t>
      </w:r>
      <w:r w:rsidR="00D67ADB" w:rsidRPr="00D67ADB">
        <w:rPr>
          <w:spacing w:val="-20"/>
        </w:rPr>
        <w:t>)</w:t>
      </w:r>
      <w:r w:rsidR="007423F0" w:rsidRPr="000756DF">
        <w:t xml:space="preserve">. </w:t>
      </w:r>
      <w:r w:rsidR="007423F0">
        <w:t>A trend was observed towards harms from drug-related adverse events during infusion in patients receiving galsulfase.</w:t>
      </w:r>
    </w:p>
    <w:p w:rsidR="000756DF" w:rsidRPr="003913B1" w:rsidRDefault="000756DF" w:rsidP="00F44176">
      <w:pPr>
        <w:pStyle w:val="Caption"/>
        <w:keepNext/>
        <w:tabs>
          <w:tab w:val="clear" w:pos="851"/>
          <w:tab w:val="left" w:pos="1134"/>
        </w:tabs>
        <w:ind w:left="1134" w:hanging="1134"/>
      </w:pPr>
      <w:bookmarkStart w:id="418" w:name="_Ref405715836"/>
      <w:bookmarkStart w:id="419" w:name="_Toc411510476"/>
      <w:bookmarkStart w:id="420" w:name="_Toc415141908"/>
      <w:r w:rsidRPr="003913B1">
        <w:t xml:space="preserve">Table </w:t>
      </w:r>
      <w:r w:rsidR="00A72B26">
        <w:rPr>
          <w:noProof/>
        </w:rPr>
        <w:t>111</w:t>
      </w:r>
      <w:bookmarkEnd w:id="418"/>
      <w:r w:rsidRPr="003913B1">
        <w:t xml:space="preserve"> </w:t>
      </w:r>
      <w:r w:rsidR="003913B1">
        <w:tab/>
      </w:r>
      <w:r w:rsidR="00B20B53">
        <w:t>Number of patients experiencing a</w:t>
      </w:r>
      <w:r w:rsidRPr="003913B1">
        <w:t>dverse events during weeks 1 to 24 in MPS</w:t>
      </w:r>
      <w:r w:rsidR="008D1710">
        <w:t xml:space="preserve"> VI</w:t>
      </w:r>
      <w:r w:rsidRPr="003913B1">
        <w:t xml:space="preserve"> patients randomised to either galsulfase or </w:t>
      </w:r>
      <w:proofErr w:type="gramStart"/>
      <w:r w:rsidRPr="003913B1">
        <w:t xml:space="preserve">placebo </w:t>
      </w:r>
      <w:bookmarkEnd w:id="419"/>
      <w:r w:rsidR="00B20B53" w:rsidRPr="00B20B53">
        <w:rPr>
          <w:rFonts w:eastAsiaTheme="majorEastAsia"/>
        </w:rPr>
        <w:t xml:space="preserve"> </w:t>
      </w:r>
      <w:r w:rsidR="00B20B53">
        <w:rPr>
          <w:rFonts w:eastAsiaTheme="majorEastAsia"/>
          <w:noProof/>
        </w:rPr>
        <w:t>(</w:t>
      </w:r>
      <w:proofErr w:type="gramEnd"/>
      <w:r w:rsidR="00B20B53">
        <w:rPr>
          <w:rFonts w:eastAsiaTheme="majorEastAsia"/>
          <w:noProof/>
        </w:rPr>
        <w:t>Harmatz et al. 2006)</w:t>
      </w:r>
      <w:bookmarkEnd w:id="420"/>
    </w:p>
    <w:tbl>
      <w:tblPr>
        <w:tblStyle w:val="TableGrid"/>
        <w:tblW w:w="4966" w:type="pct"/>
        <w:tblLook w:val="04A0" w:firstRow="1" w:lastRow="0" w:firstColumn="1" w:lastColumn="0" w:noHBand="0" w:noVBand="1"/>
        <w:tblCaption w:val="Table 78  Adverse events and drug-related serious adverse events during weeks 1 to 24 in MPS VI patients randomised to either galsulfase or placebo (El Dib, Regina P. &amp; Pastores 2009)"/>
      </w:tblPr>
      <w:tblGrid>
        <w:gridCol w:w="2947"/>
        <w:gridCol w:w="1417"/>
        <w:gridCol w:w="1417"/>
        <w:gridCol w:w="1560"/>
        <w:gridCol w:w="1838"/>
      </w:tblGrid>
      <w:tr w:rsidR="000756DF" w:rsidRPr="000756DF" w:rsidTr="009A0365">
        <w:trPr>
          <w:tblHeader/>
        </w:trPr>
        <w:tc>
          <w:tcPr>
            <w:tcW w:w="1605" w:type="pct"/>
          </w:tcPr>
          <w:p w:rsidR="000756DF" w:rsidRPr="000756DF" w:rsidRDefault="000756DF" w:rsidP="00E44932">
            <w:pPr>
              <w:pStyle w:val="TableHeading"/>
            </w:pPr>
            <w:r w:rsidRPr="000756DF">
              <w:t>Time point</w:t>
            </w:r>
          </w:p>
        </w:tc>
        <w:tc>
          <w:tcPr>
            <w:tcW w:w="772" w:type="pct"/>
          </w:tcPr>
          <w:p w:rsidR="000756DF" w:rsidRPr="000756DF" w:rsidRDefault="000756DF" w:rsidP="00E44932">
            <w:pPr>
              <w:pStyle w:val="TableHeading"/>
            </w:pPr>
            <w:r w:rsidRPr="000756DF">
              <w:t xml:space="preserve">Galsulfase </w:t>
            </w:r>
          </w:p>
          <w:p w:rsidR="000756DF" w:rsidRPr="000756DF" w:rsidRDefault="000756DF" w:rsidP="00E44932">
            <w:pPr>
              <w:pStyle w:val="TableHeading"/>
            </w:pPr>
            <w:r w:rsidRPr="000756DF">
              <w:t>n/N</w:t>
            </w:r>
            <w:r w:rsidR="00EE2FAC">
              <w:t xml:space="preserve"> of patients</w:t>
            </w:r>
          </w:p>
        </w:tc>
        <w:tc>
          <w:tcPr>
            <w:tcW w:w="772" w:type="pct"/>
          </w:tcPr>
          <w:p w:rsidR="000756DF" w:rsidRPr="000756DF" w:rsidRDefault="000756DF" w:rsidP="00E44932">
            <w:pPr>
              <w:pStyle w:val="TableHeading"/>
            </w:pPr>
            <w:r w:rsidRPr="000756DF">
              <w:t>Placebo</w:t>
            </w:r>
          </w:p>
          <w:p w:rsidR="000756DF" w:rsidRPr="000756DF" w:rsidRDefault="000756DF" w:rsidP="00E44932">
            <w:pPr>
              <w:pStyle w:val="TableHeading"/>
            </w:pPr>
            <w:r w:rsidRPr="000756DF">
              <w:t>n/N</w:t>
            </w:r>
            <w:r w:rsidR="00EE2FAC">
              <w:t xml:space="preserve"> of patients</w:t>
            </w:r>
          </w:p>
        </w:tc>
        <w:tc>
          <w:tcPr>
            <w:tcW w:w="850" w:type="pct"/>
          </w:tcPr>
          <w:p w:rsidR="000756DF" w:rsidRPr="000756DF" w:rsidRDefault="000756DF" w:rsidP="00E44932">
            <w:pPr>
              <w:pStyle w:val="TableHeading"/>
            </w:pPr>
            <w:r w:rsidRPr="000756DF">
              <w:t>RR (fixed)</w:t>
            </w:r>
          </w:p>
          <w:p w:rsidR="000756DF" w:rsidRPr="000756DF" w:rsidRDefault="000756DF" w:rsidP="00E44932">
            <w:pPr>
              <w:pStyle w:val="TableHeading"/>
            </w:pPr>
            <w:r w:rsidRPr="000756DF">
              <w:t>(</w:t>
            </w:r>
            <w:proofErr w:type="gramStart"/>
            <w:r w:rsidRPr="000756DF">
              <w:t>weight</w:t>
            </w:r>
            <w:proofErr w:type="gramEnd"/>
            <w:r w:rsidRPr="000756DF">
              <w:t xml:space="preserve"> %)</w:t>
            </w:r>
          </w:p>
        </w:tc>
        <w:tc>
          <w:tcPr>
            <w:tcW w:w="1001" w:type="pct"/>
          </w:tcPr>
          <w:p w:rsidR="000756DF" w:rsidRPr="000756DF" w:rsidRDefault="000756DF" w:rsidP="00E44932">
            <w:pPr>
              <w:pStyle w:val="TableHeading"/>
            </w:pPr>
            <w:r w:rsidRPr="000756DF">
              <w:t>95% CI</w:t>
            </w:r>
          </w:p>
        </w:tc>
      </w:tr>
      <w:tr w:rsidR="000756DF" w:rsidRPr="000756DF" w:rsidTr="000756DF">
        <w:tc>
          <w:tcPr>
            <w:tcW w:w="1605" w:type="pct"/>
          </w:tcPr>
          <w:p w:rsidR="000756DF" w:rsidRPr="000756DF" w:rsidRDefault="000756DF" w:rsidP="00E44932">
            <w:pPr>
              <w:pStyle w:val="TableText0"/>
            </w:pPr>
            <w:r w:rsidRPr="000756DF">
              <w:t>Deaths</w:t>
            </w:r>
          </w:p>
        </w:tc>
        <w:tc>
          <w:tcPr>
            <w:tcW w:w="772" w:type="pct"/>
          </w:tcPr>
          <w:p w:rsidR="000756DF" w:rsidRPr="000756DF" w:rsidRDefault="000756DF" w:rsidP="00E44932">
            <w:pPr>
              <w:pStyle w:val="TableText0"/>
            </w:pPr>
            <w:r w:rsidRPr="000756DF">
              <w:t>0/19</w:t>
            </w:r>
          </w:p>
        </w:tc>
        <w:tc>
          <w:tcPr>
            <w:tcW w:w="772" w:type="pct"/>
          </w:tcPr>
          <w:p w:rsidR="000756DF" w:rsidRPr="000756DF" w:rsidRDefault="000756DF" w:rsidP="00E44932">
            <w:pPr>
              <w:pStyle w:val="TableText0"/>
            </w:pPr>
            <w:r w:rsidRPr="000756DF">
              <w:t>0/20</w:t>
            </w:r>
          </w:p>
        </w:tc>
        <w:tc>
          <w:tcPr>
            <w:tcW w:w="850" w:type="pct"/>
          </w:tcPr>
          <w:p w:rsidR="000756DF" w:rsidRPr="000756DF" w:rsidRDefault="000756DF" w:rsidP="00E44932">
            <w:pPr>
              <w:pStyle w:val="TableText0"/>
            </w:pPr>
            <w:r w:rsidRPr="000756DF">
              <w:t>Not estimable</w:t>
            </w:r>
          </w:p>
        </w:tc>
        <w:tc>
          <w:tcPr>
            <w:tcW w:w="1001" w:type="pct"/>
          </w:tcPr>
          <w:p w:rsidR="000756DF" w:rsidRPr="000756DF" w:rsidRDefault="000756DF" w:rsidP="00E44932">
            <w:pPr>
              <w:pStyle w:val="TableText0"/>
            </w:pPr>
            <w:r w:rsidRPr="000756DF">
              <w:t>-</w:t>
            </w:r>
          </w:p>
        </w:tc>
      </w:tr>
      <w:tr w:rsidR="000756DF" w:rsidRPr="000756DF" w:rsidTr="000756DF">
        <w:tc>
          <w:tcPr>
            <w:tcW w:w="1605" w:type="pct"/>
          </w:tcPr>
          <w:p w:rsidR="000756DF" w:rsidRPr="000756DF" w:rsidRDefault="000756DF" w:rsidP="00E44932">
            <w:pPr>
              <w:pStyle w:val="TableText0"/>
            </w:pPr>
            <w:r w:rsidRPr="000756DF">
              <w:t>Drug-related adverse events</w:t>
            </w:r>
          </w:p>
        </w:tc>
        <w:tc>
          <w:tcPr>
            <w:tcW w:w="772" w:type="pct"/>
          </w:tcPr>
          <w:p w:rsidR="000756DF" w:rsidRPr="000756DF" w:rsidRDefault="000756DF" w:rsidP="00E44932">
            <w:pPr>
              <w:pStyle w:val="TableText0"/>
            </w:pPr>
            <w:r w:rsidRPr="000756DF">
              <w:t>11/19</w:t>
            </w:r>
          </w:p>
        </w:tc>
        <w:tc>
          <w:tcPr>
            <w:tcW w:w="772" w:type="pct"/>
          </w:tcPr>
          <w:p w:rsidR="000756DF" w:rsidRPr="000756DF" w:rsidRDefault="000756DF" w:rsidP="00E44932">
            <w:pPr>
              <w:pStyle w:val="TableText0"/>
            </w:pPr>
            <w:r w:rsidRPr="000756DF">
              <w:t>6/20</w:t>
            </w:r>
          </w:p>
        </w:tc>
        <w:tc>
          <w:tcPr>
            <w:tcW w:w="850" w:type="pct"/>
          </w:tcPr>
          <w:p w:rsidR="000756DF" w:rsidRPr="000756DF" w:rsidRDefault="000756DF" w:rsidP="00E44932">
            <w:pPr>
              <w:pStyle w:val="TableText0"/>
            </w:pPr>
            <w:r w:rsidRPr="000756DF">
              <w:t>1.93 (100)</w:t>
            </w:r>
          </w:p>
        </w:tc>
        <w:tc>
          <w:tcPr>
            <w:tcW w:w="1001" w:type="pct"/>
          </w:tcPr>
          <w:p w:rsidR="000756DF" w:rsidRPr="000756DF" w:rsidRDefault="000756DF" w:rsidP="00E44932">
            <w:pPr>
              <w:pStyle w:val="TableText0"/>
            </w:pPr>
            <w:r w:rsidRPr="000756DF">
              <w:t>0.89, 4.17</w:t>
            </w:r>
          </w:p>
        </w:tc>
      </w:tr>
      <w:tr w:rsidR="000756DF" w:rsidRPr="000756DF" w:rsidTr="000756DF">
        <w:tc>
          <w:tcPr>
            <w:tcW w:w="1605" w:type="pct"/>
          </w:tcPr>
          <w:p w:rsidR="000756DF" w:rsidRPr="000756DF" w:rsidRDefault="000756DF" w:rsidP="00E44932">
            <w:pPr>
              <w:pStyle w:val="TableText0"/>
            </w:pPr>
            <w:r w:rsidRPr="000756DF">
              <w:t>Serious and severe adverse events</w:t>
            </w:r>
          </w:p>
        </w:tc>
        <w:tc>
          <w:tcPr>
            <w:tcW w:w="772" w:type="pct"/>
          </w:tcPr>
          <w:p w:rsidR="000756DF" w:rsidRPr="000756DF" w:rsidRDefault="000756DF" w:rsidP="00E44932">
            <w:pPr>
              <w:pStyle w:val="TableText0"/>
            </w:pPr>
            <w:r w:rsidRPr="000756DF">
              <w:t>7/19</w:t>
            </w:r>
          </w:p>
        </w:tc>
        <w:tc>
          <w:tcPr>
            <w:tcW w:w="772" w:type="pct"/>
          </w:tcPr>
          <w:p w:rsidR="000756DF" w:rsidRPr="000756DF" w:rsidRDefault="000756DF" w:rsidP="00E44932">
            <w:pPr>
              <w:pStyle w:val="TableText0"/>
            </w:pPr>
            <w:r w:rsidRPr="000756DF">
              <w:t>8/20</w:t>
            </w:r>
          </w:p>
        </w:tc>
        <w:tc>
          <w:tcPr>
            <w:tcW w:w="850" w:type="pct"/>
          </w:tcPr>
          <w:p w:rsidR="000756DF" w:rsidRPr="000756DF" w:rsidRDefault="000756DF" w:rsidP="00E44932">
            <w:pPr>
              <w:pStyle w:val="TableText0"/>
            </w:pPr>
            <w:r w:rsidRPr="000756DF">
              <w:t>0.92 (100)</w:t>
            </w:r>
          </w:p>
        </w:tc>
        <w:tc>
          <w:tcPr>
            <w:tcW w:w="1001" w:type="pct"/>
          </w:tcPr>
          <w:p w:rsidR="000756DF" w:rsidRPr="000756DF" w:rsidRDefault="000756DF" w:rsidP="00E44932">
            <w:pPr>
              <w:pStyle w:val="TableText0"/>
            </w:pPr>
            <w:r w:rsidRPr="000756DF">
              <w:t>0.42, 2.04</w:t>
            </w:r>
          </w:p>
        </w:tc>
      </w:tr>
      <w:tr w:rsidR="000756DF" w:rsidRPr="000756DF" w:rsidTr="000756DF">
        <w:tc>
          <w:tcPr>
            <w:tcW w:w="1605" w:type="pct"/>
          </w:tcPr>
          <w:p w:rsidR="000756DF" w:rsidRPr="000756DF" w:rsidRDefault="000756DF" w:rsidP="00E44932">
            <w:pPr>
              <w:pStyle w:val="TableText0"/>
            </w:pPr>
            <w:r w:rsidRPr="000756DF">
              <w:t>Adverse events during infusion</w:t>
            </w:r>
          </w:p>
        </w:tc>
        <w:tc>
          <w:tcPr>
            <w:tcW w:w="772" w:type="pct"/>
          </w:tcPr>
          <w:p w:rsidR="000756DF" w:rsidRPr="000756DF" w:rsidRDefault="000756DF" w:rsidP="00E44932">
            <w:pPr>
              <w:pStyle w:val="TableText0"/>
              <w:rPr>
                <w:vertAlign w:val="superscript"/>
              </w:rPr>
            </w:pPr>
            <w:r w:rsidRPr="000756DF">
              <w:t>11/19</w:t>
            </w:r>
          </w:p>
        </w:tc>
        <w:tc>
          <w:tcPr>
            <w:tcW w:w="772" w:type="pct"/>
          </w:tcPr>
          <w:p w:rsidR="000756DF" w:rsidRPr="000756DF" w:rsidRDefault="000756DF" w:rsidP="00E44932">
            <w:pPr>
              <w:pStyle w:val="TableText0"/>
            </w:pPr>
            <w:r w:rsidRPr="000756DF">
              <w:t>8/20</w:t>
            </w:r>
          </w:p>
        </w:tc>
        <w:tc>
          <w:tcPr>
            <w:tcW w:w="850" w:type="pct"/>
          </w:tcPr>
          <w:p w:rsidR="000756DF" w:rsidRPr="000756DF" w:rsidRDefault="000756DF" w:rsidP="00E44932">
            <w:pPr>
              <w:pStyle w:val="TableText0"/>
              <w:rPr>
                <w:vertAlign w:val="superscript"/>
              </w:rPr>
            </w:pPr>
            <w:r w:rsidRPr="000756DF">
              <w:t>1.45 (100)</w:t>
            </w:r>
          </w:p>
        </w:tc>
        <w:tc>
          <w:tcPr>
            <w:tcW w:w="1001" w:type="pct"/>
          </w:tcPr>
          <w:p w:rsidR="000756DF" w:rsidRPr="000756DF" w:rsidRDefault="000756DF" w:rsidP="00E44932">
            <w:pPr>
              <w:pStyle w:val="TableText0"/>
            </w:pPr>
            <w:r w:rsidRPr="000756DF">
              <w:t>0.75, 2.80</w:t>
            </w:r>
          </w:p>
        </w:tc>
      </w:tr>
      <w:tr w:rsidR="000756DF" w:rsidRPr="000756DF" w:rsidTr="000756DF">
        <w:tc>
          <w:tcPr>
            <w:tcW w:w="1605" w:type="pct"/>
          </w:tcPr>
          <w:p w:rsidR="000756DF" w:rsidRPr="000756DF" w:rsidRDefault="000756DF" w:rsidP="00E44932">
            <w:pPr>
              <w:pStyle w:val="TableText0"/>
            </w:pPr>
            <w:r w:rsidRPr="000756DF">
              <w:t>Drug-related adverse events during infusion</w:t>
            </w:r>
          </w:p>
        </w:tc>
        <w:tc>
          <w:tcPr>
            <w:tcW w:w="772" w:type="pct"/>
          </w:tcPr>
          <w:p w:rsidR="000756DF" w:rsidRPr="000756DF" w:rsidRDefault="000756DF" w:rsidP="00E44932">
            <w:pPr>
              <w:pStyle w:val="TableText0"/>
            </w:pPr>
            <w:r w:rsidRPr="000756DF">
              <w:t>10/19</w:t>
            </w:r>
          </w:p>
        </w:tc>
        <w:tc>
          <w:tcPr>
            <w:tcW w:w="772" w:type="pct"/>
          </w:tcPr>
          <w:p w:rsidR="000756DF" w:rsidRPr="000756DF" w:rsidRDefault="000756DF" w:rsidP="00E44932">
            <w:pPr>
              <w:pStyle w:val="TableText0"/>
            </w:pPr>
            <w:r w:rsidRPr="000756DF">
              <w:t>4/20</w:t>
            </w:r>
          </w:p>
        </w:tc>
        <w:tc>
          <w:tcPr>
            <w:tcW w:w="850" w:type="pct"/>
          </w:tcPr>
          <w:p w:rsidR="000756DF" w:rsidRPr="000756DF" w:rsidRDefault="000756DF" w:rsidP="00E44932">
            <w:pPr>
              <w:pStyle w:val="TableText0"/>
            </w:pPr>
            <w:r w:rsidRPr="000756DF">
              <w:t>2.63 (100)</w:t>
            </w:r>
          </w:p>
        </w:tc>
        <w:tc>
          <w:tcPr>
            <w:tcW w:w="1001" w:type="pct"/>
          </w:tcPr>
          <w:p w:rsidR="000756DF" w:rsidRPr="000756DF" w:rsidRDefault="000756DF" w:rsidP="00E44932">
            <w:pPr>
              <w:pStyle w:val="TableText0"/>
              <w:rPr>
                <w:vertAlign w:val="superscript"/>
              </w:rPr>
            </w:pPr>
            <w:r w:rsidRPr="000756DF">
              <w:t>0.99, 6.98</w:t>
            </w:r>
          </w:p>
        </w:tc>
      </w:tr>
    </w:tbl>
    <w:p w:rsidR="000756DF" w:rsidRPr="000756DF" w:rsidRDefault="007C7B2D" w:rsidP="0052627A">
      <w:pPr>
        <w:pStyle w:val="TableText0"/>
        <w:spacing w:after="480"/>
        <w:rPr>
          <w:lang w:eastAsia="en-AU"/>
        </w:rPr>
      </w:pPr>
      <w:r w:rsidRPr="000756DF">
        <w:rPr>
          <w:lang w:eastAsia="en-AU"/>
        </w:rPr>
        <w:t xml:space="preserve">RR </w:t>
      </w:r>
      <w:r w:rsidRPr="00652355">
        <w:rPr>
          <w:spacing w:val="-20"/>
          <w:lang w:eastAsia="en-AU"/>
        </w:rPr>
        <w:t xml:space="preserve">= </w:t>
      </w:r>
      <w:r w:rsidRPr="000756DF">
        <w:rPr>
          <w:lang w:eastAsia="en-AU"/>
        </w:rPr>
        <w:t>relative</w:t>
      </w:r>
      <w:r w:rsidR="007423F0">
        <w:rPr>
          <w:lang w:eastAsia="en-AU"/>
        </w:rPr>
        <w:t xml:space="preserve"> risk</w:t>
      </w:r>
    </w:p>
    <w:p w:rsidR="000756DF" w:rsidRPr="000756DF" w:rsidRDefault="000756DF" w:rsidP="00EC5DFF">
      <w:pPr>
        <w:pStyle w:val="Heading4"/>
      </w:pPr>
      <w:bookmarkStart w:id="421" w:name="_Toc404937273"/>
      <w:r w:rsidRPr="000756DF">
        <w:t>Extended assessment of safety</w:t>
      </w:r>
      <w:bookmarkEnd w:id="421"/>
    </w:p>
    <w:p w:rsidR="000756DF" w:rsidRPr="000756DF" w:rsidRDefault="000756DF" w:rsidP="000756DF">
      <w:r w:rsidRPr="000756DF">
        <w:t xml:space="preserve">PSURS were used to examine non-comparative safety data regarding drugs for MPS I, II and VI. </w:t>
      </w:r>
    </w:p>
    <w:p w:rsidR="000756DF" w:rsidRPr="00EC5DFF" w:rsidRDefault="000756DF" w:rsidP="00EC5DFF">
      <w:pPr>
        <w:pStyle w:val="Heading5"/>
      </w:pPr>
      <w:bookmarkStart w:id="422" w:name="_Toc404937274"/>
      <w:r w:rsidRPr="00EC5DFF">
        <w:lastRenderedPageBreak/>
        <w:t>MPS I</w:t>
      </w:r>
      <w:bookmarkEnd w:id="422"/>
    </w:p>
    <w:p w:rsidR="000756DF" w:rsidRPr="00F33737" w:rsidRDefault="000756DF" w:rsidP="000756DF">
      <w:r w:rsidRPr="00F33737">
        <w:t>The PSUR provided for laronidase covered the period 1 May 2006 to 30 April 2007. Laronidase first received marketing approval on 30 April 2003</w:t>
      </w:r>
      <w:r w:rsidR="004E13FB" w:rsidRPr="00F33737">
        <w:t xml:space="preserve"> </w:t>
      </w:r>
      <w:r w:rsidR="00A130D0" w:rsidRPr="00F33737">
        <w:rPr>
          <w:noProof/>
        </w:rPr>
        <w:t>(</w:t>
      </w:r>
      <w:r w:rsidR="00184B6F" w:rsidRPr="00F33737">
        <w:rPr>
          <w:noProof/>
        </w:rPr>
        <w:t>Genzyme 2007</w:t>
      </w:r>
      <w:r w:rsidR="00A130D0" w:rsidRPr="00F33737">
        <w:rPr>
          <w:noProof/>
        </w:rPr>
        <w:t>)</w:t>
      </w:r>
      <w:r w:rsidRPr="00F33737">
        <w:t>.</w:t>
      </w:r>
      <w:r w:rsidRPr="002D514D">
        <w:t xml:space="preserve"> </w:t>
      </w:r>
    </w:p>
    <w:p w:rsidR="000756DF" w:rsidRPr="00F33737" w:rsidRDefault="000756DF" w:rsidP="000756DF">
      <w:r w:rsidRPr="00F33737">
        <w:t>It is estimated that during the reporting period, four patients were receiving laronidase within clinical trials, and 553 were receiving laronidase</w:t>
      </w:r>
      <w:r w:rsidR="007423F0" w:rsidRPr="00F33737">
        <w:t xml:space="preserve"> commercially</w:t>
      </w:r>
      <w:r w:rsidRPr="00F33737">
        <w:t xml:space="preserve">. During the same period, 140 case reports were received, of which 135 were medically confirmed. The majority (127) were from spontaneous reporting sources, 6 were identified through the literature, and 2 were from clinical </w:t>
      </w:r>
      <w:proofErr w:type="gramStart"/>
      <w:r w:rsidRPr="00F33737">
        <w:t>trials</w:t>
      </w:r>
      <w:r w:rsidR="00A130D0" w:rsidRPr="00F33737">
        <w:rPr>
          <w:noProof/>
        </w:rPr>
        <w:t>(</w:t>
      </w:r>
      <w:proofErr w:type="gramEnd"/>
      <w:r w:rsidR="00184B6F" w:rsidRPr="00F33737">
        <w:rPr>
          <w:noProof/>
        </w:rPr>
        <w:t>Genzyme 2007</w:t>
      </w:r>
      <w:r w:rsidR="00A130D0" w:rsidRPr="00F33737">
        <w:rPr>
          <w:noProof/>
        </w:rPr>
        <w:t>)</w:t>
      </w:r>
      <w:r w:rsidR="004E13FB" w:rsidRPr="00F33737">
        <w:t>.</w:t>
      </w:r>
    </w:p>
    <w:p w:rsidR="000756DF" w:rsidRPr="00F33737" w:rsidRDefault="000756DF" w:rsidP="000756DF">
      <w:r w:rsidRPr="00F33737">
        <w:t xml:space="preserve">A summary of the 59 serious and 76 non-serious reported events between May 2006 and April 2007 is shown in </w:t>
      </w:r>
      <w:r w:rsidR="00A72B26" w:rsidRPr="00F33737">
        <w:t xml:space="preserve">Table </w:t>
      </w:r>
      <w:r w:rsidR="00A72B26" w:rsidRPr="00F33737">
        <w:rPr>
          <w:noProof/>
        </w:rPr>
        <w:t>112</w:t>
      </w:r>
      <w:r w:rsidRPr="00F33737">
        <w:t xml:space="preserve">. Other adverse reactions were only reported in individual cases. </w:t>
      </w:r>
    </w:p>
    <w:p w:rsidR="000756DF" w:rsidRPr="002D514D" w:rsidRDefault="000756DF" w:rsidP="00F44176">
      <w:pPr>
        <w:pStyle w:val="Caption"/>
        <w:keepNext/>
        <w:tabs>
          <w:tab w:val="clear" w:pos="851"/>
          <w:tab w:val="left" w:pos="1134"/>
        </w:tabs>
        <w:ind w:left="1134" w:hanging="1134"/>
        <w:rPr>
          <w:bCs w:val="0"/>
        </w:rPr>
      </w:pPr>
      <w:bookmarkStart w:id="423" w:name="_Ref403824375"/>
      <w:bookmarkStart w:id="424" w:name="_Toc411510477"/>
      <w:bookmarkStart w:id="425" w:name="_Toc415141909"/>
      <w:r w:rsidRPr="00F33737">
        <w:t xml:space="preserve">Table </w:t>
      </w:r>
      <w:r w:rsidR="00A72B26" w:rsidRPr="00F33737">
        <w:rPr>
          <w:noProof/>
        </w:rPr>
        <w:t>112</w:t>
      </w:r>
      <w:bookmarkEnd w:id="423"/>
      <w:r w:rsidRPr="00F33737">
        <w:tab/>
        <w:t>Adverse drug reactions to laronidase</w:t>
      </w:r>
      <w:r w:rsidR="004E13FB" w:rsidRPr="002D514D">
        <w:t xml:space="preserve"> </w:t>
      </w:r>
      <w:r w:rsidR="00A130D0" w:rsidRPr="00F33737">
        <w:rPr>
          <w:noProof/>
        </w:rPr>
        <w:t>(</w:t>
      </w:r>
      <w:r w:rsidR="00184B6F" w:rsidRPr="00F33737">
        <w:rPr>
          <w:noProof/>
        </w:rPr>
        <w:t>Genzyme 2007</w:t>
      </w:r>
      <w:r w:rsidR="00A130D0" w:rsidRPr="00F33737">
        <w:rPr>
          <w:noProof/>
        </w:rPr>
        <w:t>)</w:t>
      </w:r>
      <w:bookmarkEnd w:id="424"/>
      <w:bookmarkEnd w:id="425"/>
    </w:p>
    <w:tbl>
      <w:tblPr>
        <w:tblStyle w:val="TableGrid"/>
        <w:tblW w:w="5000" w:type="pct"/>
        <w:tblLook w:val="04A0" w:firstRow="1" w:lastRow="0" w:firstColumn="1" w:lastColumn="0" w:noHBand="0" w:noVBand="1"/>
        <w:tblCaption w:val="Table 79 Adverse drug reactions to laronidase (Genzyme 2007)"/>
        <w:tblDescription w:val=" Adverse drug reactions in MPS I patients to laronidase (Genzyme 2007)"/>
      </w:tblPr>
      <w:tblGrid>
        <w:gridCol w:w="3249"/>
        <w:gridCol w:w="5993"/>
      </w:tblGrid>
      <w:tr w:rsidR="000756DF" w:rsidRPr="002D514D" w:rsidTr="009A0365">
        <w:trPr>
          <w:tblHeader/>
        </w:trPr>
        <w:tc>
          <w:tcPr>
            <w:tcW w:w="1758" w:type="pct"/>
          </w:tcPr>
          <w:p w:rsidR="000756DF" w:rsidRPr="00F33737" w:rsidRDefault="000756DF" w:rsidP="00F16FC9">
            <w:pPr>
              <w:pStyle w:val="TableHeading"/>
            </w:pPr>
            <w:r w:rsidRPr="00F33737">
              <w:t>Category</w:t>
            </w:r>
          </w:p>
        </w:tc>
        <w:tc>
          <w:tcPr>
            <w:tcW w:w="3242" w:type="pct"/>
          </w:tcPr>
          <w:p w:rsidR="000756DF" w:rsidRPr="00F33737" w:rsidRDefault="000756DF" w:rsidP="00F16FC9">
            <w:pPr>
              <w:pStyle w:val="TableHeading"/>
            </w:pPr>
            <w:r w:rsidRPr="00F33737">
              <w:t>Description (No. of events between May 2006 and April 2007)</w:t>
            </w:r>
          </w:p>
        </w:tc>
      </w:tr>
      <w:tr w:rsidR="000756DF" w:rsidRPr="002D514D" w:rsidTr="000756DF">
        <w:tc>
          <w:tcPr>
            <w:tcW w:w="1758" w:type="pct"/>
          </w:tcPr>
          <w:p w:rsidR="000756DF" w:rsidRPr="00F33737" w:rsidRDefault="000756DF" w:rsidP="007423F0">
            <w:pPr>
              <w:pStyle w:val="TableHeading"/>
            </w:pPr>
            <w:r w:rsidRPr="00F33737">
              <w:t>Serious unlisted adverse drug reactions</w:t>
            </w:r>
          </w:p>
        </w:tc>
        <w:tc>
          <w:tcPr>
            <w:tcW w:w="3242" w:type="pct"/>
          </w:tcPr>
          <w:p w:rsidR="000756DF" w:rsidRPr="00F33737" w:rsidRDefault="000756DF" w:rsidP="00F16FC9">
            <w:pPr>
              <w:pStyle w:val="TableText0"/>
            </w:pPr>
            <w:r w:rsidRPr="00F33737">
              <w:t>Complications of bone marrow transplantation (graft versus host disease) (8)</w:t>
            </w:r>
          </w:p>
          <w:p w:rsidR="000756DF" w:rsidRPr="00F33737" w:rsidRDefault="000756DF" w:rsidP="00F16FC9">
            <w:pPr>
              <w:pStyle w:val="TableText0"/>
            </w:pPr>
            <w:r w:rsidRPr="00F33737">
              <w:t>Pyrexia (8)</w:t>
            </w:r>
          </w:p>
          <w:p w:rsidR="000756DF" w:rsidRPr="00F33737" w:rsidRDefault="000756DF" w:rsidP="00F16FC9">
            <w:pPr>
              <w:pStyle w:val="TableText0"/>
            </w:pPr>
            <w:r w:rsidRPr="00F33737">
              <w:t>Oxygen saturation decreased (6)</w:t>
            </w:r>
          </w:p>
          <w:p w:rsidR="000756DF" w:rsidRPr="00F33737" w:rsidRDefault="000756DF" w:rsidP="00F16FC9">
            <w:pPr>
              <w:pStyle w:val="TableText0"/>
            </w:pPr>
            <w:r w:rsidRPr="00F33737">
              <w:t>Dyspnoea and respiratory failure (4)</w:t>
            </w:r>
          </w:p>
          <w:p w:rsidR="000756DF" w:rsidRPr="00F33737" w:rsidRDefault="000756DF" w:rsidP="00F16FC9">
            <w:pPr>
              <w:pStyle w:val="TableText0"/>
            </w:pPr>
            <w:r w:rsidRPr="00F33737">
              <w:t>Chills (3)</w:t>
            </w:r>
          </w:p>
          <w:p w:rsidR="000756DF" w:rsidRPr="00F33737" w:rsidRDefault="000756DF" w:rsidP="00F16FC9">
            <w:pPr>
              <w:pStyle w:val="TableText0"/>
            </w:pPr>
            <w:r w:rsidRPr="00F33737">
              <w:t>Coughs (3)</w:t>
            </w:r>
          </w:p>
          <w:p w:rsidR="000756DF" w:rsidRPr="00F33737" w:rsidRDefault="000756DF" w:rsidP="00F16FC9">
            <w:pPr>
              <w:pStyle w:val="TableText0"/>
            </w:pPr>
            <w:r w:rsidRPr="00F33737">
              <w:t>Respiratory distress (3)</w:t>
            </w:r>
          </w:p>
          <w:p w:rsidR="000756DF" w:rsidRPr="00F33737" w:rsidRDefault="000756DF" w:rsidP="00F16FC9">
            <w:pPr>
              <w:pStyle w:val="TableText0"/>
            </w:pPr>
            <w:r w:rsidRPr="00F33737">
              <w:t>Sepsis (3)</w:t>
            </w:r>
          </w:p>
          <w:p w:rsidR="000756DF" w:rsidRPr="00F33737" w:rsidRDefault="000756DF" w:rsidP="00F16FC9">
            <w:pPr>
              <w:pStyle w:val="TableText0"/>
            </w:pPr>
            <w:r w:rsidRPr="00F33737">
              <w:t>Vomiting (3)</w:t>
            </w:r>
          </w:p>
          <w:p w:rsidR="000756DF" w:rsidRPr="00F33737" w:rsidRDefault="000756DF" w:rsidP="00F16FC9">
            <w:pPr>
              <w:pStyle w:val="TableText0"/>
            </w:pPr>
            <w:r w:rsidRPr="00F33737">
              <w:t>Central line infection (2)</w:t>
            </w:r>
          </w:p>
          <w:p w:rsidR="000756DF" w:rsidRPr="00F33737" w:rsidRDefault="000756DF" w:rsidP="00F16FC9">
            <w:pPr>
              <w:pStyle w:val="TableText0"/>
            </w:pPr>
            <w:r w:rsidRPr="00F33737">
              <w:t>Intracranial pressure increased (2)</w:t>
            </w:r>
          </w:p>
          <w:p w:rsidR="000756DF" w:rsidRPr="00F33737" w:rsidRDefault="000756DF" w:rsidP="00F16FC9">
            <w:pPr>
              <w:pStyle w:val="TableText0"/>
            </w:pPr>
            <w:r w:rsidRPr="00F33737">
              <w:t>Post-procedural complication (2)</w:t>
            </w:r>
          </w:p>
          <w:p w:rsidR="000756DF" w:rsidRPr="00F33737" w:rsidRDefault="000756DF" w:rsidP="00F16FC9">
            <w:pPr>
              <w:pStyle w:val="TableText0"/>
            </w:pPr>
            <w:r w:rsidRPr="00F33737">
              <w:t>Septic shock (2)</w:t>
            </w:r>
          </w:p>
        </w:tc>
      </w:tr>
      <w:tr w:rsidR="000756DF" w:rsidRPr="002D514D" w:rsidTr="000756DF">
        <w:tc>
          <w:tcPr>
            <w:tcW w:w="1758" w:type="pct"/>
          </w:tcPr>
          <w:p w:rsidR="000756DF" w:rsidRPr="00F33737" w:rsidRDefault="000756DF" w:rsidP="007423F0">
            <w:pPr>
              <w:pStyle w:val="TableHeading"/>
            </w:pPr>
            <w:r w:rsidRPr="00F33737">
              <w:t>Serious listed adverse drug reactions</w:t>
            </w:r>
          </w:p>
        </w:tc>
        <w:tc>
          <w:tcPr>
            <w:tcW w:w="3242" w:type="pct"/>
          </w:tcPr>
          <w:p w:rsidR="000756DF" w:rsidRPr="00F33737" w:rsidRDefault="000756DF" w:rsidP="00F16FC9">
            <w:pPr>
              <w:pStyle w:val="TableText0"/>
            </w:pPr>
            <w:r w:rsidRPr="00F33737">
              <w:t>Urticaria (6)</w:t>
            </w:r>
          </w:p>
          <w:p w:rsidR="000756DF" w:rsidRPr="00F33737" w:rsidRDefault="000756DF" w:rsidP="00F16FC9">
            <w:pPr>
              <w:pStyle w:val="TableText0"/>
            </w:pPr>
            <w:r w:rsidRPr="00F33737">
              <w:t>Erythema (2)</w:t>
            </w:r>
          </w:p>
        </w:tc>
      </w:tr>
      <w:tr w:rsidR="000756DF" w:rsidRPr="002D514D" w:rsidTr="000756DF">
        <w:tc>
          <w:tcPr>
            <w:tcW w:w="1758" w:type="pct"/>
          </w:tcPr>
          <w:p w:rsidR="000756DF" w:rsidRPr="00F33737" w:rsidRDefault="000756DF" w:rsidP="007423F0">
            <w:pPr>
              <w:pStyle w:val="TableHeading"/>
            </w:pPr>
            <w:r w:rsidRPr="00F33737">
              <w:t>Non-serious unlisted adverse drug reactions</w:t>
            </w:r>
          </w:p>
        </w:tc>
        <w:tc>
          <w:tcPr>
            <w:tcW w:w="3242" w:type="pct"/>
          </w:tcPr>
          <w:p w:rsidR="000756DF" w:rsidRPr="00F33737" w:rsidRDefault="000756DF" w:rsidP="00F16FC9">
            <w:pPr>
              <w:pStyle w:val="TableText0"/>
            </w:pPr>
            <w:r w:rsidRPr="00F33737">
              <w:t>Chills (10)</w:t>
            </w:r>
          </w:p>
          <w:p w:rsidR="000756DF" w:rsidRPr="00F33737" w:rsidRDefault="000756DF" w:rsidP="00F16FC9">
            <w:pPr>
              <w:pStyle w:val="TableText0"/>
            </w:pPr>
            <w:r w:rsidRPr="00F33737">
              <w:t>Fever (10)</w:t>
            </w:r>
          </w:p>
          <w:p w:rsidR="000756DF" w:rsidRPr="00F33737" w:rsidRDefault="000756DF" w:rsidP="00F16FC9">
            <w:pPr>
              <w:pStyle w:val="TableText0"/>
            </w:pPr>
            <w:r w:rsidRPr="00F33737">
              <w:t>Dyspnoea (6)</w:t>
            </w:r>
          </w:p>
          <w:p w:rsidR="000756DF" w:rsidRPr="00F33737" w:rsidRDefault="000756DF" w:rsidP="00F16FC9">
            <w:pPr>
              <w:pStyle w:val="TableText0"/>
            </w:pPr>
            <w:r w:rsidRPr="00F33737">
              <w:t>Diarrhoea (5)</w:t>
            </w:r>
          </w:p>
          <w:p w:rsidR="000756DF" w:rsidRPr="00F33737" w:rsidRDefault="000756DF" w:rsidP="00F16FC9">
            <w:pPr>
              <w:pStyle w:val="TableText0"/>
            </w:pPr>
            <w:r w:rsidRPr="00F33737">
              <w:t>Nausea (5)</w:t>
            </w:r>
          </w:p>
          <w:p w:rsidR="000756DF" w:rsidRPr="00F33737" w:rsidRDefault="000756DF" w:rsidP="00F16FC9">
            <w:pPr>
              <w:pStyle w:val="TableText0"/>
            </w:pPr>
            <w:r w:rsidRPr="00F33737">
              <w:t>Vomiting (5)</w:t>
            </w:r>
          </w:p>
        </w:tc>
      </w:tr>
      <w:tr w:rsidR="000756DF" w:rsidRPr="002D514D" w:rsidTr="000756DF">
        <w:tc>
          <w:tcPr>
            <w:tcW w:w="1758" w:type="pct"/>
          </w:tcPr>
          <w:p w:rsidR="000756DF" w:rsidRPr="00F33737" w:rsidRDefault="000756DF" w:rsidP="007423F0">
            <w:pPr>
              <w:pStyle w:val="TableHeading"/>
            </w:pPr>
            <w:r w:rsidRPr="00F33737">
              <w:t>Non-serious listed adverse drug reactions</w:t>
            </w:r>
          </w:p>
        </w:tc>
        <w:tc>
          <w:tcPr>
            <w:tcW w:w="3242" w:type="pct"/>
          </w:tcPr>
          <w:p w:rsidR="000756DF" w:rsidRPr="00F33737" w:rsidRDefault="000756DF" w:rsidP="00F16FC9">
            <w:pPr>
              <w:pStyle w:val="TableText0"/>
            </w:pPr>
            <w:r w:rsidRPr="00F33737">
              <w:t>Urticaria (12)</w:t>
            </w:r>
          </w:p>
          <w:p w:rsidR="000756DF" w:rsidRPr="00F33737" w:rsidRDefault="000756DF" w:rsidP="00F16FC9">
            <w:pPr>
              <w:pStyle w:val="TableText0"/>
            </w:pPr>
            <w:r w:rsidRPr="00F33737">
              <w:t>Headache (5)</w:t>
            </w:r>
          </w:p>
          <w:p w:rsidR="000756DF" w:rsidRPr="00F33737" w:rsidRDefault="000756DF" w:rsidP="00F16FC9">
            <w:pPr>
              <w:pStyle w:val="TableText0"/>
            </w:pPr>
            <w:r w:rsidRPr="00F33737">
              <w:t>Rash (5)</w:t>
            </w:r>
          </w:p>
          <w:p w:rsidR="000756DF" w:rsidRPr="00F33737" w:rsidRDefault="000756DF" w:rsidP="00F16FC9">
            <w:pPr>
              <w:pStyle w:val="TableText0"/>
            </w:pPr>
            <w:r w:rsidRPr="00F33737">
              <w:t>Erythema (4)</w:t>
            </w:r>
          </w:p>
        </w:tc>
      </w:tr>
    </w:tbl>
    <w:p w:rsidR="000756DF" w:rsidRPr="00F33737" w:rsidRDefault="000756DF" w:rsidP="000756DF"/>
    <w:p w:rsidR="000756DF" w:rsidRPr="00F33737" w:rsidRDefault="000756DF" w:rsidP="000756DF">
      <w:r w:rsidRPr="00F33737">
        <w:lastRenderedPageBreak/>
        <w:t xml:space="preserve">A total of 16 case reports were identified during the reporting period, where patients taking laronidase had a fatal outcome. All of these were either thought to be unrelated </w:t>
      </w:r>
      <w:r w:rsidR="007423F0" w:rsidRPr="00F33737">
        <w:t xml:space="preserve">to treatment </w:t>
      </w:r>
      <w:r w:rsidRPr="00F33737">
        <w:t>(n</w:t>
      </w:r>
      <w:r w:rsidR="00652355" w:rsidRPr="00F33737">
        <w:rPr>
          <w:spacing w:val="-20"/>
        </w:rPr>
        <w:t xml:space="preserve"> = </w:t>
      </w:r>
      <w:r w:rsidRPr="00F33737">
        <w:t>13) or unassessable (n</w:t>
      </w:r>
      <w:r w:rsidR="00652355" w:rsidRPr="00F33737">
        <w:rPr>
          <w:spacing w:val="-20"/>
        </w:rPr>
        <w:t xml:space="preserve"> = </w:t>
      </w:r>
      <w:r w:rsidRPr="00F33737">
        <w:t>3). There were 8 case reports of cardiac disorders during the reporting period, of which 7 were unrelated to laronidase, and in the remaining case, causality could not be assessed</w:t>
      </w:r>
      <w:r w:rsidR="004E13FB" w:rsidRPr="00F33737">
        <w:t xml:space="preserve"> </w:t>
      </w:r>
      <w:r w:rsidR="00A130D0" w:rsidRPr="00F33737">
        <w:rPr>
          <w:noProof/>
        </w:rPr>
        <w:t>(</w:t>
      </w:r>
      <w:r w:rsidR="00184B6F" w:rsidRPr="00F33737">
        <w:rPr>
          <w:noProof/>
        </w:rPr>
        <w:t>Genzyme 2007</w:t>
      </w:r>
      <w:r w:rsidR="00A130D0" w:rsidRPr="00F33737">
        <w:rPr>
          <w:noProof/>
        </w:rPr>
        <w:t>)</w:t>
      </w:r>
      <w:r w:rsidR="004E13FB" w:rsidRPr="00F33737">
        <w:t>.</w:t>
      </w:r>
    </w:p>
    <w:p w:rsidR="000756DF" w:rsidRPr="00F33737" w:rsidRDefault="007423F0" w:rsidP="000756DF">
      <w:r w:rsidRPr="00F33737">
        <w:t xml:space="preserve">There were 6 case reports classed as “General Disorders and Administration Site Conditions”, of which 3 were unrelated to laronidase, 1 was unassessable, and 2 were considered related to laronidase. In one of these cases, an 8 year old girl who had been receiving laronidase infusions for 18 months, developed fever, swelling of the lips, shaking, </w:t>
      </w:r>
      <w:proofErr w:type="gramStart"/>
      <w:r w:rsidRPr="00F33737">
        <w:t>chills</w:t>
      </w:r>
      <w:proofErr w:type="gramEnd"/>
      <w:r w:rsidRPr="00F33737">
        <w:t xml:space="preserve"> and vomiting during a laronidase infusion. The infusion was stopped</w:t>
      </w:r>
      <w:r w:rsidR="001B4E29" w:rsidRPr="00F33737">
        <w:t xml:space="preserve"> and</w:t>
      </w:r>
      <w:r w:rsidRPr="00F33737">
        <w:t xml:space="preserve"> the patient was admitted to hospital for two days, where she was treated with antibiotics. The patient was found to have positive IgE and IgG antibodies towards laronidase. Subsequent infusions were uneventful. The second related case was in a 4 year old boy who had been receiving laronidase for 3 years prior to the infusion-related adverse event, in which he had facial urticaria and oedema and malaise for 5 minutes. This was deemed to be serious and related to laronidase. The infusion was </w:t>
      </w:r>
      <w:proofErr w:type="gramStart"/>
      <w:r w:rsidRPr="00F33737">
        <w:t>stopped,</w:t>
      </w:r>
      <w:proofErr w:type="gramEnd"/>
      <w:r w:rsidRPr="00F33737">
        <w:t xml:space="preserve"> he was treated with epinephrine, and recovered the same day </w:t>
      </w:r>
      <w:r w:rsidR="00A130D0" w:rsidRPr="00F33737">
        <w:rPr>
          <w:noProof/>
        </w:rPr>
        <w:t>(</w:t>
      </w:r>
      <w:r w:rsidR="00184B6F" w:rsidRPr="00F33737">
        <w:rPr>
          <w:noProof/>
        </w:rPr>
        <w:t>Genzyme 2007</w:t>
      </w:r>
      <w:r w:rsidR="00A130D0" w:rsidRPr="00F33737">
        <w:rPr>
          <w:noProof/>
        </w:rPr>
        <w:t>)</w:t>
      </w:r>
      <w:r w:rsidR="004E13FB" w:rsidRPr="00F33737">
        <w:t>.</w:t>
      </w:r>
    </w:p>
    <w:p w:rsidR="007423F0" w:rsidRPr="00F33737" w:rsidRDefault="007423F0" w:rsidP="007423F0">
      <w:r w:rsidRPr="00F33737">
        <w:t xml:space="preserve">Three case reports were classified as “Immune system disorders”, all of which were assessed to be unrelated to laronidase. There were 9 case reports coded as “Infections and infestations”, of which 7 were considered unrelated to treatment, one was unassessed, and one was thought to be related to laronidase. A three year old boy had a normal temperature at the start of infusion, which was raised to 39.4°C on completion of infusion. He was given paracetamol and vomited. The patient was diagnosed with a viral illness and hospitalised overnight. He recovered without sequelae. </w:t>
      </w:r>
    </w:p>
    <w:p w:rsidR="000756DF" w:rsidRPr="00F33737" w:rsidRDefault="007423F0" w:rsidP="000756DF">
      <w:r w:rsidRPr="00F33737">
        <w:t>There were 6 cases of injury, poisoning, and procedural complications during the reporting period, of which 3 were unassessable, and the remaining 3 were deemed unrelated to laronidase</w:t>
      </w:r>
      <w:r w:rsidR="004E13FB" w:rsidRPr="00F33737">
        <w:t xml:space="preserve"> </w:t>
      </w:r>
      <w:r w:rsidR="00A130D0" w:rsidRPr="00F33737">
        <w:rPr>
          <w:noProof/>
        </w:rPr>
        <w:t>(</w:t>
      </w:r>
      <w:r w:rsidR="00184B6F" w:rsidRPr="00F33737">
        <w:rPr>
          <w:noProof/>
        </w:rPr>
        <w:t>Genzyme 2007</w:t>
      </w:r>
      <w:r w:rsidR="00A130D0" w:rsidRPr="00F33737">
        <w:rPr>
          <w:noProof/>
        </w:rPr>
        <w:t>)</w:t>
      </w:r>
      <w:r w:rsidR="004E13FB" w:rsidRPr="00F33737">
        <w:t>.</w:t>
      </w:r>
    </w:p>
    <w:p w:rsidR="000756DF" w:rsidRPr="00F33737" w:rsidRDefault="000756DF" w:rsidP="000756DF">
      <w:r w:rsidRPr="00F33737">
        <w:t>There were five serious case reports listed under “Investigations”, of which one was unassessable in relation to laronidase, while the four others, all in one 4 year old boy, were considered related to treatment with laronidase. Infusion-associated reactions occurred on five different occasions over five weeks, including facial urticaria, generalised erythema, oxygen desaturation, and coughing/wheezing, which required the infusion to be stopped. The patient was given medication for the symptoms, and recovered the same day. After the fifth infusion which resulted in adverse events, laronidase treatment was stopped</w:t>
      </w:r>
      <w:r w:rsidR="004E13FB" w:rsidRPr="00F33737">
        <w:t xml:space="preserve"> </w:t>
      </w:r>
      <w:r w:rsidR="00A130D0" w:rsidRPr="00F33737">
        <w:rPr>
          <w:noProof/>
        </w:rPr>
        <w:t>(</w:t>
      </w:r>
      <w:r w:rsidR="00184B6F" w:rsidRPr="00F33737">
        <w:rPr>
          <w:noProof/>
        </w:rPr>
        <w:t>Genzyme 2007</w:t>
      </w:r>
      <w:r w:rsidR="00A130D0" w:rsidRPr="00F33737">
        <w:rPr>
          <w:noProof/>
        </w:rPr>
        <w:t>)</w:t>
      </w:r>
      <w:r w:rsidR="004E13FB" w:rsidRPr="00F33737">
        <w:t>.</w:t>
      </w:r>
    </w:p>
    <w:p w:rsidR="000756DF" w:rsidRPr="00F33737" w:rsidRDefault="000756DF" w:rsidP="000756DF">
      <w:r w:rsidRPr="00F33737">
        <w:t>Two neoplasms were reported, neither of which were considered related to laronidase. Three nervous system disorders were reported, all considered unrelated to laronidase. One unrelated spontaneous abortion was reported</w:t>
      </w:r>
      <w:r w:rsidR="004E13FB" w:rsidRPr="00F33737">
        <w:t xml:space="preserve"> </w:t>
      </w:r>
      <w:r w:rsidR="00A130D0" w:rsidRPr="00F33737">
        <w:rPr>
          <w:noProof/>
        </w:rPr>
        <w:t>(</w:t>
      </w:r>
      <w:r w:rsidR="00184B6F" w:rsidRPr="00F33737">
        <w:rPr>
          <w:noProof/>
        </w:rPr>
        <w:t>Genzyme 2007</w:t>
      </w:r>
      <w:r w:rsidR="00A130D0" w:rsidRPr="00F33737">
        <w:rPr>
          <w:noProof/>
        </w:rPr>
        <w:t>)</w:t>
      </w:r>
      <w:r w:rsidR="004E13FB" w:rsidRPr="00F33737">
        <w:t>.</w:t>
      </w:r>
      <w:r w:rsidR="004E13FB" w:rsidRPr="002D514D">
        <w:t xml:space="preserve"> </w:t>
      </w:r>
      <w:r w:rsidRPr="00F33737">
        <w:t xml:space="preserve"> </w:t>
      </w:r>
    </w:p>
    <w:p w:rsidR="000756DF" w:rsidRPr="002D514D" w:rsidRDefault="00A11CBD" w:rsidP="000756DF">
      <w:r w:rsidRPr="00F33737">
        <w:lastRenderedPageBreak/>
        <w:t xml:space="preserve">Eleven reports of “Respiratory, Thoracic and Mediastinal Disorders” were received during the reporting period, of which 6 were considered unrelated to treatment, 3 were assessed as relating to laronidase, and 2 were unassessable. Of the cases thought related to laronidase, a male patient was hospitalised with difficulty breathing and hives, 29 hours after infusion with laronidase. He was treated with supplemental oxygen and recovered without sequelae. In the second case, the patient had received 90% of his infusion, when he developed generalised oedema, swelling of the face, and peri-oral oedema, with pruritic urticaria on the lower extremities, torso and face. The patient was given epinephrine, which reduced the urticaria and facial oedema. The patient vomited several times. After several hours, the symptoms resolved, and the infusion was re-started with the addition of an antihistamine and hydrocortisone, without incident. In the third case, after an hour of laronidase infusion, the patient had a fever, difficulty breathing, generalised tremor, </w:t>
      </w:r>
      <w:r w:rsidR="001B4E29" w:rsidRPr="00F33737">
        <w:t>tachypnoea</w:t>
      </w:r>
      <w:r w:rsidRPr="00F33737">
        <w:t xml:space="preserve">, generalised cyanosis, vomiting and diarrhoea. The infusion was </w:t>
      </w:r>
      <w:r w:rsidR="001B4E29" w:rsidRPr="00F33737">
        <w:t>stopped;</w:t>
      </w:r>
      <w:r w:rsidRPr="00F33737">
        <w:t xml:space="preserve"> the patient was given dipirone and hydrocortisone, and recovered without sequelae. The infusion was re-started at a slower rate </w:t>
      </w:r>
      <w:r w:rsidR="00A130D0" w:rsidRPr="002D514D">
        <w:rPr>
          <w:noProof/>
        </w:rPr>
        <w:t>(</w:t>
      </w:r>
      <w:r w:rsidR="00184B6F" w:rsidRPr="002D514D">
        <w:rPr>
          <w:noProof/>
        </w:rPr>
        <w:t>Genzyme 2007</w:t>
      </w:r>
      <w:r w:rsidR="00A130D0" w:rsidRPr="002D514D">
        <w:rPr>
          <w:noProof/>
        </w:rPr>
        <w:t>)</w:t>
      </w:r>
      <w:r w:rsidR="004E13FB" w:rsidRPr="002D514D">
        <w:t>.</w:t>
      </w:r>
    </w:p>
    <w:p w:rsidR="000756DF" w:rsidRPr="002D514D" w:rsidRDefault="000756DF" w:rsidP="000756DF">
      <w:r w:rsidRPr="002D514D">
        <w:t xml:space="preserve">One surgical adverse event was reported, unrelated to laronidase. </w:t>
      </w:r>
    </w:p>
    <w:p w:rsidR="000756DF" w:rsidRPr="002D514D" w:rsidRDefault="000756DF" w:rsidP="000756DF">
      <w:r w:rsidRPr="002D514D">
        <w:t xml:space="preserve">Three cases of vascular disorders were reported, of which one was unassessable, one was considered unrelated to laronidase, and one was considered related. In this case, a 6 year old boy developed facial redness and arterial hypertension during the second half of his infusion, which was described as an allergic reaction. </w:t>
      </w:r>
    </w:p>
    <w:p w:rsidR="000756DF" w:rsidRPr="002D514D" w:rsidRDefault="000756DF" w:rsidP="000756DF">
      <w:r w:rsidRPr="002D514D">
        <w:t>The conclusion of the PSUR was that the adverse events reported are often indicative of underlying MPS I disease, and the benefit/risk ratio of laronidase is favourable</w:t>
      </w:r>
      <w:r w:rsidR="004E3453" w:rsidRPr="002D514D">
        <w:t xml:space="preserve"> </w:t>
      </w:r>
      <w:r w:rsidR="00A130D0" w:rsidRPr="002D514D">
        <w:rPr>
          <w:noProof/>
        </w:rPr>
        <w:t>(</w:t>
      </w:r>
      <w:r w:rsidR="00184B6F" w:rsidRPr="002D514D">
        <w:rPr>
          <w:noProof/>
        </w:rPr>
        <w:t>Genzyme 2007</w:t>
      </w:r>
      <w:r w:rsidR="00A130D0" w:rsidRPr="002D514D">
        <w:rPr>
          <w:noProof/>
        </w:rPr>
        <w:t>)</w:t>
      </w:r>
      <w:r w:rsidR="004E3453" w:rsidRPr="002D514D">
        <w:t>.</w:t>
      </w:r>
      <w:r w:rsidR="00A11CBD" w:rsidRPr="002D514D">
        <w:t xml:space="preserve"> However, it is also apparent that infusion-related hypersensitivity reactions are not uncommon.</w:t>
      </w:r>
    </w:p>
    <w:p w:rsidR="000756DF" w:rsidRPr="002D514D" w:rsidRDefault="000756DF" w:rsidP="00E965BD">
      <w:pPr>
        <w:pStyle w:val="Heading5"/>
      </w:pPr>
      <w:bookmarkStart w:id="426" w:name="_Toc404937275"/>
      <w:r w:rsidRPr="002D514D">
        <w:t>MPS II</w:t>
      </w:r>
      <w:bookmarkEnd w:id="426"/>
      <w:r w:rsidRPr="002D514D">
        <w:t xml:space="preserve"> </w:t>
      </w:r>
    </w:p>
    <w:p w:rsidR="00B15620" w:rsidRPr="004407D9" w:rsidRDefault="000756DF" w:rsidP="000756DF">
      <w:r w:rsidRPr="002D514D">
        <w:t>The reporting period for idursulfase was between July 2010 and July 2011</w:t>
      </w:r>
      <w:r w:rsidR="00B15620">
        <w:t>. Information from this reporting period was provided</w:t>
      </w:r>
      <w:r w:rsidR="002641B3">
        <w:t xml:space="preserve"> to the LSDP Reference Group. </w:t>
      </w:r>
      <w:r w:rsidR="002641B3" w:rsidRPr="004407D9">
        <w:t xml:space="preserve">The information is </w:t>
      </w:r>
      <w:r w:rsidR="00926546" w:rsidRPr="004407D9">
        <w:t xml:space="preserve">withheld in this </w:t>
      </w:r>
      <w:r w:rsidR="000A4A3F" w:rsidRPr="004407D9">
        <w:t xml:space="preserve">draft </w:t>
      </w:r>
      <w:r w:rsidR="00926546" w:rsidRPr="004407D9">
        <w:t>report at the request of the drug sponsor</w:t>
      </w:r>
      <w:r w:rsidR="002641B3" w:rsidRPr="004407D9">
        <w:t xml:space="preserve">. </w:t>
      </w:r>
    </w:p>
    <w:p w:rsidR="000A4A3F" w:rsidRPr="000A4A3F" w:rsidRDefault="000A4A3F" w:rsidP="000A4A3F">
      <w:pPr>
        <w:pStyle w:val="Caption"/>
        <w:keepNext/>
        <w:tabs>
          <w:tab w:val="clear" w:pos="851"/>
          <w:tab w:val="left" w:pos="1134"/>
        </w:tabs>
        <w:ind w:left="1134" w:hanging="1134"/>
      </w:pPr>
      <w:bookmarkStart w:id="427" w:name="_Ref403825896"/>
      <w:bookmarkStart w:id="428" w:name="_Toc411510478"/>
      <w:bookmarkStart w:id="429" w:name="_Toc415141910"/>
      <w:r w:rsidRPr="000A4A3F">
        <w:lastRenderedPageBreak/>
        <w:t xml:space="preserve">Table </w:t>
      </w:r>
      <w:r w:rsidRPr="000A4A3F">
        <w:rPr>
          <w:noProof/>
        </w:rPr>
        <w:t>113</w:t>
      </w:r>
      <w:bookmarkEnd w:id="427"/>
      <w:r w:rsidRPr="000A4A3F">
        <w:tab/>
        <w:t xml:space="preserve">Adverse reactions to idursulfase during reporting period </w:t>
      </w:r>
      <w:r w:rsidRPr="000A4A3F">
        <w:rPr>
          <w:noProof/>
        </w:rPr>
        <w:t>(Shire Pharmaceuticals 2011)</w:t>
      </w:r>
      <w:bookmarkEnd w:id="428"/>
      <w:bookmarkEnd w:id="429"/>
    </w:p>
    <w:tbl>
      <w:tblPr>
        <w:tblStyle w:val="TableGrid"/>
        <w:tblW w:w="5000" w:type="pct"/>
        <w:tblLook w:val="04A0" w:firstRow="1" w:lastRow="0" w:firstColumn="1" w:lastColumn="0" w:noHBand="0" w:noVBand="1"/>
        <w:tblCaption w:val="Table 80 Adverse reactions to idursulfase during reporting period (Shire Pharmaceuticals 2011)"/>
        <w:tblDescription w:val="Adverse reactions to idursulfase during reporting period July 2010 to July 2011 (Shire Pharmaceuticals 2011)"/>
      </w:tblPr>
      <w:tblGrid>
        <w:gridCol w:w="3249"/>
        <w:gridCol w:w="2268"/>
        <w:gridCol w:w="2455"/>
        <w:gridCol w:w="1270"/>
      </w:tblGrid>
      <w:tr w:rsidR="000A4A3F" w:rsidRPr="000756DF" w:rsidTr="00027DD4">
        <w:trPr>
          <w:tblHeader/>
        </w:trPr>
        <w:tc>
          <w:tcPr>
            <w:tcW w:w="1758" w:type="pct"/>
          </w:tcPr>
          <w:p w:rsidR="000A4A3F" w:rsidRPr="000A4A3F" w:rsidRDefault="000A4A3F" w:rsidP="00027DD4">
            <w:pPr>
              <w:pStyle w:val="TableHeading"/>
            </w:pPr>
            <w:r w:rsidRPr="000A4A3F">
              <w:t>Preferred term</w:t>
            </w:r>
          </w:p>
        </w:tc>
        <w:tc>
          <w:tcPr>
            <w:tcW w:w="1227" w:type="pct"/>
            <w:tcBorders>
              <w:right w:val="single" w:sz="4" w:space="0" w:color="auto"/>
            </w:tcBorders>
          </w:tcPr>
          <w:p w:rsidR="000A4A3F" w:rsidRPr="000A4A3F" w:rsidRDefault="000A4A3F" w:rsidP="00027DD4">
            <w:pPr>
              <w:pStyle w:val="TableHeading"/>
            </w:pPr>
            <w:r w:rsidRPr="000A4A3F">
              <w:t>No. of serious events</w:t>
            </w:r>
          </w:p>
        </w:tc>
        <w:tc>
          <w:tcPr>
            <w:tcW w:w="1328" w:type="pct"/>
            <w:tcBorders>
              <w:left w:val="single" w:sz="4" w:space="0" w:color="auto"/>
              <w:right w:val="single" w:sz="4" w:space="0" w:color="auto"/>
            </w:tcBorders>
          </w:tcPr>
          <w:p w:rsidR="000A4A3F" w:rsidRPr="000A4A3F" w:rsidRDefault="000A4A3F" w:rsidP="00027DD4">
            <w:pPr>
              <w:pStyle w:val="TableHeading"/>
            </w:pPr>
            <w:r w:rsidRPr="000A4A3F">
              <w:t>No. of non-serious events</w:t>
            </w:r>
          </w:p>
        </w:tc>
        <w:tc>
          <w:tcPr>
            <w:tcW w:w="687" w:type="pct"/>
            <w:tcBorders>
              <w:left w:val="single" w:sz="4" w:space="0" w:color="auto"/>
            </w:tcBorders>
          </w:tcPr>
          <w:p w:rsidR="000A4A3F" w:rsidRPr="000A4A3F" w:rsidRDefault="000A4A3F" w:rsidP="00027DD4">
            <w:pPr>
              <w:pStyle w:val="TableHeading"/>
            </w:pPr>
            <w:r w:rsidRPr="000A4A3F">
              <w:t>Total</w:t>
            </w:r>
          </w:p>
        </w:tc>
      </w:tr>
      <w:tr w:rsidR="000A4A3F" w:rsidRPr="000756DF" w:rsidTr="00027DD4">
        <w:tc>
          <w:tcPr>
            <w:tcW w:w="1758" w:type="pct"/>
          </w:tcPr>
          <w:p w:rsidR="000A4A3F" w:rsidRPr="000A4A3F" w:rsidRDefault="000A4A3F" w:rsidP="00027DD4">
            <w:pPr>
              <w:pStyle w:val="TableText0"/>
            </w:pPr>
            <w:r w:rsidRPr="000A4A3F">
              <w:t>Infusion related reaction</w:t>
            </w:r>
          </w:p>
        </w:tc>
        <w:tc>
          <w:tcPr>
            <w:tcW w:w="1227" w:type="pct"/>
            <w:tcBorders>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687" w:type="pct"/>
            <w:tcBorders>
              <w:left w:val="single" w:sz="4" w:space="0" w:color="auto"/>
            </w:tcBorders>
          </w:tcPr>
          <w:p w:rsidR="000A4A3F" w:rsidRPr="00500271" w:rsidRDefault="00500271" w:rsidP="00027DD4">
            <w:pPr>
              <w:pStyle w:val="TableText0"/>
              <w:rPr>
                <w:highlight w:val="black"/>
              </w:rPr>
            </w:pPr>
            <w:r>
              <w:rPr>
                <w:noProof/>
                <w:color w:val="000000"/>
                <w:highlight w:val="black"/>
              </w:rPr>
              <w:t>''''''</w:t>
            </w:r>
          </w:p>
        </w:tc>
      </w:tr>
      <w:tr w:rsidR="000A4A3F" w:rsidRPr="000756DF" w:rsidTr="00027DD4">
        <w:tc>
          <w:tcPr>
            <w:tcW w:w="1758" w:type="pct"/>
          </w:tcPr>
          <w:p w:rsidR="000A4A3F" w:rsidRPr="000A4A3F" w:rsidRDefault="000A4A3F" w:rsidP="00027DD4">
            <w:pPr>
              <w:pStyle w:val="TableText0"/>
            </w:pPr>
            <w:r w:rsidRPr="000A4A3F">
              <w:t>Rash (inc. erythematous and papular)</w:t>
            </w:r>
          </w:p>
        </w:tc>
        <w:tc>
          <w:tcPr>
            <w:tcW w:w="1227" w:type="pct"/>
            <w:tcBorders>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687" w:type="pct"/>
            <w:tcBorders>
              <w:left w:val="single" w:sz="4" w:space="0" w:color="auto"/>
            </w:tcBorders>
          </w:tcPr>
          <w:p w:rsidR="000A4A3F" w:rsidRPr="00500271" w:rsidRDefault="00500271" w:rsidP="00027DD4">
            <w:pPr>
              <w:pStyle w:val="TableText0"/>
              <w:rPr>
                <w:highlight w:val="black"/>
              </w:rPr>
            </w:pPr>
            <w:r>
              <w:rPr>
                <w:noProof/>
                <w:color w:val="000000"/>
                <w:highlight w:val="black"/>
              </w:rPr>
              <w:t>'''''</w:t>
            </w:r>
          </w:p>
        </w:tc>
      </w:tr>
      <w:tr w:rsidR="000A4A3F" w:rsidRPr="000756DF" w:rsidTr="00027DD4">
        <w:tc>
          <w:tcPr>
            <w:tcW w:w="1758" w:type="pct"/>
          </w:tcPr>
          <w:p w:rsidR="000A4A3F" w:rsidRPr="000A4A3F" w:rsidRDefault="000A4A3F" w:rsidP="00027DD4">
            <w:pPr>
              <w:pStyle w:val="TableText0"/>
            </w:pPr>
            <w:r w:rsidRPr="000A4A3F">
              <w:t xml:space="preserve">Urticaria </w:t>
            </w:r>
          </w:p>
        </w:tc>
        <w:tc>
          <w:tcPr>
            <w:tcW w:w="1227" w:type="pct"/>
            <w:tcBorders>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687" w:type="pct"/>
            <w:tcBorders>
              <w:left w:val="single" w:sz="4" w:space="0" w:color="auto"/>
            </w:tcBorders>
          </w:tcPr>
          <w:p w:rsidR="000A4A3F" w:rsidRPr="00500271" w:rsidRDefault="00500271" w:rsidP="00027DD4">
            <w:pPr>
              <w:pStyle w:val="TableText0"/>
              <w:rPr>
                <w:highlight w:val="black"/>
              </w:rPr>
            </w:pPr>
            <w:r>
              <w:rPr>
                <w:noProof/>
                <w:color w:val="000000"/>
                <w:highlight w:val="black"/>
              </w:rPr>
              <w:t>'''''</w:t>
            </w:r>
          </w:p>
        </w:tc>
      </w:tr>
      <w:tr w:rsidR="000A4A3F" w:rsidRPr="000756DF" w:rsidTr="00027DD4">
        <w:tc>
          <w:tcPr>
            <w:tcW w:w="1758" w:type="pct"/>
          </w:tcPr>
          <w:p w:rsidR="000A4A3F" w:rsidRPr="000A4A3F" w:rsidRDefault="000A4A3F" w:rsidP="00027DD4">
            <w:pPr>
              <w:pStyle w:val="TableText0"/>
            </w:pPr>
            <w:r w:rsidRPr="000A4A3F">
              <w:t>Dyspnoea</w:t>
            </w:r>
          </w:p>
        </w:tc>
        <w:tc>
          <w:tcPr>
            <w:tcW w:w="1227" w:type="pct"/>
            <w:tcBorders>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687" w:type="pct"/>
            <w:tcBorders>
              <w:left w:val="single" w:sz="4" w:space="0" w:color="auto"/>
            </w:tcBorders>
          </w:tcPr>
          <w:p w:rsidR="000A4A3F" w:rsidRPr="00500271" w:rsidRDefault="00500271" w:rsidP="00027DD4">
            <w:pPr>
              <w:pStyle w:val="TableText0"/>
              <w:rPr>
                <w:highlight w:val="black"/>
              </w:rPr>
            </w:pPr>
            <w:r>
              <w:rPr>
                <w:noProof/>
                <w:color w:val="000000"/>
                <w:highlight w:val="black"/>
              </w:rPr>
              <w:t>'''</w:t>
            </w:r>
          </w:p>
        </w:tc>
      </w:tr>
      <w:tr w:rsidR="000A4A3F" w:rsidRPr="000756DF" w:rsidTr="00027DD4">
        <w:tc>
          <w:tcPr>
            <w:tcW w:w="1758" w:type="pct"/>
          </w:tcPr>
          <w:p w:rsidR="000A4A3F" w:rsidRPr="000A4A3F" w:rsidRDefault="000A4A3F" w:rsidP="00027DD4">
            <w:pPr>
              <w:pStyle w:val="TableText0"/>
            </w:pPr>
            <w:r w:rsidRPr="000A4A3F">
              <w:t xml:space="preserve">Pyrexia </w:t>
            </w:r>
          </w:p>
        </w:tc>
        <w:tc>
          <w:tcPr>
            <w:tcW w:w="1227" w:type="pct"/>
            <w:tcBorders>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687" w:type="pct"/>
            <w:tcBorders>
              <w:left w:val="single" w:sz="4" w:space="0" w:color="auto"/>
            </w:tcBorders>
          </w:tcPr>
          <w:p w:rsidR="000A4A3F" w:rsidRPr="00500271" w:rsidRDefault="00500271" w:rsidP="00027DD4">
            <w:pPr>
              <w:pStyle w:val="TableText0"/>
              <w:rPr>
                <w:highlight w:val="black"/>
              </w:rPr>
            </w:pPr>
            <w:r>
              <w:rPr>
                <w:noProof/>
                <w:color w:val="000000"/>
                <w:highlight w:val="black"/>
              </w:rPr>
              <w:t>''''</w:t>
            </w:r>
          </w:p>
        </w:tc>
      </w:tr>
      <w:tr w:rsidR="000A4A3F" w:rsidRPr="000756DF" w:rsidTr="00027DD4">
        <w:tc>
          <w:tcPr>
            <w:tcW w:w="1758" w:type="pct"/>
          </w:tcPr>
          <w:p w:rsidR="000A4A3F" w:rsidRPr="000A4A3F" w:rsidRDefault="000A4A3F" w:rsidP="00027DD4">
            <w:pPr>
              <w:pStyle w:val="TableText0"/>
            </w:pPr>
            <w:r w:rsidRPr="000A4A3F">
              <w:t>Convulsion</w:t>
            </w:r>
          </w:p>
        </w:tc>
        <w:tc>
          <w:tcPr>
            <w:tcW w:w="1227" w:type="pct"/>
            <w:tcBorders>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687" w:type="pct"/>
            <w:tcBorders>
              <w:left w:val="single" w:sz="4" w:space="0" w:color="auto"/>
            </w:tcBorders>
          </w:tcPr>
          <w:p w:rsidR="000A4A3F" w:rsidRPr="00500271" w:rsidRDefault="00500271" w:rsidP="00027DD4">
            <w:pPr>
              <w:pStyle w:val="TableText0"/>
              <w:rPr>
                <w:highlight w:val="black"/>
              </w:rPr>
            </w:pPr>
            <w:r>
              <w:rPr>
                <w:noProof/>
                <w:color w:val="000000"/>
                <w:highlight w:val="black"/>
              </w:rPr>
              <w:t>'''</w:t>
            </w:r>
          </w:p>
        </w:tc>
      </w:tr>
      <w:tr w:rsidR="000A4A3F" w:rsidRPr="000756DF" w:rsidTr="00027DD4">
        <w:tc>
          <w:tcPr>
            <w:tcW w:w="1758" w:type="pct"/>
          </w:tcPr>
          <w:p w:rsidR="000A4A3F" w:rsidRPr="000A4A3F" w:rsidRDefault="000A4A3F" w:rsidP="00027DD4">
            <w:pPr>
              <w:pStyle w:val="TableText0"/>
            </w:pPr>
            <w:r w:rsidRPr="000A4A3F">
              <w:t>Cough</w:t>
            </w:r>
          </w:p>
        </w:tc>
        <w:tc>
          <w:tcPr>
            <w:tcW w:w="1227" w:type="pct"/>
            <w:tcBorders>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687" w:type="pct"/>
            <w:tcBorders>
              <w:left w:val="single" w:sz="4" w:space="0" w:color="auto"/>
            </w:tcBorders>
          </w:tcPr>
          <w:p w:rsidR="000A4A3F" w:rsidRPr="00500271" w:rsidRDefault="00500271" w:rsidP="00027DD4">
            <w:pPr>
              <w:pStyle w:val="TableText0"/>
              <w:rPr>
                <w:highlight w:val="black"/>
              </w:rPr>
            </w:pPr>
            <w:r>
              <w:rPr>
                <w:noProof/>
                <w:color w:val="000000"/>
                <w:highlight w:val="black"/>
              </w:rPr>
              <w:t>'''</w:t>
            </w:r>
          </w:p>
        </w:tc>
      </w:tr>
      <w:tr w:rsidR="000A4A3F" w:rsidRPr="000756DF" w:rsidTr="00027DD4">
        <w:tc>
          <w:tcPr>
            <w:tcW w:w="1758" w:type="pct"/>
          </w:tcPr>
          <w:p w:rsidR="000A4A3F" w:rsidRPr="000A4A3F" w:rsidRDefault="000A4A3F" w:rsidP="00027DD4">
            <w:pPr>
              <w:pStyle w:val="TableText0"/>
            </w:pPr>
            <w:r w:rsidRPr="000A4A3F">
              <w:t>Erythema / generalised erythema</w:t>
            </w:r>
          </w:p>
        </w:tc>
        <w:tc>
          <w:tcPr>
            <w:tcW w:w="1227" w:type="pct"/>
            <w:tcBorders>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687" w:type="pct"/>
            <w:tcBorders>
              <w:left w:val="single" w:sz="4" w:space="0" w:color="auto"/>
            </w:tcBorders>
          </w:tcPr>
          <w:p w:rsidR="000A4A3F" w:rsidRPr="00500271" w:rsidRDefault="00500271" w:rsidP="00027DD4">
            <w:pPr>
              <w:pStyle w:val="TableText0"/>
              <w:rPr>
                <w:highlight w:val="black"/>
              </w:rPr>
            </w:pPr>
            <w:r>
              <w:rPr>
                <w:noProof/>
                <w:color w:val="000000"/>
                <w:highlight w:val="black"/>
              </w:rPr>
              <w:t>''''</w:t>
            </w:r>
          </w:p>
        </w:tc>
      </w:tr>
      <w:tr w:rsidR="000A4A3F" w:rsidRPr="000756DF" w:rsidTr="00027DD4">
        <w:tc>
          <w:tcPr>
            <w:tcW w:w="1758" w:type="pct"/>
          </w:tcPr>
          <w:p w:rsidR="000A4A3F" w:rsidRPr="000A4A3F" w:rsidRDefault="000A4A3F" w:rsidP="00027DD4">
            <w:pPr>
              <w:pStyle w:val="TableText0"/>
            </w:pPr>
            <w:r w:rsidRPr="000A4A3F">
              <w:t>Tremor</w:t>
            </w:r>
          </w:p>
        </w:tc>
        <w:tc>
          <w:tcPr>
            <w:tcW w:w="1227" w:type="pct"/>
            <w:tcBorders>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687" w:type="pct"/>
            <w:tcBorders>
              <w:left w:val="single" w:sz="4" w:space="0" w:color="auto"/>
            </w:tcBorders>
          </w:tcPr>
          <w:p w:rsidR="000A4A3F" w:rsidRPr="00500271" w:rsidRDefault="00500271" w:rsidP="00027DD4">
            <w:pPr>
              <w:pStyle w:val="TableText0"/>
              <w:rPr>
                <w:highlight w:val="black"/>
              </w:rPr>
            </w:pPr>
            <w:r>
              <w:rPr>
                <w:noProof/>
                <w:color w:val="000000"/>
                <w:highlight w:val="black"/>
              </w:rPr>
              <w:t>''''</w:t>
            </w:r>
          </w:p>
        </w:tc>
      </w:tr>
      <w:tr w:rsidR="000A4A3F" w:rsidRPr="000756DF" w:rsidTr="00027DD4">
        <w:tc>
          <w:tcPr>
            <w:tcW w:w="1758" w:type="pct"/>
          </w:tcPr>
          <w:p w:rsidR="000A4A3F" w:rsidRPr="000A4A3F" w:rsidRDefault="000A4A3F" w:rsidP="00027DD4">
            <w:pPr>
              <w:pStyle w:val="TableText0"/>
            </w:pPr>
            <w:r w:rsidRPr="000A4A3F">
              <w:t>Cyanosis</w:t>
            </w:r>
          </w:p>
        </w:tc>
        <w:tc>
          <w:tcPr>
            <w:tcW w:w="1227" w:type="pct"/>
            <w:tcBorders>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687" w:type="pct"/>
            <w:tcBorders>
              <w:left w:val="single" w:sz="4" w:space="0" w:color="auto"/>
            </w:tcBorders>
          </w:tcPr>
          <w:p w:rsidR="000A4A3F" w:rsidRPr="00500271" w:rsidRDefault="00500271" w:rsidP="00027DD4">
            <w:pPr>
              <w:pStyle w:val="TableText0"/>
              <w:rPr>
                <w:highlight w:val="black"/>
              </w:rPr>
            </w:pPr>
            <w:r>
              <w:rPr>
                <w:noProof/>
                <w:color w:val="000000"/>
                <w:highlight w:val="black"/>
              </w:rPr>
              <w:t>'''</w:t>
            </w:r>
          </w:p>
        </w:tc>
      </w:tr>
      <w:tr w:rsidR="000A4A3F" w:rsidRPr="000756DF" w:rsidTr="00027DD4">
        <w:tc>
          <w:tcPr>
            <w:tcW w:w="1758" w:type="pct"/>
          </w:tcPr>
          <w:p w:rsidR="000A4A3F" w:rsidRPr="000A4A3F" w:rsidRDefault="000A4A3F" w:rsidP="00027DD4">
            <w:pPr>
              <w:pStyle w:val="TableText0"/>
            </w:pPr>
            <w:r w:rsidRPr="000A4A3F">
              <w:t>Anxiety</w:t>
            </w:r>
          </w:p>
        </w:tc>
        <w:tc>
          <w:tcPr>
            <w:tcW w:w="1227" w:type="pct"/>
            <w:tcBorders>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687" w:type="pct"/>
            <w:tcBorders>
              <w:left w:val="single" w:sz="4" w:space="0" w:color="auto"/>
            </w:tcBorders>
          </w:tcPr>
          <w:p w:rsidR="000A4A3F" w:rsidRPr="00500271" w:rsidRDefault="00500271" w:rsidP="00027DD4">
            <w:pPr>
              <w:pStyle w:val="TableText0"/>
              <w:rPr>
                <w:highlight w:val="black"/>
              </w:rPr>
            </w:pPr>
            <w:r>
              <w:rPr>
                <w:noProof/>
                <w:color w:val="000000"/>
                <w:highlight w:val="black"/>
              </w:rPr>
              <w:t>'''</w:t>
            </w:r>
          </w:p>
        </w:tc>
      </w:tr>
      <w:tr w:rsidR="000A4A3F" w:rsidRPr="000756DF" w:rsidTr="00027DD4">
        <w:tc>
          <w:tcPr>
            <w:tcW w:w="1758" w:type="pct"/>
          </w:tcPr>
          <w:p w:rsidR="000A4A3F" w:rsidRPr="000A4A3F" w:rsidRDefault="000A4A3F" w:rsidP="00027DD4">
            <w:pPr>
              <w:pStyle w:val="TableText0"/>
            </w:pPr>
            <w:r w:rsidRPr="000A4A3F">
              <w:t>Total</w:t>
            </w:r>
          </w:p>
        </w:tc>
        <w:tc>
          <w:tcPr>
            <w:tcW w:w="1227" w:type="pct"/>
            <w:tcBorders>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500271" w:rsidRDefault="00500271" w:rsidP="00027DD4">
            <w:pPr>
              <w:pStyle w:val="TableText0"/>
              <w:rPr>
                <w:highlight w:val="black"/>
              </w:rPr>
            </w:pPr>
            <w:r>
              <w:rPr>
                <w:noProof/>
                <w:color w:val="000000"/>
                <w:highlight w:val="black"/>
              </w:rPr>
              <w:t>'''''''''</w:t>
            </w:r>
          </w:p>
        </w:tc>
        <w:tc>
          <w:tcPr>
            <w:tcW w:w="687" w:type="pct"/>
            <w:tcBorders>
              <w:left w:val="single" w:sz="4" w:space="0" w:color="auto"/>
            </w:tcBorders>
          </w:tcPr>
          <w:p w:rsidR="000A4A3F" w:rsidRPr="00500271" w:rsidRDefault="00500271" w:rsidP="00027DD4">
            <w:pPr>
              <w:pStyle w:val="TableText0"/>
              <w:rPr>
                <w:highlight w:val="black"/>
              </w:rPr>
            </w:pPr>
            <w:r>
              <w:rPr>
                <w:noProof/>
                <w:color w:val="000000"/>
                <w:highlight w:val="black"/>
              </w:rPr>
              <w:t>''''''''''</w:t>
            </w:r>
          </w:p>
        </w:tc>
      </w:tr>
    </w:tbl>
    <w:p w:rsidR="000756DF" w:rsidRPr="00A62C97" w:rsidRDefault="000756DF" w:rsidP="000756DF">
      <w:pPr>
        <w:rPr>
          <w:highlight w:val="black"/>
        </w:rPr>
      </w:pPr>
    </w:p>
    <w:p w:rsidR="000A4A3F" w:rsidRPr="00500271" w:rsidRDefault="00500271" w:rsidP="000A4A3F">
      <w:pPr>
        <w:rPr>
          <w:highlight w:val="black"/>
        </w:rPr>
      </w:pPr>
      <w:r>
        <w:rPr>
          <w:noProof/>
          <w:color w:val="000000"/>
          <w:highlight w:val="black"/>
        </w:rPr>
        <w:t>'''''''' ''''''''' '''''''''''''''''''' '''''''''''''''' ''''''''''''' ''''''' ''''''''''' '''''''''''''''''' ''''''''' ''''' '''''''''''''''' ''''' ''' '''''''''''''' ''''''''' ''''' '''''''''''''''''''' '''''''''''''''''''''''''''' '''''''''''''''''' '''''''''''''' ''''''''''''''''' ''''''''' ''''''''''''''''''' ''''''''''''''''' ''''''''''''''' '''''''''''''' ''''''''''''''''''''''''' '''''''''''''''''''''''''' ''''''''''''''''''' ''''''''''''''' '''''''''' '''''''' ''''''''''''''''''''' '''''''''''''''' '''''''''''' '''''' ''''''''''''''''' '''' '''''' ''''''''''''''''' ''''''''''''''''''''' '''''''''''''''''''''' '''''''''''' '''''''''''''''''''''''''''' ''''''''''''</w:t>
      </w:r>
    </w:p>
    <w:p w:rsidR="000A4A3F" w:rsidRPr="00500271" w:rsidRDefault="00500271" w:rsidP="000A4A3F">
      <w:pPr>
        <w:rPr>
          <w:highlight w:val="black"/>
        </w:rPr>
      </w:pPr>
      <w:r>
        <w:rPr>
          <w:noProof/>
          <w:color w:val="000000"/>
          <w:highlight w:val="black"/>
        </w:rPr>
        <w:t xml:space="preserve">''''''' ''''''''' ''''''''''''''''''' ''''' ''''''''''''''''''''''' ''' '''''''''' '''''''''''''' '''' '''''' ''''''''''''''''''''''' '''' '''''''''''' ''''''''''''''''''' ''''''''' '''''''''''''''''''''' '''''''''''''''''''''''''' ''''''''''' ''''' ''''''' ''''''''''' '''' '''''''''''''''''''''' ''''''''' '''''''''''''''''' '''' ''''''''''''' '''' ''''''''''''''''''' </w:t>
      </w:r>
    </w:p>
    <w:p w:rsidR="000A4A3F" w:rsidRPr="00500271" w:rsidRDefault="00500271" w:rsidP="000A4A3F">
      <w:pPr>
        <w:rPr>
          <w:highlight w:val="black"/>
        </w:rPr>
      </w:pPr>
      <w:r>
        <w:rPr>
          <w:noProof/>
          <w:color w:val="000000"/>
          <w:highlight w:val="black"/>
        </w:rPr>
        <w:t xml:space="preserve">''''''''''' ''''''''''' '' '''''''''''''''' ''''''''''''' ''''''' '''''''''''''''''' ''''''''''''' ''''' ''''''''''' '' ''''''''' '''''''''''''''' ''''''''''''''' '''' ''''''''' '' '''''''''''' ''''''''' '''''''''''''''''''''' ''''''' ''''''' ''''''''''''''''''' ''''''''' '''''''''''''''' '''''''''''''''''''' '''''''''''''''''''' '''' ''''''''''' '''' '''''''''' ''''' ''''''''''''''''''''''' ''''' '''''''''''''''' '''''''''' '''''''''''''''''''''''''''''' '''''''''''' </w:t>
      </w:r>
    </w:p>
    <w:p w:rsidR="000A4A3F" w:rsidRPr="000A4A3F" w:rsidRDefault="000A4A3F" w:rsidP="000A4A3F">
      <w:r w:rsidRPr="000A4A3F">
        <w:t xml:space="preserve">A summary of adverse drug reactions, by system organ class and frequency, is shown in Table </w:t>
      </w:r>
      <w:r w:rsidRPr="000A4A3F">
        <w:rPr>
          <w:noProof/>
        </w:rPr>
        <w:t>114</w:t>
      </w:r>
      <w:r w:rsidRPr="000A4A3F">
        <w:t xml:space="preserve">. </w:t>
      </w:r>
    </w:p>
    <w:p w:rsidR="000756DF" w:rsidRPr="000A4A3F" w:rsidRDefault="000A4A3F" w:rsidP="000A4A3F">
      <w:pPr>
        <w:pStyle w:val="Caption"/>
        <w:keepNext/>
        <w:tabs>
          <w:tab w:val="clear" w:pos="851"/>
          <w:tab w:val="left" w:pos="1134"/>
        </w:tabs>
        <w:ind w:left="1134" w:hanging="1134"/>
      </w:pPr>
      <w:bookmarkStart w:id="430" w:name="_Ref403828235"/>
      <w:bookmarkStart w:id="431" w:name="_Toc411510479"/>
      <w:bookmarkStart w:id="432" w:name="_Toc415141911"/>
      <w:r w:rsidRPr="000A4A3F">
        <w:lastRenderedPageBreak/>
        <w:t xml:space="preserve">Table </w:t>
      </w:r>
      <w:r w:rsidRPr="000A4A3F">
        <w:rPr>
          <w:noProof/>
        </w:rPr>
        <w:t>114</w:t>
      </w:r>
      <w:bookmarkEnd w:id="430"/>
      <w:r w:rsidRPr="000A4A3F">
        <w:tab/>
        <w:t xml:space="preserve">Frequency of adverse drug reactions to idursulfase </w:t>
      </w:r>
      <w:r w:rsidRPr="000A4A3F">
        <w:rPr>
          <w:noProof/>
        </w:rPr>
        <w:t>(Shire Pharmaceuticals 2011)</w:t>
      </w:r>
      <w:bookmarkEnd w:id="431"/>
      <w:bookmarkEnd w:id="432"/>
    </w:p>
    <w:tbl>
      <w:tblPr>
        <w:tblStyle w:val="TableGrid"/>
        <w:tblW w:w="5000" w:type="pct"/>
        <w:tblLook w:val="04A0" w:firstRow="1" w:lastRow="0" w:firstColumn="1" w:lastColumn="0" w:noHBand="0" w:noVBand="1"/>
        <w:tblCaption w:val="Table 80 Adverse reactions to idursulfase during reporting period (Shire Pharmaceuticals 2011)"/>
        <w:tblDescription w:val="Adverse reactions to idursulfase during reporting period July 2010 to July 2011 (Shire Pharmaceuticals 2011)"/>
      </w:tblPr>
      <w:tblGrid>
        <w:gridCol w:w="3249"/>
        <w:gridCol w:w="2268"/>
        <w:gridCol w:w="2455"/>
        <w:gridCol w:w="1270"/>
      </w:tblGrid>
      <w:tr w:rsidR="000A4A3F" w:rsidRPr="00B15620" w:rsidTr="009A0365">
        <w:trPr>
          <w:tblHeader/>
        </w:trPr>
        <w:tc>
          <w:tcPr>
            <w:tcW w:w="1758" w:type="pct"/>
          </w:tcPr>
          <w:p w:rsidR="000A4A3F" w:rsidRPr="00A62C97" w:rsidRDefault="000A4A3F" w:rsidP="00F16FC9">
            <w:pPr>
              <w:pStyle w:val="TableHeading"/>
              <w:rPr>
                <w:highlight w:val="black"/>
              </w:rPr>
            </w:pPr>
            <w:r w:rsidRPr="000A4A3F">
              <w:t>System Organ Class</w:t>
            </w:r>
          </w:p>
        </w:tc>
        <w:tc>
          <w:tcPr>
            <w:tcW w:w="1227" w:type="pct"/>
            <w:tcBorders>
              <w:right w:val="single" w:sz="4" w:space="0" w:color="auto"/>
            </w:tcBorders>
          </w:tcPr>
          <w:p w:rsidR="000A4A3F" w:rsidRPr="000A4A3F" w:rsidRDefault="000A4A3F" w:rsidP="00027DD4">
            <w:pPr>
              <w:pStyle w:val="TableHeading"/>
            </w:pPr>
            <w:r w:rsidRPr="000A4A3F">
              <w:t>Very common adverse drug reactions (&gt;1/10)</w:t>
            </w:r>
          </w:p>
        </w:tc>
        <w:tc>
          <w:tcPr>
            <w:tcW w:w="1328" w:type="pct"/>
            <w:tcBorders>
              <w:left w:val="single" w:sz="4" w:space="0" w:color="auto"/>
              <w:right w:val="single" w:sz="4" w:space="0" w:color="auto"/>
            </w:tcBorders>
          </w:tcPr>
          <w:p w:rsidR="000A4A3F" w:rsidRPr="000A4A3F" w:rsidRDefault="000A4A3F" w:rsidP="00027DD4">
            <w:pPr>
              <w:pStyle w:val="TableHeading"/>
            </w:pPr>
            <w:r w:rsidRPr="000A4A3F">
              <w:t>Common adverse drug reactions (&gt;1/100, &lt;1/10)</w:t>
            </w:r>
          </w:p>
        </w:tc>
        <w:tc>
          <w:tcPr>
            <w:tcW w:w="687" w:type="pct"/>
            <w:tcBorders>
              <w:left w:val="single" w:sz="4" w:space="0" w:color="auto"/>
            </w:tcBorders>
          </w:tcPr>
          <w:p w:rsidR="000A4A3F" w:rsidRPr="000A4A3F" w:rsidRDefault="000A4A3F" w:rsidP="00027DD4">
            <w:pPr>
              <w:pStyle w:val="TableHeading"/>
            </w:pPr>
            <w:r w:rsidRPr="000A4A3F">
              <w:t>Frequency not known</w:t>
            </w:r>
          </w:p>
        </w:tc>
      </w:tr>
      <w:tr w:rsidR="000A4A3F" w:rsidRPr="00B15620" w:rsidTr="000756DF">
        <w:tc>
          <w:tcPr>
            <w:tcW w:w="1758" w:type="pct"/>
          </w:tcPr>
          <w:p w:rsidR="000A4A3F" w:rsidRPr="000A4A3F" w:rsidRDefault="000A4A3F" w:rsidP="00027DD4">
            <w:pPr>
              <w:pStyle w:val="TableText0"/>
            </w:pPr>
            <w:r w:rsidRPr="000A4A3F">
              <w:t>Immune System disorders</w:t>
            </w:r>
          </w:p>
        </w:tc>
        <w:tc>
          <w:tcPr>
            <w:tcW w:w="1227" w:type="pct"/>
            <w:tcBorders>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687" w:type="pct"/>
            <w:tcBorders>
              <w:left w:val="single" w:sz="4" w:space="0" w:color="auto"/>
            </w:tcBorders>
          </w:tcPr>
          <w:p w:rsidR="000A4A3F" w:rsidRPr="00A62C97" w:rsidRDefault="000A4A3F" w:rsidP="00F16FC9">
            <w:pPr>
              <w:pStyle w:val="TableText0"/>
              <w:rPr>
                <w:highlight w:val="black"/>
              </w:rPr>
            </w:pPr>
            <w:r>
              <w:rPr>
                <w:noProof/>
                <w:color w:val="000000"/>
                <w:highlight w:val="black"/>
              </w:rPr>
              <w:t>''''''</w:t>
            </w:r>
          </w:p>
        </w:tc>
      </w:tr>
      <w:tr w:rsidR="000A4A3F" w:rsidRPr="00B15620" w:rsidTr="000756DF">
        <w:tc>
          <w:tcPr>
            <w:tcW w:w="1758" w:type="pct"/>
          </w:tcPr>
          <w:p w:rsidR="000A4A3F" w:rsidRPr="000A4A3F" w:rsidRDefault="000A4A3F" w:rsidP="00027DD4">
            <w:pPr>
              <w:pStyle w:val="TableText0"/>
            </w:pPr>
            <w:r w:rsidRPr="000A4A3F">
              <w:t>Nervous system disorders</w:t>
            </w:r>
          </w:p>
        </w:tc>
        <w:tc>
          <w:tcPr>
            <w:tcW w:w="1227" w:type="pct"/>
            <w:tcBorders>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687" w:type="pct"/>
            <w:tcBorders>
              <w:left w:val="single" w:sz="4" w:space="0" w:color="auto"/>
            </w:tcBorders>
          </w:tcPr>
          <w:p w:rsidR="000A4A3F" w:rsidRPr="00A62C97" w:rsidRDefault="000A4A3F" w:rsidP="00F16FC9">
            <w:pPr>
              <w:pStyle w:val="TableText0"/>
              <w:rPr>
                <w:highlight w:val="black"/>
              </w:rPr>
            </w:pPr>
            <w:r>
              <w:rPr>
                <w:noProof/>
                <w:color w:val="000000"/>
                <w:highlight w:val="black"/>
              </w:rPr>
              <w:t>''''''</w:t>
            </w:r>
          </w:p>
        </w:tc>
      </w:tr>
      <w:tr w:rsidR="000A4A3F" w:rsidRPr="00B15620" w:rsidTr="000756DF">
        <w:tc>
          <w:tcPr>
            <w:tcW w:w="1758" w:type="pct"/>
          </w:tcPr>
          <w:p w:rsidR="000A4A3F" w:rsidRPr="000A4A3F" w:rsidRDefault="000A4A3F" w:rsidP="00027DD4">
            <w:pPr>
              <w:pStyle w:val="TableText0"/>
            </w:pPr>
            <w:r w:rsidRPr="000A4A3F">
              <w:t>Cardiac disorders</w:t>
            </w:r>
          </w:p>
        </w:tc>
        <w:tc>
          <w:tcPr>
            <w:tcW w:w="1227" w:type="pct"/>
            <w:tcBorders>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687" w:type="pct"/>
            <w:tcBorders>
              <w:left w:val="single" w:sz="4" w:space="0" w:color="auto"/>
            </w:tcBorders>
          </w:tcPr>
          <w:p w:rsidR="000A4A3F" w:rsidRPr="00A62C97" w:rsidRDefault="000A4A3F" w:rsidP="00F16FC9">
            <w:pPr>
              <w:pStyle w:val="TableText0"/>
              <w:rPr>
                <w:highlight w:val="black"/>
              </w:rPr>
            </w:pPr>
            <w:r>
              <w:rPr>
                <w:noProof/>
                <w:color w:val="000000"/>
                <w:highlight w:val="black"/>
              </w:rPr>
              <w:t>'''''''</w:t>
            </w:r>
          </w:p>
        </w:tc>
      </w:tr>
      <w:tr w:rsidR="000A4A3F" w:rsidRPr="00B15620" w:rsidTr="000756DF">
        <w:tc>
          <w:tcPr>
            <w:tcW w:w="1758" w:type="pct"/>
          </w:tcPr>
          <w:p w:rsidR="000A4A3F" w:rsidRPr="000A4A3F" w:rsidRDefault="000A4A3F" w:rsidP="00027DD4">
            <w:pPr>
              <w:pStyle w:val="TableText0"/>
            </w:pPr>
            <w:r w:rsidRPr="000A4A3F">
              <w:t>Vascular disorders</w:t>
            </w:r>
          </w:p>
        </w:tc>
        <w:tc>
          <w:tcPr>
            <w:tcW w:w="1227" w:type="pct"/>
            <w:tcBorders>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687" w:type="pct"/>
            <w:tcBorders>
              <w:left w:val="single" w:sz="4" w:space="0" w:color="auto"/>
            </w:tcBorders>
          </w:tcPr>
          <w:p w:rsidR="000A4A3F" w:rsidRPr="00A62C97" w:rsidRDefault="000A4A3F" w:rsidP="00F16FC9">
            <w:pPr>
              <w:pStyle w:val="TableText0"/>
              <w:rPr>
                <w:highlight w:val="black"/>
              </w:rPr>
            </w:pPr>
            <w:r>
              <w:rPr>
                <w:noProof/>
                <w:color w:val="000000"/>
                <w:highlight w:val="black"/>
              </w:rPr>
              <w:t>'''</w:t>
            </w:r>
          </w:p>
        </w:tc>
      </w:tr>
      <w:tr w:rsidR="000A4A3F" w:rsidRPr="00B15620" w:rsidTr="000756DF">
        <w:tc>
          <w:tcPr>
            <w:tcW w:w="1758" w:type="pct"/>
          </w:tcPr>
          <w:p w:rsidR="000A4A3F" w:rsidRPr="000A4A3F" w:rsidRDefault="000A4A3F" w:rsidP="00027DD4">
            <w:pPr>
              <w:pStyle w:val="TableText0"/>
            </w:pPr>
            <w:r w:rsidRPr="000A4A3F">
              <w:t>Respiratory, thoracic and mediastinal disorders</w:t>
            </w:r>
          </w:p>
        </w:tc>
        <w:tc>
          <w:tcPr>
            <w:tcW w:w="1227" w:type="pct"/>
            <w:tcBorders>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687" w:type="pct"/>
            <w:tcBorders>
              <w:left w:val="single" w:sz="4" w:space="0" w:color="auto"/>
            </w:tcBorders>
          </w:tcPr>
          <w:p w:rsidR="000A4A3F" w:rsidRPr="00A62C97" w:rsidRDefault="000A4A3F" w:rsidP="00F16FC9">
            <w:pPr>
              <w:pStyle w:val="TableText0"/>
              <w:rPr>
                <w:highlight w:val="black"/>
              </w:rPr>
            </w:pPr>
            <w:r>
              <w:rPr>
                <w:noProof/>
                <w:color w:val="000000"/>
                <w:highlight w:val="black"/>
              </w:rPr>
              <w:t>''''</w:t>
            </w:r>
          </w:p>
        </w:tc>
      </w:tr>
      <w:tr w:rsidR="000A4A3F" w:rsidRPr="00B15620" w:rsidTr="000756DF">
        <w:tc>
          <w:tcPr>
            <w:tcW w:w="1758" w:type="pct"/>
          </w:tcPr>
          <w:p w:rsidR="000A4A3F" w:rsidRPr="000A4A3F" w:rsidRDefault="000A4A3F" w:rsidP="00027DD4">
            <w:pPr>
              <w:pStyle w:val="TableText0"/>
            </w:pPr>
            <w:r w:rsidRPr="000A4A3F">
              <w:t>Gastrointestinal disorders</w:t>
            </w:r>
          </w:p>
        </w:tc>
        <w:tc>
          <w:tcPr>
            <w:tcW w:w="1227" w:type="pct"/>
            <w:tcBorders>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687" w:type="pct"/>
            <w:tcBorders>
              <w:left w:val="single" w:sz="4" w:space="0" w:color="auto"/>
            </w:tcBorders>
          </w:tcPr>
          <w:p w:rsidR="000A4A3F" w:rsidRPr="00A62C97" w:rsidRDefault="000A4A3F" w:rsidP="00F16FC9">
            <w:pPr>
              <w:pStyle w:val="TableText0"/>
              <w:rPr>
                <w:highlight w:val="black"/>
              </w:rPr>
            </w:pPr>
            <w:r>
              <w:rPr>
                <w:noProof/>
                <w:color w:val="000000"/>
                <w:highlight w:val="black"/>
              </w:rPr>
              <w:t>''''</w:t>
            </w:r>
          </w:p>
        </w:tc>
      </w:tr>
      <w:tr w:rsidR="000A4A3F" w:rsidRPr="00B15620" w:rsidTr="000756DF">
        <w:tc>
          <w:tcPr>
            <w:tcW w:w="1758" w:type="pct"/>
          </w:tcPr>
          <w:p w:rsidR="000A4A3F" w:rsidRPr="000A4A3F" w:rsidRDefault="000A4A3F" w:rsidP="00027DD4">
            <w:pPr>
              <w:pStyle w:val="TableText0"/>
            </w:pPr>
            <w:r w:rsidRPr="000A4A3F">
              <w:t>Skin and subcutaneous tissue disorders</w:t>
            </w:r>
          </w:p>
        </w:tc>
        <w:tc>
          <w:tcPr>
            <w:tcW w:w="1227" w:type="pct"/>
            <w:tcBorders>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687" w:type="pct"/>
            <w:tcBorders>
              <w:left w:val="single" w:sz="4" w:space="0" w:color="auto"/>
            </w:tcBorders>
          </w:tcPr>
          <w:p w:rsidR="000A4A3F" w:rsidRPr="00A62C97" w:rsidRDefault="000A4A3F" w:rsidP="00F16FC9">
            <w:pPr>
              <w:pStyle w:val="TableText0"/>
              <w:rPr>
                <w:highlight w:val="black"/>
              </w:rPr>
            </w:pPr>
            <w:r>
              <w:rPr>
                <w:noProof/>
                <w:color w:val="000000"/>
                <w:highlight w:val="black"/>
              </w:rPr>
              <w:t>''''</w:t>
            </w:r>
          </w:p>
        </w:tc>
      </w:tr>
      <w:tr w:rsidR="000A4A3F" w:rsidRPr="00B15620" w:rsidTr="000756DF">
        <w:tc>
          <w:tcPr>
            <w:tcW w:w="1758" w:type="pct"/>
          </w:tcPr>
          <w:p w:rsidR="000A4A3F" w:rsidRPr="000A4A3F" w:rsidRDefault="000A4A3F" w:rsidP="00027DD4">
            <w:pPr>
              <w:pStyle w:val="TableText0"/>
            </w:pPr>
            <w:r w:rsidRPr="000A4A3F">
              <w:t>Musculoskeletal and connective tissue disorders</w:t>
            </w:r>
          </w:p>
        </w:tc>
        <w:tc>
          <w:tcPr>
            <w:tcW w:w="1227" w:type="pct"/>
            <w:tcBorders>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687" w:type="pct"/>
            <w:tcBorders>
              <w:left w:val="single" w:sz="4" w:space="0" w:color="auto"/>
            </w:tcBorders>
          </w:tcPr>
          <w:p w:rsidR="000A4A3F" w:rsidRPr="00A62C97" w:rsidRDefault="000A4A3F" w:rsidP="00F16FC9">
            <w:pPr>
              <w:pStyle w:val="TableText0"/>
              <w:rPr>
                <w:highlight w:val="black"/>
              </w:rPr>
            </w:pPr>
            <w:r>
              <w:rPr>
                <w:noProof/>
                <w:color w:val="000000"/>
                <w:highlight w:val="black"/>
              </w:rPr>
              <w:t>'''</w:t>
            </w:r>
          </w:p>
        </w:tc>
      </w:tr>
      <w:tr w:rsidR="000A4A3F" w:rsidRPr="00B15620" w:rsidTr="000756DF">
        <w:tc>
          <w:tcPr>
            <w:tcW w:w="1758" w:type="pct"/>
          </w:tcPr>
          <w:p w:rsidR="000A4A3F" w:rsidRPr="000A4A3F" w:rsidRDefault="000A4A3F" w:rsidP="00027DD4">
            <w:pPr>
              <w:pStyle w:val="TableText0"/>
            </w:pPr>
            <w:r w:rsidRPr="000A4A3F">
              <w:t>General disorders and administration site conditions</w:t>
            </w:r>
          </w:p>
        </w:tc>
        <w:tc>
          <w:tcPr>
            <w:tcW w:w="1227" w:type="pct"/>
            <w:tcBorders>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687" w:type="pct"/>
            <w:tcBorders>
              <w:left w:val="single" w:sz="4" w:space="0" w:color="auto"/>
            </w:tcBorders>
          </w:tcPr>
          <w:p w:rsidR="000A4A3F" w:rsidRPr="00A62C97" w:rsidRDefault="000A4A3F" w:rsidP="00F16FC9">
            <w:pPr>
              <w:pStyle w:val="TableText0"/>
              <w:rPr>
                <w:highlight w:val="black"/>
              </w:rPr>
            </w:pPr>
            <w:r>
              <w:rPr>
                <w:noProof/>
                <w:color w:val="000000"/>
                <w:highlight w:val="black"/>
              </w:rPr>
              <w:t>'''</w:t>
            </w:r>
          </w:p>
        </w:tc>
      </w:tr>
      <w:tr w:rsidR="000A4A3F" w:rsidRPr="00B15620" w:rsidTr="000756DF">
        <w:tc>
          <w:tcPr>
            <w:tcW w:w="1758" w:type="pct"/>
          </w:tcPr>
          <w:p w:rsidR="000A4A3F" w:rsidRPr="000A4A3F" w:rsidRDefault="000A4A3F" w:rsidP="00027DD4">
            <w:pPr>
              <w:pStyle w:val="TableText0"/>
            </w:pPr>
            <w:r w:rsidRPr="000A4A3F">
              <w:t>Immune System disorders</w:t>
            </w:r>
          </w:p>
        </w:tc>
        <w:tc>
          <w:tcPr>
            <w:tcW w:w="1227" w:type="pct"/>
            <w:tcBorders>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687" w:type="pct"/>
            <w:tcBorders>
              <w:left w:val="single" w:sz="4" w:space="0" w:color="auto"/>
            </w:tcBorders>
          </w:tcPr>
          <w:p w:rsidR="000A4A3F" w:rsidRPr="00A62C97" w:rsidRDefault="000A4A3F" w:rsidP="00F16FC9">
            <w:pPr>
              <w:pStyle w:val="TableText0"/>
              <w:rPr>
                <w:highlight w:val="black"/>
              </w:rPr>
            </w:pPr>
            <w:r>
              <w:rPr>
                <w:noProof/>
                <w:color w:val="000000"/>
                <w:highlight w:val="black"/>
              </w:rPr>
              <w:t>''''</w:t>
            </w:r>
          </w:p>
        </w:tc>
      </w:tr>
      <w:tr w:rsidR="000A4A3F" w:rsidRPr="00B15620" w:rsidTr="000756DF">
        <w:tc>
          <w:tcPr>
            <w:tcW w:w="1758" w:type="pct"/>
          </w:tcPr>
          <w:p w:rsidR="000A4A3F" w:rsidRPr="000A4A3F" w:rsidRDefault="000A4A3F" w:rsidP="00027DD4">
            <w:pPr>
              <w:pStyle w:val="TableText0"/>
            </w:pPr>
            <w:r w:rsidRPr="000A4A3F">
              <w:t>Nervous system disorders</w:t>
            </w:r>
          </w:p>
        </w:tc>
        <w:tc>
          <w:tcPr>
            <w:tcW w:w="1227" w:type="pct"/>
            <w:tcBorders>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687" w:type="pct"/>
            <w:tcBorders>
              <w:left w:val="single" w:sz="4" w:space="0" w:color="auto"/>
            </w:tcBorders>
          </w:tcPr>
          <w:p w:rsidR="000A4A3F" w:rsidRPr="00A62C97" w:rsidRDefault="000A4A3F" w:rsidP="00F16FC9">
            <w:pPr>
              <w:pStyle w:val="TableText0"/>
              <w:rPr>
                <w:highlight w:val="black"/>
              </w:rPr>
            </w:pPr>
            <w:r>
              <w:rPr>
                <w:noProof/>
                <w:color w:val="000000"/>
                <w:highlight w:val="black"/>
              </w:rPr>
              <w:t>'''</w:t>
            </w:r>
          </w:p>
        </w:tc>
      </w:tr>
      <w:tr w:rsidR="000A4A3F" w:rsidRPr="00B15620" w:rsidTr="000756DF">
        <w:tc>
          <w:tcPr>
            <w:tcW w:w="1758" w:type="pct"/>
          </w:tcPr>
          <w:p w:rsidR="000A4A3F" w:rsidRPr="000A4A3F" w:rsidRDefault="000A4A3F" w:rsidP="00027DD4">
            <w:pPr>
              <w:pStyle w:val="TableText0"/>
            </w:pPr>
            <w:r w:rsidRPr="000A4A3F">
              <w:t>Cardiac disorders</w:t>
            </w:r>
          </w:p>
        </w:tc>
        <w:tc>
          <w:tcPr>
            <w:tcW w:w="1227" w:type="pct"/>
            <w:tcBorders>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1328" w:type="pct"/>
            <w:tcBorders>
              <w:left w:val="single" w:sz="4" w:space="0" w:color="auto"/>
              <w:right w:val="single" w:sz="4" w:space="0" w:color="auto"/>
            </w:tcBorders>
          </w:tcPr>
          <w:p w:rsidR="000A4A3F" w:rsidRPr="00A62C97" w:rsidRDefault="000A4A3F" w:rsidP="00F16FC9">
            <w:pPr>
              <w:pStyle w:val="TableText0"/>
              <w:rPr>
                <w:highlight w:val="black"/>
              </w:rPr>
            </w:pPr>
            <w:r>
              <w:rPr>
                <w:noProof/>
                <w:color w:val="000000"/>
                <w:highlight w:val="black"/>
              </w:rPr>
              <w:t>'''''''''</w:t>
            </w:r>
          </w:p>
        </w:tc>
        <w:tc>
          <w:tcPr>
            <w:tcW w:w="687" w:type="pct"/>
            <w:tcBorders>
              <w:left w:val="single" w:sz="4" w:space="0" w:color="auto"/>
            </w:tcBorders>
          </w:tcPr>
          <w:p w:rsidR="000A4A3F" w:rsidRPr="00A62C97" w:rsidRDefault="000A4A3F" w:rsidP="00F16FC9">
            <w:pPr>
              <w:pStyle w:val="TableText0"/>
              <w:rPr>
                <w:highlight w:val="black"/>
              </w:rPr>
            </w:pPr>
            <w:r>
              <w:rPr>
                <w:noProof/>
                <w:color w:val="000000"/>
                <w:highlight w:val="black"/>
              </w:rPr>
              <w:t>'''''''''</w:t>
            </w:r>
          </w:p>
        </w:tc>
      </w:tr>
    </w:tbl>
    <w:p w:rsidR="000756DF" w:rsidRPr="002D514D" w:rsidRDefault="000756DF" w:rsidP="000756DF"/>
    <w:p w:rsidR="000756DF" w:rsidRPr="00FB0A10" w:rsidRDefault="000756DF" w:rsidP="00E965BD">
      <w:pPr>
        <w:pStyle w:val="Heading5"/>
      </w:pPr>
      <w:bookmarkStart w:id="433" w:name="_Toc404937276"/>
      <w:r w:rsidRPr="00FB0A10">
        <w:t>MPS VI</w:t>
      </w:r>
      <w:bookmarkEnd w:id="433"/>
    </w:p>
    <w:p w:rsidR="000756DF" w:rsidRDefault="000756DF" w:rsidP="00FB0A10">
      <w:pPr>
        <w:rPr>
          <w:rFonts w:asciiTheme="minorHAnsi" w:eastAsiaTheme="minorHAnsi" w:hAnsiTheme="minorHAnsi" w:cs="TimesNewRoman"/>
          <w:color w:val="000000"/>
        </w:rPr>
      </w:pPr>
      <w:r w:rsidRPr="00FB0A10">
        <w:t xml:space="preserve">An extended assessment of harms of galsulfase was made </w:t>
      </w:r>
      <w:r w:rsidR="00445074">
        <w:t xml:space="preserve">using </w:t>
      </w:r>
      <w:r w:rsidR="00445074" w:rsidRPr="00832FA9">
        <w:rPr>
          <w:rFonts w:asciiTheme="minorHAnsi" w:hAnsiTheme="minorHAnsi"/>
        </w:rPr>
        <w:t>A Periodic Safety Update Report (PSUR) for the period 1 May 2013 to 1 May 2014</w:t>
      </w:r>
      <w:r w:rsidR="002D514D">
        <w:rPr>
          <w:rFonts w:asciiTheme="minorHAnsi" w:hAnsiTheme="minorHAnsi"/>
        </w:rPr>
        <w:t xml:space="preserve"> </w:t>
      </w:r>
      <w:r w:rsidR="00445074" w:rsidRPr="00832FA9">
        <w:rPr>
          <w:rFonts w:asciiTheme="minorHAnsi" w:hAnsiTheme="minorHAnsi"/>
        </w:rPr>
        <w:t xml:space="preserve">provided by BioMarin Pharmaceutical Inc. The PSUR reported the cumulative </w:t>
      </w:r>
      <w:r w:rsidR="00445074" w:rsidRPr="00832FA9">
        <w:rPr>
          <w:rFonts w:asciiTheme="minorHAnsi" w:eastAsiaTheme="minorHAnsi" w:hAnsiTheme="minorHAnsi" w:cs="TimesNewRoman"/>
        </w:rPr>
        <w:t xml:space="preserve">global patient exposure to </w:t>
      </w:r>
      <w:r w:rsidR="00FD1AAC">
        <w:rPr>
          <w:rFonts w:asciiTheme="minorHAnsi" w:eastAsiaTheme="minorHAnsi" w:hAnsiTheme="minorHAnsi" w:cs="TimesNewRoman"/>
        </w:rPr>
        <w:t>galsulfase</w:t>
      </w:r>
      <w:r w:rsidR="00445074" w:rsidRPr="00832FA9">
        <w:rPr>
          <w:rFonts w:asciiTheme="minorHAnsi" w:eastAsiaTheme="minorHAnsi" w:hAnsiTheme="minorHAnsi" w:cs="TimesNewRoman"/>
        </w:rPr>
        <w:t xml:space="preserve"> </w:t>
      </w:r>
      <w:r w:rsidR="00445074" w:rsidRPr="00832FA9">
        <w:rPr>
          <w:rFonts w:asciiTheme="minorHAnsi" w:hAnsiTheme="minorHAnsi"/>
        </w:rPr>
        <w:t>from the date of first approval of 01 June 2005 until 31 May 2014.</w:t>
      </w:r>
      <w:r w:rsidR="00FD1AAC">
        <w:rPr>
          <w:rFonts w:asciiTheme="minorHAnsi" w:hAnsiTheme="minorHAnsi"/>
        </w:rPr>
        <w:t xml:space="preserve"> </w:t>
      </w:r>
      <w:r w:rsidR="00FD1AAC" w:rsidRPr="00832FA9">
        <w:rPr>
          <w:rFonts w:asciiTheme="minorHAnsi" w:eastAsiaTheme="minorHAnsi" w:hAnsiTheme="minorHAnsi" w:cs="TimesNewRoman"/>
          <w:color w:val="000000"/>
        </w:rPr>
        <w:t xml:space="preserve">Overall, the serious adverse events (SAEs) from clinical trials and adverse drug reactions (ADRs) from post-marketing sources during the 2013-2014 reporting period showed no change in the characteristics, frequency, or severity of listed events and there was no increased reporting frequency of ADRs. </w:t>
      </w:r>
      <w:r w:rsidR="00695C77" w:rsidRPr="00832FA9">
        <w:rPr>
          <w:rFonts w:asciiTheme="minorHAnsi" w:eastAsiaTheme="minorHAnsi" w:hAnsiTheme="minorHAnsi" w:cs="TimesNewRoman"/>
          <w:color w:val="000000"/>
        </w:rPr>
        <w:t xml:space="preserve">The safety data reviewed for the reporting period and from the cumulative perspective of the non-clinical and clinical data, the Clinical Surveillance Program (CSP), and the post-marketing experience indicates no change in the positive benefit-risk profile of </w:t>
      </w:r>
      <w:r w:rsidR="00695C77">
        <w:rPr>
          <w:rFonts w:asciiTheme="minorHAnsi" w:eastAsiaTheme="minorHAnsi" w:hAnsiTheme="minorHAnsi" w:cs="TimesNewRoman"/>
          <w:color w:val="000000"/>
        </w:rPr>
        <w:t>galsulfase</w:t>
      </w:r>
      <w:r w:rsidR="00695C77" w:rsidRPr="00832FA9">
        <w:rPr>
          <w:rFonts w:asciiTheme="minorHAnsi" w:eastAsiaTheme="minorHAnsi" w:hAnsiTheme="minorHAnsi" w:cs="TimesNewRoman"/>
          <w:color w:val="000000"/>
        </w:rPr>
        <w:t>.</w:t>
      </w:r>
    </w:p>
    <w:p w:rsidR="00B15620" w:rsidRPr="00FB0A10" w:rsidRDefault="00B15620" w:rsidP="00FB0A10">
      <w:r>
        <w:rPr>
          <w:rFonts w:asciiTheme="minorHAnsi" w:eastAsiaTheme="minorHAnsi" w:hAnsiTheme="minorHAnsi" w:cs="TimesNewRoman"/>
          <w:color w:val="000000"/>
        </w:rPr>
        <w:t xml:space="preserve">Unpublished information from the PSUR was provided to the LSDP Reference Group but this has been redacted in this </w:t>
      </w:r>
      <w:r w:rsidR="000A4A3F">
        <w:rPr>
          <w:rFonts w:asciiTheme="minorHAnsi" w:eastAsiaTheme="minorHAnsi" w:hAnsiTheme="minorHAnsi" w:cs="TimesNewRoman"/>
          <w:color w:val="000000"/>
        </w:rPr>
        <w:t xml:space="preserve">draft </w:t>
      </w:r>
      <w:r>
        <w:rPr>
          <w:rFonts w:asciiTheme="minorHAnsi" w:eastAsiaTheme="minorHAnsi" w:hAnsiTheme="minorHAnsi" w:cs="TimesNewRoman"/>
          <w:color w:val="000000"/>
        </w:rPr>
        <w:t>report</w:t>
      </w:r>
      <w:r w:rsidR="000A4A3F">
        <w:rPr>
          <w:rFonts w:asciiTheme="minorHAnsi" w:eastAsiaTheme="minorHAnsi" w:hAnsiTheme="minorHAnsi" w:cs="TimesNewRoman"/>
          <w:color w:val="000000"/>
        </w:rPr>
        <w:t xml:space="preserve"> at the request of the drug sponsor.</w:t>
      </w:r>
    </w:p>
    <w:p w:rsidR="000756DF" w:rsidRPr="00A62C97" w:rsidRDefault="00A62C97" w:rsidP="000756DF">
      <w:pPr>
        <w:rPr>
          <w:highlight w:val="black"/>
        </w:rPr>
      </w:pPr>
      <w:r>
        <w:rPr>
          <w:noProof/>
          <w:color w:val="000000"/>
          <w:highlight w:val="black"/>
        </w:rPr>
        <w:t xml:space="preserve">'''''''''''' ''''''' '''''''''''''''''' ''''''''''''''' ''' ''' '''''''''''''''''' ''''''''' '''''''' ''''''''''''''''' '''''''''''''''''' ''''''''''''''''''''' ''''''''' ''''''' '''''''''' ''''''''' ''''''''''''''' '''''''''' '''''''''' '''''''''' ''''''''''''''' ''''' '''''''''''''' '''''''''''''' '''''''''''''''''' '''''' ''''''''''' ''''' ''''''''''''''''''' ''''''''''''' '''' '''''' '''''''''''''''' '''''''''''' '''''''''''''''''' '''' '''''''''''''''' '''''''''''''''''' '''''''''''''''''''''' ''' ''' ''''''' '''''''''''''' '''''''' '''''''''' '''' '''''' ''''''''''''''' '''''''''''' ''''''''' '''''''''''''''' ''''' '''''''''' '''''''''''' ''''' '''''' ''''''''''''''''''''' '''''''' '''''''' ''''''''''' ''''''''' '''''' '''' '''''' '''''''''''''''''''' '''''''''''''''' ''''''''''''' '''''' ''''''''' '''''''''''''''''' </w:t>
      </w:r>
      <w:r>
        <w:rPr>
          <w:noProof/>
          <w:color w:val="000000"/>
          <w:highlight w:val="black"/>
        </w:rPr>
        <w:lastRenderedPageBreak/>
        <w:t xml:space="preserve">'''''''' '''''' ''''''''''''''''''''' ''''' ''''''''''''''''''' ''''''' '''''''''''''''''''''' '''''''''''''''''''''' '''' '''''''' ''''' '''''''' '''' ''''''''''''''' '''''''''''''''' ''''''' '''''''''' '''''''''''' ''''''' ''''''''''''''''''''''''' '''''''''''''''''' '''''''''''' ''''''''' '''''''''''''''''' ''''''''''''''''''''''''''''''''' '''''' '''''''''''' </w:t>
      </w:r>
    </w:p>
    <w:p w:rsidR="000A4A3F" w:rsidRPr="000A4A3F" w:rsidRDefault="000A4A3F" w:rsidP="000A4A3F">
      <w:pPr>
        <w:pStyle w:val="Caption"/>
        <w:keepNext/>
        <w:tabs>
          <w:tab w:val="clear" w:pos="851"/>
          <w:tab w:val="left" w:pos="1134"/>
        </w:tabs>
        <w:ind w:left="1134" w:hanging="1134"/>
      </w:pPr>
      <w:bookmarkStart w:id="434" w:name="_Ref405802345"/>
      <w:bookmarkStart w:id="435" w:name="_Toc411510480"/>
      <w:bookmarkStart w:id="436" w:name="_Toc415141912"/>
      <w:r w:rsidRPr="000A4A3F">
        <w:t xml:space="preserve">Table </w:t>
      </w:r>
      <w:r w:rsidRPr="000A4A3F">
        <w:rPr>
          <w:noProof/>
        </w:rPr>
        <w:t>115</w:t>
      </w:r>
      <w:bookmarkEnd w:id="434"/>
      <w:r w:rsidRPr="000A4A3F">
        <w:tab/>
        <w:t xml:space="preserve">Summary of important identified and potential risks and missing information for galsulfase </w:t>
      </w:r>
      <w:r w:rsidRPr="000A4A3F">
        <w:rPr>
          <w:noProof/>
        </w:rPr>
        <w:t>(BioMarin Pharmaceuticals Inc. 2014)</w:t>
      </w:r>
      <w:bookmarkEnd w:id="435"/>
      <w:bookmarkEnd w:id="436"/>
    </w:p>
    <w:tbl>
      <w:tblPr>
        <w:tblStyle w:val="TableGrid"/>
        <w:tblW w:w="5000" w:type="pct"/>
        <w:tblLook w:val="04A0" w:firstRow="1" w:lastRow="0" w:firstColumn="1" w:lastColumn="0" w:noHBand="0" w:noVBand="1"/>
        <w:tblCaption w:val="Table 82 Summary of important identified and potential risks and missing information for galsulfase (BioMarin Pharmaceuticals Inc. 2014)"/>
      </w:tblPr>
      <w:tblGrid>
        <w:gridCol w:w="3249"/>
        <w:gridCol w:w="5993"/>
      </w:tblGrid>
      <w:tr w:rsidR="000A4A3F" w:rsidRPr="000756DF" w:rsidTr="00027DD4">
        <w:trPr>
          <w:tblHeader/>
        </w:trPr>
        <w:tc>
          <w:tcPr>
            <w:tcW w:w="1758" w:type="pct"/>
          </w:tcPr>
          <w:p w:rsidR="000A4A3F" w:rsidRPr="000A4A3F" w:rsidRDefault="000A4A3F" w:rsidP="00027DD4">
            <w:pPr>
              <w:pStyle w:val="TableHeading"/>
            </w:pPr>
            <w:r w:rsidRPr="000A4A3F">
              <w:t>Identified Risks</w:t>
            </w:r>
          </w:p>
        </w:tc>
        <w:tc>
          <w:tcPr>
            <w:tcW w:w="3242" w:type="pct"/>
          </w:tcPr>
          <w:p w:rsidR="000A4A3F" w:rsidRPr="000A4A3F" w:rsidRDefault="000A4A3F" w:rsidP="00027DD4">
            <w:pPr>
              <w:pStyle w:val="TableHeading"/>
            </w:pPr>
            <w:r w:rsidRPr="000A4A3F">
              <w:t>Hypersensitivity reactions / infusion associated reactions</w:t>
            </w:r>
          </w:p>
        </w:tc>
      </w:tr>
      <w:tr w:rsidR="000A4A3F" w:rsidRPr="000756DF" w:rsidTr="00027DD4">
        <w:tc>
          <w:tcPr>
            <w:tcW w:w="1758" w:type="pct"/>
          </w:tcPr>
          <w:p w:rsidR="000A4A3F" w:rsidRPr="000A4A3F" w:rsidRDefault="000A4A3F" w:rsidP="00027DD4">
            <w:pPr>
              <w:pStyle w:val="TableText0"/>
            </w:pPr>
            <w:r w:rsidRPr="000A4A3F">
              <w:t>Potential Risks</w:t>
            </w:r>
          </w:p>
        </w:tc>
        <w:tc>
          <w:tcPr>
            <w:tcW w:w="3242" w:type="pct"/>
          </w:tcPr>
          <w:p w:rsidR="000A4A3F" w:rsidRPr="00500271" w:rsidRDefault="00500271" w:rsidP="00027DD4">
            <w:pPr>
              <w:pStyle w:val="TableText0"/>
              <w:rPr>
                <w:highlight w:val="black"/>
              </w:rPr>
            </w:pPr>
            <w:r>
              <w:rPr>
                <w:noProof/>
                <w:color w:val="000000"/>
                <w:highlight w:val="black"/>
              </w:rPr>
              <w:t>''''''''''''''''''' ''''''''''''''''</w:t>
            </w:r>
          </w:p>
          <w:p w:rsidR="000A4A3F" w:rsidRPr="00500271" w:rsidRDefault="00500271" w:rsidP="00027DD4">
            <w:pPr>
              <w:pStyle w:val="TableText0"/>
              <w:rPr>
                <w:highlight w:val="black"/>
              </w:rPr>
            </w:pPr>
            <w:r>
              <w:rPr>
                <w:noProof/>
                <w:color w:val="000000"/>
                <w:highlight w:val="black"/>
              </w:rPr>
              <w:t>'''''''''''' '''''''''''''''''''''''''''</w:t>
            </w:r>
          </w:p>
          <w:p w:rsidR="000A4A3F" w:rsidRPr="00500271" w:rsidRDefault="00500271" w:rsidP="00027DD4">
            <w:pPr>
              <w:pStyle w:val="TableText0"/>
              <w:rPr>
                <w:highlight w:val="black"/>
              </w:rPr>
            </w:pPr>
            <w:r>
              <w:rPr>
                <w:noProof/>
                <w:color w:val="000000"/>
                <w:highlight w:val="black"/>
              </w:rPr>
              <w:t>''''''''''''''''''''''''''''''''''' '''''''''''''''''''''''''''''''''</w:t>
            </w:r>
          </w:p>
          <w:p w:rsidR="000A4A3F" w:rsidRPr="00500271" w:rsidRDefault="00500271" w:rsidP="00027DD4">
            <w:pPr>
              <w:pStyle w:val="TableText0"/>
              <w:rPr>
                <w:highlight w:val="black"/>
              </w:rPr>
            </w:pPr>
            <w:r>
              <w:rPr>
                <w:noProof/>
                <w:color w:val="000000"/>
                <w:highlight w:val="black"/>
              </w:rPr>
              <w:t>'''''''''''''''''''' '''''''''''''''''''''''''''</w:t>
            </w:r>
          </w:p>
          <w:p w:rsidR="000A4A3F" w:rsidRPr="00500271" w:rsidRDefault="00500271" w:rsidP="00027DD4">
            <w:pPr>
              <w:pStyle w:val="TableText0"/>
              <w:rPr>
                <w:highlight w:val="black"/>
              </w:rPr>
            </w:pPr>
            <w:r>
              <w:rPr>
                <w:noProof/>
                <w:color w:val="000000"/>
                <w:highlight w:val="black"/>
              </w:rPr>
              <w:t>'''''''''''''''' '''''''''' ''''''''''''''''''''''''''''</w:t>
            </w:r>
          </w:p>
          <w:p w:rsidR="000A4A3F" w:rsidRPr="00500271" w:rsidRDefault="00500271" w:rsidP="00027DD4">
            <w:pPr>
              <w:pStyle w:val="TableText0"/>
              <w:rPr>
                <w:highlight w:val="black"/>
              </w:rPr>
            </w:pPr>
            <w:r>
              <w:rPr>
                <w:noProof/>
                <w:color w:val="000000"/>
                <w:highlight w:val="black"/>
              </w:rPr>
              <w:t>'''''''''''''''''''''''''''''''''''''''''''</w:t>
            </w:r>
          </w:p>
          <w:p w:rsidR="000A4A3F" w:rsidRPr="00500271" w:rsidRDefault="00500271" w:rsidP="00027DD4">
            <w:pPr>
              <w:pStyle w:val="TableText0"/>
              <w:rPr>
                <w:highlight w:val="black"/>
              </w:rPr>
            </w:pPr>
            <w:r>
              <w:rPr>
                <w:noProof/>
                <w:color w:val="000000"/>
                <w:highlight w:val="black"/>
              </w:rPr>
              <w:t>''''''''''''''''''''''''' ''''''''''''''''''''''</w:t>
            </w:r>
          </w:p>
        </w:tc>
      </w:tr>
      <w:tr w:rsidR="000A4A3F" w:rsidRPr="000756DF" w:rsidTr="00027DD4">
        <w:tc>
          <w:tcPr>
            <w:tcW w:w="1758" w:type="pct"/>
          </w:tcPr>
          <w:p w:rsidR="000A4A3F" w:rsidRPr="000A4A3F" w:rsidRDefault="000A4A3F" w:rsidP="00027DD4">
            <w:pPr>
              <w:pStyle w:val="TableText0"/>
            </w:pPr>
            <w:r w:rsidRPr="000A4A3F">
              <w:t>Important Missing Information</w:t>
            </w:r>
          </w:p>
        </w:tc>
        <w:tc>
          <w:tcPr>
            <w:tcW w:w="3242" w:type="pct"/>
            <w:tcBorders>
              <w:bottom w:val="single" w:sz="4" w:space="0" w:color="000000"/>
            </w:tcBorders>
          </w:tcPr>
          <w:p w:rsidR="000A4A3F" w:rsidRPr="00500271" w:rsidRDefault="00500271" w:rsidP="00027DD4">
            <w:pPr>
              <w:pStyle w:val="TableText0"/>
              <w:rPr>
                <w:highlight w:val="black"/>
              </w:rPr>
            </w:pPr>
            <w:r>
              <w:rPr>
                <w:noProof/>
                <w:color w:val="000000"/>
                <w:highlight w:val="black"/>
              </w:rPr>
              <w:t>'''''''''' '''' ''''''''''''' '''''''''''''''''''''''</w:t>
            </w:r>
          </w:p>
          <w:p w:rsidR="000A4A3F" w:rsidRPr="00500271" w:rsidRDefault="00500271" w:rsidP="00027DD4">
            <w:pPr>
              <w:pStyle w:val="TableText0"/>
              <w:rPr>
                <w:highlight w:val="black"/>
              </w:rPr>
            </w:pPr>
            <w:r>
              <w:rPr>
                <w:noProof/>
                <w:color w:val="000000"/>
                <w:highlight w:val="black"/>
              </w:rPr>
              <w:t>'''''''''''''''''''''''''' '''''''''''''''''''''''''' ''''''''''''''''''''''' '''' '''''''''''''''''''' '''''''''''''''' '''''''''' ''''''''''''''''' '''''''''' ''''''''''''''''' ''''' ''''''''''''' '''''''''''''''''''''''''''''''</w:t>
            </w:r>
          </w:p>
        </w:tc>
      </w:tr>
    </w:tbl>
    <w:p w:rsidR="000756DF" w:rsidRPr="00A62C97" w:rsidRDefault="000756DF" w:rsidP="000756DF">
      <w:pPr>
        <w:rPr>
          <w:highlight w:val="yellow"/>
        </w:rPr>
      </w:pPr>
    </w:p>
    <w:p w:rsidR="000756DF" w:rsidRPr="000A4A3F" w:rsidRDefault="00A62C97" w:rsidP="000756DF">
      <w:pPr>
        <w:rPr>
          <w:highlight w:val="black"/>
        </w:rPr>
      </w:pPr>
      <w:r>
        <w:rPr>
          <w:noProof/>
          <w:color w:val="000000"/>
          <w:highlight w:val="black"/>
        </w:rPr>
        <w:t xml:space="preserve">''' ''''''''''''''''''' ''''' '''''''''''''' ''''''''' ''''''''''''''''' ''''''' '''''''''' '''''''''''''''''''' ''' ''''''''''''' '''' ''''''''''' '''''''' '''''''''''''''''''''' '''''''' ''''''''''' ''''''''' '''''''''''' ''''''''''' '''' ''''''''''''''''''''''''''''''''''' '''''''''''' ''''''' ''''''''' ''''''''''' '''''''''''''' '''''''''' '''''''''''''''''''' ''''''''' ''''''''''''''''''' ''''''''''''''''' ''''''''' ''''''''' ''''''''''''''''''''''''''''' ''''''''''''''' ''''''''''''''''''' '''''''''''''''' ''''''''''''''''' ''' ''''''''''''''''''' '''''''''' '''''''''''''' '''''''''''''''' '''''''''''''''''' '''''''''''''''' '''''''''''''''''''' '''''''''''''' '''''' '''''''''''''''' '''''''' '''''''''' ''''''''''''''''' '''''''''''''''' '''''''''''' ''''''''''' '''''''''''''''''' '''''''''''''''''''''''' '''''''''' ''''''''''''''''''''''''''' '''''''''''''''''' ''''''''''''''''' '''''''''''''''''''''''''''' ''''''' ''''''''''' </w:t>
      </w:r>
    </w:p>
    <w:p w:rsidR="000A4A3F" w:rsidRPr="000A4A3F" w:rsidRDefault="000A4A3F" w:rsidP="000A4A3F">
      <w:pPr>
        <w:pStyle w:val="Caption"/>
        <w:keepNext/>
        <w:tabs>
          <w:tab w:val="clear" w:pos="851"/>
          <w:tab w:val="left" w:pos="1134"/>
        </w:tabs>
        <w:ind w:left="1134" w:hanging="1134"/>
      </w:pPr>
      <w:bookmarkStart w:id="437" w:name="_Ref403987143"/>
      <w:bookmarkStart w:id="438" w:name="_Toc411510481"/>
      <w:bookmarkStart w:id="439" w:name="_Toc415141913"/>
      <w:r w:rsidRPr="000A4A3F">
        <w:t xml:space="preserve">Table </w:t>
      </w:r>
      <w:r w:rsidRPr="000A4A3F">
        <w:rPr>
          <w:noProof/>
        </w:rPr>
        <w:t>116</w:t>
      </w:r>
      <w:bookmarkEnd w:id="437"/>
      <w:r w:rsidRPr="000A4A3F">
        <w:tab/>
        <w:t xml:space="preserve">Frequency of adverse drug reactions with galsulfase </w:t>
      </w:r>
      <w:r w:rsidRPr="000A4A3F">
        <w:rPr>
          <w:noProof/>
        </w:rPr>
        <w:t>(BioMarin Pharmaceuticals Inc. 2014)</w:t>
      </w:r>
      <w:bookmarkEnd w:id="438"/>
      <w:bookmarkEnd w:id="439"/>
    </w:p>
    <w:tbl>
      <w:tblPr>
        <w:tblStyle w:val="TableGrid"/>
        <w:tblpPr w:leftFromText="180" w:rightFromText="180" w:vertAnchor="text" w:horzAnchor="margin" w:tblpY="287"/>
        <w:tblW w:w="4999" w:type="pct"/>
        <w:tblLook w:val="04A0" w:firstRow="1" w:lastRow="0" w:firstColumn="1" w:lastColumn="0" w:noHBand="0" w:noVBand="1"/>
        <w:tblCaption w:val="Table 83 Frequency of adverse drug reactions with galsulfase (BioMarin Pharmaceuticals Inc. 2014)"/>
      </w:tblPr>
      <w:tblGrid>
        <w:gridCol w:w="3249"/>
        <w:gridCol w:w="2596"/>
        <w:gridCol w:w="1894"/>
        <w:gridCol w:w="1501"/>
      </w:tblGrid>
      <w:tr w:rsidR="000A4A3F" w:rsidRPr="00B15620" w:rsidTr="000A4A3F">
        <w:trPr>
          <w:tblHeader/>
        </w:trPr>
        <w:tc>
          <w:tcPr>
            <w:tcW w:w="1758" w:type="pct"/>
          </w:tcPr>
          <w:p w:rsidR="000A4A3F" w:rsidRPr="000A4A3F" w:rsidRDefault="000A4A3F" w:rsidP="000A4A3F">
            <w:pPr>
              <w:pStyle w:val="TableHeading"/>
            </w:pPr>
            <w:r w:rsidRPr="000A4A3F">
              <w:t>System Organ Class</w:t>
            </w:r>
          </w:p>
        </w:tc>
        <w:tc>
          <w:tcPr>
            <w:tcW w:w="1405" w:type="pct"/>
            <w:tcBorders>
              <w:right w:val="single" w:sz="4" w:space="0" w:color="auto"/>
            </w:tcBorders>
          </w:tcPr>
          <w:p w:rsidR="000A4A3F" w:rsidRPr="000A4A3F" w:rsidRDefault="000A4A3F" w:rsidP="000A4A3F">
            <w:pPr>
              <w:pStyle w:val="TableHeading"/>
            </w:pPr>
            <w:r w:rsidRPr="000A4A3F">
              <w:t>Very common adverse drug reactions (&gt;1/10)</w:t>
            </w:r>
          </w:p>
        </w:tc>
        <w:tc>
          <w:tcPr>
            <w:tcW w:w="1025" w:type="pct"/>
            <w:tcBorders>
              <w:left w:val="single" w:sz="4" w:space="0" w:color="auto"/>
              <w:right w:val="single" w:sz="4" w:space="0" w:color="auto"/>
            </w:tcBorders>
          </w:tcPr>
          <w:p w:rsidR="000A4A3F" w:rsidRPr="000A4A3F" w:rsidRDefault="000A4A3F" w:rsidP="000A4A3F">
            <w:pPr>
              <w:pStyle w:val="TableHeading"/>
            </w:pPr>
            <w:r w:rsidRPr="000A4A3F">
              <w:t>Common adverse drug reactions (&gt;1/100, &lt;1/10)</w:t>
            </w:r>
          </w:p>
        </w:tc>
        <w:tc>
          <w:tcPr>
            <w:tcW w:w="812" w:type="pct"/>
            <w:tcBorders>
              <w:left w:val="single" w:sz="4" w:space="0" w:color="auto"/>
            </w:tcBorders>
          </w:tcPr>
          <w:p w:rsidR="000A4A3F" w:rsidRPr="000A4A3F" w:rsidRDefault="000A4A3F" w:rsidP="000A4A3F">
            <w:pPr>
              <w:pStyle w:val="TableHeading"/>
            </w:pPr>
            <w:r w:rsidRPr="000A4A3F">
              <w:t>Frequency not known</w:t>
            </w:r>
          </w:p>
        </w:tc>
      </w:tr>
      <w:tr w:rsidR="000A4A3F" w:rsidRPr="00B15620" w:rsidTr="000A4A3F">
        <w:tc>
          <w:tcPr>
            <w:tcW w:w="1758" w:type="pct"/>
          </w:tcPr>
          <w:p w:rsidR="000A4A3F" w:rsidRPr="008359A2" w:rsidRDefault="000A4A3F" w:rsidP="000A4A3F">
            <w:pPr>
              <w:pStyle w:val="TableText0"/>
            </w:pPr>
            <w:r w:rsidRPr="008359A2">
              <w:t>Immune system disorders</w:t>
            </w:r>
          </w:p>
        </w:tc>
        <w:tc>
          <w:tcPr>
            <w:tcW w:w="1405" w:type="pct"/>
            <w:tcBorders>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1025" w:type="pct"/>
            <w:tcBorders>
              <w:left w:val="single" w:sz="4" w:space="0" w:color="auto"/>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812" w:type="pct"/>
            <w:tcBorders>
              <w:left w:val="single" w:sz="4" w:space="0" w:color="auto"/>
            </w:tcBorders>
          </w:tcPr>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w:t>
            </w:r>
          </w:p>
        </w:tc>
      </w:tr>
      <w:tr w:rsidR="000A4A3F" w:rsidRPr="00B15620" w:rsidTr="000A4A3F">
        <w:tc>
          <w:tcPr>
            <w:tcW w:w="1758" w:type="pct"/>
          </w:tcPr>
          <w:p w:rsidR="000A4A3F" w:rsidRPr="008359A2" w:rsidRDefault="000A4A3F" w:rsidP="000A4A3F">
            <w:pPr>
              <w:pStyle w:val="TableText0"/>
            </w:pPr>
            <w:r w:rsidRPr="008359A2">
              <w:t>Infections and infestations</w:t>
            </w:r>
          </w:p>
        </w:tc>
        <w:tc>
          <w:tcPr>
            <w:tcW w:w="1405" w:type="pct"/>
            <w:tcBorders>
              <w:right w:val="single" w:sz="4" w:space="0" w:color="auto"/>
            </w:tcBorders>
          </w:tcPr>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w:t>
            </w:r>
          </w:p>
        </w:tc>
        <w:tc>
          <w:tcPr>
            <w:tcW w:w="1025" w:type="pct"/>
            <w:tcBorders>
              <w:left w:val="single" w:sz="4" w:space="0" w:color="auto"/>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812" w:type="pct"/>
            <w:tcBorders>
              <w:left w:val="single" w:sz="4" w:space="0" w:color="auto"/>
            </w:tcBorders>
          </w:tcPr>
          <w:p w:rsidR="000A4A3F" w:rsidRPr="00A62C97" w:rsidRDefault="000A4A3F" w:rsidP="000A4A3F">
            <w:pPr>
              <w:pStyle w:val="TableText0"/>
              <w:rPr>
                <w:highlight w:val="black"/>
              </w:rPr>
            </w:pPr>
            <w:r>
              <w:rPr>
                <w:noProof/>
                <w:color w:val="000000"/>
                <w:highlight w:val="black"/>
              </w:rPr>
              <w:t>''</w:t>
            </w:r>
          </w:p>
        </w:tc>
      </w:tr>
      <w:tr w:rsidR="000A4A3F" w:rsidRPr="00B15620" w:rsidTr="000A4A3F">
        <w:tc>
          <w:tcPr>
            <w:tcW w:w="1758" w:type="pct"/>
          </w:tcPr>
          <w:p w:rsidR="000A4A3F" w:rsidRPr="008359A2" w:rsidRDefault="000A4A3F" w:rsidP="000A4A3F">
            <w:pPr>
              <w:pStyle w:val="TableText0"/>
            </w:pPr>
            <w:r w:rsidRPr="008359A2">
              <w:t>Nervous system disorders</w:t>
            </w:r>
          </w:p>
        </w:tc>
        <w:tc>
          <w:tcPr>
            <w:tcW w:w="1405" w:type="pct"/>
            <w:tcBorders>
              <w:right w:val="single" w:sz="4" w:space="0" w:color="auto"/>
            </w:tcBorders>
          </w:tcPr>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w:t>
            </w:r>
          </w:p>
        </w:tc>
        <w:tc>
          <w:tcPr>
            <w:tcW w:w="1025" w:type="pct"/>
            <w:tcBorders>
              <w:left w:val="single" w:sz="4" w:space="0" w:color="auto"/>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812" w:type="pct"/>
            <w:tcBorders>
              <w:left w:val="single" w:sz="4" w:space="0" w:color="auto"/>
            </w:tcBorders>
          </w:tcPr>
          <w:p w:rsidR="000A4A3F" w:rsidRPr="00A62C97" w:rsidRDefault="000A4A3F" w:rsidP="000A4A3F">
            <w:pPr>
              <w:pStyle w:val="TableText0"/>
              <w:rPr>
                <w:highlight w:val="black"/>
              </w:rPr>
            </w:pPr>
            <w:r>
              <w:rPr>
                <w:noProof/>
                <w:color w:val="000000"/>
                <w:highlight w:val="black"/>
              </w:rPr>
              <w:t>'''''''''''''''''''''''''''''''''</w:t>
            </w:r>
          </w:p>
        </w:tc>
      </w:tr>
      <w:tr w:rsidR="000A4A3F" w:rsidRPr="00B15620" w:rsidTr="000A4A3F">
        <w:tc>
          <w:tcPr>
            <w:tcW w:w="1758" w:type="pct"/>
          </w:tcPr>
          <w:p w:rsidR="000A4A3F" w:rsidRPr="008359A2" w:rsidRDefault="000A4A3F" w:rsidP="000A4A3F">
            <w:pPr>
              <w:pStyle w:val="TableText0"/>
            </w:pPr>
            <w:r w:rsidRPr="008359A2">
              <w:t>Eye disorders</w:t>
            </w:r>
          </w:p>
        </w:tc>
        <w:tc>
          <w:tcPr>
            <w:tcW w:w="1405" w:type="pct"/>
            <w:tcBorders>
              <w:right w:val="single" w:sz="4" w:space="0" w:color="auto"/>
            </w:tcBorders>
          </w:tcPr>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 '''''''''''''''''</w:t>
            </w:r>
          </w:p>
        </w:tc>
        <w:tc>
          <w:tcPr>
            <w:tcW w:w="1025" w:type="pct"/>
            <w:tcBorders>
              <w:left w:val="single" w:sz="4" w:space="0" w:color="auto"/>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812" w:type="pct"/>
            <w:tcBorders>
              <w:left w:val="single" w:sz="4" w:space="0" w:color="auto"/>
            </w:tcBorders>
          </w:tcPr>
          <w:p w:rsidR="000A4A3F" w:rsidRPr="00A62C97" w:rsidRDefault="000A4A3F" w:rsidP="000A4A3F">
            <w:pPr>
              <w:pStyle w:val="TableText0"/>
              <w:rPr>
                <w:highlight w:val="black"/>
              </w:rPr>
            </w:pPr>
            <w:r>
              <w:rPr>
                <w:noProof/>
                <w:color w:val="000000"/>
                <w:highlight w:val="black"/>
              </w:rPr>
              <w:t>''</w:t>
            </w:r>
          </w:p>
        </w:tc>
      </w:tr>
      <w:tr w:rsidR="000A4A3F" w:rsidRPr="00B15620" w:rsidTr="000A4A3F">
        <w:tc>
          <w:tcPr>
            <w:tcW w:w="1758" w:type="pct"/>
          </w:tcPr>
          <w:p w:rsidR="000A4A3F" w:rsidRPr="008359A2" w:rsidRDefault="000A4A3F" w:rsidP="000A4A3F">
            <w:pPr>
              <w:pStyle w:val="TableText0"/>
            </w:pPr>
            <w:r w:rsidRPr="008359A2">
              <w:t>Cardiac disorders</w:t>
            </w:r>
          </w:p>
        </w:tc>
        <w:tc>
          <w:tcPr>
            <w:tcW w:w="1405" w:type="pct"/>
            <w:tcBorders>
              <w:right w:val="single" w:sz="4" w:space="0" w:color="auto"/>
            </w:tcBorders>
          </w:tcPr>
          <w:p w:rsidR="000A4A3F" w:rsidRPr="00A62C97" w:rsidRDefault="000A4A3F" w:rsidP="000A4A3F">
            <w:pPr>
              <w:pStyle w:val="TableText0"/>
              <w:rPr>
                <w:highlight w:val="yellow"/>
              </w:rPr>
            </w:pPr>
          </w:p>
        </w:tc>
        <w:tc>
          <w:tcPr>
            <w:tcW w:w="1025" w:type="pct"/>
            <w:tcBorders>
              <w:left w:val="single" w:sz="4" w:space="0" w:color="auto"/>
              <w:right w:val="single" w:sz="4" w:space="0" w:color="auto"/>
            </w:tcBorders>
          </w:tcPr>
          <w:p w:rsidR="000A4A3F" w:rsidRPr="00A62C97" w:rsidRDefault="000A4A3F" w:rsidP="000A4A3F">
            <w:pPr>
              <w:pStyle w:val="TableText0"/>
              <w:rPr>
                <w:highlight w:val="yellow"/>
              </w:rPr>
            </w:pPr>
          </w:p>
        </w:tc>
        <w:tc>
          <w:tcPr>
            <w:tcW w:w="812" w:type="pct"/>
            <w:tcBorders>
              <w:left w:val="single" w:sz="4" w:space="0" w:color="auto"/>
            </w:tcBorders>
          </w:tcPr>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lastRenderedPageBreak/>
              <w:t>''''''''''''''''''''</w:t>
            </w:r>
          </w:p>
        </w:tc>
      </w:tr>
      <w:tr w:rsidR="000A4A3F" w:rsidRPr="00B15620" w:rsidTr="000A4A3F">
        <w:tc>
          <w:tcPr>
            <w:tcW w:w="1758" w:type="pct"/>
          </w:tcPr>
          <w:p w:rsidR="000A4A3F" w:rsidRPr="008359A2" w:rsidRDefault="000A4A3F" w:rsidP="000A4A3F">
            <w:pPr>
              <w:pStyle w:val="TableText0"/>
            </w:pPr>
            <w:r w:rsidRPr="008359A2">
              <w:lastRenderedPageBreak/>
              <w:t>Ear and labyrinth disorders</w:t>
            </w:r>
          </w:p>
        </w:tc>
        <w:tc>
          <w:tcPr>
            <w:tcW w:w="1405" w:type="pct"/>
            <w:tcBorders>
              <w:right w:val="single" w:sz="4" w:space="0" w:color="auto"/>
            </w:tcBorders>
          </w:tcPr>
          <w:p w:rsidR="000A4A3F" w:rsidRPr="00A62C97" w:rsidRDefault="000A4A3F" w:rsidP="000A4A3F">
            <w:pPr>
              <w:pStyle w:val="TableText0"/>
              <w:rPr>
                <w:highlight w:val="black"/>
              </w:rPr>
            </w:pPr>
            <w:r>
              <w:rPr>
                <w:noProof/>
                <w:color w:val="000000"/>
                <w:highlight w:val="black"/>
              </w:rPr>
              <w:t>''''''' '''''''''''</w:t>
            </w:r>
          </w:p>
          <w:p w:rsidR="000A4A3F" w:rsidRPr="00A62C97" w:rsidRDefault="000A4A3F" w:rsidP="000A4A3F">
            <w:pPr>
              <w:pStyle w:val="TableText0"/>
              <w:rPr>
                <w:highlight w:val="black"/>
              </w:rPr>
            </w:pPr>
            <w:r>
              <w:rPr>
                <w:noProof/>
                <w:color w:val="000000"/>
                <w:highlight w:val="black"/>
              </w:rPr>
              <w:t>''''''''''''''''' ''''''''''''''''''''</w:t>
            </w:r>
          </w:p>
        </w:tc>
        <w:tc>
          <w:tcPr>
            <w:tcW w:w="1025" w:type="pct"/>
            <w:tcBorders>
              <w:left w:val="single" w:sz="4" w:space="0" w:color="auto"/>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812" w:type="pct"/>
            <w:tcBorders>
              <w:left w:val="single" w:sz="4" w:space="0" w:color="auto"/>
            </w:tcBorders>
          </w:tcPr>
          <w:p w:rsidR="000A4A3F" w:rsidRPr="00A62C97" w:rsidRDefault="000A4A3F" w:rsidP="000A4A3F">
            <w:pPr>
              <w:pStyle w:val="TableText0"/>
              <w:rPr>
                <w:highlight w:val="black"/>
              </w:rPr>
            </w:pPr>
            <w:r>
              <w:rPr>
                <w:noProof/>
                <w:color w:val="000000"/>
                <w:highlight w:val="black"/>
              </w:rPr>
              <w:t>'''</w:t>
            </w:r>
          </w:p>
        </w:tc>
      </w:tr>
      <w:tr w:rsidR="000A4A3F" w:rsidRPr="00B15620" w:rsidTr="000A4A3F">
        <w:tc>
          <w:tcPr>
            <w:tcW w:w="1758" w:type="pct"/>
          </w:tcPr>
          <w:p w:rsidR="000A4A3F" w:rsidRPr="008359A2" w:rsidRDefault="000A4A3F" w:rsidP="000A4A3F">
            <w:pPr>
              <w:pStyle w:val="TableText0"/>
            </w:pPr>
            <w:r w:rsidRPr="008359A2">
              <w:t>Vascular disorders</w:t>
            </w:r>
          </w:p>
        </w:tc>
        <w:tc>
          <w:tcPr>
            <w:tcW w:w="1405" w:type="pct"/>
            <w:tcBorders>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1025" w:type="pct"/>
            <w:tcBorders>
              <w:left w:val="single" w:sz="4" w:space="0" w:color="auto"/>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812" w:type="pct"/>
            <w:tcBorders>
              <w:left w:val="single" w:sz="4" w:space="0" w:color="auto"/>
            </w:tcBorders>
          </w:tcPr>
          <w:p w:rsidR="000A4A3F" w:rsidRPr="00A62C97" w:rsidRDefault="000A4A3F" w:rsidP="000A4A3F">
            <w:pPr>
              <w:pStyle w:val="TableText0"/>
              <w:rPr>
                <w:highlight w:val="black"/>
              </w:rPr>
            </w:pPr>
            <w:r>
              <w:rPr>
                <w:noProof/>
                <w:color w:val="000000"/>
                <w:highlight w:val="black"/>
              </w:rPr>
              <w:t>'''''''''''''</w:t>
            </w:r>
          </w:p>
        </w:tc>
      </w:tr>
      <w:tr w:rsidR="000A4A3F" w:rsidRPr="00B15620" w:rsidTr="000A4A3F">
        <w:tc>
          <w:tcPr>
            <w:tcW w:w="1758" w:type="pct"/>
          </w:tcPr>
          <w:p w:rsidR="000A4A3F" w:rsidRPr="008359A2" w:rsidRDefault="000A4A3F" w:rsidP="000A4A3F">
            <w:pPr>
              <w:pStyle w:val="TableText0"/>
            </w:pPr>
            <w:r w:rsidRPr="008359A2">
              <w:t>Respiratory, thoracic and mediastinal disorders</w:t>
            </w:r>
          </w:p>
        </w:tc>
        <w:tc>
          <w:tcPr>
            <w:tcW w:w="1405" w:type="pct"/>
            <w:tcBorders>
              <w:right w:val="single" w:sz="4" w:space="0" w:color="auto"/>
            </w:tcBorders>
          </w:tcPr>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 '''''''''''''''''''''''''''</w:t>
            </w:r>
          </w:p>
        </w:tc>
        <w:tc>
          <w:tcPr>
            <w:tcW w:w="1025" w:type="pct"/>
            <w:tcBorders>
              <w:left w:val="single" w:sz="4" w:space="0" w:color="auto"/>
              <w:right w:val="single" w:sz="4" w:space="0" w:color="auto"/>
            </w:tcBorders>
          </w:tcPr>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 '''''''''''''''''</w:t>
            </w:r>
          </w:p>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w:t>
            </w:r>
          </w:p>
        </w:tc>
        <w:tc>
          <w:tcPr>
            <w:tcW w:w="812" w:type="pct"/>
            <w:tcBorders>
              <w:left w:val="single" w:sz="4" w:space="0" w:color="auto"/>
            </w:tcBorders>
          </w:tcPr>
          <w:p w:rsidR="000A4A3F" w:rsidRPr="00A62C97" w:rsidRDefault="000A4A3F" w:rsidP="000A4A3F">
            <w:pPr>
              <w:pStyle w:val="TableText0"/>
              <w:rPr>
                <w:highlight w:val="black"/>
              </w:rPr>
            </w:pPr>
            <w:r>
              <w:rPr>
                <w:noProof/>
                <w:color w:val="000000"/>
                <w:highlight w:val="black"/>
              </w:rPr>
              <w:t>''''''''''''''''''''''' '''''''''''''''''''''</w:t>
            </w:r>
          </w:p>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w:t>
            </w:r>
          </w:p>
        </w:tc>
      </w:tr>
      <w:tr w:rsidR="000A4A3F" w:rsidRPr="00B15620" w:rsidTr="000A4A3F">
        <w:tc>
          <w:tcPr>
            <w:tcW w:w="1758" w:type="pct"/>
          </w:tcPr>
          <w:p w:rsidR="000A4A3F" w:rsidRPr="008359A2" w:rsidRDefault="000A4A3F" w:rsidP="000A4A3F">
            <w:pPr>
              <w:pStyle w:val="TableText0"/>
            </w:pPr>
            <w:r w:rsidRPr="008359A2">
              <w:t>Gastrointestinal disorders</w:t>
            </w:r>
          </w:p>
        </w:tc>
        <w:tc>
          <w:tcPr>
            <w:tcW w:w="1405" w:type="pct"/>
            <w:tcBorders>
              <w:right w:val="single" w:sz="4" w:space="0" w:color="auto"/>
            </w:tcBorders>
          </w:tcPr>
          <w:p w:rsidR="000A4A3F" w:rsidRPr="00A62C97" w:rsidRDefault="000A4A3F" w:rsidP="000A4A3F">
            <w:pPr>
              <w:pStyle w:val="TableText0"/>
              <w:rPr>
                <w:highlight w:val="black"/>
              </w:rPr>
            </w:pPr>
            <w:r>
              <w:rPr>
                <w:noProof/>
                <w:color w:val="000000"/>
                <w:highlight w:val="black"/>
              </w:rPr>
              <w:t>'''''''''''''''''''''''' '''''''''''</w:t>
            </w:r>
          </w:p>
          <w:p w:rsidR="000A4A3F" w:rsidRPr="00A62C97" w:rsidRDefault="000A4A3F" w:rsidP="000A4A3F">
            <w:pPr>
              <w:pStyle w:val="TableText0"/>
              <w:rPr>
                <w:highlight w:val="black"/>
              </w:rPr>
            </w:pPr>
            <w:r>
              <w:rPr>
                <w:noProof/>
                <w:color w:val="000000"/>
                <w:highlight w:val="black"/>
              </w:rPr>
              <w:t>''''''''''''''''''''' ''''''''''''''</w:t>
            </w:r>
          </w:p>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w:t>
            </w:r>
          </w:p>
        </w:tc>
        <w:tc>
          <w:tcPr>
            <w:tcW w:w="1025" w:type="pct"/>
            <w:tcBorders>
              <w:left w:val="single" w:sz="4" w:space="0" w:color="auto"/>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812" w:type="pct"/>
            <w:tcBorders>
              <w:left w:val="single" w:sz="4" w:space="0" w:color="auto"/>
            </w:tcBorders>
          </w:tcPr>
          <w:p w:rsidR="000A4A3F" w:rsidRPr="00A62C97" w:rsidRDefault="000A4A3F" w:rsidP="000A4A3F">
            <w:pPr>
              <w:pStyle w:val="TableText0"/>
              <w:rPr>
                <w:highlight w:val="black"/>
              </w:rPr>
            </w:pPr>
            <w:r>
              <w:rPr>
                <w:noProof/>
                <w:color w:val="000000"/>
                <w:highlight w:val="black"/>
              </w:rPr>
              <w:t>'''</w:t>
            </w:r>
          </w:p>
        </w:tc>
      </w:tr>
      <w:tr w:rsidR="000A4A3F" w:rsidRPr="00B15620" w:rsidTr="000A4A3F">
        <w:tc>
          <w:tcPr>
            <w:tcW w:w="1758" w:type="pct"/>
          </w:tcPr>
          <w:p w:rsidR="000A4A3F" w:rsidRPr="008359A2" w:rsidRDefault="000A4A3F" w:rsidP="000A4A3F">
            <w:pPr>
              <w:pStyle w:val="TableText0"/>
            </w:pPr>
            <w:r w:rsidRPr="008359A2">
              <w:t>Skin and subcutaneous tissue disorders</w:t>
            </w:r>
          </w:p>
        </w:tc>
        <w:tc>
          <w:tcPr>
            <w:tcW w:w="1405" w:type="pct"/>
            <w:tcBorders>
              <w:right w:val="single" w:sz="4" w:space="0" w:color="auto"/>
            </w:tcBorders>
          </w:tcPr>
          <w:p w:rsidR="000A4A3F" w:rsidRPr="00A62C97" w:rsidRDefault="000A4A3F" w:rsidP="000A4A3F">
            <w:pPr>
              <w:pStyle w:val="TableText0"/>
              <w:rPr>
                <w:highlight w:val="black"/>
              </w:rPr>
            </w:pPr>
            <w:r>
              <w:rPr>
                <w:noProof/>
                <w:color w:val="000000"/>
                <w:highlight w:val="black"/>
              </w:rPr>
              <w:t xml:space="preserve">'''''''''''''''''''''''''''''''' </w:t>
            </w:r>
          </w:p>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w:t>
            </w:r>
          </w:p>
        </w:tc>
        <w:tc>
          <w:tcPr>
            <w:tcW w:w="1025" w:type="pct"/>
            <w:tcBorders>
              <w:left w:val="single" w:sz="4" w:space="0" w:color="auto"/>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812" w:type="pct"/>
            <w:tcBorders>
              <w:left w:val="single" w:sz="4" w:space="0" w:color="auto"/>
            </w:tcBorders>
          </w:tcPr>
          <w:p w:rsidR="000A4A3F" w:rsidRPr="00A62C97" w:rsidRDefault="000A4A3F" w:rsidP="000A4A3F">
            <w:pPr>
              <w:pStyle w:val="TableText0"/>
              <w:rPr>
                <w:highlight w:val="black"/>
              </w:rPr>
            </w:pPr>
            <w:r>
              <w:rPr>
                <w:noProof/>
                <w:color w:val="000000"/>
                <w:highlight w:val="black"/>
              </w:rPr>
              <w:t>'''</w:t>
            </w:r>
          </w:p>
        </w:tc>
      </w:tr>
      <w:tr w:rsidR="000A4A3F" w:rsidRPr="00B15620" w:rsidTr="000A4A3F">
        <w:tc>
          <w:tcPr>
            <w:tcW w:w="1758" w:type="pct"/>
          </w:tcPr>
          <w:p w:rsidR="000A4A3F" w:rsidRPr="008359A2" w:rsidRDefault="000A4A3F" w:rsidP="000A4A3F">
            <w:pPr>
              <w:pStyle w:val="TableText0"/>
            </w:pPr>
            <w:r w:rsidRPr="008359A2">
              <w:t>General disorders and administration site conditions</w:t>
            </w:r>
          </w:p>
        </w:tc>
        <w:tc>
          <w:tcPr>
            <w:tcW w:w="1405" w:type="pct"/>
            <w:tcBorders>
              <w:right w:val="single" w:sz="4" w:space="0" w:color="auto"/>
            </w:tcBorders>
          </w:tcPr>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 ''''''''''</w:t>
            </w:r>
          </w:p>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w:t>
            </w:r>
          </w:p>
          <w:p w:rsidR="000A4A3F" w:rsidRPr="00A62C97" w:rsidRDefault="000A4A3F" w:rsidP="000A4A3F">
            <w:pPr>
              <w:pStyle w:val="TableText0"/>
              <w:rPr>
                <w:highlight w:val="black"/>
              </w:rPr>
            </w:pPr>
            <w:r>
              <w:rPr>
                <w:noProof/>
                <w:color w:val="000000"/>
                <w:highlight w:val="black"/>
              </w:rPr>
              <w:t>'''''''''''''''''</w:t>
            </w:r>
          </w:p>
        </w:tc>
        <w:tc>
          <w:tcPr>
            <w:tcW w:w="1025" w:type="pct"/>
            <w:tcBorders>
              <w:left w:val="single" w:sz="4" w:space="0" w:color="auto"/>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812" w:type="pct"/>
            <w:tcBorders>
              <w:left w:val="single" w:sz="4" w:space="0" w:color="auto"/>
            </w:tcBorders>
          </w:tcPr>
          <w:p w:rsidR="000A4A3F" w:rsidRPr="00A62C97" w:rsidRDefault="000A4A3F" w:rsidP="000A4A3F">
            <w:pPr>
              <w:pStyle w:val="TableText0"/>
              <w:rPr>
                <w:highlight w:val="black"/>
              </w:rPr>
            </w:pPr>
            <w:r>
              <w:rPr>
                <w:noProof/>
                <w:color w:val="000000"/>
                <w:highlight w:val="black"/>
              </w:rPr>
              <w:t>''</w:t>
            </w:r>
          </w:p>
        </w:tc>
      </w:tr>
      <w:tr w:rsidR="000A4A3F" w:rsidRPr="00B15620" w:rsidTr="000A4A3F">
        <w:tc>
          <w:tcPr>
            <w:tcW w:w="1758" w:type="pct"/>
          </w:tcPr>
          <w:p w:rsidR="000A4A3F" w:rsidRPr="008359A2" w:rsidRDefault="000A4A3F" w:rsidP="000A4A3F">
            <w:pPr>
              <w:pStyle w:val="TableText0"/>
              <w:rPr>
                <w:u w:val="single"/>
              </w:rPr>
            </w:pPr>
            <w:r w:rsidRPr="008359A2">
              <w:t>Musculoskeletal and Connective Tissue Disorders</w:t>
            </w:r>
          </w:p>
        </w:tc>
        <w:tc>
          <w:tcPr>
            <w:tcW w:w="1405" w:type="pct"/>
            <w:tcBorders>
              <w:bottom w:val="single" w:sz="4" w:space="0" w:color="000000"/>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1025" w:type="pct"/>
            <w:tcBorders>
              <w:left w:val="single" w:sz="4" w:space="0" w:color="auto"/>
              <w:bottom w:val="single" w:sz="4" w:space="0" w:color="000000"/>
              <w:right w:val="single" w:sz="4" w:space="0" w:color="auto"/>
            </w:tcBorders>
          </w:tcPr>
          <w:p w:rsidR="000A4A3F" w:rsidRPr="00A62C97" w:rsidRDefault="000A4A3F" w:rsidP="000A4A3F">
            <w:pPr>
              <w:pStyle w:val="TableText0"/>
              <w:rPr>
                <w:highlight w:val="black"/>
              </w:rPr>
            </w:pPr>
            <w:r>
              <w:rPr>
                <w:noProof/>
                <w:color w:val="000000"/>
                <w:highlight w:val="black"/>
              </w:rPr>
              <w:t>''</w:t>
            </w:r>
          </w:p>
        </w:tc>
        <w:tc>
          <w:tcPr>
            <w:tcW w:w="812" w:type="pct"/>
            <w:tcBorders>
              <w:left w:val="single" w:sz="4" w:space="0" w:color="auto"/>
            </w:tcBorders>
          </w:tcPr>
          <w:p w:rsidR="000A4A3F" w:rsidRPr="00A62C97" w:rsidRDefault="000A4A3F" w:rsidP="000A4A3F">
            <w:pPr>
              <w:pStyle w:val="TableText0"/>
              <w:rPr>
                <w:highlight w:val="black"/>
              </w:rPr>
            </w:pPr>
            <w:r>
              <w:rPr>
                <w:noProof/>
                <w:color w:val="000000"/>
                <w:highlight w:val="black"/>
              </w:rPr>
              <w:t>'''</w:t>
            </w:r>
          </w:p>
        </w:tc>
      </w:tr>
    </w:tbl>
    <w:p w:rsidR="003778DF" w:rsidRPr="00A62C97" w:rsidRDefault="003778DF" w:rsidP="00E965BD">
      <w:bookmarkStart w:id="440" w:name="_Toc404937277"/>
    </w:p>
    <w:p w:rsidR="000756DF" w:rsidRPr="000756DF" w:rsidRDefault="000756DF" w:rsidP="00EC5DFF">
      <w:pPr>
        <w:pStyle w:val="Heading4"/>
      </w:pPr>
      <w:r w:rsidRPr="000756DF">
        <w:t>Australian data registry information</w:t>
      </w:r>
      <w:bookmarkEnd w:id="440"/>
    </w:p>
    <w:p w:rsidR="000756DF" w:rsidRPr="00F3143C" w:rsidRDefault="000756DF" w:rsidP="00D05B69">
      <w:r w:rsidRPr="00D05B69">
        <w:t xml:space="preserve">Due to the small numbers, the data from the LSDP patient summaries for the three types of </w:t>
      </w:r>
      <w:r w:rsidRPr="00F3143C">
        <w:t>MSP (I, II &amp; VI) have been reported together.</w:t>
      </w:r>
    </w:p>
    <w:p w:rsidR="000756DF" w:rsidRPr="000756DF" w:rsidRDefault="000756DF" w:rsidP="006E2AFB">
      <w:pPr>
        <w:spacing w:after="480"/>
      </w:pPr>
      <w:r w:rsidRPr="00F3143C">
        <w:t>As of June 2014, there were 35 patients treated for either MPS I (7 patients), MPS II (15 patients) or MPS VI (13 patients).</w:t>
      </w:r>
      <w:r w:rsidR="00F3143C">
        <w:t xml:space="preserve"> </w:t>
      </w:r>
      <w:r w:rsidR="00EA0E37" w:rsidRPr="00F3143C">
        <w:t>Dosing data for three additional patients who were initiated on idursulfase for MPS II following</w:t>
      </w:r>
      <w:r w:rsidR="00EA0E37">
        <w:t xml:space="preserve"> the data cut-off were also available.</w:t>
      </w:r>
    </w:p>
    <w:p w:rsidR="000756DF" w:rsidRPr="000756DF" w:rsidRDefault="000756DF" w:rsidP="000756DF">
      <w:pPr>
        <w:keepNext/>
      </w:pPr>
      <w:r w:rsidRPr="000756DF">
        <w:rPr>
          <w:noProof/>
          <w:lang w:eastAsia="en-AU"/>
        </w:rPr>
        <w:lastRenderedPageBreak/>
        <w:drawing>
          <wp:inline distT="0" distB="0" distL="0" distR="0" wp14:anchorId="521D506C" wp14:editId="49A30F68">
            <wp:extent cx="4572000" cy="2743200"/>
            <wp:effectExtent l="0" t="0" r="0" b="0"/>
            <wp:docPr id="9" name="Picture 9" title="Figure 1 Sex distribution across MPS Types for patients receiving drugs through the LS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rsidR="000756DF" w:rsidRPr="000756DF" w:rsidRDefault="000756DF" w:rsidP="00847A6D">
      <w:pPr>
        <w:pStyle w:val="Figureheading0"/>
        <w:tabs>
          <w:tab w:val="clear" w:pos="851"/>
          <w:tab w:val="left" w:pos="1134"/>
        </w:tabs>
        <w:ind w:left="1134" w:hanging="1134"/>
        <w:rPr>
          <w:b/>
        </w:rPr>
      </w:pPr>
      <w:bookmarkStart w:id="441" w:name="_Toc411509185"/>
      <w:bookmarkStart w:id="442" w:name="_Toc415141975"/>
      <w:r w:rsidRPr="00F3143C">
        <w:t xml:space="preserve">Figure </w:t>
      </w:r>
      <w:r w:rsidR="00A72B26">
        <w:rPr>
          <w:noProof/>
        </w:rPr>
        <w:t>1</w:t>
      </w:r>
      <w:r w:rsidR="00847A6D" w:rsidRPr="00F3143C">
        <w:tab/>
      </w:r>
      <w:r w:rsidRPr="00F3143C">
        <w:t>Sex distribution across MPS Types for patients receiving drugs through the LSDP</w:t>
      </w:r>
      <w:bookmarkEnd w:id="441"/>
      <w:bookmarkEnd w:id="442"/>
    </w:p>
    <w:p w:rsidR="00D05B69" w:rsidRPr="000756DF" w:rsidRDefault="00D05B69" w:rsidP="00D05B69">
      <w:r w:rsidRPr="000756DF">
        <w:t xml:space="preserve">Date of drug commencement was available for 34 patients (97%) in the </w:t>
      </w:r>
      <w:r>
        <w:t>Department of Health’s</w:t>
      </w:r>
      <w:r w:rsidRPr="000756DF">
        <w:t xml:space="preserve"> register and ranged from 2002 to 2014. Duration on treatment is not a reflection of </w:t>
      </w:r>
      <w:r>
        <w:t xml:space="preserve">eligibility for </w:t>
      </w:r>
      <w:r w:rsidRPr="000756DF">
        <w:t>LSDP</w:t>
      </w:r>
      <w:r>
        <w:t>-funded medication</w:t>
      </w:r>
      <w:r w:rsidRPr="000756DF">
        <w:t xml:space="preserve">, however, with 70% of patients already on a drug prior to the first recorded consultation in the </w:t>
      </w:r>
      <w:r w:rsidR="00D5659A">
        <w:t>clinical summary assessment spreadsheet</w:t>
      </w:r>
      <w:r w:rsidRPr="000756DF">
        <w:rPr>
          <w:vertAlign w:val="superscript"/>
        </w:rPr>
        <w:footnoteReference w:id="17"/>
      </w:r>
      <w:r w:rsidRPr="000756DF">
        <w:t xml:space="preserve">, or who are recorded as being on a drug without any subsequent recorded consultation. This </w:t>
      </w:r>
      <w:r>
        <w:t>could have occurred</w:t>
      </w:r>
      <w:r w:rsidRPr="000756DF">
        <w:t xml:space="preserve"> because patients were receiving a drug prior to reimbursement through the LSDP via a special access </w:t>
      </w:r>
      <w:r>
        <w:t>arrangement or compassionate program</w:t>
      </w:r>
      <w:r w:rsidRPr="000756DF">
        <w:t>.</w:t>
      </w:r>
    </w:p>
    <w:p w:rsidR="000756DF" w:rsidRPr="000756DF" w:rsidRDefault="00D05B69" w:rsidP="00D05B69">
      <w:r w:rsidRPr="000756DF">
        <w:t xml:space="preserve">Age at commencement varied from 2 months to 55 years for all MPS </w:t>
      </w:r>
      <w:r w:rsidR="0007406C">
        <w:t xml:space="preserve">patients (average 13.6 years). </w:t>
      </w:r>
      <w:r w:rsidRPr="000756DF">
        <w:t>Average age at drug commencement was slightly younger for MPS VI (10 years) than MPS I or II (16.5 years and 15 years, respectively)</w:t>
      </w:r>
      <w:r>
        <w:t xml:space="preserve"> (</w:t>
      </w:r>
      <w:r w:rsidR="00A72B26" w:rsidRPr="000756DF">
        <w:t xml:space="preserve">Table </w:t>
      </w:r>
      <w:r w:rsidR="00A72B26">
        <w:rPr>
          <w:noProof/>
        </w:rPr>
        <w:t>117</w:t>
      </w:r>
      <w:r>
        <w:t>)</w:t>
      </w:r>
      <w:r w:rsidR="000756DF" w:rsidRPr="000756DF">
        <w:t>.</w:t>
      </w:r>
    </w:p>
    <w:p w:rsidR="000756DF" w:rsidRPr="000756DF" w:rsidRDefault="000756DF" w:rsidP="00F44176">
      <w:pPr>
        <w:pStyle w:val="Caption"/>
        <w:keepNext/>
        <w:tabs>
          <w:tab w:val="clear" w:pos="851"/>
          <w:tab w:val="left" w:pos="1134"/>
        </w:tabs>
        <w:ind w:left="1134" w:hanging="1134"/>
      </w:pPr>
      <w:bookmarkStart w:id="443" w:name="_Ref405802414"/>
      <w:bookmarkStart w:id="444" w:name="_Toc411510482"/>
      <w:bookmarkStart w:id="445" w:name="_Toc415141914"/>
      <w:r w:rsidRPr="000756DF">
        <w:lastRenderedPageBreak/>
        <w:t xml:space="preserve">Table </w:t>
      </w:r>
      <w:r w:rsidR="00A72B26">
        <w:rPr>
          <w:noProof/>
        </w:rPr>
        <w:t>117</w:t>
      </w:r>
      <w:bookmarkEnd w:id="443"/>
      <w:r w:rsidRPr="000756DF">
        <w:tab/>
        <w:t>Characteristics of patients with MPS and treatment through LSDP</w:t>
      </w:r>
      <w:bookmarkEnd w:id="444"/>
      <w:bookmarkEnd w:id="445"/>
    </w:p>
    <w:tbl>
      <w:tblPr>
        <w:tblStyle w:val="TableGrid"/>
        <w:tblW w:w="0" w:type="auto"/>
        <w:tblLook w:val="04A0" w:firstRow="1" w:lastRow="0" w:firstColumn="1" w:lastColumn="0" w:noHBand="0" w:noVBand="1"/>
        <w:tblCaption w:val="Table 84 Characteristics of patients with MPS and treatment through LSDP"/>
      </w:tblPr>
      <w:tblGrid>
        <w:gridCol w:w="3510"/>
        <w:gridCol w:w="1910"/>
        <w:gridCol w:w="1911"/>
        <w:gridCol w:w="1911"/>
      </w:tblGrid>
      <w:tr w:rsidR="000756DF" w:rsidRPr="000756DF" w:rsidTr="009A0365">
        <w:trPr>
          <w:tblHeader/>
        </w:trPr>
        <w:tc>
          <w:tcPr>
            <w:tcW w:w="3510" w:type="dxa"/>
          </w:tcPr>
          <w:p w:rsidR="000756DF" w:rsidRPr="000756DF" w:rsidRDefault="000756DF" w:rsidP="00A45CE1">
            <w:pPr>
              <w:pStyle w:val="TableHeading"/>
            </w:pPr>
            <w:r w:rsidRPr="000756DF">
              <w:t>Characteristic of patients or dose</w:t>
            </w:r>
          </w:p>
        </w:tc>
        <w:tc>
          <w:tcPr>
            <w:tcW w:w="1910" w:type="dxa"/>
          </w:tcPr>
          <w:p w:rsidR="000756DF" w:rsidRPr="000756DF" w:rsidRDefault="000756DF" w:rsidP="00A45CE1">
            <w:pPr>
              <w:pStyle w:val="TableHeading"/>
            </w:pPr>
            <w:r w:rsidRPr="000756DF">
              <w:t>MPS I</w:t>
            </w:r>
          </w:p>
        </w:tc>
        <w:tc>
          <w:tcPr>
            <w:tcW w:w="1911" w:type="dxa"/>
          </w:tcPr>
          <w:p w:rsidR="000756DF" w:rsidRPr="000756DF" w:rsidRDefault="000756DF" w:rsidP="00A45CE1">
            <w:pPr>
              <w:pStyle w:val="TableHeading"/>
            </w:pPr>
            <w:r w:rsidRPr="000756DF">
              <w:t>MPS II</w:t>
            </w:r>
          </w:p>
        </w:tc>
        <w:tc>
          <w:tcPr>
            <w:tcW w:w="1911" w:type="dxa"/>
          </w:tcPr>
          <w:p w:rsidR="000756DF" w:rsidRPr="000756DF" w:rsidRDefault="000756DF" w:rsidP="00A45CE1">
            <w:pPr>
              <w:pStyle w:val="TableHeading"/>
            </w:pPr>
            <w:r w:rsidRPr="000756DF">
              <w:t>MPS VI</w:t>
            </w:r>
          </w:p>
        </w:tc>
      </w:tr>
      <w:tr w:rsidR="000756DF" w:rsidRPr="000756DF" w:rsidTr="000756DF">
        <w:tc>
          <w:tcPr>
            <w:tcW w:w="3510" w:type="dxa"/>
          </w:tcPr>
          <w:p w:rsidR="000756DF" w:rsidRPr="000756DF" w:rsidRDefault="000756DF" w:rsidP="00D05B69">
            <w:pPr>
              <w:pStyle w:val="TableHeading"/>
            </w:pPr>
            <w:r w:rsidRPr="000756DF">
              <w:t>% Male</w:t>
            </w:r>
          </w:p>
        </w:tc>
        <w:tc>
          <w:tcPr>
            <w:tcW w:w="1910" w:type="dxa"/>
          </w:tcPr>
          <w:p w:rsidR="000756DF" w:rsidRPr="000756DF" w:rsidRDefault="000756DF" w:rsidP="00A45CE1">
            <w:pPr>
              <w:pStyle w:val="TableText0"/>
            </w:pPr>
            <w:r w:rsidRPr="000756DF">
              <w:t>57%</w:t>
            </w:r>
          </w:p>
        </w:tc>
        <w:tc>
          <w:tcPr>
            <w:tcW w:w="1911" w:type="dxa"/>
          </w:tcPr>
          <w:p w:rsidR="000756DF" w:rsidRPr="000756DF" w:rsidRDefault="000756DF" w:rsidP="00A45CE1">
            <w:pPr>
              <w:pStyle w:val="TableText0"/>
            </w:pPr>
            <w:r w:rsidRPr="000756DF">
              <w:t>100%</w:t>
            </w:r>
          </w:p>
        </w:tc>
        <w:tc>
          <w:tcPr>
            <w:tcW w:w="1911" w:type="dxa"/>
          </w:tcPr>
          <w:p w:rsidR="000756DF" w:rsidRPr="000756DF" w:rsidRDefault="000756DF" w:rsidP="00A45CE1">
            <w:pPr>
              <w:pStyle w:val="TableText0"/>
            </w:pPr>
            <w:r w:rsidRPr="000756DF">
              <w:t>62%</w:t>
            </w:r>
          </w:p>
        </w:tc>
      </w:tr>
      <w:tr w:rsidR="000756DF" w:rsidRPr="000756DF" w:rsidTr="000756DF">
        <w:tc>
          <w:tcPr>
            <w:tcW w:w="3510" w:type="dxa"/>
          </w:tcPr>
          <w:p w:rsidR="000756DF" w:rsidRPr="002C482E" w:rsidRDefault="000756DF" w:rsidP="00D05B69">
            <w:pPr>
              <w:pStyle w:val="TableHeading"/>
              <w:rPr>
                <w:vertAlign w:val="superscript"/>
              </w:rPr>
            </w:pPr>
            <w:r w:rsidRPr="000756DF">
              <w:t xml:space="preserve">Mean age at drug </w:t>
            </w:r>
            <w:r w:rsidR="002C482E" w:rsidRPr="000756DF">
              <w:t>commencement</w:t>
            </w:r>
            <w:r w:rsidR="002C482E">
              <w:rPr>
                <w:vertAlign w:val="superscript"/>
              </w:rPr>
              <w:t>a</w:t>
            </w:r>
          </w:p>
        </w:tc>
        <w:tc>
          <w:tcPr>
            <w:tcW w:w="1910" w:type="dxa"/>
          </w:tcPr>
          <w:p w:rsidR="000756DF" w:rsidRPr="000756DF" w:rsidRDefault="000756DF" w:rsidP="00A45CE1">
            <w:pPr>
              <w:pStyle w:val="TableText0"/>
            </w:pPr>
            <w:r w:rsidRPr="000756DF">
              <w:t>16.5 years</w:t>
            </w:r>
          </w:p>
        </w:tc>
        <w:tc>
          <w:tcPr>
            <w:tcW w:w="1911" w:type="dxa"/>
          </w:tcPr>
          <w:p w:rsidR="000756DF" w:rsidRPr="000756DF" w:rsidRDefault="000756DF" w:rsidP="00A45CE1">
            <w:pPr>
              <w:pStyle w:val="TableText0"/>
            </w:pPr>
            <w:r w:rsidRPr="000756DF">
              <w:t>15.1 years</w:t>
            </w:r>
          </w:p>
        </w:tc>
        <w:tc>
          <w:tcPr>
            <w:tcW w:w="1911" w:type="dxa"/>
          </w:tcPr>
          <w:p w:rsidR="000756DF" w:rsidRPr="000756DF" w:rsidRDefault="000756DF" w:rsidP="00A45CE1">
            <w:pPr>
              <w:pStyle w:val="TableText0"/>
            </w:pPr>
            <w:r w:rsidRPr="000756DF">
              <w:t>10.3 years</w:t>
            </w:r>
          </w:p>
        </w:tc>
      </w:tr>
      <w:tr w:rsidR="000756DF" w:rsidRPr="000756DF" w:rsidTr="000756DF">
        <w:tc>
          <w:tcPr>
            <w:tcW w:w="3510" w:type="dxa"/>
          </w:tcPr>
          <w:p w:rsidR="000756DF" w:rsidRPr="000756DF" w:rsidRDefault="000756DF" w:rsidP="00D05B69">
            <w:pPr>
              <w:pStyle w:val="TableHeading"/>
            </w:pPr>
            <w:r w:rsidRPr="000756DF">
              <w:t>Mean duration on treatment</w:t>
            </w:r>
            <w:r w:rsidRPr="000756DF">
              <w:rPr>
                <w:vertAlign w:val="superscript"/>
              </w:rPr>
              <w:t>b</w:t>
            </w:r>
          </w:p>
        </w:tc>
        <w:tc>
          <w:tcPr>
            <w:tcW w:w="1910" w:type="dxa"/>
          </w:tcPr>
          <w:p w:rsidR="000756DF" w:rsidRPr="000756DF" w:rsidRDefault="000756DF" w:rsidP="00A45CE1">
            <w:pPr>
              <w:pStyle w:val="TableText0"/>
            </w:pPr>
            <w:r w:rsidRPr="000756DF">
              <w:t>4.2 years</w:t>
            </w:r>
          </w:p>
        </w:tc>
        <w:tc>
          <w:tcPr>
            <w:tcW w:w="1911" w:type="dxa"/>
          </w:tcPr>
          <w:p w:rsidR="000756DF" w:rsidRPr="000756DF" w:rsidRDefault="000756DF" w:rsidP="00A45CE1">
            <w:pPr>
              <w:pStyle w:val="TableText0"/>
            </w:pPr>
            <w:r w:rsidRPr="000756DF">
              <w:t>3.8 years</w:t>
            </w:r>
          </w:p>
        </w:tc>
        <w:tc>
          <w:tcPr>
            <w:tcW w:w="1911" w:type="dxa"/>
          </w:tcPr>
          <w:p w:rsidR="000756DF" w:rsidRPr="000756DF" w:rsidRDefault="000756DF" w:rsidP="00A45CE1">
            <w:pPr>
              <w:pStyle w:val="TableText0"/>
            </w:pPr>
            <w:r w:rsidRPr="000756DF">
              <w:t>5.7 years</w:t>
            </w:r>
          </w:p>
        </w:tc>
      </w:tr>
      <w:tr w:rsidR="000756DF" w:rsidRPr="000756DF" w:rsidTr="000756DF">
        <w:tc>
          <w:tcPr>
            <w:tcW w:w="3510" w:type="dxa"/>
          </w:tcPr>
          <w:p w:rsidR="000756DF" w:rsidRPr="000756DF" w:rsidRDefault="000756DF" w:rsidP="00D05B69">
            <w:pPr>
              <w:pStyle w:val="TableHeading"/>
            </w:pPr>
            <w:r w:rsidRPr="000756DF">
              <w:t>Drug and maximum permitted dose according to LSDP criteria.</w:t>
            </w:r>
          </w:p>
        </w:tc>
        <w:tc>
          <w:tcPr>
            <w:tcW w:w="1910" w:type="dxa"/>
          </w:tcPr>
          <w:p w:rsidR="000756DF" w:rsidRPr="000756DF" w:rsidRDefault="000756DF" w:rsidP="00A45CE1">
            <w:pPr>
              <w:pStyle w:val="TableText0"/>
            </w:pPr>
            <w:r w:rsidRPr="000756DF">
              <w:t>Laronidase-Rch</w:t>
            </w:r>
          </w:p>
          <w:p w:rsidR="000756DF" w:rsidRPr="000756DF" w:rsidRDefault="000756DF" w:rsidP="00A45CE1">
            <w:pPr>
              <w:pStyle w:val="TableText0"/>
            </w:pPr>
            <w:r w:rsidRPr="000756DF">
              <w:t>0.58 mg/kg/week</w:t>
            </w:r>
          </w:p>
        </w:tc>
        <w:tc>
          <w:tcPr>
            <w:tcW w:w="1911" w:type="dxa"/>
          </w:tcPr>
          <w:p w:rsidR="000756DF" w:rsidRPr="000756DF" w:rsidRDefault="000756DF" w:rsidP="00A45CE1">
            <w:pPr>
              <w:pStyle w:val="TableText0"/>
            </w:pPr>
            <w:r w:rsidRPr="000756DF">
              <w:t>Idursulfase-Rhu</w:t>
            </w:r>
          </w:p>
          <w:p w:rsidR="000756DF" w:rsidRPr="000756DF" w:rsidRDefault="000756DF" w:rsidP="00A45CE1">
            <w:pPr>
              <w:pStyle w:val="TableText0"/>
            </w:pPr>
            <w:r w:rsidRPr="000756DF">
              <w:t>0.5 mg/kg/week</w:t>
            </w:r>
          </w:p>
        </w:tc>
        <w:tc>
          <w:tcPr>
            <w:tcW w:w="1911" w:type="dxa"/>
          </w:tcPr>
          <w:p w:rsidR="000756DF" w:rsidRPr="000756DF" w:rsidRDefault="000756DF" w:rsidP="00A45CE1">
            <w:pPr>
              <w:pStyle w:val="TableText0"/>
            </w:pPr>
            <w:r w:rsidRPr="000756DF">
              <w:t>Galsulfase-Rch</w:t>
            </w:r>
          </w:p>
          <w:p w:rsidR="000756DF" w:rsidRPr="000756DF" w:rsidRDefault="000756DF" w:rsidP="00A45CE1">
            <w:pPr>
              <w:pStyle w:val="TableText0"/>
            </w:pPr>
            <w:r w:rsidRPr="000756DF">
              <w:t>1.0 mg/kg/week</w:t>
            </w:r>
          </w:p>
        </w:tc>
      </w:tr>
      <w:tr w:rsidR="000756DF" w:rsidRPr="000756DF" w:rsidTr="000756DF">
        <w:tc>
          <w:tcPr>
            <w:tcW w:w="3510" w:type="dxa"/>
          </w:tcPr>
          <w:p w:rsidR="000756DF" w:rsidRPr="000756DF" w:rsidRDefault="00EA0E37" w:rsidP="00EA0E37">
            <w:pPr>
              <w:pStyle w:val="TableHeading"/>
            </w:pPr>
            <w:r>
              <w:t>Most recent dose (mean)</w:t>
            </w:r>
            <w:r w:rsidRPr="00EA0E37">
              <w:rPr>
                <w:vertAlign w:val="superscript"/>
              </w:rPr>
              <w:t>c</w:t>
            </w:r>
          </w:p>
        </w:tc>
        <w:tc>
          <w:tcPr>
            <w:tcW w:w="1910" w:type="dxa"/>
          </w:tcPr>
          <w:p w:rsidR="000756DF" w:rsidRPr="000756DF" w:rsidRDefault="00EA0E37" w:rsidP="00A45CE1">
            <w:pPr>
              <w:pStyle w:val="TableText0"/>
            </w:pPr>
            <w:r>
              <w:t>0.55</w:t>
            </w:r>
            <w:r w:rsidR="000756DF" w:rsidRPr="000756DF">
              <w:t xml:space="preserve"> mg/kg/week</w:t>
            </w:r>
          </w:p>
        </w:tc>
        <w:tc>
          <w:tcPr>
            <w:tcW w:w="1911" w:type="dxa"/>
          </w:tcPr>
          <w:p w:rsidR="000756DF" w:rsidRPr="000756DF" w:rsidRDefault="00EA0E37" w:rsidP="00A45CE1">
            <w:pPr>
              <w:pStyle w:val="TableText0"/>
            </w:pPr>
            <w:r>
              <w:t>0.54</w:t>
            </w:r>
            <w:r w:rsidR="000756DF" w:rsidRPr="000756DF">
              <w:t xml:space="preserve"> mg/kg/week</w:t>
            </w:r>
          </w:p>
        </w:tc>
        <w:tc>
          <w:tcPr>
            <w:tcW w:w="1911" w:type="dxa"/>
          </w:tcPr>
          <w:p w:rsidR="000756DF" w:rsidRPr="000756DF" w:rsidRDefault="00EA0E37" w:rsidP="00A45CE1">
            <w:pPr>
              <w:pStyle w:val="TableText0"/>
            </w:pPr>
            <w:r>
              <w:t>0.98</w:t>
            </w:r>
            <w:r w:rsidR="000756DF" w:rsidRPr="000756DF">
              <w:t xml:space="preserve"> mg/kg/week</w:t>
            </w:r>
          </w:p>
        </w:tc>
      </w:tr>
      <w:tr w:rsidR="000756DF" w:rsidRPr="000756DF" w:rsidTr="000756DF">
        <w:tc>
          <w:tcPr>
            <w:tcW w:w="3510" w:type="dxa"/>
          </w:tcPr>
          <w:p w:rsidR="000756DF" w:rsidRPr="000756DF" w:rsidRDefault="000756DF" w:rsidP="00D05B69">
            <w:pPr>
              <w:pStyle w:val="TableHeading"/>
            </w:pPr>
            <w:r w:rsidRPr="000756DF">
              <w:t>Proportion of patients who exceeded maximum permitted dose</w:t>
            </w:r>
            <w:r w:rsidR="00EA0E37">
              <w:t xml:space="preserve"> at the most recent review</w:t>
            </w:r>
            <w:r w:rsidR="00EA0E37" w:rsidRPr="00EA0E37">
              <w:rPr>
                <w:vertAlign w:val="superscript"/>
              </w:rPr>
              <w:t>c</w:t>
            </w:r>
          </w:p>
        </w:tc>
        <w:tc>
          <w:tcPr>
            <w:tcW w:w="1910" w:type="dxa"/>
          </w:tcPr>
          <w:p w:rsidR="000756DF" w:rsidRPr="00F3143C" w:rsidRDefault="00EA0E37" w:rsidP="00A45CE1">
            <w:pPr>
              <w:pStyle w:val="TableText0"/>
            </w:pPr>
            <w:r w:rsidRPr="00F3143C">
              <w:t>3/</w:t>
            </w:r>
            <w:r w:rsidR="000756DF" w:rsidRPr="00F3143C">
              <w:t>7</w:t>
            </w:r>
            <w:r w:rsidRPr="00F3143C">
              <w:t xml:space="preserve"> (42.9</w:t>
            </w:r>
            <w:r w:rsidR="000756DF" w:rsidRPr="00F3143C">
              <w:t>%)</w:t>
            </w:r>
          </w:p>
        </w:tc>
        <w:tc>
          <w:tcPr>
            <w:tcW w:w="1911" w:type="dxa"/>
          </w:tcPr>
          <w:p w:rsidR="000756DF" w:rsidRPr="00F3143C" w:rsidRDefault="00EA0E37" w:rsidP="00A45CE1">
            <w:pPr>
              <w:pStyle w:val="TableText0"/>
            </w:pPr>
            <w:r w:rsidRPr="00F3143C">
              <w:t>12/18 (66.7</w:t>
            </w:r>
            <w:r w:rsidR="000756DF" w:rsidRPr="00F3143C">
              <w:t>%)</w:t>
            </w:r>
          </w:p>
        </w:tc>
        <w:tc>
          <w:tcPr>
            <w:tcW w:w="1911" w:type="dxa"/>
          </w:tcPr>
          <w:p w:rsidR="000756DF" w:rsidRPr="00F3143C" w:rsidRDefault="00EA0E37" w:rsidP="00A45CE1">
            <w:pPr>
              <w:pStyle w:val="TableText0"/>
            </w:pPr>
            <w:r w:rsidRPr="00F3143C">
              <w:t>5</w:t>
            </w:r>
            <w:r w:rsidR="000756DF" w:rsidRPr="00F3143C">
              <w:t>/13</w:t>
            </w:r>
            <w:r w:rsidRPr="00F3143C">
              <w:t xml:space="preserve"> (38.5</w:t>
            </w:r>
            <w:r w:rsidR="000756DF" w:rsidRPr="00F3143C">
              <w:t>%)</w:t>
            </w:r>
          </w:p>
        </w:tc>
      </w:tr>
    </w:tbl>
    <w:p w:rsidR="000756DF" w:rsidRPr="000756DF" w:rsidRDefault="000756DF" w:rsidP="00D05B69">
      <w:pPr>
        <w:pStyle w:val="TableNote"/>
      </w:pPr>
      <w:proofErr w:type="gramStart"/>
      <w:r w:rsidRPr="000756DF">
        <w:rPr>
          <w:vertAlign w:val="superscript"/>
        </w:rPr>
        <w:t>a</w:t>
      </w:r>
      <w:proofErr w:type="gramEnd"/>
      <w:r w:rsidRPr="000756DF">
        <w:t xml:space="preserve"> Commencement date was explicitly recorded for 31 patients and could be estimated from the disease advisory committee comments for 3 others.  It was not available for one patient with MPS II.</w:t>
      </w:r>
    </w:p>
    <w:p w:rsidR="000756DF" w:rsidRDefault="000756DF" w:rsidP="00D05B69">
      <w:pPr>
        <w:pStyle w:val="TableNote"/>
      </w:pPr>
      <w:proofErr w:type="gramStart"/>
      <w:r w:rsidRPr="000756DF">
        <w:rPr>
          <w:vertAlign w:val="superscript"/>
        </w:rPr>
        <w:t>b</w:t>
      </w:r>
      <w:proofErr w:type="gramEnd"/>
      <w:r w:rsidRPr="000756DF">
        <w:t xml:space="preserve"> Duration on treatment was calculated from commencement date to the most recently recorded consultation.  If no consultation was available, or no consultation was recorded following the commencement of the drug, the data were disregarded.  Data were available for 32 patients.</w:t>
      </w:r>
    </w:p>
    <w:p w:rsidR="00EA0E37" w:rsidRPr="00EA0E37" w:rsidRDefault="00EA0E37" w:rsidP="00D05B69">
      <w:pPr>
        <w:pStyle w:val="TableNote"/>
      </w:pPr>
      <w:proofErr w:type="gramStart"/>
      <w:r w:rsidRPr="00EA0E37">
        <w:rPr>
          <w:vertAlign w:val="superscript"/>
        </w:rPr>
        <w:t>c</w:t>
      </w:r>
      <w:proofErr w:type="gramEnd"/>
      <w:r>
        <w:t xml:space="preserve"> Three additional patients were included for MPS II who were enrolled after the data cut-off of June 2014 (n=18).</w:t>
      </w:r>
    </w:p>
    <w:p w:rsidR="00C15499" w:rsidRPr="000756DF" w:rsidRDefault="00C15499" w:rsidP="00D05B69">
      <w:pPr>
        <w:pStyle w:val="TableNote"/>
      </w:pPr>
    </w:p>
    <w:p w:rsidR="00D05B69" w:rsidRPr="000756DF" w:rsidRDefault="00D05B69" w:rsidP="00D05B69">
      <w:pPr>
        <w:rPr>
          <w:rFonts w:asciiTheme="minorHAnsi" w:hAnsiTheme="minorHAnsi"/>
        </w:rPr>
      </w:pPr>
      <w:r w:rsidRPr="000756DF">
        <w:rPr>
          <w:rFonts w:asciiTheme="minorHAnsi" w:hAnsiTheme="minorHAnsi"/>
        </w:rPr>
        <w:t xml:space="preserve">Dosing was commonly reported in the patient spreadsheets </w:t>
      </w:r>
      <w:r>
        <w:rPr>
          <w:rFonts w:asciiTheme="minorHAnsi" w:hAnsiTheme="minorHAnsi"/>
        </w:rPr>
        <w:t xml:space="preserve">used for the registry, </w:t>
      </w:r>
      <w:r w:rsidRPr="000756DF">
        <w:rPr>
          <w:rFonts w:asciiTheme="minorHAnsi" w:hAnsiTheme="minorHAnsi"/>
        </w:rPr>
        <w:t xml:space="preserve">as recommending dose was one of the roles of the disease advisory committees. Weight was also commonly reported by the treating clinician, permitting a calculation of dose per kg. </w:t>
      </w:r>
      <w:r>
        <w:rPr>
          <w:rFonts w:asciiTheme="minorHAnsi" w:hAnsiTheme="minorHAnsi"/>
        </w:rPr>
        <w:t>The m</w:t>
      </w:r>
      <w:r w:rsidRPr="000756DF">
        <w:rPr>
          <w:rFonts w:asciiTheme="minorHAnsi" w:hAnsiTheme="minorHAnsi"/>
        </w:rPr>
        <w:t>aximum permitted dose</w:t>
      </w:r>
      <w:r w:rsidR="00C15499">
        <w:rPr>
          <w:rFonts w:asciiTheme="minorHAnsi" w:hAnsiTheme="minorHAnsi"/>
        </w:rPr>
        <w:t>s</w:t>
      </w:r>
      <w:r w:rsidRPr="000756DF">
        <w:rPr>
          <w:rFonts w:asciiTheme="minorHAnsi" w:hAnsiTheme="minorHAnsi"/>
        </w:rPr>
        <w:t xml:space="preserve"> according to the current LSDP criteria for MPS varies according to Type</w:t>
      </w:r>
      <w:r w:rsidR="00C15499">
        <w:rPr>
          <w:rFonts w:asciiTheme="minorHAnsi" w:hAnsiTheme="minorHAnsi"/>
        </w:rPr>
        <w:t>, and are consistent with the doses used in the trials (0.58 mg/kg/week for laronidase; 0.5 mg/kg/week or fortnight for idursulfase; and 1.0 mg/kg/week for galsulfase)</w:t>
      </w:r>
      <w:r w:rsidRPr="000756DF">
        <w:rPr>
          <w:rFonts w:asciiTheme="minorHAnsi" w:hAnsiTheme="minorHAnsi"/>
        </w:rPr>
        <w:t xml:space="preserve">. In a substantial proportion of subjects, drugs were </w:t>
      </w:r>
      <w:r w:rsidR="00C15499">
        <w:rPr>
          <w:rFonts w:asciiTheme="minorHAnsi" w:hAnsiTheme="minorHAnsi"/>
        </w:rPr>
        <w:t xml:space="preserve">slightly </w:t>
      </w:r>
      <w:r w:rsidRPr="000756DF">
        <w:rPr>
          <w:rFonts w:asciiTheme="minorHAnsi" w:hAnsiTheme="minorHAnsi"/>
        </w:rPr>
        <w:t xml:space="preserve">dosed above the maximum permitted dose </w:t>
      </w:r>
      <w:r>
        <w:rPr>
          <w:rFonts w:asciiTheme="minorHAnsi" w:hAnsiTheme="minorHAnsi"/>
        </w:rPr>
        <w:t>although</w:t>
      </w:r>
      <w:r w:rsidRPr="000756DF">
        <w:rPr>
          <w:rFonts w:asciiTheme="minorHAnsi" w:hAnsiTheme="minorHAnsi"/>
        </w:rPr>
        <w:t xml:space="preserve"> it remains unclear why this may have occurred. It is possible that a slightly higher dose than permitted was recommended so that the total dose provided was equal to a whole number of vials (rather than discarding a portion of a vial).</w:t>
      </w:r>
      <w:r w:rsidR="00C15499">
        <w:rPr>
          <w:rFonts w:asciiTheme="minorHAnsi" w:hAnsiTheme="minorHAnsi"/>
        </w:rPr>
        <w:t xml:space="preserve"> </w:t>
      </w:r>
    </w:p>
    <w:p w:rsidR="00D05B69" w:rsidRPr="000756DF" w:rsidRDefault="00D05B69" w:rsidP="00D05B69">
      <w:pPr>
        <w:rPr>
          <w:rFonts w:asciiTheme="minorHAnsi" w:hAnsiTheme="minorHAnsi"/>
        </w:rPr>
      </w:pPr>
      <w:r w:rsidRPr="000756DF">
        <w:rPr>
          <w:rFonts w:asciiTheme="minorHAnsi" w:hAnsiTheme="minorHAnsi"/>
        </w:rPr>
        <w:t>While important outcome measures such as forced vital capacity (FVC) and six minute walk distance (6MWD) were reported in the regist</w:t>
      </w:r>
      <w:r>
        <w:rPr>
          <w:rFonts w:asciiTheme="minorHAnsi" w:hAnsiTheme="minorHAnsi"/>
        </w:rPr>
        <w:t>ry</w:t>
      </w:r>
      <w:r w:rsidRPr="000756DF">
        <w:rPr>
          <w:rFonts w:asciiTheme="minorHAnsi" w:hAnsiTheme="minorHAnsi"/>
        </w:rPr>
        <w:t>, these were not reported consistently and, in the absence of identified baseline (before treatment) values, analysis is difficult.  For 6MWD, a baseline value (a measurement taken prior to initiation of the drug) and at least one follow up value was a</w:t>
      </w:r>
      <w:r w:rsidR="00EA552B">
        <w:rPr>
          <w:rFonts w:asciiTheme="minorHAnsi" w:hAnsiTheme="minorHAnsi"/>
        </w:rPr>
        <w:t xml:space="preserve">vailable for 6 patients (17%). </w:t>
      </w:r>
      <w:r w:rsidRPr="000756DF">
        <w:rPr>
          <w:rFonts w:asciiTheme="minorHAnsi" w:hAnsiTheme="minorHAnsi"/>
        </w:rPr>
        <w:t xml:space="preserve">From the baseline value to the most recent value available, 6MWD improved for three patients, although this is impossible to interpret without assessing the individual characteristics (age and comorbidities) that may </w:t>
      </w:r>
      <w:r>
        <w:rPr>
          <w:rFonts w:asciiTheme="minorHAnsi" w:hAnsiTheme="minorHAnsi"/>
        </w:rPr>
        <w:t xml:space="preserve">have </w:t>
      </w:r>
      <w:r w:rsidRPr="000756DF">
        <w:rPr>
          <w:rFonts w:asciiTheme="minorHAnsi" w:hAnsiTheme="minorHAnsi"/>
        </w:rPr>
        <w:t>influence</w:t>
      </w:r>
      <w:r>
        <w:rPr>
          <w:rFonts w:asciiTheme="minorHAnsi" w:hAnsiTheme="minorHAnsi"/>
        </w:rPr>
        <w:t>d</w:t>
      </w:r>
      <w:r w:rsidRPr="000756DF">
        <w:rPr>
          <w:rFonts w:asciiTheme="minorHAnsi" w:hAnsiTheme="minorHAnsi"/>
        </w:rPr>
        <w:t xml:space="preserve"> performance in a 6 minute walk distance test.</w:t>
      </w:r>
    </w:p>
    <w:p w:rsidR="00D05B69" w:rsidRPr="00EC5DFF" w:rsidRDefault="00D05B69" w:rsidP="00EC5DFF">
      <w:pPr>
        <w:pStyle w:val="Heading5"/>
      </w:pPr>
      <w:r w:rsidRPr="00EC5DFF">
        <w:t>Conclusion</w:t>
      </w:r>
    </w:p>
    <w:p w:rsidR="00BD265F" w:rsidRDefault="00D05B69" w:rsidP="00D05B69">
      <w:pPr>
        <w:rPr>
          <w:rFonts w:asciiTheme="minorHAnsi" w:hAnsiTheme="minorHAnsi"/>
        </w:rPr>
      </w:pPr>
      <w:r w:rsidRPr="000756DF">
        <w:rPr>
          <w:rFonts w:asciiTheme="minorHAnsi" w:hAnsiTheme="minorHAnsi"/>
        </w:rPr>
        <w:t>It is clear that the data regist</w:t>
      </w:r>
      <w:r>
        <w:rPr>
          <w:rFonts w:asciiTheme="minorHAnsi" w:hAnsiTheme="minorHAnsi"/>
        </w:rPr>
        <w:t>ry</w:t>
      </w:r>
      <w:r w:rsidRPr="000756DF">
        <w:rPr>
          <w:rFonts w:asciiTheme="minorHAnsi" w:hAnsiTheme="minorHAnsi"/>
        </w:rPr>
        <w:t xml:space="preserve"> has been kept as a record of the disease advisory committee deliberations and populated with some clinical data to enable decision making.  However, the data </w:t>
      </w:r>
      <w:r>
        <w:rPr>
          <w:rFonts w:asciiTheme="minorHAnsi" w:hAnsiTheme="minorHAnsi"/>
        </w:rPr>
        <w:t>are</w:t>
      </w:r>
      <w:r w:rsidRPr="000756DF">
        <w:rPr>
          <w:rFonts w:asciiTheme="minorHAnsi" w:hAnsiTheme="minorHAnsi"/>
        </w:rPr>
        <w:t xml:space="preserve"> insufficient to verify the efficacy or safety of the drugs used for MPS or to establish the cost of additional treatments or interventions</w:t>
      </w:r>
      <w:r>
        <w:rPr>
          <w:rFonts w:asciiTheme="minorHAnsi" w:hAnsiTheme="minorHAnsi"/>
        </w:rPr>
        <w:t xml:space="preserve"> associated with laronidase, idursulfase, or galsulfase treatment</w:t>
      </w:r>
      <w:r w:rsidR="000756DF" w:rsidRPr="000756DF">
        <w:rPr>
          <w:rFonts w:asciiTheme="minorHAnsi" w:hAnsiTheme="minorHAnsi"/>
        </w:rPr>
        <w:t>.</w:t>
      </w:r>
    </w:p>
    <w:p w:rsidR="00AE2A2A" w:rsidRDefault="00AE2A2A" w:rsidP="00AE2A2A">
      <w:pPr>
        <w:pStyle w:val="Heading4"/>
      </w:pPr>
      <w:r>
        <w:lastRenderedPageBreak/>
        <w:t>Impact of findings</w:t>
      </w:r>
    </w:p>
    <w:p w:rsidR="001C0F4A" w:rsidRPr="001C0F4A" w:rsidRDefault="002A5E0D" w:rsidP="001C0F4A">
      <w:r>
        <w:t xml:space="preserve">A summary of the studies included in the systematic review for the drugs on the LSDP for MPS, and an outline of the evidence that is new (published subsequent to the relevant </w:t>
      </w:r>
      <w:r w:rsidR="00D12B65">
        <w:t>submissions to the PBAC</w:t>
      </w:r>
      <w:r>
        <w:t xml:space="preserve">) is shown in </w:t>
      </w:r>
      <w:r w:rsidR="00A72B26" w:rsidRPr="00716774">
        <w:t xml:space="preserve">Table </w:t>
      </w:r>
      <w:r w:rsidR="00A72B26">
        <w:rPr>
          <w:noProof/>
        </w:rPr>
        <w:t>118</w:t>
      </w:r>
      <w:r>
        <w:t>.</w:t>
      </w:r>
    </w:p>
    <w:p w:rsidR="00AE2A2A" w:rsidRPr="00716774" w:rsidRDefault="00AE2A2A" w:rsidP="00AE2A2A">
      <w:pPr>
        <w:pStyle w:val="Caption"/>
        <w:keepNext/>
        <w:tabs>
          <w:tab w:val="clear" w:pos="851"/>
          <w:tab w:val="left" w:pos="1134"/>
        </w:tabs>
        <w:ind w:left="1134" w:hanging="1134"/>
      </w:pPr>
      <w:bookmarkStart w:id="446" w:name="_Ref412548779"/>
      <w:bookmarkStart w:id="447" w:name="_Toc415141915"/>
      <w:r w:rsidRPr="00716774">
        <w:t xml:space="preserve">Table </w:t>
      </w:r>
      <w:r w:rsidR="00A72B26">
        <w:rPr>
          <w:noProof/>
        </w:rPr>
        <w:t>118</w:t>
      </w:r>
      <w:bookmarkEnd w:id="446"/>
      <w:r w:rsidRPr="00305731">
        <w:t xml:space="preserve"> </w:t>
      </w:r>
      <w:r>
        <w:tab/>
        <w:t xml:space="preserve">Studies included assessing drugs to treat </w:t>
      </w:r>
      <w:r w:rsidR="001B4E29">
        <w:t>mucopolysaccharidoses</w:t>
      </w:r>
      <w:r>
        <w:t xml:space="preserve"> (MPS) I, II and VI</w:t>
      </w:r>
      <w:bookmarkEnd w:id="447"/>
    </w:p>
    <w:tbl>
      <w:tblPr>
        <w:tblStyle w:val="TableGrid1"/>
        <w:tblW w:w="9180" w:type="dxa"/>
        <w:tblLayout w:type="fixed"/>
        <w:tblLook w:val="04A0" w:firstRow="1" w:lastRow="0" w:firstColumn="1" w:lastColumn="0" w:noHBand="0" w:noVBand="1"/>
        <w:tblCaption w:val="Table 49  Current therapy of patients on the LSDP"/>
        <w:tblDescription w:val="Current therapy of Fabry patients on the LSDP in Australia"/>
      </w:tblPr>
      <w:tblGrid>
        <w:gridCol w:w="1485"/>
        <w:gridCol w:w="1600"/>
        <w:gridCol w:w="1843"/>
        <w:gridCol w:w="4252"/>
      </w:tblGrid>
      <w:tr w:rsidR="00AE2A2A" w:rsidRPr="000756DF" w:rsidTr="00D12B65">
        <w:trPr>
          <w:trHeight w:val="280"/>
          <w:tblHeader/>
        </w:trPr>
        <w:tc>
          <w:tcPr>
            <w:tcW w:w="1485" w:type="dxa"/>
            <w:noWrap/>
            <w:hideMark/>
          </w:tcPr>
          <w:p w:rsidR="00AE2A2A" w:rsidRPr="000756DF" w:rsidRDefault="00AE2A2A" w:rsidP="00AE2A2A">
            <w:pPr>
              <w:pStyle w:val="TableHeading"/>
            </w:pPr>
            <w:r>
              <w:t>Drug</w:t>
            </w:r>
          </w:p>
        </w:tc>
        <w:tc>
          <w:tcPr>
            <w:tcW w:w="1600" w:type="dxa"/>
          </w:tcPr>
          <w:p w:rsidR="00AE2A2A" w:rsidRPr="000756DF" w:rsidRDefault="00AE2A2A" w:rsidP="00AE2A2A">
            <w:pPr>
              <w:pStyle w:val="TableHeading"/>
            </w:pPr>
            <w:r>
              <w:t>Results</w:t>
            </w:r>
          </w:p>
        </w:tc>
        <w:tc>
          <w:tcPr>
            <w:tcW w:w="1843" w:type="dxa"/>
            <w:noWrap/>
            <w:hideMark/>
          </w:tcPr>
          <w:p w:rsidR="00AE2A2A" w:rsidRPr="000756DF" w:rsidRDefault="00AE2A2A" w:rsidP="00AE2A2A">
            <w:pPr>
              <w:pStyle w:val="TableHeading"/>
            </w:pPr>
            <w:r>
              <w:t>References</w:t>
            </w:r>
          </w:p>
        </w:tc>
        <w:tc>
          <w:tcPr>
            <w:tcW w:w="4252" w:type="dxa"/>
          </w:tcPr>
          <w:p w:rsidR="00AE2A2A" w:rsidRPr="000756DF" w:rsidRDefault="00AE2A2A" w:rsidP="00D12B65">
            <w:pPr>
              <w:pStyle w:val="TableHeading"/>
            </w:pPr>
            <w:r>
              <w:t xml:space="preserve">Evidence not included in </w:t>
            </w:r>
            <w:r w:rsidR="00D12B65">
              <w:t>submissions to the PBAC</w:t>
            </w:r>
          </w:p>
        </w:tc>
      </w:tr>
      <w:tr w:rsidR="00AE2A2A" w:rsidRPr="000756DF" w:rsidTr="00D12B65">
        <w:trPr>
          <w:trHeight w:val="280"/>
        </w:trPr>
        <w:tc>
          <w:tcPr>
            <w:tcW w:w="1485" w:type="dxa"/>
            <w:noWrap/>
          </w:tcPr>
          <w:p w:rsidR="00AE2A2A" w:rsidRPr="000756DF" w:rsidRDefault="00AE2A2A" w:rsidP="00AE2A2A">
            <w:pPr>
              <w:pStyle w:val="TableText0"/>
            </w:pPr>
            <w:r>
              <w:t>Laronidase</w:t>
            </w:r>
          </w:p>
        </w:tc>
        <w:tc>
          <w:tcPr>
            <w:tcW w:w="1600" w:type="dxa"/>
          </w:tcPr>
          <w:p w:rsidR="00AE2A2A" w:rsidRPr="002C1CC5" w:rsidRDefault="00AE2A2A" w:rsidP="00AE2A2A">
            <w:pPr>
              <w:pStyle w:val="TableText0"/>
              <w:rPr>
                <w:lang w:val="en-AU"/>
              </w:rPr>
            </w:pPr>
            <w:r w:rsidRPr="002C1CC5">
              <w:rPr>
                <w:lang w:val="en-AU"/>
              </w:rPr>
              <w:t>1 RCT + ext</w:t>
            </w:r>
            <w:r>
              <w:rPr>
                <w:lang w:val="en-AU"/>
              </w:rPr>
              <w:t>ension</w:t>
            </w:r>
          </w:p>
          <w:p w:rsidR="00AE2A2A" w:rsidRPr="000756DF" w:rsidRDefault="00AE2A2A" w:rsidP="00AE2A2A">
            <w:pPr>
              <w:pStyle w:val="TableText0"/>
            </w:pPr>
          </w:p>
        </w:tc>
        <w:tc>
          <w:tcPr>
            <w:tcW w:w="1843" w:type="dxa"/>
            <w:noWrap/>
          </w:tcPr>
          <w:p w:rsidR="00AE2A2A" w:rsidRPr="002C1CC5" w:rsidRDefault="00AE2A2A" w:rsidP="00AE2A2A">
            <w:pPr>
              <w:pStyle w:val="TableText0"/>
              <w:rPr>
                <w:lang w:val="en-AU"/>
              </w:rPr>
            </w:pPr>
            <w:r w:rsidRPr="002C1CC5">
              <w:rPr>
                <w:lang w:val="en-AU"/>
              </w:rPr>
              <w:t>Wraith et al (2004)</w:t>
            </w:r>
          </w:p>
          <w:p w:rsidR="00AE2A2A" w:rsidRPr="002C1CC5" w:rsidRDefault="00AE2A2A" w:rsidP="00AE2A2A">
            <w:pPr>
              <w:pStyle w:val="TableText0"/>
              <w:rPr>
                <w:lang w:val="en-AU"/>
              </w:rPr>
            </w:pPr>
            <w:r w:rsidRPr="002C1CC5">
              <w:rPr>
                <w:lang w:val="en-AU"/>
              </w:rPr>
              <w:t>Clarke et al (2009)</w:t>
            </w:r>
          </w:p>
        </w:tc>
        <w:tc>
          <w:tcPr>
            <w:tcW w:w="4252" w:type="dxa"/>
          </w:tcPr>
          <w:p w:rsidR="00AE2A2A" w:rsidRPr="008C0632" w:rsidRDefault="00AE2A2A" w:rsidP="00AE2A2A">
            <w:pPr>
              <w:pStyle w:val="TableText0"/>
              <w:rPr>
                <w:lang w:val="en-AU"/>
              </w:rPr>
            </w:pPr>
            <w:r>
              <w:t xml:space="preserve">Clarke et al (2009) was extension study of Wraith et al (2004) which was included in </w:t>
            </w:r>
            <w:r w:rsidR="00D12B65">
              <w:t>submission to the PBAC</w:t>
            </w:r>
            <w:r>
              <w:t xml:space="preserve">. </w:t>
            </w:r>
            <w:r w:rsidRPr="008C0632">
              <w:rPr>
                <w:lang w:val="en-AU"/>
              </w:rPr>
              <w:t>100% improved on u</w:t>
            </w:r>
            <w:r>
              <w:rPr>
                <w:lang w:val="en-AU"/>
              </w:rPr>
              <w:t>rinary glycosaminoglycans (GAG)</w:t>
            </w:r>
            <w:r w:rsidRPr="008C0632">
              <w:rPr>
                <w:lang w:val="en-AU"/>
              </w:rPr>
              <w:t>, 15% attained normal values</w:t>
            </w:r>
            <w:r>
              <w:rPr>
                <w:lang w:val="en-AU"/>
              </w:rPr>
              <w:t>.</w:t>
            </w:r>
            <w:r w:rsidRPr="008C0632">
              <w:rPr>
                <w:lang w:val="en-AU"/>
              </w:rPr>
              <w:t xml:space="preserve"> </w:t>
            </w:r>
          </w:p>
          <w:p w:rsidR="00AE2A2A" w:rsidRPr="008C0632" w:rsidRDefault="00AE2A2A" w:rsidP="00AE2A2A">
            <w:pPr>
              <w:pStyle w:val="TableText0"/>
              <w:rPr>
                <w:lang w:val="en-AU"/>
              </w:rPr>
            </w:pPr>
            <w:r w:rsidRPr="008C0632">
              <w:rPr>
                <w:lang w:val="en-AU"/>
              </w:rPr>
              <w:t>92% of those with abnormal live</w:t>
            </w:r>
            <w:r>
              <w:rPr>
                <w:lang w:val="en-AU"/>
              </w:rPr>
              <w:t>r values attained normal values.</w:t>
            </w:r>
          </w:p>
          <w:p w:rsidR="00AE2A2A" w:rsidRPr="008C0632" w:rsidRDefault="00AE2A2A" w:rsidP="00AE2A2A">
            <w:pPr>
              <w:pStyle w:val="TableText0"/>
              <w:rPr>
                <w:lang w:val="en-AU"/>
              </w:rPr>
            </w:pPr>
            <w:r w:rsidRPr="008C0632">
              <w:rPr>
                <w:lang w:val="en-AU"/>
              </w:rPr>
              <w:t xml:space="preserve">% predicted normal FVC slight decline, but improvement on 6MWT, AHI, should range of motion, visual acuity and disability index. </w:t>
            </w:r>
          </w:p>
        </w:tc>
      </w:tr>
      <w:tr w:rsidR="00AE2A2A" w:rsidRPr="000756DF" w:rsidTr="00D12B65">
        <w:trPr>
          <w:trHeight w:val="280"/>
        </w:trPr>
        <w:tc>
          <w:tcPr>
            <w:tcW w:w="1485" w:type="dxa"/>
            <w:noWrap/>
          </w:tcPr>
          <w:p w:rsidR="00AE2A2A" w:rsidRDefault="00AE2A2A" w:rsidP="00AE2A2A">
            <w:pPr>
              <w:pStyle w:val="TableText0"/>
            </w:pPr>
            <w:r>
              <w:t>Idursulfase</w:t>
            </w:r>
          </w:p>
        </w:tc>
        <w:tc>
          <w:tcPr>
            <w:tcW w:w="1600" w:type="dxa"/>
          </w:tcPr>
          <w:p w:rsidR="00AE2A2A" w:rsidRPr="002C1CC5" w:rsidRDefault="00AE2A2A" w:rsidP="00AE2A2A">
            <w:pPr>
              <w:pStyle w:val="TableText0"/>
              <w:rPr>
                <w:lang w:val="en-AU"/>
              </w:rPr>
            </w:pPr>
            <w:r w:rsidRPr="002C1CC5">
              <w:rPr>
                <w:lang w:val="en-AU"/>
              </w:rPr>
              <w:t>1 RCT + ext</w:t>
            </w:r>
            <w:r>
              <w:rPr>
                <w:lang w:val="en-AU"/>
              </w:rPr>
              <w:t>ension</w:t>
            </w:r>
          </w:p>
          <w:p w:rsidR="00AE2A2A" w:rsidRPr="000756DF" w:rsidRDefault="00AE2A2A" w:rsidP="00AE2A2A">
            <w:pPr>
              <w:pStyle w:val="TableText0"/>
            </w:pPr>
          </w:p>
        </w:tc>
        <w:tc>
          <w:tcPr>
            <w:tcW w:w="1843" w:type="dxa"/>
            <w:noWrap/>
          </w:tcPr>
          <w:p w:rsidR="00AE2A2A" w:rsidRPr="008C0632" w:rsidRDefault="00AE2A2A" w:rsidP="00AE2A2A">
            <w:pPr>
              <w:pStyle w:val="TableText0"/>
              <w:rPr>
                <w:lang w:val="en-AU"/>
              </w:rPr>
            </w:pPr>
            <w:r w:rsidRPr="008C0632">
              <w:rPr>
                <w:lang w:val="en-AU"/>
              </w:rPr>
              <w:t>Muenzer et al (2006)</w:t>
            </w:r>
          </w:p>
          <w:p w:rsidR="00AE2A2A" w:rsidRPr="008C0632" w:rsidRDefault="00AE2A2A" w:rsidP="00AE2A2A">
            <w:pPr>
              <w:pStyle w:val="TableText0"/>
              <w:rPr>
                <w:lang w:val="en-AU"/>
              </w:rPr>
            </w:pPr>
            <w:r w:rsidRPr="008C0632">
              <w:rPr>
                <w:lang w:val="en-AU"/>
              </w:rPr>
              <w:t>Muenzer et al (2011)</w:t>
            </w:r>
          </w:p>
        </w:tc>
        <w:tc>
          <w:tcPr>
            <w:tcW w:w="4252" w:type="dxa"/>
          </w:tcPr>
          <w:p w:rsidR="00AE2A2A" w:rsidRPr="000756DF" w:rsidRDefault="00AE2A2A" w:rsidP="00AE2A2A">
            <w:pPr>
              <w:pStyle w:val="TableText0"/>
            </w:pPr>
            <w:r>
              <w:rPr>
                <w:lang w:val="en-AU"/>
              </w:rPr>
              <w:t xml:space="preserve">Muenzer et al (2011) was extension study of Muenzer et al (2006). Muenzer et al (2011) reported that there was a </w:t>
            </w:r>
            <w:r w:rsidRPr="008C0632">
              <w:rPr>
                <w:lang w:val="en-AU"/>
              </w:rPr>
              <w:t>decline on urine GAG levels over 36 months (97% normal at baseline, 33% at follow-up). 6MWT improved slightly. Minimal % predicted FVC change</w:t>
            </w:r>
          </w:p>
        </w:tc>
      </w:tr>
      <w:tr w:rsidR="00AE2A2A" w:rsidRPr="000756DF" w:rsidTr="00D12B65">
        <w:trPr>
          <w:trHeight w:val="280"/>
        </w:trPr>
        <w:tc>
          <w:tcPr>
            <w:tcW w:w="1485" w:type="dxa"/>
            <w:noWrap/>
          </w:tcPr>
          <w:p w:rsidR="00AE2A2A" w:rsidRDefault="00AE2A2A" w:rsidP="00AE2A2A">
            <w:pPr>
              <w:pStyle w:val="TableText0"/>
            </w:pPr>
            <w:r>
              <w:t>Galsulfase</w:t>
            </w:r>
          </w:p>
        </w:tc>
        <w:tc>
          <w:tcPr>
            <w:tcW w:w="1600" w:type="dxa"/>
          </w:tcPr>
          <w:p w:rsidR="00AE2A2A" w:rsidRPr="000756DF" w:rsidRDefault="00AE2A2A" w:rsidP="00AE2A2A">
            <w:pPr>
              <w:pStyle w:val="TableText0"/>
            </w:pPr>
            <w:r>
              <w:t>1 RCT</w:t>
            </w:r>
            <w:r w:rsidR="00301134">
              <w:t xml:space="preserve"> </w:t>
            </w:r>
            <w:r w:rsidR="00EA552B">
              <w:t>+ extension</w:t>
            </w:r>
          </w:p>
        </w:tc>
        <w:tc>
          <w:tcPr>
            <w:tcW w:w="1843" w:type="dxa"/>
            <w:noWrap/>
          </w:tcPr>
          <w:p w:rsidR="00AE2A2A" w:rsidRPr="002C1CC5" w:rsidRDefault="00BA34D3" w:rsidP="00AE2A2A">
            <w:pPr>
              <w:pStyle w:val="TableText0"/>
            </w:pPr>
            <w:r>
              <w:t>Harmatz et al (2006</w:t>
            </w:r>
            <w:r w:rsidR="00FD0E43">
              <w:t>)</w:t>
            </w:r>
          </w:p>
        </w:tc>
        <w:tc>
          <w:tcPr>
            <w:tcW w:w="4252" w:type="dxa"/>
          </w:tcPr>
          <w:p w:rsidR="00AE2A2A" w:rsidRPr="000756DF" w:rsidRDefault="00AE2A2A" w:rsidP="00AE2A2A">
            <w:pPr>
              <w:pStyle w:val="TableText0"/>
            </w:pPr>
            <w:r>
              <w:t xml:space="preserve">No new data could be extracted from new extension studies. </w:t>
            </w:r>
          </w:p>
        </w:tc>
      </w:tr>
    </w:tbl>
    <w:p w:rsidR="00AE2A2A" w:rsidRDefault="00AE2A2A" w:rsidP="00AE2A2A">
      <w:pPr>
        <w:pStyle w:val="TableNote"/>
      </w:pPr>
      <w:r>
        <w:t xml:space="preserve">RCT = randomised </w:t>
      </w:r>
      <w:r w:rsidRPr="008C0632">
        <w:t xml:space="preserve">controlled trial; PBAC = Pharmaceutical Benefits Advisory Committee; GAG = </w:t>
      </w:r>
      <w:r w:rsidRPr="008C0632">
        <w:rPr>
          <w:rFonts w:eastAsiaTheme="minorEastAsia"/>
          <w:lang w:eastAsia="en-US"/>
        </w:rPr>
        <w:t>glycosaminoglycans</w:t>
      </w:r>
      <w:r w:rsidRPr="008C0632">
        <w:t>; FVC = forced vital capacity; 6MWT = 6-minute walk test; AHI = apnoea / hypopnea index</w:t>
      </w:r>
    </w:p>
    <w:p w:rsidR="004E15DD" w:rsidRDefault="004E15DD" w:rsidP="004E15DD"/>
    <w:p w:rsidR="002A5E0D" w:rsidRDefault="002A5E0D" w:rsidP="002A5E0D">
      <w:pPr>
        <w:pStyle w:val="Heading5"/>
      </w:pPr>
      <w:r>
        <w:t>Laronidase</w:t>
      </w:r>
    </w:p>
    <w:p w:rsidR="002A5E0D" w:rsidRPr="002A5E0D" w:rsidRDefault="002A5E0D" w:rsidP="002A5E0D">
      <w:r>
        <w:t xml:space="preserve">There was one key trial used in the submission to the PBAC which assessed laronidase against placebo in patients with </w:t>
      </w:r>
      <w:r w:rsidR="00051CA2">
        <w:t xml:space="preserve">MPS I (Wraith et al 2004). The systematic review identified one </w:t>
      </w:r>
      <w:r w:rsidR="00C3057A">
        <w:t xml:space="preserve">3.5 year </w:t>
      </w:r>
      <w:r w:rsidR="00C871FC">
        <w:t xml:space="preserve">open-label </w:t>
      </w:r>
      <w:r w:rsidR="00051CA2">
        <w:t xml:space="preserve">extension to this trial (where all patients </w:t>
      </w:r>
      <w:r w:rsidR="00C871FC">
        <w:t>received laronidase</w:t>
      </w:r>
      <w:r w:rsidR="00051CA2">
        <w:t xml:space="preserve">) (Clarke et al 2009). </w:t>
      </w:r>
      <w:r w:rsidR="00C3057A">
        <w:t xml:space="preserve">This extension study provided longer term data, which showed either improvements or stabilisation on the majority of outcome measures </w:t>
      </w:r>
      <w:r w:rsidR="00C3057A" w:rsidRPr="00C3057A">
        <w:t xml:space="preserve">(6 minute walk test, liver volume, apnoea symptoms, </w:t>
      </w:r>
      <w:proofErr w:type="gramStart"/>
      <w:r w:rsidR="00C3057A" w:rsidRPr="00C3057A">
        <w:t>shoulder</w:t>
      </w:r>
      <w:proofErr w:type="gramEnd"/>
      <w:r w:rsidR="00C3057A" w:rsidRPr="00C3057A">
        <w:t xml:space="preserve"> range of motion, visual acuity and disability index).</w:t>
      </w:r>
      <w:r w:rsidR="00C3057A">
        <w:t xml:space="preserve"> There was a slight decline in </w:t>
      </w:r>
      <w:r w:rsidR="00C3057A" w:rsidRPr="00C3057A">
        <w:t>the proportion of patients with predicted normal forced vital capacity (FVC). However, the new data were non-comparative, and it is therefore uncertain how the data compare to an untreated population in the longer-term</w:t>
      </w:r>
      <w:r w:rsidR="00C3057A">
        <w:t xml:space="preserve">. These results are therefore unlikely to alter the decision regarding funding of laronidase on the LSDP. </w:t>
      </w:r>
    </w:p>
    <w:p w:rsidR="004E15DD" w:rsidRDefault="002A5E0D" w:rsidP="002A5E0D">
      <w:pPr>
        <w:pStyle w:val="Heading5"/>
      </w:pPr>
      <w:r>
        <w:t>Idursulfase</w:t>
      </w:r>
    </w:p>
    <w:p w:rsidR="004E15DD" w:rsidRDefault="00C871FC" w:rsidP="00C871FC">
      <w:r>
        <w:t xml:space="preserve">There was one trial included in the relevant submission to the PBAC, providing evidence of the effectiveness of 1 year of idursulfase compared to placebo, in patients with MPS II </w:t>
      </w:r>
      <w:r>
        <w:lastRenderedPageBreak/>
        <w:t>(Muenzer et al 2006). Since being listed on the LSDP, an open-label extension study to this trial has been published, providing data for another 2 years (i.e. 3 years for those who were randomised to idursulfase initially, or 2 years for those who received placebo in the trial). The extension study found that a</w:t>
      </w:r>
      <w:r w:rsidR="004E15DD" w:rsidRPr="00C871FC">
        <w:t>bsolute forced vital cap</w:t>
      </w:r>
      <w:r w:rsidR="001B4E29">
        <w:t>ac</w:t>
      </w:r>
      <w:r w:rsidR="004E15DD" w:rsidRPr="00C871FC">
        <w:t xml:space="preserve">ity continued to improve for patients </w:t>
      </w:r>
      <w:r>
        <w:t xml:space="preserve">who were </w:t>
      </w:r>
      <w:r w:rsidR="004E15DD" w:rsidRPr="00C871FC">
        <w:t>18 years old</w:t>
      </w:r>
      <w:r>
        <w:t xml:space="preserve"> or less at baseline, over the</w:t>
      </w:r>
      <w:r w:rsidR="004E15DD" w:rsidRPr="00C871FC">
        <w:t xml:space="preserve"> 3 years of treatment with idursulfase. Adult patients (over 18 years) had a slight decrease in absolute forced vital capacity over 3 years. Results on the 6MWT were reasonably similar between 1 year (the length of the </w:t>
      </w:r>
      <w:r>
        <w:t>randomised trial</w:t>
      </w:r>
      <w:r w:rsidR="004E15DD" w:rsidRPr="00C871FC">
        <w:t>) and 3 years. Liver and spleen volume remained stable between 1 and 3 years, and joint flexibility continued to improve between 1 and 3 years. The extension data would therefor</w:t>
      </w:r>
      <w:r w:rsidR="00144D40">
        <w:t>e be unlikely to alter the decision</w:t>
      </w:r>
      <w:r w:rsidR="004E15DD" w:rsidRPr="00C871FC">
        <w:t xml:space="preserve"> to fund idursulfase.</w:t>
      </w:r>
      <w:r w:rsidR="004E15DD">
        <w:rPr>
          <w:rStyle w:val="TableHeadingChar"/>
          <w:b w:val="0"/>
        </w:rPr>
        <w:t xml:space="preserve">  </w:t>
      </w:r>
    </w:p>
    <w:p w:rsidR="004E15DD" w:rsidRDefault="002A5E0D" w:rsidP="002A5E0D">
      <w:pPr>
        <w:pStyle w:val="Heading5"/>
      </w:pPr>
      <w:r>
        <w:t>Galsulfase</w:t>
      </w:r>
    </w:p>
    <w:p w:rsidR="00BA34D3" w:rsidRDefault="00BA34D3" w:rsidP="00C871FC">
      <w:r>
        <w:t>The highest level of evidence assessing galsulfase for patients with MPS VI was a trial comparing the drug against placebo, which was included in the submission to the PBAC. A subsequent extension study was identified, which included the sample who participated in the key trial, but the data were combined with results of patients from two other trials, and</w:t>
      </w:r>
      <w:r w:rsidR="00E357BD">
        <w:t xml:space="preserve"> the study was therefore excluded</w:t>
      </w:r>
      <w:r>
        <w:t>.</w:t>
      </w:r>
      <w:r w:rsidR="00E357BD">
        <w:t xml:space="preserve"> Therefore, the systematic review did not include any data in addition to what was included in the relevant submission to the PBAC, and would have no impact on the decision to fund galsulfase. </w:t>
      </w:r>
    </w:p>
    <w:p w:rsidR="00712792" w:rsidRDefault="00D87E7A" w:rsidP="00E965BD">
      <w:pPr>
        <w:pStyle w:val="Heading3"/>
      </w:pPr>
      <w:r>
        <w:br w:type="page"/>
      </w:r>
      <w:r w:rsidR="008A3197">
        <w:lastRenderedPageBreak/>
        <w:t xml:space="preserve">Medicine </w:t>
      </w:r>
      <w:r w:rsidR="00712792">
        <w:t>to treat P</w:t>
      </w:r>
      <w:r w:rsidR="008A3197">
        <w:t xml:space="preserve">aroxysmal </w:t>
      </w:r>
      <w:r w:rsidR="00712792">
        <w:t>N</w:t>
      </w:r>
      <w:r w:rsidR="008A3197">
        <w:t xml:space="preserve">octurnal </w:t>
      </w:r>
      <w:r w:rsidR="00712792">
        <w:t>H</w:t>
      </w:r>
      <w:r w:rsidR="008A3197">
        <w:t>aemoglobinuria</w:t>
      </w:r>
      <w:r w:rsidR="00C83A38">
        <w:t xml:space="preserve"> (PNH)</w:t>
      </w:r>
    </w:p>
    <w:p w:rsidR="00092F60" w:rsidRDefault="00092F60" w:rsidP="00E965BD"/>
    <w:p w:rsidR="00405145" w:rsidRPr="003B25AC" w:rsidRDefault="00405145" w:rsidP="00E502C3">
      <w:pPr>
        <w:pBdr>
          <w:top w:val="single" w:sz="4" w:space="4" w:color="auto"/>
          <w:left w:val="single" w:sz="4" w:space="4" w:color="auto"/>
          <w:bottom w:val="single" w:sz="4" w:space="4" w:color="auto"/>
          <w:right w:val="single" w:sz="4" w:space="4" w:color="auto"/>
        </w:pBdr>
        <w:spacing w:before="120"/>
        <w:rPr>
          <w:rFonts w:ascii="Arial Narrow" w:hAnsi="Arial Narrow" w:cstheme="minorHAnsi"/>
          <w:b/>
          <w:sz w:val="22"/>
          <w:szCs w:val="22"/>
        </w:rPr>
      </w:pPr>
      <w:r w:rsidRPr="003B25AC">
        <w:rPr>
          <w:rFonts w:ascii="Arial Narrow" w:hAnsi="Arial Narrow" w:cstheme="minorHAnsi"/>
          <w:b/>
          <w:sz w:val="22"/>
          <w:szCs w:val="22"/>
        </w:rPr>
        <w:t xml:space="preserve">Is </w:t>
      </w:r>
      <w:r>
        <w:rPr>
          <w:rFonts w:ascii="Arial Narrow" w:hAnsi="Arial Narrow" w:cstheme="minorHAnsi"/>
          <w:b/>
          <w:sz w:val="22"/>
          <w:szCs w:val="22"/>
        </w:rPr>
        <w:t>eculizumab</w:t>
      </w:r>
      <w:r w:rsidRPr="003B25AC">
        <w:rPr>
          <w:rFonts w:ascii="Arial Narrow" w:hAnsi="Arial Narrow" w:cstheme="minorHAnsi"/>
          <w:b/>
          <w:sz w:val="22"/>
          <w:szCs w:val="22"/>
        </w:rPr>
        <w:t xml:space="preserve"> safe and effective compared to </w:t>
      </w:r>
      <w:r>
        <w:rPr>
          <w:rFonts w:ascii="Arial Narrow" w:hAnsi="Arial Narrow" w:cstheme="minorHAnsi"/>
          <w:b/>
          <w:sz w:val="22"/>
          <w:szCs w:val="22"/>
        </w:rPr>
        <w:t>supportive care (with/without placebo)</w:t>
      </w:r>
      <w:r w:rsidRPr="003B25AC">
        <w:rPr>
          <w:rFonts w:ascii="Arial Narrow" w:hAnsi="Arial Narrow" w:cstheme="minorHAnsi"/>
          <w:b/>
          <w:sz w:val="22"/>
          <w:szCs w:val="22"/>
        </w:rPr>
        <w:t xml:space="preserve"> </w:t>
      </w:r>
      <w:r>
        <w:rPr>
          <w:rFonts w:ascii="Arial Narrow" w:hAnsi="Arial Narrow" w:cstheme="minorHAnsi"/>
          <w:b/>
          <w:sz w:val="22"/>
          <w:szCs w:val="22"/>
        </w:rPr>
        <w:t xml:space="preserve">for treatment </w:t>
      </w:r>
      <w:r w:rsidRPr="003B25AC">
        <w:rPr>
          <w:rFonts w:ascii="Arial Narrow" w:hAnsi="Arial Narrow" w:cstheme="minorHAnsi"/>
          <w:b/>
          <w:sz w:val="22"/>
          <w:szCs w:val="22"/>
        </w:rPr>
        <w:t>of pat</w:t>
      </w:r>
      <w:r>
        <w:rPr>
          <w:rFonts w:ascii="Arial Narrow" w:hAnsi="Arial Narrow" w:cstheme="minorHAnsi"/>
          <w:b/>
          <w:sz w:val="22"/>
          <w:szCs w:val="22"/>
        </w:rPr>
        <w:t>ients with Paroxysmal Nocturnal Haemoglobinuria</w:t>
      </w:r>
      <w:r w:rsidRPr="003B25AC">
        <w:rPr>
          <w:rFonts w:ascii="Arial Narrow" w:hAnsi="Arial Narrow" w:cstheme="minorHAnsi"/>
          <w:b/>
          <w:sz w:val="22"/>
          <w:szCs w:val="22"/>
        </w:rPr>
        <w:t>?</w:t>
      </w:r>
    </w:p>
    <w:p w:rsidR="00405145" w:rsidRDefault="00405145" w:rsidP="00E502C3">
      <w:pPr>
        <w:pBdr>
          <w:top w:val="single" w:sz="4" w:space="4" w:color="auto"/>
          <w:left w:val="single" w:sz="4" w:space="4" w:color="auto"/>
          <w:bottom w:val="single" w:sz="4" w:space="4" w:color="auto"/>
          <w:right w:val="single" w:sz="4" w:space="4" w:color="auto"/>
        </w:pBdr>
        <w:rPr>
          <w:rFonts w:ascii="Arial Narrow" w:hAnsi="Arial Narrow"/>
          <w:sz w:val="22"/>
          <w:szCs w:val="22"/>
        </w:rPr>
      </w:pPr>
      <w:r>
        <w:rPr>
          <w:rFonts w:ascii="Arial Narrow" w:hAnsi="Arial Narrow"/>
          <w:sz w:val="22"/>
          <w:szCs w:val="22"/>
        </w:rPr>
        <w:t xml:space="preserve">The clinical claim submitted to </w:t>
      </w:r>
      <w:r w:rsidR="00C83A38">
        <w:rPr>
          <w:rFonts w:ascii="Arial Narrow" w:hAnsi="Arial Narrow"/>
          <w:sz w:val="22"/>
          <w:szCs w:val="22"/>
        </w:rPr>
        <w:t xml:space="preserve">the </w:t>
      </w:r>
      <w:r>
        <w:rPr>
          <w:rFonts w:ascii="Arial Narrow" w:hAnsi="Arial Narrow"/>
          <w:sz w:val="22"/>
          <w:szCs w:val="22"/>
        </w:rPr>
        <w:t xml:space="preserve">PBAC was that a patient’s lifespan with classic PNH would be substantially extended as a consequence of taking eculizumab compared to best supportive care. </w:t>
      </w:r>
      <w:r w:rsidR="00C83A38">
        <w:rPr>
          <w:rFonts w:ascii="Arial Narrow" w:hAnsi="Arial Narrow"/>
          <w:sz w:val="22"/>
          <w:szCs w:val="22"/>
        </w:rPr>
        <w:t xml:space="preserve">The </w:t>
      </w:r>
      <w:r>
        <w:rPr>
          <w:rFonts w:ascii="Arial Narrow" w:hAnsi="Arial Narrow"/>
          <w:sz w:val="22"/>
          <w:szCs w:val="22"/>
        </w:rPr>
        <w:t xml:space="preserve">PBAC considered that published and unpublished data supported this claim. </w:t>
      </w:r>
    </w:p>
    <w:p w:rsidR="00405145" w:rsidRPr="00833021" w:rsidRDefault="00405145" w:rsidP="00E502C3">
      <w:pPr>
        <w:pBdr>
          <w:top w:val="single" w:sz="4" w:space="4" w:color="auto"/>
          <w:left w:val="single" w:sz="4" w:space="4" w:color="auto"/>
          <w:bottom w:val="single" w:sz="4" w:space="4" w:color="auto"/>
          <w:right w:val="single" w:sz="4" w:space="4" w:color="auto"/>
        </w:pBdr>
        <w:rPr>
          <w:rFonts w:ascii="Arial Narrow" w:hAnsi="Arial Narrow"/>
          <w:i/>
          <w:sz w:val="22"/>
          <w:szCs w:val="22"/>
        </w:rPr>
      </w:pPr>
      <w:r w:rsidRPr="00176FAC">
        <w:rPr>
          <w:rFonts w:ascii="Arial Narrow" w:hAnsi="Arial Narrow"/>
          <w:sz w:val="22"/>
          <w:szCs w:val="22"/>
        </w:rPr>
        <w:t>One double-blinded, randomised, placebo-controlled trial (N</w:t>
      </w:r>
      <w:r w:rsidRPr="00652355">
        <w:rPr>
          <w:rFonts w:ascii="Arial Narrow" w:hAnsi="Arial Narrow"/>
          <w:spacing w:val="-20"/>
          <w:sz w:val="22"/>
          <w:szCs w:val="22"/>
        </w:rPr>
        <w:t xml:space="preserve"> = </w:t>
      </w:r>
      <w:r w:rsidRPr="00176FAC">
        <w:rPr>
          <w:rFonts w:ascii="Arial Narrow" w:hAnsi="Arial Narrow"/>
          <w:sz w:val="22"/>
          <w:szCs w:val="22"/>
        </w:rPr>
        <w:t xml:space="preserve">87) provided high quality evidence that, in the short-term (6 months), eculizumab reduces transfusion requirements </w:t>
      </w:r>
      <w:r>
        <w:rPr>
          <w:rFonts w:ascii="Arial Narrow" w:hAnsi="Arial Narrow"/>
          <w:sz w:val="22"/>
          <w:szCs w:val="22"/>
        </w:rPr>
        <w:t xml:space="preserve">and improves quality of life </w:t>
      </w:r>
      <w:r w:rsidRPr="00176FAC">
        <w:rPr>
          <w:rFonts w:ascii="Arial Narrow" w:hAnsi="Arial Narrow"/>
          <w:sz w:val="22"/>
          <w:szCs w:val="22"/>
        </w:rPr>
        <w:t>in patients with relatively severe PNH, compared to standard care</w:t>
      </w:r>
      <w:r>
        <w:rPr>
          <w:rFonts w:ascii="Arial Narrow" w:hAnsi="Arial Narrow"/>
          <w:sz w:val="22"/>
          <w:szCs w:val="22"/>
        </w:rPr>
        <w:t xml:space="preserve"> </w:t>
      </w:r>
      <w:r w:rsidRPr="009101DD">
        <w:rPr>
          <w:rFonts w:ascii="Arial Narrow" w:hAnsi="Arial Narrow"/>
          <w:sz w:val="22"/>
          <w:szCs w:val="22"/>
        </w:rPr>
        <w:t>(GRADE</w:t>
      </w:r>
      <w:r>
        <w:t xml:space="preserve"> </w:t>
      </w:r>
      <w:r w:rsidRPr="00D4733A">
        <w:rPr>
          <w:rFonts w:ascii="Cambria Math" w:hAnsi="Cambria Math"/>
          <w:color w:val="00B050"/>
        </w:rPr>
        <w:t>⨁⨁⨁⨁</w:t>
      </w:r>
      <w:r w:rsidRPr="009101DD">
        <w:rPr>
          <w:rFonts w:ascii="Arial Narrow" w:hAnsi="Arial Narrow"/>
          <w:sz w:val="22"/>
          <w:szCs w:val="22"/>
        </w:rPr>
        <w:t>)</w:t>
      </w:r>
      <w:r w:rsidRPr="00176FAC">
        <w:rPr>
          <w:rFonts w:ascii="Arial Narrow" w:hAnsi="Arial Narrow"/>
          <w:sz w:val="22"/>
          <w:szCs w:val="22"/>
        </w:rPr>
        <w:t>.</w:t>
      </w:r>
      <w:r>
        <w:rPr>
          <w:rFonts w:ascii="Arial Narrow" w:hAnsi="Arial Narrow"/>
          <w:sz w:val="22"/>
          <w:szCs w:val="22"/>
        </w:rPr>
        <w:t xml:space="preserve"> A </w:t>
      </w:r>
      <w:r>
        <w:rPr>
          <w:rFonts w:ascii="Arial Narrow" w:hAnsi="Arial Narrow"/>
          <w:i/>
          <w:sz w:val="22"/>
          <w:szCs w:val="22"/>
        </w:rPr>
        <w:t xml:space="preserve">post-hoc </w:t>
      </w:r>
      <w:r w:rsidRPr="00833021">
        <w:rPr>
          <w:rFonts w:ascii="Arial Narrow" w:hAnsi="Arial Narrow"/>
          <w:sz w:val="22"/>
          <w:szCs w:val="22"/>
        </w:rPr>
        <w:t>analysis</w:t>
      </w:r>
      <w:r>
        <w:rPr>
          <w:rFonts w:ascii="Arial Narrow" w:hAnsi="Arial Narrow"/>
          <w:sz w:val="22"/>
          <w:szCs w:val="22"/>
        </w:rPr>
        <w:t xml:space="preserve"> provided moderate quality evidence that patients treated with eculizumab have, on average, better renal outcomes than those receiving placebo </w:t>
      </w:r>
      <w:r w:rsidRPr="009101DD">
        <w:rPr>
          <w:rFonts w:ascii="Arial Narrow" w:hAnsi="Arial Narrow"/>
          <w:sz w:val="22"/>
          <w:szCs w:val="22"/>
        </w:rPr>
        <w:t>(GRADE</w:t>
      </w:r>
      <w:r>
        <w:t xml:space="preserve"> </w:t>
      </w:r>
      <w:r w:rsidRPr="00D4733A">
        <w:rPr>
          <w:rFonts w:ascii="Cambria Math" w:hAnsi="Cambria Math"/>
          <w:color w:val="00B050"/>
        </w:rPr>
        <w:t>⨁⨁⨁</w:t>
      </w:r>
      <w:r w:rsidRPr="00D4733A">
        <w:rPr>
          <w:rFonts w:ascii="Cambria Math" w:hAnsi="Cambria Math"/>
          <w:color w:val="C00000"/>
        </w:rPr>
        <w:t>⨀</w:t>
      </w:r>
      <w:r w:rsidRPr="009101DD">
        <w:rPr>
          <w:rFonts w:ascii="Arial Narrow" w:hAnsi="Arial Narrow"/>
          <w:sz w:val="22"/>
          <w:szCs w:val="22"/>
        </w:rPr>
        <w:t>).</w:t>
      </w:r>
    </w:p>
    <w:p w:rsidR="00405145" w:rsidRDefault="00405145" w:rsidP="00E502C3">
      <w:pPr>
        <w:pBdr>
          <w:top w:val="single" w:sz="4" w:space="4" w:color="auto"/>
          <w:left w:val="single" w:sz="4" w:space="4" w:color="auto"/>
          <w:bottom w:val="single" w:sz="4" w:space="4" w:color="auto"/>
          <w:right w:val="single" w:sz="4" w:space="4" w:color="auto"/>
        </w:pBdr>
        <w:rPr>
          <w:rFonts w:ascii="Arial Narrow" w:hAnsi="Arial Narrow"/>
          <w:sz w:val="22"/>
          <w:szCs w:val="22"/>
        </w:rPr>
      </w:pPr>
      <w:r w:rsidRPr="00176FAC">
        <w:rPr>
          <w:rFonts w:ascii="Arial Narrow" w:hAnsi="Arial Narrow"/>
          <w:sz w:val="22"/>
          <w:szCs w:val="22"/>
        </w:rPr>
        <w:t xml:space="preserve">The </w:t>
      </w:r>
      <w:r>
        <w:rPr>
          <w:rFonts w:ascii="Arial Narrow" w:hAnsi="Arial Narrow"/>
          <w:sz w:val="22"/>
          <w:szCs w:val="22"/>
        </w:rPr>
        <w:t xml:space="preserve">single arm </w:t>
      </w:r>
      <w:r w:rsidRPr="00176FAC">
        <w:rPr>
          <w:rFonts w:ascii="Arial Narrow" w:hAnsi="Arial Narrow"/>
          <w:sz w:val="22"/>
          <w:szCs w:val="22"/>
        </w:rPr>
        <w:t>extension study of this trial (N</w:t>
      </w:r>
      <w:r w:rsidRPr="00652355">
        <w:rPr>
          <w:rFonts w:ascii="Arial Narrow" w:hAnsi="Arial Narrow"/>
          <w:spacing w:val="-20"/>
          <w:sz w:val="22"/>
          <w:szCs w:val="22"/>
        </w:rPr>
        <w:t xml:space="preserve"> = </w:t>
      </w:r>
      <w:r w:rsidRPr="00176FAC">
        <w:rPr>
          <w:rFonts w:ascii="Arial Narrow" w:hAnsi="Arial Narrow"/>
          <w:sz w:val="22"/>
          <w:szCs w:val="22"/>
        </w:rPr>
        <w:t xml:space="preserve">195), which also included patients from two other studies, provided low quality evidence that the effectiveness of eculizumab </w:t>
      </w:r>
      <w:r>
        <w:rPr>
          <w:rFonts w:ascii="Arial Narrow" w:hAnsi="Arial Narrow"/>
          <w:sz w:val="22"/>
          <w:szCs w:val="22"/>
        </w:rPr>
        <w:t>at</w:t>
      </w:r>
      <w:r w:rsidRPr="00176FAC">
        <w:rPr>
          <w:rFonts w:ascii="Arial Narrow" w:hAnsi="Arial Narrow"/>
          <w:sz w:val="22"/>
          <w:szCs w:val="22"/>
        </w:rPr>
        <w:t xml:space="preserve"> reducing transfusion requirements appears to be maintained over a median treatment duration of 30 months. </w:t>
      </w:r>
      <w:r>
        <w:rPr>
          <w:rFonts w:ascii="Arial Narrow" w:hAnsi="Arial Narrow"/>
          <w:sz w:val="22"/>
          <w:szCs w:val="22"/>
        </w:rPr>
        <w:t>Eculizumab also reduced the rate of thromboembolic events.</w:t>
      </w:r>
    </w:p>
    <w:p w:rsidR="00405145" w:rsidRDefault="00405145" w:rsidP="00E502C3">
      <w:pPr>
        <w:pBdr>
          <w:top w:val="single" w:sz="4" w:space="4" w:color="auto"/>
          <w:left w:val="single" w:sz="4" w:space="4" w:color="auto"/>
          <w:bottom w:val="single" w:sz="4" w:space="4" w:color="auto"/>
          <w:right w:val="single" w:sz="4" w:space="4" w:color="auto"/>
        </w:pBdr>
        <w:rPr>
          <w:rFonts w:ascii="Arial Narrow" w:hAnsi="Arial Narrow"/>
          <w:sz w:val="22"/>
          <w:szCs w:val="22"/>
        </w:rPr>
      </w:pPr>
      <w:r w:rsidRPr="00176FAC">
        <w:rPr>
          <w:rFonts w:ascii="Arial Narrow" w:hAnsi="Arial Narrow"/>
          <w:sz w:val="22"/>
          <w:szCs w:val="22"/>
        </w:rPr>
        <w:t xml:space="preserve">There is </w:t>
      </w:r>
      <w:r>
        <w:rPr>
          <w:rFonts w:ascii="Arial Narrow" w:hAnsi="Arial Narrow"/>
          <w:sz w:val="22"/>
          <w:szCs w:val="22"/>
        </w:rPr>
        <w:t>minimal</w:t>
      </w:r>
      <w:r w:rsidRPr="00176FAC">
        <w:rPr>
          <w:rFonts w:ascii="Arial Narrow" w:hAnsi="Arial Narrow"/>
          <w:sz w:val="22"/>
          <w:szCs w:val="22"/>
        </w:rPr>
        <w:t xml:space="preserve"> comparative evidence </w:t>
      </w:r>
      <w:r>
        <w:rPr>
          <w:rFonts w:ascii="Arial Narrow" w:hAnsi="Arial Narrow"/>
          <w:sz w:val="22"/>
          <w:szCs w:val="22"/>
        </w:rPr>
        <w:t xml:space="preserve">and only one case series </w:t>
      </w:r>
      <w:r w:rsidRPr="00176FAC">
        <w:rPr>
          <w:rFonts w:ascii="Arial Narrow" w:hAnsi="Arial Narrow"/>
          <w:sz w:val="22"/>
          <w:szCs w:val="22"/>
        </w:rPr>
        <w:t xml:space="preserve">addressing the effect of eculizumab on overall survival in patients with PNH. </w:t>
      </w:r>
    </w:p>
    <w:p w:rsidR="00405145" w:rsidRDefault="00405145" w:rsidP="00E502C3">
      <w:pPr>
        <w:pBdr>
          <w:top w:val="single" w:sz="4" w:space="4" w:color="auto"/>
          <w:left w:val="single" w:sz="4" w:space="4" w:color="auto"/>
          <w:bottom w:val="single" w:sz="4" w:space="4" w:color="auto"/>
          <w:right w:val="single" w:sz="4" w:space="4" w:color="auto"/>
        </w:pBdr>
        <w:rPr>
          <w:rFonts w:ascii="Arial Narrow" w:hAnsi="Arial Narrow"/>
          <w:sz w:val="22"/>
          <w:szCs w:val="22"/>
        </w:rPr>
      </w:pPr>
      <w:r>
        <w:rPr>
          <w:rFonts w:ascii="Arial Narrow" w:hAnsi="Arial Narrow"/>
          <w:sz w:val="22"/>
          <w:szCs w:val="22"/>
        </w:rPr>
        <w:t>The only new evidence identified through the systematic review, was a historical control study, which reported on survival. This study reported that</w:t>
      </w:r>
      <w:r w:rsidRPr="00176FAC">
        <w:rPr>
          <w:rFonts w:ascii="Arial Narrow" w:hAnsi="Arial Narrow"/>
          <w:sz w:val="22"/>
          <w:szCs w:val="22"/>
        </w:rPr>
        <w:t xml:space="preserve"> eculizumab prolonged overall survival compared to no treatment; however, due to </w:t>
      </w:r>
      <w:r>
        <w:rPr>
          <w:rFonts w:ascii="Arial Narrow" w:hAnsi="Arial Narrow"/>
          <w:sz w:val="22"/>
          <w:szCs w:val="22"/>
        </w:rPr>
        <w:t>serious flaws in the design of this study</w:t>
      </w:r>
      <w:r w:rsidRPr="00176FAC">
        <w:rPr>
          <w:rFonts w:ascii="Arial Narrow" w:hAnsi="Arial Narrow"/>
          <w:sz w:val="22"/>
          <w:szCs w:val="22"/>
        </w:rPr>
        <w:t xml:space="preserve">, there are concerns regarding the validity of this analysis. </w:t>
      </w:r>
    </w:p>
    <w:p w:rsidR="00405145" w:rsidRDefault="00405145" w:rsidP="00E502C3">
      <w:pPr>
        <w:pBdr>
          <w:top w:val="single" w:sz="4" w:space="4" w:color="auto"/>
          <w:left w:val="single" w:sz="4" w:space="4" w:color="auto"/>
          <w:bottom w:val="single" w:sz="4" w:space="4" w:color="auto"/>
          <w:right w:val="single" w:sz="4" w:space="4" w:color="auto"/>
        </w:pBdr>
        <w:rPr>
          <w:rFonts w:ascii="Arial Narrow" w:hAnsi="Arial Narrow"/>
          <w:sz w:val="22"/>
          <w:szCs w:val="22"/>
        </w:rPr>
      </w:pPr>
      <w:r>
        <w:rPr>
          <w:rFonts w:ascii="Arial Narrow" w:hAnsi="Arial Narrow"/>
          <w:sz w:val="22"/>
          <w:szCs w:val="22"/>
        </w:rPr>
        <w:t>In the randomised trial, adverse events that were more common in the eculizumab group, compared to the placebo group, included headache, back pain and fatigue. Important identified risks associated with eculizumab treatment in patients with PNH include meningococcal infections, sepsis, serious infections and infusion reactions.</w:t>
      </w:r>
    </w:p>
    <w:p w:rsidR="008359A2" w:rsidRPr="004407D9" w:rsidRDefault="008359A2" w:rsidP="00E502C3">
      <w:pPr>
        <w:pBdr>
          <w:top w:val="single" w:sz="4" w:space="4" w:color="auto"/>
          <w:left w:val="single" w:sz="4" w:space="4" w:color="auto"/>
          <w:bottom w:val="single" w:sz="4" w:space="4" w:color="auto"/>
          <w:right w:val="single" w:sz="4" w:space="4" w:color="auto"/>
        </w:pBdr>
        <w:rPr>
          <w:rFonts w:ascii="Arial Narrow" w:hAnsi="Arial Narrow"/>
          <w:b/>
          <w:sz w:val="22"/>
          <w:szCs w:val="22"/>
        </w:rPr>
      </w:pPr>
      <w:r w:rsidRPr="004407D9">
        <w:rPr>
          <w:rFonts w:ascii="Arial Narrow" w:hAnsi="Arial Narrow"/>
          <w:b/>
          <w:sz w:val="22"/>
          <w:szCs w:val="22"/>
        </w:rPr>
        <w:t>Information withheld from this report at the request of the drug sponsor.</w:t>
      </w:r>
    </w:p>
    <w:p w:rsidR="00405145" w:rsidRPr="00A62C97" w:rsidRDefault="00A62C97" w:rsidP="00E502C3">
      <w:pPr>
        <w:pBdr>
          <w:top w:val="single" w:sz="4" w:space="4" w:color="auto"/>
          <w:left w:val="single" w:sz="4" w:space="4" w:color="auto"/>
          <w:bottom w:val="single" w:sz="4" w:space="4" w:color="auto"/>
          <w:right w:val="single" w:sz="4" w:space="4" w:color="auto"/>
        </w:pBdr>
        <w:rPr>
          <w:highlight w:val="black"/>
        </w:rPr>
      </w:pPr>
      <w:r>
        <w:rPr>
          <w:rFonts w:ascii="Arial Narrow" w:hAnsi="Arial Narrow"/>
          <w:noProof/>
          <w:color w:val="000000"/>
          <w:sz w:val="22"/>
          <w:szCs w:val="22"/>
          <w:highlight w:val="black"/>
        </w:rPr>
        <w:t>'''''' ''''''''''''''''''''' '''''''''' '''''''''''' ''''''''''''''''''' ''''''' ''''''''' ''''''''''''''''''''''' ''''''''''''''''''''' ''''''''''''''''''''' '''''''''''''''''''''''''''''' ''''''''''' '''''''''''''' '''' ''''''''''''''''''''' ''''''''''''''''''''''''' '''''''''''''' ''''''''''''''''''''' ''''''' '''''' '''''''''''''''''''''''' '''''''''''''''''''''''''''' ''''''''''''''''''''' ''''''''' ''''''' ''''''''''''' ''''''''''''''''' ''''''''' ''''''''' '''''''''''''''' '''''''''''''''''''''''''''''' '''''' ''''''' ''''''''''' '''''''''''''''' ''''''''''''''''''''' '''''''''' '''''''''''' ''''''''''''''' '''''''' '''''''''''''''' ''''''''''''' ''''''''''''</w:t>
      </w:r>
    </w:p>
    <w:p w:rsidR="00980D56" w:rsidRPr="00980D56" w:rsidRDefault="00980D56" w:rsidP="00980D56"/>
    <w:p w:rsidR="00092F60" w:rsidRPr="00092F60" w:rsidRDefault="00092F60" w:rsidP="00EC5DFF">
      <w:pPr>
        <w:pStyle w:val="Heading4"/>
      </w:pPr>
      <w:r w:rsidRPr="00092F60">
        <w:t>Background</w:t>
      </w:r>
    </w:p>
    <w:p w:rsidR="002B105E" w:rsidRDefault="002B105E" w:rsidP="002B105E">
      <w:pPr>
        <w:pStyle w:val="Heading5"/>
      </w:pPr>
      <w:r>
        <w:t>Paroxysmal nocturnal haemoglobinuria</w:t>
      </w:r>
    </w:p>
    <w:p w:rsidR="00092F60" w:rsidRPr="00092F60" w:rsidRDefault="00092F60" w:rsidP="00092F60">
      <w:pPr>
        <w:rPr>
          <w:rFonts w:cstheme="minorHAnsi"/>
        </w:rPr>
      </w:pPr>
      <w:r w:rsidRPr="00092F60">
        <w:rPr>
          <w:rFonts w:cstheme="minorHAnsi"/>
        </w:rPr>
        <w:t>Paroxysmal nocturnal haemoglobinuria (PNH) is an uncommon, life-threatening haematopoietic stem cell disorder, characterised by complement-mediated intravascular haemolysis and a pre</w:t>
      </w:r>
      <w:r w:rsidR="00D05B69">
        <w:rPr>
          <w:rFonts w:cstheme="minorHAnsi"/>
        </w:rPr>
        <w:t>-</w:t>
      </w:r>
      <w:r w:rsidRPr="00092F60">
        <w:rPr>
          <w:rFonts w:cstheme="minorHAnsi"/>
        </w:rPr>
        <w:t>thrombotic state</w:t>
      </w:r>
      <w:r w:rsidR="00DF2B2A">
        <w:rPr>
          <w:rFonts w:cstheme="minorHAnsi"/>
        </w:rPr>
        <w:t xml:space="preserve"> </w:t>
      </w:r>
      <w:r w:rsidR="00A130D0">
        <w:rPr>
          <w:rFonts w:cstheme="minorHAnsi"/>
          <w:noProof/>
        </w:rPr>
        <w:t>(</w:t>
      </w:r>
      <w:r w:rsidR="00184B6F">
        <w:rPr>
          <w:rFonts w:cstheme="minorHAnsi"/>
          <w:noProof/>
        </w:rPr>
        <w:t>Hillmen et al. 2013</w:t>
      </w:r>
      <w:r w:rsidR="00A130D0">
        <w:rPr>
          <w:rFonts w:cstheme="minorHAnsi"/>
          <w:noProof/>
        </w:rPr>
        <w:t>)</w:t>
      </w:r>
      <w:r w:rsidRPr="00092F60">
        <w:rPr>
          <w:rFonts w:cstheme="minorHAnsi"/>
        </w:rPr>
        <w:t>. PNH is caused by an acquired somatic mutation in the X chromosome of a totipotent haemopoietic stem cell</w:t>
      </w:r>
      <w:r w:rsidR="00DF2B2A">
        <w:rPr>
          <w:rFonts w:cstheme="minorHAnsi"/>
        </w:rPr>
        <w:t xml:space="preserve"> </w:t>
      </w:r>
      <w:r w:rsidR="00A130D0">
        <w:rPr>
          <w:rFonts w:cstheme="minorHAnsi"/>
          <w:noProof/>
        </w:rPr>
        <w:t>(</w:t>
      </w:r>
      <w:r w:rsidR="00184B6F">
        <w:rPr>
          <w:rFonts w:cstheme="minorHAnsi"/>
          <w:noProof/>
        </w:rPr>
        <w:t>Dmytrijuk et al. 2008</w:t>
      </w:r>
      <w:r w:rsidR="00A130D0">
        <w:rPr>
          <w:rFonts w:cstheme="minorHAnsi"/>
          <w:noProof/>
        </w:rPr>
        <w:t>)</w:t>
      </w:r>
      <w:r w:rsidRPr="00092F60">
        <w:rPr>
          <w:rFonts w:cstheme="minorHAnsi"/>
        </w:rPr>
        <w:t xml:space="preserve">. The mutation results in a deficiency of glycosylphosphatidylinositol glycan (GPI) Class A protein, which is critical for the biosynthesis of GPI membrane anchoring proteins </w:t>
      </w:r>
      <w:r w:rsidRPr="00092F60">
        <w:rPr>
          <w:rFonts w:cstheme="minorHAnsi"/>
        </w:rPr>
        <w:lastRenderedPageBreak/>
        <w:t xml:space="preserve">(GPI-APs). The mutation results in the reduction or complete absence of the GPI-anchored complement regulatory proteins CD55 and CD59. The absence of these proteins makes PNH cells vulnerable to complement mediated intravascular and extravascular haemolysis, although it is the intravascular haemolysis that contributes </w:t>
      </w:r>
      <w:r w:rsidR="00D05B69">
        <w:rPr>
          <w:rFonts w:cstheme="minorHAnsi"/>
        </w:rPr>
        <w:t xml:space="preserve">the most </w:t>
      </w:r>
      <w:r w:rsidRPr="00092F60">
        <w:rPr>
          <w:rFonts w:cstheme="minorHAnsi"/>
        </w:rPr>
        <w:t xml:space="preserve">to the </w:t>
      </w:r>
      <w:r w:rsidR="00D05B69">
        <w:rPr>
          <w:rFonts w:cstheme="minorHAnsi"/>
        </w:rPr>
        <w:t xml:space="preserve">disease </w:t>
      </w:r>
      <w:r w:rsidRPr="00092F60">
        <w:rPr>
          <w:rFonts w:cstheme="minorHAnsi"/>
        </w:rPr>
        <w:t xml:space="preserve">morbidity </w:t>
      </w:r>
      <w:r w:rsidR="00A130D0">
        <w:rPr>
          <w:rFonts w:cstheme="minorHAnsi"/>
          <w:noProof/>
        </w:rPr>
        <w:t>(</w:t>
      </w:r>
      <w:r w:rsidR="00184B6F">
        <w:rPr>
          <w:rFonts w:cstheme="minorHAnsi"/>
          <w:noProof/>
        </w:rPr>
        <w:t>Pu &amp; Brodsky 2011</w:t>
      </w:r>
      <w:r w:rsidR="00A130D0">
        <w:rPr>
          <w:rFonts w:cstheme="minorHAnsi"/>
          <w:noProof/>
        </w:rPr>
        <w:t>)</w:t>
      </w:r>
      <w:r w:rsidRPr="00092F60">
        <w:rPr>
          <w:rFonts w:cstheme="minorHAnsi"/>
        </w:rPr>
        <w:t xml:space="preserve">.  </w:t>
      </w:r>
    </w:p>
    <w:p w:rsidR="00092F60" w:rsidRPr="00092F60" w:rsidRDefault="00092F60" w:rsidP="00092F60">
      <w:pPr>
        <w:rPr>
          <w:rFonts w:cstheme="minorHAnsi"/>
        </w:rPr>
      </w:pPr>
      <w:r w:rsidRPr="00092F60">
        <w:rPr>
          <w:rFonts w:cstheme="minorHAnsi"/>
        </w:rPr>
        <w:t xml:space="preserve">Chronic haemolysis leads to the release of free haemoglobin and the subsequent depletion of nitric oxide. This, in turn, leads to vaso-occlusion and platelet activation and results in the common manifestations of PHN, such as fatigue, dyspnoea, recurrent abdominal pain, dysphagia, chest pain and pulmonary hypertension. In addition, chronic haemolysis increases the risk of thrombotic events (TEs), renal insufficiency and other organ damage, and premature mortality </w:t>
      </w:r>
      <w:r w:rsidR="00A130D0">
        <w:rPr>
          <w:rFonts w:cstheme="minorHAnsi"/>
          <w:noProof/>
        </w:rPr>
        <w:t>(</w:t>
      </w:r>
      <w:r w:rsidR="00184B6F">
        <w:rPr>
          <w:rFonts w:cstheme="minorHAnsi"/>
          <w:noProof/>
        </w:rPr>
        <w:t>Hillmen et al. 2013</w:t>
      </w:r>
      <w:r w:rsidR="00A130D0">
        <w:rPr>
          <w:rFonts w:cstheme="minorHAnsi"/>
          <w:noProof/>
        </w:rPr>
        <w:t>)</w:t>
      </w:r>
      <w:r w:rsidRPr="00092F60">
        <w:rPr>
          <w:rFonts w:cstheme="minorHAnsi"/>
        </w:rPr>
        <w:t xml:space="preserve">. </w:t>
      </w:r>
    </w:p>
    <w:p w:rsidR="002B105E" w:rsidRDefault="00092F60" w:rsidP="00092F60">
      <w:pPr>
        <w:rPr>
          <w:rFonts w:cstheme="minorHAnsi"/>
        </w:rPr>
      </w:pPr>
      <w:r w:rsidRPr="00092F60">
        <w:rPr>
          <w:rFonts w:cstheme="minorHAnsi"/>
        </w:rPr>
        <w:t xml:space="preserve">In a study of 220 untreated PNH </w:t>
      </w:r>
      <w:r w:rsidR="00D05B69">
        <w:rPr>
          <w:rFonts w:cstheme="minorHAnsi"/>
        </w:rPr>
        <w:t xml:space="preserve">patients </w:t>
      </w:r>
      <w:r w:rsidRPr="00092F60">
        <w:rPr>
          <w:rFonts w:cstheme="minorHAnsi"/>
        </w:rPr>
        <w:t>diagnosed over a period of 46 years (1950-1995), the Kaplan-Meier survival estimate was 65% at 10 years and 48% at 15 years after diagnosis</w:t>
      </w:r>
      <w:r w:rsidR="00DF2B2A">
        <w:rPr>
          <w:rFonts w:cstheme="minorHAnsi"/>
        </w:rPr>
        <w:t xml:space="preserve"> </w:t>
      </w:r>
      <w:r w:rsidR="00A130D0">
        <w:rPr>
          <w:rFonts w:cstheme="minorHAnsi"/>
          <w:noProof/>
        </w:rPr>
        <w:t>(</w:t>
      </w:r>
      <w:r w:rsidR="00184B6F">
        <w:rPr>
          <w:rFonts w:cstheme="minorHAnsi"/>
          <w:noProof/>
        </w:rPr>
        <w:t>Socie et al. 2012</w:t>
      </w:r>
      <w:r w:rsidR="00A130D0">
        <w:rPr>
          <w:rFonts w:cstheme="minorHAnsi"/>
          <w:noProof/>
        </w:rPr>
        <w:t>)</w:t>
      </w:r>
      <w:r w:rsidRPr="00092F60">
        <w:rPr>
          <w:rFonts w:cstheme="minorHAnsi"/>
        </w:rPr>
        <w:t xml:space="preserve">. Poor survival was associated with the occurrence of thrombosis as a complication, evolution to pancytopenia, myelodysplastic syndrome or acute leukaemia, age over 55 years at diagnosis and thrombocytopenia at diagnosis; while better survival was shown for patients in whom aplastic anaemia predated </w:t>
      </w:r>
      <w:r w:rsidR="00D05B69">
        <w:rPr>
          <w:rFonts w:cstheme="minorHAnsi"/>
        </w:rPr>
        <w:t xml:space="preserve">the </w:t>
      </w:r>
      <w:r w:rsidR="002B105E">
        <w:rPr>
          <w:rFonts w:cstheme="minorHAnsi"/>
        </w:rPr>
        <w:t xml:space="preserve">PNH. </w:t>
      </w:r>
    </w:p>
    <w:p w:rsidR="002B105E" w:rsidRDefault="002B105E" w:rsidP="002B105E">
      <w:pPr>
        <w:pStyle w:val="Heading5"/>
      </w:pPr>
      <w:r>
        <w:t>Pre-eculizumab</w:t>
      </w:r>
    </w:p>
    <w:p w:rsidR="00092F60" w:rsidRDefault="002B105E" w:rsidP="00092F60">
      <w:pPr>
        <w:rPr>
          <w:rFonts w:cstheme="minorHAnsi"/>
        </w:rPr>
      </w:pPr>
      <w:r>
        <w:rPr>
          <w:rFonts w:cstheme="minorHAnsi"/>
        </w:rPr>
        <w:t>Prior to the development of eculizumab, treatment of PNH was based around management of anaemia and thrombotic complications through transfusion of red blood cells, iron and/or folic acid supplementation, steroids and anti-coagulants.</w:t>
      </w:r>
    </w:p>
    <w:p w:rsidR="002B105E" w:rsidRPr="00092F60" w:rsidRDefault="002B105E" w:rsidP="002B105E">
      <w:pPr>
        <w:pStyle w:val="Heading5"/>
      </w:pPr>
      <w:r>
        <w:t>Eculizumab</w:t>
      </w:r>
    </w:p>
    <w:p w:rsidR="00092F60" w:rsidRPr="00092F60" w:rsidRDefault="00092F60" w:rsidP="00092F60">
      <w:pPr>
        <w:rPr>
          <w:rFonts w:cstheme="minorHAnsi"/>
        </w:rPr>
      </w:pPr>
      <w:r w:rsidRPr="00092F60">
        <w:rPr>
          <w:rFonts w:cstheme="minorHAnsi"/>
        </w:rPr>
        <w:t>Eculizumab, a genetically-engineered humanised monoclonal antibody, is a terminal complement inhibitor that specifically binds to the complement protein C5, thereby inhibiting the formation of pre-inflammatory, prothrombotic C5a and C5b, and preventing the generation of the terminal membrane attack complex C5b-9</w:t>
      </w:r>
      <w:r w:rsidR="00DF2B2A">
        <w:rPr>
          <w:rFonts w:cstheme="minorHAnsi"/>
        </w:rPr>
        <w:t xml:space="preserve"> </w:t>
      </w:r>
      <w:r w:rsidR="00A130D0">
        <w:rPr>
          <w:rFonts w:cstheme="minorHAnsi"/>
          <w:noProof/>
        </w:rPr>
        <w:t>(</w:t>
      </w:r>
      <w:r w:rsidR="00184B6F">
        <w:rPr>
          <w:rFonts w:cstheme="minorHAnsi"/>
          <w:noProof/>
        </w:rPr>
        <w:t>Hillmen et al. 2013</w:t>
      </w:r>
      <w:r w:rsidR="00A130D0">
        <w:rPr>
          <w:rFonts w:cstheme="minorHAnsi"/>
          <w:noProof/>
        </w:rPr>
        <w:t xml:space="preserve">; </w:t>
      </w:r>
      <w:r w:rsidR="00184B6F">
        <w:rPr>
          <w:rFonts w:cstheme="minorHAnsi"/>
          <w:noProof/>
        </w:rPr>
        <w:t>Therapeutic Goods Administration 2014</w:t>
      </w:r>
      <w:r w:rsidR="00A130D0">
        <w:rPr>
          <w:rFonts w:cstheme="minorHAnsi"/>
          <w:noProof/>
        </w:rPr>
        <w:t>)</w:t>
      </w:r>
      <w:r w:rsidRPr="00092F60">
        <w:rPr>
          <w:rFonts w:cstheme="minorHAnsi"/>
        </w:rPr>
        <w:t xml:space="preserve">. </w:t>
      </w:r>
    </w:p>
    <w:p w:rsidR="00092F60" w:rsidRPr="00092F60" w:rsidRDefault="00092F60" w:rsidP="00092F60">
      <w:pPr>
        <w:rPr>
          <w:rFonts w:cstheme="minorHAnsi"/>
        </w:rPr>
      </w:pPr>
      <w:r w:rsidRPr="00092F60">
        <w:rPr>
          <w:rFonts w:cstheme="minorHAnsi"/>
        </w:rPr>
        <w:t xml:space="preserve">The TGA approved dosing regimen </w:t>
      </w:r>
      <w:r w:rsidR="00D05B69">
        <w:rPr>
          <w:rFonts w:cstheme="minorHAnsi"/>
        </w:rPr>
        <w:t xml:space="preserve">of eculizumab </w:t>
      </w:r>
      <w:r w:rsidRPr="00092F60">
        <w:rPr>
          <w:rFonts w:cstheme="minorHAnsi"/>
        </w:rPr>
        <w:t>in PNH consists of a 4-week initial phase followed by a maintenance phase:</w:t>
      </w:r>
    </w:p>
    <w:p w:rsidR="00092F60" w:rsidRPr="00092F60" w:rsidRDefault="00092F60" w:rsidP="000959DF">
      <w:pPr>
        <w:numPr>
          <w:ilvl w:val="0"/>
          <w:numId w:val="31"/>
        </w:numPr>
        <w:autoSpaceDE w:val="0"/>
        <w:autoSpaceDN w:val="0"/>
        <w:adjustRightInd w:val="0"/>
        <w:spacing w:before="40" w:after="40" w:line="240" w:lineRule="auto"/>
        <w:rPr>
          <w:rFonts w:eastAsia="Calibri" w:cstheme="minorHAnsi"/>
          <w:szCs w:val="22"/>
        </w:rPr>
      </w:pPr>
      <w:r w:rsidRPr="00092F60">
        <w:rPr>
          <w:rFonts w:eastAsia="Calibri" w:cstheme="minorHAnsi"/>
          <w:szCs w:val="22"/>
        </w:rPr>
        <w:t>Initial phase:</w:t>
      </w:r>
      <w:r w:rsidRPr="00092F60">
        <w:rPr>
          <w:rFonts w:eastAsia="Calibri" w:cstheme="minorHAnsi"/>
          <w:szCs w:val="22"/>
        </w:rPr>
        <w:tab/>
        <w:t>600mg of eculizumab administered via a 25 – 45 minute intravenous infusion every week for the first 4 weeks</w:t>
      </w:r>
    </w:p>
    <w:p w:rsidR="00092F60" w:rsidRPr="00092F60" w:rsidRDefault="00092F60" w:rsidP="000959DF">
      <w:pPr>
        <w:numPr>
          <w:ilvl w:val="0"/>
          <w:numId w:val="31"/>
        </w:numPr>
        <w:autoSpaceDE w:val="0"/>
        <w:autoSpaceDN w:val="0"/>
        <w:adjustRightInd w:val="0"/>
        <w:spacing w:before="40" w:after="40" w:line="240" w:lineRule="auto"/>
        <w:rPr>
          <w:rFonts w:eastAsia="Calibri" w:cstheme="minorHAnsi"/>
          <w:szCs w:val="22"/>
        </w:rPr>
      </w:pPr>
      <w:r w:rsidRPr="00092F60">
        <w:rPr>
          <w:rFonts w:eastAsia="Calibri" w:cstheme="minorHAnsi"/>
          <w:szCs w:val="22"/>
        </w:rPr>
        <w:t>Maintenance phase:</w:t>
      </w:r>
      <w:r w:rsidRPr="00092F60">
        <w:rPr>
          <w:rFonts w:eastAsia="Calibri" w:cstheme="minorHAnsi"/>
          <w:szCs w:val="22"/>
        </w:rPr>
        <w:tab/>
        <w:t>120mg of eculizumab via a 25 – 45 minute intravenous infusion for the fifth week, followed by 900mg of eculizumab administered via a 25 – 45 minute intravenous infusion every 14 ± 2 days.</w:t>
      </w:r>
    </w:p>
    <w:p w:rsidR="00092F60" w:rsidRPr="00092F60" w:rsidRDefault="00092F60" w:rsidP="00092F60">
      <w:pPr>
        <w:rPr>
          <w:rFonts w:cstheme="minorHAnsi"/>
        </w:rPr>
      </w:pPr>
      <w:r w:rsidRPr="00092F60">
        <w:t>Due to its mechanism of action, the use of eculizumab increases the patient’s susceptibility to meningococcal infection (</w:t>
      </w:r>
      <w:r w:rsidRPr="00092F60">
        <w:rPr>
          <w:i/>
        </w:rPr>
        <w:t xml:space="preserve">Neisseria meningitides). </w:t>
      </w:r>
      <w:r w:rsidRPr="00092F60">
        <w:t>Due to this, p</w:t>
      </w:r>
      <w:r w:rsidRPr="00092F60">
        <w:rPr>
          <w:rFonts w:cstheme="minorHAnsi"/>
        </w:rPr>
        <w:t xml:space="preserve">atients must be administered a meningococcal vaccine at least two weeks prior to initiation of eculizumab therapy and revaccinated according to current medical guidelines for vaccine use </w:t>
      </w:r>
      <w:r w:rsidR="00A130D0">
        <w:rPr>
          <w:rFonts w:cstheme="minorHAnsi"/>
          <w:noProof/>
        </w:rPr>
        <w:lastRenderedPageBreak/>
        <w:t>(</w:t>
      </w:r>
      <w:r w:rsidR="00184B6F">
        <w:rPr>
          <w:rFonts w:cstheme="minorHAnsi"/>
          <w:noProof/>
        </w:rPr>
        <w:t>Therapeutic Goods Administration 2014</w:t>
      </w:r>
      <w:r w:rsidR="00A130D0">
        <w:rPr>
          <w:rFonts w:cstheme="minorHAnsi"/>
          <w:noProof/>
        </w:rPr>
        <w:t>)</w:t>
      </w:r>
      <w:r w:rsidRPr="00092F60">
        <w:rPr>
          <w:rFonts w:cstheme="minorHAnsi"/>
        </w:rPr>
        <w:t>.</w:t>
      </w:r>
      <w:r w:rsidR="00713B21">
        <w:rPr>
          <w:rFonts w:cstheme="minorHAnsi"/>
        </w:rPr>
        <w:t xml:space="preserve"> Eculizumab has been subsidised through the LSDP since 2011. </w:t>
      </w:r>
    </w:p>
    <w:p w:rsidR="00092F60" w:rsidRPr="00092F60" w:rsidRDefault="00092F60" w:rsidP="00EC5DFF">
      <w:pPr>
        <w:pStyle w:val="Heading4"/>
      </w:pPr>
      <w:r w:rsidRPr="00092F60">
        <w:t>Systematic review inclusion criteria</w:t>
      </w:r>
    </w:p>
    <w:p w:rsidR="00D05B69" w:rsidRPr="00092F60" w:rsidRDefault="00A72B26" w:rsidP="00D05B69">
      <w:pPr>
        <w:rPr>
          <w:rFonts w:cstheme="minorHAnsi"/>
        </w:rPr>
      </w:pPr>
      <w:bookmarkStart w:id="448" w:name="_Toc404350114"/>
      <w:bookmarkStart w:id="449" w:name="_Toc404937279"/>
      <w:r w:rsidRPr="006A71AB">
        <w:t xml:space="preserve">Table </w:t>
      </w:r>
      <w:r>
        <w:rPr>
          <w:noProof/>
        </w:rPr>
        <w:t>119</w:t>
      </w:r>
      <w:r w:rsidR="00D05B69" w:rsidRPr="00092F60">
        <w:rPr>
          <w:rFonts w:cstheme="minorHAnsi"/>
        </w:rPr>
        <w:t xml:space="preserve"> outlines the criteria for choosing studies that assess the safety and effectiveness of eculizumab for the management of paroxysmal nocturnal haemoglobinuria.</w:t>
      </w:r>
    </w:p>
    <w:p w:rsidR="00D05B69" w:rsidRPr="006A71AB" w:rsidRDefault="00D05B69" w:rsidP="00D05B69">
      <w:pPr>
        <w:pStyle w:val="Caption"/>
        <w:keepNext/>
        <w:tabs>
          <w:tab w:val="clear" w:pos="851"/>
          <w:tab w:val="left" w:pos="1134"/>
        </w:tabs>
        <w:ind w:left="1134" w:hanging="1134"/>
      </w:pPr>
      <w:bookmarkStart w:id="450" w:name="_Ref390433584"/>
      <w:bookmarkStart w:id="451" w:name="_Toc411510483"/>
      <w:bookmarkStart w:id="452" w:name="_Toc415141916"/>
      <w:r w:rsidRPr="006A71AB">
        <w:t xml:space="preserve">Table </w:t>
      </w:r>
      <w:r w:rsidR="00A72B26">
        <w:rPr>
          <w:noProof/>
        </w:rPr>
        <w:t>119</w:t>
      </w:r>
      <w:bookmarkEnd w:id="450"/>
      <w:r w:rsidRPr="006A71AB">
        <w:tab/>
        <w:t>Criteria for selecting studies to assess the safety and effectiveness of eculizumab</w:t>
      </w:r>
      <w:bookmarkEnd w:id="451"/>
      <w:bookmarkEnd w:id="452"/>
    </w:p>
    <w:tbl>
      <w:tblPr>
        <w:tblStyle w:val="TableGrid"/>
        <w:tblW w:w="0" w:type="auto"/>
        <w:tblLook w:val="04A0" w:firstRow="1" w:lastRow="0" w:firstColumn="1" w:lastColumn="0" w:noHBand="0" w:noVBand="1"/>
        <w:tblCaption w:val="Table 85 Criteria for selecting studies to assess the safety and effectiveness of eculizumab"/>
      </w:tblPr>
      <w:tblGrid>
        <w:gridCol w:w="1555"/>
        <w:gridCol w:w="7687"/>
      </w:tblGrid>
      <w:tr w:rsidR="00D05B69" w:rsidRPr="00092F60" w:rsidTr="00D05B69">
        <w:trPr>
          <w:tblHeader/>
        </w:trPr>
        <w:tc>
          <w:tcPr>
            <w:tcW w:w="1555" w:type="dxa"/>
          </w:tcPr>
          <w:p w:rsidR="00D05B69" w:rsidRPr="00092F60" w:rsidRDefault="00D05B69" w:rsidP="00D05B69">
            <w:pPr>
              <w:pStyle w:val="TableHeading"/>
            </w:pPr>
            <w:r w:rsidRPr="00092F60">
              <w:t>Characteristic</w:t>
            </w:r>
          </w:p>
        </w:tc>
        <w:tc>
          <w:tcPr>
            <w:tcW w:w="7687" w:type="dxa"/>
          </w:tcPr>
          <w:p w:rsidR="00D05B69" w:rsidRPr="00092F60" w:rsidRDefault="00D05B69" w:rsidP="00D05B69">
            <w:pPr>
              <w:pStyle w:val="TableHeading"/>
            </w:pPr>
            <w:r w:rsidRPr="00092F60">
              <w:t>Inclusion criteria</w:t>
            </w:r>
          </w:p>
        </w:tc>
      </w:tr>
      <w:tr w:rsidR="00D05B69" w:rsidRPr="00092F60" w:rsidTr="00D05B69">
        <w:tc>
          <w:tcPr>
            <w:tcW w:w="1555" w:type="dxa"/>
          </w:tcPr>
          <w:p w:rsidR="00D05B69" w:rsidRPr="00092F60" w:rsidRDefault="00D05B69" w:rsidP="00D05B69">
            <w:pPr>
              <w:pStyle w:val="TableText0"/>
              <w:rPr>
                <w:b/>
                <w:bCs/>
                <w:caps/>
                <w:color w:val="002060"/>
              </w:rPr>
            </w:pPr>
            <w:r w:rsidRPr="00092F60">
              <w:t>Study design</w:t>
            </w:r>
          </w:p>
        </w:tc>
        <w:tc>
          <w:tcPr>
            <w:tcW w:w="7687" w:type="dxa"/>
          </w:tcPr>
          <w:p w:rsidR="00D05B69" w:rsidRPr="00092F60" w:rsidRDefault="00D05B69" w:rsidP="006A0D8F">
            <w:pPr>
              <w:pStyle w:val="TableText0"/>
              <w:rPr>
                <w:b/>
                <w:bCs/>
                <w:caps/>
                <w:color w:val="002060"/>
              </w:rPr>
            </w:pPr>
            <w:r w:rsidRPr="00092F60">
              <w:t>The highest level of evidence available (from</w:t>
            </w:r>
            <w:r w:rsidR="006A0D8F">
              <w:t xml:space="preserve"> </w:t>
            </w:r>
            <w:r w:rsidR="00A72B26">
              <w:t xml:space="preserve">Table </w:t>
            </w:r>
            <w:r w:rsidR="00A72B26">
              <w:rPr>
                <w:noProof/>
              </w:rPr>
              <w:t>2</w:t>
            </w:r>
            <w:r w:rsidRPr="00092F60">
              <w:t xml:space="preserve">) that addressed the research questions. Case reports would have been included if none of the study designs in </w:t>
            </w:r>
            <w:r w:rsidR="00A72B26">
              <w:t xml:space="preserve">Table </w:t>
            </w:r>
            <w:r w:rsidR="00A72B26">
              <w:rPr>
                <w:noProof/>
              </w:rPr>
              <w:t>2</w:t>
            </w:r>
            <w:r w:rsidR="006A0D8F">
              <w:t xml:space="preserve"> </w:t>
            </w:r>
            <w:r w:rsidRPr="00092F60">
              <w:t>were available.</w:t>
            </w:r>
          </w:p>
        </w:tc>
      </w:tr>
      <w:tr w:rsidR="00D05B69" w:rsidRPr="00092F60" w:rsidTr="00D05B69">
        <w:tc>
          <w:tcPr>
            <w:tcW w:w="1555" w:type="dxa"/>
          </w:tcPr>
          <w:p w:rsidR="00D05B69" w:rsidRPr="00092F60" w:rsidRDefault="00D05B69" w:rsidP="00D05B69">
            <w:pPr>
              <w:pStyle w:val="TableText0"/>
            </w:pPr>
            <w:r w:rsidRPr="00092F60">
              <w:t>Population</w:t>
            </w:r>
          </w:p>
        </w:tc>
        <w:tc>
          <w:tcPr>
            <w:tcW w:w="7687" w:type="dxa"/>
          </w:tcPr>
          <w:p w:rsidR="00D05B69" w:rsidRPr="00092F60" w:rsidRDefault="00D05B69" w:rsidP="00D05B69">
            <w:pPr>
              <w:pStyle w:val="TableText0"/>
            </w:pPr>
            <w:r w:rsidRPr="00092F60">
              <w:t>Patients with Paroxysmal Nocturnal Haemoglobinuria (PNH), with granulocyte clone size ≥10%, and raised lactate dehydrogenase level (≥1.5 times upper limit of normal for reporting laboratory)</w:t>
            </w:r>
          </w:p>
        </w:tc>
      </w:tr>
      <w:tr w:rsidR="00D05B69" w:rsidRPr="00092F60" w:rsidTr="00D05B69">
        <w:tc>
          <w:tcPr>
            <w:tcW w:w="1555" w:type="dxa"/>
          </w:tcPr>
          <w:p w:rsidR="00D05B69" w:rsidRPr="00092F60" w:rsidRDefault="00D05B69" w:rsidP="00D05B69">
            <w:pPr>
              <w:pStyle w:val="TableText0"/>
            </w:pPr>
            <w:r w:rsidRPr="00092F60">
              <w:t>Intervention</w:t>
            </w:r>
          </w:p>
        </w:tc>
        <w:tc>
          <w:tcPr>
            <w:tcW w:w="7687" w:type="dxa"/>
          </w:tcPr>
          <w:p w:rsidR="00D05B69" w:rsidRPr="00092F60" w:rsidRDefault="00D05B69" w:rsidP="00D05B69">
            <w:pPr>
              <w:pStyle w:val="TableText0"/>
            </w:pPr>
            <w:r w:rsidRPr="00092F60">
              <w:t xml:space="preserve">Eculizumab (Soliris®) </w:t>
            </w:r>
          </w:p>
          <w:p w:rsidR="00D05B69" w:rsidRPr="00092F60" w:rsidRDefault="00D05B69" w:rsidP="00D05B69">
            <w:pPr>
              <w:pStyle w:val="TableText0"/>
            </w:pPr>
            <w:proofErr w:type="gramStart"/>
            <w:r w:rsidRPr="00092F60">
              <w:t>plus</w:t>
            </w:r>
            <w:proofErr w:type="gramEnd"/>
            <w:r w:rsidRPr="00092F60">
              <w:t xml:space="preserve"> meningococcal vaccination with a tetravalent vaccine at least two weeks prior to first dose and revaccination as per Australian Immunisation Handbook. </w:t>
            </w:r>
          </w:p>
          <w:p w:rsidR="00D05B69" w:rsidRPr="00092F60" w:rsidRDefault="00D05B69" w:rsidP="00D05B69">
            <w:pPr>
              <w:pStyle w:val="TableText0"/>
            </w:pPr>
            <w:r w:rsidRPr="00092F60">
              <w:t>Subgroup analysis: by dose (e</w:t>
            </w:r>
            <w:r w:rsidR="004B6BA9">
              <w:t>.</w:t>
            </w:r>
            <w:r w:rsidRPr="00092F60">
              <w:t>g</w:t>
            </w:r>
            <w:r w:rsidR="004B6BA9">
              <w:t>.</w:t>
            </w:r>
            <w:r w:rsidRPr="00092F60">
              <w:t xml:space="preserve"> doses consistent with TGA listing, as well as experimental dosing regimens)</w:t>
            </w:r>
          </w:p>
        </w:tc>
      </w:tr>
      <w:tr w:rsidR="00D05B69" w:rsidRPr="00092F60" w:rsidTr="00D05B69">
        <w:tc>
          <w:tcPr>
            <w:tcW w:w="1555" w:type="dxa"/>
          </w:tcPr>
          <w:p w:rsidR="00D05B69" w:rsidRPr="00092F60" w:rsidRDefault="00D05B69" w:rsidP="00D05B69">
            <w:pPr>
              <w:pStyle w:val="TableText0"/>
            </w:pPr>
            <w:r w:rsidRPr="00092F60">
              <w:t>Comparator</w:t>
            </w:r>
          </w:p>
        </w:tc>
        <w:tc>
          <w:tcPr>
            <w:tcW w:w="7687" w:type="dxa"/>
          </w:tcPr>
          <w:p w:rsidR="00D05B69" w:rsidRPr="00092F60" w:rsidRDefault="00D05B69" w:rsidP="00D05B69">
            <w:pPr>
              <w:pStyle w:val="TableText0"/>
            </w:pPr>
            <w:r w:rsidRPr="00092F60">
              <w:t xml:space="preserve">Supportive care (with/without placebo) </w:t>
            </w:r>
          </w:p>
        </w:tc>
      </w:tr>
      <w:tr w:rsidR="00D05B69" w:rsidRPr="00092F60" w:rsidTr="00D05B69">
        <w:tc>
          <w:tcPr>
            <w:tcW w:w="1555" w:type="dxa"/>
          </w:tcPr>
          <w:p w:rsidR="00D05B69" w:rsidRPr="00092F60" w:rsidRDefault="00D05B69" w:rsidP="00D05B69">
            <w:pPr>
              <w:pStyle w:val="TableText0"/>
            </w:pPr>
            <w:r w:rsidRPr="00092F60">
              <w:t>Outcomes</w:t>
            </w:r>
          </w:p>
        </w:tc>
        <w:tc>
          <w:tcPr>
            <w:tcW w:w="7687" w:type="dxa"/>
          </w:tcPr>
          <w:p w:rsidR="00D05B69" w:rsidRPr="00092F60" w:rsidRDefault="00D05B69" w:rsidP="00D05B69">
            <w:pPr>
              <w:pStyle w:val="TableText0"/>
              <w:rPr>
                <w:i/>
                <w:iCs/>
              </w:rPr>
            </w:pPr>
            <w:r w:rsidRPr="00092F60">
              <w:rPr>
                <w:i/>
                <w:iCs/>
              </w:rPr>
              <w:t xml:space="preserve">Safety: </w:t>
            </w:r>
            <w:r w:rsidRPr="00092F60">
              <w:t>adverse events related to treatment – for example, headaches, nasopharyngitis, fatigue; and compliance with treatment (i.e. treatment withdrawal or suboptimal dosing)</w:t>
            </w:r>
          </w:p>
          <w:p w:rsidR="00D05B69" w:rsidRPr="00092F60" w:rsidRDefault="00D05B69" w:rsidP="00D05B69">
            <w:pPr>
              <w:pStyle w:val="TableText0"/>
            </w:pPr>
            <w:r w:rsidRPr="00092F60">
              <w:rPr>
                <w:i/>
                <w:iCs/>
              </w:rPr>
              <w:t>Primary effectiveness:</w:t>
            </w:r>
            <w:r w:rsidRPr="00092F60">
              <w:t xml:space="preserve"> survival</w:t>
            </w:r>
          </w:p>
          <w:p w:rsidR="00D05B69" w:rsidRPr="00092F60" w:rsidRDefault="00D05B69" w:rsidP="00D05B69">
            <w:pPr>
              <w:pStyle w:val="TableText0"/>
            </w:pPr>
            <w:r w:rsidRPr="00092F60">
              <w:rPr>
                <w:i/>
                <w:iCs/>
              </w:rPr>
              <w:t>Secondary effectiveness:</w:t>
            </w:r>
            <w:r w:rsidRPr="00092F60">
              <w:t xml:space="preserve"> quality of life; pain; thrombotic or embolic events; transfusion requirements; pulmonary insufficiency (shortness of breath and/or chest pain); renal function: glomerular filtration rate.</w:t>
            </w:r>
          </w:p>
        </w:tc>
      </w:tr>
      <w:tr w:rsidR="00D05B69" w:rsidRPr="00092F60" w:rsidTr="00D05B69">
        <w:tc>
          <w:tcPr>
            <w:tcW w:w="1555" w:type="dxa"/>
          </w:tcPr>
          <w:p w:rsidR="00D05B69" w:rsidRPr="00092F60" w:rsidRDefault="00D05B69" w:rsidP="00D05B69">
            <w:pPr>
              <w:pStyle w:val="TableText0"/>
            </w:pPr>
            <w:r w:rsidRPr="00092F60">
              <w:t>Language</w:t>
            </w:r>
          </w:p>
        </w:tc>
        <w:tc>
          <w:tcPr>
            <w:tcW w:w="7687" w:type="dxa"/>
          </w:tcPr>
          <w:p w:rsidR="00D05B69" w:rsidRPr="00092F60" w:rsidRDefault="00D05B69" w:rsidP="00D05B69">
            <w:pPr>
              <w:pStyle w:val="TableText0"/>
            </w:pPr>
            <w:r w:rsidRPr="00092F60">
              <w:t>Studies in languages other than English would have been translated if it appeared from the abstract that they represented a higher level of evidence than that available in English.</w:t>
            </w:r>
          </w:p>
        </w:tc>
      </w:tr>
      <w:tr w:rsidR="00D05B69" w:rsidRPr="00092F60" w:rsidTr="00D05B69">
        <w:tc>
          <w:tcPr>
            <w:tcW w:w="1555" w:type="dxa"/>
          </w:tcPr>
          <w:p w:rsidR="00D05B69" w:rsidRPr="00092F60" w:rsidRDefault="00D05B69" w:rsidP="00D05B69">
            <w:pPr>
              <w:pStyle w:val="TableText0"/>
            </w:pPr>
            <w:r w:rsidRPr="00092F60">
              <w:t>Research question</w:t>
            </w:r>
          </w:p>
        </w:tc>
        <w:tc>
          <w:tcPr>
            <w:tcW w:w="7687" w:type="dxa"/>
          </w:tcPr>
          <w:p w:rsidR="00D05B69" w:rsidRPr="00092F60" w:rsidRDefault="00D05B69" w:rsidP="00D05B69">
            <w:pPr>
              <w:pStyle w:val="TableText0"/>
            </w:pPr>
            <w:r w:rsidRPr="00092F60">
              <w:t>Is eculizumab safe and effective compared to supportive care (with/without placebo) for treating patients with Paroxysmal Nocturnal Haemoglobinuria?</w:t>
            </w:r>
          </w:p>
        </w:tc>
      </w:tr>
    </w:tbl>
    <w:p w:rsidR="00D05B69" w:rsidRPr="00092F60" w:rsidRDefault="00D05B69" w:rsidP="00D05B69">
      <w:pPr>
        <w:rPr>
          <w:rFonts w:cstheme="minorHAnsi"/>
        </w:rPr>
      </w:pPr>
    </w:p>
    <w:p w:rsidR="00092F60" w:rsidRPr="00E965BD" w:rsidRDefault="00092F60" w:rsidP="00EC5DFF">
      <w:pPr>
        <w:pStyle w:val="Heading4"/>
      </w:pPr>
      <w:r w:rsidRPr="00E965BD">
        <w:t>Results of the literature search</w:t>
      </w:r>
      <w:bookmarkEnd w:id="448"/>
      <w:bookmarkEnd w:id="449"/>
    </w:p>
    <w:p w:rsidR="00D05B69" w:rsidRPr="00092F60" w:rsidRDefault="00D05B69" w:rsidP="00D05B69">
      <w:r w:rsidRPr="00092F60">
        <w:t xml:space="preserve">The systematic review identified 16 publications fulfilling the </w:t>
      </w:r>
      <w:r>
        <w:t>study eligibility criteria</w:t>
      </w:r>
      <w:r w:rsidRPr="00092F60">
        <w:t>.</w:t>
      </w:r>
    </w:p>
    <w:p w:rsidR="00D05B69" w:rsidRPr="00092F60" w:rsidRDefault="00D05B69" w:rsidP="00D05B69">
      <w:r w:rsidRPr="00092F60">
        <w:t>The highest level of evidence assessing the comparative effectiveness and safety of eculizumab for the treatment of PNH was a randomised, double-blind, placebo-controlled trial, TRIUMPH (N</w:t>
      </w:r>
      <w:r w:rsidR="00652355" w:rsidRPr="00652355">
        <w:rPr>
          <w:spacing w:val="-20"/>
        </w:rPr>
        <w:t xml:space="preserve"> = </w:t>
      </w:r>
      <w:r w:rsidRPr="00092F60">
        <w:t xml:space="preserve">87) </w:t>
      </w:r>
      <w:r w:rsidR="00A130D0">
        <w:rPr>
          <w:noProof/>
        </w:rPr>
        <w:t>(</w:t>
      </w:r>
      <w:r w:rsidR="00184B6F">
        <w:rPr>
          <w:noProof/>
        </w:rPr>
        <w:t>Hillmen et al. 2006</w:t>
      </w:r>
      <w:r w:rsidR="00A130D0">
        <w:rPr>
          <w:noProof/>
        </w:rPr>
        <w:t>)</w:t>
      </w:r>
      <w:r w:rsidRPr="00092F60">
        <w:t>. On completion of the 26-week trial, patients were enrolled in an extension study, which also included patients from two other studies: an open-label phase II pilot study (case series, N</w:t>
      </w:r>
      <w:r w:rsidR="00652355" w:rsidRPr="00652355">
        <w:rPr>
          <w:spacing w:val="-20"/>
        </w:rPr>
        <w:t xml:space="preserve"> = </w:t>
      </w:r>
      <w:r w:rsidRPr="00092F60">
        <w:t xml:space="preserve">11) </w:t>
      </w:r>
      <w:r w:rsidR="00A130D0">
        <w:rPr>
          <w:noProof/>
        </w:rPr>
        <w:t>(</w:t>
      </w:r>
      <w:r w:rsidR="00184B6F">
        <w:rPr>
          <w:noProof/>
        </w:rPr>
        <w:t>Hill et al. 2005</w:t>
      </w:r>
      <w:r w:rsidR="00A130D0">
        <w:rPr>
          <w:noProof/>
        </w:rPr>
        <w:t xml:space="preserve">; </w:t>
      </w:r>
      <w:r w:rsidR="00184B6F">
        <w:rPr>
          <w:noProof/>
        </w:rPr>
        <w:t>Hillmen et al. 2004</w:t>
      </w:r>
      <w:r w:rsidR="00A130D0">
        <w:rPr>
          <w:noProof/>
        </w:rPr>
        <w:t>)</w:t>
      </w:r>
      <w:r w:rsidRPr="00092F60">
        <w:t>, and an open-label phase III</w:t>
      </w:r>
      <w:r w:rsidR="002641B3">
        <w:t xml:space="preserve"> </w:t>
      </w:r>
      <w:r w:rsidR="00E07CBE">
        <w:t xml:space="preserve">case series </w:t>
      </w:r>
      <w:r w:rsidRPr="00092F60">
        <w:t>(SHEPHERD, n</w:t>
      </w:r>
      <w:r w:rsidR="00652355" w:rsidRPr="00652355">
        <w:rPr>
          <w:spacing w:val="-20"/>
        </w:rPr>
        <w:t xml:space="preserve"> = </w:t>
      </w:r>
      <w:r w:rsidRPr="00092F60">
        <w:t xml:space="preserve">195) </w:t>
      </w:r>
      <w:r w:rsidR="00A130D0">
        <w:rPr>
          <w:noProof/>
        </w:rPr>
        <w:t>(</w:t>
      </w:r>
      <w:r w:rsidR="00184B6F">
        <w:rPr>
          <w:noProof/>
        </w:rPr>
        <w:t>Brodsky et al. 2008</w:t>
      </w:r>
      <w:r w:rsidR="00A130D0">
        <w:rPr>
          <w:noProof/>
        </w:rPr>
        <w:t>)</w:t>
      </w:r>
      <w:r w:rsidRPr="00092F60">
        <w:t xml:space="preserve">. Three publications reported the outcomes of this common 104-week extension study, which was analysed predominantly on a before-and-after treatment basis </w:t>
      </w:r>
      <w:r w:rsidR="00A130D0">
        <w:rPr>
          <w:noProof/>
        </w:rPr>
        <w:t>(</w:t>
      </w:r>
      <w:r w:rsidR="00184B6F">
        <w:rPr>
          <w:noProof/>
        </w:rPr>
        <w:t>Hillmen et al. 2010</w:t>
      </w:r>
      <w:r w:rsidR="00A130D0">
        <w:rPr>
          <w:noProof/>
        </w:rPr>
        <w:t xml:space="preserve">; </w:t>
      </w:r>
      <w:r w:rsidR="00184B6F">
        <w:rPr>
          <w:noProof/>
        </w:rPr>
        <w:t xml:space="preserve">Hillmen </w:t>
      </w:r>
      <w:r w:rsidR="00184B6F">
        <w:rPr>
          <w:noProof/>
        </w:rPr>
        <w:lastRenderedPageBreak/>
        <w:t>et al. 2007</w:t>
      </w:r>
      <w:r w:rsidR="00A130D0">
        <w:rPr>
          <w:noProof/>
        </w:rPr>
        <w:t xml:space="preserve">; </w:t>
      </w:r>
      <w:r w:rsidR="00184B6F">
        <w:rPr>
          <w:noProof/>
        </w:rPr>
        <w:t>Hillmen et al. 2013</w:t>
      </w:r>
      <w:r w:rsidR="00A130D0">
        <w:rPr>
          <w:noProof/>
        </w:rPr>
        <w:t>)</w:t>
      </w:r>
      <w:r w:rsidRPr="00092F60">
        <w:t xml:space="preserve">. While a retrospective analysis of a subgroup of patients enrolled in the TRIUMPH trial </w:t>
      </w:r>
      <w:r w:rsidR="00A130D0">
        <w:rPr>
          <w:noProof/>
        </w:rPr>
        <w:t>(</w:t>
      </w:r>
      <w:r w:rsidR="00184B6F">
        <w:rPr>
          <w:noProof/>
        </w:rPr>
        <w:t>Hill et al. 2010</w:t>
      </w:r>
      <w:r w:rsidR="00A130D0">
        <w:rPr>
          <w:noProof/>
        </w:rPr>
        <w:t>)</w:t>
      </w:r>
      <w:r w:rsidRPr="00092F60">
        <w:t xml:space="preserve"> also fulfilled the </w:t>
      </w:r>
      <w:r>
        <w:t>study eligibility criteria</w:t>
      </w:r>
      <w:r w:rsidRPr="00092F60">
        <w:t xml:space="preserve">, </w:t>
      </w:r>
      <w:r>
        <w:t xml:space="preserve">the analysis </w:t>
      </w:r>
      <w:r w:rsidRPr="00092F60">
        <w:t xml:space="preserve">did not present any additional results on outcomes relevant to this review. As the TRIUMPH trial only reported relatively short-term outcomes, the results from the combined extension study </w:t>
      </w:r>
      <w:r>
        <w:t>are</w:t>
      </w:r>
      <w:r w:rsidRPr="00092F60">
        <w:t xml:space="preserve"> also presented, as this represents the highest level of evidence for the longer-term effectiveness of eculizumab.</w:t>
      </w:r>
    </w:p>
    <w:p w:rsidR="00D05B69" w:rsidRPr="00092F60" w:rsidRDefault="00D05B69" w:rsidP="00D05B69">
      <w:r w:rsidRPr="00092F60">
        <w:t>The only study which reported the effect of eculizumab treatment on survival, compared to supportive care, was Kelly et al (2011)</w:t>
      </w:r>
      <w:r w:rsidR="001B4E29">
        <w:t xml:space="preserve"> </w:t>
      </w:r>
      <w:r w:rsidR="00A130D0">
        <w:rPr>
          <w:noProof/>
        </w:rPr>
        <w:t>(</w:t>
      </w:r>
      <w:r w:rsidR="00184B6F">
        <w:rPr>
          <w:noProof/>
        </w:rPr>
        <w:t>Kelly, RJ et al. 2011</w:t>
      </w:r>
      <w:r w:rsidR="00A130D0">
        <w:rPr>
          <w:noProof/>
        </w:rPr>
        <w:t>)</w:t>
      </w:r>
      <w:r w:rsidRPr="00092F60">
        <w:t xml:space="preserve">. This was a single-centre </w:t>
      </w:r>
      <w:r>
        <w:t xml:space="preserve">historic control </w:t>
      </w:r>
      <w:r w:rsidRPr="00092F60">
        <w:t xml:space="preserve">study in which outcomes in eculizumab-treated patients were compared to those </w:t>
      </w:r>
      <w:r>
        <w:t>of</w:t>
      </w:r>
      <w:r w:rsidRPr="00092F60">
        <w:t xml:space="preserve"> a control group of patients managed at the same centre in the 7 years before the availability of eculizumab.</w:t>
      </w:r>
    </w:p>
    <w:p w:rsidR="00D05B69" w:rsidRPr="00092F60" w:rsidRDefault="00D05B69" w:rsidP="00D05B69">
      <w:r w:rsidRPr="00092F60">
        <w:t xml:space="preserve">Six case-series (before-and-after analyses) </w:t>
      </w:r>
      <w:r>
        <w:t xml:space="preserve">also </w:t>
      </w:r>
      <w:r w:rsidRPr="00092F60">
        <w:t xml:space="preserve">fulfilled the </w:t>
      </w:r>
      <w:r>
        <w:t>eligibility</w:t>
      </w:r>
      <w:r w:rsidRPr="00092F60">
        <w:t xml:space="preserve"> criteria: one performed in Japan (Kanakura et al 2011, 2013: N</w:t>
      </w:r>
      <w:r w:rsidR="00652355" w:rsidRPr="00652355">
        <w:rPr>
          <w:spacing w:val="-20"/>
        </w:rPr>
        <w:t xml:space="preserve"> = </w:t>
      </w:r>
      <w:r w:rsidRPr="00092F60">
        <w:t>29)</w:t>
      </w:r>
      <w:r w:rsidR="00A130D0">
        <w:rPr>
          <w:noProof/>
        </w:rPr>
        <w:t>(</w:t>
      </w:r>
      <w:r w:rsidR="00184B6F">
        <w:rPr>
          <w:noProof/>
        </w:rPr>
        <w:t>Kanakura et al. 2013</w:t>
      </w:r>
      <w:r w:rsidR="00A130D0">
        <w:rPr>
          <w:noProof/>
        </w:rPr>
        <w:t xml:space="preserve">; </w:t>
      </w:r>
      <w:r w:rsidR="00184B6F">
        <w:rPr>
          <w:noProof/>
        </w:rPr>
        <w:t>Kanakura et al. 2011</w:t>
      </w:r>
      <w:r w:rsidR="00A130D0">
        <w:rPr>
          <w:noProof/>
        </w:rPr>
        <w:t>)</w:t>
      </w:r>
      <w:r w:rsidRPr="00092F60">
        <w:t>, one in Korea (Kim et al 2010; N</w:t>
      </w:r>
      <w:r w:rsidR="00652355" w:rsidRPr="00652355">
        <w:rPr>
          <w:spacing w:val="-20"/>
        </w:rPr>
        <w:t xml:space="preserve"> = </w:t>
      </w:r>
      <w:r w:rsidRPr="00092F60">
        <w:t>6)</w:t>
      </w:r>
      <w:r w:rsidR="00A130D0">
        <w:rPr>
          <w:noProof/>
        </w:rPr>
        <w:t>(</w:t>
      </w:r>
      <w:r w:rsidR="00184B6F">
        <w:rPr>
          <w:noProof/>
        </w:rPr>
        <w:t>Kim et al. 2010</w:t>
      </w:r>
      <w:r w:rsidR="00A130D0">
        <w:rPr>
          <w:noProof/>
        </w:rPr>
        <w:t>)</w:t>
      </w:r>
      <w:r w:rsidRPr="00092F60">
        <w:t>, two in Germany (Roth et al 2011: N</w:t>
      </w:r>
      <w:r w:rsidR="00652355" w:rsidRPr="00652355">
        <w:rPr>
          <w:spacing w:val="-20"/>
        </w:rPr>
        <w:t xml:space="preserve"> = </w:t>
      </w:r>
      <w:r w:rsidRPr="00092F60">
        <w:t>19; Hochsmann et al 2012: N</w:t>
      </w:r>
      <w:r w:rsidR="00652355" w:rsidRPr="00652355">
        <w:rPr>
          <w:spacing w:val="-20"/>
        </w:rPr>
        <w:t xml:space="preserve"> = </w:t>
      </w:r>
      <w:r w:rsidRPr="00092F60">
        <w:t>41)</w:t>
      </w:r>
      <w:r w:rsidR="00A130D0">
        <w:rPr>
          <w:noProof/>
        </w:rPr>
        <w:t>(</w:t>
      </w:r>
      <w:r w:rsidR="00184B6F">
        <w:rPr>
          <w:noProof/>
        </w:rPr>
        <w:t>Hochsmann et al. 2012</w:t>
      </w:r>
      <w:r w:rsidR="00A130D0">
        <w:rPr>
          <w:noProof/>
        </w:rPr>
        <w:t xml:space="preserve">; </w:t>
      </w:r>
      <w:r w:rsidR="00184B6F">
        <w:rPr>
          <w:noProof/>
        </w:rPr>
        <w:t>Roth et al. 2011</w:t>
      </w:r>
      <w:r w:rsidR="00A130D0">
        <w:rPr>
          <w:noProof/>
        </w:rPr>
        <w:t>)</w:t>
      </w:r>
      <w:r w:rsidRPr="00092F60">
        <w:t>, and two in the US (DeZern et al 2013, N</w:t>
      </w:r>
      <w:r w:rsidR="00652355" w:rsidRPr="00652355">
        <w:rPr>
          <w:spacing w:val="-20"/>
        </w:rPr>
        <w:t xml:space="preserve"> = </w:t>
      </w:r>
      <w:r w:rsidRPr="00092F60">
        <w:t>30; Reiss et al 2014, N</w:t>
      </w:r>
      <w:r w:rsidR="00652355" w:rsidRPr="00652355">
        <w:rPr>
          <w:spacing w:val="-20"/>
        </w:rPr>
        <w:t xml:space="preserve"> = </w:t>
      </w:r>
      <w:r w:rsidRPr="00092F60">
        <w:t>7)</w:t>
      </w:r>
      <w:r w:rsidR="00A130D0">
        <w:rPr>
          <w:noProof/>
        </w:rPr>
        <w:t>(</w:t>
      </w:r>
      <w:r w:rsidR="00184B6F">
        <w:rPr>
          <w:noProof/>
        </w:rPr>
        <w:t>DeZern, Dorr &amp; Brodsky 2013</w:t>
      </w:r>
      <w:r w:rsidR="00A130D0">
        <w:rPr>
          <w:noProof/>
        </w:rPr>
        <w:t xml:space="preserve">; </w:t>
      </w:r>
      <w:r w:rsidR="00184B6F">
        <w:rPr>
          <w:noProof/>
        </w:rPr>
        <w:t>Reiss et al. 2014</w:t>
      </w:r>
      <w:r w:rsidR="00A130D0">
        <w:rPr>
          <w:noProof/>
        </w:rPr>
        <w:t>)</w:t>
      </w:r>
      <w:r w:rsidRPr="00092F60">
        <w:t xml:space="preserve">. One of the US studies examined the safety and effectiveness of eculizumab in children aged 11-17 years of age </w:t>
      </w:r>
      <w:r w:rsidR="00A130D0">
        <w:rPr>
          <w:noProof/>
        </w:rPr>
        <w:t>(</w:t>
      </w:r>
      <w:r w:rsidR="00184B6F">
        <w:rPr>
          <w:noProof/>
        </w:rPr>
        <w:t>Reiss et al. 2014</w:t>
      </w:r>
      <w:r w:rsidR="00A130D0">
        <w:rPr>
          <w:noProof/>
        </w:rPr>
        <w:t>)</w:t>
      </w:r>
      <w:r w:rsidRPr="00092F60">
        <w:t xml:space="preserve">. </w:t>
      </w:r>
    </w:p>
    <w:p w:rsidR="00D05B69" w:rsidRPr="00092F60" w:rsidRDefault="00D05B69" w:rsidP="00D05B69"/>
    <w:p w:rsidR="00D05B69" w:rsidRPr="00092F60" w:rsidRDefault="00D05B69" w:rsidP="00EC5DFF">
      <w:pPr>
        <w:pStyle w:val="Heading4"/>
      </w:pPr>
      <w:r w:rsidRPr="00092F60">
        <w:t>Description of the studies included in the report</w:t>
      </w:r>
    </w:p>
    <w:p w:rsidR="00D05B69" w:rsidRPr="00092F60" w:rsidRDefault="00D05B69" w:rsidP="00EC5DFF">
      <w:pPr>
        <w:pStyle w:val="Heading5"/>
      </w:pPr>
      <w:r w:rsidRPr="00092F60">
        <w:t>TRIUMPH randomised controlled trial</w:t>
      </w:r>
    </w:p>
    <w:p w:rsidR="00D05B69" w:rsidRPr="00092F60" w:rsidRDefault="00D05B69" w:rsidP="00D05B69">
      <w:r w:rsidRPr="00092F60">
        <w:t xml:space="preserve">TRIUMPH was a randomised, double-blind, placebo-controlled trial consisting of a 2-week screening period, an observation period of up to 3 months, and a 26 week treatment period </w:t>
      </w:r>
      <w:r w:rsidR="00A130D0">
        <w:rPr>
          <w:noProof/>
        </w:rPr>
        <w:t>(</w:t>
      </w:r>
      <w:r w:rsidR="00184B6F">
        <w:rPr>
          <w:noProof/>
        </w:rPr>
        <w:t>Hillmen et al. 2006</w:t>
      </w:r>
      <w:r w:rsidR="00A130D0">
        <w:rPr>
          <w:noProof/>
        </w:rPr>
        <w:t>)</w:t>
      </w:r>
      <w:r w:rsidRPr="00092F60">
        <w:t xml:space="preserve">. </w:t>
      </w:r>
    </w:p>
    <w:p w:rsidR="00D05B69" w:rsidRPr="00092F60" w:rsidRDefault="00D05B69" w:rsidP="00D05B69">
      <w:r w:rsidRPr="00092F60">
        <w:t xml:space="preserve">Patients who did not require a transfusion during the observation period were considered ineligible. Eligible patients were randomised to receive either eculizumab or placebo within 10 days of the qualifying transfusion. Randomisation was performed centrally, with stratification according to the number of units of packed red blood cells transfused during the previous year. Blinding of participants, investigators and outcome assessors was maintained until the end of the study. </w:t>
      </w:r>
    </w:p>
    <w:p w:rsidR="00D05B69" w:rsidRPr="00092F60" w:rsidRDefault="00D05B69" w:rsidP="00D05B69">
      <w:r w:rsidRPr="00092F60">
        <w:t>Two of the 43 (4.7%) patients in the eculizumab group did not complete the trial, one due to transport difficulties and the other due to pregnancy; ten out of 44 (22.7%) patients in the placebo group discontinued infusions because of a perceived lack of efficacy, but remained in the study. An intention-to-treat analysis was performed for the primary outcomes, although it is not clear how missing values were dealt with.</w:t>
      </w:r>
    </w:p>
    <w:p w:rsidR="00D05B69" w:rsidRPr="00092F60" w:rsidRDefault="00D05B69" w:rsidP="00D05B69">
      <w:r w:rsidRPr="00092F60">
        <w:lastRenderedPageBreak/>
        <w:t>Patients were required to have a PNH type III</w:t>
      </w:r>
      <w:r w:rsidRPr="00092F60">
        <w:rPr>
          <w:vertAlign w:val="superscript"/>
        </w:rPr>
        <w:footnoteReference w:id="18"/>
      </w:r>
      <w:r w:rsidRPr="00092F60">
        <w:t xml:space="preserve"> erythrocyte proportion of 10% or more, lactate dehydrogenase (LDH) levels at least 1.5 times the upper limit of the normal range. In addition, they must have received at least four packed red blood cell (RBC) transfusions during the previous 12 months, and a platelet count of at least 100x10</w:t>
      </w:r>
      <w:r w:rsidRPr="00092F60">
        <w:rPr>
          <w:vertAlign w:val="superscript"/>
        </w:rPr>
        <w:t>9</w:t>
      </w:r>
      <w:r w:rsidRPr="00092F60">
        <w:t>/L. While the PNH granulocyte clone size was not stipulated in the inclusion criteria, the median clone size in the 31 patients with baseline values was 95.3% (range: 82.6-99.5%</w:t>
      </w:r>
      <w:proofErr w:type="gramStart"/>
      <w:r w:rsidRPr="00092F60">
        <w:t>)</w:t>
      </w:r>
      <w:r w:rsidR="00A130D0">
        <w:rPr>
          <w:noProof/>
        </w:rPr>
        <w:t>(</w:t>
      </w:r>
      <w:proofErr w:type="gramEnd"/>
      <w:r w:rsidR="00184B6F">
        <w:rPr>
          <w:noProof/>
        </w:rPr>
        <w:t>Hillmen et al. 2007</w:t>
      </w:r>
      <w:r w:rsidR="00A130D0">
        <w:rPr>
          <w:noProof/>
        </w:rPr>
        <w:t>)</w:t>
      </w:r>
      <w:r w:rsidRPr="00092F60">
        <w:t>. Due to the stringent inclusion criteria, especially the requirement of at least four packed RBC transfusion during the previous 12 months, these patients may, on average, have more severe disease than the Australian PNH patient population.</w:t>
      </w:r>
      <w:r w:rsidR="002B105E" w:rsidRPr="002B105E">
        <w:t xml:space="preserve"> </w:t>
      </w:r>
      <w:r w:rsidR="002B105E">
        <w:t>Ongoing standard therapy for immunosuppression, bleeding and anaemia was provided for all patients on the condition that the doses were constant before and throughout the study. In addition, a</w:t>
      </w:r>
      <w:r w:rsidR="002B105E" w:rsidRPr="00092F60">
        <w:t xml:space="preserve">ll patients were vaccinated against </w:t>
      </w:r>
      <w:r w:rsidR="002B105E" w:rsidRPr="00092F60">
        <w:rPr>
          <w:i/>
        </w:rPr>
        <w:t>Neisseria meningitides</w:t>
      </w:r>
      <w:r w:rsidR="002B105E" w:rsidRPr="00092F60">
        <w:t>.</w:t>
      </w:r>
    </w:p>
    <w:p w:rsidR="00D05B69" w:rsidRPr="00092F60" w:rsidRDefault="00D05B69" w:rsidP="00D05B69">
      <w:r w:rsidRPr="00092F60">
        <w:t xml:space="preserve">Patients received intravenous infusions of either eculizumab or placebo at a dose of 600mg every week (±2 days) for 4 weeks, followed 1 week (±2 days) later by 900mg, and then by a maintenance dose of 900mg every 2 weeks (±2 days), through week 26. This dose of eculizumab is consistent with the TGA listing. </w:t>
      </w:r>
    </w:p>
    <w:p w:rsidR="00D05B69" w:rsidRPr="00092F60" w:rsidRDefault="00D05B69" w:rsidP="00D05B69">
      <w:r w:rsidRPr="00092F60">
        <w:t xml:space="preserve">A total of 87 patients from 34 sites in the United States, Canada, Europe, and Australia met the eligibility criteria and were randomly assigned to either eculizumab (43 patients) or placebo (44 patients). </w:t>
      </w:r>
    </w:p>
    <w:p w:rsidR="00D05B69" w:rsidRPr="00092F60" w:rsidRDefault="00D05B69" w:rsidP="00D05B69">
      <w:r w:rsidRPr="00092F60">
        <w:t xml:space="preserve">A full comparison of baseline characteristic between the two treatment groups is presented in </w:t>
      </w:r>
      <w:r w:rsidR="00A72B26">
        <w:t>Table 165</w:t>
      </w:r>
      <w:r w:rsidRPr="00092F60">
        <w:t xml:space="preserve">. While the majority of baseline characteristics were reasonably similar across the two treatment groups, a greater proportion of patients in the placebo group had a history of aplastic anaemia than in the eculizumab group (27.3% and 14.0%, respectively), and the median duration of disease in the placebo group (9.2 years) was longer than in the eculizumab group (4.3 years). These differences may have favoured eculizumab over placebo </w:t>
      </w:r>
      <w:r w:rsidR="00A130D0">
        <w:rPr>
          <w:noProof/>
        </w:rPr>
        <w:t>(</w:t>
      </w:r>
      <w:r w:rsidR="00184B6F">
        <w:rPr>
          <w:noProof/>
        </w:rPr>
        <w:t>Kathula 2006</w:t>
      </w:r>
      <w:r w:rsidR="00A130D0">
        <w:rPr>
          <w:noProof/>
        </w:rPr>
        <w:t>)</w:t>
      </w:r>
      <w:r w:rsidRPr="00092F60">
        <w:t xml:space="preserve">. There was also some disparity in the pre-treatment thromboembolic (TE) event rate between the two treatment groups (5.18 events and 2.34 events per 100 patient-years in the eculizumab and placebo groups, respectively) </w:t>
      </w:r>
      <w:r w:rsidR="00A130D0">
        <w:rPr>
          <w:noProof/>
        </w:rPr>
        <w:t>(</w:t>
      </w:r>
      <w:r w:rsidR="00184B6F">
        <w:rPr>
          <w:noProof/>
        </w:rPr>
        <w:t>Hillmen et al. 2007</w:t>
      </w:r>
      <w:r w:rsidR="00A130D0">
        <w:rPr>
          <w:noProof/>
        </w:rPr>
        <w:t>)</w:t>
      </w:r>
      <w:r w:rsidRPr="00092F60">
        <w:t xml:space="preserve">, while the use of anticoagulants at baseline was </w:t>
      </w:r>
      <w:r w:rsidR="001B4E29" w:rsidRPr="00092F60">
        <w:t>correspondingly</w:t>
      </w:r>
      <w:r w:rsidRPr="00092F60">
        <w:t xml:space="preserve"> higher in the eculizumab group compared to the placebo group (49% and 25%, respectively</w:t>
      </w:r>
      <w:proofErr w:type="gramStart"/>
      <w:r w:rsidRPr="00092F60">
        <w:t>)</w:t>
      </w:r>
      <w:r w:rsidR="00A130D0">
        <w:rPr>
          <w:noProof/>
        </w:rPr>
        <w:t>(</w:t>
      </w:r>
      <w:proofErr w:type="gramEnd"/>
      <w:r w:rsidR="00184B6F">
        <w:rPr>
          <w:noProof/>
        </w:rPr>
        <w:t>Hillmen et al. 2006</w:t>
      </w:r>
      <w:r w:rsidR="00A130D0">
        <w:rPr>
          <w:noProof/>
        </w:rPr>
        <w:t>)</w:t>
      </w:r>
      <w:r w:rsidRPr="00092F60">
        <w:t>.</w:t>
      </w:r>
    </w:p>
    <w:p w:rsidR="00D05B69" w:rsidRPr="00092F60" w:rsidRDefault="00D05B69" w:rsidP="00D05B69">
      <w:r w:rsidRPr="00092F60">
        <w:t>Outcomes of relevance to this review included: transfusion requirements (one of two pre-specified primary outcomes), transfusion independence, and change in level of fatigue from baseline to 26 weeks (FACIT-Fatigue instrument). In addition, quality of life was included as a pre-specified exploratory analysis. The limited sample size and duration of the TRIUMPH trial precluded the determination of the comparative effectiveness of eculizumab in terms of less common outcomes, such as thromboembolic (TE) events and mortality.</w:t>
      </w:r>
    </w:p>
    <w:p w:rsidR="00D05B69" w:rsidRPr="00092F60" w:rsidRDefault="00D05B69" w:rsidP="00D05B69"/>
    <w:p w:rsidR="00D05B69" w:rsidRPr="00092F60" w:rsidRDefault="00D05B69" w:rsidP="00EC5DFF">
      <w:pPr>
        <w:pStyle w:val="Heading5"/>
      </w:pPr>
      <w:r w:rsidRPr="00092F60">
        <w:t>Open-label, single arm extension study</w:t>
      </w:r>
    </w:p>
    <w:p w:rsidR="00D05B69" w:rsidRPr="00092F60" w:rsidRDefault="00D05B69" w:rsidP="00D05B69">
      <w:r w:rsidRPr="00092F60">
        <w:t xml:space="preserve">The long-term effectiveness of eculizumab was assessed in a multicentre 104-week non-comparative extension study </w:t>
      </w:r>
      <w:r w:rsidR="00A130D0">
        <w:rPr>
          <w:noProof/>
        </w:rPr>
        <w:t>(</w:t>
      </w:r>
      <w:r w:rsidR="00184B6F">
        <w:rPr>
          <w:noProof/>
        </w:rPr>
        <w:t>Hillmen et al. 2010</w:t>
      </w:r>
      <w:r w:rsidR="00A130D0">
        <w:rPr>
          <w:noProof/>
        </w:rPr>
        <w:t xml:space="preserve">; </w:t>
      </w:r>
      <w:r w:rsidR="00184B6F">
        <w:rPr>
          <w:noProof/>
        </w:rPr>
        <w:t>Hillmen et al. 2007</w:t>
      </w:r>
      <w:r w:rsidR="00A130D0">
        <w:rPr>
          <w:noProof/>
        </w:rPr>
        <w:t xml:space="preserve">; </w:t>
      </w:r>
      <w:r w:rsidR="00184B6F">
        <w:rPr>
          <w:noProof/>
        </w:rPr>
        <w:t>Hillmen et al. 2013</w:t>
      </w:r>
      <w:r w:rsidR="00A130D0">
        <w:rPr>
          <w:noProof/>
        </w:rPr>
        <w:t>)</w:t>
      </w:r>
      <w:r w:rsidRPr="00092F60">
        <w:t xml:space="preserve"> that enrolled patients from three independent parent studies: the TRIUMPH trial (N</w:t>
      </w:r>
      <w:r w:rsidR="00652355" w:rsidRPr="00652355">
        <w:rPr>
          <w:spacing w:val="-20"/>
        </w:rPr>
        <w:t xml:space="preserve"> = </w:t>
      </w:r>
      <w:r w:rsidRPr="00092F60">
        <w:t>87), an open-label phase II pilot study (Hillmen et al 2004, 2005; N</w:t>
      </w:r>
      <w:r w:rsidR="00652355" w:rsidRPr="00652355">
        <w:rPr>
          <w:spacing w:val="-20"/>
        </w:rPr>
        <w:t xml:space="preserve"> = </w:t>
      </w:r>
      <w:r w:rsidRPr="00092F60">
        <w:t xml:space="preserve"> 11) </w:t>
      </w:r>
      <w:r w:rsidR="00A130D0">
        <w:rPr>
          <w:noProof/>
        </w:rPr>
        <w:t>(</w:t>
      </w:r>
      <w:r w:rsidR="00184B6F">
        <w:rPr>
          <w:noProof/>
        </w:rPr>
        <w:t>Hill et al. 2005</w:t>
      </w:r>
      <w:r w:rsidR="00A130D0">
        <w:rPr>
          <w:noProof/>
        </w:rPr>
        <w:t xml:space="preserve">; </w:t>
      </w:r>
      <w:r w:rsidR="00184B6F">
        <w:rPr>
          <w:noProof/>
        </w:rPr>
        <w:t>Hillmen et al. 2004</w:t>
      </w:r>
      <w:r w:rsidR="00A130D0">
        <w:rPr>
          <w:noProof/>
        </w:rPr>
        <w:t>)</w:t>
      </w:r>
      <w:r w:rsidRPr="00092F60">
        <w:t xml:space="preserve">, and an open-label phase III </w:t>
      </w:r>
      <w:r w:rsidR="00E07CBE">
        <w:t xml:space="preserve">case series </w:t>
      </w:r>
      <w:r w:rsidRPr="00092F60">
        <w:t>(SHEPHERD, Brodsky et al 2008; N</w:t>
      </w:r>
      <w:r w:rsidR="00652355" w:rsidRPr="00652355">
        <w:rPr>
          <w:spacing w:val="-20"/>
        </w:rPr>
        <w:t xml:space="preserve"> = </w:t>
      </w:r>
      <w:r w:rsidRPr="00092F60">
        <w:t>97)</w:t>
      </w:r>
      <w:r w:rsidR="00A130D0">
        <w:rPr>
          <w:noProof/>
        </w:rPr>
        <w:t>(</w:t>
      </w:r>
      <w:r w:rsidR="00184B6F">
        <w:rPr>
          <w:noProof/>
        </w:rPr>
        <w:t>Brodsky et al. 2008</w:t>
      </w:r>
      <w:r w:rsidR="00A130D0">
        <w:rPr>
          <w:noProof/>
        </w:rPr>
        <w:t>)</w:t>
      </w:r>
      <w:r w:rsidRPr="00092F60">
        <w:t xml:space="preserve">. At the end of the parent studies, 187 of the 195 eligible patients (95.9%) enrolled in the extension study </w:t>
      </w:r>
      <w:r w:rsidR="00A130D0">
        <w:rPr>
          <w:noProof/>
        </w:rPr>
        <w:t>(</w:t>
      </w:r>
      <w:r w:rsidR="00184B6F">
        <w:rPr>
          <w:noProof/>
        </w:rPr>
        <w:t>Hillmen et al. 2013</w:t>
      </w:r>
      <w:r w:rsidR="00A130D0">
        <w:rPr>
          <w:noProof/>
        </w:rPr>
        <w:t>)</w:t>
      </w:r>
      <w:r w:rsidRPr="00092F60">
        <w:t xml:space="preserve">. Summaries of the small pilot study and the SHEPHERD study are provided below.  </w:t>
      </w:r>
    </w:p>
    <w:p w:rsidR="00D05B69" w:rsidRPr="00092F60" w:rsidRDefault="00D05B69" w:rsidP="00D05B69">
      <w:r w:rsidRPr="00092F60">
        <w:t xml:space="preserve">The phase II pilot study was an open-label case-series (before-and-after), consisting of an initial 12-week acute-phase with a 1-year extension study </w:t>
      </w:r>
      <w:r w:rsidR="00A130D0">
        <w:rPr>
          <w:noProof/>
        </w:rPr>
        <w:t>(</w:t>
      </w:r>
      <w:r w:rsidR="00184B6F">
        <w:rPr>
          <w:noProof/>
        </w:rPr>
        <w:t>Hill et al. 2005</w:t>
      </w:r>
      <w:r w:rsidR="00A130D0">
        <w:rPr>
          <w:noProof/>
        </w:rPr>
        <w:t xml:space="preserve">; </w:t>
      </w:r>
      <w:r w:rsidR="00184B6F">
        <w:rPr>
          <w:noProof/>
        </w:rPr>
        <w:t>Hillmen et al. 2004</w:t>
      </w:r>
      <w:r w:rsidR="00A130D0">
        <w:rPr>
          <w:noProof/>
        </w:rPr>
        <w:t>)</w:t>
      </w:r>
      <w:r w:rsidRPr="00092F60">
        <w:t>. The study was conducted in the UK. Patients were eligible for enrolment i</w:t>
      </w:r>
      <w:r>
        <w:t>f</w:t>
      </w:r>
      <w:r w:rsidRPr="00092F60">
        <w:t xml:space="preserve"> they had a detectable GPI-deficient haematopoietic clone and had received at least four RBC transfusions in the preceding 12 months. Baseline PNH granulocyte clone size ranged from 47.8% to 99.9% </w:t>
      </w:r>
      <w:r w:rsidR="00A130D0">
        <w:rPr>
          <w:noProof/>
        </w:rPr>
        <w:t>(</w:t>
      </w:r>
      <w:r w:rsidR="00184B6F">
        <w:rPr>
          <w:noProof/>
        </w:rPr>
        <w:t>Hillmen et al. 2007</w:t>
      </w:r>
      <w:r w:rsidR="00A130D0">
        <w:rPr>
          <w:noProof/>
        </w:rPr>
        <w:t>)</w:t>
      </w:r>
      <w:r w:rsidRPr="00092F60">
        <w:t xml:space="preserve">. All patients were vaccinated against </w:t>
      </w:r>
      <w:r w:rsidRPr="00092F60">
        <w:rPr>
          <w:i/>
        </w:rPr>
        <w:t>N. meningitides</w:t>
      </w:r>
      <w:r w:rsidRPr="00092F60">
        <w:t xml:space="preserve"> before treatment. The dose of eculizumab was the same as that in the TRIUMPH trial, and was consistent with that in the TGA listing. Eleven patients were included in the study, eight of whom had a previous diagnosis of aplastic anaemia. All patients completed both the initial 12-week phase and the 1-year extension study. Relevant effectiveness outcome measures included transfusion requirements and quality of life.</w:t>
      </w:r>
    </w:p>
    <w:p w:rsidR="00D05B69" w:rsidRPr="00092F60" w:rsidRDefault="00D05B69" w:rsidP="00D05B69">
      <w:r w:rsidRPr="00092F60">
        <w:t xml:space="preserve">SHEPHERD </w:t>
      </w:r>
      <w:r w:rsidR="00A130D0">
        <w:rPr>
          <w:noProof/>
        </w:rPr>
        <w:t>(</w:t>
      </w:r>
      <w:r w:rsidR="00184B6F">
        <w:rPr>
          <w:noProof/>
        </w:rPr>
        <w:t>Brodsky et al. 2008</w:t>
      </w:r>
      <w:r w:rsidR="00A130D0">
        <w:rPr>
          <w:noProof/>
        </w:rPr>
        <w:t>)</w:t>
      </w:r>
      <w:r w:rsidRPr="00092F60">
        <w:t xml:space="preserve"> was an open-label 52-week prospective</w:t>
      </w:r>
      <w:r w:rsidR="002641B3">
        <w:t xml:space="preserve"> open label single arm clinical study</w:t>
      </w:r>
      <w:r w:rsidRPr="00092F60">
        <w:t>, conducted in the US, Europe, Australia and Canada. The eligibility criteria were similar to those in TRIUMPH, with the exception that patients were only required to have received at least one transfusion in the past two years, compared with four or more in the past year in TRIUMPH, and platelet counts of ≥30 x 10</w:t>
      </w:r>
      <w:r w:rsidRPr="00092F60">
        <w:rPr>
          <w:vertAlign w:val="superscript"/>
        </w:rPr>
        <w:t>9</w:t>
      </w:r>
      <w:r w:rsidRPr="00092F60">
        <w:t>/L, compared to ≥100 x 10</w:t>
      </w:r>
      <w:r w:rsidRPr="00092F60">
        <w:rPr>
          <w:vertAlign w:val="superscript"/>
        </w:rPr>
        <w:t>9</w:t>
      </w:r>
      <w:r w:rsidRPr="00092F60">
        <w:t>/L in TRIUMPH. As in the TRIUMPH trial, patients were required to have a PNH type III RBC proportion of 10% or more and LDH levels at least 1.5 times the upper limit of normal. The median PNH granulocyte population size was 96.0% (range: 1.1-99.9%)</w:t>
      </w:r>
      <w:r w:rsidRPr="00092F60">
        <w:rPr>
          <w:vertAlign w:val="superscript"/>
        </w:rPr>
        <w:footnoteReference w:id="19"/>
      </w:r>
      <w:r w:rsidRPr="00092F60">
        <w:t xml:space="preserve"> </w:t>
      </w:r>
      <w:r w:rsidR="00A130D0">
        <w:rPr>
          <w:noProof/>
        </w:rPr>
        <w:t>(</w:t>
      </w:r>
      <w:r w:rsidR="00184B6F">
        <w:rPr>
          <w:noProof/>
        </w:rPr>
        <w:t>Hillmen et al. 2007</w:t>
      </w:r>
      <w:r w:rsidR="00A130D0">
        <w:rPr>
          <w:noProof/>
        </w:rPr>
        <w:t>)</w:t>
      </w:r>
      <w:r w:rsidRPr="00092F60">
        <w:t>. As the eligibility criteria were more inclusive than those in the TRIUMPH trial, the study population was probably more representative of the Australian PNH population. Dosing of eculizumab was consistent with the recommendations in the TGA-approved PI for eculizumab. A total of 97 patients were enrolled in the study; 96 completed the 52-week study. Outcomes of interest included change in level of fatigue from baseline (FACIT-Fatigue instrument), quality of life, TE events, and transfusion requirements.</w:t>
      </w:r>
    </w:p>
    <w:p w:rsidR="00D05B69" w:rsidRPr="00092F60" w:rsidRDefault="00D05B69" w:rsidP="00D05B69">
      <w:r w:rsidRPr="00092F60">
        <w:t>The long-term open-label extension study co</w:t>
      </w:r>
      <w:r w:rsidR="001B4E29">
        <w:t>nsist</w:t>
      </w:r>
      <w:r w:rsidRPr="00092F60">
        <w:t xml:space="preserve">ed </w:t>
      </w:r>
      <w:r w:rsidR="001B4E29">
        <w:t xml:space="preserve">of </w:t>
      </w:r>
      <w:r w:rsidRPr="00092F60">
        <w:t>a 104-week treatment period and a 16-week post-treatment follow-up period for any patients who terminated treatment early</w:t>
      </w:r>
      <w:r w:rsidR="001B4E29">
        <w:t xml:space="preserve"> </w:t>
      </w:r>
      <w:r w:rsidR="00A130D0">
        <w:rPr>
          <w:noProof/>
        </w:rPr>
        <w:lastRenderedPageBreak/>
        <w:t>(</w:t>
      </w:r>
      <w:r w:rsidR="00184B6F">
        <w:rPr>
          <w:noProof/>
        </w:rPr>
        <w:t>Hillmen et al. 2013</w:t>
      </w:r>
      <w:r w:rsidR="00A130D0">
        <w:rPr>
          <w:noProof/>
        </w:rPr>
        <w:t>)</w:t>
      </w:r>
      <w:r w:rsidRPr="00092F60">
        <w:t>. At the end of the initial parent studies, 187 of the 195 patients (95.9%) enrolled in the extension study. All three parent studies used the same dosing regimen for eculizumab; in the extension study patients continued to receive the maintenance dose of eculizumab (900mg every 14 ± 2 days). Patients who received placebo in the TRIUMPH trial commenced eculizumab therapy using the same dosing regimen as that outlined in the TRIUMPH trial.</w:t>
      </w:r>
    </w:p>
    <w:p w:rsidR="00D05B69" w:rsidRPr="00092F60" w:rsidRDefault="00D05B69" w:rsidP="00D05B69">
      <w:r w:rsidRPr="00092F60">
        <w:t>Baseline was defined as the pre-eculizumab value collected from the parent study, except for those patients in the TRIUMPH study who received placebo, where baseline was the value collected at the final visit of this study. Nineteen (9.7%) of the original 195 patients discontinued treatment: nine discontinued because of an AE, seven withdrew consent, two were discontinued based on the decision of the investigator, and one was non-compliant with the protocol. Eight of the discontinuation</w:t>
      </w:r>
      <w:r>
        <w:t>s</w:t>
      </w:r>
      <w:r w:rsidRPr="00092F60">
        <w:t xml:space="preserve"> occurred during a parent study. </w:t>
      </w:r>
    </w:p>
    <w:p w:rsidR="00D05B69" w:rsidRPr="00092F60" w:rsidRDefault="00D05B69" w:rsidP="00D05B69">
      <w:r w:rsidRPr="00092F60">
        <w:t>While the total period of eculizumab administration across the parent and extension studies was 66 months, a 36-month cut-off was used for safety and effectiveness assessments to ensure that there were sufficient numbers of patients for statistical analysis. The median treatment duration for patients included in this 36-month cut-off was 30.3 months (interquartile range: 26.2-33.1 months).</w:t>
      </w:r>
    </w:p>
    <w:p w:rsidR="00D05B69" w:rsidRPr="00092F60" w:rsidRDefault="00D05B69" w:rsidP="00D05B69">
      <w:r w:rsidRPr="00092F60">
        <w:t xml:space="preserve">Effectiveness assessments were performed at least every two weeks. Outcome measures included survival (non-comparative), incidence of thrombotic events (TEs), transfusion requirements, transfusion independence and renal function. </w:t>
      </w:r>
    </w:p>
    <w:p w:rsidR="00D05B69" w:rsidRPr="00092F60" w:rsidRDefault="00D05B69" w:rsidP="00D05B69"/>
    <w:p w:rsidR="00D05B69" w:rsidRPr="00092F60" w:rsidRDefault="00D05B69" w:rsidP="00EC5DFF">
      <w:pPr>
        <w:pStyle w:val="Heading5"/>
      </w:pPr>
      <w:r w:rsidRPr="00092F60">
        <w:t>Kelly et al (2011)</w:t>
      </w:r>
    </w:p>
    <w:p w:rsidR="00D05B69" w:rsidRPr="00092F60" w:rsidRDefault="00D05B69" w:rsidP="00D05B69">
      <w:r w:rsidRPr="00092F60">
        <w:t xml:space="preserve">Only one full publication was identified which reported the effect of eculizumab on survival, compared to supportive care, in patients with PNH </w:t>
      </w:r>
      <w:r w:rsidR="00A130D0">
        <w:rPr>
          <w:noProof/>
        </w:rPr>
        <w:t>(</w:t>
      </w:r>
      <w:r w:rsidR="00184B6F">
        <w:rPr>
          <w:noProof/>
        </w:rPr>
        <w:t>Kelly, RJ et al. 2011</w:t>
      </w:r>
      <w:r w:rsidR="00A130D0">
        <w:rPr>
          <w:noProof/>
        </w:rPr>
        <w:t>)</w:t>
      </w:r>
      <w:r w:rsidRPr="00092F60">
        <w:t>. In addition, a conference abstract summarising the results of a cohort study, based on data for 1</w:t>
      </w:r>
      <w:r>
        <w:t>,</w:t>
      </w:r>
      <w:r w:rsidRPr="00092F60">
        <w:t xml:space="preserve">047 patients enrolled in the international PNH registry, was located </w:t>
      </w:r>
      <w:r w:rsidR="00A130D0">
        <w:rPr>
          <w:noProof/>
        </w:rPr>
        <w:t>(</w:t>
      </w:r>
      <w:r w:rsidR="00184B6F">
        <w:rPr>
          <w:noProof/>
        </w:rPr>
        <w:t>Socie et al. 2012</w:t>
      </w:r>
      <w:r w:rsidR="00A130D0">
        <w:rPr>
          <w:noProof/>
        </w:rPr>
        <w:t>)</w:t>
      </w:r>
      <w:r w:rsidRPr="00092F60">
        <w:t>; as full publication for this study could not be located, it was not possible to assess the quality of this study.</w:t>
      </w:r>
    </w:p>
    <w:p w:rsidR="00D05B69" w:rsidRPr="00092F60" w:rsidRDefault="00D05B69" w:rsidP="00D05B69">
      <w:r w:rsidRPr="00092F60">
        <w:t>Kelly et al (2011)</w:t>
      </w:r>
      <w:r w:rsidR="00A130D0">
        <w:rPr>
          <w:noProof/>
        </w:rPr>
        <w:t>(</w:t>
      </w:r>
      <w:r w:rsidR="00184B6F">
        <w:rPr>
          <w:noProof/>
        </w:rPr>
        <w:t>Kelly, RJ et al. 2011</w:t>
      </w:r>
      <w:r w:rsidR="00A130D0">
        <w:rPr>
          <w:noProof/>
        </w:rPr>
        <w:t>)</w:t>
      </w:r>
      <w:r w:rsidRPr="00092F60">
        <w:t xml:space="preserve"> presented the results of a study which enrolled 79 consecutive PNH patients treated with eculizumab at a single centre, 43% of whom participated in one of the three multicentre studies listed above. Outcomes in the eculizumab-treated patients were compared with those for a group of 30 patients who were cared for at the same centre in the 7 years before the availability of eculizumab. </w:t>
      </w:r>
    </w:p>
    <w:p w:rsidR="00D05B69" w:rsidRPr="00092F60" w:rsidRDefault="00D05B69" w:rsidP="00D05B69">
      <w:r w:rsidRPr="00092F60">
        <w:t xml:space="preserve">Patients were eligible for eculizumab treatment if they had transfusion-dependent haemolysis (4 or more transfusions in 12 months) or had a significant PNH-related complication regardless of transfusion history. All patients had a PNH granulocyte clone size ≥10% (range 41.8-100%), and the majority had LDH levels ≥1.5 time the upper limit of </w:t>
      </w:r>
      <w:r w:rsidRPr="00092F60">
        <w:lastRenderedPageBreak/>
        <w:t>normal (range 587-10,3000IU/L). The mean duration of eculizumab treatment was 39 months, with a range of 1-98 months.</w:t>
      </w:r>
    </w:p>
    <w:p w:rsidR="00D05B69" w:rsidRPr="00092F60" w:rsidRDefault="00D05B69" w:rsidP="00D05B69">
      <w:r w:rsidRPr="00092F60">
        <w:t>The only detail provided regarding the pre-eculizumab control group is that they fulfilled the same criteria for eligibility for eculizumab treatment as those in the treated group. No details are provided regarding baseline characteristics or the mean/median duration of follow-up for this cohort.</w:t>
      </w:r>
    </w:p>
    <w:p w:rsidR="00D05B69" w:rsidRPr="00092F60" w:rsidRDefault="00D05B69" w:rsidP="00D05B69">
      <w:r w:rsidRPr="00092F60">
        <w:t xml:space="preserve">While it is not clear in the methods section of the publication, the discussion indicates that once eculizumab became available, surviving control patients commenced eculizumab therapy and were subsequently included in the treatment group, “effectively acting as their own controls”. The number of control patients who received eculizumab once it was available, and who were subsequently included in the treated group, is not reported, although approximately 33% died prior to eculizumab becoming available. Due to the lack of data on the controls, it is not possible to estimate the risk of bias, although there is likely to be a degree of survival bias. </w:t>
      </w:r>
    </w:p>
    <w:p w:rsidR="00D05B69" w:rsidRPr="00092F60" w:rsidRDefault="00D05B69" w:rsidP="00D05B69">
      <w:r w:rsidRPr="00092F60">
        <w:t xml:space="preserve">For the pre-eculizumab patients who </w:t>
      </w:r>
      <w:r>
        <w:t xml:space="preserve">then </w:t>
      </w:r>
      <w:r w:rsidRPr="00092F60">
        <w:t>proceeded to treatment</w:t>
      </w:r>
      <w:r>
        <w:t>,</w:t>
      </w:r>
      <w:r w:rsidRPr="00092F60">
        <w:t xml:space="preserve"> this study is essentially a case series, with before-and-after treatment outcomes; however, treatment outcomes are not reported specifically for the sub-group of patients who were included in the pre-eculizumab group. Similarly, it is not possible to compare the sub-group who entered the study after eculizumab became available with the pre-treatment group, i.e. as an historic control analysis. Given the limitations of this study, there are major validity issues regarding the comparative analyses, especially for survival. </w:t>
      </w:r>
    </w:p>
    <w:p w:rsidR="00D05B69" w:rsidRPr="00E965BD" w:rsidRDefault="00D05B69" w:rsidP="00EC5DFF">
      <w:pPr>
        <w:pStyle w:val="Heading4"/>
      </w:pPr>
      <w:bookmarkStart w:id="453" w:name="_Toc404350115"/>
      <w:bookmarkStart w:id="454" w:name="_Toc404937280"/>
      <w:r w:rsidRPr="00E965BD">
        <w:t>Results of the included studies</w:t>
      </w:r>
      <w:bookmarkEnd w:id="453"/>
      <w:bookmarkEnd w:id="454"/>
    </w:p>
    <w:p w:rsidR="00D05B69" w:rsidRPr="00E965BD" w:rsidRDefault="00D05B69" w:rsidP="00EC5DFF">
      <w:pPr>
        <w:pStyle w:val="Heading5"/>
        <w:rPr>
          <w:bCs/>
        </w:rPr>
      </w:pPr>
      <w:r w:rsidRPr="00E965BD">
        <w:t>Primary effectiveness: Survival</w:t>
      </w:r>
    </w:p>
    <w:p w:rsidR="008B0F23" w:rsidRDefault="008B0F23" w:rsidP="008B0F23">
      <w:r>
        <w:t xml:space="preserve">Kelly et al. </w:t>
      </w:r>
      <w:r>
        <w:rPr>
          <w:noProof/>
        </w:rPr>
        <w:t>(</w:t>
      </w:r>
      <w:r w:rsidRPr="00500271">
        <w:t>Kelly, RJ et al. 2011</w:t>
      </w:r>
      <w:r>
        <w:rPr>
          <w:noProof/>
        </w:rPr>
        <w:t>)</w:t>
      </w:r>
      <w:r>
        <w:t xml:space="preserve"> used a Cox regression model with time-dependent covariates to assess the effect of eculizumab treatment on overall survival, compared to the untreated pre-eculizumab group. Those who were treated with eculizumab had a significantly higher 5-year survival rate (95.5%; 95%CI 87.6, 98.5) than those with PNH who were untreated (66.8%; 95%CI 41.4, 85.1), with a hazard ratio of 0.21 (95%CI 0.05, 0.88). </w:t>
      </w:r>
    </w:p>
    <w:p w:rsidR="00D05B69" w:rsidRPr="00092F60" w:rsidRDefault="00D05B69" w:rsidP="00A63C4B">
      <w:r w:rsidRPr="00092F60">
        <w:t xml:space="preserve">As discussed above, there are major concerns regarding the validity of the survival analyses. The results of the survival analyses are summarised in </w:t>
      </w:r>
      <w:r w:rsidR="00A72B26" w:rsidRPr="006A71AB">
        <w:t xml:space="preserve">Table </w:t>
      </w:r>
      <w:r w:rsidR="00A72B26">
        <w:t>120</w:t>
      </w:r>
      <w:r w:rsidRPr="00092F60">
        <w:t>.</w:t>
      </w:r>
    </w:p>
    <w:p w:rsidR="00D05B69" w:rsidRPr="006A71AB" w:rsidRDefault="00D05B69" w:rsidP="00D05B69">
      <w:pPr>
        <w:pStyle w:val="Caption"/>
        <w:keepNext/>
        <w:tabs>
          <w:tab w:val="clear" w:pos="851"/>
          <w:tab w:val="left" w:pos="1134"/>
        </w:tabs>
        <w:ind w:left="1134" w:hanging="1134"/>
      </w:pPr>
      <w:bookmarkStart w:id="455" w:name="_Ref400970075"/>
      <w:bookmarkStart w:id="456" w:name="_Toc411510484"/>
      <w:bookmarkStart w:id="457" w:name="_Toc415141917"/>
      <w:r w:rsidRPr="006A71AB">
        <w:lastRenderedPageBreak/>
        <w:t xml:space="preserve">Table </w:t>
      </w:r>
      <w:r w:rsidR="00A72B26">
        <w:rPr>
          <w:noProof/>
        </w:rPr>
        <w:t>120</w:t>
      </w:r>
      <w:bookmarkEnd w:id="455"/>
      <w:r>
        <w:tab/>
      </w:r>
      <w:r w:rsidRPr="006A71AB">
        <w:t>The effect of eculizumab on survival in PNH patients</w:t>
      </w:r>
      <w:bookmarkEnd w:id="456"/>
      <w:bookmarkEnd w:id="457"/>
      <w:r w:rsidRPr="006A71AB">
        <w:t xml:space="preserve"> </w:t>
      </w:r>
    </w:p>
    <w:tbl>
      <w:tblPr>
        <w:tblStyle w:val="TableGrid"/>
        <w:tblW w:w="5000" w:type="pct"/>
        <w:tblLook w:val="04A0" w:firstRow="1" w:lastRow="0" w:firstColumn="1" w:lastColumn="0" w:noHBand="0" w:noVBand="1"/>
        <w:tblCaption w:val="Table 86 The effect of eculizumab on survival in PNH patients "/>
      </w:tblPr>
      <w:tblGrid>
        <w:gridCol w:w="2698"/>
        <w:gridCol w:w="1911"/>
        <w:gridCol w:w="2078"/>
        <w:gridCol w:w="1627"/>
        <w:gridCol w:w="928"/>
      </w:tblGrid>
      <w:tr w:rsidR="00D05B69" w:rsidRPr="00092F60" w:rsidTr="00D05B69">
        <w:trPr>
          <w:tblHeader/>
        </w:trPr>
        <w:tc>
          <w:tcPr>
            <w:tcW w:w="1460" w:type="pct"/>
          </w:tcPr>
          <w:p w:rsidR="00D05B69" w:rsidRPr="00092F60" w:rsidRDefault="00D05B69" w:rsidP="00D05B69">
            <w:pPr>
              <w:pStyle w:val="TableHeading"/>
            </w:pPr>
            <w:r w:rsidRPr="00092F60">
              <w:t>Study</w:t>
            </w:r>
          </w:p>
        </w:tc>
        <w:tc>
          <w:tcPr>
            <w:tcW w:w="1034" w:type="pct"/>
          </w:tcPr>
          <w:p w:rsidR="00D05B69" w:rsidRPr="00092F60" w:rsidRDefault="00D05B69" w:rsidP="00D05B69">
            <w:pPr>
              <w:pStyle w:val="TableHeading"/>
            </w:pPr>
            <w:r w:rsidRPr="00092F60">
              <w:t>Eculizumab</w:t>
            </w:r>
          </w:p>
          <w:p w:rsidR="00D05B69" w:rsidRPr="00092F60" w:rsidRDefault="00D05B69" w:rsidP="00D05B69">
            <w:pPr>
              <w:pStyle w:val="TableHeading"/>
            </w:pPr>
            <w:r w:rsidRPr="00092F60">
              <w:t>% (95%CI)</w:t>
            </w:r>
          </w:p>
        </w:tc>
        <w:tc>
          <w:tcPr>
            <w:tcW w:w="1124" w:type="pct"/>
          </w:tcPr>
          <w:p w:rsidR="00D05B69" w:rsidRPr="00092F60" w:rsidRDefault="00D05B69" w:rsidP="00D05B69">
            <w:pPr>
              <w:pStyle w:val="TableHeading"/>
            </w:pPr>
            <w:r w:rsidRPr="00092F60">
              <w:t>Control</w:t>
            </w:r>
          </w:p>
          <w:p w:rsidR="00D05B69" w:rsidRPr="00092F60" w:rsidRDefault="00D05B69" w:rsidP="00D05B69">
            <w:pPr>
              <w:pStyle w:val="TableHeading"/>
            </w:pPr>
            <w:r w:rsidRPr="00092F60">
              <w:t>% (95%CI)</w:t>
            </w:r>
          </w:p>
        </w:tc>
        <w:tc>
          <w:tcPr>
            <w:tcW w:w="880" w:type="pct"/>
          </w:tcPr>
          <w:p w:rsidR="00D05B69" w:rsidRPr="00092F60" w:rsidRDefault="00D05B69" w:rsidP="00D05B69">
            <w:pPr>
              <w:pStyle w:val="TableHeading"/>
            </w:pPr>
            <w:r w:rsidRPr="00092F60">
              <w:t>Hazard ratio</w:t>
            </w:r>
          </w:p>
          <w:p w:rsidR="00D05B69" w:rsidRPr="00092F60" w:rsidRDefault="00D05B69" w:rsidP="00D05B69">
            <w:pPr>
              <w:pStyle w:val="TableHeading"/>
            </w:pPr>
            <w:r w:rsidRPr="00092F60">
              <w:t>(95%CI)</w:t>
            </w:r>
          </w:p>
        </w:tc>
        <w:tc>
          <w:tcPr>
            <w:tcW w:w="502" w:type="pct"/>
          </w:tcPr>
          <w:p w:rsidR="00D05B69" w:rsidRPr="00092F60" w:rsidRDefault="00D05B69" w:rsidP="00D05B69">
            <w:pPr>
              <w:pStyle w:val="TableHeading"/>
            </w:pPr>
            <w:r w:rsidRPr="00092F60">
              <w:t>p-value</w:t>
            </w:r>
          </w:p>
        </w:tc>
      </w:tr>
      <w:tr w:rsidR="00D05B69" w:rsidRPr="00092F60" w:rsidTr="00D05B69">
        <w:tc>
          <w:tcPr>
            <w:tcW w:w="1460" w:type="pct"/>
          </w:tcPr>
          <w:p w:rsidR="00D05B69" w:rsidRPr="005E6E1C" w:rsidRDefault="00D05B69" w:rsidP="00D05B69">
            <w:pPr>
              <w:pStyle w:val="TableText0"/>
              <w:rPr>
                <w:b/>
              </w:rPr>
            </w:pPr>
            <w:r w:rsidRPr="005E6E1C">
              <w:rPr>
                <w:b/>
              </w:rPr>
              <w:t>Kelly et al (2011)</w:t>
            </w:r>
          </w:p>
        </w:tc>
        <w:tc>
          <w:tcPr>
            <w:tcW w:w="1034" w:type="pct"/>
          </w:tcPr>
          <w:p w:rsidR="00D05B69" w:rsidRPr="00092F60" w:rsidRDefault="00D05B69" w:rsidP="00D05B69">
            <w:pPr>
              <w:pStyle w:val="TableText0"/>
            </w:pPr>
            <w:r w:rsidRPr="00092F60">
              <w:t>N</w:t>
            </w:r>
            <w:r w:rsidR="00652355" w:rsidRPr="00652355">
              <w:rPr>
                <w:spacing w:val="-20"/>
              </w:rPr>
              <w:t xml:space="preserve"> = </w:t>
            </w:r>
            <w:r w:rsidRPr="00092F60">
              <w:t>79</w:t>
            </w:r>
          </w:p>
        </w:tc>
        <w:tc>
          <w:tcPr>
            <w:tcW w:w="1124" w:type="pct"/>
          </w:tcPr>
          <w:p w:rsidR="00D05B69" w:rsidRPr="00092F60" w:rsidRDefault="00D05B69" w:rsidP="00D05B69">
            <w:pPr>
              <w:pStyle w:val="TableText0"/>
            </w:pPr>
            <w:r w:rsidRPr="00092F60">
              <w:t>N</w:t>
            </w:r>
            <w:r w:rsidR="00652355" w:rsidRPr="00652355">
              <w:rPr>
                <w:spacing w:val="-20"/>
              </w:rPr>
              <w:t xml:space="preserve"> = </w:t>
            </w:r>
            <w:r w:rsidRPr="00092F60">
              <w:t>30</w:t>
            </w:r>
          </w:p>
        </w:tc>
        <w:tc>
          <w:tcPr>
            <w:tcW w:w="880" w:type="pct"/>
          </w:tcPr>
          <w:p w:rsidR="00D05B69" w:rsidRPr="00092F60" w:rsidRDefault="00D05B69" w:rsidP="00D05B69">
            <w:pPr>
              <w:pStyle w:val="TableText0"/>
            </w:pPr>
          </w:p>
        </w:tc>
        <w:tc>
          <w:tcPr>
            <w:tcW w:w="502" w:type="pct"/>
          </w:tcPr>
          <w:p w:rsidR="00D05B69" w:rsidRPr="00092F60" w:rsidRDefault="00D05B69" w:rsidP="00D05B69">
            <w:pPr>
              <w:pStyle w:val="TableText0"/>
            </w:pPr>
          </w:p>
        </w:tc>
      </w:tr>
      <w:tr w:rsidR="00D05B69" w:rsidRPr="00092F60" w:rsidTr="00D05B69">
        <w:tc>
          <w:tcPr>
            <w:tcW w:w="1460" w:type="pct"/>
          </w:tcPr>
          <w:p w:rsidR="00D05B69" w:rsidRPr="00092F60" w:rsidRDefault="00D05B69" w:rsidP="00D05B69">
            <w:pPr>
              <w:pStyle w:val="TableText0"/>
              <w:rPr>
                <w:vertAlign w:val="superscript"/>
              </w:rPr>
            </w:pPr>
            <w:r w:rsidRPr="00092F60">
              <w:t>Overall survival</w:t>
            </w:r>
            <w:r w:rsidRPr="00092F60">
              <w:rPr>
                <w:vertAlign w:val="superscript"/>
              </w:rPr>
              <w:t>a</w:t>
            </w:r>
          </w:p>
        </w:tc>
        <w:tc>
          <w:tcPr>
            <w:tcW w:w="1034" w:type="pct"/>
          </w:tcPr>
          <w:p w:rsidR="00D05B69" w:rsidRPr="00092F60" w:rsidRDefault="00D05B69" w:rsidP="00D05B69">
            <w:pPr>
              <w:pStyle w:val="TableText0"/>
            </w:pPr>
          </w:p>
        </w:tc>
        <w:tc>
          <w:tcPr>
            <w:tcW w:w="1124" w:type="pct"/>
          </w:tcPr>
          <w:p w:rsidR="00D05B69" w:rsidRPr="00092F60" w:rsidRDefault="00D05B69" w:rsidP="00D05B69">
            <w:pPr>
              <w:pStyle w:val="TableText0"/>
            </w:pPr>
          </w:p>
        </w:tc>
        <w:tc>
          <w:tcPr>
            <w:tcW w:w="880" w:type="pct"/>
          </w:tcPr>
          <w:p w:rsidR="00D05B69" w:rsidRPr="00092F60" w:rsidRDefault="00D05B69" w:rsidP="00D05B69">
            <w:pPr>
              <w:pStyle w:val="TableText0"/>
              <w:rPr>
                <w:vertAlign w:val="superscript"/>
              </w:rPr>
            </w:pPr>
            <w:r w:rsidRPr="00092F60">
              <w:t>0.21</w:t>
            </w:r>
            <w:r w:rsidRPr="00092F60">
              <w:rPr>
                <w:vertAlign w:val="superscript"/>
              </w:rPr>
              <w:t xml:space="preserve"> </w:t>
            </w:r>
            <w:r w:rsidRPr="00092F60">
              <w:t>(0.05,0.88)</w:t>
            </w:r>
          </w:p>
        </w:tc>
        <w:tc>
          <w:tcPr>
            <w:tcW w:w="502" w:type="pct"/>
          </w:tcPr>
          <w:p w:rsidR="00D05B69" w:rsidRPr="00092F60" w:rsidRDefault="00D05B69" w:rsidP="00D05B69">
            <w:pPr>
              <w:pStyle w:val="TableText0"/>
            </w:pPr>
            <w:r w:rsidRPr="00092F60">
              <w:t>0.030</w:t>
            </w:r>
          </w:p>
        </w:tc>
      </w:tr>
      <w:tr w:rsidR="00D05B69" w:rsidRPr="00092F60" w:rsidTr="00D05B69">
        <w:tc>
          <w:tcPr>
            <w:tcW w:w="1460" w:type="pct"/>
          </w:tcPr>
          <w:p w:rsidR="00D05B69" w:rsidRPr="00092F60" w:rsidRDefault="00D05B69" w:rsidP="00D05B69">
            <w:pPr>
              <w:pStyle w:val="TableText0"/>
              <w:rPr>
                <w:vertAlign w:val="superscript"/>
              </w:rPr>
            </w:pPr>
            <w:r w:rsidRPr="00092F60">
              <w:t>Five year survival</w:t>
            </w:r>
          </w:p>
        </w:tc>
        <w:tc>
          <w:tcPr>
            <w:tcW w:w="1034" w:type="pct"/>
          </w:tcPr>
          <w:p w:rsidR="00D05B69" w:rsidRPr="00092F60" w:rsidRDefault="00D05B69" w:rsidP="00D05B69">
            <w:pPr>
              <w:pStyle w:val="TableText0"/>
            </w:pPr>
            <w:r w:rsidRPr="00092F60">
              <w:t xml:space="preserve">95.5% </w:t>
            </w:r>
          </w:p>
          <w:p w:rsidR="00D05B69" w:rsidRPr="00092F60" w:rsidRDefault="00D05B69" w:rsidP="00D05B69">
            <w:pPr>
              <w:pStyle w:val="TableText0"/>
            </w:pPr>
            <w:r w:rsidRPr="00092F60">
              <w:t>(87.6%, 98.5%)</w:t>
            </w:r>
          </w:p>
        </w:tc>
        <w:tc>
          <w:tcPr>
            <w:tcW w:w="1124" w:type="pct"/>
          </w:tcPr>
          <w:p w:rsidR="00D05B69" w:rsidRPr="00092F60" w:rsidRDefault="00D05B69" w:rsidP="00D05B69">
            <w:pPr>
              <w:pStyle w:val="TableText0"/>
            </w:pPr>
            <w:r w:rsidRPr="00092F60">
              <w:t>66.8%</w:t>
            </w:r>
          </w:p>
          <w:p w:rsidR="00D05B69" w:rsidRPr="00092F60" w:rsidRDefault="00D05B69" w:rsidP="00D05B69">
            <w:pPr>
              <w:pStyle w:val="TableText0"/>
            </w:pPr>
            <w:r w:rsidRPr="00092F60">
              <w:t>(41.4%, 85.1%)</w:t>
            </w:r>
          </w:p>
        </w:tc>
        <w:tc>
          <w:tcPr>
            <w:tcW w:w="880" w:type="pct"/>
          </w:tcPr>
          <w:p w:rsidR="00D05B69" w:rsidRPr="00092F60" w:rsidRDefault="00D05B69" w:rsidP="00D05B69">
            <w:pPr>
              <w:pStyle w:val="TableText0"/>
            </w:pPr>
          </w:p>
        </w:tc>
        <w:tc>
          <w:tcPr>
            <w:tcW w:w="502" w:type="pct"/>
          </w:tcPr>
          <w:p w:rsidR="00D05B69" w:rsidRPr="00092F60" w:rsidRDefault="00A63C4B" w:rsidP="00D05B69">
            <w:pPr>
              <w:pStyle w:val="TableText0"/>
            </w:pPr>
            <w:r>
              <w:t>0.01</w:t>
            </w:r>
          </w:p>
        </w:tc>
      </w:tr>
    </w:tbl>
    <w:p w:rsidR="00D05B69" w:rsidRPr="0062097D" w:rsidRDefault="001B4E29" w:rsidP="00D05B69">
      <w:pPr>
        <w:pStyle w:val="TableNote"/>
      </w:pPr>
      <w:r w:rsidRPr="0062097D">
        <w:t xml:space="preserve">CI </w:t>
      </w:r>
      <w:r w:rsidRPr="00652355">
        <w:rPr>
          <w:spacing w:val="-20"/>
        </w:rPr>
        <w:t xml:space="preserve">= </w:t>
      </w:r>
      <w:r w:rsidRPr="0062097D">
        <w:t>confidence</w:t>
      </w:r>
      <w:r w:rsidR="00D05B69" w:rsidRPr="0062097D">
        <w:t xml:space="preserve"> interval</w:t>
      </w:r>
    </w:p>
    <w:p w:rsidR="00D05B69" w:rsidRPr="0062097D" w:rsidRDefault="00D05B69" w:rsidP="00D05B69">
      <w:pPr>
        <w:pStyle w:val="TableNote"/>
      </w:pPr>
      <w:proofErr w:type="gramStart"/>
      <w:r w:rsidRPr="0062097D">
        <w:rPr>
          <w:vertAlign w:val="superscript"/>
        </w:rPr>
        <w:t>a</w:t>
      </w:r>
      <w:proofErr w:type="gramEnd"/>
      <w:r w:rsidRPr="0062097D">
        <w:t xml:space="preserve"> Cox regression model with time-dependent covariates. For the pre-eculizumab cohort, patients were censored at the time they first received eculizumab.</w:t>
      </w:r>
    </w:p>
    <w:p w:rsidR="00D05B69" w:rsidRPr="00092F60" w:rsidRDefault="00D05B69" w:rsidP="00D05B69">
      <w:pPr>
        <w:pStyle w:val="TableNote"/>
        <w:rPr>
          <w:sz w:val="20"/>
          <w:szCs w:val="20"/>
        </w:rPr>
      </w:pPr>
    </w:p>
    <w:p w:rsidR="00D05B69" w:rsidRPr="00EC5DFF" w:rsidRDefault="00D05B69" w:rsidP="00EC5DFF">
      <w:pPr>
        <w:pStyle w:val="Heading5"/>
      </w:pPr>
      <w:r w:rsidRPr="00EC5DFF">
        <w:t>Conclusion</w:t>
      </w:r>
    </w:p>
    <w:p w:rsidR="00D05B69" w:rsidRPr="00092F60" w:rsidRDefault="001B4E29" w:rsidP="00D05B69">
      <w:r>
        <w:t>The</w:t>
      </w:r>
      <w:r w:rsidR="00D05B69" w:rsidRPr="00092F60">
        <w:t xml:space="preserve"> comparative evidence </w:t>
      </w:r>
      <w:r>
        <w:t>wa</w:t>
      </w:r>
      <w:r w:rsidRPr="00092F60">
        <w:t xml:space="preserve">s minimal </w:t>
      </w:r>
      <w:r w:rsidR="00D05B69">
        <w:t>and on</w:t>
      </w:r>
      <w:r>
        <w:t>ly on</w:t>
      </w:r>
      <w:r w:rsidR="00D05B69">
        <w:t>e</w:t>
      </w:r>
      <w:r w:rsidR="00D05B69" w:rsidRPr="00092F60">
        <w:t xml:space="preserve"> case series</w:t>
      </w:r>
      <w:r w:rsidR="00D05B69">
        <w:t xml:space="preserve"> </w:t>
      </w:r>
      <w:r w:rsidR="00D05B69" w:rsidRPr="00092F60">
        <w:t>address</w:t>
      </w:r>
      <w:r>
        <w:t>ed</w:t>
      </w:r>
      <w:r w:rsidR="00D05B69" w:rsidRPr="00092F60">
        <w:t xml:space="preserve"> the effect of eculizumab on overall survival in patients with PNH</w:t>
      </w:r>
      <w:r>
        <w:t>. The available</w:t>
      </w:r>
      <w:r w:rsidR="00D05B69" w:rsidRPr="00092F60">
        <w:t xml:space="preserve"> evidence </w:t>
      </w:r>
      <w:r>
        <w:t>wa</w:t>
      </w:r>
      <w:r w:rsidR="00D05B69" w:rsidRPr="00092F60">
        <w:t xml:space="preserve">s of very low quality (GRADE </w:t>
      </w:r>
      <w:r w:rsidR="00D05B69" w:rsidRPr="005E6E1C">
        <w:rPr>
          <w:rFonts w:ascii="Cambria Math" w:hAnsi="Cambria Math" w:cs="Cambria Math"/>
          <w:color w:val="00B050"/>
          <w:sz w:val="22"/>
          <w:szCs w:val="22"/>
        </w:rPr>
        <w:t>⊕</w:t>
      </w:r>
      <w:r w:rsidR="00D05B69" w:rsidRPr="00D4733A">
        <w:rPr>
          <w:rFonts w:ascii="Cambria Math" w:hAnsi="Cambria Math" w:cs="Cambria Math"/>
          <w:color w:val="C00000"/>
          <w:sz w:val="22"/>
          <w:szCs w:val="22"/>
        </w:rPr>
        <w:t>⨀⨀⨀</w:t>
      </w:r>
      <w:r w:rsidR="00D05B69" w:rsidRPr="00092F60">
        <w:rPr>
          <w:rFonts w:ascii="Cambria Math" w:hAnsi="Cambria Math" w:cs="Cambria Math"/>
          <w:sz w:val="22"/>
          <w:szCs w:val="22"/>
        </w:rPr>
        <w:t>)</w:t>
      </w:r>
      <w:r w:rsidR="00D05B69" w:rsidRPr="00092F60">
        <w:t xml:space="preserve">. </w:t>
      </w:r>
    </w:p>
    <w:p w:rsidR="00092F60" w:rsidRPr="00092F60" w:rsidRDefault="00092F60" w:rsidP="00092F60"/>
    <w:p w:rsidR="00092F60" w:rsidRPr="00092F60" w:rsidRDefault="00092F60" w:rsidP="00EC5DFF">
      <w:pPr>
        <w:pStyle w:val="Heading5"/>
      </w:pPr>
      <w:r w:rsidRPr="00092F60">
        <w:t>Secondary effectiveness outcomes</w:t>
      </w:r>
    </w:p>
    <w:p w:rsidR="00092F60" w:rsidRPr="00092F60" w:rsidRDefault="00092F60" w:rsidP="00092F60">
      <w:r w:rsidRPr="00092F60">
        <w:t xml:space="preserve">The highest level of evidence for the secondary effectiveness outcomes, as specified in the </w:t>
      </w:r>
      <w:r w:rsidR="00D05B69">
        <w:t>study eligibility criteria</w:t>
      </w:r>
      <w:r w:rsidRPr="00092F60">
        <w:t xml:space="preserve">, was the TRIUMPH trial </w:t>
      </w:r>
      <w:r w:rsidR="00A130D0">
        <w:rPr>
          <w:noProof/>
        </w:rPr>
        <w:t>(</w:t>
      </w:r>
      <w:r w:rsidR="00184B6F">
        <w:rPr>
          <w:noProof/>
        </w:rPr>
        <w:t>Hillmen et al. 2006</w:t>
      </w:r>
      <w:r w:rsidR="00A130D0">
        <w:rPr>
          <w:noProof/>
        </w:rPr>
        <w:t>)</w:t>
      </w:r>
      <w:r w:rsidRPr="00092F60">
        <w:t xml:space="preserve"> and the associated extension study </w:t>
      </w:r>
      <w:r w:rsidR="00A130D0">
        <w:rPr>
          <w:noProof/>
        </w:rPr>
        <w:t>(</w:t>
      </w:r>
      <w:r w:rsidR="00184B6F">
        <w:rPr>
          <w:noProof/>
        </w:rPr>
        <w:t>Hillmen et al. 2010</w:t>
      </w:r>
      <w:r w:rsidR="00A130D0">
        <w:rPr>
          <w:noProof/>
        </w:rPr>
        <w:t xml:space="preserve">; </w:t>
      </w:r>
      <w:r w:rsidR="00184B6F">
        <w:rPr>
          <w:noProof/>
        </w:rPr>
        <w:t>Hillmen et al. 2007</w:t>
      </w:r>
      <w:r w:rsidR="00A130D0">
        <w:rPr>
          <w:noProof/>
        </w:rPr>
        <w:t xml:space="preserve">; </w:t>
      </w:r>
      <w:r w:rsidR="00184B6F">
        <w:rPr>
          <w:noProof/>
        </w:rPr>
        <w:t>Hillmen et al. 2013</w:t>
      </w:r>
      <w:r w:rsidR="00A130D0">
        <w:rPr>
          <w:noProof/>
        </w:rPr>
        <w:t>)</w:t>
      </w:r>
      <w:r w:rsidRPr="00092F60">
        <w:t xml:space="preserve">. </w:t>
      </w:r>
    </w:p>
    <w:p w:rsidR="00092F60" w:rsidRPr="00EC5DFF" w:rsidRDefault="00092F60" w:rsidP="00EC5DFF">
      <w:pPr>
        <w:pStyle w:val="Heading5"/>
      </w:pPr>
      <w:r w:rsidRPr="00EC5DFF">
        <w:t>Transfusion requirements</w:t>
      </w:r>
    </w:p>
    <w:p w:rsidR="00092F60" w:rsidRPr="00092F60" w:rsidRDefault="00092F60" w:rsidP="00092F60">
      <w:r w:rsidRPr="00092F60">
        <w:t xml:space="preserve">In the TRIUMPH trial </w:t>
      </w:r>
      <w:r w:rsidR="00A130D0">
        <w:rPr>
          <w:noProof/>
        </w:rPr>
        <w:t>(</w:t>
      </w:r>
      <w:r w:rsidR="00184B6F">
        <w:rPr>
          <w:noProof/>
        </w:rPr>
        <w:t>Hillmen et al. 2006</w:t>
      </w:r>
      <w:r w:rsidR="00A130D0">
        <w:rPr>
          <w:noProof/>
        </w:rPr>
        <w:t>)</w:t>
      </w:r>
      <w:r w:rsidRPr="00092F60">
        <w:t>, the effect of eculizumab treatment on transfusion requirements, defined as the number of units of packed RBCs transfused during the 26-week treatment period, was reported as a primary outcome, while the proportion of patients who were transfusion independent over the duration of the trial was a prespecified secondary outcome. The trigger for the administration of transfusions was pre-specified: patients received transfusions when they had symptoms resulting from anaemia and their haemoglobin levels reached the individualised, predetermined set point</w:t>
      </w:r>
      <w:r w:rsidRPr="00092F60">
        <w:rPr>
          <w:vertAlign w:val="superscript"/>
        </w:rPr>
        <w:footnoteReference w:id="20"/>
      </w:r>
      <w:r w:rsidRPr="00092F60">
        <w:t xml:space="preserve">. As outlined above, patients were only eligible for enrolment in this trial if they had received at least four packed RBC transfusions during the previous 12 months; as a result, these patients may, on average, have more severe disease than the Australian patient population. Results of these analyses are summarised in </w:t>
      </w:r>
      <w:r w:rsidR="00A72B26" w:rsidRPr="006A71AB">
        <w:t xml:space="preserve">Table </w:t>
      </w:r>
      <w:r w:rsidR="00A72B26">
        <w:rPr>
          <w:noProof/>
        </w:rPr>
        <w:t>121</w:t>
      </w:r>
      <w:r w:rsidRPr="00092F60">
        <w:t>.</w:t>
      </w:r>
    </w:p>
    <w:p w:rsidR="00092F60" w:rsidRPr="00092F60" w:rsidRDefault="00092F60" w:rsidP="00092F60">
      <w:r w:rsidRPr="00092F60">
        <w:lastRenderedPageBreak/>
        <w:t xml:space="preserve">Patients receiving eculizumab required significantly fewer units of packed RBCs per patient over the 26-week treatment period than those in the placebo group (median 0 units versus 10 units, p&lt;0.001). This significant reduction in transfusion requirements was evident across all strata of baseline transfusion requirement </w:t>
      </w:r>
      <w:r w:rsidR="00A130D0">
        <w:rPr>
          <w:noProof/>
        </w:rPr>
        <w:t>(</w:t>
      </w:r>
      <w:r w:rsidR="00184B6F">
        <w:rPr>
          <w:noProof/>
        </w:rPr>
        <w:t>Dmytrijuk et al. 2008</w:t>
      </w:r>
      <w:r w:rsidR="00A130D0">
        <w:rPr>
          <w:noProof/>
        </w:rPr>
        <w:t>)</w:t>
      </w:r>
      <w:r w:rsidRPr="00092F60">
        <w:t>. Fifty-one percent (22/43) of patients in the eculizumab group did not require a transfusion over the 26-week treatment period, compared with 0% in the placebo group. A reduction in transfusion requirements of this magnitude is likely to be clinically relevant.</w:t>
      </w:r>
    </w:p>
    <w:p w:rsidR="00092F60" w:rsidRPr="00E965BD" w:rsidRDefault="00092F60" w:rsidP="00F44176">
      <w:pPr>
        <w:pStyle w:val="Caption"/>
        <w:keepNext/>
        <w:tabs>
          <w:tab w:val="clear" w:pos="851"/>
          <w:tab w:val="left" w:pos="1134"/>
        </w:tabs>
        <w:ind w:left="1134" w:hanging="1134"/>
        <w:rPr>
          <w:bCs w:val="0"/>
        </w:rPr>
      </w:pPr>
      <w:bookmarkStart w:id="458" w:name="_Ref400971333"/>
      <w:bookmarkStart w:id="459" w:name="_Toc411510485"/>
      <w:bookmarkStart w:id="460" w:name="_Toc415141918"/>
      <w:r w:rsidRPr="006A71AB">
        <w:t xml:space="preserve">Table </w:t>
      </w:r>
      <w:r w:rsidR="00A72B26">
        <w:rPr>
          <w:noProof/>
        </w:rPr>
        <w:t>121</w:t>
      </w:r>
      <w:bookmarkEnd w:id="458"/>
      <w:r w:rsidRPr="006A71AB">
        <w:tab/>
        <w:t>Effectiveness of eculizumab on transfusion requirements in the TRIUMPH trial</w:t>
      </w:r>
      <w:bookmarkEnd w:id="459"/>
      <w:bookmarkEnd w:id="460"/>
    </w:p>
    <w:tbl>
      <w:tblPr>
        <w:tblStyle w:val="TableGrid"/>
        <w:tblW w:w="5000" w:type="pct"/>
        <w:tblCellMar>
          <w:left w:w="85" w:type="dxa"/>
          <w:right w:w="0" w:type="dxa"/>
        </w:tblCellMar>
        <w:tblLook w:val="04A0" w:firstRow="1" w:lastRow="0" w:firstColumn="1" w:lastColumn="0" w:noHBand="0" w:noVBand="1"/>
        <w:tblCaption w:val="Table 87 Effectiveness of eculizumab on transfusion requirements in the TRIUMPH trial"/>
      </w:tblPr>
      <w:tblGrid>
        <w:gridCol w:w="4256"/>
        <w:gridCol w:w="1754"/>
        <w:gridCol w:w="1748"/>
        <w:gridCol w:w="1358"/>
      </w:tblGrid>
      <w:tr w:rsidR="00092F60" w:rsidRPr="00092F60" w:rsidTr="009A0365">
        <w:trPr>
          <w:tblHeader/>
        </w:trPr>
        <w:tc>
          <w:tcPr>
            <w:tcW w:w="2334" w:type="pct"/>
            <w:tcBorders>
              <w:bottom w:val="single" w:sz="4" w:space="0" w:color="000000"/>
            </w:tcBorders>
          </w:tcPr>
          <w:p w:rsidR="00092F60" w:rsidRPr="00092F60" w:rsidRDefault="005F0D3E" w:rsidP="00DF2B2A">
            <w:pPr>
              <w:pStyle w:val="TableHeading"/>
            </w:pPr>
            <w:r>
              <w:t>Outcome</w:t>
            </w:r>
          </w:p>
        </w:tc>
        <w:tc>
          <w:tcPr>
            <w:tcW w:w="962" w:type="pct"/>
            <w:tcBorders>
              <w:bottom w:val="single" w:sz="4" w:space="0" w:color="000000"/>
            </w:tcBorders>
          </w:tcPr>
          <w:p w:rsidR="00092F60" w:rsidRPr="00092F60" w:rsidRDefault="00092F60" w:rsidP="00DF2B2A">
            <w:pPr>
              <w:pStyle w:val="TableHeading"/>
            </w:pPr>
            <w:r w:rsidRPr="00092F60">
              <w:t>Eculizumab (n</w:t>
            </w:r>
            <w:r w:rsidR="00652355" w:rsidRPr="00652355">
              <w:rPr>
                <w:spacing w:val="-20"/>
              </w:rPr>
              <w:t xml:space="preserve"> = </w:t>
            </w:r>
            <w:r w:rsidRPr="00092F60">
              <w:t>43)</w:t>
            </w:r>
          </w:p>
        </w:tc>
        <w:tc>
          <w:tcPr>
            <w:tcW w:w="959" w:type="pct"/>
            <w:tcBorders>
              <w:bottom w:val="single" w:sz="4" w:space="0" w:color="000000"/>
            </w:tcBorders>
          </w:tcPr>
          <w:p w:rsidR="00092F60" w:rsidRPr="00092F60" w:rsidRDefault="00092F60" w:rsidP="00DF2B2A">
            <w:pPr>
              <w:pStyle w:val="TableHeading"/>
            </w:pPr>
            <w:r w:rsidRPr="00092F60">
              <w:t>Placebo (n</w:t>
            </w:r>
            <w:r w:rsidR="00652355" w:rsidRPr="00652355">
              <w:rPr>
                <w:spacing w:val="-20"/>
              </w:rPr>
              <w:t xml:space="preserve"> = </w:t>
            </w:r>
            <w:r w:rsidRPr="00092F60">
              <w:t>44)</w:t>
            </w:r>
          </w:p>
        </w:tc>
        <w:tc>
          <w:tcPr>
            <w:tcW w:w="745" w:type="pct"/>
            <w:tcBorders>
              <w:bottom w:val="single" w:sz="4" w:space="0" w:color="000000"/>
            </w:tcBorders>
          </w:tcPr>
          <w:p w:rsidR="00092F60" w:rsidRPr="00092F60" w:rsidRDefault="00092F60" w:rsidP="00DF2B2A">
            <w:pPr>
              <w:pStyle w:val="TableHeading"/>
            </w:pPr>
            <w:r w:rsidRPr="00092F60">
              <w:t>P-value</w:t>
            </w:r>
          </w:p>
        </w:tc>
      </w:tr>
      <w:tr w:rsidR="00092F60" w:rsidRPr="00092F60" w:rsidTr="00092F60">
        <w:tc>
          <w:tcPr>
            <w:tcW w:w="2334" w:type="pct"/>
            <w:tcBorders>
              <w:bottom w:val="dotted" w:sz="4" w:space="0" w:color="auto"/>
            </w:tcBorders>
          </w:tcPr>
          <w:p w:rsidR="00092F60" w:rsidRPr="00092F60" w:rsidRDefault="00092F60" w:rsidP="00D05B69">
            <w:pPr>
              <w:pStyle w:val="TableHeading"/>
              <w:rPr>
                <w:vertAlign w:val="superscript"/>
              </w:rPr>
            </w:pPr>
            <w:r w:rsidRPr="00092F60">
              <w:t>Transfusion requirements, units of packed RBCs</w:t>
            </w:r>
          </w:p>
        </w:tc>
        <w:tc>
          <w:tcPr>
            <w:tcW w:w="962" w:type="pct"/>
            <w:tcBorders>
              <w:bottom w:val="dotted" w:sz="4" w:space="0" w:color="auto"/>
            </w:tcBorders>
          </w:tcPr>
          <w:p w:rsidR="00092F60" w:rsidRPr="00092F60" w:rsidRDefault="00092F60" w:rsidP="00DF2B2A">
            <w:pPr>
              <w:pStyle w:val="TableText0"/>
            </w:pPr>
          </w:p>
        </w:tc>
        <w:tc>
          <w:tcPr>
            <w:tcW w:w="959" w:type="pct"/>
            <w:tcBorders>
              <w:bottom w:val="dotted" w:sz="4" w:space="0" w:color="auto"/>
            </w:tcBorders>
          </w:tcPr>
          <w:p w:rsidR="00092F60" w:rsidRPr="00092F60" w:rsidRDefault="00092F60" w:rsidP="00DF2B2A">
            <w:pPr>
              <w:pStyle w:val="TableText0"/>
            </w:pPr>
          </w:p>
        </w:tc>
        <w:tc>
          <w:tcPr>
            <w:tcW w:w="745" w:type="pct"/>
            <w:tcBorders>
              <w:bottom w:val="dotted" w:sz="4" w:space="0" w:color="auto"/>
            </w:tcBorders>
          </w:tcPr>
          <w:p w:rsidR="00092F60" w:rsidRPr="00092F60" w:rsidRDefault="00092F60" w:rsidP="00DF2B2A">
            <w:pPr>
              <w:pStyle w:val="TableText0"/>
            </w:pPr>
          </w:p>
        </w:tc>
      </w:tr>
      <w:tr w:rsidR="00092F60" w:rsidRPr="00092F60" w:rsidTr="00092F60">
        <w:tc>
          <w:tcPr>
            <w:tcW w:w="2334" w:type="pct"/>
            <w:tcBorders>
              <w:bottom w:val="dotted" w:sz="4" w:space="0" w:color="auto"/>
            </w:tcBorders>
          </w:tcPr>
          <w:p w:rsidR="00092F60" w:rsidRPr="00092F60" w:rsidRDefault="00092F60" w:rsidP="00D05B69">
            <w:pPr>
              <w:pStyle w:val="TableHeading"/>
              <w:rPr>
                <w:vertAlign w:val="superscript"/>
              </w:rPr>
            </w:pPr>
            <w:r w:rsidRPr="00092F60">
              <w:t>Before treatment</w:t>
            </w:r>
            <w:r w:rsidRPr="00092F60">
              <w:rPr>
                <w:vertAlign w:val="superscript"/>
              </w:rPr>
              <w:t>a</w:t>
            </w:r>
          </w:p>
        </w:tc>
        <w:tc>
          <w:tcPr>
            <w:tcW w:w="962" w:type="pct"/>
            <w:tcBorders>
              <w:bottom w:val="dotted" w:sz="4" w:space="0" w:color="auto"/>
            </w:tcBorders>
          </w:tcPr>
          <w:p w:rsidR="00092F60" w:rsidRPr="00092F60" w:rsidRDefault="00092F60" w:rsidP="00DF2B2A">
            <w:pPr>
              <w:pStyle w:val="TableText0"/>
            </w:pPr>
          </w:p>
        </w:tc>
        <w:tc>
          <w:tcPr>
            <w:tcW w:w="959" w:type="pct"/>
            <w:tcBorders>
              <w:bottom w:val="dotted" w:sz="4" w:space="0" w:color="auto"/>
            </w:tcBorders>
          </w:tcPr>
          <w:p w:rsidR="00092F60" w:rsidRPr="00092F60" w:rsidRDefault="00092F60" w:rsidP="00DF2B2A">
            <w:pPr>
              <w:pStyle w:val="TableText0"/>
            </w:pPr>
          </w:p>
        </w:tc>
        <w:tc>
          <w:tcPr>
            <w:tcW w:w="745" w:type="pct"/>
            <w:tcBorders>
              <w:bottom w:val="dotted" w:sz="4" w:space="0" w:color="auto"/>
            </w:tcBorders>
          </w:tcPr>
          <w:p w:rsidR="00092F60" w:rsidRPr="00092F60" w:rsidRDefault="00092F60" w:rsidP="00DF2B2A">
            <w:pPr>
              <w:pStyle w:val="TableText0"/>
            </w:pPr>
          </w:p>
        </w:tc>
      </w:tr>
      <w:tr w:rsidR="00092F60" w:rsidRPr="00092F60" w:rsidTr="00092F60">
        <w:tc>
          <w:tcPr>
            <w:tcW w:w="2334" w:type="pct"/>
            <w:tcBorders>
              <w:top w:val="nil"/>
              <w:bottom w:val="dotted" w:sz="4" w:space="0" w:color="auto"/>
            </w:tcBorders>
          </w:tcPr>
          <w:p w:rsidR="00092F60" w:rsidRPr="00092F60" w:rsidRDefault="00092F60" w:rsidP="00DF2B2A">
            <w:pPr>
              <w:pStyle w:val="TableText0"/>
            </w:pPr>
            <w:r w:rsidRPr="00092F60">
              <w:t>Median (interquartile range)</w:t>
            </w:r>
          </w:p>
          <w:p w:rsidR="00092F60" w:rsidRPr="00092F60" w:rsidRDefault="00092F60" w:rsidP="00DF2B2A">
            <w:pPr>
              <w:pStyle w:val="TableText0"/>
            </w:pPr>
            <w:r w:rsidRPr="00092F60">
              <w:t>Mean (SE)</w:t>
            </w:r>
          </w:p>
        </w:tc>
        <w:tc>
          <w:tcPr>
            <w:tcW w:w="962" w:type="pct"/>
            <w:tcBorders>
              <w:top w:val="nil"/>
              <w:bottom w:val="dotted" w:sz="4" w:space="0" w:color="auto"/>
            </w:tcBorders>
          </w:tcPr>
          <w:p w:rsidR="00092F60" w:rsidRPr="00092F60" w:rsidRDefault="00092F60" w:rsidP="00DF2B2A">
            <w:pPr>
              <w:pStyle w:val="TableText0"/>
            </w:pPr>
            <w:r w:rsidRPr="00092F60">
              <w:t>9.0 (6-12)</w:t>
            </w:r>
          </w:p>
          <w:p w:rsidR="00092F60" w:rsidRPr="00092F60" w:rsidRDefault="00092F60" w:rsidP="00DF2B2A">
            <w:pPr>
              <w:pStyle w:val="TableText0"/>
            </w:pPr>
            <w:r w:rsidRPr="00092F60">
              <w:t>9.6 (0.6)</w:t>
            </w:r>
          </w:p>
        </w:tc>
        <w:tc>
          <w:tcPr>
            <w:tcW w:w="959" w:type="pct"/>
            <w:tcBorders>
              <w:top w:val="nil"/>
              <w:bottom w:val="dotted" w:sz="4" w:space="0" w:color="auto"/>
            </w:tcBorders>
          </w:tcPr>
          <w:p w:rsidR="00092F60" w:rsidRPr="00092F60" w:rsidRDefault="00092F60" w:rsidP="00DF2B2A">
            <w:pPr>
              <w:pStyle w:val="TableText0"/>
            </w:pPr>
            <w:r w:rsidRPr="00092F60">
              <w:t>8.5 (7-12.5)</w:t>
            </w:r>
          </w:p>
          <w:p w:rsidR="00092F60" w:rsidRPr="00092F60" w:rsidRDefault="00092F60" w:rsidP="00DF2B2A">
            <w:pPr>
              <w:pStyle w:val="TableText0"/>
            </w:pPr>
            <w:r w:rsidRPr="00092F60">
              <w:t>9.7 (0.7)</w:t>
            </w:r>
          </w:p>
        </w:tc>
        <w:tc>
          <w:tcPr>
            <w:tcW w:w="745" w:type="pct"/>
            <w:tcBorders>
              <w:top w:val="nil"/>
              <w:bottom w:val="dotted" w:sz="4" w:space="0" w:color="auto"/>
            </w:tcBorders>
          </w:tcPr>
          <w:p w:rsidR="00092F60" w:rsidRPr="00092F60" w:rsidRDefault="00092F60" w:rsidP="00DF2B2A">
            <w:pPr>
              <w:pStyle w:val="TableText0"/>
              <w:rPr>
                <w:vertAlign w:val="superscript"/>
              </w:rPr>
            </w:pPr>
          </w:p>
        </w:tc>
      </w:tr>
      <w:tr w:rsidR="00092F60" w:rsidRPr="00092F60" w:rsidTr="00092F60">
        <w:tc>
          <w:tcPr>
            <w:tcW w:w="2334" w:type="pct"/>
            <w:tcBorders>
              <w:bottom w:val="dotted" w:sz="4" w:space="0" w:color="auto"/>
            </w:tcBorders>
          </w:tcPr>
          <w:p w:rsidR="00092F60" w:rsidRPr="00092F60" w:rsidRDefault="00092F60" w:rsidP="00D05B69">
            <w:pPr>
              <w:pStyle w:val="TableHeading"/>
            </w:pPr>
            <w:r w:rsidRPr="00092F60">
              <w:t>During treatment</w:t>
            </w:r>
          </w:p>
        </w:tc>
        <w:tc>
          <w:tcPr>
            <w:tcW w:w="962" w:type="pct"/>
            <w:tcBorders>
              <w:bottom w:val="dotted" w:sz="4" w:space="0" w:color="auto"/>
            </w:tcBorders>
          </w:tcPr>
          <w:p w:rsidR="00092F60" w:rsidRPr="00092F60" w:rsidRDefault="00092F60" w:rsidP="00DF2B2A">
            <w:pPr>
              <w:pStyle w:val="TableText0"/>
            </w:pPr>
          </w:p>
        </w:tc>
        <w:tc>
          <w:tcPr>
            <w:tcW w:w="959" w:type="pct"/>
            <w:tcBorders>
              <w:bottom w:val="dotted" w:sz="4" w:space="0" w:color="auto"/>
            </w:tcBorders>
          </w:tcPr>
          <w:p w:rsidR="00092F60" w:rsidRPr="00092F60" w:rsidRDefault="00092F60" w:rsidP="00DF2B2A">
            <w:pPr>
              <w:pStyle w:val="TableText0"/>
            </w:pPr>
          </w:p>
        </w:tc>
        <w:tc>
          <w:tcPr>
            <w:tcW w:w="745" w:type="pct"/>
            <w:tcBorders>
              <w:bottom w:val="dotted" w:sz="4" w:space="0" w:color="auto"/>
            </w:tcBorders>
          </w:tcPr>
          <w:p w:rsidR="00092F60" w:rsidRPr="00092F60" w:rsidRDefault="00092F60" w:rsidP="00DF2B2A">
            <w:pPr>
              <w:pStyle w:val="TableText0"/>
            </w:pPr>
          </w:p>
        </w:tc>
      </w:tr>
      <w:tr w:rsidR="00092F60" w:rsidRPr="00092F60" w:rsidTr="00092F60">
        <w:tc>
          <w:tcPr>
            <w:tcW w:w="2334" w:type="pct"/>
            <w:tcBorders>
              <w:top w:val="nil"/>
              <w:bottom w:val="dotted" w:sz="4" w:space="0" w:color="auto"/>
            </w:tcBorders>
          </w:tcPr>
          <w:p w:rsidR="00092F60" w:rsidRPr="00092F60" w:rsidRDefault="00092F60" w:rsidP="00DF2B2A">
            <w:pPr>
              <w:pStyle w:val="TableText0"/>
            </w:pPr>
            <w:r w:rsidRPr="00092F60">
              <w:t>Median (interquartile range)</w:t>
            </w:r>
          </w:p>
          <w:p w:rsidR="00092F60" w:rsidRPr="00092F60" w:rsidRDefault="00092F60" w:rsidP="00DF2B2A">
            <w:pPr>
              <w:pStyle w:val="TableText0"/>
            </w:pPr>
            <w:r w:rsidRPr="00092F60">
              <w:t>Mean (SE)</w:t>
            </w:r>
          </w:p>
        </w:tc>
        <w:tc>
          <w:tcPr>
            <w:tcW w:w="962" w:type="pct"/>
            <w:tcBorders>
              <w:top w:val="nil"/>
              <w:bottom w:val="dotted" w:sz="4" w:space="0" w:color="auto"/>
            </w:tcBorders>
          </w:tcPr>
          <w:p w:rsidR="00092F60" w:rsidRPr="00092F60" w:rsidRDefault="00092F60" w:rsidP="00DF2B2A">
            <w:pPr>
              <w:pStyle w:val="TableText0"/>
            </w:pPr>
            <w:r w:rsidRPr="00092F60">
              <w:t>0 (0-6)</w:t>
            </w:r>
          </w:p>
          <w:p w:rsidR="00092F60" w:rsidRPr="00092F60" w:rsidRDefault="00092F60" w:rsidP="00DF2B2A">
            <w:pPr>
              <w:pStyle w:val="TableText0"/>
            </w:pPr>
            <w:r w:rsidRPr="00092F60">
              <w:t>3.0 (0.7)</w:t>
            </w:r>
          </w:p>
        </w:tc>
        <w:tc>
          <w:tcPr>
            <w:tcW w:w="959" w:type="pct"/>
            <w:tcBorders>
              <w:top w:val="nil"/>
              <w:bottom w:val="dotted" w:sz="4" w:space="0" w:color="auto"/>
            </w:tcBorders>
          </w:tcPr>
          <w:p w:rsidR="00092F60" w:rsidRPr="00092F60" w:rsidRDefault="00092F60" w:rsidP="00DF2B2A">
            <w:pPr>
              <w:pStyle w:val="TableText0"/>
            </w:pPr>
            <w:r w:rsidRPr="00092F60">
              <w:t>10 (6-16)</w:t>
            </w:r>
          </w:p>
          <w:p w:rsidR="00092F60" w:rsidRPr="00092F60" w:rsidRDefault="00092F60" w:rsidP="00DF2B2A">
            <w:pPr>
              <w:pStyle w:val="TableText0"/>
            </w:pPr>
            <w:r w:rsidRPr="00092F60">
              <w:t>11.0 (0.8)</w:t>
            </w:r>
          </w:p>
        </w:tc>
        <w:tc>
          <w:tcPr>
            <w:tcW w:w="745" w:type="pct"/>
            <w:tcBorders>
              <w:top w:val="nil"/>
              <w:bottom w:val="dotted" w:sz="4" w:space="0" w:color="auto"/>
            </w:tcBorders>
          </w:tcPr>
          <w:p w:rsidR="00092F60" w:rsidRPr="00092F60" w:rsidRDefault="00092F60" w:rsidP="00DF2B2A">
            <w:pPr>
              <w:pStyle w:val="TableText0"/>
              <w:rPr>
                <w:vertAlign w:val="superscript"/>
              </w:rPr>
            </w:pPr>
            <w:r w:rsidRPr="00092F60">
              <w:t>&lt;0.001</w:t>
            </w:r>
            <w:r w:rsidRPr="00092F60">
              <w:rPr>
                <w:vertAlign w:val="superscript"/>
              </w:rPr>
              <w:t>b</w:t>
            </w:r>
          </w:p>
        </w:tc>
      </w:tr>
      <w:tr w:rsidR="00092F60" w:rsidRPr="00092F60" w:rsidTr="00092F60">
        <w:tc>
          <w:tcPr>
            <w:tcW w:w="2334" w:type="pct"/>
            <w:tcBorders>
              <w:top w:val="dotted" w:sz="4" w:space="0" w:color="auto"/>
              <w:bottom w:val="nil"/>
            </w:tcBorders>
          </w:tcPr>
          <w:p w:rsidR="00092F60" w:rsidRPr="00092F60" w:rsidRDefault="00092F60" w:rsidP="00D05B69">
            <w:pPr>
              <w:pStyle w:val="TableHeading"/>
              <w:rPr>
                <w:vertAlign w:val="superscript"/>
              </w:rPr>
            </w:pPr>
            <w:r w:rsidRPr="00092F60">
              <w:t>Stratified by baseline transfusion requirement, median</w:t>
            </w:r>
            <w:r w:rsidRPr="00092F60">
              <w:rPr>
                <w:vertAlign w:val="superscript"/>
              </w:rPr>
              <w:t>c</w:t>
            </w:r>
          </w:p>
        </w:tc>
        <w:tc>
          <w:tcPr>
            <w:tcW w:w="962" w:type="pct"/>
            <w:tcBorders>
              <w:top w:val="dotted" w:sz="4" w:space="0" w:color="auto"/>
              <w:bottom w:val="nil"/>
            </w:tcBorders>
          </w:tcPr>
          <w:p w:rsidR="00092F60" w:rsidRPr="00092F60" w:rsidRDefault="00092F60" w:rsidP="00DF2B2A">
            <w:pPr>
              <w:pStyle w:val="TableText0"/>
            </w:pPr>
          </w:p>
        </w:tc>
        <w:tc>
          <w:tcPr>
            <w:tcW w:w="959" w:type="pct"/>
            <w:tcBorders>
              <w:top w:val="dotted" w:sz="4" w:space="0" w:color="auto"/>
              <w:bottom w:val="nil"/>
            </w:tcBorders>
          </w:tcPr>
          <w:p w:rsidR="00092F60" w:rsidRPr="00092F60" w:rsidRDefault="00092F60" w:rsidP="00DF2B2A">
            <w:pPr>
              <w:pStyle w:val="TableText0"/>
            </w:pPr>
          </w:p>
        </w:tc>
        <w:tc>
          <w:tcPr>
            <w:tcW w:w="745" w:type="pct"/>
            <w:tcBorders>
              <w:top w:val="dotted" w:sz="4" w:space="0" w:color="auto"/>
              <w:bottom w:val="nil"/>
            </w:tcBorders>
          </w:tcPr>
          <w:p w:rsidR="00092F60" w:rsidRPr="00092F60" w:rsidRDefault="00092F60" w:rsidP="00DF2B2A">
            <w:pPr>
              <w:pStyle w:val="TableText0"/>
            </w:pPr>
          </w:p>
        </w:tc>
      </w:tr>
      <w:tr w:rsidR="00092F60" w:rsidRPr="00092F60" w:rsidTr="00092F60">
        <w:tc>
          <w:tcPr>
            <w:tcW w:w="2334" w:type="pct"/>
            <w:tcBorders>
              <w:top w:val="nil"/>
            </w:tcBorders>
          </w:tcPr>
          <w:p w:rsidR="00092F60" w:rsidRPr="00092F60" w:rsidRDefault="00092F60" w:rsidP="00DF2B2A">
            <w:pPr>
              <w:pStyle w:val="TableText0"/>
            </w:pPr>
            <w:r w:rsidRPr="00092F60">
              <w:t>4-14 units</w:t>
            </w:r>
          </w:p>
          <w:p w:rsidR="00092F60" w:rsidRPr="00092F60" w:rsidRDefault="00092F60" w:rsidP="00DF2B2A">
            <w:pPr>
              <w:pStyle w:val="TableText0"/>
            </w:pPr>
            <w:r w:rsidRPr="00092F60">
              <w:t>15-25 units</w:t>
            </w:r>
          </w:p>
          <w:p w:rsidR="00092F60" w:rsidRPr="00092F60" w:rsidRDefault="00092F60" w:rsidP="00DF2B2A">
            <w:pPr>
              <w:pStyle w:val="TableText0"/>
            </w:pPr>
            <w:r w:rsidRPr="00092F60">
              <w:t>&gt;25 units</w:t>
            </w:r>
          </w:p>
        </w:tc>
        <w:tc>
          <w:tcPr>
            <w:tcW w:w="962" w:type="pct"/>
            <w:tcBorders>
              <w:top w:val="nil"/>
            </w:tcBorders>
          </w:tcPr>
          <w:p w:rsidR="00092F60" w:rsidRPr="00092F60" w:rsidRDefault="00092F60" w:rsidP="00DF2B2A">
            <w:pPr>
              <w:pStyle w:val="TableText0"/>
            </w:pPr>
            <w:r w:rsidRPr="00092F60">
              <w:t>0.0</w:t>
            </w:r>
          </w:p>
          <w:p w:rsidR="00092F60" w:rsidRPr="00092F60" w:rsidRDefault="00092F60" w:rsidP="00DF2B2A">
            <w:pPr>
              <w:pStyle w:val="TableText0"/>
            </w:pPr>
            <w:r w:rsidRPr="00092F60">
              <w:t>2.0</w:t>
            </w:r>
          </w:p>
          <w:p w:rsidR="00092F60" w:rsidRPr="00092F60" w:rsidRDefault="00092F60" w:rsidP="00DF2B2A">
            <w:pPr>
              <w:pStyle w:val="TableText0"/>
            </w:pPr>
            <w:r w:rsidRPr="00092F60">
              <w:t>3.0</w:t>
            </w:r>
          </w:p>
        </w:tc>
        <w:tc>
          <w:tcPr>
            <w:tcW w:w="959" w:type="pct"/>
            <w:tcBorders>
              <w:top w:val="nil"/>
            </w:tcBorders>
          </w:tcPr>
          <w:p w:rsidR="00092F60" w:rsidRPr="00092F60" w:rsidRDefault="00092F60" w:rsidP="00DF2B2A">
            <w:pPr>
              <w:pStyle w:val="TableText0"/>
            </w:pPr>
            <w:r w:rsidRPr="00092F60">
              <w:t>6.0</w:t>
            </w:r>
          </w:p>
          <w:p w:rsidR="00092F60" w:rsidRPr="00092F60" w:rsidRDefault="00092F60" w:rsidP="00DF2B2A">
            <w:pPr>
              <w:pStyle w:val="TableText0"/>
            </w:pPr>
            <w:r w:rsidRPr="00092F60">
              <w:t>10.0</w:t>
            </w:r>
          </w:p>
          <w:p w:rsidR="00092F60" w:rsidRPr="00092F60" w:rsidRDefault="00092F60" w:rsidP="00DF2B2A">
            <w:pPr>
              <w:pStyle w:val="TableText0"/>
            </w:pPr>
            <w:r w:rsidRPr="00092F60">
              <w:t>18.0</w:t>
            </w:r>
          </w:p>
        </w:tc>
        <w:tc>
          <w:tcPr>
            <w:tcW w:w="745" w:type="pct"/>
            <w:tcBorders>
              <w:top w:val="nil"/>
            </w:tcBorders>
          </w:tcPr>
          <w:p w:rsidR="00092F60" w:rsidRPr="00092F60" w:rsidRDefault="00092F60" w:rsidP="00DF2B2A">
            <w:pPr>
              <w:pStyle w:val="TableText0"/>
            </w:pPr>
            <w:r w:rsidRPr="00092F60">
              <w:t>&lt;0.0001</w:t>
            </w:r>
          </w:p>
          <w:p w:rsidR="00092F60" w:rsidRPr="00092F60" w:rsidRDefault="00092F60" w:rsidP="00DF2B2A">
            <w:pPr>
              <w:pStyle w:val="TableText0"/>
            </w:pPr>
            <w:r w:rsidRPr="00092F60">
              <w:t>0.0007</w:t>
            </w:r>
          </w:p>
          <w:p w:rsidR="00092F60" w:rsidRPr="00092F60" w:rsidRDefault="00092F60" w:rsidP="00DF2B2A">
            <w:pPr>
              <w:pStyle w:val="TableText0"/>
            </w:pPr>
            <w:r w:rsidRPr="00092F60">
              <w:t>0.0003</w:t>
            </w:r>
          </w:p>
        </w:tc>
      </w:tr>
      <w:tr w:rsidR="00092F60" w:rsidRPr="00092F60" w:rsidTr="00092F60">
        <w:tc>
          <w:tcPr>
            <w:tcW w:w="2334" w:type="pct"/>
          </w:tcPr>
          <w:p w:rsidR="00092F60" w:rsidRPr="00092F60" w:rsidRDefault="00092F60" w:rsidP="00D05B69">
            <w:pPr>
              <w:pStyle w:val="TableHeading"/>
            </w:pPr>
            <w:r w:rsidRPr="00092F60">
              <w:t>Transfusion independence, n (%)</w:t>
            </w:r>
          </w:p>
        </w:tc>
        <w:tc>
          <w:tcPr>
            <w:tcW w:w="962" w:type="pct"/>
          </w:tcPr>
          <w:p w:rsidR="00092F60" w:rsidRPr="00092F60" w:rsidRDefault="00092F60" w:rsidP="00DF2B2A">
            <w:pPr>
              <w:pStyle w:val="TableText0"/>
            </w:pPr>
            <w:r w:rsidRPr="00092F60">
              <w:t>22 (52.1)</w:t>
            </w:r>
          </w:p>
        </w:tc>
        <w:tc>
          <w:tcPr>
            <w:tcW w:w="959" w:type="pct"/>
          </w:tcPr>
          <w:p w:rsidR="00092F60" w:rsidRPr="00092F60" w:rsidRDefault="00092F60" w:rsidP="00DF2B2A">
            <w:pPr>
              <w:pStyle w:val="TableText0"/>
            </w:pPr>
            <w:r w:rsidRPr="00092F60">
              <w:t>0 (0.0)</w:t>
            </w:r>
          </w:p>
        </w:tc>
        <w:tc>
          <w:tcPr>
            <w:tcW w:w="745" w:type="pct"/>
          </w:tcPr>
          <w:p w:rsidR="00092F60" w:rsidRPr="00092F60" w:rsidRDefault="00092F60" w:rsidP="002D783E">
            <w:pPr>
              <w:pStyle w:val="TableText0"/>
              <w:rPr>
                <w:vertAlign w:val="superscript"/>
              </w:rPr>
            </w:pPr>
            <w:r w:rsidRPr="00092F60">
              <w:t>&lt;</w:t>
            </w:r>
            <w:r w:rsidR="00D8648C">
              <w:t>0.0001</w:t>
            </w:r>
            <w:r w:rsidRPr="00092F60">
              <w:rPr>
                <w:vertAlign w:val="superscript"/>
              </w:rPr>
              <w:t>d</w:t>
            </w:r>
          </w:p>
        </w:tc>
      </w:tr>
    </w:tbl>
    <w:p w:rsidR="00092F60" w:rsidRPr="0062097D" w:rsidRDefault="001B4E29" w:rsidP="00D05B69">
      <w:pPr>
        <w:pStyle w:val="TableNote"/>
      </w:pPr>
      <w:r w:rsidRPr="0062097D">
        <w:t xml:space="preserve">RBCs </w:t>
      </w:r>
      <w:r w:rsidRPr="00652355">
        <w:rPr>
          <w:spacing w:val="-20"/>
        </w:rPr>
        <w:t xml:space="preserve">= </w:t>
      </w:r>
      <w:r w:rsidRPr="0062097D">
        <w:t>red</w:t>
      </w:r>
      <w:r w:rsidR="00092F60" w:rsidRPr="0062097D">
        <w:t xml:space="preserve"> blood cells; </w:t>
      </w:r>
      <w:r w:rsidRPr="0062097D">
        <w:t xml:space="preserve">SE </w:t>
      </w:r>
      <w:r w:rsidRPr="00652355">
        <w:rPr>
          <w:spacing w:val="-20"/>
        </w:rPr>
        <w:t xml:space="preserve">= </w:t>
      </w:r>
      <w:r w:rsidRPr="0062097D">
        <w:t>standard</w:t>
      </w:r>
      <w:r w:rsidR="00092F60" w:rsidRPr="0062097D">
        <w:t xml:space="preserve"> error</w:t>
      </w:r>
    </w:p>
    <w:p w:rsidR="00092F60" w:rsidRPr="0062097D" w:rsidRDefault="00092F60" w:rsidP="00D05B69">
      <w:pPr>
        <w:pStyle w:val="TableNote"/>
      </w:pPr>
      <w:proofErr w:type="gramStart"/>
      <w:r w:rsidRPr="0062097D">
        <w:rPr>
          <w:vertAlign w:val="superscript"/>
        </w:rPr>
        <w:t>a</w:t>
      </w:r>
      <w:proofErr w:type="gramEnd"/>
      <w:r w:rsidRPr="0062097D">
        <w:rPr>
          <w:vertAlign w:val="superscript"/>
        </w:rPr>
        <w:t xml:space="preserve"> </w:t>
      </w:r>
      <w:r w:rsidRPr="0062097D">
        <w:t>Transfusion data were obtained during 12 months before treatment were normalised to a value equivalent to the value for a 6-month period</w:t>
      </w:r>
    </w:p>
    <w:p w:rsidR="00092F60" w:rsidRPr="0062097D" w:rsidRDefault="00092F60" w:rsidP="00D05B69">
      <w:pPr>
        <w:pStyle w:val="TableNote"/>
      </w:pPr>
      <w:proofErr w:type="gramStart"/>
      <w:r w:rsidRPr="0062097D">
        <w:rPr>
          <w:vertAlign w:val="superscript"/>
        </w:rPr>
        <w:t>b</w:t>
      </w:r>
      <w:proofErr w:type="gramEnd"/>
      <w:r w:rsidRPr="0062097D">
        <w:rPr>
          <w:vertAlign w:val="superscript"/>
        </w:rPr>
        <w:t xml:space="preserve"> </w:t>
      </w:r>
      <w:r w:rsidRPr="0062097D">
        <w:t>Comparison between treatment groups during</w:t>
      </w:r>
      <w:r w:rsidRPr="0062097D">
        <w:rPr>
          <w:vertAlign w:val="superscript"/>
        </w:rPr>
        <w:t xml:space="preserve"> </w:t>
      </w:r>
      <w:r w:rsidRPr="0062097D">
        <w:t>treatment, Wilcoxon rank-sum test</w:t>
      </w:r>
    </w:p>
    <w:p w:rsidR="00092F60" w:rsidRPr="0062097D" w:rsidRDefault="00092F60" w:rsidP="00D05B69">
      <w:pPr>
        <w:pStyle w:val="TableNote"/>
      </w:pPr>
      <w:proofErr w:type="gramStart"/>
      <w:r w:rsidRPr="0062097D">
        <w:rPr>
          <w:vertAlign w:val="superscript"/>
        </w:rPr>
        <w:t>c</w:t>
      </w:r>
      <w:proofErr w:type="gramEnd"/>
      <w:r w:rsidRPr="0062097D">
        <w:t xml:space="preserve"> Source: </w:t>
      </w:r>
      <w:r w:rsidR="00A130D0">
        <w:rPr>
          <w:noProof/>
        </w:rPr>
        <w:t>(</w:t>
      </w:r>
      <w:r w:rsidR="00184B6F">
        <w:rPr>
          <w:noProof/>
        </w:rPr>
        <w:t>Dmytrijuk et al. 2008</w:t>
      </w:r>
      <w:r w:rsidR="00A130D0">
        <w:rPr>
          <w:noProof/>
        </w:rPr>
        <w:t>)</w:t>
      </w:r>
    </w:p>
    <w:p w:rsidR="00092F60" w:rsidRPr="0062097D" w:rsidRDefault="00092F60" w:rsidP="00D05B69">
      <w:pPr>
        <w:pStyle w:val="TableNote"/>
      </w:pPr>
      <w:proofErr w:type="gramStart"/>
      <w:r w:rsidRPr="0062097D">
        <w:rPr>
          <w:vertAlign w:val="superscript"/>
        </w:rPr>
        <w:t>d</w:t>
      </w:r>
      <w:proofErr w:type="gramEnd"/>
      <w:r w:rsidRPr="0062097D">
        <w:t xml:space="preserve"> Comparison between treatment groups during</w:t>
      </w:r>
      <w:r w:rsidRPr="0062097D">
        <w:rPr>
          <w:vertAlign w:val="superscript"/>
        </w:rPr>
        <w:t xml:space="preserve"> </w:t>
      </w:r>
      <w:r w:rsidRPr="0062097D">
        <w:t>treatment, Fisher’s exact test</w:t>
      </w:r>
    </w:p>
    <w:p w:rsidR="00092F60" w:rsidRPr="00092F60" w:rsidRDefault="00092F60" w:rsidP="00092F60"/>
    <w:p w:rsidR="00092F60" w:rsidRPr="00092F60" w:rsidRDefault="00092F60" w:rsidP="00092F60">
      <w:r w:rsidRPr="00092F60">
        <w:t xml:space="preserve">In the extension study, approximately 50% of the patients were recruited from SHEPHERD </w:t>
      </w:r>
      <w:r w:rsidR="00A130D0">
        <w:rPr>
          <w:noProof/>
        </w:rPr>
        <w:t>(</w:t>
      </w:r>
      <w:r w:rsidR="00184B6F">
        <w:rPr>
          <w:noProof/>
        </w:rPr>
        <w:t>Hillmen et al. 2013</w:t>
      </w:r>
      <w:r w:rsidR="00A130D0">
        <w:rPr>
          <w:noProof/>
        </w:rPr>
        <w:t>)</w:t>
      </w:r>
      <w:r w:rsidRPr="00092F60">
        <w:t>. In contrast to the TRIUMPH trial, in which the trigger for transfusion was clearly and objectively defined, in the SHEPHERD study, patients received transfusions if medically indicated</w:t>
      </w:r>
      <w:r w:rsidR="00E90F59">
        <w:t xml:space="preserve"> </w:t>
      </w:r>
      <w:r w:rsidR="00A130D0">
        <w:rPr>
          <w:noProof/>
        </w:rPr>
        <w:t>(</w:t>
      </w:r>
      <w:r w:rsidR="00184B6F">
        <w:rPr>
          <w:noProof/>
        </w:rPr>
        <w:t>Brodsky et al. 2008</w:t>
      </w:r>
      <w:r w:rsidR="00A130D0">
        <w:rPr>
          <w:noProof/>
        </w:rPr>
        <w:t>)</w:t>
      </w:r>
      <w:r w:rsidRPr="00092F60">
        <w:t xml:space="preserve">. It is also not clear what criteria for transfusion were used during the extension study. In addition, in SHEPHERD, patients were only required to have at least one transfusion in the previous two years, while in both TRIUMPH and the pilot study they were only eligible if they had four transfusions in the previous 12 months. </w:t>
      </w:r>
    </w:p>
    <w:p w:rsidR="00092F60" w:rsidRPr="00092F60" w:rsidRDefault="00092F60" w:rsidP="00092F60">
      <w:r w:rsidRPr="00092F60">
        <w:t xml:space="preserve">The change from baseline in the number of units of packed RBCs administered to patients receiving transfusions over the course of the study is presented in </w:t>
      </w:r>
      <w:r w:rsidR="00A72B26" w:rsidRPr="006A71AB">
        <w:t xml:space="preserve">Table </w:t>
      </w:r>
      <w:r w:rsidR="00A72B26">
        <w:rPr>
          <w:noProof/>
        </w:rPr>
        <w:t>122</w:t>
      </w:r>
      <w:r w:rsidRPr="00092F60">
        <w:t xml:space="preserve"> </w:t>
      </w:r>
      <w:r w:rsidR="00A130D0">
        <w:rPr>
          <w:noProof/>
        </w:rPr>
        <w:t>(</w:t>
      </w:r>
      <w:r w:rsidR="00184B6F">
        <w:rPr>
          <w:noProof/>
        </w:rPr>
        <w:t>Hillmen et al. 2013</w:t>
      </w:r>
      <w:r w:rsidR="00A130D0">
        <w:rPr>
          <w:noProof/>
        </w:rPr>
        <w:t>)</w:t>
      </w:r>
      <w:r w:rsidRPr="00092F60">
        <w:t xml:space="preserve">. A reduction in the number of packed RBCs transfused was evident within three months of starting treatment, and this effect appeared to be maintained over the duration </w:t>
      </w:r>
      <w:r w:rsidRPr="00092F60">
        <w:lastRenderedPageBreak/>
        <w:t xml:space="preserve">of the study; the clinical relevance of an effect of this magnitude was not addressed. Hillmen et al (2013) </w:t>
      </w:r>
      <w:r w:rsidR="00A130D0">
        <w:rPr>
          <w:noProof/>
        </w:rPr>
        <w:t>(</w:t>
      </w:r>
      <w:r w:rsidR="00184B6F">
        <w:rPr>
          <w:noProof/>
        </w:rPr>
        <w:t>Hillmen et al. 2013</w:t>
      </w:r>
      <w:r w:rsidR="00A130D0">
        <w:rPr>
          <w:noProof/>
        </w:rPr>
        <w:t>)</w:t>
      </w:r>
      <w:r w:rsidRPr="00092F60">
        <w:t xml:space="preserve"> reports that by weeks 30-36, the percentage of patients achieving transfusion independence</w:t>
      </w:r>
      <w:r w:rsidRPr="00092F60">
        <w:rPr>
          <w:vertAlign w:val="superscript"/>
        </w:rPr>
        <w:footnoteReference w:id="21"/>
      </w:r>
      <w:r w:rsidRPr="00092F60">
        <w:t xml:space="preserve"> was 82.1% (64/78), compared with 8.2% (16/195) in the 6 months prior to the start of treatment (risk difference: 73.8%; 95%CI: 64.5, 83.2%</w:t>
      </w:r>
      <w:r w:rsidRPr="00092F60">
        <w:rPr>
          <w:vertAlign w:val="superscript"/>
        </w:rPr>
        <w:footnoteReference w:id="22"/>
      </w:r>
      <w:r w:rsidRPr="00092F60">
        <w:t xml:space="preserve">). </w:t>
      </w:r>
    </w:p>
    <w:p w:rsidR="00092F60" w:rsidRPr="00092F60" w:rsidRDefault="00092F60" w:rsidP="00092F60"/>
    <w:p w:rsidR="00092F60" w:rsidRPr="006A71AB" w:rsidRDefault="00092F60" w:rsidP="00F44176">
      <w:pPr>
        <w:pStyle w:val="Caption"/>
        <w:keepNext/>
        <w:tabs>
          <w:tab w:val="clear" w:pos="851"/>
          <w:tab w:val="left" w:pos="1134"/>
        </w:tabs>
        <w:ind w:left="1134" w:hanging="1134"/>
      </w:pPr>
      <w:bookmarkStart w:id="461" w:name="_Ref400972459"/>
      <w:bookmarkStart w:id="462" w:name="_Toc411510486"/>
      <w:bookmarkStart w:id="463" w:name="_Toc415141919"/>
      <w:r w:rsidRPr="006A71AB">
        <w:t xml:space="preserve">Table </w:t>
      </w:r>
      <w:r w:rsidR="00A72B26">
        <w:rPr>
          <w:noProof/>
        </w:rPr>
        <w:t>122</w:t>
      </w:r>
      <w:bookmarkEnd w:id="461"/>
      <w:r w:rsidRPr="006A71AB">
        <w:tab/>
        <w:t>Mean number of packed red blood cells administered to patients receiving transfusions over the course of the study</w:t>
      </w:r>
      <w:bookmarkEnd w:id="462"/>
      <w:bookmarkEnd w:id="463"/>
      <w:r w:rsidRPr="006A71AB">
        <w:t xml:space="preserve"> </w:t>
      </w:r>
    </w:p>
    <w:tbl>
      <w:tblPr>
        <w:tblStyle w:val="TableGrid"/>
        <w:tblW w:w="4966" w:type="pct"/>
        <w:tblLook w:val="04A0" w:firstRow="1" w:lastRow="0" w:firstColumn="1" w:lastColumn="0" w:noHBand="0" w:noVBand="1"/>
        <w:tblCaption w:val="Table 88 Mean number of packed red blood cells administered to patients receiving transfusions over the course of the study "/>
        <w:tblDescription w:val="Mean number of packed red blood cells administered to PNH patients receiving transfusions over the course of the eculizumab extension study (Hillmen et al. 2013)"/>
      </w:tblPr>
      <w:tblGrid>
        <w:gridCol w:w="1947"/>
        <w:gridCol w:w="1453"/>
        <w:gridCol w:w="1946"/>
        <w:gridCol w:w="1948"/>
        <w:gridCol w:w="1885"/>
      </w:tblGrid>
      <w:tr w:rsidR="00092F60" w:rsidRPr="00092F60" w:rsidTr="009A0365">
        <w:trPr>
          <w:tblHeader/>
        </w:trPr>
        <w:tc>
          <w:tcPr>
            <w:tcW w:w="1060" w:type="pct"/>
          </w:tcPr>
          <w:p w:rsidR="00092F60" w:rsidRPr="00092F60" w:rsidRDefault="00092F60" w:rsidP="00E90F59">
            <w:pPr>
              <w:pStyle w:val="TableHeading"/>
              <w:rPr>
                <w:vertAlign w:val="superscript"/>
              </w:rPr>
            </w:pPr>
            <w:r w:rsidRPr="00092F60">
              <w:t>Study Period (months)</w:t>
            </w:r>
            <w:r w:rsidRPr="00092F60">
              <w:rPr>
                <w:vertAlign w:val="superscript"/>
              </w:rPr>
              <w:t>a</w:t>
            </w:r>
          </w:p>
        </w:tc>
        <w:tc>
          <w:tcPr>
            <w:tcW w:w="791" w:type="pct"/>
          </w:tcPr>
          <w:p w:rsidR="00092F60" w:rsidRPr="00092F60" w:rsidRDefault="00092F60" w:rsidP="00E90F59">
            <w:pPr>
              <w:pStyle w:val="TableHeading"/>
            </w:pPr>
            <w:r w:rsidRPr="00092F60">
              <w:t>n</w:t>
            </w:r>
          </w:p>
        </w:tc>
        <w:tc>
          <w:tcPr>
            <w:tcW w:w="1060" w:type="pct"/>
          </w:tcPr>
          <w:p w:rsidR="00092F60" w:rsidRPr="00092F60" w:rsidRDefault="00092F60" w:rsidP="00E90F59">
            <w:pPr>
              <w:pStyle w:val="TableHeading"/>
            </w:pPr>
            <w:r w:rsidRPr="00092F60">
              <w:t>Mean (SE)</w:t>
            </w:r>
          </w:p>
          <w:p w:rsidR="00092F60" w:rsidRPr="00092F60" w:rsidRDefault="00092F60" w:rsidP="00E90F59">
            <w:pPr>
              <w:pStyle w:val="TableHeading"/>
            </w:pPr>
          </w:p>
        </w:tc>
        <w:tc>
          <w:tcPr>
            <w:tcW w:w="1061" w:type="pct"/>
          </w:tcPr>
          <w:p w:rsidR="00092F60" w:rsidRPr="00092F60" w:rsidRDefault="00092F60" w:rsidP="00E90F59">
            <w:pPr>
              <w:pStyle w:val="TableHeading"/>
            </w:pPr>
            <w:r w:rsidRPr="00092F60">
              <w:t>Mean change form baseline (SE)</w:t>
            </w:r>
          </w:p>
        </w:tc>
        <w:tc>
          <w:tcPr>
            <w:tcW w:w="1027" w:type="pct"/>
          </w:tcPr>
          <w:p w:rsidR="00092F60" w:rsidRPr="00092F60" w:rsidRDefault="00092F60" w:rsidP="00E90F59">
            <w:pPr>
              <w:pStyle w:val="TableHeading"/>
              <w:rPr>
                <w:vertAlign w:val="superscript"/>
              </w:rPr>
            </w:pPr>
            <w:r w:rsidRPr="00092F60">
              <w:t>P-value</w:t>
            </w:r>
            <w:r w:rsidRPr="00092F60">
              <w:rPr>
                <w:vertAlign w:val="superscript"/>
              </w:rPr>
              <w:t>b</w:t>
            </w:r>
          </w:p>
        </w:tc>
      </w:tr>
      <w:tr w:rsidR="00092F60" w:rsidRPr="00092F60" w:rsidTr="00092F60">
        <w:tc>
          <w:tcPr>
            <w:tcW w:w="1060" w:type="pct"/>
          </w:tcPr>
          <w:p w:rsidR="00092F60" w:rsidRPr="00092F60" w:rsidRDefault="00092F60" w:rsidP="00E90F59">
            <w:pPr>
              <w:pStyle w:val="TableText0"/>
              <w:rPr>
                <w:vertAlign w:val="superscript"/>
              </w:rPr>
            </w:pPr>
            <w:r w:rsidRPr="00092F60">
              <w:t>Baseline</w:t>
            </w:r>
            <w:r w:rsidRPr="00092F60">
              <w:rPr>
                <w:vertAlign w:val="superscript"/>
              </w:rPr>
              <w:t>c</w:t>
            </w:r>
          </w:p>
        </w:tc>
        <w:tc>
          <w:tcPr>
            <w:tcW w:w="791" w:type="pct"/>
          </w:tcPr>
          <w:p w:rsidR="00092F60" w:rsidRPr="00092F60" w:rsidRDefault="00092F60" w:rsidP="00E90F59">
            <w:pPr>
              <w:pStyle w:val="TableText0"/>
            </w:pPr>
            <w:r w:rsidRPr="00092F60">
              <w:t>164</w:t>
            </w:r>
          </w:p>
        </w:tc>
        <w:tc>
          <w:tcPr>
            <w:tcW w:w="1060" w:type="pct"/>
          </w:tcPr>
          <w:p w:rsidR="00092F60" w:rsidRPr="00092F60" w:rsidRDefault="00092F60" w:rsidP="00E90F59">
            <w:pPr>
              <w:pStyle w:val="TableText0"/>
            </w:pPr>
            <w:r w:rsidRPr="00092F60">
              <w:t>5.3 (0.22)</w:t>
            </w:r>
          </w:p>
        </w:tc>
        <w:tc>
          <w:tcPr>
            <w:tcW w:w="1061" w:type="pct"/>
          </w:tcPr>
          <w:p w:rsidR="00092F60" w:rsidRPr="00092F60" w:rsidRDefault="00092F60" w:rsidP="00E90F59">
            <w:pPr>
              <w:pStyle w:val="TableText0"/>
            </w:pPr>
          </w:p>
        </w:tc>
        <w:tc>
          <w:tcPr>
            <w:tcW w:w="1027" w:type="pct"/>
          </w:tcPr>
          <w:p w:rsidR="00092F60" w:rsidRPr="00092F60" w:rsidRDefault="00092F60" w:rsidP="00E90F59">
            <w:pPr>
              <w:pStyle w:val="TableText0"/>
            </w:pPr>
          </w:p>
        </w:tc>
      </w:tr>
      <w:tr w:rsidR="00092F60" w:rsidRPr="00092F60" w:rsidTr="00092F60">
        <w:tc>
          <w:tcPr>
            <w:tcW w:w="1060" w:type="pct"/>
          </w:tcPr>
          <w:p w:rsidR="00092F60" w:rsidRPr="00092F60" w:rsidRDefault="00092F60" w:rsidP="00E90F59">
            <w:pPr>
              <w:pStyle w:val="TableText0"/>
            </w:pPr>
            <w:r w:rsidRPr="00092F60">
              <w:t>0-3</w:t>
            </w:r>
          </w:p>
        </w:tc>
        <w:tc>
          <w:tcPr>
            <w:tcW w:w="791" w:type="pct"/>
          </w:tcPr>
          <w:p w:rsidR="00092F60" w:rsidRPr="00092F60" w:rsidRDefault="00092F60" w:rsidP="00E90F59">
            <w:pPr>
              <w:pStyle w:val="TableText0"/>
            </w:pPr>
            <w:r w:rsidRPr="00092F60">
              <w:t>74</w:t>
            </w:r>
          </w:p>
        </w:tc>
        <w:tc>
          <w:tcPr>
            <w:tcW w:w="1060" w:type="pct"/>
          </w:tcPr>
          <w:p w:rsidR="00092F60" w:rsidRPr="00092F60" w:rsidRDefault="00092F60" w:rsidP="00E90F59">
            <w:pPr>
              <w:pStyle w:val="TableText0"/>
            </w:pPr>
            <w:r w:rsidRPr="00092F60">
              <w:t>4.4 (3.33)</w:t>
            </w:r>
          </w:p>
        </w:tc>
        <w:tc>
          <w:tcPr>
            <w:tcW w:w="1061" w:type="pct"/>
          </w:tcPr>
          <w:p w:rsidR="00092F60" w:rsidRPr="00092F60" w:rsidRDefault="00092F60" w:rsidP="00E90F59">
            <w:pPr>
              <w:pStyle w:val="TableText0"/>
            </w:pPr>
            <w:r w:rsidRPr="00092F60">
              <w:t>-1.5 (0.38)</w:t>
            </w:r>
          </w:p>
        </w:tc>
        <w:tc>
          <w:tcPr>
            <w:tcW w:w="1027" w:type="pct"/>
          </w:tcPr>
          <w:p w:rsidR="00092F60" w:rsidRPr="00092F60" w:rsidRDefault="00092F60" w:rsidP="00E90F59">
            <w:pPr>
              <w:pStyle w:val="TableText0"/>
            </w:pPr>
            <w:r w:rsidRPr="00092F60">
              <w:t>0.0001</w:t>
            </w:r>
          </w:p>
        </w:tc>
      </w:tr>
      <w:tr w:rsidR="00092F60" w:rsidRPr="00092F60" w:rsidTr="00092F60">
        <w:tc>
          <w:tcPr>
            <w:tcW w:w="1060" w:type="pct"/>
          </w:tcPr>
          <w:p w:rsidR="00092F60" w:rsidRPr="00092F60" w:rsidRDefault="00092F60" w:rsidP="00E90F59">
            <w:pPr>
              <w:pStyle w:val="TableText0"/>
            </w:pPr>
            <w:r w:rsidRPr="00092F60">
              <w:t>3-6</w:t>
            </w:r>
          </w:p>
        </w:tc>
        <w:tc>
          <w:tcPr>
            <w:tcW w:w="791" w:type="pct"/>
          </w:tcPr>
          <w:p w:rsidR="00092F60" w:rsidRPr="00092F60" w:rsidRDefault="00092F60" w:rsidP="00E90F59">
            <w:pPr>
              <w:pStyle w:val="TableText0"/>
            </w:pPr>
            <w:r w:rsidRPr="00092F60">
              <w:t>76</w:t>
            </w:r>
          </w:p>
        </w:tc>
        <w:tc>
          <w:tcPr>
            <w:tcW w:w="1060" w:type="pct"/>
          </w:tcPr>
          <w:p w:rsidR="00092F60" w:rsidRPr="00092F60" w:rsidRDefault="00092F60" w:rsidP="00E90F59">
            <w:pPr>
              <w:pStyle w:val="TableText0"/>
            </w:pPr>
            <w:r w:rsidRPr="00092F60">
              <w:t>4.7 (0.37)</w:t>
            </w:r>
          </w:p>
        </w:tc>
        <w:tc>
          <w:tcPr>
            <w:tcW w:w="1061" w:type="pct"/>
          </w:tcPr>
          <w:p w:rsidR="00092F60" w:rsidRPr="00092F60" w:rsidRDefault="00092F60" w:rsidP="00E90F59">
            <w:pPr>
              <w:pStyle w:val="TableText0"/>
            </w:pPr>
            <w:r w:rsidRPr="00092F60">
              <w:t>-1.5 (0.42)</w:t>
            </w:r>
          </w:p>
        </w:tc>
        <w:tc>
          <w:tcPr>
            <w:tcW w:w="1027" w:type="pct"/>
          </w:tcPr>
          <w:p w:rsidR="00092F60" w:rsidRPr="00092F60" w:rsidRDefault="00092F60" w:rsidP="00E90F59">
            <w:pPr>
              <w:pStyle w:val="TableText0"/>
            </w:pPr>
            <w:r w:rsidRPr="00092F60">
              <w:t>0.0007</w:t>
            </w:r>
          </w:p>
        </w:tc>
      </w:tr>
      <w:tr w:rsidR="00092F60" w:rsidRPr="00092F60" w:rsidTr="00092F60">
        <w:tc>
          <w:tcPr>
            <w:tcW w:w="1060" w:type="pct"/>
          </w:tcPr>
          <w:p w:rsidR="00092F60" w:rsidRPr="00092F60" w:rsidRDefault="00092F60" w:rsidP="00E90F59">
            <w:pPr>
              <w:pStyle w:val="TableText0"/>
            </w:pPr>
            <w:r w:rsidRPr="00092F60">
              <w:t>6-9</w:t>
            </w:r>
          </w:p>
        </w:tc>
        <w:tc>
          <w:tcPr>
            <w:tcW w:w="791" w:type="pct"/>
          </w:tcPr>
          <w:p w:rsidR="00092F60" w:rsidRPr="00092F60" w:rsidRDefault="00092F60" w:rsidP="00E90F59">
            <w:pPr>
              <w:pStyle w:val="TableText0"/>
            </w:pPr>
            <w:r w:rsidRPr="00092F60">
              <w:t>61</w:t>
            </w:r>
          </w:p>
        </w:tc>
        <w:tc>
          <w:tcPr>
            <w:tcW w:w="1060" w:type="pct"/>
          </w:tcPr>
          <w:p w:rsidR="00092F60" w:rsidRPr="00092F60" w:rsidRDefault="00092F60" w:rsidP="00E90F59">
            <w:pPr>
              <w:pStyle w:val="TableText0"/>
            </w:pPr>
            <w:r w:rsidRPr="00092F60">
              <w:t>4.8 (0.40)</w:t>
            </w:r>
          </w:p>
        </w:tc>
        <w:tc>
          <w:tcPr>
            <w:tcW w:w="1061" w:type="pct"/>
          </w:tcPr>
          <w:p w:rsidR="00092F60" w:rsidRPr="00092F60" w:rsidRDefault="00092F60" w:rsidP="00E90F59">
            <w:pPr>
              <w:pStyle w:val="TableText0"/>
            </w:pPr>
            <w:r w:rsidRPr="00092F60">
              <w:t>-1.1 (0.50)</w:t>
            </w:r>
          </w:p>
        </w:tc>
        <w:tc>
          <w:tcPr>
            <w:tcW w:w="1027" w:type="pct"/>
          </w:tcPr>
          <w:p w:rsidR="00092F60" w:rsidRPr="00092F60" w:rsidRDefault="00092F60" w:rsidP="00E90F59">
            <w:pPr>
              <w:pStyle w:val="TableText0"/>
            </w:pPr>
            <w:r w:rsidRPr="00092F60">
              <w:t>0.0293</w:t>
            </w:r>
          </w:p>
        </w:tc>
      </w:tr>
      <w:tr w:rsidR="00092F60" w:rsidRPr="00092F60" w:rsidTr="00092F60">
        <w:tc>
          <w:tcPr>
            <w:tcW w:w="1060" w:type="pct"/>
          </w:tcPr>
          <w:p w:rsidR="00092F60" w:rsidRPr="00092F60" w:rsidRDefault="00092F60" w:rsidP="00E90F59">
            <w:pPr>
              <w:pStyle w:val="TableText0"/>
            </w:pPr>
            <w:r w:rsidRPr="00092F60">
              <w:t>9-12</w:t>
            </w:r>
          </w:p>
        </w:tc>
        <w:tc>
          <w:tcPr>
            <w:tcW w:w="791" w:type="pct"/>
          </w:tcPr>
          <w:p w:rsidR="00092F60" w:rsidRPr="00092F60" w:rsidRDefault="00092F60" w:rsidP="00E90F59">
            <w:pPr>
              <w:pStyle w:val="TableText0"/>
            </w:pPr>
            <w:r w:rsidRPr="00092F60">
              <w:t>58</w:t>
            </w:r>
          </w:p>
        </w:tc>
        <w:tc>
          <w:tcPr>
            <w:tcW w:w="1060" w:type="pct"/>
          </w:tcPr>
          <w:p w:rsidR="00092F60" w:rsidRPr="00092F60" w:rsidRDefault="00092F60" w:rsidP="00E90F59">
            <w:pPr>
              <w:pStyle w:val="TableText0"/>
            </w:pPr>
            <w:r w:rsidRPr="00092F60">
              <w:t>4.6 (0.41</w:t>
            </w:r>
          </w:p>
        </w:tc>
        <w:tc>
          <w:tcPr>
            <w:tcW w:w="1061" w:type="pct"/>
          </w:tcPr>
          <w:p w:rsidR="00092F60" w:rsidRPr="00092F60" w:rsidRDefault="00092F60" w:rsidP="00E90F59">
            <w:pPr>
              <w:pStyle w:val="TableText0"/>
            </w:pPr>
            <w:r w:rsidRPr="00092F60">
              <w:t>-1.7 (0.54)</w:t>
            </w:r>
          </w:p>
        </w:tc>
        <w:tc>
          <w:tcPr>
            <w:tcW w:w="1027" w:type="pct"/>
          </w:tcPr>
          <w:p w:rsidR="00092F60" w:rsidRPr="00092F60" w:rsidRDefault="00092F60" w:rsidP="00E90F59">
            <w:pPr>
              <w:pStyle w:val="TableText0"/>
            </w:pPr>
            <w:r w:rsidRPr="00092F60">
              <w:t>0.0025</w:t>
            </w:r>
          </w:p>
        </w:tc>
      </w:tr>
      <w:tr w:rsidR="00092F60" w:rsidRPr="00092F60" w:rsidTr="00092F60">
        <w:tc>
          <w:tcPr>
            <w:tcW w:w="1060" w:type="pct"/>
          </w:tcPr>
          <w:p w:rsidR="00092F60" w:rsidRPr="00092F60" w:rsidRDefault="00092F60" w:rsidP="00E90F59">
            <w:pPr>
              <w:pStyle w:val="TableText0"/>
            </w:pPr>
            <w:r w:rsidRPr="00092F60">
              <w:t>12-15</w:t>
            </w:r>
          </w:p>
        </w:tc>
        <w:tc>
          <w:tcPr>
            <w:tcW w:w="791" w:type="pct"/>
          </w:tcPr>
          <w:p w:rsidR="00092F60" w:rsidRPr="00092F60" w:rsidRDefault="00092F60" w:rsidP="00E90F59">
            <w:pPr>
              <w:pStyle w:val="TableText0"/>
            </w:pPr>
            <w:r w:rsidRPr="00092F60">
              <w:t>62</w:t>
            </w:r>
          </w:p>
        </w:tc>
        <w:tc>
          <w:tcPr>
            <w:tcW w:w="1060" w:type="pct"/>
          </w:tcPr>
          <w:p w:rsidR="00092F60" w:rsidRPr="00092F60" w:rsidRDefault="00092F60" w:rsidP="00E90F59">
            <w:pPr>
              <w:pStyle w:val="TableText0"/>
            </w:pPr>
            <w:r w:rsidRPr="00092F60">
              <w:t>3.6 (0.29)</w:t>
            </w:r>
          </w:p>
        </w:tc>
        <w:tc>
          <w:tcPr>
            <w:tcW w:w="1061" w:type="pct"/>
          </w:tcPr>
          <w:p w:rsidR="00092F60" w:rsidRPr="00092F60" w:rsidRDefault="00092F60" w:rsidP="00E90F59">
            <w:pPr>
              <w:pStyle w:val="TableText0"/>
            </w:pPr>
            <w:r w:rsidRPr="00092F60">
              <w:t>-2.5 (0.49)</w:t>
            </w:r>
          </w:p>
        </w:tc>
        <w:tc>
          <w:tcPr>
            <w:tcW w:w="1027" w:type="pct"/>
          </w:tcPr>
          <w:p w:rsidR="00092F60" w:rsidRPr="00092F60" w:rsidRDefault="00092F60" w:rsidP="00E90F59">
            <w:pPr>
              <w:pStyle w:val="TableText0"/>
            </w:pPr>
            <w:r w:rsidRPr="00092F60">
              <w:t>0.0001</w:t>
            </w:r>
          </w:p>
        </w:tc>
      </w:tr>
      <w:tr w:rsidR="00092F60" w:rsidRPr="00092F60" w:rsidTr="00092F60">
        <w:tc>
          <w:tcPr>
            <w:tcW w:w="1060" w:type="pct"/>
          </w:tcPr>
          <w:p w:rsidR="00092F60" w:rsidRPr="00092F60" w:rsidRDefault="00092F60" w:rsidP="00E90F59">
            <w:pPr>
              <w:pStyle w:val="TableText0"/>
            </w:pPr>
            <w:r w:rsidRPr="00092F60">
              <w:t>15-18</w:t>
            </w:r>
          </w:p>
        </w:tc>
        <w:tc>
          <w:tcPr>
            <w:tcW w:w="791" w:type="pct"/>
          </w:tcPr>
          <w:p w:rsidR="00092F60" w:rsidRPr="00092F60" w:rsidRDefault="00092F60" w:rsidP="00E90F59">
            <w:pPr>
              <w:pStyle w:val="TableText0"/>
            </w:pPr>
            <w:r w:rsidRPr="00092F60">
              <w:t>50</w:t>
            </w:r>
          </w:p>
        </w:tc>
        <w:tc>
          <w:tcPr>
            <w:tcW w:w="1060" w:type="pct"/>
          </w:tcPr>
          <w:p w:rsidR="00092F60" w:rsidRPr="00092F60" w:rsidRDefault="00092F60" w:rsidP="00E90F59">
            <w:pPr>
              <w:pStyle w:val="TableText0"/>
            </w:pPr>
            <w:r w:rsidRPr="00092F60">
              <w:t>4.2 (0.32)</w:t>
            </w:r>
          </w:p>
        </w:tc>
        <w:tc>
          <w:tcPr>
            <w:tcW w:w="1061" w:type="pct"/>
          </w:tcPr>
          <w:p w:rsidR="00092F60" w:rsidRPr="00092F60" w:rsidRDefault="00092F60" w:rsidP="00E90F59">
            <w:pPr>
              <w:pStyle w:val="TableText0"/>
            </w:pPr>
            <w:r w:rsidRPr="00092F60">
              <w:t>-2.0 (0.55)</w:t>
            </w:r>
          </w:p>
        </w:tc>
        <w:tc>
          <w:tcPr>
            <w:tcW w:w="1027" w:type="pct"/>
          </w:tcPr>
          <w:p w:rsidR="00092F60" w:rsidRPr="00092F60" w:rsidRDefault="00092F60" w:rsidP="00E90F59">
            <w:pPr>
              <w:pStyle w:val="TableText0"/>
            </w:pPr>
            <w:r w:rsidRPr="00092F60">
              <w:t>0.0006</w:t>
            </w:r>
          </w:p>
        </w:tc>
      </w:tr>
      <w:tr w:rsidR="00092F60" w:rsidRPr="00092F60" w:rsidTr="00092F60">
        <w:tc>
          <w:tcPr>
            <w:tcW w:w="1060" w:type="pct"/>
          </w:tcPr>
          <w:p w:rsidR="00092F60" w:rsidRPr="00092F60" w:rsidRDefault="00092F60" w:rsidP="00E90F59">
            <w:pPr>
              <w:pStyle w:val="TableText0"/>
            </w:pPr>
            <w:r w:rsidRPr="00092F60">
              <w:t>18-21</w:t>
            </w:r>
          </w:p>
        </w:tc>
        <w:tc>
          <w:tcPr>
            <w:tcW w:w="791" w:type="pct"/>
          </w:tcPr>
          <w:p w:rsidR="00092F60" w:rsidRPr="00092F60" w:rsidRDefault="00092F60" w:rsidP="00E90F59">
            <w:pPr>
              <w:pStyle w:val="TableText0"/>
            </w:pPr>
            <w:r w:rsidRPr="00092F60">
              <w:t>50</w:t>
            </w:r>
          </w:p>
        </w:tc>
        <w:tc>
          <w:tcPr>
            <w:tcW w:w="1060" w:type="pct"/>
          </w:tcPr>
          <w:p w:rsidR="00092F60" w:rsidRPr="00092F60" w:rsidRDefault="00092F60" w:rsidP="00E90F59">
            <w:pPr>
              <w:pStyle w:val="TableText0"/>
            </w:pPr>
            <w:r w:rsidRPr="00092F60">
              <w:t>4.3 (0.51)</w:t>
            </w:r>
          </w:p>
        </w:tc>
        <w:tc>
          <w:tcPr>
            <w:tcW w:w="1061" w:type="pct"/>
          </w:tcPr>
          <w:p w:rsidR="00092F60" w:rsidRPr="00092F60" w:rsidRDefault="00092F60" w:rsidP="00E90F59">
            <w:pPr>
              <w:pStyle w:val="TableText0"/>
            </w:pPr>
            <w:r w:rsidRPr="00092F60">
              <w:t xml:space="preserve">-2.1 </w:t>
            </w:r>
            <w:r w:rsidR="00D8648C">
              <w:t>(</w:t>
            </w:r>
            <w:r w:rsidRPr="00092F60">
              <w:t>0.65)</w:t>
            </w:r>
          </w:p>
        </w:tc>
        <w:tc>
          <w:tcPr>
            <w:tcW w:w="1027" w:type="pct"/>
          </w:tcPr>
          <w:p w:rsidR="00092F60" w:rsidRPr="00092F60" w:rsidRDefault="00092F60" w:rsidP="00E90F59">
            <w:pPr>
              <w:pStyle w:val="TableText0"/>
            </w:pPr>
            <w:r w:rsidRPr="00092F60">
              <w:t>0.0022</w:t>
            </w:r>
          </w:p>
        </w:tc>
      </w:tr>
      <w:tr w:rsidR="00092F60" w:rsidRPr="00092F60" w:rsidTr="00092F60">
        <w:tc>
          <w:tcPr>
            <w:tcW w:w="1060" w:type="pct"/>
          </w:tcPr>
          <w:p w:rsidR="00092F60" w:rsidRPr="00092F60" w:rsidRDefault="00092F60" w:rsidP="00E90F59">
            <w:pPr>
              <w:pStyle w:val="TableText0"/>
            </w:pPr>
            <w:r w:rsidRPr="00092F60">
              <w:t>21-24</w:t>
            </w:r>
          </w:p>
        </w:tc>
        <w:tc>
          <w:tcPr>
            <w:tcW w:w="791" w:type="pct"/>
          </w:tcPr>
          <w:p w:rsidR="00092F60" w:rsidRPr="00092F60" w:rsidRDefault="00092F60" w:rsidP="00E90F59">
            <w:pPr>
              <w:pStyle w:val="TableText0"/>
            </w:pPr>
            <w:r w:rsidRPr="00092F60">
              <w:t>42</w:t>
            </w:r>
          </w:p>
        </w:tc>
        <w:tc>
          <w:tcPr>
            <w:tcW w:w="1060" w:type="pct"/>
          </w:tcPr>
          <w:p w:rsidR="00092F60" w:rsidRPr="00092F60" w:rsidRDefault="00092F60" w:rsidP="00E90F59">
            <w:pPr>
              <w:pStyle w:val="TableText0"/>
            </w:pPr>
            <w:r w:rsidRPr="00092F60">
              <w:t>4.6 (0.61)</w:t>
            </w:r>
          </w:p>
        </w:tc>
        <w:tc>
          <w:tcPr>
            <w:tcW w:w="1061" w:type="pct"/>
          </w:tcPr>
          <w:p w:rsidR="00092F60" w:rsidRPr="00092F60" w:rsidRDefault="00092F60" w:rsidP="00E90F59">
            <w:pPr>
              <w:pStyle w:val="TableText0"/>
            </w:pPr>
            <w:r w:rsidRPr="00092F60">
              <w:t>-1.4 (0.64)</w:t>
            </w:r>
          </w:p>
        </w:tc>
        <w:tc>
          <w:tcPr>
            <w:tcW w:w="1027" w:type="pct"/>
          </w:tcPr>
          <w:p w:rsidR="00092F60" w:rsidRPr="00092F60" w:rsidRDefault="00092F60" w:rsidP="00E90F59">
            <w:pPr>
              <w:pStyle w:val="TableText0"/>
            </w:pPr>
            <w:r w:rsidRPr="00092F60">
              <w:t>0.0333</w:t>
            </w:r>
          </w:p>
        </w:tc>
      </w:tr>
      <w:tr w:rsidR="00092F60" w:rsidRPr="00092F60" w:rsidTr="00092F60">
        <w:tc>
          <w:tcPr>
            <w:tcW w:w="1060" w:type="pct"/>
          </w:tcPr>
          <w:p w:rsidR="00092F60" w:rsidRPr="00092F60" w:rsidRDefault="00092F60" w:rsidP="00E90F59">
            <w:pPr>
              <w:pStyle w:val="TableText0"/>
            </w:pPr>
            <w:r w:rsidRPr="00092F60">
              <w:t>24-27</w:t>
            </w:r>
          </w:p>
        </w:tc>
        <w:tc>
          <w:tcPr>
            <w:tcW w:w="791" w:type="pct"/>
          </w:tcPr>
          <w:p w:rsidR="00092F60" w:rsidRPr="00092F60" w:rsidRDefault="00092F60" w:rsidP="00E90F59">
            <w:pPr>
              <w:pStyle w:val="TableText0"/>
            </w:pPr>
            <w:r w:rsidRPr="00092F60">
              <w:t>37</w:t>
            </w:r>
          </w:p>
        </w:tc>
        <w:tc>
          <w:tcPr>
            <w:tcW w:w="1060" w:type="pct"/>
          </w:tcPr>
          <w:p w:rsidR="00092F60" w:rsidRPr="00092F60" w:rsidRDefault="00092F60" w:rsidP="00E90F59">
            <w:pPr>
              <w:pStyle w:val="TableText0"/>
            </w:pPr>
            <w:r w:rsidRPr="00092F60">
              <w:t>4.0 (0.49)</w:t>
            </w:r>
          </w:p>
        </w:tc>
        <w:tc>
          <w:tcPr>
            <w:tcW w:w="1061" w:type="pct"/>
          </w:tcPr>
          <w:p w:rsidR="00092F60" w:rsidRPr="00092F60" w:rsidRDefault="00092F60" w:rsidP="00E90F59">
            <w:pPr>
              <w:pStyle w:val="TableText0"/>
            </w:pPr>
            <w:r w:rsidRPr="00092F60">
              <w:t>-2.9 (0.65)</w:t>
            </w:r>
          </w:p>
        </w:tc>
        <w:tc>
          <w:tcPr>
            <w:tcW w:w="1027" w:type="pct"/>
          </w:tcPr>
          <w:p w:rsidR="00092F60" w:rsidRPr="00092F60" w:rsidRDefault="00092F60" w:rsidP="00E90F59">
            <w:pPr>
              <w:pStyle w:val="TableText0"/>
            </w:pPr>
            <w:r w:rsidRPr="00092F60">
              <w:t>&lt;0.0001</w:t>
            </w:r>
          </w:p>
        </w:tc>
      </w:tr>
      <w:tr w:rsidR="00092F60" w:rsidRPr="00092F60" w:rsidTr="00092F60">
        <w:tc>
          <w:tcPr>
            <w:tcW w:w="1060" w:type="pct"/>
          </w:tcPr>
          <w:p w:rsidR="00092F60" w:rsidRPr="00092F60" w:rsidRDefault="00092F60" w:rsidP="00E90F59">
            <w:pPr>
              <w:pStyle w:val="TableText0"/>
            </w:pPr>
            <w:r w:rsidRPr="00092F60">
              <w:t>27-30</w:t>
            </w:r>
          </w:p>
        </w:tc>
        <w:tc>
          <w:tcPr>
            <w:tcW w:w="791" w:type="pct"/>
          </w:tcPr>
          <w:p w:rsidR="00092F60" w:rsidRPr="00092F60" w:rsidRDefault="00092F60" w:rsidP="00E90F59">
            <w:pPr>
              <w:pStyle w:val="TableText0"/>
            </w:pPr>
            <w:r w:rsidRPr="00092F60">
              <w:t>30</w:t>
            </w:r>
          </w:p>
        </w:tc>
        <w:tc>
          <w:tcPr>
            <w:tcW w:w="1060" w:type="pct"/>
          </w:tcPr>
          <w:p w:rsidR="00092F60" w:rsidRPr="00092F60" w:rsidRDefault="00092F60" w:rsidP="00E90F59">
            <w:pPr>
              <w:pStyle w:val="TableText0"/>
            </w:pPr>
            <w:r w:rsidRPr="00092F60">
              <w:t>4.4 (0.95)</w:t>
            </w:r>
          </w:p>
        </w:tc>
        <w:tc>
          <w:tcPr>
            <w:tcW w:w="1061" w:type="pct"/>
          </w:tcPr>
          <w:p w:rsidR="00092F60" w:rsidRPr="00092F60" w:rsidRDefault="00092F60" w:rsidP="00E90F59">
            <w:pPr>
              <w:pStyle w:val="TableText0"/>
            </w:pPr>
            <w:r w:rsidRPr="00092F60">
              <w:t>-1.5 (0.98)</w:t>
            </w:r>
          </w:p>
        </w:tc>
        <w:tc>
          <w:tcPr>
            <w:tcW w:w="1027" w:type="pct"/>
          </w:tcPr>
          <w:p w:rsidR="00092F60" w:rsidRPr="00092F60" w:rsidRDefault="00092F60" w:rsidP="00E90F59">
            <w:pPr>
              <w:pStyle w:val="TableText0"/>
            </w:pPr>
            <w:r w:rsidRPr="00092F60">
              <w:t>0.1298</w:t>
            </w:r>
          </w:p>
        </w:tc>
      </w:tr>
      <w:tr w:rsidR="00092F60" w:rsidRPr="00092F60" w:rsidTr="00092F60">
        <w:tc>
          <w:tcPr>
            <w:tcW w:w="1060" w:type="pct"/>
          </w:tcPr>
          <w:p w:rsidR="00092F60" w:rsidRPr="00092F60" w:rsidRDefault="00092F60" w:rsidP="00E90F59">
            <w:pPr>
              <w:pStyle w:val="TableText0"/>
            </w:pPr>
            <w:r w:rsidRPr="00092F60">
              <w:t>30-33</w:t>
            </w:r>
          </w:p>
        </w:tc>
        <w:tc>
          <w:tcPr>
            <w:tcW w:w="791" w:type="pct"/>
          </w:tcPr>
          <w:p w:rsidR="00092F60" w:rsidRPr="00092F60" w:rsidRDefault="00092F60" w:rsidP="00E90F59">
            <w:pPr>
              <w:pStyle w:val="TableText0"/>
            </w:pPr>
            <w:r w:rsidRPr="00092F60">
              <w:t>10</w:t>
            </w:r>
          </w:p>
        </w:tc>
        <w:tc>
          <w:tcPr>
            <w:tcW w:w="1060" w:type="pct"/>
          </w:tcPr>
          <w:p w:rsidR="00092F60" w:rsidRPr="00092F60" w:rsidRDefault="00092F60" w:rsidP="00E90F59">
            <w:pPr>
              <w:pStyle w:val="TableText0"/>
            </w:pPr>
            <w:r w:rsidRPr="00092F60">
              <w:t>3.1 (0.55)</w:t>
            </w:r>
          </w:p>
        </w:tc>
        <w:tc>
          <w:tcPr>
            <w:tcW w:w="1061" w:type="pct"/>
          </w:tcPr>
          <w:p w:rsidR="00092F60" w:rsidRPr="00092F60" w:rsidRDefault="00092F60" w:rsidP="00E90F59">
            <w:pPr>
              <w:pStyle w:val="TableText0"/>
            </w:pPr>
            <w:r w:rsidRPr="00092F60">
              <w:t>-3.0 (0.65)</w:t>
            </w:r>
          </w:p>
        </w:tc>
        <w:tc>
          <w:tcPr>
            <w:tcW w:w="1027" w:type="pct"/>
          </w:tcPr>
          <w:p w:rsidR="00092F60" w:rsidRPr="00092F60" w:rsidRDefault="00092F60" w:rsidP="00E90F59">
            <w:pPr>
              <w:pStyle w:val="TableText0"/>
            </w:pPr>
            <w:r w:rsidRPr="00092F60">
              <w:t>0.0013</w:t>
            </w:r>
          </w:p>
        </w:tc>
      </w:tr>
      <w:tr w:rsidR="00092F60" w:rsidRPr="00092F60" w:rsidTr="00092F60">
        <w:tc>
          <w:tcPr>
            <w:tcW w:w="1060" w:type="pct"/>
          </w:tcPr>
          <w:p w:rsidR="00092F60" w:rsidRPr="00092F60" w:rsidRDefault="00092F60" w:rsidP="00E90F59">
            <w:pPr>
              <w:pStyle w:val="TableText0"/>
            </w:pPr>
            <w:r w:rsidRPr="00092F60">
              <w:t>33-36</w:t>
            </w:r>
          </w:p>
        </w:tc>
        <w:tc>
          <w:tcPr>
            <w:tcW w:w="791" w:type="pct"/>
          </w:tcPr>
          <w:p w:rsidR="00092F60" w:rsidRPr="00092F60" w:rsidRDefault="00092F60" w:rsidP="00E90F59">
            <w:pPr>
              <w:pStyle w:val="TableText0"/>
            </w:pPr>
            <w:r w:rsidRPr="00092F60">
              <w:t>7</w:t>
            </w:r>
          </w:p>
        </w:tc>
        <w:tc>
          <w:tcPr>
            <w:tcW w:w="1060" w:type="pct"/>
          </w:tcPr>
          <w:p w:rsidR="00092F60" w:rsidRPr="00092F60" w:rsidRDefault="00092F60" w:rsidP="00E90F59">
            <w:pPr>
              <w:pStyle w:val="TableText0"/>
            </w:pPr>
            <w:r w:rsidRPr="00092F60">
              <w:t>2.4 (0.30)</w:t>
            </w:r>
          </w:p>
        </w:tc>
        <w:tc>
          <w:tcPr>
            <w:tcW w:w="1061" w:type="pct"/>
          </w:tcPr>
          <w:p w:rsidR="00092F60" w:rsidRPr="00092F60" w:rsidRDefault="00092F60" w:rsidP="00E90F59">
            <w:pPr>
              <w:pStyle w:val="TableText0"/>
            </w:pPr>
            <w:r w:rsidRPr="00092F60">
              <w:t>-3.6 (1.13)</w:t>
            </w:r>
          </w:p>
        </w:tc>
        <w:tc>
          <w:tcPr>
            <w:tcW w:w="1027" w:type="pct"/>
          </w:tcPr>
          <w:p w:rsidR="00092F60" w:rsidRPr="00092F60" w:rsidRDefault="00092F60" w:rsidP="00E90F59">
            <w:pPr>
              <w:pStyle w:val="TableText0"/>
            </w:pPr>
            <w:r w:rsidRPr="00092F60">
              <w:t>0.0196</w:t>
            </w:r>
          </w:p>
        </w:tc>
      </w:tr>
    </w:tbl>
    <w:p w:rsidR="00092F60" w:rsidRPr="0062097D" w:rsidRDefault="001B4E29" w:rsidP="00E90F59">
      <w:pPr>
        <w:pStyle w:val="TableNote"/>
        <w:rPr>
          <w:lang w:val="en-GB"/>
        </w:rPr>
      </w:pPr>
      <w:r w:rsidRPr="0062097D">
        <w:rPr>
          <w:lang w:val="en-GB"/>
        </w:rPr>
        <w:t xml:space="preserve">SE </w:t>
      </w:r>
      <w:r w:rsidRPr="00652355">
        <w:rPr>
          <w:spacing w:val="-20"/>
          <w:lang w:val="en-GB"/>
        </w:rPr>
        <w:t xml:space="preserve">= </w:t>
      </w:r>
      <w:r w:rsidRPr="0062097D">
        <w:rPr>
          <w:lang w:val="en-GB"/>
        </w:rPr>
        <w:t>standard</w:t>
      </w:r>
      <w:r w:rsidR="00092F60" w:rsidRPr="0062097D">
        <w:rPr>
          <w:lang w:val="en-GB"/>
        </w:rPr>
        <w:t xml:space="preserve"> error</w:t>
      </w:r>
    </w:p>
    <w:p w:rsidR="00092F60" w:rsidRPr="0062097D" w:rsidRDefault="00092F60" w:rsidP="00E90F59">
      <w:pPr>
        <w:pStyle w:val="TableNote"/>
      </w:pPr>
      <w:proofErr w:type="gramStart"/>
      <w:r w:rsidRPr="0062097D">
        <w:rPr>
          <w:vertAlign w:val="superscript"/>
        </w:rPr>
        <w:t>a</w:t>
      </w:r>
      <w:proofErr w:type="gramEnd"/>
      <w:r w:rsidRPr="0062097D">
        <w:t xml:space="preserve"> The overall median duration of treatment of patients included in the 36-month efficacy analysis cut-off was 30.3 months (interquartile range: 26.2-33.1 months) </w:t>
      </w:r>
    </w:p>
    <w:p w:rsidR="00092F60" w:rsidRPr="0062097D" w:rsidRDefault="00092F60" w:rsidP="00E90F59">
      <w:pPr>
        <w:pStyle w:val="TableNote"/>
      </w:pPr>
      <w:proofErr w:type="gramStart"/>
      <w:r w:rsidRPr="0062097D">
        <w:rPr>
          <w:vertAlign w:val="superscript"/>
        </w:rPr>
        <w:t>b</w:t>
      </w:r>
      <w:proofErr w:type="gramEnd"/>
      <w:r w:rsidRPr="0062097D">
        <w:t xml:space="preserve"> The method of statistical analysis was not reported. It is not clear whether any statistical adjustment was made for multiple analyses.</w:t>
      </w:r>
    </w:p>
    <w:p w:rsidR="00092F60" w:rsidRPr="0062097D" w:rsidRDefault="00092F60" w:rsidP="00E90F59">
      <w:pPr>
        <w:pStyle w:val="TableNote"/>
      </w:pPr>
      <w:proofErr w:type="gramStart"/>
      <w:r w:rsidRPr="0062097D">
        <w:rPr>
          <w:vertAlign w:val="superscript"/>
        </w:rPr>
        <w:t>c</w:t>
      </w:r>
      <w:proofErr w:type="gramEnd"/>
      <w:r w:rsidRPr="0062097D">
        <w:t xml:space="preserve"> The period over which the baseline was measured was not reported</w:t>
      </w:r>
    </w:p>
    <w:p w:rsidR="00092F60" w:rsidRPr="0062097D" w:rsidRDefault="00092F60" w:rsidP="00E90F59">
      <w:pPr>
        <w:pStyle w:val="TableNote"/>
      </w:pPr>
      <w:r w:rsidRPr="0062097D">
        <w:t xml:space="preserve">Source: </w:t>
      </w:r>
      <w:r w:rsidR="00A130D0">
        <w:rPr>
          <w:noProof/>
        </w:rPr>
        <w:t>(</w:t>
      </w:r>
      <w:r w:rsidR="00184B6F">
        <w:rPr>
          <w:noProof/>
        </w:rPr>
        <w:t>Hillmen et al. 2013</w:t>
      </w:r>
      <w:r w:rsidR="00A130D0">
        <w:rPr>
          <w:noProof/>
        </w:rPr>
        <w:t>)</w:t>
      </w:r>
    </w:p>
    <w:p w:rsidR="0062097D" w:rsidRDefault="0062097D" w:rsidP="00092F60">
      <w:pPr>
        <w:rPr>
          <w:u w:val="single"/>
        </w:rPr>
      </w:pPr>
    </w:p>
    <w:p w:rsidR="00D05B69" w:rsidRPr="00E965BD" w:rsidRDefault="00D05B69" w:rsidP="00D05B69">
      <w:pPr>
        <w:pStyle w:val="Heading5"/>
      </w:pPr>
      <w:r>
        <w:t>Conclusion</w:t>
      </w:r>
    </w:p>
    <w:p w:rsidR="00D05B69" w:rsidRPr="00092F60" w:rsidRDefault="00D05B69" w:rsidP="00D05B69">
      <w:pPr>
        <w:spacing w:before="240"/>
      </w:pPr>
      <w:r w:rsidRPr="00092F60">
        <w:t>One double-blinded, randomised, placebo-controlled trial (N</w:t>
      </w:r>
      <w:r w:rsidR="00652355" w:rsidRPr="00652355">
        <w:rPr>
          <w:spacing w:val="-20"/>
        </w:rPr>
        <w:t xml:space="preserve"> = </w:t>
      </w:r>
      <w:r w:rsidRPr="00092F60">
        <w:t xml:space="preserve">87) provided high quality evidence (GRADE </w:t>
      </w:r>
      <w:r w:rsidRPr="005E6E1C">
        <w:rPr>
          <w:rFonts w:ascii="Cambria Math" w:hAnsi="Cambria Math" w:cs="Cambria Math"/>
          <w:color w:val="00B050"/>
          <w:sz w:val="22"/>
          <w:szCs w:val="22"/>
        </w:rPr>
        <w:t>⊕⊕⊕⊕</w:t>
      </w:r>
      <w:r w:rsidRPr="00092F60">
        <w:t>) that, in the short-term (6 months), eculizumab reduces transfusion requirements in patients with relatively severe PNH, compared to standard care.</w:t>
      </w:r>
    </w:p>
    <w:p w:rsidR="00D05B69" w:rsidRDefault="00D05B69" w:rsidP="00D05B69">
      <w:r w:rsidRPr="00092F60">
        <w:t>The extension study of this trial (N</w:t>
      </w:r>
      <w:r w:rsidR="00652355" w:rsidRPr="00652355">
        <w:rPr>
          <w:spacing w:val="-20"/>
        </w:rPr>
        <w:t xml:space="preserve"> = </w:t>
      </w:r>
      <w:r w:rsidRPr="00092F60">
        <w:t>195), which also included patients from two other studies, provided low quality evidence (GRADE</w:t>
      </w:r>
      <w:r w:rsidRPr="00092F60">
        <w:rPr>
          <w:rFonts w:ascii="Cambria Math" w:hAnsi="Cambria Math" w:cs="Cambria Math"/>
          <w:sz w:val="22"/>
          <w:szCs w:val="22"/>
        </w:rPr>
        <w:t xml:space="preserve"> </w:t>
      </w:r>
      <w:r w:rsidRPr="005E6E1C">
        <w:rPr>
          <w:rFonts w:ascii="Cambria Math" w:hAnsi="Cambria Math" w:cs="Cambria Math"/>
          <w:color w:val="00B050"/>
          <w:sz w:val="22"/>
          <w:szCs w:val="22"/>
        </w:rPr>
        <w:t>⊕⊕</w:t>
      </w:r>
      <w:r w:rsidRPr="00D4733A">
        <w:rPr>
          <w:rFonts w:ascii="Cambria Math" w:hAnsi="Cambria Math" w:cs="Cambria Math"/>
          <w:color w:val="C00000"/>
          <w:sz w:val="22"/>
          <w:szCs w:val="22"/>
        </w:rPr>
        <w:t>⨀⨀</w:t>
      </w:r>
      <w:r w:rsidRPr="00092F60">
        <w:t xml:space="preserve">) that the effectiveness of </w:t>
      </w:r>
      <w:r w:rsidRPr="00092F60">
        <w:lastRenderedPageBreak/>
        <w:t xml:space="preserve">eculizumab in reducing transfusion requirements appears to be maintained over a median duration of treatment of 30 months. </w:t>
      </w:r>
    </w:p>
    <w:p w:rsidR="00847B5E" w:rsidRPr="00092F60" w:rsidRDefault="00847B5E" w:rsidP="00092F60"/>
    <w:p w:rsidR="00092F60" w:rsidRPr="00092F60" w:rsidRDefault="00092F60" w:rsidP="00EC5DFF">
      <w:pPr>
        <w:pStyle w:val="Heading5"/>
      </w:pPr>
      <w:r w:rsidRPr="00092F60">
        <w:t>Quality of life</w:t>
      </w:r>
    </w:p>
    <w:p w:rsidR="00D05B69" w:rsidRPr="00092F60" w:rsidRDefault="00D05B69" w:rsidP="00D05B69">
      <w:r w:rsidRPr="00092F60">
        <w:t xml:space="preserve">In the TRIUMPH trial, quality of life was assessed using two instruments: the Functional Assessment of Chronic Illness Therapy–Fatigue (FACIT-Fatigue) instrument and the European Organisation for </w:t>
      </w:r>
      <w:r>
        <w:t>R</w:t>
      </w:r>
      <w:r w:rsidRPr="00092F60">
        <w:t xml:space="preserve">esearch and </w:t>
      </w:r>
      <w:r>
        <w:t>T</w:t>
      </w:r>
      <w:r w:rsidRPr="00092F60">
        <w:t xml:space="preserve">reatment of Cancer Quality of Life Questionnaire (EORTC QLQ-C30) instrument, although the latter was designated as a pre-specified exploratory analysis. The FACIT-F scale has not been validated in PNH patients </w:t>
      </w:r>
      <w:r w:rsidR="00A130D0">
        <w:rPr>
          <w:noProof/>
        </w:rPr>
        <w:t>(</w:t>
      </w:r>
      <w:r w:rsidR="00184B6F">
        <w:rPr>
          <w:noProof/>
        </w:rPr>
        <w:t>Dmytrijuk et al. 2008</w:t>
      </w:r>
      <w:r w:rsidR="00A130D0">
        <w:rPr>
          <w:noProof/>
        </w:rPr>
        <w:t>)</w:t>
      </w:r>
      <w:r w:rsidRPr="00092F60">
        <w:t xml:space="preserve">. </w:t>
      </w:r>
    </w:p>
    <w:p w:rsidR="00D05B69" w:rsidRPr="00092F60" w:rsidRDefault="00D05B69" w:rsidP="00D05B69">
      <w:r w:rsidRPr="00092F60">
        <w:t>For the change in fatigue scores from baseline</w:t>
      </w:r>
      <w:r w:rsidRPr="00092F60">
        <w:rPr>
          <w:vertAlign w:val="superscript"/>
        </w:rPr>
        <w:footnoteReference w:id="23"/>
      </w:r>
      <w:r w:rsidRPr="00092F60">
        <w:t>, an improvement in the eculizumab group compared to the placebo group was evident from week two</w:t>
      </w:r>
      <w:r w:rsidR="001B4E29">
        <w:t xml:space="preserve"> of treatment onwards (Figure 3</w:t>
      </w:r>
      <w:r w:rsidRPr="00092F60">
        <w:t>)</w:t>
      </w:r>
      <w:r w:rsidR="001B4E29">
        <w:t xml:space="preserve"> </w:t>
      </w:r>
      <w:r w:rsidR="00A130D0">
        <w:rPr>
          <w:noProof/>
        </w:rPr>
        <w:t>(</w:t>
      </w:r>
      <w:r w:rsidR="00184B6F">
        <w:rPr>
          <w:noProof/>
        </w:rPr>
        <w:t>Hillmen et al. 2006</w:t>
      </w:r>
      <w:r w:rsidR="00A130D0">
        <w:rPr>
          <w:noProof/>
        </w:rPr>
        <w:t>)</w:t>
      </w:r>
      <w:r w:rsidRPr="00092F60">
        <w:t>. Patients in the eculizumab treatment group had a mean increase in scores on the FACIT-F instrument of 6.4 ± 1.2 points from baseline to week 26</w:t>
      </w:r>
      <w:r>
        <w:t xml:space="preserve"> (¬12%)</w:t>
      </w:r>
      <w:r w:rsidRPr="00092F60">
        <w:t xml:space="preserve">, indicating an improvement in fatigue, while the mean score in the placebo group decreased by 4.0 ± 1.7 points. A mixed-model analysis of covariance showed a significant difference between </w:t>
      </w:r>
      <w:r>
        <w:t xml:space="preserve">the </w:t>
      </w:r>
      <w:r w:rsidRPr="00092F60">
        <w:t>groups (p&lt;0.001)</w:t>
      </w:r>
      <w:r>
        <w:t>, with the absolute difference of 10 points (¬19%) likely to be patient-relevant (</w:t>
      </w:r>
      <w:r w:rsidR="00A72B26" w:rsidRPr="006A71AB">
        <w:t xml:space="preserve">Table </w:t>
      </w:r>
      <w:r w:rsidR="00A72B26">
        <w:rPr>
          <w:noProof/>
        </w:rPr>
        <w:t>123</w:t>
      </w:r>
      <w:r>
        <w:t>)</w:t>
      </w:r>
      <w:r w:rsidRPr="00092F60">
        <w:t xml:space="preserve">. </w:t>
      </w:r>
    </w:p>
    <w:p w:rsidR="00D05B69" w:rsidRPr="00092F60" w:rsidRDefault="00D05B69" w:rsidP="00D05B69">
      <w:r w:rsidRPr="00092F60">
        <w:t xml:space="preserve">The results using the EORTC QLQ-C30 instrument indicated that patients on eculizumab had </w:t>
      </w:r>
      <w:r>
        <w:t xml:space="preserve">a </w:t>
      </w:r>
      <w:r w:rsidRPr="00092F60">
        <w:t>significant improvement in scores on the scale for global health status, and for the majority of sub-scales, compared with the placebo group (</w:t>
      </w:r>
      <w:r w:rsidR="00A72B26" w:rsidRPr="006A71AB">
        <w:t xml:space="preserve">Table </w:t>
      </w:r>
      <w:r w:rsidR="00A72B26">
        <w:rPr>
          <w:noProof/>
        </w:rPr>
        <w:t>123</w:t>
      </w:r>
      <w:r w:rsidRPr="00092F60">
        <w:t>)</w:t>
      </w:r>
      <w:r w:rsidR="00A130D0">
        <w:rPr>
          <w:noProof/>
        </w:rPr>
        <w:t>(</w:t>
      </w:r>
      <w:r w:rsidR="00184B6F">
        <w:rPr>
          <w:noProof/>
        </w:rPr>
        <w:t>Hillmen et al. 2006</w:t>
      </w:r>
      <w:r w:rsidR="00A130D0">
        <w:rPr>
          <w:noProof/>
        </w:rPr>
        <w:t>)</w:t>
      </w:r>
      <w:r w:rsidRPr="00092F60">
        <w:t xml:space="preserve">. </w:t>
      </w:r>
    </w:p>
    <w:p w:rsidR="00D05B69" w:rsidRPr="006A71AB" w:rsidRDefault="00D05B69" w:rsidP="00D05B69">
      <w:pPr>
        <w:pStyle w:val="Caption"/>
        <w:keepNext/>
        <w:tabs>
          <w:tab w:val="clear" w:pos="851"/>
          <w:tab w:val="left" w:pos="1134"/>
        </w:tabs>
        <w:ind w:left="1134" w:hanging="1134"/>
      </w:pPr>
      <w:bookmarkStart w:id="464" w:name="_Ref400980577"/>
      <w:bookmarkStart w:id="465" w:name="_Toc411510487"/>
      <w:bookmarkStart w:id="466" w:name="_Toc415141920"/>
      <w:r w:rsidRPr="006A71AB">
        <w:lastRenderedPageBreak/>
        <w:t xml:space="preserve">Table </w:t>
      </w:r>
      <w:r w:rsidR="00A72B26">
        <w:rPr>
          <w:noProof/>
        </w:rPr>
        <w:t>123</w:t>
      </w:r>
      <w:bookmarkEnd w:id="464"/>
      <w:r w:rsidRPr="006A71AB">
        <w:tab/>
        <w:t>The effect of eculizumab on quality of life in the TRIUMPH trial</w:t>
      </w:r>
      <w:bookmarkEnd w:id="465"/>
      <w:bookmarkEnd w:id="466"/>
    </w:p>
    <w:tbl>
      <w:tblPr>
        <w:tblStyle w:val="TableGrid"/>
        <w:tblW w:w="5000" w:type="pct"/>
        <w:tblLook w:val="04A0" w:firstRow="1" w:lastRow="0" w:firstColumn="1" w:lastColumn="0" w:noHBand="0" w:noVBand="1"/>
        <w:tblCaption w:val="Table 89 The effect of eculizumab on quality of life in the TRIUMPH trial"/>
      </w:tblPr>
      <w:tblGrid>
        <w:gridCol w:w="2838"/>
        <w:gridCol w:w="1874"/>
        <w:gridCol w:w="1872"/>
        <w:gridCol w:w="1425"/>
        <w:gridCol w:w="1233"/>
      </w:tblGrid>
      <w:tr w:rsidR="00C6200C" w:rsidRPr="00092F60" w:rsidTr="00C6200C">
        <w:trPr>
          <w:tblHeader/>
        </w:trPr>
        <w:tc>
          <w:tcPr>
            <w:tcW w:w="1535" w:type="pct"/>
          </w:tcPr>
          <w:p w:rsidR="00C6200C" w:rsidRPr="00092F60" w:rsidRDefault="00C6200C" w:rsidP="00D05B69">
            <w:pPr>
              <w:pStyle w:val="TableHeading"/>
            </w:pPr>
            <w:r w:rsidRPr="00092F60">
              <w:t>Scale</w:t>
            </w:r>
          </w:p>
        </w:tc>
        <w:tc>
          <w:tcPr>
            <w:tcW w:w="1014" w:type="pct"/>
            <w:tcBorders>
              <w:right w:val="single" w:sz="4" w:space="0" w:color="auto"/>
            </w:tcBorders>
          </w:tcPr>
          <w:p w:rsidR="00C6200C" w:rsidRPr="00092F60" w:rsidRDefault="00C6200C" w:rsidP="00D05B69">
            <w:pPr>
              <w:pStyle w:val="TableHeading"/>
              <w:rPr>
                <w:vertAlign w:val="superscript"/>
              </w:rPr>
            </w:pPr>
            <w:r w:rsidRPr="00092F60">
              <w:t>Mean change form baseline to Week 26</w:t>
            </w:r>
            <w:r w:rsidRPr="00092F60">
              <w:rPr>
                <w:vertAlign w:val="superscript"/>
              </w:rPr>
              <w:t>a</w:t>
            </w:r>
          </w:p>
        </w:tc>
        <w:tc>
          <w:tcPr>
            <w:tcW w:w="1011" w:type="pct"/>
            <w:tcBorders>
              <w:left w:val="single" w:sz="4" w:space="0" w:color="auto"/>
            </w:tcBorders>
          </w:tcPr>
          <w:p w:rsidR="00C6200C" w:rsidRPr="00092F60" w:rsidRDefault="00C6200C" w:rsidP="00D05B69">
            <w:pPr>
              <w:pStyle w:val="TableHeading"/>
              <w:rPr>
                <w:vertAlign w:val="superscript"/>
              </w:rPr>
            </w:pPr>
            <w:r w:rsidRPr="00092F60">
              <w:t>Mean change form baseline to Week 26</w:t>
            </w:r>
            <w:r w:rsidRPr="00092F60">
              <w:rPr>
                <w:vertAlign w:val="superscript"/>
              </w:rPr>
              <w:t>a</w:t>
            </w:r>
          </w:p>
        </w:tc>
        <w:tc>
          <w:tcPr>
            <w:tcW w:w="771" w:type="pct"/>
          </w:tcPr>
          <w:p w:rsidR="00C6200C" w:rsidRPr="00092F60" w:rsidRDefault="00C6200C" w:rsidP="00D05B69">
            <w:pPr>
              <w:pStyle w:val="TableHeading"/>
            </w:pPr>
            <w:r w:rsidRPr="00092F60">
              <w:t>Absolute difference</w:t>
            </w:r>
          </w:p>
        </w:tc>
        <w:tc>
          <w:tcPr>
            <w:tcW w:w="668" w:type="pct"/>
          </w:tcPr>
          <w:p w:rsidR="00C6200C" w:rsidRPr="00092F60" w:rsidRDefault="00C6200C" w:rsidP="00D05B69">
            <w:pPr>
              <w:pStyle w:val="TableHeading"/>
              <w:rPr>
                <w:vertAlign w:val="superscript"/>
              </w:rPr>
            </w:pPr>
            <w:r w:rsidRPr="00092F60">
              <w:t>P-Value</w:t>
            </w:r>
            <w:r w:rsidRPr="00092F60">
              <w:rPr>
                <w:vertAlign w:val="superscript"/>
              </w:rPr>
              <w:t>b</w:t>
            </w:r>
          </w:p>
        </w:tc>
      </w:tr>
      <w:tr w:rsidR="00D05B69" w:rsidRPr="00092F60" w:rsidTr="00C6200C">
        <w:tc>
          <w:tcPr>
            <w:tcW w:w="1535" w:type="pct"/>
          </w:tcPr>
          <w:p w:rsidR="00D05B69" w:rsidRPr="00092F60" w:rsidRDefault="00C6200C" w:rsidP="00D05B69">
            <w:pPr>
              <w:pStyle w:val="TableText0"/>
            </w:pPr>
            <w:r w:rsidRPr="00C6200C">
              <w:rPr>
                <w:color w:val="FFFFFF" w:themeColor="background1"/>
              </w:rPr>
              <w:t>-</w:t>
            </w:r>
          </w:p>
        </w:tc>
        <w:tc>
          <w:tcPr>
            <w:tcW w:w="1013" w:type="pct"/>
            <w:tcBorders>
              <w:right w:val="single" w:sz="4" w:space="0" w:color="auto"/>
            </w:tcBorders>
          </w:tcPr>
          <w:p w:rsidR="00D05B69" w:rsidRPr="005E6E1C" w:rsidRDefault="00D05B69" w:rsidP="00D05B69">
            <w:pPr>
              <w:pStyle w:val="TableText0"/>
              <w:rPr>
                <w:b/>
              </w:rPr>
            </w:pPr>
            <w:r w:rsidRPr="005E6E1C">
              <w:rPr>
                <w:b/>
              </w:rPr>
              <w:t>Eculizumab</w:t>
            </w:r>
          </w:p>
        </w:tc>
        <w:tc>
          <w:tcPr>
            <w:tcW w:w="1013" w:type="pct"/>
            <w:tcBorders>
              <w:left w:val="single" w:sz="4" w:space="0" w:color="auto"/>
            </w:tcBorders>
          </w:tcPr>
          <w:p w:rsidR="00D05B69" w:rsidRPr="005E6E1C" w:rsidRDefault="00D05B69" w:rsidP="00D05B69">
            <w:pPr>
              <w:pStyle w:val="TableText0"/>
              <w:rPr>
                <w:b/>
              </w:rPr>
            </w:pPr>
            <w:r w:rsidRPr="005E6E1C">
              <w:rPr>
                <w:b/>
              </w:rPr>
              <w:t>Placebo</w:t>
            </w:r>
          </w:p>
        </w:tc>
        <w:tc>
          <w:tcPr>
            <w:tcW w:w="771" w:type="pct"/>
          </w:tcPr>
          <w:p w:rsidR="00D05B69" w:rsidRPr="00C6200C" w:rsidRDefault="00C6200C" w:rsidP="00D05B69">
            <w:pPr>
              <w:pStyle w:val="TableText0"/>
              <w:rPr>
                <w:color w:val="FFFFFF" w:themeColor="background1"/>
              </w:rPr>
            </w:pPr>
            <w:r>
              <w:rPr>
                <w:color w:val="FFFFFF" w:themeColor="background1"/>
              </w:rPr>
              <w:t>-</w:t>
            </w:r>
          </w:p>
        </w:tc>
        <w:tc>
          <w:tcPr>
            <w:tcW w:w="668" w:type="pct"/>
          </w:tcPr>
          <w:p w:rsidR="00D05B69" w:rsidRPr="00C6200C" w:rsidRDefault="00C6200C" w:rsidP="00D05B69">
            <w:pPr>
              <w:pStyle w:val="TableText0"/>
              <w:rPr>
                <w:color w:val="FFFFFF" w:themeColor="background1"/>
              </w:rPr>
            </w:pPr>
            <w:r>
              <w:rPr>
                <w:color w:val="FFFFFF" w:themeColor="background1"/>
              </w:rPr>
              <w:t>-</w:t>
            </w:r>
          </w:p>
        </w:tc>
      </w:tr>
      <w:tr w:rsidR="00D05B69" w:rsidRPr="00092F60" w:rsidTr="00C6200C">
        <w:tc>
          <w:tcPr>
            <w:tcW w:w="1535" w:type="pct"/>
          </w:tcPr>
          <w:p w:rsidR="00D05B69" w:rsidRPr="00092F60" w:rsidRDefault="00D05B69" w:rsidP="00D05B69">
            <w:pPr>
              <w:pStyle w:val="TableText0"/>
            </w:pPr>
            <w:r w:rsidRPr="00092F60">
              <w:t>FACIT-Fatigue score</w:t>
            </w:r>
            <w:r w:rsidRPr="00092F60">
              <w:rPr>
                <w:vertAlign w:val="superscript"/>
              </w:rPr>
              <w:t>c</w:t>
            </w:r>
            <w:r w:rsidRPr="00092F60">
              <w:t xml:space="preserve"> </w:t>
            </w:r>
          </w:p>
          <w:p w:rsidR="00D05B69" w:rsidRPr="00092F60" w:rsidRDefault="00D05B69" w:rsidP="00D05B69">
            <w:pPr>
              <w:pStyle w:val="TableText0"/>
            </w:pPr>
            <w:r w:rsidRPr="00092F60">
              <w:t>Mean ± SE</w:t>
            </w:r>
          </w:p>
        </w:tc>
        <w:tc>
          <w:tcPr>
            <w:tcW w:w="1013" w:type="pct"/>
            <w:tcBorders>
              <w:right w:val="single" w:sz="4" w:space="0" w:color="auto"/>
            </w:tcBorders>
          </w:tcPr>
          <w:p w:rsidR="00D05B69" w:rsidRPr="00092F60" w:rsidRDefault="00D05B69" w:rsidP="00D05B69">
            <w:pPr>
              <w:pStyle w:val="TableText0"/>
              <w:rPr>
                <w:vertAlign w:val="superscript"/>
              </w:rPr>
            </w:pPr>
            <w:r w:rsidRPr="00092F60">
              <w:t>N</w:t>
            </w:r>
            <w:r w:rsidR="00652355" w:rsidRPr="00652355">
              <w:rPr>
                <w:spacing w:val="-20"/>
              </w:rPr>
              <w:t xml:space="preserve"> = </w:t>
            </w:r>
            <w:r w:rsidRPr="00092F60">
              <w:t>41</w:t>
            </w:r>
            <w:r w:rsidRPr="00092F60">
              <w:rPr>
                <w:vertAlign w:val="superscript"/>
              </w:rPr>
              <w:t>d</w:t>
            </w:r>
          </w:p>
          <w:p w:rsidR="00D05B69" w:rsidRPr="00092F60" w:rsidRDefault="00D05B69" w:rsidP="00D05B69">
            <w:pPr>
              <w:pStyle w:val="TableText0"/>
            </w:pPr>
            <w:r w:rsidRPr="00092F60">
              <w:t>6.4 ± 1.2</w:t>
            </w:r>
          </w:p>
        </w:tc>
        <w:tc>
          <w:tcPr>
            <w:tcW w:w="1013" w:type="pct"/>
            <w:tcBorders>
              <w:left w:val="single" w:sz="4" w:space="0" w:color="auto"/>
            </w:tcBorders>
          </w:tcPr>
          <w:p w:rsidR="00D05B69" w:rsidRPr="00092F60" w:rsidRDefault="00D05B69" w:rsidP="00D05B69">
            <w:pPr>
              <w:pStyle w:val="TableText0"/>
              <w:rPr>
                <w:vertAlign w:val="superscript"/>
              </w:rPr>
            </w:pPr>
            <w:r w:rsidRPr="00092F60">
              <w:t>N</w:t>
            </w:r>
            <w:r w:rsidR="00652355" w:rsidRPr="00652355">
              <w:rPr>
                <w:spacing w:val="-20"/>
              </w:rPr>
              <w:t xml:space="preserve"> = </w:t>
            </w:r>
            <w:r w:rsidRPr="00092F60">
              <w:t>39</w:t>
            </w:r>
            <w:r w:rsidRPr="00092F60">
              <w:rPr>
                <w:vertAlign w:val="superscript"/>
              </w:rPr>
              <w:t>d</w:t>
            </w:r>
          </w:p>
          <w:p w:rsidR="00D05B69" w:rsidRPr="00092F60" w:rsidRDefault="00D05B69" w:rsidP="00D05B69">
            <w:pPr>
              <w:pStyle w:val="TableText0"/>
            </w:pPr>
            <w:r w:rsidRPr="00092F60">
              <w:t>- 4.0 ± 1.7</w:t>
            </w:r>
          </w:p>
        </w:tc>
        <w:tc>
          <w:tcPr>
            <w:tcW w:w="771" w:type="pct"/>
          </w:tcPr>
          <w:p w:rsidR="00D05B69" w:rsidRPr="00092F60" w:rsidRDefault="00D05B69" w:rsidP="00D05B69">
            <w:pPr>
              <w:pStyle w:val="TableText0"/>
            </w:pPr>
          </w:p>
          <w:p w:rsidR="00D05B69" w:rsidRPr="00092F60" w:rsidRDefault="00D05B69" w:rsidP="00D05B69">
            <w:pPr>
              <w:pStyle w:val="TableText0"/>
            </w:pPr>
            <w:r w:rsidRPr="00092F60">
              <w:t>10.4</w:t>
            </w:r>
          </w:p>
        </w:tc>
        <w:tc>
          <w:tcPr>
            <w:tcW w:w="668" w:type="pct"/>
          </w:tcPr>
          <w:p w:rsidR="00D05B69" w:rsidRPr="00092F60" w:rsidRDefault="00D05B69" w:rsidP="00D05B69">
            <w:pPr>
              <w:pStyle w:val="TableText0"/>
            </w:pPr>
          </w:p>
          <w:p w:rsidR="00D05B69" w:rsidRPr="00092F60" w:rsidRDefault="00D05B69" w:rsidP="00D05B69">
            <w:pPr>
              <w:pStyle w:val="TableText0"/>
            </w:pPr>
            <w:r w:rsidRPr="00092F60">
              <w:t>P&lt;0.001</w:t>
            </w:r>
          </w:p>
        </w:tc>
      </w:tr>
      <w:tr w:rsidR="00D05B69" w:rsidRPr="00092F60" w:rsidTr="00D05B69">
        <w:tc>
          <w:tcPr>
            <w:tcW w:w="1535" w:type="pct"/>
          </w:tcPr>
          <w:p w:rsidR="00D05B69" w:rsidRPr="00092F60" w:rsidRDefault="00D05B69" w:rsidP="00D05B69">
            <w:pPr>
              <w:pStyle w:val="TableText0"/>
              <w:rPr>
                <w:vertAlign w:val="superscript"/>
              </w:rPr>
            </w:pPr>
            <w:r w:rsidRPr="00092F60">
              <w:t>Quality of life (EORTC QLQ-C30)</w:t>
            </w:r>
            <w:r w:rsidRPr="00092F60">
              <w:rPr>
                <w:vertAlign w:val="superscript"/>
              </w:rPr>
              <w:t>e</w:t>
            </w:r>
          </w:p>
        </w:tc>
        <w:tc>
          <w:tcPr>
            <w:tcW w:w="1013" w:type="pct"/>
          </w:tcPr>
          <w:p w:rsidR="00D05B69" w:rsidRPr="00092F60" w:rsidRDefault="00D05B69" w:rsidP="00D05B69">
            <w:pPr>
              <w:pStyle w:val="TableText0"/>
            </w:pPr>
            <w:r w:rsidRPr="00092F60">
              <w:t>N</w:t>
            </w:r>
            <w:r w:rsidR="00652355" w:rsidRPr="00652355">
              <w:rPr>
                <w:spacing w:val="-20"/>
              </w:rPr>
              <w:t xml:space="preserve"> = </w:t>
            </w:r>
            <w:r w:rsidRPr="00092F60">
              <w:t>43</w:t>
            </w:r>
          </w:p>
        </w:tc>
        <w:tc>
          <w:tcPr>
            <w:tcW w:w="1013" w:type="pct"/>
          </w:tcPr>
          <w:p w:rsidR="00D05B69" w:rsidRPr="00092F60" w:rsidRDefault="00D05B69" w:rsidP="00D05B69">
            <w:pPr>
              <w:pStyle w:val="TableText0"/>
            </w:pPr>
            <w:r w:rsidRPr="00092F60">
              <w:t>N</w:t>
            </w:r>
            <w:r w:rsidR="00652355" w:rsidRPr="00652355">
              <w:rPr>
                <w:spacing w:val="-20"/>
              </w:rPr>
              <w:t xml:space="preserve"> = </w:t>
            </w:r>
            <w:r w:rsidRPr="00092F60">
              <w:t>44</w:t>
            </w:r>
          </w:p>
        </w:tc>
        <w:tc>
          <w:tcPr>
            <w:tcW w:w="771" w:type="pct"/>
          </w:tcPr>
          <w:p w:rsidR="00D05B69" w:rsidRPr="00092F60" w:rsidRDefault="00D05B69" w:rsidP="00D05B69">
            <w:pPr>
              <w:pStyle w:val="TableText0"/>
            </w:pPr>
          </w:p>
        </w:tc>
        <w:tc>
          <w:tcPr>
            <w:tcW w:w="668" w:type="pct"/>
          </w:tcPr>
          <w:p w:rsidR="00D05B69" w:rsidRPr="00092F60" w:rsidRDefault="00D05B69" w:rsidP="00D05B69">
            <w:pPr>
              <w:pStyle w:val="TableText0"/>
            </w:pPr>
          </w:p>
        </w:tc>
      </w:tr>
      <w:tr w:rsidR="00D05B69" w:rsidRPr="00092F60" w:rsidTr="00D05B69">
        <w:tc>
          <w:tcPr>
            <w:tcW w:w="1535" w:type="pct"/>
          </w:tcPr>
          <w:p w:rsidR="00D05B69" w:rsidRPr="00092F60" w:rsidRDefault="00D05B69" w:rsidP="00D05B69">
            <w:pPr>
              <w:pStyle w:val="TableText0"/>
            </w:pPr>
            <w:r w:rsidRPr="00092F60">
              <w:t>Global health status scale</w:t>
            </w:r>
          </w:p>
        </w:tc>
        <w:tc>
          <w:tcPr>
            <w:tcW w:w="1013" w:type="pct"/>
          </w:tcPr>
          <w:p w:rsidR="00D05B69" w:rsidRPr="00092F60" w:rsidRDefault="00D05B69" w:rsidP="00D05B69">
            <w:pPr>
              <w:pStyle w:val="TableText0"/>
            </w:pPr>
            <w:r w:rsidRPr="00092F60">
              <w:t>10.9</w:t>
            </w:r>
          </w:p>
        </w:tc>
        <w:tc>
          <w:tcPr>
            <w:tcW w:w="1013" w:type="pct"/>
          </w:tcPr>
          <w:p w:rsidR="00D05B69" w:rsidRPr="00092F60" w:rsidRDefault="00D05B69" w:rsidP="00D05B69">
            <w:pPr>
              <w:pStyle w:val="TableText0"/>
            </w:pPr>
            <w:r w:rsidRPr="00092F60">
              <w:t>-8.5</w:t>
            </w:r>
          </w:p>
        </w:tc>
        <w:tc>
          <w:tcPr>
            <w:tcW w:w="771" w:type="pct"/>
          </w:tcPr>
          <w:p w:rsidR="00D05B69" w:rsidRPr="00092F60" w:rsidRDefault="00D05B69" w:rsidP="00D05B69">
            <w:pPr>
              <w:pStyle w:val="TableText0"/>
            </w:pPr>
            <w:r w:rsidRPr="00092F60">
              <w:t>19.4</w:t>
            </w:r>
          </w:p>
        </w:tc>
        <w:tc>
          <w:tcPr>
            <w:tcW w:w="668" w:type="pct"/>
          </w:tcPr>
          <w:p w:rsidR="00D05B69" w:rsidRPr="00092F60" w:rsidRDefault="00D05B69" w:rsidP="00D05B69">
            <w:pPr>
              <w:pStyle w:val="TableText0"/>
            </w:pPr>
            <w:r w:rsidRPr="00092F60">
              <w:t>&lt;0.001</w:t>
            </w:r>
          </w:p>
        </w:tc>
      </w:tr>
      <w:tr w:rsidR="00D05B69" w:rsidRPr="00092F60" w:rsidTr="00D05B69">
        <w:tc>
          <w:tcPr>
            <w:tcW w:w="1535" w:type="pct"/>
          </w:tcPr>
          <w:p w:rsidR="00D05B69" w:rsidRPr="005E6E1C" w:rsidRDefault="00D05B69" w:rsidP="00D05B69">
            <w:pPr>
              <w:pStyle w:val="TableText0"/>
              <w:rPr>
                <w:b/>
              </w:rPr>
            </w:pPr>
            <w:r w:rsidRPr="005E6E1C">
              <w:rPr>
                <w:b/>
              </w:rPr>
              <w:t>Functioning scales</w:t>
            </w:r>
          </w:p>
          <w:p w:rsidR="00D05B69" w:rsidRPr="00092F60" w:rsidRDefault="00D05B69" w:rsidP="00D05B69">
            <w:pPr>
              <w:pStyle w:val="TableText0"/>
            </w:pPr>
            <w:r w:rsidRPr="00092F60">
              <w:t>Role</w:t>
            </w:r>
          </w:p>
          <w:p w:rsidR="00D05B69" w:rsidRPr="00092F60" w:rsidRDefault="00D05B69" w:rsidP="00D05B69">
            <w:pPr>
              <w:pStyle w:val="TableText0"/>
            </w:pPr>
            <w:r w:rsidRPr="00092F60">
              <w:t>Social</w:t>
            </w:r>
          </w:p>
          <w:p w:rsidR="00D05B69" w:rsidRPr="00092F60" w:rsidRDefault="00D05B69" w:rsidP="00D05B69">
            <w:pPr>
              <w:pStyle w:val="TableText0"/>
            </w:pPr>
            <w:r w:rsidRPr="00092F60">
              <w:t>Cognitive</w:t>
            </w:r>
          </w:p>
          <w:p w:rsidR="00D05B69" w:rsidRPr="00092F60" w:rsidRDefault="00D05B69" w:rsidP="00D05B69">
            <w:pPr>
              <w:pStyle w:val="TableText0"/>
            </w:pPr>
            <w:r w:rsidRPr="00092F60">
              <w:t>Physical</w:t>
            </w:r>
          </w:p>
          <w:p w:rsidR="00D05B69" w:rsidRPr="00092F60" w:rsidRDefault="00D05B69" w:rsidP="00D05B69">
            <w:pPr>
              <w:pStyle w:val="TableText0"/>
            </w:pPr>
            <w:r w:rsidRPr="00092F60">
              <w:t>Emotional</w:t>
            </w:r>
          </w:p>
        </w:tc>
        <w:tc>
          <w:tcPr>
            <w:tcW w:w="1013" w:type="pct"/>
          </w:tcPr>
          <w:p w:rsidR="00D05B69" w:rsidRPr="00092F60" w:rsidRDefault="00D05B69" w:rsidP="00D05B69">
            <w:pPr>
              <w:pStyle w:val="TableText0"/>
            </w:pPr>
          </w:p>
          <w:p w:rsidR="00D05B69" w:rsidRPr="00092F60" w:rsidRDefault="00D05B69" w:rsidP="00D05B69">
            <w:pPr>
              <w:pStyle w:val="TableText0"/>
            </w:pPr>
            <w:r w:rsidRPr="00092F60">
              <w:t>17.9</w:t>
            </w:r>
          </w:p>
          <w:p w:rsidR="00D05B69" w:rsidRPr="00092F60" w:rsidRDefault="00D05B69" w:rsidP="00D05B69">
            <w:pPr>
              <w:pStyle w:val="TableText0"/>
            </w:pPr>
            <w:r w:rsidRPr="00092F60">
              <w:t>16.7</w:t>
            </w:r>
          </w:p>
          <w:p w:rsidR="00D05B69" w:rsidRPr="00092F60" w:rsidRDefault="00D05B69" w:rsidP="00D05B69">
            <w:pPr>
              <w:pStyle w:val="TableText0"/>
            </w:pPr>
            <w:r w:rsidRPr="00092F60">
              <w:t>7.9</w:t>
            </w:r>
          </w:p>
          <w:p w:rsidR="00D05B69" w:rsidRPr="00092F60" w:rsidRDefault="00D05B69" w:rsidP="00D05B69">
            <w:pPr>
              <w:pStyle w:val="TableText0"/>
            </w:pPr>
            <w:r w:rsidRPr="00092F60">
              <w:t>9.4</w:t>
            </w:r>
          </w:p>
          <w:p w:rsidR="00D05B69" w:rsidRPr="00092F60" w:rsidRDefault="00D05B69" w:rsidP="00D05B69">
            <w:pPr>
              <w:pStyle w:val="TableText0"/>
            </w:pPr>
            <w:r w:rsidRPr="00092F60">
              <w:t>7.5</w:t>
            </w:r>
          </w:p>
        </w:tc>
        <w:tc>
          <w:tcPr>
            <w:tcW w:w="1013" w:type="pct"/>
          </w:tcPr>
          <w:p w:rsidR="00D05B69" w:rsidRPr="00092F60" w:rsidRDefault="00D05B69" w:rsidP="00D05B69">
            <w:pPr>
              <w:pStyle w:val="TableText0"/>
            </w:pPr>
          </w:p>
          <w:p w:rsidR="00D05B69" w:rsidRPr="00092F60" w:rsidRDefault="00D05B69" w:rsidP="00D05B69">
            <w:pPr>
              <w:pStyle w:val="TableText0"/>
            </w:pPr>
            <w:r w:rsidRPr="00092F60">
              <w:t>-6.9</w:t>
            </w:r>
          </w:p>
          <w:p w:rsidR="00D05B69" w:rsidRPr="00092F60" w:rsidRDefault="00D05B69" w:rsidP="00D05B69">
            <w:pPr>
              <w:pStyle w:val="TableText0"/>
            </w:pPr>
            <w:r w:rsidRPr="00092F60">
              <w:t>2.0</w:t>
            </w:r>
          </w:p>
          <w:p w:rsidR="00D05B69" w:rsidRPr="00092F60" w:rsidRDefault="00D05B69" w:rsidP="00D05B69">
            <w:pPr>
              <w:pStyle w:val="TableText0"/>
            </w:pPr>
            <w:r w:rsidRPr="00092F60">
              <w:t>-6.1</w:t>
            </w:r>
          </w:p>
          <w:p w:rsidR="00D05B69" w:rsidRPr="00092F60" w:rsidRDefault="00D05B69" w:rsidP="00D05B69">
            <w:pPr>
              <w:pStyle w:val="TableText0"/>
            </w:pPr>
            <w:r w:rsidRPr="00092F60">
              <w:t>-3.5</w:t>
            </w:r>
          </w:p>
          <w:p w:rsidR="00D05B69" w:rsidRPr="00092F60" w:rsidRDefault="00D05B69" w:rsidP="00D05B69">
            <w:pPr>
              <w:pStyle w:val="TableText0"/>
            </w:pPr>
            <w:r w:rsidRPr="00092F60">
              <w:t>-3.7</w:t>
            </w:r>
          </w:p>
        </w:tc>
        <w:tc>
          <w:tcPr>
            <w:tcW w:w="771" w:type="pct"/>
          </w:tcPr>
          <w:p w:rsidR="00D05B69" w:rsidRPr="00092F60" w:rsidRDefault="00D05B69" w:rsidP="00D05B69">
            <w:pPr>
              <w:pStyle w:val="TableText0"/>
            </w:pPr>
          </w:p>
          <w:p w:rsidR="00D05B69" w:rsidRPr="00092F60" w:rsidRDefault="00D05B69" w:rsidP="00D05B69">
            <w:pPr>
              <w:pStyle w:val="TableText0"/>
            </w:pPr>
            <w:r w:rsidRPr="00092F60">
              <w:t>24.8</w:t>
            </w:r>
          </w:p>
          <w:p w:rsidR="00D05B69" w:rsidRPr="00092F60" w:rsidRDefault="00D05B69" w:rsidP="00D05B69">
            <w:pPr>
              <w:pStyle w:val="TableText0"/>
            </w:pPr>
            <w:r w:rsidRPr="00092F60">
              <w:t>14.7</w:t>
            </w:r>
          </w:p>
          <w:p w:rsidR="00D05B69" w:rsidRPr="00092F60" w:rsidRDefault="00D05B69" w:rsidP="00D05B69">
            <w:pPr>
              <w:pStyle w:val="TableText0"/>
            </w:pPr>
            <w:r w:rsidRPr="00092F60">
              <w:t>14.0</w:t>
            </w:r>
          </w:p>
          <w:p w:rsidR="00D05B69" w:rsidRPr="00092F60" w:rsidRDefault="00D05B69" w:rsidP="00D05B69">
            <w:pPr>
              <w:pStyle w:val="TableText0"/>
            </w:pPr>
            <w:r w:rsidRPr="00092F60">
              <w:t>12.9</w:t>
            </w:r>
          </w:p>
          <w:p w:rsidR="00D05B69" w:rsidRPr="00092F60" w:rsidRDefault="00D05B69" w:rsidP="00D05B69">
            <w:pPr>
              <w:pStyle w:val="TableText0"/>
            </w:pPr>
            <w:r w:rsidRPr="00092F60">
              <w:t>11.2</w:t>
            </w:r>
          </w:p>
        </w:tc>
        <w:tc>
          <w:tcPr>
            <w:tcW w:w="668" w:type="pct"/>
          </w:tcPr>
          <w:p w:rsidR="00D05B69" w:rsidRPr="00092F60" w:rsidRDefault="00D05B69" w:rsidP="00D05B69">
            <w:pPr>
              <w:pStyle w:val="TableText0"/>
            </w:pPr>
          </w:p>
          <w:p w:rsidR="00D05B69" w:rsidRPr="00092F60" w:rsidRDefault="00D05B69" w:rsidP="00D05B69">
            <w:pPr>
              <w:pStyle w:val="TableText0"/>
            </w:pPr>
            <w:r w:rsidRPr="00092F60">
              <w:t>&lt;0.001</w:t>
            </w:r>
          </w:p>
          <w:p w:rsidR="00D05B69" w:rsidRPr="00092F60" w:rsidRDefault="00D05B69" w:rsidP="00D05B69">
            <w:pPr>
              <w:pStyle w:val="TableText0"/>
            </w:pPr>
            <w:r w:rsidRPr="00092F60">
              <w:t>0.003</w:t>
            </w:r>
          </w:p>
          <w:p w:rsidR="00D05B69" w:rsidRPr="00092F60" w:rsidRDefault="00D05B69" w:rsidP="00D05B69">
            <w:pPr>
              <w:pStyle w:val="TableText0"/>
            </w:pPr>
            <w:r w:rsidRPr="00092F60">
              <w:t>0.002</w:t>
            </w:r>
          </w:p>
          <w:p w:rsidR="00D05B69" w:rsidRPr="00092F60" w:rsidRDefault="00D05B69" w:rsidP="00D05B69">
            <w:pPr>
              <w:pStyle w:val="TableText0"/>
            </w:pPr>
            <w:r w:rsidRPr="00092F60">
              <w:t>&lt;0.001</w:t>
            </w:r>
          </w:p>
          <w:p w:rsidR="00D05B69" w:rsidRPr="00092F60" w:rsidRDefault="00D05B69" w:rsidP="00D05B69">
            <w:pPr>
              <w:pStyle w:val="TableText0"/>
            </w:pPr>
            <w:r w:rsidRPr="00092F60">
              <w:t>0.008</w:t>
            </w:r>
          </w:p>
        </w:tc>
      </w:tr>
      <w:tr w:rsidR="00D05B69" w:rsidRPr="00092F60" w:rsidTr="00D05B69">
        <w:tc>
          <w:tcPr>
            <w:tcW w:w="1535" w:type="pct"/>
          </w:tcPr>
          <w:p w:rsidR="00D05B69" w:rsidRPr="005E6E1C" w:rsidRDefault="00D05B69" w:rsidP="00D05B69">
            <w:pPr>
              <w:pStyle w:val="TableText0"/>
              <w:rPr>
                <w:b/>
              </w:rPr>
            </w:pPr>
            <w:r w:rsidRPr="005E6E1C">
              <w:rPr>
                <w:b/>
              </w:rPr>
              <w:t>Symptom scales</w:t>
            </w:r>
          </w:p>
          <w:p w:rsidR="00D05B69" w:rsidRPr="00092F60" w:rsidRDefault="00D05B69" w:rsidP="00D05B69">
            <w:pPr>
              <w:pStyle w:val="TableText0"/>
            </w:pPr>
            <w:r w:rsidRPr="00092F60">
              <w:t>Fatigue</w:t>
            </w:r>
          </w:p>
          <w:p w:rsidR="00D05B69" w:rsidRPr="00092F60" w:rsidRDefault="00D05B69" w:rsidP="00D05B69">
            <w:pPr>
              <w:pStyle w:val="TableText0"/>
            </w:pPr>
            <w:r w:rsidRPr="00092F60">
              <w:t>Pain</w:t>
            </w:r>
          </w:p>
          <w:p w:rsidR="00D05B69" w:rsidRPr="00092F60" w:rsidRDefault="00D05B69" w:rsidP="00D05B69">
            <w:pPr>
              <w:pStyle w:val="TableText0"/>
            </w:pPr>
            <w:r w:rsidRPr="00092F60">
              <w:t>Nausea and vomiting</w:t>
            </w:r>
          </w:p>
        </w:tc>
        <w:tc>
          <w:tcPr>
            <w:tcW w:w="1013" w:type="pct"/>
          </w:tcPr>
          <w:p w:rsidR="00D05B69" w:rsidRPr="00092F60" w:rsidRDefault="00D05B69" w:rsidP="00D05B69">
            <w:pPr>
              <w:pStyle w:val="TableText0"/>
            </w:pPr>
          </w:p>
          <w:p w:rsidR="00D05B69" w:rsidRPr="00092F60" w:rsidRDefault="00D05B69" w:rsidP="00D05B69">
            <w:pPr>
              <w:pStyle w:val="TableText0"/>
            </w:pPr>
            <w:r w:rsidRPr="00092F60">
              <w:t>-16.9</w:t>
            </w:r>
          </w:p>
          <w:p w:rsidR="00D05B69" w:rsidRPr="00092F60" w:rsidRDefault="00D05B69" w:rsidP="00D05B69">
            <w:pPr>
              <w:pStyle w:val="TableText0"/>
            </w:pPr>
            <w:r w:rsidRPr="00092F60">
              <w:t>-12.3</w:t>
            </w:r>
          </w:p>
          <w:p w:rsidR="00D05B69" w:rsidRPr="00092F60" w:rsidRDefault="00D05B69" w:rsidP="00D05B69">
            <w:pPr>
              <w:pStyle w:val="TableText0"/>
            </w:pPr>
            <w:r w:rsidRPr="00092F60">
              <w:t>-0.4</w:t>
            </w:r>
          </w:p>
        </w:tc>
        <w:tc>
          <w:tcPr>
            <w:tcW w:w="1013" w:type="pct"/>
          </w:tcPr>
          <w:p w:rsidR="00D05B69" w:rsidRPr="00092F60" w:rsidRDefault="00D05B69" w:rsidP="00D05B69">
            <w:pPr>
              <w:pStyle w:val="TableText0"/>
            </w:pPr>
          </w:p>
          <w:p w:rsidR="00D05B69" w:rsidRPr="00092F60" w:rsidRDefault="00D05B69" w:rsidP="00D05B69">
            <w:pPr>
              <w:pStyle w:val="TableText0"/>
            </w:pPr>
            <w:r w:rsidRPr="00092F60">
              <w:t>10.0</w:t>
            </w:r>
          </w:p>
          <w:p w:rsidR="00D05B69" w:rsidRPr="00092F60" w:rsidRDefault="00D05B69" w:rsidP="00D05B69">
            <w:pPr>
              <w:pStyle w:val="TableText0"/>
            </w:pPr>
            <w:r w:rsidRPr="00092F60">
              <w:t>5.3</w:t>
            </w:r>
          </w:p>
          <w:p w:rsidR="00D05B69" w:rsidRPr="00092F60" w:rsidRDefault="00D05B69" w:rsidP="00D05B69">
            <w:pPr>
              <w:pStyle w:val="TableText0"/>
            </w:pPr>
            <w:r w:rsidRPr="00092F60">
              <w:t>2.8</w:t>
            </w:r>
          </w:p>
        </w:tc>
        <w:tc>
          <w:tcPr>
            <w:tcW w:w="771" w:type="pct"/>
          </w:tcPr>
          <w:p w:rsidR="00D05B69" w:rsidRPr="00092F60" w:rsidRDefault="00D05B69" w:rsidP="00D05B69">
            <w:pPr>
              <w:pStyle w:val="TableText0"/>
            </w:pPr>
          </w:p>
          <w:p w:rsidR="00D05B69" w:rsidRPr="00092F60" w:rsidRDefault="00D05B69" w:rsidP="00D05B69">
            <w:pPr>
              <w:pStyle w:val="TableText0"/>
            </w:pPr>
            <w:r w:rsidRPr="00092F60">
              <w:t>26.9</w:t>
            </w:r>
          </w:p>
          <w:p w:rsidR="00D05B69" w:rsidRPr="00092F60" w:rsidRDefault="00D05B69" w:rsidP="00D05B69">
            <w:pPr>
              <w:pStyle w:val="TableText0"/>
            </w:pPr>
            <w:r w:rsidRPr="00092F60">
              <w:t>17.6</w:t>
            </w:r>
          </w:p>
          <w:p w:rsidR="00D05B69" w:rsidRPr="00092F60" w:rsidRDefault="00D05B69" w:rsidP="00D05B69">
            <w:pPr>
              <w:pStyle w:val="TableText0"/>
            </w:pPr>
            <w:r w:rsidRPr="00092F60">
              <w:t>3.2</w:t>
            </w:r>
          </w:p>
        </w:tc>
        <w:tc>
          <w:tcPr>
            <w:tcW w:w="668" w:type="pct"/>
          </w:tcPr>
          <w:p w:rsidR="00D05B69" w:rsidRPr="00092F60" w:rsidRDefault="00D05B69" w:rsidP="00D05B69">
            <w:pPr>
              <w:pStyle w:val="TableText0"/>
            </w:pPr>
          </w:p>
          <w:p w:rsidR="00D05B69" w:rsidRPr="00092F60" w:rsidRDefault="00D05B69" w:rsidP="00D05B69">
            <w:pPr>
              <w:pStyle w:val="TableText0"/>
            </w:pPr>
            <w:r w:rsidRPr="00092F60">
              <w:t>&lt;0.001</w:t>
            </w:r>
          </w:p>
          <w:p w:rsidR="00D05B69" w:rsidRPr="00092F60" w:rsidRDefault="00D05B69" w:rsidP="00D05B69">
            <w:pPr>
              <w:pStyle w:val="TableText0"/>
            </w:pPr>
            <w:r w:rsidRPr="00092F60">
              <w:t>0.002</w:t>
            </w:r>
          </w:p>
          <w:p w:rsidR="00D05B69" w:rsidRPr="00092F60" w:rsidRDefault="00D05B69" w:rsidP="00D05B69">
            <w:pPr>
              <w:pStyle w:val="TableText0"/>
            </w:pPr>
            <w:r w:rsidRPr="00092F60">
              <w:t>0.06</w:t>
            </w:r>
          </w:p>
        </w:tc>
      </w:tr>
      <w:tr w:rsidR="00D05B69" w:rsidRPr="00092F60" w:rsidTr="00D05B69">
        <w:tc>
          <w:tcPr>
            <w:tcW w:w="1535" w:type="pct"/>
          </w:tcPr>
          <w:p w:rsidR="00D05B69" w:rsidRPr="005E6E1C" w:rsidRDefault="00D05B69" w:rsidP="00D05B69">
            <w:pPr>
              <w:pStyle w:val="TableText0"/>
              <w:rPr>
                <w:b/>
              </w:rPr>
            </w:pPr>
            <w:r w:rsidRPr="005E6E1C">
              <w:rPr>
                <w:b/>
              </w:rPr>
              <w:t>Single-item measures</w:t>
            </w:r>
          </w:p>
          <w:p w:rsidR="00D05B69" w:rsidRPr="00092F60" w:rsidRDefault="00D05B69" w:rsidP="00D05B69">
            <w:pPr>
              <w:pStyle w:val="TableText0"/>
            </w:pPr>
            <w:r w:rsidRPr="00092F60">
              <w:t>Dyspnoea</w:t>
            </w:r>
          </w:p>
          <w:p w:rsidR="00D05B69" w:rsidRPr="00092F60" w:rsidRDefault="00D05B69" w:rsidP="00D05B69">
            <w:pPr>
              <w:pStyle w:val="TableText0"/>
            </w:pPr>
            <w:r w:rsidRPr="00092F60">
              <w:t>Loss of appetite</w:t>
            </w:r>
          </w:p>
          <w:p w:rsidR="00D05B69" w:rsidRPr="00092F60" w:rsidRDefault="00D05B69" w:rsidP="00D05B69">
            <w:pPr>
              <w:pStyle w:val="TableText0"/>
            </w:pPr>
            <w:r w:rsidRPr="00092F60">
              <w:t>Insomnia</w:t>
            </w:r>
          </w:p>
          <w:p w:rsidR="00D05B69" w:rsidRPr="00092F60" w:rsidRDefault="00D05B69" w:rsidP="00D05B69">
            <w:pPr>
              <w:pStyle w:val="TableText0"/>
            </w:pPr>
            <w:r w:rsidRPr="00092F60">
              <w:t>Financial difficulties</w:t>
            </w:r>
          </w:p>
          <w:p w:rsidR="00D05B69" w:rsidRPr="00092F60" w:rsidRDefault="00D05B69" w:rsidP="00D05B69">
            <w:pPr>
              <w:pStyle w:val="TableText0"/>
            </w:pPr>
            <w:r w:rsidRPr="00092F60">
              <w:t>Constipation</w:t>
            </w:r>
          </w:p>
          <w:p w:rsidR="00D05B69" w:rsidRPr="00092F60" w:rsidRDefault="00D05B69" w:rsidP="00D05B69">
            <w:pPr>
              <w:pStyle w:val="TableText0"/>
            </w:pPr>
            <w:r w:rsidRPr="00092F60">
              <w:t>Diarrhoea</w:t>
            </w:r>
          </w:p>
        </w:tc>
        <w:tc>
          <w:tcPr>
            <w:tcW w:w="1013" w:type="pct"/>
          </w:tcPr>
          <w:p w:rsidR="00D05B69" w:rsidRPr="00092F60" w:rsidRDefault="00D05B69" w:rsidP="00D05B69">
            <w:pPr>
              <w:pStyle w:val="TableText0"/>
            </w:pPr>
          </w:p>
          <w:p w:rsidR="00D05B69" w:rsidRPr="00092F60" w:rsidRDefault="00D05B69" w:rsidP="00D05B69">
            <w:pPr>
              <w:pStyle w:val="TableText0"/>
            </w:pPr>
            <w:r w:rsidRPr="00092F60">
              <w:t>-7.9</w:t>
            </w:r>
          </w:p>
          <w:p w:rsidR="00D05B69" w:rsidRPr="00092F60" w:rsidRDefault="00D05B69" w:rsidP="00D05B69">
            <w:pPr>
              <w:pStyle w:val="TableText0"/>
            </w:pPr>
            <w:r w:rsidRPr="00092F60">
              <w:t>-10.3</w:t>
            </w:r>
          </w:p>
          <w:p w:rsidR="00D05B69" w:rsidRPr="00092F60" w:rsidRDefault="00D05B69" w:rsidP="00D05B69">
            <w:pPr>
              <w:pStyle w:val="TableText0"/>
            </w:pPr>
            <w:r w:rsidRPr="00092F60">
              <w:t>-7.9</w:t>
            </w:r>
          </w:p>
          <w:p w:rsidR="00D05B69" w:rsidRPr="00092F60" w:rsidRDefault="00D05B69" w:rsidP="00D05B69">
            <w:pPr>
              <w:pStyle w:val="TableText0"/>
            </w:pPr>
            <w:r w:rsidRPr="00092F60">
              <w:t>-10.3</w:t>
            </w:r>
          </w:p>
          <w:p w:rsidR="00D05B69" w:rsidRPr="00092F60" w:rsidRDefault="00D05B69" w:rsidP="00D05B69">
            <w:pPr>
              <w:pStyle w:val="TableText0"/>
            </w:pPr>
            <w:r w:rsidRPr="00092F60">
              <w:t>-6.3</w:t>
            </w:r>
          </w:p>
          <w:p w:rsidR="00D05B69" w:rsidRPr="00092F60" w:rsidRDefault="00D05B69" w:rsidP="00D05B69">
            <w:pPr>
              <w:pStyle w:val="TableText0"/>
            </w:pPr>
            <w:r w:rsidRPr="00092F60">
              <w:t>4.8</w:t>
            </w:r>
          </w:p>
        </w:tc>
        <w:tc>
          <w:tcPr>
            <w:tcW w:w="1013" w:type="pct"/>
          </w:tcPr>
          <w:p w:rsidR="00D05B69" w:rsidRPr="00092F60" w:rsidRDefault="00D05B69" w:rsidP="00D05B69">
            <w:pPr>
              <w:pStyle w:val="TableText0"/>
            </w:pPr>
          </w:p>
          <w:p w:rsidR="00D05B69" w:rsidRPr="00092F60" w:rsidRDefault="00D05B69" w:rsidP="00D05B69">
            <w:pPr>
              <w:pStyle w:val="TableText0"/>
            </w:pPr>
            <w:r w:rsidRPr="00092F60">
              <w:t>8.9</w:t>
            </w:r>
          </w:p>
          <w:p w:rsidR="00D05B69" w:rsidRPr="00092F60" w:rsidRDefault="00D05B69" w:rsidP="00D05B69">
            <w:pPr>
              <w:pStyle w:val="TableText0"/>
            </w:pPr>
            <w:r w:rsidRPr="00092F60">
              <w:t>3.3</w:t>
            </w:r>
          </w:p>
          <w:p w:rsidR="00D05B69" w:rsidRPr="00092F60" w:rsidRDefault="00D05B69" w:rsidP="00D05B69">
            <w:pPr>
              <w:pStyle w:val="TableText0"/>
            </w:pPr>
            <w:r w:rsidRPr="00092F60">
              <w:t>4.9</w:t>
            </w:r>
          </w:p>
          <w:p w:rsidR="00D05B69" w:rsidRPr="00092F60" w:rsidRDefault="00D05B69" w:rsidP="00D05B69">
            <w:pPr>
              <w:pStyle w:val="TableText0"/>
            </w:pPr>
            <w:r w:rsidRPr="00092F60">
              <w:t>0.0</w:t>
            </w:r>
          </w:p>
          <w:p w:rsidR="00D05B69" w:rsidRPr="00092F60" w:rsidRDefault="00D05B69" w:rsidP="00D05B69">
            <w:pPr>
              <w:pStyle w:val="TableText0"/>
            </w:pPr>
            <w:r w:rsidRPr="00092F60">
              <w:t>0.0</w:t>
            </w:r>
          </w:p>
          <w:p w:rsidR="00D05B69" w:rsidRPr="00092F60" w:rsidRDefault="00D05B69" w:rsidP="00D05B69">
            <w:pPr>
              <w:pStyle w:val="TableText0"/>
            </w:pPr>
            <w:r w:rsidRPr="00092F60">
              <w:t>5.7</w:t>
            </w:r>
          </w:p>
        </w:tc>
        <w:tc>
          <w:tcPr>
            <w:tcW w:w="771" w:type="pct"/>
          </w:tcPr>
          <w:p w:rsidR="00D05B69" w:rsidRPr="00092F60" w:rsidRDefault="00D05B69" w:rsidP="00D05B69">
            <w:pPr>
              <w:pStyle w:val="TableText0"/>
            </w:pPr>
          </w:p>
          <w:p w:rsidR="00D05B69" w:rsidRPr="00092F60" w:rsidRDefault="00D05B69" w:rsidP="00D05B69">
            <w:pPr>
              <w:pStyle w:val="TableText0"/>
            </w:pPr>
            <w:r w:rsidRPr="00092F60">
              <w:t>16.8</w:t>
            </w:r>
          </w:p>
          <w:p w:rsidR="00D05B69" w:rsidRPr="00092F60" w:rsidRDefault="00D05B69" w:rsidP="00D05B69">
            <w:pPr>
              <w:pStyle w:val="TableText0"/>
            </w:pPr>
            <w:r w:rsidRPr="00092F60">
              <w:t>13.6</w:t>
            </w:r>
          </w:p>
          <w:p w:rsidR="00D05B69" w:rsidRPr="00092F60" w:rsidRDefault="00D05B69" w:rsidP="00D05B69">
            <w:pPr>
              <w:pStyle w:val="TableText0"/>
            </w:pPr>
            <w:r w:rsidRPr="00092F60">
              <w:t>12.8</w:t>
            </w:r>
          </w:p>
          <w:p w:rsidR="00D05B69" w:rsidRPr="00092F60" w:rsidRDefault="00D05B69" w:rsidP="00D05B69">
            <w:pPr>
              <w:pStyle w:val="TableText0"/>
            </w:pPr>
            <w:r w:rsidRPr="00092F60">
              <w:t>10.3</w:t>
            </w:r>
          </w:p>
          <w:p w:rsidR="00D05B69" w:rsidRPr="00092F60" w:rsidRDefault="00D05B69" w:rsidP="00D05B69">
            <w:pPr>
              <w:pStyle w:val="TableText0"/>
            </w:pPr>
            <w:r w:rsidRPr="00092F60">
              <w:t>6.3</w:t>
            </w:r>
          </w:p>
          <w:p w:rsidR="00D05B69" w:rsidRPr="00092F60" w:rsidRDefault="00D05B69" w:rsidP="00D05B69">
            <w:pPr>
              <w:pStyle w:val="TableText0"/>
            </w:pPr>
            <w:r w:rsidRPr="00092F60">
              <w:t>0.9</w:t>
            </w:r>
          </w:p>
        </w:tc>
        <w:tc>
          <w:tcPr>
            <w:tcW w:w="668" w:type="pct"/>
          </w:tcPr>
          <w:p w:rsidR="00D05B69" w:rsidRPr="00092F60" w:rsidRDefault="00D05B69" w:rsidP="00D05B69">
            <w:pPr>
              <w:pStyle w:val="TableText0"/>
            </w:pPr>
          </w:p>
          <w:p w:rsidR="00D05B69" w:rsidRPr="00092F60" w:rsidRDefault="00D05B69" w:rsidP="00D05B69">
            <w:pPr>
              <w:pStyle w:val="TableText0"/>
            </w:pPr>
            <w:r w:rsidRPr="00092F60">
              <w:t>&lt;0.001</w:t>
            </w:r>
          </w:p>
          <w:p w:rsidR="00D05B69" w:rsidRPr="00092F60" w:rsidRDefault="00D05B69" w:rsidP="00D05B69">
            <w:pPr>
              <w:pStyle w:val="TableText0"/>
            </w:pPr>
            <w:r w:rsidRPr="00092F60">
              <w:t>&lt;0.001</w:t>
            </w:r>
          </w:p>
          <w:p w:rsidR="00D05B69" w:rsidRPr="00092F60" w:rsidRDefault="00D05B69" w:rsidP="00D05B69">
            <w:pPr>
              <w:pStyle w:val="TableText0"/>
            </w:pPr>
            <w:r w:rsidRPr="00092F60">
              <w:t>0.01</w:t>
            </w:r>
          </w:p>
          <w:p w:rsidR="00D05B69" w:rsidRPr="00092F60" w:rsidRDefault="00D05B69" w:rsidP="00D05B69">
            <w:pPr>
              <w:pStyle w:val="TableText0"/>
            </w:pPr>
            <w:r w:rsidRPr="00092F60">
              <w:t>0.19</w:t>
            </w:r>
          </w:p>
          <w:p w:rsidR="00D05B69" w:rsidRPr="00092F60" w:rsidRDefault="00D05B69" w:rsidP="00D05B69">
            <w:pPr>
              <w:pStyle w:val="TableText0"/>
            </w:pPr>
            <w:r w:rsidRPr="00092F60">
              <w:t>0.20</w:t>
            </w:r>
          </w:p>
          <w:p w:rsidR="00D05B69" w:rsidRPr="00092F60" w:rsidRDefault="00D05B69" w:rsidP="00D05B69">
            <w:pPr>
              <w:pStyle w:val="TableText0"/>
            </w:pPr>
            <w:r w:rsidRPr="00092F60">
              <w:t>0.15</w:t>
            </w:r>
          </w:p>
        </w:tc>
      </w:tr>
    </w:tbl>
    <w:p w:rsidR="00D05B69" w:rsidRPr="0062097D" w:rsidRDefault="00D05B69" w:rsidP="00D05B69">
      <w:pPr>
        <w:pStyle w:val="TableNote"/>
      </w:pPr>
      <w:r w:rsidRPr="0062097D">
        <w:t xml:space="preserve">EORTC QLQ-C30  </w:t>
      </w:r>
      <w:r w:rsidR="00652355" w:rsidRPr="00652355">
        <w:rPr>
          <w:spacing w:val="-20"/>
        </w:rPr>
        <w:t xml:space="preserve"> </w:t>
      </w:r>
      <w:r w:rsidR="001B4E29" w:rsidRPr="00652355">
        <w:rPr>
          <w:spacing w:val="-20"/>
        </w:rPr>
        <w:t xml:space="preserve">= </w:t>
      </w:r>
      <w:r w:rsidR="001B4E29" w:rsidRPr="0062097D">
        <w:t>European</w:t>
      </w:r>
      <w:r w:rsidRPr="0062097D">
        <w:t xml:space="preserve"> Organisation for research and treatment of Cancer Quality of Life Questionnaire; FACIT-</w:t>
      </w:r>
      <w:r w:rsidR="001B4E29" w:rsidRPr="0062097D">
        <w:t xml:space="preserve">F </w:t>
      </w:r>
      <w:r w:rsidR="001B4E29" w:rsidRPr="00652355">
        <w:rPr>
          <w:spacing w:val="-20"/>
        </w:rPr>
        <w:t xml:space="preserve">= </w:t>
      </w:r>
      <w:r w:rsidR="001B4E29" w:rsidRPr="0062097D">
        <w:t>Functional</w:t>
      </w:r>
      <w:r w:rsidRPr="0062097D">
        <w:t xml:space="preserve"> Assessment of Chronic Illness Therapy –Fatigue; </w:t>
      </w:r>
      <w:r w:rsidR="001B4E29" w:rsidRPr="0062097D">
        <w:t xml:space="preserve">SE </w:t>
      </w:r>
      <w:r w:rsidR="001B4E29" w:rsidRPr="00652355">
        <w:rPr>
          <w:spacing w:val="-20"/>
        </w:rPr>
        <w:t xml:space="preserve">= </w:t>
      </w:r>
      <w:r w:rsidR="001B4E29" w:rsidRPr="0062097D">
        <w:t>standard</w:t>
      </w:r>
      <w:r w:rsidRPr="0062097D">
        <w:t xml:space="preserve"> error</w:t>
      </w:r>
    </w:p>
    <w:p w:rsidR="00D05B69" w:rsidRPr="0062097D" w:rsidRDefault="00D05B69" w:rsidP="00D05B69">
      <w:pPr>
        <w:pStyle w:val="TableNote"/>
      </w:pPr>
      <w:proofErr w:type="gramStart"/>
      <w:r w:rsidRPr="0062097D">
        <w:rPr>
          <w:vertAlign w:val="superscript"/>
        </w:rPr>
        <w:t>a</w:t>
      </w:r>
      <w:proofErr w:type="gramEnd"/>
      <w:r w:rsidRPr="0062097D">
        <w:t xml:space="preserve"> Values represent least-square means. </w:t>
      </w:r>
    </w:p>
    <w:p w:rsidR="00D05B69" w:rsidRPr="0062097D" w:rsidRDefault="00D05B69" w:rsidP="00D05B69">
      <w:pPr>
        <w:pStyle w:val="TableNote"/>
      </w:pPr>
      <w:proofErr w:type="gramStart"/>
      <w:r w:rsidRPr="0062097D">
        <w:rPr>
          <w:vertAlign w:val="superscript"/>
        </w:rPr>
        <w:t>b</w:t>
      </w:r>
      <w:proofErr w:type="gramEnd"/>
      <w:r w:rsidRPr="0062097D">
        <w:t xml:space="preserve"> From a mixed analysis-of-covariance model, with baseline scores as the covariate, treatment and time as fixed effects, and the patient identifier as a random effect.</w:t>
      </w:r>
    </w:p>
    <w:p w:rsidR="00D05B69" w:rsidRPr="0062097D" w:rsidRDefault="00D05B69" w:rsidP="00D05B69">
      <w:pPr>
        <w:pStyle w:val="TableNote"/>
      </w:pPr>
      <w:proofErr w:type="gramStart"/>
      <w:r w:rsidRPr="0062097D">
        <w:rPr>
          <w:vertAlign w:val="superscript"/>
        </w:rPr>
        <w:t>c</w:t>
      </w:r>
      <w:proofErr w:type="gramEnd"/>
      <w:r w:rsidRPr="0062097D">
        <w:rPr>
          <w:vertAlign w:val="superscript"/>
        </w:rPr>
        <w:t xml:space="preserve"> </w:t>
      </w:r>
      <w:r w:rsidRPr="0062097D">
        <w:t>FACIT-Fatigue instrument: scores can range from 0 to 52. A positive change from baseline indicates an improvement in fatigue and a negative change indicates a worsening in fatigue.</w:t>
      </w:r>
    </w:p>
    <w:p w:rsidR="00D05B69" w:rsidRPr="0062097D" w:rsidRDefault="00D05B69" w:rsidP="00D05B69">
      <w:pPr>
        <w:pStyle w:val="TableNote"/>
      </w:pPr>
      <w:proofErr w:type="gramStart"/>
      <w:r w:rsidRPr="0062097D">
        <w:rPr>
          <w:vertAlign w:val="superscript"/>
        </w:rPr>
        <w:t>d</w:t>
      </w:r>
      <w:proofErr w:type="gramEnd"/>
      <w:r w:rsidRPr="0062097D">
        <w:t xml:space="preserve"> Source: Dmytrijuk 2008</w:t>
      </w:r>
    </w:p>
    <w:p w:rsidR="00D05B69" w:rsidRPr="0062097D" w:rsidRDefault="00D05B69" w:rsidP="00D05B69">
      <w:pPr>
        <w:pStyle w:val="TableNote"/>
      </w:pPr>
      <w:proofErr w:type="gramStart"/>
      <w:r w:rsidRPr="0062097D">
        <w:rPr>
          <w:vertAlign w:val="superscript"/>
        </w:rPr>
        <w:t>e</w:t>
      </w:r>
      <w:proofErr w:type="gramEnd"/>
      <w:r w:rsidRPr="0062097D">
        <w:rPr>
          <w:vertAlign w:val="superscript"/>
        </w:rPr>
        <w:t xml:space="preserve"> </w:t>
      </w:r>
      <w:r w:rsidRPr="0062097D">
        <w:t>Positive change indicates improvement of Global Health status and Functional scales, and negative change indicates improvement on symptom scales</w:t>
      </w:r>
    </w:p>
    <w:p w:rsidR="00D05B69" w:rsidRPr="0062097D" w:rsidRDefault="00D05B69" w:rsidP="00D05B69">
      <w:pPr>
        <w:pStyle w:val="TableNote"/>
      </w:pPr>
      <w:r w:rsidRPr="0062097D">
        <w:t xml:space="preserve">Source: </w:t>
      </w:r>
      <w:r w:rsidR="00A130D0">
        <w:rPr>
          <w:noProof/>
        </w:rPr>
        <w:t>(</w:t>
      </w:r>
      <w:r w:rsidR="00184B6F">
        <w:rPr>
          <w:noProof/>
        </w:rPr>
        <w:t>Hillmen et al. 2006</w:t>
      </w:r>
      <w:r w:rsidR="00A130D0">
        <w:rPr>
          <w:noProof/>
        </w:rPr>
        <w:t>)</w:t>
      </w:r>
    </w:p>
    <w:p w:rsidR="00092F60" w:rsidRPr="00092F60" w:rsidRDefault="00092F60" w:rsidP="00092F60"/>
    <w:p w:rsidR="00092F60" w:rsidRPr="00EC5DFF" w:rsidRDefault="00847B5E" w:rsidP="00EC5DFF">
      <w:pPr>
        <w:pStyle w:val="Heading5"/>
      </w:pPr>
      <w:r w:rsidRPr="00EC5DFF">
        <w:t>Conclusion</w:t>
      </w:r>
    </w:p>
    <w:p w:rsidR="00092F60" w:rsidRPr="00092F60" w:rsidRDefault="00092F60" w:rsidP="00092F60">
      <w:r w:rsidRPr="00092F60">
        <w:t xml:space="preserve">There is high quality evidence (GRADE </w:t>
      </w:r>
      <w:r w:rsidR="00E90F59" w:rsidRPr="00D4733A">
        <w:rPr>
          <w:rFonts w:ascii="Cambria Math" w:hAnsi="Cambria Math"/>
          <w:color w:val="00B050"/>
        </w:rPr>
        <w:t>⨁⨁⨁⨁</w:t>
      </w:r>
      <w:r w:rsidR="00D67ADB" w:rsidRPr="00D67ADB">
        <w:rPr>
          <w:rFonts w:cs="Cambria Math"/>
          <w:spacing w:val="-20"/>
        </w:rPr>
        <w:t>)</w:t>
      </w:r>
      <w:r w:rsidRPr="00092F60">
        <w:rPr>
          <w:rFonts w:ascii="Cambria Math" w:hAnsi="Cambria Math" w:cs="Cambria Math"/>
        </w:rPr>
        <w:t xml:space="preserve"> </w:t>
      </w:r>
      <w:r w:rsidRPr="00092F60">
        <w:t>that eculizumab improves quality of life, compared to standard care, over a 6 month treatment period in patients with relatively severe PNH.</w:t>
      </w:r>
    </w:p>
    <w:p w:rsidR="00092F60" w:rsidRPr="00092F60" w:rsidRDefault="00092F60" w:rsidP="00092F60"/>
    <w:p w:rsidR="00092F60" w:rsidRPr="00092F60" w:rsidRDefault="00092F60" w:rsidP="00EC5DFF">
      <w:pPr>
        <w:pStyle w:val="Heading5"/>
      </w:pPr>
      <w:r w:rsidRPr="00092F60">
        <w:lastRenderedPageBreak/>
        <w:t>Thrombotic events</w:t>
      </w:r>
      <w:r w:rsidR="00D05B69">
        <w:t xml:space="preserve"> </w:t>
      </w:r>
    </w:p>
    <w:p w:rsidR="00D05B69" w:rsidRPr="00092F60" w:rsidRDefault="00D05B69" w:rsidP="00D05B69">
      <w:bookmarkStart w:id="467" w:name="_Ref401041063"/>
      <w:r w:rsidRPr="00092F60">
        <w:t xml:space="preserve">While </w:t>
      </w:r>
      <w:r w:rsidR="005F0D3E">
        <w:t>thrombotic</w:t>
      </w:r>
      <w:r w:rsidRPr="00092F60">
        <w:t xml:space="preserve"> events</w:t>
      </w:r>
      <w:r w:rsidR="005F0D3E">
        <w:t xml:space="preserve"> </w:t>
      </w:r>
      <w:r w:rsidRPr="00092F60">
        <w:t xml:space="preserve">were recorded during </w:t>
      </w:r>
      <w:r>
        <w:t xml:space="preserve">the </w:t>
      </w:r>
      <w:r w:rsidRPr="00092F60">
        <w:t>TRIUMPH trial, the duration of the trial was not long enough to determine any difference between treatment groups for this relatively uncommon outcome</w:t>
      </w:r>
      <w:r>
        <w:t>. On</w:t>
      </w:r>
      <w:r w:rsidRPr="00092F60">
        <w:t xml:space="preserve">ly one </w:t>
      </w:r>
      <w:r w:rsidR="001F5FB7">
        <w:t>thrombotic event</w:t>
      </w:r>
      <w:r w:rsidRPr="00092F60">
        <w:t xml:space="preserve"> occurr</w:t>
      </w:r>
      <w:r>
        <w:t>ed</w:t>
      </w:r>
      <w:r w:rsidRPr="00092F60">
        <w:t xml:space="preserve"> during the treatment period</w:t>
      </w:r>
      <w:r>
        <w:t>,</w:t>
      </w:r>
      <w:r w:rsidRPr="00092F60">
        <w:t xml:space="preserve"> in the placebo group. </w:t>
      </w:r>
    </w:p>
    <w:p w:rsidR="00D05B69" w:rsidRPr="00092F60" w:rsidRDefault="00D05B69" w:rsidP="00D05B69">
      <w:r w:rsidRPr="00092F60">
        <w:t xml:space="preserve">The rate of </w:t>
      </w:r>
      <w:r w:rsidR="001F5FB7">
        <w:t>thrombotic events</w:t>
      </w:r>
      <w:r w:rsidRPr="00092F60">
        <w:t xml:space="preserve"> was a prespecified outcome in the common extension trial. As these events are potentially fatal </w:t>
      </w:r>
      <w:r w:rsidR="00A130D0">
        <w:rPr>
          <w:noProof/>
        </w:rPr>
        <w:t>(</w:t>
      </w:r>
      <w:r w:rsidR="00184B6F">
        <w:rPr>
          <w:noProof/>
        </w:rPr>
        <w:t>Hillmen et al. 1995</w:t>
      </w:r>
      <w:r w:rsidR="00A130D0">
        <w:rPr>
          <w:noProof/>
        </w:rPr>
        <w:t>)</w:t>
      </w:r>
      <w:r w:rsidRPr="00092F60">
        <w:t xml:space="preserve">, any reduction in the rate of </w:t>
      </w:r>
      <w:r w:rsidR="001F5FB7">
        <w:t>thrombotic events</w:t>
      </w:r>
      <w:r w:rsidRPr="00092F60">
        <w:t xml:space="preserve"> is clinically relevant.</w:t>
      </w:r>
    </w:p>
    <w:p w:rsidR="00D05B69" w:rsidRPr="00092F60" w:rsidRDefault="001F5FB7" w:rsidP="00D05B69">
      <w:r>
        <w:t>Thrombotic event</w:t>
      </w:r>
      <w:r w:rsidR="00D05B69" w:rsidRPr="00092F60">
        <w:t xml:space="preserve">s were defined by the same major adverse vascular event (MAVE) criteria in all studies. Because of the diverse anatomic locations of thrombosis in patients with PNH, multiple diagnostic techniques were used. The most common methods were ultrasound, computed tomography scan, magnetic resonance imaging, and angiogram. At least 73% of pre-treatment MAVEs were objectively identified </w:t>
      </w:r>
      <w:r w:rsidR="00A130D0">
        <w:rPr>
          <w:noProof/>
        </w:rPr>
        <w:t>(</w:t>
      </w:r>
      <w:r w:rsidR="00184B6F">
        <w:rPr>
          <w:noProof/>
        </w:rPr>
        <w:t>Hillmen et al. 2007</w:t>
      </w:r>
      <w:r w:rsidR="00A130D0">
        <w:rPr>
          <w:noProof/>
        </w:rPr>
        <w:t>)</w:t>
      </w:r>
      <w:r w:rsidR="00D05B69" w:rsidRPr="00092F60">
        <w:t>.</w:t>
      </w:r>
    </w:p>
    <w:p w:rsidR="00D05B69" w:rsidRPr="00092F60" w:rsidRDefault="00D05B69" w:rsidP="00D05B69">
      <w:r w:rsidRPr="00092F60">
        <w:t xml:space="preserve">In the extension study, a before-and-after treatment analysis was performed, including all 195 patients who enrolled in the three parent studies (ITT analysis). The eculizumab treatment TEs included all events during the period from the first eculizumab dose in the parent studies until the earlier of the follow-up after the last dose of eculizumab or the database lock </w:t>
      </w:r>
      <w:r w:rsidR="00A130D0">
        <w:rPr>
          <w:noProof/>
        </w:rPr>
        <w:t>(</w:t>
      </w:r>
      <w:r w:rsidR="00184B6F">
        <w:rPr>
          <w:noProof/>
        </w:rPr>
        <w:t>Hillmen et al. 2007</w:t>
      </w:r>
      <w:r w:rsidR="00A130D0">
        <w:rPr>
          <w:noProof/>
        </w:rPr>
        <w:t>)</w:t>
      </w:r>
      <w:r w:rsidRPr="00092F60">
        <w:t xml:space="preserve">. </w:t>
      </w:r>
    </w:p>
    <w:p w:rsidR="00D05B69" w:rsidRPr="00092F60" w:rsidRDefault="00D05B69" w:rsidP="00D05B69">
      <w:r w:rsidRPr="00092F60">
        <w:t>A time-matched analysis, in which the duration of exposure before and during treatment was equali</w:t>
      </w:r>
      <w:r>
        <w:t>s</w:t>
      </w:r>
      <w:r w:rsidRPr="00092F60">
        <w:t xml:space="preserve">ed for each patient, showed that in the 467.1 patient-years prior to eculizumab treatment, there were a total of 52 </w:t>
      </w:r>
      <w:r w:rsidR="001F5FB7">
        <w:t>thrombotic events</w:t>
      </w:r>
      <w:r w:rsidRPr="00092F60">
        <w:t xml:space="preserve"> in 25 patients. The administration of eculizumab reduced the </w:t>
      </w:r>
      <w:r w:rsidR="001F5FB7">
        <w:t>event</w:t>
      </w:r>
      <w:r w:rsidRPr="00092F60">
        <w:t xml:space="preserve"> incidence rate from 11.13 events per 100 patient-years to 2.14 events per 100 patient-years, a relative reduction of 81.8% (p&lt;0.0005) (</w:t>
      </w:r>
      <w:r w:rsidR="00A72B26" w:rsidRPr="006A71AB">
        <w:t xml:space="preserve">Table </w:t>
      </w:r>
      <w:r w:rsidR="00A72B26">
        <w:rPr>
          <w:noProof/>
        </w:rPr>
        <w:t>124</w:t>
      </w:r>
      <w:r w:rsidRPr="00092F60">
        <w:t>)</w:t>
      </w:r>
      <w:r>
        <w:t xml:space="preserve"> </w:t>
      </w:r>
      <w:r w:rsidR="00A130D0">
        <w:rPr>
          <w:noProof/>
        </w:rPr>
        <w:t>(</w:t>
      </w:r>
      <w:r w:rsidR="00184B6F">
        <w:rPr>
          <w:noProof/>
        </w:rPr>
        <w:t>Hillmen et al. 2013</w:t>
      </w:r>
      <w:r w:rsidR="00A130D0">
        <w:rPr>
          <w:noProof/>
        </w:rPr>
        <w:t>)</w:t>
      </w:r>
      <w:r w:rsidRPr="00092F60">
        <w:t>. In a sub-group analysis of patients receiving antithrombotic agents (N</w:t>
      </w:r>
      <w:r w:rsidR="00652355" w:rsidRPr="00652355">
        <w:rPr>
          <w:spacing w:val="-20"/>
        </w:rPr>
        <w:t xml:space="preserve"> = </w:t>
      </w:r>
      <w:r w:rsidRPr="00092F60">
        <w:t xml:space="preserve">103), the </w:t>
      </w:r>
      <w:r w:rsidR="001F5FB7">
        <w:t>thrombotic event</w:t>
      </w:r>
      <w:r w:rsidRPr="00092F60">
        <w:t xml:space="preserve"> incidence rate reduced from 10.61 events per 100 patient-years (40 events over 377.1 patient-years) to 0.62 events per 100 patient-years (1 event over 161.9 patient-years) (p&lt;0.0001)</w:t>
      </w:r>
      <w:r>
        <w:t xml:space="preserve"> </w:t>
      </w:r>
      <w:r w:rsidR="00A130D0">
        <w:rPr>
          <w:noProof/>
        </w:rPr>
        <w:t>(</w:t>
      </w:r>
      <w:r w:rsidR="00184B6F">
        <w:rPr>
          <w:noProof/>
        </w:rPr>
        <w:t>Hillmen et al. 2007</w:t>
      </w:r>
      <w:r w:rsidR="00A130D0">
        <w:rPr>
          <w:noProof/>
        </w:rPr>
        <w:t>)</w:t>
      </w:r>
      <w:r w:rsidRPr="00092F60">
        <w:t xml:space="preserve">. </w:t>
      </w:r>
    </w:p>
    <w:p w:rsidR="00D05B69" w:rsidRPr="00092F60" w:rsidRDefault="00D05B69" w:rsidP="00D05B69">
      <w:r w:rsidRPr="00092F60">
        <w:t xml:space="preserve">Prior to eculizumab treatment, 63/195 patients (32.3%) experienced 124 </w:t>
      </w:r>
      <w:r w:rsidR="001F5FB7">
        <w:t>thrombotic event</w:t>
      </w:r>
      <w:r w:rsidRPr="00092F60">
        <w:t>s, both venous (85%) and arterial (15%), over a total of 1</w:t>
      </w:r>
      <w:r>
        <w:t>,</w:t>
      </w:r>
      <w:r w:rsidRPr="00092F60">
        <w:t>683 patient-years</w:t>
      </w:r>
      <w:r>
        <w:t xml:space="preserve"> </w:t>
      </w:r>
      <w:r w:rsidR="00A130D0">
        <w:rPr>
          <w:noProof/>
        </w:rPr>
        <w:t>(</w:t>
      </w:r>
      <w:r w:rsidR="00184B6F">
        <w:rPr>
          <w:noProof/>
        </w:rPr>
        <w:t>Hillmen et al. 2007</w:t>
      </w:r>
      <w:r w:rsidR="00A130D0">
        <w:rPr>
          <w:noProof/>
        </w:rPr>
        <w:t>)</w:t>
      </w:r>
      <w:r w:rsidRPr="00092F60">
        <w:t>. The most common sites of venous thrombosis were the lower limb deep veins (18.5%), mesenteric/splenic vein</w:t>
      </w:r>
      <w:r>
        <w:t>s</w:t>
      </w:r>
      <w:r w:rsidRPr="00092F60">
        <w:t xml:space="preserve"> (18.5%), and hepatic/portal veins (16.9%); the most common </w:t>
      </w:r>
      <w:r>
        <w:t>type</w:t>
      </w:r>
      <w:r w:rsidRPr="00092F60">
        <w:t xml:space="preserve"> of arterial thrombosis was cerebrovascular accident/transient ischaemic attack (13.7%). </w:t>
      </w:r>
    </w:p>
    <w:p w:rsidR="00D05B69" w:rsidRPr="00092F60" w:rsidRDefault="00D05B69" w:rsidP="00D05B69">
      <w:r w:rsidRPr="00092F60">
        <w:t xml:space="preserve">The percentage of patients free from </w:t>
      </w:r>
      <w:r w:rsidR="001F5FB7">
        <w:t>thrombotic event</w:t>
      </w:r>
      <w:r w:rsidRPr="00092F60">
        <w:t xml:space="preserve">s increased from 67.7% before treatment to 96.4% during treatment. While on eculizumab, seven patients reported a total of 10 </w:t>
      </w:r>
      <w:r w:rsidR="001F5FB7">
        <w:t>thrombotic event</w:t>
      </w:r>
      <w:r w:rsidRPr="00092F60">
        <w:t xml:space="preserve">s over 467.1 patient-years </w:t>
      </w:r>
      <w:r w:rsidR="00A130D0">
        <w:rPr>
          <w:noProof/>
        </w:rPr>
        <w:t>(</w:t>
      </w:r>
      <w:r w:rsidR="00184B6F">
        <w:rPr>
          <w:noProof/>
        </w:rPr>
        <w:t>Hillmen et al. 2013</w:t>
      </w:r>
      <w:r w:rsidR="00A130D0">
        <w:rPr>
          <w:noProof/>
        </w:rPr>
        <w:t>)</w:t>
      </w:r>
      <w:r w:rsidRPr="00092F60">
        <w:t xml:space="preserve">: five thrombophlebitis/deep vein thrombosis (three events occurred in one patient), one deep vein thrombosis, one retinal vein thrombosis, one possible thrombosis in a fistula, and a combination of portal vein thrombosis and splenic infarcts in the final patient. There are </w:t>
      </w:r>
      <w:r w:rsidRPr="00092F60">
        <w:lastRenderedPageBreak/>
        <w:t xml:space="preserve">insufficient data to determine whether the treatment effect is consistent across all types of </w:t>
      </w:r>
      <w:r w:rsidR="001F5FB7">
        <w:t>thrombotic</w:t>
      </w:r>
      <w:r w:rsidRPr="00092F60">
        <w:t xml:space="preserve"> events.</w:t>
      </w:r>
    </w:p>
    <w:p w:rsidR="00092F60" w:rsidRPr="006A71AB" w:rsidRDefault="00092F60" w:rsidP="00F44176">
      <w:pPr>
        <w:pStyle w:val="Caption"/>
        <w:keepNext/>
        <w:tabs>
          <w:tab w:val="clear" w:pos="851"/>
          <w:tab w:val="left" w:pos="1134"/>
        </w:tabs>
        <w:ind w:left="1134" w:hanging="1134"/>
      </w:pPr>
      <w:bookmarkStart w:id="468" w:name="_Ref405802845"/>
      <w:bookmarkStart w:id="469" w:name="_Toc411510488"/>
      <w:bookmarkStart w:id="470" w:name="_Toc415141921"/>
      <w:r w:rsidRPr="006A71AB">
        <w:t xml:space="preserve">Table </w:t>
      </w:r>
      <w:r w:rsidR="00A72B26">
        <w:rPr>
          <w:noProof/>
        </w:rPr>
        <w:t>124</w:t>
      </w:r>
      <w:bookmarkEnd w:id="467"/>
      <w:bookmarkEnd w:id="468"/>
      <w:r w:rsidRPr="006A71AB">
        <w:tab/>
        <w:t>Thromboembolism events in patients with and without eculizumab</w:t>
      </w:r>
      <w:r w:rsidRPr="006A71AB">
        <w:rPr>
          <w:vertAlign w:val="superscript"/>
        </w:rPr>
        <w:t>a</w:t>
      </w:r>
      <w:bookmarkEnd w:id="469"/>
      <w:bookmarkEnd w:id="470"/>
      <w:r w:rsidRPr="006A71AB">
        <w:t xml:space="preserve"> </w:t>
      </w:r>
    </w:p>
    <w:tbl>
      <w:tblPr>
        <w:tblStyle w:val="TableGrid"/>
        <w:tblW w:w="5000" w:type="pct"/>
        <w:tblLook w:val="04A0" w:firstRow="1" w:lastRow="0" w:firstColumn="1" w:lastColumn="0" w:noHBand="0" w:noVBand="1"/>
        <w:tblCaption w:val="Table 90 Thromboembolism events in patients with and without eculizumab "/>
        <w:tblDescription w:val="Thromboembolism events in PNH patients with and without eculizumaba (includes TRIUMPH placebo-treated patients who transitioned to eculizumab treatment)"/>
      </w:tblPr>
      <w:tblGrid>
        <w:gridCol w:w="3157"/>
        <w:gridCol w:w="3044"/>
        <w:gridCol w:w="3041"/>
      </w:tblGrid>
      <w:tr w:rsidR="00092F60" w:rsidRPr="00092F60" w:rsidTr="00C6200C">
        <w:trPr>
          <w:tblHeader/>
        </w:trPr>
        <w:tc>
          <w:tcPr>
            <w:tcW w:w="1708" w:type="pct"/>
          </w:tcPr>
          <w:p w:rsidR="00092F60" w:rsidRPr="00092F60" w:rsidRDefault="00092F60" w:rsidP="00E90F59">
            <w:pPr>
              <w:pStyle w:val="TableHeading"/>
            </w:pPr>
            <w:r w:rsidRPr="00092F60">
              <w:t>TE events</w:t>
            </w:r>
          </w:p>
        </w:tc>
        <w:tc>
          <w:tcPr>
            <w:tcW w:w="1647" w:type="pct"/>
          </w:tcPr>
          <w:p w:rsidR="00092F60" w:rsidRPr="00092F60" w:rsidRDefault="00092F60" w:rsidP="00E90F59">
            <w:pPr>
              <w:pStyle w:val="TableHeading"/>
            </w:pPr>
            <w:r w:rsidRPr="00092F60">
              <w:t>Time-matched before treatment</w:t>
            </w:r>
          </w:p>
        </w:tc>
        <w:tc>
          <w:tcPr>
            <w:tcW w:w="1645" w:type="pct"/>
          </w:tcPr>
          <w:p w:rsidR="00092F60" w:rsidRPr="00092F60" w:rsidRDefault="00092F60" w:rsidP="00E90F59">
            <w:pPr>
              <w:pStyle w:val="TableHeading"/>
            </w:pPr>
            <w:r w:rsidRPr="00092F60">
              <w:t>During treatment</w:t>
            </w:r>
          </w:p>
        </w:tc>
      </w:tr>
      <w:tr w:rsidR="00092F60" w:rsidRPr="00092F60" w:rsidTr="00092F60">
        <w:tc>
          <w:tcPr>
            <w:tcW w:w="1708" w:type="pct"/>
          </w:tcPr>
          <w:p w:rsidR="00092F60" w:rsidRPr="00092F60" w:rsidRDefault="00092F60" w:rsidP="00E90F59">
            <w:pPr>
              <w:pStyle w:val="TableText0"/>
            </w:pPr>
            <w:r w:rsidRPr="00092F60">
              <w:t>Patients, no.</w:t>
            </w:r>
          </w:p>
        </w:tc>
        <w:tc>
          <w:tcPr>
            <w:tcW w:w="1647" w:type="pct"/>
          </w:tcPr>
          <w:p w:rsidR="00092F60" w:rsidRPr="00092F60" w:rsidRDefault="00092F60" w:rsidP="00E90F59">
            <w:pPr>
              <w:pStyle w:val="TableText0"/>
            </w:pPr>
            <w:r w:rsidRPr="00092F60">
              <w:t>195</w:t>
            </w:r>
          </w:p>
        </w:tc>
        <w:tc>
          <w:tcPr>
            <w:tcW w:w="1645" w:type="pct"/>
          </w:tcPr>
          <w:p w:rsidR="00092F60" w:rsidRPr="00092F60" w:rsidRDefault="00092F60" w:rsidP="00E90F59">
            <w:pPr>
              <w:pStyle w:val="TableText0"/>
            </w:pPr>
            <w:r w:rsidRPr="00092F60">
              <w:t>195</w:t>
            </w:r>
          </w:p>
        </w:tc>
      </w:tr>
      <w:tr w:rsidR="00092F60" w:rsidRPr="00092F60" w:rsidTr="00092F60">
        <w:tc>
          <w:tcPr>
            <w:tcW w:w="1708" w:type="pct"/>
          </w:tcPr>
          <w:p w:rsidR="00092F60" w:rsidRPr="00092F60" w:rsidRDefault="00092F60" w:rsidP="005F0D3E">
            <w:pPr>
              <w:pStyle w:val="TableText0"/>
            </w:pPr>
            <w:r w:rsidRPr="00092F60">
              <w:t>T</w:t>
            </w:r>
            <w:r w:rsidR="005F0D3E">
              <w:t>hrombotic</w:t>
            </w:r>
            <w:r w:rsidRPr="00092F60">
              <w:t xml:space="preserve"> events</w:t>
            </w:r>
          </w:p>
        </w:tc>
        <w:tc>
          <w:tcPr>
            <w:tcW w:w="1647" w:type="pct"/>
          </w:tcPr>
          <w:p w:rsidR="00092F60" w:rsidRPr="00092F60" w:rsidRDefault="00092F60" w:rsidP="00E90F59">
            <w:pPr>
              <w:pStyle w:val="TableText0"/>
            </w:pPr>
            <w:r w:rsidRPr="00092F60">
              <w:t>52</w:t>
            </w:r>
            <w:r w:rsidR="00F3667D">
              <w:t xml:space="preserve"> (25 patients)</w:t>
            </w:r>
          </w:p>
        </w:tc>
        <w:tc>
          <w:tcPr>
            <w:tcW w:w="1645" w:type="pct"/>
          </w:tcPr>
          <w:p w:rsidR="00092F60" w:rsidRPr="00092F60" w:rsidRDefault="00092F60" w:rsidP="00E90F59">
            <w:pPr>
              <w:pStyle w:val="TableText0"/>
            </w:pPr>
            <w:r w:rsidRPr="00092F60">
              <w:t>10</w:t>
            </w:r>
            <w:r w:rsidR="00F3667D">
              <w:t xml:space="preserve"> (7 patients)</w:t>
            </w:r>
          </w:p>
        </w:tc>
      </w:tr>
      <w:tr w:rsidR="00092F60" w:rsidRPr="00092F60" w:rsidTr="00092F60">
        <w:tc>
          <w:tcPr>
            <w:tcW w:w="1708" w:type="pct"/>
          </w:tcPr>
          <w:p w:rsidR="00092F60" w:rsidRPr="00092F60" w:rsidRDefault="00092F60" w:rsidP="00E90F59">
            <w:pPr>
              <w:pStyle w:val="TableText0"/>
            </w:pPr>
            <w:r w:rsidRPr="00092F60">
              <w:t>Patient-years</w:t>
            </w:r>
          </w:p>
        </w:tc>
        <w:tc>
          <w:tcPr>
            <w:tcW w:w="1647" w:type="pct"/>
          </w:tcPr>
          <w:p w:rsidR="00092F60" w:rsidRPr="00092F60" w:rsidRDefault="00092F60" w:rsidP="00E90F59">
            <w:pPr>
              <w:pStyle w:val="TableText0"/>
            </w:pPr>
            <w:r w:rsidRPr="00092F60">
              <w:t>467.1</w:t>
            </w:r>
          </w:p>
        </w:tc>
        <w:tc>
          <w:tcPr>
            <w:tcW w:w="1645" w:type="pct"/>
          </w:tcPr>
          <w:p w:rsidR="00092F60" w:rsidRPr="00092F60" w:rsidRDefault="00092F60" w:rsidP="00E90F59">
            <w:pPr>
              <w:pStyle w:val="TableText0"/>
            </w:pPr>
            <w:r w:rsidRPr="00092F60">
              <w:t>467.1</w:t>
            </w:r>
          </w:p>
        </w:tc>
      </w:tr>
      <w:tr w:rsidR="00092F60" w:rsidRPr="00092F60" w:rsidTr="00092F60">
        <w:tc>
          <w:tcPr>
            <w:tcW w:w="1708" w:type="pct"/>
          </w:tcPr>
          <w:p w:rsidR="00092F60" w:rsidRPr="00092F60" w:rsidRDefault="00092F60" w:rsidP="005F0D3E">
            <w:pPr>
              <w:pStyle w:val="TableText0"/>
            </w:pPr>
            <w:r w:rsidRPr="00092F60">
              <w:t>T</w:t>
            </w:r>
            <w:r w:rsidR="005F0D3E">
              <w:t>hrombotic</w:t>
            </w:r>
            <w:r w:rsidRPr="00092F60">
              <w:t xml:space="preserve"> event rate n/100 patient-years</w:t>
            </w:r>
          </w:p>
        </w:tc>
        <w:tc>
          <w:tcPr>
            <w:tcW w:w="1647" w:type="pct"/>
          </w:tcPr>
          <w:p w:rsidR="00092F60" w:rsidRPr="00092F60" w:rsidRDefault="00092F60" w:rsidP="00E90F59">
            <w:pPr>
              <w:pStyle w:val="TableText0"/>
            </w:pPr>
            <w:r w:rsidRPr="00092F60">
              <w:t>11.1</w:t>
            </w:r>
          </w:p>
        </w:tc>
        <w:tc>
          <w:tcPr>
            <w:tcW w:w="1645" w:type="pct"/>
          </w:tcPr>
          <w:p w:rsidR="00092F60" w:rsidRPr="00092F60" w:rsidRDefault="00092F60" w:rsidP="00E90F59">
            <w:pPr>
              <w:pStyle w:val="TableText0"/>
              <w:rPr>
                <w:vertAlign w:val="superscript"/>
              </w:rPr>
            </w:pPr>
            <w:r w:rsidRPr="00092F60">
              <w:t>2.14</w:t>
            </w:r>
            <w:r w:rsidRPr="00092F60">
              <w:rPr>
                <w:vertAlign w:val="superscript"/>
              </w:rPr>
              <w:t>b</w:t>
            </w:r>
          </w:p>
        </w:tc>
      </w:tr>
    </w:tbl>
    <w:p w:rsidR="00092F60" w:rsidRPr="0062097D" w:rsidRDefault="00092F60" w:rsidP="00E90F59">
      <w:pPr>
        <w:pStyle w:val="TableNote"/>
      </w:pPr>
      <w:proofErr w:type="gramStart"/>
      <w:r w:rsidRPr="0062097D">
        <w:rPr>
          <w:vertAlign w:val="superscript"/>
        </w:rPr>
        <w:t>a</w:t>
      </w:r>
      <w:proofErr w:type="gramEnd"/>
      <w:r w:rsidRPr="0062097D">
        <w:t xml:space="preserve"> includes TRIUMPH placebo-treated patients who trans</w:t>
      </w:r>
      <w:r w:rsidR="005F0D3E">
        <w:t>itioned to eculizumab treatmen</w:t>
      </w:r>
      <w:r w:rsidR="001F5FB7">
        <w:t>t</w:t>
      </w:r>
    </w:p>
    <w:p w:rsidR="00092F60" w:rsidRPr="0062097D" w:rsidRDefault="00092F60" w:rsidP="00E90F59">
      <w:pPr>
        <w:pStyle w:val="TableNote"/>
      </w:pPr>
      <w:proofErr w:type="gramStart"/>
      <w:r w:rsidRPr="0062097D">
        <w:rPr>
          <w:vertAlign w:val="superscript"/>
        </w:rPr>
        <w:t>b</w:t>
      </w:r>
      <w:proofErr w:type="gramEnd"/>
      <w:r w:rsidRPr="0062097D">
        <w:rPr>
          <w:vertAlign w:val="superscript"/>
        </w:rPr>
        <w:t xml:space="preserve"> </w:t>
      </w:r>
      <w:r w:rsidRPr="0062097D">
        <w:t>p&lt;0.0005 for comparisons of eculizumab treatment versus before treatment, ITT analysis, Wilcoxon signed rank test.</w:t>
      </w:r>
    </w:p>
    <w:p w:rsidR="00092F60" w:rsidRPr="0062097D" w:rsidRDefault="00092F60" w:rsidP="00E90F59">
      <w:pPr>
        <w:pStyle w:val="TableNote"/>
      </w:pPr>
      <w:r w:rsidRPr="0062097D">
        <w:t xml:space="preserve">Source: </w:t>
      </w:r>
      <w:r w:rsidR="00A130D0">
        <w:rPr>
          <w:noProof/>
        </w:rPr>
        <w:t>(</w:t>
      </w:r>
      <w:r w:rsidR="00184B6F">
        <w:rPr>
          <w:noProof/>
        </w:rPr>
        <w:t>Hillmen et al. 2013</w:t>
      </w:r>
      <w:r w:rsidR="00A130D0">
        <w:rPr>
          <w:noProof/>
        </w:rPr>
        <w:t>)</w:t>
      </w:r>
    </w:p>
    <w:p w:rsidR="00092F60" w:rsidRPr="00092F60" w:rsidRDefault="00092F60" w:rsidP="00092F60">
      <w:pPr>
        <w:tabs>
          <w:tab w:val="left" w:pos="3969"/>
        </w:tabs>
        <w:spacing w:after="0"/>
      </w:pPr>
    </w:p>
    <w:p w:rsidR="00D05B69" w:rsidRPr="00E965BD" w:rsidRDefault="00D05B69" w:rsidP="00D05B69">
      <w:pPr>
        <w:pStyle w:val="Heading5"/>
      </w:pPr>
      <w:r>
        <w:t>Conclusion</w:t>
      </w:r>
    </w:p>
    <w:p w:rsidR="00092F60" w:rsidRPr="00092F60" w:rsidRDefault="00092F60" w:rsidP="00092F60">
      <w:pPr>
        <w:tabs>
          <w:tab w:val="left" w:pos="3969"/>
        </w:tabs>
        <w:spacing w:after="0"/>
      </w:pPr>
      <w:r w:rsidRPr="00092F60">
        <w:t xml:space="preserve">There is low quality evidence that eculizumab reduces the rate of </w:t>
      </w:r>
      <w:r w:rsidR="001F5FB7">
        <w:t>thrombotic</w:t>
      </w:r>
      <w:r w:rsidRPr="00092F60">
        <w:t xml:space="preserve"> events; there are insufficient data to determine if this effect is consistent across all types of </w:t>
      </w:r>
      <w:r w:rsidR="001F5FB7">
        <w:t xml:space="preserve">thrombotic </w:t>
      </w:r>
      <w:r w:rsidRPr="00092F60">
        <w:t xml:space="preserve">events (GRADE </w:t>
      </w:r>
      <w:r w:rsidR="00E90F59" w:rsidRPr="00D4733A">
        <w:rPr>
          <w:rFonts w:ascii="Cambria Math" w:hAnsi="Cambria Math"/>
          <w:color w:val="00B050"/>
        </w:rPr>
        <w:t>⨁⨁</w:t>
      </w:r>
      <w:r w:rsidR="00D4733A" w:rsidRPr="00D4733A">
        <w:rPr>
          <w:rFonts w:ascii="Cambria Math" w:hAnsi="Cambria Math" w:cs="Cambria Math"/>
          <w:color w:val="C00000"/>
        </w:rPr>
        <w:t>⨀⨀</w:t>
      </w:r>
      <w:r w:rsidRPr="00092F60">
        <w:t>).</w:t>
      </w:r>
    </w:p>
    <w:p w:rsidR="00092F60" w:rsidRPr="00092F60" w:rsidRDefault="00092F60" w:rsidP="00092F60"/>
    <w:p w:rsidR="00092F60" w:rsidRPr="00092F60" w:rsidRDefault="00092F60" w:rsidP="00EC5DFF">
      <w:pPr>
        <w:pStyle w:val="Heading5"/>
      </w:pPr>
      <w:r w:rsidRPr="00092F60">
        <w:t>Renal function</w:t>
      </w:r>
    </w:p>
    <w:p w:rsidR="00092F60" w:rsidRPr="00092F60" w:rsidRDefault="00D05B69" w:rsidP="00092F60">
      <w:r w:rsidRPr="00092F60">
        <w:t xml:space="preserve">While renal function was not specified as an outcome in the TRIUMPH trial, a </w:t>
      </w:r>
      <w:r w:rsidRPr="00092F60">
        <w:rPr>
          <w:i/>
        </w:rPr>
        <w:t xml:space="preserve">post hoc </w:t>
      </w:r>
      <w:r w:rsidRPr="00092F60">
        <w:t xml:space="preserve">analysis was presented in Hillmen et al. (2010), which also presented </w:t>
      </w:r>
      <w:r>
        <w:t xml:space="preserve">a </w:t>
      </w:r>
      <w:r w:rsidRPr="00092F60">
        <w:t xml:space="preserve">before-and-after analysis </w:t>
      </w:r>
      <w:r>
        <w:t>using</w:t>
      </w:r>
      <w:r w:rsidRPr="00092F60">
        <w:t xml:space="preserve"> 18-month treatment data from the extension study.</w:t>
      </w:r>
    </w:p>
    <w:p w:rsidR="00092F60" w:rsidRPr="00092F60" w:rsidRDefault="00092F60" w:rsidP="00092F60">
      <w:r w:rsidRPr="00092F60">
        <w:t>Renal function was measured by chronic kidney disease (CKD) stage, defined using the Kidney Disease Outcomes Quality Initiative (</w:t>
      </w:r>
      <w:r w:rsidR="00A72B26">
        <w:t xml:space="preserve">Table </w:t>
      </w:r>
      <w:r w:rsidR="00A72B26">
        <w:rPr>
          <w:noProof/>
        </w:rPr>
        <w:t>166</w:t>
      </w:r>
      <w:r w:rsidRPr="00092F60">
        <w:t>,</w:t>
      </w:r>
      <w:r w:rsidR="00F8590C">
        <w:t xml:space="preserve"> </w:t>
      </w:r>
      <w:r w:rsidR="00A72B26" w:rsidRPr="003F3F2D">
        <w:t xml:space="preserve">Appendix </w:t>
      </w:r>
      <w:r w:rsidR="00A72B26">
        <w:rPr>
          <w:noProof/>
        </w:rPr>
        <w:t>E</w:t>
      </w:r>
      <w:r w:rsidRPr="00092F60">
        <w:t xml:space="preserve">). An improvement in renal function was defined as a categorical documented reduction in CKD stage level (e.g. a change from Stage 4 to Stage 3, or Stage 3 to Stage 1) or fulfilling the criteria of no CKD, while a worsening in renal function was defined as a categorical increase in CCKD state level. </w:t>
      </w:r>
    </w:p>
    <w:p w:rsidR="00092F60" w:rsidRPr="00092F60" w:rsidRDefault="00092F60" w:rsidP="00092F60">
      <w:r w:rsidRPr="00092F60">
        <w:t xml:space="preserve">The results of the </w:t>
      </w:r>
      <w:r w:rsidRPr="00092F60">
        <w:rPr>
          <w:i/>
        </w:rPr>
        <w:t>post hoc</w:t>
      </w:r>
      <w:r w:rsidRPr="00092F60">
        <w:t xml:space="preserve"> analysis of the effect of eculizumab treatment on renal function in the TRIUMPH trial are presented in </w:t>
      </w:r>
      <w:r w:rsidR="00A72B26" w:rsidRPr="006A71AB">
        <w:t xml:space="preserve">Table </w:t>
      </w:r>
      <w:r w:rsidR="00A72B26">
        <w:rPr>
          <w:noProof/>
        </w:rPr>
        <w:t>125</w:t>
      </w:r>
      <w:r w:rsidRPr="00092F60">
        <w:t xml:space="preserve">. The subgroup analyses, based on baseline CKD stage, should be interpreted with caution due to the small number of patients included in each sub-group. The results indicate that, on average, patients on eculizumab treatment had better renal function outcomes than those receiving placebo over the 26-week treatment period. </w:t>
      </w:r>
    </w:p>
    <w:p w:rsidR="00092F60" w:rsidRPr="006A71AB" w:rsidRDefault="00092F60" w:rsidP="00F44176">
      <w:pPr>
        <w:pStyle w:val="Caption"/>
        <w:keepNext/>
        <w:tabs>
          <w:tab w:val="clear" w:pos="851"/>
          <w:tab w:val="left" w:pos="1134"/>
        </w:tabs>
        <w:ind w:left="1134" w:hanging="1134"/>
      </w:pPr>
      <w:bookmarkStart w:id="471" w:name="_Ref401046476"/>
      <w:bookmarkStart w:id="472" w:name="_Toc411510489"/>
      <w:bookmarkStart w:id="473" w:name="_Toc415141922"/>
      <w:r w:rsidRPr="006A71AB">
        <w:lastRenderedPageBreak/>
        <w:t xml:space="preserve">Table </w:t>
      </w:r>
      <w:r w:rsidR="00A72B26">
        <w:rPr>
          <w:noProof/>
        </w:rPr>
        <w:t>125</w:t>
      </w:r>
      <w:bookmarkEnd w:id="471"/>
      <w:r w:rsidRPr="006A71AB">
        <w:tab/>
        <w:t>Effect of 6-month eculizumab treatment on renal function (change in stage of CKD with treatment)*</w:t>
      </w:r>
      <w:bookmarkEnd w:id="472"/>
      <w:bookmarkEnd w:id="473"/>
    </w:p>
    <w:tbl>
      <w:tblPr>
        <w:tblStyle w:val="TableGrid"/>
        <w:tblW w:w="5000" w:type="pct"/>
        <w:tblLook w:val="04A0" w:firstRow="1" w:lastRow="0" w:firstColumn="1" w:lastColumn="0" w:noHBand="0" w:noVBand="1"/>
        <w:tblCaption w:val="Table 91 Effect of 6-month eculizumab treatment on renal function (change in stage of CKD with treatment) (Hillmen et al. 2010)"/>
      </w:tblPr>
      <w:tblGrid>
        <w:gridCol w:w="2795"/>
        <w:gridCol w:w="2007"/>
        <w:gridCol w:w="1756"/>
        <w:gridCol w:w="1664"/>
        <w:gridCol w:w="1020"/>
      </w:tblGrid>
      <w:tr w:rsidR="00092F60" w:rsidRPr="00092F60" w:rsidTr="00C6200C">
        <w:trPr>
          <w:tblHeader/>
        </w:trPr>
        <w:tc>
          <w:tcPr>
            <w:tcW w:w="1512" w:type="pct"/>
          </w:tcPr>
          <w:p w:rsidR="00092F60" w:rsidRPr="00092F60" w:rsidRDefault="00092F60" w:rsidP="00E90F59">
            <w:pPr>
              <w:pStyle w:val="TableHeading"/>
            </w:pPr>
            <w:r w:rsidRPr="00092F60">
              <w:t>Baseline stage</w:t>
            </w:r>
          </w:p>
        </w:tc>
        <w:tc>
          <w:tcPr>
            <w:tcW w:w="1086" w:type="pct"/>
          </w:tcPr>
          <w:p w:rsidR="00092F60" w:rsidRPr="00092F60" w:rsidRDefault="00092F60" w:rsidP="00E90F59">
            <w:pPr>
              <w:pStyle w:val="TableHeading"/>
            </w:pPr>
            <w:r w:rsidRPr="00092F60">
              <w:t>Improvement (%)</w:t>
            </w:r>
          </w:p>
        </w:tc>
        <w:tc>
          <w:tcPr>
            <w:tcW w:w="950" w:type="pct"/>
          </w:tcPr>
          <w:p w:rsidR="00092F60" w:rsidRPr="00092F60" w:rsidRDefault="00092F60" w:rsidP="00E90F59">
            <w:pPr>
              <w:pStyle w:val="TableHeading"/>
            </w:pPr>
            <w:r w:rsidRPr="00092F60">
              <w:t>No change (%)</w:t>
            </w:r>
          </w:p>
        </w:tc>
        <w:tc>
          <w:tcPr>
            <w:tcW w:w="900" w:type="pct"/>
          </w:tcPr>
          <w:p w:rsidR="00092F60" w:rsidRPr="00092F60" w:rsidRDefault="00092F60" w:rsidP="00E90F59">
            <w:pPr>
              <w:pStyle w:val="TableHeading"/>
            </w:pPr>
            <w:r w:rsidRPr="00092F60">
              <w:t>Worsening (%)</w:t>
            </w:r>
          </w:p>
        </w:tc>
        <w:tc>
          <w:tcPr>
            <w:tcW w:w="552" w:type="pct"/>
          </w:tcPr>
          <w:p w:rsidR="00092F60" w:rsidRPr="00092F60" w:rsidRDefault="00092F60" w:rsidP="00E90F59">
            <w:pPr>
              <w:pStyle w:val="TableHeading"/>
              <w:rPr>
                <w:vertAlign w:val="superscript"/>
              </w:rPr>
            </w:pPr>
            <w:r w:rsidRPr="00092F60">
              <w:t>p-value</w:t>
            </w:r>
            <w:r w:rsidRPr="00092F60">
              <w:rPr>
                <w:vertAlign w:val="superscript"/>
              </w:rPr>
              <w:t>a</w:t>
            </w:r>
          </w:p>
        </w:tc>
      </w:tr>
      <w:tr w:rsidR="00092F60" w:rsidRPr="00092F60" w:rsidTr="00092F60">
        <w:tc>
          <w:tcPr>
            <w:tcW w:w="1512" w:type="pct"/>
          </w:tcPr>
          <w:p w:rsidR="00092F60" w:rsidRPr="00092F60" w:rsidRDefault="00092F60" w:rsidP="00E90F59">
            <w:pPr>
              <w:pStyle w:val="TableHeading"/>
            </w:pPr>
            <w:r w:rsidRPr="00092F60">
              <w:t xml:space="preserve">Eculizumab </w:t>
            </w:r>
          </w:p>
        </w:tc>
        <w:tc>
          <w:tcPr>
            <w:tcW w:w="1086" w:type="pct"/>
          </w:tcPr>
          <w:p w:rsidR="00092F60" w:rsidRPr="00092F60" w:rsidRDefault="00092F60" w:rsidP="00E90F59">
            <w:pPr>
              <w:pStyle w:val="TableText0"/>
            </w:pPr>
          </w:p>
        </w:tc>
        <w:tc>
          <w:tcPr>
            <w:tcW w:w="950" w:type="pct"/>
          </w:tcPr>
          <w:p w:rsidR="00092F60" w:rsidRPr="00092F60" w:rsidRDefault="00092F60" w:rsidP="00E90F59">
            <w:pPr>
              <w:pStyle w:val="TableText0"/>
            </w:pPr>
          </w:p>
        </w:tc>
        <w:tc>
          <w:tcPr>
            <w:tcW w:w="900" w:type="pct"/>
          </w:tcPr>
          <w:p w:rsidR="00092F60" w:rsidRPr="00092F60" w:rsidRDefault="00092F60" w:rsidP="00E90F59">
            <w:pPr>
              <w:pStyle w:val="TableText0"/>
            </w:pPr>
          </w:p>
        </w:tc>
        <w:tc>
          <w:tcPr>
            <w:tcW w:w="552" w:type="pct"/>
          </w:tcPr>
          <w:p w:rsidR="00092F60" w:rsidRPr="00092F60" w:rsidRDefault="00092F60" w:rsidP="00E90F59">
            <w:pPr>
              <w:pStyle w:val="TableText0"/>
            </w:pPr>
          </w:p>
        </w:tc>
      </w:tr>
      <w:tr w:rsidR="00092F60" w:rsidRPr="00092F60" w:rsidTr="00092F60">
        <w:tc>
          <w:tcPr>
            <w:tcW w:w="1512" w:type="pct"/>
          </w:tcPr>
          <w:p w:rsidR="00092F60" w:rsidRPr="00092F60" w:rsidRDefault="00092F60" w:rsidP="00E90F59">
            <w:pPr>
              <w:pStyle w:val="TableText0"/>
            </w:pPr>
            <w:r w:rsidRPr="00092F60">
              <w:t>All patients (n</w:t>
            </w:r>
            <w:r w:rsidR="00652355" w:rsidRPr="00652355">
              <w:rPr>
                <w:spacing w:val="-20"/>
              </w:rPr>
              <w:t xml:space="preserve"> = </w:t>
            </w:r>
            <w:r w:rsidRPr="00092F60">
              <w:t>41)</w:t>
            </w:r>
          </w:p>
        </w:tc>
        <w:tc>
          <w:tcPr>
            <w:tcW w:w="1086" w:type="pct"/>
          </w:tcPr>
          <w:p w:rsidR="00092F60" w:rsidRPr="00092F60" w:rsidRDefault="00092F60" w:rsidP="00E90F59">
            <w:pPr>
              <w:pStyle w:val="TableText0"/>
            </w:pPr>
            <w:r w:rsidRPr="00092F60">
              <w:t>29.3</w:t>
            </w:r>
          </w:p>
        </w:tc>
        <w:tc>
          <w:tcPr>
            <w:tcW w:w="950" w:type="pct"/>
          </w:tcPr>
          <w:p w:rsidR="00092F60" w:rsidRPr="00092F60" w:rsidRDefault="00092F60" w:rsidP="00E90F59">
            <w:pPr>
              <w:pStyle w:val="TableText0"/>
            </w:pPr>
            <w:r w:rsidRPr="00092F60">
              <w:t>65.9</w:t>
            </w:r>
          </w:p>
        </w:tc>
        <w:tc>
          <w:tcPr>
            <w:tcW w:w="900" w:type="pct"/>
          </w:tcPr>
          <w:p w:rsidR="00092F60" w:rsidRPr="00092F60" w:rsidRDefault="00092F60" w:rsidP="00E90F59">
            <w:pPr>
              <w:pStyle w:val="TableText0"/>
            </w:pPr>
            <w:r w:rsidRPr="00092F60">
              <w:t>4.9</w:t>
            </w:r>
          </w:p>
        </w:tc>
        <w:tc>
          <w:tcPr>
            <w:tcW w:w="552" w:type="pct"/>
          </w:tcPr>
          <w:p w:rsidR="00092F60" w:rsidRPr="00092F60" w:rsidRDefault="00092F60" w:rsidP="00E90F59">
            <w:pPr>
              <w:pStyle w:val="TableText0"/>
            </w:pPr>
            <w:r w:rsidRPr="00092F60">
              <w:t>0.005</w:t>
            </w:r>
          </w:p>
        </w:tc>
      </w:tr>
      <w:tr w:rsidR="00092F60" w:rsidRPr="00092F60" w:rsidTr="00092F60">
        <w:tc>
          <w:tcPr>
            <w:tcW w:w="1512" w:type="pct"/>
          </w:tcPr>
          <w:p w:rsidR="00092F60" w:rsidRPr="00092F60" w:rsidRDefault="00092F60" w:rsidP="00E90F59">
            <w:pPr>
              <w:pStyle w:val="TableText0"/>
            </w:pPr>
            <w:r w:rsidRPr="00092F60">
              <w:t>Stages 3-5 (n</w:t>
            </w:r>
            <w:r w:rsidR="00652355" w:rsidRPr="00652355">
              <w:rPr>
                <w:spacing w:val="-20"/>
              </w:rPr>
              <w:t xml:space="preserve"> = </w:t>
            </w:r>
            <w:r w:rsidRPr="00092F60">
              <w:t>9)</w:t>
            </w:r>
          </w:p>
        </w:tc>
        <w:tc>
          <w:tcPr>
            <w:tcW w:w="1086" w:type="pct"/>
          </w:tcPr>
          <w:p w:rsidR="00092F60" w:rsidRPr="00092F60" w:rsidRDefault="00092F60" w:rsidP="00E90F59">
            <w:pPr>
              <w:pStyle w:val="TableText0"/>
            </w:pPr>
            <w:r w:rsidRPr="00092F60">
              <w:t>11.1</w:t>
            </w:r>
          </w:p>
        </w:tc>
        <w:tc>
          <w:tcPr>
            <w:tcW w:w="950" w:type="pct"/>
          </w:tcPr>
          <w:p w:rsidR="00092F60" w:rsidRPr="00092F60" w:rsidRDefault="00092F60" w:rsidP="00E90F59">
            <w:pPr>
              <w:pStyle w:val="TableText0"/>
            </w:pPr>
            <w:r w:rsidRPr="00092F60">
              <w:t>88.9</w:t>
            </w:r>
          </w:p>
        </w:tc>
        <w:tc>
          <w:tcPr>
            <w:tcW w:w="900" w:type="pct"/>
          </w:tcPr>
          <w:p w:rsidR="00092F60" w:rsidRPr="00092F60" w:rsidRDefault="00092F60" w:rsidP="00E90F59">
            <w:pPr>
              <w:pStyle w:val="TableText0"/>
            </w:pPr>
            <w:r w:rsidRPr="00092F60">
              <w:t>0.0</w:t>
            </w:r>
          </w:p>
        </w:tc>
        <w:tc>
          <w:tcPr>
            <w:tcW w:w="552" w:type="pct"/>
          </w:tcPr>
          <w:p w:rsidR="00092F60" w:rsidRPr="00092F60" w:rsidRDefault="00092F60" w:rsidP="00E90F59">
            <w:pPr>
              <w:pStyle w:val="TableText0"/>
            </w:pPr>
            <w:r w:rsidRPr="00092F60">
              <w:t>0.30</w:t>
            </w:r>
          </w:p>
        </w:tc>
      </w:tr>
      <w:tr w:rsidR="00092F60" w:rsidRPr="00092F60" w:rsidTr="00092F60">
        <w:tc>
          <w:tcPr>
            <w:tcW w:w="1512" w:type="pct"/>
          </w:tcPr>
          <w:p w:rsidR="00092F60" w:rsidRPr="00092F60" w:rsidRDefault="00092F60" w:rsidP="00E90F59">
            <w:pPr>
              <w:pStyle w:val="TableText0"/>
            </w:pPr>
            <w:r w:rsidRPr="00092F60">
              <w:t>Stages 1-2 (n</w:t>
            </w:r>
            <w:r w:rsidR="00652355" w:rsidRPr="00652355">
              <w:rPr>
                <w:spacing w:val="-20"/>
              </w:rPr>
              <w:t xml:space="preserve"> = </w:t>
            </w:r>
            <w:r w:rsidRPr="00092F60">
              <w:t>17)</w:t>
            </w:r>
          </w:p>
        </w:tc>
        <w:tc>
          <w:tcPr>
            <w:tcW w:w="1086" w:type="pct"/>
          </w:tcPr>
          <w:p w:rsidR="00092F60" w:rsidRPr="00092F60" w:rsidRDefault="00092F60" w:rsidP="00E90F59">
            <w:pPr>
              <w:pStyle w:val="TableText0"/>
            </w:pPr>
            <w:r w:rsidRPr="00092F60">
              <w:t>64.7</w:t>
            </w:r>
          </w:p>
        </w:tc>
        <w:tc>
          <w:tcPr>
            <w:tcW w:w="950" w:type="pct"/>
          </w:tcPr>
          <w:p w:rsidR="00092F60" w:rsidRPr="00092F60" w:rsidRDefault="00092F60" w:rsidP="00E90F59">
            <w:pPr>
              <w:pStyle w:val="TableText0"/>
            </w:pPr>
            <w:r w:rsidRPr="00092F60">
              <w:t>23.5</w:t>
            </w:r>
          </w:p>
        </w:tc>
        <w:tc>
          <w:tcPr>
            <w:tcW w:w="900" w:type="pct"/>
          </w:tcPr>
          <w:p w:rsidR="00092F60" w:rsidRPr="00092F60" w:rsidRDefault="00092F60" w:rsidP="00E90F59">
            <w:pPr>
              <w:pStyle w:val="TableText0"/>
            </w:pPr>
            <w:r w:rsidRPr="00092F60">
              <w:t>11.8</w:t>
            </w:r>
          </w:p>
        </w:tc>
        <w:tc>
          <w:tcPr>
            <w:tcW w:w="552" w:type="pct"/>
          </w:tcPr>
          <w:p w:rsidR="00092F60" w:rsidRPr="00092F60" w:rsidRDefault="00092F60" w:rsidP="00E90F59">
            <w:pPr>
              <w:pStyle w:val="TableText0"/>
            </w:pPr>
            <w:r w:rsidRPr="00092F60">
              <w:t>0.006</w:t>
            </w:r>
          </w:p>
        </w:tc>
      </w:tr>
      <w:tr w:rsidR="00092F60" w:rsidRPr="00092F60" w:rsidTr="00092F60">
        <w:tc>
          <w:tcPr>
            <w:tcW w:w="1512" w:type="pct"/>
          </w:tcPr>
          <w:p w:rsidR="00092F60" w:rsidRPr="00092F60" w:rsidRDefault="00092F60" w:rsidP="00E90F59">
            <w:pPr>
              <w:pStyle w:val="TableHeading"/>
            </w:pPr>
            <w:r w:rsidRPr="00092F60">
              <w:t>Placebo</w:t>
            </w:r>
          </w:p>
        </w:tc>
        <w:tc>
          <w:tcPr>
            <w:tcW w:w="1086" w:type="pct"/>
          </w:tcPr>
          <w:p w:rsidR="00092F60" w:rsidRPr="00092F60" w:rsidRDefault="00092F60" w:rsidP="00E90F59">
            <w:pPr>
              <w:pStyle w:val="TableText0"/>
            </w:pPr>
          </w:p>
        </w:tc>
        <w:tc>
          <w:tcPr>
            <w:tcW w:w="950" w:type="pct"/>
          </w:tcPr>
          <w:p w:rsidR="00092F60" w:rsidRPr="00092F60" w:rsidRDefault="00092F60" w:rsidP="00E90F59">
            <w:pPr>
              <w:pStyle w:val="TableText0"/>
            </w:pPr>
          </w:p>
        </w:tc>
        <w:tc>
          <w:tcPr>
            <w:tcW w:w="900" w:type="pct"/>
          </w:tcPr>
          <w:p w:rsidR="00092F60" w:rsidRPr="00092F60" w:rsidRDefault="00092F60" w:rsidP="00E90F59">
            <w:pPr>
              <w:pStyle w:val="TableText0"/>
            </w:pPr>
          </w:p>
        </w:tc>
        <w:tc>
          <w:tcPr>
            <w:tcW w:w="552" w:type="pct"/>
          </w:tcPr>
          <w:p w:rsidR="00092F60" w:rsidRPr="00092F60" w:rsidRDefault="00092F60" w:rsidP="00E90F59">
            <w:pPr>
              <w:pStyle w:val="TableText0"/>
            </w:pPr>
          </w:p>
        </w:tc>
      </w:tr>
      <w:tr w:rsidR="00092F60" w:rsidRPr="00092F60" w:rsidTr="00092F60">
        <w:tc>
          <w:tcPr>
            <w:tcW w:w="1512" w:type="pct"/>
          </w:tcPr>
          <w:p w:rsidR="00092F60" w:rsidRPr="00092F60" w:rsidRDefault="00092F60" w:rsidP="00E90F59">
            <w:pPr>
              <w:pStyle w:val="TableText0"/>
            </w:pPr>
            <w:r w:rsidRPr="00092F60">
              <w:t>All patients (n</w:t>
            </w:r>
            <w:r w:rsidR="00652355" w:rsidRPr="00652355">
              <w:rPr>
                <w:spacing w:val="-20"/>
              </w:rPr>
              <w:t xml:space="preserve"> = </w:t>
            </w:r>
            <w:r w:rsidRPr="00092F60">
              <w:t>42)</w:t>
            </w:r>
          </w:p>
        </w:tc>
        <w:tc>
          <w:tcPr>
            <w:tcW w:w="1086" w:type="pct"/>
          </w:tcPr>
          <w:p w:rsidR="00092F60" w:rsidRPr="00092F60" w:rsidRDefault="00092F60" w:rsidP="00E90F59">
            <w:pPr>
              <w:pStyle w:val="TableText0"/>
            </w:pPr>
            <w:r w:rsidRPr="00092F60">
              <w:t>16.7</w:t>
            </w:r>
          </w:p>
        </w:tc>
        <w:tc>
          <w:tcPr>
            <w:tcW w:w="950" w:type="pct"/>
          </w:tcPr>
          <w:p w:rsidR="00092F60" w:rsidRPr="00092F60" w:rsidRDefault="00092F60" w:rsidP="00E90F59">
            <w:pPr>
              <w:pStyle w:val="TableText0"/>
            </w:pPr>
            <w:r w:rsidRPr="00092F60">
              <w:t>69.0</w:t>
            </w:r>
          </w:p>
        </w:tc>
        <w:tc>
          <w:tcPr>
            <w:tcW w:w="900" w:type="pct"/>
          </w:tcPr>
          <w:p w:rsidR="00092F60" w:rsidRPr="00092F60" w:rsidRDefault="00092F60" w:rsidP="00E90F59">
            <w:pPr>
              <w:pStyle w:val="TableText0"/>
            </w:pPr>
            <w:r w:rsidRPr="00092F60">
              <w:t>14.3</w:t>
            </w:r>
          </w:p>
        </w:tc>
        <w:tc>
          <w:tcPr>
            <w:tcW w:w="552" w:type="pct"/>
          </w:tcPr>
          <w:p w:rsidR="00092F60" w:rsidRPr="00092F60" w:rsidRDefault="00092F60" w:rsidP="00E90F59">
            <w:pPr>
              <w:pStyle w:val="TableText0"/>
            </w:pPr>
            <w:r w:rsidRPr="00092F60">
              <w:t>0.78</w:t>
            </w:r>
          </w:p>
        </w:tc>
      </w:tr>
      <w:tr w:rsidR="00092F60" w:rsidRPr="00092F60" w:rsidTr="00092F60">
        <w:tc>
          <w:tcPr>
            <w:tcW w:w="1512" w:type="pct"/>
          </w:tcPr>
          <w:p w:rsidR="00092F60" w:rsidRPr="00092F60" w:rsidRDefault="00092F60" w:rsidP="00E90F59">
            <w:pPr>
              <w:pStyle w:val="TableText0"/>
            </w:pPr>
            <w:r w:rsidRPr="00092F60">
              <w:t>Stages 3-5 (n</w:t>
            </w:r>
            <w:r w:rsidR="00652355" w:rsidRPr="00652355">
              <w:rPr>
                <w:spacing w:val="-20"/>
              </w:rPr>
              <w:t xml:space="preserve"> = </w:t>
            </w:r>
            <w:r w:rsidRPr="00092F60">
              <w:t>9)</w:t>
            </w:r>
          </w:p>
        </w:tc>
        <w:tc>
          <w:tcPr>
            <w:tcW w:w="1086" w:type="pct"/>
          </w:tcPr>
          <w:p w:rsidR="00092F60" w:rsidRPr="00092F60" w:rsidRDefault="00092F60" w:rsidP="00E90F59">
            <w:pPr>
              <w:pStyle w:val="TableText0"/>
            </w:pPr>
            <w:r w:rsidRPr="00092F60">
              <w:t>22.2</w:t>
            </w:r>
          </w:p>
        </w:tc>
        <w:tc>
          <w:tcPr>
            <w:tcW w:w="950" w:type="pct"/>
          </w:tcPr>
          <w:p w:rsidR="00092F60" w:rsidRPr="00092F60" w:rsidRDefault="00092F60" w:rsidP="00E90F59">
            <w:pPr>
              <w:pStyle w:val="TableText0"/>
            </w:pPr>
            <w:r w:rsidRPr="00092F60">
              <w:t>66.7</w:t>
            </w:r>
          </w:p>
        </w:tc>
        <w:tc>
          <w:tcPr>
            <w:tcW w:w="900" w:type="pct"/>
          </w:tcPr>
          <w:p w:rsidR="00092F60" w:rsidRPr="00092F60" w:rsidRDefault="00092F60" w:rsidP="00E90F59">
            <w:pPr>
              <w:pStyle w:val="TableText0"/>
            </w:pPr>
            <w:r w:rsidRPr="00092F60">
              <w:t>11.1</w:t>
            </w:r>
          </w:p>
        </w:tc>
        <w:tc>
          <w:tcPr>
            <w:tcW w:w="552" w:type="pct"/>
          </w:tcPr>
          <w:p w:rsidR="00092F60" w:rsidRPr="00092F60" w:rsidRDefault="00092F60" w:rsidP="00E90F59">
            <w:pPr>
              <w:pStyle w:val="TableText0"/>
            </w:pPr>
            <w:r w:rsidRPr="00092F60">
              <w:t>0.56</w:t>
            </w:r>
          </w:p>
        </w:tc>
      </w:tr>
      <w:tr w:rsidR="00092F60" w:rsidRPr="00092F60" w:rsidTr="00092F60">
        <w:tc>
          <w:tcPr>
            <w:tcW w:w="1512" w:type="pct"/>
          </w:tcPr>
          <w:p w:rsidR="00092F60" w:rsidRPr="00092F60" w:rsidRDefault="00092F60" w:rsidP="00E90F59">
            <w:pPr>
              <w:pStyle w:val="TableText0"/>
            </w:pPr>
            <w:r w:rsidRPr="00092F60">
              <w:t>Stages 1-2 (n</w:t>
            </w:r>
            <w:r w:rsidR="00652355" w:rsidRPr="00652355">
              <w:rPr>
                <w:spacing w:val="-20"/>
              </w:rPr>
              <w:t xml:space="preserve"> = </w:t>
            </w:r>
            <w:r w:rsidRPr="00092F60">
              <w:t>14)</w:t>
            </w:r>
          </w:p>
        </w:tc>
        <w:tc>
          <w:tcPr>
            <w:tcW w:w="1086" w:type="pct"/>
          </w:tcPr>
          <w:p w:rsidR="00092F60" w:rsidRPr="00092F60" w:rsidRDefault="00092F60" w:rsidP="00E90F59">
            <w:pPr>
              <w:pStyle w:val="TableText0"/>
            </w:pPr>
            <w:r w:rsidRPr="00092F60">
              <w:t>35.7</w:t>
            </w:r>
          </w:p>
        </w:tc>
        <w:tc>
          <w:tcPr>
            <w:tcW w:w="950" w:type="pct"/>
          </w:tcPr>
          <w:p w:rsidR="00092F60" w:rsidRPr="00092F60" w:rsidRDefault="00092F60" w:rsidP="00E90F59">
            <w:pPr>
              <w:pStyle w:val="TableText0"/>
            </w:pPr>
            <w:r w:rsidRPr="00092F60">
              <w:t>50.0</w:t>
            </w:r>
          </w:p>
        </w:tc>
        <w:tc>
          <w:tcPr>
            <w:tcW w:w="900" w:type="pct"/>
          </w:tcPr>
          <w:p w:rsidR="00092F60" w:rsidRPr="00092F60" w:rsidRDefault="00092F60" w:rsidP="00E90F59">
            <w:pPr>
              <w:pStyle w:val="TableText0"/>
            </w:pPr>
            <w:r w:rsidRPr="00092F60">
              <w:t>14.3</w:t>
            </w:r>
          </w:p>
        </w:tc>
        <w:tc>
          <w:tcPr>
            <w:tcW w:w="552" w:type="pct"/>
          </w:tcPr>
          <w:p w:rsidR="00092F60" w:rsidRPr="00092F60" w:rsidRDefault="00092F60" w:rsidP="00E90F59">
            <w:pPr>
              <w:pStyle w:val="TableText0"/>
            </w:pPr>
            <w:r w:rsidRPr="00092F60">
              <w:t>0.25</w:t>
            </w:r>
          </w:p>
        </w:tc>
      </w:tr>
      <w:tr w:rsidR="00092F60" w:rsidRPr="00092F60" w:rsidTr="00092F60">
        <w:tc>
          <w:tcPr>
            <w:tcW w:w="1512" w:type="pct"/>
          </w:tcPr>
          <w:p w:rsidR="00092F60" w:rsidRPr="00092F60" w:rsidRDefault="00092F60" w:rsidP="00E90F59">
            <w:pPr>
              <w:pStyle w:val="TableHeading"/>
            </w:pPr>
            <w:r w:rsidRPr="00092F60">
              <w:t>Eculizumab vs placebo</w:t>
            </w:r>
          </w:p>
        </w:tc>
        <w:tc>
          <w:tcPr>
            <w:tcW w:w="1086" w:type="pct"/>
          </w:tcPr>
          <w:p w:rsidR="00092F60" w:rsidRPr="00092F60" w:rsidRDefault="00092F60" w:rsidP="00E90F59">
            <w:pPr>
              <w:pStyle w:val="TableText0"/>
            </w:pPr>
          </w:p>
        </w:tc>
        <w:tc>
          <w:tcPr>
            <w:tcW w:w="950" w:type="pct"/>
          </w:tcPr>
          <w:p w:rsidR="00092F60" w:rsidRPr="00092F60" w:rsidRDefault="00092F60" w:rsidP="00E90F59">
            <w:pPr>
              <w:pStyle w:val="TableText0"/>
            </w:pPr>
          </w:p>
        </w:tc>
        <w:tc>
          <w:tcPr>
            <w:tcW w:w="900" w:type="pct"/>
          </w:tcPr>
          <w:p w:rsidR="00092F60" w:rsidRPr="00092F60" w:rsidRDefault="00092F60" w:rsidP="00E90F59">
            <w:pPr>
              <w:pStyle w:val="TableText0"/>
            </w:pPr>
          </w:p>
        </w:tc>
        <w:tc>
          <w:tcPr>
            <w:tcW w:w="552" w:type="pct"/>
          </w:tcPr>
          <w:p w:rsidR="00092F60" w:rsidRPr="00092F60" w:rsidRDefault="00092F60" w:rsidP="00E90F59">
            <w:pPr>
              <w:pStyle w:val="TableText0"/>
              <w:rPr>
                <w:vertAlign w:val="superscript"/>
              </w:rPr>
            </w:pPr>
            <w:r w:rsidRPr="00092F60">
              <w:t>0.04</w:t>
            </w:r>
            <w:r w:rsidRPr="00092F60">
              <w:rPr>
                <w:vertAlign w:val="superscript"/>
              </w:rPr>
              <w:t>b</w:t>
            </w:r>
          </w:p>
        </w:tc>
      </w:tr>
    </w:tbl>
    <w:p w:rsidR="00092F60" w:rsidRPr="0062097D" w:rsidRDefault="001B4E29" w:rsidP="0062097D">
      <w:pPr>
        <w:spacing w:after="0"/>
        <w:ind w:left="142" w:hanging="142"/>
        <w:jc w:val="left"/>
        <w:rPr>
          <w:rFonts w:ascii="Arial Narrow" w:hAnsi="Arial Narrow"/>
          <w:sz w:val="16"/>
          <w:szCs w:val="16"/>
        </w:rPr>
      </w:pPr>
      <w:r w:rsidRPr="0062097D">
        <w:rPr>
          <w:rFonts w:ascii="Arial Narrow" w:hAnsi="Arial Narrow"/>
          <w:sz w:val="16"/>
          <w:szCs w:val="16"/>
        </w:rPr>
        <w:t xml:space="preserve">CKD </w:t>
      </w:r>
      <w:r w:rsidRPr="00652355">
        <w:rPr>
          <w:rFonts w:ascii="Arial Narrow" w:hAnsi="Arial Narrow"/>
          <w:spacing w:val="-20"/>
          <w:sz w:val="16"/>
          <w:szCs w:val="16"/>
        </w:rPr>
        <w:t xml:space="preserve">= </w:t>
      </w:r>
      <w:r w:rsidRPr="0062097D">
        <w:rPr>
          <w:rFonts w:ascii="Arial Narrow" w:hAnsi="Arial Narrow"/>
          <w:sz w:val="16"/>
          <w:szCs w:val="16"/>
        </w:rPr>
        <w:t>chronic</w:t>
      </w:r>
      <w:r w:rsidR="00092F60" w:rsidRPr="0062097D">
        <w:rPr>
          <w:rFonts w:ascii="Arial Narrow" w:hAnsi="Arial Narrow"/>
          <w:sz w:val="16"/>
          <w:szCs w:val="16"/>
        </w:rPr>
        <w:t xml:space="preserve"> kidney disease</w:t>
      </w:r>
    </w:p>
    <w:p w:rsidR="00092F60" w:rsidRPr="0062097D" w:rsidRDefault="00092F60" w:rsidP="0062097D">
      <w:pPr>
        <w:spacing w:after="0"/>
        <w:ind w:left="142" w:hanging="142"/>
        <w:jc w:val="left"/>
        <w:rPr>
          <w:rFonts w:ascii="Arial Narrow" w:hAnsi="Arial Narrow"/>
          <w:sz w:val="16"/>
          <w:szCs w:val="16"/>
        </w:rPr>
      </w:pPr>
      <w:proofErr w:type="gramStart"/>
      <w:r w:rsidRPr="0062097D">
        <w:rPr>
          <w:rFonts w:ascii="Arial Narrow" w:hAnsi="Arial Narrow"/>
          <w:sz w:val="16"/>
          <w:szCs w:val="16"/>
          <w:vertAlign w:val="superscript"/>
        </w:rPr>
        <w:t>a</w:t>
      </w:r>
      <w:proofErr w:type="gramEnd"/>
      <w:r w:rsidRPr="0062097D">
        <w:rPr>
          <w:rFonts w:ascii="Arial Narrow" w:hAnsi="Arial Narrow"/>
          <w:sz w:val="16"/>
          <w:szCs w:val="16"/>
        </w:rPr>
        <w:t xml:space="preserve"> The comparison (except for eculizumab vs placebo) performed for each group or for all patients, tested the null hypothesis that patients are as likely to improve as they are to worsen (Chi-square analysis)</w:t>
      </w:r>
    </w:p>
    <w:p w:rsidR="00092F60" w:rsidRPr="0062097D" w:rsidRDefault="00092F60" w:rsidP="0062097D">
      <w:pPr>
        <w:spacing w:after="0"/>
        <w:ind w:left="142" w:hanging="142"/>
        <w:jc w:val="left"/>
        <w:rPr>
          <w:rFonts w:ascii="Arial Narrow" w:hAnsi="Arial Narrow"/>
          <w:sz w:val="16"/>
          <w:szCs w:val="16"/>
        </w:rPr>
      </w:pPr>
      <w:proofErr w:type="gramStart"/>
      <w:r w:rsidRPr="0062097D">
        <w:rPr>
          <w:rFonts w:ascii="Arial Narrow" w:hAnsi="Arial Narrow"/>
          <w:sz w:val="16"/>
          <w:szCs w:val="16"/>
          <w:vertAlign w:val="superscript"/>
        </w:rPr>
        <w:t>b</w:t>
      </w:r>
      <w:proofErr w:type="gramEnd"/>
      <w:r w:rsidRPr="0062097D">
        <w:rPr>
          <w:rFonts w:ascii="Arial Narrow" w:hAnsi="Arial Narrow"/>
          <w:sz w:val="16"/>
          <w:szCs w:val="16"/>
        </w:rPr>
        <w:t xml:space="preserve"> The comparison of eculizumab vs placebo tests the null hypothesis that the probability of patients improving or worsening with eculizumab is equal to the same probabilities with placebo (Chi-square analysis).</w:t>
      </w:r>
    </w:p>
    <w:p w:rsidR="00092F60" w:rsidRPr="0062097D" w:rsidRDefault="00092F60" w:rsidP="0062097D">
      <w:pPr>
        <w:spacing w:after="0"/>
        <w:ind w:left="142" w:hanging="142"/>
        <w:jc w:val="left"/>
        <w:rPr>
          <w:rFonts w:ascii="Arial Narrow" w:hAnsi="Arial Narrow"/>
          <w:sz w:val="16"/>
          <w:szCs w:val="16"/>
        </w:rPr>
      </w:pPr>
      <w:r w:rsidRPr="0062097D">
        <w:rPr>
          <w:rFonts w:ascii="Arial Narrow" w:hAnsi="Arial Narrow"/>
          <w:sz w:val="16"/>
          <w:szCs w:val="16"/>
        </w:rPr>
        <w:t xml:space="preserve">* Source: </w:t>
      </w:r>
      <w:r w:rsidR="00A130D0">
        <w:rPr>
          <w:rFonts w:ascii="Arial Narrow" w:hAnsi="Arial Narrow"/>
          <w:noProof/>
          <w:sz w:val="16"/>
          <w:szCs w:val="16"/>
        </w:rPr>
        <w:t>(</w:t>
      </w:r>
      <w:r w:rsidR="00184B6F">
        <w:rPr>
          <w:rFonts w:ascii="Arial Narrow" w:hAnsi="Arial Narrow"/>
          <w:noProof/>
          <w:sz w:val="16"/>
          <w:szCs w:val="16"/>
        </w:rPr>
        <w:t>Hillmen et al. 2010</w:t>
      </w:r>
      <w:r w:rsidR="00A130D0">
        <w:rPr>
          <w:rFonts w:ascii="Arial Narrow" w:hAnsi="Arial Narrow"/>
          <w:noProof/>
          <w:sz w:val="16"/>
          <w:szCs w:val="16"/>
        </w:rPr>
        <w:t>)</w:t>
      </w:r>
    </w:p>
    <w:p w:rsidR="00092F60" w:rsidRPr="00092F60" w:rsidRDefault="00092F60" w:rsidP="00092F60"/>
    <w:p w:rsidR="00092F60" w:rsidRPr="00092F60" w:rsidRDefault="00092F60" w:rsidP="00092F60">
      <w:r w:rsidRPr="00092F60">
        <w:t xml:space="preserve">The changes in stage of CKD over 18 months of eculizumab treatment, as reported for the extension trial, are summarised in </w:t>
      </w:r>
      <w:r w:rsidR="00A72B26" w:rsidRPr="006A71AB">
        <w:t xml:space="preserve">Table </w:t>
      </w:r>
      <w:r w:rsidR="00A72B26">
        <w:rPr>
          <w:noProof/>
        </w:rPr>
        <w:t>126</w:t>
      </w:r>
      <w:r w:rsidRPr="00092F60">
        <w:t xml:space="preserve">. There are no equivalent pre-treatment data for the majority of patients in the study. While these results suggest that renal function is maintained over 18 months in the majority of patients, as the results are non-comparative, it is not possible to determine to what extent this outcome is attributable </w:t>
      </w:r>
      <w:r w:rsidR="00D05B69">
        <w:t xml:space="preserve">solely </w:t>
      </w:r>
      <w:r w:rsidRPr="00092F60">
        <w:t xml:space="preserve">to eculizumab treatment. </w:t>
      </w:r>
    </w:p>
    <w:p w:rsidR="00092F60" w:rsidRPr="00092F60" w:rsidRDefault="00092F60" w:rsidP="00092F60">
      <w:pPr>
        <w:tabs>
          <w:tab w:val="left" w:pos="3969"/>
        </w:tabs>
        <w:spacing w:after="0"/>
      </w:pPr>
      <w:r w:rsidRPr="00092F60">
        <w:t xml:space="preserve">Hillmen et al (2013) </w:t>
      </w:r>
      <w:r w:rsidR="00A130D0">
        <w:rPr>
          <w:noProof/>
        </w:rPr>
        <w:t>(</w:t>
      </w:r>
      <w:r w:rsidR="00184B6F">
        <w:rPr>
          <w:noProof/>
        </w:rPr>
        <w:t>Hillmen et al. 2013</w:t>
      </w:r>
      <w:r w:rsidR="00A130D0">
        <w:rPr>
          <w:noProof/>
        </w:rPr>
        <w:t>)</w:t>
      </w:r>
      <w:r w:rsidRPr="00092F60">
        <w:t xml:space="preserve"> reported that the percentage of patients showing improvement, worsening or </w:t>
      </w:r>
      <w:r w:rsidR="00D05B69">
        <w:t xml:space="preserve">whom had </w:t>
      </w:r>
      <w:r w:rsidRPr="00092F60">
        <w:t xml:space="preserve">no change in CKD was 25.4%, 6.1% and 68.5% respectively at 6 months, compared with 44.8%, 6.9% and 48.3% respectively at 36 months. It is not clear why the 6 month results differ from those in </w:t>
      </w:r>
      <w:r w:rsidR="00A72B26" w:rsidRPr="006A71AB">
        <w:t xml:space="preserve">Table </w:t>
      </w:r>
      <w:r w:rsidR="00A72B26">
        <w:rPr>
          <w:noProof/>
        </w:rPr>
        <w:t>126</w:t>
      </w:r>
      <w:r w:rsidRPr="00092F60">
        <w:t xml:space="preserve">, which were sourced from Hillmen et al (2010) </w:t>
      </w:r>
      <w:r w:rsidR="00A130D0">
        <w:rPr>
          <w:noProof/>
        </w:rPr>
        <w:t>(</w:t>
      </w:r>
      <w:r w:rsidR="00184B6F">
        <w:rPr>
          <w:noProof/>
        </w:rPr>
        <w:t>Hillmen et al. 2010</w:t>
      </w:r>
      <w:r w:rsidR="00A130D0">
        <w:rPr>
          <w:noProof/>
        </w:rPr>
        <w:t>)</w:t>
      </w:r>
      <w:r w:rsidRPr="00092F60">
        <w:t>. Overall, following 36 months of treatment, 93.1% of patients showed either an improvement or stabilisation in CKD, and patients were significantly more likely to experience an improvement than a worsening in renal function (p</w:t>
      </w:r>
      <w:r w:rsidR="00652355" w:rsidRPr="00652355">
        <w:rPr>
          <w:spacing w:val="-20"/>
        </w:rPr>
        <w:t xml:space="preserve"> = </w:t>
      </w:r>
      <w:r w:rsidRPr="00092F60">
        <w:t xml:space="preserve">0.015) </w:t>
      </w:r>
      <w:r w:rsidR="00A130D0">
        <w:rPr>
          <w:noProof/>
        </w:rPr>
        <w:t>(</w:t>
      </w:r>
      <w:r w:rsidR="00184B6F">
        <w:rPr>
          <w:noProof/>
        </w:rPr>
        <w:t>Hillmen et al. 2013</w:t>
      </w:r>
      <w:r w:rsidR="00A130D0">
        <w:rPr>
          <w:noProof/>
        </w:rPr>
        <w:t>)</w:t>
      </w:r>
      <w:r w:rsidRPr="00092F60">
        <w:t>.</w:t>
      </w:r>
    </w:p>
    <w:p w:rsidR="00092F60" w:rsidRPr="00092F60" w:rsidRDefault="00092F60" w:rsidP="00092F60"/>
    <w:p w:rsidR="00092F60" w:rsidRPr="006A71AB" w:rsidRDefault="00092F60" w:rsidP="00F44176">
      <w:pPr>
        <w:pStyle w:val="Caption"/>
        <w:keepNext/>
        <w:tabs>
          <w:tab w:val="clear" w:pos="851"/>
          <w:tab w:val="left" w:pos="1134"/>
        </w:tabs>
        <w:ind w:left="1134" w:hanging="1134"/>
      </w:pPr>
      <w:bookmarkStart w:id="474" w:name="_Ref401046808"/>
      <w:bookmarkStart w:id="475" w:name="_Toc411510490"/>
      <w:bookmarkStart w:id="476" w:name="_Toc415141923"/>
      <w:r w:rsidRPr="006A71AB">
        <w:lastRenderedPageBreak/>
        <w:t xml:space="preserve">Table </w:t>
      </w:r>
      <w:r w:rsidR="00A72B26">
        <w:rPr>
          <w:noProof/>
        </w:rPr>
        <w:t>126</w:t>
      </w:r>
      <w:bookmarkEnd w:id="474"/>
      <w:r w:rsidRPr="006A71AB">
        <w:tab/>
        <w:t>Effect of long-term eculizumab treatment on renal function</w:t>
      </w:r>
      <w:bookmarkEnd w:id="475"/>
      <w:bookmarkEnd w:id="476"/>
    </w:p>
    <w:tbl>
      <w:tblPr>
        <w:tblStyle w:val="TableGrid"/>
        <w:tblW w:w="5000" w:type="pct"/>
        <w:tblLook w:val="04A0" w:firstRow="1" w:lastRow="0" w:firstColumn="1" w:lastColumn="0" w:noHBand="0" w:noVBand="1"/>
        <w:tblCaption w:val="Table 92 Effect of long-term eculizumab treatment on renal function (Hillmen et al. 2010, Hillmen et al. 2013)"/>
      </w:tblPr>
      <w:tblGrid>
        <w:gridCol w:w="2795"/>
        <w:gridCol w:w="2007"/>
        <w:gridCol w:w="1756"/>
        <w:gridCol w:w="1664"/>
        <w:gridCol w:w="1020"/>
      </w:tblGrid>
      <w:tr w:rsidR="00092F60" w:rsidRPr="00092F60" w:rsidTr="00C6200C">
        <w:trPr>
          <w:tblHeader/>
        </w:trPr>
        <w:tc>
          <w:tcPr>
            <w:tcW w:w="1512" w:type="pct"/>
          </w:tcPr>
          <w:p w:rsidR="00092F60" w:rsidRPr="00092F60" w:rsidRDefault="00092F60" w:rsidP="00E90F59">
            <w:pPr>
              <w:pStyle w:val="TableHeading"/>
            </w:pPr>
            <w:r w:rsidRPr="00092F60">
              <w:t>Baseline stage</w:t>
            </w:r>
          </w:p>
        </w:tc>
        <w:tc>
          <w:tcPr>
            <w:tcW w:w="1086" w:type="pct"/>
          </w:tcPr>
          <w:p w:rsidR="00092F60" w:rsidRPr="00092F60" w:rsidRDefault="00092F60" w:rsidP="00E90F59">
            <w:pPr>
              <w:pStyle w:val="TableHeading"/>
            </w:pPr>
            <w:r w:rsidRPr="00092F60">
              <w:t>Improvement</w:t>
            </w:r>
            <w:r w:rsidR="00C6200C">
              <w:t xml:space="preserve"> in stage of CKD</w:t>
            </w:r>
            <w:r w:rsidRPr="00092F60">
              <w:t xml:space="preserve"> (%)</w:t>
            </w:r>
          </w:p>
        </w:tc>
        <w:tc>
          <w:tcPr>
            <w:tcW w:w="950" w:type="pct"/>
          </w:tcPr>
          <w:p w:rsidR="00092F60" w:rsidRPr="00092F60" w:rsidRDefault="00092F60" w:rsidP="00E90F59">
            <w:pPr>
              <w:pStyle w:val="TableHeading"/>
            </w:pPr>
            <w:r w:rsidRPr="00092F60">
              <w:t>No change</w:t>
            </w:r>
            <w:r w:rsidR="00C6200C">
              <w:t xml:space="preserve"> in stage of CKD</w:t>
            </w:r>
            <w:r w:rsidRPr="00092F60">
              <w:t xml:space="preserve"> (%)</w:t>
            </w:r>
          </w:p>
        </w:tc>
        <w:tc>
          <w:tcPr>
            <w:tcW w:w="900" w:type="pct"/>
          </w:tcPr>
          <w:p w:rsidR="00092F60" w:rsidRPr="00092F60" w:rsidRDefault="00092F60" w:rsidP="00E90F59">
            <w:pPr>
              <w:pStyle w:val="TableHeading"/>
            </w:pPr>
            <w:r w:rsidRPr="00092F60">
              <w:t>Worsening</w:t>
            </w:r>
            <w:r w:rsidR="00C6200C">
              <w:t xml:space="preserve"> in stage</w:t>
            </w:r>
            <w:r w:rsidRPr="00092F60">
              <w:t xml:space="preserve"> </w:t>
            </w:r>
            <w:r w:rsidR="00C6200C">
              <w:t xml:space="preserve">of CKD </w:t>
            </w:r>
            <w:r w:rsidRPr="00092F60">
              <w:t>(%)</w:t>
            </w:r>
          </w:p>
        </w:tc>
        <w:tc>
          <w:tcPr>
            <w:tcW w:w="552" w:type="pct"/>
          </w:tcPr>
          <w:p w:rsidR="00092F60" w:rsidRPr="00092F60" w:rsidRDefault="00092F60" w:rsidP="00E90F59">
            <w:pPr>
              <w:pStyle w:val="TableHeading"/>
              <w:rPr>
                <w:vertAlign w:val="superscript"/>
              </w:rPr>
            </w:pPr>
            <w:r w:rsidRPr="00092F60">
              <w:t>P-value</w:t>
            </w:r>
            <w:r w:rsidRPr="00092F60">
              <w:rPr>
                <w:vertAlign w:val="superscript"/>
              </w:rPr>
              <w:t>a</w:t>
            </w:r>
          </w:p>
        </w:tc>
      </w:tr>
      <w:tr w:rsidR="00092F60" w:rsidRPr="00092F60" w:rsidTr="00092F60">
        <w:tc>
          <w:tcPr>
            <w:tcW w:w="1512" w:type="pct"/>
          </w:tcPr>
          <w:p w:rsidR="00092F60" w:rsidRPr="00092F60" w:rsidRDefault="00092F60" w:rsidP="00E90F59">
            <w:pPr>
              <w:pStyle w:val="TableHeading"/>
            </w:pPr>
            <w:r w:rsidRPr="00092F60">
              <w:t>6 months</w:t>
            </w:r>
          </w:p>
        </w:tc>
        <w:tc>
          <w:tcPr>
            <w:tcW w:w="1086" w:type="pct"/>
          </w:tcPr>
          <w:p w:rsidR="00092F60" w:rsidRPr="00092F60" w:rsidRDefault="00092F60" w:rsidP="00E90F59">
            <w:pPr>
              <w:pStyle w:val="TableText0"/>
            </w:pPr>
          </w:p>
        </w:tc>
        <w:tc>
          <w:tcPr>
            <w:tcW w:w="950" w:type="pct"/>
          </w:tcPr>
          <w:p w:rsidR="00092F60" w:rsidRPr="00092F60" w:rsidRDefault="00092F60" w:rsidP="00E90F59">
            <w:pPr>
              <w:pStyle w:val="TableText0"/>
            </w:pPr>
          </w:p>
        </w:tc>
        <w:tc>
          <w:tcPr>
            <w:tcW w:w="900" w:type="pct"/>
          </w:tcPr>
          <w:p w:rsidR="00092F60" w:rsidRPr="00092F60" w:rsidRDefault="00092F60" w:rsidP="00E90F59">
            <w:pPr>
              <w:pStyle w:val="TableText0"/>
            </w:pPr>
          </w:p>
        </w:tc>
        <w:tc>
          <w:tcPr>
            <w:tcW w:w="552" w:type="pct"/>
          </w:tcPr>
          <w:p w:rsidR="00092F60" w:rsidRPr="00092F60" w:rsidRDefault="00092F60" w:rsidP="00E90F59">
            <w:pPr>
              <w:pStyle w:val="TableText0"/>
            </w:pPr>
          </w:p>
        </w:tc>
      </w:tr>
      <w:tr w:rsidR="00092F60" w:rsidRPr="00092F60" w:rsidTr="00092F60">
        <w:tc>
          <w:tcPr>
            <w:tcW w:w="1512" w:type="pct"/>
          </w:tcPr>
          <w:p w:rsidR="00092F60" w:rsidRPr="00092F60" w:rsidRDefault="00092F60" w:rsidP="00E90F59">
            <w:pPr>
              <w:pStyle w:val="TableText0"/>
            </w:pPr>
            <w:r w:rsidRPr="00092F60">
              <w:t>All patients (n</w:t>
            </w:r>
            <w:r w:rsidR="00652355" w:rsidRPr="00652355">
              <w:rPr>
                <w:spacing w:val="-20"/>
              </w:rPr>
              <w:t xml:space="preserve"> = </w:t>
            </w:r>
            <w:r w:rsidRPr="00092F60">
              <w:t>189)</w:t>
            </w:r>
          </w:p>
        </w:tc>
        <w:tc>
          <w:tcPr>
            <w:tcW w:w="1086" w:type="pct"/>
          </w:tcPr>
          <w:p w:rsidR="00092F60" w:rsidRPr="00092F60" w:rsidRDefault="00092F60" w:rsidP="00E90F59">
            <w:pPr>
              <w:pStyle w:val="TableText0"/>
            </w:pPr>
            <w:r w:rsidRPr="00092F60">
              <w:t>31.7%</w:t>
            </w:r>
          </w:p>
        </w:tc>
        <w:tc>
          <w:tcPr>
            <w:tcW w:w="950" w:type="pct"/>
          </w:tcPr>
          <w:p w:rsidR="00092F60" w:rsidRPr="00092F60" w:rsidRDefault="00092F60" w:rsidP="00E90F59">
            <w:pPr>
              <w:pStyle w:val="TableText0"/>
            </w:pPr>
            <w:r w:rsidRPr="00092F60">
              <w:t>60.3%</w:t>
            </w:r>
          </w:p>
        </w:tc>
        <w:tc>
          <w:tcPr>
            <w:tcW w:w="900" w:type="pct"/>
          </w:tcPr>
          <w:p w:rsidR="00092F60" w:rsidRPr="00092F60" w:rsidRDefault="00092F60" w:rsidP="00E90F59">
            <w:pPr>
              <w:pStyle w:val="TableText0"/>
            </w:pPr>
            <w:r w:rsidRPr="00092F60">
              <w:t>7.9%</w:t>
            </w:r>
          </w:p>
        </w:tc>
        <w:tc>
          <w:tcPr>
            <w:tcW w:w="552" w:type="pct"/>
          </w:tcPr>
          <w:p w:rsidR="00092F60" w:rsidRPr="00092F60" w:rsidRDefault="00092F60" w:rsidP="00E90F59">
            <w:pPr>
              <w:pStyle w:val="TableText0"/>
            </w:pPr>
            <w:r w:rsidRPr="00092F60">
              <w:t>&lt;0.001</w:t>
            </w:r>
          </w:p>
        </w:tc>
      </w:tr>
      <w:tr w:rsidR="00092F60" w:rsidRPr="00092F60" w:rsidTr="00092F60">
        <w:tc>
          <w:tcPr>
            <w:tcW w:w="1512" w:type="pct"/>
          </w:tcPr>
          <w:p w:rsidR="00092F60" w:rsidRPr="00092F60" w:rsidRDefault="00092F60" w:rsidP="00E90F59">
            <w:pPr>
              <w:pStyle w:val="TableText0"/>
            </w:pPr>
            <w:r w:rsidRPr="00092F60">
              <w:t>Stages 3-5 (n</w:t>
            </w:r>
            <w:r w:rsidR="00652355" w:rsidRPr="00652355">
              <w:rPr>
                <w:spacing w:val="-20"/>
              </w:rPr>
              <w:t xml:space="preserve"> = </w:t>
            </w:r>
            <w:r w:rsidRPr="00092F60">
              <w:t>40) (mean change in GFR</w:t>
            </w:r>
            <w:r w:rsidRPr="00092F60">
              <w:rPr>
                <w:vertAlign w:val="superscript"/>
              </w:rPr>
              <w:t>b</w:t>
            </w:r>
            <w:r w:rsidRPr="00092F60">
              <w:t>)</w:t>
            </w:r>
          </w:p>
        </w:tc>
        <w:tc>
          <w:tcPr>
            <w:tcW w:w="1086" w:type="pct"/>
          </w:tcPr>
          <w:p w:rsidR="00092F60" w:rsidRPr="00092F60" w:rsidRDefault="00092F60" w:rsidP="00E90F59">
            <w:pPr>
              <w:pStyle w:val="TableText0"/>
            </w:pPr>
            <w:r w:rsidRPr="00092F60">
              <w:t>20.0% (+10.3)</w:t>
            </w:r>
          </w:p>
        </w:tc>
        <w:tc>
          <w:tcPr>
            <w:tcW w:w="950" w:type="pct"/>
          </w:tcPr>
          <w:p w:rsidR="00092F60" w:rsidRPr="00092F60" w:rsidRDefault="00092F60" w:rsidP="00E90F59">
            <w:pPr>
              <w:pStyle w:val="TableText0"/>
            </w:pPr>
            <w:r w:rsidRPr="00092F60">
              <w:t>75.0% (-0.3)</w:t>
            </w:r>
          </w:p>
        </w:tc>
        <w:tc>
          <w:tcPr>
            <w:tcW w:w="900" w:type="pct"/>
          </w:tcPr>
          <w:p w:rsidR="00092F60" w:rsidRPr="00092F60" w:rsidRDefault="00092F60" w:rsidP="00E90F59">
            <w:pPr>
              <w:pStyle w:val="TableText0"/>
            </w:pPr>
            <w:r w:rsidRPr="00092F60">
              <w:t>5.0% (-2.9)</w:t>
            </w:r>
          </w:p>
        </w:tc>
        <w:tc>
          <w:tcPr>
            <w:tcW w:w="552" w:type="pct"/>
          </w:tcPr>
          <w:p w:rsidR="00092F60" w:rsidRPr="00092F60" w:rsidRDefault="00092F60" w:rsidP="00E90F59">
            <w:pPr>
              <w:pStyle w:val="TableText0"/>
            </w:pPr>
            <w:r w:rsidRPr="00092F60">
              <w:t>0.05</w:t>
            </w:r>
          </w:p>
        </w:tc>
      </w:tr>
      <w:tr w:rsidR="00092F60" w:rsidRPr="00092F60" w:rsidTr="00092F60">
        <w:tc>
          <w:tcPr>
            <w:tcW w:w="1512" w:type="pct"/>
          </w:tcPr>
          <w:p w:rsidR="00092F60" w:rsidRPr="00092F60" w:rsidRDefault="00092F60" w:rsidP="00E90F59">
            <w:pPr>
              <w:pStyle w:val="TableText0"/>
            </w:pPr>
            <w:r w:rsidRPr="00092F60">
              <w:t>Stages 1-2 (n</w:t>
            </w:r>
            <w:r w:rsidR="00652355" w:rsidRPr="00652355">
              <w:rPr>
                <w:spacing w:val="-20"/>
              </w:rPr>
              <w:t xml:space="preserve"> = </w:t>
            </w:r>
            <w:r w:rsidRPr="00092F60">
              <w:t>81)</w:t>
            </w:r>
          </w:p>
        </w:tc>
        <w:tc>
          <w:tcPr>
            <w:tcW w:w="1086" w:type="pct"/>
          </w:tcPr>
          <w:p w:rsidR="00092F60" w:rsidRPr="00092F60" w:rsidRDefault="00092F60" w:rsidP="00E90F59">
            <w:pPr>
              <w:pStyle w:val="TableText0"/>
            </w:pPr>
            <w:r w:rsidRPr="00092F60">
              <w:t>64.2%</w:t>
            </w:r>
          </w:p>
        </w:tc>
        <w:tc>
          <w:tcPr>
            <w:tcW w:w="950" w:type="pct"/>
          </w:tcPr>
          <w:p w:rsidR="00092F60" w:rsidRPr="00092F60" w:rsidRDefault="00092F60" w:rsidP="00E90F59">
            <w:pPr>
              <w:pStyle w:val="TableText0"/>
            </w:pPr>
            <w:r w:rsidRPr="00092F60">
              <w:t>24.7%</w:t>
            </w:r>
          </w:p>
        </w:tc>
        <w:tc>
          <w:tcPr>
            <w:tcW w:w="900" w:type="pct"/>
          </w:tcPr>
          <w:p w:rsidR="00092F60" w:rsidRPr="00092F60" w:rsidRDefault="00092F60" w:rsidP="00E90F59">
            <w:pPr>
              <w:pStyle w:val="TableText0"/>
            </w:pPr>
            <w:r w:rsidRPr="00092F60">
              <w:t>11.1%</w:t>
            </w:r>
          </w:p>
        </w:tc>
        <w:tc>
          <w:tcPr>
            <w:tcW w:w="552" w:type="pct"/>
          </w:tcPr>
          <w:p w:rsidR="00092F60" w:rsidRPr="00092F60" w:rsidRDefault="00092F60" w:rsidP="00E90F59">
            <w:pPr>
              <w:pStyle w:val="TableText0"/>
            </w:pPr>
            <w:r w:rsidRPr="00092F60">
              <w:t>&lt;0.001</w:t>
            </w:r>
          </w:p>
        </w:tc>
      </w:tr>
      <w:tr w:rsidR="00092F60" w:rsidRPr="00092F60" w:rsidTr="00092F60">
        <w:tc>
          <w:tcPr>
            <w:tcW w:w="1512" w:type="pct"/>
          </w:tcPr>
          <w:p w:rsidR="00092F60" w:rsidRPr="00092F60" w:rsidRDefault="00092F60" w:rsidP="00E90F59">
            <w:pPr>
              <w:pStyle w:val="TableHeading"/>
            </w:pPr>
            <w:r w:rsidRPr="00092F60">
              <w:t>12 months</w:t>
            </w:r>
          </w:p>
        </w:tc>
        <w:tc>
          <w:tcPr>
            <w:tcW w:w="1086" w:type="pct"/>
          </w:tcPr>
          <w:p w:rsidR="00092F60" w:rsidRPr="00092F60" w:rsidRDefault="00092F60" w:rsidP="00E90F59">
            <w:pPr>
              <w:pStyle w:val="TableText0"/>
            </w:pPr>
          </w:p>
        </w:tc>
        <w:tc>
          <w:tcPr>
            <w:tcW w:w="950" w:type="pct"/>
          </w:tcPr>
          <w:p w:rsidR="00092F60" w:rsidRPr="00092F60" w:rsidRDefault="00092F60" w:rsidP="00E90F59">
            <w:pPr>
              <w:pStyle w:val="TableText0"/>
            </w:pPr>
          </w:p>
        </w:tc>
        <w:tc>
          <w:tcPr>
            <w:tcW w:w="900" w:type="pct"/>
          </w:tcPr>
          <w:p w:rsidR="00092F60" w:rsidRPr="00092F60" w:rsidRDefault="00092F60" w:rsidP="00E90F59">
            <w:pPr>
              <w:pStyle w:val="TableText0"/>
            </w:pPr>
          </w:p>
        </w:tc>
        <w:tc>
          <w:tcPr>
            <w:tcW w:w="552" w:type="pct"/>
          </w:tcPr>
          <w:p w:rsidR="00092F60" w:rsidRPr="00092F60" w:rsidRDefault="00092F60" w:rsidP="00E90F59">
            <w:pPr>
              <w:pStyle w:val="TableText0"/>
            </w:pPr>
          </w:p>
        </w:tc>
      </w:tr>
      <w:tr w:rsidR="00092F60" w:rsidRPr="00092F60" w:rsidTr="00092F60">
        <w:tc>
          <w:tcPr>
            <w:tcW w:w="1512" w:type="pct"/>
          </w:tcPr>
          <w:p w:rsidR="00092F60" w:rsidRPr="00092F60" w:rsidRDefault="00092F60" w:rsidP="007F41B6">
            <w:pPr>
              <w:pStyle w:val="TableText0"/>
            </w:pPr>
            <w:r w:rsidRPr="00092F60">
              <w:t>All patients (n</w:t>
            </w:r>
            <w:r w:rsidR="00652355" w:rsidRPr="00652355">
              <w:rPr>
                <w:spacing w:val="-20"/>
              </w:rPr>
              <w:t xml:space="preserve"> = </w:t>
            </w:r>
            <w:r w:rsidR="007F41B6">
              <w:t>179</w:t>
            </w:r>
            <w:r w:rsidRPr="00092F60">
              <w:t>)</w:t>
            </w:r>
          </w:p>
        </w:tc>
        <w:tc>
          <w:tcPr>
            <w:tcW w:w="1086" w:type="pct"/>
          </w:tcPr>
          <w:p w:rsidR="00092F60" w:rsidRPr="00092F60" w:rsidRDefault="00092F60" w:rsidP="00E90F59">
            <w:pPr>
              <w:pStyle w:val="TableText0"/>
            </w:pPr>
            <w:r w:rsidRPr="00092F60">
              <w:t>35.2%</w:t>
            </w:r>
          </w:p>
        </w:tc>
        <w:tc>
          <w:tcPr>
            <w:tcW w:w="950" w:type="pct"/>
          </w:tcPr>
          <w:p w:rsidR="00092F60" w:rsidRPr="00092F60" w:rsidRDefault="00092F60" w:rsidP="00E90F59">
            <w:pPr>
              <w:pStyle w:val="TableText0"/>
            </w:pPr>
            <w:r w:rsidRPr="00092F60">
              <w:t>58.1%</w:t>
            </w:r>
          </w:p>
        </w:tc>
        <w:tc>
          <w:tcPr>
            <w:tcW w:w="900" w:type="pct"/>
          </w:tcPr>
          <w:p w:rsidR="00092F60" w:rsidRPr="00092F60" w:rsidRDefault="00092F60" w:rsidP="00E90F59">
            <w:pPr>
              <w:pStyle w:val="TableText0"/>
            </w:pPr>
            <w:r w:rsidRPr="00092F60">
              <w:t>6.7%</w:t>
            </w:r>
          </w:p>
        </w:tc>
        <w:tc>
          <w:tcPr>
            <w:tcW w:w="552" w:type="pct"/>
          </w:tcPr>
          <w:p w:rsidR="00092F60" w:rsidRPr="00092F60" w:rsidRDefault="00092F60" w:rsidP="00E90F59">
            <w:pPr>
              <w:pStyle w:val="TableText0"/>
            </w:pPr>
            <w:r w:rsidRPr="00092F60">
              <w:t>&lt;0.001</w:t>
            </w:r>
          </w:p>
        </w:tc>
      </w:tr>
      <w:tr w:rsidR="00092F60" w:rsidRPr="00092F60" w:rsidTr="00092F60">
        <w:tc>
          <w:tcPr>
            <w:tcW w:w="1512" w:type="pct"/>
          </w:tcPr>
          <w:p w:rsidR="00092F60" w:rsidRPr="00092F60" w:rsidRDefault="00092F60" w:rsidP="007F41B6">
            <w:pPr>
              <w:pStyle w:val="TableText0"/>
            </w:pPr>
            <w:r w:rsidRPr="00092F60">
              <w:t>Stages 3-5 (n</w:t>
            </w:r>
            <w:r w:rsidR="00652355" w:rsidRPr="00652355">
              <w:rPr>
                <w:spacing w:val="-20"/>
              </w:rPr>
              <w:t xml:space="preserve"> = </w:t>
            </w:r>
            <w:r w:rsidR="007F41B6">
              <w:t>39</w:t>
            </w:r>
            <w:r w:rsidRPr="00092F60">
              <w:t>) (mean change in GFR</w:t>
            </w:r>
            <w:r w:rsidRPr="00092F60">
              <w:rPr>
                <w:vertAlign w:val="superscript"/>
              </w:rPr>
              <w:t>b</w:t>
            </w:r>
            <w:r w:rsidRPr="00092F60">
              <w:t>)</w:t>
            </w:r>
          </w:p>
        </w:tc>
        <w:tc>
          <w:tcPr>
            <w:tcW w:w="1086" w:type="pct"/>
          </w:tcPr>
          <w:p w:rsidR="00092F60" w:rsidRPr="00092F60" w:rsidRDefault="00092F60" w:rsidP="00E90F59">
            <w:pPr>
              <w:pStyle w:val="TableText0"/>
            </w:pPr>
            <w:r w:rsidRPr="00092F60">
              <w:t>20.5% (12.8)</w:t>
            </w:r>
          </w:p>
        </w:tc>
        <w:tc>
          <w:tcPr>
            <w:tcW w:w="950" w:type="pct"/>
          </w:tcPr>
          <w:p w:rsidR="00092F60" w:rsidRPr="00092F60" w:rsidRDefault="00092F60" w:rsidP="00E90F59">
            <w:pPr>
              <w:pStyle w:val="TableText0"/>
            </w:pPr>
            <w:r w:rsidRPr="00092F60">
              <w:t>76.9% (-0.6)</w:t>
            </w:r>
          </w:p>
        </w:tc>
        <w:tc>
          <w:tcPr>
            <w:tcW w:w="900" w:type="pct"/>
          </w:tcPr>
          <w:p w:rsidR="00092F60" w:rsidRPr="00092F60" w:rsidRDefault="00092F60" w:rsidP="00E90F59">
            <w:pPr>
              <w:pStyle w:val="TableText0"/>
            </w:pPr>
            <w:r w:rsidRPr="00092F60">
              <w:t>2.6% (-4.2)</w:t>
            </w:r>
          </w:p>
        </w:tc>
        <w:tc>
          <w:tcPr>
            <w:tcW w:w="552" w:type="pct"/>
          </w:tcPr>
          <w:p w:rsidR="00092F60" w:rsidRPr="00092F60" w:rsidRDefault="00092F60" w:rsidP="00E90F59">
            <w:pPr>
              <w:pStyle w:val="TableText0"/>
            </w:pPr>
            <w:r w:rsidRPr="00092F60">
              <w:t>0.02</w:t>
            </w:r>
          </w:p>
        </w:tc>
      </w:tr>
      <w:tr w:rsidR="00092F60" w:rsidRPr="00092F60" w:rsidTr="00092F60">
        <w:tc>
          <w:tcPr>
            <w:tcW w:w="1512" w:type="pct"/>
          </w:tcPr>
          <w:p w:rsidR="00092F60" w:rsidRPr="00092F60" w:rsidRDefault="00092F60" w:rsidP="007F41B6">
            <w:pPr>
              <w:pStyle w:val="TableText0"/>
            </w:pPr>
            <w:r w:rsidRPr="00092F60">
              <w:t>Stages 1-2 (n</w:t>
            </w:r>
            <w:r w:rsidR="00652355" w:rsidRPr="00652355">
              <w:rPr>
                <w:spacing w:val="-20"/>
              </w:rPr>
              <w:t xml:space="preserve"> = </w:t>
            </w:r>
            <w:r w:rsidR="007F41B6">
              <w:t>77</w:t>
            </w:r>
            <w:r w:rsidRPr="00092F60">
              <w:t>)</w:t>
            </w:r>
          </w:p>
        </w:tc>
        <w:tc>
          <w:tcPr>
            <w:tcW w:w="1086" w:type="pct"/>
          </w:tcPr>
          <w:p w:rsidR="00092F60" w:rsidRPr="00092F60" w:rsidRDefault="00092F60" w:rsidP="00E90F59">
            <w:pPr>
              <w:pStyle w:val="TableText0"/>
            </w:pPr>
            <w:r w:rsidRPr="00092F60">
              <w:t>71.4%</w:t>
            </w:r>
          </w:p>
        </w:tc>
        <w:tc>
          <w:tcPr>
            <w:tcW w:w="950" w:type="pct"/>
          </w:tcPr>
          <w:p w:rsidR="00092F60" w:rsidRPr="00092F60" w:rsidRDefault="00092F60" w:rsidP="00E90F59">
            <w:pPr>
              <w:pStyle w:val="TableText0"/>
            </w:pPr>
            <w:r w:rsidRPr="00092F60">
              <w:t>23.4%</w:t>
            </w:r>
          </w:p>
        </w:tc>
        <w:tc>
          <w:tcPr>
            <w:tcW w:w="900" w:type="pct"/>
          </w:tcPr>
          <w:p w:rsidR="00092F60" w:rsidRPr="00092F60" w:rsidRDefault="00092F60" w:rsidP="00E90F59">
            <w:pPr>
              <w:pStyle w:val="TableText0"/>
            </w:pPr>
            <w:r w:rsidRPr="00092F60">
              <w:t>5.2%</w:t>
            </w:r>
          </w:p>
        </w:tc>
        <w:tc>
          <w:tcPr>
            <w:tcW w:w="552" w:type="pct"/>
          </w:tcPr>
          <w:p w:rsidR="00092F60" w:rsidRPr="00092F60" w:rsidRDefault="00092F60" w:rsidP="00E90F59">
            <w:pPr>
              <w:pStyle w:val="TableText0"/>
            </w:pPr>
            <w:r w:rsidRPr="00092F60">
              <w:t>&lt;0.001</w:t>
            </w:r>
          </w:p>
        </w:tc>
      </w:tr>
      <w:tr w:rsidR="00092F60" w:rsidRPr="00092F60" w:rsidTr="00092F60">
        <w:tc>
          <w:tcPr>
            <w:tcW w:w="1512" w:type="pct"/>
          </w:tcPr>
          <w:p w:rsidR="00092F60" w:rsidRPr="00092F60" w:rsidRDefault="00092F60" w:rsidP="00E90F59">
            <w:pPr>
              <w:pStyle w:val="TableHeading"/>
            </w:pPr>
            <w:r w:rsidRPr="00092F60">
              <w:t>18 months</w:t>
            </w:r>
          </w:p>
        </w:tc>
        <w:tc>
          <w:tcPr>
            <w:tcW w:w="1086" w:type="pct"/>
          </w:tcPr>
          <w:p w:rsidR="00092F60" w:rsidRPr="00092F60" w:rsidRDefault="00092F60" w:rsidP="00E90F59">
            <w:pPr>
              <w:pStyle w:val="TableText0"/>
            </w:pPr>
          </w:p>
        </w:tc>
        <w:tc>
          <w:tcPr>
            <w:tcW w:w="950" w:type="pct"/>
          </w:tcPr>
          <w:p w:rsidR="00092F60" w:rsidRPr="00092F60" w:rsidRDefault="00092F60" w:rsidP="00E90F59">
            <w:pPr>
              <w:pStyle w:val="TableText0"/>
            </w:pPr>
          </w:p>
        </w:tc>
        <w:tc>
          <w:tcPr>
            <w:tcW w:w="900" w:type="pct"/>
          </w:tcPr>
          <w:p w:rsidR="00092F60" w:rsidRPr="00092F60" w:rsidRDefault="00092F60" w:rsidP="00E90F59">
            <w:pPr>
              <w:pStyle w:val="TableText0"/>
            </w:pPr>
          </w:p>
        </w:tc>
        <w:tc>
          <w:tcPr>
            <w:tcW w:w="552" w:type="pct"/>
          </w:tcPr>
          <w:p w:rsidR="00092F60" w:rsidRPr="00092F60" w:rsidRDefault="00092F60" w:rsidP="00E90F59">
            <w:pPr>
              <w:pStyle w:val="TableText0"/>
            </w:pPr>
          </w:p>
        </w:tc>
      </w:tr>
      <w:tr w:rsidR="00092F60" w:rsidRPr="00092F60" w:rsidTr="00092F60">
        <w:tc>
          <w:tcPr>
            <w:tcW w:w="1512" w:type="pct"/>
          </w:tcPr>
          <w:p w:rsidR="00092F60" w:rsidRPr="00092F60" w:rsidRDefault="00092F60" w:rsidP="007F41B6">
            <w:pPr>
              <w:pStyle w:val="TableText0"/>
            </w:pPr>
            <w:r w:rsidRPr="00092F60">
              <w:t>All patients (n</w:t>
            </w:r>
            <w:r w:rsidR="00652355" w:rsidRPr="00652355">
              <w:rPr>
                <w:spacing w:val="-20"/>
              </w:rPr>
              <w:t xml:space="preserve"> = </w:t>
            </w:r>
            <w:r w:rsidR="007F41B6">
              <w:t>166</w:t>
            </w:r>
            <w:r w:rsidRPr="00092F60">
              <w:t>)</w:t>
            </w:r>
          </w:p>
        </w:tc>
        <w:tc>
          <w:tcPr>
            <w:tcW w:w="1086" w:type="pct"/>
          </w:tcPr>
          <w:p w:rsidR="00092F60" w:rsidRPr="00092F60" w:rsidRDefault="00092F60" w:rsidP="00E90F59">
            <w:pPr>
              <w:pStyle w:val="TableText0"/>
            </w:pPr>
            <w:r w:rsidRPr="00092F60">
              <w:t>34.3%</w:t>
            </w:r>
          </w:p>
        </w:tc>
        <w:tc>
          <w:tcPr>
            <w:tcW w:w="950" w:type="pct"/>
          </w:tcPr>
          <w:p w:rsidR="00092F60" w:rsidRPr="00092F60" w:rsidRDefault="00092F60" w:rsidP="00E90F59">
            <w:pPr>
              <w:pStyle w:val="TableText0"/>
            </w:pPr>
            <w:r w:rsidRPr="00092F60">
              <w:t>60.2%</w:t>
            </w:r>
          </w:p>
        </w:tc>
        <w:tc>
          <w:tcPr>
            <w:tcW w:w="900" w:type="pct"/>
          </w:tcPr>
          <w:p w:rsidR="00092F60" w:rsidRPr="00092F60" w:rsidRDefault="00092F60" w:rsidP="00E90F59">
            <w:pPr>
              <w:pStyle w:val="TableText0"/>
            </w:pPr>
            <w:r w:rsidRPr="00092F60">
              <w:t>5.4%</w:t>
            </w:r>
          </w:p>
        </w:tc>
        <w:tc>
          <w:tcPr>
            <w:tcW w:w="552" w:type="pct"/>
          </w:tcPr>
          <w:p w:rsidR="00092F60" w:rsidRPr="00092F60" w:rsidRDefault="00092F60" w:rsidP="00E90F59">
            <w:pPr>
              <w:pStyle w:val="TableText0"/>
            </w:pPr>
            <w:r w:rsidRPr="00092F60">
              <w:t>&lt;0.001</w:t>
            </w:r>
          </w:p>
        </w:tc>
      </w:tr>
      <w:tr w:rsidR="00092F60" w:rsidRPr="00092F60" w:rsidTr="00092F60">
        <w:tc>
          <w:tcPr>
            <w:tcW w:w="1512" w:type="pct"/>
          </w:tcPr>
          <w:p w:rsidR="00092F60" w:rsidRPr="00092F60" w:rsidRDefault="00092F60" w:rsidP="007F41B6">
            <w:pPr>
              <w:pStyle w:val="TableText0"/>
            </w:pPr>
            <w:r w:rsidRPr="00092F60">
              <w:t>Stages 3-5 (n</w:t>
            </w:r>
            <w:r w:rsidR="00652355" w:rsidRPr="00652355">
              <w:rPr>
                <w:spacing w:val="-20"/>
              </w:rPr>
              <w:t xml:space="preserve"> = </w:t>
            </w:r>
            <w:r w:rsidR="007F41B6">
              <w:t>35</w:t>
            </w:r>
            <w:r w:rsidRPr="00092F60">
              <w:t>) (mean change in GFR</w:t>
            </w:r>
            <w:r w:rsidRPr="00092F60">
              <w:rPr>
                <w:vertAlign w:val="superscript"/>
              </w:rPr>
              <w:t>b</w:t>
            </w:r>
            <w:r w:rsidRPr="00092F60">
              <w:t>)</w:t>
            </w:r>
          </w:p>
        </w:tc>
        <w:tc>
          <w:tcPr>
            <w:tcW w:w="1086" w:type="pct"/>
          </w:tcPr>
          <w:p w:rsidR="00092F60" w:rsidRPr="00092F60" w:rsidRDefault="00092F60" w:rsidP="00E90F59">
            <w:pPr>
              <w:pStyle w:val="TableText0"/>
            </w:pPr>
            <w:r w:rsidRPr="00092F60">
              <w:t>22.9% (11.5)</w:t>
            </w:r>
          </w:p>
        </w:tc>
        <w:tc>
          <w:tcPr>
            <w:tcW w:w="950" w:type="pct"/>
          </w:tcPr>
          <w:p w:rsidR="00092F60" w:rsidRPr="00092F60" w:rsidRDefault="00092F60" w:rsidP="00E90F59">
            <w:pPr>
              <w:pStyle w:val="TableText0"/>
            </w:pPr>
            <w:r w:rsidRPr="00092F60">
              <w:t>71.4% (0.3)</w:t>
            </w:r>
          </w:p>
        </w:tc>
        <w:tc>
          <w:tcPr>
            <w:tcW w:w="900" w:type="pct"/>
          </w:tcPr>
          <w:p w:rsidR="00092F60" w:rsidRPr="00092F60" w:rsidRDefault="00092F60" w:rsidP="00E90F59">
            <w:pPr>
              <w:pStyle w:val="TableText0"/>
            </w:pPr>
            <w:r w:rsidRPr="00092F60">
              <w:t>5.7% (-6.3)</w:t>
            </w:r>
          </w:p>
        </w:tc>
        <w:tc>
          <w:tcPr>
            <w:tcW w:w="552" w:type="pct"/>
          </w:tcPr>
          <w:p w:rsidR="00092F60" w:rsidRPr="00092F60" w:rsidRDefault="00092F60" w:rsidP="00E90F59">
            <w:pPr>
              <w:pStyle w:val="TableText0"/>
            </w:pPr>
            <w:r w:rsidRPr="00092F60">
              <w:t>0.05</w:t>
            </w:r>
          </w:p>
        </w:tc>
      </w:tr>
      <w:tr w:rsidR="00092F60" w:rsidRPr="00092F60" w:rsidTr="00092F60">
        <w:tc>
          <w:tcPr>
            <w:tcW w:w="1512" w:type="pct"/>
          </w:tcPr>
          <w:p w:rsidR="00092F60" w:rsidRPr="00092F60" w:rsidRDefault="00092F60" w:rsidP="007F41B6">
            <w:pPr>
              <w:pStyle w:val="TableText0"/>
            </w:pPr>
            <w:r w:rsidRPr="00092F60">
              <w:t>Stages 1-2 (n</w:t>
            </w:r>
            <w:r w:rsidR="00652355" w:rsidRPr="00652355">
              <w:rPr>
                <w:spacing w:val="-20"/>
              </w:rPr>
              <w:t xml:space="preserve"> = </w:t>
            </w:r>
            <w:r w:rsidR="007F41B6">
              <w:t>73</w:t>
            </w:r>
            <w:r w:rsidRPr="00092F60">
              <w:t>)</w:t>
            </w:r>
          </w:p>
        </w:tc>
        <w:tc>
          <w:tcPr>
            <w:tcW w:w="1086" w:type="pct"/>
          </w:tcPr>
          <w:p w:rsidR="00092F60" w:rsidRPr="00092F60" w:rsidRDefault="00092F60" w:rsidP="00E90F59">
            <w:pPr>
              <w:pStyle w:val="TableText0"/>
            </w:pPr>
            <w:r w:rsidRPr="00092F60">
              <w:t>67.1%</w:t>
            </w:r>
          </w:p>
        </w:tc>
        <w:tc>
          <w:tcPr>
            <w:tcW w:w="950" w:type="pct"/>
          </w:tcPr>
          <w:p w:rsidR="00092F60" w:rsidRPr="00092F60" w:rsidRDefault="00092F60" w:rsidP="00E90F59">
            <w:pPr>
              <w:pStyle w:val="TableText0"/>
            </w:pPr>
            <w:r w:rsidRPr="00092F60">
              <w:t>30.1%</w:t>
            </w:r>
          </w:p>
        </w:tc>
        <w:tc>
          <w:tcPr>
            <w:tcW w:w="900" w:type="pct"/>
          </w:tcPr>
          <w:p w:rsidR="00092F60" w:rsidRPr="00092F60" w:rsidRDefault="00092F60" w:rsidP="00E90F59">
            <w:pPr>
              <w:pStyle w:val="TableText0"/>
            </w:pPr>
            <w:r w:rsidRPr="00092F60">
              <w:t>2.7%</w:t>
            </w:r>
          </w:p>
        </w:tc>
        <w:tc>
          <w:tcPr>
            <w:tcW w:w="552" w:type="pct"/>
          </w:tcPr>
          <w:p w:rsidR="00092F60" w:rsidRPr="00092F60" w:rsidRDefault="00092F60" w:rsidP="00E90F59">
            <w:pPr>
              <w:pStyle w:val="TableText0"/>
            </w:pPr>
            <w:r w:rsidRPr="00092F60">
              <w:t>&lt;0.001</w:t>
            </w:r>
          </w:p>
        </w:tc>
      </w:tr>
      <w:tr w:rsidR="00092F60" w:rsidRPr="00092F60" w:rsidTr="00092F60">
        <w:tc>
          <w:tcPr>
            <w:tcW w:w="1512" w:type="pct"/>
          </w:tcPr>
          <w:p w:rsidR="00092F60" w:rsidRPr="00092F60" w:rsidRDefault="00092F60" w:rsidP="00E90F59">
            <w:pPr>
              <w:pStyle w:val="TableHeading"/>
              <w:rPr>
                <w:vertAlign w:val="superscript"/>
              </w:rPr>
            </w:pPr>
            <w:r w:rsidRPr="00092F60">
              <w:t>36 months</w:t>
            </w:r>
            <w:r w:rsidRPr="00092F60">
              <w:rPr>
                <w:vertAlign w:val="superscript"/>
              </w:rPr>
              <w:t>c</w:t>
            </w:r>
          </w:p>
        </w:tc>
        <w:tc>
          <w:tcPr>
            <w:tcW w:w="1086" w:type="pct"/>
          </w:tcPr>
          <w:p w:rsidR="00092F60" w:rsidRPr="00092F60" w:rsidRDefault="00092F60" w:rsidP="00E90F59">
            <w:pPr>
              <w:pStyle w:val="TableText0"/>
            </w:pPr>
          </w:p>
        </w:tc>
        <w:tc>
          <w:tcPr>
            <w:tcW w:w="950" w:type="pct"/>
          </w:tcPr>
          <w:p w:rsidR="00092F60" w:rsidRPr="00092F60" w:rsidRDefault="00092F60" w:rsidP="00E90F59">
            <w:pPr>
              <w:pStyle w:val="TableText0"/>
            </w:pPr>
          </w:p>
        </w:tc>
        <w:tc>
          <w:tcPr>
            <w:tcW w:w="900" w:type="pct"/>
          </w:tcPr>
          <w:p w:rsidR="00092F60" w:rsidRPr="00092F60" w:rsidRDefault="00092F60" w:rsidP="00E90F59">
            <w:pPr>
              <w:pStyle w:val="TableText0"/>
            </w:pPr>
          </w:p>
        </w:tc>
        <w:tc>
          <w:tcPr>
            <w:tcW w:w="552" w:type="pct"/>
          </w:tcPr>
          <w:p w:rsidR="00092F60" w:rsidRPr="00092F60" w:rsidRDefault="00092F60" w:rsidP="00E90F59">
            <w:pPr>
              <w:pStyle w:val="TableText0"/>
            </w:pPr>
          </w:p>
        </w:tc>
      </w:tr>
      <w:tr w:rsidR="00092F60" w:rsidRPr="00092F60" w:rsidTr="00092F60">
        <w:tc>
          <w:tcPr>
            <w:tcW w:w="1512" w:type="pct"/>
          </w:tcPr>
          <w:p w:rsidR="00092F60" w:rsidRPr="00092F60" w:rsidRDefault="00092F60" w:rsidP="00E90F59">
            <w:pPr>
              <w:pStyle w:val="TableText0"/>
            </w:pPr>
            <w:r w:rsidRPr="00092F60">
              <w:t xml:space="preserve">All patients </w:t>
            </w:r>
          </w:p>
        </w:tc>
        <w:tc>
          <w:tcPr>
            <w:tcW w:w="1086" w:type="pct"/>
          </w:tcPr>
          <w:p w:rsidR="00092F60" w:rsidRPr="00092F60" w:rsidRDefault="00092F60" w:rsidP="00E90F59">
            <w:pPr>
              <w:pStyle w:val="TableText0"/>
            </w:pPr>
            <w:r w:rsidRPr="00092F60">
              <w:t>44.8%</w:t>
            </w:r>
          </w:p>
        </w:tc>
        <w:tc>
          <w:tcPr>
            <w:tcW w:w="950" w:type="pct"/>
          </w:tcPr>
          <w:p w:rsidR="00092F60" w:rsidRPr="00092F60" w:rsidRDefault="00092F60" w:rsidP="00E90F59">
            <w:pPr>
              <w:pStyle w:val="TableText0"/>
            </w:pPr>
            <w:r w:rsidRPr="00092F60">
              <w:t>48.3%</w:t>
            </w:r>
          </w:p>
        </w:tc>
        <w:tc>
          <w:tcPr>
            <w:tcW w:w="900" w:type="pct"/>
          </w:tcPr>
          <w:p w:rsidR="00092F60" w:rsidRPr="00092F60" w:rsidRDefault="00092F60" w:rsidP="00E90F59">
            <w:pPr>
              <w:pStyle w:val="TableText0"/>
            </w:pPr>
            <w:r w:rsidRPr="00092F60">
              <w:t>6.9%</w:t>
            </w:r>
          </w:p>
        </w:tc>
        <w:tc>
          <w:tcPr>
            <w:tcW w:w="552" w:type="pct"/>
          </w:tcPr>
          <w:p w:rsidR="00092F60" w:rsidRPr="00092F60" w:rsidRDefault="00092F60" w:rsidP="00E90F59">
            <w:pPr>
              <w:pStyle w:val="TableText0"/>
            </w:pPr>
            <w:r w:rsidRPr="00092F60">
              <w:t>0.015</w:t>
            </w:r>
          </w:p>
        </w:tc>
      </w:tr>
    </w:tbl>
    <w:p w:rsidR="00092F60" w:rsidRPr="0062097D" w:rsidRDefault="001B4E29" w:rsidP="0062097D">
      <w:pPr>
        <w:spacing w:after="0"/>
        <w:jc w:val="left"/>
        <w:rPr>
          <w:rFonts w:ascii="Arial Narrow" w:hAnsi="Arial Narrow"/>
          <w:sz w:val="16"/>
          <w:szCs w:val="16"/>
        </w:rPr>
      </w:pPr>
      <w:r w:rsidRPr="0062097D">
        <w:rPr>
          <w:rFonts w:ascii="Arial Narrow" w:hAnsi="Arial Narrow"/>
          <w:sz w:val="16"/>
          <w:szCs w:val="16"/>
        </w:rPr>
        <w:t xml:space="preserve">CKD </w:t>
      </w:r>
      <w:r w:rsidRPr="00652355">
        <w:rPr>
          <w:rFonts w:ascii="Arial Narrow" w:hAnsi="Arial Narrow"/>
          <w:spacing w:val="-20"/>
          <w:sz w:val="16"/>
          <w:szCs w:val="16"/>
        </w:rPr>
        <w:t xml:space="preserve">= </w:t>
      </w:r>
      <w:r w:rsidRPr="0062097D">
        <w:rPr>
          <w:rFonts w:ascii="Arial Narrow" w:hAnsi="Arial Narrow"/>
          <w:sz w:val="16"/>
          <w:szCs w:val="16"/>
        </w:rPr>
        <w:t>chronic</w:t>
      </w:r>
      <w:r w:rsidR="00092F60" w:rsidRPr="0062097D">
        <w:rPr>
          <w:rFonts w:ascii="Arial Narrow" w:hAnsi="Arial Narrow"/>
          <w:sz w:val="16"/>
          <w:szCs w:val="16"/>
        </w:rPr>
        <w:t xml:space="preserve"> kidney disease; </w:t>
      </w:r>
      <w:r w:rsidRPr="0062097D">
        <w:rPr>
          <w:rFonts w:ascii="Arial Narrow" w:hAnsi="Arial Narrow"/>
          <w:sz w:val="16"/>
          <w:szCs w:val="16"/>
        </w:rPr>
        <w:t xml:space="preserve">GFR </w:t>
      </w:r>
      <w:r w:rsidRPr="00652355">
        <w:rPr>
          <w:rFonts w:ascii="Arial Narrow" w:hAnsi="Arial Narrow"/>
          <w:spacing w:val="-20"/>
          <w:sz w:val="16"/>
          <w:szCs w:val="16"/>
        </w:rPr>
        <w:t xml:space="preserve">= </w:t>
      </w:r>
      <w:r w:rsidRPr="0062097D">
        <w:rPr>
          <w:rFonts w:ascii="Arial Narrow" w:hAnsi="Arial Narrow"/>
          <w:sz w:val="16"/>
          <w:szCs w:val="16"/>
        </w:rPr>
        <w:t>glomerular</w:t>
      </w:r>
      <w:r w:rsidR="00092F60" w:rsidRPr="0062097D">
        <w:rPr>
          <w:rFonts w:ascii="Arial Narrow" w:hAnsi="Arial Narrow"/>
          <w:sz w:val="16"/>
          <w:szCs w:val="16"/>
        </w:rPr>
        <w:t xml:space="preserve"> filtration rate</w:t>
      </w:r>
    </w:p>
    <w:p w:rsidR="00092F60" w:rsidRPr="0062097D" w:rsidRDefault="00092F60" w:rsidP="0062097D">
      <w:pPr>
        <w:spacing w:after="0"/>
        <w:jc w:val="left"/>
        <w:rPr>
          <w:rFonts w:ascii="Arial Narrow" w:hAnsi="Arial Narrow"/>
          <w:sz w:val="16"/>
          <w:szCs w:val="16"/>
        </w:rPr>
      </w:pPr>
      <w:proofErr w:type="gramStart"/>
      <w:r w:rsidRPr="0062097D">
        <w:rPr>
          <w:rFonts w:ascii="Arial Narrow" w:hAnsi="Arial Narrow"/>
          <w:sz w:val="16"/>
          <w:szCs w:val="16"/>
          <w:vertAlign w:val="superscript"/>
        </w:rPr>
        <w:t>a</w:t>
      </w:r>
      <w:proofErr w:type="gramEnd"/>
      <w:r w:rsidRPr="0062097D">
        <w:rPr>
          <w:rFonts w:ascii="Arial Narrow" w:hAnsi="Arial Narrow"/>
          <w:sz w:val="16"/>
          <w:szCs w:val="16"/>
        </w:rPr>
        <w:t xml:space="preserve"> The comparison (except for eculizumab vs placebo) performed for each group or for all patients, tested the null </w:t>
      </w:r>
      <w:r w:rsidR="001B4E29" w:rsidRPr="0062097D">
        <w:rPr>
          <w:rFonts w:ascii="Arial Narrow" w:hAnsi="Arial Narrow"/>
          <w:sz w:val="16"/>
          <w:szCs w:val="16"/>
        </w:rPr>
        <w:t>hypothesis</w:t>
      </w:r>
      <w:r w:rsidRPr="0062097D">
        <w:rPr>
          <w:rFonts w:ascii="Arial Narrow" w:hAnsi="Arial Narrow"/>
          <w:sz w:val="16"/>
          <w:szCs w:val="16"/>
        </w:rPr>
        <w:t xml:space="preserve"> that patients are as likely to improve as they are to worsen (Chi-square analysis)</w:t>
      </w:r>
    </w:p>
    <w:p w:rsidR="00092F60" w:rsidRPr="0062097D" w:rsidRDefault="00092F60" w:rsidP="0062097D">
      <w:pPr>
        <w:spacing w:after="0"/>
        <w:jc w:val="left"/>
        <w:rPr>
          <w:rFonts w:ascii="Arial Narrow" w:hAnsi="Arial Narrow"/>
          <w:sz w:val="16"/>
          <w:szCs w:val="16"/>
        </w:rPr>
      </w:pPr>
      <w:proofErr w:type="gramStart"/>
      <w:r w:rsidRPr="0062097D">
        <w:rPr>
          <w:rFonts w:ascii="Arial Narrow" w:hAnsi="Arial Narrow"/>
          <w:sz w:val="16"/>
          <w:szCs w:val="16"/>
          <w:vertAlign w:val="superscript"/>
        </w:rPr>
        <w:t>b</w:t>
      </w:r>
      <w:proofErr w:type="gramEnd"/>
      <w:r w:rsidRPr="0062097D">
        <w:rPr>
          <w:rFonts w:ascii="Arial Narrow" w:hAnsi="Arial Narrow"/>
          <w:sz w:val="16"/>
          <w:szCs w:val="16"/>
        </w:rPr>
        <w:t xml:space="preserve"> Glomerular filtration rate measured in mL/min/1.73m</w:t>
      </w:r>
      <w:r w:rsidRPr="0062097D">
        <w:rPr>
          <w:rFonts w:ascii="Arial Narrow" w:hAnsi="Arial Narrow"/>
          <w:sz w:val="16"/>
          <w:szCs w:val="16"/>
          <w:vertAlign w:val="superscript"/>
        </w:rPr>
        <w:t>2</w:t>
      </w:r>
    </w:p>
    <w:p w:rsidR="00092F60" w:rsidRPr="0062097D" w:rsidRDefault="00092F60" w:rsidP="0062097D">
      <w:pPr>
        <w:tabs>
          <w:tab w:val="left" w:pos="3969"/>
        </w:tabs>
        <w:spacing w:after="0"/>
        <w:rPr>
          <w:rFonts w:ascii="Arial Narrow" w:hAnsi="Arial Narrow"/>
          <w:sz w:val="16"/>
          <w:szCs w:val="16"/>
        </w:rPr>
      </w:pPr>
      <w:r w:rsidRPr="0062097D">
        <w:rPr>
          <w:rFonts w:ascii="Arial Narrow" w:hAnsi="Arial Narrow"/>
          <w:sz w:val="16"/>
          <w:szCs w:val="16"/>
        </w:rPr>
        <w:t>Source: Data for 6 months, 12 months and 18 months were sourced from Hillmen et al (2010)</w:t>
      </w:r>
      <w:r w:rsidR="00A130D0">
        <w:rPr>
          <w:rFonts w:ascii="Arial Narrow" w:hAnsi="Arial Narrow"/>
          <w:noProof/>
          <w:sz w:val="16"/>
          <w:szCs w:val="16"/>
        </w:rPr>
        <w:t>(</w:t>
      </w:r>
      <w:r w:rsidR="00184B6F">
        <w:rPr>
          <w:rFonts w:ascii="Arial Narrow" w:hAnsi="Arial Narrow"/>
          <w:noProof/>
          <w:sz w:val="16"/>
          <w:szCs w:val="16"/>
        </w:rPr>
        <w:t>Hillmen et al. 2010</w:t>
      </w:r>
      <w:r w:rsidR="00A130D0">
        <w:rPr>
          <w:rFonts w:ascii="Arial Narrow" w:hAnsi="Arial Narrow"/>
          <w:noProof/>
          <w:sz w:val="16"/>
          <w:szCs w:val="16"/>
        </w:rPr>
        <w:t>)</w:t>
      </w:r>
      <w:r w:rsidRPr="0062097D">
        <w:rPr>
          <w:rFonts w:ascii="Arial Narrow" w:hAnsi="Arial Narrow"/>
          <w:sz w:val="16"/>
          <w:szCs w:val="16"/>
        </w:rPr>
        <w:t>, while those for 36 months were sourced from Hillmen et al (2013)</w:t>
      </w:r>
      <w:r w:rsidR="00A130D0">
        <w:rPr>
          <w:rFonts w:ascii="Arial Narrow" w:hAnsi="Arial Narrow"/>
          <w:noProof/>
          <w:sz w:val="16"/>
          <w:szCs w:val="16"/>
        </w:rPr>
        <w:t>(</w:t>
      </w:r>
      <w:r w:rsidR="00184B6F">
        <w:rPr>
          <w:rFonts w:ascii="Arial Narrow" w:hAnsi="Arial Narrow"/>
          <w:noProof/>
          <w:sz w:val="16"/>
          <w:szCs w:val="16"/>
        </w:rPr>
        <w:t>Hillmen et al. 2013</w:t>
      </w:r>
      <w:r w:rsidR="00A130D0">
        <w:rPr>
          <w:rFonts w:ascii="Arial Narrow" w:hAnsi="Arial Narrow"/>
          <w:noProof/>
          <w:sz w:val="16"/>
          <w:szCs w:val="16"/>
        </w:rPr>
        <w:t>)</w:t>
      </w:r>
      <w:r w:rsidRPr="0062097D">
        <w:rPr>
          <w:rFonts w:ascii="Arial Narrow" w:hAnsi="Arial Narrow"/>
          <w:sz w:val="16"/>
          <w:szCs w:val="16"/>
        </w:rPr>
        <w:t>.</w:t>
      </w:r>
    </w:p>
    <w:p w:rsidR="00092F60" w:rsidRPr="00092F60" w:rsidRDefault="00092F60" w:rsidP="00092F60">
      <w:pPr>
        <w:tabs>
          <w:tab w:val="left" w:pos="3969"/>
        </w:tabs>
        <w:spacing w:after="0"/>
        <w:rPr>
          <w:rFonts w:ascii="Arial Narrow" w:hAnsi="Arial Narrow"/>
          <w:sz w:val="20"/>
          <w:szCs w:val="20"/>
        </w:rPr>
      </w:pPr>
    </w:p>
    <w:p w:rsidR="00225936" w:rsidRPr="00E965BD" w:rsidRDefault="00225936" w:rsidP="00225936">
      <w:pPr>
        <w:pStyle w:val="Heading5"/>
      </w:pPr>
      <w:r>
        <w:t>Conclusion</w:t>
      </w:r>
    </w:p>
    <w:p w:rsidR="00092F60" w:rsidRPr="00092F60" w:rsidRDefault="00092F60" w:rsidP="00092F60">
      <w:r w:rsidRPr="00092F60">
        <w:t xml:space="preserve">The </w:t>
      </w:r>
      <w:r w:rsidRPr="00092F60">
        <w:rPr>
          <w:i/>
        </w:rPr>
        <w:t>post hoc</w:t>
      </w:r>
      <w:r w:rsidRPr="00092F60">
        <w:t xml:space="preserve"> analysis of change in CKD stage for the TRIUMPH trial provides moderate quality evidence that patients treated with eculizumab have, on average, better renal outcomes than those receiving placebo over a 26-week treatment period (GRADE </w:t>
      </w:r>
      <w:r w:rsidR="00E90F59" w:rsidRPr="00D4733A">
        <w:rPr>
          <w:rFonts w:ascii="Cambria Math" w:hAnsi="Cambria Math"/>
          <w:color w:val="00B050"/>
        </w:rPr>
        <w:t>⨁⨁⨁</w:t>
      </w:r>
      <w:r w:rsidR="00D4733A" w:rsidRPr="00D4733A">
        <w:rPr>
          <w:rFonts w:ascii="Cambria Math" w:hAnsi="Cambria Math" w:cs="Cambria Math"/>
          <w:color w:val="C00000"/>
        </w:rPr>
        <w:t>⨀</w:t>
      </w:r>
      <w:r w:rsidR="00D67ADB" w:rsidRPr="00D67ADB">
        <w:rPr>
          <w:rFonts w:cs="Cambria Math"/>
          <w:spacing w:val="-20"/>
        </w:rPr>
        <w:t>)</w:t>
      </w:r>
      <w:r w:rsidRPr="00092F60">
        <w:t xml:space="preserve">. </w:t>
      </w:r>
    </w:p>
    <w:p w:rsidR="00092F60" w:rsidRPr="00092F60" w:rsidRDefault="00092F60" w:rsidP="00092F60"/>
    <w:p w:rsidR="00092F60" w:rsidRPr="00092F60" w:rsidRDefault="00092F60" w:rsidP="00EC5DFF">
      <w:pPr>
        <w:pStyle w:val="Heading4"/>
      </w:pPr>
      <w:r w:rsidRPr="00092F60">
        <w:t>Summary of comparative effectiveness</w:t>
      </w:r>
    </w:p>
    <w:p w:rsidR="00092F60" w:rsidRPr="00092F60" w:rsidRDefault="00092F60" w:rsidP="00092F60">
      <w:r w:rsidRPr="00092F60">
        <w:t xml:space="preserve">There are serious methodological issues in the only study addressing the effect of eculizumab on overall survival in patients with PNH </w:t>
      </w:r>
      <w:r w:rsidR="00A130D0">
        <w:rPr>
          <w:noProof/>
        </w:rPr>
        <w:t>(</w:t>
      </w:r>
      <w:r w:rsidR="00184B6F">
        <w:rPr>
          <w:noProof/>
        </w:rPr>
        <w:t>Kelly, RJ et al. 2011</w:t>
      </w:r>
      <w:r w:rsidR="00A130D0">
        <w:rPr>
          <w:noProof/>
        </w:rPr>
        <w:t>)</w:t>
      </w:r>
      <w:r w:rsidRPr="00092F60">
        <w:t>. The study provides very low quality evidence and the results should be interpreted with caution.</w:t>
      </w:r>
    </w:p>
    <w:p w:rsidR="00092F60" w:rsidRPr="00092F60" w:rsidRDefault="00092F60" w:rsidP="00092F60">
      <w:r w:rsidRPr="00092F60">
        <w:t xml:space="preserve">A randomised, double-blinded, placebo-controlled trial provides high quality evidence supporting the effectiveness of eculizumab, compared to placebo, in reducing transfusion requirements and improving quality of life, and moderate quality evidence that it results in better renal outcomes in PNH patients, over 26 weeks of treatment </w:t>
      </w:r>
      <w:r w:rsidR="00A130D0">
        <w:rPr>
          <w:noProof/>
        </w:rPr>
        <w:t>(</w:t>
      </w:r>
      <w:r w:rsidR="00184B6F">
        <w:rPr>
          <w:noProof/>
        </w:rPr>
        <w:t>Hillmen et al. 2006</w:t>
      </w:r>
      <w:r w:rsidR="00A130D0">
        <w:rPr>
          <w:noProof/>
        </w:rPr>
        <w:t>)</w:t>
      </w:r>
      <w:r w:rsidRPr="00092F60">
        <w:t xml:space="preserve">. </w:t>
      </w:r>
    </w:p>
    <w:p w:rsidR="00092F60" w:rsidRDefault="00092F60" w:rsidP="00092F60">
      <w:r w:rsidRPr="00092F60">
        <w:lastRenderedPageBreak/>
        <w:t xml:space="preserve">A single-arm extension study, combining patients from three parent studies, provides low quality evidence that the effectiveness of eculizumab in reducing transfusion requirements is maintained over a median duration of treatment of 30 months, and that, compared to standard treatment, eculizumab reduces the rate of thromboembolic events in PNH patients over a total of 467 patient-years </w:t>
      </w:r>
      <w:r w:rsidR="00A130D0">
        <w:rPr>
          <w:noProof/>
        </w:rPr>
        <w:t>(</w:t>
      </w:r>
      <w:r w:rsidR="00184B6F">
        <w:rPr>
          <w:noProof/>
        </w:rPr>
        <w:t>Hillmen et al. 2010</w:t>
      </w:r>
      <w:r w:rsidR="00A130D0">
        <w:rPr>
          <w:noProof/>
        </w:rPr>
        <w:t xml:space="preserve">; </w:t>
      </w:r>
      <w:r w:rsidR="00184B6F">
        <w:rPr>
          <w:noProof/>
        </w:rPr>
        <w:t>Hillmen et al. 2007</w:t>
      </w:r>
      <w:r w:rsidR="00A130D0">
        <w:rPr>
          <w:noProof/>
        </w:rPr>
        <w:t xml:space="preserve">; </w:t>
      </w:r>
      <w:r w:rsidR="00184B6F">
        <w:rPr>
          <w:noProof/>
        </w:rPr>
        <w:t>Hillmen et al. 2013</w:t>
      </w:r>
      <w:r w:rsidR="00A130D0">
        <w:rPr>
          <w:noProof/>
        </w:rPr>
        <w:t>)</w:t>
      </w:r>
      <w:r w:rsidRPr="00092F60">
        <w:t>.</w:t>
      </w:r>
    </w:p>
    <w:p w:rsidR="00847B5E" w:rsidRPr="00092F60" w:rsidRDefault="00847B5E" w:rsidP="00092F60"/>
    <w:p w:rsidR="00092F60" w:rsidRPr="00E965BD" w:rsidRDefault="00092F60" w:rsidP="00EC5DFF">
      <w:pPr>
        <w:pStyle w:val="Heading4"/>
      </w:pPr>
      <w:bookmarkStart w:id="477" w:name="_Toc404350116"/>
      <w:bookmarkStart w:id="478" w:name="_Toc404937281"/>
      <w:r w:rsidRPr="00E965BD">
        <w:t>Safety of eculizumab in the treatment of PNH</w:t>
      </w:r>
      <w:bookmarkEnd w:id="477"/>
      <w:bookmarkEnd w:id="478"/>
    </w:p>
    <w:p w:rsidR="00092F60" w:rsidRPr="00E965BD" w:rsidRDefault="00092F60" w:rsidP="00EC5DFF">
      <w:pPr>
        <w:pStyle w:val="Heading5"/>
        <w:rPr>
          <w:bCs/>
        </w:rPr>
      </w:pPr>
      <w:r w:rsidRPr="00E965BD">
        <w:t>Comparative safety of eculizumab</w:t>
      </w:r>
    </w:p>
    <w:p w:rsidR="00092F60" w:rsidRPr="00092F60" w:rsidRDefault="00092F60" w:rsidP="00092F60">
      <w:r w:rsidRPr="00092F60">
        <w:t xml:space="preserve">The only study reporting the comparative safety of eculizumab compared to placebo in the treatment of PNH is the 26-week TRIUMPH randomised controlled trial </w:t>
      </w:r>
      <w:r w:rsidR="00A130D0">
        <w:rPr>
          <w:noProof/>
        </w:rPr>
        <w:t>(</w:t>
      </w:r>
      <w:r w:rsidR="00184B6F">
        <w:rPr>
          <w:noProof/>
        </w:rPr>
        <w:t>Hillmen et al. 2006</w:t>
      </w:r>
      <w:r w:rsidR="00A130D0">
        <w:rPr>
          <w:noProof/>
        </w:rPr>
        <w:t>)</w:t>
      </w:r>
      <w:r w:rsidRPr="00092F60">
        <w:t>.</w:t>
      </w:r>
    </w:p>
    <w:p w:rsidR="00092F60" w:rsidRPr="00092F60" w:rsidRDefault="00092F60" w:rsidP="00092F60">
      <w:r w:rsidRPr="00092F60">
        <w:t xml:space="preserve">No patients died during the trial. Two patients in the eculizumab treatment group discontinued prematurely, one because of patient choice and the other because of pregnancy (who went on to deliver a normal infant) </w:t>
      </w:r>
      <w:r w:rsidR="00A130D0">
        <w:rPr>
          <w:noProof/>
        </w:rPr>
        <w:t>(</w:t>
      </w:r>
      <w:r w:rsidR="00184B6F">
        <w:rPr>
          <w:noProof/>
        </w:rPr>
        <w:t>Dmytrijuk et al. 2008</w:t>
      </w:r>
      <w:r w:rsidR="00A130D0">
        <w:rPr>
          <w:noProof/>
        </w:rPr>
        <w:t xml:space="preserve">; </w:t>
      </w:r>
      <w:r w:rsidR="00184B6F">
        <w:rPr>
          <w:noProof/>
        </w:rPr>
        <w:t>Hillmen et al. 2006</w:t>
      </w:r>
      <w:r w:rsidR="00A130D0">
        <w:rPr>
          <w:noProof/>
        </w:rPr>
        <w:t>)</w:t>
      </w:r>
      <w:r w:rsidRPr="00092F60">
        <w:t>.</w:t>
      </w:r>
    </w:p>
    <w:p w:rsidR="00092F60" w:rsidRPr="00092F60" w:rsidRDefault="00092F60" w:rsidP="00092F60">
      <w:r w:rsidRPr="00092F60">
        <w:t>Serious adverse events were reported in 13 patients: 4 in the eculizumab group and 9 in the placebo group (</w:t>
      </w:r>
      <w:r w:rsidR="00A72B26" w:rsidRPr="006A71AB">
        <w:t xml:space="preserve">Table </w:t>
      </w:r>
      <w:r w:rsidR="00A72B26">
        <w:rPr>
          <w:noProof/>
        </w:rPr>
        <w:t>127</w:t>
      </w:r>
      <w:r w:rsidRPr="00092F60">
        <w:t xml:space="preserve">); none of these events were considered to be treatment-related. Adverse events that were more common in the eculizumab group were headache, back pain and fatigue. After the first two weeks of treatment, the number of headaches that occurred in the two groups was similar. A single thrombosis occurred in a patient in the placebo group </w:t>
      </w:r>
      <w:r w:rsidR="00A130D0">
        <w:rPr>
          <w:noProof/>
        </w:rPr>
        <w:t>(</w:t>
      </w:r>
      <w:r w:rsidR="00184B6F">
        <w:rPr>
          <w:noProof/>
        </w:rPr>
        <w:t>Hillmen et al. 2006</w:t>
      </w:r>
      <w:r w:rsidR="00A130D0">
        <w:rPr>
          <w:noProof/>
        </w:rPr>
        <w:t>)</w:t>
      </w:r>
      <w:r w:rsidRPr="00092F60">
        <w:t>.</w:t>
      </w:r>
    </w:p>
    <w:p w:rsidR="00092F60" w:rsidRPr="00092F60" w:rsidRDefault="00092F60" w:rsidP="00092F60">
      <w:r w:rsidRPr="00092F60">
        <w:t xml:space="preserve">One patient in each treatment group had detectable levels of antibodies against eculizumab. The levels were low, were detected at a single visit, and did not affect complement inhibition in the patient receiving eculizumab </w:t>
      </w:r>
      <w:r w:rsidR="00A130D0">
        <w:rPr>
          <w:noProof/>
        </w:rPr>
        <w:t>(</w:t>
      </w:r>
      <w:r w:rsidR="00184B6F">
        <w:rPr>
          <w:noProof/>
        </w:rPr>
        <w:t>Hillmen et al. 2006</w:t>
      </w:r>
      <w:r w:rsidR="00A130D0">
        <w:rPr>
          <w:noProof/>
        </w:rPr>
        <w:t>)</w:t>
      </w:r>
      <w:r w:rsidRPr="00092F60">
        <w:t>.</w:t>
      </w:r>
    </w:p>
    <w:p w:rsidR="00092F60" w:rsidRPr="006A71AB" w:rsidRDefault="00092F60" w:rsidP="00F44176">
      <w:pPr>
        <w:pStyle w:val="Caption"/>
        <w:keepNext/>
        <w:tabs>
          <w:tab w:val="clear" w:pos="851"/>
          <w:tab w:val="left" w:pos="1134"/>
        </w:tabs>
        <w:ind w:left="1134" w:hanging="1134"/>
      </w:pPr>
      <w:bookmarkStart w:id="479" w:name="_Ref401050909"/>
      <w:bookmarkStart w:id="480" w:name="_Toc411510491"/>
      <w:bookmarkStart w:id="481" w:name="_Toc415141924"/>
      <w:r w:rsidRPr="006A71AB">
        <w:lastRenderedPageBreak/>
        <w:t xml:space="preserve">Table </w:t>
      </w:r>
      <w:r w:rsidR="00A72B26">
        <w:rPr>
          <w:noProof/>
        </w:rPr>
        <w:t>127</w:t>
      </w:r>
      <w:bookmarkEnd w:id="479"/>
      <w:r w:rsidRPr="006A71AB">
        <w:tab/>
        <w:t>Adverse events in the TRIUMPH trial</w:t>
      </w:r>
      <w:bookmarkEnd w:id="480"/>
      <w:bookmarkEnd w:id="481"/>
    </w:p>
    <w:tbl>
      <w:tblPr>
        <w:tblStyle w:val="TableGrid"/>
        <w:tblW w:w="0" w:type="auto"/>
        <w:tblLook w:val="04A0" w:firstRow="1" w:lastRow="0" w:firstColumn="1" w:lastColumn="0" w:noHBand="0" w:noVBand="1"/>
        <w:tblCaption w:val="Table 93 Adverse events in the TRIUMPH trial"/>
      </w:tblPr>
      <w:tblGrid>
        <w:gridCol w:w="3313"/>
        <w:gridCol w:w="2838"/>
        <w:gridCol w:w="3091"/>
      </w:tblGrid>
      <w:tr w:rsidR="00092F60" w:rsidRPr="00092F60" w:rsidTr="00C6200C">
        <w:trPr>
          <w:tblHeader/>
        </w:trPr>
        <w:tc>
          <w:tcPr>
            <w:tcW w:w="3313" w:type="dxa"/>
          </w:tcPr>
          <w:p w:rsidR="00092F60" w:rsidRPr="00092F60" w:rsidRDefault="00092F60" w:rsidP="00E90F59">
            <w:pPr>
              <w:pStyle w:val="TableHeading"/>
              <w:rPr>
                <w:vertAlign w:val="superscript"/>
              </w:rPr>
            </w:pPr>
            <w:r w:rsidRPr="00092F60">
              <w:t>Adverse event</w:t>
            </w:r>
            <w:r w:rsidRPr="00092F60">
              <w:rPr>
                <w:vertAlign w:val="superscript"/>
              </w:rPr>
              <w:t>a</w:t>
            </w:r>
          </w:p>
        </w:tc>
        <w:tc>
          <w:tcPr>
            <w:tcW w:w="2838" w:type="dxa"/>
          </w:tcPr>
          <w:p w:rsidR="00092F60" w:rsidRPr="00092F60" w:rsidRDefault="00092F60" w:rsidP="00E90F59">
            <w:pPr>
              <w:pStyle w:val="TableHeading"/>
            </w:pPr>
            <w:r w:rsidRPr="00092F60">
              <w:t>Eculizumab Group</w:t>
            </w:r>
          </w:p>
          <w:p w:rsidR="00092F60" w:rsidRPr="00092F60" w:rsidRDefault="00092F60" w:rsidP="00E90F59">
            <w:pPr>
              <w:pStyle w:val="TableHeading"/>
            </w:pPr>
            <w:r w:rsidRPr="00092F60">
              <w:t>(N</w:t>
            </w:r>
            <w:r w:rsidR="00652355" w:rsidRPr="00652355">
              <w:rPr>
                <w:spacing w:val="-20"/>
              </w:rPr>
              <w:t xml:space="preserve"> = </w:t>
            </w:r>
            <w:r w:rsidRPr="00092F60">
              <w:t>43)</w:t>
            </w:r>
          </w:p>
        </w:tc>
        <w:tc>
          <w:tcPr>
            <w:tcW w:w="3091" w:type="dxa"/>
          </w:tcPr>
          <w:p w:rsidR="00092F60" w:rsidRPr="00092F60" w:rsidRDefault="00092F60" w:rsidP="00E90F59">
            <w:pPr>
              <w:pStyle w:val="TableHeading"/>
            </w:pPr>
            <w:r w:rsidRPr="00092F60">
              <w:t>Placebo group</w:t>
            </w:r>
          </w:p>
          <w:p w:rsidR="00092F60" w:rsidRPr="00092F60" w:rsidRDefault="00092F60" w:rsidP="00E90F59">
            <w:pPr>
              <w:pStyle w:val="TableHeading"/>
            </w:pPr>
            <w:r w:rsidRPr="00092F60">
              <w:t>(N</w:t>
            </w:r>
            <w:r w:rsidR="00652355" w:rsidRPr="00652355">
              <w:rPr>
                <w:spacing w:val="-20"/>
              </w:rPr>
              <w:t xml:space="preserve"> = </w:t>
            </w:r>
            <w:r w:rsidRPr="00092F60">
              <w:t>44)</w:t>
            </w:r>
          </w:p>
        </w:tc>
      </w:tr>
      <w:tr w:rsidR="00092F60" w:rsidRPr="00092F60" w:rsidTr="00092F60">
        <w:tc>
          <w:tcPr>
            <w:tcW w:w="3313" w:type="dxa"/>
          </w:tcPr>
          <w:p w:rsidR="00092F60" w:rsidRPr="00092F60" w:rsidRDefault="00092F60" w:rsidP="00E90F59">
            <w:pPr>
              <w:pStyle w:val="TableText0"/>
            </w:pPr>
            <w:r w:rsidRPr="00092F60">
              <w:rPr>
                <w:color w:val="FFFFFF" w:themeColor="background1"/>
              </w:rPr>
              <w:t>-</w:t>
            </w:r>
          </w:p>
        </w:tc>
        <w:tc>
          <w:tcPr>
            <w:tcW w:w="2838" w:type="dxa"/>
          </w:tcPr>
          <w:p w:rsidR="00092F60" w:rsidRPr="00092F60" w:rsidRDefault="00092F60" w:rsidP="00E90F59">
            <w:pPr>
              <w:pStyle w:val="TableText0"/>
            </w:pPr>
            <w:proofErr w:type="gramStart"/>
            <w:r w:rsidRPr="00092F60">
              <w:t>n</w:t>
            </w:r>
            <w:proofErr w:type="gramEnd"/>
            <w:r w:rsidRPr="00092F60">
              <w:t xml:space="preserve"> (%)</w:t>
            </w:r>
          </w:p>
        </w:tc>
        <w:tc>
          <w:tcPr>
            <w:tcW w:w="3091" w:type="dxa"/>
          </w:tcPr>
          <w:p w:rsidR="00092F60" w:rsidRPr="00092F60" w:rsidRDefault="00092F60" w:rsidP="00E90F59">
            <w:pPr>
              <w:pStyle w:val="TableText0"/>
            </w:pPr>
            <w:proofErr w:type="gramStart"/>
            <w:r w:rsidRPr="00092F60">
              <w:t>n</w:t>
            </w:r>
            <w:proofErr w:type="gramEnd"/>
            <w:r w:rsidRPr="00092F60">
              <w:t xml:space="preserve"> (%)</w:t>
            </w:r>
          </w:p>
        </w:tc>
      </w:tr>
      <w:tr w:rsidR="00092F60" w:rsidRPr="00092F60" w:rsidTr="00092F60">
        <w:tc>
          <w:tcPr>
            <w:tcW w:w="3313" w:type="dxa"/>
          </w:tcPr>
          <w:p w:rsidR="00092F60" w:rsidRPr="00225936" w:rsidRDefault="00092F60" w:rsidP="00E90F59">
            <w:pPr>
              <w:pStyle w:val="TableText0"/>
              <w:rPr>
                <w:b/>
              </w:rPr>
            </w:pPr>
            <w:r w:rsidRPr="00225936">
              <w:rPr>
                <w:b/>
              </w:rPr>
              <w:t>Total no. of serious adverse events</w:t>
            </w:r>
          </w:p>
        </w:tc>
        <w:tc>
          <w:tcPr>
            <w:tcW w:w="2838" w:type="dxa"/>
          </w:tcPr>
          <w:p w:rsidR="00092F60" w:rsidRPr="00092F60" w:rsidRDefault="00092F60" w:rsidP="00E90F59">
            <w:pPr>
              <w:pStyle w:val="TableText0"/>
            </w:pPr>
            <w:r w:rsidRPr="00092F60">
              <w:t>4 (9)</w:t>
            </w:r>
          </w:p>
        </w:tc>
        <w:tc>
          <w:tcPr>
            <w:tcW w:w="3091" w:type="dxa"/>
          </w:tcPr>
          <w:p w:rsidR="00092F60" w:rsidRPr="00092F60" w:rsidRDefault="00092F60" w:rsidP="00E90F59">
            <w:pPr>
              <w:pStyle w:val="TableText0"/>
            </w:pPr>
            <w:r w:rsidRPr="00092F60">
              <w:t>9 (20)</w:t>
            </w:r>
          </w:p>
        </w:tc>
      </w:tr>
      <w:tr w:rsidR="00092F60" w:rsidRPr="00092F60" w:rsidTr="00092F60">
        <w:tc>
          <w:tcPr>
            <w:tcW w:w="3313" w:type="dxa"/>
          </w:tcPr>
          <w:p w:rsidR="00092F60" w:rsidRPr="00092F60" w:rsidRDefault="00092F60" w:rsidP="00E90F59">
            <w:pPr>
              <w:pStyle w:val="TableText0"/>
            </w:pPr>
            <w:r w:rsidRPr="00092F60">
              <w:t>Exacerbation of PNH</w:t>
            </w:r>
          </w:p>
        </w:tc>
        <w:tc>
          <w:tcPr>
            <w:tcW w:w="2838" w:type="dxa"/>
          </w:tcPr>
          <w:p w:rsidR="00092F60" w:rsidRPr="00092F60" w:rsidRDefault="00092F60" w:rsidP="00E90F59">
            <w:pPr>
              <w:pStyle w:val="TableText0"/>
            </w:pPr>
            <w:r w:rsidRPr="00092F60">
              <w:t>1 (2)</w:t>
            </w:r>
          </w:p>
        </w:tc>
        <w:tc>
          <w:tcPr>
            <w:tcW w:w="3091" w:type="dxa"/>
          </w:tcPr>
          <w:p w:rsidR="00092F60" w:rsidRPr="00092F60" w:rsidRDefault="00092F60" w:rsidP="00E90F59">
            <w:pPr>
              <w:pStyle w:val="TableText0"/>
            </w:pPr>
            <w:r w:rsidRPr="00092F60">
              <w:t>3 (7)</w:t>
            </w:r>
          </w:p>
        </w:tc>
      </w:tr>
      <w:tr w:rsidR="00092F60" w:rsidRPr="00092F60" w:rsidTr="00092F60">
        <w:tc>
          <w:tcPr>
            <w:tcW w:w="3313" w:type="dxa"/>
          </w:tcPr>
          <w:p w:rsidR="00092F60" w:rsidRPr="00092F60" w:rsidRDefault="00092F60" w:rsidP="00E90F59">
            <w:pPr>
              <w:pStyle w:val="TableText0"/>
            </w:pPr>
            <w:r w:rsidRPr="00092F60">
              <w:t>Renal colic</w:t>
            </w:r>
          </w:p>
        </w:tc>
        <w:tc>
          <w:tcPr>
            <w:tcW w:w="2838" w:type="dxa"/>
          </w:tcPr>
          <w:p w:rsidR="00092F60" w:rsidRPr="00092F60" w:rsidRDefault="00092F60" w:rsidP="00E90F59">
            <w:pPr>
              <w:pStyle w:val="TableText0"/>
            </w:pPr>
            <w:r w:rsidRPr="00092F60">
              <w:t>1 (2)</w:t>
            </w:r>
          </w:p>
        </w:tc>
        <w:tc>
          <w:tcPr>
            <w:tcW w:w="3091" w:type="dxa"/>
          </w:tcPr>
          <w:p w:rsidR="00092F60" w:rsidRPr="00092F60" w:rsidRDefault="00092F60" w:rsidP="00E90F59">
            <w:pPr>
              <w:pStyle w:val="TableText0"/>
            </w:pPr>
            <w:r w:rsidRPr="00092F60">
              <w:t>0</w:t>
            </w:r>
          </w:p>
        </w:tc>
      </w:tr>
      <w:tr w:rsidR="00092F60" w:rsidRPr="00092F60" w:rsidTr="00092F60">
        <w:tc>
          <w:tcPr>
            <w:tcW w:w="3313" w:type="dxa"/>
          </w:tcPr>
          <w:p w:rsidR="00092F60" w:rsidRPr="00092F60" w:rsidRDefault="00092F60" w:rsidP="00E90F59">
            <w:pPr>
              <w:pStyle w:val="TableText0"/>
            </w:pPr>
            <w:r w:rsidRPr="00092F60">
              <w:t>Lumbar- or sacral-disk prolapse</w:t>
            </w:r>
          </w:p>
        </w:tc>
        <w:tc>
          <w:tcPr>
            <w:tcW w:w="2838" w:type="dxa"/>
          </w:tcPr>
          <w:p w:rsidR="00092F60" w:rsidRPr="00092F60" w:rsidRDefault="00092F60" w:rsidP="00E90F59">
            <w:pPr>
              <w:pStyle w:val="TableText0"/>
            </w:pPr>
            <w:r w:rsidRPr="00092F60">
              <w:t>1 (2)</w:t>
            </w:r>
          </w:p>
        </w:tc>
        <w:tc>
          <w:tcPr>
            <w:tcW w:w="3091" w:type="dxa"/>
          </w:tcPr>
          <w:p w:rsidR="00092F60" w:rsidRPr="00092F60" w:rsidRDefault="00092F60" w:rsidP="00E90F59">
            <w:pPr>
              <w:pStyle w:val="TableText0"/>
            </w:pPr>
            <w:r w:rsidRPr="00092F60">
              <w:t>0</w:t>
            </w:r>
          </w:p>
        </w:tc>
      </w:tr>
      <w:tr w:rsidR="00092F60" w:rsidRPr="00092F60" w:rsidTr="00092F60">
        <w:tc>
          <w:tcPr>
            <w:tcW w:w="3313" w:type="dxa"/>
          </w:tcPr>
          <w:p w:rsidR="00092F60" w:rsidRPr="00092F60" w:rsidRDefault="00092F60" w:rsidP="00E90F59">
            <w:pPr>
              <w:pStyle w:val="TableText0"/>
            </w:pPr>
            <w:r w:rsidRPr="00092F60">
              <w:t>Α-haemolytic streptococcal bacteraemia</w:t>
            </w:r>
          </w:p>
        </w:tc>
        <w:tc>
          <w:tcPr>
            <w:tcW w:w="2838" w:type="dxa"/>
          </w:tcPr>
          <w:p w:rsidR="00092F60" w:rsidRPr="00092F60" w:rsidRDefault="00092F60" w:rsidP="00E90F59">
            <w:pPr>
              <w:pStyle w:val="TableText0"/>
            </w:pPr>
            <w:r w:rsidRPr="00092F60">
              <w:t>1 (2)</w:t>
            </w:r>
          </w:p>
        </w:tc>
        <w:tc>
          <w:tcPr>
            <w:tcW w:w="3091" w:type="dxa"/>
          </w:tcPr>
          <w:p w:rsidR="00092F60" w:rsidRPr="00092F60" w:rsidRDefault="00092F60" w:rsidP="00E90F59">
            <w:pPr>
              <w:pStyle w:val="TableText0"/>
            </w:pPr>
            <w:r w:rsidRPr="00092F60">
              <w:t>0</w:t>
            </w:r>
          </w:p>
        </w:tc>
      </w:tr>
      <w:tr w:rsidR="00092F60" w:rsidRPr="00092F60" w:rsidTr="00092F60">
        <w:tc>
          <w:tcPr>
            <w:tcW w:w="3313" w:type="dxa"/>
          </w:tcPr>
          <w:p w:rsidR="00092F60" w:rsidRPr="00092F60" w:rsidRDefault="00092F60" w:rsidP="00E90F59">
            <w:pPr>
              <w:pStyle w:val="TableText0"/>
            </w:pPr>
            <w:r w:rsidRPr="00092F60">
              <w:t>Central-line and urinary infection</w:t>
            </w:r>
          </w:p>
        </w:tc>
        <w:tc>
          <w:tcPr>
            <w:tcW w:w="2838" w:type="dxa"/>
          </w:tcPr>
          <w:p w:rsidR="00092F60" w:rsidRPr="00092F60" w:rsidRDefault="00092F60" w:rsidP="00E90F59">
            <w:pPr>
              <w:pStyle w:val="TableText0"/>
            </w:pPr>
            <w:r w:rsidRPr="00092F60">
              <w:t>0</w:t>
            </w:r>
          </w:p>
        </w:tc>
        <w:tc>
          <w:tcPr>
            <w:tcW w:w="3091" w:type="dxa"/>
          </w:tcPr>
          <w:p w:rsidR="00092F60" w:rsidRPr="00092F60" w:rsidRDefault="00092F60" w:rsidP="00E90F59">
            <w:pPr>
              <w:pStyle w:val="TableText0"/>
            </w:pPr>
            <w:r w:rsidRPr="00092F60">
              <w:t>1 (2)</w:t>
            </w:r>
          </w:p>
        </w:tc>
      </w:tr>
      <w:tr w:rsidR="00092F60" w:rsidRPr="00092F60" w:rsidTr="00092F60">
        <w:tc>
          <w:tcPr>
            <w:tcW w:w="3313" w:type="dxa"/>
          </w:tcPr>
          <w:p w:rsidR="00092F60" w:rsidRPr="00092F60" w:rsidRDefault="00092F60" w:rsidP="00E90F59">
            <w:pPr>
              <w:pStyle w:val="TableText0"/>
            </w:pPr>
            <w:r w:rsidRPr="00092F60">
              <w:t>Upper respiratory tract infection</w:t>
            </w:r>
          </w:p>
        </w:tc>
        <w:tc>
          <w:tcPr>
            <w:tcW w:w="2838" w:type="dxa"/>
          </w:tcPr>
          <w:p w:rsidR="00092F60" w:rsidRPr="00092F60" w:rsidRDefault="00092F60" w:rsidP="00E90F59">
            <w:pPr>
              <w:pStyle w:val="TableText0"/>
            </w:pPr>
            <w:r w:rsidRPr="00092F60">
              <w:t>0</w:t>
            </w:r>
          </w:p>
        </w:tc>
        <w:tc>
          <w:tcPr>
            <w:tcW w:w="3091" w:type="dxa"/>
          </w:tcPr>
          <w:p w:rsidR="00092F60" w:rsidRPr="00092F60" w:rsidRDefault="00092F60" w:rsidP="00E90F59">
            <w:pPr>
              <w:pStyle w:val="TableText0"/>
            </w:pPr>
            <w:r w:rsidRPr="00092F60">
              <w:t>1 (2)</w:t>
            </w:r>
          </w:p>
        </w:tc>
      </w:tr>
      <w:tr w:rsidR="00092F60" w:rsidRPr="00092F60" w:rsidTr="00092F60">
        <w:tc>
          <w:tcPr>
            <w:tcW w:w="3313" w:type="dxa"/>
          </w:tcPr>
          <w:p w:rsidR="00092F60" w:rsidRPr="00092F60" w:rsidRDefault="00092F60" w:rsidP="00E90F59">
            <w:pPr>
              <w:pStyle w:val="TableText0"/>
            </w:pPr>
            <w:r w:rsidRPr="00092F60">
              <w:t>Probable viral infection</w:t>
            </w:r>
          </w:p>
        </w:tc>
        <w:tc>
          <w:tcPr>
            <w:tcW w:w="2838" w:type="dxa"/>
          </w:tcPr>
          <w:p w:rsidR="00092F60" w:rsidRPr="00092F60" w:rsidRDefault="00092F60" w:rsidP="00E90F59">
            <w:pPr>
              <w:pStyle w:val="TableText0"/>
            </w:pPr>
            <w:r w:rsidRPr="00092F60">
              <w:t>0</w:t>
            </w:r>
          </w:p>
        </w:tc>
        <w:tc>
          <w:tcPr>
            <w:tcW w:w="3091" w:type="dxa"/>
          </w:tcPr>
          <w:p w:rsidR="00092F60" w:rsidRPr="00092F60" w:rsidRDefault="00092F60" w:rsidP="00E90F59">
            <w:pPr>
              <w:pStyle w:val="TableText0"/>
            </w:pPr>
            <w:r w:rsidRPr="00092F60">
              <w:t>1 (2)</w:t>
            </w:r>
          </w:p>
        </w:tc>
      </w:tr>
      <w:tr w:rsidR="00092F60" w:rsidRPr="00092F60" w:rsidTr="00092F60">
        <w:tc>
          <w:tcPr>
            <w:tcW w:w="3313" w:type="dxa"/>
          </w:tcPr>
          <w:p w:rsidR="00092F60" w:rsidRPr="00092F60" w:rsidRDefault="00092F60" w:rsidP="00E90F59">
            <w:pPr>
              <w:pStyle w:val="TableText0"/>
            </w:pPr>
            <w:r w:rsidRPr="00092F60">
              <w:t>Neutropenia</w:t>
            </w:r>
          </w:p>
        </w:tc>
        <w:tc>
          <w:tcPr>
            <w:tcW w:w="2838" w:type="dxa"/>
          </w:tcPr>
          <w:p w:rsidR="00092F60" w:rsidRPr="00092F60" w:rsidRDefault="00092F60" w:rsidP="00E90F59">
            <w:pPr>
              <w:pStyle w:val="TableText0"/>
            </w:pPr>
            <w:r w:rsidRPr="00092F60">
              <w:t>0</w:t>
            </w:r>
          </w:p>
        </w:tc>
        <w:tc>
          <w:tcPr>
            <w:tcW w:w="3091" w:type="dxa"/>
          </w:tcPr>
          <w:p w:rsidR="00092F60" w:rsidRPr="00092F60" w:rsidRDefault="00092F60" w:rsidP="00E90F59">
            <w:pPr>
              <w:pStyle w:val="TableText0"/>
            </w:pPr>
            <w:r w:rsidRPr="00092F60">
              <w:t>1 (2)</w:t>
            </w:r>
          </w:p>
        </w:tc>
      </w:tr>
      <w:tr w:rsidR="00092F60" w:rsidRPr="00092F60" w:rsidTr="00092F60">
        <w:tc>
          <w:tcPr>
            <w:tcW w:w="3313" w:type="dxa"/>
          </w:tcPr>
          <w:p w:rsidR="00092F60" w:rsidRPr="00092F60" w:rsidRDefault="00092F60" w:rsidP="00E90F59">
            <w:pPr>
              <w:pStyle w:val="TableText0"/>
            </w:pPr>
            <w:r w:rsidRPr="00092F60">
              <w:t>Cellulitis, folliculitis, and neutropenia</w:t>
            </w:r>
          </w:p>
        </w:tc>
        <w:tc>
          <w:tcPr>
            <w:tcW w:w="2838" w:type="dxa"/>
          </w:tcPr>
          <w:p w:rsidR="00092F60" w:rsidRPr="00092F60" w:rsidRDefault="00092F60" w:rsidP="00E90F59">
            <w:pPr>
              <w:pStyle w:val="TableText0"/>
            </w:pPr>
            <w:r w:rsidRPr="00092F60">
              <w:t>0</w:t>
            </w:r>
          </w:p>
        </w:tc>
        <w:tc>
          <w:tcPr>
            <w:tcW w:w="3091" w:type="dxa"/>
          </w:tcPr>
          <w:p w:rsidR="00092F60" w:rsidRPr="00092F60" w:rsidRDefault="00092F60" w:rsidP="00E90F59">
            <w:pPr>
              <w:pStyle w:val="TableText0"/>
            </w:pPr>
            <w:r w:rsidRPr="00092F60">
              <w:t>1 (2)</w:t>
            </w:r>
          </w:p>
        </w:tc>
      </w:tr>
      <w:tr w:rsidR="00092F60" w:rsidRPr="00092F60" w:rsidTr="00092F60">
        <w:tc>
          <w:tcPr>
            <w:tcW w:w="3313" w:type="dxa"/>
          </w:tcPr>
          <w:p w:rsidR="00092F60" w:rsidRPr="00092F60" w:rsidRDefault="00092F60" w:rsidP="00E90F59">
            <w:pPr>
              <w:pStyle w:val="TableText0"/>
            </w:pPr>
            <w:r w:rsidRPr="00092F60">
              <w:t>Anaemia and pyrexia</w:t>
            </w:r>
          </w:p>
        </w:tc>
        <w:tc>
          <w:tcPr>
            <w:tcW w:w="2838" w:type="dxa"/>
          </w:tcPr>
          <w:p w:rsidR="00092F60" w:rsidRPr="00092F60" w:rsidRDefault="00092F60" w:rsidP="00E90F59">
            <w:pPr>
              <w:pStyle w:val="TableText0"/>
            </w:pPr>
            <w:r w:rsidRPr="00092F60">
              <w:t>0</w:t>
            </w:r>
          </w:p>
        </w:tc>
        <w:tc>
          <w:tcPr>
            <w:tcW w:w="3091" w:type="dxa"/>
          </w:tcPr>
          <w:p w:rsidR="00092F60" w:rsidRPr="00092F60" w:rsidRDefault="00092F60" w:rsidP="00E90F59">
            <w:pPr>
              <w:pStyle w:val="TableText0"/>
            </w:pPr>
            <w:r w:rsidRPr="00092F60">
              <w:t>1 (2)</w:t>
            </w:r>
          </w:p>
        </w:tc>
      </w:tr>
      <w:tr w:rsidR="00092F60" w:rsidRPr="00092F60" w:rsidTr="00092F60">
        <w:tc>
          <w:tcPr>
            <w:tcW w:w="3313" w:type="dxa"/>
          </w:tcPr>
          <w:p w:rsidR="00092F60" w:rsidRPr="00225936" w:rsidRDefault="00092F60" w:rsidP="00E90F59">
            <w:pPr>
              <w:pStyle w:val="TableText0"/>
              <w:rPr>
                <w:b/>
                <w:vertAlign w:val="superscript"/>
              </w:rPr>
            </w:pPr>
            <w:r w:rsidRPr="00225936">
              <w:rPr>
                <w:b/>
              </w:rPr>
              <w:t>Most frequent adverse events</w:t>
            </w:r>
            <w:r w:rsidRPr="00225936">
              <w:rPr>
                <w:b/>
                <w:vertAlign w:val="superscript"/>
              </w:rPr>
              <w:t>b</w:t>
            </w:r>
          </w:p>
        </w:tc>
        <w:tc>
          <w:tcPr>
            <w:tcW w:w="2838" w:type="dxa"/>
          </w:tcPr>
          <w:p w:rsidR="00092F60" w:rsidRPr="00092F60" w:rsidRDefault="00092F60" w:rsidP="00E90F59">
            <w:pPr>
              <w:pStyle w:val="TableText0"/>
              <w:rPr>
                <w:color w:val="FFFFFF" w:themeColor="background1"/>
              </w:rPr>
            </w:pPr>
            <w:r w:rsidRPr="00092F60">
              <w:rPr>
                <w:color w:val="FFFFFF" w:themeColor="background1"/>
              </w:rPr>
              <w:t>-</w:t>
            </w:r>
          </w:p>
        </w:tc>
        <w:tc>
          <w:tcPr>
            <w:tcW w:w="3091" w:type="dxa"/>
          </w:tcPr>
          <w:p w:rsidR="00092F60" w:rsidRPr="00092F60" w:rsidRDefault="00092F60" w:rsidP="00E90F59">
            <w:pPr>
              <w:pStyle w:val="TableText0"/>
              <w:rPr>
                <w:color w:val="FFFFFF" w:themeColor="background1"/>
              </w:rPr>
            </w:pPr>
            <w:r w:rsidRPr="00092F60">
              <w:rPr>
                <w:color w:val="FFFFFF" w:themeColor="background1"/>
              </w:rPr>
              <w:t>-</w:t>
            </w:r>
          </w:p>
        </w:tc>
      </w:tr>
      <w:tr w:rsidR="00092F60" w:rsidRPr="00092F60" w:rsidTr="00092F60">
        <w:tc>
          <w:tcPr>
            <w:tcW w:w="3313" w:type="dxa"/>
          </w:tcPr>
          <w:p w:rsidR="00092F60" w:rsidRPr="00092F60" w:rsidRDefault="00092F60" w:rsidP="00E90F59">
            <w:pPr>
              <w:pStyle w:val="TableText0"/>
              <w:rPr>
                <w:vertAlign w:val="superscript"/>
              </w:rPr>
            </w:pPr>
            <w:r w:rsidRPr="00092F60">
              <w:t>Headache</w:t>
            </w:r>
            <w:r w:rsidRPr="00092F60">
              <w:rPr>
                <w:vertAlign w:val="superscript"/>
              </w:rPr>
              <w:t>c</w:t>
            </w:r>
          </w:p>
        </w:tc>
        <w:tc>
          <w:tcPr>
            <w:tcW w:w="2838" w:type="dxa"/>
          </w:tcPr>
          <w:p w:rsidR="00092F60" w:rsidRPr="00092F60" w:rsidRDefault="00092F60" w:rsidP="00E90F59">
            <w:pPr>
              <w:pStyle w:val="TableText0"/>
            </w:pPr>
            <w:r w:rsidRPr="00092F60">
              <w:t>19 (44)</w:t>
            </w:r>
          </w:p>
        </w:tc>
        <w:tc>
          <w:tcPr>
            <w:tcW w:w="3091" w:type="dxa"/>
          </w:tcPr>
          <w:p w:rsidR="00092F60" w:rsidRPr="00092F60" w:rsidRDefault="00092F60" w:rsidP="00E90F59">
            <w:pPr>
              <w:pStyle w:val="TableText0"/>
            </w:pPr>
            <w:r w:rsidRPr="00092F60">
              <w:t>12 (27)</w:t>
            </w:r>
          </w:p>
        </w:tc>
      </w:tr>
      <w:tr w:rsidR="00092F60" w:rsidRPr="00092F60" w:rsidTr="00092F60">
        <w:tc>
          <w:tcPr>
            <w:tcW w:w="3313" w:type="dxa"/>
          </w:tcPr>
          <w:p w:rsidR="00092F60" w:rsidRPr="00092F60" w:rsidRDefault="00092F60" w:rsidP="00E90F59">
            <w:pPr>
              <w:pStyle w:val="TableText0"/>
            </w:pPr>
            <w:r w:rsidRPr="00092F60">
              <w:t>Nasopharyngitis</w:t>
            </w:r>
          </w:p>
        </w:tc>
        <w:tc>
          <w:tcPr>
            <w:tcW w:w="2838" w:type="dxa"/>
          </w:tcPr>
          <w:p w:rsidR="00092F60" w:rsidRPr="00092F60" w:rsidRDefault="00092F60" w:rsidP="00E90F59">
            <w:pPr>
              <w:pStyle w:val="TableText0"/>
            </w:pPr>
            <w:r w:rsidRPr="00092F60">
              <w:t>10 (23)</w:t>
            </w:r>
          </w:p>
        </w:tc>
        <w:tc>
          <w:tcPr>
            <w:tcW w:w="3091" w:type="dxa"/>
          </w:tcPr>
          <w:p w:rsidR="00092F60" w:rsidRPr="00092F60" w:rsidRDefault="00092F60" w:rsidP="00E90F59">
            <w:pPr>
              <w:pStyle w:val="TableText0"/>
            </w:pPr>
            <w:r w:rsidRPr="00092F60">
              <w:t>8 (18)</w:t>
            </w:r>
          </w:p>
        </w:tc>
      </w:tr>
      <w:tr w:rsidR="00092F60" w:rsidRPr="00092F60" w:rsidTr="00092F60">
        <w:tc>
          <w:tcPr>
            <w:tcW w:w="3313" w:type="dxa"/>
          </w:tcPr>
          <w:p w:rsidR="00092F60" w:rsidRPr="00092F60" w:rsidRDefault="00092F60" w:rsidP="00E90F59">
            <w:pPr>
              <w:pStyle w:val="TableText0"/>
            </w:pPr>
            <w:r w:rsidRPr="00092F60">
              <w:t>Back pain</w:t>
            </w:r>
          </w:p>
        </w:tc>
        <w:tc>
          <w:tcPr>
            <w:tcW w:w="2838" w:type="dxa"/>
          </w:tcPr>
          <w:p w:rsidR="00092F60" w:rsidRPr="00092F60" w:rsidRDefault="00092F60" w:rsidP="00E90F59">
            <w:pPr>
              <w:pStyle w:val="TableText0"/>
            </w:pPr>
            <w:r w:rsidRPr="00092F60">
              <w:t>8 (19)</w:t>
            </w:r>
          </w:p>
        </w:tc>
        <w:tc>
          <w:tcPr>
            <w:tcW w:w="3091" w:type="dxa"/>
          </w:tcPr>
          <w:p w:rsidR="00092F60" w:rsidRPr="00092F60" w:rsidRDefault="00092F60" w:rsidP="00E90F59">
            <w:pPr>
              <w:pStyle w:val="TableText0"/>
            </w:pPr>
            <w:r w:rsidRPr="00092F60">
              <w:t>4 (9)</w:t>
            </w:r>
          </w:p>
        </w:tc>
      </w:tr>
      <w:tr w:rsidR="00092F60" w:rsidRPr="00092F60" w:rsidTr="00092F60">
        <w:tc>
          <w:tcPr>
            <w:tcW w:w="3313" w:type="dxa"/>
          </w:tcPr>
          <w:p w:rsidR="00092F60" w:rsidRPr="00092F60" w:rsidRDefault="00092F60" w:rsidP="00E90F59">
            <w:pPr>
              <w:pStyle w:val="TableText0"/>
            </w:pPr>
            <w:r w:rsidRPr="00092F60">
              <w:t>Nausea</w:t>
            </w:r>
          </w:p>
        </w:tc>
        <w:tc>
          <w:tcPr>
            <w:tcW w:w="2838" w:type="dxa"/>
          </w:tcPr>
          <w:p w:rsidR="00092F60" w:rsidRPr="00092F60" w:rsidRDefault="00092F60" w:rsidP="00E90F59">
            <w:pPr>
              <w:pStyle w:val="TableText0"/>
            </w:pPr>
            <w:r w:rsidRPr="00092F60">
              <w:t>7 (16)</w:t>
            </w:r>
          </w:p>
        </w:tc>
        <w:tc>
          <w:tcPr>
            <w:tcW w:w="3091" w:type="dxa"/>
          </w:tcPr>
          <w:p w:rsidR="00092F60" w:rsidRPr="00092F60" w:rsidRDefault="00092F60" w:rsidP="00E90F59">
            <w:pPr>
              <w:pStyle w:val="TableText0"/>
            </w:pPr>
            <w:r w:rsidRPr="00092F60">
              <w:t>5 (11)</w:t>
            </w:r>
          </w:p>
        </w:tc>
      </w:tr>
      <w:tr w:rsidR="00092F60" w:rsidRPr="00092F60" w:rsidTr="00092F60">
        <w:tc>
          <w:tcPr>
            <w:tcW w:w="3313" w:type="dxa"/>
          </w:tcPr>
          <w:p w:rsidR="00092F60" w:rsidRPr="00092F60" w:rsidRDefault="00092F60" w:rsidP="00E90F59">
            <w:pPr>
              <w:pStyle w:val="TableText0"/>
            </w:pPr>
            <w:r w:rsidRPr="00092F60">
              <w:t>Upper respiratory tract infection</w:t>
            </w:r>
          </w:p>
        </w:tc>
        <w:tc>
          <w:tcPr>
            <w:tcW w:w="2838" w:type="dxa"/>
          </w:tcPr>
          <w:p w:rsidR="00092F60" w:rsidRPr="00092F60" w:rsidRDefault="00092F60" w:rsidP="00E90F59">
            <w:pPr>
              <w:pStyle w:val="TableText0"/>
            </w:pPr>
            <w:r w:rsidRPr="00092F60">
              <w:t>6 (14)</w:t>
            </w:r>
          </w:p>
        </w:tc>
        <w:tc>
          <w:tcPr>
            <w:tcW w:w="3091" w:type="dxa"/>
          </w:tcPr>
          <w:p w:rsidR="00092F60" w:rsidRPr="00092F60" w:rsidRDefault="00092F60" w:rsidP="00E90F59">
            <w:pPr>
              <w:pStyle w:val="TableText0"/>
            </w:pPr>
            <w:r w:rsidRPr="00092F60">
              <w:t>10 (23)</w:t>
            </w:r>
          </w:p>
        </w:tc>
      </w:tr>
      <w:tr w:rsidR="00092F60" w:rsidRPr="00092F60" w:rsidTr="00092F60">
        <w:tc>
          <w:tcPr>
            <w:tcW w:w="3313" w:type="dxa"/>
          </w:tcPr>
          <w:p w:rsidR="00092F60" w:rsidRPr="00092F60" w:rsidRDefault="00092F60" w:rsidP="00E90F59">
            <w:pPr>
              <w:pStyle w:val="TableText0"/>
            </w:pPr>
            <w:r w:rsidRPr="00092F60">
              <w:t>Fatigue</w:t>
            </w:r>
          </w:p>
        </w:tc>
        <w:tc>
          <w:tcPr>
            <w:tcW w:w="2838" w:type="dxa"/>
          </w:tcPr>
          <w:p w:rsidR="00092F60" w:rsidRPr="00092F60" w:rsidRDefault="00092F60" w:rsidP="00E90F59">
            <w:pPr>
              <w:pStyle w:val="TableText0"/>
            </w:pPr>
            <w:r w:rsidRPr="00092F60">
              <w:t>5 (12)</w:t>
            </w:r>
          </w:p>
        </w:tc>
        <w:tc>
          <w:tcPr>
            <w:tcW w:w="3091" w:type="dxa"/>
          </w:tcPr>
          <w:p w:rsidR="00092F60" w:rsidRPr="00092F60" w:rsidRDefault="00092F60" w:rsidP="00E90F59">
            <w:pPr>
              <w:pStyle w:val="TableText0"/>
            </w:pPr>
            <w:r w:rsidRPr="00092F60">
              <w:t>1 (2)</w:t>
            </w:r>
          </w:p>
        </w:tc>
      </w:tr>
      <w:tr w:rsidR="00092F60" w:rsidRPr="00092F60" w:rsidTr="00092F60">
        <w:tc>
          <w:tcPr>
            <w:tcW w:w="3313" w:type="dxa"/>
          </w:tcPr>
          <w:p w:rsidR="00092F60" w:rsidRPr="00092F60" w:rsidRDefault="00092F60" w:rsidP="00E90F59">
            <w:pPr>
              <w:pStyle w:val="TableText0"/>
            </w:pPr>
            <w:r w:rsidRPr="00092F60">
              <w:t>Cough</w:t>
            </w:r>
          </w:p>
        </w:tc>
        <w:tc>
          <w:tcPr>
            <w:tcW w:w="2838" w:type="dxa"/>
          </w:tcPr>
          <w:p w:rsidR="00092F60" w:rsidRPr="00092F60" w:rsidRDefault="00092F60" w:rsidP="00E90F59">
            <w:pPr>
              <w:pStyle w:val="TableText0"/>
            </w:pPr>
            <w:r w:rsidRPr="00092F60">
              <w:t>5 (12)</w:t>
            </w:r>
          </w:p>
        </w:tc>
        <w:tc>
          <w:tcPr>
            <w:tcW w:w="3091" w:type="dxa"/>
          </w:tcPr>
          <w:p w:rsidR="00092F60" w:rsidRPr="00092F60" w:rsidRDefault="00092F60" w:rsidP="00E90F59">
            <w:pPr>
              <w:pStyle w:val="TableText0"/>
            </w:pPr>
            <w:r w:rsidRPr="00092F60">
              <w:t>4 (9)</w:t>
            </w:r>
          </w:p>
        </w:tc>
      </w:tr>
      <w:tr w:rsidR="00092F60" w:rsidRPr="00092F60" w:rsidTr="00092F60">
        <w:tc>
          <w:tcPr>
            <w:tcW w:w="3313" w:type="dxa"/>
          </w:tcPr>
          <w:p w:rsidR="00092F60" w:rsidRPr="00092F60" w:rsidRDefault="00092F60" w:rsidP="00E90F59">
            <w:pPr>
              <w:pStyle w:val="TableText0"/>
            </w:pPr>
            <w:r w:rsidRPr="00092F60">
              <w:t>Diarrhoea</w:t>
            </w:r>
          </w:p>
        </w:tc>
        <w:tc>
          <w:tcPr>
            <w:tcW w:w="2838" w:type="dxa"/>
          </w:tcPr>
          <w:p w:rsidR="00092F60" w:rsidRPr="00092F60" w:rsidRDefault="00092F60" w:rsidP="00E90F59">
            <w:pPr>
              <w:pStyle w:val="TableText0"/>
            </w:pPr>
            <w:r w:rsidRPr="00092F60">
              <w:t>4 (9)</w:t>
            </w:r>
          </w:p>
        </w:tc>
        <w:tc>
          <w:tcPr>
            <w:tcW w:w="3091" w:type="dxa"/>
          </w:tcPr>
          <w:p w:rsidR="00092F60" w:rsidRPr="00092F60" w:rsidRDefault="00092F60" w:rsidP="00E90F59">
            <w:pPr>
              <w:pStyle w:val="TableText0"/>
            </w:pPr>
            <w:r w:rsidRPr="00092F60">
              <w:t>5 (11)</w:t>
            </w:r>
          </w:p>
        </w:tc>
      </w:tr>
      <w:tr w:rsidR="00092F60" w:rsidRPr="00092F60" w:rsidTr="00092F60">
        <w:tc>
          <w:tcPr>
            <w:tcW w:w="3313" w:type="dxa"/>
          </w:tcPr>
          <w:p w:rsidR="00092F60" w:rsidRPr="00092F60" w:rsidRDefault="00092F60" w:rsidP="00E90F59">
            <w:pPr>
              <w:pStyle w:val="TableText0"/>
            </w:pPr>
            <w:r w:rsidRPr="00092F60">
              <w:t>Arthralgia</w:t>
            </w:r>
          </w:p>
        </w:tc>
        <w:tc>
          <w:tcPr>
            <w:tcW w:w="2838" w:type="dxa"/>
          </w:tcPr>
          <w:p w:rsidR="00092F60" w:rsidRPr="00092F60" w:rsidRDefault="00092F60" w:rsidP="00E90F59">
            <w:pPr>
              <w:pStyle w:val="TableText0"/>
            </w:pPr>
            <w:r w:rsidRPr="00092F60">
              <w:t>3 (7)</w:t>
            </w:r>
          </w:p>
        </w:tc>
        <w:tc>
          <w:tcPr>
            <w:tcW w:w="3091" w:type="dxa"/>
          </w:tcPr>
          <w:p w:rsidR="00092F60" w:rsidRPr="00092F60" w:rsidRDefault="00092F60" w:rsidP="00E90F59">
            <w:pPr>
              <w:pStyle w:val="TableText0"/>
            </w:pPr>
            <w:r w:rsidRPr="00092F60">
              <w:t>5 (11)</w:t>
            </w:r>
          </w:p>
        </w:tc>
      </w:tr>
      <w:tr w:rsidR="00092F60" w:rsidRPr="00092F60" w:rsidTr="00092F60">
        <w:tc>
          <w:tcPr>
            <w:tcW w:w="3313" w:type="dxa"/>
          </w:tcPr>
          <w:p w:rsidR="00092F60" w:rsidRPr="00092F60" w:rsidRDefault="00092F60" w:rsidP="00E90F59">
            <w:pPr>
              <w:pStyle w:val="TableText0"/>
            </w:pPr>
            <w:r w:rsidRPr="00092F60">
              <w:t>Abdominal pain</w:t>
            </w:r>
          </w:p>
        </w:tc>
        <w:tc>
          <w:tcPr>
            <w:tcW w:w="2838" w:type="dxa"/>
          </w:tcPr>
          <w:p w:rsidR="00092F60" w:rsidRPr="00092F60" w:rsidRDefault="00092F60" w:rsidP="00E90F59">
            <w:pPr>
              <w:pStyle w:val="TableText0"/>
            </w:pPr>
            <w:r w:rsidRPr="00092F60">
              <w:t>2 (5)</w:t>
            </w:r>
          </w:p>
        </w:tc>
        <w:tc>
          <w:tcPr>
            <w:tcW w:w="3091" w:type="dxa"/>
          </w:tcPr>
          <w:p w:rsidR="00092F60" w:rsidRPr="00092F60" w:rsidRDefault="00092F60" w:rsidP="00E90F59">
            <w:pPr>
              <w:pStyle w:val="TableText0"/>
            </w:pPr>
            <w:r w:rsidRPr="00092F60">
              <w:t>5 (11)</w:t>
            </w:r>
          </w:p>
        </w:tc>
      </w:tr>
      <w:tr w:rsidR="00092F60" w:rsidRPr="00092F60" w:rsidTr="00092F60">
        <w:tc>
          <w:tcPr>
            <w:tcW w:w="3313" w:type="dxa"/>
          </w:tcPr>
          <w:p w:rsidR="00092F60" w:rsidRPr="00092F60" w:rsidRDefault="00092F60" w:rsidP="00E90F59">
            <w:pPr>
              <w:pStyle w:val="TableText0"/>
            </w:pPr>
            <w:r w:rsidRPr="00092F60">
              <w:t>Dizziness</w:t>
            </w:r>
          </w:p>
        </w:tc>
        <w:tc>
          <w:tcPr>
            <w:tcW w:w="2838" w:type="dxa"/>
          </w:tcPr>
          <w:p w:rsidR="00092F60" w:rsidRPr="00092F60" w:rsidRDefault="00092F60" w:rsidP="00E90F59">
            <w:pPr>
              <w:pStyle w:val="TableText0"/>
            </w:pPr>
            <w:r w:rsidRPr="00092F60">
              <w:t>2 (5)</w:t>
            </w:r>
          </w:p>
        </w:tc>
        <w:tc>
          <w:tcPr>
            <w:tcW w:w="3091" w:type="dxa"/>
          </w:tcPr>
          <w:p w:rsidR="00092F60" w:rsidRPr="00092F60" w:rsidRDefault="00092F60" w:rsidP="00E90F59">
            <w:pPr>
              <w:pStyle w:val="TableText0"/>
            </w:pPr>
            <w:r w:rsidRPr="00092F60">
              <w:t>5 (11)</w:t>
            </w:r>
          </w:p>
        </w:tc>
      </w:tr>
      <w:tr w:rsidR="00092F60" w:rsidRPr="00092F60" w:rsidTr="00092F60">
        <w:tc>
          <w:tcPr>
            <w:tcW w:w="3313" w:type="dxa"/>
          </w:tcPr>
          <w:p w:rsidR="00092F60" w:rsidRPr="00092F60" w:rsidRDefault="00092F60" w:rsidP="00E90F59">
            <w:pPr>
              <w:pStyle w:val="TableText0"/>
            </w:pPr>
            <w:r w:rsidRPr="00092F60">
              <w:t>Vomiting</w:t>
            </w:r>
          </w:p>
        </w:tc>
        <w:tc>
          <w:tcPr>
            <w:tcW w:w="2838" w:type="dxa"/>
          </w:tcPr>
          <w:p w:rsidR="00092F60" w:rsidRPr="00092F60" w:rsidRDefault="00092F60" w:rsidP="00E90F59">
            <w:pPr>
              <w:pStyle w:val="TableText0"/>
            </w:pPr>
            <w:r w:rsidRPr="00092F60">
              <w:t>2 (5)</w:t>
            </w:r>
          </w:p>
        </w:tc>
        <w:tc>
          <w:tcPr>
            <w:tcW w:w="3091" w:type="dxa"/>
          </w:tcPr>
          <w:p w:rsidR="00092F60" w:rsidRPr="00092F60" w:rsidRDefault="00092F60" w:rsidP="00E90F59">
            <w:pPr>
              <w:pStyle w:val="TableText0"/>
            </w:pPr>
            <w:r w:rsidRPr="00092F60">
              <w:t>5 (11)</w:t>
            </w:r>
          </w:p>
        </w:tc>
      </w:tr>
      <w:tr w:rsidR="00092F60" w:rsidRPr="00092F60" w:rsidTr="00092F60">
        <w:tc>
          <w:tcPr>
            <w:tcW w:w="3313" w:type="dxa"/>
          </w:tcPr>
          <w:p w:rsidR="00092F60" w:rsidRPr="00092F60" w:rsidRDefault="00092F60" w:rsidP="00E90F59">
            <w:pPr>
              <w:pStyle w:val="TableText0"/>
            </w:pPr>
            <w:r w:rsidRPr="00092F60">
              <w:t>Viral infection</w:t>
            </w:r>
          </w:p>
        </w:tc>
        <w:tc>
          <w:tcPr>
            <w:tcW w:w="2838" w:type="dxa"/>
          </w:tcPr>
          <w:p w:rsidR="00092F60" w:rsidRPr="00092F60" w:rsidRDefault="00092F60" w:rsidP="00E90F59">
            <w:pPr>
              <w:pStyle w:val="TableText0"/>
            </w:pPr>
            <w:r w:rsidRPr="00092F60">
              <w:t>1 (2)</w:t>
            </w:r>
          </w:p>
        </w:tc>
        <w:tc>
          <w:tcPr>
            <w:tcW w:w="3091" w:type="dxa"/>
          </w:tcPr>
          <w:p w:rsidR="00092F60" w:rsidRPr="00092F60" w:rsidRDefault="00092F60" w:rsidP="00E90F59">
            <w:pPr>
              <w:pStyle w:val="TableText0"/>
            </w:pPr>
            <w:r w:rsidRPr="00092F60">
              <w:t>5 (11)</w:t>
            </w:r>
          </w:p>
        </w:tc>
      </w:tr>
    </w:tbl>
    <w:p w:rsidR="00092F60" w:rsidRPr="0062097D" w:rsidRDefault="001B4E29" w:rsidP="00E90F59">
      <w:pPr>
        <w:pStyle w:val="TableNote"/>
      </w:pPr>
      <w:r w:rsidRPr="0062097D">
        <w:t xml:space="preserve">PNH </w:t>
      </w:r>
      <w:r w:rsidRPr="00652355">
        <w:rPr>
          <w:spacing w:val="-20"/>
        </w:rPr>
        <w:t xml:space="preserve">= </w:t>
      </w:r>
      <w:r w:rsidRPr="0062097D">
        <w:t>paroxysmal</w:t>
      </w:r>
      <w:r w:rsidR="00092F60" w:rsidRPr="0062097D">
        <w:t xml:space="preserve"> nocturnal </w:t>
      </w:r>
      <w:r w:rsidR="00C96B5D">
        <w:t>haemoglobinuria</w:t>
      </w:r>
    </w:p>
    <w:p w:rsidR="00092F60" w:rsidRPr="0062097D" w:rsidRDefault="00092F60" w:rsidP="00E90F59">
      <w:pPr>
        <w:pStyle w:val="TableNote"/>
      </w:pPr>
      <w:proofErr w:type="gramStart"/>
      <w:r w:rsidRPr="0062097D">
        <w:rPr>
          <w:vertAlign w:val="superscript"/>
        </w:rPr>
        <w:t>a</w:t>
      </w:r>
      <w:proofErr w:type="gramEnd"/>
      <w:r w:rsidRPr="0062097D">
        <w:t xml:space="preserve"> Adverse events were coded with the use of preferred terms from the MedDRA</w:t>
      </w:r>
    </w:p>
    <w:p w:rsidR="00092F60" w:rsidRPr="0062097D" w:rsidRDefault="00092F60" w:rsidP="00E90F59">
      <w:pPr>
        <w:pStyle w:val="TableNote"/>
      </w:pPr>
      <w:proofErr w:type="gramStart"/>
      <w:r w:rsidRPr="0062097D">
        <w:rPr>
          <w:vertAlign w:val="superscript"/>
        </w:rPr>
        <w:t>b</w:t>
      </w:r>
      <w:proofErr w:type="gramEnd"/>
      <w:r w:rsidRPr="0062097D">
        <w:t xml:space="preserve"> </w:t>
      </w:r>
      <w:r w:rsidR="001B4E29">
        <w:t>T</w:t>
      </w:r>
      <w:r w:rsidRPr="0062097D">
        <w:t>he event occurred in at least 10% of patients in either group</w:t>
      </w:r>
    </w:p>
    <w:p w:rsidR="00092F60" w:rsidRPr="0062097D" w:rsidRDefault="00092F60" w:rsidP="00E90F59">
      <w:pPr>
        <w:pStyle w:val="TableNote"/>
      </w:pPr>
      <w:proofErr w:type="gramStart"/>
      <w:r w:rsidRPr="0062097D">
        <w:rPr>
          <w:vertAlign w:val="superscript"/>
        </w:rPr>
        <w:t>c</w:t>
      </w:r>
      <w:proofErr w:type="gramEnd"/>
      <w:r w:rsidRPr="0062097D">
        <w:t xml:space="preserve"> After the first 2 weeks of treatment, 10 patients (23%) receiving placebo and 9 patients (21%) receiving eculizumab had headache</w:t>
      </w:r>
    </w:p>
    <w:p w:rsidR="00092F60" w:rsidRPr="0062097D" w:rsidRDefault="00092F60" w:rsidP="00E90F59">
      <w:pPr>
        <w:pStyle w:val="TableNote"/>
      </w:pPr>
      <w:r w:rsidRPr="0062097D">
        <w:t xml:space="preserve">Source: </w:t>
      </w:r>
      <w:r w:rsidR="00A130D0">
        <w:rPr>
          <w:noProof/>
        </w:rPr>
        <w:t>(</w:t>
      </w:r>
      <w:r w:rsidR="00184B6F">
        <w:rPr>
          <w:noProof/>
        </w:rPr>
        <w:t>Hillmen et al. 2006</w:t>
      </w:r>
      <w:r w:rsidR="00A130D0">
        <w:rPr>
          <w:noProof/>
        </w:rPr>
        <w:t>)</w:t>
      </w:r>
    </w:p>
    <w:p w:rsidR="00092F60" w:rsidRPr="00523699" w:rsidRDefault="00092F60" w:rsidP="00E965BD">
      <w:pPr>
        <w:pStyle w:val="Heading5"/>
      </w:pPr>
      <w:r w:rsidRPr="00FB0211">
        <w:t>Non-comparative clinical data</w:t>
      </w:r>
    </w:p>
    <w:p w:rsidR="00092F60" w:rsidRPr="00092F60" w:rsidRDefault="00092F60" w:rsidP="00092F60">
      <w:r w:rsidRPr="00092F60">
        <w:t xml:space="preserve">A summary of </w:t>
      </w:r>
      <w:r w:rsidR="00225936">
        <w:t>the United States Food and Drug</w:t>
      </w:r>
      <w:r w:rsidRPr="00092F60">
        <w:t xml:space="preserve"> Administration (FDA) report for eculizumab for the treatment of patients with PNH, reported safety data from a total of 236 eculizumab treated patients, including the 43 patients from the TRIUMPH trial and 193 patients from uncontrolled PNH clinical studies </w:t>
      </w:r>
      <w:r w:rsidR="00A130D0">
        <w:rPr>
          <w:noProof/>
        </w:rPr>
        <w:t>(</w:t>
      </w:r>
      <w:r w:rsidR="00184B6F">
        <w:rPr>
          <w:noProof/>
        </w:rPr>
        <w:t>Dmytrijuk et al. 2008</w:t>
      </w:r>
      <w:r w:rsidR="00A130D0">
        <w:rPr>
          <w:noProof/>
        </w:rPr>
        <w:t>)</w:t>
      </w:r>
      <w:r w:rsidRPr="00092F60">
        <w:t xml:space="preserve">. Serious adverse events occurring in two or more patients included viral infection (2.6%), headache (2.1%), anaemia (1.6%), </w:t>
      </w:r>
      <w:r w:rsidRPr="00092F60">
        <w:lastRenderedPageBreak/>
        <w:t xml:space="preserve">pyrexia (1.6%), and haemolysis (1.0%). Across the studies, infections did not seem to be more frequent </w:t>
      </w:r>
      <w:r w:rsidR="00225936">
        <w:t xml:space="preserve">with eculizumab </w:t>
      </w:r>
      <w:r w:rsidRPr="00092F60">
        <w:t xml:space="preserve">than in those who received placebo in the randomised trial, although the incidence of herpes simplex infection in eculizumab treated patients was 5.7%, compared with none in the placebo control group </w:t>
      </w:r>
      <w:r w:rsidR="00A130D0">
        <w:rPr>
          <w:noProof/>
        </w:rPr>
        <w:t>(</w:t>
      </w:r>
      <w:r w:rsidR="00184B6F">
        <w:rPr>
          <w:noProof/>
        </w:rPr>
        <w:t>Dmytrijuk et al. 2008</w:t>
      </w:r>
      <w:r w:rsidR="00A130D0">
        <w:rPr>
          <w:noProof/>
        </w:rPr>
        <w:t>)</w:t>
      </w:r>
      <w:r w:rsidRPr="00092F60">
        <w:t>.</w:t>
      </w:r>
    </w:p>
    <w:p w:rsidR="00092F60" w:rsidRPr="00092F60" w:rsidRDefault="00092F60" w:rsidP="00092F60">
      <w:r w:rsidRPr="00092F60">
        <w:t xml:space="preserve">There were three cases of </w:t>
      </w:r>
      <w:r w:rsidRPr="00092F60">
        <w:rPr>
          <w:i/>
        </w:rPr>
        <w:t xml:space="preserve">Neisseria </w:t>
      </w:r>
      <w:r w:rsidRPr="00092F60">
        <w:t xml:space="preserve">meningitis in patients, one of whom was unvaccinated. None of the patients died, but the unvaccinated patient had complications including amputation of parts of some digits because of gangrene, pulmonary embolus, and pneumonia </w:t>
      </w:r>
      <w:r w:rsidR="00A130D0">
        <w:rPr>
          <w:noProof/>
        </w:rPr>
        <w:t>(</w:t>
      </w:r>
      <w:r w:rsidR="00184B6F">
        <w:rPr>
          <w:noProof/>
        </w:rPr>
        <w:t>Dmytrijuk et al. 2008</w:t>
      </w:r>
      <w:r w:rsidR="00A130D0">
        <w:rPr>
          <w:noProof/>
        </w:rPr>
        <w:t>)</w:t>
      </w:r>
      <w:r w:rsidRPr="00092F60">
        <w:t xml:space="preserve">. </w:t>
      </w:r>
    </w:p>
    <w:p w:rsidR="00092F60" w:rsidRPr="00092F60" w:rsidRDefault="00092F60" w:rsidP="00092F60">
      <w:r w:rsidRPr="00092F60">
        <w:t xml:space="preserve">A total of four eculizumab treated patients died. One patient with PNH and haemosiderosis suffered a pulmonary embolus and a haemorrhagic cerebral infarction 31 days after the last eculizumab dose; one patient with cholecystitis became septic and died from a cerebrovascular accident approximately 2 months after the last dose of eculizumab; one patient with myelodysplastic syndrome (MDS) developed cellulitis, sepsis, and acute renal failure after a fish hook infection and died from worsening of MDS; and one patient died of metastatic adenocarcinoma after 13 months on eculizumab </w:t>
      </w:r>
      <w:r w:rsidR="00A130D0">
        <w:rPr>
          <w:noProof/>
        </w:rPr>
        <w:t>(</w:t>
      </w:r>
      <w:r w:rsidR="00184B6F">
        <w:rPr>
          <w:noProof/>
        </w:rPr>
        <w:t>Dmytrijuk et al. 2008</w:t>
      </w:r>
      <w:r w:rsidR="00A130D0">
        <w:rPr>
          <w:noProof/>
        </w:rPr>
        <w:t>)</w:t>
      </w:r>
      <w:r w:rsidRPr="00092F60">
        <w:t>.</w:t>
      </w:r>
    </w:p>
    <w:p w:rsidR="00092F60" w:rsidRPr="00092F60" w:rsidRDefault="00092F60" w:rsidP="00E965BD">
      <w:pPr>
        <w:pStyle w:val="Heading5"/>
      </w:pPr>
      <w:r w:rsidRPr="00092F60">
        <w:t>Safety in special populations</w:t>
      </w:r>
    </w:p>
    <w:p w:rsidR="00092F60" w:rsidRPr="00092F60" w:rsidRDefault="00092F60" w:rsidP="00092F60">
      <w:r w:rsidRPr="00092F60">
        <w:t>In a small case series Reiss et al (2014) assessed the safety of eculizumab in seven PNH patients aged 11-17 years, over a 12 week treatment period</w:t>
      </w:r>
      <w:r w:rsidR="00A130D0">
        <w:rPr>
          <w:noProof/>
        </w:rPr>
        <w:t>(</w:t>
      </w:r>
      <w:r w:rsidR="00184B6F">
        <w:rPr>
          <w:noProof/>
        </w:rPr>
        <w:t>Reiss et al. 2014</w:t>
      </w:r>
      <w:r w:rsidR="00A130D0">
        <w:rPr>
          <w:noProof/>
        </w:rPr>
        <w:t>)</w:t>
      </w:r>
      <w:r w:rsidRPr="00092F60">
        <w:t>. All seven patients experienced at least one treatment-emergent AE. Two AEs were considered to be probably drug-related: one case of severe upper abdominal pain and one patient with mild hypertension; both resolved with standard clinical or no intervention. Twelve serious AEs (SAEs) occurred in two patients; all were due to hospitalisation or prolongation of hospitalisation, and included acute sinusitis, anaemia, aplastic anaemia, catheter-site cellulitis, headache, menorrhagia, acute otitis media, thrombocytopenia and vaginal haemorrhage. The only severe SAE was in a patient with underlying aplastic anaemia who was hospitalised due to severe anaemia; this SAE was classified as unrelated to study drug.</w:t>
      </w:r>
    </w:p>
    <w:p w:rsidR="00092F60" w:rsidRPr="00092F60" w:rsidRDefault="00092F60" w:rsidP="00092F60">
      <w:r w:rsidRPr="00092F60">
        <w:t>There are limited data on the safety of eculizumab in pregnancy. Kelly et al (2010) reported the outcome in seven patients with PNH who received eculizumab at some stage during pregnancy</w:t>
      </w:r>
      <w:r w:rsidR="00247E93">
        <w:t xml:space="preserve"> </w:t>
      </w:r>
      <w:r w:rsidR="00A130D0">
        <w:rPr>
          <w:noProof/>
        </w:rPr>
        <w:t>(</w:t>
      </w:r>
      <w:r w:rsidR="00184B6F">
        <w:rPr>
          <w:noProof/>
        </w:rPr>
        <w:t>Kelly, R et al. 2010</w:t>
      </w:r>
      <w:r w:rsidR="00A130D0">
        <w:rPr>
          <w:noProof/>
        </w:rPr>
        <w:t>)</w:t>
      </w:r>
      <w:r w:rsidRPr="00092F60">
        <w:t>. One patient had an elective termination. Of the remaining patients, two received eculizumab up to 4-5 weeks gestation, one from week 27 gestation and during the postpartum period, and two throughout gestation and postpartum. While four of the six patients experienced complications in pregnancy, including breakthrough haemolysis, pre-eclampsia, postpartum haemorrhage and postpartum pyrexia of unknown origin, all had healthy babies.</w:t>
      </w:r>
    </w:p>
    <w:p w:rsidR="00092F60" w:rsidRPr="00092F60" w:rsidRDefault="00092F60" w:rsidP="00E965BD">
      <w:pPr>
        <w:pStyle w:val="Heading5"/>
      </w:pPr>
      <w:r w:rsidRPr="00092F60">
        <w:t>Extended assessment of safety</w:t>
      </w:r>
    </w:p>
    <w:p w:rsidR="00092F60" w:rsidRPr="00092F60" w:rsidRDefault="00092F60" w:rsidP="00092F60">
      <w:r w:rsidRPr="00092F60">
        <w:t xml:space="preserve">The following data are extracted from the most recent Periodic Safety Update Report (PSUR) for eculizumab (Soliris®), dated 30 May 2013. </w:t>
      </w:r>
      <w:r w:rsidRPr="00F33737">
        <w:t>These results are currently considered confidential,</w:t>
      </w:r>
      <w:r w:rsidR="004316DE">
        <w:t xml:space="preserve"> and</w:t>
      </w:r>
      <w:r w:rsidRPr="00F33737">
        <w:t xml:space="preserve"> </w:t>
      </w:r>
      <w:r w:rsidR="00C33A3D" w:rsidRPr="00F33737">
        <w:t xml:space="preserve">have </w:t>
      </w:r>
      <w:r w:rsidRPr="00F33737">
        <w:t>be</w:t>
      </w:r>
      <w:r w:rsidR="00C33A3D" w:rsidRPr="00F33737">
        <w:t>en</w:t>
      </w:r>
      <w:r w:rsidRPr="00F33737">
        <w:t xml:space="preserve"> redacted.</w:t>
      </w:r>
      <w:r w:rsidRPr="00092F60">
        <w:t xml:space="preserve"> </w:t>
      </w:r>
    </w:p>
    <w:p w:rsidR="00092F60" w:rsidRPr="00A62C97" w:rsidRDefault="00A62C97" w:rsidP="00092F60">
      <w:pPr>
        <w:rPr>
          <w:highlight w:val="black"/>
        </w:rPr>
      </w:pPr>
      <w:r>
        <w:rPr>
          <w:noProof/>
          <w:color w:val="000000"/>
          <w:highlight w:val="black"/>
        </w:rPr>
        <w:lastRenderedPageBreak/>
        <w:t>''''' '''' '''''' ''''''''' '''''''''' '''''''''''''' '''''''' '''''''''''''''''' ''' ''''' '''''''''''''''''''' '''''''''''''''' ''''' '''''''''''''''''' ''''''' ''''''' '''''' '''''''''''' ''''''''''''''' '''''''''''''''' '''' ''''''''''' ''''''''' '''''' ''''''''''''''''' '''' '''''' '''''''''''''''''''''''''' '''' ''''''''''''''''''''''' '''''' ''''''''''''''''' '''''''''''''''' '''' '''''''''''''''' ''''''''''''''''' '''' ''''''' ''''''''' '''' '''''''''''' ''''''''' ''' '''''''''''' ''''''''''' '''''' ''''''''''''''''' '''''''''''''''' ''''' ''''''''''''''''' '''''''''''''''' '''' '''''''''''''''''''' '''''''''' ''''''' ''''''' '''''''''''''''''' '''''''''''''''''''''''' '''' ''''''''' ''' ''''''''' '''''''''''''''''''''''' '''''''''''''''''''''''''''' '''''''' ''''' ''''''''''''''' ''''''''''''' '''''''''' ''''''''''''''''''''' '''''' '''''''' '''''''''''''' '''''''' ''''''''' ''''''' '''''''''''''''' '''''''''''''''''''''' ''''''''''''''' '''''''''''''''''''' '''''''''''''' '''''''''''''''''</w:t>
      </w:r>
    </w:p>
    <w:p w:rsidR="00092F60" w:rsidRPr="00A62C97" w:rsidRDefault="00A62C97" w:rsidP="00092F60">
      <w:pPr>
        <w:rPr>
          <w:highlight w:val="black"/>
        </w:rPr>
      </w:pPr>
      <w:r>
        <w:rPr>
          <w:noProof/>
          <w:color w:val="000000"/>
          <w:highlight w:val="black"/>
        </w:rPr>
        <w:t>''''''''''''''''''''' '''''''''''''''''' ''''''''' '''' ''''''''' ''''''''''''''' '''''''''''''''' '''''''''''''''''''''''''''''' '''''''''''''''''' '''''''''''' ''''''''''''''' '''''''''''''''''' '''''''' '''''''''''''' '''''''''''''''''' ''''' ''''''''''''''''' '''''''''''''' ''''''''''''''''''' '''''''''' '''''''''' ''''''''''''''''''''''''''''''' '''''''''''''''''''''''' ''''''' '''''''''''''''''''''''''''''' '''''''''''''''''''''''''''' '''''''' '''''''''''''''''''''''''''''''' '''''''''' ''''''''''' ''''' '''''''''''''''''''' ''''''''''''''''' ''''''''' ''''''''''''''' '''''''''''''' '''''''''''' ''''''' '''''''''''''''''''''' ''''''''''''''''''' '''' '''''' '''''''''' '''''''''''' '''''''''' '''''' ''''''''' ''''' '''''''''' '''''''' ''' ''''''''''''''''''''''''' ''''''''''''</w:t>
      </w:r>
    </w:p>
    <w:p w:rsidR="00092F60" w:rsidRPr="00A62C97" w:rsidRDefault="00A62C97" w:rsidP="00E965BD">
      <w:pPr>
        <w:pStyle w:val="Heading5"/>
        <w:rPr>
          <w:highlight w:val="black"/>
        </w:rPr>
      </w:pPr>
      <w:r>
        <w:rPr>
          <w:noProof/>
          <w:color w:val="000000"/>
          <w:highlight w:val="black"/>
        </w:rPr>
        <w:t>''''''''''''' '''''''''''''''''</w:t>
      </w:r>
    </w:p>
    <w:p w:rsidR="00092F60" w:rsidRPr="00A62C97" w:rsidRDefault="00A62C97" w:rsidP="00092F60">
      <w:pPr>
        <w:rPr>
          <w:highlight w:val="black"/>
        </w:rPr>
      </w:pPr>
      <w:r>
        <w:rPr>
          <w:noProof/>
          <w:color w:val="000000"/>
          <w:highlight w:val="black"/>
        </w:rPr>
        <w:t>''' '''''''''' '''' ''''''' ''''''''' ''''' ''''''''''''''' '''''''''''''''''' ''''''''''' '''''''''''''''''' '''' '''''''' '''' ''''''' ''''''''''' '''' ''''''''''' '''''''' ''''''''''''''''' '''' ''''''''' '''''''''''''''''' '''''' ''''''''''''''' '''''''' ''''''''''''''''''' ''''''''''''''' ''''''''''''''' ''''' ''''''''''''' ''''''''''''''' '''''''''''''' ''''' '''''''''''''''''''' ''''' ''''''' ''''''' '''''''''''''''''''''''''''''''''''' '''''''''''' ''''' ''''''''''' '''''''''''''''''''''''''''''' ''''''''''''''''''' ''''''' ''' ''''''''''' ''''''''''''''''''''' ''''''''''''' ''''''' ''''''''''''''''' '''''''''''''''' '''' ''''''''''''' '''''''''''''' ''''''' ''''''''''' ''''' '''''''''''''''''''''' ''''''''''''</w:t>
      </w:r>
    </w:p>
    <w:p w:rsidR="00092F60" w:rsidRPr="00A62C97" w:rsidRDefault="00A62C97" w:rsidP="00092F60">
      <w:pPr>
        <w:rPr>
          <w:highlight w:val="black"/>
        </w:rPr>
      </w:pPr>
      <w:r>
        <w:rPr>
          <w:noProof/>
          <w:color w:val="000000"/>
          <w:highlight w:val="black"/>
        </w:rPr>
        <w:t>'''''''' ''''''''''' ''''''''' '''''''''''''''''''''' ''''''''''''''' ''''''''''''''''''' ''''''' '''''''' '''' '''''' ''''''''''''''''''''''' '''''''''' ''''''''''''' '''''' '''''''''''''' ''''''''''' ''''''''''''''''''''' '''''''''''''''''' ''''''''''''' ''''''''' '''''''''''''''''' '''''''' ''''''''''''''''''' '''''''''''''''''' '''''''''''''''''''''''''''' '''''''''''''''' '''''''''''' ''''''''''''''' ''''''' ''''''''''''''' ''''''''''' ''''''''''''''''' '''''''''' '''''''' '''''''''''''''''' '''''' '''''' '''''''''' '''''''''' ''''' '''''''''''''''''''' ''''''''''' '''''''''''''''''''''''' ''''''''' ''''' ''''''''' '''''''''' '''''' '''' ''''''''''''''' '''' ''''''' ''''' ''''''''''''''''''''''''''''''''''' ''''''''''''''''''' '''' '''''' '''''''''''''''' '''' ''''''''''''''''''''''''''''''' '''''''''' '''''''''''''''''''''''''''''''''' ''''''''''''''' ''''''''''''</w:t>
      </w:r>
    </w:p>
    <w:p w:rsidR="00092F60" w:rsidRPr="00A62C97" w:rsidRDefault="00A62C97" w:rsidP="00EC5DFF">
      <w:pPr>
        <w:pStyle w:val="Heading6"/>
        <w:rPr>
          <w:highlight w:val="black"/>
        </w:rPr>
      </w:pPr>
      <w:r>
        <w:rPr>
          <w:noProof/>
          <w:color w:val="000000"/>
          <w:highlight w:val="black"/>
        </w:rPr>
        <w:t>''''''''''''''''''''''''''''' '''''''''''''''''''</w:t>
      </w:r>
    </w:p>
    <w:p w:rsidR="00092F60" w:rsidRPr="00A62C97" w:rsidRDefault="00A62C97" w:rsidP="00092F60">
      <w:pPr>
        <w:rPr>
          <w:highlight w:val="black"/>
        </w:rPr>
      </w:pPr>
      <w:r>
        <w:rPr>
          <w:noProof/>
          <w:color w:val="000000"/>
          <w:highlight w:val="black"/>
        </w:rPr>
        <w:t>'''' '''''' '''''''''''''' ''''''''''' '''''' '''''''' '''''''' '''''''''''''''' ''''''''''''''''''''' '''''''''''''' ''''''''''''''''''' '''''' ''''''''''''''''''' '''' '''''''''''''''''''''''''''' '''''''''''''''''' '''''''' '''''''''' ''''''''''''' '''''' '''''' ''''''''''''''''''''''' '''''''''''''''''''''''''' ''''''''''''''''''' ''''''' ''''''''''''''''''' ''''''''' ''''' ''''''''''''''''''''''''''''' ''''''''''''''''' ''' ''''''''''''''''''' ''''' ''''' ''''''''' ''''''' '''''''' ''''''''''''''''''''''''' '''''''' '''''''' '''''''''''''''''''''''''''''' '''''''''''''''' '''''''' ''' ''''''' ''''''''' '''''''' ''''''' ''''''' ''''''''''''''''''''''''''' '''''''''''''''' '''''' '''''''''''''''''''''''''''' '''''''''''''''''' ''''''''''''''''''' ''''' ''''''''''''''''''''''''' ''''''''''''''' ''''''' ''''''''''''''''''' ''''''''' '''''''''''''''''' '''' ''''''''''''''''''''''''''''' '''''' ''''''' '''''''' '''''''''''''''''''''''''''' '''''''''''''' ''''' '''''''''''''''''' ''''''''''''''''''''''' '''''''''''''''''' ''''''''''''''''' '''''''''''' '''''''''''''</w:t>
      </w:r>
    </w:p>
    <w:p w:rsidR="00092F60" w:rsidRPr="00A62C97" w:rsidRDefault="00092F60" w:rsidP="00092F60">
      <w:pPr>
        <w:rPr>
          <w:highlight w:val="yellow"/>
        </w:rPr>
      </w:pPr>
    </w:p>
    <w:p w:rsidR="00092F60" w:rsidRPr="00A62C97" w:rsidRDefault="00A62C97" w:rsidP="00EC5DFF">
      <w:pPr>
        <w:pStyle w:val="Heading6"/>
        <w:rPr>
          <w:highlight w:val="black"/>
        </w:rPr>
      </w:pPr>
      <w:r>
        <w:rPr>
          <w:noProof/>
          <w:color w:val="000000"/>
          <w:highlight w:val="black"/>
        </w:rPr>
        <w:t>''''''''''''''' ''''''''''''''''</w:t>
      </w:r>
    </w:p>
    <w:p w:rsidR="00092F60" w:rsidRPr="00A62C97" w:rsidRDefault="00A62C97" w:rsidP="00092F60">
      <w:pPr>
        <w:rPr>
          <w:highlight w:val="black"/>
        </w:rPr>
      </w:pPr>
      <w:r>
        <w:rPr>
          <w:noProof/>
          <w:color w:val="000000"/>
          <w:highlight w:val="black"/>
        </w:rPr>
        <w:t xml:space="preserve">''' ''''''''' '''' '''''' ''''''''''' ''''' ''''''''''''''''' ''''''''''''''' '''''''''' '''''''''''''''''''' ''''' ''''' '''''''''''' '''''' ''''''''''''''''' '''''''' '''''''''''''''''''' '''' '''''''''''''''' ''''''''''''' ''''' ''''''''''''''''''''' '''''''''''''''''''' ''''' '''''''''''''''''''' '''''''''''''''' ''''''''''''' ''''' ''''''''''''''''''''' '''''''' '''''' '''''''' '''' ''''''''''''''''' '''' ''''' ''''''''''' ''''''' ''''''''''''''''' ''''''' ''''''''''''''''''' '''' '''''''''''''''''' </w:t>
      </w:r>
      <w:r>
        <w:rPr>
          <w:noProof/>
          <w:color w:val="000000"/>
          <w:highlight w:val="black"/>
        </w:rPr>
        <w:lastRenderedPageBreak/>
        <w:t>''''''''''''''''''' '''''''''''''''' ''''''' '''' '' '''''''''' '''''''''''''' ''''''''''''''''' '''''''''''''''' ''''''''''''''' ''''''''''''''' ''''''''''''''''''' '''''''''''''''''' '''''''''''''''''''''''''''''' '''' '''''''''''''' ''''''' ''''''''''''''''''''' ''''''''''' ''''''''''''' '''''''''' '''''''''' ''' '''''''''''''' '''''''' ''''' ''''''''''' '''' ''''''''''''' '''''''''''' ''''' '''''''''' ''''' '''''''' '''''''' ''''''''''''''' ''''''' '''''''''''''''''''' '''' ''''' ''''''''''''''''''''''' '''''''''''</w:t>
      </w:r>
    </w:p>
    <w:p w:rsidR="00092F60" w:rsidRPr="00A62C97" w:rsidRDefault="00A62C97" w:rsidP="00092F60">
      <w:pPr>
        <w:rPr>
          <w:highlight w:val="black"/>
        </w:rPr>
      </w:pPr>
      <w:r>
        <w:rPr>
          <w:noProof/>
          <w:color w:val="000000"/>
          <w:highlight w:val="black"/>
        </w:rPr>
        <w:t>''''''''''''' '''''''''''''''' ''''' ''''''''''''''' ''''''''''''' ''''''''''''''''' ''''''''''''''''' '''''''''' ''''' '''''''''''''''' ''''''''''''''''' '''''''' '''''''''''''''' '''''''''''''''''''' '''''''''''''''''''''''''''' ''''''''''''''''''''' ''''''''''''''''''' '''''''''''''''''' '''''''''' ''''''''''' '''' '''''''''''''' ''''''''''''''''''' ''''''''' ''''' ''''''''''''''''''''''' '''''''''''''''' ''''' '''''''''''' ''''''''''' ''''''''''''''''' ''''''''''''''''''' ''''''''''''''''''''''''''' ''''''''''' ''''''''''''''''''''''' '''''''''''' '''''''''''''''''''' ''''''''''''''''''' ''''''''' ''''''''''''''''' ''''''''''''''' '''''''''''''''''''''''' ''''''''''''''''''''' '''''''''''''' '''''''''''''''''' '''''''''' ''''''' ''''''''''''' ''''' '''''''' ''''''''' ''''''''''''''' '''''''''''''' ''''''''''''</w:t>
      </w:r>
    </w:p>
    <w:p w:rsidR="00092F60" w:rsidRPr="00A62C97" w:rsidRDefault="00A62C97" w:rsidP="00EC5DFF">
      <w:pPr>
        <w:pStyle w:val="Heading6"/>
        <w:rPr>
          <w:highlight w:val="black"/>
        </w:rPr>
      </w:pPr>
      <w:r>
        <w:rPr>
          <w:noProof/>
          <w:color w:val="000000"/>
          <w:highlight w:val="black"/>
        </w:rPr>
        <w:t>''''''''''''' '''''''''''''''''''''' ''''''''' ''''''''''''''''''''''''''''' '''' '''''''''''''''''''' ''''''''''''''''''''</w:t>
      </w:r>
    </w:p>
    <w:p w:rsidR="00092F60" w:rsidRPr="00A62C97" w:rsidRDefault="00A62C97" w:rsidP="00092F60">
      <w:pPr>
        <w:rPr>
          <w:highlight w:val="black"/>
        </w:rPr>
      </w:pPr>
      <w:r>
        <w:rPr>
          <w:noProof/>
          <w:color w:val="000000"/>
          <w:highlight w:val="black"/>
        </w:rPr>
        <w:t>''' ''''''''' ''''' ''''' ''''''''''' '''' ''''''''''''''' '''''''''''''''''''' '''''''''' '''''''''''''''''''''''''''' '''' '''''''''''''''''''' '''''''''' '''''''''''''''' '''''''''''' '''''''''' '''''''' '''''''''''''' '''''''''''''''''''''''' ''''' '''''' ''''''''''''''''''' ''''' '''''''''' '''''''' '' '''''''''' '''''''''''''''''''''' '''' ''''''''''''''''' '''''''''''''' ''''' ''''''''''''''''''' ''''' '''''''''' '''''''''''''''''' '''' '''''''' '''''''''''''''' ''''''''' '''''''''''''''' ''''' '''''''' '''''' ''''''''''' '''''''''''' ''''' '''''' '''''''''' ''''''''''''''''' '''''''' ''' '''''''''''' '''' ''''''' ''''''''''''' '''''''''' '''''' '''''' ''''''''' ''''' '''''''''''''''''''' '''''''''' ''''''' ''''''''' ''''' ''''''''''' ''' '''''' '''''''''''' '''''''' ''''''''' '''''''' '''''' ''''''''''''' '''''''' '''''''''' ''''''''''''''''''' ''''''''' '''''''''' '''' '''''''''' '''''''''' '''' ''''''''' '''''''''''''''' ''''''''''''' ''''''' '''''''''''''''' '''' ''''''''''''''' '''''''''''''''''''' ''''''''' ''''''''''''''''''''''''''' ''''''''''''''''' '''''''''''' ''''''''''''</w:t>
      </w:r>
    </w:p>
    <w:p w:rsidR="00092F60" w:rsidRPr="00A62C97" w:rsidRDefault="00A62C97" w:rsidP="00EC5DFF">
      <w:pPr>
        <w:pStyle w:val="Heading6"/>
        <w:rPr>
          <w:highlight w:val="black"/>
        </w:rPr>
      </w:pPr>
      <w:r>
        <w:rPr>
          <w:noProof/>
          <w:color w:val="000000"/>
          <w:highlight w:val="black"/>
        </w:rPr>
        <w:t>'''''''''''''''''''''' '''''''' '''''''''''''''''''''''''''''' ''''''''''''''''''''''''''</w:t>
      </w:r>
    </w:p>
    <w:p w:rsidR="00092F60" w:rsidRPr="00A62C97" w:rsidRDefault="00A62C97" w:rsidP="00092F60">
      <w:pPr>
        <w:rPr>
          <w:highlight w:val="black"/>
        </w:rPr>
      </w:pPr>
      <w:r>
        <w:rPr>
          <w:noProof/>
          <w:color w:val="000000"/>
          <w:highlight w:val="black"/>
        </w:rPr>
        <w:t>''' '''''''' '''' ''''''' '''''''''''''''''''''''''' ''''''''''' ''''''''''''''''''' '''' '''''''''''' '''''' ''''''''''' ''''''''' ''' '''''''' '''''''''''''''' ''''''''''''''''''' '''''''''' ''''''' ''''''''''''''' ''''''''''''''''''''''' '''' ''''' ''''''''''' '''''' ''''''''''''''' ''''''' '''''''''''''''''''''' '''' ''''' ''''''''''''''' ''''''''''''' '''' '''''''''''''''''''' '''' '''''' ''''''''''' '''''' '''''''''''''''' '''''''' '''''''''''''''''''''' ''''' ''''''' '''''''''''''' '''''''' ''' ''''''' ''''''''' '''''' ''''''''''''''' '''''''' '''''''''''''''''''' '''''''''''''' ''''''''''''''' '''' '''''''''''''''''''''' '''''''''''''''''''' ''''''''''''''''''''''' '''''''''''''' '''''' ''''''''''''''''''''' '''''''''''''''' ''' ''''''''''' '''''''''''''''''''' '''''' '''''''''' ''''''''''''' '''''''' ''''''' '''''''''' ''''''''''''''''''''' ''''' ''''''' '''''''''''''''''''' '''''''''''''''''' '''''' ''''''''' '''''''''' '''''''''''''''' '''''''' ''''' ''''''''' '''''''''''''''''''''''''</w:t>
      </w:r>
    </w:p>
    <w:p w:rsidR="00092F60" w:rsidRPr="00A62C97" w:rsidRDefault="00A62C97" w:rsidP="00092F60">
      <w:pPr>
        <w:rPr>
          <w:highlight w:val="black"/>
        </w:rPr>
      </w:pPr>
      <w:r>
        <w:rPr>
          <w:noProof/>
          <w:color w:val="000000"/>
          <w:highlight w:val="black"/>
        </w:rPr>
        <w:t>''''''''''''''''''''''''' ''''''''''''''''''''''''''' ''''''''''' '''''''''''''''' ''''''' '''''''' ''''''''''''''''' ''''''' ''''''''' '''''''''''''' ''''''''''' ''''''''' '''' ''''''''''' ''''''''''''''''''' '''''''' ''''''''''' ''''''''''' ''''' ''''''''''''''''''' '''''''''''''''' '''''''''' '''''''' '''''''' '''''''''''''''''''' ''''''''''''''''''' ''''''''' ''''''' '''''''''''''''' '''''''' '''''' ''''''''' '''''''''''''' '''''''''''''''''' '''''''' '''''''''''' '''''''' '''''''''''''' ''''' '''''''''''''''''''' ''''''''''''''''''' ''''''''''''' ''''' '''''' ''''''''''''''''''''''' '''' '''''''' '''''''''''''''''''''''''''' '''''''''''' '''''''''''''''''''' ''''' '''''''''' ''''''''' ''''''''''''''''''' '''''''''' ''''''' '''''''''''' '''' ''''''''''''''' '''' ''''' ''''''''''''' ''''' ''''''''''''''''''''' '''''''''''''''''''' '''''''''''''''' ''''''''''''' '''''''''''</w:t>
      </w:r>
    </w:p>
    <w:p w:rsidR="00092F60" w:rsidRPr="00A62C97" w:rsidRDefault="00A62C97" w:rsidP="00EC5DFF">
      <w:pPr>
        <w:pStyle w:val="Heading6"/>
        <w:rPr>
          <w:highlight w:val="black"/>
        </w:rPr>
      </w:pPr>
      <w:r>
        <w:rPr>
          <w:noProof/>
          <w:color w:val="000000"/>
          <w:highlight w:val="black"/>
        </w:rPr>
        <w:t>'''''''''''''''''''''''''''''</w:t>
      </w:r>
    </w:p>
    <w:p w:rsidR="00092F60" w:rsidRPr="00A62C97" w:rsidRDefault="00A62C97" w:rsidP="00092F60">
      <w:pPr>
        <w:rPr>
          <w:highlight w:val="black"/>
        </w:rPr>
      </w:pPr>
      <w:r>
        <w:rPr>
          <w:noProof/>
          <w:color w:val="000000"/>
          <w:highlight w:val="black"/>
        </w:rPr>
        <w:t xml:space="preserve">''' ''''''''' '''' ''''''''' ''''''''' ''''''''' '''''''''''''''''''' ''''' '''' '''''''''''' '''''''' '''''''''''''' ''''''''''''''''''''''' '''' ''''' ''''''''' ''''''' ''''''' '''''''''''''''' '''''''''''''''''''''' ''''' '''''''''''''''' ''''''''''''''''' ''''' ''''''''''''' ''''''''''''''''' ''''''''''''''' ''''' '''''''''''''''''''''' ''''''' '''''''''''''''''''''''''''' '''' '''''' '''''''''''''' '''''''''' '''''''' '''''' '''''''''''''''' '''''''''' ''''''''' ''''''''''''''''' '''' '''''''''''''' '''''''''''''''''''''''' ''''''''''''''''''' ''''''''''''''''' ''''''''''''' '''''''' '''''''''''''''''''''' ''''''' '''''''''' ''''''' '''''''''' </w:t>
      </w:r>
      <w:r>
        <w:rPr>
          <w:noProof/>
          <w:color w:val="000000"/>
          <w:highlight w:val="black"/>
        </w:rPr>
        <w:lastRenderedPageBreak/>
        <w:t>''''' ''''''''''''''''''' '''''''''''''''''''' ''''' '''''''''''''''''' ''''''''''''''''''''''''''' '''' '''''''''''' '''''''''''''''' ''''' '''''''''''''''' '''''''''''''' ''''''''''''''' '''''''''''''' ''''''''''''</w:t>
      </w:r>
    </w:p>
    <w:p w:rsidR="00092F60" w:rsidRPr="00A62C97" w:rsidRDefault="00A62C97" w:rsidP="00EC5DFF">
      <w:pPr>
        <w:pStyle w:val="Heading6"/>
        <w:rPr>
          <w:highlight w:val="black"/>
        </w:rPr>
      </w:pPr>
      <w:r>
        <w:rPr>
          <w:noProof/>
          <w:color w:val="000000"/>
          <w:highlight w:val="black"/>
        </w:rPr>
        <w:t>''''''''''''' '''' ''''''''''''''''''' '''''''''''''''''''</w:t>
      </w:r>
    </w:p>
    <w:p w:rsidR="00092F60" w:rsidRPr="00A62C97" w:rsidRDefault="00A62C97" w:rsidP="00092F60">
      <w:pPr>
        <w:rPr>
          <w:highlight w:val="black"/>
        </w:rPr>
      </w:pPr>
      <w:r>
        <w:rPr>
          <w:noProof/>
          <w:color w:val="000000"/>
          <w:highlight w:val="black"/>
        </w:rPr>
        <w:t>''''' ''''''''''''''''''' ''''''''' ''''''' '''''''''''''''''''</w:t>
      </w:r>
    </w:p>
    <w:p w:rsidR="00092F60" w:rsidRPr="00A62C97" w:rsidRDefault="00092F60" w:rsidP="00092F60">
      <w:pPr>
        <w:rPr>
          <w:highlight w:val="yellow"/>
        </w:rPr>
      </w:pPr>
    </w:p>
    <w:p w:rsidR="00092F60" w:rsidRPr="00A62C97" w:rsidRDefault="00A62C97" w:rsidP="00092F60">
      <w:pPr>
        <w:rPr>
          <w:highlight w:val="black"/>
        </w:rPr>
      </w:pPr>
      <w:r>
        <w:rPr>
          <w:noProof/>
          <w:color w:val="000000"/>
          <w:highlight w:val="black"/>
        </w:rPr>
        <w:t>''''''''''''''''''' ''''''''''''''' ''''''''''''''''''''' '''''''''''''''' '''' ''''''' '''''''''' '''''''''''''''' '''''' '''''''''''' '''' '''''''''''''''''''' '''' '''''' '''''''''''''''''' '''''''''''''' '''''''''''''''''''''' ''''''''''''''''''' '''''''' '''''''''''''''' ''''''''''''''' '''''''''''''' '''''''''' ''''''''''''' ''''''''''''''''''''''''' '''''''''''''''' ''''''' '''''''''''''' ''''''''' ''''''''' '''''''''''''''''''''''</w:t>
      </w:r>
    </w:p>
    <w:p w:rsidR="00092F60" w:rsidRPr="00A62C97" w:rsidRDefault="00A62C97" w:rsidP="00092F60">
      <w:pPr>
        <w:rPr>
          <w:highlight w:val="black"/>
        </w:rPr>
      </w:pPr>
      <w:r>
        <w:rPr>
          <w:noProof/>
          <w:color w:val="000000"/>
          <w:highlight w:val="black"/>
        </w:rPr>
        <w:t>'''''''' ''''''''''' ''''''''''''' ''''''''''''''''''' '''''''' '''''' '''''''''''''''''''''' '''''''''''''' ''''' ''''''''''''''''''''''' '''''''''''''''' '''''''''''''' ''''''''''''''''' '''''''''''''' '''''''''''</w:t>
      </w:r>
    </w:p>
    <w:p w:rsidR="00092F60" w:rsidRPr="00092F60" w:rsidRDefault="00092F60" w:rsidP="00092F60">
      <w:pPr>
        <w:rPr>
          <w:rFonts w:cstheme="minorHAnsi"/>
        </w:rPr>
      </w:pPr>
    </w:p>
    <w:p w:rsidR="00092F60" w:rsidRPr="00092F60" w:rsidRDefault="00092F60" w:rsidP="00EC5DFF">
      <w:pPr>
        <w:pStyle w:val="Heading4"/>
      </w:pPr>
      <w:bookmarkStart w:id="482" w:name="_Toc404937282"/>
      <w:r w:rsidRPr="00092F60">
        <w:t>Australian data registry information</w:t>
      </w:r>
      <w:bookmarkEnd w:id="482"/>
    </w:p>
    <w:p w:rsidR="00225936" w:rsidRPr="00092F60" w:rsidRDefault="00225936" w:rsidP="00225936">
      <w:pPr>
        <w:rPr>
          <w:rFonts w:asciiTheme="minorHAnsi" w:hAnsiTheme="minorHAnsi"/>
        </w:rPr>
      </w:pPr>
      <w:r w:rsidRPr="00092F60">
        <w:rPr>
          <w:rFonts w:asciiTheme="minorHAnsi" w:hAnsiTheme="minorHAnsi"/>
        </w:rPr>
        <w:t>Currently, there is one drug, eculizumab, listed for the treatment of Paroxysmal Nocturnal Haemoglobinuria (PNH)</w:t>
      </w:r>
      <w:r>
        <w:rPr>
          <w:rFonts w:asciiTheme="minorHAnsi" w:hAnsiTheme="minorHAnsi"/>
        </w:rPr>
        <w:t xml:space="preserve"> on the LSDP</w:t>
      </w:r>
      <w:r w:rsidRPr="00092F60">
        <w:rPr>
          <w:rFonts w:asciiTheme="minorHAnsi" w:hAnsiTheme="minorHAnsi"/>
        </w:rPr>
        <w:t>.</w:t>
      </w:r>
    </w:p>
    <w:p w:rsidR="00092F60" w:rsidRPr="00A62C97" w:rsidRDefault="00225936" w:rsidP="00092F60">
      <w:pPr>
        <w:rPr>
          <w:rFonts w:asciiTheme="minorHAnsi" w:hAnsiTheme="minorHAnsi"/>
        </w:rPr>
      </w:pPr>
      <w:r w:rsidRPr="00092F60">
        <w:rPr>
          <w:rFonts w:asciiTheme="minorHAnsi" w:hAnsiTheme="minorHAnsi"/>
        </w:rPr>
        <w:t>As part of managing patient eligibility on the LSDP, patient summaries were kept in a spreadsheet format. This enabled the disease advisory committee to see the results for individual patients and advise on the treatment and dose. However, these data are not in a format that it can be easily aggregated (even within individual patient records). A registry has been kept by the drug sponsor for eculizumab and th</w:t>
      </w:r>
      <w:r>
        <w:rPr>
          <w:rFonts w:asciiTheme="minorHAnsi" w:hAnsiTheme="minorHAnsi"/>
        </w:rPr>
        <w:t>ese</w:t>
      </w:r>
      <w:r w:rsidRPr="00092F60">
        <w:rPr>
          <w:rFonts w:asciiTheme="minorHAnsi" w:hAnsiTheme="minorHAnsi"/>
        </w:rPr>
        <w:t xml:space="preserve"> data (non-identifiable) w</w:t>
      </w:r>
      <w:r>
        <w:rPr>
          <w:rFonts w:asciiTheme="minorHAnsi" w:hAnsiTheme="minorHAnsi"/>
        </w:rPr>
        <w:t>ere</w:t>
      </w:r>
      <w:r w:rsidRPr="00092F60">
        <w:rPr>
          <w:rFonts w:asciiTheme="minorHAnsi" w:hAnsiTheme="minorHAnsi"/>
        </w:rPr>
        <w:t xml:space="preserve"> made available. The </w:t>
      </w:r>
      <w:r>
        <w:rPr>
          <w:rFonts w:asciiTheme="minorHAnsi" w:hAnsiTheme="minorHAnsi"/>
        </w:rPr>
        <w:t xml:space="preserve">Alexion </w:t>
      </w:r>
      <w:r w:rsidRPr="00092F60">
        <w:rPr>
          <w:rFonts w:asciiTheme="minorHAnsi" w:hAnsiTheme="minorHAnsi"/>
        </w:rPr>
        <w:t xml:space="preserve">registry contained </w:t>
      </w:r>
      <w:r w:rsidR="00A62C97">
        <w:rPr>
          <w:rFonts w:asciiTheme="minorHAnsi" w:hAnsiTheme="minorHAnsi"/>
          <w:noProof/>
          <w:color w:val="000000"/>
          <w:highlight w:val="black"/>
        </w:rPr>
        <w:t>''''''</w:t>
      </w:r>
      <w:r w:rsidRPr="00092F60">
        <w:rPr>
          <w:rFonts w:asciiTheme="minorHAnsi" w:hAnsiTheme="minorHAnsi"/>
        </w:rPr>
        <w:t xml:space="preserve"> patients at the time of data cut-off. Most of these patients (if not all) are likely to be enrolled onto the LSDP</w:t>
      </w:r>
      <w:r>
        <w:rPr>
          <w:rFonts w:asciiTheme="minorHAnsi" w:hAnsiTheme="minorHAnsi"/>
        </w:rPr>
        <w:t xml:space="preserve"> but</w:t>
      </w:r>
      <w:r w:rsidRPr="00092F60">
        <w:rPr>
          <w:rFonts w:asciiTheme="minorHAnsi" w:hAnsiTheme="minorHAnsi"/>
        </w:rPr>
        <w:t xml:space="preserve"> were not linked to the LSDP patient summaries. </w:t>
      </w:r>
      <w:r w:rsidR="00A62C97">
        <w:rPr>
          <w:rFonts w:asciiTheme="minorHAnsi" w:hAnsiTheme="minorHAnsi"/>
          <w:noProof/>
          <w:color w:val="000000"/>
          <w:highlight w:val="black"/>
        </w:rPr>
        <w:t>'''''''' ''''''''''''' ''''''''''''''' '''''' '''''' ''''''''''''' '''''''' '''''''''''''''' '''''''''''''''''''''''''''' '''''''' ''''' ''''''' ''''''''''''' '''''' '''''''''' '''' '''''''''''''''' '''''''' ''''''''''' '''''' '''''''''''''''''''''' ''''''' '''''''''''''' '''' ''''''''''''''''''''''' '''''''' ''''''''''''''''' ''' ''''''''''' '''''''''''' ''''' '''''''''' '''''''''''''''' '''''''' '''''''''''''' '''''''' '''''''''''''''''' '''''' ''''''''''''''' ''''''''''' '''''''''''''''' ''''''''''''''''' '''' ''''''' '''''''''''''''''''''''''' ''''''''''''''' '''''''''''' ''''''''''''''''''</w:t>
      </w:r>
    </w:p>
    <w:p w:rsidR="00092F60" w:rsidRPr="00092F60" w:rsidRDefault="00092F60" w:rsidP="00E965BD">
      <w:pPr>
        <w:pStyle w:val="Heading5"/>
      </w:pPr>
      <w:r w:rsidRPr="00092F60">
        <w:t>Results</w:t>
      </w:r>
    </w:p>
    <w:p w:rsidR="00092F60" w:rsidRPr="00092F60" w:rsidRDefault="00092F60" w:rsidP="00092F60">
      <w:pPr>
        <w:rPr>
          <w:rFonts w:asciiTheme="minorHAnsi" w:hAnsiTheme="minorHAnsi"/>
        </w:rPr>
      </w:pPr>
      <w:r w:rsidRPr="00092F60">
        <w:rPr>
          <w:rFonts w:asciiTheme="minorHAnsi" w:hAnsiTheme="minorHAnsi"/>
        </w:rPr>
        <w:t xml:space="preserve">A comparison of the baseline characteristics of patients with LSDP patient summaries with those on the Alexion database and the Alexion PNH report </w:t>
      </w:r>
      <w:r w:rsidR="00AC7FC7">
        <w:rPr>
          <w:rFonts w:asciiTheme="minorHAnsi" w:hAnsiTheme="minorHAnsi"/>
        </w:rPr>
        <w:t>wa</w:t>
      </w:r>
      <w:r w:rsidRPr="00092F60">
        <w:rPr>
          <w:rFonts w:asciiTheme="minorHAnsi" w:hAnsiTheme="minorHAnsi"/>
        </w:rPr>
        <w:t>s provided</w:t>
      </w:r>
      <w:r w:rsidR="00AC7FC7">
        <w:rPr>
          <w:rFonts w:asciiTheme="minorHAnsi" w:hAnsiTheme="minorHAnsi"/>
        </w:rPr>
        <w:t xml:space="preserve">. </w:t>
      </w:r>
    </w:p>
    <w:p w:rsidR="00092F60" w:rsidRPr="006A71AB" w:rsidRDefault="00092F60" w:rsidP="00F44176">
      <w:pPr>
        <w:pStyle w:val="Caption"/>
        <w:keepNext/>
        <w:tabs>
          <w:tab w:val="clear" w:pos="851"/>
          <w:tab w:val="left" w:pos="1134"/>
        </w:tabs>
        <w:ind w:left="1134" w:hanging="1134"/>
      </w:pPr>
      <w:bookmarkStart w:id="483" w:name="_Ref405716966"/>
      <w:bookmarkStart w:id="484" w:name="_Toc411510492"/>
      <w:bookmarkStart w:id="485" w:name="_Toc415141925"/>
      <w:r w:rsidRPr="006A71AB">
        <w:lastRenderedPageBreak/>
        <w:t xml:space="preserve">Table </w:t>
      </w:r>
      <w:r w:rsidR="00A72B26">
        <w:rPr>
          <w:noProof/>
        </w:rPr>
        <w:t>128</w:t>
      </w:r>
      <w:bookmarkEnd w:id="483"/>
      <w:r w:rsidRPr="006A71AB">
        <w:tab/>
        <w:t>Baseline characteristics across the data sources</w:t>
      </w:r>
      <w:r w:rsidR="00E90F59">
        <w:t xml:space="preserve"> for patients receiving eculizumab</w:t>
      </w:r>
      <w:bookmarkEnd w:id="484"/>
      <w:bookmarkEnd w:id="485"/>
    </w:p>
    <w:tbl>
      <w:tblPr>
        <w:tblStyle w:val="TableGrid"/>
        <w:tblW w:w="0" w:type="auto"/>
        <w:tblLook w:val="04A0" w:firstRow="1" w:lastRow="0" w:firstColumn="1" w:lastColumn="0" w:noHBand="0" w:noVBand="1"/>
        <w:tblCaption w:val="Table 94 Baseline characteristics across the data sources for patients receiving eculizumab"/>
      </w:tblPr>
      <w:tblGrid>
        <w:gridCol w:w="3085"/>
        <w:gridCol w:w="2052"/>
        <w:gridCol w:w="2052"/>
        <w:gridCol w:w="2053"/>
      </w:tblGrid>
      <w:tr w:rsidR="00092F60" w:rsidRPr="00092F60" w:rsidTr="00C6200C">
        <w:trPr>
          <w:tblHeader/>
        </w:trPr>
        <w:tc>
          <w:tcPr>
            <w:tcW w:w="3085" w:type="dxa"/>
          </w:tcPr>
          <w:p w:rsidR="00092F60" w:rsidRPr="00AC73A5" w:rsidRDefault="00AC73A5" w:rsidP="00E90F59">
            <w:pPr>
              <w:pStyle w:val="TableText0"/>
              <w:rPr>
                <w:b/>
              </w:rPr>
            </w:pPr>
            <w:r w:rsidRPr="00AC73A5">
              <w:rPr>
                <w:b/>
              </w:rPr>
              <w:t>Characteristic</w:t>
            </w:r>
          </w:p>
        </w:tc>
        <w:tc>
          <w:tcPr>
            <w:tcW w:w="2052" w:type="dxa"/>
          </w:tcPr>
          <w:p w:rsidR="00092F60" w:rsidRPr="00092F60" w:rsidRDefault="00092F60" w:rsidP="00E90F59">
            <w:pPr>
              <w:pStyle w:val="TableHeading"/>
            </w:pPr>
            <w:r w:rsidRPr="00092F60">
              <w:t>LSDP patient sheets</w:t>
            </w:r>
          </w:p>
        </w:tc>
        <w:tc>
          <w:tcPr>
            <w:tcW w:w="2052" w:type="dxa"/>
          </w:tcPr>
          <w:p w:rsidR="00092F60" w:rsidRPr="00092F60" w:rsidRDefault="00092F60" w:rsidP="00E90F59">
            <w:pPr>
              <w:pStyle w:val="TableHeading"/>
            </w:pPr>
            <w:r w:rsidRPr="00092F60">
              <w:t>Alexion database</w:t>
            </w:r>
          </w:p>
        </w:tc>
        <w:tc>
          <w:tcPr>
            <w:tcW w:w="2053" w:type="dxa"/>
          </w:tcPr>
          <w:p w:rsidR="00092F60" w:rsidRPr="00092F60" w:rsidRDefault="00092F60" w:rsidP="00E90F59">
            <w:pPr>
              <w:pStyle w:val="TableHeading"/>
            </w:pPr>
            <w:r w:rsidRPr="00092F60">
              <w:t>Alexion PNH report</w:t>
            </w:r>
          </w:p>
        </w:tc>
      </w:tr>
      <w:tr w:rsidR="00092F60" w:rsidRPr="00092F60" w:rsidTr="00092F60">
        <w:tc>
          <w:tcPr>
            <w:tcW w:w="3085" w:type="dxa"/>
          </w:tcPr>
          <w:p w:rsidR="00092F60" w:rsidRPr="00092F60" w:rsidRDefault="00092F60" w:rsidP="00E90F59">
            <w:pPr>
              <w:pStyle w:val="TableText0"/>
            </w:pPr>
            <w:r w:rsidRPr="00092F60">
              <w:t>Number of patients</w:t>
            </w:r>
          </w:p>
        </w:tc>
        <w:tc>
          <w:tcPr>
            <w:tcW w:w="2052" w:type="dxa"/>
          </w:tcPr>
          <w:p w:rsidR="00092F60" w:rsidRPr="00F3143C" w:rsidRDefault="00092F60" w:rsidP="00E90F59">
            <w:pPr>
              <w:pStyle w:val="TableText0"/>
            </w:pPr>
            <w:r w:rsidRPr="00F3143C">
              <w:t>85 (start dates and data available for 75)</w:t>
            </w:r>
          </w:p>
        </w:tc>
        <w:tc>
          <w:tcPr>
            <w:tcW w:w="2052" w:type="dxa"/>
          </w:tcPr>
          <w:p w:rsidR="00092F60" w:rsidRPr="00A62C97" w:rsidRDefault="00A62C97" w:rsidP="00E90F59">
            <w:pPr>
              <w:pStyle w:val="TableText0"/>
              <w:rPr>
                <w:highlight w:val="black"/>
              </w:rPr>
            </w:pPr>
            <w:r>
              <w:rPr>
                <w:noProof/>
                <w:color w:val="000000"/>
                <w:highlight w:val="black"/>
              </w:rPr>
              <w:t>''''''</w:t>
            </w:r>
          </w:p>
        </w:tc>
        <w:tc>
          <w:tcPr>
            <w:tcW w:w="2053" w:type="dxa"/>
          </w:tcPr>
          <w:p w:rsidR="00092F60" w:rsidRPr="00A62C97" w:rsidRDefault="00A62C97" w:rsidP="00E90F59">
            <w:pPr>
              <w:pStyle w:val="TableText0"/>
              <w:rPr>
                <w:highlight w:val="black"/>
              </w:rPr>
            </w:pPr>
            <w:r>
              <w:rPr>
                <w:noProof/>
                <w:color w:val="000000"/>
                <w:highlight w:val="black"/>
              </w:rPr>
              <w:t>''''''</w:t>
            </w:r>
          </w:p>
        </w:tc>
      </w:tr>
      <w:tr w:rsidR="00092F60" w:rsidRPr="00092F60" w:rsidTr="00092F60">
        <w:tc>
          <w:tcPr>
            <w:tcW w:w="3085" w:type="dxa"/>
          </w:tcPr>
          <w:p w:rsidR="00092F60" w:rsidRPr="00092F60" w:rsidRDefault="00092F60" w:rsidP="00E90F59">
            <w:pPr>
              <w:pStyle w:val="TableText0"/>
            </w:pPr>
            <w:r w:rsidRPr="00092F60">
              <w:t>Median age at disease diagnosis</w:t>
            </w:r>
          </w:p>
        </w:tc>
        <w:tc>
          <w:tcPr>
            <w:tcW w:w="2052" w:type="dxa"/>
          </w:tcPr>
          <w:p w:rsidR="00092F60" w:rsidRPr="00092F60" w:rsidRDefault="00092F60" w:rsidP="00E90F59">
            <w:pPr>
              <w:pStyle w:val="TableText0"/>
            </w:pPr>
            <w:r w:rsidRPr="00092F60">
              <w:t>NR</w:t>
            </w:r>
          </w:p>
        </w:tc>
        <w:tc>
          <w:tcPr>
            <w:tcW w:w="2052" w:type="dxa"/>
          </w:tcPr>
          <w:p w:rsidR="00092F60" w:rsidRPr="00A62C97" w:rsidRDefault="00A62C97" w:rsidP="00E90F59">
            <w:pPr>
              <w:pStyle w:val="TableText0"/>
              <w:rPr>
                <w:highlight w:val="black"/>
              </w:rPr>
            </w:pPr>
            <w:r>
              <w:rPr>
                <w:noProof/>
                <w:color w:val="000000"/>
                <w:highlight w:val="black"/>
              </w:rPr>
              <w:t>'''''''''' '''''''''''''</w:t>
            </w:r>
          </w:p>
        </w:tc>
        <w:tc>
          <w:tcPr>
            <w:tcW w:w="2053" w:type="dxa"/>
          </w:tcPr>
          <w:p w:rsidR="00092F60" w:rsidRPr="00A62C97" w:rsidRDefault="00A62C97" w:rsidP="00E90F59">
            <w:pPr>
              <w:pStyle w:val="TableText0"/>
              <w:rPr>
                <w:highlight w:val="black"/>
              </w:rPr>
            </w:pPr>
            <w:r>
              <w:rPr>
                <w:noProof/>
                <w:color w:val="000000"/>
                <w:highlight w:val="black"/>
              </w:rPr>
              <w:t>''''''''''' ''''''''''''''</w:t>
            </w:r>
          </w:p>
        </w:tc>
      </w:tr>
      <w:tr w:rsidR="00092F60" w:rsidRPr="00092F60" w:rsidTr="00092F60">
        <w:tc>
          <w:tcPr>
            <w:tcW w:w="3085" w:type="dxa"/>
          </w:tcPr>
          <w:p w:rsidR="00092F60" w:rsidRPr="00092F60" w:rsidRDefault="00092F60" w:rsidP="00E90F59">
            <w:pPr>
              <w:pStyle w:val="TableText0"/>
            </w:pPr>
            <w:r w:rsidRPr="00092F60">
              <w:t>Median age at start of drug</w:t>
            </w:r>
          </w:p>
        </w:tc>
        <w:tc>
          <w:tcPr>
            <w:tcW w:w="2052" w:type="dxa"/>
          </w:tcPr>
          <w:p w:rsidR="00092F60" w:rsidRPr="00092F60" w:rsidRDefault="00092F60" w:rsidP="00E90F59">
            <w:pPr>
              <w:pStyle w:val="TableText0"/>
            </w:pPr>
            <w:r w:rsidRPr="00092F60">
              <w:t>40.0 years</w:t>
            </w:r>
          </w:p>
        </w:tc>
        <w:tc>
          <w:tcPr>
            <w:tcW w:w="2052" w:type="dxa"/>
          </w:tcPr>
          <w:p w:rsidR="00092F60" w:rsidRPr="00A62C97" w:rsidRDefault="00A62C97" w:rsidP="00E90F59">
            <w:pPr>
              <w:pStyle w:val="TableText0"/>
              <w:rPr>
                <w:highlight w:val="black"/>
              </w:rPr>
            </w:pPr>
            <w:r>
              <w:rPr>
                <w:noProof/>
                <w:color w:val="000000"/>
                <w:highlight w:val="black"/>
              </w:rPr>
              <w:t>'''''''''' '''''''''''''</w:t>
            </w:r>
          </w:p>
        </w:tc>
        <w:tc>
          <w:tcPr>
            <w:tcW w:w="2053" w:type="dxa"/>
          </w:tcPr>
          <w:p w:rsidR="00092F60" w:rsidRPr="00A62C97" w:rsidRDefault="00A62C97" w:rsidP="00E90F59">
            <w:pPr>
              <w:pStyle w:val="TableText0"/>
              <w:rPr>
                <w:highlight w:val="black"/>
              </w:rPr>
            </w:pPr>
            <w:r>
              <w:rPr>
                <w:noProof/>
                <w:color w:val="000000"/>
                <w:highlight w:val="black"/>
              </w:rPr>
              <w:t>''''''''''' ''''''''''''''</w:t>
            </w:r>
          </w:p>
        </w:tc>
      </w:tr>
      <w:tr w:rsidR="00092F60" w:rsidRPr="00092F60" w:rsidTr="00092F60">
        <w:tc>
          <w:tcPr>
            <w:tcW w:w="3085" w:type="dxa"/>
          </w:tcPr>
          <w:p w:rsidR="00092F60" w:rsidRPr="00092F60" w:rsidRDefault="00092F60" w:rsidP="00E90F59">
            <w:pPr>
              <w:pStyle w:val="TableText0"/>
            </w:pPr>
            <w:r w:rsidRPr="00092F60">
              <w:t>Female</w:t>
            </w:r>
          </w:p>
        </w:tc>
        <w:tc>
          <w:tcPr>
            <w:tcW w:w="2052" w:type="dxa"/>
          </w:tcPr>
          <w:p w:rsidR="00092F60" w:rsidRPr="00092F60" w:rsidRDefault="00092F60" w:rsidP="00E90F59">
            <w:pPr>
              <w:pStyle w:val="TableText0"/>
            </w:pPr>
            <w:r w:rsidRPr="00092F60">
              <w:t>NR</w:t>
            </w:r>
          </w:p>
        </w:tc>
        <w:tc>
          <w:tcPr>
            <w:tcW w:w="2052" w:type="dxa"/>
          </w:tcPr>
          <w:p w:rsidR="00092F60" w:rsidRPr="00A62C97" w:rsidRDefault="00A62C97" w:rsidP="00E90F59">
            <w:pPr>
              <w:pStyle w:val="TableText0"/>
              <w:rPr>
                <w:highlight w:val="black"/>
              </w:rPr>
            </w:pPr>
            <w:r>
              <w:rPr>
                <w:noProof/>
                <w:color w:val="000000"/>
                <w:highlight w:val="black"/>
              </w:rPr>
              <w:t>'''''''''</w:t>
            </w:r>
          </w:p>
        </w:tc>
        <w:tc>
          <w:tcPr>
            <w:tcW w:w="2053" w:type="dxa"/>
          </w:tcPr>
          <w:p w:rsidR="00092F60" w:rsidRPr="00A62C97" w:rsidRDefault="00A62C97" w:rsidP="00E90F59">
            <w:pPr>
              <w:pStyle w:val="TableText0"/>
              <w:rPr>
                <w:highlight w:val="black"/>
              </w:rPr>
            </w:pPr>
            <w:r>
              <w:rPr>
                <w:noProof/>
                <w:color w:val="000000"/>
                <w:highlight w:val="black"/>
              </w:rPr>
              <w:t>'''''''''''''''''</w:t>
            </w:r>
          </w:p>
        </w:tc>
      </w:tr>
    </w:tbl>
    <w:p w:rsidR="00225936" w:rsidRPr="00092F60" w:rsidRDefault="001B4E29" w:rsidP="00225936">
      <w:pPr>
        <w:pStyle w:val="TableNote"/>
        <w:spacing w:after="120"/>
        <w:ind w:left="130" w:hanging="130"/>
      </w:pPr>
      <w:r>
        <w:t xml:space="preserve">NR </w:t>
      </w:r>
      <w:r w:rsidRPr="00652355">
        <w:rPr>
          <w:spacing w:val="-20"/>
        </w:rPr>
        <w:t xml:space="preserve">= </w:t>
      </w:r>
      <w:r>
        <w:t>not</w:t>
      </w:r>
      <w:r w:rsidR="00225936">
        <w:t xml:space="preserve"> reported; </w:t>
      </w:r>
      <w:r>
        <w:t xml:space="preserve">PNH </w:t>
      </w:r>
      <w:r w:rsidRPr="00652355">
        <w:rPr>
          <w:spacing w:val="-20"/>
        </w:rPr>
        <w:t xml:space="preserve">= </w:t>
      </w:r>
      <w:r>
        <w:t>paroxysmal</w:t>
      </w:r>
      <w:r w:rsidR="00225936">
        <w:t xml:space="preserve"> nocturnal </w:t>
      </w:r>
      <w:r w:rsidR="00C96B5D">
        <w:t>haemoglobinuria</w:t>
      </w:r>
    </w:p>
    <w:p w:rsidR="00092F60" w:rsidRPr="00092F60" w:rsidRDefault="00092F60" w:rsidP="00092F60">
      <w:pPr>
        <w:rPr>
          <w:rFonts w:asciiTheme="minorHAnsi" w:hAnsiTheme="minorHAnsi"/>
          <w:i/>
        </w:rPr>
      </w:pPr>
    </w:p>
    <w:p w:rsidR="00225936" w:rsidRPr="00A62C97" w:rsidRDefault="00A62C97" w:rsidP="00225936">
      <w:pPr>
        <w:rPr>
          <w:rFonts w:asciiTheme="minorHAnsi" w:hAnsiTheme="minorHAnsi"/>
          <w:highlight w:val="black"/>
        </w:rPr>
      </w:pPr>
      <w:r>
        <w:rPr>
          <w:rFonts w:asciiTheme="minorHAnsi" w:hAnsiTheme="minorHAnsi"/>
          <w:noProof/>
          <w:color w:val="000000"/>
          <w:highlight w:val="black"/>
        </w:rPr>
        <w:t>'''' '''''''''' '''' '''''''' '''' '''''' ''''''''''''''''''''''''''''''''' '''' '''''''' '''''''''''''''''''' ''''''' ''''''''''' '''''''' '''''''''''''' ''''''' '''''''''''''' ''''''' ''''''' ''''''''' '''''''''''''' '''''''' '''' ''''''''''''''' '''''''' ''''''' ''''''''''''''' ''''''''' ''''''' ''''''''''''''' ''''''''''''''''''' '''''' '''''''' ''''''''''''''''' ''''''''''''''''''''' ''''''''''''''''' '''''' ''''''''''' '''''''''''' '''''''''</w:t>
      </w:r>
    </w:p>
    <w:p w:rsidR="00092F60" w:rsidRPr="00A62C97" w:rsidRDefault="00225936" w:rsidP="00092F60">
      <w:pPr>
        <w:rPr>
          <w:rFonts w:asciiTheme="minorHAnsi" w:hAnsiTheme="minorHAnsi"/>
        </w:rPr>
      </w:pPr>
      <w:r w:rsidRPr="00092F60">
        <w:rPr>
          <w:rFonts w:asciiTheme="minorHAnsi" w:hAnsiTheme="minorHAnsi"/>
        </w:rPr>
        <w:t>The maximum permitted (ongoing) dose according to the LSDP criteria is 900mg/fortnight</w:t>
      </w:r>
      <w:r w:rsidR="00203A78">
        <w:rPr>
          <w:rFonts w:asciiTheme="minorHAnsi" w:hAnsiTheme="minorHAnsi"/>
        </w:rPr>
        <w:t>, which is consistent with what was used in the key trial for eculizumab (Hillmen et al 2006)</w:t>
      </w:r>
      <w:r w:rsidRPr="00092F60">
        <w:rPr>
          <w:rFonts w:asciiTheme="minorHAnsi" w:hAnsiTheme="minorHAnsi"/>
        </w:rPr>
        <w:t>.</w:t>
      </w:r>
      <w:r w:rsidR="00E8553D">
        <w:rPr>
          <w:rFonts w:asciiTheme="minorHAnsi" w:hAnsiTheme="minorHAnsi"/>
        </w:rPr>
        <w:t xml:space="preserve"> The LSDP Reference Gr</w:t>
      </w:r>
      <w:r w:rsidR="00131DD0">
        <w:rPr>
          <w:rFonts w:asciiTheme="minorHAnsi" w:hAnsiTheme="minorHAnsi"/>
        </w:rPr>
        <w:t xml:space="preserve">oup was </w:t>
      </w:r>
      <w:r w:rsidR="00E8553D">
        <w:rPr>
          <w:rFonts w:asciiTheme="minorHAnsi" w:hAnsiTheme="minorHAnsi"/>
        </w:rPr>
        <w:t xml:space="preserve">provided with information from the sponsor’s registry but this </w:t>
      </w:r>
      <w:r w:rsidR="00F0789F">
        <w:rPr>
          <w:rFonts w:asciiTheme="minorHAnsi" w:hAnsiTheme="minorHAnsi"/>
        </w:rPr>
        <w:t xml:space="preserve">is considered confidential and </w:t>
      </w:r>
      <w:r w:rsidR="00E8553D">
        <w:rPr>
          <w:rFonts w:asciiTheme="minorHAnsi" w:hAnsiTheme="minorHAnsi"/>
        </w:rPr>
        <w:t>has been redact</w:t>
      </w:r>
      <w:r w:rsidR="00F0789F">
        <w:rPr>
          <w:rFonts w:asciiTheme="minorHAnsi" w:hAnsiTheme="minorHAnsi"/>
        </w:rPr>
        <w:t>ed</w:t>
      </w:r>
      <w:r w:rsidR="00E8553D">
        <w:rPr>
          <w:rFonts w:asciiTheme="minorHAnsi" w:hAnsiTheme="minorHAnsi"/>
        </w:rPr>
        <w:t xml:space="preserve">. </w:t>
      </w:r>
      <w:r w:rsidRPr="00092F60">
        <w:rPr>
          <w:rFonts w:asciiTheme="minorHAnsi" w:hAnsiTheme="minorHAnsi"/>
        </w:rPr>
        <w:t xml:space="preserve"> </w:t>
      </w:r>
      <w:r w:rsidR="00A62C97">
        <w:rPr>
          <w:rFonts w:asciiTheme="minorHAnsi" w:hAnsiTheme="minorHAnsi"/>
          <w:noProof/>
          <w:color w:val="000000"/>
          <w:highlight w:val="black"/>
        </w:rPr>
        <w:t>''''' '''''' '''''''''' '''''''''''' '''''''' ''''''''' '''' '''''' '''''''''''''' '''''''''''''''''''''' '''''''' ''' ''''''''''''''' ''''''''' '''''''''' '''''''''''''''''' ''' '''''''''' '''' '''''''''''' '''' '''''''''''''''''''''''''''''''' '''' '''''''' ''''''''''' ''''''' '''''''' ''''''' '''' ''' ''''''''''''' ''''''''''''''''' '''' ''''''''''''' '''''''' ''''''''''''' '''''''''''' ''''' '''''''''' ''''''' '''' '''''''' ''''''''' ''''''' '''''''' ''''''' ''''' '' ''''''''''''''' ''''''''''''''''''''' ''''''''' '''''''''''''''''' ''''''''''''''''' '''''' ''''''''''''' ''''''''''''''''''' '''''''''''''''' ''''''' '''''''''''' ''''''''''''' ''''''''' '''''''''''''''''''''''''''''''''' ''''''''' '''''' '''''''''''''''''''''' '''''''' ''''''''' ''''''''' ''''' ''''''''''''''' '''''''''''''''' ''' ''''''''' '''''''''''' '''''''' '''''''' ''''' ''''''' '''''''''' ''''''''''' '''''''''' '''''''' '''''''''' ''''''' ''''''''''''''''''' ''''''''''''''''''''''' ''''''' ''''''''''''''''''' ''''''''''''' '''''''''''''' '''''''' ''''' ''' '''''''' ''''''''''''' '''''' '''''''''''' ''''''''' ''''''''''''''''''' '''' ''''''''''''''''''''' '''''''''''''''' '''''''''''''''''''''''''''' '''''''''''''''''' ''''''' ''''''''''''''''''''' '''' '''''''''''''''' ''''''''' ''' '''''''''' ''''''''''''''''' '''''''''''''''''''''''''''''' '''' '''''''''''' ''''''' ''''''''' ''''''''''''' ''''''''''''''''''''''''' ''''' '''''''''' ''''''''''''''''' '''''' ''''''' '''''''' '''' '''''''''''' ''''''''''''''''' '''''''''''''''''''''' '''''''''''''' ''''''' ''''''''' '''''''''''''''''''''''' ''' ''' '''''''''''''' '''''''' '''''''''' ''''''''' '''''' ''''''''''''''''' '''' ''''''' ''''''''''' ''''''''''''' '''''''''''''''' ''''''''''</w:t>
      </w:r>
    </w:p>
    <w:p w:rsidR="00092F60" w:rsidRPr="006A71AB" w:rsidRDefault="00092F60" w:rsidP="00F44176">
      <w:pPr>
        <w:pStyle w:val="Caption"/>
        <w:keepNext/>
        <w:tabs>
          <w:tab w:val="clear" w:pos="851"/>
          <w:tab w:val="left" w:pos="1134"/>
        </w:tabs>
        <w:ind w:left="1134" w:hanging="1134"/>
      </w:pPr>
      <w:bookmarkStart w:id="486" w:name="_Ref405717129"/>
      <w:bookmarkStart w:id="487" w:name="_Toc411510493"/>
      <w:bookmarkStart w:id="488" w:name="_Toc415141926"/>
      <w:r w:rsidRPr="006A71AB">
        <w:lastRenderedPageBreak/>
        <w:t xml:space="preserve">Table </w:t>
      </w:r>
      <w:r w:rsidR="00A72B26">
        <w:rPr>
          <w:noProof/>
        </w:rPr>
        <w:t>129</w:t>
      </w:r>
      <w:bookmarkEnd w:id="486"/>
      <w:r w:rsidRPr="006A71AB">
        <w:tab/>
        <w:t>Dosing across the data sources</w:t>
      </w:r>
      <w:r w:rsidR="00E90F59">
        <w:t xml:space="preserve"> for patients receiving eculizumab</w:t>
      </w:r>
      <w:bookmarkEnd w:id="487"/>
      <w:bookmarkEnd w:id="488"/>
    </w:p>
    <w:tbl>
      <w:tblPr>
        <w:tblStyle w:val="TableGrid"/>
        <w:tblW w:w="0" w:type="auto"/>
        <w:tblLook w:val="04A0" w:firstRow="1" w:lastRow="0" w:firstColumn="1" w:lastColumn="0" w:noHBand="0" w:noVBand="1"/>
        <w:tblCaption w:val="Table 95 Dosing across the data sources for patients receiving eculizumab"/>
      </w:tblPr>
      <w:tblGrid>
        <w:gridCol w:w="3085"/>
        <w:gridCol w:w="2052"/>
        <w:gridCol w:w="2052"/>
        <w:gridCol w:w="2053"/>
      </w:tblGrid>
      <w:tr w:rsidR="00092F60" w:rsidRPr="00092F60" w:rsidTr="00C6200C">
        <w:trPr>
          <w:tblHeader/>
        </w:trPr>
        <w:tc>
          <w:tcPr>
            <w:tcW w:w="3085" w:type="dxa"/>
          </w:tcPr>
          <w:p w:rsidR="00092F60" w:rsidRPr="00092F60" w:rsidRDefault="00AC73A5" w:rsidP="00E90F59">
            <w:pPr>
              <w:pStyle w:val="TableHeading"/>
            </w:pPr>
            <w:r>
              <w:t>Dose characteristic</w:t>
            </w:r>
          </w:p>
        </w:tc>
        <w:tc>
          <w:tcPr>
            <w:tcW w:w="2052" w:type="dxa"/>
          </w:tcPr>
          <w:p w:rsidR="00092F60" w:rsidRPr="00092F60" w:rsidRDefault="00092F60" w:rsidP="00E90F59">
            <w:pPr>
              <w:pStyle w:val="TableHeading"/>
            </w:pPr>
            <w:r w:rsidRPr="00092F60">
              <w:t>LSDP patient sheets</w:t>
            </w:r>
          </w:p>
        </w:tc>
        <w:tc>
          <w:tcPr>
            <w:tcW w:w="2052" w:type="dxa"/>
          </w:tcPr>
          <w:p w:rsidR="00092F60" w:rsidRPr="00092F60" w:rsidRDefault="00092F60" w:rsidP="00E90F59">
            <w:pPr>
              <w:pStyle w:val="TableHeading"/>
            </w:pPr>
            <w:r w:rsidRPr="00092F60">
              <w:t>Alexion database</w:t>
            </w:r>
          </w:p>
        </w:tc>
        <w:tc>
          <w:tcPr>
            <w:tcW w:w="2053" w:type="dxa"/>
          </w:tcPr>
          <w:p w:rsidR="00092F60" w:rsidRPr="00092F60" w:rsidRDefault="00092F60" w:rsidP="00E90F59">
            <w:pPr>
              <w:pStyle w:val="TableHeading"/>
            </w:pPr>
            <w:r w:rsidRPr="00092F60">
              <w:t>Alexion PNH report</w:t>
            </w:r>
          </w:p>
        </w:tc>
      </w:tr>
      <w:tr w:rsidR="00092F60" w:rsidRPr="00092F60" w:rsidTr="00092F60">
        <w:tc>
          <w:tcPr>
            <w:tcW w:w="3085" w:type="dxa"/>
          </w:tcPr>
          <w:p w:rsidR="00092F60" w:rsidRPr="00092F60" w:rsidRDefault="00092F60" w:rsidP="00E90F59">
            <w:pPr>
              <w:pStyle w:val="TableText0"/>
            </w:pPr>
            <w:r w:rsidRPr="00092F60">
              <w:t>Median dose at last administration</w:t>
            </w:r>
          </w:p>
        </w:tc>
        <w:tc>
          <w:tcPr>
            <w:tcW w:w="2052" w:type="dxa"/>
          </w:tcPr>
          <w:p w:rsidR="00092F60" w:rsidRPr="00092F60" w:rsidRDefault="00092F60" w:rsidP="00E90F59">
            <w:pPr>
              <w:pStyle w:val="TableText0"/>
            </w:pPr>
            <w:r w:rsidRPr="00092F60">
              <w:t>900mg/fortnight</w:t>
            </w:r>
          </w:p>
        </w:tc>
        <w:tc>
          <w:tcPr>
            <w:tcW w:w="2052" w:type="dxa"/>
          </w:tcPr>
          <w:p w:rsidR="00092F60" w:rsidRPr="00092F60" w:rsidRDefault="00092F60" w:rsidP="00E90F59">
            <w:pPr>
              <w:pStyle w:val="TableText0"/>
            </w:pPr>
            <w:r w:rsidRPr="00092F60">
              <w:t>900mg/fortnight</w:t>
            </w:r>
          </w:p>
        </w:tc>
        <w:tc>
          <w:tcPr>
            <w:tcW w:w="2053" w:type="dxa"/>
          </w:tcPr>
          <w:p w:rsidR="00092F60" w:rsidRPr="00092F60" w:rsidRDefault="00092F60" w:rsidP="00E90F59">
            <w:pPr>
              <w:pStyle w:val="TableText0"/>
            </w:pPr>
            <w:r w:rsidRPr="00092F60">
              <w:t>900mg/fortnight</w:t>
            </w:r>
          </w:p>
        </w:tc>
      </w:tr>
      <w:tr w:rsidR="00092F60" w:rsidRPr="00092F60" w:rsidTr="00092F60">
        <w:tc>
          <w:tcPr>
            <w:tcW w:w="3085" w:type="dxa"/>
          </w:tcPr>
          <w:p w:rsidR="00092F60" w:rsidRPr="00092F60" w:rsidRDefault="00092F60" w:rsidP="00E90F59">
            <w:pPr>
              <w:pStyle w:val="TableText0"/>
            </w:pPr>
            <w:r w:rsidRPr="00092F60">
              <w:t>Proportion of patients exceeding 900 mg/fortnight at any time</w:t>
            </w:r>
          </w:p>
        </w:tc>
        <w:tc>
          <w:tcPr>
            <w:tcW w:w="2052" w:type="dxa"/>
          </w:tcPr>
          <w:p w:rsidR="00092F60" w:rsidRPr="00092F60" w:rsidRDefault="00092F60" w:rsidP="00E90F59">
            <w:pPr>
              <w:pStyle w:val="TableText0"/>
            </w:pPr>
            <w:r w:rsidRPr="00092F60">
              <w:t>NE</w:t>
            </w:r>
          </w:p>
        </w:tc>
        <w:tc>
          <w:tcPr>
            <w:tcW w:w="2052" w:type="dxa"/>
          </w:tcPr>
          <w:p w:rsidR="00092F60" w:rsidRPr="00A62C97" w:rsidRDefault="00A62C97" w:rsidP="00E90F59">
            <w:pPr>
              <w:pStyle w:val="TableText0"/>
              <w:rPr>
                <w:highlight w:val="black"/>
              </w:rPr>
            </w:pPr>
            <w:r>
              <w:rPr>
                <w:noProof/>
                <w:color w:val="000000"/>
                <w:highlight w:val="black"/>
              </w:rPr>
              <w:t>'''''''''''''' '''''''''''''''''''</w:t>
            </w:r>
          </w:p>
        </w:tc>
        <w:tc>
          <w:tcPr>
            <w:tcW w:w="2053" w:type="dxa"/>
          </w:tcPr>
          <w:p w:rsidR="00092F60" w:rsidRPr="00A62C97" w:rsidRDefault="00A62C97" w:rsidP="00E90F59">
            <w:pPr>
              <w:pStyle w:val="TableText0"/>
              <w:rPr>
                <w:highlight w:val="black"/>
              </w:rPr>
            </w:pPr>
            <w:r>
              <w:rPr>
                <w:noProof/>
                <w:color w:val="000000"/>
                <w:highlight w:val="black"/>
              </w:rPr>
              <w:t>'''''''''</w:t>
            </w:r>
          </w:p>
        </w:tc>
      </w:tr>
      <w:tr w:rsidR="00092F60" w:rsidRPr="00092F60" w:rsidTr="00092F60">
        <w:tc>
          <w:tcPr>
            <w:tcW w:w="3085" w:type="dxa"/>
          </w:tcPr>
          <w:p w:rsidR="00092F60" w:rsidRPr="00092F60" w:rsidRDefault="00092F60" w:rsidP="00E90F59">
            <w:pPr>
              <w:pStyle w:val="TableText0"/>
            </w:pPr>
            <w:r w:rsidRPr="00092F60">
              <w:t>Proportion of patients exceeding 900mg/fortnight at the most recent administration</w:t>
            </w:r>
          </w:p>
        </w:tc>
        <w:tc>
          <w:tcPr>
            <w:tcW w:w="2052" w:type="dxa"/>
          </w:tcPr>
          <w:p w:rsidR="00092F60" w:rsidRPr="00092F60" w:rsidRDefault="00092F60" w:rsidP="00E90F59">
            <w:pPr>
              <w:pStyle w:val="TableText0"/>
            </w:pPr>
            <w:r w:rsidRPr="00092F60">
              <w:t>4% (3/75)</w:t>
            </w:r>
          </w:p>
        </w:tc>
        <w:tc>
          <w:tcPr>
            <w:tcW w:w="2052" w:type="dxa"/>
          </w:tcPr>
          <w:p w:rsidR="00092F60" w:rsidRPr="00A62C97" w:rsidRDefault="00A62C97" w:rsidP="00E90F59">
            <w:pPr>
              <w:pStyle w:val="TableText0"/>
              <w:rPr>
                <w:highlight w:val="black"/>
              </w:rPr>
            </w:pPr>
            <w:r>
              <w:rPr>
                <w:noProof/>
                <w:color w:val="000000"/>
                <w:highlight w:val="black"/>
              </w:rPr>
              <w:t>'''''''''''''' ''''''''''''''''''</w:t>
            </w:r>
          </w:p>
        </w:tc>
        <w:tc>
          <w:tcPr>
            <w:tcW w:w="2053" w:type="dxa"/>
          </w:tcPr>
          <w:p w:rsidR="00092F60" w:rsidRPr="00A62C97" w:rsidRDefault="00A62C97" w:rsidP="00E90F59">
            <w:pPr>
              <w:pStyle w:val="TableText0"/>
              <w:rPr>
                <w:highlight w:val="black"/>
              </w:rPr>
            </w:pPr>
            <w:r>
              <w:rPr>
                <w:noProof/>
                <w:color w:val="000000"/>
                <w:highlight w:val="black"/>
              </w:rPr>
              <w:t>'''''''''</w:t>
            </w:r>
          </w:p>
        </w:tc>
      </w:tr>
      <w:tr w:rsidR="00092F60" w:rsidRPr="00092F60" w:rsidTr="00092F60">
        <w:tc>
          <w:tcPr>
            <w:tcW w:w="3085" w:type="dxa"/>
          </w:tcPr>
          <w:p w:rsidR="00092F60" w:rsidRPr="00092F60" w:rsidRDefault="00092F60" w:rsidP="00E90F59">
            <w:pPr>
              <w:pStyle w:val="TableText0"/>
            </w:pPr>
            <w:r w:rsidRPr="00092F60">
              <w:t>Proportion of patients exceeding 900mg/fortnight (excluding in the first year of treatment)</w:t>
            </w:r>
          </w:p>
        </w:tc>
        <w:tc>
          <w:tcPr>
            <w:tcW w:w="2052" w:type="dxa"/>
          </w:tcPr>
          <w:p w:rsidR="00092F60" w:rsidRPr="00092F60" w:rsidRDefault="00092F60" w:rsidP="00E90F59">
            <w:pPr>
              <w:pStyle w:val="TableText0"/>
            </w:pPr>
            <w:r w:rsidRPr="00092F60">
              <w:t>NE</w:t>
            </w:r>
          </w:p>
        </w:tc>
        <w:tc>
          <w:tcPr>
            <w:tcW w:w="2052" w:type="dxa"/>
          </w:tcPr>
          <w:p w:rsidR="00092F60" w:rsidRPr="00A62C97" w:rsidRDefault="00A62C97" w:rsidP="00E90F59">
            <w:pPr>
              <w:pStyle w:val="TableText0"/>
              <w:rPr>
                <w:highlight w:val="black"/>
              </w:rPr>
            </w:pPr>
            <w:r>
              <w:rPr>
                <w:rFonts w:asciiTheme="minorHAnsi" w:hAnsiTheme="minorHAnsi"/>
                <w:noProof/>
                <w:color w:val="000000"/>
                <w:sz w:val="24"/>
                <w:szCs w:val="24"/>
                <w:highlight w:val="black"/>
                <w:lang w:val="en-AU"/>
              </w:rPr>
              <w:t>'''''''' '''''''''''''</w:t>
            </w:r>
          </w:p>
        </w:tc>
        <w:tc>
          <w:tcPr>
            <w:tcW w:w="2053" w:type="dxa"/>
          </w:tcPr>
          <w:p w:rsidR="00092F60" w:rsidRPr="00A62C97" w:rsidRDefault="00A62C97" w:rsidP="00E90F59">
            <w:pPr>
              <w:pStyle w:val="TableText0"/>
              <w:rPr>
                <w:highlight w:val="black"/>
              </w:rPr>
            </w:pPr>
            <w:r>
              <w:rPr>
                <w:noProof/>
                <w:color w:val="000000"/>
                <w:highlight w:val="black"/>
              </w:rPr>
              <w:t>'''''''''</w:t>
            </w:r>
          </w:p>
        </w:tc>
      </w:tr>
    </w:tbl>
    <w:p w:rsidR="00092F60" w:rsidRDefault="00092F60" w:rsidP="00C83A38">
      <w:pPr>
        <w:pStyle w:val="TableNote"/>
        <w:ind w:left="0" w:firstLine="0"/>
        <w:rPr>
          <w:snapToGrid w:val="0"/>
        </w:rPr>
      </w:pPr>
      <w:r w:rsidRPr="00092F60">
        <w:rPr>
          <w:snapToGrid w:val="0"/>
        </w:rPr>
        <w:t>NE</w:t>
      </w:r>
      <w:r w:rsidR="00652355" w:rsidRPr="00652355">
        <w:rPr>
          <w:snapToGrid w:val="0"/>
          <w:spacing w:val="-20"/>
        </w:rPr>
        <w:t xml:space="preserve"> = </w:t>
      </w:r>
      <w:r w:rsidRPr="00092F60">
        <w:rPr>
          <w:snapToGrid w:val="0"/>
        </w:rPr>
        <w:t>not extractable (the data may be available but is in a format that cannot be queried, or would be onerous to extract).  Note that the LDH data were extracted from the patient summary although the process was lengthy and replicating it for other variables would be equally as lengthy.</w:t>
      </w:r>
    </w:p>
    <w:p w:rsidR="00E90F59" w:rsidRPr="00092F60" w:rsidRDefault="00E90F59" w:rsidP="00E90F59">
      <w:pPr>
        <w:pStyle w:val="TableNote"/>
        <w:rPr>
          <w:snapToGrid w:val="0"/>
        </w:rPr>
      </w:pPr>
    </w:p>
    <w:p w:rsidR="00225936" w:rsidRPr="00092F60" w:rsidRDefault="00225936" w:rsidP="00225936">
      <w:pPr>
        <w:rPr>
          <w:rFonts w:asciiTheme="minorHAnsi" w:hAnsiTheme="minorHAnsi"/>
        </w:rPr>
      </w:pPr>
      <w:r w:rsidRPr="00092F60">
        <w:rPr>
          <w:rFonts w:asciiTheme="minorHAnsi" w:hAnsiTheme="minorHAnsi"/>
        </w:rPr>
        <w:t xml:space="preserve">PNH patients often presented with lactate dehydrogenase (LDH) levels greater than 1.5 x the upper limit of normal (ULN). Lee et al </w:t>
      </w:r>
      <w:r>
        <w:rPr>
          <w:rFonts w:asciiTheme="minorHAnsi" w:hAnsiTheme="minorHAnsi"/>
        </w:rPr>
        <w:t>(</w:t>
      </w:r>
      <w:r w:rsidRPr="00092F60">
        <w:rPr>
          <w:rFonts w:asciiTheme="minorHAnsi" w:hAnsiTheme="minorHAnsi"/>
        </w:rPr>
        <w:t>2013</w:t>
      </w:r>
      <w:r>
        <w:rPr>
          <w:rFonts w:asciiTheme="minorHAnsi" w:hAnsiTheme="minorHAnsi"/>
        </w:rPr>
        <w:t>)</w:t>
      </w:r>
      <w:r w:rsidRPr="00092F60">
        <w:rPr>
          <w:rFonts w:asciiTheme="minorHAnsi" w:hAnsiTheme="minorHAnsi"/>
        </w:rPr>
        <w:t xml:space="preserve"> reported that an LDH level of ≥ 1.5ULN was associated with a significantly higher risk of thromboembolism </w:t>
      </w:r>
      <w:r w:rsidR="00BD4A3A">
        <w:rPr>
          <w:rFonts w:asciiTheme="minorHAnsi" w:hAnsiTheme="minorHAnsi"/>
          <w:noProof/>
        </w:rPr>
        <w:t>(</w:t>
      </w:r>
      <w:r w:rsidR="00184B6F">
        <w:rPr>
          <w:rFonts w:asciiTheme="minorHAnsi" w:hAnsiTheme="minorHAnsi"/>
          <w:noProof/>
        </w:rPr>
        <w:t>Lee et al. 2013</w:t>
      </w:r>
      <w:r w:rsidR="00BD4A3A">
        <w:rPr>
          <w:rFonts w:asciiTheme="minorHAnsi" w:hAnsiTheme="minorHAnsi"/>
          <w:noProof/>
        </w:rPr>
        <w:t>)</w:t>
      </w:r>
      <w:r w:rsidRPr="00092F60">
        <w:rPr>
          <w:rFonts w:asciiTheme="minorHAnsi" w:hAnsiTheme="minorHAnsi"/>
        </w:rPr>
        <w:t>. The vast majority (98.6%) of patients in the LSDP patient summaries had a baseline value of LDH greater than 1.5</w:t>
      </w:r>
      <w:r w:rsidR="00B06D06">
        <w:rPr>
          <w:rFonts w:asciiTheme="minorHAnsi" w:hAnsiTheme="minorHAnsi"/>
        </w:rPr>
        <w:t xml:space="preserve"> </w:t>
      </w:r>
      <w:r w:rsidRPr="00092F60">
        <w:rPr>
          <w:rFonts w:asciiTheme="minorHAnsi" w:hAnsiTheme="minorHAnsi"/>
        </w:rPr>
        <w:t>x</w:t>
      </w:r>
      <w:r w:rsidR="00B06D06">
        <w:rPr>
          <w:rFonts w:asciiTheme="minorHAnsi" w:hAnsiTheme="minorHAnsi"/>
        </w:rPr>
        <w:t xml:space="preserve"> </w:t>
      </w:r>
      <w:r w:rsidRPr="00092F60">
        <w:rPr>
          <w:rFonts w:asciiTheme="minorHAnsi" w:hAnsiTheme="minorHAnsi"/>
        </w:rPr>
        <w:t xml:space="preserve">ULN (average was 7.69xULN). By the most recent laboratory measurement, this had reduced to about 21% and </w:t>
      </w:r>
      <w:r w:rsidR="00A62C97">
        <w:rPr>
          <w:rFonts w:ascii="Arial Narrow" w:hAnsi="Arial Narrow"/>
          <w:noProof/>
          <w:color w:val="000000"/>
          <w:sz w:val="20"/>
          <w:szCs w:val="20"/>
          <w:highlight w:val="black"/>
          <w:lang w:val="en-GB"/>
        </w:rPr>
        <w:t xml:space="preserve">'''''''''' </w:t>
      </w:r>
      <w:r w:rsidRPr="00092F60">
        <w:rPr>
          <w:rFonts w:asciiTheme="minorHAnsi" w:hAnsiTheme="minorHAnsi"/>
        </w:rPr>
        <w:t xml:space="preserve">in the LSDP patient summaries </w:t>
      </w:r>
      <w:r w:rsidR="00A62C97">
        <w:rPr>
          <w:rFonts w:asciiTheme="minorHAnsi" w:hAnsiTheme="minorHAnsi"/>
          <w:noProof/>
          <w:color w:val="000000"/>
          <w:highlight w:val="black"/>
        </w:rPr>
        <w:t>''''''' ''''''' '''''''''''''' ''''''''''''''''' '''''''''''''''''''''''</w:t>
      </w:r>
      <w:r w:rsidRPr="00092F60">
        <w:rPr>
          <w:rFonts w:asciiTheme="minorHAnsi" w:hAnsiTheme="minorHAnsi"/>
        </w:rPr>
        <w:t>. Average LDH levels as a proportion of the ULN reduced from 7.7 to 1.4 in the LSDP patient summaries</w:t>
      </w:r>
      <w:r>
        <w:rPr>
          <w:rFonts w:asciiTheme="minorHAnsi" w:hAnsiTheme="minorHAnsi"/>
        </w:rPr>
        <w:t xml:space="preserve"> (</w:t>
      </w:r>
      <w:r w:rsidR="00A72B26" w:rsidRPr="006A71AB">
        <w:t xml:space="preserve">Table </w:t>
      </w:r>
      <w:r w:rsidR="00A72B26">
        <w:rPr>
          <w:noProof/>
        </w:rPr>
        <w:t>130</w:t>
      </w:r>
      <w:r>
        <w:rPr>
          <w:rFonts w:asciiTheme="minorHAnsi" w:hAnsiTheme="minorHAnsi"/>
        </w:rPr>
        <w:t>)</w:t>
      </w:r>
      <w:r w:rsidRPr="00092F60">
        <w:rPr>
          <w:rFonts w:asciiTheme="minorHAnsi" w:hAnsiTheme="minorHAnsi"/>
        </w:rPr>
        <w:t xml:space="preserve">.  </w:t>
      </w:r>
    </w:p>
    <w:p w:rsidR="00225936" w:rsidRPr="00A62C97" w:rsidRDefault="00A62C97" w:rsidP="00225936">
      <w:pPr>
        <w:rPr>
          <w:rFonts w:asciiTheme="minorHAnsi" w:hAnsiTheme="minorHAnsi"/>
          <w:highlight w:val="black"/>
        </w:rPr>
      </w:pPr>
      <w:r>
        <w:rPr>
          <w:rFonts w:asciiTheme="minorHAnsi" w:hAnsiTheme="minorHAnsi"/>
          <w:noProof/>
          <w:color w:val="000000"/>
          <w:highlight w:val="black"/>
        </w:rPr>
        <w:t>''''' ''''''''''''''' ''''''''''' '''''' ''''''''''''''''''''''' ''' ''''''''''''''''' '''''' '''''''''''' '''''' ''''''''''''''''''' '''''''' ''''''' ''''''''' ''''''''''''' ''''''''''''''''''''''' ''''''''''''''''''''''''' '''''''''''''''''' '''''' '''''' '''''''' ''''''''''''''''' ''''''''' ''''''' '''''''''''''' '''''' '''''' '''''' '''''''''' ''''''''''''' '''''''''''''''''' '''''''' ''''''''''' '''''''''''''''''' '''''''''''''''''' '''''' ''''''' '''''''' ''''' '''''''''''''''''''' ''''''''' '''' '''''''''''''' ''''''' ''' ''''''''''''''''''''''''' '''''''''' '''' ''''''' '''''''' '''''''''''''' ''''''''''''' '''''''' ''''' '''''''''''' '''''' ''''''''''''''''  '''''''' ''''' ''''''''''''''''' ''''''''''''''' '' ''''''''''''''''''''''' ''''''''''' '''''' ''''''''''''''''''''' ''''''''' '''''''''''''''''''' '''''''' ''''''''''''''''' '''''''''''''''' ''''' '''''''''''''''' ''''' '''''''' '''''''''' ''''''''' ''''' ''''''''''''''' ''''' '''''' ''''''''' ''''' '''''''''''''''''''''' ''''''''''''' '''''''''</w:t>
      </w:r>
    </w:p>
    <w:p w:rsidR="00225936" w:rsidRPr="00A62C97" w:rsidRDefault="00A62C97" w:rsidP="00225936">
      <w:pPr>
        <w:rPr>
          <w:rFonts w:asciiTheme="minorHAnsi" w:hAnsiTheme="minorHAnsi"/>
          <w:highlight w:val="black"/>
        </w:rPr>
      </w:pPr>
      <w:r>
        <w:rPr>
          <w:rFonts w:asciiTheme="minorHAnsi" w:hAnsiTheme="minorHAnsi"/>
          <w:noProof/>
          <w:color w:val="000000"/>
          <w:highlight w:val="black"/>
        </w:rPr>
        <w:t>''''''''''''''''' ''''''''' ''''''''''''''''''' ''''''''' ''''''''''' '''''''''''''''''''' '''''''''''''' '''''' ''''''''''''''''' '''''''''''''' ''''''''''' '''''''' ''''''''''''''''''' ''''''''''''''''' ''''''''''''''''''''''''''''' ''' '''''''''''''''' ''''' '''''''''''''''' '''''''''''''''' '''''''''''' '''''''''''' '''' '''''''' ''''''''' ''''''''''' '''''''''''''''''''''''''''' ''''''''''''' '''''''''''</w:t>
      </w:r>
    </w:p>
    <w:p w:rsidR="00225936" w:rsidRPr="00A62C97" w:rsidRDefault="00A62C97" w:rsidP="00225936">
      <w:pPr>
        <w:rPr>
          <w:snapToGrid w:val="0"/>
          <w:highlight w:val="black"/>
        </w:rPr>
      </w:pPr>
      <w:r>
        <w:rPr>
          <w:rFonts w:asciiTheme="minorHAnsi" w:hAnsiTheme="minorHAnsi"/>
          <w:noProof/>
          <w:color w:val="000000"/>
          <w:highlight w:val="black"/>
        </w:rPr>
        <w:t>''''''''''''''''''''' '''''''''''''' ''''''''' ''''''''''''''''''''' ''''' '''''''''''''' ''''''''''' '''''''''' '''''' ''''''''' '''''' ''' '''''''''''' '''' ''''''''''' ''' ''''''''' '''''''''''' '''''''''</w:t>
      </w:r>
    </w:p>
    <w:p w:rsidR="00225936" w:rsidRPr="00E965BD" w:rsidRDefault="00225936" w:rsidP="00225936">
      <w:pPr>
        <w:pStyle w:val="Heading5"/>
      </w:pPr>
      <w:r w:rsidRPr="00E965BD">
        <w:t>Conclusion</w:t>
      </w:r>
    </w:p>
    <w:p w:rsidR="00225936" w:rsidRPr="00A62C97" w:rsidRDefault="00225936" w:rsidP="00225936">
      <w:pPr>
        <w:rPr>
          <w:rFonts w:asciiTheme="minorHAnsi" w:hAnsiTheme="minorHAnsi"/>
        </w:rPr>
      </w:pPr>
      <w:r w:rsidRPr="00092F60">
        <w:rPr>
          <w:rFonts w:asciiTheme="minorHAnsi" w:hAnsiTheme="minorHAnsi"/>
        </w:rPr>
        <w:t xml:space="preserve">As part of the administration of the LSDP, patients consented to participate in the “evaluation of effectiveness of the drug by periodic assessment”. The data captured by the LSDP patient sheets are broad and include baseline characteristics and ongoing laboratory findings, instances of transfusions, narrative quality of life and committee comments regarding ongoing eligibility and recommended dose. The patient sheets represent </w:t>
      </w:r>
      <w:r w:rsidRPr="00092F60">
        <w:rPr>
          <w:rFonts w:asciiTheme="minorHAnsi" w:hAnsiTheme="minorHAnsi"/>
        </w:rPr>
        <w:lastRenderedPageBreak/>
        <w:t xml:space="preserve">individual records of patients and would be valuable for establishing patient response and ongoing eligibility. </w:t>
      </w:r>
      <w:r w:rsidR="00A62C97">
        <w:rPr>
          <w:rFonts w:asciiTheme="minorHAnsi" w:hAnsiTheme="minorHAnsi"/>
          <w:noProof/>
          <w:color w:val="000000"/>
          <w:highlight w:val="black"/>
        </w:rPr>
        <w:t xml:space="preserve">'''''''''''''''''' ''''''' '''''''' '''''' '''''' '''''''''''''''''' '''' ''' '''''''''''' ''''''' '''''''''''''' ''''''''''''' '''''''''''''''''''''''' '''''''''''' ''''''''' ''''''''''''''' '''''''''''' ''''''''''''''''''' '''''''''''''''' ''''' '''''' ''''''''''''''''''''' ''''' ''''''''' '''''''''''' '''''''''''''''''  </w:t>
      </w:r>
    </w:p>
    <w:p w:rsidR="00225936" w:rsidRPr="00092F60" w:rsidRDefault="00225936" w:rsidP="00225936">
      <w:pPr>
        <w:rPr>
          <w:rFonts w:asciiTheme="minorHAnsi" w:hAnsiTheme="minorHAnsi"/>
        </w:rPr>
      </w:pPr>
      <w:r w:rsidRPr="00092F60">
        <w:rPr>
          <w:rFonts w:asciiTheme="minorHAnsi" w:hAnsiTheme="minorHAnsi"/>
        </w:rPr>
        <w:t>At the time of assessment, the claimed benefit of eculizumab was in term</w:t>
      </w:r>
      <w:r>
        <w:rPr>
          <w:rFonts w:asciiTheme="minorHAnsi" w:hAnsiTheme="minorHAnsi"/>
        </w:rPr>
        <w:t>s of avoided transfusions and haemoglobin</w:t>
      </w:r>
      <w:r w:rsidRPr="00092F60">
        <w:rPr>
          <w:rFonts w:asciiTheme="minorHAnsi" w:hAnsiTheme="minorHAnsi"/>
        </w:rPr>
        <w:t xml:space="preserve"> stabilisation (other outcomes were not adequately demonstrated). A </w:t>
      </w:r>
      <w:r w:rsidRPr="005E6E1C">
        <w:rPr>
          <w:rFonts w:asciiTheme="minorHAnsi" w:hAnsiTheme="minorHAnsi"/>
          <w:i/>
        </w:rPr>
        <w:t>post hoc</w:t>
      </w:r>
      <w:r w:rsidRPr="00092F60">
        <w:rPr>
          <w:rFonts w:asciiTheme="minorHAnsi" w:hAnsiTheme="minorHAnsi"/>
        </w:rPr>
        <w:t xml:space="preserve"> analysis of severe morbidity events using a before treatment – after treatment comparison showed a reduction in severe morbidity events occurring in multiple organs. The LSDP patient summary sheets do not permit a comparison of pre-treatment transfusion requirements although may have adequate data to inform a change in haemolysis (as measured by LDH) and haemoglobin. </w:t>
      </w:r>
      <w:r>
        <w:rPr>
          <w:rFonts w:asciiTheme="minorHAnsi" w:hAnsiTheme="minorHAnsi"/>
        </w:rPr>
        <w:t>T</w:t>
      </w:r>
      <w:r w:rsidRPr="00092F60">
        <w:rPr>
          <w:rFonts w:asciiTheme="minorHAnsi" w:hAnsiTheme="minorHAnsi"/>
        </w:rPr>
        <w:t>he format in which this information is stored limits the scope of any analyses.</w:t>
      </w:r>
      <w:r>
        <w:rPr>
          <w:rFonts w:asciiTheme="minorHAnsi" w:hAnsiTheme="minorHAnsi"/>
        </w:rPr>
        <w:t xml:space="preserve"> </w:t>
      </w:r>
      <w:r w:rsidR="00B06D06">
        <w:rPr>
          <w:rFonts w:asciiTheme="minorHAnsi" w:hAnsiTheme="minorHAnsi"/>
        </w:rPr>
        <w:t>It</w:t>
      </w:r>
      <w:r>
        <w:rPr>
          <w:rFonts w:asciiTheme="minorHAnsi" w:hAnsiTheme="minorHAnsi"/>
        </w:rPr>
        <w:t xml:space="preserve"> is apparent that the level of transfusion-independence obtained in the Hillman et al (2013) extension study (82% at 30-36 weeks) may not have been realised in the Australian community setting (65% within an unknown time period).</w:t>
      </w:r>
    </w:p>
    <w:p w:rsidR="00225936" w:rsidRPr="00A62C97" w:rsidRDefault="00A62C97" w:rsidP="00225936">
      <w:pPr>
        <w:rPr>
          <w:rFonts w:asciiTheme="minorHAnsi" w:hAnsiTheme="minorHAnsi"/>
        </w:rPr>
      </w:pPr>
      <w:r>
        <w:rPr>
          <w:rFonts w:asciiTheme="minorHAnsi" w:hAnsiTheme="minorHAnsi"/>
          <w:noProof/>
          <w:color w:val="000000"/>
          <w:highlight w:val="black"/>
        </w:rPr>
        <w:t>'''''''' ''''''''''''''''' ''''''' ''''''''''''''''' '''''''''''''''' ''''''''' '''''' '''''''''''''''''</w:t>
      </w:r>
      <w:r w:rsidR="00826F4F">
        <w:rPr>
          <w:rFonts w:asciiTheme="minorHAnsi" w:hAnsiTheme="minorHAnsi"/>
        </w:rPr>
        <w:t xml:space="preserve"> </w:t>
      </w:r>
      <w:r>
        <w:rPr>
          <w:rFonts w:asciiTheme="minorHAnsi" w:hAnsiTheme="minorHAnsi"/>
          <w:noProof/>
          <w:color w:val="000000"/>
          <w:highlight w:val="black"/>
        </w:rPr>
        <w:t xml:space="preserve">''''''''' ''''''''''' '''' ''' '''''''''''' '''''''' ''' '''''''''''''''''''' ''''' ''''''''''''''' ''' '''''''''''' '''''''''''''''' '' '''''''''''''''''''''''''' ''''''''''''' '''''''' ''''''''''' ''''' '''''''''''''''''' '''' ''''''''''''''''' ''''''''''''''''''' ''''''''''''''''  </w:t>
      </w:r>
    </w:p>
    <w:p w:rsidR="00225936" w:rsidRPr="00092F60" w:rsidRDefault="00225936" w:rsidP="00225936">
      <w:pPr>
        <w:rPr>
          <w:rFonts w:asciiTheme="minorHAnsi" w:hAnsiTheme="minorHAnsi"/>
        </w:rPr>
      </w:pPr>
      <w:r w:rsidRPr="00092F60">
        <w:rPr>
          <w:rFonts w:asciiTheme="minorHAnsi" w:hAnsiTheme="minorHAnsi"/>
        </w:rPr>
        <w:t>Baseline LDH levels (as a multiple of the ULN) were extracted from the LSDP patient summaries. Compared to the most recent LDH measurements, the proportion of patients experiencing an LDH level ≥ 1.5 times the ULN is markedly reduced (98.6% at baseline compared with 21.3% at most recent measurement). This may indicate that eculizumab is reducing haemolysis.</w:t>
      </w:r>
    </w:p>
    <w:p w:rsidR="00225936" w:rsidRPr="00A62C97" w:rsidRDefault="00225936" w:rsidP="00225936">
      <w:pPr>
        <w:rPr>
          <w:rFonts w:cstheme="minorHAnsi"/>
        </w:rPr>
      </w:pPr>
      <w:r w:rsidRPr="00092F60">
        <w:rPr>
          <w:rFonts w:asciiTheme="minorHAnsi" w:hAnsiTheme="minorHAnsi"/>
        </w:rPr>
        <w:t>The assessment of other outcomes, such as hospitalisations, transfusions and quality of life, are limited by the lack of pre-treatment data. If future data collections are established to verify the effects of a drug, adequate pre-treatment data will be required</w:t>
      </w:r>
      <w:r w:rsidR="00A62C97">
        <w:rPr>
          <w:rFonts w:asciiTheme="minorHAnsi" w:hAnsiTheme="minorHAnsi"/>
          <w:noProof/>
          <w:color w:val="000000"/>
          <w:highlight w:val="black"/>
        </w:rPr>
        <w:t xml:space="preserve"> ''''''' ''' ''''''''''' ''''' '''''''''''''' ''' '''''' '''''''''''''' '''''''' ''''''''' '''' ''' '''''''''''''' ''''''''' '''''''''''''''' ''''''''''''''''''''''' ''''''' '''''''''''''''''</w:t>
      </w:r>
    </w:p>
    <w:p w:rsidR="00225936" w:rsidRPr="00092F60" w:rsidRDefault="00225936" w:rsidP="00225936">
      <w:pPr>
        <w:rPr>
          <w:snapToGrid w:val="0"/>
        </w:rPr>
      </w:pPr>
    </w:p>
    <w:p w:rsidR="008359A2" w:rsidRDefault="008359A2" w:rsidP="00225936">
      <w:pPr>
        <w:pStyle w:val="Caption"/>
        <w:keepNext/>
        <w:tabs>
          <w:tab w:val="clear" w:pos="851"/>
          <w:tab w:val="left" w:pos="1134"/>
        </w:tabs>
        <w:ind w:left="1134" w:hanging="1134"/>
        <w:rPr>
          <w:noProof/>
          <w:color w:val="000000"/>
          <w:highlight w:val="black"/>
        </w:rPr>
      </w:pPr>
    </w:p>
    <w:p w:rsidR="008359A2" w:rsidRPr="006A71AB" w:rsidRDefault="008359A2" w:rsidP="008359A2">
      <w:pPr>
        <w:pStyle w:val="Caption"/>
        <w:keepNext/>
        <w:tabs>
          <w:tab w:val="clear" w:pos="851"/>
          <w:tab w:val="left" w:pos="1134"/>
        </w:tabs>
        <w:ind w:left="1134" w:hanging="1134"/>
      </w:pPr>
      <w:bookmarkStart w:id="489" w:name="_Ref405756464"/>
      <w:bookmarkStart w:id="490" w:name="_Toc411510494"/>
      <w:bookmarkStart w:id="491" w:name="_Toc415141927"/>
      <w:r w:rsidRPr="006A71AB">
        <w:t xml:space="preserve">Table </w:t>
      </w:r>
      <w:r>
        <w:rPr>
          <w:noProof/>
        </w:rPr>
        <w:t>130</w:t>
      </w:r>
      <w:bookmarkEnd w:id="489"/>
      <w:r w:rsidRPr="006A71AB">
        <w:tab/>
        <w:t>Laboratory outcomes: LDH and Haemoglobin</w:t>
      </w:r>
      <w:bookmarkEnd w:id="490"/>
      <w:bookmarkEnd w:id="491"/>
    </w:p>
    <w:tbl>
      <w:tblPr>
        <w:tblStyle w:val="TableGrid"/>
        <w:tblW w:w="0" w:type="auto"/>
        <w:tblLook w:val="04A0" w:firstRow="1" w:lastRow="0" w:firstColumn="1" w:lastColumn="0" w:noHBand="0" w:noVBand="1"/>
        <w:tblCaption w:val="Table 96 Laboratory outcomes: LDH and Haemoglobin"/>
        <w:tblDescription w:val=" Laboratory outcomes (LDH and Haemoglobin) for PNH patients in Australia (data from LSDP summary sheets and Alexion)"/>
      </w:tblPr>
      <w:tblGrid>
        <w:gridCol w:w="3085"/>
        <w:gridCol w:w="2052"/>
        <w:gridCol w:w="2052"/>
        <w:gridCol w:w="2053"/>
      </w:tblGrid>
      <w:tr w:rsidR="008359A2" w:rsidRPr="00092F60" w:rsidTr="00027DD4">
        <w:trPr>
          <w:tblHeader/>
        </w:trPr>
        <w:tc>
          <w:tcPr>
            <w:tcW w:w="3085" w:type="dxa"/>
          </w:tcPr>
          <w:p w:rsidR="008359A2" w:rsidRPr="00092F60" w:rsidRDefault="008359A2" w:rsidP="00027DD4">
            <w:pPr>
              <w:pStyle w:val="TableHeading"/>
            </w:pPr>
            <w:r>
              <w:t>Laboratory outcome</w:t>
            </w:r>
          </w:p>
        </w:tc>
        <w:tc>
          <w:tcPr>
            <w:tcW w:w="2052" w:type="dxa"/>
            <w:shd w:val="clear" w:color="auto" w:fill="auto"/>
          </w:tcPr>
          <w:p w:rsidR="008359A2" w:rsidRPr="00092F60" w:rsidRDefault="008359A2" w:rsidP="00027DD4">
            <w:pPr>
              <w:pStyle w:val="TableHeading"/>
            </w:pPr>
            <w:r w:rsidRPr="00092F60">
              <w:t>LSDP patient sheets</w:t>
            </w:r>
          </w:p>
        </w:tc>
        <w:tc>
          <w:tcPr>
            <w:tcW w:w="2052" w:type="dxa"/>
          </w:tcPr>
          <w:p w:rsidR="008359A2" w:rsidRPr="00092F60" w:rsidRDefault="008359A2" w:rsidP="00027DD4">
            <w:pPr>
              <w:pStyle w:val="TableHeading"/>
            </w:pPr>
            <w:r w:rsidRPr="00092F60">
              <w:t>Alexion database</w:t>
            </w:r>
          </w:p>
        </w:tc>
        <w:tc>
          <w:tcPr>
            <w:tcW w:w="2053" w:type="dxa"/>
          </w:tcPr>
          <w:p w:rsidR="008359A2" w:rsidRPr="00092F60" w:rsidRDefault="008359A2" w:rsidP="00027DD4">
            <w:pPr>
              <w:pStyle w:val="TableHeading"/>
            </w:pPr>
            <w:r w:rsidRPr="00092F60">
              <w:t>Alexion PNH report</w:t>
            </w:r>
          </w:p>
        </w:tc>
      </w:tr>
      <w:tr w:rsidR="008359A2" w:rsidRPr="00092F60" w:rsidTr="00027DD4">
        <w:tc>
          <w:tcPr>
            <w:tcW w:w="3085" w:type="dxa"/>
          </w:tcPr>
          <w:p w:rsidR="008359A2" w:rsidRPr="00092F60" w:rsidRDefault="008359A2" w:rsidP="00027DD4">
            <w:pPr>
              <w:pStyle w:val="TableText0"/>
            </w:pPr>
            <w:r w:rsidRPr="00092F60">
              <w:t>Proportion of patients with LDH ≥ 1.5ULN at baseline</w:t>
            </w:r>
          </w:p>
        </w:tc>
        <w:tc>
          <w:tcPr>
            <w:tcW w:w="2052" w:type="dxa"/>
            <w:shd w:val="clear" w:color="auto" w:fill="auto"/>
          </w:tcPr>
          <w:p w:rsidR="008359A2" w:rsidRPr="00500271" w:rsidRDefault="00500271" w:rsidP="00027DD4">
            <w:pPr>
              <w:pStyle w:val="TableText0"/>
              <w:rPr>
                <w:highlight w:val="black"/>
              </w:rPr>
            </w:pPr>
            <w:r>
              <w:rPr>
                <w:noProof/>
                <w:color w:val="000000"/>
                <w:highlight w:val="black"/>
              </w:rPr>
              <w:t>''''''''''''''' ''''''''''''''''</w:t>
            </w:r>
          </w:p>
          <w:p w:rsidR="008359A2" w:rsidRPr="00500271" w:rsidRDefault="00500271" w:rsidP="00027DD4">
            <w:pPr>
              <w:pStyle w:val="TableText0"/>
              <w:rPr>
                <w:highlight w:val="black"/>
              </w:rPr>
            </w:pPr>
            <w:r>
              <w:rPr>
                <w:noProof/>
                <w:color w:val="000000"/>
                <w:highlight w:val="black"/>
              </w:rPr>
              <w:t>'''''''''''''''''''  ''''  ''''''''''''''''''''''</w:t>
            </w:r>
          </w:p>
          <w:p w:rsidR="008359A2" w:rsidRPr="00500271" w:rsidRDefault="00500271" w:rsidP="00027DD4">
            <w:pPr>
              <w:pStyle w:val="TableText0"/>
              <w:rPr>
                <w:highlight w:val="black"/>
              </w:rPr>
            </w:pPr>
            <w:r>
              <w:rPr>
                <w:noProof/>
                <w:color w:val="000000"/>
                <w:highlight w:val="black"/>
              </w:rPr>
              <w:t>''''''''''''''  ''''  '''''''''''''''''''''''''</w:t>
            </w:r>
          </w:p>
        </w:tc>
        <w:tc>
          <w:tcPr>
            <w:tcW w:w="2052" w:type="dxa"/>
          </w:tcPr>
          <w:p w:rsidR="008359A2" w:rsidRPr="00500271" w:rsidRDefault="00500271" w:rsidP="00027DD4">
            <w:pPr>
              <w:pStyle w:val="TableText0"/>
              <w:rPr>
                <w:highlight w:val="black"/>
              </w:rPr>
            </w:pPr>
            <w:r>
              <w:rPr>
                <w:noProof/>
                <w:color w:val="000000"/>
                <w:highlight w:val="black"/>
              </w:rPr>
              <w:t>''''''''</w:t>
            </w:r>
          </w:p>
        </w:tc>
        <w:tc>
          <w:tcPr>
            <w:tcW w:w="2053" w:type="dxa"/>
          </w:tcPr>
          <w:p w:rsidR="008359A2" w:rsidRPr="00500271" w:rsidRDefault="00500271" w:rsidP="00027DD4">
            <w:pPr>
              <w:pStyle w:val="TableText0"/>
              <w:rPr>
                <w:highlight w:val="black"/>
              </w:rPr>
            </w:pPr>
            <w:r>
              <w:rPr>
                <w:noProof/>
                <w:color w:val="000000"/>
                <w:highlight w:val="black"/>
              </w:rPr>
              <w:t>'''''''</w:t>
            </w:r>
          </w:p>
          <w:p w:rsidR="008359A2" w:rsidRPr="00500271" w:rsidRDefault="00500271" w:rsidP="00027DD4">
            <w:pPr>
              <w:pStyle w:val="TableText0"/>
              <w:rPr>
                <w:highlight w:val="black"/>
              </w:rPr>
            </w:pPr>
            <w:r>
              <w:rPr>
                <w:noProof/>
                <w:color w:val="000000"/>
                <w:highlight w:val="black"/>
              </w:rPr>
              <w:t>'''''''''''''''''  ''''  ''''''''''''''''''''</w:t>
            </w:r>
          </w:p>
          <w:p w:rsidR="008359A2" w:rsidRPr="00500271" w:rsidRDefault="00500271" w:rsidP="00027DD4">
            <w:pPr>
              <w:pStyle w:val="TableText0"/>
              <w:rPr>
                <w:highlight w:val="black"/>
              </w:rPr>
            </w:pPr>
            <w:r>
              <w:rPr>
                <w:noProof/>
                <w:color w:val="000000"/>
                <w:highlight w:val="black"/>
              </w:rPr>
              <w:t>'''''''''''''  ''''  ''''''''''''''''''''''</w:t>
            </w:r>
          </w:p>
        </w:tc>
      </w:tr>
      <w:tr w:rsidR="008359A2" w:rsidRPr="00092F60" w:rsidTr="00027DD4">
        <w:tc>
          <w:tcPr>
            <w:tcW w:w="3085" w:type="dxa"/>
          </w:tcPr>
          <w:p w:rsidR="008359A2" w:rsidRPr="00092F60" w:rsidRDefault="008359A2" w:rsidP="00027DD4">
            <w:pPr>
              <w:pStyle w:val="TableText0"/>
            </w:pPr>
            <w:r w:rsidRPr="00092F60">
              <w:t>Proportion of patients with LDH ≥1.5ULN at most recent measure</w:t>
            </w:r>
          </w:p>
        </w:tc>
        <w:tc>
          <w:tcPr>
            <w:tcW w:w="2052" w:type="dxa"/>
            <w:shd w:val="clear" w:color="auto" w:fill="auto"/>
          </w:tcPr>
          <w:p w:rsidR="008359A2" w:rsidRPr="00500271" w:rsidRDefault="00500271" w:rsidP="00027DD4">
            <w:pPr>
              <w:pStyle w:val="TableText0"/>
              <w:rPr>
                <w:highlight w:val="black"/>
              </w:rPr>
            </w:pPr>
            <w:r>
              <w:rPr>
                <w:noProof/>
                <w:color w:val="000000"/>
                <w:highlight w:val="black"/>
              </w:rPr>
              <w:t>'''''''''''''''' ''''''''''''''''</w:t>
            </w:r>
          </w:p>
          <w:p w:rsidR="008359A2" w:rsidRPr="00500271" w:rsidRDefault="00500271" w:rsidP="00027DD4">
            <w:pPr>
              <w:pStyle w:val="TableText0"/>
              <w:rPr>
                <w:highlight w:val="black"/>
              </w:rPr>
            </w:pPr>
            <w:r>
              <w:rPr>
                <w:noProof/>
                <w:color w:val="000000"/>
                <w:highlight w:val="black"/>
              </w:rPr>
              <w:t>'''''''''''''''''  ''''  '''''''''''''''''''''''</w:t>
            </w:r>
          </w:p>
          <w:p w:rsidR="008359A2" w:rsidRPr="00500271" w:rsidRDefault="00500271" w:rsidP="00027DD4">
            <w:pPr>
              <w:pStyle w:val="TableText0"/>
              <w:rPr>
                <w:highlight w:val="black"/>
              </w:rPr>
            </w:pPr>
            <w:r>
              <w:rPr>
                <w:noProof/>
                <w:color w:val="000000"/>
                <w:highlight w:val="black"/>
              </w:rPr>
              <w:t>''''''''''''''  ''''  ''''''''''''''''''''''''</w:t>
            </w:r>
          </w:p>
        </w:tc>
        <w:tc>
          <w:tcPr>
            <w:tcW w:w="2052" w:type="dxa"/>
          </w:tcPr>
          <w:p w:rsidR="008359A2" w:rsidRPr="00500271" w:rsidRDefault="00500271" w:rsidP="00027DD4">
            <w:pPr>
              <w:pStyle w:val="TableText0"/>
              <w:rPr>
                <w:highlight w:val="black"/>
              </w:rPr>
            </w:pPr>
            <w:r>
              <w:rPr>
                <w:noProof/>
                <w:color w:val="000000"/>
                <w:highlight w:val="black"/>
              </w:rPr>
              <w:t>'''''''''' '''''''''''''''</w:t>
            </w:r>
          </w:p>
          <w:p w:rsidR="008359A2" w:rsidRPr="00500271" w:rsidRDefault="00500271" w:rsidP="00027DD4">
            <w:pPr>
              <w:pStyle w:val="TableText0"/>
              <w:rPr>
                <w:highlight w:val="black"/>
              </w:rPr>
            </w:pPr>
            <w:r>
              <w:rPr>
                <w:noProof/>
                <w:color w:val="000000"/>
                <w:highlight w:val="black"/>
              </w:rPr>
              <w:t>''''''''''''''''''  ''''  '''''''''''''''''''''''</w:t>
            </w:r>
          </w:p>
          <w:p w:rsidR="008359A2" w:rsidRPr="00500271" w:rsidRDefault="00500271" w:rsidP="00027DD4">
            <w:pPr>
              <w:pStyle w:val="TableText0"/>
              <w:rPr>
                <w:highlight w:val="black"/>
              </w:rPr>
            </w:pPr>
            <w:r>
              <w:rPr>
                <w:noProof/>
                <w:color w:val="000000"/>
                <w:highlight w:val="black"/>
              </w:rPr>
              <w:t>'''''''''''''''  ''''  '''''''''''''''''''''''</w:t>
            </w:r>
          </w:p>
        </w:tc>
        <w:tc>
          <w:tcPr>
            <w:tcW w:w="2053" w:type="dxa"/>
          </w:tcPr>
          <w:p w:rsidR="008359A2" w:rsidRPr="00500271" w:rsidRDefault="00500271" w:rsidP="00027DD4">
            <w:pPr>
              <w:pStyle w:val="TableText0"/>
              <w:rPr>
                <w:highlight w:val="black"/>
              </w:rPr>
            </w:pPr>
            <w:r>
              <w:rPr>
                <w:noProof/>
                <w:color w:val="000000"/>
                <w:highlight w:val="black"/>
              </w:rPr>
              <w:t>''''''''</w:t>
            </w:r>
          </w:p>
        </w:tc>
      </w:tr>
      <w:tr w:rsidR="008359A2" w:rsidRPr="00092F60" w:rsidTr="00027DD4">
        <w:tc>
          <w:tcPr>
            <w:tcW w:w="3085" w:type="dxa"/>
          </w:tcPr>
          <w:p w:rsidR="008359A2" w:rsidRPr="00092F60" w:rsidRDefault="008359A2" w:rsidP="00027DD4">
            <w:pPr>
              <w:pStyle w:val="TableText0"/>
            </w:pPr>
            <w:r w:rsidRPr="00092F60">
              <w:t>Proportion of patients experiencing an LDH ≥ 1.5 ULN while on treatment</w:t>
            </w:r>
          </w:p>
        </w:tc>
        <w:tc>
          <w:tcPr>
            <w:tcW w:w="2052" w:type="dxa"/>
            <w:shd w:val="clear" w:color="auto" w:fill="auto"/>
          </w:tcPr>
          <w:p w:rsidR="008359A2" w:rsidRPr="00500271" w:rsidRDefault="00500271" w:rsidP="00027DD4">
            <w:pPr>
              <w:pStyle w:val="TableText0"/>
              <w:rPr>
                <w:highlight w:val="black"/>
              </w:rPr>
            </w:pPr>
            <w:r>
              <w:rPr>
                <w:noProof/>
                <w:color w:val="000000"/>
                <w:highlight w:val="black"/>
              </w:rPr>
              <w:t>'''''''''</w:t>
            </w:r>
          </w:p>
        </w:tc>
        <w:tc>
          <w:tcPr>
            <w:tcW w:w="2052" w:type="dxa"/>
          </w:tcPr>
          <w:p w:rsidR="008359A2" w:rsidRPr="00500271" w:rsidRDefault="00500271" w:rsidP="00027DD4">
            <w:pPr>
              <w:pStyle w:val="TableText0"/>
              <w:rPr>
                <w:highlight w:val="black"/>
              </w:rPr>
            </w:pPr>
            <w:r>
              <w:rPr>
                <w:noProof/>
                <w:color w:val="000000"/>
                <w:highlight w:val="black"/>
              </w:rPr>
              <w:t>''''''''''''''' '''''''''''''''''</w:t>
            </w:r>
          </w:p>
        </w:tc>
        <w:tc>
          <w:tcPr>
            <w:tcW w:w="2053" w:type="dxa"/>
          </w:tcPr>
          <w:p w:rsidR="008359A2" w:rsidRPr="00500271" w:rsidRDefault="00500271" w:rsidP="00027DD4">
            <w:pPr>
              <w:pStyle w:val="TableText0"/>
              <w:rPr>
                <w:highlight w:val="black"/>
              </w:rPr>
            </w:pPr>
            <w:r>
              <w:rPr>
                <w:noProof/>
                <w:color w:val="000000"/>
                <w:highlight w:val="black"/>
              </w:rPr>
              <w:t>'''''''''</w:t>
            </w:r>
          </w:p>
        </w:tc>
      </w:tr>
      <w:tr w:rsidR="008359A2" w:rsidRPr="00092F60" w:rsidTr="00027DD4">
        <w:tc>
          <w:tcPr>
            <w:tcW w:w="3085" w:type="dxa"/>
          </w:tcPr>
          <w:p w:rsidR="008359A2" w:rsidRPr="00092F60" w:rsidRDefault="008359A2" w:rsidP="00027DD4">
            <w:pPr>
              <w:pStyle w:val="TableText0"/>
            </w:pPr>
            <w:r w:rsidRPr="00092F60">
              <w:t>Median haemoglobin for all tests on the registry (on treatment)</w:t>
            </w:r>
          </w:p>
        </w:tc>
        <w:tc>
          <w:tcPr>
            <w:tcW w:w="2052" w:type="dxa"/>
            <w:shd w:val="clear" w:color="auto" w:fill="auto"/>
          </w:tcPr>
          <w:p w:rsidR="008359A2" w:rsidRPr="00500271" w:rsidRDefault="00500271" w:rsidP="00027DD4">
            <w:pPr>
              <w:pStyle w:val="TableText0"/>
              <w:rPr>
                <w:highlight w:val="black"/>
              </w:rPr>
            </w:pPr>
            <w:r>
              <w:rPr>
                <w:noProof/>
                <w:color w:val="000000"/>
                <w:highlight w:val="black"/>
              </w:rPr>
              <w:t>''''''''</w:t>
            </w:r>
          </w:p>
        </w:tc>
        <w:tc>
          <w:tcPr>
            <w:tcW w:w="2052" w:type="dxa"/>
          </w:tcPr>
          <w:p w:rsidR="008359A2" w:rsidRPr="00500271" w:rsidRDefault="00500271" w:rsidP="00027DD4">
            <w:pPr>
              <w:pStyle w:val="TableText0"/>
              <w:rPr>
                <w:highlight w:val="black"/>
              </w:rPr>
            </w:pPr>
            <w:r>
              <w:rPr>
                <w:noProof/>
                <w:color w:val="000000"/>
                <w:highlight w:val="black"/>
              </w:rPr>
              <w:t>''''''''''''''' '''''''''''''''''''''' '''''''''' ''''''''''</w:t>
            </w:r>
          </w:p>
        </w:tc>
        <w:tc>
          <w:tcPr>
            <w:tcW w:w="2053" w:type="dxa"/>
          </w:tcPr>
          <w:p w:rsidR="008359A2" w:rsidRPr="00500271" w:rsidRDefault="00500271" w:rsidP="00027DD4">
            <w:pPr>
              <w:pStyle w:val="TableText0"/>
              <w:rPr>
                <w:highlight w:val="black"/>
              </w:rPr>
            </w:pPr>
            <w:r>
              <w:rPr>
                <w:noProof/>
                <w:color w:val="000000"/>
                <w:highlight w:val="black"/>
              </w:rPr>
              <w:t>''''''''</w:t>
            </w:r>
          </w:p>
        </w:tc>
      </w:tr>
      <w:tr w:rsidR="008359A2" w:rsidRPr="00092F60" w:rsidTr="00027DD4">
        <w:tc>
          <w:tcPr>
            <w:tcW w:w="3085" w:type="dxa"/>
          </w:tcPr>
          <w:p w:rsidR="008359A2" w:rsidRPr="00092F60" w:rsidRDefault="008359A2" w:rsidP="00027DD4">
            <w:pPr>
              <w:pStyle w:val="TableText0"/>
            </w:pPr>
            <w:r w:rsidRPr="00092F60">
              <w:t>Median haemoglobin at most recent test</w:t>
            </w:r>
          </w:p>
        </w:tc>
        <w:tc>
          <w:tcPr>
            <w:tcW w:w="2052" w:type="dxa"/>
            <w:shd w:val="clear" w:color="auto" w:fill="auto"/>
          </w:tcPr>
          <w:p w:rsidR="008359A2" w:rsidRPr="00500271" w:rsidRDefault="00500271" w:rsidP="00027DD4">
            <w:pPr>
              <w:pStyle w:val="TableText0"/>
              <w:rPr>
                <w:highlight w:val="black"/>
              </w:rPr>
            </w:pPr>
            <w:r>
              <w:rPr>
                <w:noProof/>
                <w:color w:val="000000"/>
                <w:highlight w:val="black"/>
              </w:rPr>
              <w:t>''''''''</w:t>
            </w:r>
          </w:p>
        </w:tc>
        <w:tc>
          <w:tcPr>
            <w:tcW w:w="2052" w:type="dxa"/>
          </w:tcPr>
          <w:p w:rsidR="008359A2" w:rsidRPr="00500271" w:rsidRDefault="00500271" w:rsidP="00027DD4">
            <w:pPr>
              <w:pStyle w:val="TableText0"/>
              <w:rPr>
                <w:highlight w:val="black"/>
              </w:rPr>
            </w:pPr>
            <w:r>
              <w:rPr>
                <w:noProof/>
                <w:color w:val="000000"/>
                <w:highlight w:val="black"/>
              </w:rPr>
              <w:t>'''''''''''''''''''</w:t>
            </w:r>
          </w:p>
        </w:tc>
        <w:tc>
          <w:tcPr>
            <w:tcW w:w="2053" w:type="dxa"/>
          </w:tcPr>
          <w:p w:rsidR="008359A2" w:rsidRPr="00500271" w:rsidRDefault="00500271" w:rsidP="00027DD4">
            <w:pPr>
              <w:pStyle w:val="TableText0"/>
              <w:rPr>
                <w:highlight w:val="black"/>
              </w:rPr>
            </w:pPr>
            <w:r>
              <w:rPr>
                <w:noProof/>
                <w:color w:val="000000"/>
                <w:highlight w:val="black"/>
              </w:rPr>
              <w:t>''''''''''''''''</w:t>
            </w:r>
          </w:p>
        </w:tc>
      </w:tr>
      <w:tr w:rsidR="008359A2" w:rsidRPr="00092F60" w:rsidTr="00027DD4">
        <w:tc>
          <w:tcPr>
            <w:tcW w:w="3085" w:type="dxa"/>
          </w:tcPr>
          <w:p w:rsidR="008359A2" w:rsidRPr="00092F60" w:rsidRDefault="008359A2" w:rsidP="00027DD4">
            <w:pPr>
              <w:pStyle w:val="TableText0"/>
            </w:pPr>
            <w:r w:rsidRPr="00092F60">
              <w:t>Proportion of patients whose average Hb (while on treatment) is lower than 120g/L (LLN for women)</w:t>
            </w:r>
          </w:p>
        </w:tc>
        <w:tc>
          <w:tcPr>
            <w:tcW w:w="2052" w:type="dxa"/>
            <w:shd w:val="clear" w:color="auto" w:fill="auto"/>
          </w:tcPr>
          <w:p w:rsidR="008359A2" w:rsidRPr="00500271" w:rsidRDefault="00500271" w:rsidP="00027DD4">
            <w:pPr>
              <w:pStyle w:val="TableText0"/>
              <w:rPr>
                <w:highlight w:val="black"/>
              </w:rPr>
            </w:pPr>
            <w:r>
              <w:rPr>
                <w:noProof/>
                <w:color w:val="000000"/>
                <w:highlight w:val="black"/>
              </w:rPr>
              <w:t>'''''''</w:t>
            </w:r>
          </w:p>
        </w:tc>
        <w:tc>
          <w:tcPr>
            <w:tcW w:w="2052" w:type="dxa"/>
          </w:tcPr>
          <w:p w:rsidR="008359A2" w:rsidRPr="00500271" w:rsidRDefault="00500271" w:rsidP="00027DD4">
            <w:pPr>
              <w:pStyle w:val="TableText0"/>
              <w:rPr>
                <w:highlight w:val="black"/>
              </w:rPr>
            </w:pPr>
            <w:r>
              <w:rPr>
                <w:noProof/>
                <w:color w:val="000000"/>
                <w:highlight w:val="black"/>
              </w:rPr>
              <w:t>'''''''''' ''''''''''''''''''</w:t>
            </w:r>
          </w:p>
        </w:tc>
        <w:tc>
          <w:tcPr>
            <w:tcW w:w="2053" w:type="dxa"/>
          </w:tcPr>
          <w:p w:rsidR="008359A2" w:rsidRPr="00500271" w:rsidRDefault="00500271" w:rsidP="00027DD4">
            <w:pPr>
              <w:pStyle w:val="TableText0"/>
              <w:rPr>
                <w:highlight w:val="black"/>
              </w:rPr>
            </w:pPr>
            <w:r>
              <w:rPr>
                <w:noProof/>
                <w:color w:val="000000"/>
                <w:highlight w:val="black"/>
              </w:rPr>
              <w:t>''''''''</w:t>
            </w:r>
          </w:p>
        </w:tc>
      </w:tr>
      <w:tr w:rsidR="008359A2" w:rsidRPr="00092F60" w:rsidTr="00027DD4">
        <w:tc>
          <w:tcPr>
            <w:tcW w:w="3085" w:type="dxa"/>
          </w:tcPr>
          <w:p w:rsidR="008359A2" w:rsidRPr="00092F60" w:rsidRDefault="008359A2" w:rsidP="00027DD4">
            <w:pPr>
              <w:pStyle w:val="TableText0"/>
            </w:pPr>
            <w:r w:rsidRPr="00092F60">
              <w:t>Proportion of patients whose average Hb (while on treatment) is lower than 120g/L excluding measurements taken within the first year of treatment.</w:t>
            </w:r>
          </w:p>
        </w:tc>
        <w:tc>
          <w:tcPr>
            <w:tcW w:w="2052" w:type="dxa"/>
            <w:shd w:val="clear" w:color="auto" w:fill="auto"/>
          </w:tcPr>
          <w:p w:rsidR="008359A2" w:rsidRPr="00500271" w:rsidRDefault="00500271" w:rsidP="00027DD4">
            <w:pPr>
              <w:pStyle w:val="TableText0"/>
              <w:rPr>
                <w:highlight w:val="black"/>
              </w:rPr>
            </w:pPr>
            <w:r>
              <w:rPr>
                <w:noProof/>
                <w:color w:val="000000"/>
                <w:highlight w:val="black"/>
              </w:rPr>
              <w:t>'''''''</w:t>
            </w:r>
          </w:p>
        </w:tc>
        <w:tc>
          <w:tcPr>
            <w:tcW w:w="2052" w:type="dxa"/>
          </w:tcPr>
          <w:p w:rsidR="008359A2" w:rsidRPr="00500271" w:rsidRDefault="00500271" w:rsidP="00027DD4">
            <w:pPr>
              <w:pStyle w:val="TableText0"/>
              <w:rPr>
                <w:highlight w:val="black"/>
              </w:rPr>
            </w:pPr>
            <w:r>
              <w:rPr>
                <w:noProof/>
                <w:color w:val="000000"/>
                <w:highlight w:val="black"/>
              </w:rPr>
              <w:t>'''''''''' ''''''''''''''''</w:t>
            </w:r>
          </w:p>
        </w:tc>
        <w:tc>
          <w:tcPr>
            <w:tcW w:w="2053" w:type="dxa"/>
          </w:tcPr>
          <w:p w:rsidR="008359A2" w:rsidRPr="00500271" w:rsidRDefault="008359A2" w:rsidP="00027DD4">
            <w:pPr>
              <w:pStyle w:val="TableText0"/>
            </w:pPr>
          </w:p>
        </w:tc>
      </w:tr>
      <w:tr w:rsidR="008359A2" w:rsidRPr="00092F60" w:rsidTr="00027DD4">
        <w:tc>
          <w:tcPr>
            <w:tcW w:w="3085" w:type="dxa"/>
          </w:tcPr>
          <w:p w:rsidR="008359A2" w:rsidRPr="00092F60" w:rsidRDefault="008359A2" w:rsidP="00027DD4">
            <w:pPr>
              <w:pStyle w:val="TableText0"/>
            </w:pPr>
            <w:r w:rsidRPr="00092F60">
              <w:t>Proportion of patients who had transfusions while on treatment</w:t>
            </w:r>
          </w:p>
        </w:tc>
        <w:tc>
          <w:tcPr>
            <w:tcW w:w="2052" w:type="dxa"/>
            <w:shd w:val="clear" w:color="auto" w:fill="auto"/>
          </w:tcPr>
          <w:p w:rsidR="008359A2" w:rsidRPr="00500271" w:rsidRDefault="00500271" w:rsidP="00027DD4">
            <w:pPr>
              <w:pStyle w:val="TableText0"/>
              <w:rPr>
                <w:highlight w:val="black"/>
              </w:rPr>
            </w:pPr>
            <w:r>
              <w:rPr>
                <w:noProof/>
                <w:color w:val="000000"/>
                <w:highlight w:val="black"/>
              </w:rPr>
              <w:t>'''''''''</w:t>
            </w:r>
          </w:p>
        </w:tc>
        <w:tc>
          <w:tcPr>
            <w:tcW w:w="2052" w:type="dxa"/>
          </w:tcPr>
          <w:p w:rsidR="008359A2" w:rsidRPr="00500271" w:rsidRDefault="00500271" w:rsidP="00027DD4">
            <w:pPr>
              <w:pStyle w:val="TableText0"/>
              <w:rPr>
                <w:highlight w:val="black"/>
              </w:rPr>
            </w:pPr>
            <w:r>
              <w:rPr>
                <w:noProof/>
                <w:color w:val="000000"/>
                <w:highlight w:val="black"/>
              </w:rPr>
              <w:t>'''''''''''''' ''''''''''''''''''</w:t>
            </w:r>
          </w:p>
        </w:tc>
        <w:tc>
          <w:tcPr>
            <w:tcW w:w="2053" w:type="dxa"/>
          </w:tcPr>
          <w:p w:rsidR="008359A2" w:rsidRPr="00500271" w:rsidRDefault="00500271" w:rsidP="00027DD4">
            <w:pPr>
              <w:pStyle w:val="TableText0"/>
              <w:rPr>
                <w:highlight w:val="black"/>
              </w:rPr>
            </w:pPr>
            <w:r>
              <w:rPr>
                <w:noProof/>
                <w:color w:val="000000"/>
                <w:highlight w:val="black"/>
              </w:rPr>
              <w:t>'''''''</w:t>
            </w:r>
          </w:p>
        </w:tc>
      </w:tr>
      <w:tr w:rsidR="008359A2" w:rsidRPr="00092F60" w:rsidTr="00027DD4">
        <w:tc>
          <w:tcPr>
            <w:tcW w:w="3085" w:type="dxa"/>
          </w:tcPr>
          <w:p w:rsidR="008359A2" w:rsidRPr="00092F60" w:rsidRDefault="008359A2" w:rsidP="00027DD4">
            <w:pPr>
              <w:pStyle w:val="TableText0"/>
            </w:pPr>
            <w:r w:rsidRPr="00092F60">
              <w:t>Average number of units for those who received transfusions</w:t>
            </w:r>
          </w:p>
        </w:tc>
        <w:tc>
          <w:tcPr>
            <w:tcW w:w="2052" w:type="dxa"/>
            <w:shd w:val="clear" w:color="auto" w:fill="auto"/>
          </w:tcPr>
          <w:p w:rsidR="008359A2" w:rsidRPr="00500271" w:rsidRDefault="00500271" w:rsidP="00027DD4">
            <w:pPr>
              <w:pStyle w:val="TableText0"/>
              <w:rPr>
                <w:highlight w:val="black"/>
              </w:rPr>
            </w:pPr>
            <w:r>
              <w:rPr>
                <w:noProof/>
                <w:color w:val="000000"/>
                <w:highlight w:val="black"/>
              </w:rPr>
              <w:t>'''''''</w:t>
            </w:r>
          </w:p>
        </w:tc>
        <w:tc>
          <w:tcPr>
            <w:tcW w:w="2052" w:type="dxa"/>
          </w:tcPr>
          <w:p w:rsidR="008359A2" w:rsidRPr="00500271" w:rsidRDefault="00500271" w:rsidP="00027DD4">
            <w:pPr>
              <w:pStyle w:val="TableText0"/>
              <w:rPr>
                <w:highlight w:val="black"/>
              </w:rPr>
            </w:pPr>
            <w:r>
              <w:rPr>
                <w:noProof/>
                <w:color w:val="000000"/>
                <w:highlight w:val="black"/>
              </w:rPr>
              <w:t>''''''''''''''''''''''''''''''' '''''''' ''''''''''''' '''''''' '''''''''' ''''''' '''''''''''''''''' '''''''''' '''''''''''''''''' '''' ''''''''''''''''''''''''''' ''''''''''''''''''''' ''''''''''''' '''''' '''' ''''''''' '''''''''''''''''''''</w:t>
            </w:r>
          </w:p>
        </w:tc>
        <w:tc>
          <w:tcPr>
            <w:tcW w:w="2053" w:type="dxa"/>
          </w:tcPr>
          <w:p w:rsidR="008359A2" w:rsidRPr="00500271" w:rsidRDefault="00500271" w:rsidP="00027DD4">
            <w:pPr>
              <w:pStyle w:val="TableText0"/>
              <w:rPr>
                <w:highlight w:val="black"/>
              </w:rPr>
            </w:pPr>
            <w:r>
              <w:rPr>
                <w:noProof/>
                <w:color w:val="000000"/>
                <w:highlight w:val="black"/>
              </w:rPr>
              <w:t>'''''''</w:t>
            </w:r>
          </w:p>
        </w:tc>
      </w:tr>
    </w:tbl>
    <w:p w:rsidR="008359A2" w:rsidRDefault="008359A2" w:rsidP="008359A2">
      <w:pPr>
        <w:pStyle w:val="TableNote"/>
        <w:spacing w:after="120"/>
        <w:ind w:left="130" w:hanging="130"/>
        <w:rPr>
          <w:snapToGrid w:val="0"/>
        </w:rPr>
      </w:pPr>
      <w:r>
        <w:rPr>
          <w:snapToGrid w:val="0"/>
        </w:rPr>
        <w:t xml:space="preserve">LDH = lactase dehydrogenase; LLN = lower limit of normal; </w:t>
      </w:r>
      <w:r w:rsidRPr="00092F60">
        <w:rPr>
          <w:snapToGrid w:val="0"/>
        </w:rPr>
        <w:t>NE</w:t>
      </w:r>
      <w:r>
        <w:rPr>
          <w:snapToGrid w:val="0"/>
          <w:vertAlign w:val="superscript"/>
        </w:rPr>
        <w:t>b</w:t>
      </w:r>
      <w:r w:rsidRPr="00652355">
        <w:rPr>
          <w:snapToGrid w:val="0"/>
          <w:spacing w:val="-20"/>
        </w:rPr>
        <w:t xml:space="preserve"> = </w:t>
      </w:r>
      <w:r w:rsidRPr="00092F60">
        <w:rPr>
          <w:snapToGrid w:val="0"/>
        </w:rPr>
        <w:t>not extractable</w:t>
      </w:r>
      <w:r>
        <w:rPr>
          <w:snapToGrid w:val="0"/>
        </w:rPr>
        <w:t>; NR = not reported; PNH = paroxysmal nocturnal haemoglobinuria; ULN = upper limit of normal</w:t>
      </w:r>
    </w:p>
    <w:p w:rsidR="008359A2" w:rsidRPr="00092F60" w:rsidRDefault="008359A2" w:rsidP="008359A2">
      <w:pPr>
        <w:pStyle w:val="TableNote"/>
        <w:rPr>
          <w:snapToGrid w:val="0"/>
        </w:rPr>
      </w:pPr>
      <w:proofErr w:type="gramStart"/>
      <w:r w:rsidRPr="00092F60">
        <w:rPr>
          <w:snapToGrid w:val="0"/>
          <w:vertAlign w:val="superscript"/>
        </w:rPr>
        <w:t>a</w:t>
      </w:r>
      <w:proofErr w:type="gramEnd"/>
      <w:r>
        <w:rPr>
          <w:snapToGrid w:val="0"/>
          <w:vertAlign w:val="superscript"/>
        </w:rPr>
        <w:t xml:space="preserve"> </w:t>
      </w:r>
      <w:r w:rsidRPr="00092F60">
        <w:rPr>
          <w:snapToGrid w:val="0"/>
        </w:rPr>
        <w:t>Follow up is measured from treatment start to final recorded transfusion in patients who experienced at least one transfusion.</w:t>
      </w:r>
    </w:p>
    <w:p w:rsidR="008359A2" w:rsidRDefault="008359A2" w:rsidP="008359A2">
      <w:pPr>
        <w:pStyle w:val="TableNote"/>
        <w:spacing w:after="120"/>
        <w:ind w:left="130" w:hanging="130"/>
        <w:rPr>
          <w:snapToGrid w:val="0"/>
        </w:rPr>
      </w:pPr>
      <w:proofErr w:type="gramStart"/>
      <w:r>
        <w:rPr>
          <w:snapToGrid w:val="0"/>
          <w:vertAlign w:val="superscript"/>
        </w:rPr>
        <w:t>b</w:t>
      </w:r>
      <w:proofErr w:type="gramEnd"/>
      <w:r w:rsidRPr="00092F60">
        <w:rPr>
          <w:snapToGrid w:val="0"/>
        </w:rPr>
        <w:t xml:space="preserve"> (the data may be available but is in a format that cannot be queried, or would be onerous to extract).  Note that the LDH data were extracted from the patient summary although the process was lengthy and replicating it for other variables would be equally as lengthy.</w:t>
      </w:r>
    </w:p>
    <w:p w:rsidR="008359A2" w:rsidRDefault="008359A2" w:rsidP="008359A2">
      <w:pPr>
        <w:pStyle w:val="TableNote"/>
        <w:rPr>
          <w:snapToGrid w:val="0"/>
        </w:rPr>
      </w:pPr>
      <w:r w:rsidRPr="00092F60">
        <w:rPr>
          <w:snapToGrid w:val="0"/>
        </w:rPr>
        <w:t xml:space="preserve">General note: proportions, means and medians reported for laboratory outcomes may exaggerate the severity and likelihood of adverse findings as it is likely that clinicians would more likely order laboratory tests in those who they suspect as having a negative finding (low haemoglobin, high LDH).  </w:t>
      </w:r>
    </w:p>
    <w:p w:rsidR="00C6200C" w:rsidRDefault="00C6200C" w:rsidP="00225936">
      <w:pPr>
        <w:pStyle w:val="TableNote"/>
        <w:rPr>
          <w:snapToGrid w:val="0"/>
          <w:highlight w:val="black"/>
        </w:rPr>
      </w:pPr>
    </w:p>
    <w:p w:rsidR="008359A2" w:rsidRPr="006A71AB" w:rsidRDefault="008359A2" w:rsidP="008359A2">
      <w:pPr>
        <w:pStyle w:val="Caption"/>
        <w:keepNext/>
        <w:tabs>
          <w:tab w:val="clear" w:pos="851"/>
          <w:tab w:val="left" w:pos="1134"/>
        </w:tabs>
        <w:ind w:left="1134" w:hanging="1134"/>
      </w:pPr>
      <w:bookmarkStart w:id="492" w:name="_Ref405756580"/>
      <w:bookmarkStart w:id="493" w:name="_Toc411510495"/>
      <w:bookmarkStart w:id="494" w:name="_Toc415141928"/>
      <w:r w:rsidRPr="006A71AB">
        <w:t xml:space="preserve">Table </w:t>
      </w:r>
      <w:r>
        <w:rPr>
          <w:noProof/>
        </w:rPr>
        <w:t>131</w:t>
      </w:r>
      <w:bookmarkEnd w:id="492"/>
      <w:r w:rsidRPr="006A71AB">
        <w:tab/>
        <w:t>Fatigue and hospitalisations</w:t>
      </w:r>
      <w:bookmarkEnd w:id="493"/>
      <w:bookmarkEnd w:id="494"/>
    </w:p>
    <w:tbl>
      <w:tblPr>
        <w:tblStyle w:val="TableGrid"/>
        <w:tblW w:w="0" w:type="auto"/>
        <w:tblLook w:val="04A0" w:firstRow="1" w:lastRow="0" w:firstColumn="1" w:lastColumn="0" w:noHBand="0" w:noVBand="1"/>
        <w:tblCaption w:val="Table 97 Fatigue and hospitalisations"/>
        <w:tblDescription w:val="Fatigue and hospitalisations for PNH patients in Australia (data from LSDP summary sheets and Alexion)"/>
      </w:tblPr>
      <w:tblGrid>
        <w:gridCol w:w="3085"/>
        <w:gridCol w:w="2052"/>
        <w:gridCol w:w="2052"/>
        <w:gridCol w:w="2053"/>
      </w:tblGrid>
      <w:tr w:rsidR="008359A2" w:rsidRPr="00092F60" w:rsidTr="00027DD4">
        <w:trPr>
          <w:tblHeader/>
        </w:trPr>
        <w:tc>
          <w:tcPr>
            <w:tcW w:w="3085" w:type="dxa"/>
          </w:tcPr>
          <w:p w:rsidR="008359A2" w:rsidRPr="00092F60" w:rsidRDefault="008359A2" w:rsidP="00027DD4">
            <w:pPr>
              <w:pStyle w:val="TableHeading"/>
            </w:pPr>
            <w:r>
              <w:t>Outcome measure</w:t>
            </w:r>
          </w:p>
        </w:tc>
        <w:tc>
          <w:tcPr>
            <w:tcW w:w="2052" w:type="dxa"/>
          </w:tcPr>
          <w:p w:rsidR="008359A2" w:rsidRPr="00092F60" w:rsidRDefault="008359A2" w:rsidP="00027DD4">
            <w:pPr>
              <w:pStyle w:val="TableHeading"/>
              <w:jc w:val="center"/>
            </w:pPr>
            <w:r w:rsidRPr="00092F60">
              <w:t>LSDP patient sheets</w:t>
            </w:r>
          </w:p>
        </w:tc>
        <w:tc>
          <w:tcPr>
            <w:tcW w:w="2052" w:type="dxa"/>
          </w:tcPr>
          <w:p w:rsidR="008359A2" w:rsidRPr="00092F60" w:rsidRDefault="008359A2" w:rsidP="00027DD4">
            <w:pPr>
              <w:pStyle w:val="TableHeading"/>
              <w:jc w:val="center"/>
            </w:pPr>
            <w:r w:rsidRPr="00092F60">
              <w:t>Alexion database</w:t>
            </w:r>
          </w:p>
        </w:tc>
        <w:tc>
          <w:tcPr>
            <w:tcW w:w="2053" w:type="dxa"/>
          </w:tcPr>
          <w:p w:rsidR="008359A2" w:rsidRPr="00092F60" w:rsidRDefault="008359A2" w:rsidP="00027DD4">
            <w:pPr>
              <w:pStyle w:val="TableHeading"/>
              <w:jc w:val="center"/>
            </w:pPr>
            <w:r w:rsidRPr="00092F60">
              <w:t>Alexion PNH report</w:t>
            </w:r>
          </w:p>
        </w:tc>
      </w:tr>
      <w:tr w:rsidR="008359A2" w:rsidRPr="00092F60" w:rsidTr="00027DD4">
        <w:tc>
          <w:tcPr>
            <w:tcW w:w="3085" w:type="dxa"/>
          </w:tcPr>
          <w:p w:rsidR="008359A2" w:rsidRPr="00092F60" w:rsidRDefault="008359A2" w:rsidP="00027DD4">
            <w:pPr>
              <w:pStyle w:val="TableText0"/>
            </w:pPr>
            <w:r w:rsidRPr="00092F60">
              <w:t>Proportion of patients who experienced severe fatigue while on treatment (FACIT Fatigue score of less than 30)</w:t>
            </w:r>
          </w:p>
        </w:tc>
        <w:tc>
          <w:tcPr>
            <w:tcW w:w="2052" w:type="dxa"/>
          </w:tcPr>
          <w:p w:rsidR="008359A2" w:rsidRPr="00500271" w:rsidRDefault="00500271" w:rsidP="00027DD4">
            <w:pPr>
              <w:pStyle w:val="TableText0"/>
              <w:jc w:val="center"/>
              <w:rPr>
                <w:highlight w:val="black"/>
              </w:rPr>
            </w:pPr>
            <w:r>
              <w:rPr>
                <w:noProof/>
                <w:color w:val="000000"/>
                <w:highlight w:val="black"/>
              </w:rPr>
              <w:t>''''''''</w:t>
            </w:r>
          </w:p>
        </w:tc>
        <w:tc>
          <w:tcPr>
            <w:tcW w:w="2052" w:type="dxa"/>
          </w:tcPr>
          <w:p w:rsidR="008359A2" w:rsidRPr="00500271" w:rsidRDefault="00500271" w:rsidP="00027DD4">
            <w:pPr>
              <w:pStyle w:val="TableText0"/>
              <w:jc w:val="center"/>
              <w:rPr>
                <w:highlight w:val="black"/>
              </w:rPr>
            </w:pPr>
            <w:r>
              <w:rPr>
                <w:noProof/>
                <w:color w:val="000000"/>
                <w:highlight w:val="black"/>
              </w:rPr>
              <w:t>''''''''''''''' '''''''''''''''''</w:t>
            </w:r>
          </w:p>
        </w:tc>
        <w:tc>
          <w:tcPr>
            <w:tcW w:w="2053" w:type="dxa"/>
          </w:tcPr>
          <w:p w:rsidR="008359A2" w:rsidRPr="00500271" w:rsidRDefault="00500271" w:rsidP="00027DD4">
            <w:pPr>
              <w:pStyle w:val="TableText0"/>
              <w:jc w:val="center"/>
              <w:rPr>
                <w:highlight w:val="black"/>
              </w:rPr>
            </w:pPr>
            <w:r>
              <w:rPr>
                <w:noProof/>
                <w:color w:val="000000"/>
                <w:highlight w:val="black"/>
              </w:rPr>
              <w:t>''''''''</w:t>
            </w:r>
          </w:p>
        </w:tc>
      </w:tr>
      <w:tr w:rsidR="008359A2" w:rsidRPr="00092F60" w:rsidTr="00027DD4">
        <w:tc>
          <w:tcPr>
            <w:tcW w:w="3085" w:type="dxa"/>
          </w:tcPr>
          <w:p w:rsidR="008359A2" w:rsidRPr="00092F60" w:rsidRDefault="008359A2" w:rsidP="00027DD4">
            <w:pPr>
              <w:pStyle w:val="TableText0"/>
            </w:pPr>
            <w:r w:rsidRPr="00092F60">
              <w:lastRenderedPageBreak/>
              <w:t>Proportion of patients who experienced severe fatigue at the most recent QoL questionnaire.</w:t>
            </w:r>
          </w:p>
        </w:tc>
        <w:tc>
          <w:tcPr>
            <w:tcW w:w="2052" w:type="dxa"/>
          </w:tcPr>
          <w:p w:rsidR="008359A2" w:rsidRPr="00500271" w:rsidRDefault="00500271" w:rsidP="00027DD4">
            <w:pPr>
              <w:pStyle w:val="TableText0"/>
              <w:jc w:val="center"/>
              <w:rPr>
                <w:highlight w:val="black"/>
              </w:rPr>
            </w:pPr>
            <w:r>
              <w:rPr>
                <w:noProof/>
                <w:color w:val="000000"/>
                <w:highlight w:val="black"/>
              </w:rPr>
              <w:t>'''''''</w:t>
            </w:r>
          </w:p>
        </w:tc>
        <w:tc>
          <w:tcPr>
            <w:tcW w:w="2052" w:type="dxa"/>
          </w:tcPr>
          <w:p w:rsidR="008359A2" w:rsidRPr="00500271" w:rsidRDefault="00500271" w:rsidP="00027DD4">
            <w:pPr>
              <w:pStyle w:val="TableText0"/>
              <w:jc w:val="center"/>
              <w:rPr>
                <w:highlight w:val="black"/>
              </w:rPr>
            </w:pPr>
            <w:r>
              <w:rPr>
                <w:noProof/>
                <w:color w:val="000000"/>
                <w:highlight w:val="black"/>
              </w:rPr>
              <w:t>''''''''''''''' ''''''''''''''''''</w:t>
            </w:r>
          </w:p>
        </w:tc>
        <w:tc>
          <w:tcPr>
            <w:tcW w:w="2053" w:type="dxa"/>
          </w:tcPr>
          <w:p w:rsidR="008359A2" w:rsidRPr="00500271" w:rsidRDefault="00500271" w:rsidP="00027DD4">
            <w:pPr>
              <w:pStyle w:val="TableText0"/>
              <w:jc w:val="center"/>
              <w:rPr>
                <w:highlight w:val="black"/>
              </w:rPr>
            </w:pPr>
            <w:r>
              <w:rPr>
                <w:noProof/>
                <w:color w:val="000000"/>
                <w:highlight w:val="black"/>
              </w:rPr>
              <w:t>'''''''</w:t>
            </w:r>
          </w:p>
        </w:tc>
      </w:tr>
      <w:tr w:rsidR="008359A2" w:rsidRPr="00092F60" w:rsidTr="00027DD4">
        <w:tc>
          <w:tcPr>
            <w:tcW w:w="3085" w:type="dxa"/>
          </w:tcPr>
          <w:p w:rsidR="008359A2" w:rsidRPr="00092F60" w:rsidRDefault="008359A2" w:rsidP="00027DD4">
            <w:pPr>
              <w:pStyle w:val="TableText0"/>
            </w:pPr>
            <w:r w:rsidRPr="00092F60">
              <w:t>Median FACIT Fatigue score at final QoL entry (of a possible 52 – higher is better)</w:t>
            </w:r>
          </w:p>
        </w:tc>
        <w:tc>
          <w:tcPr>
            <w:tcW w:w="2052" w:type="dxa"/>
          </w:tcPr>
          <w:p w:rsidR="008359A2" w:rsidRPr="00500271" w:rsidRDefault="00500271" w:rsidP="00027DD4">
            <w:pPr>
              <w:pStyle w:val="TableText0"/>
              <w:jc w:val="center"/>
              <w:rPr>
                <w:highlight w:val="black"/>
              </w:rPr>
            </w:pPr>
            <w:r>
              <w:rPr>
                <w:noProof/>
                <w:color w:val="000000"/>
                <w:highlight w:val="black"/>
              </w:rPr>
              <w:t>''''''''</w:t>
            </w:r>
          </w:p>
        </w:tc>
        <w:tc>
          <w:tcPr>
            <w:tcW w:w="2052" w:type="dxa"/>
          </w:tcPr>
          <w:p w:rsidR="008359A2" w:rsidRPr="00500271" w:rsidRDefault="00500271" w:rsidP="00027DD4">
            <w:pPr>
              <w:pStyle w:val="TableText0"/>
              <w:jc w:val="center"/>
              <w:rPr>
                <w:highlight w:val="black"/>
              </w:rPr>
            </w:pPr>
            <w:r>
              <w:rPr>
                <w:noProof/>
                <w:color w:val="000000"/>
                <w:highlight w:val="black"/>
              </w:rPr>
              <w:t>''''''''''' '''''''''''''''' '''' ''''''' '''''''''''' '''''' '''''''''''''''''''''''</w:t>
            </w:r>
          </w:p>
        </w:tc>
        <w:tc>
          <w:tcPr>
            <w:tcW w:w="2053" w:type="dxa"/>
          </w:tcPr>
          <w:p w:rsidR="008359A2" w:rsidRPr="00500271" w:rsidRDefault="00500271" w:rsidP="00027DD4">
            <w:pPr>
              <w:pStyle w:val="TableText0"/>
              <w:jc w:val="center"/>
              <w:rPr>
                <w:highlight w:val="black"/>
              </w:rPr>
            </w:pPr>
            <w:r>
              <w:rPr>
                <w:noProof/>
                <w:color w:val="000000"/>
                <w:highlight w:val="black"/>
              </w:rPr>
              <w:t>'''''' '''''''''''''' ''''' ''''''''' ''''''''''''' ''''' '''''''''''''''''''''''</w:t>
            </w:r>
          </w:p>
        </w:tc>
      </w:tr>
      <w:tr w:rsidR="008359A2" w:rsidRPr="00092F60" w:rsidTr="00027DD4">
        <w:tc>
          <w:tcPr>
            <w:tcW w:w="3085" w:type="dxa"/>
          </w:tcPr>
          <w:p w:rsidR="008359A2" w:rsidRPr="00092F60" w:rsidRDefault="008359A2" w:rsidP="00027DD4">
            <w:pPr>
              <w:pStyle w:val="TableText0"/>
            </w:pPr>
            <w:r w:rsidRPr="00092F60">
              <w:t>Hospitalisations</w:t>
            </w:r>
            <w:r w:rsidRPr="00092F60">
              <w:rPr>
                <w:vertAlign w:val="superscript"/>
              </w:rPr>
              <w:t>a</w:t>
            </w:r>
          </w:p>
        </w:tc>
        <w:tc>
          <w:tcPr>
            <w:tcW w:w="2052" w:type="dxa"/>
          </w:tcPr>
          <w:p w:rsidR="008359A2" w:rsidRPr="00500271" w:rsidRDefault="00500271" w:rsidP="00027DD4">
            <w:pPr>
              <w:pStyle w:val="TableText0"/>
              <w:jc w:val="center"/>
              <w:rPr>
                <w:highlight w:val="black"/>
              </w:rPr>
            </w:pPr>
            <w:r>
              <w:rPr>
                <w:noProof/>
                <w:color w:val="000000"/>
                <w:highlight w:val="black"/>
              </w:rPr>
              <w:t>'''''''</w:t>
            </w:r>
          </w:p>
        </w:tc>
        <w:tc>
          <w:tcPr>
            <w:tcW w:w="2052" w:type="dxa"/>
          </w:tcPr>
          <w:p w:rsidR="008359A2" w:rsidRPr="00500271" w:rsidRDefault="00500271" w:rsidP="00027DD4">
            <w:pPr>
              <w:pStyle w:val="TableText0"/>
              <w:jc w:val="center"/>
              <w:rPr>
                <w:highlight w:val="black"/>
              </w:rPr>
            </w:pPr>
            <w:r>
              <w:rPr>
                <w:noProof/>
                <w:color w:val="000000"/>
                <w:highlight w:val="black"/>
              </w:rPr>
              <w:t>''''''' ''''''''''''''' ''''''''''' '''''''''''''''''''''''''''' '''''' '''''' ''''''''''''''''''' '''' '''''' '''''''''''' '''''''''''' '''''' '''''''''''''''''''''''' ''''''''''''''''''''''''''''''''''''' '''''''' ''''''''''' '''''''' '''''''''''' ''''''''' '''''''''''''''''''</w:t>
            </w:r>
          </w:p>
        </w:tc>
        <w:tc>
          <w:tcPr>
            <w:tcW w:w="2053" w:type="dxa"/>
          </w:tcPr>
          <w:p w:rsidR="008359A2" w:rsidRPr="00500271" w:rsidRDefault="00500271" w:rsidP="00027DD4">
            <w:pPr>
              <w:pStyle w:val="TableText0"/>
              <w:jc w:val="center"/>
              <w:rPr>
                <w:highlight w:val="black"/>
              </w:rPr>
            </w:pPr>
            <w:r>
              <w:rPr>
                <w:noProof/>
                <w:color w:val="000000"/>
                <w:highlight w:val="black"/>
              </w:rPr>
              <w:t>''''''''</w:t>
            </w:r>
          </w:p>
        </w:tc>
      </w:tr>
    </w:tbl>
    <w:p w:rsidR="008359A2" w:rsidRDefault="008359A2" w:rsidP="008359A2">
      <w:pPr>
        <w:pStyle w:val="TableNote"/>
        <w:rPr>
          <w:snapToGrid w:val="0"/>
        </w:rPr>
      </w:pPr>
      <w:r>
        <w:rPr>
          <w:snapToGrid w:val="0"/>
        </w:rPr>
        <w:t>NE</w:t>
      </w:r>
      <w:r>
        <w:rPr>
          <w:snapToGrid w:val="0"/>
          <w:vertAlign w:val="superscript"/>
        </w:rPr>
        <w:t>b</w:t>
      </w:r>
      <w:r>
        <w:rPr>
          <w:snapToGrid w:val="0"/>
        </w:rPr>
        <w:t xml:space="preserve"> = not extractable; NR = not reportable</w:t>
      </w:r>
    </w:p>
    <w:p w:rsidR="008359A2" w:rsidRPr="00092F60" w:rsidRDefault="008359A2" w:rsidP="008359A2">
      <w:pPr>
        <w:pStyle w:val="TableNote"/>
        <w:rPr>
          <w:snapToGrid w:val="0"/>
        </w:rPr>
      </w:pPr>
      <w:proofErr w:type="gramStart"/>
      <w:r w:rsidRPr="00092F60">
        <w:rPr>
          <w:snapToGrid w:val="0"/>
          <w:vertAlign w:val="superscript"/>
        </w:rPr>
        <w:t>a</w:t>
      </w:r>
      <w:proofErr w:type="gramEnd"/>
      <w:r>
        <w:rPr>
          <w:snapToGrid w:val="0"/>
          <w:vertAlign w:val="superscript"/>
        </w:rPr>
        <w:t xml:space="preserve"> </w:t>
      </w:r>
      <w:r w:rsidRPr="00092F60">
        <w:rPr>
          <w:snapToGrid w:val="0"/>
        </w:rPr>
        <w:t>Admission duration is calculated from the difference between the discharge date and the admission date inclusively (i.e., the admission day is calculated as 1 day).  In the absence of a discharge date (occurred only once) a same day admission was assumed.</w:t>
      </w:r>
    </w:p>
    <w:p w:rsidR="008359A2" w:rsidRPr="00092F60" w:rsidRDefault="008359A2" w:rsidP="008359A2">
      <w:pPr>
        <w:pStyle w:val="TableNote"/>
        <w:rPr>
          <w:snapToGrid w:val="0"/>
        </w:rPr>
      </w:pPr>
      <w:proofErr w:type="gramStart"/>
      <w:r>
        <w:rPr>
          <w:snapToGrid w:val="0"/>
          <w:vertAlign w:val="superscript"/>
        </w:rPr>
        <w:t>b</w:t>
      </w:r>
      <w:r>
        <w:rPr>
          <w:snapToGrid w:val="0"/>
        </w:rPr>
        <w:t>T</w:t>
      </w:r>
      <w:r w:rsidRPr="00092F60">
        <w:rPr>
          <w:snapToGrid w:val="0"/>
        </w:rPr>
        <w:t>he</w:t>
      </w:r>
      <w:proofErr w:type="gramEnd"/>
      <w:r w:rsidRPr="00092F60">
        <w:rPr>
          <w:snapToGrid w:val="0"/>
        </w:rPr>
        <w:t xml:space="preserve"> data may be available but is in a format that cannot be queried, or would be onerous to extract.  Note that the LDH data were extracted from the patient summary although the process was lengthy and replicating it for other variables would be equally as lengthy.</w:t>
      </w:r>
    </w:p>
    <w:p w:rsidR="008359A2" w:rsidRPr="00092F60" w:rsidRDefault="008359A2" w:rsidP="008359A2">
      <w:pPr>
        <w:rPr>
          <w:rFonts w:cstheme="minorHAnsi"/>
        </w:rPr>
      </w:pPr>
    </w:p>
    <w:p w:rsidR="008359A2" w:rsidRPr="00A62C97" w:rsidRDefault="008359A2" w:rsidP="00225936">
      <w:pPr>
        <w:pStyle w:val="TableNote"/>
        <w:rPr>
          <w:snapToGrid w:val="0"/>
          <w:highlight w:val="black"/>
        </w:rPr>
      </w:pPr>
    </w:p>
    <w:p w:rsidR="00AE2A2A" w:rsidRPr="00716774" w:rsidRDefault="00AE2A2A" w:rsidP="00AE2A2A">
      <w:pPr>
        <w:pStyle w:val="Caption"/>
        <w:keepNext/>
        <w:tabs>
          <w:tab w:val="clear" w:pos="851"/>
          <w:tab w:val="left" w:pos="1134"/>
        </w:tabs>
        <w:ind w:left="1134" w:hanging="1134"/>
      </w:pPr>
      <w:bookmarkStart w:id="495" w:name="_Ref412622178"/>
      <w:bookmarkStart w:id="496" w:name="_Toc415141929"/>
      <w:r w:rsidRPr="00716774">
        <w:t xml:space="preserve">Table </w:t>
      </w:r>
      <w:r w:rsidR="00A72B26">
        <w:rPr>
          <w:noProof/>
        </w:rPr>
        <w:t>132</w:t>
      </w:r>
      <w:bookmarkEnd w:id="495"/>
      <w:r w:rsidRPr="00305731">
        <w:t xml:space="preserve"> </w:t>
      </w:r>
      <w:r>
        <w:tab/>
        <w:t>Studies included assessing drugs to treat paroxysmal nocturnal haemoglobinuria (PNH)</w:t>
      </w:r>
      <w:bookmarkEnd w:id="496"/>
    </w:p>
    <w:tbl>
      <w:tblPr>
        <w:tblStyle w:val="TableGrid1"/>
        <w:tblW w:w="9180" w:type="dxa"/>
        <w:tblLayout w:type="fixed"/>
        <w:tblLook w:val="04A0" w:firstRow="1" w:lastRow="0" w:firstColumn="1" w:lastColumn="0" w:noHBand="0" w:noVBand="1"/>
        <w:tblCaption w:val="Table 49  Current therapy of patients on the LSDP"/>
        <w:tblDescription w:val="Current therapy of Fabry patients on the LSDP in Australia"/>
      </w:tblPr>
      <w:tblGrid>
        <w:gridCol w:w="1485"/>
        <w:gridCol w:w="1600"/>
        <w:gridCol w:w="1985"/>
        <w:gridCol w:w="4110"/>
      </w:tblGrid>
      <w:tr w:rsidR="00AE2A2A" w:rsidRPr="000756DF" w:rsidTr="00AE2A2A">
        <w:trPr>
          <w:trHeight w:val="280"/>
          <w:tblHeader/>
        </w:trPr>
        <w:tc>
          <w:tcPr>
            <w:tcW w:w="1485" w:type="dxa"/>
            <w:noWrap/>
            <w:hideMark/>
          </w:tcPr>
          <w:p w:rsidR="00AE2A2A" w:rsidRPr="000756DF" w:rsidRDefault="00AE2A2A" w:rsidP="00AE2A2A">
            <w:pPr>
              <w:pStyle w:val="TableHeading"/>
            </w:pPr>
            <w:r>
              <w:t>Drug</w:t>
            </w:r>
          </w:p>
        </w:tc>
        <w:tc>
          <w:tcPr>
            <w:tcW w:w="1600" w:type="dxa"/>
          </w:tcPr>
          <w:p w:rsidR="00AE2A2A" w:rsidRPr="000756DF" w:rsidRDefault="00AE2A2A" w:rsidP="00AE2A2A">
            <w:pPr>
              <w:pStyle w:val="TableHeading"/>
            </w:pPr>
            <w:r>
              <w:t>Results</w:t>
            </w:r>
          </w:p>
        </w:tc>
        <w:tc>
          <w:tcPr>
            <w:tcW w:w="1985" w:type="dxa"/>
            <w:noWrap/>
            <w:hideMark/>
          </w:tcPr>
          <w:p w:rsidR="00AE2A2A" w:rsidRPr="000756DF" w:rsidRDefault="00AE2A2A" w:rsidP="00AE2A2A">
            <w:pPr>
              <w:pStyle w:val="TableHeading"/>
            </w:pPr>
            <w:r>
              <w:t>References</w:t>
            </w:r>
          </w:p>
        </w:tc>
        <w:tc>
          <w:tcPr>
            <w:tcW w:w="4110" w:type="dxa"/>
          </w:tcPr>
          <w:p w:rsidR="00AE2A2A" w:rsidRPr="000756DF" w:rsidRDefault="00AE2A2A" w:rsidP="00D12B65">
            <w:pPr>
              <w:pStyle w:val="TableHeading"/>
            </w:pPr>
            <w:r>
              <w:t xml:space="preserve">Evidence not included in </w:t>
            </w:r>
            <w:r w:rsidR="00D12B65">
              <w:t>submission to the PBAC</w:t>
            </w:r>
          </w:p>
        </w:tc>
      </w:tr>
      <w:tr w:rsidR="00AE2A2A" w:rsidRPr="000756DF" w:rsidTr="00AE2A2A">
        <w:trPr>
          <w:trHeight w:val="280"/>
        </w:trPr>
        <w:tc>
          <w:tcPr>
            <w:tcW w:w="1485" w:type="dxa"/>
            <w:noWrap/>
          </w:tcPr>
          <w:p w:rsidR="00AE2A2A" w:rsidRPr="000756DF" w:rsidRDefault="00AE2A2A" w:rsidP="00AE2A2A">
            <w:pPr>
              <w:pStyle w:val="TableText0"/>
            </w:pPr>
            <w:r>
              <w:t>Eculizumab</w:t>
            </w:r>
          </w:p>
        </w:tc>
        <w:tc>
          <w:tcPr>
            <w:tcW w:w="1600" w:type="dxa"/>
          </w:tcPr>
          <w:p w:rsidR="00AE2A2A" w:rsidRDefault="00AE2A2A" w:rsidP="00AE2A2A">
            <w:pPr>
              <w:pStyle w:val="TableText0"/>
            </w:pPr>
            <w:r>
              <w:t>1 RCT + extensions</w:t>
            </w:r>
          </w:p>
          <w:p w:rsidR="00AE2A2A" w:rsidRPr="000756DF" w:rsidRDefault="00AE2A2A" w:rsidP="00AE2A2A">
            <w:pPr>
              <w:pStyle w:val="TableText0"/>
            </w:pPr>
            <w:r>
              <w:t>1 historical control study</w:t>
            </w:r>
          </w:p>
        </w:tc>
        <w:tc>
          <w:tcPr>
            <w:tcW w:w="1985" w:type="dxa"/>
            <w:noWrap/>
          </w:tcPr>
          <w:p w:rsidR="00AE2A2A" w:rsidRPr="008C0632" w:rsidRDefault="00AE2A2A" w:rsidP="00AE2A2A">
            <w:pPr>
              <w:pStyle w:val="TableText0"/>
            </w:pPr>
            <w:r w:rsidRPr="008C0632">
              <w:t>Hillmen et al (2006)</w:t>
            </w:r>
          </w:p>
          <w:p w:rsidR="00AE2A2A" w:rsidRDefault="00AE2A2A" w:rsidP="00AE2A2A">
            <w:pPr>
              <w:pStyle w:val="TableText0"/>
            </w:pPr>
            <w:r w:rsidRPr="008C0632">
              <w:t>Hill et al (2005), Hillmen et al (2004), Brodsky (2008)</w:t>
            </w:r>
          </w:p>
          <w:p w:rsidR="00AE2A2A" w:rsidRPr="00A85853" w:rsidRDefault="00AE2A2A" w:rsidP="00AE2A2A">
            <w:pPr>
              <w:pStyle w:val="TableText0"/>
            </w:pPr>
            <w:r>
              <w:t>Kelly et al (2011)</w:t>
            </w:r>
          </w:p>
        </w:tc>
        <w:tc>
          <w:tcPr>
            <w:tcW w:w="4110" w:type="dxa"/>
          </w:tcPr>
          <w:p w:rsidR="00AE2A2A" w:rsidRDefault="00AE2A2A" w:rsidP="00AE2A2A">
            <w:pPr>
              <w:pStyle w:val="TableText0"/>
              <w:rPr>
                <w:lang w:val="en-AU"/>
              </w:rPr>
            </w:pPr>
            <w:r>
              <w:rPr>
                <w:lang w:val="en-AU"/>
              </w:rPr>
              <w:t>The historical control study, Kelly et al (2011) reported that survival was improved with eculizumab:</w:t>
            </w:r>
          </w:p>
          <w:p w:rsidR="00AE2A2A" w:rsidRPr="008C0632" w:rsidRDefault="00AE2A2A" w:rsidP="00AE2A2A">
            <w:pPr>
              <w:pStyle w:val="TableText0"/>
              <w:rPr>
                <w:lang w:val="en-AU"/>
              </w:rPr>
            </w:pPr>
            <w:r w:rsidRPr="008C0632">
              <w:rPr>
                <w:lang w:val="en-AU"/>
              </w:rPr>
              <w:t>5-year survival HR 0.21 (95%CI 0.05, 0.88)</w:t>
            </w:r>
          </w:p>
        </w:tc>
      </w:tr>
    </w:tbl>
    <w:p w:rsidR="00AE2A2A" w:rsidRDefault="00AE2A2A" w:rsidP="00AE2A2A">
      <w:pPr>
        <w:pStyle w:val="TableNote"/>
      </w:pPr>
      <w:r>
        <w:t xml:space="preserve">RCT = randomised </w:t>
      </w:r>
      <w:r w:rsidRPr="008C0632">
        <w:t xml:space="preserve">controlled trial; </w:t>
      </w:r>
      <w:r>
        <w:t>HR = hazard ratio</w:t>
      </w:r>
    </w:p>
    <w:p w:rsidR="00AE2A2A" w:rsidRPr="00AE2A2A" w:rsidRDefault="00AE2A2A" w:rsidP="00AE2A2A"/>
    <w:p w:rsidR="00AE2A2A" w:rsidRDefault="00AE2A2A" w:rsidP="00092F60">
      <w:pPr>
        <w:rPr>
          <w:rFonts w:cstheme="minorHAnsi"/>
        </w:rPr>
      </w:pPr>
    </w:p>
    <w:p w:rsidR="004E15DD" w:rsidRPr="00092F60" w:rsidRDefault="004E15DD" w:rsidP="00092F60">
      <w:pPr>
        <w:rPr>
          <w:rFonts w:cstheme="minorHAnsi"/>
        </w:rPr>
        <w:sectPr w:rsidR="004E15DD" w:rsidRPr="00092F60" w:rsidSect="00F22F82">
          <w:headerReference w:type="default" r:id="rId22"/>
          <w:footerReference w:type="default" r:id="rId23"/>
          <w:pgSz w:w="11906" w:h="16838" w:code="9"/>
          <w:pgMar w:top="1440" w:right="1440" w:bottom="1440" w:left="1440" w:header="709" w:footer="709" w:gutter="0"/>
          <w:cols w:space="708"/>
          <w:docGrid w:linePitch="360"/>
        </w:sectPr>
      </w:pPr>
    </w:p>
    <w:p w:rsidR="00092F60" w:rsidRPr="00092F60" w:rsidRDefault="00092F60" w:rsidP="00E965BD">
      <w:pPr>
        <w:pStyle w:val="Heading1"/>
      </w:pPr>
      <w:bookmarkStart w:id="497" w:name="_Toc404937283"/>
      <w:bookmarkStart w:id="498" w:name="_Toc415141736"/>
      <w:r w:rsidRPr="00092F60">
        <w:lastRenderedPageBreak/>
        <w:t>Horizon scanning</w:t>
      </w:r>
      <w:bookmarkEnd w:id="497"/>
      <w:bookmarkEnd w:id="498"/>
    </w:p>
    <w:p w:rsidR="00092F60" w:rsidRPr="00092F60" w:rsidRDefault="007A4CF4" w:rsidP="00092F60">
      <w:r>
        <w:t>A</w:t>
      </w:r>
      <w:r w:rsidR="00092F60" w:rsidRPr="00092F60">
        <w:t xml:space="preserve"> horizon scan has been performed to address ToR 2:</w:t>
      </w:r>
    </w:p>
    <w:p w:rsidR="00092F60" w:rsidRPr="00092F60" w:rsidRDefault="00092F60" w:rsidP="00092F60">
      <w:pPr>
        <w:numPr>
          <w:ilvl w:val="0"/>
          <w:numId w:val="15"/>
        </w:numPr>
        <w:autoSpaceDE w:val="0"/>
        <w:autoSpaceDN w:val="0"/>
        <w:adjustRightInd w:val="0"/>
        <w:spacing w:line="240" w:lineRule="auto"/>
        <w:rPr>
          <w:rFonts w:eastAsia="Calibri"/>
          <w:szCs w:val="22"/>
        </w:rPr>
      </w:pPr>
      <w:r w:rsidRPr="00092F60">
        <w:rPr>
          <w:rFonts w:eastAsia="Calibri"/>
          <w:b/>
          <w:szCs w:val="22"/>
        </w:rPr>
        <w:t>Review the emerging clinical treatments and diseases, including those that identify sub-groups by molecular target, which could potentially seek subsidisation through the LSDP in the future</w:t>
      </w:r>
    </w:p>
    <w:p w:rsidR="00092F60" w:rsidRPr="00092F60" w:rsidRDefault="00092F60" w:rsidP="00092F60">
      <w:pPr>
        <w:spacing w:after="0" w:line="240" w:lineRule="auto"/>
        <w:rPr>
          <w:i/>
          <w:highlight w:val="yellow"/>
        </w:rPr>
      </w:pPr>
    </w:p>
    <w:p w:rsidR="00092F60" w:rsidRPr="00092F60" w:rsidRDefault="00DB4EE8" w:rsidP="00D60032">
      <w:pPr>
        <w:pStyle w:val="Heading2"/>
      </w:pPr>
      <w:bookmarkStart w:id="499" w:name="_Toc404937284"/>
      <w:r>
        <w:tab/>
      </w:r>
      <w:bookmarkStart w:id="500" w:name="_Toc415141737"/>
      <w:r w:rsidR="00092F60" w:rsidRPr="00092F60">
        <w:t>What is horizon scanning?</w:t>
      </w:r>
      <w:bookmarkEnd w:id="499"/>
      <w:bookmarkEnd w:id="500"/>
    </w:p>
    <w:p w:rsidR="00092F60" w:rsidRPr="00092F60" w:rsidRDefault="00092F60" w:rsidP="00092F60">
      <w:r w:rsidRPr="00092F60">
        <w:t xml:space="preserve">Horizon Scanning is a process by which new and emerging health technologies are identified, rapidly assessed, and prioritised according to their potential impact on the public health care system. Potentially significant new health technologies are assessed briefly, usually in terms of their safety, effectiveness, cost, health system impact and ethical considerations. </w:t>
      </w:r>
    </w:p>
    <w:p w:rsidR="00092F60" w:rsidRPr="00092F60" w:rsidRDefault="00092F60" w:rsidP="00092F60">
      <w:r w:rsidRPr="00092F60">
        <w:t>For the LSDP technical assessment, the horizon scanning section has considered what interventions could potentially be relevant to the LSDP in the near future, based on:</w:t>
      </w:r>
    </w:p>
    <w:p w:rsidR="00092F60" w:rsidRPr="00092F60" w:rsidRDefault="00092F60" w:rsidP="00092F60">
      <w:r w:rsidRPr="00092F60">
        <w:t xml:space="preserve">a) </w:t>
      </w:r>
      <w:proofErr w:type="gramStart"/>
      <w:r w:rsidRPr="00092F60">
        <w:t>a</w:t>
      </w:r>
      <w:proofErr w:type="gramEnd"/>
      <w:r w:rsidRPr="00092F60">
        <w:t xml:space="preserve"> rare disease or condition defined as having a prevalence of 5 in 10,000 people (International Conference on Rare Disease, ICORD, Definition) and fulfilling the current eligibility criteria for the LSDP</w:t>
      </w:r>
      <w:r w:rsidRPr="00092F60">
        <w:rPr>
          <w:vertAlign w:val="superscript"/>
        </w:rPr>
        <w:footnoteReference w:id="24"/>
      </w:r>
      <w:r w:rsidRPr="00092F60">
        <w:t>. This includes consideration of drugs addressing patients with subclassifications of the more common diseases, as well as of drug chaperones and gene therapies; or</w:t>
      </w:r>
    </w:p>
    <w:p w:rsidR="00092F60" w:rsidRPr="00092F60" w:rsidRDefault="00092F60" w:rsidP="00092F60">
      <w:r w:rsidRPr="00092F60">
        <w:t xml:space="preserve">b) </w:t>
      </w:r>
      <w:proofErr w:type="gramStart"/>
      <w:r w:rsidRPr="00092F60">
        <w:t>a</w:t>
      </w:r>
      <w:proofErr w:type="gramEnd"/>
      <w:r w:rsidRPr="00092F60">
        <w:t xml:space="preserve"> rare disease or condition with a prevalence rate consistent with the drugs currently listed on the LSDP (≤1 in 100</w:t>
      </w:r>
      <w:r w:rsidR="009D1E26">
        <w:t xml:space="preserve"> </w:t>
      </w:r>
      <w:r w:rsidRPr="00092F60">
        <w:t>000 people) and fulfilling the current eligibility criteria for the LSDP.</w:t>
      </w:r>
    </w:p>
    <w:p w:rsidR="00092F60" w:rsidRPr="00092F60" w:rsidRDefault="00092F60" w:rsidP="00092F60">
      <w:r w:rsidRPr="00092F60">
        <w:t>The analysis sought to consider the potential ramifications associated with each of the above options, in regards to the number of drugs potentially eligible, the size of the populations that could be eligible for these drugs, and the potential cost impact (inc</w:t>
      </w:r>
      <w:r w:rsidR="006E7C3A">
        <w:t xml:space="preserve">orporating </w:t>
      </w:r>
      <w:r w:rsidRPr="00092F60">
        <w:t xml:space="preserve">dosage requirements). </w:t>
      </w:r>
    </w:p>
    <w:p w:rsidR="00092F60" w:rsidRPr="00092F60" w:rsidRDefault="00DB4EE8" w:rsidP="00D60032">
      <w:pPr>
        <w:pStyle w:val="Heading2"/>
      </w:pPr>
      <w:bookmarkStart w:id="501" w:name="_Toc404937285"/>
      <w:r>
        <w:tab/>
      </w:r>
      <w:bookmarkStart w:id="502" w:name="_Toc415141738"/>
      <w:r w:rsidR="00092F60" w:rsidRPr="00092F60">
        <w:t>Topic eligibility</w:t>
      </w:r>
      <w:bookmarkEnd w:id="501"/>
      <w:bookmarkEnd w:id="502"/>
    </w:p>
    <w:p w:rsidR="00092F60" w:rsidRPr="00092F60" w:rsidRDefault="00092F60" w:rsidP="00E965BD">
      <w:pPr>
        <w:pStyle w:val="Heading3"/>
        <w:rPr>
          <w:rFonts w:eastAsia="Calibri"/>
        </w:rPr>
      </w:pPr>
      <w:r w:rsidRPr="00092F60">
        <w:rPr>
          <w:rFonts w:eastAsia="Calibri"/>
        </w:rPr>
        <w:t>Rarity</w:t>
      </w:r>
    </w:p>
    <w:p w:rsidR="006E7C3A" w:rsidRDefault="006E7C3A" w:rsidP="006E7C3A">
      <w:r w:rsidRPr="00092F60">
        <w:t>Different definitions of ‘rare’ diseases/conditions have been assessed under ToR 3 (International Comparison). For the purposes of Horizon Scanning, the implication of different definitions of ‘rare’ has been assessed in terms of the likely number of drugs eligible for the LSDP in the future, i.e. the potential number of eligible conditions, and the number of Australians with these conditions. Two definitions of ‘rare’ are compared</w:t>
      </w:r>
      <w:r>
        <w:t>. T</w:t>
      </w:r>
      <w:r w:rsidRPr="00092F60">
        <w:t xml:space="preserve">he </w:t>
      </w:r>
      <w:r>
        <w:t xml:space="preserve">use of the </w:t>
      </w:r>
      <w:r w:rsidRPr="00092F60">
        <w:t>ICORD definition</w:t>
      </w:r>
      <w:r>
        <w:t xml:space="preserve"> with ‘rare’ defined as</w:t>
      </w:r>
      <w:r w:rsidRPr="00092F60">
        <w:t xml:space="preserve"> an estimated prevalence of 5 in 10</w:t>
      </w:r>
      <w:r w:rsidR="009D1E26">
        <w:t xml:space="preserve"> </w:t>
      </w:r>
      <w:r w:rsidRPr="00092F60">
        <w:t>000 (or 1 in 2</w:t>
      </w:r>
      <w:r w:rsidR="009D1E26">
        <w:t xml:space="preserve"> </w:t>
      </w:r>
      <w:r w:rsidRPr="00092F60">
        <w:t>000)</w:t>
      </w:r>
      <w:r>
        <w:t xml:space="preserve"> </w:t>
      </w:r>
      <w:r w:rsidRPr="00092F60">
        <w:t xml:space="preserve">has been </w:t>
      </w:r>
      <w:r w:rsidRPr="00092F60">
        <w:lastRenderedPageBreak/>
        <w:t xml:space="preserve">compared against the rarity of </w:t>
      </w:r>
      <w:r>
        <w:t xml:space="preserve">the </w:t>
      </w:r>
      <w:r w:rsidRPr="00092F60">
        <w:t xml:space="preserve">diseases and conditions </w:t>
      </w:r>
      <w:r>
        <w:t xml:space="preserve">for </w:t>
      </w:r>
      <w:r w:rsidRPr="00092F60">
        <w:t xml:space="preserve">which drugs </w:t>
      </w:r>
      <w:r>
        <w:t xml:space="preserve">are </w:t>
      </w:r>
      <w:r w:rsidRPr="00092F60">
        <w:t>currently listed on the LSDP (i.e. ≤1 in 100</w:t>
      </w:r>
      <w:r w:rsidR="009D1E26">
        <w:t xml:space="preserve"> </w:t>
      </w:r>
      <w:r w:rsidRPr="00092F60">
        <w:t xml:space="preserve">000) - </w:t>
      </w:r>
      <w:r>
        <w:t xml:space="preserve">these latter treatments </w:t>
      </w:r>
      <w:r w:rsidRPr="00092F60">
        <w:t xml:space="preserve">have been predominantly enzyme replacement therapies. </w:t>
      </w:r>
    </w:p>
    <w:p w:rsidR="006E7C3A" w:rsidRDefault="006E7C3A" w:rsidP="006E7C3A">
      <w:r>
        <w:t>Providing a definition of ‘rare’ has the potential to have a major impact on the number of individuals considered eligible for the LSDP. This is illustrated by using incidence data for some well-known diseases in Australia.</w:t>
      </w:r>
    </w:p>
    <w:p w:rsidR="005052A0" w:rsidRDefault="006E7C3A" w:rsidP="006E7C3A">
      <w:r>
        <w:t xml:space="preserve">If a definition of &lt;1 per 100,000 is used to define rare, then most of the major cancers in Australia would not be considered rare. However when considering an incidence of &lt;1 in 2000 as rare, only the major cancers (bowel, breast, prostate) do not qualify; every other cancer has an incidence less than one in 2000. </w:t>
      </w:r>
      <w:r w:rsidR="00A72B26" w:rsidRPr="00E74D25">
        <w:t xml:space="preserve">Table </w:t>
      </w:r>
      <w:r w:rsidR="00A72B26">
        <w:rPr>
          <w:noProof/>
        </w:rPr>
        <w:t>133</w:t>
      </w:r>
      <w:r>
        <w:t xml:space="preserve"> shows some conditions that may be considered common and rare, and depending on the definition used, they can be classified as either all rare (using a definition of &lt;1 per 2000) or all not rare (using a definition of &lt;1 per 100</w:t>
      </w:r>
      <w:r w:rsidR="009D1E26">
        <w:t xml:space="preserve"> </w:t>
      </w:r>
      <w:r>
        <w:t xml:space="preserve">000). </w:t>
      </w:r>
      <w:r w:rsidR="005052A0">
        <w:t xml:space="preserve"> </w:t>
      </w:r>
    </w:p>
    <w:p w:rsidR="005052A0" w:rsidRPr="00E74D25" w:rsidRDefault="005052A0" w:rsidP="00E74D25">
      <w:pPr>
        <w:pStyle w:val="Caption"/>
        <w:tabs>
          <w:tab w:val="clear" w:pos="851"/>
          <w:tab w:val="left" w:pos="1134"/>
        </w:tabs>
      </w:pPr>
      <w:bookmarkStart w:id="503" w:name="_Ref405385247"/>
      <w:bookmarkStart w:id="504" w:name="_Toc411510496"/>
      <w:bookmarkStart w:id="505" w:name="_Toc415141930"/>
      <w:r w:rsidRPr="00E74D25">
        <w:t xml:space="preserve">Table </w:t>
      </w:r>
      <w:r w:rsidR="00A72B26">
        <w:rPr>
          <w:noProof/>
        </w:rPr>
        <w:t>133</w:t>
      </w:r>
      <w:bookmarkEnd w:id="503"/>
      <w:r w:rsidR="00B104D7" w:rsidRPr="00E74D25">
        <w:tab/>
      </w:r>
      <w:r w:rsidRPr="00E74D25">
        <w:t>Incidence of conditions that could be considered rare</w:t>
      </w:r>
      <w:bookmarkEnd w:id="504"/>
      <w:bookmarkEnd w:id="505"/>
    </w:p>
    <w:tbl>
      <w:tblPr>
        <w:tblStyle w:val="TableGrid"/>
        <w:tblW w:w="0" w:type="auto"/>
        <w:tblLook w:val="04A0" w:firstRow="1" w:lastRow="0" w:firstColumn="1" w:lastColumn="0" w:noHBand="0" w:noVBand="1"/>
        <w:tblCaption w:val="Table 98 Incidence of conditions that could be considered rare"/>
        <w:tblDescription w:val="Incidence of conditions that could be considered rare in Australia"/>
      </w:tblPr>
      <w:tblGrid>
        <w:gridCol w:w="3080"/>
        <w:gridCol w:w="3081"/>
        <w:gridCol w:w="3081"/>
      </w:tblGrid>
      <w:tr w:rsidR="005052A0" w:rsidRPr="00FE6E73" w:rsidTr="00C6200C">
        <w:trPr>
          <w:tblHeader/>
        </w:trPr>
        <w:tc>
          <w:tcPr>
            <w:tcW w:w="3080" w:type="dxa"/>
          </w:tcPr>
          <w:p w:rsidR="005052A0" w:rsidRPr="00FE6E73" w:rsidRDefault="005052A0" w:rsidP="00DC3ECC">
            <w:pPr>
              <w:pStyle w:val="TableHeading"/>
            </w:pPr>
            <w:r>
              <w:t>C</w:t>
            </w:r>
            <w:r w:rsidRPr="00FE6E73">
              <w:t>ondition</w:t>
            </w:r>
          </w:p>
        </w:tc>
        <w:tc>
          <w:tcPr>
            <w:tcW w:w="3081" w:type="dxa"/>
          </w:tcPr>
          <w:p w:rsidR="005052A0" w:rsidRPr="00FE6E73" w:rsidRDefault="005052A0" w:rsidP="00DC3ECC">
            <w:pPr>
              <w:pStyle w:val="TableHeading"/>
            </w:pPr>
            <w:r w:rsidRPr="00FE6E73">
              <w:t>Incidence per 100,000</w:t>
            </w:r>
          </w:p>
        </w:tc>
        <w:tc>
          <w:tcPr>
            <w:tcW w:w="3081" w:type="dxa"/>
          </w:tcPr>
          <w:p w:rsidR="005052A0" w:rsidRPr="00FE6E73" w:rsidRDefault="005052A0" w:rsidP="00DC3ECC">
            <w:pPr>
              <w:pStyle w:val="TableHeading"/>
            </w:pPr>
            <w:r w:rsidRPr="00FE6E73">
              <w:t>Incidence per 2000</w:t>
            </w:r>
          </w:p>
        </w:tc>
      </w:tr>
      <w:tr w:rsidR="005052A0" w:rsidTr="005052A0">
        <w:tc>
          <w:tcPr>
            <w:tcW w:w="3080" w:type="dxa"/>
          </w:tcPr>
          <w:p w:rsidR="005052A0" w:rsidRDefault="005052A0" w:rsidP="00184B6F">
            <w:pPr>
              <w:pStyle w:val="TableText0"/>
            </w:pPr>
            <w:r>
              <w:t>Melanoma</w:t>
            </w:r>
            <w:r w:rsidR="00BD4A3A">
              <w:rPr>
                <w:noProof/>
              </w:rPr>
              <w:t>(</w:t>
            </w:r>
            <w:r w:rsidR="00184B6F">
              <w:rPr>
                <w:noProof/>
              </w:rPr>
              <w:t>Australian Institute of Health and Welfare and Australasian Association of Cancer Registries 2012</w:t>
            </w:r>
            <w:r w:rsidR="00BD4A3A">
              <w:rPr>
                <w:noProof/>
              </w:rPr>
              <w:t>)</w:t>
            </w:r>
          </w:p>
        </w:tc>
        <w:tc>
          <w:tcPr>
            <w:tcW w:w="3081" w:type="dxa"/>
          </w:tcPr>
          <w:p w:rsidR="005052A0" w:rsidRDefault="005052A0" w:rsidP="00DC3ECC">
            <w:pPr>
              <w:pStyle w:val="TableText0"/>
            </w:pPr>
            <w:r>
              <w:t>49.80</w:t>
            </w:r>
          </w:p>
        </w:tc>
        <w:tc>
          <w:tcPr>
            <w:tcW w:w="3081" w:type="dxa"/>
          </w:tcPr>
          <w:p w:rsidR="005052A0" w:rsidRDefault="005052A0" w:rsidP="00DC3ECC">
            <w:pPr>
              <w:pStyle w:val="TableText0"/>
            </w:pPr>
            <w:r>
              <w:t>0.996</w:t>
            </w:r>
          </w:p>
        </w:tc>
      </w:tr>
      <w:tr w:rsidR="005052A0" w:rsidTr="005052A0">
        <w:tc>
          <w:tcPr>
            <w:tcW w:w="3080" w:type="dxa"/>
          </w:tcPr>
          <w:p w:rsidR="005052A0" w:rsidRDefault="005052A0" w:rsidP="00184B6F">
            <w:pPr>
              <w:pStyle w:val="TableText0"/>
            </w:pPr>
            <w:r>
              <w:t>Lung cancer</w:t>
            </w:r>
            <w:r w:rsidR="00BD4A3A">
              <w:rPr>
                <w:noProof/>
              </w:rPr>
              <w:t>(</w:t>
            </w:r>
            <w:r w:rsidR="00184B6F">
              <w:rPr>
                <w:noProof/>
              </w:rPr>
              <w:t>Australian Institute of Health and Welfare and Australasian Association of Cancer Registries 2012</w:t>
            </w:r>
            <w:r w:rsidR="00BD4A3A">
              <w:rPr>
                <w:noProof/>
              </w:rPr>
              <w:t>)</w:t>
            </w:r>
          </w:p>
        </w:tc>
        <w:tc>
          <w:tcPr>
            <w:tcW w:w="3081" w:type="dxa"/>
          </w:tcPr>
          <w:p w:rsidR="005052A0" w:rsidRDefault="005052A0" w:rsidP="00DC3ECC">
            <w:pPr>
              <w:pStyle w:val="TableText0"/>
            </w:pPr>
            <w:r>
              <w:t>43.20</w:t>
            </w:r>
          </w:p>
        </w:tc>
        <w:tc>
          <w:tcPr>
            <w:tcW w:w="3081" w:type="dxa"/>
          </w:tcPr>
          <w:p w:rsidR="005052A0" w:rsidRDefault="005052A0" w:rsidP="00DC3ECC">
            <w:pPr>
              <w:pStyle w:val="TableText0"/>
            </w:pPr>
            <w:r>
              <w:t>0.864</w:t>
            </w:r>
          </w:p>
        </w:tc>
      </w:tr>
      <w:tr w:rsidR="005052A0" w:rsidTr="005052A0">
        <w:tc>
          <w:tcPr>
            <w:tcW w:w="3080" w:type="dxa"/>
          </w:tcPr>
          <w:p w:rsidR="005052A0" w:rsidRDefault="005052A0" w:rsidP="00184B6F">
            <w:pPr>
              <w:pStyle w:val="TableText0"/>
            </w:pPr>
            <w:r>
              <w:t>Lymphoid cancers</w:t>
            </w:r>
            <w:r w:rsidR="00BD4A3A">
              <w:rPr>
                <w:noProof/>
              </w:rPr>
              <w:t>(</w:t>
            </w:r>
            <w:r w:rsidR="00184B6F">
              <w:rPr>
                <w:noProof/>
              </w:rPr>
              <w:t>Australian Institute of Health and Welfare and Australasian Association of Cancer Registries 2012</w:t>
            </w:r>
            <w:r w:rsidR="00BD4A3A">
              <w:rPr>
                <w:noProof/>
              </w:rPr>
              <w:t>)</w:t>
            </w:r>
          </w:p>
        </w:tc>
        <w:tc>
          <w:tcPr>
            <w:tcW w:w="3081" w:type="dxa"/>
          </w:tcPr>
          <w:p w:rsidR="005052A0" w:rsidRDefault="005052A0" w:rsidP="00DC3ECC">
            <w:pPr>
              <w:pStyle w:val="TableText0"/>
            </w:pPr>
            <w:r>
              <w:t>28.10</w:t>
            </w:r>
          </w:p>
        </w:tc>
        <w:tc>
          <w:tcPr>
            <w:tcW w:w="3081" w:type="dxa"/>
          </w:tcPr>
          <w:p w:rsidR="005052A0" w:rsidRDefault="005052A0" w:rsidP="00DC3ECC">
            <w:pPr>
              <w:pStyle w:val="TableText0"/>
            </w:pPr>
            <w:r>
              <w:t>0.562</w:t>
            </w:r>
          </w:p>
        </w:tc>
      </w:tr>
      <w:tr w:rsidR="005052A0" w:rsidTr="005052A0">
        <w:tc>
          <w:tcPr>
            <w:tcW w:w="3080" w:type="dxa"/>
          </w:tcPr>
          <w:p w:rsidR="005052A0" w:rsidRDefault="005052A0" w:rsidP="00184B6F">
            <w:pPr>
              <w:pStyle w:val="TableText0"/>
            </w:pPr>
            <w:r>
              <w:t>Cystic fibrosis</w:t>
            </w:r>
            <w:r w:rsidR="00BD4A3A">
              <w:rPr>
                <w:noProof/>
              </w:rPr>
              <w:t>(</w:t>
            </w:r>
            <w:r w:rsidR="00184B6F">
              <w:rPr>
                <w:noProof/>
              </w:rPr>
              <w:t>Cystic Fibrosis Australia 2014</w:t>
            </w:r>
            <w:r w:rsidR="00BD4A3A">
              <w:rPr>
                <w:noProof/>
              </w:rPr>
              <w:t>)</w:t>
            </w:r>
          </w:p>
        </w:tc>
        <w:tc>
          <w:tcPr>
            <w:tcW w:w="3081" w:type="dxa"/>
          </w:tcPr>
          <w:p w:rsidR="005052A0" w:rsidRDefault="005052A0" w:rsidP="00DC3ECC">
            <w:pPr>
              <w:pStyle w:val="TableText0"/>
            </w:pPr>
            <w:r>
              <w:t>40.00</w:t>
            </w:r>
          </w:p>
        </w:tc>
        <w:tc>
          <w:tcPr>
            <w:tcW w:w="3081" w:type="dxa"/>
          </w:tcPr>
          <w:p w:rsidR="005052A0" w:rsidRDefault="005052A0" w:rsidP="00DC3ECC">
            <w:pPr>
              <w:pStyle w:val="TableText0"/>
            </w:pPr>
            <w:r>
              <w:t>0.800</w:t>
            </w:r>
          </w:p>
        </w:tc>
      </w:tr>
      <w:tr w:rsidR="005052A0" w:rsidTr="005052A0">
        <w:tc>
          <w:tcPr>
            <w:tcW w:w="3080" w:type="dxa"/>
          </w:tcPr>
          <w:p w:rsidR="005052A0" w:rsidRDefault="005052A0" w:rsidP="00184B6F">
            <w:pPr>
              <w:pStyle w:val="TableText0"/>
            </w:pPr>
            <w:r>
              <w:t>Huntington’s disease</w:t>
            </w:r>
            <w:r w:rsidR="00BD4A3A">
              <w:rPr>
                <w:noProof/>
              </w:rPr>
              <w:t>(</w:t>
            </w:r>
            <w:r w:rsidR="00184B6F">
              <w:rPr>
                <w:noProof/>
              </w:rPr>
              <w:t>Australian Huntington's Disease Association (NSW) Inc 2014</w:t>
            </w:r>
            <w:r w:rsidR="00BD4A3A">
              <w:rPr>
                <w:noProof/>
              </w:rPr>
              <w:t>)</w:t>
            </w:r>
          </w:p>
        </w:tc>
        <w:tc>
          <w:tcPr>
            <w:tcW w:w="3081" w:type="dxa"/>
          </w:tcPr>
          <w:p w:rsidR="005052A0" w:rsidRDefault="005052A0" w:rsidP="00DC3ECC">
            <w:pPr>
              <w:pStyle w:val="TableText0"/>
            </w:pPr>
            <w:r>
              <w:t>6-12</w:t>
            </w:r>
            <w:r w:rsidR="00C27F7A">
              <w:t xml:space="preserve"> (prevalence)</w:t>
            </w:r>
          </w:p>
        </w:tc>
        <w:tc>
          <w:tcPr>
            <w:tcW w:w="3081" w:type="dxa"/>
          </w:tcPr>
          <w:p w:rsidR="005052A0" w:rsidRDefault="005052A0" w:rsidP="00DC3ECC">
            <w:pPr>
              <w:pStyle w:val="TableText0"/>
            </w:pPr>
            <w:r>
              <w:t>0.120-0.240</w:t>
            </w:r>
            <w:r w:rsidR="00C27F7A">
              <w:t xml:space="preserve"> (prevalence)</w:t>
            </w:r>
          </w:p>
        </w:tc>
      </w:tr>
      <w:tr w:rsidR="005052A0" w:rsidTr="005052A0">
        <w:tc>
          <w:tcPr>
            <w:tcW w:w="3080" w:type="dxa"/>
          </w:tcPr>
          <w:p w:rsidR="005052A0" w:rsidRDefault="005052A0" w:rsidP="00184B6F">
            <w:pPr>
              <w:pStyle w:val="TableText0"/>
            </w:pPr>
            <w:r>
              <w:t>Motor neurone disease</w:t>
            </w:r>
            <w:r w:rsidR="00BD4A3A">
              <w:rPr>
                <w:noProof/>
              </w:rPr>
              <w:t>(</w:t>
            </w:r>
            <w:r w:rsidR="00184B6F">
              <w:rPr>
                <w:noProof/>
              </w:rPr>
              <w:t>Motor Neurone Disease Australia 2014</w:t>
            </w:r>
            <w:r w:rsidR="00BD4A3A">
              <w:rPr>
                <w:noProof/>
              </w:rPr>
              <w:t>)</w:t>
            </w:r>
          </w:p>
        </w:tc>
        <w:tc>
          <w:tcPr>
            <w:tcW w:w="3081" w:type="dxa"/>
          </w:tcPr>
          <w:p w:rsidR="005052A0" w:rsidRDefault="005052A0" w:rsidP="00DC3ECC">
            <w:pPr>
              <w:pStyle w:val="TableText0"/>
            </w:pPr>
            <w:r>
              <w:t>2.65</w:t>
            </w:r>
          </w:p>
        </w:tc>
        <w:tc>
          <w:tcPr>
            <w:tcW w:w="3081" w:type="dxa"/>
          </w:tcPr>
          <w:p w:rsidR="005052A0" w:rsidRDefault="005052A0" w:rsidP="00DC3ECC">
            <w:pPr>
              <w:pStyle w:val="TableText0"/>
            </w:pPr>
            <w:r>
              <w:t>0.053</w:t>
            </w:r>
          </w:p>
        </w:tc>
      </w:tr>
      <w:tr w:rsidR="005052A0" w:rsidTr="005052A0">
        <w:tc>
          <w:tcPr>
            <w:tcW w:w="3080" w:type="dxa"/>
          </w:tcPr>
          <w:p w:rsidR="005052A0" w:rsidRDefault="005052A0" w:rsidP="00184B6F">
            <w:pPr>
              <w:pStyle w:val="TableText0"/>
            </w:pPr>
            <w:r>
              <w:t>Tuberculosis</w:t>
            </w:r>
            <w:r w:rsidR="00BD4A3A">
              <w:rPr>
                <w:noProof/>
              </w:rPr>
              <w:t>(</w:t>
            </w:r>
            <w:r w:rsidR="00184B6F">
              <w:rPr>
                <w:noProof/>
              </w:rPr>
              <w:t>Bareja, Waring &amp; Stapledon 2014</w:t>
            </w:r>
            <w:r w:rsidR="00BD4A3A">
              <w:rPr>
                <w:noProof/>
              </w:rPr>
              <w:t>)</w:t>
            </w:r>
          </w:p>
        </w:tc>
        <w:tc>
          <w:tcPr>
            <w:tcW w:w="3081" w:type="dxa"/>
          </w:tcPr>
          <w:p w:rsidR="005052A0" w:rsidRDefault="005052A0" w:rsidP="00DC3ECC">
            <w:pPr>
              <w:pStyle w:val="TableText0"/>
            </w:pPr>
            <w:r>
              <w:t>6.1</w:t>
            </w:r>
          </w:p>
        </w:tc>
        <w:tc>
          <w:tcPr>
            <w:tcW w:w="3081" w:type="dxa"/>
          </w:tcPr>
          <w:p w:rsidR="005052A0" w:rsidRDefault="005052A0" w:rsidP="00DC3ECC">
            <w:pPr>
              <w:pStyle w:val="TableText0"/>
            </w:pPr>
            <w:r>
              <w:t>0.122</w:t>
            </w:r>
          </w:p>
        </w:tc>
      </w:tr>
    </w:tbl>
    <w:p w:rsidR="00092F60" w:rsidRPr="00092F60" w:rsidRDefault="00092F60" w:rsidP="00092F60"/>
    <w:p w:rsidR="00092F60" w:rsidRPr="00092F60" w:rsidRDefault="00092F60" w:rsidP="00E965BD">
      <w:pPr>
        <w:pStyle w:val="Heading3"/>
        <w:rPr>
          <w:rFonts w:eastAsia="Calibri"/>
        </w:rPr>
      </w:pPr>
      <w:r w:rsidRPr="00092F60">
        <w:rPr>
          <w:rFonts w:eastAsia="Calibri"/>
        </w:rPr>
        <w:t>Disease/condition</w:t>
      </w:r>
    </w:p>
    <w:p w:rsidR="00092F60" w:rsidRPr="00092F60" w:rsidRDefault="00092F60" w:rsidP="00092F60">
      <w:r w:rsidRPr="00092F60">
        <w:t>Although patients considered for the LSDP to date have had distinct rare diseases, not particular subclassifications of more common diseases, this latter possibility is not explicitly excluded. The implications of “salami-slicin</w:t>
      </w:r>
      <w:r w:rsidRPr="00810312">
        <w:t>g” diseases into smaller sub-groups ha</w:t>
      </w:r>
      <w:r w:rsidR="00B06D06">
        <w:t>ve</w:t>
      </w:r>
      <w:r w:rsidRPr="00810312">
        <w:t xml:space="preserve"> been discussed in regards to the potential impact on the LSDP (see ‘</w:t>
      </w:r>
      <w:proofErr w:type="gramStart"/>
      <w:r w:rsidRPr="00810312">
        <w:rPr>
          <w:bCs/>
        </w:rPr>
        <w:t>Rare</w:t>
      </w:r>
      <w:proofErr w:type="gramEnd"/>
      <w:r w:rsidRPr="00810312">
        <w:rPr>
          <w:bCs/>
        </w:rPr>
        <w:t xml:space="preserve"> phenotypes / genotypes of common diseases’ section on page </w:t>
      </w:r>
      <w:r w:rsidR="00A72B26">
        <w:rPr>
          <w:bCs/>
          <w:noProof/>
        </w:rPr>
        <w:t>219</w:t>
      </w:r>
      <w:r w:rsidRPr="00810312">
        <w:rPr>
          <w:bCs/>
        </w:rPr>
        <w:t>).</w:t>
      </w:r>
    </w:p>
    <w:p w:rsidR="00092F60" w:rsidRPr="00092F60" w:rsidRDefault="00092F60" w:rsidP="00E965BD">
      <w:pPr>
        <w:pStyle w:val="Heading3"/>
        <w:rPr>
          <w:rFonts w:eastAsia="Calibri"/>
        </w:rPr>
      </w:pPr>
      <w:r w:rsidRPr="00092F60">
        <w:rPr>
          <w:rFonts w:eastAsia="Calibri"/>
        </w:rPr>
        <w:lastRenderedPageBreak/>
        <w:t>Drugs</w:t>
      </w:r>
    </w:p>
    <w:p w:rsidR="00092F60" w:rsidRPr="00092F60" w:rsidRDefault="00092F60" w:rsidP="00092F60">
      <w:r w:rsidRPr="00092F60">
        <w:t xml:space="preserve">Different definitions of drugs has also been </w:t>
      </w:r>
      <w:r w:rsidR="00F9663F">
        <w:t>explored</w:t>
      </w:r>
      <w:r w:rsidRPr="00092F60">
        <w:t xml:space="preserve">, allowing the Reference Group to consider the implications of using different definitions of “drug” or “pharmaceutical”, i.e. gene therapies and biologics. </w:t>
      </w:r>
    </w:p>
    <w:p w:rsidR="00092F60" w:rsidRPr="00092F60" w:rsidRDefault="00DB4EE8" w:rsidP="00D60032">
      <w:pPr>
        <w:pStyle w:val="Heading2"/>
      </w:pPr>
      <w:bookmarkStart w:id="506" w:name="_Toc404937286"/>
      <w:r>
        <w:tab/>
      </w:r>
      <w:bookmarkStart w:id="507" w:name="_Toc415141739"/>
      <w:r w:rsidR="00092F60" w:rsidRPr="00092F60">
        <w:t>Method</w:t>
      </w:r>
      <w:bookmarkEnd w:id="506"/>
      <w:bookmarkEnd w:id="507"/>
    </w:p>
    <w:p w:rsidR="00092F60" w:rsidRPr="00092F60" w:rsidRDefault="00092F60" w:rsidP="00092F60">
      <w:pPr>
        <w:jc w:val="left"/>
        <w:rPr>
          <w:rFonts w:cstheme="minorHAnsi"/>
        </w:rPr>
      </w:pPr>
      <w:r w:rsidRPr="00092F60">
        <w:rPr>
          <w:rFonts w:cstheme="minorHAnsi"/>
        </w:rPr>
        <w:t>A search of the literature for new and emerging pharmaceuticals relevant to rare diseases was conducted using:</w:t>
      </w:r>
    </w:p>
    <w:p w:rsidR="00092F60" w:rsidRPr="006D0951" w:rsidRDefault="00092F60" w:rsidP="00E8561A">
      <w:pPr>
        <w:numPr>
          <w:ilvl w:val="0"/>
          <w:numId w:val="22"/>
        </w:numPr>
        <w:tabs>
          <w:tab w:val="left" w:pos="1134"/>
        </w:tabs>
        <w:autoSpaceDE w:val="0"/>
        <w:autoSpaceDN w:val="0"/>
        <w:adjustRightInd w:val="0"/>
        <w:spacing w:line="312" w:lineRule="auto"/>
        <w:ind w:left="1134" w:hanging="777"/>
        <w:rPr>
          <w:rFonts w:asciiTheme="minorHAnsi" w:eastAsia="Calibri" w:hAnsiTheme="minorHAnsi"/>
          <w:szCs w:val="22"/>
        </w:rPr>
      </w:pPr>
      <w:proofErr w:type="gramStart"/>
      <w:r w:rsidRPr="00092F60">
        <w:rPr>
          <w:rFonts w:eastAsia="Calibri"/>
          <w:szCs w:val="22"/>
        </w:rPr>
        <w:t>t</w:t>
      </w:r>
      <w:r w:rsidRPr="00092F60">
        <w:rPr>
          <w:rFonts w:asciiTheme="minorHAnsi" w:eastAsia="Calibri" w:hAnsiTheme="minorHAnsi"/>
          <w:szCs w:val="22"/>
        </w:rPr>
        <w:t>he</w:t>
      </w:r>
      <w:proofErr w:type="gramEnd"/>
      <w:r w:rsidRPr="00092F60">
        <w:rPr>
          <w:rFonts w:asciiTheme="minorHAnsi" w:eastAsia="Calibri" w:hAnsiTheme="minorHAnsi"/>
          <w:szCs w:val="22"/>
        </w:rPr>
        <w:t xml:space="preserve"> bibliographic databases PubMed (Pre-Medline only) and Embase.com. The search terms are given in </w:t>
      </w:r>
      <w:r w:rsidR="00A72B26" w:rsidRPr="006A71AB">
        <w:t xml:space="preserve">Table </w:t>
      </w:r>
      <w:r w:rsidR="00A72B26">
        <w:rPr>
          <w:noProof/>
        </w:rPr>
        <w:t>134</w:t>
      </w:r>
      <w:r w:rsidRPr="006D0951">
        <w:rPr>
          <w:rFonts w:asciiTheme="minorHAnsi" w:eastAsia="Calibri" w:hAnsiTheme="minorHAnsi"/>
          <w:szCs w:val="22"/>
        </w:rPr>
        <w:t xml:space="preserve"> (based on Embase.com). The databases were searched, as per standard practice, using Boolean logic and the syntax unique to each database;</w:t>
      </w:r>
    </w:p>
    <w:p w:rsidR="009C2C3C" w:rsidRPr="006D0951" w:rsidRDefault="00092F60" w:rsidP="00E8561A">
      <w:pPr>
        <w:numPr>
          <w:ilvl w:val="0"/>
          <w:numId w:val="22"/>
        </w:numPr>
        <w:tabs>
          <w:tab w:val="left" w:pos="1134"/>
        </w:tabs>
        <w:autoSpaceDE w:val="0"/>
        <w:autoSpaceDN w:val="0"/>
        <w:adjustRightInd w:val="0"/>
        <w:spacing w:line="312" w:lineRule="auto"/>
        <w:ind w:left="1134" w:hanging="777"/>
        <w:rPr>
          <w:rFonts w:asciiTheme="minorHAnsi" w:eastAsia="Calibri" w:hAnsiTheme="minorHAnsi"/>
          <w:szCs w:val="22"/>
        </w:rPr>
      </w:pPr>
      <w:proofErr w:type="gramStart"/>
      <w:r w:rsidRPr="00092F60">
        <w:rPr>
          <w:rFonts w:asciiTheme="minorHAnsi" w:eastAsia="Calibri" w:hAnsiTheme="minorHAnsi"/>
          <w:szCs w:val="22"/>
        </w:rPr>
        <w:t>the</w:t>
      </w:r>
      <w:proofErr w:type="gramEnd"/>
      <w:r w:rsidRPr="00092F60">
        <w:rPr>
          <w:rFonts w:asciiTheme="minorHAnsi" w:eastAsia="Calibri" w:hAnsiTheme="minorHAnsi"/>
          <w:szCs w:val="22"/>
        </w:rPr>
        <w:t xml:space="preserve"> selected sources given in </w:t>
      </w:r>
      <w:r w:rsidR="00A72B26" w:rsidRPr="00A72B26">
        <w:rPr>
          <w:rFonts w:asciiTheme="minorHAnsi" w:eastAsia="Calibri" w:hAnsiTheme="minorHAnsi"/>
          <w:szCs w:val="22"/>
        </w:rPr>
        <w:t xml:space="preserve">APPENDIX </w:t>
      </w:r>
      <w:r w:rsidR="00A72B26" w:rsidRPr="00A72B26">
        <w:rPr>
          <w:rFonts w:asciiTheme="minorHAnsi" w:eastAsia="Calibri" w:hAnsiTheme="minorHAnsi"/>
          <w:noProof/>
          <w:szCs w:val="22"/>
        </w:rPr>
        <w:t>F</w:t>
      </w:r>
      <w:r w:rsidRPr="00092F60">
        <w:rPr>
          <w:rFonts w:asciiTheme="minorHAnsi" w:eastAsia="Calibri" w:hAnsiTheme="minorHAnsi"/>
          <w:szCs w:val="22"/>
        </w:rPr>
        <w:t xml:space="preserve"> were also </w:t>
      </w:r>
      <w:r w:rsidR="00F9663F">
        <w:rPr>
          <w:rFonts w:asciiTheme="minorHAnsi" w:eastAsia="Calibri" w:hAnsiTheme="minorHAnsi"/>
          <w:szCs w:val="22"/>
        </w:rPr>
        <w:t xml:space="preserve">canvassed </w:t>
      </w:r>
      <w:r w:rsidRPr="00092F60">
        <w:rPr>
          <w:rFonts w:asciiTheme="minorHAnsi" w:eastAsia="Calibri" w:hAnsiTheme="minorHAnsi"/>
          <w:szCs w:val="22"/>
        </w:rPr>
        <w:t>for new medicines or molecules suggested for rare diseases and conditions. These sources are suggested by the LSDP Reference Group, the EuroScan Toolkit, the AHTA Horizon Scanning Operations Manual, regulatory agencies, sources used by EuroScan, the Agency for Healthcare Research and Quality (AHRQ) horizon scanning agency (Emergency Care Research Institute, ECRI) and the Canadian Agency for Drugs and Technology in Health (CADTH) in their horizon scanning for drugs.</w:t>
      </w:r>
      <w:bookmarkStart w:id="508" w:name="_Ref391640070"/>
    </w:p>
    <w:p w:rsidR="00092F60" w:rsidRPr="006A71AB" w:rsidRDefault="00092F60" w:rsidP="00F44176">
      <w:pPr>
        <w:pStyle w:val="Caption"/>
        <w:keepNext/>
        <w:tabs>
          <w:tab w:val="clear" w:pos="851"/>
          <w:tab w:val="left" w:pos="1134"/>
        </w:tabs>
        <w:ind w:left="1134" w:hanging="1134"/>
      </w:pPr>
      <w:bookmarkStart w:id="509" w:name="_Ref405717475"/>
      <w:bookmarkStart w:id="510" w:name="_Toc411510497"/>
      <w:bookmarkStart w:id="511" w:name="_Toc415141931"/>
      <w:r w:rsidRPr="006A71AB">
        <w:t xml:space="preserve">Table </w:t>
      </w:r>
      <w:r w:rsidR="00A72B26">
        <w:rPr>
          <w:noProof/>
        </w:rPr>
        <w:t>134</w:t>
      </w:r>
      <w:bookmarkEnd w:id="508"/>
      <w:bookmarkEnd w:id="509"/>
      <w:r w:rsidRPr="006A71AB">
        <w:tab/>
        <w:t>Search terms for horizon scanning</w:t>
      </w:r>
      <w:bookmarkEnd w:id="510"/>
      <w:bookmarkEnd w:id="511"/>
    </w:p>
    <w:tbl>
      <w:tblPr>
        <w:tblStyle w:val="TableGrid"/>
        <w:tblW w:w="0" w:type="auto"/>
        <w:tblInd w:w="108" w:type="dxa"/>
        <w:tblLook w:val="04A0" w:firstRow="1" w:lastRow="0" w:firstColumn="1" w:lastColumn="0" w:noHBand="0" w:noVBand="1"/>
        <w:tblCaption w:val="Table 99 Search terms for horizon scanning"/>
      </w:tblPr>
      <w:tblGrid>
        <w:gridCol w:w="1560"/>
        <w:gridCol w:w="7367"/>
      </w:tblGrid>
      <w:tr w:rsidR="00C6200C" w:rsidRPr="00092F60" w:rsidTr="00C6200C">
        <w:trPr>
          <w:trHeight w:val="375"/>
          <w:tblHeader/>
        </w:trPr>
        <w:tc>
          <w:tcPr>
            <w:tcW w:w="1560" w:type="dxa"/>
          </w:tcPr>
          <w:p w:rsidR="00C6200C" w:rsidRPr="00092F60" w:rsidRDefault="00C6200C" w:rsidP="00C6200C">
            <w:pPr>
              <w:pStyle w:val="TableHeading"/>
            </w:pPr>
            <w:r>
              <w:t>Element</w:t>
            </w:r>
          </w:p>
        </w:tc>
        <w:tc>
          <w:tcPr>
            <w:tcW w:w="7367" w:type="dxa"/>
          </w:tcPr>
          <w:p w:rsidR="00C6200C" w:rsidRPr="00092F60" w:rsidRDefault="00C6200C" w:rsidP="00C6200C">
            <w:pPr>
              <w:pStyle w:val="TableHeading"/>
            </w:pPr>
            <w:r>
              <w:t>Search terms and limits</w:t>
            </w:r>
          </w:p>
        </w:tc>
      </w:tr>
      <w:tr w:rsidR="00092F60" w:rsidRPr="00092F60" w:rsidTr="00092F60">
        <w:trPr>
          <w:trHeight w:val="1438"/>
        </w:trPr>
        <w:tc>
          <w:tcPr>
            <w:tcW w:w="1560" w:type="dxa"/>
          </w:tcPr>
          <w:p w:rsidR="00092F60" w:rsidRPr="00092F60" w:rsidRDefault="00092F60" w:rsidP="00092F60">
            <w:pPr>
              <w:keepNext/>
              <w:keepLines/>
              <w:tabs>
                <w:tab w:val="left" w:pos="567"/>
              </w:tabs>
              <w:spacing w:before="120"/>
              <w:outlineLvl w:val="0"/>
              <w:rPr>
                <w:rFonts w:ascii="Arial Narrow" w:hAnsi="Arial Narrow"/>
                <w:sz w:val="22"/>
                <w:szCs w:val="22"/>
              </w:rPr>
            </w:pPr>
            <w:r w:rsidRPr="00092F60">
              <w:rPr>
                <w:rFonts w:ascii="Arial Narrow" w:hAnsi="Arial Narrow"/>
                <w:sz w:val="22"/>
                <w:szCs w:val="22"/>
              </w:rPr>
              <w:t>Search terms</w:t>
            </w:r>
          </w:p>
        </w:tc>
        <w:tc>
          <w:tcPr>
            <w:tcW w:w="7367" w:type="dxa"/>
          </w:tcPr>
          <w:p w:rsidR="00092F60" w:rsidRPr="00092F60" w:rsidRDefault="00092F60" w:rsidP="00092F60">
            <w:pPr>
              <w:keepNext/>
              <w:keepLines/>
              <w:tabs>
                <w:tab w:val="left" w:pos="567"/>
              </w:tabs>
              <w:spacing w:before="120"/>
              <w:outlineLvl w:val="0"/>
              <w:rPr>
                <w:rFonts w:ascii="Arial Narrow" w:hAnsi="Arial Narrow"/>
                <w:sz w:val="22"/>
                <w:szCs w:val="22"/>
              </w:rPr>
            </w:pPr>
            <w:r w:rsidRPr="00092F60">
              <w:rPr>
                <w:rFonts w:ascii="Arial Narrow" w:hAnsi="Arial Narrow"/>
                <w:sz w:val="22"/>
                <w:szCs w:val="22"/>
              </w:rPr>
              <w:t xml:space="preserve">'orphan drug'/exp OR 'orphan drug' OR (orphan NEAR/5 ('disease' OR 'drug' OR 'medicine')) OR (orphan AND ('diseases'/exp OR condition* OR 'drug'/exp OR 'medicine'/exp)) OR (('rare disease'/exp OR 'rare disease' OR ‘rare condition’ OR chaperone*) AND ('drug'/exp OR 'drug' OR 'medicine'/exp OR 'medicine'))) OR “clever molecular therapies” </w:t>
            </w:r>
          </w:p>
        </w:tc>
      </w:tr>
      <w:tr w:rsidR="00092F60" w:rsidRPr="00092F60" w:rsidTr="00092F60">
        <w:trPr>
          <w:trHeight w:val="539"/>
        </w:trPr>
        <w:tc>
          <w:tcPr>
            <w:tcW w:w="1560" w:type="dxa"/>
          </w:tcPr>
          <w:p w:rsidR="00092F60" w:rsidRPr="00092F60" w:rsidRDefault="00092F60" w:rsidP="00092F60">
            <w:pPr>
              <w:keepNext/>
              <w:keepLines/>
              <w:tabs>
                <w:tab w:val="left" w:pos="567"/>
              </w:tabs>
              <w:spacing w:before="120"/>
              <w:outlineLvl w:val="0"/>
              <w:rPr>
                <w:rFonts w:ascii="Arial Narrow" w:hAnsi="Arial Narrow"/>
                <w:sz w:val="22"/>
                <w:szCs w:val="22"/>
              </w:rPr>
            </w:pPr>
            <w:r w:rsidRPr="00092F60">
              <w:rPr>
                <w:rFonts w:ascii="Arial Narrow" w:hAnsi="Arial Narrow"/>
                <w:sz w:val="22"/>
                <w:szCs w:val="22"/>
              </w:rPr>
              <w:t>Limits</w:t>
            </w:r>
          </w:p>
        </w:tc>
        <w:tc>
          <w:tcPr>
            <w:tcW w:w="7367" w:type="dxa"/>
          </w:tcPr>
          <w:p w:rsidR="00092F60" w:rsidRPr="00092F60" w:rsidRDefault="00092F60" w:rsidP="00092F60">
            <w:pPr>
              <w:keepNext/>
              <w:keepLines/>
              <w:tabs>
                <w:tab w:val="left" w:pos="567"/>
              </w:tabs>
              <w:spacing w:before="120"/>
              <w:outlineLvl w:val="0"/>
              <w:rPr>
                <w:rFonts w:ascii="Arial Narrow" w:hAnsi="Arial Narrow"/>
                <w:sz w:val="22"/>
                <w:szCs w:val="22"/>
              </w:rPr>
            </w:pPr>
            <w:r w:rsidRPr="00092F60">
              <w:rPr>
                <w:rFonts w:ascii="Arial Narrow" w:hAnsi="Arial Narrow"/>
                <w:sz w:val="22"/>
                <w:szCs w:val="22"/>
              </w:rPr>
              <w:t>[english]/lim AND [humans]/lim</w:t>
            </w:r>
          </w:p>
        </w:tc>
      </w:tr>
      <w:tr w:rsidR="00092F60" w:rsidRPr="00092F60" w:rsidTr="00092F60">
        <w:trPr>
          <w:trHeight w:val="556"/>
        </w:trPr>
        <w:tc>
          <w:tcPr>
            <w:tcW w:w="1560" w:type="dxa"/>
          </w:tcPr>
          <w:p w:rsidR="00092F60" w:rsidRPr="00092F60" w:rsidRDefault="00092F60" w:rsidP="00092F60">
            <w:pPr>
              <w:keepNext/>
              <w:keepLines/>
              <w:tabs>
                <w:tab w:val="left" w:pos="567"/>
              </w:tabs>
              <w:spacing w:before="120"/>
              <w:outlineLvl w:val="0"/>
              <w:rPr>
                <w:rFonts w:ascii="Arial Narrow" w:hAnsi="Arial Narrow"/>
                <w:sz w:val="22"/>
                <w:szCs w:val="22"/>
              </w:rPr>
            </w:pPr>
            <w:r w:rsidRPr="00092F60">
              <w:rPr>
                <w:rFonts w:ascii="Arial Narrow" w:hAnsi="Arial Narrow"/>
                <w:sz w:val="22"/>
                <w:szCs w:val="22"/>
              </w:rPr>
              <w:t>Search period</w:t>
            </w:r>
          </w:p>
        </w:tc>
        <w:tc>
          <w:tcPr>
            <w:tcW w:w="7367" w:type="dxa"/>
          </w:tcPr>
          <w:p w:rsidR="00092F60" w:rsidRPr="00092F60" w:rsidRDefault="00092F60" w:rsidP="00092F60">
            <w:pPr>
              <w:keepNext/>
              <w:keepLines/>
              <w:tabs>
                <w:tab w:val="left" w:pos="567"/>
              </w:tabs>
              <w:spacing w:before="120"/>
              <w:outlineLvl w:val="0"/>
              <w:rPr>
                <w:rFonts w:ascii="Arial Narrow" w:hAnsi="Arial Narrow"/>
                <w:sz w:val="22"/>
                <w:szCs w:val="22"/>
              </w:rPr>
            </w:pPr>
            <w:r w:rsidRPr="00092F60">
              <w:rPr>
                <w:rFonts w:ascii="Arial Narrow" w:hAnsi="Arial Narrow"/>
                <w:sz w:val="22"/>
                <w:szCs w:val="22"/>
              </w:rPr>
              <w:t>2013-2014</w:t>
            </w:r>
          </w:p>
        </w:tc>
      </w:tr>
    </w:tbl>
    <w:p w:rsidR="00092F60" w:rsidRPr="00092F60" w:rsidRDefault="00092F60" w:rsidP="00092F60">
      <w:pPr>
        <w:jc w:val="left"/>
        <w:rPr>
          <w:rFonts w:cstheme="minorHAnsi"/>
        </w:rPr>
      </w:pPr>
    </w:p>
    <w:p w:rsidR="00092F60" w:rsidRPr="00092F60" w:rsidRDefault="00092F60" w:rsidP="00092F60">
      <w:pPr>
        <w:rPr>
          <w:rFonts w:cstheme="minorHAnsi"/>
        </w:rPr>
      </w:pPr>
      <w:r w:rsidRPr="00092F60">
        <w:rPr>
          <w:rFonts w:cstheme="minorHAnsi"/>
        </w:rPr>
        <w:t xml:space="preserve">The sources shown in </w:t>
      </w:r>
      <w:r w:rsidR="00A72B26" w:rsidRPr="00A72B26">
        <w:rPr>
          <w:rFonts w:cstheme="minorHAnsi"/>
        </w:rPr>
        <w:t>APPENDIX F</w:t>
      </w:r>
      <w:r w:rsidRPr="00092F60">
        <w:rPr>
          <w:rFonts w:cstheme="minorHAnsi"/>
        </w:rPr>
        <w:t xml:space="preserve"> were searched using the same terms with the caveat that single terms, phrases, or combinations of these may need to be varied according to the type of searching that each literature source permits. In other words, a more generalised approach was required for sources that used a search engine platform; however, an advanced search was used where that option was available. Given that horizon scanning seeks to determine the impact of technologies that are rapidly diffusing or likely to emerge within the next 3 years, the search was conducted for the period of one calendar year preceding the search date. </w:t>
      </w:r>
    </w:p>
    <w:p w:rsidR="00092F60" w:rsidRPr="00092F60" w:rsidRDefault="00F9663F" w:rsidP="00092F60">
      <w:pPr>
        <w:rPr>
          <w:rFonts w:cstheme="minorHAnsi"/>
        </w:rPr>
      </w:pPr>
      <w:r w:rsidRPr="00092F60">
        <w:rPr>
          <w:rFonts w:cstheme="minorHAnsi"/>
        </w:rPr>
        <w:lastRenderedPageBreak/>
        <w:t xml:space="preserve">Broad categories of disease are discussed, </w:t>
      </w:r>
      <w:r w:rsidRPr="00C84D55">
        <w:rPr>
          <w:rFonts w:cstheme="minorHAnsi"/>
        </w:rPr>
        <w:t xml:space="preserve">with detail provided on a small number of key </w:t>
      </w:r>
      <w:r>
        <w:rPr>
          <w:rFonts w:cstheme="minorHAnsi"/>
        </w:rPr>
        <w:t>condition</w:t>
      </w:r>
      <w:r w:rsidRPr="00C84D55">
        <w:rPr>
          <w:rFonts w:cstheme="minorHAnsi"/>
        </w:rPr>
        <w:t>s.</w:t>
      </w:r>
      <w:r w:rsidRPr="00092F60">
        <w:rPr>
          <w:rFonts w:cstheme="minorHAnsi"/>
        </w:rPr>
        <w:t xml:space="preserve"> The key examples </w:t>
      </w:r>
      <w:r>
        <w:rPr>
          <w:rFonts w:cstheme="minorHAnsi"/>
        </w:rPr>
        <w:t>were</w:t>
      </w:r>
      <w:r w:rsidRPr="00092F60">
        <w:rPr>
          <w:rFonts w:cstheme="minorHAnsi"/>
        </w:rPr>
        <w:t xml:space="preserve"> selected based on diversity of type, as well as the likelihood of emerg</w:t>
      </w:r>
      <w:r>
        <w:rPr>
          <w:rFonts w:cstheme="minorHAnsi"/>
        </w:rPr>
        <w:t>ence</w:t>
      </w:r>
      <w:r w:rsidRPr="00092F60">
        <w:rPr>
          <w:rFonts w:cstheme="minorHAnsi"/>
        </w:rPr>
        <w:t xml:space="preserve"> in the near future. Particular types of new/emerging pharmaceutical treatments for rare diseases </w:t>
      </w:r>
      <w:r>
        <w:rPr>
          <w:rFonts w:cstheme="minorHAnsi"/>
        </w:rPr>
        <w:t>are</w:t>
      </w:r>
      <w:r w:rsidRPr="00092F60">
        <w:rPr>
          <w:rFonts w:cstheme="minorHAnsi"/>
        </w:rPr>
        <w:t xml:space="preserve"> reviewed briefly (≤ 5 pages) using an “Impact summary” format. The aim of the “Impact summary” is to provide sufficient detail to determine whether the medicine is targeting a rare disease, whether it affects life expectancy, and whether there are alternative treatments available which are cost-effective.</w:t>
      </w:r>
      <w:r>
        <w:rPr>
          <w:rFonts w:cstheme="minorHAnsi"/>
        </w:rPr>
        <w:t xml:space="preserve"> </w:t>
      </w:r>
      <w:r w:rsidR="00092F60" w:rsidRPr="00092F60">
        <w:rPr>
          <w:rFonts w:cstheme="minorHAnsi"/>
        </w:rPr>
        <w:t xml:space="preserve">Only those likely to emerge </w:t>
      </w:r>
      <w:r w:rsidR="00092F60" w:rsidRPr="00092F60">
        <w:t xml:space="preserve">in the Australian health system within the next three years </w:t>
      </w:r>
      <w:r>
        <w:t>are</w:t>
      </w:r>
      <w:r w:rsidR="00092F60" w:rsidRPr="00092F60">
        <w:t xml:space="preserve"> discussed.</w:t>
      </w:r>
      <w:r w:rsidR="00092F60" w:rsidRPr="00092F60">
        <w:rPr>
          <w:rFonts w:cstheme="minorHAnsi"/>
        </w:rPr>
        <w:t xml:space="preserve"> Any drugs that cannot be legitimately expected to emerge within this time frame (e.g. drugs for which only animal studies are available) </w:t>
      </w:r>
      <w:r>
        <w:rPr>
          <w:rFonts w:cstheme="minorHAnsi"/>
        </w:rPr>
        <w:t xml:space="preserve">were not </w:t>
      </w:r>
      <w:r w:rsidR="00092F60" w:rsidRPr="00092F60">
        <w:rPr>
          <w:rFonts w:cstheme="minorHAnsi"/>
        </w:rPr>
        <w:t xml:space="preserve">reviewed. </w:t>
      </w:r>
    </w:p>
    <w:p w:rsidR="00092F60" w:rsidRDefault="00DB4EE8" w:rsidP="00D60032">
      <w:pPr>
        <w:pStyle w:val="Heading2"/>
      </w:pPr>
      <w:bookmarkStart w:id="512" w:name="_Toc404937287"/>
      <w:r>
        <w:tab/>
      </w:r>
      <w:bookmarkStart w:id="513" w:name="_Toc415141740"/>
      <w:r w:rsidR="00092F60" w:rsidRPr="00092F60">
        <w:t>Results</w:t>
      </w:r>
      <w:bookmarkEnd w:id="512"/>
      <w:bookmarkEnd w:id="513"/>
    </w:p>
    <w:p w:rsidR="00405145" w:rsidRPr="00405145" w:rsidRDefault="00405145" w:rsidP="00405145">
      <w:pPr>
        <w:rPr>
          <w:lang w:eastAsia="en-AU"/>
        </w:rPr>
      </w:pPr>
    </w:p>
    <w:p w:rsidR="00405145" w:rsidRDefault="00405145" w:rsidP="00B06D06">
      <w:pPr>
        <w:pBdr>
          <w:top w:val="single" w:sz="4" w:space="4" w:color="auto"/>
          <w:left w:val="single" w:sz="4" w:space="4" w:color="auto"/>
          <w:bottom w:val="single" w:sz="4" w:space="4" w:color="auto"/>
          <w:right w:val="single" w:sz="4" w:space="4" w:color="auto"/>
        </w:pBdr>
        <w:spacing w:before="120"/>
        <w:rPr>
          <w:rFonts w:ascii="Arial Narrow" w:hAnsi="Arial Narrow" w:cstheme="minorHAnsi"/>
          <w:sz w:val="22"/>
          <w:szCs w:val="22"/>
        </w:rPr>
      </w:pPr>
      <w:r>
        <w:rPr>
          <w:rFonts w:ascii="Arial Narrow" w:hAnsi="Arial Narrow" w:cstheme="minorHAnsi"/>
          <w:sz w:val="22"/>
          <w:szCs w:val="22"/>
        </w:rPr>
        <w:t xml:space="preserve">The biggest potential impact to the LSDP on the horizon is the move towards personalised medicine, and the way that common diseases are now being divided into rare phenotypes/genotypes, which could individually meet the criteria for the LSDP. The United States Food and Drug Administration </w:t>
      </w:r>
      <w:r w:rsidR="001B4E29">
        <w:rPr>
          <w:rFonts w:ascii="Arial Narrow" w:hAnsi="Arial Narrow" w:cstheme="minorHAnsi"/>
          <w:sz w:val="22"/>
          <w:szCs w:val="22"/>
        </w:rPr>
        <w:t>allow</w:t>
      </w:r>
      <w:r>
        <w:rPr>
          <w:rFonts w:ascii="Arial Narrow" w:hAnsi="Arial Narrow" w:cstheme="minorHAnsi"/>
          <w:sz w:val="22"/>
          <w:szCs w:val="22"/>
        </w:rPr>
        <w:t xml:space="preserve"> orphan designation for “orphan subtypes” of common diseases, and in 2013, over a third of drug applications sought orphan designation.  </w:t>
      </w:r>
    </w:p>
    <w:p w:rsidR="00B06D06" w:rsidRPr="00877C70" w:rsidRDefault="00B06D06" w:rsidP="00B06D06">
      <w:pPr>
        <w:pBdr>
          <w:top w:val="single" w:sz="4" w:space="4" w:color="auto"/>
          <w:left w:val="single" w:sz="4" w:space="4" w:color="auto"/>
          <w:bottom w:val="single" w:sz="4" w:space="4" w:color="auto"/>
          <w:right w:val="single" w:sz="4" w:space="4" w:color="auto"/>
        </w:pBdr>
        <w:rPr>
          <w:lang w:eastAsia="en-AU"/>
        </w:rPr>
      </w:pPr>
      <w:r>
        <w:rPr>
          <w:rFonts w:ascii="Arial Narrow" w:hAnsi="Arial Narrow" w:cstheme="minorHAnsi"/>
          <w:sz w:val="22"/>
          <w:szCs w:val="22"/>
        </w:rPr>
        <w:t>The horizon scanning search revealed many different drugs in many different classes that could have potential relevance to the LSDP. However, in most cases, there is too little information available about the patient population (</w:t>
      </w:r>
      <w:r w:rsidR="001B4E29">
        <w:rPr>
          <w:rFonts w:ascii="Arial Narrow" w:hAnsi="Arial Narrow" w:cstheme="minorHAnsi"/>
          <w:sz w:val="22"/>
          <w:szCs w:val="22"/>
        </w:rPr>
        <w:t>i.e.</w:t>
      </w:r>
      <w:r>
        <w:rPr>
          <w:rFonts w:ascii="Arial Narrow" w:hAnsi="Arial Narrow" w:cstheme="minorHAnsi"/>
          <w:sz w:val="22"/>
          <w:szCs w:val="22"/>
        </w:rPr>
        <w:t xml:space="preserve"> specific mutation or indication) to enable a thorough analysis of the likelihood of eligibility. There do seem to be areas of growing importance, including the use of monoclonal antibodies and gene therapies. The majority of developments on orphan drugs are in the oncology field, and this will raise questions as </w:t>
      </w:r>
      <w:r w:rsidR="001B4E29">
        <w:rPr>
          <w:rFonts w:ascii="Arial Narrow" w:hAnsi="Arial Narrow" w:cstheme="minorHAnsi"/>
          <w:sz w:val="22"/>
          <w:szCs w:val="22"/>
        </w:rPr>
        <w:t>to whether</w:t>
      </w:r>
      <w:r>
        <w:rPr>
          <w:rFonts w:ascii="Arial Narrow" w:hAnsi="Arial Narrow" w:cstheme="minorHAnsi"/>
          <w:sz w:val="22"/>
          <w:szCs w:val="22"/>
        </w:rPr>
        <w:t xml:space="preserve"> specific, rare mutations of relatively common diseases will be eligible for the programme. In addition, many of the identified drugs that could potentially emerge as standard treatments for rare conditions are already used for the treatment of different clinical indications; and this could have implications for the public funding of these treatments.</w:t>
      </w:r>
    </w:p>
    <w:p w:rsidR="00247E93" w:rsidRDefault="00247E93" w:rsidP="00092F60"/>
    <w:p w:rsidR="006E7C3A" w:rsidRDefault="006E7C3A" w:rsidP="006E7C3A">
      <w:r w:rsidRPr="00092F60">
        <w:t>A large number of potential treatments for many rare conditions were identified</w:t>
      </w:r>
      <w:r w:rsidR="00F82ED7">
        <w:t>, predominantly identified through Orphanet</w:t>
      </w:r>
      <w:r w:rsidR="007002CD">
        <w:t xml:space="preserve"> (a reference portal for information on rare diseases and orphan drugs)</w:t>
      </w:r>
      <w:r w:rsidRPr="00092F60">
        <w:t>. This includes personalised or stratified medicine approach</w:t>
      </w:r>
      <w:r>
        <w:t>es</w:t>
      </w:r>
      <w:r w:rsidRPr="00092F60">
        <w:t>,</w:t>
      </w:r>
      <w:r>
        <w:t xml:space="preserve"> whereby genetic biomarkers are used to better target drugs for specific conditions, as well as</w:t>
      </w:r>
      <w:r w:rsidRPr="00092F60">
        <w:t xml:space="preserve"> novel treatments</w:t>
      </w:r>
      <w:r>
        <w:t>. These latter treatments include</w:t>
      </w:r>
      <w:r w:rsidRPr="00092F60">
        <w:t xml:space="preserve"> cell therapy, antisense RNA interference therapy, monoclon</w:t>
      </w:r>
      <w:r w:rsidR="00F82ED7">
        <w:t>al antibodies and gene therapy.</w:t>
      </w:r>
      <w:r w:rsidRPr="00092F60">
        <w:t xml:space="preserve"> In many cases, particularly with relation to the oncology field, it was difficult to ascertain</w:t>
      </w:r>
      <w:r>
        <w:t xml:space="preserve"> whether the drug would be eligible for </w:t>
      </w:r>
      <w:r w:rsidRPr="00092F60">
        <w:t>the LSDP as there was a lack of detail about the specifics of the condition or the particular patient indications.</w:t>
      </w:r>
      <w:r>
        <w:t xml:space="preserve"> </w:t>
      </w:r>
      <w:r w:rsidRPr="00092F60">
        <w:t xml:space="preserve">Thus, whilst much of the work in orphan drugs is in the oncology field, </w:t>
      </w:r>
      <w:r>
        <w:t>it is difficult</w:t>
      </w:r>
      <w:r w:rsidRPr="00092F60">
        <w:t xml:space="preserve"> to predict the </w:t>
      </w:r>
      <w:r>
        <w:t xml:space="preserve">possible </w:t>
      </w:r>
      <w:r w:rsidRPr="00092F60">
        <w:t>ramifications for the LSDP.</w:t>
      </w:r>
      <w:r>
        <w:t xml:space="preserve"> Further information on this issue is given in the section on “Rare phenotypes” below.</w:t>
      </w:r>
      <w:r w:rsidRPr="00092F60">
        <w:t xml:space="preserve"> </w:t>
      </w:r>
    </w:p>
    <w:p w:rsidR="006E7C3A" w:rsidRPr="00092F60" w:rsidRDefault="006E7C3A" w:rsidP="006E7C3A">
      <w:r>
        <w:t>Emerging treatments for o</w:t>
      </w:r>
      <w:r w:rsidRPr="00092F60">
        <w:t xml:space="preserve">ther conditions </w:t>
      </w:r>
      <w:r>
        <w:t>are potentially relevant in terms of impacting on the LSDP. I</w:t>
      </w:r>
      <w:r w:rsidRPr="00092F60">
        <w:t xml:space="preserve">n particular, work on monoclonal antibodies (and their delivery systems) is likely to </w:t>
      </w:r>
      <w:r>
        <w:t>affect</w:t>
      </w:r>
      <w:r w:rsidRPr="00092F60">
        <w:t xml:space="preserve"> autoimmune disorders, and stem cell treatments are likely to become increasingly important in </w:t>
      </w:r>
      <w:r>
        <w:t xml:space="preserve">the treatment of </w:t>
      </w:r>
      <w:r w:rsidRPr="00092F60">
        <w:t xml:space="preserve">neurological conditions. </w:t>
      </w:r>
    </w:p>
    <w:p w:rsidR="006E7C3A" w:rsidRDefault="006E7C3A" w:rsidP="006E7C3A">
      <w:r w:rsidRPr="00092F60">
        <w:lastRenderedPageBreak/>
        <w:t xml:space="preserve">Although </w:t>
      </w:r>
      <w:r>
        <w:t>our</w:t>
      </w:r>
      <w:r w:rsidRPr="00092F60">
        <w:t xml:space="preserve"> search for new and emerging drugs revealed many different drugs in many classes for many conditions, </w:t>
      </w:r>
      <w:r>
        <w:t>the lis</w:t>
      </w:r>
      <w:r w:rsidRPr="00092F60">
        <w:t xml:space="preserve">t is not exhaustive. Given the commercial nature of </w:t>
      </w:r>
      <w:r>
        <w:t>most</w:t>
      </w:r>
      <w:r w:rsidRPr="00092F60">
        <w:t xml:space="preserve"> drug development, it is to be expected that much of the research into treatments for rare diseases is not in the public domain. </w:t>
      </w:r>
      <w:r>
        <w:t>Within</w:t>
      </w:r>
      <w:r w:rsidRPr="00092F60">
        <w:t xml:space="preserve"> the constraints of </w:t>
      </w:r>
      <w:r>
        <w:t>our literature</w:t>
      </w:r>
      <w:r w:rsidRPr="00092F60">
        <w:t xml:space="preserve"> search, what follows is a list of treatments identified that may be relevant to the LSDP in the future</w:t>
      </w:r>
      <w:r>
        <w:t>. Each of the diseases or conditions presented below have been identified as being treated with a novel drug and meets one of the definitions pre-specified as “rare”.</w:t>
      </w:r>
      <w:r w:rsidRPr="006E7C3A">
        <w:t xml:space="preserve"> </w:t>
      </w:r>
      <w:r w:rsidR="00A72B26">
        <w:t xml:space="preserve">Table </w:t>
      </w:r>
      <w:r w:rsidR="00A72B26">
        <w:rPr>
          <w:noProof/>
        </w:rPr>
        <w:t>171</w:t>
      </w:r>
      <w:r>
        <w:t xml:space="preserve"> provides a snapshot of the prevalence of the condition and the emerging treatments. More detailed discussion of some of these treatments is given below including, </w:t>
      </w:r>
      <w:r w:rsidRPr="00092F60">
        <w:t>where relevant, the results of recent research.</w:t>
      </w:r>
    </w:p>
    <w:p w:rsidR="00F01E9C" w:rsidRDefault="00F01E9C" w:rsidP="00F01E9C">
      <w:pPr>
        <w:pStyle w:val="Heading3"/>
      </w:pPr>
      <w:bookmarkStart w:id="514" w:name="_Toc404937303"/>
      <w:bookmarkStart w:id="515" w:name="_Ref405840873"/>
      <w:bookmarkStart w:id="516" w:name="_Toc404937288"/>
      <w:r>
        <w:t>Rare phenotypes / genotypes of common diseases</w:t>
      </w:r>
      <w:bookmarkEnd w:id="514"/>
      <w:bookmarkEnd w:id="515"/>
    </w:p>
    <w:p w:rsidR="00F01E9C" w:rsidRPr="00B51A5B" w:rsidRDefault="00F01E9C" w:rsidP="00F01E9C">
      <w:r>
        <w:t xml:space="preserve">There is currently no clear definition of a “disease” or “condition”, and it is possible that common diseases or conditions may be divided into subsets of diseases, which could then be interpreted to meet the definition of a “rare disease”. In the United States, the Food and Drug Administration can grant orphan designation for a drug to be used in an “orphan subset” of a common disease </w:t>
      </w:r>
      <w:r w:rsidR="00A130D0">
        <w:rPr>
          <w:noProof/>
        </w:rPr>
        <w:t>(</w:t>
      </w:r>
      <w:r w:rsidR="00184B6F">
        <w:rPr>
          <w:noProof/>
        </w:rPr>
        <w:t>Reese 2014</w:t>
      </w:r>
      <w:r w:rsidR="00A130D0">
        <w:rPr>
          <w:noProof/>
        </w:rPr>
        <w:t>)</w:t>
      </w:r>
      <w:r>
        <w:t xml:space="preserve">. For example, a common disease is non-small cell lung cancer, whereas an orphan subset may be non-small cell lung cancer with an EGFR mutation. To meet the criteria of an orphan subset, evidence is required that the proposed treatment only targets the specific rare subset of the disease, and is not effective at treating those who have the broader condition </w:t>
      </w:r>
      <w:r w:rsidR="00A130D0">
        <w:rPr>
          <w:noProof/>
        </w:rPr>
        <w:t>(</w:t>
      </w:r>
      <w:r w:rsidR="00184B6F">
        <w:rPr>
          <w:noProof/>
        </w:rPr>
        <w:t>Reese 2014</w:t>
      </w:r>
      <w:r w:rsidR="00A130D0">
        <w:rPr>
          <w:noProof/>
        </w:rPr>
        <w:t>)</w:t>
      </w:r>
      <w:r>
        <w:t xml:space="preserve">. If an application is seen to be artificially ‘salami-slicing’ an indication in order to meet the rules for prevalence of an orphan drug, the orphan designation application will be rejected. However, scientific advances can provide plausible evidence to support claims of the uniqueness of subtypes. Geneticists are able to identify mutations to rare syndromes, virologists have been able to track the evolution of receptors on the surface of flu viruses, and biochemists have discovered particular misfolded proteins that appear responsible for diseases such as </w:t>
      </w:r>
      <w:r w:rsidRPr="00B51A5B">
        <w:t xml:space="preserve">Alzheimer’s (Reardon 2014). </w:t>
      </w:r>
    </w:p>
    <w:p w:rsidR="00F01E9C" w:rsidRPr="00B51A5B" w:rsidRDefault="00F01E9C" w:rsidP="00F01E9C">
      <w:r w:rsidRPr="00B51A5B">
        <w:t>The</w:t>
      </w:r>
      <w:r>
        <w:t>re are important</w:t>
      </w:r>
      <w:r w:rsidRPr="00B51A5B">
        <w:t xml:space="preserve"> implications </w:t>
      </w:r>
      <w:r>
        <w:t>if</w:t>
      </w:r>
      <w:r w:rsidRPr="00B51A5B">
        <w:t xml:space="preserve"> subgroups of common diseases </w:t>
      </w:r>
      <w:r>
        <w:t xml:space="preserve">are considered </w:t>
      </w:r>
      <w:r w:rsidRPr="00B51A5B">
        <w:t xml:space="preserve">as potentially eligible </w:t>
      </w:r>
      <w:r>
        <w:t xml:space="preserve">targets </w:t>
      </w:r>
      <w:r w:rsidRPr="00B51A5B">
        <w:t>for drugs listed on the LSDP. In 2010, a survey of Biopharmaceutical companies by the Tuf</w:t>
      </w:r>
      <w:r>
        <w:t>t</w:t>
      </w:r>
      <w:r w:rsidRPr="00B51A5B">
        <w:t xml:space="preserve">s Center for the Study of Drug Development found that 94% of companies were investing in personalised medicine research, with 12 – 50% of drugs in the development pipeline, being described as personalised medicine (Long &amp; Works, 2013). The companies estimated they would increase their spending on personalised medicine by 50% between 2010 and 2015. Another estimate is that orphan drugs will constitute 15.9% of worldwide prescription sales by 2018 </w:t>
      </w:r>
      <w:r w:rsidR="00A130D0">
        <w:rPr>
          <w:noProof/>
        </w:rPr>
        <w:t>(</w:t>
      </w:r>
      <w:r w:rsidR="00184B6F">
        <w:rPr>
          <w:noProof/>
        </w:rPr>
        <w:t>White 2013</w:t>
      </w:r>
      <w:r w:rsidR="00A130D0">
        <w:rPr>
          <w:noProof/>
        </w:rPr>
        <w:t>)</w:t>
      </w:r>
      <w:r w:rsidRPr="00B51A5B">
        <w:t>.</w:t>
      </w:r>
    </w:p>
    <w:p w:rsidR="00F01E9C" w:rsidRPr="00B51A5B" w:rsidRDefault="00F01E9C" w:rsidP="00F01E9C">
      <w:r w:rsidRPr="00B51A5B">
        <w:t>In the United States, the definition of lymphoma has been dividing into different subtypes, which are being classed as ‘orphan diseases’. In 2013, the</w:t>
      </w:r>
      <w:r>
        <w:t xml:space="preserve"> FDA granted orphan designation to 21 different types of lymphoma treatment, and the Office of Orphan Product Development (OOPD) designated 260 drug applications as orphans, which is up 38% from 190 in 2012 </w:t>
      </w:r>
      <w:r w:rsidR="00A130D0">
        <w:rPr>
          <w:noProof/>
        </w:rPr>
        <w:t>(</w:t>
      </w:r>
      <w:r w:rsidR="00184B6F">
        <w:rPr>
          <w:noProof/>
        </w:rPr>
        <w:t>Reardon 2014</w:t>
      </w:r>
      <w:r w:rsidR="00A130D0">
        <w:rPr>
          <w:noProof/>
        </w:rPr>
        <w:t>)</w:t>
      </w:r>
      <w:r>
        <w:t xml:space="preserve">. This equates to more than one-third of new drugs approved by the FDA in 2013, being designated as orphan drugs. A previous director of the OOPD, Timothy Coté, speculated that it is conceivable that orphan drugs may one day account for most of the FDA’s </w:t>
      </w:r>
      <w:r>
        <w:lastRenderedPageBreak/>
        <w:t xml:space="preserve">drug approvals (Reardon, 2014). With the completion of the Human Genome project, the mechanisms of over 5,000 diseases is now known, which has </w:t>
      </w:r>
      <w:r w:rsidRPr="00B51A5B">
        <w:t xml:space="preserve">increasingly allowed subgroups within traditionally common illnesses to be identified. </w:t>
      </w:r>
    </w:p>
    <w:p w:rsidR="00F01E9C" w:rsidRPr="00B51A5B" w:rsidRDefault="00F01E9C" w:rsidP="00F01E9C">
      <w:r w:rsidRPr="00B51A5B">
        <w:t xml:space="preserve">The FDA currently waives their fees for orphan drug applications. These fees provide the majority of the FDA’s funding, and have risen from $573,500 to $2.17 million in the last decade. It is likely that the increasing proportion of drug applications which have had their fees waived is responsible for the increase in fee for the remaining applications (predominantly generic drugs and equipment manufacturers) </w:t>
      </w:r>
      <w:r w:rsidR="00A130D0">
        <w:rPr>
          <w:noProof/>
        </w:rPr>
        <w:t>(</w:t>
      </w:r>
      <w:r w:rsidR="00184B6F">
        <w:rPr>
          <w:noProof/>
        </w:rPr>
        <w:t>Bisset 2014</w:t>
      </w:r>
      <w:r w:rsidR="00A130D0">
        <w:rPr>
          <w:noProof/>
        </w:rPr>
        <w:t>)</w:t>
      </w:r>
      <w:r w:rsidRPr="00B51A5B">
        <w:t>.</w:t>
      </w:r>
    </w:p>
    <w:p w:rsidR="00F01E9C" w:rsidRPr="00B51A5B" w:rsidRDefault="00F01E9C" w:rsidP="00F01E9C">
      <w:r w:rsidRPr="00B51A5B">
        <w:t xml:space="preserve">It is suggested that the incentives in place for pharmaceutical and biotechnology companies to develop orphan drugs are now outdated, as the future is dominated by ‘orphan’ drugs for small patient populations </w:t>
      </w:r>
      <w:r w:rsidR="00A130D0">
        <w:rPr>
          <w:noProof/>
        </w:rPr>
        <w:t>(</w:t>
      </w:r>
      <w:r w:rsidR="00184B6F">
        <w:rPr>
          <w:noProof/>
        </w:rPr>
        <w:t>Bisset 2014</w:t>
      </w:r>
      <w:r w:rsidR="00A130D0">
        <w:rPr>
          <w:noProof/>
        </w:rPr>
        <w:t>)</w:t>
      </w:r>
      <w:r w:rsidRPr="00B51A5B">
        <w:t xml:space="preserve">. With the proliferation of subtype targeted drugs for conditions such as cancer, one option may be to limit orphan designation to the development of drugs with little established data behind them, where companies take more of a risk to treat diseases which are not fully understood </w:t>
      </w:r>
      <w:r w:rsidR="00A130D0">
        <w:rPr>
          <w:noProof/>
        </w:rPr>
        <w:t>(</w:t>
      </w:r>
      <w:r w:rsidR="00184B6F">
        <w:rPr>
          <w:noProof/>
        </w:rPr>
        <w:t>Bisset 2014</w:t>
      </w:r>
      <w:r w:rsidR="00A130D0">
        <w:rPr>
          <w:noProof/>
        </w:rPr>
        <w:t>)</w:t>
      </w:r>
      <w:r w:rsidRPr="00B51A5B">
        <w:t>.</w:t>
      </w:r>
    </w:p>
    <w:p w:rsidR="00F01E9C" w:rsidRDefault="00F01E9C" w:rsidP="00F01E9C">
      <w:r>
        <w:t>In terms of eligibility for the LSDP, if these “orphan subsets” of common conditions meet the ‘rare’ eligibility criterion, it is unclear whether the criterion of ‘lack of availability of existing lifesaving treatments’ would also be judged according to the broader disease classification (including, for example, cancer staging) or whether it would apply at the molecular level. For example, if currently available cancer treatments are not biomarker-targeted, it could be construed that there are no effective treatments currently available for particular “orphan subset” cancers and thus the drug might be eligible for the LSDP if a survival benefit is demonstrated.</w:t>
      </w:r>
      <w:r w:rsidRPr="00092F60">
        <w:t xml:space="preserve"> </w:t>
      </w:r>
    </w:p>
    <w:p w:rsidR="00F01E9C" w:rsidRDefault="00F01E9C" w:rsidP="00F01E9C">
      <w:r w:rsidRPr="00B51A5B">
        <w:t>Areas of focus for targeting treatment to particular subtypes ha</w:t>
      </w:r>
      <w:r>
        <w:t>ve</w:t>
      </w:r>
      <w:r w:rsidRPr="00B51A5B">
        <w:t xml:space="preserve"> been</w:t>
      </w:r>
      <w:r>
        <w:t xml:space="preserve"> cancer, cardiovascular disease, infectious diseases and respiratory disease. Some examples of treatments that target rare subtypes of common diseases</w:t>
      </w:r>
      <w:r w:rsidR="001B4E29">
        <w:t xml:space="preserve"> are given</w:t>
      </w:r>
      <w:r>
        <w:t xml:space="preserve"> in the </w:t>
      </w:r>
      <w:r w:rsidR="001B4E29">
        <w:t>‘</w:t>
      </w:r>
      <w:r w:rsidR="00A72B26">
        <w:t>Drugs for rare subtypes of common diseases</w:t>
      </w:r>
      <w:r>
        <w:t xml:space="preserve">’ section on page </w:t>
      </w:r>
      <w:r w:rsidR="00A72B26">
        <w:rPr>
          <w:noProof/>
        </w:rPr>
        <w:t>229</w:t>
      </w:r>
      <w:r>
        <w:t>.</w:t>
      </w:r>
    </w:p>
    <w:p w:rsidR="00092F60" w:rsidRPr="00092F60" w:rsidRDefault="00092F60" w:rsidP="00E965BD">
      <w:pPr>
        <w:pStyle w:val="Heading3"/>
      </w:pPr>
      <w:r w:rsidRPr="00092F60">
        <w:t>Rare-diseases in the era of next-generation sequencing</w:t>
      </w:r>
      <w:bookmarkEnd w:id="516"/>
      <w:r w:rsidRPr="00092F60">
        <w:t xml:space="preserve"> </w:t>
      </w:r>
    </w:p>
    <w:p w:rsidR="00F01E9C" w:rsidRPr="00092F60" w:rsidRDefault="00F01E9C" w:rsidP="00F01E9C">
      <w:r w:rsidRPr="00092F60">
        <w:t xml:space="preserve">Defining a rare disease as occurring in less than 1 in 2000 people, it is estimated that there are between 6000 and 7000 rare diseases, which are caused by single gene mutations. In the last 25 years, the molecular aetiology of approximately half of these has been identified through linkage mapping and candidate gene analysis. With the advent of next-generation sequencing, the identification of causative genes is accelerating, and it is predicted that the remaining disease-causing genes will be identified by the year 2020 </w:t>
      </w:r>
      <w:r w:rsidR="00A130D0">
        <w:rPr>
          <w:noProof/>
        </w:rPr>
        <w:t>(</w:t>
      </w:r>
      <w:r w:rsidR="00184B6F">
        <w:rPr>
          <w:noProof/>
        </w:rPr>
        <w:t>Boycott et al. 2013</w:t>
      </w:r>
      <w:r w:rsidR="00A130D0">
        <w:rPr>
          <w:noProof/>
        </w:rPr>
        <w:t>)</w:t>
      </w:r>
      <w:r w:rsidRPr="00092F60">
        <w:t xml:space="preserve">. Understanding the underlying biological mechanism behind different diseases allows the potential for new therapeutics to be considered. One example of this is the identification of SLC18A2 through whole exon </w:t>
      </w:r>
      <w:r w:rsidR="001B4E29" w:rsidRPr="00092F60">
        <w:t>sequencing;</w:t>
      </w:r>
      <w:r w:rsidRPr="00092F60">
        <w:t xml:space="preserve"> </w:t>
      </w:r>
      <w:r>
        <w:t>it i</w:t>
      </w:r>
      <w:r w:rsidRPr="00092F60">
        <w:t>s the causative gene behind infantile-onset movement disorder. The gene encodes VMAT2, which is a translocator of dopamine, and serotonin</w:t>
      </w:r>
      <w:r>
        <w:t>. This</w:t>
      </w:r>
      <w:r w:rsidRPr="00092F60">
        <w:t xml:space="preserve"> suggested that dopamine could be used to treat the disease. Consistent with th</w:t>
      </w:r>
      <w:r>
        <w:t>is</w:t>
      </w:r>
      <w:r w:rsidRPr="00092F60">
        <w:t xml:space="preserve"> hypothesis, dopamine agonists were found to reduce symptoms and allow more normal development </w:t>
      </w:r>
      <w:r w:rsidR="00A130D0">
        <w:rPr>
          <w:noProof/>
        </w:rPr>
        <w:t>(</w:t>
      </w:r>
      <w:r w:rsidR="00184B6F">
        <w:rPr>
          <w:noProof/>
        </w:rPr>
        <w:t>Boycott et al. 2013</w:t>
      </w:r>
      <w:r w:rsidR="00A130D0">
        <w:rPr>
          <w:noProof/>
        </w:rPr>
        <w:t>)</w:t>
      </w:r>
      <w:r w:rsidRPr="00092F60">
        <w:t xml:space="preserve">. </w:t>
      </w:r>
      <w:r>
        <w:t>Despite a better understanding of disease aetiology</w:t>
      </w:r>
      <w:r w:rsidRPr="00092F60">
        <w:t xml:space="preserve">, it is predicted that in the </w:t>
      </w:r>
      <w:r>
        <w:t xml:space="preserve">next </w:t>
      </w:r>
      <w:r w:rsidRPr="00092F60">
        <w:t xml:space="preserve">20 </w:t>
      </w:r>
      <w:r w:rsidRPr="00092F60">
        <w:lastRenderedPageBreak/>
        <w:t xml:space="preserve">years there will </w:t>
      </w:r>
      <w:r>
        <w:t xml:space="preserve">only </w:t>
      </w:r>
      <w:r w:rsidRPr="00092F60">
        <w:t xml:space="preserve">be approximately 75 new approvals for orphan drug products in Europe </w:t>
      </w:r>
      <w:r w:rsidR="00A130D0">
        <w:rPr>
          <w:noProof/>
        </w:rPr>
        <w:t>(</w:t>
      </w:r>
      <w:r w:rsidR="00184B6F">
        <w:rPr>
          <w:noProof/>
        </w:rPr>
        <w:t>Boycott et al. 2013</w:t>
      </w:r>
      <w:r w:rsidR="00A130D0">
        <w:rPr>
          <w:noProof/>
        </w:rPr>
        <w:t>)</w:t>
      </w:r>
      <w:r w:rsidRPr="00092F60">
        <w:t xml:space="preserve">. </w:t>
      </w:r>
    </w:p>
    <w:p w:rsidR="00F01E9C" w:rsidRPr="00092F60" w:rsidRDefault="00F01E9C" w:rsidP="00F01E9C">
      <w:r w:rsidRPr="00092F60">
        <w:t>Genetic disorders of high penetrance are usually related to</w:t>
      </w:r>
      <w:r>
        <w:t>:</w:t>
      </w:r>
      <w:r w:rsidRPr="00092F60">
        <w:t xml:space="preserve"> i) loss-of-function mutations, which lead to a reduction in the level or activity of a particular protein; or ii) gain-of-function mutations, which lead to an increase in protein level or activity </w:t>
      </w:r>
      <w:r w:rsidR="00A130D0">
        <w:rPr>
          <w:noProof/>
        </w:rPr>
        <w:t>(</w:t>
      </w:r>
      <w:r w:rsidR="00184B6F">
        <w:rPr>
          <w:noProof/>
        </w:rPr>
        <w:t>Beaulieu et al. 2012</w:t>
      </w:r>
      <w:r w:rsidR="00A130D0">
        <w:rPr>
          <w:noProof/>
        </w:rPr>
        <w:t>)</w:t>
      </w:r>
      <w:r w:rsidRPr="00092F60">
        <w:t xml:space="preserve">. Therapy can be directed at normalising the imbalance, by enhancing mRNA, protein or protein activity in loss-of-function disorders, or by moderating the mRNA, protein, protein function or pathway activity in gain-of-function mutations </w:t>
      </w:r>
      <w:r w:rsidR="00A130D0">
        <w:rPr>
          <w:noProof/>
        </w:rPr>
        <w:t>(</w:t>
      </w:r>
      <w:r w:rsidR="00184B6F">
        <w:rPr>
          <w:noProof/>
        </w:rPr>
        <w:t>Beaulieu et al. 2012</w:t>
      </w:r>
      <w:r w:rsidR="00A130D0">
        <w:rPr>
          <w:noProof/>
        </w:rPr>
        <w:t>)</w:t>
      </w:r>
      <w:r w:rsidRPr="00092F60">
        <w:t xml:space="preserve">. A table of possible forms of therapy for loss-of-function and gain-of-function disorders is listed in </w:t>
      </w:r>
      <w:r w:rsidR="00A72B26" w:rsidRPr="006A71AB">
        <w:t xml:space="preserve">Table </w:t>
      </w:r>
      <w:r w:rsidR="00A72B26">
        <w:rPr>
          <w:noProof/>
        </w:rPr>
        <w:t>135</w:t>
      </w:r>
      <w:r w:rsidRPr="00092F60">
        <w:t xml:space="preserve">. Although using genetic mutations as a target for treatment is credible and feasible, </w:t>
      </w:r>
      <w:r>
        <w:t>the development of effective therapeutics may take time. One</w:t>
      </w:r>
      <w:r w:rsidRPr="00092F60">
        <w:t xml:space="preserve"> of the most “common” rare diseases, Duchenne</w:t>
      </w:r>
      <w:r>
        <w:t>’s</w:t>
      </w:r>
      <w:r w:rsidRPr="00092F60">
        <w:t xml:space="preserve"> muscular dystrophy, ha</w:t>
      </w:r>
      <w:r>
        <w:t>s</w:t>
      </w:r>
      <w:r w:rsidRPr="00092F60">
        <w:t xml:space="preserve"> been the subject of many years and millions of dollars of research, and there is currently still not an effective therapy in use for </w:t>
      </w:r>
      <w:r>
        <w:t>the</w:t>
      </w:r>
      <w:r w:rsidRPr="00092F60">
        <w:t xml:space="preserve"> disorder </w:t>
      </w:r>
      <w:r w:rsidR="00A130D0">
        <w:rPr>
          <w:noProof/>
        </w:rPr>
        <w:t>(</w:t>
      </w:r>
      <w:r w:rsidR="00184B6F">
        <w:rPr>
          <w:noProof/>
        </w:rPr>
        <w:t>Beaulieu et al. 2012</w:t>
      </w:r>
      <w:r w:rsidR="00A130D0">
        <w:rPr>
          <w:noProof/>
        </w:rPr>
        <w:t>)</w:t>
      </w:r>
      <w:r w:rsidRPr="00092F60">
        <w:t>.</w:t>
      </w:r>
      <w:r>
        <w:t xml:space="preserve"> On the other hand, another “common” rare disease, cystic fibrosis, has recently seen the development of ivacaftor (Kalydeco), the only drug in its class (a potentiator) currently licensed for use in clinical practice. Known investigationally as VX770, it directly affects the CFTR mutation G551D by enhancing gating at the cell surface. Its effectiveness has been validated in several randomised controlled trials. Combination therapy with lumacaftor (a corrector) is now being trialled</w:t>
      </w:r>
      <w:r w:rsidRPr="00FA73B7">
        <w:t xml:space="preserve"> </w:t>
      </w:r>
      <w:r w:rsidR="00A130D0">
        <w:rPr>
          <w:noProof/>
        </w:rPr>
        <w:t>(</w:t>
      </w:r>
      <w:r w:rsidR="00184B6F">
        <w:rPr>
          <w:noProof/>
        </w:rPr>
        <w:t>Kumar, Tana &amp; Shankar 2014</w:t>
      </w:r>
      <w:r w:rsidR="00A130D0">
        <w:rPr>
          <w:noProof/>
        </w:rPr>
        <w:t>)</w:t>
      </w:r>
      <w:r>
        <w:t>.</w:t>
      </w:r>
    </w:p>
    <w:p w:rsidR="00F01E9C" w:rsidRPr="006A71AB" w:rsidRDefault="00F01E9C" w:rsidP="00F01E9C">
      <w:pPr>
        <w:pStyle w:val="Caption"/>
        <w:keepNext/>
        <w:tabs>
          <w:tab w:val="clear" w:pos="851"/>
          <w:tab w:val="left" w:pos="1134"/>
        </w:tabs>
        <w:ind w:left="1134" w:hanging="1134"/>
      </w:pPr>
      <w:bookmarkStart w:id="517" w:name="_Ref404427299"/>
      <w:bookmarkStart w:id="518" w:name="_Toc405362004"/>
      <w:bookmarkStart w:id="519" w:name="_Toc411510498"/>
      <w:bookmarkStart w:id="520" w:name="_Toc415141932"/>
      <w:r w:rsidRPr="006A71AB">
        <w:lastRenderedPageBreak/>
        <w:t xml:space="preserve">Table </w:t>
      </w:r>
      <w:r w:rsidR="00A72B26">
        <w:rPr>
          <w:noProof/>
        </w:rPr>
        <w:t>135</w:t>
      </w:r>
      <w:bookmarkEnd w:id="517"/>
      <w:r w:rsidRPr="006A71AB">
        <w:tab/>
        <w:t xml:space="preserve">Direct therapeutic approaches to treat rare </w:t>
      </w:r>
      <w:r w:rsidR="008906B1">
        <w:t xml:space="preserve">genetic </w:t>
      </w:r>
      <w:r w:rsidRPr="006A71AB">
        <w:t>diseases</w:t>
      </w:r>
      <w:bookmarkEnd w:id="518"/>
      <w:bookmarkEnd w:id="519"/>
      <w:bookmarkEnd w:id="520"/>
    </w:p>
    <w:tbl>
      <w:tblPr>
        <w:tblStyle w:val="TableGrid"/>
        <w:tblW w:w="0" w:type="auto"/>
        <w:tblLook w:val="04A0" w:firstRow="1" w:lastRow="0" w:firstColumn="1" w:lastColumn="0" w:noHBand="0" w:noVBand="1"/>
        <w:tblCaption w:val="Table 100 Direct therapeutic approaches to treat rare genetic disoders"/>
      </w:tblPr>
      <w:tblGrid>
        <w:gridCol w:w="3080"/>
        <w:gridCol w:w="2415"/>
        <w:gridCol w:w="3747"/>
      </w:tblGrid>
      <w:tr w:rsidR="00F01E9C" w:rsidRPr="00092F60" w:rsidTr="002379F4">
        <w:trPr>
          <w:tblHeader/>
        </w:trPr>
        <w:tc>
          <w:tcPr>
            <w:tcW w:w="3080" w:type="dxa"/>
          </w:tcPr>
          <w:p w:rsidR="00F01E9C" w:rsidRPr="00092F60" w:rsidRDefault="00F01E9C" w:rsidP="002379F4">
            <w:pPr>
              <w:pStyle w:val="TableHeading"/>
            </w:pPr>
            <w:r w:rsidRPr="00092F60">
              <w:t>Approach</w:t>
            </w:r>
          </w:p>
        </w:tc>
        <w:tc>
          <w:tcPr>
            <w:tcW w:w="2415" w:type="dxa"/>
          </w:tcPr>
          <w:p w:rsidR="00F01E9C" w:rsidRPr="00092F60" w:rsidRDefault="00F01E9C" w:rsidP="002379F4">
            <w:pPr>
              <w:pStyle w:val="TableHeading"/>
            </w:pPr>
            <w:r w:rsidRPr="00092F60">
              <w:t>Intervention</w:t>
            </w:r>
          </w:p>
        </w:tc>
        <w:tc>
          <w:tcPr>
            <w:tcW w:w="3747" w:type="dxa"/>
          </w:tcPr>
          <w:p w:rsidR="00F01E9C" w:rsidRPr="00092F60" w:rsidRDefault="00F01E9C" w:rsidP="002379F4">
            <w:pPr>
              <w:pStyle w:val="TableHeading"/>
            </w:pPr>
            <w:r w:rsidRPr="00092F60">
              <w:t>Disease examples</w:t>
            </w:r>
          </w:p>
        </w:tc>
      </w:tr>
      <w:tr w:rsidR="00F01E9C" w:rsidRPr="00953AF7" w:rsidTr="002379F4">
        <w:tc>
          <w:tcPr>
            <w:tcW w:w="3080" w:type="dxa"/>
            <w:tcBorders>
              <w:right w:val="nil"/>
            </w:tcBorders>
          </w:tcPr>
          <w:p w:rsidR="00F01E9C" w:rsidRPr="004C00D8" w:rsidRDefault="00F01E9C" w:rsidP="002379F4">
            <w:pPr>
              <w:pStyle w:val="TableText0"/>
              <w:rPr>
                <w:b/>
              </w:rPr>
            </w:pPr>
            <w:r w:rsidRPr="004C00D8">
              <w:rPr>
                <w:b/>
              </w:rPr>
              <w:t>Loss-of-function, usually recessive disorders</w:t>
            </w:r>
          </w:p>
        </w:tc>
        <w:tc>
          <w:tcPr>
            <w:tcW w:w="2415" w:type="dxa"/>
            <w:tcBorders>
              <w:left w:val="nil"/>
              <w:right w:val="nil"/>
            </w:tcBorders>
          </w:tcPr>
          <w:p w:rsidR="00F01E9C" w:rsidRPr="004C00D8" w:rsidRDefault="00F01E9C" w:rsidP="002379F4">
            <w:pPr>
              <w:pStyle w:val="TableText0"/>
              <w:rPr>
                <w:b/>
                <w:color w:val="FFFFFF" w:themeColor="background1"/>
              </w:rPr>
            </w:pPr>
            <w:r w:rsidRPr="004C00D8">
              <w:rPr>
                <w:b/>
                <w:color w:val="FFFFFF" w:themeColor="background1"/>
              </w:rPr>
              <w:t>-</w:t>
            </w:r>
          </w:p>
        </w:tc>
        <w:tc>
          <w:tcPr>
            <w:tcW w:w="3747" w:type="dxa"/>
            <w:tcBorders>
              <w:left w:val="nil"/>
            </w:tcBorders>
          </w:tcPr>
          <w:p w:rsidR="00F01E9C" w:rsidRPr="004C00D8" w:rsidRDefault="00F01E9C" w:rsidP="002379F4">
            <w:pPr>
              <w:pStyle w:val="TableText0"/>
              <w:rPr>
                <w:b/>
                <w:color w:val="FFFFFF" w:themeColor="background1"/>
              </w:rPr>
            </w:pPr>
            <w:r w:rsidRPr="004C00D8">
              <w:rPr>
                <w:b/>
                <w:color w:val="FFFFFF" w:themeColor="background1"/>
              </w:rPr>
              <w:t>-</w:t>
            </w:r>
          </w:p>
        </w:tc>
      </w:tr>
      <w:tr w:rsidR="00F01E9C" w:rsidRPr="00092F60" w:rsidTr="002379F4">
        <w:tc>
          <w:tcPr>
            <w:tcW w:w="3080" w:type="dxa"/>
            <w:tcBorders>
              <w:bottom w:val="nil"/>
            </w:tcBorders>
          </w:tcPr>
          <w:p w:rsidR="00F01E9C" w:rsidRPr="00092F60" w:rsidRDefault="00F01E9C" w:rsidP="002379F4">
            <w:pPr>
              <w:pStyle w:val="TableText0"/>
            </w:pPr>
            <w:r w:rsidRPr="00092F60">
              <w:t>DNA replacement</w:t>
            </w:r>
          </w:p>
        </w:tc>
        <w:tc>
          <w:tcPr>
            <w:tcW w:w="2415" w:type="dxa"/>
          </w:tcPr>
          <w:p w:rsidR="00F01E9C" w:rsidRPr="00092F60" w:rsidRDefault="00F01E9C" w:rsidP="002379F4">
            <w:pPr>
              <w:pStyle w:val="TableText0"/>
            </w:pPr>
            <w:r w:rsidRPr="00092F60">
              <w:t>Gene therapy</w:t>
            </w:r>
          </w:p>
        </w:tc>
        <w:tc>
          <w:tcPr>
            <w:tcW w:w="3747" w:type="dxa"/>
          </w:tcPr>
          <w:p w:rsidR="00F01E9C" w:rsidRPr="00092F60" w:rsidRDefault="00F01E9C" w:rsidP="002379F4">
            <w:pPr>
              <w:pStyle w:val="TableText0"/>
            </w:pPr>
            <w:r w:rsidRPr="00092F60">
              <w:t>Severe combined immunodeficiency</w:t>
            </w:r>
          </w:p>
        </w:tc>
      </w:tr>
      <w:tr w:rsidR="00F01E9C" w:rsidRPr="00092F60" w:rsidTr="002379F4">
        <w:tc>
          <w:tcPr>
            <w:tcW w:w="3080" w:type="dxa"/>
            <w:tcBorders>
              <w:top w:val="nil"/>
            </w:tcBorders>
          </w:tcPr>
          <w:p w:rsidR="00F01E9C" w:rsidRPr="00092F60" w:rsidRDefault="00F01E9C" w:rsidP="002379F4">
            <w:pPr>
              <w:pStyle w:val="TableText0"/>
              <w:rPr>
                <w:color w:val="FFFFFF" w:themeColor="background1"/>
              </w:rPr>
            </w:pPr>
            <w:r w:rsidRPr="00092F60">
              <w:rPr>
                <w:color w:val="FFFFFF" w:themeColor="background1"/>
              </w:rPr>
              <w:t>--</w:t>
            </w:r>
          </w:p>
        </w:tc>
        <w:tc>
          <w:tcPr>
            <w:tcW w:w="2415" w:type="dxa"/>
          </w:tcPr>
          <w:p w:rsidR="00F01E9C" w:rsidRPr="00092F60" w:rsidRDefault="00F01E9C" w:rsidP="002379F4">
            <w:pPr>
              <w:pStyle w:val="TableText0"/>
            </w:pPr>
            <w:r w:rsidRPr="00092F60">
              <w:t>Bone marrow transplantation</w:t>
            </w:r>
          </w:p>
        </w:tc>
        <w:tc>
          <w:tcPr>
            <w:tcW w:w="3747" w:type="dxa"/>
          </w:tcPr>
          <w:p w:rsidR="00F01E9C" w:rsidRPr="00092F60" w:rsidRDefault="00F01E9C" w:rsidP="002379F4">
            <w:pPr>
              <w:pStyle w:val="TableText0"/>
            </w:pPr>
            <w:r w:rsidRPr="00092F60">
              <w:t>Mucopolysaccharidoses</w:t>
            </w:r>
          </w:p>
        </w:tc>
      </w:tr>
      <w:tr w:rsidR="00F01E9C" w:rsidRPr="00092F60" w:rsidTr="002379F4">
        <w:tc>
          <w:tcPr>
            <w:tcW w:w="3080" w:type="dxa"/>
            <w:tcBorders>
              <w:bottom w:val="nil"/>
            </w:tcBorders>
          </w:tcPr>
          <w:p w:rsidR="00F01E9C" w:rsidRPr="00092F60" w:rsidRDefault="00F01E9C" w:rsidP="002379F4">
            <w:pPr>
              <w:pStyle w:val="TableText0"/>
            </w:pPr>
            <w:r w:rsidRPr="00092F60">
              <w:t>Splicing correction</w:t>
            </w:r>
          </w:p>
        </w:tc>
        <w:tc>
          <w:tcPr>
            <w:tcW w:w="2415" w:type="dxa"/>
          </w:tcPr>
          <w:p w:rsidR="00F01E9C" w:rsidRPr="00092F60" w:rsidRDefault="00F01E9C" w:rsidP="002379F4">
            <w:pPr>
              <w:pStyle w:val="TableText0"/>
            </w:pPr>
            <w:r w:rsidRPr="00092F60">
              <w:t>Antisense oligonucleotides</w:t>
            </w:r>
          </w:p>
        </w:tc>
        <w:tc>
          <w:tcPr>
            <w:tcW w:w="3747" w:type="dxa"/>
          </w:tcPr>
          <w:p w:rsidR="00F01E9C" w:rsidRPr="00092F60" w:rsidRDefault="00F01E9C" w:rsidP="002379F4">
            <w:pPr>
              <w:pStyle w:val="TableText0"/>
            </w:pPr>
            <w:r w:rsidRPr="00092F60">
              <w:t>Duchenne muscular dystrophy (preclinical)</w:t>
            </w:r>
          </w:p>
        </w:tc>
      </w:tr>
      <w:tr w:rsidR="00F01E9C" w:rsidRPr="00092F60" w:rsidTr="002379F4">
        <w:tc>
          <w:tcPr>
            <w:tcW w:w="3080" w:type="dxa"/>
            <w:tcBorders>
              <w:top w:val="nil"/>
            </w:tcBorders>
          </w:tcPr>
          <w:p w:rsidR="00F01E9C" w:rsidRPr="00092F60" w:rsidRDefault="00F01E9C" w:rsidP="002379F4">
            <w:pPr>
              <w:pStyle w:val="TableText0"/>
              <w:rPr>
                <w:color w:val="FFFFFF" w:themeColor="background1"/>
              </w:rPr>
            </w:pPr>
            <w:r w:rsidRPr="00092F60">
              <w:rPr>
                <w:color w:val="FFFFFF" w:themeColor="background1"/>
              </w:rPr>
              <w:t>--</w:t>
            </w:r>
          </w:p>
        </w:tc>
        <w:tc>
          <w:tcPr>
            <w:tcW w:w="2415" w:type="dxa"/>
          </w:tcPr>
          <w:p w:rsidR="00F01E9C" w:rsidRPr="00092F60" w:rsidRDefault="00F01E9C" w:rsidP="002379F4">
            <w:pPr>
              <w:pStyle w:val="TableText0"/>
            </w:pPr>
            <w:r w:rsidRPr="00092F60">
              <w:t>Small molecules</w:t>
            </w:r>
          </w:p>
        </w:tc>
        <w:tc>
          <w:tcPr>
            <w:tcW w:w="3747" w:type="dxa"/>
          </w:tcPr>
          <w:p w:rsidR="00F01E9C" w:rsidRPr="00092F60" w:rsidRDefault="00F01E9C" w:rsidP="002379F4">
            <w:pPr>
              <w:pStyle w:val="TableText0"/>
            </w:pPr>
            <w:r w:rsidRPr="00092F60">
              <w:t>Familial dysautonomia (preclinical)</w:t>
            </w:r>
          </w:p>
        </w:tc>
      </w:tr>
      <w:tr w:rsidR="00F01E9C" w:rsidRPr="00092F60" w:rsidTr="002379F4">
        <w:tc>
          <w:tcPr>
            <w:tcW w:w="3080" w:type="dxa"/>
          </w:tcPr>
          <w:p w:rsidR="00F01E9C" w:rsidRPr="00092F60" w:rsidRDefault="00F01E9C" w:rsidP="002379F4">
            <w:pPr>
              <w:pStyle w:val="TableText0"/>
            </w:pPr>
            <w:r w:rsidRPr="00092F60">
              <w:t>mRNA increase</w:t>
            </w:r>
          </w:p>
        </w:tc>
        <w:tc>
          <w:tcPr>
            <w:tcW w:w="2415" w:type="dxa"/>
          </w:tcPr>
          <w:p w:rsidR="00F01E9C" w:rsidRPr="00092F60" w:rsidRDefault="00F01E9C" w:rsidP="002379F4">
            <w:pPr>
              <w:pStyle w:val="TableText0"/>
            </w:pPr>
            <w:r w:rsidRPr="00092F60">
              <w:t>Small molecules</w:t>
            </w:r>
          </w:p>
        </w:tc>
        <w:tc>
          <w:tcPr>
            <w:tcW w:w="3747" w:type="dxa"/>
          </w:tcPr>
          <w:p w:rsidR="00F01E9C" w:rsidRPr="00092F60" w:rsidRDefault="00F01E9C" w:rsidP="002379F4">
            <w:pPr>
              <w:pStyle w:val="TableText0"/>
            </w:pPr>
            <w:r w:rsidRPr="00092F60">
              <w:t>Spinal muscular atrophy (preclinical)</w:t>
            </w:r>
          </w:p>
        </w:tc>
      </w:tr>
      <w:tr w:rsidR="00F01E9C" w:rsidRPr="00092F60" w:rsidTr="002379F4">
        <w:tc>
          <w:tcPr>
            <w:tcW w:w="3080" w:type="dxa"/>
          </w:tcPr>
          <w:p w:rsidR="00F01E9C" w:rsidRPr="00092F60" w:rsidRDefault="00F01E9C" w:rsidP="002379F4">
            <w:pPr>
              <w:pStyle w:val="TableText0"/>
            </w:pPr>
            <w:r w:rsidRPr="00092F60">
              <w:t>Protein replacement</w:t>
            </w:r>
          </w:p>
        </w:tc>
        <w:tc>
          <w:tcPr>
            <w:tcW w:w="2415" w:type="dxa"/>
          </w:tcPr>
          <w:p w:rsidR="00F01E9C" w:rsidRPr="00092F60" w:rsidRDefault="00F01E9C" w:rsidP="002379F4">
            <w:pPr>
              <w:pStyle w:val="TableText0"/>
            </w:pPr>
            <w:r w:rsidRPr="00092F60">
              <w:t>Enzyme replacement therapy</w:t>
            </w:r>
          </w:p>
        </w:tc>
        <w:tc>
          <w:tcPr>
            <w:tcW w:w="3747" w:type="dxa"/>
          </w:tcPr>
          <w:p w:rsidR="00F01E9C" w:rsidRPr="00092F60" w:rsidRDefault="00F01E9C" w:rsidP="002379F4">
            <w:pPr>
              <w:pStyle w:val="TableText0"/>
            </w:pPr>
            <w:r w:rsidRPr="00092F60">
              <w:t>Lysosomal storage diseases</w:t>
            </w:r>
          </w:p>
        </w:tc>
      </w:tr>
      <w:tr w:rsidR="00F01E9C" w:rsidRPr="00092F60" w:rsidTr="002379F4">
        <w:tc>
          <w:tcPr>
            <w:tcW w:w="3080" w:type="dxa"/>
            <w:tcBorders>
              <w:bottom w:val="nil"/>
            </w:tcBorders>
          </w:tcPr>
          <w:p w:rsidR="00F01E9C" w:rsidRPr="00092F60" w:rsidRDefault="00F01E9C" w:rsidP="002379F4">
            <w:pPr>
              <w:pStyle w:val="TableText0"/>
            </w:pPr>
            <w:r w:rsidRPr="00092F60">
              <w:t>Increase in protein activity, stability or level</w:t>
            </w:r>
          </w:p>
        </w:tc>
        <w:tc>
          <w:tcPr>
            <w:tcW w:w="2415" w:type="dxa"/>
          </w:tcPr>
          <w:p w:rsidR="00F01E9C" w:rsidRPr="00092F60" w:rsidRDefault="00F01E9C" w:rsidP="002379F4">
            <w:pPr>
              <w:pStyle w:val="TableText0"/>
            </w:pPr>
            <w:r w:rsidRPr="00092F60">
              <w:t>Translational read</w:t>
            </w:r>
            <w:r w:rsidR="001B4E29">
              <w:t xml:space="preserve"> </w:t>
            </w:r>
            <w:r w:rsidRPr="00092F60">
              <w:t>through</w:t>
            </w:r>
          </w:p>
        </w:tc>
        <w:tc>
          <w:tcPr>
            <w:tcW w:w="3747" w:type="dxa"/>
          </w:tcPr>
          <w:p w:rsidR="00F01E9C" w:rsidRPr="00092F60" w:rsidRDefault="00F01E9C" w:rsidP="002379F4">
            <w:pPr>
              <w:pStyle w:val="TableText0"/>
            </w:pPr>
            <w:r w:rsidRPr="00092F60">
              <w:t>Duchenne muscular dystrophy (preclinical)</w:t>
            </w:r>
          </w:p>
        </w:tc>
      </w:tr>
      <w:tr w:rsidR="00F01E9C" w:rsidRPr="00092F60" w:rsidTr="002379F4">
        <w:tc>
          <w:tcPr>
            <w:tcW w:w="3080" w:type="dxa"/>
            <w:tcBorders>
              <w:top w:val="nil"/>
              <w:bottom w:val="nil"/>
            </w:tcBorders>
          </w:tcPr>
          <w:p w:rsidR="00F01E9C" w:rsidRPr="00092F60" w:rsidRDefault="00F01E9C" w:rsidP="002379F4">
            <w:pPr>
              <w:pStyle w:val="TableText0"/>
              <w:rPr>
                <w:color w:val="FFFFFF" w:themeColor="background1"/>
              </w:rPr>
            </w:pPr>
            <w:r w:rsidRPr="00092F60">
              <w:rPr>
                <w:color w:val="FFFFFF" w:themeColor="background1"/>
              </w:rPr>
              <w:t>-</w:t>
            </w:r>
          </w:p>
        </w:tc>
        <w:tc>
          <w:tcPr>
            <w:tcW w:w="2415" w:type="dxa"/>
          </w:tcPr>
          <w:p w:rsidR="00F01E9C" w:rsidRPr="00092F60" w:rsidRDefault="00F01E9C" w:rsidP="002379F4">
            <w:pPr>
              <w:pStyle w:val="TableText0"/>
            </w:pPr>
            <w:r w:rsidRPr="00092F60">
              <w:t>Chaperonin therapy</w:t>
            </w:r>
          </w:p>
        </w:tc>
        <w:tc>
          <w:tcPr>
            <w:tcW w:w="3747" w:type="dxa"/>
          </w:tcPr>
          <w:p w:rsidR="00F01E9C" w:rsidRPr="00092F60" w:rsidRDefault="00F01E9C" w:rsidP="002379F4">
            <w:pPr>
              <w:pStyle w:val="TableText0"/>
            </w:pPr>
            <w:r w:rsidRPr="00092F60">
              <w:t>Cystic fibrosis</w:t>
            </w:r>
          </w:p>
          <w:p w:rsidR="00F01E9C" w:rsidRPr="00092F60" w:rsidRDefault="00F01E9C" w:rsidP="002379F4">
            <w:pPr>
              <w:pStyle w:val="TableText0"/>
            </w:pPr>
            <w:r w:rsidRPr="00092F60">
              <w:t>Transthyretin amyloidosis</w:t>
            </w:r>
          </w:p>
        </w:tc>
      </w:tr>
      <w:tr w:rsidR="00F01E9C" w:rsidRPr="00092F60" w:rsidTr="002379F4">
        <w:tc>
          <w:tcPr>
            <w:tcW w:w="3080" w:type="dxa"/>
            <w:tcBorders>
              <w:top w:val="nil"/>
            </w:tcBorders>
          </w:tcPr>
          <w:p w:rsidR="00F01E9C" w:rsidRPr="00092F60" w:rsidRDefault="00F01E9C" w:rsidP="002379F4">
            <w:pPr>
              <w:pStyle w:val="TableText0"/>
              <w:rPr>
                <w:color w:val="FFFFFF" w:themeColor="background1"/>
              </w:rPr>
            </w:pPr>
            <w:r w:rsidRPr="00092F60">
              <w:rPr>
                <w:color w:val="FFFFFF" w:themeColor="background1"/>
              </w:rPr>
              <w:t>-</w:t>
            </w:r>
          </w:p>
        </w:tc>
        <w:tc>
          <w:tcPr>
            <w:tcW w:w="2415" w:type="dxa"/>
          </w:tcPr>
          <w:p w:rsidR="00F01E9C" w:rsidRPr="00092F60" w:rsidRDefault="00F01E9C" w:rsidP="002379F4">
            <w:pPr>
              <w:pStyle w:val="TableText0"/>
            </w:pPr>
            <w:r w:rsidRPr="00092F60">
              <w:t>Proteasome inhibition</w:t>
            </w:r>
          </w:p>
        </w:tc>
        <w:tc>
          <w:tcPr>
            <w:tcW w:w="3747" w:type="dxa"/>
          </w:tcPr>
          <w:p w:rsidR="00F01E9C" w:rsidRPr="00092F60" w:rsidRDefault="00F01E9C" w:rsidP="002379F4">
            <w:pPr>
              <w:pStyle w:val="TableText0"/>
            </w:pPr>
            <w:r w:rsidRPr="00092F60">
              <w:t>Pompe disease (preclinical)</w:t>
            </w:r>
          </w:p>
        </w:tc>
      </w:tr>
      <w:tr w:rsidR="00F01E9C" w:rsidRPr="00953AF7" w:rsidTr="002379F4">
        <w:tc>
          <w:tcPr>
            <w:tcW w:w="3080" w:type="dxa"/>
            <w:tcBorders>
              <w:right w:val="nil"/>
            </w:tcBorders>
          </w:tcPr>
          <w:p w:rsidR="00F01E9C" w:rsidRPr="004C00D8" w:rsidRDefault="00F01E9C" w:rsidP="002379F4">
            <w:pPr>
              <w:pStyle w:val="TableText0"/>
              <w:rPr>
                <w:b/>
              </w:rPr>
            </w:pPr>
            <w:r w:rsidRPr="004C00D8">
              <w:rPr>
                <w:b/>
              </w:rPr>
              <w:t>Gain-of-function, usually dominant disorders</w:t>
            </w:r>
          </w:p>
        </w:tc>
        <w:tc>
          <w:tcPr>
            <w:tcW w:w="2415" w:type="dxa"/>
            <w:tcBorders>
              <w:left w:val="nil"/>
              <w:right w:val="nil"/>
            </w:tcBorders>
          </w:tcPr>
          <w:p w:rsidR="00F01E9C" w:rsidRPr="004C00D8" w:rsidRDefault="00F01E9C" w:rsidP="002379F4">
            <w:pPr>
              <w:pStyle w:val="TableText0"/>
              <w:rPr>
                <w:b/>
                <w:color w:val="FFFFFF" w:themeColor="background1"/>
              </w:rPr>
            </w:pPr>
            <w:r w:rsidRPr="004C00D8">
              <w:rPr>
                <w:b/>
                <w:color w:val="FFFFFF" w:themeColor="background1"/>
              </w:rPr>
              <w:t>-</w:t>
            </w:r>
          </w:p>
        </w:tc>
        <w:tc>
          <w:tcPr>
            <w:tcW w:w="3747" w:type="dxa"/>
            <w:tcBorders>
              <w:left w:val="nil"/>
            </w:tcBorders>
          </w:tcPr>
          <w:p w:rsidR="00F01E9C" w:rsidRPr="004C00D8" w:rsidRDefault="00F01E9C" w:rsidP="002379F4">
            <w:pPr>
              <w:pStyle w:val="TableText0"/>
              <w:rPr>
                <w:b/>
                <w:color w:val="FFFFFF" w:themeColor="background1"/>
              </w:rPr>
            </w:pPr>
            <w:r w:rsidRPr="004C00D8">
              <w:rPr>
                <w:b/>
                <w:color w:val="FFFFFF" w:themeColor="background1"/>
              </w:rPr>
              <w:t>-</w:t>
            </w:r>
          </w:p>
        </w:tc>
      </w:tr>
      <w:tr w:rsidR="00F01E9C" w:rsidRPr="00092F60" w:rsidTr="002379F4">
        <w:tc>
          <w:tcPr>
            <w:tcW w:w="3080" w:type="dxa"/>
            <w:tcBorders>
              <w:bottom w:val="nil"/>
            </w:tcBorders>
          </w:tcPr>
          <w:p w:rsidR="00F01E9C" w:rsidRPr="00092F60" w:rsidRDefault="00F01E9C" w:rsidP="002379F4">
            <w:pPr>
              <w:pStyle w:val="TableText0"/>
            </w:pPr>
            <w:r w:rsidRPr="00092F60">
              <w:t>Transcriptional downregulation</w:t>
            </w:r>
          </w:p>
        </w:tc>
        <w:tc>
          <w:tcPr>
            <w:tcW w:w="2415" w:type="dxa"/>
          </w:tcPr>
          <w:p w:rsidR="00F01E9C" w:rsidRPr="00092F60" w:rsidRDefault="00F01E9C" w:rsidP="002379F4">
            <w:pPr>
              <w:pStyle w:val="TableText0"/>
            </w:pPr>
            <w:r w:rsidRPr="00092F60">
              <w:t>Antisense oligonucleotides</w:t>
            </w:r>
          </w:p>
        </w:tc>
        <w:tc>
          <w:tcPr>
            <w:tcW w:w="3747" w:type="dxa"/>
          </w:tcPr>
          <w:p w:rsidR="00F01E9C" w:rsidRPr="00092F60" w:rsidRDefault="00F01E9C" w:rsidP="002379F4">
            <w:pPr>
              <w:pStyle w:val="TableText0"/>
            </w:pPr>
            <w:r w:rsidRPr="00092F60">
              <w:t>Myotonic dystrophy (preclinical)</w:t>
            </w:r>
          </w:p>
        </w:tc>
      </w:tr>
      <w:tr w:rsidR="00F01E9C" w:rsidRPr="00092F60" w:rsidTr="002379F4">
        <w:tc>
          <w:tcPr>
            <w:tcW w:w="3080" w:type="dxa"/>
            <w:tcBorders>
              <w:top w:val="nil"/>
            </w:tcBorders>
          </w:tcPr>
          <w:p w:rsidR="00F01E9C" w:rsidRPr="00092F60" w:rsidRDefault="00F01E9C" w:rsidP="002379F4">
            <w:pPr>
              <w:pStyle w:val="TableText0"/>
            </w:pPr>
            <w:r w:rsidRPr="00092F60">
              <w:rPr>
                <w:color w:val="FFFFFF" w:themeColor="background1"/>
              </w:rPr>
              <w:t>--</w:t>
            </w:r>
          </w:p>
        </w:tc>
        <w:tc>
          <w:tcPr>
            <w:tcW w:w="2415" w:type="dxa"/>
          </w:tcPr>
          <w:p w:rsidR="00F01E9C" w:rsidRPr="00092F60" w:rsidRDefault="00F01E9C" w:rsidP="002379F4">
            <w:pPr>
              <w:pStyle w:val="TableText0"/>
            </w:pPr>
            <w:r w:rsidRPr="00092F60">
              <w:t>RNA interference</w:t>
            </w:r>
          </w:p>
        </w:tc>
        <w:tc>
          <w:tcPr>
            <w:tcW w:w="3747" w:type="dxa"/>
          </w:tcPr>
          <w:p w:rsidR="00F01E9C" w:rsidRPr="00092F60" w:rsidRDefault="00F01E9C" w:rsidP="002379F4">
            <w:pPr>
              <w:pStyle w:val="TableText0"/>
            </w:pPr>
            <w:r w:rsidRPr="00092F60">
              <w:t>Huntingdon disease (preclinical)</w:t>
            </w:r>
          </w:p>
        </w:tc>
      </w:tr>
      <w:tr w:rsidR="00F01E9C" w:rsidRPr="00092F60" w:rsidTr="002379F4">
        <w:tc>
          <w:tcPr>
            <w:tcW w:w="3080" w:type="dxa"/>
          </w:tcPr>
          <w:p w:rsidR="00F01E9C" w:rsidRPr="00092F60" w:rsidRDefault="00F01E9C" w:rsidP="002379F4">
            <w:pPr>
              <w:pStyle w:val="TableText0"/>
            </w:pPr>
            <w:r w:rsidRPr="00092F60">
              <w:t>Protein inhibition</w:t>
            </w:r>
          </w:p>
        </w:tc>
        <w:tc>
          <w:tcPr>
            <w:tcW w:w="2415" w:type="dxa"/>
          </w:tcPr>
          <w:p w:rsidR="00F01E9C" w:rsidRPr="00092F60" w:rsidRDefault="00F01E9C" w:rsidP="002379F4">
            <w:pPr>
              <w:pStyle w:val="TableText0"/>
            </w:pPr>
            <w:r w:rsidRPr="00092F60">
              <w:t>Small molecules</w:t>
            </w:r>
          </w:p>
        </w:tc>
        <w:tc>
          <w:tcPr>
            <w:tcW w:w="3747" w:type="dxa"/>
          </w:tcPr>
          <w:p w:rsidR="00F01E9C" w:rsidRPr="00092F60" w:rsidRDefault="00F01E9C" w:rsidP="002379F4">
            <w:pPr>
              <w:pStyle w:val="TableText0"/>
            </w:pPr>
            <w:r w:rsidRPr="00092F60">
              <w:t>Noonan syndrome (preclinical)</w:t>
            </w:r>
          </w:p>
        </w:tc>
      </w:tr>
    </w:tbl>
    <w:p w:rsidR="00F01E9C" w:rsidRPr="00092F60" w:rsidRDefault="00F01E9C" w:rsidP="00F01E9C">
      <w:pPr>
        <w:pStyle w:val="TableNote"/>
      </w:pPr>
      <w:r w:rsidRPr="00092F60">
        <w:t xml:space="preserve">Source: </w:t>
      </w:r>
      <w:r w:rsidR="00A130D0">
        <w:rPr>
          <w:noProof/>
        </w:rPr>
        <w:t>(</w:t>
      </w:r>
      <w:r w:rsidR="00184B6F">
        <w:rPr>
          <w:noProof/>
        </w:rPr>
        <w:t>Boycott et al. 2013</w:t>
      </w:r>
      <w:r w:rsidR="00A130D0">
        <w:rPr>
          <w:noProof/>
        </w:rPr>
        <w:t>)</w:t>
      </w:r>
    </w:p>
    <w:p w:rsidR="00F01E9C" w:rsidRPr="00092F60" w:rsidRDefault="00F01E9C" w:rsidP="00F01E9C"/>
    <w:p w:rsidR="00F01E9C" w:rsidRPr="00092F60" w:rsidRDefault="00F01E9C" w:rsidP="00F01E9C">
      <w:pPr>
        <w:pStyle w:val="Heading3"/>
      </w:pPr>
      <w:bookmarkStart w:id="521" w:name="_Toc404937289"/>
      <w:r w:rsidRPr="00092F60">
        <w:t>Autoimmune disorders</w:t>
      </w:r>
      <w:bookmarkEnd w:id="521"/>
    </w:p>
    <w:p w:rsidR="00F01E9C" w:rsidRDefault="00F01E9C" w:rsidP="00F01E9C">
      <w:pPr>
        <w:spacing w:before="240"/>
      </w:pPr>
      <w:r w:rsidRPr="00092F60">
        <w:t xml:space="preserve">Monoclonal antibodies are potential new treatments for autoimmune disorders. These antibodies bind to specific, targeted disease-causing entities. In 2013, the FDA approved more than 30 monoclonal antibodies for immunological disease and different cancers </w:t>
      </w:r>
      <w:r w:rsidR="00A130D0">
        <w:rPr>
          <w:noProof/>
        </w:rPr>
        <w:t>(</w:t>
      </w:r>
      <w:r w:rsidR="00184B6F">
        <w:rPr>
          <w:noProof/>
        </w:rPr>
        <w:t>Long &amp; Works 2013</w:t>
      </w:r>
      <w:r w:rsidR="00A130D0">
        <w:rPr>
          <w:noProof/>
        </w:rPr>
        <w:t>)</w:t>
      </w:r>
      <w:r w:rsidRPr="00092F60">
        <w:t xml:space="preserve">. Gevokizumab, which is not </w:t>
      </w:r>
      <w:r>
        <w:t xml:space="preserve">yet </w:t>
      </w:r>
      <w:r w:rsidRPr="00092F60">
        <w:t xml:space="preserve">listed on the ARTG, is a potential new treatment for Behcet’s disease uveitis. Two RCTs are currently underway to test its efficacy (NCT01965145, NCT02258867). </w:t>
      </w:r>
    </w:p>
    <w:p w:rsidR="00F01E9C" w:rsidRPr="00092F60" w:rsidRDefault="00F01E9C" w:rsidP="00F01E9C">
      <w:pPr>
        <w:spacing w:before="240"/>
      </w:pPr>
      <w:r w:rsidRPr="00092F60">
        <w:t>Another monoclonal antibody identified was tociliz</w:t>
      </w:r>
      <w:r w:rsidR="009161F9">
        <w:t>u</w:t>
      </w:r>
      <w:r w:rsidRPr="00092F60">
        <w:t xml:space="preserve">mab for systemic sclerosis, which is </w:t>
      </w:r>
      <w:r>
        <w:t>currently</w:t>
      </w:r>
      <w:r w:rsidRPr="00092F60">
        <w:t xml:space="preserve"> listed on the ARTG for a different indication. This drug has only been reported in the literature for individual cases, and there is one trial underway (NCT01532869). Caplacizumab for thrombotic </w:t>
      </w:r>
      <w:r w:rsidR="009161F9" w:rsidRPr="00092F60">
        <w:t>thrombocytopenic</w:t>
      </w:r>
      <w:r w:rsidRPr="00092F60">
        <w:t xml:space="preserve"> purpura is not </w:t>
      </w:r>
      <w:r>
        <w:t xml:space="preserve">yet </w:t>
      </w:r>
      <w:r w:rsidRPr="00092F60">
        <w:t xml:space="preserve">listed on the ARTG, and was not identified in any reported or ongoing trials. </w:t>
      </w:r>
      <w:r>
        <w:t xml:space="preserve">Rituximab has been widely used in observational studies to treat refractory myasthenia gravis, but not yet in controlled trials. Further information is available in </w:t>
      </w:r>
      <w:r w:rsidR="00A72B26" w:rsidRPr="003F3F2D">
        <w:t xml:space="preserve">APPENDIX </w:t>
      </w:r>
      <w:r w:rsidR="00A72B26">
        <w:rPr>
          <w:noProof/>
        </w:rPr>
        <w:t>F</w:t>
      </w:r>
      <w:r>
        <w:t>.</w:t>
      </w:r>
    </w:p>
    <w:p w:rsidR="00F01E9C" w:rsidRPr="00092F60" w:rsidRDefault="00F01E9C" w:rsidP="00F01E9C">
      <w:pPr>
        <w:spacing w:before="240"/>
      </w:pPr>
      <w:r w:rsidRPr="00092F60">
        <w:t>Other identified drugs include apremilast for Behcet’s disease</w:t>
      </w:r>
      <w:r>
        <w:t xml:space="preserve">. Apremilast has been FDA approved for psoriatic arthritis but </w:t>
      </w:r>
      <w:r w:rsidRPr="00092F60">
        <w:t xml:space="preserve">is not </w:t>
      </w:r>
      <w:r>
        <w:t>currently approved for Behcet’s disease</w:t>
      </w:r>
      <w:r w:rsidRPr="00092F60">
        <w:t xml:space="preserve">. One completed clinical trial of this drug was identified (NCT00866359) </w:t>
      </w:r>
      <w:r>
        <w:t>but</w:t>
      </w:r>
      <w:r w:rsidRPr="00092F60">
        <w:t xml:space="preserve"> it has not been published. The trial found a statistically significant reduction in oral ulcers in the </w:t>
      </w:r>
      <w:r w:rsidR="009161F9" w:rsidRPr="00092F60">
        <w:t>apremilast</w:t>
      </w:r>
      <w:r w:rsidRPr="00092F60">
        <w:t xml:space="preserve"> group.</w:t>
      </w:r>
    </w:p>
    <w:p w:rsidR="00F01E9C" w:rsidRPr="00092F60" w:rsidRDefault="00F01E9C" w:rsidP="00F01E9C">
      <w:pPr>
        <w:spacing w:before="240"/>
      </w:pPr>
      <w:r w:rsidRPr="00092F60">
        <w:lastRenderedPageBreak/>
        <w:t>Fingolimod is listed on the ARTG for multiple sclerosis and is a potential treatment for chronic inflammatory demyelinating polyneuropathy. There are no published studies</w:t>
      </w:r>
      <w:r>
        <w:t xml:space="preserve"> but</w:t>
      </w:r>
      <w:r w:rsidRPr="00092F60">
        <w:t xml:space="preserve"> one trial is underway (NCT01625182).</w:t>
      </w:r>
    </w:p>
    <w:p w:rsidR="00F01E9C" w:rsidRDefault="00F01E9C" w:rsidP="00F01E9C">
      <w:r w:rsidRPr="00092F60">
        <w:t>Amifampridine is a potential treatment for Lambert-Eaton myasthenic syndrome (LEMS)</w:t>
      </w:r>
      <w:r>
        <w:t>.</w:t>
      </w:r>
      <w:r w:rsidRPr="00092F60">
        <w:t xml:space="preserve"> </w:t>
      </w:r>
      <w:r>
        <w:t>It</w:t>
      </w:r>
      <w:r w:rsidRPr="00092F60">
        <w:t xml:space="preserve"> is a phosphate salt version of 3</w:t>
      </w:r>
      <w:proofErr w:type="gramStart"/>
      <w:r w:rsidRPr="00092F60">
        <w:t>,4</w:t>
      </w:r>
      <w:proofErr w:type="gramEnd"/>
      <w:r w:rsidRPr="00092F60">
        <w:t>- Diaminopyridine (3,4-DAP). A review identified in the published literature reported a meta-analysis of four studies trialling 3</w:t>
      </w:r>
      <w:proofErr w:type="gramStart"/>
      <w:r w:rsidRPr="00092F60">
        <w:t>,4</w:t>
      </w:r>
      <w:proofErr w:type="gramEnd"/>
      <w:r w:rsidRPr="00092F60">
        <w:t xml:space="preserve">-DAP in </w:t>
      </w:r>
      <w:r>
        <w:t xml:space="preserve">54 </w:t>
      </w:r>
      <w:r w:rsidRPr="00092F60">
        <w:t>LEMS</w:t>
      </w:r>
      <w:r>
        <w:t xml:space="preserve"> </w:t>
      </w:r>
      <w:r w:rsidRPr="00092F60">
        <w:t>patients, and concluded that whilst it significantly improved muscle strength score, the clinical implications of th</w:t>
      </w:r>
      <w:r>
        <w:t>e improvement</w:t>
      </w:r>
      <w:r w:rsidRPr="00092F60">
        <w:t xml:space="preserve"> were unclear. </w:t>
      </w:r>
      <w:r>
        <w:t>T</w:t>
      </w:r>
      <w:r w:rsidRPr="00092F60">
        <w:t>his report concluded that 3</w:t>
      </w:r>
      <w:proofErr w:type="gramStart"/>
      <w:r w:rsidRPr="00092F60">
        <w:t>,4</w:t>
      </w:r>
      <w:proofErr w:type="gramEnd"/>
      <w:r w:rsidRPr="00092F60">
        <w:t xml:space="preserve">-DAP remained the ‘drug of choice’ for patients with LEMS. </w:t>
      </w:r>
      <w:proofErr w:type="gramStart"/>
      <w:r w:rsidR="00A130D0">
        <w:rPr>
          <w:noProof/>
        </w:rPr>
        <w:t>(</w:t>
      </w:r>
      <w:r w:rsidR="00184B6F">
        <w:rPr>
          <w:noProof/>
        </w:rPr>
        <w:t>Sedehizadeh, Keogh &amp; Maddison 2012</w:t>
      </w:r>
      <w:r w:rsidR="00A130D0">
        <w:rPr>
          <w:noProof/>
        </w:rPr>
        <w:t>)</w:t>
      </w:r>
      <w:r w:rsidRPr="00092F60">
        <w:t>.</w:t>
      </w:r>
      <w:proofErr w:type="gramEnd"/>
      <w:r w:rsidRPr="00092F60">
        <w:t xml:space="preserve"> It was also considered the ‘treatmen</w:t>
      </w:r>
      <w:r>
        <w:t xml:space="preserve">t of choice’ by another review </w:t>
      </w:r>
      <w:r w:rsidR="00A130D0">
        <w:rPr>
          <w:noProof/>
        </w:rPr>
        <w:t>(</w:t>
      </w:r>
      <w:r w:rsidR="00184B6F">
        <w:rPr>
          <w:noProof/>
        </w:rPr>
        <w:t>Lindquist &amp; Stangel 2011</w:t>
      </w:r>
      <w:r w:rsidR="00A130D0">
        <w:rPr>
          <w:noProof/>
        </w:rPr>
        <w:t>)</w:t>
      </w:r>
      <w:r w:rsidRPr="00092F60">
        <w:t>. Amifampridine has orphan designation by the EMA but was not located on the FDA-approved drugs list</w:t>
      </w:r>
      <w:r w:rsidRPr="00181587">
        <w:t xml:space="preserve"> </w:t>
      </w:r>
      <w:r w:rsidRPr="00092F60">
        <w:t xml:space="preserve">and </w:t>
      </w:r>
      <w:r>
        <w:t xml:space="preserve">it </w:t>
      </w:r>
      <w:r w:rsidRPr="00092F60">
        <w:t xml:space="preserve">is not </w:t>
      </w:r>
      <w:r>
        <w:t xml:space="preserve">currently </w:t>
      </w:r>
      <w:r w:rsidRPr="00092F60">
        <w:t xml:space="preserve">listed on the ARTG. </w:t>
      </w:r>
    </w:p>
    <w:p w:rsidR="00F01E9C" w:rsidRPr="00092F60" w:rsidRDefault="00F01E9C" w:rsidP="00F01E9C">
      <w:pPr>
        <w:spacing w:before="240"/>
      </w:pPr>
      <w:r>
        <w:t>P</w:t>
      </w:r>
      <w:r w:rsidRPr="00092F60">
        <w:t xml:space="preserve">omalidomide </w:t>
      </w:r>
      <w:r>
        <w:t>i</w:t>
      </w:r>
      <w:r w:rsidRPr="00092F60">
        <w:t xml:space="preserve">s </w:t>
      </w:r>
      <w:r>
        <w:t xml:space="preserve">a </w:t>
      </w:r>
      <w:r w:rsidRPr="00092F60">
        <w:t>potential treatment for systemic sclerosis</w:t>
      </w:r>
      <w:r>
        <w:t>. It</w:t>
      </w:r>
      <w:r w:rsidRPr="00092F60">
        <w:t xml:space="preserve"> is </w:t>
      </w:r>
      <w:r>
        <w:t xml:space="preserve">currently </w:t>
      </w:r>
      <w:r w:rsidRPr="00092F60">
        <w:t xml:space="preserve">listed on the ARTG for </w:t>
      </w:r>
      <w:r>
        <w:t xml:space="preserve">a </w:t>
      </w:r>
      <w:r w:rsidRPr="00092F60">
        <w:t>different indication</w:t>
      </w:r>
      <w:r>
        <w:t>.</w:t>
      </w:r>
      <w:r w:rsidRPr="00092F60">
        <w:t xml:space="preserve"> There are no published studies of pomalidomide, </w:t>
      </w:r>
      <w:r>
        <w:t>although</w:t>
      </w:r>
      <w:r w:rsidRPr="00092F60">
        <w:t xml:space="preserve"> one multi-centre trial is underway (NCT01559129). </w:t>
      </w:r>
    </w:p>
    <w:p w:rsidR="00F01E9C" w:rsidRPr="00092F60" w:rsidRDefault="00F01E9C" w:rsidP="00F01E9C">
      <w:pPr>
        <w:pStyle w:val="Heading3"/>
      </w:pPr>
      <w:r w:rsidRPr="00092F60">
        <w:t>Brain and nervous system diseases, including neurodegenerative disorders</w:t>
      </w:r>
    </w:p>
    <w:p w:rsidR="00F01E9C" w:rsidRPr="00092F60" w:rsidRDefault="00F01E9C" w:rsidP="00F01E9C">
      <w:r w:rsidRPr="00092F60">
        <w:t xml:space="preserve">There is currently a PBS listed treatment for amyotrophic lateral sclerosis (ALS), </w:t>
      </w:r>
      <w:r>
        <w:t xml:space="preserve">known as </w:t>
      </w:r>
      <w:r w:rsidRPr="00092F60">
        <w:t xml:space="preserve">riluzole. </w:t>
      </w:r>
      <w:r>
        <w:t>T</w:t>
      </w:r>
      <w:r w:rsidRPr="00092F60">
        <w:t xml:space="preserve">here has been considerable research into alternative treatments for ALS as </w:t>
      </w:r>
      <w:r>
        <w:t>r</w:t>
      </w:r>
      <w:r w:rsidRPr="00092F60">
        <w:t xml:space="preserve">iluzole has been shown to only marginally increase survival without improving quality of life </w:t>
      </w:r>
      <w:r w:rsidR="00A130D0">
        <w:rPr>
          <w:noProof/>
        </w:rPr>
        <w:t>(</w:t>
      </w:r>
      <w:r w:rsidR="00184B6F">
        <w:rPr>
          <w:noProof/>
        </w:rPr>
        <w:t>Srivastava 2014</w:t>
      </w:r>
      <w:r w:rsidR="00A130D0">
        <w:rPr>
          <w:noProof/>
        </w:rPr>
        <w:t>)</w:t>
      </w:r>
      <w:r>
        <w:t xml:space="preserve"> </w:t>
      </w:r>
      <w:r w:rsidRPr="00092F60">
        <w:t xml:space="preserve">and several authors </w:t>
      </w:r>
      <w:r>
        <w:t xml:space="preserve">still </w:t>
      </w:r>
      <w:r w:rsidRPr="00092F60">
        <w:t xml:space="preserve">consider that there is no effective treatment for ALS </w:t>
      </w:r>
      <w:r w:rsidR="00A130D0">
        <w:rPr>
          <w:noProof/>
        </w:rPr>
        <w:t>(</w:t>
      </w:r>
      <w:r w:rsidR="00184B6F">
        <w:rPr>
          <w:noProof/>
        </w:rPr>
        <w:t>Srivastava 2014</w:t>
      </w:r>
      <w:r w:rsidR="00A130D0">
        <w:rPr>
          <w:noProof/>
        </w:rPr>
        <w:t>)</w:t>
      </w:r>
      <w:r w:rsidRPr="00092F60">
        <w:t xml:space="preserve">, </w:t>
      </w:r>
      <w:r w:rsidR="00A130D0">
        <w:rPr>
          <w:noProof/>
        </w:rPr>
        <w:t>(</w:t>
      </w:r>
      <w:r w:rsidR="00184B6F">
        <w:rPr>
          <w:noProof/>
        </w:rPr>
        <w:t>Mitsumoto, Brooks &amp; Silani 2014</w:t>
      </w:r>
      <w:r w:rsidR="00A130D0">
        <w:rPr>
          <w:noProof/>
        </w:rPr>
        <w:t>)</w:t>
      </w:r>
      <w:r w:rsidRPr="00092F60">
        <w:t>. Several new, alternative treatments for ALS, with differing mechanisms</w:t>
      </w:r>
      <w:r>
        <w:t>, have been</w:t>
      </w:r>
      <w:r w:rsidRPr="00092F60">
        <w:t xml:space="preserve"> identified. Th</w:t>
      </w:r>
      <w:r>
        <w:t>ese include th</w:t>
      </w:r>
      <w:r w:rsidRPr="00092F60">
        <w:t xml:space="preserve">ree specific stem cell treatments </w:t>
      </w:r>
      <w:r>
        <w:t>-</w:t>
      </w:r>
      <w:r w:rsidRPr="00092F60">
        <w:t xml:space="preserve"> autologous bone-marrow derived mesenchymal stem cells, human spinal cord-derived neural stem cells and </w:t>
      </w:r>
      <w:r>
        <w:t>glial cell-derived neurotrophic factor (</w:t>
      </w:r>
      <w:r w:rsidRPr="00092F60">
        <w:t>GDNF</w:t>
      </w:r>
      <w:r>
        <w:t>)</w:t>
      </w:r>
      <w:r w:rsidRPr="00092F60">
        <w:t xml:space="preserve">-produced stem cell therapy. These therapies are in early stages of safety and efficacy studies, with some complete and many listed </w:t>
      </w:r>
      <w:r>
        <w:t>i</w:t>
      </w:r>
      <w:r w:rsidRPr="00092F60">
        <w:t xml:space="preserve">n </w:t>
      </w:r>
      <w:r>
        <w:t>trial registers (</w:t>
      </w:r>
      <w:r w:rsidR="009161F9">
        <w:t>i.e.</w:t>
      </w:r>
      <w:r>
        <w:t xml:space="preserve"> </w:t>
      </w:r>
      <w:r w:rsidRPr="00092F60">
        <w:t>clinicaltrials.gov</w:t>
      </w:r>
      <w:r>
        <w:t>)</w:t>
      </w:r>
      <w:r w:rsidRPr="00EC3160">
        <w:t xml:space="preserve"> </w:t>
      </w:r>
      <w:r w:rsidRPr="00092F60">
        <w:t>as ongoing. Arimoclomol is a hydroxylamine derivative and is undergoing assessment in a double blind placebo controlled trial (</w:t>
      </w:r>
      <w:r w:rsidRPr="00092F60">
        <w:rPr>
          <w:color w:val="0000FF"/>
          <w:u w:val="single"/>
        </w:rPr>
        <w:t>NCT00706147</w:t>
      </w:r>
      <w:r w:rsidRPr="00092F60">
        <w:t xml:space="preserve">). Ozanezumab is a monoclonal antibody that has been tested in a small placebo-controlled study </w:t>
      </w:r>
      <w:r w:rsidR="00A130D0">
        <w:rPr>
          <w:noProof/>
        </w:rPr>
        <w:t>(</w:t>
      </w:r>
      <w:r w:rsidR="00184B6F">
        <w:rPr>
          <w:noProof/>
        </w:rPr>
        <w:t>Meininger et al. 2014</w:t>
      </w:r>
      <w:r w:rsidR="00A130D0">
        <w:rPr>
          <w:noProof/>
        </w:rPr>
        <w:t>)</w:t>
      </w:r>
      <w:r w:rsidRPr="00092F60">
        <w:t xml:space="preserve"> and </w:t>
      </w:r>
      <w:r>
        <w:t xml:space="preserve">in </w:t>
      </w:r>
      <w:r w:rsidRPr="00092F60">
        <w:t xml:space="preserve">an ongoing RCT (NCT01753076). Tirasemtiv has also been used in early trials. </w:t>
      </w:r>
      <w:r>
        <w:t>A</w:t>
      </w:r>
      <w:r w:rsidRPr="00092F60">
        <w:t xml:space="preserve">rimoclomol, ozanezumab </w:t>
      </w:r>
      <w:r>
        <w:t>and</w:t>
      </w:r>
      <w:r w:rsidRPr="00092F60">
        <w:t xml:space="preserve"> tirasemtiv are </w:t>
      </w:r>
      <w:r>
        <w:t xml:space="preserve">not yet </w:t>
      </w:r>
      <w:r w:rsidRPr="00092F60">
        <w:t xml:space="preserve">listed on the ARTG. Stem cell treatments are biologics </w:t>
      </w:r>
      <w:r>
        <w:t xml:space="preserve">and </w:t>
      </w:r>
      <w:r w:rsidRPr="00092F60">
        <w:t xml:space="preserve">subject to </w:t>
      </w:r>
      <w:r>
        <w:t>specific</w:t>
      </w:r>
      <w:r w:rsidRPr="00092F60">
        <w:t xml:space="preserve"> TGA regulations. These treatments have the potential </w:t>
      </w:r>
      <w:r>
        <w:t>to be eligible for</w:t>
      </w:r>
      <w:r w:rsidRPr="00092F60">
        <w:t xml:space="preserve"> the LSPD, not only due to </w:t>
      </w:r>
      <w:r>
        <w:t xml:space="preserve">being </w:t>
      </w:r>
      <w:r w:rsidRPr="00092F60">
        <w:t xml:space="preserve">advancements in stem cell technologies, but also due to the limited benefit of the only listed drug for this </w:t>
      </w:r>
      <w:r>
        <w:t xml:space="preserve">rare </w:t>
      </w:r>
      <w:r w:rsidRPr="00092F60">
        <w:t>condition.</w:t>
      </w:r>
    </w:p>
    <w:p w:rsidR="00F01E9C" w:rsidRPr="00092F60" w:rsidRDefault="00F01E9C" w:rsidP="00F01E9C">
      <w:pPr>
        <w:spacing w:before="240"/>
      </w:pPr>
      <w:r w:rsidRPr="00092F60">
        <w:t xml:space="preserve">Three new drugs for Huntington’s disease were identified, none of which </w:t>
      </w:r>
      <w:r>
        <w:t>have been considered by the TGA</w:t>
      </w:r>
      <w:r w:rsidRPr="00092F60">
        <w:t xml:space="preserve"> for this indication. Pridopidine has been trialled in people with Huntington’s disease in a multicentre study in the US and Canada</w:t>
      </w:r>
      <w:r>
        <w:t>. A</w:t>
      </w:r>
      <w:r w:rsidRPr="00092F60">
        <w:t xml:space="preserve"> small but not statistically significant positive treatment effect on motor function was found</w:t>
      </w:r>
      <w:r>
        <w:t xml:space="preserve"> </w:t>
      </w:r>
      <w:r w:rsidR="00A130D0">
        <w:rPr>
          <w:noProof/>
        </w:rPr>
        <w:t>(</w:t>
      </w:r>
      <w:r w:rsidR="00184B6F">
        <w:rPr>
          <w:noProof/>
        </w:rPr>
        <w:t>Huntington Study Group HART Investigators 2013</w:t>
      </w:r>
      <w:r w:rsidR="00A130D0">
        <w:rPr>
          <w:noProof/>
        </w:rPr>
        <w:t>)</w:t>
      </w:r>
      <w:r w:rsidRPr="00092F60">
        <w:t>. A European multicentre RCT of similar design also found no evidence of treatment efficacy</w:t>
      </w:r>
      <w:r>
        <w:t xml:space="preserve"> </w:t>
      </w:r>
      <w:r w:rsidR="00A130D0">
        <w:rPr>
          <w:noProof/>
        </w:rPr>
        <w:t>(</w:t>
      </w:r>
      <w:r w:rsidR="00184B6F">
        <w:rPr>
          <w:noProof/>
        </w:rPr>
        <w:t>de Yebenes et al. 2011</w:t>
      </w:r>
      <w:r w:rsidR="00A130D0">
        <w:rPr>
          <w:noProof/>
        </w:rPr>
        <w:t>)</w:t>
      </w:r>
      <w:r w:rsidRPr="00092F60">
        <w:t xml:space="preserve">. One further ongoing trial of pridopidine is listed on </w:t>
      </w:r>
      <w:r w:rsidRPr="00092F60">
        <w:lastRenderedPageBreak/>
        <w:t xml:space="preserve">clinicaltrials.gov (NCT02006472), and an extension study of a previous RCT is also ongoing (NCT01306929). </w:t>
      </w:r>
      <w:r>
        <w:t xml:space="preserve">It is unclear whether a therapeutic effect from this drug will be unequivocally demonstrated. </w:t>
      </w:r>
      <w:r w:rsidRPr="00092F60">
        <w:t>Cysteamine is listed on the ARTG for nephropathic cystinosis. Th</w:t>
      </w:r>
      <w:r>
        <w:t>is</w:t>
      </w:r>
      <w:r w:rsidRPr="00092F60">
        <w:t xml:space="preserve"> drug </w:t>
      </w:r>
      <w:r>
        <w:t>wa</w:t>
      </w:r>
      <w:r w:rsidRPr="00092F60">
        <w:t>s mentioned with reference to Huntington’s as early as 1986 and tested in a dose-finding and tolerability study in the mid 2000s</w:t>
      </w:r>
      <w:r>
        <w:t>;</w:t>
      </w:r>
      <w:r w:rsidRPr="00092F60">
        <w:t xml:space="preserve"> however</w:t>
      </w:r>
      <w:r>
        <w:t>,</w:t>
      </w:r>
      <w:r w:rsidRPr="00092F60">
        <w:t xml:space="preserve"> no further trials were identified other than one </w:t>
      </w:r>
      <w:r>
        <w:t xml:space="preserve">that is </w:t>
      </w:r>
      <w:r w:rsidRPr="00092F60">
        <w:t xml:space="preserve">ongoing (NCT02101957). SIRT-1 inhibitors </w:t>
      </w:r>
      <w:r>
        <w:t>have been posited as possible treatments for Huntington’s disease but they are not listed</w:t>
      </w:r>
      <w:r w:rsidRPr="00092F60">
        <w:t xml:space="preserve"> on the ARTG and no studies </w:t>
      </w:r>
      <w:r>
        <w:t xml:space="preserve">were located on their use </w:t>
      </w:r>
      <w:r w:rsidRPr="00092F60">
        <w:t>as a treatment for Huntington’s.</w:t>
      </w:r>
    </w:p>
    <w:p w:rsidR="00092F60" w:rsidRPr="00092F60" w:rsidRDefault="00F01E9C" w:rsidP="00092F60">
      <w:pPr>
        <w:spacing w:before="240"/>
      </w:pPr>
      <w:r w:rsidRPr="00092F60">
        <w:t xml:space="preserve">Rufinamide is an adjunctive treatment for the prevention of seizures in Lennox-Gestaut (LG) epilepsy. It is approved by the FDA and has orphan designation by the EMA. Guidelines from NICE in the UK </w:t>
      </w:r>
      <w:r>
        <w:t>recommend</w:t>
      </w:r>
      <w:r w:rsidRPr="00092F60">
        <w:t xml:space="preserve"> rufinamide as an adjunctive treatment</w:t>
      </w:r>
      <w:r>
        <w:t xml:space="preserve"> </w:t>
      </w:r>
      <w:r w:rsidR="00A130D0">
        <w:rPr>
          <w:noProof/>
        </w:rPr>
        <w:t>(</w:t>
      </w:r>
      <w:r w:rsidR="00184B6F">
        <w:rPr>
          <w:noProof/>
        </w:rPr>
        <w:t>National Institute for Health and Clinical Excellence 2012</w:t>
      </w:r>
      <w:r w:rsidR="00A130D0">
        <w:rPr>
          <w:noProof/>
        </w:rPr>
        <w:t>)</w:t>
      </w:r>
      <w:r w:rsidRPr="00092F60">
        <w:t>.</w:t>
      </w:r>
      <w:r>
        <w:t xml:space="preserve"> </w:t>
      </w:r>
      <w:r w:rsidRPr="00092F60">
        <w:t>It is not listed on the ARTG</w:t>
      </w:r>
      <w:r>
        <w:t xml:space="preserve"> but</w:t>
      </w:r>
      <w:r w:rsidRPr="00092F60">
        <w:t xml:space="preserve"> has been </w:t>
      </w:r>
      <w:r>
        <w:t>used</w:t>
      </w:r>
      <w:r w:rsidRPr="00092F60">
        <w:t xml:space="preserve"> as an adjunct treatment for LG epilepsy for several years</w:t>
      </w:r>
      <w:r>
        <w:t>. A</w:t>
      </w:r>
      <w:r w:rsidRPr="00092F60">
        <w:t xml:space="preserve"> meta-analysis of RCTs that compared adjunctive rufinamide to placebo in patients with LG and other types of drug resistant epilepsy was published in 2011 </w:t>
      </w:r>
      <w:r w:rsidR="00A130D0">
        <w:rPr>
          <w:noProof/>
        </w:rPr>
        <w:t>(</w:t>
      </w:r>
      <w:r w:rsidR="00184B6F">
        <w:rPr>
          <w:noProof/>
        </w:rPr>
        <w:t>Verrotti et al. 2011</w:t>
      </w:r>
      <w:r w:rsidR="00A130D0">
        <w:rPr>
          <w:noProof/>
        </w:rPr>
        <w:t>)</w:t>
      </w:r>
      <w:r w:rsidRPr="00092F60">
        <w:t>. It found rufinamide reduced the number of seizures in adult and paediatric patients. Another meta-analysis that examined adverse events found rufinamide to be associated with a significant increase in somnolence, dizziness, fatigue and headache, and with discontinuation rates</w:t>
      </w:r>
      <w:r>
        <w:t xml:space="preserve"> </w:t>
      </w:r>
      <w:r w:rsidR="00A130D0">
        <w:rPr>
          <w:noProof/>
        </w:rPr>
        <w:t>(</w:t>
      </w:r>
      <w:r w:rsidR="00184B6F">
        <w:rPr>
          <w:noProof/>
        </w:rPr>
        <w:t>Alsaad &amp; Koren 2014</w:t>
      </w:r>
      <w:r w:rsidR="00A130D0">
        <w:rPr>
          <w:noProof/>
        </w:rPr>
        <w:t>)</w:t>
      </w:r>
      <w:r w:rsidRPr="00092F60">
        <w:t>. An RCT conducted in 2014 in Japan of rufinamide versus placebo in patients with LG epilepsy also found a significant reduction in seizures</w:t>
      </w:r>
      <w:r>
        <w:t xml:space="preserve"> </w:t>
      </w:r>
      <w:r w:rsidR="00A130D0">
        <w:rPr>
          <w:noProof/>
        </w:rPr>
        <w:t>(</w:t>
      </w:r>
      <w:r w:rsidR="00184B6F">
        <w:rPr>
          <w:noProof/>
        </w:rPr>
        <w:t>Ohtsuka et al. 2014</w:t>
      </w:r>
      <w:r w:rsidR="00A130D0">
        <w:rPr>
          <w:noProof/>
        </w:rPr>
        <w:t>)</w:t>
      </w:r>
      <w:r w:rsidRPr="00092F60">
        <w:t>. There are two studies of interest on clinicaltrials.gov, including a European registry study (NCT01991041) and a randomised controlled trial in children (NCT01405053). Given that this syndrome usually begins in children aged less than four years, and that controlling seizures usually requires combinations of medications, rufinamide is likely to come under consideration by the TGA as a treatment, but it is unclear if it will fit the criteria for the LSDP</w:t>
      </w:r>
      <w:r>
        <w:t xml:space="preserve"> as there is no suggestion to date that it extends survival</w:t>
      </w:r>
      <w:r w:rsidRPr="00092F60">
        <w:t xml:space="preserve">. </w:t>
      </w:r>
      <w:r w:rsidR="005F02DF">
        <w:t xml:space="preserve"> </w:t>
      </w:r>
      <w:r w:rsidR="00C14169">
        <w:t xml:space="preserve">An impact summary is available at </w:t>
      </w:r>
      <w:r w:rsidR="00A72B26" w:rsidRPr="003F3F2D">
        <w:t xml:space="preserve">APPENDIX </w:t>
      </w:r>
      <w:r w:rsidR="00A72B26">
        <w:rPr>
          <w:noProof/>
        </w:rPr>
        <w:t>F</w:t>
      </w:r>
      <w:r w:rsidR="00C14169">
        <w:t>.</w:t>
      </w:r>
    </w:p>
    <w:p w:rsidR="00092F60" w:rsidRPr="00092F60" w:rsidRDefault="00092F60" w:rsidP="00E965BD">
      <w:pPr>
        <w:pStyle w:val="Heading3"/>
      </w:pPr>
      <w:bookmarkStart w:id="522" w:name="_Toc404937291"/>
      <w:r w:rsidRPr="00092F60">
        <w:t>Blood, bone marrow and immune system diseases</w:t>
      </w:r>
      <w:bookmarkEnd w:id="522"/>
    </w:p>
    <w:p w:rsidR="00F01E9C" w:rsidRPr="00092F60" w:rsidRDefault="00F01E9C" w:rsidP="00F01E9C">
      <w:bookmarkStart w:id="523" w:name="_Ref391649296"/>
      <w:r w:rsidRPr="00092F60">
        <w:t>Numerous coagulation factors were identified as potential treatments for bleeding disorders</w:t>
      </w:r>
      <w:r>
        <w:t>. These include:</w:t>
      </w:r>
      <w:r w:rsidRPr="00092F60">
        <w:t xml:space="preserve"> afamelanotide for congenital erthropoietic porphyria, anagrelide hydrochloride for essential thrombocythemia, catridecacog for congenital factor XIII deficiency and rFIXFC for haemophilia B are all approved by the TGA and have orphan designation (along with several other coagulation factors). One other coagulation factor is approved by the TGA but is not an orphan drug: recombinant factor IX fusion protein for haemophilia B. It is unclear if these drugs would be eligible for the LSDP, as in most cases insufficient information about the new drug, and its specific indication or unique features, is available. </w:t>
      </w:r>
      <w:r>
        <w:t>It is thought that most of these drugs would be available via the public hospital system, with costs borne by the states and jurisdictions.</w:t>
      </w:r>
    </w:p>
    <w:p w:rsidR="00F01E9C" w:rsidRPr="00092F60" w:rsidRDefault="00F01E9C" w:rsidP="00F01E9C">
      <w:r w:rsidRPr="00092F60">
        <w:t>ACE-536 fusion protein is in phase 2 clinical trials for the treatment of beta-thalassemia (NCT01749540), and there are several other drugs that were identified as potential treatments for bleeding disorders for which little information is available</w:t>
      </w:r>
      <w:r>
        <w:t>.</w:t>
      </w:r>
      <w:r w:rsidRPr="00092F60">
        <w:t xml:space="preserve"> Gantotinib is a suggested treatment for essential </w:t>
      </w:r>
      <w:r w:rsidR="009161F9" w:rsidRPr="00092F60">
        <w:t>thrombocythemia</w:t>
      </w:r>
      <w:r w:rsidRPr="00092F60">
        <w:t xml:space="preserve">, myelofibrosis and poylcythemia </w:t>
      </w:r>
      <w:r>
        <w:t>but</w:t>
      </w:r>
      <w:r w:rsidRPr="00092F60">
        <w:t xml:space="preserve"> no studies using </w:t>
      </w:r>
      <w:r w:rsidRPr="00092F60">
        <w:lastRenderedPageBreak/>
        <w:t xml:space="preserve">this drug were located in PubMed or </w:t>
      </w:r>
      <w:r>
        <w:t>i</w:t>
      </w:r>
      <w:r w:rsidRPr="00092F60">
        <w:t xml:space="preserve">n </w:t>
      </w:r>
      <w:r>
        <w:t>clinical trials registries</w:t>
      </w:r>
      <w:r w:rsidRPr="00092F60">
        <w:t xml:space="preserve">. </w:t>
      </w:r>
      <w:r>
        <w:t>F</w:t>
      </w:r>
      <w:r w:rsidRPr="00092F60">
        <w:t xml:space="preserve">edratinib for myelofibrosis and ruxolitinib for polycythemia </w:t>
      </w:r>
      <w:proofErr w:type="gramStart"/>
      <w:r w:rsidRPr="00092F60">
        <w:t>vera</w:t>
      </w:r>
      <w:proofErr w:type="gramEnd"/>
      <w:r w:rsidRPr="00092F60">
        <w:t xml:space="preserve"> </w:t>
      </w:r>
      <w:r>
        <w:t xml:space="preserve">also </w:t>
      </w:r>
      <w:r w:rsidRPr="00092F60">
        <w:t>have orphan drug status.</w:t>
      </w:r>
    </w:p>
    <w:p w:rsidR="00F01E9C" w:rsidRPr="00092F60" w:rsidRDefault="00F01E9C" w:rsidP="00F01E9C">
      <w:r w:rsidRPr="00092F60">
        <w:t xml:space="preserve">Three C1 esterase inhibitors were identified for the treatment of hereditary angioedema, of which two are approved by the TGA and </w:t>
      </w:r>
      <w:r>
        <w:t xml:space="preserve">are </w:t>
      </w:r>
      <w:r w:rsidRPr="00092F60">
        <w:t xml:space="preserve">on the orphan drugs list (both </w:t>
      </w:r>
      <w:r>
        <w:t xml:space="preserve">are </w:t>
      </w:r>
      <w:r w:rsidRPr="00092F60">
        <w:t xml:space="preserve">plasma derived); a third transgenic C1 esterase inhibitor </w:t>
      </w:r>
      <w:r>
        <w:t>has not been considered by the TGA</w:t>
      </w:r>
      <w:r w:rsidRPr="00092F60">
        <w:t xml:space="preserve">. Additionally, icatibant, a selective competitive antagonist at the B2 receptor, is </w:t>
      </w:r>
      <w:r>
        <w:t xml:space="preserve">an orphan drug </w:t>
      </w:r>
      <w:r w:rsidRPr="00092F60">
        <w:t>approved by the TGA. Again, it is unclear if these treatments would meet eligibility criteria for LSDP, given the availability of multiple treatments.</w:t>
      </w:r>
      <w:r w:rsidRPr="003D1DCB">
        <w:t xml:space="preserve"> </w:t>
      </w:r>
    </w:p>
    <w:p w:rsidR="00F01E9C" w:rsidRPr="00092F60" w:rsidRDefault="00F01E9C" w:rsidP="00F01E9C">
      <w:r w:rsidRPr="00092F60">
        <w:t>Gene therapy is a potential treatment for blood disorders</w:t>
      </w:r>
      <w:r>
        <w:t>.</w:t>
      </w:r>
      <w:r w:rsidRPr="00092F60">
        <w:t xml:space="preserve"> LentiGlobin gene therapy is currently being trialled </w:t>
      </w:r>
      <w:r>
        <w:t xml:space="preserve">to treat </w:t>
      </w:r>
      <w:r w:rsidRPr="00092F60">
        <w:t>beta-thalassemia (NCT01745120, NCT01206075). Gene therapy is also a suggested treatment for haemophilia B; however a recent Cochrane review identified no trials of gene therapy in haemophilia A or B</w:t>
      </w:r>
      <w:r>
        <w:t xml:space="preserve"> </w:t>
      </w:r>
      <w:r w:rsidR="00A130D0">
        <w:rPr>
          <w:noProof/>
        </w:rPr>
        <w:t>(</w:t>
      </w:r>
      <w:r w:rsidR="00184B6F">
        <w:rPr>
          <w:noProof/>
        </w:rPr>
        <w:t>Sharma et al. 2014</w:t>
      </w:r>
      <w:r w:rsidR="00A130D0">
        <w:rPr>
          <w:noProof/>
        </w:rPr>
        <w:t>)</w:t>
      </w:r>
      <w:r w:rsidRPr="00092F60">
        <w:t>, nor for sickle cell disease</w:t>
      </w:r>
      <w:r>
        <w:t xml:space="preserve"> </w:t>
      </w:r>
      <w:r w:rsidR="00A130D0">
        <w:rPr>
          <w:noProof/>
        </w:rPr>
        <w:t>(</w:t>
      </w:r>
      <w:r w:rsidR="00184B6F">
        <w:rPr>
          <w:noProof/>
        </w:rPr>
        <w:t>Olowoyeye &amp; Okwundu Charles 2014</w:t>
      </w:r>
      <w:r w:rsidR="00A130D0">
        <w:rPr>
          <w:noProof/>
        </w:rPr>
        <w:t>)</w:t>
      </w:r>
      <w:r w:rsidRPr="00092F60">
        <w:t xml:space="preserve">. There are several phase 1 and 2 studies underway for this new treatment, and given the advances in this area of molecular biology, there is likely to be a number of new treatments on the horizon for </w:t>
      </w:r>
      <w:r>
        <w:t>bleeding disorders</w:t>
      </w:r>
      <w:r w:rsidRPr="00092F60">
        <w:t>.</w:t>
      </w:r>
    </w:p>
    <w:p w:rsidR="00F01E9C" w:rsidRDefault="00F01E9C" w:rsidP="00F01E9C">
      <w:r w:rsidRPr="00092F60">
        <w:t>A recombinant von Willebrand factor drug (BAX 111) was identified for the treatment of von Willebrand disease, however it is not clear how this differ</w:t>
      </w:r>
      <w:r>
        <w:t>s from</w:t>
      </w:r>
      <w:r w:rsidRPr="00092F60">
        <w:t xml:space="preserve"> existing treatments including von Willebrand factor.</w:t>
      </w:r>
    </w:p>
    <w:p w:rsidR="00F01E9C" w:rsidRPr="00092F60" w:rsidRDefault="00F01E9C" w:rsidP="00F01E9C">
      <w:r>
        <w:t>There are a few</w:t>
      </w:r>
      <w:r w:rsidRPr="00092F60">
        <w:t xml:space="preserve"> new treatments on the horizon for sickle cell anaemia</w:t>
      </w:r>
      <w:r>
        <w:t xml:space="preserve"> and malaria</w:t>
      </w:r>
      <w:r w:rsidRPr="00092F60">
        <w:t xml:space="preserve">. </w:t>
      </w:r>
      <w:r>
        <w:t>P</w:t>
      </w:r>
      <w:r w:rsidRPr="00092F60">
        <w:t xml:space="preserve">urified poloxamer 188, which was </w:t>
      </w:r>
      <w:r>
        <w:t xml:space="preserve">first </w:t>
      </w:r>
      <w:r w:rsidRPr="00092F60">
        <w:t>trialled in the early 2000s</w:t>
      </w:r>
      <w:r>
        <w:t xml:space="preserve"> for sickle cell anaemia</w:t>
      </w:r>
      <w:r w:rsidRPr="00092F60">
        <w:t xml:space="preserve">, is currently being investigated in a multi-centre trial (NCT01737814), and rivipansel is also currently being trialled (NCT02187003). </w:t>
      </w:r>
      <w:r>
        <w:t>A</w:t>
      </w:r>
      <w:r w:rsidRPr="00092F60">
        <w:t xml:space="preserve">rtesunate </w:t>
      </w:r>
      <w:r>
        <w:t xml:space="preserve">has orphan drug status as a treatment </w:t>
      </w:r>
      <w:r w:rsidRPr="00092F60">
        <w:t>for malaria</w:t>
      </w:r>
      <w:r>
        <w:t xml:space="preserve">, while early trials are underway for the use of </w:t>
      </w:r>
      <w:r w:rsidRPr="00092F60">
        <w:t>tafenoquine</w:t>
      </w:r>
      <w:r>
        <w:t xml:space="preserve"> to treat the condition. Neither sickle cell disease or malaria are significant problems in Australia, although there is a growing African and Indian immigrant subpopulation whom may carry the HbS sickling mutation which protects against malaria. </w:t>
      </w:r>
    </w:p>
    <w:p w:rsidR="00F01E9C" w:rsidRPr="00092F60" w:rsidRDefault="00F01E9C" w:rsidP="00F01E9C">
      <w:pPr>
        <w:pStyle w:val="Heading3"/>
      </w:pPr>
      <w:bookmarkStart w:id="524" w:name="_Toc404937292"/>
      <w:r w:rsidRPr="00092F60">
        <w:t>Cardiovascular diseases</w:t>
      </w:r>
      <w:bookmarkEnd w:id="524"/>
    </w:p>
    <w:p w:rsidR="00F01E9C" w:rsidRPr="00092F60" w:rsidRDefault="00F01E9C" w:rsidP="00F01E9C">
      <w:r w:rsidRPr="00092F60">
        <w:t xml:space="preserve">One stem cell treatment, ixmyelocel-T, was identified for the treatment of familial isolated dilated cardiomyopathy. This </w:t>
      </w:r>
      <w:r>
        <w:t xml:space="preserve">treatment </w:t>
      </w:r>
      <w:r w:rsidRPr="00092F60">
        <w:t xml:space="preserve">is not listed on the ARTG, and was not located on the FDA or EMA </w:t>
      </w:r>
      <w:r>
        <w:t>databas</w:t>
      </w:r>
      <w:r w:rsidRPr="00092F60">
        <w:t xml:space="preserve">es. It has been investigated for safety and efficacy in </w:t>
      </w:r>
      <w:r>
        <w:t>phase I and II</w:t>
      </w:r>
      <w:r w:rsidRPr="00092F60">
        <w:t xml:space="preserve"> clinical trials and </w:t>
      </w:r>
      <w:r>
        <w:t xml:space="preserve">is </w:t>
      </w:r>
      <w:r w:rsidRPr="00092F60">
        <w:t xml:space="preserve">currently being </w:t>
      </w:r>
      <w:r>
        <w:t>assess</w:t>
      </w:r>
      <w:r w:rsidRPr="00092F60">
        <w:t xml:space="preserve">ed in a RCT (NCT01670981). A recent systematic review of stem cell therapies for dilated cardiomyopathy indicated that there was considerable heterogeneity in the studies to date, and suggested that further studies were necessary before the safety and efficacy could be adequately determined </w:t>
      </w:r>
      <w:r w:rsidR="00A130D0">
        <w:rPr>
          <w:noProof/>
        </w:rPr>
        <w:t>(</w:t>
      </w:r>
      <w:r w:rsidR="00184B6F">
        <w:rPr>
          <w:noProof/>
        </w:rPr>
        <w:t>Gho et al. 2013</w:t>
      </w:r>
      <w:r w:rsidR="00A130D0">
        <w:rPr>
          <w:noProof/>
        </w:rPr>
        <w:t>)</w:t>
      </w:r>
      <w:r w:rsidRPr="00092F60">
        <w:t>. This treatment is likely to be one of many stem cell treatments for rare diseases that emerges in the near future, and could come under consideration for the LSDP.</w:t>
      </w:r>
    </w:p>
    <w:p w:rsidR="00F01E9C" w:rsidRPr="00092F60" w:rsidRDefault="00F01E9C" w:rsidP="00F01E9C">
      <w:pPr>
        <w:pStyle w:val="Heading3"/>
      </w:pPr>
      <w:bookmarkStart w:id="525" w:name="_Toc404937293"/>
      <w:r w:rsidRPr="00092F60">
        <w:lastRenderedPageBreak/>
        <w:t>Cancers</w:t>
      </w:r>
      <w:bookmarkEnd w:id="525"/>
    </w:p>
    <w:p w:rsidR="00F01E9C" w:rsidRDefault="00F01E9C" w:rsidP="00F01E9C">
      <w:r w:rsidRPr="00092F60">
        <w:t xml:space="preserve">Many emerging treatments were identified for different cancers. A report by America’s pharmaceutical research companies published in 2013, entitled “Rare Diseases: A report on orphan drugs in the pipeline” </w:t>
      </w:r>
      <w:r>
        <w:t>indicat</w:t>
      </w:r>
      <w:r w:rsidRPr="00092F60">
        <w:t xml:space="preserve">ed that in the United States, cancer drugs formed the largest category of medicines in development </w:t>
      </w:r>
      <w:r w:rsidR="00A130D0">
        <w:rPr>
          <w:noProof/>
        </w:rPr>
        <w:t>(</w:t>
      </w:r>
      <w:r w:rsidR="00184B6F">
        <w:rPr>
          <w:noProof/>
        </w:rPr>
        <w:t>Swinney &amp; Xia 2014</w:t>
      </w:r>
      <w:r w:rsidR="00A130D0">
        <w:rPr>
          <w:noProof/>
        </w:rPr>
        <w:t>)</w:t>
      </w:r>
      <w:r w:rsidRPr="00092F60">
        <w:t xml:space="preserve">. In Europe, nearly half of orphan drug approvals between 2001 and 2012 were for oncology, with nearly a third of these for leukaemia </w:t>
      </w:r>
      <w:r w:rsidR="00A130D0">
        <w:rPr>
          <w:noProof/>
        </w:rPr>
        <w:t>(</w:t>
      </w:r>
      <w:r w:rsidR="00184B6F">
        <w:rPr>
          <w:noProof/>
        </w:rPr>
        <w:t>Norman 2013</w:t>
      </w:r>
      <w:r w:rsidR="00A130D0">
        <w:rPr>
          <w:noProof/>
        </w:rPr>
        <w:t>)</w:t>
      </w:r>
      <w:r w:rsidRPr="00092F60">
        <w:t>.</w:t>
      </w:r>
    </w:p>
    <w:p w:rsidR="00F01E9C" w:rsidRPr="00092F60" w:rsidRDefault="00F01E9C" w:rsidP="00F01E9C">
      <w:r>
        <w:t xml:space="preserve">For some very rare cancers for which there is no or limited clinical or therapeutic experience, it has been suggested that molecular profiling and trialling different treatments to address the molecular profile of the cancer may be the best option. One case report of an individual with metastatic cancer of </w:t>
      </w:r>
      <w:proofErr w:type="gramStart"/>
      <w:r>
        <w:t>Cowper’s Gland</w:t>
      </w:r>
      <w:proofErr w:type="gramEnd"/>
      <w:r>
        <w:t xml:space="preserve"> (the 9</w:t>
      </w:r>
      <w:r w:rsidRPr="00FA73B7">
        <w:rPr>
          <w:vertAlign w:val="superscript"/>
        </w:rPr>
        <w:t>th</w:t>
      </w:r>
      <w:r>
        <w:t xml:space="preserve"> case in the medical literature) reports the successful use of this approach over a seven year period </w:t>
      </w:r>
      <w:r w:rsidR="00A130D0">
        <w:rPr>
          <w:noProof/>
        </w:rPr>
        <w:t>(</w:t>
      </w:r>
      <w:r w:rsidR="00184B6F">
        <w:rPr>
          <w:noProof/>
        </w:rPr>
        <w:t>Myers et al. 2014</w:t>
      </w:r>
      <w:r w:rsidR="00A130D0">
        <w:rPr>
          <w:noProof/>
        </w:rPr>
        <w:t>)</w:t>
      </w:r>
      <w:r>
        <w:t xml:space="preserve">. </w:t>
      </w:r>
    </w:p>
    <w:p w:rsidR="00F01E9C" w:rsidRPr="00092F60" w:rsidRDefault="00F01E9C" w:rsidP="00F01E9C">
      <w:r w:rsidRPr="00092F60">
        <w:t>In general</w:t>
      </w:r>
      <w:r>
        <w:t>,</w:t>
      </w:r>
      <w:r w:rsidRPr="00092F60">
        <w:t xml:space="preserve"> the potential new treatments fall into several broad categories: monoclonal antibodies, immunoconjugates (combining antibodies and cytotoxins), vaccines, antineoplastics and protein kinase inhibitors. </w:t>
      </w:r>
    </w:p>
    <w:p w:rsidR="00F01E9C" w:rsidRPr="00092F60" w:rsidRDefault="00F01E9C" w:rsidP="00F01E9C">
      <w:pPr>
        <w:pStyle w:val="Headings4"/>
      </w:pPr>
      <w:r w:rsidRPr="00092F60">
        <w:t>Blood, bone marrow and immune system</w:t>
      </w:r>
    </w:p>
    <w:p w:rsidR="00F01E9C" w:rsidRDefault="00F01E9C" w:rsidP="00F01E9C">
      <w:r>
        <w:t>T</w:t>
      </w:r>
      <w:r w:rsidRPr="00092F60">
        <w:t xml:space="preserve">wo </w:t>
      </w:r>
      <w:r>
        <w:t xml:space="preserve">main </w:t>
      </w:r>
      <w:r w:rsidRPr="00092F60">
        <w:t>categories</w:t>
      </w:r>
      <w:r>
        <w:t xml:space="preserve"> of emerging oncology drugs target the blood, bone marrow and immune system. These are</w:t>
      </w:r>
      <w:r w:rsidRPr="00092F60">
        <w:t xml:space="preserve"> monoclonal antibodies and protein-tyrosine kinase inhibitors. There is a very large body of published work on monoclonal antibodies and cancers, with many early trials, and it should be expected that this type of treatment will continue to develop and come to market.</w:t>
      </w:r>
      <w:r>
        <w:t xml:space="preserve"> Current example monoclonal antibodies for common cancers include cetuximab and panitumumab for KRAS wild type metastatic colorectal cancer.</w:t>
      </w:r>
    </w:p>
    <w:p w:rsidR="00F01E9C" w:rsidRPr="00092F60" w:rsidRDefault="00F01E9C" w:rsidP="00F01E9C">
      <w:r>
        <w:t xml:space="preserve">Tyrosine kinase inhibitors (TKIs) are already used to treat several common cancers, for example targeting endothelial growth factor receptors (EGFR) in non-small cell lung cancer (erlotinib, gefitinib, afatinib, </w:t>
      </w:r>
      <w:r w:rsidR="009161F9">
        <w:t>and crizotinib</w:t>
      </w:r>
      <w:r>
        <w:t>), BCR-abl in Philadelphia chromosome-positive chronic myeloid leukemia (imatinib, nilotinib), HER2 in breast cancer (lapatinib), and multiple kinases in metastatic renal cancer (pazopanib).</w:t>
      </w:r>
      <w:r w:rsidRPr="009B3036">
        <w:t xml:space="preserve"> </w:t>
      </w:r>
      <w:r>
        <w:t>A new class of TKI has recently emerged.  Lenvatinib received orphan drug designation for the treatment of follicular and papillary thyroid cancer from the European Commission in April 2013 and the EMA has recently approved accelerated assessment of this multiple kinase inhibitor for the treatment of patients with progressive radioiodine-refractory, differentiated thyroid cancer.</w:t>
      </w:r>
      <w:r>
        <w:rPr>
          <w:rStyle w:val="FootnoteReference"/>
        </w:rPr>
        <w:footnoteReference w:id="25"/>
      </w:r>
      <w:r w:rsidRPr="00092F60" w:rsidDel="00B75596">
        <w:t xml:space="preserve"> </w:t>
      </w:r>
      <w:r>
        <w:t>It is therefore likely that existing TKIs and TKIs in development will be used to treat rare cancers and potentially be eligible for the LSDP if the existing treatments do not currently extend survival.</w:t>
      </w:r>
      <w:r w:rsidRPr="009B3036">
        <w:t xml:space="preserve"> </w:t>
      </w:r>
    </w:p>
    <w:p w:rsidR="00F01E9C" w:rsidRPr="00092F60" w:rsidRDefault="00F01E9C" w:rsidP="00F01E9C">
      <w:pPr>
        <w:pStyle w:val="Headings4"/>
      </w:pPr>
      <w:r w:rsidRPr="00092F60">
        <w:t>Liver</w:t>
      </w:r>
    </w:p>
    <w:p w:rsidR="00F01E9C" w:rsidRPr="00092F60" w:rsidRDefault="00F01E9C" w:rsidP="00F01E9C">
      <w:r w:rsidRPr="00092F60">
        <w:t xml:space="preserve">Several novel second-line treatments for </w:t>
      </w:r>
      <w:r>
        <w:t xml:space="preserve">metastatic </w:t>
      </w:r>
      <w:r w:rsidRPr="00092F60">
        <w:t xml:space="preserve">hepatocellular carcinoma were identified: pexastimogene devacirepv (Pexa Vec), a thymidine kinase-deleted vaccinia virus; lyso-thermosensitive liposomal doxorubicin (ThermoDox), a temperature-sensitive liposomal </w:t>
      </w:r>
      <w:r w:rsidRPr="00092F60">
        <w:lastRenderedPageBreak/>
        <w:t xml:space="preserve">formulation of the anthracycline antibiotic doxorubicin with potential antineoplastic activity; and G-202, </w:t>
      </w:r>
      <w:r>
        <w:t xml:space="preserve">a </w:t>
      </w:r>
      <w:r w:rsidRPr="00092F60">
        <w:t xml:space="preserve">‘prodrug’, which when used with sorafenib, is able to achieve higher concentrations of the active agents at the </w:t>
      </w:r>
      <w:r w:rsidR="009161F9" w:rsidRPr="00092F60">
        <w:t>tumour</w:t>
      </w:r>
      <w:r w:rsidRPr="00092F60">
        <w:t xml:space="preserve"> site while avoiding systemic toxicity </w:t>
      </w:r>
      <w:r w:rsidR="00A130D0">
        <w:rPr>
          <w:noProof/>
        </w:rPr>
        <w:t>(</w:t>
      </w:r>
      <w:r w:rsidR="00184B6F">
        <w:rPr>
          <w:noProof/>
        </w:rPr>
        <w:t>National Cancer Institute 2014</w:t>
      </w:r>
      <w:r w:rsidR="00A130D0">
        <w:rPr>
          <w:noProof/>
        </w:rPr>
        <w:t>)</w:t>
      </w:r>
      <w:r w:rsidRPr="00092F60">
        <w:t xml:space="preserve">. None of these </w:t>
      </w:r>
      <w:r>
        <w:t xml:space="preserve">drugs </w:t>
      </w:r>
      <w:r w:rsidRPr="00092F60">
        <w:t xml:space="preserve">are </w:t>
      </w:r>
      <w:r>
        <w:t xml:space="preserve">as yet </w:t>
      </w:r>
      <w:r w:rsidRPr="00092F60">
        <w:t>listed on the ARTG.</w:t>
      </w:r>
    </w:p>
    <w:p w:rsidR="00F01E9C" w:rsidRPr="00092F60" w:rsidRDefault="00F01E9C" w:rsidP="00F01E9C">
      <w:r w:rsidRPr="00092F60">
        <w:t xml:space="preserve">Pexastimogene devacirepvec has had limited early safety and dose-finding trials, but is not currently </w:t>
      </w:r>
      <w:r>
        <w:t>being</w:t>
      </w:r>
      <w:r w:rsidRPr="00092F60">
        <w:t xml:space="preserve"> trial</w:t>
      </w:r>
      <w:r>
        <w:t>led</w:t>
      </w:r>
      <w:r w:rsidRPr="00092F60">
        <w:t xml:space="preserve"> for this indication. ThermoDox is currently being trialled (NCT02112656), as is G-202 (NCT01777594). </w:t>
      </w:r>
    </w:p>
    <w:p w:rsidR="00F01E9C" w:rsidRPr="00092F60" w:rsidRDefault="00F01E9C" w:rsidP="00F01E9C">
      <w:pPr>
        <w:pStyle w:val="Headings4"/>
      </w:pPr>
      <w:r w:rsidRPr="00092F60">
        <w:t>Skin</w:t>
      </w:r>
    </w:p>
    <w:p w:rsidR="00F01E9C" w:rsidRPr="00092F60" w:rsidRDefault="00F01E9C" w:rsidP="00F01E9C">
      <w:r w:rsidRPr="00092F60">
        <w:t>Many new treatments for skin cancer are on the horizon; as with other cancers, it is not clear in which particular patients (e.g. with specific mutations or stage of cancer) or under which treatment conditions (</w:t>
      </w:r>
      <w:r w:rsidR="009161F9" w:rsidRPr="00092F60">
        <w:t>e.g.</w:t>
      </w:r>
      <w:r w:rsidRPr="00092F60">
        <w:t xml:space="preserve"> refractory conditions) these treatments may be used, and thus it is difficult to ascertain </w:t>
      </w:r>
      <w:r>
        <w:t xml:space="preserve">individual </w:t>
      </w:r>
      <w:r w:rsidRPr="00092F60">
        <w:t xml:space="preserve">relevance to the LSDP. These treatments are diverse and include vaccines (POL-103A/ polyvalent melanoma vaccine, melapuldencil-T/autologous dendritic cell vaccine and FANG autologous tumour cell vaccine), a nanoparticle albumin-bound paclitaxel (Abraxane, on the ARTG for different indication), monoclonal antibodies (lambrolizumab, nivolumab), immunoconjugates (talimogene laherparapvec), protein kinases (trametinib+dabrafenib, both on the ARTG), poly(ADP-ribose) polymerase (PARP) -1 and -2 inhibitor (veliparib), an arginine-degrading enzyme (pegylated arginine deiminase) and various other antineoplastics (vincristine liposomal, coxsackievirus A21). </w:t>
      </w:r>
    </w:p>
    <w:p w:rsidR="00F01E9C" w:rsidRPr="00092F60" w:rsidRDefault="00F01E9C" w:rsidP="00F01E9C">
      <w:pPr>
        <w:pStyle w:val="Headings4"/>
      </w:pPr>
      <w:bookmarkStart w:id="526" w:name="_Toc404937295"/>
      <w:r w:rsidRPr="00092F60">
        <w:t>Hepatic circulation diseases</w:t>
      </w:r>
      <w:bookmarkEnd w:id="526"/>
    </w:p>
    <w:p w:rsidR="00F01E9C" w:rsidRDefault="00F01E9C" w:rsidP="00F01E9C">
      <w:r>
        <w:t>Defibrotide is on the orphan drug list and is the only drug approved in the EU for use in patients with hepatic veno-occlusive disease secondary to hematopoietic stem cell transplants</w:t>
      </w:r>
      <w:r w:rsidR="004409D5">
        <w:t xml:space="preserve"> </w:t>
      </w:r>
      <w:r w:rsidR="00A130D0">
        <w:rPr>
          <w:noProof/>
        </w:rPr>
        <w:t>(</w:t>
      </w:r>
      <w:r w:rsidR="00184B6F">
        <w:rPr>
          <w:noProof/>
        </w:rPr>
        <w:t>Keating 2014</w:t>
      </w:r>
      <w:r w:rsidR="00A130D0">
        <w:rPr>
          <w:noProof/>
        </w:rPr>
        <w:t>)</w:t>
      </w:r>
      <w:r w:rsidR="004409D5">
        <w:t>.</w:t>
      </w:r>
      <w:r>
        <w:t xml:space="preserve"> Guidelines by the British Committee for Standards in Haematology (BCSH) and the British Society for Blood and Marrow Transplantation (BSBMT) recommend defibrotide for prevention of hepatic veno-occlusive disease in children and adults with certain risk factors who are undergoing allogeneic stem cell transplants, and for treatment of hepatic veno-occlusive disease</w:t>
      </w:r>
      <w:r w:rsidR="004409D5">
        <w:t xml:space="preserve"> </w:t>
      </w:r>
      <w:r w:rsidR="00A130D0">
        <w:rPr>
          <w:noProof/>
        </w:rPr>
        <w:t>(</w:t>
      </w:r>
      <w:r w:rsidR="00184B6F">
        <w:rPr>
          <w:noProof/>
        </w:rPr>
        <w:t>Dignan et al. 2013</w:t>
      </w:r>
      <w:r w:rsidR="00A130D0">
        <w:rPr>
          <w:noProof/>
        </w:rPr>
        <w:t>)</w:t>
      </w:r>
      <w:r>
        <w:t>. No prevalence data are available for this condition, but as it is mainly seen as a side effect of the chemotherapy associated with stem cell transplants, the growth of this therapy could see this side effect become more common.</w:t>
      </w:r>
    </w:p>
    <w:p w:rsidR="00F01E9C" w:rsidRPr="00092F60" w:rsidRDefault="00F01E9C" w:rsidP="00F01E9C">
      <w:pPr>
        <w:pStyle w:val="Headings4"/>
      </w:pPr>
      <w:bookmarkStart w:id="527" w:name="_Toc404937296"/>
      <w:r w:rsidRPr="00092F60">
        <w:t>Lysosomal storage diseases</w:t>
      </w:r>
      <w:bookmarkEnd w:id="527"/>
    </w:p>
    <w:p w:rsidR="00F01E9C" w:rsidRDefault="00F01E9C" w:rsidP="00F01E9C">
      <w:r>
        <w:t xml:space="preserve">Unsurprisingly most identified treatments for these disorders involve enzymes (recombinant human lysosomal acid lipase, recombinant human alpha-mannosidase, cerebroside sulfatase, elsulfase alfa and sulfamidase enzyme replacement therapy), but treatments also include haematopoietic stem cell gene therapy and glucosylceramide synthase inhibitors (miglustat). Miglustat is listed on the TGA orphan drugs list for both Gaucher and Niemann-Pick disease, whilst elsulfase alfa, for Morquio A syndrome, is also on the orphan list. Recombinant human alpha-mannosidase (Lamazyn) is a potential new treatment for alpha-mannosidosis, and has undergone early trials and is being further researched. </w:t>
      </w:r>
    </w:p>
    <w:p w:rsidR="00F01E9C" w:rsidRDefault="00F01E9C" w:rsidP="00F01E9C">
      <w:pPr>
        <w:pStyle w:val="Heading3"/>
      </w:pPr>
      <w:r>
        <w:lastRenderedPageBreak/>
        <w:t>Metabolic and enzyme deficiency disorders, excluding lysosomal storage diseases</w:t>
      </w:r>
    </w:p>
    <w:p w:rsidR="00F01E9C" w:rsidRDefault="00F01E9C" w:rsidP="00F01E9C">
      <w:r>
        <w:t>Several other metabolic and enzyme deficiency disorder treatments were identified, including gene therapies. Treatments for hereditary tyr</w:t>
      </w:r>
      <w:r w:rsidR="009161F9">
        <w:t>o</w:t>
      </w:r>
      <w:r>
        <w:t>sinaemia type 1 (nitisinone) and hypophosphatasia (asfotase alfa) are already on the TGA orphan drug list, whilst a treatment for homocystinuria (betaine anhydrous) is listed on the ARTG. A gene therapy for familial chylomicronaemia syndrome (</w:t>
      </w:r>
      <w:r w:rsidR="009161F9">
        <w:t>alipogene</w:t>
      </w:r>
      <w:r>
        <w:t xml:space="preserve"> </w:t>
      </w:r>
      <w:r w:rsidR="009161F9">
        <w:t>tiparvovec</w:t>
      </w:r>
      <w:r>
        <w:t xml:space="preserve"> gene therapy, Glybera) is likely to be submitted to the ARTG in late 2015 or early 2016, and an alternative treatment for this condition (diacylgly</w:t>
      </w:r>
      <w:r w:rsidR="009161F9">
        <w:t>c</w:t>
      </w:r>
      <w:r>
        <w:t xml:space="preserve">erol acytransferase-1 inhibitor, Pradigastat) is also on the horizon; both are designated orphan drugs by the EMA. </w:t>
      </w:r>
    </w:p>
    <w:p w:rsidR="00F01E9C" w:rsidRDefault="00F01E9C" w:rsidP="00F01E9C">
      <w:pPr>
        <w:pStyle w:val="Heading3"/>
      </w:pPr>
      <w:bookmarkStart w:id="528" w:name="_Toc404937299"/>
      <w:r>
        <w:t>Musculoskeletal diseases</w:t>
      </w:r>
      <w:bookmarkEnd w:id="528"/>
    </w:p>
    <w:p w:rsidR="00F01E9C" w:rsidRDefault="00F01E9C" w:rsidP="00F01E9C">
      <w:r>
        <w:t xml:space="preserve">Several new treatments were identified for </w:t>
      </w:r>
      <w:r w:rsidR="009161F9">
        <w:t>Duchenne</w:t>
      </w:r>
      <w:r>
        <w:t xml:space="preserve"> muscular dystrophy (DMD) that could be considered for the LSDP in the future, including two that have orphan drug designation in Europe for this indication (idebenone, halofuginone hydrobromide). Drisapersen and eteplirsen have been trialled in DMD patients but neither are approved in the US, Australia or Europe as yet. A gene therapy-delivered myostatin inhibitor is also a potential treatment for DMD, and was granted orphan designation by the FDA; however it is only in early trial stages.</w:t>
      </w:r>
    </w:p>
    <w:p w:rsidR="00F01E9C" w:rsidRDefault="00F01E9C" w:rsidP="00F01E9C">
      <w:pPr>
        <w:pStyle w:val="Heading3"/>
      </w:pPr>
      <w:bookmarkStart w:id="529" w:name="_Toc404937300"/>
      <w:r>
        <w:t>Respiratory system diseases and pulmonary circulation disorders</w:t>
      </w:r>
      <w:bookmarkEnd w:id="529"/>
    </w:p>
    <w:p w:rsidR="00F01E9C" w:rsidRDefault="00F01E9C" w:rsidP="00F01E9C">
      <w:r>
        <w:t xml:space="preserve">The common infection experienced by people with cystic fibrosis, </w:t>
      </w:r>
      <w:r w:rsidRPr="00764C85">
        <w:rPr>
          <w:i/>
        </w:rPr>
        <w:t>pseudomonas aeruginosa</w:t>
      </w:r>
      <w:r>
        <w:t>, has several potential new treatments. All are antibiotics with varying mechanisms, and delivered by inhalation; aztreonam is already listed as an orphan drug on the ARTG, whilst levofloxacin has orphan designation by the EMA; both have been used in RCTs. A third antibiotic is liposomal amikacin for inhalation which is not approved in Australia, the US or Europe, but is also undergoing trials.</w:t>
      </w:r>
    </w:p>
    <w:p w:rsidR="00F01E9C" w:rsidRDefault="00F01E9C" w:rsidP="00F01E9C">
      <w:r>
        <w:t>For chronic thromboembolic pulmonary hypertension (CTEPH) which is inoperable, there is one treatment already on the orphan drug list in Australia, riociguat. One other identified drug, ambrisentan, is on the PBS for a different, albeit related, indication: pulmonary arterial hypertension. In observational studies of ambrisentan, patients with chronic thromboembolic pulmonary hypertension have been included in the population of patients with various types of pulmonary hypertension, indicating that treatments are similar for these conditions and as such, ambrisentan is unlikely to be eligible for the LSDP</w:t>
      </w:r>
      <w:r w:rsidR="004409D5">
        <w:t xml:space="preserve"> </w:t>
      </w:r>
      <w:r w:rsidR="00D6599C">
        <w:rPr>
          <w:noProof/>
        </w:rPr>
        <w:t>(</w:t>
      </w:r>
      <w:r w:rsidR="00184B6F">
        <w:rPr>
          <w:noProof/>
        </w:rPr>
        <w:t>Badesch et al. 2012</w:t>
      </w:r>
      <w:r w:rsidR="00D6599C">
        <w:rPr>
          <w:noProof/>
        </w:rPr>
        <w:t xml:space="preserve">; </w:t>
      </w:r>
      <w:r w:rsidR="00184B6F">
        <w:rPr>
          <w:noProof/>
        </w:rPr>
        <w:t>Condliffe et al. 2014</w:t>
      </w:r>
      <w:r w:rsidR="00D6599C">
        <w:rPr>
          <w:noProof/>
        </w:rPr>
        <w:t>)</w:t>
      </w:r>
      <w:r w:rsidR="004409D5">
        <w:t>.</w:t>
      </w:r>
      <w:r>
        <w:t xml:space="preserve"> A further identified treatment, beraprost 314dlung, not listed on the ARTG, has been trialled in other pulmonary arterial hypertension conditions, but not for CTEPH. It was originally approved as an orphan drug for this indication in Europe, but has since been withdrawn by the sponsor.</w:t>
      </w:r>
    </w:p>
    <w:p w:rsidR="00F01E9C" w:rsidRDefault="00F01E9C" w:rsidP="00F01E9C">
      <w:r>
        <w:t xml:space="preserve">Numerous treatments for idiopathic pulmonary fibrosis were identified, none of which are listed on the ARTG. These include the monoclonal antibodies simtuzumab and tralokinumab, neither </w:t>
      </w:r>
      <w:r w:rsidR="009161F9">
        <w:t xml:space="preserve">of which </w:t>
      </w:r>
      <w:proofErr w:type="gramStart"/>
      <w:r w:rsidR="009161F9">
        <w:t>are</w:t>
      </w:r>
      <w:proofErr w:type="gramEnd"/>
      <w:r w:rsidR="009161F9">
        <w:t xml:space="preserve"> approved in the US;</w:t>
      </w:r>
      <w:r>
        <w:t xml:space="preserve"> although tralokinumab has orphan designation for this indication in Europe (simtuzumab is not approved in Europe). Simtuzumab has been used in trials of liver fibrosis and a current safety and efficacy trial is underway (NCT01769196). Likewise, tralokinumab has been used in trials for treating asthma, and an efficacy study is also </w:t>
      </w:r>
      <w:r>
        <w:lastRenderedPageBreak/>
        <w:t>underway for idiopathic pulmonary fibrosis (NCT01629667). Pirfenidone was very recently approved for this indication in the US and has orphan designation in Europe; a systematic review of studies found it to be beneficial for the treatment of idiopathic pulmonary fibrosis</w:t>
      </w:r>
      <w:r w:rsidR="004409D5">
        <w:t xml:space="preserve"> </w:t>
      </w:r>
      <w:r w:rsidR="00A130D0">
        <w:rPr>
          <w:noProof/>
        </w:rPr>
        <w:t>(</w:t>
      </w:r>
      <w:r w:rsidR="00184B6F">
        <w:rPr>
          <w:noProof/>
        </w:rPr>
        <w:t>Loveman et al. 2014</w:t>
      </w:r>
      <w:r w:rsidR="00A130D0">
        <w:rPr>
          <w:noProof/>
        </w:rPr>
        <w:t>)</w:t>
      </w:r>
      <w:r w:rsidR="004409D5">
        <w:t>.</w:t>
      </w:r>
      <w:r>
        <w:t xml:space="preserve"> Nintedanib is also approved in the US and Europe and has EMA orphan designation, and is also being considered in Europe as an adenocarcinoma treatment. Two related trials (analysed together) found the treatment to be successful in slowing disease progression</w:t>
      </w:r>
      <w:r w:rsidR="004409D5">
        <w:t xml:space="preserve"> </w:t>
      </w:r>
      <w:r w:rsidR="00A130D0">
        <w:rPr>
          <w:noProof/>
        </w:rPr>
        <w:t>(</w:t>
      </w:r>
      <w:r w:rsidR="00184B6F">
        <w:rPr>
          <w:noProof/>
        </w:rPr>
        <w:t>Richeldi et al. 2014</w:t>
      </w:r>
      <w:r w:rsidR="00A130D0">
        <w:rPr>
          <w:noProof/>
        </w:rPr>
        <w:t>)</w:t>
      </w:r>
      <w:r w:rsidR="004409D5">
        <w:t>.</w:t>
      </w:r>
      <w:r>
        <w:t xml:space="preserve"> Recombinant human pentraxin-2 protein also has orphan designation in Europe, but does not have approval in the US. No relevant studies were identified with this treatment.</w:t>
      </w:r>
    </w:p>
    <w:p w:rsidR="00F01E9C" w:rsidRDefault="00F01E9C" w:rsidP="00F01E9C">
      <w:pPr>
        <w:pStyle w:val="Heading3"/>
      </w:pPr>
      <w:bookmarkStart w:id="530" w:name="_Ref405826617"/>
      <w:r>
        <w:t>Drugs for rare subtypes of common diseases</w:t>
      </w:r>
      <w:bookmarkEnd w:id="530"/>
      <w:r>
        <w:t xml:space="preserve"> </w:t>
      </w:r>
    </w:p>
    <w:p w:rsidR="00F01E9C" w:rsidRDefault="00F01E9C" w:rsidP="00F01E9C">
      <w:pPr>
        <w:pStyle w:val="Heading3"/>
      </w:pPr>
      <w:r>
        <w:t>Cancers</w:t>
      </w:r>
    </w:p>
    <w:p w:rsidR="00F01E9C" w:rsidRDefault="00F01E9C" w:rsidP="00F01E9C">
      <w:pPr>
        <w:pStyle w:val="Headings4"/>
      </w:pPr>
      <w:r>
        <w:t>Breast</w:t>
      </w:r>
    </w:p>
    <w:p w:rsidR="00F01E9C" w:rsidRPr="00E849C0" w:rsidRDefault="00F01E9C" w:rsidP="00F01E9C">
      <w:r>
        <w:t xml:space="preserve">A search of the TGA website identified pertuzumab as an orphan drug for the treatment of </w:t>
      </w:r>
      <w:r>
        <w:rPr>
          <w:i/>
        </w:rPr>
        <w:t>HER2</w:t>
      </w:r>
      <w:r>
        <w:t>-positive metastatic breast cancer patients who have undergone no prior anti-</w:t>
      </w:r>
      <w:r>
        <w:rPr>
          <w:i/>
        </w:rPr>
        <w:t xml:space="preserve">HER2 </w:t>
      </w:r>
      <w:r>
        <w:t xml:space="preserve">therapy or chemotherapy for metastatic disease. It is unlikely that this therapy could be assessed as appropriate for the LSDP as a previous submission to the PBAC has sought Section 100 listing (Efficient Funding of Chemotherapy Drugs). The PBAC has deferred a decision on listing until further evidence is available on </w:t>
      </w:r>
      <w:r>
        <w:rPr>
          <w:i/>
        </w:rPr>
        <w:t xml:space="preserve">all </w:t>
      </w:r>
      <w:r>
        <w:t>anti-</w:t>
      </w:r>
      <w:r>
        <w:rPr>
          <w:i/>
        </w:rPr>
        <w:t xml:space="preserve">HER2 </w:t>
      </w:r>
      <w:r>
        <w:t>medicines for first-line treatment of metastatic breast cancer.</w:t>
      </w:r>
    </w:p>
    <w:p w:rsidR="00F01E9C" w:rsidRDefault="00F01E9C" w:rsidP="00F01E9C">
      <w:pPr>
        <w:pStyle w:val="Headings4"/>
      </w:pPr>
      <w:r>
        <w:t>Gastrointestinal tract</w:t>
      </w:r>
    </w:p>
    <w:p w:rsidR="00F01E9C" w:rsidRDefault="00F01E9C" w:rsidP="00F01E9C">
      <w:r>
        <w:t>The literature search identified two drugs for the treatment of gastrointestinal cancers that are currently registered by the FDA: lapatinib and the first-in-class bispecific antibody MM-111.</w:t>
      </w:r>
    </w:p>
    <w:p w:rsidR="00F01E9C" w:rsidRDefault="00F01E9C" w:rsidP="00F01E9C">
      <w:r>
        <w:t xml:space="preserve">Lapatinib is being trialled (phase 3) for the treatment of </w:t>
      </w:r>
      <w:r>
        <w:rPr>
          <w:i/>
        </w:rPr>
        <w:t>ErbB2</w:t>
      </w:r>
      <w:r>
        <w:t xml:space="preserve">-positive oesophageal cancer; however, no published study for this particular indication was identified. A randomised controlled trial of lapatinib versus placebo reported that among 32 patients with a variety of </w:t>
      </w:r>
      <w:r>
        <w:rPr>
          <w:i/>
        </w:rPr>
        <w:t>HER2-</w:t>
      </w:r>
      <w:r>
        <w:t>amplified solid tumours (gastroesophageal, bladder, ovarian and uterine), complete response was achieved in only one patient (while 9 patients had stable disease, 20 had progressive disease, and data was unavailable for the remaining 2 patients)</w:t>
      </w:r>
      <w:r w:rsidR="009161F9">
        <w:t xml:space="preserve"> </w:t>
      </w:r>
      <w:r w:rsidR="00A130D0">
        <w:rPr>
          <w:noProof/>
        </w:rPr>
        <w:t>(</w:t>
      </w:r>
      <w:r w:rsidR="00184B6F">
        <w:rPr>
          <w:noProof/>
        </w:rPr>
        <w:t>Galsky et al. 2012</w:t>
      </w:r>
      <w:r w:rsidR="00A130D0">
        <w:rPr>
          <w:noProof/>
        </w:rPr>
        <w:t>)</w:t>
      </w:r>
      <w:r>
        <w:t>. The study was discontinued due to the low response rate.</w:t>
      </w:r>
    </w:p>
    <w:p w:rsidR="00F01E9C" w:rsidRPr="00416F19" w:rsidRDefault="00F01E9C" w:rsidP="00F01E9C">
      <w:r>
        <w:t xml:space="preserve">No published studies on the use of MM-111 for the treatment of </w:t>
      </w:r>
      <w:r w:rsidRPr="007F6DB3">
        <w:rPr>
          <w:i/>
        </w:rPr>
        <w:t>HER2-</w:t>
      </w:r>
      <w:r>
        <w:t>postiv</w:t>
      </w:r>
      <w:r w:rsidRPr="007F6DB3">
        <w:t>e advanced adenocarcinoma of the stomach and gastroesophageal junction</w:t>
      </w:r>
      <w:r>
        <w:t xml:space="preserve"> were identified.</w:t>
      </w:r>
    </w:p>
    <w:p w:rsidR="00F01E9C" w:rsidRDefault="00F01E9C" w:rsidP="00F01E9C">
      <w:pPr>
        <w:pStyle w:val="Headings4"/>
      </w:pPr>
      <w:r>
        <w:t>Skin</w:t>
      </w:r>
    </w:p>
    <w:p w:rsidR="00F01E9C" w:rsidRDefault="00F01E9C" w:rsidP="00F01E9C">
      <w:r>
        <w:t>In addition to the various drugs identified above for melanoma of differing stages, two treatments purposed for melanoma treatment in patients with specific mutations were identified: astuprotimut-R and vemurafenib.</w:t>
      </w:r>
    </w:p>
    <w:p w:rsidR="00F01E9C" w:rsidRDefault="00F01E9C" w:rsidP="00F01E9C">
      <w:r>
        <w:t xml:space="preserve">Astuprotimut-R was registered with the FDA in 2013 as undergoing phase 3 </w:t>
      </w:r>
      <w:proofErr w:type="gramStart"/>
      <w:r>
        <w:t>investigation</w:t>
      </w:r>
      <w:proofErr w:type="gramEnd"/>
      <w:r>
        <w:t xml:space="preserve"> for the treatment of MAGE-A3-positive melanoma in stages IIB to IV. No studies of astuprotimut-R </w:t>
      </w:r>
      <w:r>
        <w:lastRenderedPageBreak/>
        <w:t>for this indication could be identified, however, phase 3 trial results will be available in 2016 (NCT00796445).</w:t>
      </w:r>
    </w:p>
    <w:p w:rsidR="00F01E9C" w:rsidRPr="00360BF9" w:rsidRDefault="00F01E9C" w:rsidP="00F01E9C">
      <w:r>
        <w:t xml:space="preserve">Vemurafenib for the treatment of melanoma in patients with the </w:t>
      </w:r>
      <w:r>
        <w:rPr>
          <w:i/>
        </w:rPr>
        <w:t xml:space="preserve">BRAF </w:t>
      </w:r>
      <w:r>
        <w:t>gene mutation V600 was recently considered by the PBAC and found to have unacceptably high costs on the basis of information currently available from the sponsor. It is noteworthy that dabrafenib, which the PBAC concluded to be non-inferior to vemurafenib for the relevant indication, is PBS-listed. Therefore, the clinical need for listing of vemurafenib on the LSDP appears tenuous.</w:t>
      </w:r>
    </w:p>
    <w:p w:rsidR="00F01E9C" w:rsidRDefault="00F01E9C" w:rsidP="00F01E9C">
      <w:pPr>
        <w:pStyle w:val="Headings4"/>
      </w:pPr>
      <w:r>
        <w:t>Urinary system</w:t>
      </w:r>
    </w:p>
    <w:p w:rsidR="00F01E9C" w:rsidRDefault="00F01E9C" w:rsidP="00F01E9C">
      <w:r>
        <w:t>Three medicinal products were identified which are intended for the treatment of renal cell carcinoma, each for a different patient indication.</w:t>
      </w:r>
    </w:p>
    <w:p w:rsidR="00F01E9C" w:rsidRDefault="00F01E9C" w:rsidP="00F01E9C">
      <w:r>
        <w:t xml:space="preserve">Axitinib, intended for the second-line treatment of advanced renal cancer (i.e. patients have failed one prior systemic therapy), is not further discussed here given the PBS-availability of sorafenib, the comparator used in phase 3 trials </w:t>
      </w:r>
      <w:r w:rsidR="00A130D0">
        <w:rPr>
          <w:noProof/>
        </w:rPr>
        <w:t>(</w:t>
      </w:r>
      <w:r w:rsidR="00184B6F">
        <w:rPr>
          <w:noProof/>
        </w:rPr>
        <w:t>Escudier &amp; Albiges 2014</w:t>
      </w:r>
      <w:r w:rsidR="00A130D0">
        <w:rPr>
          <w:noProof/>
        </w:rPr>
        <w:t>)</w:t>
      </w:r>
      <w:r>
        <w:t xml:space="preserve"> supporting the application for TGA approval of axitinib.</w:t>
      </w:r>
    </w:p>
    <w:p w:rsidR="00F01E9C" w:rsidRDefault="00F01E9C" w:rsidP="00F01E9C">
      <w:r w:rsidRPr="000A5CBB">
        <w:t xml:space="preserve">The peptide vaccine “IMA901” </w:t>
      </w:r>
      <w:r>
        <w:t>(</w:t>
      </w:r>
      <w:r w:rsidRPr="000A5CBB">
        <w:t>immatics Biotechnologies GmbH</w:t>
      </w:r>
      <w:r>
        <w:t xml:space="preserve">, </w:t>
      </w:r>
      <w:r w:rsidRPr="000A5CBB">
        <w:t>Tübingen, Germany)</w:t>
      </w:r>
      <w:r>
        <w:t xml:space="preserve"> </w:t>
      </w:r>
      <w:r w:rsidRPr="000A5CBB">
        <w:t xml:space="preserve">is currently being investigated for the treatment of HLA-A*2 positive renal cell carcinoma patients in a phase 3 clinical trial (NCT01265901). The expected completion date for this study is July 2015. One identified publication which reported on phase 2 results of IMA901 among the </w:t>
      </w:r>
      <w:r>
        <w:t>96 patients with the</w:t>
      </w:r>
      <w:r w:rsidRPr="000A5CBB">
        <w:t xml:space="preserve"> </w:t>
      </w:r>
      <w:r>
        <w:t>relevant clinical indication</w:t>
      </w:r>
      <w:r w:rsidRPr="000A5CBB">
        <w:t xml:space="preserve"> concluded that immune responses to the vaccine were associated with longer overall survival</w:t>
      </w:r>
      <w:r>
        <w:t xml:space="preserve"> </w:t>
      </w:r>
      <w:r w:rsidR="00A130D0">
        <w:rPr>
          <w:noProof/>
        </w:rPr>
        <w:t>(</w:t>
      </w:r>
      <w:r w:rsidR="00184B6F">
        <w:rPr>
          <w:noProof/>
        </w:rPr>
        <w:t>Walter et al. 2012</w:t>
      </w:r>
      <w:r w:rsidR="00A130D0">
        <w:rPr>
          <w:noProof/>
        </w:rPr>
        <w:t>)</w:t>
      </w:r>
      <w:r>
        <w:t>.</w:t>
      </w:r>
    </w:p>
    <w:p w:rsidR="00F01E9C" w:rsidRDefault="00F01E9C" w:rsidP="00F01E9C">
      <w:r>
        <w:t xml:space="preserve">A randomised, placebo-controlled phase 3 trial investigated the effect of vaccination with modified vaccinia Anakara encoding tumour antigen 5T4 (MVA-5T4) in 733 metastatic renal cancer patients </w:t>
      </w:r>
      <w:r w:rsidR="00A130D0">
        <w:rPr>
          <w:noProof/>
        </w:rPr>
        <w:t>(</w:t>
      </w:r>
      <w:r w:rsidR="00184B6F">
        <w:rPr>
          <w:noProof/>
        </w:rPr>
        <w:t>Amato et al. 2010</w:t>
      </w:r>
      <w:r w:rsidR="00A130D0">
        <w:rPr>
          <w:noProof/>
        </w:rPr>
        <w:t>)</w:t>
      </w:r>
      <w:r>
        <w:t xml:space="preserve">. No significant difference was observed in overall survival (median 20.1 versus 19.2 months in the active treatment and placebo groups, respectively). The authors noted that exploratory analyses suggests subsets of patients with </w:t>
      </w:r>
      <w:r w:rsidR="009161F9">
        <w:t>metastatic</w:t>
      </w:r>
      <w:r>
        <w:t xml:space="preserve"> renal cell carcinoma may gain significant benefit from MVA-5T4, but this is yet to be investigated in randomised controlled trials.</w:t>
      </w:r>
    </w:p>
    <w:p w:rsidR="00F01E9C" w:rsidRDefault="00F01E9C" w:rsidP="00F01E9C">
      <w:pPr>
        <w:sectPr w:rsidR="00F01E9C" w:rsidSect="001D2216">
          <w:pgSz w:w="11906" w:h="16838" w:code="9"/>
          <w:pgMar w:top="1077" w:right="1287" w:bottom="902" w:left="1259" w:header="709" w:footer="709" w:gutter="0"/>
          <w:cols w:space="708"/>
          <w:docGrid w:linePitch="360"/>
        </w:sectPr>
      </w:pPr>
    </w:p>
    <w:p w:rsidR="00F01E9C" w:rsidRDefault="00F01E9C" w:rsidP="00F01E9C">
      <w:pPr>
        <w:rPr>
          <w:color w:val="000000"/>
          <w:lang w:eastAsia="en-AU"/>
        </w:rPr>
      </w:pPr>
    </w:p>
    <w:p w:rsidR="00092F60" w:rsidRPr="00B3057A" w:rsidRDefault="00F82ED7" w:rsidP="00092F60">
      <w:pPr>
        <w:pStyle w:val="Heading1"/>
        <w:ind w:left="0" w:firstLine="0"/>
      </w:pPr>
      <w:bookmarkStart w:id="531" w:name="_Toc404937304"/>
      <w:bookmarkStart w:id="532" w:name="_Toc415141741"/>
      <w:r>
        <w:t>I</w:t>
      </w:r>
      <w:r w:rsidR="00092F60" w:rsidRPr="00FB0211">
        <w:t>nternational systems comparison</w:t>
      </w:r>
      <w:bookmarkEnd w:id="531"/>
      <w:bookmarkEnd w:id="532"/>
    </w:p>
    <w:p w:rsidR="00092F60" w:rsidRDefault="00092F60" w:rsidP="00092F60">
      <w:r>
        <w:t xml:space="preserve">A review was performed to assess how pharmaceuticals that treat rare diseases are subsidised </w:t>
      </w:r>
      <w:r w:rsidR="003C4757">
        <w:t>across</w:t>
      </w:r>
      <w:r>
        <w:t xml:space="preserve"> countries. This addresses ToR 3:</w:t>
      </w:r>
    </w:p>
    <w:p w:rsidR="00092F60" w:rsidRDefault="00092F60" w:rsidP="00092F60">
      <w:pPr>
        <w:pStyle w:val="ListParagraph"/>
        <w:numPr>
          <w:ilvl w:val="0"/>
          <w:numId w:val="15"/>
        </w:numPr>
      </w:pPr>
      <w:r w:rsidRPr="00D7064B">
        <w:rPr>
          <w:b/>
        </w:rPr>
        <w:t>Conduct an international comparison of subsidisation of drugs for rare diseases and the definitions for a rare/ultra-rare disease.</w:t>
      </w:r>
    </w:p>
    <w:p w:rsidR="00092F60" w:rsidRDefault="00092F60" w:rsidP="00092F60">
      <w:pPr>
        <w:spacing w:after="0" w:line="240" w:lineRule="auto"/>
        <w:ind w:left="357"/>
      </w:pPr>
    </w:p>
    <w:p w:rsidR="00092F60" w:rsidRPr="00FB0211" w:rsidRDefault="00DB4EE8" w:rsidP="00D60032">
      <w:pPr>
        <w:pStyle w:val="Heading2"/>
      </w:pPr>
      <w:bookmarkStart w:id="533" w:name="_Toc404937305"/>
      <w:r>
        <w:tab/>
      </w:r>
      <w:bookmarkStart w:id="534" w:name="_Toc415141742"/>
      <w:r w:rsidR="00092F60" w:rsidRPr="00FB0211">
        <w:t>International comparison objective</w:t>
      </w:r>
      <w:bookmarkEnd w:id="533"/>
      <w:bookmarkEnd w:id="534"/>
    </w:p>
    <w:p w:rsidR="00092F60" w:rsidRPr="000459F2" w:rsidRDefault="00092F60" w:rsidP="00092F60">
      <w:pPr>
        <w:rPr>
          <w:rFonts w:eastAsia="Calibri" w:cstheme="minorHAnsi"/>
        </w:rPr>
      </w:pPr>
      <w:r w:rsidRPr="000459F2">
        <w:rPr>
          <w:rFonts w:eastAsia="Calibri"/>
        </w:rPr>
        <w:t xml:space="preserve">The purpose of this section of the technical </w:t>
      </w:r>
      <w:r w:rsidR="002379F4">
        <w:rPr>
          <w:rFonts w:eastAsia="Calibri"/>
        </w:rPr>
        <w:t>assessment</w:t>
      </w:r>
      <w:r w:rsidRPr="000459F2">
        <w:rPr>
          <w:rFonts w:eastAsia="Calibri"/>
        </w:rPr>
        <w:t xml:space="preserve"> is to provide insight into the variety of mechanisms that govern the reimbursement of drugs for rare diseases internationally and to identify any research and/or policy approaches that could potentially improve the operations and administration of the LSDP in Australia. To do this </w:t>
      </w:r>
      <w:r w:rsidR="002379F4">
        <w:rPr>
          <w:rFonts w:eastAsia="Calibri"/>
        </w:rPr>
        <w:t>we</w:t>
      </w:r>
      <w:r w:rsidRPr="000459F2">
        <w:rPr>
          <w:rFonts w:eastAsia="Calibri"/>
        </w:rPr>
        <w:t>:</w:t>
      </w:r>
    </w:p>
    <w:p w:rsidR="00092F60" w:rsidRPr="000459F2" w:rsidRDefault="00092F60" w:rsidP="00E8561A">
      <w:pPr>
        <w:numPr>
          <w:ilvl w:val="0"/>
          <w:numId w:val="19"/>
        </w:numPr>
        <w:spacing w:after="200"/>
        <w:contextualSpacing/>
        <w:rPr>
          <w:rFonts w:eastAsia="Calibri"/>
        </w:rPr>
      </w:pPr>
      <w:r w:rsidRPr="000459F2">
        <w:rPr>
          <w:rFonts w:eastAsia="Calibri"/>
        </w:rPr>
        <w:t>Identif</w:t>
      </w:r>
      <w:r w:rsidR="002379F4">
        <w:rPr>
          <w:rFonts w:eastAsia="Calibri"/>
        </w:rPr>
        <w:t>ied</w:t>
      </w:r>
      <w:r w:rsidRPr="000459F2">
        <w:rPr>
          <w:rFonts w:eastAsia="Calibri"/>
        </w:rPr>
        <w:t xml:space="preserve"> countries where drugs for rare/ultra-rare diseases are subsidised by Governments or third party providers of health care (</w:t>
      </w:r>
      <w:r w:rsidRPr="000459F2">
        <w:rPr>
          <w:rFonts w:eastAsia="Calibri"/>
          <w:i/>
        </w:rPr>
        <w:t>e</w:t>
      </w:r>
      <w:r w:rsidR="004B6BA9">
        <w:rPr>
          <w:rFonts w:eastAsia="Calibri"/>
          <w:i/>
        </w:rPr>
        <w:t>.</w:t>
      </w:r>
      <w:r w:rsidRPr="000459F2">
        <w:rPr>
          <w:rFonts w:eastAsia="Calibri"/>
          <w:i/>
        </w:rPr>
        <w:t>g</w:t>
      </w:r>
      <w:r w:rsidR="004B6BA9">
        <w:rPr>
          <w:rFonts w:eastAsia="Calibri"/>
          <w:i/>
        </w:rPr>
        <w:t>.</w:t>
      </w:r>
      <w:r w:rsidRPr="000459F2">
        <w:rPr>
          <w:rFonts w:eastAsia="Calibri"/>
          <w:i/>
        </w:rPr>
        <w:t xml:space="preserve"> </w:t>
      </w:r>
      <w:r w:rsidRPr="000459F2">
        <w:rPr>
          <w:rFonts w:eastAsia="Calibri"/>
        </w:rPr>
        <w:t>HMOs in the USA); and</w:t>
      </w:r>
    </w:p>
    <w:p w:rsidR="00092F60" w:rsidRPr="000459F2" w:rsidRDefault="00092F60" w:rsidP="00E8561A">
      <w:pPr>
        <w:numPr>
          <w:ilvl w:val="0"/>
          <w:numId w:val="19"/>
        </w:numPr>
        <w:spacing w:after="200"/>
        <w:ind w:left="714" w:hanging="357"/>
        <w:rPr>
          <w:rFonts w:eastAsia="Calibri"/>
        </w:rPr>
      </w:pPr>
      <w:r w:rsidRPr="000459F2">
        <w:rPr>
          <w:rFonts w:eastAsia="Calibri"/>
        </w:rPr>
        <w:t>Compare</w:t>
      </w:r>
      <w:r w:rsidR="002379F4">
        <w:rPr>
          <w:rFonts w:eastAsia="Calibri"/>
        </w:rPr>
        <w:t>d</w:t>
      </w:r>
      <w:r w:rsidRPr="000459F2">
        <w:rPr>
          <w:rFonts w:eastAsia="Calibri"/>
        </w:rPr>
        <w:t xml:space="preserve"> and contrast</w:t>
      </w:r>
      <w:r w:rsidR="002379F4">
        <w:rPr>
          <w:rFonts w:eastAsia="Calibri"/>
        </w:rPr>
        <w:t>ed</w:t>
      </w:r>
      <w:r w:rsidRPr="000459F2">
        <w:rPr>
          <w:rFonts w:eastAsia="Calibri"/>
        </w:rPr>
        <w:t xml:space="preserve"> the different mechanisms for subsidy and the basis of the decision to list drug-disease combinations for subsidy.</w:t>
      </w:r>
      <w:r w:rsidRPr="000459F2">
        <w:rPr>
          <w:rFonts w:cstheme="minorHAnsi"/>
        </w:rPr>
        <w:t xml:space="preserve"> These </w:t>
      </w:r>
      <w:r w:rsidR="002379F4">
        <w:rPr>
          <w:rFonts w:cstheme="minorHAnsi"/>
        </w:rPr>
        <w:t>mechanisms are</w:t>
      </w:r>
      <w:r w:rsidRPr="000459F2">
        <w:rPr>
          <w:rFonts w:cstheme="minorHAnsi"/>
        </w:rPr>
        <w:t xml:space="preserve"> compared to the current eligibility criteria defined for the LSDP</w:t>
      </w:r>
      <w:r w:rsidRPr="000459F2">
        <w:rPr>
          <w:rStyle w:val="FootnoteReference"/>
          <w:rFonts w:cstheme="minorHAnsi"/>
        </w:rPr>
        <w:footnoteReference w:id="26"/>
      </w:r>
      <w:r w:rsidRPr="000459F2">
        <w:rPr>
          <w:rFonts w:cstheme="minorHAnsi"/>
        </w:rPr>
        <w:t>.</w:t>
      </w:r>
    </w:p>
    <w:p w:rsidR="00092F60" w:rsidRPr="000459F2" w:rsidRDefault="00DB4EE8" w:rsidP="00D60032">
      <w:pPr>
        <w:pStyle w:val="Heading2"/>
      </w:pPr>
      <w:bookmarkStart w:id="535" w:name="_Toc404937306"/>
      <w:r>
        <w:tab/>
      </w:r>
      <w:bookmarkStart w:id="536" w:name="_Toc415141743"/>
      <w:r w:rsidR="00092F60" w:rsidRPr="000459F2">
        <w:t>Research questions</w:t>
      </w:r>
      <w:bookmarkEnd w:id="535"/>
      <w:bookmarkEnd w:id="536"/>
    </w:p>
    <w:p w:rsidR="00092F60" w:rsidRPr="000459F2" w:rsidRDefault="00092F60" w:rsidP="00092F60">
      <w:pPr>
        <w:rPr>
          <w:iCs/>
          <w:color w:val="000000"/>
        </w:rPr>
      </w:pPr>
      <w:r w:rsidRPr="000459F2">
        <w:rPr>
          <w:iCs/>
          <w:color w:val="000000"/>
        </w:rPr>
        <w:t>The research questions have been developed through a consideration of the elements involved in the process of deciding to reimburse (e</w:t>
      </w:r>
      <w:r w:rsidR="004B6BA9">
        <w:rPr>
          <w:iCs/>
          <w:color w:val="000000"/>
        </w:rPr>
        <w:t>.</w:t>
      </w:r>
      <w:r w:rsidRPr="000459F2">
        <w:rPr>
          <w:iCs/>
          <w:color w:val="000000"/>
        </w:rPr>
        <w:t>g</w:t>
      </w:r>
      <w:r w:rsidR="004B6BA9">
        <w:rPr>
          <w:iCs/>
          <w:color w:val="000000"/>
        </w:rPr>
        <w:t>.</w:t>
      </w:r>
      <w:r w:rsidRPr="000459F2">
        <w:rPr>
          <w:iCs/>
          <w:color w:val="000000"/>
        </w:rPr>
        <w:t xml:space="preserve"> publicly fund; insurance coverage) drugs for rare diseases. </w:t>
      </w:r>
    </w:p>
    <w:p w:rsidR="00092F60" w:rsidRPr="000459F2" w:rsidRDefault="00092F60" w:rsidP="00E965BD">
      <w:pPr>
        <w:pStyle w:val="Heading3"/>
      </w:pPr>
      <w:bookmarkStart w:id="537" w:name="_Toc394047877"/>
      <w:bookmarkStart w:id="538" w:name="_Toc394667732"/>
      <w:bookmarkStart w:id="539" w:name="_Toc394674604"/>
      <w:bookmarkStart w:id="540" w:name="_Toc404937307"/>
      <w:r w:rsidRPr="000459F2">
        <w:t>Payer characteristics</w:t>
      </w:r>
      <w:bookmarkEnd w:id="537"/>
      <w:bookmarkEnd w:id="538"/>
      <w:bookmarkEnd w:id="539"/>
      <w:bookmarkEnd w:id="540"/>
      <w:r w:rsidRPr="000459F2">
        <w:t xml:space="preserve"> </w:t>
      </w:r>
    </w:p>
    <w:p w:rsidR="00092F60" w:rsidRPr="000459F2" w:rsidRDefault="00092F60" w:rsidP="00E8561A">
      <w:pPr>
        <w:pStyle w:val="ListParagraph"/>
        <w:numPr>
          <w:ilvl w:val="0"/>
          <w:numId w:val="21"/>
        </w:numPr>
      </w:pPr>
      <w:r w:rsidRPr="000459F2">
        <w:t>What are the characteristics of the funding body (</w:t>
      </w:r>
      <w:r w:rsidR="009161F9" w:rsidRPr="000459F2">
        <w:t>e.g.</w:t>
      </w:r>
      <w:r w:rsidRPr="000459F2">
        <w:t xml:space="preserve"> government or other third-party payer)?</w:t>
      </w:r>
    </w:p>
    <w:p w:rsidR="00092F60" w:rsidRPr="000459F2" w:rsidRDefault="00092F60" w:rsidP="00E8561A">
      <w:pPr>
        <w:pStyle w:val="ListParagraph"/>
        <w:numPr>
          <w:ilvl w:val="0"/>
          <w:numId w:val="21"/>
        </w:numPr>
      </w:pPr>
      <w:r w:rsidRPr="000459F2">
        <w:t>To which population is the reimbursement programme accessible (</w:t>
      </w:r>
      <w:r w:rsidR="004B6BA9">
        <w:t>e.g.</w:t>
      </w:r>
      <w:r w:rsidRPr="000459F2">
        <w:rPr>
          <w:i/>
        </w:rPr>
        <w:t xml:space="preserve"> </w:t>
      </w:r>
      <w:r w:rsidRPr="000459F2">
        <w:t>universal coverage, targeted/selected coverage)?</w:t>
      </w:r>
    </w:p>
    <w:p w:rsidR="00092F60" w:rsidRPr="000459F2" w:rsidRDefault="00092F60" w:rsidP="00E8561A">
      <w:pPr>
        <w:pStyle w:val="ListParagraph"/>
        <w:numPr>
          <w:ilvl w:val="0"/>
          <w:numId w:val="21"/>
        </w:numPr>
      </w:pPr>
      <w:r w:rsidRPr="000459F2">
        <w:t>What is the level of reimbursement (full / partial)?</w:t>
      </w:r>
    </w:p>
    <w:p w:rsidR="00092F60" w:rsidRPr="000459F2" w:rsidRDefault="00092F60" w:rsidP="00E965BD">
      <w:pPr>
        <w:pStyle w:val="Heading3"/>
      </w:pPr>
      <w:bookmarkStart w:id="541" w:name="_Toc394047878"/>
      <w:bookmarkStart w:id="542" w:name="_Toc394667733"/>
      <w:bookmarkStart w:id="543" w:name="_Toc394674605"/>
      <w:bookmarkStart w:id="544" w:name="_Toc404937308"/>
      <w:r w:rsidRPr="000459F2">
        <w:t>Mechanisms for subsidy</w:t>
      </w:r>
      <w:bookmarkEnd w:id="541"/>
      <w:bookmarkEnd w:id="542"/>
      <w:bookmarkEnd w:id="543"/>
      <w:bookmarkEnd w:id="544"/>
    </w:p>
    <w:p w:rsidR="00092F60" w:rsidRPr="000459F2" w:rsidRDefault="00092F60" w:rsidP="00E8561A">
      <w:pPr>
        <w:pStyle w:val="ListParagraph"/>
        <w:numPr>
          <w:ilvl w:val="0"/>
          <w:numId w:val="21"/>
        </w:numPr>
      </w:pPr>
      <w:r w:rsidRPr="000459F2">
        <w:t>What is the definition of rare/ultra-rare disease?</w:t>
      </w:r>
    </w:p>
    <w:p w:rsidR="00092F60" w:rsidRPr="000459F2" w:rsidRDefault="00092F60" w:rsidP="00E8561A">
      <w:pPr>
        <w:pStyle w:val="ListParagraph"/>
        <w:numPr>
          <w:ilvl w:val="0"/>
          <w:numId w:val="21"/>
        </w:numPr>
      </w:pPr>
      <w:r w:rsidRPr="000459F2">
        <w:t>Is there a separate review process for drugs for rare diseases? If yes, how does this differ from the regular review process?</w:t>
      </w:r>
    </w:p>
    <w:p w:rsidR="00092F60" w:rsidRPr="00765775" w:rsidRDefault="00092F60" w:rsidP="00E8561A">
      <w:pPr>
        <w:pStyle w:val="ListParagraph"/>
        <w:numPr>
          <w:ilvl w:val="0"/>
          <w:numId w:val="21"/>
        </w:numPr>
      </w:pPr>
      <w:r w:rsidRPr="00765775">
        <w:lastRenderedPageBreak/>
        <w:t>What are the program</w:t>
      </w:r>
      <w:r>
        <w:t>me</w:t>
      </w:r>
      <w:r w:rsidRPr="00765775">
        <w:t xml:space="preserve"> details / eligibility criteria?</w:t>
      </w:r>
    </w:p>
    <w:p w:rsidR="00092F60" w:rsidRPr="00A95A68" w:rsidRDefault="00092F60" w:rsidP="00E965BD">
      <w:pPr>
        <w:pStyle w:val="Heading3"/>
      </w:pPr>
      <w:bookmarkStart w:id="545" w:name="_Toc394047879"/>
      <w:bookmarkStart w:id="546" w:name="_Toc394667734"/>
      <w:bookmarkStart w:id="547" w:name="_Toc394674606"/>
      <w:bookmarkStart w:id="548" w:name="_Toc404937309"/>
      <w:r w:rsidRPr="00A95A68">
        <w:t>Basis of the decision</w:t>
      </w:r>
      <w:bookmarkEnd w:id="545"/>
      <w:bookmarkEnd w:id="546"/>
      <w:bookmarkEnd w:id="547"/>
      <w:bookmarkEnd w:id="548"/>
    </w:p>
    <w:p w:rsidR="00092F60" w:rsidRDefault="00092F60" w:rsidP="00E8561A">
      <w:pPr>
        <w:pStyle w:val="ListParagraph"/>
        <w:numPr>
          <w:ilvl w:val="0"/>
          <w:numId w:val="20"/>
        </w:numPr>
      </w:pPr>
      <w:r>
        <w:t>Who makes the decision?</w:t>
      </w:r>
    </w:p>
    <w:p w:rsidR="00092F60" w:rsidRDefault="00092F60" w:rsidP="00E8561A">
      <w:pPr>
        <w:pStyle w:val="ListParagraph"/>
        <w:numPr>
          <w:ilvl w:val="0"/>
          <w:numId w:val="20"/>
        </w:numPr>
      </w:pPr>
      <w:r w:rsidRPr="00765775">
        <w:t xml:space="preserve">What is the basis for </w:t>
      </w:r>
      <w:r>
        <w:t xml:space="preserve">a </w:t>
      </w:r>
      <w:r w:rsidRPr="00765775">
        <w:t xml:space="preserve">positive </w:t>
      </w:r>
      <w:r>
        <w:t xml:space="preserve">or negative </w:t>
      </w:r>
      <w:r w:rsidRPr="00765775">
        <w:t>recommendation (</w:t>
      </w:r>
      <w:r w:rsidR="004B6BA9">
        <w:t>e.g.</w:t>
      </w:r>
      <w:r w:rsidRPr="00765775">
        <w:t xml:space="preserve"> cost-effectiveness or budget impact considerations</w:t>
      </w:r>
      <w:r>
        <w:t xml:space="preserve"> or other</w:t>
      </w:r>
      <w:r w:rsidRPr="00765775">
        <w:t>)?</w:t>
      </w:r>
    </w:p>
    <w:p w:rsidR="00092F60" w:rsidRDefault="00092F60" w:rsidP="00E8561A">
      <w:pPr>
        <w:pStyle w:val="ListParagraph"/>
        <w:numPr>
          <w:ilvl w:val="0"/>
          <w:numId w:val="20"/>
        </w:numPr>
      </w:pPr>
      <w:r w:rsidRPr="00765775">
        <w:t>What aspects are different in the consideration of the reimbursement of a drug for a rare disease (</w:t>
      </w:r>
      <w:r w:rsidR="004B6BA9">
        <w:t>e.g.</w:t>
      </w:r>
      <w:r w:rsidRPr="00D52C1C">
        <w:t xml:space="preserve"> </w:t>
      </w:r>
      <w:r w:rsidRPr="00765775">
        <w:t>lower level of clinical evidence and high cost-effectiveness ratio)?</w:t>
      </w:r>
    </w:p>
    <w:p w:rsidR="00092F60" w:rsidRPr="00A95A68" w:rsidRDefault="00092F60" w:rsidP="00E965BD">
      <w:pPr>
        <w:pStyle w:val="Heading3"/>
      </w:pPr>
      <w:bookmarkStart w:id="549" w:name="_Toc394667735"/>
      <w:bookmarkStart w:id="550" w:name="_Toc394674607"/>
      <w:bookmarkStart w:id="551" w:name="_Toc404937310"/>
      <w:r>
        <w:t>Monitoring Outcomes of the Decision</w:t>
      </w:r>
      <w:bookmarkEnd w:id="549"/>
      <w:bookmarkEnd w:id="550"/>
      <w:bookmarkEnd w:id="551"/>
    </w:p>
    <w:p w:rsidR="00092F60" w:rsidRDefault="00092F60" w:rsidP="00E8561A">
      <w:pPr>
        <w:pStyle w:val="ListParagraph"/>
        <w:numPr>
          <w:ilvl w:val="0"/>
          <w:numId w:val="20"/>
        </w:numPr>
      </w:pPr>
      <w:r>
        <w:t>Is there monitoring of areas of uncertainty in drug funding decisions concerning rare/ultra-rare conditions?</w:t>
      </w:r>
    </w:p>
    <w:p w:rsidR="00092F60" w:rsidRDefault="00092F60" w:rsidP="00E8561A">
      <w:pPr>
        <w:pStyle w:val="ListParagraph"/>
        <w:numPr>
          <w:ilvl w:val="0"/>
          <w:numId w:val="20"/>
        </w:numPr>
      </w:pPr>
      <w:r>
        <w:t>If so, what methods are used?</w:t>
      </w:r>
    </w:p>
    <w:p w:rsidR="00092F60" w:rsidRDefault="00092F60" w:rsidP="00E8561A">
      <w:pPr>
        <w:pStyle w:val="ListParagraph"/>
        <w:numPr>
          <w:ilvl w:val="0"/>
          <w:numId w:val="20"/>
        </w:numPr>
      </w:pPr>
      <w:r>
        <w:t xml:space="preserve">Is there a timetabled programme for the review of decisions or is it </w:t>
      </w:r>
      <w:r w:rsidRPr="00D52C1C">
        <w:rPr>
          <w:i/>
        </w:rPr>
        <w:t>ad hoc</w:t>
      </w:r>
      <w:r>
        <w:t>?</w:t>
      </w:r>
    </w:p>
    <w:p w:rsidR="00092F60" w:rsidRDefault="00092F60" w:rsidP="00D60032">
      <w:pPr>
        <w:pStyle w:val="Heading2"/>
      </w:pPr>
      <w:r>
        <w:tab/>
      </w:r>
      <w:bookmarkStart w:id="552" w:name="_Toc404937311"/>
      <w:r w:rsidR="00DB4EE8">
        <w:tab/>
      </w:r>
      <w:bookmarkStart w:id="553" w:name="_Toc415141744"/>
      <w:r w:rsidRPr="00A025CB">
        <w:t>Method</w:t>
      </w:r>
      <w:bookmarkEnd w:id="552"/>
      <w:bookmarkEnd w:id="553"/>
    </w:p>
    <w:p w:rsidR="00092F60" w:rsidRDefault="00092F60" w:rsidP="00092F60">
      <w:r>
        <w:t>Information was gathered from various sources and triangulated to provide the most up-to-date summary of approaches used in programmes that are analogous to the LSDP</w:t>
      </w:r>
      <w:r w:rsidRPr="000369AC">
        <w:t xml:space="preserve"> </w:t>
      </w:r>
      <w:r>
        <w:t>internationally.</w:t>
      </w:r>
    </w:p>
    <w:p w:rsidR="00092F60" w:rsidRDefault="00092F60" w:rsidP="00E965BD">
      <w:pPr>
        <w:pStyle w:val="Heading3"/>
      </w:pPr>
      <w:bookmarkStart w:id="554" w:name="_Toc394047881"/>
      <w:bookmarkStart w:id="555" w:name="_Toc394667737"/>
      <w:bookmarkStart w:id="556" w:name="_Toc394674609"/>
      <w:bookmarkStart w:id="557" w:name="_Toc404937312"/>
      <w:r>
        <w:t>Survey of INAHTA members</w:t>
      </w:r>
      <w:bookmarkEnd w:id="554"/>
      <w:bookmarkEnd w:id="555"/>
      <w:bookmarkEnd w:id="556"/>
      <w:bookmarkEnd w:id="557"/>
    </w:p>
    <w:p w:rsidR="00092F60" w:rsidRPr="001124EF" w:rsidRDefault="00092F60" w:rsidP="00092F60">
      <w:r>
        <w:t xml:space="preserve">Members of the International Network of Agencies for Health Technology Assessment (INAHTA) were approached via email, seeking their input on the questions posed in section 4.2 above. </w:t>
      </w:r>
    </w:p>
    <w:p w:rsidR="00092F60" w:rsidRDefault="00092F60" w:rsidP="00E965BD">
      <w:pPr>
        <w:pStyle w:val="Heading3"/>
      </w:pPr>
      <w:bookmarkStart w:id="558" w:name="_Toc394047882"/>
      <w:bookmarkStart w:id="559" w:name="_Toc394667738"/>
      <w:bookmarkStart w:id="560" w:name="_Toc394674610"/>
      <w:bookmarkStart w:id="561" w:name="_Toc404937313"/>
      <w:r>
        <w:t>Grey literature</w:t>
      </w:r>
      <w:bookmarkEnd w:id="558"/>
      <w:bookmarkEnd w:id="559"/>
      <w:bookmarkEnd w:id="560"/>
      <w:bookmarkEnd w:id="561"/>
    </w:p>
    <w:p w:rsidR="00092F60" w:rsidRDefault="00092F60" w:rsidP="00092F60">
      <w:r>
        <w:t xml:space="preserve">Websites of payers in different health systems were canvassed for descriptions of reimbursement processes for pharmaceuticals targeting rare diseases. Websites dedicated to rare diseases and orphan drugs were also be canvassed, including </w:t>
      </w:r>
      <w:r w:rsidR="00515E61">
        <w:t xml:space="preserve">EURORDIS </w:t>
      </w:r>
      <w:r>
        <w:t>(</w:t>
      </w:r>
      <w:r w:rsidRPr="00A62C97">
        <w:t>http://www.eurordis.org/eu-rare-disease-policy</w:t>
      </w:r>
      <w:r>
        <w:t>), and Orphanet (</w:t>
      </w:r>
      <w:r w:rsidRPr="00A62C97">
        <w:t>www.orpha.net</w:t>
      </w:r>
      <w:r>
        <w:t xml:space="preserve">). In addition, </w:t>
      </w:r>
      <w:r w:rsidRPr="00B43263">
        <w:t>reimbursement dossiers of orphan</w:t>
      </w:r>
      <w:r>
        <w:t xml:space="preserve"> </w:t>
      </w:r>
      <w:r w:rsidRPr="00B43263">
        <w:t xml:space="preserve">drugs </w:t>
      </w:r>
      <w:r>
        <w:t>were searched for any potentially relevant information.</w:t>
      </w:r>
    </w:p>
    <w:p w:rsidR="00092F60" w:rsidRDefault="00092F60" w:rsidP="00092F60">
      <w:r>
        <w:t>Materials from recent key conferences in the field of HTA (HTAi</w:t>
      </w:r>
      <w:r>
        <w:rPr>
          <w:rStyle w:val="FootnoteReference"/>
        </w:rPr>
        <w:footnoteReference w:id="27"/>
      </w:r>
      <w:r>
        <w:t xml:space="preserve"> and ISPOR</w:t>
      </w:r>
      <w:r>
        <w:rPr>
          <w:rStyle w:val="FootnoteReference"/>
        </w:rPr>
        <w:footnoteReference w:id="28"/>
      </w:r>
      <w:r>
        <w:t xml:space="preserve">) were examined to identify prolific authors in the field and to isolate descriptions of current reimbursement processes in different countries/settings. </w:t>
      </w:r>
    </w:p>
    <w:p w:rsidR="00092F60" w:rsidRPr="00D7064B" w:rsidRDefault="00092F60" w:rsidP="00E965BD">
      <w:pPr>
        <w:pStyle w:val="Heading3"/>
      </w:pPr>
      <w:bookmarkStart w:id="562" w:name="_Toc394047883"/>
      <w:bookmarkStart w:id="563" w:name="_Toc394667739"/>
      <w:bookmarkStart w:id="564" w:name="_Toc394674611"/>
      <w:bookmarkStart w:id="565" w:name="_Toc404937314"/>
      <w:r w:rsidRPr="00D7064B">
        <w:t>P</w:t>
      </w:r>
      <w:r>
        <w:t>ublished</w:t>
      </w:r>
      <w:r w:rsidRPr="00D7064B">
        <w:t xml:space="preserve"> literature</w:t>
      </w:r>
      <w:bookmarkEnd w:id="562"/>
      <w:bookmarkEnd w:id="563"/>
      <w:bookmarkEnd w:id="564"/>
      <w:bookmarkEnd w:id="565"/>
    </w:p>
    <w:p w:rsidR="00092F60" w:rsidRPr="000459F2" w:rsidRDefault="00092F60" w:rsidP="00092F60">
      <w:pPr>
        <w:rPr>
          <w:rFonts w:cstheme="minorHAnsi"/>
        </w:rPr>
      </w:pPr>
      <w:r>
        <w:t>A</w:t>
      </w:r>
      <w:r w:rsidRPr="00623562">
        <w:t xml:space="preserve"> review of the international</w:t>
      </w:r>
      <w:r>
        <w:t xml:space="preserve"> </w:t>
      </w:r>
      <w:r w:rsidRPr="00623562">
        <w:t xml:space="preserve">literature </w:t>
      </w:r>
      <w:r>
        <w:t>was conducted</w:t>
      </w:r>
      <w:r w:rsidRPr="00623562">
        <w:t xml:space="preserve">. </w:t>
      </w:r>
      <w:r>
        <w:t>Paper</w:t>
      </w:r>
      <w:r w:rsidRPr="00623562">
        <w:t xml:space="preserve">s </w:t>
      </w:r>
      <w:r>
        <w:t>were</w:t>
      </w:r>
      <w:r w:rsidRPr="00623562">
        <w:t xml:space="preserve"> identified by</w:t>
      </w:r>
      <w:r>
        <w:t xml:space="preserve"> </w:t>
      </w:r>
      <w:r w:rsidRPr="00623562">
        <w:t xml:space="preserve">searching </w:t>
      </w:r>
      <w:r>
        <w:t>databases including, but not limited to, Embase.com (including both Embase and MEDLINE)</w:t>
      </w:r>
      <w:r w:rsidRPr="00623562">
        <w:t>,</w:t>
      </w:r>
      <w:r>
        <w:t xml:space="preserve"> </w:t>
      </w:r>
      <w:r>
        <w:lastRenderedPageBreak/>
        <w:t>Health Systems Evidence (</w:t>
      </w:r>
      <w:r w:rsidRPr="00A62C97">
        <w:t>http://www.mcmasterhealthforum.org/hse</w:t>
      </w:r>
      <w:r>
        <w:t xml:space="preserve">), </w:t>
      </w:r>
      <w:r w:rsidRPr="00623562">
        <w:t>Google Scholar</w:t>
      </w:r>
      <w:r>
        <w:t xml:space="preserve"> and</w:t>
      </w:r>
      <w:r w:rsidRPr="00623562">
        <w:t xml:space="preserve"> Health T</w:t>
      </w:r>
      <w:r>
        <w:t>echnology Assessment Databases.</w:t>
      </w:r>
      <w:r w:rsidRPr="00623562">
        <w:t xml:space="preserve"> The bibliograph</w:t>
      </w:r>
      <w:r>
        <w:t>ies</w:t>
      </w:r>
      <w:r w:rsidRPr="00623562">
        <w:t xml:space="preserve"> of included </w:t>
      </w:r>
      <w:r>
        <w:t>paper</w:t>
      </w:r>
      <w:r w:rsidRPr="00623562">
        <w:t xml:space="preserve">s </w:t>
      </w:r>
      <w:r>
        <w:t>were</w:t>
      </w:r>
      <w:r w:rsidRPr="000459F2">
        <w:t xml:space="preserve"> checked for other relevant papers.</w:t>
      </w:r>
      <w:r w:rsidRPr="000459F2">
        <w:rPr>
          <w:rFonts w:cstheme="minorHAnsi"/>
        </w:rPr>
        <w:t xml:space="preserve"> </w:t>
      </w:r>
    </w:p>
    <w:p w:rsidR="00092F60" w:rsidRDefault="00A72B26" w:rsidP="00092F60">
      <w:r>
        <w:t>Table 136</w:t>
      </w:r>
      <w:r w:rsidR="00092F60" w:rsidRPr="000459F2">
        <w:t xml:space="preserve"> contains search terms for the identification of international systems where the drugs for rare diseases are reimbursed. Key words and Emtree terms were developed using an Embase.com platform. The same text words and relevant alternatives </w:t>
      </w:r>
      <w:r w:rsidR="00092F60">
        <w:t>were</w:t>
      </w:r>
      <w:r w:rsidR="00092F60" w:rsidRPr="000459F2">
        <w:t xml:space="preserve"> used</w:t>
      </w:r>
      <w:r w:rsidR="00092F60" w:rsidRPr="002C2F4A">
        <w:t xml:space="preserve"> for the other bibliographic databases, where applicable.</w:t>
      </w:r>
      <w:r w:rsidR="00092F60">
        <w:t xml:space="preserve"> The literature review for this chapter of the technical report was non-systematic. Therefore these search terms are only indicative of the approaches that were used and selection criteria were not be pre-formulated (other than that the material addresses the research questions). The information obtained was extracted in a standardised format (</w:t>
      </w:r>
      <w:r w:rsidRPr="003F3F2D">
        <w:t xml:space="preserve">Appendix </w:t>
      </w:r>
      <w:r>
        <w:rPr>
          <w:noProof/>
        </w:rPr>
        <w:t>H</w:t>
      </w:r>
      <w:r w:rsidR="00092F60">
        <w:t>), synthesised and presented narratively.</w:t>
      </w:r>
    </w:p>
    <w:p w:rsidR="00092F60" w:rsidRDefault="00092F60" w:rsidP="00F44176">
      <w:pPr>
        <w:pStyle w:val="Caption"/>
        <w:keepNext/>
        <w:tabs>
          <w:tab w:val="clear" w:pos="851"/>
          <w:tab w:val="left" w:pos="1134"/>
        </w:tabs>
        <w:ind w:left="1134" w:hanging="1134"/>
      </w:pPr>
      <w:bookmarkStart w:id="566" w:name="_Ref391478668"/>
      <w:bookmarkStart w:id="567" w:name="_Toc404976342"/>
      <w:bookmarkStart w:id="568" w:name="_Toc411510499"/>
      <w:bookmarkStart w:id="569" w:name="_Toc415141933"/>
      <w:r>
        <w:t xml:space="preserve">Table </w:t>
      </w:r>
      <w:r w:rsidR="00A72B26">
        <w:rPr>
          <w:noProof/>
        </w:rPr>
        <w:t>136</w:t>
      </w:r>
      <w:bookmarkEnd w:id="566"/>
      <w:r>
        <w:tab/>
        <w:t>Search terms to identify policy approaches by international systems (Embase.com example)</w:t>
      </w:r>
      <w:bookmarkEnd w:id="567"/>
      <w:bookmarkEnd w:id="568"/>
      <w:bookmarkEnd w:id="569"/>
    </w:p>
    <w:tbl>
      <w:tblPr>
        <w:tblStyle w:val="TableGrid"/>
        <w:tblW w:w="0" w:type="auto"/>
        <w:tblLook w:val="04A0" w:firstRow="1" w:lastRow="0" w:firstColumn="1" w:lastColumn="0" w:noHBand="0" w:noVBand="1"/>
        <w:tblCaption w:val="Table 101 Search terms to identify policy approaches by international systems (Embase.com example)"/>
      </w:tblPr>
      <w:tblGrid>
        <w:gridCol w:w="1384"/>
        <w:gridCol w:w="8064"/>
      </w:tblGrid>
      <w:tr w:rsidR="00092F60" w:rsidRPr="00BA46CB" w:rsidTr="00C6200C">
        <w:trPr>
          <w:tblHeader/>
        </w:trPr>
        <w:tc>
          <w:tcPr>
            <w:tcW w:w="1384" w:type="dxa"/>
          </w:tcPr>
          <w:p w:rsidR="00092F60" w:rsidRPr="00B7451B" w:rsidRDefault="00092F60" w:rsidP="002379F4">
            <w:pPr>
              <w:pStyle w:val="TableHeading"/>
            </w:pPr>
            <w:r w:rsidRPr="00B7451B">
              <w:t>Elements</w:t>
            </w:r>
          </w:p>
        </w:tc>
        <w:tc>
          <w:tcPr>
            <w:tcW w:w="8064" w:type="dxa"/>
          </w:tcPr>
          <w:p w:rsidR="00092F60" w:rsidRPr="00B7451B" w:rsidRDefault="00092F60" w:rsidP="002379F4">
            <w:pPr>
              <w:pStyle w:val="TableHeading"/>
            </w:pPr>
            <w:r w:rsidRPr="00B7451B">
              <w:t>Suggested search terms</w:t>
            </w:r>
          </w:p>
        </w:tc>
      </w:tr>
      <w:tr w:rsidR="00092F60" w:rsidRPr="00BA46CB" w:rsidTr="002379F4">
        <w:tc>
          <w:tcPr>
            <w:tcW w:w="1384" w:type="dxa"/>
          </w:tcPr>
          <w:p w:rsidR="00092F60" w:rsidRPr="00B7451B" w:rsidRDefault="00092F60" w:rsidP="002379F4">
            <w:pPr>
              <w:pStyle w:val="TableText0"/>
            </w:pPr>
            <w:r w:rsidRPr="00B7451B">
              <w:t xml:space="preserve">Topics </w:t>
            </w:r>
          </w:p>
        </w:tc>
        <w:tc>
          <w:tcPr>
            <w:tcW w:w="8064" w:type="dxa"/>
          </w:tcPr>
          <w:p w:rsidR="00092F60" w:rsidRPr="00B7451B" w:rsidRDefault="00092F60" w:rsidP="002379F4">
            <w:pPr>
              <w:pStyle w:val="TableText0"/>
            </w:pPr>
            <w:r w:rsidRPr="00B7451B">
              <w:t xml:space="preserve">('reimbursement'/exp OR 'reimbursement' OR reimburs* OR 'funding' OR 'funding'/exp OR funding) </w:t>
            </w:r>
          </w:p>
          <w:p w:rsidR="00092F60" w:rsidRPr="00B7451B" w:rsidRDefault="00092F60" w:rsidP="002379F4">
            <w:pPr>
              <w:pStyle w:val="TableText0"/>
            </w:pPr>
            <w:r w:rsidRPr="00B7451B">
              <w:t xml:space="preserve">AND </w:t>
            </w:r>
          </w:p>
          <w:p w:rsidR="00092F60" w:rsidRPr="00B7451B" w:rsidRDefault="00092F60" w:rsidP="002379F4">
            <w:pPr>
              <w:pStyle w:val="TableText0"/>
            </w:pPr>
            <w:r w:rsidRPr="00B7451B">
              <w:t>('orphan drug'/exp OR 'orphan drug' OR (orphan AND ('disease' OR 'disease'/exp OR disease OR 'drug'/exp OR drug OR 'medicine'/exp OR medicine)) OR 'rare disease'/exp OR 'rare disease' OR (rare AND (</w:t>
            </w:r>
            <w:r>
              <w:t xml:space="preserve">‘condition’ OR </w:t>
            </w:r>
            <w:r w:rsidRPr="00B7451B">
              <w:t>'disease' OR 'disease'/exp))</w:t>
            </w:r>
          </w:p>
        </w:tc>
      </w:tr>
      <w:tr w:rsidR="00092F60" w:rsidRPr="00BA46CB" w:rsidTr="002379F4">
        <w:tc>
          <w:tcPr>
            <w:tcW w:w="1384" w:type="dxa"/>
          </w:tcPr>
          <w:p w:rsidR="00092F60" w:rsidRPr="00B7451B" w:rsidRDefault="00092F60" w:rsidP="002379F4">
            <w:pPr>
              <w:pStyle w:val="TableText0"/>
            </w:pPr>
            <w:r w:rsidRPr="00B7451B">
              <w:t>Limits</w:t>
            </w:r>
          </w:p>
        </w:tc>
        <w:tc>
          <w:tcPr>
            <w:tcW w:w="8064" w:type="dxa"/>
          </w:tcPr>
          <w:p w:rsidR="00092F60" w:rsidRPr="00B7451B" w:rsidRDefault="00092F60" w:rsidP="002379F4">
            <w:pPr>
              <w:pStyle w:val="TableText0"/>
            </w:pPr>
            <w:r w:rsidRPr="00B7451B">
              <w:t>NOT [animals]/lim</w:t>
            </w:r>
          </w:p>
        </w:tc>
      </w:tr>
      <w:tr w:rsidR="00092F60" w:rsidRPr="00BA46CB" w:rsidTr="002379F4">
        <w:tc>
          <w:tcPr>
            <w:tcW w:w="1384" w:type="dxa"/>
          </w:tcPr>
          <w:p w:rsidR="00092F60" w:rsidRPr="00B7451B" w:rsidRDefault="00092F60" w:rsidP="002379F4">
            <w:pPr>
              <w:pStyle w:val="TableText0"/>
            </w:pPr>
            <w:r w:rsidRPr="00B7451B">
              <w:t>Search period</w:t>
            </w:r>
          </w:p>
        </w:tc>
        <w:tc>
          <w:tcPr>
            <w:tcW w:w="8064" w:type="dxa"/>
          </w:tcPr>
          <w:p w:rsidR="00092F60" w:rsidRPr="00B7451B" w:rsidRDefault="00092F60" w:rsidP="002379F4">
            <w:pPr>
              <w:pStyle w:val="TableText0"/>
            </w:pPr>
            <w:r w:rsidRPr="00B7451B">
              <w:t>2000 - 2014</w:t>
            </w:r>
          </w:p>
        </w:tc>
      </w:tr>
    </w:tbl>
    <w:p w:rsidR="00247E93" w:rsidRDefault="00247E93" w:rsidP="00092F60"/>
    <w:p w:rsidR="006E2AFB" w:rsidRDefault="006E2AFB" w:rsidP="00092F60">
      <w:r>
        <w:br w:type="page"/>
      </w:r>
    </w:p>
    <w:p w:rsidR="00092F60" w:rsidRDefault="006E2AFB" w:rsidP="00D60032">
      <w:pPr>
        <w:pStyle w:val="Heading2"/>
      </w:pPr>
      <w:bookmarkStart w:id="570" w:name="_Toc404937315"/>
      <w:r>
        <w:lastRenderedPageBreak/>
        <w:tab/>
      </w:r>
      <w:r w:rsidR="00E442D6">
        <w:tab/>
      </w:r>
      <w:bookmarkStart w:id="571" w:name="_Toc415141745"/>
      <w:r w:rsidR="00092F60" w:rsidRPr="00FB0211">
        <w:t>International comparison results</w:t>
      </w:r>
      <w:bookmarkEnd w:id="570"/>
      <w:bookmarkEnd w:id="571"/>
    </w:p>
    <w:p w:rsidR="00405145" w:rsidRDefault="00405145" w:rsidP="00405145">
      <w:pPr>
        <w:spacing w:before="60" w:after="200"/>
        <w:jc w:val="left"/>
        <w:rPr>
          <w:rFonts w:ascii="Arial Narrow" w:eastAsia="Calibri" w:hAnsi="Arial Narrow"/>
          <w:sz w:val="22"/>
          <w:szCs w:val="22"/>
        </w:rPr>
      </w:pPr>
    </w:p>
    <w:p w:rsidR="00B06D06" w:rsidRPr="00FA49CB" w:rsidRDefault="00B06D06" w:rsidP="00B06D06">
      <w:pPr>
        <w:pBdr>
          <w:top w:val="single" w:sz="4" w:space="4" w:color="auto"/>
          <w:left w:val="single" w:sz="4" w:space="4" w:color="auto"/>
          <w:bottom w:val="single" w:sz="4" w:space="4" w:color="auto"/>
          <w:right w:val="single" w:sz="4" w:space="4" w:color="auto"/>
        </w:pBdr>
        <w:spacing w:before="60" w:after="200"/>
        <w:jc w:val="left"/>
        <w:rPr>
          <w:rFonts w:ascii="Arial Narrow" w:eastAsia="Calibri" w:hAnsi="Arial Narrow"/>
          <w:sz w:val="22"/>
          <w:szCs w:val="22"/>
        </w:rPr>
      </w:pPr>
      <w:r w:rsidRPr="00FA49CB">
        <w:rPr>
          <w:rFonts w:ascii="Arial Narrow" w:eastAsia="Calibri" w:hAnsi="Arial Narrow"/>
          <w:sz w:val="22"/>
          <w:szCs w:val="22"/>
        </w:rPr>
        <w:t xml:space="preserve">Information was sought from the literature on how </w:t>
      </w:r>
      <w:r>
        <w:rPr>
          <w:rFonts w:ascii="Arial Narrow" w:eastAsia="Calibri" w:hAnsi="Arial Narrow"/>
          <w:sz w:val="22"/>
          <w:szCs w:val="22"/>
        </w:rPr>
        <w:t>different</w:t>
      </w:r>
      <w:r w:rsidRPr="00FA49CB">
        <w:rPr>
          <w:rFonts w:ascii="Arial Narrow" w:eastAsia="Calibri" w:hAnsi="Arial Narrow"/>
          <w:sz w:val="22"/>
          <w:szCs w:val="22"/>
        </w:rPr>
        <w:t xml:space="preserve"> countries address the evaluation and funding mechanisms for </w:t>
      </w:r>
      <w:r>
        <w:rPr>
          <w:rFonts w:ascii="Arial Narrow" w:eastAsia="Calibri" w:hAnsi="Arial Narrow"/>
          <w:sz w:val="22"/>
          <w:szCs w:val="22"/>
        </w:rPr>
        <w:t xml:space="preserve">orphan </w:t>
      </w:r>
      <w:r w:rsidRPr="00FA49CB">
        <w:rPr>
          <w:rFonts w:ascii="Arial Narrow" w:eastAsia="Calibri" w:hAnsi="Arial Narrow"/>
          <w:sz w:val="22"/>
          <w:szCs w:val="22"/>
        </w:rPr>
        <w:t xml:space="preserve">drugs </w:t>
      </w:r>
      <w:r>
        <w:rPr>
          <w:rFonts w:ascii="Arial Narrow" w:eastAsia="Calibri" w:hAnsi="Arial Narrow"/>
          <w:sz w:val="22"/>
          <w:szCs w:val="22"/>
        </w:rPr>
        <w:t xml:space="preserve">for </w:t>
      </w:r>
      <w:r w:rsidRPr="00FA49CB">
        <w:rPr>
          <w:rFonts w:ascii="Arial Narrow" w:eastAsia="Calibri" w:hAnsi="Arial Narrow"/>
          <w:sz w:val="22"/>
          <w:szCs w:val="22"/>
        </w:rPr>
        <w:t xml:space="preserve">rare and ultra-rare </w:t>
      </w:r>
      <w:r>
        <w:rPr>
          <w:rFonts w:ascii="Arial Narrow" w:eastAsia="Calibri" w:hAnsi="Arial Narrow"/>
          <w:sz w:val="22"/>
          <w:szCs w:val="22"/>
        </w:rPr>
        <w:t>diseases and conditions. In addition</w:t>
      </w:r>
      <w:r w:rsidRPr="00FA49CB">
        <w:rPr>
          <w:rFonts w:ascii="Arial Narrow" w:eastAsia="Calibri" w:hAnsi="Arial Narrow"/>
          <w:sz w:val="22"/>
          <w:szCs w:val="22"/>
        </w:rPr>
        <w:t>, members of the International Network of Agencies for Health Technology Assessment</w:t>
      </w:r>
      <w:r>
        <w:rPr>
          <w:rFonts w:ascii="Arial Narrow" w:eastAsia="Calibri" w:hAnsi="Arial Narrow"/>
          <w:sz w:val="22"/>
          <w:szCs w:val="22"/>
        </w:rPr>
        <w:t xml:space="preserve"> were surveyed</w:t>
      </w:r>
      <w:r w:rsidRPr="00FA49CB">
        <w:rPr>
          <w:rFonts w:ascii="Arial Narrow" w:eastAsia="Calibri" w:hAnsi="Arial Narrow"/>
          <w:sz w:val="22"/>
          <w:szCs w:val="22"/>
        </w:rPr>
        <w:t xml:space="preserve">. </w:t>
      </w:r>
    </w:p>
    <w:p w:rsidR="00B06D06" w:rsidRPr="00FA49CB" w:rsidRDefault="00B06D06" w:rsidP="00B06D06">
      <w:pPr>
        <w:pBdr>
          <w:top w:val="single" w:sz="4" w:space="4" w:color="auto"/>
          <w:left w:val="single" w:sz="4" w:space="4" w:color="auto"/>
          <w:bottom w:val="single" w:sz="4" w:space="4" w:color="auto"/>
          <w:right w:val="single" w:sz="4" w:space="4" w:color="auto"/>
        </w:pBdr>
        <w:spacing w:before="60" w:after="200"/>
        <w:jc w:val="left"/>
        <w:rPr>
          <w:rFonts w:ascii="Arial Narrow" w:eastAsia="Calibri" w:hAnsi="Arial Narrow"/>
          <w:sz w:val="22"/>
          <w:szCs w:val="22"/>
        </w:rPr>
      </w:pPr>
      <w:r w:rsidRPr="00FA49CB">
        <w:rPr>
          <w:rFonts w:ascii="Arial Narrow" w:eastAsia="Calibri" w:hAnsi="Arial Narrow"/>
          <w:sz w:val="22"/>
          <w:szCs w:val="22"/>
        </w:rPr>
        <w:t>The definition of rare and ultra-rare diseases was most commonly defined by legislation, designed to provide incentives to industry for developing and marketing drugs to treat or prevent</w:t>
      </w:r>
      <w:r>
        <w:rPr>
          <w:rFonts w:ascii="Arial Narrow" w:eastAsia="Calibri" w:hAnsi="Arial Narrow"/>
          <w:sz w:val="22"/>
          <w:szCs w:val="22"/>
        </w:rPr>
        <w:t xml:space="preserve"> the</w:t>
      </w:r>
      <w:r w:rsidRPr="00FA49CB">
        <w:rPr>
          <w:rFonts w:ascii="Arial Narrow" w:eastAsia="Calibri" w:hAnsi="Arial Narrow"/>
          <w:sz w:val="22"/>
          <w:szCs w:val="22"/>
        </w:rPr>
        <w:t xml:space="preserve"> conditions. These incentives are in the form of substantial fee waivers, tax credits, market exclusivity for 7 – 10 years, and less stringent requirements to prove the cost-effectiveness of the drug. The definition of a rare disease varied from being the equivalent of less than one in 1,500 (definition used by the United States Food and Drug Administration for orphan designation, or orphan subtype designation), to a prevalence of less than 1 in 500,000 in China. </w:t>
      </w:r>
      <w:r w:rsidRPr="00497D16">
        <w:rPr>
          <w:rFonts w:ascii="Arial Narrow" w:eastAsia="Calibri" w:hAnsi="Arial Narrow"/>
          <w:sz w:val="22"/>
          <w:szCs w:val="22"/>
        </w:rPr>
        <w:t>For the purpose of orphan drug registration, the Australian Therapeutic Goods Act defines a rare disease as one that has fewer than 2,000 patients, which is approximated as a prevalence of 1 in 10,000 persons. The TGA have a narrower definition of rare disease than most of the countries.</w:t>
      </w:r>
    </w:p>
    <w:p w:rsidR="00B06D06" w:rsidRDefault="00B06D06" w:rsidP="00B06D06">
      <w:pPr>
        <w:pBdr>
          <w:top w:val="single" w:sz="4" w:space="4" w:color="auto"/>
          <w:left w:val="single" w:sz="4" w:space="4" w:color="auto"/>
          <w:bottom w:val="single" w:sz="4" w:space="4" w:color="auto"/>
          <w:right w:val="single" w:sz="4" w:space="4" w:color="auto"/>
        </w:pBdr>
        <w:spacing w:before="60" w:after="200"/>
        <w:jc w:val="left"/>
        <w:rPr>
          <w:rFonts w:ascii="Arial Narrow" w:eastAsia="Calibri" w:hAnsi="Arial Narrow"/>
          <w:sz w:val="22"/>
          <w:szCs w:val="22"/>
        </w:rPr>
      </w:pPr>
      <w:r w:rsidRPr="00FA49CB">
        <w:rPr>
          <w:rFonts w:ascii="Arial Narrow" w:eastAsia="Calibri" w:hAnsi="Arial Narrow"/>
          <w:sz w:val="22"/>
          <w:szCs w:val="22"/>
        </w:rPr>
        <w:t>A separate review process</w:t>
      </w:r>
      <w:r>
        <w:rPr>
          <w:rFonts w:ascii="Arial Narrow" w:eastAsia="Calibri" w:hAnsi="Arial Narrow"/>
          <w:sz w:val="22"/>
          <w:szCs w:val="22"/>
        </w:rPr>
        <w:t xml:space="preserve"> is used</w:t>
      </w:r>
      <w:r w:rsidRPr="00FA49CB">
        <w:rPr>
          <w:rFonts w:ascii="Arial Narrow" w:eastAsia="Calibri" w:hAnsi="Arial Narrow"/>
          <w:sz w:val="22"/>
          <w:szCs w:val="22"/>
        </w:rPr>
        <w:t xml:space="preserve"> for subsidisation decisions </w:t>
      </w:r>
      <w:r>
        <w:rPr>
          <w:rFonts w:ascii="Arial Narrow" w:eastAsia="Calibri" w:hAnsi="Arial Narrow"/>
          <w:sz w:val="22"/>
          <w:szCs w:val="22"/>
        </w:rPr>
        <w:t>concerning</w:t>
      </w:r>
      <w:r w:rsidRPr="00FA49CB">
        <w:rPr>
          <w:rFonts w:ascii="Arial Narrow" w:eastAsia="Calibri" w:hAnsi="Arial Narrow"/>
          <w:sz w:val="22"/>
          <w:szCs w:val="22"/>
        </w:rPr>
        <w:t xml:space="preserve"> drugs targeting rare diseases in</w:t>
      </w:r>
      <w:r>
        <w:rPr>
          <w:rFonts w:ascii="Arial Narrow" w:eastAsia="Calibri" w:hAnsi="Arial Narrow"/>
          <w:sz w:val="22"/>
          <w:szCs w:val="22"/>
        </w:rPr>
        <w:t xml:space="preserve"> Italy (funding access to drugs </w:t>
      </w:r>
      <w:r w:rsidRPr="006A30A1">
        <w:rPr>
          <w:rFonts w:ascii="Arial Narrow" w:eastAsia="Calibri" w:hAnsi="Arial Narrow"/>
          <w:sz w:val="22"/>
          <w:szCs w:val="22"/>
        </w:rPr>
        <w:t>for rare diseases before market authorisation); England and Wales (through the Highly specialised technologies programme); Canada (through a Rare Disease Drug Program and Alberta’s Short Term Exceptional Drug Therapy programme</w:t>
      </w:r>
      <w:r>
        <w:rPr>
          <w:rFonts w:ascii="Arial Narrow" w:eastAsia="Calibri" w:hAnsi="Arial Narrow"/>
          <w:sz w:val="22"/>
          <w:szCs w:val="22"/>
        </w:rPr>
        <w:t>)</w:t>
      </w:r>
      <w:r w:rsidRPr="006A30A1">
        <w:rPr>
          <w:rFonts w:ascii="Arial Narrow" w:eastAsia="Calibri" w:hAnsi="Arial Narrow"/>
          <w:sz w:val="22"/>
          <w:szCs w:val="22"/>
        </w:rPr>
        <w:t xml:space="preserve">, and Japan (through the Specified Diseases Treatment Research Program). </w:t>
      </w:r>
    </w:p>
    <w:p w:rsidR="00B06D06" w:rsidRPr="006A30A1" w:rsidRDefault="00B06D06" w:rsidP="00B06D06">
      <w:pPr>
        <w:pBdr>
          <w:top w:val="single" w:sz="4" w:space="4" w:color="auto"/>
          <w:left w:val="single" w:sz="4" w:space="4" w:color="auto"/>
          <w:bottom w:val="single" w:sz="4" w:space="4" w:color="auto"/>
          <w:right w:val="single" w:sz="4" w:space="4" w:color="auto"/>
        </w:pBdr>
        <w:spacing w:before="60" w:after="200"/>
        <w:jc w:val="left"/>
        <w:rPr>
          <w:rFonts w:ascii="Arial Narrow" w:eastAsia="Calibri" w:hAnsi="Arial Narrow"/>
          <w:sz w:val="22"/>
          <w:szCs w:val="22"/>
        </w:rPr>
      </w:pPr>
      <w:r w:rsidRPr="00497D16">
        <w:rPr>
          <w:rFonts w:ascii="Arial Narrow" w:eastAsia="Calibri" w:hAnsi="Arial Narrow"/>
          <w:sz w:val="22"/>
          <w:szCs w:val="22"/>
        </w:rPr>
        <w:t>Australia has no specific evaluation program</w:t>
      </w:r>
      <w:r>
        <w:rPr>
          <w:rFonts w:ascii="Arial Narrow" w:eastAsia="Calibri" w:hAnsi="Arial Narrow"/>
          <w:sz w:val="22"/>
          <w:szCs w:val="22"/>
        </w:rPr>
        <w:t>me</w:t>
      </w:r>
      <w:r w:rsidRPr="00497D16">
        <w:rPr>
          <w:rFonts w:ascii="Arial Narrow" w:eastAsia="Calibri" w:hAnsi="Arial Narrow"/>
          <w:sz w:val="22"/>
          <w:szCs w:val="22"/>
        </w:rPr>
        <w:t xml:space="preserve"> for drugs for rare diseases (DRDs). </w:t>
      </w:r>
      <w:r w:rsidR="00F80F9C" w:rsidRPr="00497D16">
        <w:rPr>
          <w:rFonts w:ascii="Arial Narrow" w:eastAsia="Calibri" w:hAnsi="Arial Narrow"/>
          <w:sz w:val="22"/>
          <w:szCs w:val="22"/>
        </w:rPr>
        <w:t>However, a DRD can be considered to be reimbursed through the LSDP if the PBAC accepts its clinical effectiveness but rejects its listing on the PBS as the DRD does not meet the cost-effectiveness criterion.</w:t>
      </w:r>
      <w:r w:rsidR="00F80F9C">
        <w:rPr>
          <w:rFonts w:ascii="Arial Narrow" w:eastAsia="Calibri" w:hAnsi="Arial Narrow"/>
          <w:sz w:val="22"/>
          <w:szCs w:val="22"/>
        </w:rPr>
        <w:t xml:space="preserve"> </w:t>
      </w:r>
      <w:r w:rsidRPr="006A30A1">
        <w:rPr>
          <w:rFonts w:ascii="Arial Narrow" w:eastAsia="Calibri" w:hAnsi="Arial Narrow"/>
          <w:sz w:val="22"/>
          <w:szCs w:val="22"/>
        </w:rPr>
        <w:t xml:space="preserve">In Germany and France, the review processes for drugs targeting rare diseases are </w:t>
      </w:r>
      <w:r>
        <w:rPr>
          <w:rFonts w:ascii="Arial Narrow" w:eastAsia="Calibri" w:hAnsi="Arial Narrow"/>
          <w:sz w:val="22"/>
          <w:szCs w:val="22"/>
        </w:rPr>
        <w:t xml:space="preserve">also </w:t>
      </w:r>
      <w:r w:rsidRPr="006A30A1">
        <w:rPr>
          <w:rFonts w:ascii="Arial Narrow" w:eastAsia="Calibri" w:hAnsi="Arial Narrow"/>
          <w:sz w:val="22"/>
          <w:szCs w:val="22"/>
        </w:rPr>
        <w:t xml:space="preserve">not separate from usual drug subsidisation processes. However, in Germany, when drugs target conditions without alternative therapeutic options, they will generally be granted reimbursement without price limit. In France, the clinical evidence required for orphan drugs reflects the limitations associated with gathering evidence on rare conditions. </w:t>
      </w:r>
    </w:p>
    <w:p w:rsidR="00B06D06" w:rsidRPr="006A30A1" w:rsidRDefault="00B06D06" w:rsidP="00B06D06">
      <w:pPr>
        <w:pBdr>
          <w:top w:val="single" w:sz="4" w:space="4" w:color="auto"/>
          <w:left w:val="single" w:sz="4" w:space="4" w:color="auto"/>
          <w:bottom w:val="single" w:sz="4" w:space="4" w:color="auto"/>
          <w:right w:val="single" w:sz="4" w:space="4" w:color="auto"/>
        </w:pBdr>
        <w:spacing w:before="60" w:after="200"/>
        <w:jc w:val="left"/>
        <w:rPr>
          <w:rFonts w:ascii="Arial Narrow" w:eastAsia="Calibri" w:hAnsi="Arial Narrow"/>
          <w:sz w:val="22"/>
          <w:szCs w:val="22"/>
        </w:rPr>
      </w:pPr>
      <w:r w:rsidRPr="006A30A1">
        <w:rPr>
          <w:rFonts w:ascii="Arial Narrow" w:eastAsia="Calibri" w:hAnsi="Arial Narrow"/>
          <w:sz w:val="22"/>
          <w:szCs w:val="22"/>
        </w:rPr>
        <w:t xml:space="preserve">Many countries allow special consideration of orphan drugs, allowing funding without pharmacoeconomic evaluations, higher cost-effectiveness thresholds, </w:t>
      </w:r>
      <w:proofErr w:type="gramStart"/>
      <w:r w:rsidRPr="006A30A1">
        <w:rPr>
          <w:rFonts w:ascii="Arial Narrow" w:eastAsia="Calibri" w:hAnsi="Arial Narrow"/>
          <w:sz w:val="22"/>
          <w:szCs w:val="22"/>
        </w:rPr>
        <w:t>a</w:t>
      </w:r>
      <w:proofErr w:type="gramEnd"/>
      <w:r w:rsidRPr="006A30A1">
        <w:rPr>
          <w:rFonts w:ascii="Arial Narrow" w:eastAsia="Calibri" w:hAnsi="Arial Narrow"/>
          <w:sz w:val="22"/>
          <w:szCs w:val="22"/>
        </w:rPr>
        <w:t xml:space="preserve"> broader societal perspective, allowing lower levels of evidence, and placing greater weight on the lack of alternative treatments. </w:t>
      </w:r>
    </w:p>
    <w:p w:rsidR="00B06D06" w:rsidRPr="006A30A1" w:rsidRDefault="00B06D06" w:rsidP="00B06D06">
      <w:pPr>
        <w:pBdr>
          <w:top w:val="single" w:sz="4" w:space="4" w:color="auto"/>
          <w:left w:val="single" w:sz="4" w:space="4" w:color="auto"/>
          <w:bottom w:val="single" w:sz="4" w:space="4" w:color="auto"/>
          <w:right w:val="single" w:sz="4" w:space="4" w:color="auto"/>
        </w:pBdr>
        <w:spacing w:before="60" w:after="200"/>
        <w:jc w:val="left"/>
        <w:rPr>
          <w:rFonts w:ascii="Arial Narrow" w:eastAsia="Calibri" w:hAnsi="Arial Narrow"/>
          <w:sz w:val="22"/>
          <w:szCs w:val="22"/>
        </w:rPr>
      </w:pPr>
      <w:r w:rsidRPr="006A30A1">
        <w:rPr>
          <w:rFonts w:ascii="Arial Narrow" w:eastAsia="Calibri" w:hAnsi="Arial Narrow"/>
          <w:sz w:val="22"/>
          <w:szCs w:val="22"/>
        </w:rPr>
        <w:t xml:space="preserve">Funding decisions for orphan drugs are re-evaluated after 1.5 – 5 years in Belgium, the Netherlands, France and the United Kingdom. </w:t>
      </w:r>
    </w:p>
    <w:p w:rsidR="00B06D06" w:rsidRDefault="00B06D06" w:rsidP="00B06D06">
      <w:pPr>
        <w:pBdr>
          <w:top w:val="single" w:sz="4" w:space="4" w:color="auto"/>
          <w:left w:val="single" w:sz="4" w:space="4" w:color="auto"/>
          <w:bottom w:val="single" w:sz="4" w:space="4" w:color="auto"/>
          <w:right w:val="single" w:sz="4" w:space="4" w:color="auto"/>
        </w:pBdr>
        <w:spacing w:before="60" w:after="200"/>
        <w:jc w:val="left"/>
        <w:rPr>
          <w:rFonts w:ascii="Arial Narrow" w:eastAsia="Calibri" w:hAnsi="Arial Narrow"/>
          <w:sz w:val="22"/>
          <w:szCs w:val="22"/>
        </w:rPr>
      </w:pPr>
      <w:r w:rsidRPr="006A30A1">
        <w:rPr>
          <w:rFonts w:ascii="Arial Narrow" w:eastAsia="Calibri" w:hAnsi="Arial Narrow"/>
          <w:sz w:val="22"/>
          <w:szCs w:val="22"/>
        </w:rPr>
        <w:t xml:space="preserve">Managed entry schemes </w:t>
      </w:r>
      <w:r>
        <w:rPr>
          <w:rFonts w:ascii="Arial Narrow" w:eastAsia="Calibri" w:hAnsi="Arial Narrow"/>
          <w:sz w:val="22"/>
          <w:szCs w:val="22"/>
        </w:rPr>
        <w:t xml:space="preserve">for DRDs </w:t>
      </w:r>
      <w:r w:rsidRPr="006A30A1">
        <w:rPr>
          <w:rFonts w:ascii="Arial Narrow" w:eastAsia="Calibri" w:hAnsi="Arial Narrow"/>
          <w:sz w:val="22"/>
          <w:szCs w:val="22"/>
        </w:rPr>
        <w:t>are used in Belgium, England and Wales, Italy, the Netherlands and Sweden, using either performance-based risk sharing or financial-based schemes.</w:t>
      </w:r>
    </w:p>
    <w:p w:rsidR="00247E93" w:rsidRPr="00247E93" w:rsidRDefault="00247E93" w:rsidP="00247E93">
      <w:pPr>
        <w:rPr>
          <w:lang w:eastAsia="en-AU"/>
        </w:rPr>
      </w:pPr>
    </w:p>
    <w:p w:rsidR="00092F60" w:rsidRPr="002735FA" w:rsidRDefault="00092F60" w:rsidP="00E965BD">
      <w:pPr>
        <w:pStyle w:val="Heading3"/>
      </w:pPr>
      <w:bookmarkStart w:id="572" w:name="_Toc404937316"/>
      <w:r>
        <w:t>Introduction</w:t>
      </w:r>
      <w:bookmarkEnd w:id="572"/>
    </w:p>
    <w:p w:rsidR="00092F60" w:rsidRDefault="00092F60" w:rsidP="00092F60">
      <w:r>
        <w:t>This section of the report discusses the results of a literature review on the funding arrangements for drugs to treat rare and ultra-rare diseases. The results of this literature review have been supplemented by a survey of INAHTA members as described above.</w:t>
      </w:r>
    </w:p>
    <w:p w:rsidR="00092F60" w:rsidRDefault="00092F60" w:rsidP="00092F60">
      <w:r>
        <w:t>The literature review identified a number of funding bodies that reimbursed drugs for the treatment of rare and ultra-rare diseases. The report predominately focus</w:t>
      </w:r>
      <w:r w:rsidR="002379F4">
        <w:t>es</w:t>
      </w:r>
      <w:r>
        <w:t xml:space="preserve"> on funding bodies in the following regions; Canada (Ontario and Alberta), Europe (England, Wales and Scotland, </w:t>
      </w:r>
      <w:r>
        <w:lastRenderedPageBreak/>
        <w:t xml:space="preserve">Belgium, Austria, Netherlands, Sweden, Spain, Italy, Germany and France), and selected Asian countries (Japan, South Korea and China). </w:t>
      </w:r>
      <w:r w:rsidR="003C4757" w:rsidRPr="00497D16">
        <w:t xml:space="preserve">Information regarding the reimbursement of DRDs in Australia is also presented in this </w:t>
      </w:r>
      <w:r w:rsidR="003C4757">
        <w:t>section for the purpose</w:t>
      </w:r>
      <w:r w:rsidR="003C4757" w:rsidRPr="00497D16">
        <w:t xml:space="preserve"> of comparison.</w:t>
      </w:r>
    </w:p>
    <w:p w:rsidR="00092F60" w:rsidRDefault="00092F60" w:rsidP="00E965BD">
      <w:pPr>
        <w:pStyle w:val="Heading3"/>
      </w:pPr>
      <w:bookmarkStart w:id="573" w:name="_Toc404937317"/>
      <w:r>
        <w:t>Payer characteristics</w:t>
      </w:r>
      <w:bookmarkEnd w:id="573"/>
    </w:p>
    <w:p w:rsidR="00092F60" w:rsidRDefault="00092F60" w:rsidP="00E965BD">
      <w:pPr>
        <w:pStyle w:val="Headings4"/>
      </w:pPr>
      <w:r>
        <w:t>Funding bodies and coverage</w:t>
      </w:r>
    </w:p>
    <w:p w:rsidR="002379F4" w:rsidRDefault="002379F4" w:rsidP="002379F4">
      <w:r w:rsidRPr="002E2203">
        <w:t>Health</w:t>
      </w:r>
      <w:r>
        <w:t xml:space="preserve"> </w:t>
      </w:r>
      <w:r w:rsidRPr="002E2203">
        <w:t>care in the Netherlands is covered by t</w:t>
      </w:r>
      <w:r>
        <w:t>wo forms of insurance:</w:t>
      </w:r>
      <w:r w:rsidRPr="002E2203">
        <w:t xml:space="preserve"> obligatory health insurance w</w:t>
      </w:r>
      <w:r>
        <w:t>here</w:t>
      </w:r>
      <w:r w:rsidRPr="002E2203">
        <w:t xml:space="preserve"> private h</w:t>
      </w:r>
      <w:r>
        <w:t xml:space="preserve">ealth insurance companies cover </w:t>
      </w:r>
      <w:r w:rsidRPr="002E2203">
        <w:t>short-term medical treatment; whilst long-term treatments (</w:t>
      </w:r>
      <w:r w:rsidRPr="005F4B0B">
        <w:rPr>
          <w:i/>
        </w:rPr>
        <w:t>e</w:t>
      </w:r>
      <w:r w:rsidR="004B6BA9">
        <w:rPr>
          <w:i/>
        </w:rPr>
        <w:t>.</w:t>
      </w:r>
      <w:r w:rsidRPr="005F4B0B">
        <w:rPr>
          <w:i/>
        </w:rPr>
        <w:t>g</w:t>
      </w:r>
      <w:r w:rsidR="004B6BA9">
        <w:rPr>
          <w:i/>
        </w:rPr>
        <w:t>.</w:t>
      </w:r>
      <w:r w:rsidRPr="002E2203">
        <w:t xml:space="preserve"> semi-permanent hospitalisation) are covered by a state-controlled mandatory insurance</w:t>
      </w:r>
      <w:r>
        <w:t xml:space="preserve"> scheme</w:t>
      </w:r>
      <w:r w:rsidRPr="002E2203">
        <w:t xml:space="preserve"> </w:t>
      </w:r>
      <w:r w:rsidR="00A130D0">
        <w:rPr>
          <w:noProof/>
        </w:rPr>
        <w:t>(</w:t>
      </w:r>
      <w:r w:rsidR="00184B6F">
        <w:rPr>
          <w:noProof/>
        </w:rPr>
        <w:t>Schafer et al. 2010</w:t>
      </w:r>
      <w:r w:rsidR="00A130D0">
        <w:rPr>
          <w:noProof/>
        </w:rPr>
        <w:t>)</w:t>
      </w:r>
      <w:r w:rsidRPr="002E2203">
        <w:t>.</w:t>
      </w:r>
    </w:p>
    <w:p w:rsidR="00092F60" w:rsidRDefault="002379F4" w:rsidP="00092F60">
      <w:r w:rsidRPr="002E2203">
        <w:t>Canada is the only country with a universal (publicly funded) health</w:t>
      </w:r>
      <w:r>
        <w:t xml:space="preserve"> </w:t>
      </w:r>
      <w:r w:rsidRPr="002E2203">
        <w:t>care system that does not include coverage of prescription medication</w:t>
      </w:r>
      <w:r>
        <w:t>s</w:t>
      </w:r>
      <w:r w:rsidRPr="002E2203">
        <w:t>, except for drugs administered in hospitals and for certain special populations (</w:t>
      </w:r>
      <w:r w:rsidR="004B6BA9">
        <w:rPr>
          <w:i/>
        </w:rPr>
        <w:t>e.g.</w:t>
      </w:r>
      <w:r w:rsidRPr="002E2203">
        <w:t xml:space="preserve"> e</w:t>
      </w:r>
      <w:r>
        <w:t>lderly or indigent) in some provin</w:t>
      </w:r>
      <w:r w:rsidRPr="002E2203">
        <w:t xml:space="preserve">ces. </w:t>
      </w:r>
      <w:r>
        <w:t>T</w:t>
      </w:r>
      <w:r w:rsidRPr="002E2203">
        <w:t xml:space="preserve">he majority of the population obtains drug coverage through private insurers, either through their employers or purchased individually </w:t>
      </w:r>
      <w:r w:rsidR="00A130D0">
        <w:rPr>
          <w:noProof/>
        </w:rPr>
        <w:t>(</w:t>
      </w:r>
      <w:r w:rsidR="00184B6F">
        <w:rPr>
          <w:noProof/>
        </w:rPr>
        <w:t>ISPOR 2011</w:t>
      </w:r>
      <w:r w:rsidR="00A130D0">
        <w:rPr>
          <w:noProof/>
        </w:rPr>
        <w:t>)</w:t>
      </w:r>
      <w:r w:rsidRPr="002E2203">
        <w:t>.</w:t>
      </w:r>
    </w:p>
    <w:p w:rsidR="00092F60" w:rsidRPr="00073709" w:rsidRDefault="00092F60">
      <w:bookmarkStart w:id="574" w:name="_Toc404976343"/>
      <w:bookmarkStart w:id="575" w:name="_Toc404980716"/>
      <w:r w:rsidRPr="00BD7C08">
        <w:t xml:space="preserve">In other counties, </w:t>
      </w:r>
      <w:r w:rsidR="003C4757">
        <w:t xml:space="preserve">including Australia, </w:t>
      </w:r>
      <w:r w:rsidRPr="00BD7C08">
        <w:t xml:space="preserve">health care is primarily public, financed mainly from national health insurance and/or general taxation </w:t>
      </w:r>
      <w:r>
        <w:t>(</w:t>
      </w:r>
      <w:r w:rsidR="00A72B26" w:rsidRPr="003F3F2D">
        <w:t xml:space="preserve">Appendix </w:t>
      </w:r>
      <w:r w:rsidR="00A72B26">
        <w:t>I</w:t>
      </w:r>
      <w:r w:rsidRPr="00BD7C08">
        <w:t xml:space="preserve">, </w:t>
      </w:r>
      <w:r w:rsidR="00A72B26">
        <w:t xml:space="preserve">Table </w:t>
      </w:r>
      <w:r w:rsidR="00A72B26">
        <w:rPr>
          <w:noProof/>
        </w:rPr>
        <w:t>173</w:t>
      </w:r>
      <w:r>
        <w:t>).</w:t>
      </w:r>
      <w:bookmarkEnd w:id="574"/>
      <w:bookmarkEnd w:id="575"/>
    </w:p>
    <w:p w:rsidR="00092F60" w:rsidRDefault="00092F60" w:rsidP="00E965BD">
      <w:pPr>
        <w:pStyle w:val="Headings4"/>
      </w:pPr>
      <w:r>
        <w:t>Level of reimbursement for pharmaceutical products</w:t>
      </w:r>
    </w:p>
    <w:p w:rsidR="00092F60" w:rsidRDefault="002379F4" w:rsidP="00092F60">
      <w:r>
        <w:t>The level of reimbursement varies across countries. For example, Austrian social insurance covers the drug price, less a fixed sum of patient contribution of 5.4 Euro per pack. In Spain and France, however, a percentage of the overall drug cost is covered by the respective national health care insurance agency. In Spain, the level of reimbursement relies on health care settings and disease conditions: 100% reimbursement for hospital pharmaceuticals, 90% reimbursement for pharmaceuticals for the management of chronic illnesses (</w:t>
      </w:r>
      <w:r>
        <w:rPr>
          <w:i/>
        </w:rPr>
        <w:t>e</w:t>
      </w:r>
      <w:r w:rsidR="004B6BA9">
        <w:rPr>
          <w:i/>
        </w:rPr>
        <w:t>.</w:t>
      </w:r>
      <w:r w:rsidRPr="008C1FE4">
        <w:rPr>
          <w:i/>
        </w:rPr>
        <w:t>g</w:t>
      </w:r>
      <w:r w:rsidR="004B6BA9">
        <w:rPr>
          <w:i/>
        </w:rPr>
        <w:t>.</w:t>
      </w:r>
      <w:r>
        <w:t xml:space="preserve"> diabetes, asthma and epilepsy), and 60% reimbursement for the majority of prescription-only pharmaceuticals </w:t>
      </w:r>
      <w:r w:rsidR="00A130D0">
        <w:rPr>
          <w:noProof/>
        </w:rPr>
        <w:t>(</w:t>
      </w:r>
      <w:r w:rsidR="00184B6F">
        <w:rPr>
          <w:noProof/>
        </w:rPr>
        <w:t>ISPOR 2009d</w:t>
      </w:r>
      <w:r w:rsidR="00A130D0">
        <w:rPr>
          <w:noProof/>
        </w:rPr>
        <w:t>)</w:t>
      </w:r>
      <w:r>
        <w:t>. The d</w:t>
      </w:r>
      <w:r w:rsidR="004B6BA9">
        <w:t>eg</w:t>
      </w:r>
      <w:r>
        <w:t xml:space="preserve">ree of patient co-payment in France </w:t>
      </w:r>
      <w:r w:rsidRPr="000A4599">
        <w:t>rang</w:t>
      </w:r>
      <w:r>
        <w:t>es</w:t>
      </w:r>
      <w:r w:rsidRPr="000A4599">
        <w:t xml:space="preserve"> from 35% to 100% of its retail price</w:t>
      </w:r>
      <w:r>
        <w:t>, depending on t</w:t>
      </w:r>
      <w:r w:rsidRPr="000A4599">
        <w:t>he product’s medical value classification</w:t>
      </w:r>
      <w:r>
        <w:t xml:space="preserve"> </w:t>
      </w:r>
      <w:r w:rsidR="00A130D0">
        <w:rPr>
          <w:noProof/>
        </w:rPr>
        <w:t>(</w:t>
      </w:r>
      <w:r w:rsidR="00184B6F">
        <w:rPr>
          <w:noProof/>
        </w:rPr>
        <w:t>Garau &amp; Mestre-Ferrandiz 2009</w:t>
      </w:r>
      <w:r w:rsidR="00A130D0">
        <w:rPr>
          <w:noProof/>
        </w:rPr>
        <w:t xml:space="preserve">; </w:t>
      </w:r>
      <w:r w:rsidR="00184B6F">
        <w:rPr>
          <w:noProof/>
        </w:rPr>
        <w:t>ISPOR 2009b</w:t>
      </w:r>
      <w:r w:rsidR="00A130D0">
        <w:rPr>
          <w:noProof/>
        </w:rPr>
        <w:t>)</w:t>
      </w:r>
      <w:r w:rsidRPr="000A4599">
        <w:t>.</w:t>
      </w:r>
      <w:r>
        <w:t xml:space="preserve"> </w:t>
      </w:r>
    </w:p>
    <w:p w:rsidR="00BF6883" w:rsidRDefault="00DB4EE8" w:rsidP="00D60032">
      <w:pPr>
        <w:pStyle w:val="Heading2"/>
      </w:pPr>
      <w:bookmarkStart w:id="576" w:name="_Toc404937318"/>
      <w:r>
        <w:tab/>
      </w:r>
      <w:bookmarkStart w:id="577" w:name="_Toc415141746"/>
      <w:r w:rsidR="00BF6883">
        <w:t>Mechanisms for subsidy</w:t>
      </w:r>
      <w:bookmarkEnd w:id="577"/>
    </w:p>
    <w:p w:rsidR="00092F60" w:rsidRDefault="00092F60" w:rsidP="00E965BD">
      <w:pPr>
        <w:pStyle w:val="Headings4"/>
      </w:pPr>
      <w:r>
        <w:t>Definition of rare and ultra-rare diseases</w:t>
      </w:r>
      <w:bookmarkEnd w:id="576"/>
    </w:p>
    <w:p w:rsidR="002379F4" w:rsidRDefault="002379F4" w:rsidP="002379F4">
      <w:r>
        <w:t xml:space="preserve">The definition of rare diseases varied between the identified funding bodies. In most cases this definition was defined by legislative activity that was often designed to provide incentives for industry for developing and marketing drugs to diagnose, treat, or prevent rare conditions. </w:t>
      </w:r>
    </w:p>
    <w:p w:rsidR="003C4757" w:rsidRDefault="002379F4" w:rsidP="003C4757">
      <w:r>
        <w:t>In the European Union (EU), orphan drug legislation (Regulation (EC) No 141/2000) came into effect in the year 2000 and defined rare diseases as those with a prevalence of not more than 5 in 10,000 (</w:t>
      </w:r>
      <w:r w:rsidR="009161F9">
        <w:t>i.e.</w:t>
      </w:r>
      <w:r>
        <w:t xml:space="preserve"> 1:2,000) </w:t>
      </w:r>
      <w:r w:rsidR="00A130D0">
        <w:rPr>
          <w:noProof/>
        </w:rPr>
        <w:t>(</w:t>
      </w:r>
      <w:r w:rsidR="00184B6F">
        <w:rPr>
          <w:noProof/>
        </w:rPr>
        <w:t>Canadian Agency for Drugs and Technologies in Health 2013</w:t>
      </w:r>
      <w:r w:rsidR="00A130D0">
        <w:rPr>
          <w:noProof/>
        </w:rPr>
        <w:t>)</w:t>
      </w:r>
      <w:r>
        <w:t xml:space="preserve">. While orphan designation and authorisation is processed at the EU level, it is the responsibility of individual EU member states to fund orphan drugs for their various indications. The vast </w:t>
      </w:r>
      <w:r>
        <w:lastRenderedPageBreak/>
        <w:t>majority of the member states identified during this review employ the EU definition of a rare disease for this purpose.</w:t>
      </w:r>
      <w:r w:rsidR="003C4757">
        <w:t xml:space="preserve"> </w:t>
      </w:r>
    </w:p>
    <w:p w:rsidR="003C4757" w:rsidRDefault="003C4757" w:rsidP="003C4757">
      <w:r>
        <w:t xml:space="preserve">Although there is no explicit definition of a ‘rare disease’ used for determining eligibility for the LSDP, one criterion for the funding of a drug via the LSPD is that the drug should be approved by the TGA for treatment of a rare but clinically definable disease. According to the </w:t>
      </w:r>
      <w:r w:rsidRPr="009E2DFD">
        <w:t>Therapeutic Goods Regulations 1990</w:t>
      </w:r>
      <w:r>
        <w:t>, a</w:t>
      </w:r>
      <w:r w:rsidRPr="009E2DFD">
        <w:t xml:space="preserve"> rare disease is defined as “a disease, or condition, likely to affect not more than 2,000 individuals in Australia at any time”</w:t>
      </w:r>
      <w:r>
        <w:t xml:space="preserve"> </w:t>
      </w:r>
      <w:r w:rsidR="00746F05">
        <w:rPr>
          <w:noProof/>
        </w:rPr>
        <w:t>(</w:t>
      </w:r>
      <w:r w:rsidR="00184B6F">
        <w:rPr>
          <w:noProof/>
        </w:rPr>
        <w:t>Australian Government 1990</w:t>
      </w:r>
      <w:r w:rsidR="00746F05">
        <w:rPr>
          <w:noProof/>
        </w:rPr>
        <w:t>)</w:t>
      </w:r>
      <w:r w:rsidRPr="009E2DFD">
        <w:t>.</w:t>
      </w:r>
      <w:r>
        <w:t xml:space="preserve"> This corresponds to a prevalence of about &lt;1 in 10,000, a stricter definition of rare disease than most of the other countries included in the review. The TGA Orphan Drugs</w:t>
      </w:r>
      <w:r>
        <w:rPr>
          <w:rStyle w:val="FootnoteReference"/>
        </w:rPr>
        <w:footnoteReference w:id="29"/>
      </w:r>
      <w:r>
        <w:t xml:space="preserve"> P</w:t>
      </w:r>
      <w:r w:rsidRPr="00620127">
        <w:t xml:space="preserve">rogram was established </w:t>
      </w:r>
      <w:r>
        <w:t xml:space="preserve">in 1998 with the purpose of helping make medicines available to sufferers of rare diseases. It is noted that the TGA Orphan Drugs Program is </w:t>
      </w:r>
      <w:r w:rsidR="00B06D06">
        <w:t xml:space="preserve">currently </w:t>
      </w:r>
      <w:r>
        <w:t xml:space="preserve">under review. The January 2015 discussion paper : 1) highlighted three </w:t>
      </w:r>
      <w:r w:rsidRPr="00E46880">
        <w:t>areas of co</w:t>
      </w:r>
      <w:r>
        <w:t>nsideration for possible reform, including</w:t>
      </w:r>
      <w:r w:rsidRPr="00E46880">
        <w:t xml:space="preserve"> </w:t>
      </w:r>
      <w:r>
        <w:t xml:space="preserve">the definition of </w:t>
      </w:r>
      <w:r w:rsidRPr="00E46880">
        <w:t>orphan drug</w:t>
      </w:r>
      <w:r>
        <w:t>s</w:t>
      </w:r>
      <w:r w:rsidRPr="00E46880">
        <w:t xml:space="preserve">, </w:t>
      </w:r>
      <w:r>
        <w:t xml:space="preserve">the </w:t>
      </w:r>
      <w:r w:rsidRPr="00E46880">
        <w:t>patient threshold and possible charging models</w:t>
      </w:r>
      <w:r>
        <w:t xml:space="preserve">; 2) put forward possible reform options for each of the areas of consideration; and 3) suggested several combinations of reform options for further consultation </w:t>
      </w:r>
      <w:r w:rsidR="00746F05">
        <w:rPr>
          <w:noProof/>
        </w:rPr>
        <w:t>(</w:t>
      </w:r>
      <w:r w:rsidR="00184B6F">
        <w:rPr>
          <w:noProof/>
        </w:rPr>
        <w:t>Therapeutic Goods Administration 2015</w:t>
      </w:r>
      <w:r w:rsidR="00746F05">
        <w:rPr>
          <w:noProof/>
        </w:rPr>
        <w:t>)</w:t>
      </w:r>
      <w:r>
        <w:t>.</w:t>
      </w:r>
    </w:p>
    <w:p w:rsidR="002379F4" w:rsidRDefault="00A72B26" w:rsidP="002379F4">
      <w:r>
        <w:t xml:space="preserve">Table </w:t>
      </w:r>
      <w:r>
        <w:rPr>
          <w:noProof/>
        </w:rPr>
        <w:t>137</w:t>
      </w:r>
      <w:r w:rsidR="002379F4">
        <w:t xml:space="preserve"> contains a summary of the definitions of rare diseases employed by various funding bodies identified during the review. </w:t>
      </w:r>
    </w:p>
    <w:p w:rsidR="002379F4" w:rsidRDefault="002379F4" w:rsidP="002379F4">
      <w:pPr>
        <w:pStyle w:val="Caption"/>
        <w:keepNext/>
        <w:tabs>
          <w:tab w:val="clear" w:pos="851"/>
          <w:tab w:val="left" w:pos="1134"/>
        </w:tabs>
        <w:ind w:left="1134" w:hanging="1134"/>
      </w:pPr>
      <w:bookmarkStart w:id="578" w:name="_Ref402255240"/>
      <w:bookmarkStart w:id="579" w:name="_Toc403720099"/>
      <w:bookmarkStart w:id="580" w:name="_Toc404976344"/>
      <w:bookmarkStart w:id="581" w:name="_Toc405362006"/>
      <w:bookmarkStart w:id="582" w:name="_Toc411510500"/>
      <w:bookmarkStart w:id="583" w:name="_Toc415141934"/>
      <w:r>
        <w:lastRenderedPageBreak/>
        <w:t xml:space="preserve">Table </w:t>
      </w:r>
      <w:r w:rsidR="00A72B26">
        <w:rPr>
          <w:noProof/>
        </w:rPr>
        <w:t>137</w:t>
      </w:r>
      <w:bookmarkEnd w:id="578"/>
      <w:r>
        <w:tab/>
        <w:t>Definition of rare and/or ultra-rare diseases</w:t>
      </w:r>
      <w:bookmarkEnd w:id="579"/>
      <w:bookmarkEnd w:id="580"/>
      <w:bookmarkEnd w:id="581"/>
      <w:bookmarkEnd w:id="582"/>
      <w:bookmarkEnd w:id="583"/>
    </w:p>
    <w:tbl>
      <w:tblPr>
        <w:tblStyle w:val="TableGrid"/>
        <w:tblW w:w="9322" w:type="dxa"/>
        <w:tblLook w:val="04A0" w:firstRow="1" w:lastRow="0" w:firstColumn="1" w:lastColumn="0" w:noHBand="0" w:noVBand="1"/>
        <w:tblCaption w:val="Table 102 Definition of rare and/or ultra-rare diseases"/>
      </w:tblPr>
      <w:tblGrid>
        <w:gridCol w:w="4786"/>
        <w:gridCol w:w="4536"/>
      </w:tblGrid>
      <w:tr w:rsidR="002379F4" w:rsidRPr="00FB01BA" w:rsidTr="002379F4">
        <w:trPr>
          <w:tblHeader/>
        </w:trPr>
        <w:tc>
          <w:tcPr>
            <w:tcW w:w="4786" w:type="dxa"/>
          </w:tcPr>
          <w:p w:rsidR="002379F4" w:rsidRPr="00FB01BA" w:rsidRDefault="002379F4" w:rsidP="002379F4">
            <w:pPr>
              <w:pStyle w:val="TableHeading"/>
            </w:pPr>
            <w:r w:rsidRPr="00FB01BA">
              <w:t>Organisation / Region</w:t>
            </w:r>
          </w:p>
        </w:tc>
        <w:tc>
          <w:tcPr>
            <w:tcW w:w="4536" w:type="dxa"/>
          </w:tcPr>
          <w:p w:rsidR="002379F4" w:rsidRPr="00FB01BA" w:rsidRDefault="002379F4" w:rsidP="002379F4">
            <w:pPr>
              <w:pStyle w:val="TableHeading"/>
            </w:pPr>
            <w:r w:rsidRPr="00FB01BA">
              <w:t>Definition of rare diseases</w:t>
            </w:r>
          </w:p>
        </w:tc>
      </w:tr>
      <w:tr w:rsidR="003C4757" w:rsidRPr="00FB01BA" w:rsidTr="002379F4">
        <w:tc>
          <w:tcPr>
            <w:tcW w:w="4786" w:type="dxa"/>
          </w:tcPr>
          <w:p w:rsidR="003C4757" w:rsidRPr="000B4C23" w:rsidRDefault="003C4757" w:rsidP="00184B6F">
            <w:pPr>
              <w:pStyle w:val="TableText0"/>
              <w:rPr>
                <w:rStyle w:val="TableHeadingChar"/>
              </w:rPr>
            </w:pPr>
            <w:r>
              <w:rPr>
                <w:rStyle w:val="TableHeadingChar"/>
              </w:rPr>
              <w:t xml:space="preserve">Australia: </w:t>
            </w:r>
            <w:r w:rsidRPr="00242BC7">
              <w:rPr>
                <w:rStyle w:val="TableHeadingChar"/>
                <w:b w:val="0"/>
                <w:lang w:val="en-AU"/>
              </w:rPr>
              <w:t>Therapeutic Goods Administration</w:t>
            </w:r>
            <w:r>
              <w:rPr>
                <w:rStyle w:val="TableHeadingChar"/>
                <w:b w:val="0"/>
                <w:lang w:val="en-AU"/>
              </w:rPr>
              <w:t xml:space="preserve"> </w:t>
            </w:r>
            <w:r w:rsidR="00746F05">
              <w:rPr>
                <w:rStyle w:val="TableHeadingChar"/>
                <w:b w:val="0"/>
                <w:noProof/>
                <w:lang w:val="en-AU"/>
              </w:rPr>
              <w:t>(</w:t>
            </w:r>
            <w:r w:rsidR="00184B6F">
              <w:rPr>
                <w:rStyle w:val="TableHeadingChar"/>
                <w:b w:val="0"/>
                <w:noProof/>
                <w:lang w:val="en-AU"/>
              </w:rPr>
              <w:t>Australian Government 1990</w:t>
            </w:r>
            <w:r w:rsidR="00746F05">
              <w:rPr>
                <w:rStyle w:val="TableHeadingChar"/>
                <w:b w:val="0"/>
                <w:noProof/>
                <w:lang w:val="en-AU"/>
              </w:rPr>
              <w:t>)</w:t>
            </w:r>
          </w:p>
        </w:tc>
        <w:tc>
          <w:tcPr>
            <w:tcW w:w="4536" w:type="dxa"/>
          </w:tcPr>
          <w:p w:rsidR="003C4757" w:rsidRPr="00FB01BA" w:rsidRDefault="003C4757" w:rsidP="002379F4">
            <w:pPr>
              <w:pStyle w:val="TableText0"/>
            </w:pPr>
            <w:r>
              <w:t xml:space="preserve">Affects ≤2,000 Australians, </w:t>
            </w:r>
            <w:r w:rsidR="009161F9">
              <w:rPr>
                <w:i/>
              </w:rPr>
              <w:t>i.e.</w:t>
            </w:r>
            <w:r>
              <w:rPr>
                <w:i/>
              </w:rPr>
              <w:t xml:space="preserve"> </w:t>
            </w:r>
            <w:r>
              <w:t xml:space="preserve">prevalence of about &lt; 1 in 10,000 </w:t>
            </w:r>
          </w:p>
        </w:tc>
      </w:tr>
      <w:tr w:rsidR="002379F4" w:rsidRPr="00FB01BA" w:rsidTr="002379F4">
        <w:tc>
          <w:tcPr>
            <w:tcW w:w="4786" w:type="dxa"/>
          </w:tcPr>
          <w:p w:rsidR="002379F4" w:rsidRPr="00FB01BA" w:rsidRDefault="002379F4" w:rsidP="00184B6F">
            <w:pPr>
              <w:pStyle w:val="TableText0"/>
            </w:pPr>
            <w:r w:rsidRPr="000B4C23">
              <w:rPr>
                <w:rStyle w:val="TableHeadingChar"/>
              </w:rPr>
              <w:t>Ontario, Canada</w:t>
            </w:r>
            <w:r w:rsidRPr="00FB01BA">
              <w:t xml:space="preserve"> (Ontario Public Drug Programs) </w:t>
            </w:r>
            <w:r w:rsidR="00A130D0">
              <w:rPr>
                <w:noProof/>
              </w:rPr>
              <w:t>(</w:t>
            </w:r>
            <w:r w:rsidR="00184B6F">
              <w:rPr>
                <w:noProof/>
              </w:rPr>
              <w:t>Canadian Agency for Drugs and Technologies in Health 2013</w:t>
            </w:r>
            <w:r w:rsidR="00A130D0">
              <w:rPr>
                <w:noProof/>
              </w:rPr>
              <w:t>)</w:t>
            </w:r>
          </w:p>
        </w:tc>
        <w:tc>
          <w:tcPr>
            <w:tcW w:w="4536" w:type="dxa"/>
          </w:tcPr>
          <w:p w:rsidR="002379F4" w:rsidRPr="00FB01BA" w:rsidRDefault="002379F4" w:rsidP="002379F4">
            <w:pPr>
              <w:pStyle w:val="TableText0"/>
            </w:pPr>
            <w:r w:rsidRPr="00FB01BA">
              <w:t>Incidence rate of &lt; 1:150,000 live births or new diagnoses per year</w:t>
            </w:r>
          </w:p>
        </w:tc>
      </w:tr>
      <w:tr w:rsidR="002379F4" w:rsidRPr="00FB01BA" w:rsidTr="002379F4">
        <w:tc>
          <w:tcPr>
            <w:tcW w:w="4786" w:type="dxa"/>
          </w:tcPr>
          <w:p w:rsidR="002379F4" w:rsidRPr="00FB01BA" w:rsidRDefault="002379F4" w:rsidP="00184B6F">
            <w:pPr>
              <w:pStyle w:val="TableText0"/>
            </w:pPr>
            <w:r w:rsidRPr="000B4C23">
              <w:rPr>
                <w:rStyle w:val="TableHeadingChar"/>
              </w:rPr>
              <w:t>Alberta, Canada:</w:t>
            </w:r>
            <w:r w:rsidRPr="00FB01BA">
              <w:t xml:space="preserve"> Alberta Human Services </w:t>
            </w:r>
            <w:r w:rsidR="00A130D0">
              <w:rPr>
                <w:noProof/>
              </w:rPr>
              <w:t>(</w:t>
            </w:r>
            <w:r w:rsidR="00184B6F">
              <w:rPr>
                <w:noProof/>
              </w:rPr>
              <w:t>Alberta Health and Wellness 2008</w:t>
            </w:r>
            <w:r w:rsidR="00A130D0">
              <w:rPr>
                <w:noProof/>
              </w:rPr>
              <w:t xml:space="preserve">; </w:t>
            </w:r>
            <w:r w:rsidR="00184B6F">
              <w:rPr>
                <w:noProof/>
              </w:rPr>
              <w:t>Canadian Agency for Drugs and Technologies in Health 2013</w:t>
            </w:r>
            <w:r w:rsidR="00A130D0">
              <w:rPr>
                <w:noProof/>
              </w:rPr>
              <w:t>)</w:t>
            </w:r>
          </w:p>
        </w:tc>
        <w:tc>
          <w:tcPr>
            <w:tcW w:w="4536" w:type="dxa"/>
          </w:tcPr>
          <w:p w:rsidR="002379F4" w:rsidRPr="00FB01BA" w:rsidRDefault="002379F4" w:rsidP="002379F4">
            <w:pPr>
              <w:pStyle w:val="TableText0"/>
            </w:pPr>
            <w:r w:rsidRPr="00FB01BA">
              <w:t xml:space="preserve">Genetic lysosomal storage disorders occurring &lt; 1 in 50,000 Canadians </w:t>
            </w:r>
          </w:p>
        </w:tc>
      </w:tr>
      <w:tr w:rsidR="002379F4" w:rsidRPr="00FB01BA" w:rsidTr="002379F4">
        <w:tc>
          <w:tcPr>
            <w:tcW w:w="4786" w:type="dxa"/>
          </w:tcPr>
          <w:p w:rsidR="002379F4" w:rsidRPr="00FB01BA" w:rsidRDefault="002379F4" w:rsidP="00184B6F">
            <w:pPr>
              <w:pStyle w:val="TableText0"/>
            </w:pPr>
            <w:r w:rsidRPr="000B4C23">
              <w:rPr>
                <w:rStyle w:val="TableHeadingChar"/>
              </w:rPr>
              <w:t>European Medicines Agency</w:t>
            </w:r>
            <w:r w:rsidRPr="00FB01BA">
              <w:t xml:space="preserve"> </w:t>
            </w:r>
            <w:r w:rsidR="00A130D0">
              <w:rPr>
                <w:noProof/>
              </w:rPr>
              <w:t>(</w:t>
            </w:r>
            <w:r w:rsidR="00184B6F">
              <w:rPr>
                <w:noProof/>
              </w:rPr>
              <w:t>Canadian Agency for Drugs and Technologies in Health 2013</w:t>
            </w:r>
            <w:r w:rsidR="00A130D0">
              <w:rPr>
                <w:noProof/>
              </w:rPr>
              <w:t>)</w:t>
            </w:r>
          </w:p>
        </w:tc>
        <w:tc>
          <w:tcPr>
            <w:tcW w:w="4536" w:type="dxa"/>
          </w:tcPr>
          <w:p w:rsidR="002379F4" w:rsidRPr="00FB01BA" w:rsidRDefault="002379F4" w:rsidP="002379F4">
            <w:pPr>
              <w:pStyle w:val="TableText0"/>
            </w:pPr>
            <w:r w:rsidRPr="00FB01BA">
              <w:t>Prevalence of &lt; 5 in 10,000</w:t>
            </w:r>
          </w:p>
        </w:tc>
      </w:tr>
      <w:tr w:rsidR="002379F4" w:rsidRPr="00FB01BA" w:rsidTr="002379F4">
        <w:tc>
          <w:tcPr>
            <w:tcW w:w="4786" w:type="dxa"/>
          </w:tcPr>
          <w:p w:rsidR="002379F4" w:rsidRPr="00FB01BA" w:rsidRDefault="002379F4" w:rsidP="00184B6F">
            <w:pPr>
              <w:pStyle w:val="TableText0"/>
            </w:pPr>
            <w:r w:rsidRPr="000B4C23">
              <w:rPr>
                <w:rStyle w:val="TableHeadingChar"/>
              </w:rPr>
              <w:t>Sweden</w:t>
            </w:r>
            <w:r w:rsidRPr="00FB01BA">
              <w:t xml:space="preserve">: Swedish National Health Service </w:t>
            </w:r>
            <w:r w:rsidR="00A130D0">
              <w:rPr>
                <w:noProof/>
              </w:rPr>
              <w:t>(</w:t>
            </w:r>
            <w:r w:rsidR="00184B6F">
              <w:rPr>
                <w:noProof/>
              </w:rPr>
              <w:t>Visschers, van Gemert &amp; Olde Damink 2011</w:t>
            </w:r>
            <w:r w:rsidR="00A130D0">
              <w:rPr>
                <w:noProof/>
              </w:rPr>
              <w:t>)</w:t>
            </w:r>
          </w:p>
        </w:tc>
        <w:tc>
          <w:tcPr>
            <w:tcW w:w="4536" w:type="dxa"/>
          </w:tcPr>
          <w:p w:rsidR="002379F4" w:rsidRPr="00FB01BA" w:rsidRDefault="002379F4" w:rsidP="002379F4">
            <w:pPr>
              <w:pStyle w:val="TableText0"/>
            </w:pPr>
            <w:r w:rsidRPr="00FB01BA">
              <w:t>Prevalence of &lt; 1 in 10,000</w:t>
            </w:r>
          </w:p>
        </w:tc>
      </w:tr>
      <w:tr w:rsidR="002379F4" w:rsidRPr="00FB01BA" w:rsidTr="002379F4">
        <w:tc>
          <w:tcPr>
            <w:tcW w:w="4786" w:type="dxa"/>
          </w:tcPr>
          <w:p w:rsidR="002379F4" w:rsidRPr="00FB01BA" w:rsidRDefault="002379F4" w:rsidP="00184B6F">
            <w:pPr>
              <w:pStyle w:val="TableText0"/>
            </w:pPr>
            <w:r w:rsidRPr="000B4C23">
              <w:rPr>
                <w:rStyle w:val="TableHeadingChar"/>
              </w:rPr>
              <w:t>United Kingdom:</w:t>
            </w:r>
            <w:r w:rsidRPr="00FB01BA">
              <w:t xml:space="preserve"> National Institute for Clinical Excellence </w:t>
            </w:r>
            <w:r w:rsidR="00A130D0">
              <w:rPr>
                <w:noProof/>
              </w:rPr>
              <w:t>(</w:t>
            </w:r>
            <w:r w:rsidR="00184B6F">
              <w:rPr>
                <w:noProof/>
              </w:rPr>
              <w:t>Picavet, Cassiman &amp; Simoens 2013</w:t>
            </w:r>
            <w:r w:rsidR="00A130D0">
              <w:rPr>
                <w:noProof/>
              </w:rPr>
              <w:t>)</w:t>
            </w:r>
          </w:p>
        </w:tc>
        <w:tc>
          <w:tcPr>
            <w:tcW w:w="4536" w:type="dxa"/>
          </w:tcPr>
          <w:p w:rsidR="002379F4" w:rsidRPr="00FB01BA" w:rsidRDefault="002379F4" w:rsidP="002379F4">
            <w:pPr>
              <w:pStyle w:val="TableText0"/>
            </w:pPr>
            <w:r w:rsidRPr="00FB01BA">
              <w:t xml:space="preserve">Affects &lt; 1000 people in England and Wales, </w:t>
            </w:r>
            <w:r w:rsidR="009161F9" w:rsidRPr="00FB01BA">
              <w:rPr>
                <w:i/>
              </w:rPr>
              <w:t>i.e.</w:t>
            </w:r>
            <w:r w:rsidRPr="00FB01BA">
              <w:rPr>
                <w:i/>
              </w:rPr>
              <w:t xml:space="preserve"> </w:t>
            </w:r>
            <w:r w:rsidRPr="00FB01BA">
              <w:t>prevalence of &lt; 1 in 50,000</w:t>
            </w:r>
            <w:r w:rsidRPr="00FB01BA">
              <w:rPr>
                <w:vertAlign w:val="superscript"/>
              </w:rPr>
              <w:t>a</w:t>
            </w:r>
          </w:p>
        </w:tc>
      </w:tr>
      <w:tr w:rsidR="002379F4" w:rsidRPr="00FB01BA" w:rsidTr="002379F4">
        <w:tc>
          <w:tcPr>
            <w:tcW w:w="4786" w:type="dxa"/>
          </w:tcPr>
          <w:p w:rsidR="002379F4" w:rsidRPr="00FB01BA" w:rsidRDefault="002379F4" w:rsidP="00184B6F">
            <w:pPr>
              <w:pStyle w:val="TableText0"/>
            </w:pPr>
            <w:r w:rsidRPr="000B4C23">
              <w:rPr>
                <w:rStyle w:val="TableHeadingChar"/>
              </w:rPr>
              <w:t>United States</w:t>
            </w:r>
            <w:r w:rsidRPr="00FB01BA">
              <w:t xml:space="preserve">: Food and Drug Administration </w:t>
            </w:r>
            <w:r w:rsidR="00A130D0">
              <w:rPr>
                <w:noProof/>
              </w:rPr>
              <w:t>(</w:t>
            </w:r>
            <w:r w:rsidR="00184B6F">
              <w:rPr>
                <w:noProof/>
              </w:rPr>
              <w:t>Visschers, van Gemert &amp; Olde Damink 2011</w:t>
            </w:r>
            <w:r w:rsidR="00A130D0">
              <w:rPr>
                <w:noProof/>
              </w:rPr>
              <w:t>)</w:t>
            </w:r>
          </w:p>
        </w:tc>
        <w:tc>
          <w:tcPr>
            <w:tcW w:w="4536" w:type="dxa"/>
          </w:tcPr>
          <w:p w:rsidR="002379F4" w:rsidRPr="00FB01BA" w:rsidRDefault="002379F4" w:rsidP="002379F4">
            <w:pPr>
              <w:pStyle w:val="TableText0"/>
            </w:pPr>
            <w:r w:rsidRPr="00FB01BA">
              <w:t xml:space="preserve">Affects &lt; 200,000 Americans, </w:t>
            </w:r>
            <w:r w:rsidR="009161F9" w:rsidRPr="00FB01BA">
              <w:rPr>
                <w:i/>
              </w:rPr>
              <w:t>i.e.</w:t>
            </w:r>
            <w:r w:rsidRPr="00FB01BA">
              <w:t xml:space="preserve"> prevalence of &lt; 1 in 1,500</w:t>
            </w:r>
          </w:p>
        </w:tc>
      </w:tr>
      <w:tr w:rsidR="002379F4" w:rsidRPr="00FB01BA" w:rsidTr="002379F4">
        <w:tc>
          <w:tcPr>
            <w:tcW w:w="4786" w:type="dxa"/>
          </w:tcPr>
          <w:p w:rsidR="002379F4" w:rsidRPr="00FB01BA" w:rsidRDefault="002379F4" w:rsidP="00184B6F">
            <w:pPr>
              <w:pStyle w:val="TableText0"/>
            </w:pPr>
            <w:r w:rsidRPr="000B4C23">
              <w:rPr>
                <w:rStyle w:val="TableHeadingChar"/>
              </w:rPr>
              <w:t>Japan</w:t>
            </w:r>
            <w:r w:rsidRPr="00FB01BA">
              <w:t xml:space="preserve">: Ministry of Health, Labour and Welfare (MHLW) </w:t>
            </w:r>
            <w:r w:rsidR="00A130D0">
              <w:rPr>
                <w:noProof/>
              </w:rPr>
              <w:t>(</w:t>
            </w:r>
            <w:r w:rsidR="00184B6F">
              <w:rPr>
                <w:noProof/>
              </w:rPr>
              <w:t>Gao, Song &amp; Tang 2013</w:t>
            </w:r>
            <w:r w:rsidR="00A130D0">
              <w:rPr>
                <w:noProof/>
              </w:rPr>
              <w:t>)</w:t>
            </w:r>
          </w:p>
        </w:tc>
        <w:tc>
          <w:tcPr>
            <w:tcW w:w="4536" w:type="dxa"/>
          </w:tcPr>
          <w:p w:rsidR="002379F4" w:rsidRPr="00FB01BA" w:rsidRDefault="002379F4" w:rsidP="002379F4">
            <w:pPr>
              <w:pStyle w:val="TableText0"/>
            </w:pPr>
            <w:r w:rsidRPr="00FB01BA">
              <w:t xml:space="preserve">Affects &lt;50,000 people in Japan, </w:t>
            </w:r>
            <w:r w:rsidR="009161F9" w:rsidRPr="00FB01BA">
              <w:rPr>
                <w:i/>
              </w:rPr>
              <w:t>i.e.</w:t>
            </w:r>
            <w:r w:rsidRPr="00FB01BA">
              <w:rPr>
                <w:i/>
              </w:rPr>
              <w:t xml:space="preserve"> </w:t>
            </w:r>
            <w:r w:rsidRPr="00FB01BA">
              <w:t>prevalence of &lt; 4 in 10,000</w:t>
            </w:r>
          </w:p>
        </w:tc>
      </w:tr>
      <w:tr w:rsidR="002379F4" w:rsidRPr="00FB01BA" w:rsidTr="002379F4">
        <w:trPr>
          <w:trHeight w:val="1059"/>
        </w:trPr>
        <w:tc>
          <w:tcPr>
            <w:tcW w:w="4786" w:type="dxa"/>
          </w:tcPr>
          <w:p w:rsidR="002379F4" w:rsidRPr="00FB01BA" w:rsidRDefault="002379F4" w:rsidP="00184B6F">
            <w:pPr>
              <w:pStyle w:val="TableText0"/>
            </w:pPr>
            <w:r w:rsidRPr="000B4C23">
              <w:rPr>
                <w:rStyle w:val="TableHeadingChar"/>
              </w:rPr>
              <w:t>South Korea</w:t>
            </w:r>
            <w:r w:rsidRPr="00FB01BA">
              <w:t xml:space="preserve">: Ministry of Food and Drug Safety (MFDS), formerly known as the Korean Food and Drug Administration *(KFDA) </w:t>
            </w:r>
            <w:r w:rsidR="00A130D0">
              <w:rPr>
                <w:noProof/>
              </w:rPr>
              <w:t>(</w:t>
            </w:r>
            <w:r w:rsidR="00184B6F">
              <w:rPr>
                <w:noProof/>
              </w:rPr>
              <w:t>Gao, Song &amp; Tang 2013</w:t>
            </w:r>
            <w:r w:rsidR="00A130D0">
              <w:rPr>
                <w:noProof/>
              </w:rPr>
              <w:t>)</w:t>
            </w:r>
          </w:p>
        </w:tc>
        <w:tc>
          <w:tcPr>
            <w:tcW w:w="4536" w:type="dxa"/>
          </w:tcPr>
          <w:p w:rsidR="002379F4" w:rsidRPr="00FB01BA" w:rsidRDefault="002379F4" w:rsidP="002379F4">
            <w:pPr>
              <w:pStyle w:val="TableText0"/>
            </w:pPr>
            <w:r w:rsidRPr="00FB01BA">
              <w:t xml:space="preserve">Affects &lt;20,000 people in Korea, </w:t>
            </w:r>
            <w:r w:rsidR="009161F9" w:rsidRPr="00FB01BA">
              <w:rPr>
                <w:i/>
              </w:rPr>
              <w:t>i.e.</w:t>
            </w:r>
            <w:r w:rsidRPr="00FB01BA">
              <w:rPr>
                <w:i/>
              </w:rPr>
              <w:t xml:space="preserve"> </w:t>
            </w:r>
            <w:r w:rsidRPr="00FB01BA">
              <w:t>prevalence of &lt; 4 in 10,000</w:t>
            </w:r>
          </w:p>
        </w:tc>
      </w:tr>
      <w:tr w:rsidR="002379F4" w:rsidRPr="00FB01BA" w:rsidTr="002379F4">
        <w:tc>
          <w:tcPr>
            <w:tcW w:w="4786" w:type="dxa"/>
          </w:tcPr>
          <w:p w:rsidR="002379F4" w:rsidRPr="00FB01BA" w:rsidRDefault="002379F4" w:rsidP="00184B6F">
            <w:pPr>
              <w:pStyle w:val="TableText0"/>
            </w:pPr>
            <w:r w:rsidRPr="000B4C23">
              <w:rPr>
                <w:rStyle w:val="TableHeadingChar"/>
              </w:rPr>
              <w:t>China</w:t>
            </w:r>
            <w:r w:rsidRPr="00FB01BA">
              <w:t xml:space="preserve"> </w:t>
            </w:r>
            <w:r w:rsidR="00A130D0">
              <w:rPr>
                <w:noProof/>
              </w:rPr>
              <w:t>(</w:t>
            </w:r>
            <w:r w:rsidR="00184B6F">
              <w:rPr>
                <w:noProof/>
              </w:rPr>
              <w:t>Ma et al. 2011</w:t>
            </w:r>
            <w:r w:rsidR="00A130D0">
              <w:rPr>
                <w:noProof/>
              </w:rPr>
              <w:t xml:space="preserve">; </w:t>
            </w:r>
            <w:r w:rsidR="00184B6F">
              <w:rPr>
                <w:noProof/>
              </w:rPr>
              <w:t>Song et al. 2012</w:t>
            </w:r>
            <w:r w:rsidR="00A130D0">
              <w:rPr>
                <w:noProof/>
              </w:rPr>
              <w:t>)</w:t>
            </w:r>
          </w:p>
        </w:tc>
        <w:tc>
          <w:tcPr>
            <w:tcW w:w="4536" w:type="dxa"/>
          </w:tcPr>
          <w:p w:rsidR="002379F4" w:rsidRPr="00FB01BA" w:rsidRDefault="002379F4" w:rsidP="002379F4">
            <w:pPr>
              <w:pStyle w:val="TableText0"/>
            </w:pPr>
            <w:r w:rsidRPr="00FB01BA">
              <w:t xml:space="preserve">Rare diseases not been clearly defined by legislation. </w:t>
            </w:r>
          </w:p>
          <w:p w:rsidR="002379F4" w:rsidRPr="00FB01BA" w:rsidRDefault="002379F4" w:rsidP="002379F4">
            <w:pPr>
              <w:pStyle w:val="TableText0"/>
            </w:pPr>
            <w:r w:rsidRPr="00FB01BA">
              <w:t>Consensus on the definition of rare disease:  prevalent of &lt; 1 in 500,000 or neonatal incidence of &lt; 1 in 10,000</w:t>
            </w:r>
          </w:p>
        </w:tc>
      </w:tr>
    </w:tbl>
    <w:p w:rsidR="002379F4" w:rsidRPr="00CE188E" w:rsidRDefault="002379F4" w:rsidP="002379F4">
      <w:pPr>
        <w:pStyle w:val="TableNote"/>
      </w:pPr>
      <w:proofErr w:type="gramStart"/>
      <w:r w:rsidRPr="00CE188E">
        <w:rPr>
          <w:vertAlign w:val="superscript"/>
        </w:rPr>
        <w:t>a</w:t>
      </w:r>
      <w:proofErr w:type="gramEnd"/>
      <w:r w:rsidRPr="00CE188E">
        <w:t xml:space="preserve"> Definition of ultra-rare disease</w:t>
      </w:r>
    </w:p>
    <w:p w:rsidR="002379F4" w:rsidRDefault="002379F4" w:rsidP="002379F4"/>
    <w:p w:rsidR="002379F4" w:rsidRPr="00740BF0" w:rsidRDefault="002379F4" w:rsidP="002379F4">
      <w:pPr>
        <w:pStyle w:val="Headings4"/>
      </w:pPr>
      <w:r w:rsidRPr="00740BF0">
        <w:t>Incentives to seek</w:t>
      </w:r>
      <w:r>
        <w:t xml:space="preserve"> orphan designation</w:t>
      </w:r>
    </w:p>
    <w:p w:rsidR="002379F4" w:rsidRDefault="002379F4" w:rsidP="002379F4">
      <w:r w:rsidRPr="00740BF0">
        <w:t>As well as reimbursement processes (discussed below) there are other forms of regulatory incentives to encourage drug companies to seek orphan designation for their products</w:t>
      </w:r>
      <w:r>
        <w:t xml:space="preserve"> (see </w:t>
      </w:r>
      <w:r w:rsidR="00A72B26">
        <w:t xml:space="preserve">Table </w:t>
      </w:r>
      <w:r w:rsidR="00A72B26">
        <w:rPr>
          <w:noProof/>
        </w:rPr>
        <w:t>138</w:t>
      </w:r>
      <w:r>
        <w:t>)</w:t>
      </w:r>
      <w:r w:rsidRPr="00740BF0">
        <w:t xml:space="preserve">. </w:t>
      </w:r>
    </w:p>
    <w:p w:rsidR="002379F4" w:rsidRDefault="002379F4" w:rsidP="002379F4">
      <w:r>
        <w:t xml:space="preserve">Incentives put in place </w:t>
      </w:r>
      <w:r w:rsidR="008C7019">
        <w:t xml:space="preserve">in Australia and </w:t>
      </w:r>
      <w:r>
        <w:t xml:space="preserve">by the European Medicines Agency (EMA) and the US Food and Drug Administration (FDA) are shown in </w:t>
      </w:r>
      <w:r w:rsidR="00A72B26">
        <w:t xml:space="preserve">Table </w:t>
      </w:r>
      <w:r w:rsidR="00A72B26">
        <w:rPr>
          <w:noProof/>
        </w:rPr>
        <w:t>138</w:t>
      </w:r>
      <w:r>
        <w:t xml:space="preserve">. In the United States, companies usually apply for orphan-drug designation during the early drug development process. If the drug is marketed, the FDA waivers the $2.17 million “user fee” that companies must normally pay for new drugs under the Prescription Drug User Fee Act </w:t>
      </w:r>
      <w:r w:rsidR="00A130D0">
        <w:rPr>
          <w:noProof/>
        </w:rPr>
        <w:t>(</w:t>
      </w:r>
      <w:r w:rsidR="00184B6F">
        <w:rPr>
          <w:noProof/>
        </w:rPr>
        <w:t>Reardon 2014</w:t>
      </w:r>
      <w:r w:rsidR="00A130D0">
        <w:rPr>
          <w:noProof/>
        </w:rPr>
        <w:t xml:space="preserve">; </w:t>
      </w:r>
      <w:r w:rsidR="00184B6F">
        <w:rPr>
          <w:noProof/>
        </w:rPr>
        <w:t>Woodcock 2012</w:t>
      </w:r>
      <w:r w:rsidR="00A130D0">
        <w:rPr>
          <w:noProof/>
        </w:rPr>
        <w:t>)</w:t>
      </w:r>
      <w:r>
        <w:t xml:space="preserve">. The company also receives tax credits for costs incurred with clinical trials, and has market exclusivity for 7 years, which means that approvals for similar drugs are blocked. </w:t>
      </w:r>
    </w:p>
    <w:p w:rsidR="002379F4" w:rsidRDefault="002379F4" w:rsidP="002379F4">
      <w:pPr>
        <w:pStyle w:val="Caption"/>
        <w:keepNext/>
        <w:tabs>
          <w:tab w:val="clear" w:pos="851"/>
          <w:tab w:val="left" w:pos="1134"/>
        </w:tabs>
        <w:ind w:left="1134" w:hanging="1134"/>
      </w:pPr>
      <w:bookmarkStart w:id="584" w:name="_Ref404433737"/>
      <w:bookmarkStart w:id="585" w:name="_Toc404976345"/>
      <w:bookmarkStart w:id="586" w:name="_Toc405362007"/>
      <w:bookmarkStart w:id="587" w:name="_Toc411510501"/>
      <w:bookmarkStart w:id="588" w:name="_Toc415141935"/>
      <w:r>
        <w:lastRenderedPageBreak/>
        <w:t xml:space="preserve">Table </w:t>
      </w:r>
      <w:r w:rsidR="00A72B26">
        <w:rPr>
          <w:noProof/>
        </w:rPr>
        <w:t>138</w:t>
      </w:r>
      <w:bookmarkEnd w:id="584"/>
      <w:r>
        <w:tab/>
        <w:t xml:space="preserve">Incentives to seek orphan drug designation in </w:t>
      </w:r>
      <w:r w:rsidR="008B6B9E">
        <w:t xml:space="preserve">Australia, the </w:t>
      </w:r>
      <w:r>
        <w:t>EU and US</w:t>
      </w:r>
      <w:bookmarkEnd w:id="585"/>
      <w:bookmarkEnd w:id="586"/>
      <w:r w:rsidR="00575F12">
        <w:t>A</w:t>
      </w:r>
      <w:bookmarkEnd w:id="587"/>
      <w:bookmarkEnd w:id="588"/>
    </w:p>
    <w:tbl>
      <w:tblPr>
        <w:tblStyle w:val="TableGrid"/>
        <w:tblW w:w="9322" w:type="dxa"/>
        <w:tblLook w:val="04A0" w:firstRow="1" w:lastRow="0" w:firstColumn="1" w:lastColumn="0" w:noHBand="0" w:noVBand="1"/>
        <w:tblCaption w:val="Table 103 Incentives to seek orphan drug designation in EU and US"/>
      </w:tblPr>
      <w:tblGrid>
        <w:gridCol w:w="1256"/>
        <w:gridCol w:w="8066"/>
      </w:tblGrid>
      <w:tr w:rsidR="00C6200C" w:rsidRPr="00740BF0" w:rsidTr="00F75ECD">
        <w:trPr>
          <w:tblHeader/>
        </w:trPr>
        <w:tc>
          <w:tcPr>
            <w:tcW w:w="1256" w:type="dxa"/>
            <w:tcBorders>
              <w:right w:val="single" w:sz="4" w:space="0" w:color="auto"/>
            </w:tcBorders>
          </w:tcPr>
          <w:p w:rsidR="00C6200C" w:rsidRPr="00740BF0" w:rsidRDefault="00C6200C" w:rsidP="002379F4">
            <w:pPr>
              <w:pStyle w:val="TableHeading"/>
            </w:pPr>
            <w:r>
              <w:t>Location</w:t>
            </w:r>
          </w:p>
        </w:tc>
        <w:tc>
          <w:tcPr>
            <w:tcW w:w="8066" w:type="dxa"/>
            <w:tcBorders>
              <w:right w:val="single" w:sz="4" w:space="0" w:color="auto"/>
            </w:tcBorders>
          </w:tcPr>
          <w:p w:rsidR="00C6200C" w:rsidRPr="00740BF0" w:rsidRDefault="00C6200C" w:rsidP="002379F4">
            <w:pPr>
              <w:pStyle w:val="TableHeading"/>
            </w:pPr>
            <w:r>
              <w:t>Incentives</w:t>
            </w:r>
          </w:p>
        </w:tc>
      </w:tr>
      <w:tr w:rsidR="00C6200C" w:rsidRPr="00740BF0" w:rsidTr="00C6200C">
        <w:tc>
          <w:tcPr>
            <w:tcW w:w="1256" w:type="dxa"/>
            <w:tcBorders>
              <w:right w:val="single" w:sz="4" w:space="0" w:color="auto"/>
            </w:tcBorders>
          </w:tcPr>
          <w:p w:rsidR="00C6200C" w:rsidRPr="008B6B9E" w:rsidRDefault="00C6200C" w:rsidP="008B6B9E">
            <w:pPr>
              <w:pStyle w:val="TableHeading"/>
              <w:rPr>
                <w:b w:val="0"/>
              </w:rPr>
            </w:pPr>
            <w:r>
              <w:rPr>
                <w:b w:val="0"/>
              </w:rPr>
              <w:t>Australia</w:t>
            </w:r>
          </w:p>
        </w:tc>
        <w:tc>
          <w:tcPr>
            <w:tcW w:w="8066" w:type="dxa"/>
            <w:tcBorders>
              <w:right w:val="single" w:sz="4" w:space="0" w:color="auto"/>
            </w:tcBorders>
          </w:tcPr>
          <w:p w:rsidR="00C6200C" w:rsidRDefault="00C6200C" w:rsidP="00DA286B">
            <w:pPr>
              <w:pStyle w:val="TableHeading"/>
              <w:rPr>
                <w:b w:val="0"/>
              </w:rPr>
            </w:pPr>
            <w:r>
              <w:rPr>
                <w:b w:val="0"/>
              </w:rPr>
              <w:t>5</w:t>
            </w:r>
            <w:r w:rsidRPr="008B6B9E">
              <w:rPr>
                <w:b w:val="0"/>
              </w:rPr>
              <w:t xml:space="preserve">-year </w:t>
            </w:r>
            <w:r>
              <w:rPr>
                <w:b w:val="0"/>
              </w:rPr>
              <w:t xml:space="preserve">market </w:t>
            </w:r>
            <w:r w:rsidRPr="008B6B9E">
              <w:rPr>
                <w:b w:val="0"/>
              </w:rPr>
              <w:t>exclusivity (under consideration by the Australian jurisdiction)</w:t>
            </w:r>
          </w:p>
          <w:p w:rsidR="00C6200C" w:rsidRDefault="00C6200C" w:rsidP="00DA286B">
            <w:pPr>
              <w:pStyle w:val="TableHeading"/>
              <w:rPr>
                <w:b w:val="0"/>
              </w:rPr>
            </w:pPr>
            <w:r w:rsidRPr="008B6B9E">
              <w:rPr>
                <w:b w:val="0"/>
              </w:rPr>
              <w:t>Waiver of application and evaluation</w:t>
            </w:r>
            <w:r>
              <w:rPr>
                <w:b w:val="0"/>
              </w:rPr>
              <w:t xml:space="preserve"> fees by the Therapeutic Goods Administration</w:t>
            </w:r>
            <w:r w:rsidRPr="008B6B9E">
              <w:rPr>
                <w:b w:val="0"/>
              </w:rPr>
              <w:t xml:space="preserve"> an</w:t>
            </w:r>
            <w:r>
              <w:rPr>
                <w:b w:val="0"/>
              </w:rPr>
              <w:t xml:space="preserve">d no annual registration fees </w:t>
            </w:r>
          </w:p>
          <w:p w:rsidR="00C6200C" w:rsidRPr="008B6B9E" w:rsidRDefault="00C6200C" w:rsidP="008B6B9E">
            <w:pPr>
              <w:pStyle w:val="TableHeading"/>
              <w:rPr>
                <w:b w:val="0"/>
              </w:rPr>
            </w:pPr>
            <w:r>
              <w:rPr>
                <w:b w:val="0"/>
              </w:rPr>
              <w:t>Distinct evaluation pathway (close collaboration with the Food and Drug Administration in the USA)</w:t>
            </w:r>
          </w:p>
        </w:tc>
      </w:tr>
      <w:tr w:rsidR="00C6200C" w:rsidRPr="00740BF0" w:rsidTr="00C6200C">
        <w:trPr>
          <w:trHeight w:val="1606"/>
        </w:trPr>
        <w:tc>
          <w:tcPr>
            <w:tcW w:w="1256" w:type="dxa"/>
            <w:tcBorders>
              <w:right w:val="single" w:sz="4" w:space="0" w:color="auto"/>
            </w:tcBorders>
          </w:tcPr>
          <w:p w:rsidR="00C6200C" w:rsidRPr="00740BF0" w:rsidRDefault="00C6200C" w:rsidP="002379F4">
            <w:pPr>
              <w:pStyle w:val="TableText0"/>
            </w:pPr>
            <w:r>
              <w:t>EU</w:t>
            </w:r>
          </w:p>
        </w:tc>
        <w:tc>
          <w:tcPr>
            <w:tcW w:w="8066" w:type="dxa"/>
            <w:tcBorders>
              <w:right w:val="single" w:sz="4" w:space="0" w:color="auto"/>
            </w:tcBorders>
          </w:tcPr>
          <w:p w:rsidR="00C6200C" w:rsidRPr="00740BF0" w:rsidRDefault="00C6200C" w:rsidP="00DA286B">
            <w:pPr>
              <w:pStyle w:val="TableText0"/>
            </w:pPr>
            <w:r>
              <w:t>10 year market exclusivity</w:t>
            </w:r>
          </w:p>
          <w:p w:rsidR="00C6200C" w:rsidRPr="00740BF0" w:rsidRDefault="00C6200C" w:rsidP="00DA286B">
            <w:pPr>
              <w:pStyle w:val="TableText0"/>
            </w:pPr>
            <w:r>
              <w:t>Free or discounted scientific advice (“protocol assistance”)</w:t>
            </w:r>
          </w:p>
          <w:p w:rsidR="00C6200C" w:rsidRPr="00740BF0" w:rsidRDefault="00C6200C" w:rsidP="00DA286B">
            <w:pPr>
              <w:pStyle w:val="TableText0"/>
            </w:pPr>
            <w:r>
              <w:t>Fee waivers/ reductions for initial marketing authorisation applications and post-authorisation activities</w:t>
            </w:r>
          </w:p>
          <w:p w:rsidR="00C6200C" w:rsidRPr="00740BF0" w:rsidRDefault="00C6200C" w:rsidP="00DA286B">
            <w:pPr>
              <w:pStyle w:val="TableText0"/>
            </w:pPr>
            <w:r>
              <w:t>Authorisation via the centralised system</w:t>
            </w:r>
          </w:p>
          <w:p w:rsidR="00C6200C" w:rsidRPr="00740BF0" w:rsidRDefault="00C6200C" w:rsidP="002379F4">
            <w:pPr>
              <w:pStyle w:val="TableText0"/>
            </w:pPr>
            <w:r>
              <w:t>Additional incentives for small and medium sized enterprises</w:t>
            </w:r>
          </w:p>
        </w:tc>
      </w:tr>
      <w:tr w:rsidR="00C6200C" w:rsidRPr="00740BF0" w:rsidTr="00C6200C">
        <w:trPr>
          <w:trHeight w:val="1620"/>
        </w:trPr>
        <w:tc>
          <w:tcPr>
            <w:tcW w:w="1256" w:type="dxa"/>
            <w:tcBorders>
              <w:right w:val="single" w:sz="4" w:space="0" w:color="auto"/>
            </w:tcBorders>
          </w:tcPr>
          <w:p w:rsidR="00C6200C" w:rsidRPr="00740BF0" w:rsidRDefault="00C6200C" w:rsidP="002379F4">
            <w:pPr>
              <w:pStyle w:val="TableText0"/>
            </w:pPr>
            <w:r>
              <w:t>USA</w:t>
            </w:r>
          </w:p>
        </w:tc>
        <w:tc>
          <w:tcPr>
            <w:tcW w:w="8066" w:type="dxa"/>
            <w:tcBorders>
              <w:right w:val="single" w:sz="4" w:space="0" w:color="auto"/>
            </w:tcBorders>
          </w:tcPr>
          <w:p w:rsidR="00C6200C" w:rsidRPr="00740BF0" w:rsidRDefault="00C6200C" w:rsidP="00DA286B">
            <w:pPr>
              <w:pStyle w:val="TableText0"/>
            </w:pPr>
            <w:r>
              <w:t>7 year market exclusivity</w:t>
            </w:r>
          </w:p>
          <w:p w:rsidR="00C6200C" w:rsidRDefault="00C6200C" w:rsidP="00DA286B">
            <w:pPr>
              <w:pStyle w:val="TableText0"/>
            </w:pPr>
            <w:r>
              <w:t>Free waivers</w:t>
            </w:r>
          </w:p>
          <w:p w:rsidR="00C6200C" w:rsidRDefault="00C6200C" w:rsidP="00DA286B">
            <w:pPr>
              <w:pStyle w:val="TableText0"/>
            </w:pPr>
            <w:r>
              <w:t>Grants</w:t>
            </w:r>
          </w:p>
          <w:p w:rsidR="00C6200C" w:rsidRDefault="00C6200C" w:rsidP="00DA286B">
            <w:pPr>
              <w:pStyle w:val="TableText0"/>
            </w:pPr>
            <w:r>
              <w:t>50% tax credit on cost of US trials</w:t>
            </w:r>
          </w:p>
          <w:p w:rsidR="00C6200C" w:rsidRPr="00740BF0" w:rsidRDefault="00C6200C" w:rsidP="002379F4">
            <w:pPr>
              <w:pStyle w:val="TableText0"/>
            </w:pPr>
            <w:r>
              <w:t>Fast-track procedure to evaluate file</w:t>
            </w:r>
          </w:p>
        </w:tc>
      </w:tr>
    </w:tbl>
    <w:p w:rsidR="002379F4" w:rsidRPr="00740BF0" w:rsidRDefault="002379F4" w:rsidP="002379F4">
      <w:pPr>
        <w:pStyle w:val="TableNote"/>
      </w:pPr>
      <w:r>
        <w:t xml:space="preserve">Source: </w:t>
      </w:r>
      <w:r w:rsidR="00A130D0">
        <w:rPr>
          <w:noProof/>
        </w:rPr>
        <w:t>(</w:t>
      </w:r>
      <w:r w:rsidR="00184B6F">
        <w:rPr>
          <w:noProof/>
        </w:rPr>
        <w:t>Hetherington 2013</w:t>
      </w:r>
      <w:r w:rsidR="00A130D0">
        <w:rPr>
          <w:noProof/>
        </w:rPr>
        <w:t>)</w:t>
      </w:r>
      <w:r>
        <w:t xml:space="preserve">; (Reardon 2014) </w:t>
      </w:r>
      <w:r w:rsidR="00D6599C">
        <w:rPr>
          <w:noProof/>
        </w:rPr>
        <w:t>(</w:t>
      </w:r>
      <w:r w:rsidR="00184B6F">
        <w:rPr>
          <w:noProof/>
        </w:rPr>
        <w:t>Orphanet 2015</w:t>
      </w:r>
      <w:r w:rsidR="00D6599C">
        <w:rPr>
          <w:noProof/>
        </w:rPr>
        <w:t>)</w:t>
      </w:r>
      <w:r w:rsidR="00546132">
        <w:t xml:space="preserve"> </w:t>
      </w:r>
      <w:r>
        <w:t>EU</w:t>
      </w:r>
      <w:r w:rsidR="00652355" w:rsidRPr="00652355">
        <w:rPr>
          <w:spacing w:val="-20"/>
        </w:rPr>
        <w:t xml:space="preserve"> = </w:t>
      </w:r>
      <w:r>
        <w:t>European Union, USA</w:t>
      </w:r>
      <w:r w:rsidR="00652355" w:rsidRPr="00652355">
        <w:rPr>
          <w:spacing w:val="-20"/>
        </w:rPr>
        <w:t xml:space="preserve"> = </w:t>
      </w:r>
      <w:r>
        <w:t>United States of America</w:t>
      </w:r>
      <w:r w:rsidR="00546132">
        <w:t xml:space="preserve"> </w:t>
      </w:r>
    </w:p>
    <w:p w:rsidR="002379F4" w:rsidRPr="008A79BC" w:rsidRDefault="002379F4" w:rsidP="002379F4">
      <w:pPr>
        <w:rPr>
          <w:rFonts w:asciiTheme="majorHAnsi" w:hAnsiTheme="majorHAnsi" w:cs="Calibri"/>
          <w:bCs/>
          <w:color w:val="002060"/>
        </w:rPr>
      </w:pPr>
    </w:p>
    <w:p w:rsidR="002379F4" w:rsidRPr="002C75EB" w:rsidRDefault="002379F4" w:rsidP="002379F4">
      <w:pPr>
        <w:pStyle w:val="Headings4"/>
      </w:pPr>
      <w:bookmarkStart w:id="589" w:name="_Toc404937319"/>
      <w:r w:rsidRPr="002C75EB">
        <w:t>Funding mechanisms specific to orphan drugs</w:t>
      </w:r>
      <w:bookmarkEnd w:id="589"/>
    </w:p>
    <w:p w:rsidR="002379F4" w:rsidRDefault="00731B68" w:rsidP="002379F4">
      <w:r w:rsidRPr="007F6080">
        <w:t xml:space="preserve">In Australia, DRDs are subject to the same application and evaluation processes for PBAC consideration as the drugs for common diseases. </w:t>
      </w:r>
      <w:r>
        <w:t>However, i</w:t>
      </w:r>
      <w:r w:rsidRPr="007F6080">
        <w:t xml:space="preserve">t is possible to fund a </w:t>
      </w:r>
      <w:r>
        <w:t>DRD via the LSDP</w:t>
      </w:r>
      <w:r w:rsidRPr="007F6080">
        <w:t xml:space="preserve"> if the PBAC rejects </w:t>
      </w:r>
      <w:r>
        <w:t xml:space="preserve">the PBS listing of </w:t>
      </w:r>
      <w:r w:rsidRPr="007F6080">
        <w:t xml:space="preserve">this drug on </w:t>
      </w:r>
      <w:r w:rsidRPr="00106CBF">
        <w:t xml:space="preserve">cost-effectiveness grounds </w:t>
      </w:r>
      <w:r w:rsidRPr="007F6080">
        <w:t>and if the DRD meet</w:t>
      </w:r>
      <w:r>
        <w:t>s</w:t>
      </w:r>
      <w:r w:rsidRPr="007F6080">
        <w:t xml:space="preserve"> LSDP criteria </w:t>
      </w:r>
      <w:r>
        <w:t xml:space="preserve">and conditions as described in </w:t>
      </w:r>
      <w:r w:rsidR="00A72B26" w:rsidRPr="003F3F2D">
        <w:t xml:space="preserve">Appendix </w:t>
      </w:r>
      <w:r w:rsidR="00A72B26">
        <w:rPr>
          <w:noProof/>
        </w:rPr>
        <w:t>I</w:t>
      </w:r>
      <w:r>
        <w:t xml:space="preserve">, </w:t>
      </w:r>
      <w:r w:rsidR="00A72B26">
        <w:t xml:space="preserve">Table </w:t>
      </w:r>
      <w:r w:rsidR="00A72B26">
        <w:rPr>
          <w:noProof/>
        </w:rPr>
        <w:t>174</w:t>
      </w:r>
      <w:r>
        <w:t xml:space="preserve"> </w:t>
      </w:r>
      <w:r w:rsidR="00746F05">
        <w:rPr>
          <w:noProof/>
        </w:rPr>
        <w:t>(</w:t>
      </w:r>
      <w:r w:rsidR="00184B6F">
        <w:rPr>
          <w:noProof/>
        </w:rPr>
        <w:t>The Department of Health 2015</w:t>
      </w:r>
      <w:r w:rsidR="00746F05">
        <w:rPr>
          <w:noProof/>
        </w:rPr>
        <w:t>)</w:t>
      </w:r>
      <w:r>
        <w:t xml:space="preserve">. </w:t>
      </w:r>
      <w:r w:rsidRPr="00101F51">
        <w:t xml:space="preserve">Of the funding bodies </w:t>
      </w:r>
      <w:r>
        <w:t>in other countries</w:t>
      </w:r>
      <w:r w:rsidRPr="00101F51">
        <w:t>, only a few used separate review processes for the evaluation of orphan drugs for reimbursement purposes.</w:t>
      </w:r>
      <w:r>
        <w:t xml:space="preserve"> </w:t>
      </w:r>
      <w:r w:rsidR="002379F4" w:rsidRPr="00101F51">
        <w:t xml:space="preserve">A summary of the funding mechanisms for orphan drugs is given in </w:t>
      </w:r>
      <w:r w:rsidR="00A72B26" w:rsidRPr="003F3F2D">
        <w:t xml:space="preserve">Appendix </w:t>
      </w:r>
      <w:r w:rsidR="00A72B26">
        <w:rPr>
          <w:noProof/>
        </w:rPr>
        <w:t>I</w:t>
      </w:r>
      <w:r w:rsidR="002379F4">
        <w:t>,</w:t>
      </w:r>
      <w:r w:rsidR="00AE2C37">
        <w:t xml:space="preserve"> </w:t>
      </w:r>
      <w:r w:rsidR="00A72B26">
        <w:t xml:space="preserve">Table </w:t>
      </w:r>
      <w:r w:rsidR="00A72B26">
        <w:rPr>
          <w:noProof/>
        </w:rPr>
        <w:t>174</w:t>
      </w:r>
      <w:r w:rsidR="002379F4">
        <w:t xml:space="preserve">. </w:t>
      </w:r>
    </w:p>
    <w:p w:rsidR="002379F4" w:rsidRDefault="002379F4" w:rsidP="002379F4">
      <w:r>
        <w:t xml:space="preserve">In the Netherlands hospital system, drugs for rare diseases may be provisionally listed via a policy rule if no case-mix category exits for the orphan condition (DBC, Dutch: </w:t>
      </w:r>
      <w:r>
        <w:rPr>
          <w:i/>
          <w:iCs/>
        </w:rPr>
        <w:t>Diagnosebehandelcombinatie, a</w:t>
      </w:r>
      <w:r>
        <w:t xml:space="preserve"> casemix classification system analogous to Australia’s DRG system used for activity based funding of hospital activities). This listing is made on the condition of collecting further evidence and having a re-appraisal in no more than 3 years’ time </w:t>
      </w:r>
      <w:r w:rsidR="00A130D0">
        <w:rPr>
          <w:noProof/>
        </w:rPr>
        <w:t>(</w:t>
      </w:r>
      <w:r w:rsidR="00184B6F">
        <w:rPr>
          <w:noProof/>
        </w:rPr>
        <w:t>Garau &amp; Mestre-Ferrandiz 2009</w:t>
      </w:r>
      <w:r w:rsidR="00A130D0">
        <w:rPr>
          <w:noProof/>
        </w:rPr>
        <w:t>)</w:t>
      </w:r>
      <w:r>
        <w:t xml:space="preserve">. </w:t>
      </w:r>
    </w:p>
    <w:p w:rsidR="002379F4" w:rsidRDefault="002379F4" w:rsidP="002379F4">
      <w:pPr>
        <w:rPr>
          <w:highlight w:val="yellow"/>
        </w:rPr>
      </w:pPr>
      <w:r>
        <w:t xml:space="preserve">Similarly, the Italian Pharmaceutical Agency </w:t>
      </w:r>
      <w:r w:rsidRPr="00524F15">
        <w:t>(Agenzi</w:t>
      </w:r>
      <w:r>
        <w:t xml:space="preserve">a Italiana </w:t>
      </w:r>
      <w:proofErr w:type="gramStart"/>
      <w:r>
        <w:t>del</w:t>
      </w:r>
      <w:proofErr w:type="gramEnd"/>
      <w:r>
        <w:t xml:space="preserve"> Farmaco – AIFA) has two mechanisms that assist with the early access and reimbursement of drugs for rare diseases. Law 648/96 supports the provision of treatments for conditions that have no valid alternative therapy available. To be eligible for funding by the National Health Service, results of Phase II trials must be available, in addition to one of the following:</w:t>
      </w:r>
      <w:r w:rsidRPr="00524F15">
        <w:t xml:space="preserve"> i ) </w:t>
      </w:r>
      <w:r>
        <w:t xml:space="preserve">the medicines </w:t>
      </w:r>
      <w:r w:rsidRPr="00524F15">
        <w:t xml:space="preserve">are authorised in other countries; ii) they are being tested in a Phase III clinical trial; </w:t>
      </w:r>
      <w:r>
        <w:t>or</w:t>
      </w:r>
      <w:r w:rsidRPr="00524F15">
        <w:t xml:space="preserve"> iii) they are marketed for another therapeutic indication</w:t>
      </w:r>
      <w:r>
        <w:t xml:space="preserve"> </w:t>
      </w:r>
      <w:r w:rsidR="00A130D0">
        <w:rPr>
          <w:noProof/>
        </w:rPr>
        <w:t>(</w:t>
      </w:r>
      <w:r w:rsidR="00184B6F">
        <w:rPr>
          <w:noProof/>
        </w:rPr>
        <w:t>Garau &amp; Mestre-Ferrandiz 2009</w:t>
      </w:r>
      <w:r w:rsidR="00A130D0">
        <w:rPr>
          <w:noProof/>
        </w:rPr>
        <w:t>)</w:t>
      </w:r>
      <w:r>
        <w:t xml:space="preserve">. An alternative mechanism for funding in Italy relates to the ‘orphan drug specific process’ </w:t>
      </w:r>
      <w:r w:rsidR="00A130D0">
        <w:rPr>
          <w:noProof/>
        </w:rPr>
        <w:t>(</w:t>
      </w:r>
      <w:r w:rsidR="00184B6F">
        <w:rPr>
          <w:noProof/>
        </w:rPr>
        <w:t>Garau &amp; Mestre-Ferrandiz 2009</w:t>
      </w:r>
      <w:r w:rsidR="00A130D0">
        <w:rPr>
          <w:noProof/>
        </w:rPr>
        <w:t>)</w:t>
      </w:r>
      <w:r>
        <w:t xml:space="preserve">. A 5% AIFA special fund is made up of a contribution paid by pharmaceutical companies to be reinvested. According to the regulation, half of this fund should be devoted to providing access </w:t>
      </w:r>
      <w:r>
        <w:lastRenderedPageBreak/>
        <w:t xml:space="preserve">to drugs for rare diseases before marketing authorisation, with the other half being used to promote independent research and other similar activities </w:t>
      </w:r>
      <w:r w:rsidR="00A130D0">
        <w:rPr>
          <w:noProof/>
        </w:rPr>
        <w:t>(</w:t>
      </w:r>
      <w:r w:rsidR="00184B6F">
        <w:rPr>
          <w:noProof/>
        </w:rPr>
        <w:t>Garau &amp; Mestre-Ferrandiz 2009</w:t>
      </w:r>
      <w:r w:rsidR="00A130D0">
        <w:rPr>
          <w:noProof/>
        </w:rPr>
        <w:t>)</w:t>
      </w:r>
      <w:r>
        <w:t>.</w:t>
      </w:r>
      <w:r>
        <w:rPr>
          <w:highlight w:val="yellow"/>
        </w:rPr>
        <w:t xml:space="preserve"> </w:t>
      </w:r>
    </w:p>
    <w:p w:rsidR="002379F4" w:rsidRDefault="002379F4" w:rsidP="002379F4">
      <w:r w:rsidRPr="007F53EC">
        <w:t xml:space="preserve">In </w:t>
      </w:r>
      <w:r>
        <w:t>England and Wales</w:t>
      </w:r>
      <w:r w:rsidRPr="007F53EC">
        <w:t xml:space="preserve">, </w:t>
      </w:r>
      <w:r>
        <w:t xml:space="preserve">the </w:t>
      </w:r>
      <w:r w:rsidRPr="002A5305">
        <w:t>Advisory Group for National Specialised Services (AGNSS)</w:t>
      </w:r>
      <w:r>
        <w:t xml:space="preserve"> </w:t>
      </w:r>
      <w:r w:rsidRPr="002A5305">
        <w:t>evaluated ultra-orphan drugs</w:t>
      </w:r>
      <w:r>
        <w:t xml:space="preserve"> before April 2013. The AGNSS followed a multi-criteria decision analysis framework that used a broad range of criteria beyond cost-effectiveness and a holistic view across all of the criteria. The two-step procedure involved an initial assessment of nine entry criteria relating to the rarity of the condition and the complexity of its care. Once accepted, the application was assessed based on 12 core criteria in terms of the following four perspectives: i) health gain; ii) societal value; iii) reasonable cost; and </w:t>
      </w:r>
      <w:proofErr w:type="gramStart"/>
      <w:r>
        <w:t>iv) best</w:t>
      </w:r>
      <w:proofErr w:type="gramEnd"/>
      <w:r>
        <w:t xml:space="preserve"> practice </w:t>
      </w:r>
      <w:r w:rsidR="00A130D0">
        <w:rPr>
          <w:noProof/>
        </w:rPr>
        <w:t>(</w:t>
      </w:r>
      <w:r w:rsidR="00184B6F">
        <w:rPr>
          <w:noProof/>
        </w:rPr>
        <w:t>National Institute for Health and Care Excellence 2013</w:t>
      </w:r>
      <w:r w:rsidR="00A130D0">
        <w:rPr>
          <w:noProof/>
        </w:rPr>
        <w:t>)</w:t>
      </w:r>
      <w:r w:rsidRPr="002A5305">
        <w:t>.</w:t>
      </w:r>
      <w:r>
        <w:t xml:space="preserve"> The National Institute for Health and Clinical Excellence (NICE) has been responsible for evaluating highly specialised health technologies for people in England with ultra-orphan diseases since April 2013. An interim process has been developed by NICE, building on the decision making framework developed by the AGNSS. The evaluation of technologies by the “highly specialised technologies programme” engages a specific evaluation committee that is an independent advisory body. The committee, comprising individuals who work in the National Health Service, pharmaceutical and medical devices industries, patient and caregiver organisations, and relevant academic disciplines, makes recommendations to NICE for, or against, the use of a technology based on its costs and benefits </w:t>
      </w:r>
      <w:r w:rsidR="00A130D0">
        <w:rPr>
          <w:noProof/>
        </w:rPr>
        <w:t>(</w:t>
      </w:r>
      <w:r w:rsidR="00184B6F">
        <w:rPr>
          <w:noProof/>
        </w:rPr>
        <w:t>Canadian Agency for Drugs and Technologies in Health 2013</w:t>
      </w:r>
      <w:r w:rsidR="00A130D0">
        <w:rPr>
          <w:noProof/>
        </w:rPr>
        <w:t>)</w:t>
      </w:r>
      <w:r>
        <w:t xml:space="preserve">. </w:t>
      </w:r>
    </w:p>
    <w:p w:rsidR="002379F4" w:rsidRDefault="002379F4" w:rsidP="002379F4">
      <w:r>
        <w:t xml:space="preserve">Evidence of orphan-disease specific evaluation processes were found in two Canadian Provinces. In Ontario, the Drugs for Rare Diseases (DRDs) program is open to diseases with an incidence rate of fewer than 1 in 150,000 live births or new diagnoses per year, and a lack of availability or feasibility of adequately powered randomised controlled trials detecting clinically relevant outcomes given the rarity of the disease </w:t>
      </w:r>
      <w:r w:rsidR="00A130D0">
        <w:rPr>
          <w:noProof/>
        </w:rPr>
        <w:t>(</w:t>
      </w:r>
      <w:r w:rsidR="00184B6F">
        <w:rPr>
          <w:noProof/>
        </w:rPr>
        <w:t>Canadian Agency for Drugs and Technologies in Health 2013</w:t>
      </w:r>
      <w:r w:rsidR="00A130D0">
        <w:rPr>
          <w:noProof/>
        </w:rPr>
        <w:t>)</w:t>
      </w:r>
      <w:r>
        <w:t>. There is no restriction on the types of rare diseases considered for evaluation.</w:t>
      </w:r>
      <w:r w:rsidRPr="000A5979">
        <w:t xml:space="preserve"> </w:t>
      </w:r>
      <w:r>
        <w:t>The evaluation is conducted by a separate 5-member DRD Working Group and reports directly to the Executive Officer of the Ontario Public Drug Programs. The evaluation framework uses an evidence-based process and consists of five steps:</w:t>
      </w:r>
    </w:p>
    <w:p w:rsidR="002379F4" w:rsidRDefault="002379F4" w:rsidP="000959DF">
      <w:pPr>
        <w:pStyle w:val="ListParagraph"/>
        <w:numPr>
          <w:ilvl w:val="0"/>
          <w:numId w:val="32"/>
        </w:numPr>
      </w:pPr>
      <w:r>
        <w:t>Assesses whether a submitted disease meets the framework’s criteria of “rare”</w:t>
      </w:r>
    </w:p>
    <w:p w:rsidR="002379F4" w:rsidRDefault="002379F4" w:rsidP="000959DF">
      <w:pPr>
        <w:pStyle w:val="ListParagraph"/>
        <w:numPr>
          <w:ilvl w:val="0"/>
          <w:numId w:val="32"/>
        </w:numPr>
      </w:pPr>
      <w:r>
        <w:t>Gains an understanding of the natural history of the disease</w:t>
      </w:r>
    </w:p>
    <w:p w:rsidR="002379F4" w:rsidRDefault="002379F4" w:rsidP="000959DF">
      <w:pPr>
        <w:pStyle w:val="ListParagraph"/>
        <w:numPr>
          <w:ilvl w:val="0"/>
          <w:numId w:val="32"/>
        </w:numPr>
      </w:pPr>
      <w:r>
        <w:t>Assesses the potential effectiveness of the drug, based on the best available evidence</w:t>
      </w:r>
    </w:p>
    <w:p w:rsidR="002379F4" w:rsidRDefault="002379F4" w:rsidP="000959DF">
      <w:pPr>
        <w:pStyle w:val="ListParagraph"/>
        <w:numPr>
          <w:ilvl w:val="0"/>
          <w:numId w:val="32"/>
        </w:numPr>
      </w:pPr>
      <w:r>
        <w:t>Evaluates budget and cost impact</w:t>
      </w:r>
    </w:p>
    <w:p w:rsidR="002379F4" w:rsidRDefault="002379F4" w:rsidP="000959DF">
      <w:pPr>
        <w:pStyle w:val="ListParagraph"/>
        <w:numPr>
          <w:ilvl w:val="0"/>
          <w:numId w:val="32"/>
        </w:numPr>
      </w:pPr>
      <w:r>
        <w:t xml:space="preserve">Identifies whether any additional follow-up data is needed </w:t>
      </w:r>
      <w:r w:rsidR="00A130D0">
        <w:rPr>
          <w:noProof/>
        </w:rPr>
        <w:t>(</w:t>
      </w:r>
      <w:r w:rsidR="00184B6F">
        <w:rPr>
          <w:noProof/>
        </w:rPr>
        <w:t>Canadian Agency for Drugs and Technologies in Health 2013</w:t>
      </w:r>
      <w:r w:rsidR="00A130D0">
        <w:rPr>
          <w:noProof/>
        </w:rPr>
        <w:t>)</w:t>
      </w:r>
      <w:r>
        <w:t>.</w:t>
      </w:r>
    </w:p>
    <w:p w:rsidR="002379F4" w:rsidRDefault="002379F4" w:rsidP="002379F4"/>
    <w:p w:rsidR="002379F4" w:rsidRDefault="002379F4" w:rsidP="002379F4">
      <w:r>
        <w:t xml:space="preserve">Alberta’s Rare Disease Drug Program (started in April 2009) is restricted to genetic lysosomal storage disorders occurring in less than 1 in 50,000 Canadians, as determined by Alberta Health. </w:t>
      </w:r>
      <w:r w:rsidRPr="00300BA1">
        <w:t xml:space="preserve">Drugs currently eligible for coverage in Alberta include </w:t>
      </w:r>
      <w:r w:rsidR="00E51493">
        <w:t>Gaucher disease</w:t>
      </w:r>
      <w:r w:rsidRPr="00300BA1">
        <w:t>, Fabry Disease, MPS-I (Hurler/Hurler Scheie), Hunter disease and Pompe disease</w:t>
      </w:r>
      <w:r>
        <w:t xml:space="preserve"> </w:t>
      </w:r>
      <w:r w:rsidR="00A130D0">
        <w:rPr>
          <w:noProof/>
        </w:rPr>
        <w:t>(</w:t>
      </w:r>
      <w:r w:rsidR="00184B6F">
        <w:rPr>
          <w:noProof/>
        </w:rPr>
        <w:t>Alberta Health and Wellness 2008</w:t>
      </w:r>
      <w:r w:rsidR="00A130D0">
        <w:rPr>
          <w:noProof/>
        </w:rPr>
        <w:t xml:space="preserve">; </w:t>
      </w:r>
      <w:r w:rsidR="00184B6F">
        <w:rPr>
          <w:noProof/>
        </w:rPr>
        <w:lastRenderedPageBreak/>
        <w:t>Canadian Agency for Drugs and Technologies in Health 2013</w:t>
      </w:r>
      <w:r w:rsidR="00A130D0">
        <w:rPr>
          <w:noProof/>
        </w:rPr>
        <w:t>)</w:t>
      </w:r>
      <w:r>
        <w:t>. Patients to be treated under this program must consent to a number of conditions including:</w:t>
      </w:r>
    </w:p>
    <w:p w:rsidR="002379F4" w:rsidRDefault="002379F4" w:rsidP="000959DF">
      <w:pPr>
        <w:pStyle w:val="ListParagraph"/>
        <w:numPr>
          <w:ilvl w:val="0"/>
          <w:numId w:val="33"/>
        </w:numPr>
      </w:pPr>
      <w:r>
        <w:t>Conditional initial and continued coverage are dependent upon clinical outcomes,</w:t>
      </w:r>
    </w:p>
    <w:p w:rsidR="002379F4" w:rsidRDefault="002379F4" w:rsidP="000959DF">
      <w:pPr>
        <w:pStyle w:val="ListParagraph"/>
        <w:numPr>
          <w:ilvl w:val="0"/>
          <w:numId w:val="33"/>
        </w:numPr>
      </w:pPr>
      <w:r>
        <w:t>Ongoing clinical outcome monitoring is mandatory, and</w:t>
      </w:r>
    </w:p>
    <w:p w:rsidR="002379F4" w:rsidRDefault="002379F4" w:rsidP="000959DF">
      <w:pPr>
        <w:pStyle w:val="ListParagraph"/>
        <w:numPr>
          <w:ilvl w:val="0"/>
          <w:numId w:val="33"/>
        </w:numPr>
      </w:pPr>
      <w:r>
        <w:t>Inadequate patient response or deterioration, as defined by pre-established withdrawal criteria for a specific drug and/or as assessed by the program’s clinical review panel, will dictate coverage discontinuation.</w:t>
      </w:r>
    </w:p>
    <w:p w:rsidR="002379F4" w:rsidRDefault="002379F4" w:rsidP="002379F4">
      <w:r>
        <w:t>Note that the presence of a significant illness likely to affect life expectancy, outside of the rare disease itself, is considered a contraindication to drug funding.</w:t>
      </w:r>
    </w:p>
    <w:p w:rsidR="002379F4" w:rsidRDefault="002379F4" w:rsidP="002379F4">
      <w:r>
        <w:t xml:space="preserve">Submitted applications are reviewed by Alberta’s Rare Disease Clinical Review Panel, which is a Ministry-appointed panel consisting of rare-disease-treating specialists and other health care professionals with related clinical expertise. Final coverage decisions for rare disease drug funding are made by Alberta’s Minister of Health </w:t>
      </w:r>
      <w:r w:rsidR="00A130D0">
        <w:rPr>
          <w:noProof/>
        </w:rPr>
        <w:t>(</w:t>
      </w:r>
      <w:r w:rsidR="00184B6F">
        <w:rPr>
          <w:noProof/>
        </w:rPr>
        <w:t>Alberta Health and Wellness 2008</w:t>
      </w:r>
      <w:r w:rsidR="00A130D0">
        <w:rPr>
          <w:noProof/>
        </w:rPr>
        <w:t xml:space="preserve">; </w:t>
      </w:r>
      <w:r w:rsidR="00184B6F">
        <w:rPr>
          <w:noProof/>
        </w:rPr>
        <w:t>Canadian Agency for Drugs and Technologies in Health 2013</w:t>
      </w:r>
      <w:r w:rsidR="00A130D0">
        <w:rPr>
          <w:noProof/>
        </w:rPr>
        <w:t>)</w:t>
      </w:r>
      <w:r>
        <w:t>. The process used by Alberta’s Rare Disease Drug Program is very similar to the manner in which the LSDP operates</w:t>
      </w:r>
      <w:r>
        <w:rPr>
          <w:rStyle w:val="FootnoteReference"/>
        </w:rPr>
        <w:footnoteReference w:id="30"/>
      </w:r>
      <w:r>
        <w:t>.</w:t>
      </w:r>
    </w:p>
    <w:p w:rsidR="002379F4" w:rsidRDefault="002379F4" w:rsidP="002379F4">
      <w:r>
        <w:t>In March 2012, Alberta launched a new Short Term Exceptional Drug Therapy Program. This program is limited to therapies without current public or private funding options. Some restriction on expected drug therapy costs apply:</w:t>
      </w:r>
    </w:p>
    <w:p w:rsidR="002379F4" w:rsidRDefault="002379F4" w:rsidP="000959DF">
      <w:pPr>
        <w:pStyle w:val="ListParagraph"/>
        <w:numPr>
          <w:ilvl w:val="0"/>
          <w:numId w:val="33"/>
        </w:numPr>
      </w:pPr>
      <w:r>
        <w:t>For inpatients, drug therapy (oncology drugs included) costs are expected to be between $1,500 and $50,000; and</w:t>
      </w:r>
    </w:p>
    <w:p w:rsidR="002379F4" w:rsidRDefault="002379F4" w:rsidP="000959DF">
      <w:pPr>
        <w:pStyle w:val="ListParagraph"/>
        <w:numPr>
          <w:ilvl w:val="0"/>
          <w:numId w:val="33"/>
        </w:numPr>
      </w:pPr>
      <w:r>
        <w:t xml:space="preserve">For outpatients with rare clinical conditions (excluding oncology indications) if the total drug cost is expected to be &lt;$100,000 a year </w:t>
      </w:r>
      <w:r w:rsidR="00A130D0">
        <w:rPr>
          <w:noProof/>
        </w:rPr>
        <w:t>(</w:t>
      </w:r>
      <w:r w:rsidR="00184B6F">
        <w:rPr>
          <w:noProof/>
        </w:rPr>
        <w:t>Canadian Agency for Drugs and Technologies in Health 2013</w:t>
      </w:r>
      <w:r w:rsidR="00A130D0">
        <w:rPr>
          <w:noProof/>
        </w:rPr>
        <w:t>)</w:t>
      </w:r>
      <w:r>
        <w:t>.</w:t>
      </w:r>
    </w:p>
    <w:p w:rsidR="00092F60" w:rsidRDefault="002379F4" w:rsidP="002379F4">
      <w:r w:rsidRPr="00D40295">
        <w:t xml:space="preserve">In Japan, the Specified Diseases Treatment Research program, has specified 56 diseases </w:t>
      </w:r>
      <w:r>
        <w:t>that</w:t>
      </w:r>
      <w:r w:rsidRPr="00D40295">
        <w:t xml:space="preserve"> are covered by public funding</w:t>
      </w:r>
      <w:r>
        <w:t xml:space="preserve"> </w:t>
      </w:r>
      <w:r w:rsidR="00A130D0">
        <w:rPr>
          <w:noProof/>
        </w:rPr>
        <w:t>(</w:t>
      </w:r>
      <w:r w:rsidR="00184B6F">
        <w:rPr>
          <w:noProof/>
        </w:rPr>
        <w:t>Japan Intractable Diseases Information Center 2014</w:t>
      </w:r>
      <w:r w:rsidR="00A130D0">
        <w:rPr>
          <w:noProof/>
        </w:rPr>
        <w:t>)</w:t>
      </w:r>
      <w:r w:rsidRPr="00D40295">
        <w:t>. Information regarding the decision making processes on which diseases are covered were not iden</w:t>
      </w:r>
      <w:r>
        <w:t>tified by the literature review</w:t>
      </w:r>
      <w:r w:rsidR="00092F60" w:rsidRPr="00D40295">
        <w:t>.</w:t>
      </w:r>
      <w:r w:rsidR="00092F60">
        <w:t xml:space="preserve"> </w:t>
      </w:r>
    </w:p>
    <w:p w:rsidR="00092F60" w:rsidRDefault="00092F60" w:rsidP="00E965BD">
      <w:pPr>
        <w:pStyle w:val="Heading3"/>
      </w:pPr>
      <w:bookmarkStart w:id="590" w:name="_Toc404937320"/>
      <w:r>
        <w:t>Basis of the decision to fund</w:t>
      </w:r>
      <w:bookmarkEnd w:id="590"/>
    </w:p>
    <w:p w:rsidR="006C0A78" w:rsidRDefault="00731B68" w:rsidP="006C0A78">
      <w:r>
        <w:t xml:space="preserve">Many funding bodies do not have a separate review process for orphan drugs but do allow special </w:t>
      </w:r>
      <w:r w:rsidRPr="00B76288">
        <w:t>consideration in their evaluation o</w:t>
      </w:r>
      <w:r>
        <w:t>f drugs to treat rare diseases.</w:t>
      </w:r>
      <w:r w:rsidRPr="00B76288">
        <w:t xml:space="preserve"> In comparison to non-orphan drugs, </w:t>
      </w:r>
      <w:r>
        <w:t>these</w:t>
      </w:r>
      <w:r w:rsidRPr="00B76288">
        <w:t xml:space="preserve"> funding bodies relax the requirement </w:t>
      </w:r>
      <w:r>
        <w:t>for</w:t>
      </w:r>
      <w:r w:rsidRPr="00B76288">
        <w:t xml:space="preserve"> a full </w:t>
      </w:r>
      <w:r>
        <w:t>pharmacoeconomic</w:t>
      </w:r>
      <w:r w:rsidRPr="00B76288">
        <w:t xml:space="preserve"> evaluation (Belgium, the Netherlands and Germany)</w:t>
      </w:r>
      <w:r>
        <w:t xml:space="preserve"> </w:t>
      </w:r>
      <w:r>
        <w:rPr>
          <w:noProof/>
        </w:rPr>
        <w:t>(</w:t>
      </w:r>
      <w:r w:rsidR="00184B6F">
        <w:rPr>
          <w:noProof/>
        </w:rPr>
        <w:t>Denis et al. 2011</w:t>
      </w:r>
      <w:r>
        <w:rPr>
          <w:noProof/>
        </w:rPr>
        <w:t xml:space="preserve">; </w:t>
      </w:r>
      <w:r w:rsidR="00184B6F">
        <w:rPr>
          <w:noProof/>
        </w:rPr>
        <w:t>Garau &amp; Mestre-Ferrandiz 2009</w:t>
      </w:r>
      <w:r>
        <w:rPr>
          <w:noProof/>
        </w:rPr>
        <w:t xml:space="preserve">; </w:t>
      </w:r>
      <w:r w:rsidR="00184B6F">
        <w:rPr>
          <w:noProof/>
        </w:rPr>
        <w:t>Vegter et al. 2010</w:t>
      </w:r>
      <w:r>
        <w:rPr>
          <w:noProof/>
        </w:rPr>
        <w:t>)</w:t>
      </w:r>
      <w:r w:rsidRPr="00B76288">
        <w:t xml:space="preserve">. Others accept higher </w:t>
      </w:r>
      <w:r>
        <w:t xml:space="preserve">incremental </w:t>
      </w:r>
      <w:r w:rsidRPr="00B76288">
        <w:t xml:space="preserve">cost-effectiveness ratios to take into account </w:t>
      </w:r>
      <w:r>
        <w:t xml:space="preserve">other </w:t>
      </w:r>
      <w:r w:rsidRPr="00B76288">
        <w:t>social and equity considerations, such as Sweden’s differing cost-effectiveness thresholds for different characteristics of disease-linked severity</w:t>
      </w:r>
      <w:r>
        <w:t>,</w:t>
      </w:r>
      <w:r w:rsidRPr="00B76288">
        <w:t xml:space="preserve"> NICE’s consideration of th</w:t>
      </w:r>
      <w:r>
        <w:t xml:space="preserve">e broader societal perspective, and the waiving of the cost-effectiveness criterion when the PBAC considers the reimbursement of a DRD through the LSDP </w:t>
      </w:r>
      <w:r w:rsidR="00746F05">
        <w:rPr>
          <w:noProof/>
        </w:rPr>
        <w:t>(</w:t>
      </w:r>
      <w:r w:rsidR="00184B6F">
        <w:rPr>
          <w:noProof/>
        </w:rPr>
        <w:t xml:space="preserve">Canadian </w:t>
      </w:r>
      <w:r w:rsidR="00184B6F">
        <w:rPr>
          <w:noProof/>
        </w:rPr>
        <w:lastRenderedPageBreak/>
        <w:t>Agency for Drugs and Technologies in Health 2013</w:t>
      </w:r>
      <w:r w:rsidR="00746F05">
        <w:rPr>
          <w:noProof/>
        </w:rPr>
        <w:t xml:space="preserve">; </w:t>
      </w:r>
      <w:r w:rsidR="00184B6F">
        <w:rPr>
          <w:noProof/>
        </w:rPr>
        <w:t>Garau &amp; Mestre-Ferrandiz 2009</w:t>
      </w:r>
      <w:r w:rsidR="00746F05">
        <w:rPr>
          <w:noProof/>
        </w:rPr>
        <w:t xml:space="preserve">; </w:t>
      </w:r>
      <w:r w:rsidR="00184B6F">
        <w:rPr>
          <w:noProof/>
        </w:rPr>
        <w:t>National Institute for Health and Care Excellence 2013</w:t>
      </w:r>
      <w:r w:rsidR="00746F05">
        <w:rPr>
          <w:noProof/>
        </w:rPr>
        <w:t xml:space="preserve">; </w:t>
      </w:r>
      <w:r w:rsidR="00184B6F">
        <w:rPr>
          <w:noProof/>
        </w:rPr>
        <w:t>The Department of Health 2015</w:t>
      </w:r>
      <w:r w:rsidR="00746F05">
        <w:rPr>
          <w:noProof/>
        </w:rPr>
        <w:t>)</w:t>
      </w:r>
      <w:r>
        <w:t xml:space="preserve">. </w:t>
      </w:r>
      <w:r w:rsidRPr="00B76288">
        <w:t>In Belgium, Sweden and France, a lower level of evidence for orphan drugs may be accepted; however, in Belgium drug sponsors are required to provide a revised dossier 1.5 – 3 years after ini</w:t>
      </w:r>
      <w:r>
        <w:t xml:space="preserve">tial reimbursement approval </w:t>
      </w:r>
      <w:r>
        <w:rPr>
          <w:noProof/>
        </w:rPr>
        <w:t>(</w:t>
      </w:r>
      <w:r w:rsidR="00184B6F">
        <w:rPr>
          <w:noProof/>
        </w:rPr>
        <w:t>Denis et al. 2011</w:t>
      </w:r>
      <w:r>
        <w:rPr>
          <w:noProof/>
        </w:rPr>
        <w:t xml:space="preserve">; </w:t>
      </w:r>
      <w:r w:rsidR="00184B6F">
        <w:rPr>
          <w:noProof/>
        </w:rPr>
        <w:t>Garau &amp; Mestre-Ferrandiz 2009</w:t>
      </w:r>
      <w:r>
        <w:rPr>
          <w:noProof/>
        </w:rPr>
        <w:t>)</w:t>
      </w:r>
      <w:r>
        <w:t>.</w:t>
      </w:r>
    </w:p>
    <w:p w:rsidR="006C0A78" w:rsidRPr="00D40295" w:rsidRDefault="006C0A78" w:rsidP="006C0A78">
      <w:r>
        <w:t xml:space="preserve">For pricing and reimbursement systems that do not treat orphan drugs any different relative to non-orphan drugs, many have criteria that would be likely to result in a positive listing. For example, the reimbursement and funding bodies in Germany, Italy and France placed a greater weight on the lack of available treatments (comparator) </w:t>
      </w:r>
      <w:r w:rsidR="00A130D0">
        <w:rPr>
          <w:noProof/>
        </w:rPr>
        <w:t>(</w:t>
      </w:r>
      <w:r w:rsidR="00184B6F">
        <w:rPr>
          <w:noProof/>
        </w:rPr>
        <w:t>Garau &amp; Mestre-Ferrandiz 2009</w:t>
      </w:r>
      <w:r w:rsidR="00A130D0">
        <w:rPr>
          <w:noProof/>
        </w:rPr>
        <w:t>)</w:t>
      </w:r>
      <w:r>
        <w:t>. In these countries, a full pharmacoeconomic evaluation is not required, nor is it an official criterion in the decision making process for orphan drugs. In Germany, drugs that are classified as innovative or those without any therapeutic equivalent are exempt from classification in Germany’s reference pricing system and are generally reimbursed. In France, the medical value (</w:t>
      </w:r>
      <w:r w:rsidRPr="00395B7B">
        <w:t>Service Médical Rendu – SMR</w:t>
      </w:r>
      <w:r>
        <w:t>) is assessed in terms of efficacy and disease severity considerations, in addition to the incremental medical value (</w:t>
      </w:r>
      <w:r w:rsidRPr="00616FA3">
        <w:t>Amélioration du Service Médical Rendu – ASMR</w:t>
      </w:r>
      <w:r>
        <w:t xml:space="preserve">). The ASMR is assessed based on the degree of innovation of a new drug relative to existing treatments. In Italy, one criterion used to assess drugs for reimbursement is whether the new product is indicated for a disease with no alternative or whether there is an existing adequate therapy. </w:t>
      </w:r>
    </w:p>
    <w:p w:rsidR="00092F60" w:rsidRPr="00731B68" w:rsidRDefault="006C0A78" w:rsidP="00092F60">
      <w:r w:rsidRPr="006E6217">
        <w:t>A summary of the decision-making processes as they relate to the reimbursement of orphan drugs</w:t>
      </w:r>
      <w:r>
        <w:t xml:space="preserve"> by country</w:t>
      </w:r>
      <w:r w:rsidRPr="006E6217">
        <w:t xml:space="preserve"> is given in</w:t>
      </w:r>
      <w:r>
        <w:t xml:space="preserve"> </w:t>
      </w:r>
      <w:r w:rsidR="00A72B26" w:rsidRPr="003F3F2D">
        <w:t xml:space="preserve">Appendix </w:t>
      </w:r>
      <w:r w:rsidR="00A72B26">
        <w:rPr>
          <w:noProof/>
        </w:rPr>
        <w:t>I</w:t>
      </w:r>
      <w:r w:rsidR="00092F60" w:rsidRPr="006E6217">
        <w:t xml:space="preserve">, </w:t>
      </w:r>
      <w:r w:rsidR="00A72B26">
        <w:t xml:space="preserve">Table </w:t>
      </w:r>
      <w:r w:rsidR="00A72B26">
        <w:rPr>
          <w:noProof/>
        </w:rPr>
        <w:t>175</w:t>
      </w:r>
      <w:r w:rsidR="00092F60" w:rsidRPr="006E6217">
        <w:t xml:space="preserve">. </w:t>
      </w:r>
    </w:p>
    <w:p w:rsidR="00092F60" w:rsidRDefault="00092F60" w:rsidP="00E965BD">
      <w:pPr>
        <w:pStyle w:val="Heading3"/>
      </w:pPr>
      <w:bookmarkStart w:id="591" w:name="_Toc404937321"/>
      <w:r w:rsidRPr="00434763">
        <w:t>Mo</w:t>
      </w:r>
      <w:r>
        <w:t>nitoring outcomes of the decision</w:t>
      </w:r>
      <w:bookmarkEnd w:id="591"/>
    </w:p>
    <w:p w:rsidR="00092F60" w:rsidRDefault="00731B68" w:rsidP="00092F60">
      <w:r w:rsidRPr="007F6080">
        <w:t xml:space="preserve">In Australia, </w:t>
      </w:r>
      <w:r>
        <w:t>the LSDP does not</w:t>
      </w:r>
      <w:r w:rsidR="006A5456">
        <w:t xml:space="preserve"> require a re-assessment of the</w:t>
      </w:r>
      <w:r>
        <w:t xml:space="preserve"> decision on a </w:t>
      </w:r>
      <w:r w:rsidRPr="007F6080">
        <w:t>listing</w:t>
      </w:r>
      <w:r>
        <w:t xml:space="preserve"> following its initial approval </w:t>
      </w:r>
      <w:r w:rsidR="00746F05">
        <w:rPr>
          <w:noProof/>
        </w:rPr>
        <w:t>(</w:t>
      </w:r>
      <w:r w:rsidR="00184B6F">
        <w:rPr>
          <w:noProof/>
        </w:rPr>
        <w:t>The Department of Health 2015</w:t>
      </w:r>
      <w:r w:rsidR="00746F05">
        <w:rPr>
          <w:noProof/>
        </w:rPr>
        <w:t>)</w:t>
      </w:r>
      <w:r>
        <w:t>, although this can occur on an ad hoc basis</w:t>
      </w:r>
      <w:r w:rsidRPr="007F6080">
        <w:t xml:space="preserve">. </w:t>
      </w:r>
      <w:r>
        <w:t xml:space="preserve">Limited information was found on the processes by which outcomes of the decision are monitored by pricing and funding bodies in other countries </w:t>
      </w:r>
      <w:r w:rsidR="00092F60">
        <w:t>(</w:t>
      </w:r>
      <w:r w:rsidR="00A72B26" w:rsidRPr="003F3F2D">
        <w:t xml:space="preserve">Appendix </w:t>
      </w:r>
      <w:r w:rsidR="00A72B26">
        <w:rPr>
          <w:noProof/>
        </w:rPr>
        <w:t>I</w:t>
      </w:r>
      <w:r w:rsidR="00092F60" w:rsidRPr="005B543E">
        <w:t xml:space="preserve">, </w:t>
      </w:r>
      <w:r w:rsidR="00A72B26">
        <w:t xml:space="preserve">Table </w:t>
      </w:r>
      <w:r w:rsidR="00A72B26">
        <w:rPr>
          <w:noProof/>
        </w:rPr>
        <w:t>176</w:t>
      </w:r>
      <w:r w:rsidR="00092F60">
        <w:t>).</w:t>
      </w:r>
    </w:p>
    <w:p w:rsidR="00092F60" w:rsidRDefault="00092F60" w:rsidP="00092F60">
      <w:r>
        <w:t xml:space="preserve">In Belgium, pharmaceutical companies are required to submit a revised dossier to the DRC (the drug reimbursement committee) approximately 1.5-3 years following initial approval </w:t>
      </w:r>
      <w:r w:rsidR="00A130D0">
        <w:rPr>
          <w:noProof/>
        </w:rPr>
        <w:t>(</w:t>
      </w:r>
      <w:r w:rsidR="00184B6F">
        <w:rPr>
          <w:noProof/>
        </w:rPr>
        <w:t>Denis et al. 2011</w:t>
      </w:r>
      <w:r w:rsidR="00A130D0">
        <w:rPr>
          <w:noProof/>
        </w:rPr>
        <w:t>)</w:t>
      </w:r>
      <w:r>
        <w:t xml:space="preserve">. In the Netherlands, the policy rule on orphan drugs for hospital treatments requires the funding body to reappraise evidence that has been collected after a maximum of 3 years and reviews its decisions on the product listing </w:t>
      </w:r>
      <w:r w:rsidR="00A130D0">
        <w:rPr>
          <w:noProof/>
        </w:rPr>
        <w:t>(</w:t>
      </w:r>
      <w:r w:rsidR="00184B6F">
        <w:rPr>
          <w:noProof/>
        </w:rPr>
        <w:t>Garau &amp; Mestre-Ferrandiz 2009</w:t>
      </w:r>
      <w:r w:rsidR="00A130D0">
        <w:rPr>
          <w:noProof/>
        </w:rPr>
        <w:t>)</w:t>
      </w:r>
      <w:r>
        <w:t xml:space="preserve">. In France the registration on the reimbursable list is only valid for 5 years. At the end of this period, the </w:t>
      </w:r>
      <w:r w:rsidRPr="00E9581C">
        <w:t>Commissi</w:t>
      </w:r>
      <w:r>
        <w:t>on d’Evaluation des Médicaments</w:t>
      </w:r>
      <w:r w:rsidRPr="00E9581C">
        <w:t xml:space="preserve"> (HAS)</w:t>
      </w:r>
      <w:r>
        <w:t xml:space="preserve"> re-evaluates the medical value (SMR) and incremental medical value (ASMR) of the drug. The price may also be reviewed by the </w:t>
      </w:r>
      <w:r w:rsidRPr="00E9581C">
        <w:t>Comité Economique des Produits de Santé (CEPS)</w:t>
      </w:r>
      <w:r>
        <w:t xml:space="preserve"> based on the outcomes of the decision by HAS </w:t>
      </w:r>
      <w:r w:rsidR="00A130D0">
        <w:rPr>
          <w:noProof/>
        </w:rPr>
        <w:t>(</w:t>
      </w:r>
      <w:r w:rsidR="00184B6F">
        <w:rPr>
          <w:noProof/>
        </w:rPr>
        <w:t>ISPOR 2009b</w:t>
      </w:r>
      <w:r w:rsidR="00A130D0">
        <w:rPr>
          <w:noProof/>
        </w:rPr>
        <w:t>)</w:t>
      </w:r>
      <w:r>
        <w:t xml:space="preserve">. </w:t>
      </w:r>
    </w:p>
    <w:p w:rsidR="00092F60" w:rsidRDefault="00092F60" w:rsidP="00092F60">
      <w:r>
        <w:t xml:space="preserve">Given the difficulty of collecting data for ultra-rare diseases, the AGNSS in the United Kingdom assumes that a further data collection will occur in 5 years following recommendation and </w:t>
      </w:r>
      <w:r>
        <w:lastRenderedPageBreak/>
        <w:t xml:space="preserve">assesses the ability of the applicant to do this </w:t>
      </w:r>
      <w:r w:rsidR="00A130D0">
        <w:rPr>
          <w:noProof/>
        </w:rPr>
        <w:t>(</w:t>
      </w:r>
      <w:r w:rsidR="00184B6F">
        <w:rPr>
          <w:noProof/>
        </w:rPr>
        <w:t>Canadian Agency for Drugs and Technologies in Health 2013</w:t>
      </w:r>
      <w:r w:rsidR="00A130D0">
        <w:rPr>
          <w:noProof/>
        </w:rPr>
        <w:t>)</w:t>
      </w:r>
      <w:r>
        <w:t xml:space="preserve">. </w:t>
      </w:r>
    </w:p>
    <w:p w:rsidR="00092F60" w:rsidRDefault="00092F60" w:rsidP="00092F60"/>
    <w:p w:rsidR="00092F60" w:rsidRDefault="00092F60" w:rsidP="00E965BD">
      <w:pPr>
        <w:pStyle w:val="Headings4"/>
      </w:pPr>
      <w:bookmarkStart w:id="592" w:name="_Toc404937322"/>
      <w:r>
        <w:t>Managed Entry Schemes</w:t>
      </w:r>
      <w:bookmarkEnd w:id="592"/>
    </w:p>
    <w:p w:rsidR="00731B68" w:rsidRDefault="006C0A78" w:rsidP="006C0A78">
      <w:r>
        <w:t>Due to the inherent nature of rare diseases, clinical evidence considered during the reimbursement process tends to be limited relative to drugs for common diseases. Some of this uncertainty stems from a lack of evidence owing to the difficulty of recruiting a sufficient number of patients for a trial or from ethical considerations surrounding the use of certain trial designs (</w:t>
      </w:r>
      <w:r w:rsidR="006E536A">
        <w:rPr>
          <w:i/>
        </w:rPr>
        <w:t>e.g.</w:t>
      </w:r>
      <w:r>
        <w:t xml:space="preserve"> randomised controlled trial when no alternative treatment exists). Uncertainty surrounding the clinical effectiveness of orphan drugs is often higher as a result of the small sample sizes, reliance on surrogate outcomes and often heterogeneous patient populations. Moreover, treatments for rare diseases can have relatively high treatment costs, which add to the budgetary uncertainty and financial risk to the payer in the event that the drug does not work as well as expected. To mitigate risk, some funding bodies have employed manage entry schemes for orphan drugs. </w:t>
      </w:r>
    </w:p>
    <w:p w:rsidR="00731B68" w:rsidRDefault="00731B68" w:rsidP="00731B68">
      <w:r>
        <w:t>In January 2011, the Australian Department of Health introduced a</w:t>
      </w:r>
      <w:r w:rsidRPr="007F6080">
        <w:t xml:space="preserve"> managed entry scheme </w:t>
      </w:r>
      <w:r>
        <w:t>“</w:t>
      </w:r>
      <w:r w:rsidRPr="004064FD">
        <w:t xml:space="preserve">whereby the PBAC may recommend PBS coverage at a price justified by the existing evidence, pending </w:t>
      </w:r>
      <w:r w:rsidRPr="00980819">
        <w:t>submission of more conclusive evidence of cost-effectiveness to support listing of the drug at a higher price</w:t>
      </w:r>
      <w:r>
        <w:t xml:space="preserve">” </w:t>
      </w:r>
      <w:r w:rsidR="00746F05">
        <w:rPr>
          <w:noProof/>
        </w:rPr>
        <w:t>(</w:t>
      </w:r>
      <w:r w:rsidR="00184B6F">
        <w:rPr>
          <w:noProof/>
        </w:rPr>
        <w:t>The Pharmaceutical Benefits Scheme 2011</w:t>
      </w:r>
      <w:r w:rsidR="00746F05">
        <w:rPr>
          <w:noProof/>
        </w:rPr>
        <w:t>)</w:t>
      </w:r>
      <w:r w:rsidRPr="004064FD">
        <w:t xml:space="preserve">. </w:t>
      </w:r>
      <w:r>
        <w:t>None of the drugs currently listed on the LSDP have been introduced using a managed entry scheme approach.</w:t>
      </w:r>
    </w:p>
    <w:p w:rsidR="00092F60" w:rsidRDefault="006C0A78" w:rsidP="006C0A78">
      <w:r>
        <w:t xml:space="preserve">A recent review of managed entry schemes for orphan drugs in Europe </w:t>
      </w:r>
      <w:r w:rsidR="00A130D0">
        <w:rPr>
          <w:noProof/>
        </w:rPr>
        <w:t>(</w:t>
      </w:r>
      <w:r w:rsidR="00184B6F">
        <w:rPr>
          <w:noProof/>
        </w:rPr>
        <w:t>Morel et al. 2013</w:t>
      </w:r>
      <w:r w:rsidR="00A130D0">
        <w:rPr>
          <w:noProof/>
        </w:rPr>
        <w:t>)</w:t>
      </w:r>
      <w:r>
        <w:t xml:space="preserve"> found evidence of 42 managed entry schemes specific to 26 drugs implemented between 2006 and 2012 in five European countries (</w:t>
      </w:r>
      <w:r w:rsidRPr="00702F56">
        <w:t>Belgium</w:t>
      </w:r>
      <w:r>
        <w:t>: n</w:t>
      </w:r>
      <w:r w:rsidR="00652355" w:rsidRPr="00652355">
        <w:rPr>
          <w:spacing w:val="-20"/>
        </w:rPr>
        <w:t xml:space="preserve"> = </w:t>
      </w:r>
      <w:r>
        <w:t>4;</w:t>
      </w:r>
      <w:r w:rsidRPr="00702F56">
        <w:t xml:space="preserve"> England and Wales</w:t>
      </w:r>
      <w:r>
        <w:t>: n</w:t>
      </w:r>
      <w:r w:rsidR="00652355" w:rsidRPr="00652355">
        <w:rPr>
          <w:spacing w:val="-20"/>
        </w:rPr>
        <w:t xml:space="preserve"> = </w:t>
      </w:r>
      <w:r>
        <w:t>8;</w:t>
      </w:r>
      <w:r w:rsidRPr="00702F56">
        <w:t xml:space="preserve"> Italy</w:t>
      </w:r>
      <w:r>
        <w:t>: n</w:t>
      </w:r>
      <w:r w:rsidR="00652355" w:rsidRPr="00652355">
        <w:rPr>
          <w:spacing w:val="-20"/>
        </w:rPr>
        <w:t xml:space="preserve"> = </w:t>
      </w:r>
      <w:r>
        <w:t>15;</w:t>
      </w:r>
      <w:r w:rsidRPr="00702F56">
        <w:t xml:space="preserve"> the Netherlands</w:t>
      </w:r>
      <w:r>
        <w:t>: n</w:t>
      </w:r>
      <w:r w:rsidR="00652355" w:rsidRPr="00652355">
        <w:rPr>
          <w:spacing w:val="-20"/>
        </w:rPr>
        <w:t xml:space="preserve"> = </w:t>
      </w:r>
      <w:r>
        <w:t>10;</w:t>
      </w:r>
      <w:r w:rsidRPr="00702F56">
        <w:t xml:space="preserve"> and Sweden</w:t>
      </w:r>
      <w:r>
        <w:t>: n</w:t>
      </w:r>
      <w:r w:rsidR="00652355" w:rsidRPr="00652355">
        <w:rPr>
          <w:spacing w:val="-20"/>
        </w:rPr>
        <w:t xml:space="preserve"> = </w:t>
      </w:r>
      <w:r>
        <w:t>5). The review found that performance-based risk-sharing arrangements (55%; n</w:t>
      </w:r>
      <w:r w:rsidR="00652355" w:rsidRPr="00652355">
        <w:rPr>
          <w:spacing w:val="-20"/>
        </w:rPr>
        <w:t xml:space="preserve"> = </w:t>
      </w:r>
      <w:r>
        <w:t>23) were slightly more prevalent than financial-based schemes (n</w:t>
      </w:r>
      <w:r w:rsidR="00652355" w:rsidRPr="00652355">
        <w:rPr>
          <w:spacing w:val="-20"/>
        </w:rPr>
        <w:t xml:space="preserve"> = </w:t>
      </w:r>
      <w:r>
        <w:t xml:space="preserve">19) and that performance-based risk sharing arrangements were relatively more common in Italy, the Netherlands and Sweden. Financial-based schemes were mainly found in Belgium, England and Wales, and Italy. </w:t>
      </w:r>
      <w:r w:rsidRPr="006E6217">
        <w:t xml:space="preserve">A summary of managed entry schemes is given in </w:t>
      </w:r>
      <w:r w:rsidR="00A72B26">
        <w:t xml:space="preserve">Table </w:t>
      </w:r>
      <w:r w:rsidR="00A72B26">
        <w:rPr>
          <w:noProof/>
        </w:rPr>
        <w:t>139</w:t>
      </w:r>
      <w:r w:rsidR="00092F60" w:rsidRPr="006E6217">
        <w:t xml:space="preserve"> (</w:t>
      </w:r>
      <w:r w:rsidR="00092F60">
        <w:t xml:space="preserve">sourced from </w:t>
      </w:r>
      <w:r w:rsidR="00092F60" w:rsidRPr="006E6217">
        <w:t>Morel et al</w:t>
      </w:r>
      <w:r w:rsidR="00092F60">
        <w:t xml:space="preserve"> </w:t>
      </w:r>
      <w:r w:rsidR="00092F60" w:rsidRPr="006E6217">
        <w:t>2013</w:t>
      </w:r>
      <w:r w:rsidR="00092F60">
        <w:t xml:space="preserve"> </w:t>
      </w:r>
      <w:r w:rsidR="00A130D0">
        <w:rPr>
          <w:noProof/>
        </w:rPr>
        <w:t>(</w:t>
      </w:r>
      <w:r w:rsidR="00184B6F">
        <w:rPr>
          <w:noProof/>
        </w:rPr>
        <w:t>Morel et al. 2013</w:t>
      </w:r>
      <w:r w:rsidR="00A130D0">
        <w:rPr>
          <w:noProof/>
        </w:rPr>
        <w:t>)</w:t>
      </w:r>
      <w:r w:rsidR="00092F60" w:rsidRPr="006E6217">
        <w:t xml:space="preserve">). </w:t>
      </w:r>
    </w:p>
    <w:p w:rsidR="00092F60" w:rsidRDefault="00092F60" w:rsidP="00F44176">
      <w:pPr>
        <w:pStyle w:val="Caption"/>
        <w:keepNext/>
        <w:tabs>
          <w:tab w:val="clear" w:pos="851"/>
          <w:tab w:val="left" w:pos="1276"/>
        </w:tabs>
        <w:ind w:left="1276" w:hanging="1276"/>
      </w:pPr>
      <w:bookmarkStart w:id="593" w:name="_Ref403371516"/>
      <w:bookmarkStart w:id="594" w:name="_Toc403720100"/>
      <w:bookmarkStart w:id="595" w:name="_Toc404976346"/>
      <w:bookmarkStart w:id="596" w:name="_Toc411510502"/>
      <w:bookmarkStart w:id="597" w:name="_Toc415141936"/>
      <w:r>
        <w:lastRenderedPageBreak/>
        <w:t xml:space="preserve">Table </w:t>
      </w:r>
      <w:r w:rsidR="00A72B26">
        <w:rPr>
          <w:noProof/>
        </w:rPr>
        <w:t>139</w:t>
      </w:r>
      <w:bookmarkEnd w:id="593"/>
      <w:r>
        <w:t xml:space="preserve"> </w:t>
      </w:r>
      <w:r w:rsidR="001D2216">
        <w:tab/>
      </w:r>
      <w:r w:rsidRPr="00D40295">
        <w:t>Overview of M</w:t>
      </w:r>
      <w:r w:rsidR="006C0A78">
        <w:t xml:space="preserve">anaged </w:t>
      </w:r>
      <w:r w:rsidRPr="00D40295">
        <w:t>E</w:t>
      </w:r>
      <w:r w:rsidR="006C0A78">
        <w:t xml:space="preserve">ntry </w:t>
      </w:r>
      <w:r w:rsidRPr="00D40295">
        <w:t>A</w:t>
      </w:r>
      <w:r w:rsidR="006C0A78">
        <w:t>rrangement</w:t>
      </w:r>
      <w:r w:rsidRPr="00D40295">
        <w:t>s</w:t>
      </w:r>
      <w:r w:rsidR="006C0A78">
        <w:t xml:space="preserve"> (MEAs)</w:t>
      </w:r>
      <w:r w:rsidRPr="00D40295">
        <w:t xml:space="preserve"> identified across five European countries, described by country and design</w:t>
      </w:r>
      <w:bookmarkEnd w:id="594"/>
      <w:bookmarkEnd w:id="595"/>
      <w:bookmarkEnd w:id="596"/>
      <w:bookmarkEnd w:id="5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4  Overview of Managed Entry Arrangements (MEAs) identified across five European countries, described by country and design"/>
      </w:tblPr>
      <w:tblGrid>
        <w:gridCol w:w="4903"/>
        <w:gridCol w:w="701"/>
        <w:gridCol w:w="701"/>
        <w:gridCol w:w="701"/>
        <w:gridCol w:w="701"/>
        <w:gridCol w:w="703"/>
        <w:gridCol w:w="1166"/>
      </w:tblGrid>
      <w:tr w:rsidR="00092F60" w:rsidRPr="0021770B" w:rsidTr="00F75ECD">
        <w:trPr>
          <w:trHeight w:val="300"/>
          <w:tblHeader/>
        </w:trPr>
        <w:tc>
          <w:tcPr>
            <w:tcW w:w="2560" w:type="pct"/>
            <w:tcBorders>
              <w:bottom w:val="nil"/>
            </w:tcBorders>
            <w:shd w:val="clear" w:color="auto" w:fill="auto"/>
            <w:noWrap/>
            <w:vAlign w:val="bottom"/>
            <w:hideMark/>
          </w:tcPr>
          <w:p w:rsidR="00092F60" w:rsidRPr="0021770B" w:rsidRDefault="00092F60" w:rsidP="00DE507A">
            <w:pPr>
              <w:pStyle w:val="TableHeading"/>
            </w:pPr>
            <w:r w:rsidRPr="0021770B">
              <w:t>Types of MEAs</w:t>
            </w:r>
          </w:p>
        </w:tc>
        <w:tc>
          <w:tcPr>
            <w:tcW w:w="1831" w:type="pct"/>
            <w:gridSpan w:val="5"/>
            <w:shd w:val="clear" w:color="auto" w:fill="auto"/>
            <w:noWrap/>
            <w:vAlign w:val="bottom"/>
            <w:hideMark/>
          </w:tcPr>
          <w:p w:rsidR="00092F60" w:rsidRPr="0021770B" w:rsidRDefault="00092F60" w:rsidP="00DE507A">
            <w:pPr>
              <w:pStyle w:val="TableHeading"/>
            </w:pPr>
            <w:r w:rsidRPr="0021770B">
              <w:t>Country</w:t>
            </w:r>
          </w:p>
        </w:tc>
        <w:tc>
          <w:tcPr>
            <w:tcW w:w="609" w:type="pct"/>
            <w:tcBorders>
              <w:bottom w:val="nil"/>
            </w:tcBorders>
            <w:shd w:val="clear" w:color="auto" w:fill="auto"/>
            <w:noWrap/>
            <w:vAlign w:val="bottom"/>
            <w:hideMark/>
          </w:tcPr>
          <w:p w:rsidR="00092F60" w:rsidRPr="0021770B" w:rsidRDefault="00092F60" w:rsidP="00DE507A">
            <w:pPr>
              <w:pStyle w:val="TableHeading"/>
            </w:pPr>
            <w:r w:rsidRPr="0021770B">
              <w:t xml:space="preserve">Number of </w:t>
            </w:r>
          </w:p>
        </w:tc>
      </w:tr>
      <w:tr w:rsidR="00092F60" w:rsidRPr="0021770B" w:rsidTr="00DE507A">
        <w:trPr>
          <w:trHeight w:val="300"/>
        </w:trPr>
        <w:tc>
          <w:tcPr>
            <w:tcW w:w="2560" w:type="pct"/>
            <w:tcBorders>
              <w:top w:val="nil"/>
            </w:tcBorders>
            <w:shd w:val="clear" w:color="auto" w:fill="auto"/>
            <w:noWrap/>
            <w:vAlign w:val="bottom"/>
            <w:hideMark/>
          </w:tcPr>
          <w:p w:rsidR="00092F60" w:rsidRPr="0021770B" w:rsidRDefault="00DE507A" w:rsidP="00DE507A">
            <w:pPr>
              <w:pStyle w:val="TableHeading"/>
            </w:pPr>
            <w:r w:rsidRPr="00DE507A">
              <w:rPr>
                <w:color w:val="FFFFFF" w:themeColor="background1"/>
              </w:rPr>
              <w:t>-</w:t>
            </w:r>
          </w:p>
        </w:tc>
        <w:tc>
          <w:tcPr>
            <w:tcW w:w="366" w:type="pct"/>
            <w:shd w:val="clear" w:color="auto" w:fill="auto"/>
            <w:noWrap/>
            <w:vAlign w:val="bottom"/>
            <w:hideMark/>
          </w:tcPr>
          <w:p w:rsidR="00092F60" w:rsidRPr="0021770B" w:rsidRDefault="00092F60" w:rsidP="00DE507A">
            <w:pPr>
              <w:pStyle w:val="TableHeading"/>
            </w:pPr>
            <w:r w:rsidRPr="0021770B">
              <w:t>B</w:t>
            </w:r>
          </w:p>
        </w:tc>
        <w:tc>
          <w:tcPr>
            <w:tcW w:w="366" w:type="pct"/>
            <w:shd w:val="clear" w:color="auto" w:fill="auto"/>
            <w:noWrap/>
            <w:vAlign w:val="bottom"/>
            <w:hideMark/>
          </w:tcPr>
          <w:p w:rsidR="00092F60" w:rsidRPr="0021770B" w:rsidRDefault="00092F60" w:rsidP="00DE507A">
            <w:pPr>
              <w:pStyle w:val="TableHeading"/>
            </w:pPr>
            <w:r w:rsidRPr="0021770B">
              <w:t>E</w:t>
            </w:r>
          </w:p>
        </w:tc>
        <w:tc>
          <w:tcPr>
            <w:tcW w:w="366" w:type="pct"/>
            <w:shd w:val="clear" w:color="auto" w:fill="auto"/>
            <w:noWrap/>
            <w:vAlign w:val="bottom"/>
            <w:hideMark/>
          </w:tcPr>
          <w:p w:rsidR="00092F60" w:rsidRPr="0021770B" w:rsidRDefault="00092F60" w:rsidP="00DE507A">
            <w:pPr>
              <w:pStyle w:val="TableHeading"/>
            </w:pPr>
            <w:r w:rsidRPr="0021770B">
              <w:t>I</w:t>
            </w:r>
          </w:p>
        </w:tc>
        <w:tc>
          <w:tcPr>
            <w:tcW w:w="366" w:type="pct"/>
            <w:shd w:val="clear" w:color="auto" w:fill="auto"/>
            <w:noWrap/>
            <w:vAlign w:val="bottom"/>
            <w:hideMark/>
          </w:tcPr>
          <w:p w:rsidR="00092F60" w:rsidRPr="0021770B" w:rsidRDefault="00092F60" w:rsidP="00DE507A">
            <w:pPr>
              <w:pStyle w:val="TableHeading"/>
            </w:pPr>
            <w:r w:rsidRPr="0021770B">
              <w:t>NL</w:t>
            </w:r>
          </w:p>
        </w:tc>
        <w:tc>
          <w:tcPr>
            <w:tcW w:w="367" w:type="pct"/>
            <w:tcBorders>
              <w:top w:val="nil"/>
            </w:tcBorders>
            <w:shd w:val="clear" w:color="auto" w:fill="auto"/>
            <w:noWrap/>
            <w:vAlign w:val="bottom"/>
            <w:hideMark/>
          </w:tcPr>
          <w:p w:rsidR="00092F60" w:rsidRPr="0021770B" w:rsidRDefault="00092F60" w:rsidP="00DE507A">
            <w:pPr>
              <w:pStyle w:val="TableHeading"/>
            </w:pPr>
            <w:r w:rsidRPr="0021770B">
              <w:t>S</w:t>
            </w:r>
          </w:p>
        </w:tc>
        <w:tc>
          <w:tcPr>
            <w:tcW w:w="609" w:type="pct"/>
            <w:tcBorders>
              <w:top w:val="nil"/>
            </w:tcBorders>
            <w:shd w:val="clear" w:color="auto" w:fill="auto"/>
            <w:noWrap/>
            <w:vAlign w:val="bottom"/>
            <w:hideMark/>
          </w:tcPr>
          <w:p w:rsidR="00092F60" w:rsidRPr="0021770B" w:rsidRDefault="00DE507A" w:rsidP="00DE507A">
            <w:pPr>
              <w:pStyle w:val="TableHeading"/>
            </w:pPr>
            <w:r w:rsidRPr="0021770B">
              <w:t>MEAs</w:t>
            </w: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Performance-based arrangements</w:t>
            </w: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7" w:type="pct"/>
            <w:shd w:val="clear" w:color="auto" w:fill="auto"/>
            <w:noWrap/>
            <w:vAlign w:val="bottom"/>
            <w:hideMark/>
          </w:tcPr>
          <w:p w:rsidR="00092F60" w:rsidRPr="0021770B" w:rsidRDefault="00092F60" w:rsidP="00DE507A">
            <w:pPr>
              <w:pStyle w:val="TableText0"/>
            </w:pPr>
          </w:p>
        </w:tc>
        <w:tc>
          <w:tcPr>
            <w:tcW w:w="609" w:type="pct"/>
            <w:shd w:val="clear" w:color="auto" w:fill="auto"/>
            <w:noWrap/>
            <w:vAlign w:val="bottom"/>
            <w:hideMark/>
          </w:tcPr>
          <w:p w:rsidR="00092F60" w:rsidRPr="0021770B" w:rsidRDefault="00092F60" w:rsidP="00DE507A">
            <w:pPr>
              <w:pStyle w:val="TableText0"/>
            </w:pPr>
            <w:r w:rsidRPr="0021770B">
              <w:t>23</w:t>
            </w: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Performance-linked reimbursement schemes</w:t>
            </w:r>
          </w:p>
        </w:tc>
        <w:tc>
          <w:tcPr>
            <w:tcW w:w="366" w:type="pct"/>
            <w:shd w:val="clear" w:color="auto" w:fill="auto"/>
            <w:vAlign w:val="bottom"/>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7" w:type="pct"/>
            <w:shd w:val="clear" w:color="auto" w:fill="auto"/>
            <w:noWrap/>
            <w:vAlign w:val="bottom"/>
            <w:hideMark/>
          </w:tcPr>
          <w:p w:rsidR="00092F60" w:rsidRPr="0021770B" w:rsidRDefault="00092F60" w:rsidP="00DE507A">
            <w:pPr>
              <w:pStyle w:val="TableText0"/>
            </w:pPr>
          </w:p>
        </w:tc>
        <w:tc>
          <w:tcPr>
            <w:tcW w:w="609" w:type="pct"/>
            <w:shd w:val="clear" w:color="auto" w:fill="auto"/>
            <w:noWrap/>
            <w:vAlign w:val="bottom"/>
            <w:hideMark/>
          </w:tcPr>
          <w:p w:rsidR="00092F60" w:rsidRPr="0021770B" w:rsidRDefault="00092F60" w:rsidP="00DE507A">
            <w:pPr>
              <w:pStyle w:val="TableText0"/>
            </w:pP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 </w:t>
            </w:r>
            <w:r w:rsidRPr="0021770B">
              <w:t> </w:t>
            </w:r>
            <w:r w:rsidRPr="0021770B">
              <w:rPr>
                <w:rFonts w:ascii="Times New Roman" w:hAnsi="Times New Roman"/>
              </w:rPr>
              <w:t> </w:t>
            </w:r>
            <w:r w:rsidRPr="0021770B">
              <w:t>Money-back guarantees</w:t>
            </w: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r w:rsidRPr="0021770B">
              <w:t>x</w:t>
            </w:r>
          </w:p>
        </w:tc>
        <w:tc>
          <w:tcPr>
            <w:tcW w:w="366" w:type="pct"/>
            <w:shd w:val="clear" w:color="auto" w:fill="auto"/>
            <w:noWrap/>
            <w:vAlign w:val="bottom"/>
            <w:hideMark/>
          </w:tcPr>
          <w:p w:rsidR="00092F60" w:rsidRPr="0021770B" w:rsidRDefault="00092F60" w:rsidP="00DE507A">
            <w:pPr>
              <w:pStyle w:val="TableText0"/>
            </w:pPr>
          </w:p>
        </w:tc>
        <w:tc>
          <w:tcPr>
            <w:tcW w:w="367" w:type="pct"/>
            <w:shd w:val="clear" w:color="auto" w:fill="auto"/>
            <w:noWrap/>
            <w:vAlign w:val="bottom"/>
            <w:hideMark/>
          </w:tcPr>
          <w:p w:rsidR="00092F60" w:rsidRPr="0021770B" w:rsidRDefault="00092F60" w:rsidP="00DE507A">
            <w:pPr>
              <w:pStyle w:val="TableText0"/>
            </w:pPr>
          </w:p>
        </w:tc>
        <w:tc>
          <w:tcPr>
            <w:tcW w:w="609" w:type="pct"/>
            <w:shd w:val="clear" w:color="auto" w:fill="auto"/>
            <w:noWrap/>
            <w:vAlign w:val="bottom"/>
            <w:hideMark/>
          </w:tcPr>
          <w:p w:rsidR="00092F60" w:rsidRPr="0021770B" w:rsidRDefault="00092F60" w:rsidP="00DE507A">
            <w:pPr>
              <w:pStyle w:val="TableText0"/>
            </w:pPr>
            <w:r w:rsidRPr="0021770B">
              <w:t>8</w:t>
            </w: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Coverage with evidence development (CED)</w:t>
            </w:r>
          </w:p>
        </w:tc>
        <w:tc>
          <w:tcPr>
            <w:tcW w:w="366" w:type="pct"/>
            <w:shd w:val="clear" w:color="auto" w:fill="auto"/>
            <w:vAlign w:val="bottom"/>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7" w:type="pct"/>
            <w:shd w:val="clear" w:color="auto" w:fill="auto"/>
            <w:noWrap/>
            <w:vAlign w:val="bottom"/>
            <w:hideMark/>
          </w:tcPr>
          <w:p w:rsidR="00092F60" w:rsidRPr="0021770B" w:rsidRDefault="00092F60" w:rsidP="00DE507A">
            <w:pPr>
              <w:pStyle w:val="TableText0"/>
            </w:pPr>
          </w:p>
        </w:tc>
        <w:tc>
          <w:tcPr>
            <w:tcW w:w="609" w:type="pct"/>
            <w:shd w:val="clear" w:color="auto" w:fill="auto"/>
            <w:noWrap/>
            <w:vAlign w:val="bottom"/>
            <w:hideMark/>
          </w:tcPr>
          <w:p w:rsidR="00092F60" w:rsidRPr="0021770B" w:rsidRDefault="00092F60" w:rsidP="00DE507A">
            <w:pPr>
              <w:pStyle w:val="TableText0"/>
            </w:pP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 </w:t>
            </w:r>
            <w:r w:rsidRPr="0021770B">
              <w:t> </w:t>
            </w:r>
            <w:r w:rsidRPr="0021770B">
              <w:rPr>
                <w:rFonts w:ascii="Times New Roman" w:hAnsi="Times New Roman"/>
              </w:rPr>
              <w:t> </w:t>
            </w:r>
            <w:r w:rsidRPr="0021770B">
              <w:t>CED ‘only with research’</w:t>
            </w: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r w:rsidRPr="0021770B">
              <w:t>x</w:t>
            </w:r>
          </w:p>
        </w:tc>
        <w:tc>
          <w:tcPr>
            <w:tcW w:w="367" w:type="pct"/>
            <w:shd w:val="clear" w:color="auto" w:fill="auto"/>
            <w:noWrap/>
            <w:vAlign w:val="bottom"/>
            <w:hideMark/>
          </w:tcPr>
          <w:p w:rsidR="00092F60" w:rsidRPr="0021770B" w:rsidRDefault="00092F60" w:rsidP="00DE507A">
            <w:pPr>
              <w:pStyle w:val="TableText0"/>
            </w:pPr>
            <w:r w:rsidRPr="0021770B">
              <w:t>x</w:t>
            </w:r>
          </w:p>
        </w:tc>
        <w:tc>
          <w:tcPr>
            <w:tcW w:w="609" w:type="pct"/>
            <w:shd w:val="clear" w:color="auto" w:fill="auto"/>
            <w:noWrap/>
            <w:vAlign w:val="bottom"/>
            <w:hideMark/>
          </w:tcPr>
          <w:p w:rsidR="00092F60" w:rsidRPr="0021770B" w:rsidRDefault="00092F60" w:rsidP="00DE507A">
            <w:pPr>
              <w:pStyle w:val="TableText0"/>
            </w:pPr>
            <w:r w:rsidRPr="0021770B">
              <w:t>15</w:t>
            </w: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Financial-based arrangements</w:t>
            </w: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7" w:type="pct"/>
            <w:shd w:val="clear" w:color="auto" w:fill="auto"/>
            <w:noWrap/>
            <w:vAlign w:val="bottom"/>
            <w:hideMark/>
          </w:tcPr>
          <w:p w:rsidR="00092F60" w:rsidRPr="0021770B" w:rsidRDefault="00092F60" w:rsidP="00DE507A">
            <w:pPr>
              <w:pStyle w:val="TableText0"/>
            </w:pPr>
          </w:p>
        </w:tc>
        <w:tc>
          <w:tcPr>
            <w:tcW w:w="609" w:type="pct"/>
            <w:shd w:val="clear" w:color="auto" w:fill="auto"/>
            <w:noWrap/>
            <w:vAlign w:val="bottom"/>
            <w:hideMark/>
          </w:tcPr>
          <w:p w:rsidR="00092F60" w:rsidRPr="0021770B" w:rsidRDefault="00092F60" w:rsidP="00DE507A">
            <w:pPr>
              <w:pStyle w:val="TableText0"/>
            </w:pPr>
            <w:r w:rsidRPr="0021770B">
              <w:t>19</w:t>
            </w: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Patient-level financial schemes</w:t>
            </w: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7" w:type="pct"/>
            <w:shd w:val="clear" w:color="auto" w:fill="auto"/>
            <w:noWrap/>
            <w:vAlign w:val="bottom"/>
            <w:hideMark/>
          </w:tcPr>
          <w:p w:rsidR="00092F60" w:rsidRPr="0021770B" w:rsidRDefault="00092F60" w:rsidP="00DE507A">
            <w:pPr>
              <w:pStyle w:val="TableText0"/>
            </w:pPr>
          </w:p>
        </w:tc>
        <w:tc>
          <w:tcPr>
            <w:tcW w:w="609" w:type="pct"/>
            <w:shd w:val="clear" w:color="auto" w:fill="auto"/>
            <w:noWrap/>
            <w:vAlign w:val="bottom"/>
            <w:hideMark/>
          </w:tcPr>
          <w:p w:rsidR="00092F60" w:rsidRPr="0021770B" w:rsidRDefault="00092F60" w:rsidP="00DE507A">
            <w:pPr>
              <w:pStyle w:val="TableText0"/>
            </w:pPr>
            <w:r w:rsidRPr="0021770B">
              <w:t>10</w:t>
            </w: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 </w:t>
            </w:r>
            <w:r w:rsidRPr="0021770B">
              <w:t> </w:t>
            </w:r>
            <w:r w:rsidRPr="0021770B">
              <w:rPr>
                <w:rFonts w:ascii="Times New Roman" w:hAnsi="Times New Roman"/>
              </w:rPr>
              <w:t> </w:t>
            </w:r>
            <w:r w:rsidRPr="0021770B">
              <w:t>Discounted treatment initiation</w:t>
            </w: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r w:rsidRPr="0021770B">
              <w:t>x</w:t>
            </w:r>
          </w:p>
        </w:tc>
        <w:tc>
          <w:tcPr>
            <w:tcW w:w="366" w:type="pct"/>
            <w:shd w:val="clear" w:color="auto" w:fill="auto"/>
            <w:noWrap/>
            <w:vAlign w:val="bottom"/>
            <w:hideMark/>
          </w:tcPr>
          <w:p w:rsidR="00092F60" w:rsidRPr="0021770B" w:rsidRDefault="00092F60" w:rsidP="00DE507A">
            <w:pPr>
              <w:pStyle w:val="TableText0"/>
            </w:pPr>
          </w:p>
        </w:tc>
        <w:tc>
          <w:tcPr>
            <w:tcW w:w="367" w:type="pct"/>
            <w:shd w:val="clear" w:color="auto" w:fill="auto"/>
            <w:noWrap/>
            <w:vAlign w:val="bottom"/>
            <w:hideMark/>
          </w:tcPr>
          <w:p w:rsidR="00092F60" w:rsidRPr="0021770B" w:rsidRDefault="00092F60" w:rsidP="00DE507A">
            <w:pPr>
              <w:pStyle w:val="TableText0"/>
            </w:pPr>
          </w:p>
        </w:tc>
        <w:tc>
          <w:tcPr>
            <w:tcW w:w="609" w:type="pct"/>
            <w:shd w:val="clear" w:color="auto" w:fill="auto"/>
            <w:noWrap/>
            <w:vAlign w:val="bottom"/>
            <w:hideMark/>
          </w:tcPr>
          <w:p w:rsidR="00092F60" w:rsidRPr="0021770B" w:rsidRDefault="00092F60" w:rsidP="00DE507A">
            <w:pPr>
              <w:pStyle w:val="TableText0"/>
            </w:pPr>
            <w:r w:rsidRPr="0021770B">
              <w:t>6</w:t>
            </w: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 </w:t>
            </w:r>
            <w:r w:rsidRPr="0021770B">
              <w:t> </w:t>
            </w:r>
            <w:r w:rsidRPr="0021770B">
              <w:rPr>
                <w:rFonts w:ascii="Times New Roman" w:hAnsi="Times New Roman"/>
              </w:rPr>
              <w:t> </w:t>
            </w:r>
            <w:r w:rsidRPr="0021770B">
              <w:t>Patient utilisation cap</w:t>
            </w: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r w:rsidRPr="0021770B">
              <w:t>x</w:t>
            </w: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7" w:type="pct"/>
            <w:shd w:val="clear" w:color="auto" w:fill="auto"/>
            <w:noWrap/>
            <w:vAlign w:val="bottom"/>
            <w:hideMark/>
          </w:tcPr>
          <w:p w:rsidR="00092F60" w:rsidRPr="0021770B" w:rsidRDefault="00092F60" w:rsidP="00DE507A">
            <w:pPr>
              <w:pStyle w:val="TableText0"/>
            </w:pPr>
          </w:p>
        </w:tc>
        <w:tc>
          <w:tcPr>
            <w:tcW w:w="609" w:type="pct"/>
            <w:shd w:val="clear" w:color="auto" w:fill="auto"/>
            <w:noWrap/>
            <w:vAlign w:val="bottom"/>
            <w:hideMark/>
          </w:tcPr>
          <w:p w:rsidR="00092F60" w:rsidRPr="0021770B" w:rsidRDefault="00092F60" w:rsidP="00DE507A">
            <w:pPr>
              <w:pStyle w:val="TableText0"/>
            </w:pPr>
            <w:r w:rsidRPr="0021770B">
              <w:t>2</w:t>
            </w: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 </w:t>
            </w:r>
            <w:r w:rsidRPr="0021770B">
              <w:t> </w:t>
            </w:r>
            <w:r w:rsidRPr="0021770B">
              <w:rPr>
                <w:rFonts w:ascii="Times New Roman" w:hAnsi="Times New Roman"/>
              </w:rPr>
              <w:t> </w:t>
            </w:r>
            <w:r w:rsidRPr="0021770B">
              <w:t>Patient cost cap</w:t>
            </w:r>
          </w:p>
        </w:tc>
        <w:tc>
          <w:tcPr>
            <w:tcW w:w="366" w:type="pct"/>
            <w:shd w:val="clear" w:color="auto" w:fill="auto"/>
            <w:noWrap/>
            <w:vAlign w:val="bottom"/>
            <w:hideMark/>
          </w:tcPr>
          <w:p w:rsidR="00092F60" w:rsidRPr="0021770B" w:rsidRDefault="00092F60" w:rsidP="00DE507A">
            <w:pPr>
              <w:pStyle w:val="TableText0"/>
            </w:pPr>
            <w:r w:rsidRPr="0021770B">
              <w:t>x</w:t>
            </w:r>
          </w:p>
        </w:tc>
        <w:tc>
          <w:tcPr>
            <w:tcW w:w="366" w:type="pct"/>
            <w:shd w:val="clear" w:color="auto" w:fill="auto"/>
            <w:noWrap/>
            <w:vAlign w:val="bottom"/>
            <w:hideMark/>
          </w:tcPr>
          <w:p w:rsidR="00092F60" w:rsidRPr="0021770B" w:rsidRDefault="00092F60" w:rsidP="00DE507A">
            <w:pPr>
              <w:pStyle w:val="TableText0"/>
            </w:pPr>
            <w:r w:rsidRPr="0021770B">
              <w:t>x</w:t>
            </w: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7" w:type="pct"/>
            <w:shd w:val="clear" w:color="auto" w:fill="auto"/>
            <w:noWrap/>
            <w:vAlign w:val="bottom"/>
            <w:hideMark/>
          </w:tcPr>
          <w:p w:rsidR="00092F60" w:rsidRPr="0021770B" w:rsidRDefault="00092F60" w:rsidP="00DE507A">
            <w:pPr>
              <w:pStyle w:val="TableText0"/>
            </w:pPr>
          </w:p>
        </w:tc>
        <w:tc>
          <w:tcPr>
            <w:tcW w:w="609" w:type="pct"/>
            <w:shd w:val="clear" w:color="auto" w:fill="auto"/>
            <w:noWrap/>
            <w:vAlign w:val="bottom"/>
            <w:hideMark/>
          </w:tcPr>
          <w:p w:rsidR="00092F60" w:rsidRPr="0021770B" w:rsidRDefault="00092F60" w:rsidP="00DE507A">
            <w:pPr>
              <w:pStyle w:val="TableText0"/>
            </w:pPr>
            <w:r w:rsidRPr="0021770B">
              <w:t>2</w:t>
            </w: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Population-level financial schemes</w:t>
            </w: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7" w:type="pct"/>
            <w:shd w:val="clear" w:color="auto" w:fill="auto"/>
            <w:noWrap/>
            <w:vAlign w:val="bottom"/>
            <w:hideMark/>
          </w:tcPr>
          <w:p w:rsidR="00092F60" w:rsidRPr="0021770B" w:rsidRDefault="00092F60" w:rsidP="00DE507A">
            <w:pPr>
              <w:pStyle w:val="TableText0"/>
            </w:pPr>
          </w:p>
        </w:tc>
        <w:tc>
          <w:tcPr>
            <w:tcW w:w="609" w:type="pct"/>
            <w:shd w:val="clear" w:color="auto" w:fill="auto"/>
            <w:noWrap/>
            <w:vAlign w:val="bottom"/>
            <w:hideMark/>
          </w:tcPr>
          <w:p w:rsidR="00092F60" w:rsidRPr="0021770B" w:rsidRDefault="00092F60" w:rsidP="00DE507A">
            <w:pPr>
              <w:pStyle w:val="TableText0"/>
            </w:pPr>
            <w:r w:rsidRPr="0021770B">
              <w:t>9</w:t>
            </w: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 </w:t>
            </w:r>
            <w:r w:rsidRPr="0021770B">
              <w:t> </w:t>
            </w:r>
            <w:r w:rsidRPr="0021770B">
              <w:rPr>
                <w:rFonts w:ascii="Times New Roman" w:hAnsi="Times New Roman"/>
              </w:rPr>
              <w:t> </w:t>
            </w:r>
            <w:r w:rsidRPr="0021770B">
              <w:t>Discount</w:t>
            </w:r>
          </w:p>
        </w:tc>
        <w:tc>
          <w:tcPr>
            <w:tcW w:w="366" w:type="pct"/>
            <w:shd w:val="clear" w:color="auto" w:fill="auto"/>
            <w:noWrap/>
            <w:vAlign w:val="bottom"/>
            <w:hideMark/>
          </w:tcPr>
          <w:p w:rsidR="00092F60" w:rsidRPr="0021770B" w:rsidRDefault="00092F60" w:rsidP="00DE507A">
            <w:pPr>
              <w:pStyle w:val="TableText0"/>
            </w:pPr>
            <w:r w:rsidRPr="0021770B">
              <w:t>x</w:t>
            </w:r>
          </w:p>
        </w:tc>
        <w:tc>
          <w:tcPr>
            <w:tcW w:w="366" w:type="pct"/>
            <w:shd w:val="clear" w:color="auto" w:fill="auto"/>
            <w:noWrap/>
            <w:vAlign w:val="bottom"/>
            <w:hideMark/>
          </w:tcPr>
          <w:p w:rsidR="00092F60" w:rsidRPr="0021770B" w:rsidRDefault="00092F60" w:rsidP="00DE507A">
            <w:pPr>
              <w:pStyle w:val="TableText0"/>
            </w:pPr>
            <w:r w:rsidRPr="0021770B">
              <w:t>x</w:t>
            </w:r>
          </w:p>
        </w:tc>
        <w:tc>
          <w:tcPr>
            <w:tcW w:w="366" w:type="pct"/>
            <w:shd w:val="clear" w:color="auto" w:fill="auto"/>
            <w:noWrap/>
            <w:vAlign w:val="bottom"/>
            <w:hideMark/>
          </w:tcPr>
          <w:p w:rsidR="00092F60" w:rsidRPr="0021770B" w:rsidRDefault="00092F60" w:rsidP="00DE507A">
            <w:pPr>
              <w:pStyle w:val="TableText0"/>
            </w:pPr>
            <w:r w:rsidRPr="0021770B">
              <w:t>x</w:t>
            </w:r>
          </w:p>
        </w:tc>
        <w:tc>
          <w:tcPr>
            <w:tcW w:w="366" w:type="pct"/>
            <w:shd w:val="clear" w:color="auto" w:fill="auto"/>
            <w:noWrap/>
            <w:vAlign w:val="bottom"/>
            <w:hideMark/>
          </w:tcPr>
          <w:p w:rsidR="00092F60" w:rsidRPr="0021770B" w:rsidRDefault="00092F60" w:rsidP="00DE507A">
            <w:pPr>
              <w:pStyle w:val="TableText0"/>
            </w:pPr>
          </w:p>
        </w:tc>
        <w:tc>
          <w:tcPr>
            <w:tcW w:w="367" w:type="pct"/>
            <w:shd w:val="clear" w:color="auto" w:fill="auto"/>
            <w:noWrap/>
            <w:vAlign w:val="bottom"/>
            <w:hideMark/>
          </w:tcPr>
          <w:p w:rsidR="00092F60" w:rsidRPr="0021770B" w:rsidRDefault="00092F60" w:rsidP="00DE507A">
            <w:pPr>
              <w:pStyle w:val="TableText0"/>
            </w:pPr>
          </w:p>
        </w:tc>
        <w:tc>
          <w:tcPr>
            <w:tcW w:w="609" w:type="pct"/>
            <w:shd w:val="clear" w:color="auto" w:fill="auto"/>
            <w:noWrap/>
            <w:vAlign w:val="bottom"/>
            <w:hideMark/>
          </w:tcPr>
          <w:p w:rsidR="00092F60" w:rsidRPr="0021770B" w:rsidRDefault="00092F60" w:rsidP="00DE507A">
            <w:pPr>
              <w:pStyle w:val="TableText0"/>
            </w:pPr>
            <w:r w:rsidRPr="0021770B">
              <w:t>7</w:t>
            </w: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 </w:t>
            </w:r>
            <w:r w:rsidRPr="0021770B">
              <w:t> </w:t>
            </w:r>
            <w:r w:rsidRPr="0021770B">
              <w:rPr>
                <w:rFonts w:ascii="Times New Roman" w:hAnsi="Times New Roman"/>
              </w:rPr>
              <w:t> </w:t>
            </w:r>
            <w:r w:rsidRPr="0021770B">
              <w:t>Price-volume agreement with budget cap</w:t>
            </w:r>
          </w:p>
        </w:tc>
        <w:tc>
          <w:tcPr>
            <w:tcW w:w="366" w:type="pct"/>
            <w:shd w:val="clear" w:color="auto" w:fill="auto"/>
            <w:noWrap/>
            <w:vAlign w:val="bottom"/>
            <w:hideMark/>
          </w:tcPr>
          <w:p w:rsidR="00092F60" w:rsidRPr="0021770B" w:rsidRDefault="00092F60" w:rsidP="00DE507A">
            <w:pPr>
              <w:pStyle w:val="TableText0"/>
            </w:pPr>
            <w:r w:rsidRPr="0021770B">
              <w:t>x</w:t>
            </w: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6" w:type="pct"/>
            <w:shd w:val="clear" w:color="auto" w:fill="auto"/>
            <w:noWrap/>
            <w:vAlign w:val="bottom"/>
            <w:hideMark/>
          </w:tcPr>
          <w:p w:rsidR="00092F60" w:rsidRPr="0021770B" w:rsidRDefault="00092F60" w:rsidP="00DE507A">
            <w:pPr>
              <w:pStyle w:val="TableText0"/>
            </w:pPr>
          </w:p>
        </w:tc>
        <w:tc>
          <w:tcPr>
            <w:tcW w:w="367" w:type="pct"/>
            <w:shd w:val="clear" w:color="auto" w:fill="auto"/>
            <w:noWrap/>
            <w:vAlign w:val="bottom"/>
            <w:hideMark/>
          </w:tcPr>
          <w:p w:rsidR="00092F60" w:rsidRPr="0021770B" w:rsidRDefault="00092F60" w:rsidP="00DE507A">
            <w:pPr>
              <w:pStyle w:val="TableText0"/>
            </w:pPr>
          </w:p>
        </w:tc>
        <w:tc>
          <w:tcPr>
            <w:tcW w:w="609" w:type="pct"/>
            <w:shd w:val="clear" w:color="auto" w:fill="auto"/>
            <w:noWrap/>
            <w:vAlign w:val="bottom"/>
            <w:hideMark/>
          </w:tcPr>
          <w:p w:rsidR="00092F60" w:rsidRPr="0021770B" w:rsidRDefault="00092F60" w:rsidP="00DE507A">
            <w:pPr>
              <w:pStyle w:val="TableText0"/>
            </w:pPr>
            <w:r w:rsidRPr="0021770B">
              <w:t>2</w:t>
            </w:r>
          </w:p>
        </w:tc>
      </w:tr>
      <w:tr w:rsidR="00092F60" w:rsidRPr="0021770B" w:rsidTr="00092F60">
        <w:trPr>
          <w:trHeight w:val="300"/>
        </w:trPr>
        <w:tc>
          <w:tcPr>
            <w:tcW w:w="2560" w:type="pct"/>
            <w:shd w:val="clear" w:color="auto" w:fill="auto"/>
            <w:noWrap/>
            <w:vAlign w:val="bottom"/>
            <w:hideMark/>
          </w:tcPr>
          <w:p w:rsidR="00092F60" w:rsidRPr="0021770B" w:rsidRDefault="00092F60" w:rsidP="00DE507A">
            <w:pPr>
              <w:pStyle w:val="TableText0"/>
            </w:pPr>
            <w:r w:rsidRPr="0021770B">
              <w:t>Grand total</w:t>
            </w:r>
          </w:p>
        </w:tc>
        <w:tc>
          <w:tcPr>
            <w:tcW w:w="366" w:type="pct"/>
            <w:shd w:val="clear" w:color="auto" w:fill="auto"/>
            <w:noWrap/>
            <w:vAlign w:val="bottom"/>
            <w:hideMark/>
          </w:tcPr>
          <w:p w:rsidR="00092F60" w:rsidRPr="0021770B" w:rsidRDefault="00092F60" w:rsidP="00DE507A">
            <w:pPr>
              <w:pStyle w:val="TableText0"/>
            </w:pPr>
            <w:r w:rsidRPr="0021770B">
              <w:t>4</w:t>
            </w:r>
          </w:p>
        </w:tc>
        <w:tc>
          <w:tcPr>
            <w:tcW w:w="366" w:type="pct"/>
            <w:shd w:val="clear" w:color="auto" w:fill="auto"/>
            <w:noWrap/>
            <w:vAlign w:val="bottom"/>
            <w:hideMark/>
          </w:tcPr>
          <w:p w:rsidR="00092F60" w:rsidRPr="0021770B" w:rsidRDefault="00092F60" w:rsidP="00DE507A">
            <w:pPr>
              <w:pStyle w:val="TableText0"/>
            </w:pPr>
            <w:r w:rsidRPr="0021770B">
              <w:t>8</w:t>
            </w:r>
          </w:p>
        </w:tc>
        <w:tc>
          <w:tcPr>
            <w:tcW w:w="366" w:type="pct"/>
            <w:shd w:val="clear" w:color="auto" w:fill="auto"/>
            <w:noWrap/>
            <w:vAlign w:val="bottom"/>
            <w:hideMark/>
          </w:tcPr>
          <w:p w:rsidR="00092F60" w:rsidRPr="0021770B" w:rsidRDefault="00092F60" w:rsidP="00DE507A">
            <w:pPr>
              <w:pStyle w:val="TableText0"/>
            </w:pPr>
            <w:r w:rsidRPr="0021770B">
              <w:t>15</w:t>
            </w:r>
          </w:p>
        </w:tc>
        <w:tc>
          <w:tcPr>
            <w:tcW w:w="366" w:type="pct"/>
            <w:shd w:val="clear" w:color="auto" w:fill="auto"/>
            <w:noWrap/>
            <w:vAlign w:val="bottom"/>
            <w:hideMark/>
          </w:tcPr>
          <w:p w:rsidR="00092F60" w:rsidRPr="0021770B" w:rsidRDefault="00092F60" w:rsidP="00DE507A">
            <w:pPr>
              <w:pStyle w:val="TableText0"/>
            </w:pPr>
            <w:r w:rsidRPr="0021770B">
              <w:t>10</w:t>
            </w:r>
          </w:p>
        </w:tc>
        <w:tc>
          <w:tcPr>
            <w:tcW w:w="367" w:type="pct"/>
            <w:shd w:val="clear" w:color="auto" w:fill="auto"/>
            <w:noWrap/>
            <w:vAlign w:val="bottom"/>
            <w:hideMark/>
          </w:tcPr>
          <w:p w:rsidR="00092F60" w:rsidRPr="0021770B" w:rsidRDefault="00092F60" w:rsidP="00DE507A">
            <w:pPr>
              <w:pStyle w:val="TableText0"/>
            </w:pPr>
            <w:r w:rsidRPr="0021770B">
              <w:t>5</w:t>
            </w:r>
          </w:p>
        </w:tc>
        <w:tc>
          <w:tcPr>
            <w:tcW w:w="609" w:type="pct"/>
            <w:shd w:val="clear" w:color="auto" w:fill="auto"/>
            <w:noWrap/>
            <w:vAlign w:val="bottom"/>
            <w:hideMark/>
          </w:tcPr>
          <w:p w:rsidR="00092F60" w:rsidRPr="0021770B" w:rsidRDefault="00092F60" w:rsidP="00DE507A">
            <w:pPr>
              <w:pStyle w:val="TableText0"/>
            </w:pPr>
            <w:r w:rsidRPr="0021770B">
              <w:t>42</w:t>
            </w:r>
          </w:p>
        </w:tc>
      </w:tr>
    </w:tbl>
    <w:p w:rsidR="00092F60" w:rsidRPr="0021770B" w:rsidRDefault="00092F60" w:rsidP="00DE507A">
      <w:pPr>
        <w:pStyle w:val="TableNote"/>
      </w:pPr>
      <w:r w:rsidRPr="0021770B">
        <w:t>B</w:t>
      </w:r>
      <w:r w:rsidR="00575F12">
        <w:t xml:space="preserve"> =</w:t>
      </w:r>
      <w:r w:rsidRPr="0021770B">
        <w:t xml:space="preserve"> Belgium; E</w:t>
      </w:r>
      <w:r w:rsidR="00575F12">
        <w:t xml:space="preserve"> =</w:t>
      </w:r>
      <w:r w:rsidRPr="0021770B">
        <w:t xml:space="preserve"> England &amp; Wales; </w:t>
      </w:r>
      <w:r w:rsidR="009161F9" w:rsidRPr="0021770B">
        <w:t xml:space="preserve">I </w:t>
      </w:r>
      <w:r w:rsidR="009161F9">
        <w:t>=</w:t>
      </w:r>
      <w:r w:rsidR="00575F12">
        <w:t xml:space="preserve"> </w:t>
      </w:r>
      <w:r w:rsidRPr="0021770B">
        <w:t>Italy; NL</w:t>
      </w:r>
      <w:r w:rsidR="009161F9">
        <w:t xml:space="preserve">= </w:t>
      </w:r>
      <w:r w:rsidR="009161F9" w:rsidRPr="0021770B">
        <w:t>Netherlands</w:t>
      </w:r>
      <w:r w:rsidRPr="0021770B">
        <w:t>; S</w:t>
      </w:r>
      <w:r w:rsidR="00575F12">
        <w:t xml:space="preserve"> =</w:t>
      </w:r>
      <w:r w:rsidRPr="0021770B">
        <w:t xml:space="preserve"> Sweden</w:t>
      </w:r>
      <w:r w:rsidR="00575F12">
        <w:t xml:space="preserve">; CED = coverage with evidence development; MEA </w:t>
      </w:r>
      <w:r w:rsidR="009161F9">
        <w:t>= managed</w:t>
      </w:r>
      <w:r w:rsidR="00575F12">
        <w:t xml:space="preserve"> entry arrangement</w:t>
      </w:r>
    </w:p>
    <w:p w:rsidR="00092F60" w:rsidRPr="0021411E" w:rsidRDefault="00092F60" w:rsidP="00DE507A">
      <w:pPr>
        <w:pStyle w:val="TableNote"/>
        <w:rPr>
          <w:lang w:val="fr-FR"/>
        </w:rPr>
      </w:pPr>
      <w:r w:rsidRPr="00BC49CA">
        <w:rPr>
          <w:lang w:val="fr-FR"/>
        </w:rPr>
        <w:t xml:space="preserve">Source: Morel </w:t>
      </w:r>
      <w:r w:rsidRPr="00BC49CA">
        <w:rPr>
          <w:i/>
          <w:lang w:val="fr-FR"/>
        </w:rPr>
        <w:t>et al</w:t>
      </w:r>
      <w:r w:rsidRPr="00BC49CA">
        <w:rPr>
          <w:lang w:val="fr-FR"/>
        </w:rPr>
        <w:t xml:space="preserve"> 2013 </w:t>
      </w:r>
      <w:r w:rsidR="00A130D0">
        <w:rPr>
          <w:noProof/>
          <w:lang w:val="fr-FR"/>
        </w:rPr>
        <w:t>(</w:t>
      </w:r>
      <w:r w:rsidR="00184B6F">
        <w:rPr>
          <w:noProof/>
          <w:lang w:val="fr-FR"/>
        </w:rPr>
        <w:t>Morel et al. 2013</w:t>
      </w:r>
      <w:r w:rsidR="00A130D0">
        <w:rPr>
          <w:noProof/>
          <w:lang w:val="fr-FR"/>
        </w:rPr>
        <w:t>)</w:t>
      </w:r>
    </w:p>
    <w:p w:rsidR="00092F60" w:rsidRPr="004F486E" w:rsidRDefault="00092F60" w:rsidP="00DE507A">
      <w:pPr>
        <w:pStyle w:val="TableNote"/>
        <w:rPr>
          <w:color w:val="000000"/>
        </w:rPr>
      </w:pPr>
      <w:r w:rsidRPr="004F486E">
        <w:rPr>
          <w:color w:val="000000"/>
        </w:rPr>
        <w:br w:type="page"/>
      </w:r>
    </w:p>
    <w:p w:rsidR="00092F60" w:rsidRPr="00523699" w:rsidRDefault="004D4F29" w:rsidP="00523699">
      <w:pPr>
        <w:pStyle w:val="Heading1"/>
      </w:pPr>
      <w:bookmarkStart w:id="598" w:name="_Toc404937323"/>
      <w:bookmarkStart w:id="599" w:name="_Toc415141747"/>
      <w:r>
        <w:lastRenderedPageBreak/>
        <w:t>A</w:t>
      </w:r>
      <w:r w:rsidR="00092F60" w:rsidRPr="00523699">
        <w:t>ppraisal of value metrics</w:t>
      </w:r>
      <w:bookmarkEnd w:id="598"/>
      <w:bookmarkEnd w:id="599"/>
      <w:r w:rsidR="00092F60" w:rsidRPr="00523699">
        <w:t xml:space="preserve"> </w:t>
      </w:r>
    </w:p>
    <w:p w:rsidR="00092F60" w:rsidRPr="00DB4EE8" w:rsidRDefault="00DB4EE8" w:rsidP="00D60032">
      <w:pPr>
        <w:pStyle w:val="Heading2"/>
      </w:pPr>
      <w:bookmarkStart w:id="600" w:name="_Toc404937324"/>
      <w:r w:rsidRPr="00DB4EE8">
        <w:tab/>
      </w:r>
      <w:bookmarkStart w:id="601" w:name="_Toc415141748"/>
      <w:r w:rsidR="00092F60" w:rsidRPr="00DB4EE8">
        <w:t>Purpose</w:t>
      </w:r>
      <w:bookmarkEnd w:id="600"/>
      <w:bookmarkEnd w:id="601"/>
    </w:p>
    <w:p w:rsidR="0080346F" w:rsidRPr="0080346F" w:rsidRDefault="0080346F" w:rsidP="0080346F">
      <w:pPr>
        <w:jc w:val="left"/>
        <w:rPr>
          <w:rFonts w:cstheme="minorHAnsi"/>
        </w:rPr>
      </w:pPr>
      <w:r w:rsidRPr="0080346F">
        <w:rPr>
          <w:rFonts w:cstheme="minorHAnsi"/>
        </w:rPr>
        <w:t>The fifth ToR relates to the appraisal of value metrics, and analysis of current registry data:</w:t>
      </w:r>
    </w:p>
    <w:p w:rsidR="0080346F" w:rsidRPr="0080346F" w:rsidRDefault="0080346F" w:rsidP="000959DF">
      <w:pPr>
        <w:numPr>
          <w:ilvl w:val="0"/>
          <w:numId w:val="29"/>
        </w:numPr>
        <w:autoSpaceDE w:val="0"/>
        <w:autoSpaceDN w:val="0"/>
        <w:adjustRightInd w:val="0"/>
        <w:spacing w:line="240" w:lineRule="auto"/>
        <w:rPr>
          <w:rFonts w:eastAsia="Calibri"/>
          <w:b/>
          <w:szCs w:val="22"/>
        </w:rPr>
      </w:pPr>
      <w:r w:rsidRPr="0080346F">
        <w:rPr>
          <w:rFonts w:eastAsia="Calibri"/>
          <w:b/>
          <w:szCs w:val="22"/>
        </w:rPr>
        <w:t>Assess the value for money of the medicines subsidised on the LSDP by evaluating the benefit of each drug’s treatment outcomes, including in terms of quality of life achieved through the programme and their cost.</w:t>
      </w:r>
    </w:p>
    <w:p w:rsidR="0080346F" w:rsidRPr="0080346F" w:rsidRDefault="0080346F" w:rsidP="0080346F">
      <w:pPr>
        <w:spacing w:after="0"/>
      </w:pPr>
    </w:p>
    <w:p w:rsidR="0080346F" w:rsidRPr="0080346F" w:rsidRDefault="0080346F" w:rsidP="0080346F">
      <w:r w:rsidRPr="0080346F">
        <w:t>With regard to ToR 5, AHTA was advised by the Department and the LSDP Reference Group that this should be addressed by identifying published literature reporting on cost effectiveness and quality of life measures or other metrics for determining ‘value’. In addition, literature (from ToR1) reporting quality of life or similar patient-related outcomes was reviewed and considered in terms of the ‘value’ of the treatment to patients and/or the broader society. Alternative potentially useful metrics to measure ’value’ are considered. Implications are explored for re-determining the ‘value for money’ of the medicines currently subsided on the LSDP for rare and ultra-rare conditions.</w:t>
      </w:r>
      <w:r w:rsidRPr="0080346F">
        <w:rPr>
          <w:b/>
        </w:rPr>
        <w:t xml:space="preserve"> </w:t>
      </w:r>
      <w:r w:rsidRPr="0080346F">
        <w:t xml:space="preserve">However, it is beyond the scope of the Review to construct a full economic model for each drug listed on the LSDP in order to quantify the value of the drug using the ‘value metric’ decided upon by the Reference Group.  </w:t>
      </w:r>
    </w:p>
    <w:p w:rsidR="0080346F" w:rsidRPr="0080346F" w:rsidRDefault="0080346F" w:rsidP="0080346F">
      <w:r w:rsidRPr="0080346F">
        <w:t>The analysis of current registry data has been threaded throughout this report by appending relevant analyses to the different systematic review ‘disease’ chapters.</w:t>
      </w:r>
    </w:p>
    <w:p w:rsidR="0080346F" w:rsidRPr="00D60032" w:rsidRDefault="0080346F" w:rsidP="00D60032">
      <w:pPr>
        <w:pStyle w:val="Heading2"/>
      </w:pPr>
      <w:r w:rsidRPr="0080346F">
        <w:tab/>
      </w:r>
      <w:bookmarkStart w:id="602" w:name="_Toc405152138"/>
      <w:bookmarkStart w:id="603" w:name="_Toc415141749"/>
      <w:r w:rsidRPr="0080346F">
        <w:t>Background: Principles of value in the PBS and the LSDP</w:t>
      </w:r>
      <w:bookmarkEnd w:id="602"/>
      <w:bookmarkEnd w:id="603"/>
    </w:p>
    <w:p w:rsidR="0080346F" w:rsidRPr="0080346F" w:rsidRDefault="0080346F" w:rsidP="0080346F">
      <w:pPr>
        <w:rPr>
          <w:rFonts w:asciiTheme="minorHAnsi" w:hAnsiTheme="minorHAnsi"/>
        </w:rPr>
      </w:pPr>
      <w:r w:rsidRPr="0080346F">
        <w:rPr>
          <w:rFonts w:asciiTheme="minorHAnsi" w:hAnsiTheme="minorHAnsi"/>
        </w:rPr>
        <w:t xml:space="preserve">The Pharmaceutical Benefits Advisory Committee (PBAC) is required to advise on ‘value-for money’ of proposed medicines </w:t>
      </w:r>
      <w:r w:rsidR="00A130D0">
        <w:rPr>
          <w:rFonts w:asciiTheme="minorHAnsi" w:hAnsiTheme="minorHAnsi"/>
          <w:noProof/>
        </w:rPr>
        <w:t>(</w:t>
      </w:r>
      <w:r w:rsidR="00184B6F">
        <w:rPr>
          <w:rFonts w:asciiTheme="minorHAnsi" w:hAnsiTheme="minorHAnsi"/>
          <w:noProof/>
        </w:rPr>
        <w:t>Pharmactical Benefits Advisory Committee 2013</w:t>
      </w:r>
      <w:r w:rsidR="00A130D0">
        <w:rPr>
          <w:rFonts w:asciiTheme="minorHAnsi" w:hAnsiTheme="minorHAnsi"/>
          <w:noProof/>
        </w:rPr>
        <w:t>)</w:t>
      </w:r>
      <w:r w:rsidRPr="0080346F">
        <w:rPr>
          <w:rFonts w:asciiTheme="minorHAnsi" w:hAnsiTheme="minorHAnsi"/>
        </w:rPr>
        <w:t xml:space="preserve">, section 1.1). As part of the consideration of value, a quantitative estimate of cost-effectiveness is sought, incorporating information relating to costs associated with utilisation of the proposed drug (and associated drugs, medical and other related health care resources) and an estimate of associated outcomes valued in terms of overall quality and length of life; for example, ‘quality-adjusted life-years (QALY) gained’.  This information enables a cost-utility (CU) analysis to be undertaken </w:t>
      </w:r>
      <w:r w:rsidR="00FD4212">
        <w:rPr>
          <w:rFonts w:asciiTheme="minorHAnsi" w:hAnsiTheme="minorHAnsi"/>
        </w:rPr>
        <w:t>(</w:t>
      </w:r>
      <w:r w:rsidR="00A130D0">
        <w:rPr>
          <w:rFonts w:asciiTheme="minorHAnsi" w:hAnsiTheme="minorHAnsi"/>
          <w:noProof/>
        </w:rPr>
        <w:t>(</w:t>
      </w:r>
      <w:r w:rsidR="00184B6F">
        <w:rPr>
          <w:rFonts w:asciiTheme="minorHAnsi" w:hAnsiTheme="minorHAnsi"/>
          <w:noProof/>
        </w:rPr>
        <w:t>Pharmactical Benefits Advisory Committee 2013</w:t>
      </w:r>
      <w:r w:rsidR="00A130D0">
        <w:rPr>
          <w:rFonts w:asciiTheme="minorHAnsi" w:hAnsiTheme="minorHAnsi"/>
          <w:noProof/>
        </w:rPr>
        <w:t>)</w:t>
      </w:r>
      <w:r w:rsidRPr="0080346F">
        <w:rPr>
          <w:rFonts w:asciiTheme="minorHAnsi" w:hAnsiTheme="minorHAnsi"/>
        </w:rPr>
        <w:t xml:space="preserve"> section 3.1).</w:t>
      </w:r>
    </w:p>
    <w:p w:rsidR="0080346F" w:rsidRPr="0080346F" w:rsidRDefault="0080346F" w:rsidP="0080346F">
      <w:pPr>
        <w:rPr>
          <w:rFonts w:asciiTheme="minorHAnsi" w:hAnsiTheme="minorHAnsi"/>
        </w:rPr>
      </w:pPr>
      <w:r w:rsidRPr="0080346F">
        <w:rPr>
          <w:rFonts w:asciiTheme="minorHAnsi" w:hAnsiTheme="minorHAnsi"/>
        </w:rPr>
        <w:t>A CU analysis results in a single value metric called an incremental cost effectiveness ratio (ICER), expressed as costs/QALY, which directly estimates the additional cost of each unit of health outcome (QALY) that use of the proposed drug is estimated to provide. Interpretation of the ICER is logical - the lower the cost of a QALY (health benefit), the increased ‘value for money’ of the treatment. In theory, any and all patient-relevant health/health-related outcomes can be transformed to QALYs, thus enabling a consistent comparison of value (the ICER in $/additional QALYs) across all drugs proposed for funding. The PBAC does not publish a specific threshold ICER to which it considers drugs as offering reasonable value</w:t>
      </w:r>
      <w:r w:rsidR="00FD4212" w:rsidRPr="00FD4212">
        <w:t xml:space="preserve"> </w:t>
      </w:r>
      <w:r w:rsidR="00A130D0">
        <w:rPr>
          <w:rFonts w:asciiTheme="minorHAnsi" w:hAnsiTheme="minorHAnsi"/>
          <w:noProof/>
        </w:rPr>
        <w:t>(</w:t>
      </w:r>
      <w:r w:rsidR="00184B6F">
        <w:rPr>
          <w:rFonts w:asciiTheme="minorHAnsi" w:hAnsiTheme="minorHAnsi"/>
          <w:noProof/>
        </w:rPr>
        <w:t>Harris et al. 2008</w:t>
      </w:r>
      <w:r w:rsidR="00A130D0">
        <w:rPr>
          <w:rFonts w:asciiTheme="minorHAnsi" w:hAnsiTheme="minorHAnsi"/>
          <w:noProof/>
        </w:rPr>
        <w:t>)</w:t>
      </w:r>
      <w:r w:rsidRPr="0080346F">
        <w:rPr>
          <w:rFonts w:asciiTheme="minorHAnsi" w:hAnsiTheme="minorHAnsi"/>
        </w:rPr>
        <w:t xml:space="preserve">; however, expenditure on drugs with extremely high ICERs is not considered to represent good value for money, relative to funding drugs with low ICERs.  </w:t>
      </w:r>
    </w:p>
    <w:p w:rsidR="0080346F" w:rsidRPr="0080346F" w:rsidRDefault="0080346F" w:rsidP="0080346F">
      <w:pPr>
        <w:rPr>
          <w:rFonts w:asciiTheme="minorHAnsi" w:hAnsiTheme="minorHAnsi"/>
        </w:rPr>
      </w:pPr>
      <w:r w:rsidRPr="0080346F">
        <w:rPr>
          <w:rFonts w:asciiTheme="minorHAnsi" w:hAnsiTheme="minorHAnsi"/>
        </w:rPr>
        <w:lastRenderedPageBreak/>
        <w:t>There is currently no formal adjustment to the methodology to prepare or interpret an ICER (cost/QALY) value metric within different contexts. The PBAC does allow for consideration of factors not captured in the ICER estimate as part of the decision-making process. Submission Guidelines advise that where appropriate, any equity assumptions and considerations should be described and examined in sensitivity analyses. Also a ‘Rule of Rescue’ (ROR) applies when the following criteria are all met:</w:t>
      </w:r>
    </w:p>
    <w:p w:rsidR="0080346F" w:rsidRPr="0080346F" w:rsidRDefault="0080346F" w:rsidP="000959DF">
      <w:pPr>
        <w:numPr>
          <w:ilvl w:val="0"/>
          <w:numId w:val="61"/>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no alternative intervention exists in Australia;</w:t>
      </w:r>
    </w:p>
    <w:p w:rsidR="0080346F" w:rsidRPr="0080346F" w:rsidRDefault="0080346F" w:rsidP="000959DF">
      <w:pPr>
        <w:numPr>
          <w:ilvl w:val="0"/>
          <w:numId w:val="61"/>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the medical condition is severe, progressive and expected to lead to premature death;</w:t>
      </w:r>
    </w:p>
    <w:p w:rsidR="0080346F" w:rsidRPr="0080346F" w:rsidRDefault="0080346F" w:rsidP="000959DF">
      <w:pPr>
        <w:numPr>
          <w:ilvl w:val="0"/>
          <w:numId w:val="61"/>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the condition applies to a small number of patients, and</w:t>
      </w:r>
    </w:p>
    <w:p w:rsidR="0080346F" w:rsidRPr="0080346F" w:rsidRDefault="0080346F" w:rsidP="000959DF">
      <w:pPr>
        <w:numPr>
          <w:ilvl w:val="0"/>
          <w:numId w:val="61"/>
        </w:numPr>
        <w:autoSpaceDE w:val="0"/>
        <w:autoSpaceDN w:val="0"/>
        <w:adjustRightInd w:val="0"/>
        <w:spacing w:line="240" w:lineRule="auto"/>
        <w:rPr>
          <w:rFonts w:asciiTheme="minorHAnsi" w:eastAsia="Calibri" w:hAnsiTheme="minorHAnsi"/>
          <w:szCs w:val="22"/>
        </w:rPr>
      </w:pPr>
      <w:proofErr w:type="gramStart"/>
      <w:r w:rsidRPr="0080346F">
        <w:rPr>
          <w:rFonts w:asciiTheme="minorHAnsi" w:eastAsia="Calibri" w:hAnsiTheme="minorHAnsi"/>
          <w:szCs w:val="22"/>
        </w:rPr>
        <w:t>the</w:t>
      </w:r>
      <w:proofErr w:type="gramEnd"/>
      <w:r w:rsidRPr="0080346F">
        <w:rPr>
          <w:rFonts w:asciiTheme="minorHAnsi" w:eastAsia="Calibri" w:hAnsiTheme="minorHAnsi"/>
          <w:szCs w:val="22"/>
        </w:rPr>
        <w:t xml:space="preserve"> medicine provides a worthwhile clinical improvement sufficient to qualify as a rescue from the medical condition (</w:t>
      </w:r>
      <w:r w:rsidR="00A130D0">
        <w:rPr>
          <w:rFonts w:asciiTheme="minorHAnsi" w:eastAsia="Calibri" w:hAnsiTheme="minorHAnsi"/>
          <w:noProof/>
          <w:szCs w:val="22"/>
        </w:rPr>
        <w:t>(</w:t>
      </w:r>
      <w:r w:rsidR="00184B6F">
        <w:rPr>
          <w:rFonts w:asciiTheme="minorHAnsi" w:eastAsia="Calibri" w:hAnsiTheme="minorHAnsi"/>
          <w:noProof/>
          <w:szCs w:val="22"/>
        </w:rPr>
        <w:t>Pharmactical Benefits Advisory Committee 2013</w:t>
      </w:r>
      <w:r w:rsidR="00A130D0">
        <w:rPr>
          <w:rFonts w:asciiTheme="minorHAnsi" w:eastAsia="Calibri" w:hAnsiTheme="minorHAnsi"/>
          <w:noProof/>
          <w:szCs w:val="22"/>
        </w:rPr>
        <w:t>)</w:t>
      </w:r>
      <w:r w:rsidR="00FD4212">
        <w:rPr>
          <w:rFonts w:asciiTheme="minorHAnsi" w:eastAsia="Calibri" w:hAnsiTheme="minorHAnsi"/>
          <w:szCs w:val="22"/>
        </w:rPr>
        <w:t xml:space="preserve"> </w:t>
      </w:r>
      <w:r w:rsidRPr="0080346F">
        <w:rPr>
          <w:rFonts w:asciiTheme="minorHAnsi" w:eastAsia="Calibri" w:hAnsiTheme="minorHAnsi"/>
          <w:szCs w:val="22"/>
        </w:rPr>
        <w:t>section F.3).</w:t>
      </w:r>
    </w:p>
    <w:p w:rsidR="0080346F" w:rsidRPr="0080346F" w:rsidRDefault="0080346F" w:rsidP="0080346F">
      <w:pPr>
        <w:rPr>
          <w:rFonts w:asciiTheme="minorHAnsi" w:hAnsiTheme="minorHAnsi"/>
        </w:rPr>
      </w:pPr>
      <w:r w:rsidRPr="0080346F">
        <w:rPr>
          <w:rFonts w:asciiTheme="minorHAnsi" w:hAnsiTheme="minorHAnsi"/>
        </w:rPr>
        <w:t>A positive recommendation for drug listing on the Pharmaceutical Benefits Schedule (PBS) may be favoured under these conditions, irrespective of a relatively high ICER or quantitative assessment of ‘value’.  This is an acknowledgment by the PBAC of the additional aspects of societal value and distributional preferences that are not currently captured in the ICER metric.  The extent to which these factors ultimately influence decision-making may be considered subjective and lacking transparency, yet equity-based adjustments are invariably subjective to some extent.</w:t>
      </w:r>
    </w:p>
    <w:p w:rsidR="0080346F" w:rsidRPr="0080346F" w:rsidRDefault="0080346F" w:rsidP="0080346F">
      <w:pPr>
        <w:rPr>
          <w:rFonts w:asciiTheme="minorHAnsi" w:hAnsiTheme="minorHAnsi"/>
        </w:rPr>
      </w:pPr>
      <w:r w:rsidRPr="0080346F">
        <w:rPr>
          <w:rFonts w:asciiTheme="minorHAnsi" w:hAnsiTheme="minorHAnsi"/>
        </w:rPr>
        <w:t xml:space="preserve">Currently, drugs not recommended for PBS listing on cost-effectiveness grounds may potentially be recommended for consideration of funding through the Life Saving Drugs Program (LSDP) if they meet all of the following criteria:  </w:t>
      </w:r>
    </w:p>
    <w:p w:rsidR="0080346F" w:rsidRPr="0080346F" w:rsidRDefault="0080346F" w:rsidP="000959DF">
      <w:pPr>
        <w:numPr>
          <w:ilvl w:val="0"/>
          <w:numId w:val="74"/>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 xml:space="preserve">There is a rare but clinically definable disease for which the drug is regarded as a proven therapeutic modality, i.e. approved for that indication by the Therapeutic Goods Administration. </w:t>
      </w:r>
    </w:p>
    <w:p w:rsidR="0080346F" w:rsidRPr="0080346F" w:rsidRDefault="0080346F" w:rsidP="000959DF">
      <w:pPr>
        <w:numPr>
          <w:ilvl w:val="0"/>
          <w:numId w:val="74"/>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 xml:space="preserve">The disease is identifiable with reasonable diagnostic precision. </w:t>
      </w:r>
    </w:p>
    <w:p w:rsidR="0080346F" w:rsidRPr="0080346F" w:rsidRDefault="0080346F" w:rsidP="000959DF">
      <w:pPr>
        <w:numPr>
          <w:ilvl w:val="0"/>
          <w:numId w:val="74"/>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 xml:space="preserve">Epidemiological and other studies provide evidence acceptable to the PBAC that the disease causes a significant reduction in age-specific life expectancy for those suffering from the disease. </w:t>
      </w:r>
    </w:p>
    <w:p w:rsidR="0080346F" w:rsidRPr="0080346F" w:rsidRDefault="0080346F" w:rsidP="000959DF">
      <w:pPr>
        <w:numPr>
          <w:ilvl w:val="0"/>
          <w:numId w:val="74"/>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 xml:space="preserve">There is evidence acceptable to the PBAC to predict that a patient’s lifespan will be substantially extended as a direct consequence of the use of the drug. </w:t>
      </w:r>
    </w:p>
    <w:p w:rsidR="0080346F" w:rsidRPr="0080346F" w:rsidRDefault="0080346F" w:rsidP="000959DF">
      <w:pPr>
        <w:numPr>
          <w:ilvl w:val="0"/>
          <w:numId w:val="74"/>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 xml:space="preserve">The drug must be accepted as clinically effective, but rejected for Pharmaceutical Benefits Scheme (PBS) listing because it fails to meet the required cost effectiveness criteria. </w:t>
      </w:r>
    </w:p>
    <w:p w:rsidR="0080346F" w:rsidRPr="0080346F" w:rsidRDefault="0080346F" w:rsidP="000959DF">
      <w:pPr>
        <w:numPr>
          <w:ilvl w:val="0"/>
          <w:numId w:val="74"/>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 xml:space="preserve">There is no alternative drug listed on the PBS or available for public hospital in-patients, which can be used as lifesaving treatment for the disease. However, the availability of an alternative drug under the LSDP does not disqualify the proposed drug from consideration for the LSDP. </w:t>
      </w:r>
    </w:p>
    <w:p w:rsidR="0080346F" w:rsidRPr="0080346F" w:rsidRDefault="0080346F" w:rsidP="000959DF">
      <w:pPr>
        <w:numPr>
          <w:ilvl w:val="0"/>
          <w:numId w:val="74"/>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lastRenderedPageBreak/>
        <w:t xml:space="preserve">There is no alternative non-drug therapeutic modality (e.g. surgery, radiotherapy) which is recognised by medical authorities as a suitable and cost effective treatment for this condition. </w:t>
      </w:r>
    </w:p>
    <w:p w:rsidR="0080346F" w:rsidRPr="0080346F" w:rsidRDefault="0080346F" w:rsidP="000959DF">
      <w:pPr>
        <w:numPr>
          <w:ilvl w:val="0"/>
          <w:numId w:val="74"/>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 xml:space="preserve">The cost of the drug, defined as the cost per dose multiplied by the expected number of doses in a one year period for the patient, would constitute an unreasonable financial burden on the patient or his/her guardian. </w:t>
      </w:r>
    </w:p>
    <w:p w:rsidR="0080346F" w:rsidRPr="0080346F" w:rsidRDefault="0080346F" w:rsidP="0080346F">
      <w:pPr>
        <w:rPr>
          <w:rFonts w:asciiTheme="minorHAnsi" w:hAnsiTheme="minorHAnsi"/>
        </w:rPr>
      </w:pPr>
      <w:r w:rsidRPr="0080346F">
        <w:rPr>
          <w:rFonts w:asciiTheme="minorHAnsi" w:hAnsiTheme="minorHAnsi"/>
        </w:rPr>
        <w:t>LSDP Criteria 1, 4 and 5 relate to effectiveness as required in the ROR criterion (</w:t>
      </w:r>
      <w:proofErr w:type="gramStart"/>
      <w:r w:rsidRPr="0080346F">
        <w:rPr>
          <w:rFonts w:asciiTheme="minorHAnsi" w:hAnsiTheme="minorHAnsi"/>
        </w:rPr>
        <w:t>iv</w:t>
      </w:r>
      <w:proofErr w:type="gramEnd"/>
      <w:r w:rsidRPr="0080346F">
        <w:rPr>
          <w:rFonts w:asciiTheme="minorHAnsi" w:hAnsiTheme="minorHAnsi"/>
        </w:rPr>
        <w:t>). LSDP criterion 3 regarding reduced life-expectancy is similar to the ROR criterion (ii). The LSDP criteria 6 and 7 regarding lack of alternative interventions is essentially equivalent to the ROR criterion (i).</w:t>
      </w:r>
    </w:p>
    <w:p w:rsidR="0080346F" w:rsidRPr="0080346F" w:rsidRDefault="0080346F" w:rsidP="0080346F">
      <w:pPr>
        <w:rPr>
          <w:rFonts w:asciiTheme="minorHAnsi" w:hAnsiTheme="minorHAnsi"/>
        </w:rPr>
      </w:pPr>
      <w:r w:rsidRPr="0080346F">
        <w:rPr>
          <w:rFonts w:asciiTheme="minorHAnsi" w:hAnsiTheme="minorHAnsi"/>
        </w:rPr>
        <w:t>Differences between the two potential funding requirements are: The LSDP specifically requires:</w:t>
      </w:r>
    </w:p>
    <w:p w:rsidR="0080346F" w:rsidRPr="0080346F" w:rsidRDefault="0080346F" w:rsidP="000959DF">
      <w:pPr>
        <w:numPr>
          <w:ilvl w:val="0"/>
          <w:numId w:val="63"/>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the disease to be identified with precision; and</w:t>
      </w:r>
    </w:p>
    <w:p w:rsidR="0080346F" w:rsidRPr="0080346F" w:rsidRDefault="0080346F" w:rsidP="000959DF">
      <w:pPr>
        <w:numPr>
          <w:ilvl w:val="0"/>
          <w:numId w:val="63"/>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that it is unreasonable to expect the patient/carer to meet the financial costs privately (LSDP criteria 2 and 8),</w:t>
      </w:r>
    </w:p>
    <w:p w:rsidR="0080346F" w:rsidRPr="0080346F" w:rsidRDefault="0080346F" w:rsidP="0080346F">
      <w:pPr>
        <w:rPr>
          <w:rFonts w:asciiTheme="minorHAnsi" w:hAnsiTheme="minorHAnsi"/>
        </w:rPr>
      </w:pPr>
      <w:proofErr w:type="gramStart"/>
      <w:r w:rsidRPr="0080346F">
        <w:rPr>
          <w:rFonts w:asciiTheme="minorHAnsi" w:hAnsiTheme="minorHAnsi"/>
        </w:rPr>
        <w:t>whereas</w:t>
      </w:r>
      <w:proofErr w:type="gramEnd"/>
      <w:r w:rsidRPr="0080346F">
        <w:rPr>
          <w:rFonts w:asciiTheme="minorHAnsi" w:hAnsiTheme="minorHAnsi"/>
        </w:rPr>
        <w:t xml:space="preserve"> these are not specific considerations for listing on the PBS. The PBS ROR consideration has an additional requirement:</w:t>
      </w:r>
    </w:p>
    <w:p w:rsidR="0080346F" w:rsidRPr="0080346F" w:rsidRDefault="0080346F" w:rsidP="000959DF">
      <w:pPr>
        <w:numPr>
          <w:ilvl w:val="0"/>
          <w:numId w:val="64"/>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that the population who may receive funding is small (ROR criteria iii),</w:t>
      </w:r>
    </w:p>
    <w:p w:rsidR="0080346F" w:rsidRPr="0080346F" w:rsidRDefault="0080346F" w:rsidP="0080346F">
      <w:pPr>
        <w:rPr>
          <w:rFonts w:asciiTheme="minorHAnsi" w:hAnsiTheme="minorHAnsi"/>
        </w:rPr>
      </w:pPr>
      <w:proofErr w:type="gramStart"/>
      <w:r w:rsidRPr="0080346F">
        <w:rPr>
          <w:rFonts w:asciiTheme="minorHAnsi" w:hAnsiTheme="minorHAnsi"/>
        </w:rPr>
        <w:t>and</w:t>
      </w:r>
      <w:proofErr w:type="gramEnd"/>
      <w:r w:rsidRPr="0080346F">
        <w:rPr>
          <w:rFonts w:asciiTheme="minorHAnsi" w:hAnsiTheme="minorHAnsi"/>
        </w:rPr>
        <w:t xml:space="preserve"> this is not a specified LSDP criterion, although all drugs currently funded through the LSDP are for ‘rare or ultra-rare’ conditions with small patient populations. </w:t>
      </w:r>
    </w:p>
    <w:p w:rsidR="0080346F" w:rsidRPr="0080346F" w:rsidRDefault="0080346F" w:rsidP="0080346F">
      <w:pPr>
        <w:rPr>
          <w:rFonts w:asciiTheme="minorHAnsi" w:hAnsiTheme="minorHAnsi"/>
        </w:rPr>
      </w:pPr>
      <w:r w:rsidRPr="0080346F">
        <w:rPr>
          <w:rFonts w:asciiTheme="minorHAnsi" w:hAnsiTheme="minorHAnsi"/>
        </w:rPr>
        <w:t xml:space="preserve">Perhaps the most significant difference between the two funding schemes is that when the PBAC considers a drug as meeting ROR criteria, the consideration is still in conjunction with the routine assessment of effectiveness, safety, cost-effectiveness and financial impacts.  Therefore ‘value for money’ is always considered by the PBAC, albeit how value is interpreted in the context of a submission addressing ROR criteria may not be obvious.  The LSDP funding criteria do not consider ‘value for money’ at </w:t>
      </w:r>
      <w:r w:rsidR="009161F9" w:rsidRPr="0080346F">
        <w:rPr>
          <w:rFonts w:asciiTheme="minorHAnsi" w:hAnsiTheme="minorHAnsi"/>
        </w:rPr>
        <w:t>all;</w:t>
      </w:r>
      <w:r w:rsidRPr="0080346F">
        <w:rPr>
          <w:rFonts w:asciiTheme="minorHAnsi" w:hAnsiTheme="minorHAnsi"/>
        </w:rPr>
        <w:t xml:space="preserve"> rather it is implicit that any demonstration of clinical effectiveness may potentially be considered of value. </w:t>
      </w:r>
      <w:r w:rsidRPr="0080346F">
        <w:rPr>
          <w:rFonts w:asciiTheme="minorHAnsi" w:hAnsiTheme="minorHAnsi"/>
        </w:rPr>
        <w:br w:type="page"/>
      </w:r>
    </w:p>
    <w:p w:rsidR="0080346F" w:rsidRPr="00D60032" w:rsidRDefault="0080346F" w:rsidP="00D60032">
      <w:pPr>
        <w:pStyle w:val="Heading2"/>
      </w:pPr>
      <w:bookmarkStart w:id="604" w:name="_Toc404937325"/>
      <w:r w:rsidRPr="0080346F">
        <w:lastRenderedPageBreak/>
        <w:tab/>
      </w:r>
      <w:bookmarkStart w:id="605" w:name="_Toc405152139"/>
      <w:bookmarkStart w:id="606" w:name="_Toc415141750"/>
      <w:r w:rsidRPr="0080346F">
        <w:t>Method of assessing alternative value metrics</w:t>
      </w:r>
      <w:bookmarkEnd w:id="604"/>
      <w:bookmarkEnd w:id="605"/>
      <w:bookmarkEnd w:id="606"/>
    </w:p>
    <w:p w:rsidR="0080346F" w:rsidRDefault="0080346F" w:rsidP="0080346F">
      <w:pPr>
        <w:rPr>
          <w:lang w:eastAsia="en-AU"/>
        </w:rPr>
      </w:pPr>
    </w:p>
    <w:p w:rsidR="00B06D06" w:rsidRPr="0080346F" w:rsidRDefault="00B06D06" w:rsidP="00B06D06">
      <w:pPr>
        <w:pBdr>
          <w:top w:val="single" w:sz="4" w:space="4" w:color="auto"/>
          <w:left w:val="single" w:sz="4" w:space="4" w:color="auto"/>
          <w:bottom w:val="single" w:sz="4" w:space="4" w:color="auto"/>
          <w:right w:val="single" w:sz="4" w:space="4" w:color="auto"/>
        </w:pBdr>
        <w:spacing w:before="60"/>
        <w:rPr>
          <w:rFonts w:ascii="Arial Narrow" w:eastAsia="Calibri" w:hAnsi="Arial Narrow"/>
          <w:sz w:val="22"/>
          <w:szCs w:val="22"/>
        </w:rPr>
      </w:pPr>
      <w:r w:rsidRPr="0080346F">
        <w:rPr>
          <w:rFonts w:ascii="Arial Narrow" w:eastAsia="Calibri" w:hAnsi="Arial Narrow"/>
          <w:sz w:val="22"/>
          <w:szCs w:val="22"/>
        </w:rPr>
        <w:t xml:space="preserve">Four different approaches were identified, which could be considered as alternative metrics for defining the value of orphan drugs: </w:t>
      </w:r>
    </w:p>
    <w:p w:rsidR="00B06D06" w:rsidRPr="0080346F" w:rsidRDefault="00B06D06" w:rsidP="00B06D06">
      <w:pPr>
        <w:pBdr>
          <w:top w:val="single" w:sz="4" w:space="4" w:color="auto"/>
          <w:left w:val="single" w:sz="4" w:space="4" w:color="auto"/>
          <w:bottom w:val="single" w:sz="4" w:space="4" w:color="auto"/>
          <w:right w:val="single" w:sz="4" w:space="4" w:color="auto"/>
        </w:pBdr>
        <w:rPr>
          <w:rFonts w:ascii="Arial Narrow" w:eastAsia="Calibri" w:hAnsi="Arial Narrow"/>
          <w:sz w:val="22"/>
          <w:szCs w:val="22"/>
        </w:rPr>
      </w:pPr>
      <w:r w:rsidRPr="0080346F">
        <w:rPr>
          <w:rFonts w:ascii="Arial Narrow" w:eastAsia="Calibri" w:hAnsi="Arial Narrow"/>
          <w:sz w:val="22"/>
          <w:szCs w:val="22"/>
        </w:rPr>
        <w:t xml:space="preserve">1) Cost-utility evaluation, broadened to include the impact of the disease or condition on family and carers, not just patients. Taking into account the broader impact of a severe and rare disease would favour orphan drugs over traditional cost-utility evaluations, but this is unlikely to be significant enough for the drugs on the LSDP to be considered cost-effective under traditional criteria and </w:t>
      </w:r>
      <w:r>
        <w:rPr>
          <w:rFonts w:ascii="Arial Narrow" w:eastAsia="Calibri" w:hAnsi="Arial Narrow"/>
          <w:sz w:val="22"/>
          <w:szCs w:val="22"/>
        </w:rPr>
        <w:t xml:space="preserve">the </w:t>
      </w:r>
      <w:r w:rsidRPr="0080346F">
        <w:rPr>
          <w:rFonts w:ascii="Arial Narrow" w:eastAsia="Calibri" w:hAnsi="Arial Narrow"/>
          <w:sz w:val="22"/>
          <w:szCs w:val="22"/>
        </w:rPr>
        <w:t xml:space="preserve">equity concerns </w:t>
      </w:r>
      <w:r>
        <w:rPr>
          <w:rFonts w:ascii="Arial Narrow" w:eastAsia="Calibri" w:hAnsi="Arial Narrow"/>
          <w:sz w:val="22"/>
          <w:szCs w:val="22"/>
        </w:rPr>
        <w:t>would</w:t>
      </w:r>
      <w:r w:rsidRPr="0080346F">
        <w:rPr>
          <w:rFonts w:ascii="Arial Narrow" w:eastAsia="Calibri" w:hAnsi="Arial Narrow"/>
          <w:sz w:val="22"/>
          <w:szCs w:val="22"/>
        </w:rPr>
        <w:t xml:space="preserve"> not </w:t>
      </w:r>
      <w:r>
        <w:rPr>
          <w:rFonts w:ascii="Arial Narrow" w:eastAsia="Calibri" w:hAnsi="Arial Narrow"/>
          <w:sz w:val="22"/>
          <w:szCs w:val="22"/>
        </w:rPr>
        <w:t xml:space="preserve">be </w:t>
      </w:r>
      <w:r w:rsidRPr="0080346F">
        <w:rPr>
          <w:rFonts w:ascii="Arial Narrow" w:eastAsia="Calibri" w:hAnsi="Arial Narrow"/>
          <w:sz w:val="22"/>
          <w:szCs w:val="22"/>
        </w:rPr>
        <w:t xml:space="preserve">resolved. </w:t>
      </w:r>
    </w:p>
    <w:p w:rsidR="00B06D06" w:rsidRPr="0080346F" w:rsidRDefault="00B06D06" w:rsidP="00B06D06">
      <w:pPr>
        <w:pBdr>
          <w:top w:val="single" w:sz="4" w:space="4" w:color="auto"/>
          <w:left w:val="single" w:sz="4" w:space="4" w:color="auto"/>
          <w:bottom w:val="single" w:sz="4" w:space="4" w:color="auto"/>
          <w:right w:val="single" w:sz="4" w:space="4" w:color="auto"/>
        </w:pBdr>
        <w:rPr>
          <w:rFonts w:ascii="Arial Narrow" w:eastAsia="Calibri" w:hAnsi="Arial Narrow"/>
          <w:sz w:val="22"/>
          <w:szCs w:val="22"/>
        </w:rPr>
      </w:pPr>
      <w:r w:rsidRPr="0080346F">
        <w:rPr>
          <w:rFonts w:ascii="Arial Narrow" w:eastAsia="Calibri" w:hAnsi="Arial Narrow"/>
          <w:sz w:val="22"/>
          <w:szCs w:val="22"/>
        </w:rPr>
        <w:t xml:space="preserve">2) Equity-weighted cost-utility evaluation that incorporates societal preferences for equity and social justice, and places greater preference on treatments which are: life-saving, treat more severe diseases, affect the socio-economically disadvantaged, children, people with dependents etc. There was contradictory information on whether rarity </w:t>
      </w:r>
      <w:r w:rsidRPr="00071132">
        <w:rPr>
          <w:rFonts w:ascii="Arial Narrow" w:eastAsia="Calibri" w:hAnsi="Arial Narrow"/>
          <w:i/>
          <w:sz w:val="22"/>
          <w:szCs w:val="22"/>
        </w:rPr>
        <w:t>per se</w:t>
      </w:r>
      <w:r w:rsidRPr="0080346F">
        <w:rPr>
          <w:rFonts w:ascii="Arial Narrow" w:eastAsia="Calibri" w:hAnsi="Arial Narrow"/>
          <w:sz w:val="22"/>
          <w:szCs w:val="22"/>
        </w:rPr>
        <w:t xml:space="preserve"> should be considered </w:t>
      </w:r>
      <w:r>
        <w:rPr>
          <w:rFonts w:ascii="Arial Narrow" w:eastAsia="Calibri" w:hAnsi="Arial Narrow"/>
          <w:sz w:val="22"/>
          <w:szCs w:val="22"/>
        </w:rPr>
        <w:t xml:space="preserve">a </w:t>
      </w:r>
      <w:r w:rsidRPr="0080346F">
        <w:rPr>
          <w:rFonts w:ascii="Arial Narrow" w:eastAsia="Calibri" w:hAnsi="Arial Narrow"/>
          <w:sz w:val="22"/>
          <w:szCs w:val="22"/>
        </w:rPr>
        <w:t>cause for preference</w:t>
      </w:r>
      <w:r>
        <w:rPr>
          <w:rFonts w:ascii="Arial Narrow" w:eastAsia="Calibri" w:hAnsi="Arial Narrow"/>
          <w:sz w:val="22"/>
          <w:szCs w:val="22"/>
        </w:rPr>
        <w:t xml:space="preserve"> weighting</w:t>
      </w:r>
      <w:r w:rsidRPr="0080346F">
        <w:rPr>
          <w:rFonts w:ascii="Arial Narrow" w:eastAsia="Calibri" w:hAnsi="Arial Narrow"/>
          <w:sz w:val="22"/>
          <w:szCs w:val="22"/>
        </w:rPr>
        <w:t xml:space="preserve">.  Equity weights can be applied either to change (increase) the relative QALY gain or to adjust the interpretation of the ICER (i.e. raise the threshold ICER) – </w:t>
      </w:r>
      <w:r>
        <w:rPr>
          <w:rFonts w:ascii="Arial Narrow" w:eastAsia="Calibri" w:hAnsi="Arial Narrow"/>
          <w:sz w:val="22"/>
          <w:szCs w:val="22"/>
        </w:rPr>
        <w:t xml:space="preserve">but </w:t>
      </w:r>
      <w:r w:rsidRPr="0080346F">
        <w:rPr>
          <w:rFonts w:ascii="Arial Narrow" w:eastAsia="Calibri" w:hAnsi="Arial Narrow"/>
          <w:sz w:val="22"/>
          <w:szCs w:val="22"/>
        </w:rPr>
        <w:t xml:space="preserve">mathematically both approaches are equivalent. </w:t>
      </w:r>
    </w:p>
    <w:p w:rsidR="00B06D06" w:rsidRPr="0080346F" w:rsidRDefault="00B06D06" w:rsidP="00B06D06">
      <w:pPr>
        <w:pBdr>
          <w:top w:val="single" w:sz="4" w:space="4" w:color="auto"/>
          <w:left w:val="single" w:sz="4" w:space="4" w:color="auto"/>
          <w:bottom w:val="single" w:sz="4" w:space="4" w:color="auto"/>
          <w:right w:val="single" w:sz="4" w:space="4" w:color="auto"/>
        </w:pBdr>
        <w:rPr>
          <w:rFonts w:ascii="Arial Narrow" w:eastAsia="Calibri" w:hAnsi="Arial Narrow"/>
          <w:sz w:val="22"/>
          <w:szCs w:val="22"/>
        </w:rPr>
      </w:pPr>
      <w:r w:rsidRPr="0080346F">
        <w:rPr>
          <w:rFonts w:ascii="Arial Narrow" w:eastAsia="Calibri" w:hAnsi="Arial Narrow"/>
          <w:sz w:val="22"/>
          <w:szCs w:val="22"/>
        </w:rPr>
        <w:t xml:space="preserve">3) Multi-Criteria Decision Analysis (MCDA), is an alternative ‘scoring’ framework which includes </w:t>
      </w:r>
      <w:r w:rsidR="009161F9" w:rsidRPr="0080346F">
        <w:rPr>
          <w:rFonts w:ascii="Arial Narrow" w:eastAsia="Calibri" w:hAnsi="Arial Narrow"/>
          <w:sz w:val="22"/>
          <w:szCs w:val="22"/>
        </w:rPr>
        <w:t>assessments</w:t>
      </w:r>
      <w:r w:rsidRPr="0080346F">
        <w:rPr>
          <w:rFonts w:ascii="Arial Narrow" w:eastAsia="Calibri" w:hAnsi="Arial Narrow"/>
          <w:sz w:val="22"/>
          <w:szCs w:val="22"/>
        </w:rPr>
        <w:t xml:space="preserve"> of treatment impacts across all domains </w:t>
      </w:r>
      <w:r>
        <w:rPr>
          <w:rFonts w:ascii="Arial Narrow" w:eastAsia="Calibri" w:hAnsi="Arial Narrow"/>
          <w:sz w:val="22"/>
          <w:szCs w:val="22"/>
        </w:rPr>
        <w:t xml:space="preserve">that are </w:t>
      </w:r>
      <w:r w:rsidRPr="0080346F">
        <w:rPr>
          <w:rFonts w:ascii="Arial Narrow" w:eastAsia="Calibri" w:hAnsi="Arial Narrow"/>
          <w:sz w:val="22"/>
          <w:szCs w:val="22"/>
        </w:rPr>
        <w:t xml:space="preserve">pre-determined as relevant.  </w:t>
      </w:r>
      <w:r>
        <w:rPr>
          <w:rFonts w:ascii="Arial Narrow" w:eastAsia="Calibri" w:hAnsi="Arial Narrow"/>
          <w:sz w:val="22"/>
          <w:szCs w:val="22"/>
        </w:rPr>
        <w:t>These could i</w:t>
      </w:r>
      <w:r w:rsidRPr="0080346F">
        <w:rPr>
          <w:rFonts w:ascii="Arial Narrow" w:eastAsia="Calibri" w:hAnsi="Arial Narrow"/>
          <w:sz w:val="22"/>
          <w:szCs w:val="22"/>
        </w:rPr>
        <w:t>ncorporat</w:t>
      </w:r>
      <w:r>
        <w:rPr>
          <w:rFonts w:ascii="Arial Narrow" w:eastAsia="Calibri" w:hAnsi="Arial Narrow"/>
          <w:sz w:val="22"/>
          <w:szCs w:val="22"/>
        </w:rPr>
        <w:t>e,</w:t>
      </w:r>
      <w:r w:rsidRPr="0080346F">
        <w:rPr>
          <w:rFonts w:ascii="Arial Narrow" w:eastAsia="Calibri" w:hAnsi="Arial Narrow"/>
          <w:sz w:val="22"/>
          <w:szCs w:val="22"/>
        </w:rPr>
        <w:t xml:space="preserve"> for example, the effectiveness and safety of the drug, the economic impact, and other considerations, such as severity of the disease, the equity / ethical and social implications of the drug, </w:t>
      </w:r>
      <w:r>
        <w:rPr>
          <w:rFonts w:ascii="Arial Narrow" w:eastAsia="Calibri" w:hAnsi="Arial Narrow"/>
          <w:sz w:val="22"/>
          <w:szCs w:val="22"/>
        </w:rPr>
        <w:t xml:space="preserve">or </w:t>
      </w:r>
      <w:r w:rsidRPr="0080346F">
        <w:rPr>
          <w:rFonts w:ascii="Arial Narrow" w:eastAsia="Calibri" w:hAnsi="Arial Narrow"/>
          <w:sz w:val="22"/>
          <w:szCs w:val="22"/>
        </w:rPr>
        <w:t xml:space="preserve">current health policy goals. Deriving scores to weight different elements can be complex but could potentially involve committees or surveying the broader community. MCDA scores could </w:t>
      </w:r>
      <w:r>
        <w:rPr>
          <w:rFonts w:ascii="Arial Narrow" w:eastAsia="Calibri" w:hAnsi="Arial Narrow"/>
          <w:sz w:val="22"/>
          <w:szCs w:val="22"/>
        </w:rPr>
        <w:t xml:space="preserve">be </w:t>
      </w:r>
      <w:r w:rsidRPr="0080346F">
        <w:rPr>
          <w:rFonts w:ascii="Arial Narrow" w:eastAsia="Calibri" w:hAnsi="Arial Narrow"/>
          <w:sz w:val="22"/>
          <w:szCs w:val="22"/>
        </w:rPr>
        <w:t xml:space="preserve">used to give indication of value or directly with respect to a decision rule.  </w:t>
      </w:r>
    </w:p>
    <w:p w:rsidR="00B06D06" w:rsidRPr="0080346F" w:rsidRDefault="00B06D06" w:rsidP="00B06D06">
      <w:pPr>
        <w:pBdr>
          <w:top w:val="single" w:sz="4" w:space="4" w:color="auto"/>
          <w:left w:val="single" w:sz="4" w:space="4" w:color="auto"/>
          <w:bottom w:val="single" w:sz="4" w:space="4" w:color="auto"/>
          <w:right w:val="single" w:sz="4" w:space="4" w:color="auto"/>
        </w:pBdr>
        <w:rPr>
          <w:rFonts w:ascii="Arial Narrow" w:eastAsia="Calibri" w:hAnsi="Arial Narrow"/>
          <w:sz w:val="22"/>
          <w:szCs w:val="22"/>
        </w:rPr>
      </w:pPr>
      <w:r w:rsidRPr="0080346F">
        <w:rPr>
          <w:rFonts w:ascii="Arial Narrow" w:eastAsia="Calibri" w:hAnsi="Arial Narrow"/>
          <w:sz w:val="22"/>
          <w:szCs w:val="22"/>
        </w:rPr>
        <w:t xml:space="preserve">4) Input-based costing does not take into account the health benefit of the drug but considers only the costs associated with the development and production of the drug. In practice it is difficult to externally verify the validity of </w:t>
      </w:r>
      <w:r>
        <w:rPr>
          <w:rFonts w:ascii="Arial Narrow" w:eastAsia="Calibri" w:hAnsi="Arial Narrow"/>
          <w:sz w:val="22"/>
          <w:szCs w:val="22"/>
        </w:rPr>
        <w:t xml:space="preserve">the </w:t>
      </w:r>
      <w:r w:rsidRPr="0080346F">
        <w:rPr>
          <w:rFonts w:ascii="Arial Narrow" w:eastAsia="Calibri" w:hAnsi="Arial Narrow"/>
          <w:sz w:val="22"/>
          <w:szCs w:val="22"/>
        </w:rPr>
        <w:t xml:space="preserve">production cost estimates. </w:t>
      </w:r>
    </w:p>
    <w:p w:rsidR="00B06D06" w:rsidRPr="0080346F" w:rsidRDefault="00B06D06" w:rsidP="00B06D06">
      <w:pPr>
        <w:pBdr>
          <w:top w:val="single" w:sz="4" w:space="4" w:color="auto"/>
          <w:left w:val="single" w:sz="4" w:space="4" w:color="auto"/>
          <w:bottom w:val="single" w:sz="4" w:space="4" w:color="auto"/>
          <w:right w:val="single" w:sz="4" w:space="4" w:color="auto"/>
        </w:pBdr>
        <w:rPr>
          <w:rFonts w:ascii="Arial Narrow" w:eastAsia="Calibri" w:hAnsi="Arial Narrow"/>
          <w:sz w:val="22"/>
          <w:szCs w:val="22"/>
        </w:rPr>
      </w:pPr>
      <w:r w:rsidRPr="0080346F">
        <w:rPr>
          <w:rFonts w:ascii="Arial Narrow" w:eastAsia="Calibri" w:hAnsi="Arial Narrow"/>
          <w:sz w:val="22"/>
          <w:szCs w:val="22"/>
        </w:rPr>
        <w:t>Combinations of methods could be utilised with careful consideration to avoiding duplic</w:t>
      </w:r>
      <w:r>
        <w:rPr>
          <w:rFonts w:ascii="Arial Narrow" w:eastAsia="Calibri" w:hAnsi="Arial Narrow"/>
          <w:sz w:val="22"/>
          <w:szCs w:val="22"/>
        </w:rPr>
        <w:t>ation</w:t>
      </w:r>
      <w:r w:rsidRPr="0080346F">
        <w:rPr>
          <w:rFonts w:ascii="Arial Narrow" w:eastAsia="Calibri" w:hAnsi="Arial Narrow"/>
          <w:sz w:val="22"/>
          <w:szCs w:val="22"/>
        </w:rPr>
        <w:t>.</w:t>
      </w:r>
    </w:p>
    <w:p w:rsidR="00B06D06" w:rsidRDefault="00B06D06" w:rsidP="00B06D06">
      <w:pPr>
        <w:pBdr>
          <w:top w:val="single" w:sz="4" w:space="4" w:color="auto"/>
          <w:left w:val="single" w:sz="4" w:space="4" w:color="auto"/>
          <w:bottom w:val="single" w:sz="4" w:space="4" w:color="auto"/>
          <w:right w:val="single" w:sz="4" w:space="4" w:color="auto"/>
        </w:pBdr>
        <w:spacing w:after="480"/>
        <w:rPr>
          <w:rFonts w:ascii="Arial Narrow" w:eastAsia="Calibri" w:hAnsi="Arial Narrow"/>
          <w:sz w:val="22"/>
          <w:szCs w:val="22"/>
        </w:rPr>
      </w:pPr>
      <w:r w:rsidRPr="0080346F">
        <w:rPr>
          <w:rFonts w:ascii="Arial Narrow" w:eastAsia="Calibri" w:hAnsi="Arial Narrow"/>
          <w:sz w:val="22"/>
          <w:szCs w:val="22"/>
        </w:rPr>
        <w:t xml:space="preserve">Analysis of </w:t>
      </w:r>
      <w:r>
        <w:rPr>
          <w:rFonts w:ascii="Arial Narrow" w:eastAsia="Calibri" w:hAnsi="Arial Narrow"/>
          <w:sz w:val="22"/>
          <w:szCs w:val="22"/>
        </w:rPr>
        <w:t xml:space="preserve">the </w:t>
      </w:r>
      <w:r w:rsidRPr="0080346F">
        <w:rPr>
          <w:rFonts w:ascii="Arial Narrow" w:eastAsia="Calibri" w:hAnsi="Arial Narrow"/>
          <w:sz w:val="22"/>
          <w:szCs w:val="22"/>
        </w:rPr>
        <w:t>data on existing LSDP drugs indicate</w:t>
      </w:r>
      <w:r>
        <w:rPr>
          <w:rFonts w:ascii="Arial Narrow" w:eastAsia="Calibri" w:hAnsi="Arial Narrow"/>
          <w:sz w:val="22"/>
          <w:szCs w:val="22"/>
        </w:rPr>
        <w:t>s</w:t>
      </w:r>
      <w:r w:rsidRPr="0080346F">
        <w:rPr>
          <w:rFonts w:ascii="Arial Narrow" w:eastAsia="Calibri" w:hAnsi="Arial Narrow"/>
          <w:sz w:val="22"/>
          <w:szCs w:val="22"/>
        </w:rPr>
        <w:t xml:space="preserve"> that many </w:t>
      </w:r>
      <w:r>
        <w:rPr>
          <w:rFonts w:ascii="Arial Narrow" w:eastAsia="Calibri" w:hAnsi="Arial Narrow"/>
          <w:sz w:val="22"/>
          <w:szCs w:val="22"/>
        </w:rPr>
        <w:t xml:space="preserve">of the drugs </w:t>
      </w:r>
      <w:r w:rsidRPr="0080346F">
        <w:rPr>
          <w:rFonts w:ascii="Arial Narrow" w:eastAsia="Calibri" w:hAnsi="Arial Narrow"/>
          <w:sz w:val="22"/>
          <w:szCs w:val="22"/>
        </w:rPr>
        <w:t>ha</w:t>
      </w:r>
      <w:r>
        <w:rPr>
          <w:rFonts w:ascii="Arial Narrow" w:eastAsia="Calibri" w:hAnsi="Arial Narrow"/>
          <w:sz w:val="22"/>
          <w:szCs w:val="22"/>
        </w:rPr>
        <w:t>ve</w:t>
      </w:r>
      <w:r w:rsidRPr="0080346F">
        <w:rPr>
          <w:rFonts w:ascii="Arial Narrow" w:eastAsia="Calibri" w:hAnsi="Arial Narrow"/>
          <w:sz w:val="22"/>
          <w:szCs w:val="22"/>
        </w:rPr>
        <w:t xml:space="preserve"> insufficient</w:t>
      </w:r>
      <w:r>
        <w:rPr>
          <w:rFonts w:ascii="Arial Narrow" w:eastAsia="Calibri" w:hAnsi="Arial Narrow"/>
          <w:sz w:val="22"/>
          <w:szCs w:val="22"/>
        </w:rPr>
        <w:t xml:space="preserve"> evidence</w:t>
      </w:r>
      <w:r w:rsidRPr="0080346F">
        <w:rPr>
          <w:rFonts w:ascii="Arial Narrow" w:eastAsia="Calibri" w:hAnsi="Arial Narrow"/>
          <w:sz w:val="22"/>
          <w:szCs w:val="22"/>
        </w:rPr>
        <w:t xml:space="preserve"> to </w:t>
      </w:r>
      <w:r>
        <w:rPr>
          <w:rFonts w:ascii="Arial Narrow" w:eastAsia="Calibri" w:hAnsi="Arial Narrow"/>
          <w:sz w:val="22"/>
          <w:szCs w:val="22"/>
        </w:rPr>
        <w:t>support a</w:t>
      </w:r>
      <w:r w:rsidRPr="0080346F">
        <w:rPr>
          <w:rFonts w:ascii="Arial Narrow" w:eastAsia="Calibri" w:hAnsi="Arial Narrow"/>
          <w:sz w:val="22"/>
          <w:szCs w:val="22"/>
        </w:rPr>
        <w:t xml:space="preserve"> cost-</w:t>
      </w:r>
      <w:r w:rsidR="009161F9" w:rsidRPr="0080346F">
        <w:rPr>
          <w:rFonts w:ascii="Arial Narrow" w:eastAsia="Calibri" w:hAnsi="Arial Narrow"/>
          <w:sz w:val="22"/>
          <w:szCs w:val="22"/>
        </w:rPr>
        <w:t>utility</w:t>
      </w:r>
      <w:r w:rsidRPr="0080346F">
        <w:rPr>
          <w:rFonts w:ascii="Arial Narrow" w:eastAsia="Calibri" w:hAnsi="Arial Narrow"/>
          <w:sz w:val="22"/>
          <w:szCs w:val="22"/>
        </w:rPr>
        <w:t xml:space="preserve"> analysis.  Calculation of alternative values cannot be undertaken without consensus on the nature and magnitude of equity weights or an MCDA framework that would apply.  Lack of effectiveness data is of concern when attempting to quantify </w:t>
      </w:r>
      <w:r w:rsidR="009161F9" w:rsidRPr="0080346F">
        <w:rPr>
          <w:rFonts w:ascii="Arial Narrow" w:eastAsia="Calibri" w:hAnsi="Arial Narrow"/>
          <w:sz w:val="22"/>
          <w:szCs w:val="22"/>
        </w:rPr>
        <w:t>value</w:t>
      </w:r>
      <w:r w:rsidR="009161F9">
        <w:rPr>
          <w:rFonts w:ascii="Arial Narrow" w:eastAsia="Calibri" w:hAnsi="Arial Narrow"/>
          <w:sz w:val="22"/>
          <w:szCs w:val="22"/>
        </w:rPr>
        <w:t>;</w:t>
      </w:r>
      <w:r>
        <w:rPr>
          <w:rFonts w:ascii="Arial Narrow" w:eastAsia="Calibri" w:hAnsi="Arial Narrow"/>
          <w:sz w:val="22"/>
          <w:szCs w:val="22"/>
        </w:rPr>
        <w:t xml:space="preserve"> therefore</w:t>
      </w:r>
      <w:r w:rsidRPr="0080346F">
        <w:rPr>
          <w:rFonts w:ascii="Arial Narrow" w:eastAsia="Calibri" w:hAnsi="Arial Narrow"/>
          <w:sz w:val="22"/>
          <w:szCs w:val="22"/>
        </w:rPr>
        <w:t xml:space="preserve"> uncertainty </w:t>
      </w:r>
      <w:r>
        <w:rPr>
          <w:rFonts w:ascii="Arial Narrow" w:eastAsia="Calibri" w:hAnsi="Arial Narrow"/>
          <w:sz w:val="22"/>
          <w:szCs w:val="22"/>
        </w:rPr>
        <w:t>may need to be</w:t>
      </w:r>
      <w:r w:rsidRPr="0080346F">
        <w:rPr>
          <w:rFonts w:ascii="Arial Narrow" w:eastAsia="Calibri" w:hAnsi="Arial Narrow"/>
          <w:sz w:val="22"/>
          <w:szCs w:val="22"/>
        </w:rPr>
        <w:t xml:space="preserve"> </w:t>
      </w:r>
      <w:r w:rsidR="009161F9" w:rsidRPr="0080346F">
        <w:rPr>
          <w:rFonts w:ascii="Arial Narrow" w:eastAsia="Calibri" w:hAnsi="Arial Narrow"/>
          <w:sz w:val="22"/>
          <w:szCs w:val="22"/>
        </w:rPr>
        <w:t>explicitly</w:t>
      </w:r>
      <w:r w:rsidRPr="0080346F">
        <w:rPr>
          <w:rFonts w:ascii="Arial Narrow" w:eastAsia="Calibri" w:hAnsi="Arial Narrow"/>
          <w:sz w:val="22"/>
          <w:szCs w:val="22"/>
        </w:rPr>
        <w:t xml:space="preserve"> included in assessments</w:t>
      </w:r>
      <w:r w:rsidRPr="00442595">
        <w:rPr>
          <w:rFonts w:ascii="Arial Narrow" w:eastAsia="Calibri" w:hAnsi="Arial Narrow"/>
          <w:sz w:val="22"/>
          <w:szCs w:val="22"/>
        </w:rPr>
        <w:t xml:space="preserve"> </w:t>
      </w:r>
      <w:r>
        <w:rPr>
          <w:rFonts w:ascii="Arial Narrow" w:eastAsia="Calibri" w:hAnsi="Arial Narrow"/>
          <w:sz w:val="22"/>
          <w:szCs w:val="22"/>
        </w:rPr>
        <w:t xml:space="preserve">of </w:t>
      </w:r>
      <w:r w:rsidRPr="0080346F">
        <w:rPr>
          <w:rFonts w:ascii="Arial Narrow" w:eastAsia="Calibri" w:hAnsi="Arial Narrow"/>
          <w:sz w:val="22"/>
          <w:szCs w:val="22"/>
        </w:rPr>
        <w:t xml:space="preserve">value. </w:t>
      </w:r>
      <w:r>
        <w:rPr>
          <w:rFonts w:ascii="Arial Narrow" w:eastAsia="Calibri" w:hAnsi="Arial Narrow"/>
          <w:sz w:val="22"/>
          <w:szCs w:val="22"/>
        </w:rPr>
        <w:t xml:space="preserve"> </w:t>
      </w:r>
    </w:p>
    <w:p w:rsidR="0080346F" w:rsidRPr="0080346F" w:rsidRDefault="0080346F" w:rsidP="0080346F">
      <w:r w:rsidRPr="0080346F">
        <w:rPr>
          <w:rFonts w:asciiTheme="minorHAnsi" w:hAnsiTheme="minorHAnsi"/>
        </w:rPr>
        <w:t xml:space="preserve">A search was undertaken for potential alternative metric methodologies to estimate the value of orphan drugs. </w:t>
      </w:r>
      <w:r w:rsidRPr="0080346F">
        <w:t>Papers were identified by searching databases including, but not limited to, Econlit, HEED, Embase.com (including both Embase and Medline), Google Scholar, and the Health Technology Assessment database. The bibliographies of included papers were checked for other relevant papers. Materials from recent key conferences in the field of HTA and economics (IHEA</w:t>
      </w:r>
      <w:r w:rsidRPr="0080346F">
        <w:rPr>
          <w:vertAlign w:val="superscript"/>
        </w:rPr>
        <w:footnoteReference w:id="31"/>
      </w:r>
      <w:r w:rsidRPr="0080346F">
        <w:t>, SMDM</w:t>
      </w:r>
      <w:r w:rsidRPr="0080346F">
        <w:rPr>
          <w:vertAlign w:val="superscript"/>
        </w:rPr>
        <w:footnoteReference w:id="32"/>
      </w:r>
      <w:r w:rsidRPr="0080346F">
        <w:t>, HTAi</w:t>
      </w:r>
      <w:r w:rsidRPr="0080346F">
        <w:rPr>
          <w:vertAlign w:val="superscript"/>
        </w:rPr>
        <w:footnoteReference w:id="33"/>
      </w:r>
      <w:r w:rsidRPr="0080346F">
        <w:t xml:space="preserve">, </w:t>
      </w:r>
      <w:proofErr w:type="gramStart"/>
      <w:r w:rsidRPr="0080346F">
        <w:t>ISPOR</w:t>
      </w:r>
      <w:proofErr w:type="gramEnd"/>
      <w:r w:rsidRPr="0080346F">
        <w:rPr>
          <w:vertAlign w:val="superscript"/>
        </w:rPr>
        <w:footnoteReference w:id="34"/>
      </w:r>
      <w:r w:rsidRPr="0080346F">
        <w:t xml:space="preserve">) were also examined to identify recent research in the area and key authors in the field. </w:t>
      </w:r>
    </w:p>
    <w:p w:rsidR="0080346F" w:rsidRPr="0080346F" w:rsidRDefault="0080346F" w:rsidP="0080346F">
      <w:pPr>
        <w:rPr>
          <w:rFonts w:asciiTheme="minorHAnsi" w:hAnsiTheme="minorHAnsi"/>
        </w:rPr>
      </w:pPr>
      <w:r w:rsidRPr="0080346F">
        <w:rPr>
          <w:rFonts w:asciiTheme="minorHAnsi" w:hAnsiTheme="minorHAnsi"/>
        </w:rPr>
        <w:lastRenderedPageBreak/>
        <w:t>Qualitative evaluation methods were not included. A limited number of alternative metric approaches to the assessment of value for health interventions, beyond the existing cost-utility approach, that are potentially applicable to orphan drugs, were identified. These include:</w:t>
      </w:r>
    </w:p>
    <w:p w:rsidR="0080346F" w:rsidRPr="0080346F" w:rsidRDefault="0080346F" w:rsidP="000959DF">
      <w:pPr>
        <w:numPr>
          <w:ilvl w:val="0"/>
          <w:numId w:val="65"/>
        </w:numPr>
        <w:autoSpaceDE w:val="0"/>
        <w:autoSpaceDN w:val="0"/>
        <w:adjustRightInd w:val="0"/>
        <w:spacing w:line="240" w:lineRule="auto"/>
        <w:rPr>
          <w:rFonts w:eastAsia="Calibri"/>
          <w:szCs w:val="22"/>
        </w:rPr>
      </w:pPr>
      <w:r w:rsidRPr="0080346F">
        <w:rPr>
          <w:rFonts w:eastAsia="Calibri"/>
          <w:szCs w:val="22"/>
        </w:rPr>
        <w:t>Broadened cost-utility evaluation (with improved sensitivity and a broader perspective),</w:t>
      </w:r>
    </w:p>
    <w:p w:rsidR="0080346F" w:rsidRPr="0080346F" w:rsidRDefault="0080346F" w:rsidP="000959DF">
      <w:pPr>
        <w:numPr>
          <w:ilvl w:val="0"/>
          <w:numId w:val="65"/>
        </w:numPr>
        <w:autoSpaceDE w:val="0"/>
        <w:autoSpaceDN w:val="0"/>
        <w:adjustRightInd w:val="0"/>
        <w:spacing w:line="240" w:lineRule="auto"/>
        <w:rPr>
          <w:rFonts w:eastAsia="Calibri"/>
          <w:szCs w:val="22"/>
        </w:rPr>
      </w:pPr>
      <w:r w:rsidRPr="0080346F">
        <w:rPr>
          <w:rFonts w:eastAsia="Calibri"/>
          <w:szCs w:val="22"/>
        </w:rPr>
        <w:t xml:space="preserve">Equity-weighted cost-utility evaluation using various weighting criteria, </w:t>
      </w:r>
      <w:r w:rsidR="006E536A">
        <w:rPr>
          <w:rFonts w:eastAsia="Calibri"/>
          <w:szCs w:val="22"/>
        </w:rPr>
        <w:t>e.g.</w:t>
      </w:r>
      <w:r w:rsidRPr="0080346F">
        <w:rPr>
          <w:rFonts w:eastAsia="Calibri"/>
          <w:szCs w:val="22"/>
        </w:rPr>
        <w:t xml:space="preserve"> disease severity (non-specific to orphan drugs) or disease rarity (specific to orphan drugs),</w:t>
      </w:r>
    </w:p>
    <w:p w:rsidR="0080346F" w:rsidRPr="0080346F" w:rsidRDefault="0080346F" w:rsidP="000959DF">
      <w:pPr>
        <w:numPr>
          <w:ilvl w:val="0"/>
          <w:numId w:val="65"/>
        </w:numPr>
        <w:autoSpaceDE w:val="0"/>
        <w:autoSpaceDN w:val="0"/>
        <w:adjustRightInd w:val="0"/>
        <w:spacing w:line="240" w:lineRule="auto"/>
        <w:rPr>
          <w:rFonts w:eastAsia="Calibri"/>
          <w:szCs w:val="22"/>
        </w:rPr>
      </w:pPr>
      <w:r w:rsidRPr="0080346F">
        <w:rPr>
          <w:rFonts w:eastAsia="Calibri"/>
          <w:szCs w:val="22"/>
        </w:rPr>
        <w:t>Multi-Criteria Decision Analysis (MCDA), and</w:t>
      </w:r>
    </w:p>
    <w:p w:rsidR="0080346F" w:rsidRPr="0080346F" w:rsidRDefault="0080346F" w:rsidP="000959DF">
      <w:pPr>
        <w:numPr>
          <w:ilvl w:val="0"/>
          <w:numId w:val="65"/>
        </w:numPr>
        <w:autoSpaceDE w:val="0"/>
        <w:autoSpaceDN w:val="0"/>
        <w:adjustRightInd w:val="0"/>
        <w:spacing w:line="240" w:lineRule="auto"/>
        <w:rPr>
          <w:rFonts w:eastAsia="Calibri"/>
          <w:szCs w:val="22"/>
        </w:rPr>
      </w:pPr>
      <w:r w:rsidRPr="0080346F">
        <w:rPr>
          <w:rFonts w:eastAsia="Calibri"/>
          <w:szCs w:val="22"/>
        </w:rPr>
        <w:t>Input-based costing.</w:t>
      </w:r>
    </w:p>
    <w:p w:rsidR="0080346F" w:rsidRPr="0080346F" w:rsidRDefault="0080346F" w:rsidP="0080346F">
      <w:pPr>
        <w:rPr>
          <w:rFonts w:asciiTheme="minorHAnsi" w:hAnsiTheme="minorHAnsi"/>
        </w:rPr>
      </w:pPr>
      <w:r w:rsidRPr="0080346F">
        <w:rPr>
          <w:rFonts w:asciiTheme="minorHAnsi" w:hAnsiTheme="minorHAnsi"/>
        </w:rPr>
        <w:t>Only the last two methodologies depart from cost-utility analysis approach and the use of QALYs in some form.</w:t>
      </w:r>
    </w:p>
    <w:p w:rsidR="0080346F" w:rsidRPr="0080346F" w:rsidRDefault="0080346F" w:rsidP="0080346F">
      <w:pPr>
        <w:rPr>
          <w:rFonts w:asciiTheme="minorHAnsi" w:hAnsiTheme="minorHAnsi"/>
        </w:rPr>
      </w:pPr>
      <w:r w:rsidRPr="0080346F">
        <w:rPr>
          <w:rFonts w:asciiTheme="minorHAnsi" w:hAnsiTheme="minorHAnsi"/>
        </w:rPr>
        <w:t>While the identified methodologies are not necessarily specific to orphan drugs (although some aspects may specifically relate to orphan status) each has been proposed as useful in the orphan drug setting because, broadly speaking, if assessed using these alternative methodologies, many orphan drugs would be identified as having greater ‘value’ than they would otherwise be the case using a mainstream (</w:t>
      </w:r>
      <w:r w:rsidR="006E536A">
        <w:rPr>
          <w:rFonts w:asciiTheme="minorHAnsi" w:hAnsiTheme="minorHAnsi"/>
        </w:rPr>
        <w:t>e.g.</w:t>
      </w:r>
      <w:r w:rsidRPr="0080346F">
        <w:rPr>
          <w:rFonts w:asciiTheme="minorHAnsi" w:hAnsiTheme="minorHAnsi"/>
        </w:rPr>
        <w:t xml:space="preserve"> PBAC) economic evaluation. Whether or not the additional value identified would be sufficient to justify public-funding under a mainstream pharmaceutical funding scheme (</w:t>
      </w:r>
      <w:r w:rsidR="006E536A">
        <w:rPr>
          <w:rFonts w:asciiTheme="minorHAnsi" w:hAnsiTheme="minorHAnsi"/>
        </w:rPr>
        <w:t>e.g.</w:t>
      </w:r>
      <w:r w:rsidRPr="0080346F">
        <w:rPr>
          <w:rFonts w:asciiTheme="minorHAnsi" w:hAnsiTheme="minorHAnsi"/>
        </w:rPr>
        <w:t xml:space="preserve"> the PBS) remains uncertain.</w:t>
      </w:r>
    </w:p>
    <w:p w:rsidR="0080346F" w:rsidRPr="0080346F" w:rsidRDefault="0080346F" w:rsidP="0080346F">
      <w:pPr>
        <w:rPr>
          <w:rFonts w:asciiTheme="minorHAnsi" w:hAnsiTheme="minorHAnsi"/>
        </w:rPr>
      </w:pPr>
      <w:r w:rsidRPr="0080346F">
        <w:rPr>
          <w:rFonts w:asciiTheme="minorHAnsi" w:hAnsiTheme="minorHAnsi"/>
        </w:rPr>
        <w:t xml:space="preserve">The methods of assessing value are presented in the order of the extent to which they vary (from least to most) from the existing economic evaluation </w:t>
      </w:r>
      <w:r w:rsidR="009161F9" w:rsidRPr="0080346F">
        <w:rPr>
          <w:rFonts w:asciiTheme="minorHAnsi" w:hAnsiTheme="minorHAnsi"/>
        </w:rPr>
        <w:t>approaches currently</w:t>
      </w:r>
      <w:r w:rsidRPr="0080346F">
        <w:rPr>
          <w:rFonts w:asciiTheme="minorHAnsi" w:hAnsiTheme="minorHAnsi"/>
        </w:rPr>
        <w:t xml:space="preserve"> applied in a routine PBAC assessment of drug value. </w:t>
      </w:r>
    </w:p>
    <w:p w:rsidR="0080346F" w:rsidRPr="0080346F" w:rsidRDefault="0080346F" w:rsidP="0080346F">
      <w:r w:rsidRPr="0080346F">
        <w:rPr>
          <w:rFonts w:asciiTheme="minorHAnsi" w:hAnsiTheme="minorHAnsi"/>
        </w:rPr>
        <w:t xml:space="preserve">The protocol for this technical assessment required that the </w:t>
      </w:r>
      <w:r w:rsidRPr="0080346F">
        <w:t xml:space="preserve">findings on ‘value’ metrics be considered and applied at a high level to the results obtained from the systematic review of the drugs currently funded by the LSDP (Section 3). Evidence of health outcomes, as identified in the systematic review (TOR 1), and also a wider search to identify any health economic assessments was undertaken for these drugs. </w:t>
      </w:r>
    </w:p>
    <w:p w:rsidR="0080346F" w:rsidRPr="0080346F" w:rsidRDefault="0080346F" w:rsidP="0080346F">
      <w:pPr>
        <w:rPr>
          <w:rFonts w:asciiTheme="minorHAnsi" w:hAnsiTheme="minorHAnsi"/>
        </w:rPr>
      </w:pPr>
      <w:r w:rsidRPr="0080346F">
        <w:t xml:space="preserve">The issue of attempting to identify ‘value’ when there is a limited evidence base is another problematic issue regarding valuing (and funding </w:t>
      </w:r>
      <w:r w:rsidR="009161F9" w:rsidRPr="0080346F">
        <w:t>decisions</w:t>
      </w:r>
      <w:r w:rsidRPr="0080346F">
        <w:t>) for orphan drugs. This is demonstrated in the review of the existing LSDP drugs and discussed further there.</w:t>
      </w:r>
    </w:p>
    <w:p w:rsidR="0080346F" w:rsidRPr="00D60032" w:rsidRDefault="0080346F" w:rsidP="00D60032">
      <w:pPr>
        <w:pStyle w:val="Heading2"/>
      </w:pPr>
      <w:bookmarkStart w:id="607" w:name="_Toc404937326"/>
      <w:bookmarkStart w:id="608" w:name="_Toc405152140"/>
      <w:bookmarkStart w:id="609" w:name="_Toc415141751"/>
      <w:r w:rsidRPr="0080346F">
        <w:t>Cost-utility evaluation using QALYs with improved measurement tools and incorporating a broader (societal) perspective</w:t>
      </w:r>
      <w:bookmarkEnd w:id="607"/>
      <w:bookmarkEnd w:id="608"/>
      <w:bookmarkEnd w:id="609"/>
    </w:p>
    <w:p w:rsidR="0080346F" w:rsidRPr="0080346F" w:rsidRDefault="0080346F" w:rsidP="0080346F">
      <w:r w:rsidRPr="0080346F">
        <w:t xml:space="preserve">There is criticism in the literature that generic </w:t>
      </w:r>
      <w:r w:rsidRPr="0080346F">
        <w:rPr>
          <w:i/>
        </w:rPr>
        <w:t>methods to measure change in quality of life</w:t>
      </w:r>
      <w:r w:rsidRPr="0080346F">
        <w:t xml:space="preserve"> and determine health state utilities (and QALYs) are not adequately sensitive to capture all patient-relevant outcomes, particularly for some rare diseases. Disease-specific quality of life (QoL) measures, where available, tend to indicate additional QoL changes may exist beyond those captured by generic tools </w:t>
      </w:r>
      <w:r w:rsidRPr="00B06D06">
        <w:rPr>
          <w:noProof/>
        </w:rPr>
        <w:t>(</w:t>
      </w:r>
      <w:r w:rsidR="00184B6F" w:rsidRPr="00B06D06">
        <w:rPr>
          <w:noProof/>
        </w:rPr>
        <w:t>Mulla et al. 2014</w:t>
      </w:r>
      <w:r w:rsidRPr="00B06D06">
        <w:rPr>
          <w:noProof/>
        </w:rPr>
        <w:t>)</w:t>
      </w:r>
      <w:r w:rsidRPr="00B06D06">
        <w:t xml:space="preserve"> </w:t>
      </w:r>
      <w:r w:rsidRPr="00B06D06">
        <w:rPr>
          <w:noProof/>
        </w:rPr>
        <w:t>(</w:t>
      </w:r>
      <w:r w:rsidR="00184B6F" w:rsidRPr="00B06D06">
        <w:rPr>
          <w:noProof/>
        </w:rPr>
        <w:t>Basch &amp; Bennett 2014</w:t>
      </w:r>
      <w:r w:rsidRPr="00B06D06">
        <w:rPr>
          <w:noProof/>
        </w:rPr>
        <w:t>)</w:t>
      </w:r>
      <w:r w:rsidRPr="00B06D06">
        <w:t xml:space="preserve">. </w:t>
      </w:r>
      <w:r w:rsidRPr="0080346F">
        <w:t xml:space="preserve">Therefore cost-utility </w:t>
      </w:r>
      <w:r w:rsidRPr="0080346F">
        <w:lastRenderedPageBreak/>
        <w:t>analysis using QALY differences estimated by generic QoL tools that are not well-suited to the particular rare or ultra-rare disease or condition may underestimate the cost-effectiveness of an orphan drug. However the onus to develop or utilise appropriate QoL measurement tools to obtain effectiveness data for orphan drugs is in the realm of primary research, rather than at the technology assessment or decision-making level. Beyond acknowledging the potential use of disease-specific QoL instruments and their potential use in cost-utility analyses, further research into improved and /or disease-specific QoL assessment tools is beyond the scope of this review. While use of more sensitive QoL measures may impact individual cost-effectiveness analyses favourably for orphan drugs, this is not specifically an orphan drug issue, nor does it constitute a fundamental change to current assessment or reimbursement decision-making approaches.</w:t>
      </w:r>
    </w:p>
    <w:p w:rsidR="0080346F" w:rsidRPr="0080346F" w:rsidRDefault="0080346F" w:rsidP="0080346F">
      <w:r w:rsidRPr="0080346F">
        <w:t xml:space="preserve">With respect to </w:t>
      </w:r>
      <w:r w:rsidRPr="0080346F">
        <w:rPr>
          <w:i/>
        </w:rPr>
        <w:t>perspective</w:t>
      </w:r>
      <w:r w:rsidRPr="0080346F">
        <w:t xml:space="preserve">, the existing PBAC guidelines specify the preferred economic evaluation method is a cost-utility analysis (p177) intended to identify incremental </w:t>
      </w:r>
      <w:r w:rsidRPr="0080346F">
        <w:rPr>
          <w:i/>
        </w:rPr>
        <w:t>health</w:t>
      </w:r>
      <w:r w:rsidRPr="0080346F">
        <w:t xml:space="preserve"> outcomes and </w:t>
      </w:r>
      <w:r w:rsidRPr="0080346F">
        <w:rPr>
          <w:i/>
        </w:rPr>
        <w:t>healthcare</w:t>
      </w:r>
      <w:r w:rsidRPr="0080346F">
        <w:t xml:space="preserve"> resource costs </w:t>
      </w:r>
      <w:r w:rsidRPr="0080346F">
        <w:rPr>
          <w:i/>
        </w:rPr>
        <w:t>for the population for which listing is sought</w:t>
      </w:r>
      <w:r w:rsidRPr="0080346F">
        <w:t xml:space="preserve"> (p 173-5). The Guidelines acknowledge that occasionally the patient may incur non-health care resource use or gain non-health benefits, and with adequate justification, inclusion of these may also be relevant (</w:t>
      </w:r>
      <w:r w:rsidR="00A130D0">
        <w:rPr>
          <w:noProof/>
        </w:rPr>
        <w:t>(</w:t>
      </w:r>
      <w:r w:rsidR="00184B6F">
        <w:rPr>
          <w:noProof/>
        </w:rPr>
        <w:t>Pharmactical Benefits Advisory Committee 2013</w:t>
      </w:r>
      <w:r w:rsidR="00A130D0">
        <w:rPr>
          <w:noProof/>
        </w:rPr>
        <w:t>)</w:t>
      </w:r>
      <w:r w:rsidRPr="0080346F">
        <w:t xml:space="preserve"> Appendix 9).</w:t>
      </w:r>
    </w:p>
    <w:p w:rsidR="0080346F" w:rsidRPr="00B06D06" w:rsidRDefault="0080346F" w:rsidP="0080346F">
      <w:r w:rsidRPr="0080346F">
        <w:t xml:space="preserve">There is a view that the tendency to exclude non-health related costs/outcomes, and the restriction of outcomes to those achieved directly in the patient </w:t>
      </w:r>
      <w:r w:rsidRPr="00B06D06">
        <w:t xml:space="preserve">receiving treatment, is not appropriate where a true societal perspective on value is sought. Davidson and Levin </w:t>
      </w:r>
      <w:r w:rsidRPr="00B06D06">
        <w:rPr>
          <w:noProof/>
        </w:rPr>
        <w:t>(</w:t>
      </w:r>
      <w:r w:rsidR="00184B6F" w:rsidRPr="00B06D06">
        <w:rPr>
          <w:noProof/>
        </w:rPr>
        <w:t>Davidson &amp; Levin 2010</w:t>
      </w:r>
      <w:r w:rsidRPr="00B06D06">
        <w:rPr>
          <w:noProof/>
        </w:rPr>
        <w:t>)</w:t>
      </w:r>
      <w:r w:rsidRPr="00B06D06">
        <w:t xml:space="preserve">, and then Al-Janabi (2011) </w:t>
      </w:r>
      <w:r w:rsidRPr="00B06D06">
        <w:rPr>
          <w:noProof/>
        </w:rPr>
        <w:t>(</w:t>
      </w:r>
      <w:r w:rsidR="00184B6F" w:rsidRPr="00B06D06">
        <w:rPr>
          <w:noProof/>
        </w:rPr>
        <w:t>Al-Janabi, Flynn &amp; Coast 2011</w:t>
      </w:r>
      <w:r w:rsidRPr="00B06D06">
        <w:rPr>
          <w:noProof/>
        </w:rPr>
        <w:t>)</w:t>
      </w:r>
      <w:r w:rsidRPr="00B06D06">
        <w:t>, detail the relevance of undertaking a broader economic evaluation which includes relatives (and caregivers) costs and QoL outcomes. They present a strong case that maximisation of population health requires consideration of the effects on carers in addition to the patient receiving the drug. This is particularly relevant where drug treatments are for conditions where there are heavy carer burdens or long-term family care is involved, and where the intervention will affect the carer’s role or responsibilities.</w:t>
      </w:r>
    </w:p>
    <w:p w:rsidR="0080346F" w:rsidRPr="00B06D06" w:rsidRDefault="0080346F" w:rsidP="0080346F">
      <w:r w:rsidRPr="00B06D06">
        <w:t xml:space="preserve">Tsuchiya (2012) further extends this concept, suggesting that a patient’s treatment may have QoL effects on their dependent family members i.e. where the person receiving treatment is a caregiver to a dependent person/s. This can be illustrated with an extreme case scenario such as where failure to access treatment in a parent results in children being orphaned or fostered. Tsuchiya argues that a truly societal perspective should also include these impacts </w:t>
      </w:r>
      <w:r w:rsidRPr="00B06D06">
        <w:rPr>
          <w:noProof/>
        </w:rPr>
        <w:t>(</w:t>
      </w:r>
      <w:r w:rsidR="00184B6F" w:rsidRPr="00B06D06">
        <w:rPr>
          <w:noProof/>
        </w:rPr>
        <w:t>Tsuchiya 2012</w:t>
      </w:r>
      <w:r w:rsidRPr="00B06D06">
        <w:rPr>
          <w:noProof/>
        </w:rPr>
        <w:t>)</w:t>
      </w:r>
      <w:r w:rsidRPr="00B06D06">
        <w:t xml:space="preserve">. </w:t>
      </w:r>
    </w:p>
    <w:p w:rsidR="0080346F" w:rsidRPr="0080346F" w:rsidRDefault="0080346F" w:rsidP="0080346F">
      <w:r w:rsidRPr="00B06D06">
        <w:t>The justification of a revised perspective – invariably requiring increasingly complex economic analysis and modelling – to including broader cost a</w:t>
      </w:r>
      <w:r w:rsidRPr="0080346F">
        <w:t xml:space="preserve">nd outcome considerations is neither restricted to orphan drugs alone, nor necessarily applicable to all orphan drugs. In any disease where family care is a significant factor, this methodology may influence decisions; it is likely to decrease ICERs, irrespective of the issue of disease rarity. </w:t>
      </w:r>
    </w:p>
    <w:p w:rsidR="0080346F" w:rsidRPr="00B06D06" w:rsidRDefault="0080346F" w:rsidP="0080346F">
      <w:r w:rsidRPr="0080346F">
        <w:t xml:space="preserve">The “Social economic burden and health-related quality of life in patients with rare diseases in Europe” (BURQOL-RD project) is a European project intended to develop disease-based models </w:t>
      </w:r>
      <w:r w:rsidRPr="0080346F">
        <w:lastRenderedPageBreak/>
        <w:t xml:space="preserve">capable of quantifying the socio-economic burden and health related quality of life (HRQOL) of patients suffering from specific Rare Diseases and their caregivers. It is considered that this </w:t>
      </w:r>
      <w:r w:rsidRPr="00B06D06">
        <w:t xml:space="preserve">could serve as the basis for an approach to assess new interventions for rare diseases in the EU </w:t>
      </w:r>
      <w:r w:rsidRPr="00B06D06">
        <w:rPr>
          <w:noProof/>
        </w:rPr>
        <w:t>(</w:t>
      </w:r>
      <w:r w:rsidR="00184B6F" w:rsidRPr="00B06D06">
        <w:rPr>
          <w:noProof/>
        </w:rPr>
        <w:t>Linertova et al. 2012</w:t>
      </w:r>
      <w:r w:rsidRPr="00B06D06">
        <w:rPr>
          <w:noProof/>
        </w:rPr>
        <w:t>)</w:t>
      </w:r>
      <w:r w:rsidRPr="00B06D06">
        <w:t xml:space="preserve">. As yet, results of this project appear only available for cystic fibrosis and these findings are published in Hungarian, so at this time, findings from the project are not able to be considered in the Australian setting - although it is evident that the use of non-professional caregivers is identified and considered </w:t>
      </w:r>
      <w:r w:rsidRPr="00B06D06">
        <w:rPr>
          <w:noProof/>
        </w:rPr>
        <w:t>(</w:t>
      </w:r>
      <w:r w:rsidR="00184B6F" w:rsidRPr="00B06D06">
        <w:rPr>
          <w:noProof/>
        </w:rPr>
        <w:t>Pentek et al. 2014</w:t>
      </w:r>
      <w:r w:rsidRPr="00B06D06">
        <w:rPr>
          <w:noProof/>
        </w:rPr>
        <w:t>)</w:t>
      </w:r>
      <w:r w:rsidRPr="00B06D06">
        <w:t xml:space="preserve">. </w:t>
      </w:r>
    </w:p>
    <w:p w:rsidR="0080346F" w:rsidRPr="0080346F" w:rsidRDefault="0080346F" w:rsidP="0080346F">
      <w:r w:rsidRPr="00B06D06">
        <w:t xml:space="preserve">Adoption of a more inclusive CU analytic methodology represents an evolving sophistication in the methodology of cost-utility analysis, but does not constitute any fundamental </w:t>
      </w:r>
      <w:r w:rsidRPr="0080346F">
        <w:t xml:space="preserve">change in the concepts of cost-effectiveness evaluation. The interpretation of these analyses or methods of application of societal preferences relating to drug treatments (orphan or otherwise) is consistent with a traditional health economics perspective.  </w:t>
      </w:r>
    </w:p>
    <w:p w:rsidR="0080346F" w:rsidRPr="0080346F" w:rsidRDefault="0080346F" w:rsidP="0080346F">
      <w:r w:rsidRPr="0080346F">
        <w:t>A more inclusive modelling methodology (as described) is likely to increase the apparent cost-effectiveness of many orphan drugs, if evidence is available that it can be calculated. However, for drugs on the LSDP, estimated ICERs are many times greater than those seen in common drug assessments. Therefore, the likelihood that the above-described revisions would impact the ICER to the extent that orphan drugs meet mainstream cost-effective criteria or thresholds in health economic decision-making is unlikely. Further, an increase in the scope and complexity of an economic assessment will not be a viable solution for identifying ‘value’ if there is inadequate evidence available to formulate even a basic cost-utility analysis.</w:t>
      </w:r>
    </w:p>
    <w:p w:rsidR="0080346F" w:rsidRPr="00D60032" w:rsidRDefault="0080346F" w:rsidP="00D60032">
      <w:pPr>
        <w:pStyle w:val="Heading2"/>
      </w:pPr>
      <w:bookmarkStart w:id="610" w:name="_Toc404937327"/>
      <w:bookmarkStart w:id="611" w:name="_Toc405152141"/>
      <w:bookmarkStart w:id="612" w:name="_Toc415141752"/>
      <w:r w:rsidRPr="00D60032">
        <w:t>Adjusted Cost-utility analysis: Equity weighted cost-effectiveness</w:t>
      </w:r>
      <w:bookmarkEnd w:id="610"/>
      <w:bookmarkEnd w:id="611"/>
      <w:bookmarkEnd w:id="612"/>
      <w:r w:rsidRPr="00D60032">
        <w:t xml:space="preserve"> </w:t>
      </w:r>
    </w:p>
    <w:p w:rsidR="0080346F" w:rsidRPr="0080346F" w:rsidRDefault="0080346F" w:rsidP="0080346F">
      <w:pPr>
        <w:rPr>
          <w:rFonts w:asciiTheme="minorHAnsi" w:hAnsiTheme="minorHAnsi"/>
        </w:rPr>
      </w:pPr>
      <w:r w:rsidRPr="0080346F">
        <w:rPr>
          <w:rFonts w:asciiTheme="minorHAnsi" w:hAnsiTheme="minorHAnsi"/>
        </w:rPr>
        <w:t xml:space="preserve">Aside from the ‘internal validity’ of cost-utility analyses with respect to inclusiveness of all aspects of health impact and cost, there is a broad range of published literature to suggest that the ranking or selection of treatments based on raw ICERs in a QALY maximisation (utilitarian) approach, will not reflect societal preferences for public health expenditure in all circumstances </w:t>
      </w:r>
      <w:r w:rsidRPr="0080346F">
        <w:rPr>
          <w:rFonts w:asciiTheme="minorHAnsi" w:hAnsiTheme="minorHAnsi"/>
          <w:noProof/>
        </w:rPr>
        <w:t>(</w:t>
      </w:r>
      <w:r w:rsidR="00184B6F" w:rsidRPr="0080346F">
        <w:rPr>
          <w:rFonts w:asciiTheme="minorHAnsi" w:hAnsiTheme="minorHAnsi"/>
          <w:noProof/>
        </w:rPr>
        <w:t>Dolan et al. 2005</w:t>
      </w:r>
      <w:r w:rsidRPr="0080346F">
        <w:rPr>
          <w:rFonts w:asciiTheme="minorHAnsi" w:hAnsiTheme="minorHAnsi"/>
          <w:noProof/>
        </w:rPr>
        <w:t>)</w:t>
      </w:r>
      <w:r w:rsidRPr="0080346F">
        <w:rPr>
          <w:rFonts w:asciiTheme="minorHAnsi" w:hAnsiTheme="minorHAnsi"/>
        </w:rPr>
        <w:t xml:space="preserve">.  </w:t>
      </w:r>
    </w:p>
    <w:p w:rsidR="0080346F" w:rsidRPr="0080346F" w:rsidRDefault="0080346F" w:rsidP="0080346F">
      <w:pPr>
        <w:rPr>
          <w:rFonts w:asciiTheme="minorHAnsi" w:hAnsiTheme="minorHAnsi"/>
        </w:rPr>
      </w:pPr>
      <w:r w:rsidRPr="0080346F">
        <w:rPr>
          <w:rFonts w:asciiTheme="minorHAnsi" w:hAnsiTheme="minorHAnsi"/>
        </w:rPr>
        <w:t>Rather, evidence suggests that when faced with a choice between health interventions of equivalent ICERs and budget impacts, there may be strong public preferences for funding of one intervention over another on the basis of societal values of equity and social justice. Likewise, even where ICERs and budget impacts are not equivalent, these social values may also direct preferences away from the most efficient utilitarian approach to a less efficient but preferred distribution, based on social values.</w:t>
      </w:r>
    </w:p>
    <w:p w:rsidR="0080346F" w:rsidRPr="0080346F" w:rsidRDefault="0080346F" w:rsidP="0080346F">
      <w:pPr>
        <w:keepNext/>
        <w:keepLines/>
        <w:spacing w:before="240"/>
        <w:outlineLvl w:val="2"/>
        <w:rPr>
          <w:rFonts w:asciiTheme="majorHAnsi" w:hAnsiTheme="majorHAnsi" w:cs="Calibri"/>
          <w:bCs/>
          <w:color w:val="002060"/>
        </w:rPr>
      </w:pPr>
      <w:bookmarkStart w:id="613" w:name="_Toc405152142"/>
      <w:r w:rsidRPr="0080346F">
        <w:rPr>
          <w:rFonts w:asciiTheme="majorHAnsi" w:hAnsiTheme="majorHAnsi" w:cs="Calibri"/>
          <w:bCs/>
          <w:color w:val="002060"/>
        </w:rPr>
        <w:t>Preference weighting of various social value criteria (excluding rarity)</w:t>
      </w:r>
      <w:bookmarkEnd w:id="613"/>
    </w:p>
    <w:p w:rsidR="0080346F" w:rsidRPr="0080346F" w:rsidRDefault="0080346F" w:rsidP="0080346F">
      <w:pPr>
        <w:rPr>
          <w:rFonts w:asciiTheme="minorHAnsi" w:hAnsiTheme="minorHAnsi"/>
        </w:rPr>
      </w:pPr>
      <w:r w:rsidRPr="0080346F">
        <w:rPr>
          <w:rFonts w:asciiTheme="minorHAnsi" w:hAnsiTheme="minorHAnsi"/>
        </w:rPr>
        <w:t>Reported circumstances or characteristics of patients or treatments which have been proposed as warranting preference-weighting include:</w:t>
      </w:r>
    </w:p>
    <w:p w:rsidR="0080346F" w:rsidRPr="0080346F" w:rsidRDefault="0080346F" w:rsidP="000959DF">
      <w:pPr>
        <w:numPr>
          <w:ilvl w:val="0"/>
          <w:numId w:val="73"/>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 xml:space="preserve">treatments which are life-saving (rather than life prolonging or life enhancing) </w:t>
      </w:r>
      <w:r w:rsidR="00A130D0">
        <w:rPr>
          <w:rFonts w:asciiTheme="minorHAnsi" w:eastAsia="Calibri" w:hAnsiTheme="minorHAnsi"/>
          <w:noProof/>
          <w:szCs w:val="22"/>
        </w:rPr>
        <w:t>(</w:t>
      </w:r>
      <w:r w:rsidR="00184B6F">
        <w:rPr>
          <w:rFonts w:asciiTheme="minorHAnsi" w:eastAsia="Calibri" w:hAnsiTheme="minorHAnsi"/>
          <w:noProof/>
          <w:szCs w:val="22"/>
        </w:rPr>
        <w:t>Donaldson, C et al. 2011</w:t>
      </w:r>
      <w:r w:rsidR="00A130D0">
        <w:rPr>
          <w:rFonts w:asciiTheme="minorHAnsi" w:eastAsia="Calibri" w:hAnsiTheme="minorHAnsi"/>
          <w:noProof/>
          <w:szCs w:val="22"/>
        </w:rPr>
        <w:t>)</w:t>
      </w:r>
      <w:r w:rsidRPr="0080346F">
        <w:rPr>
          <w:rFonts w:asciiTheme="minorHAnsi" w:eastAsia="Calibri" w:hAnsiTheme="minorHAnsi"/>
          <w:szCs w:val="22"/>
        </w:rPr>
        <w:t>;</w:t>
      </w:r>
    </w:p>
    <w:p w:rsidR="0080346F" w:rsidRPr="0080346F" w:rsidRDefault="0080346F" w:rsidP="000959DF">
      <w:pPr>
        <w:numPr>
          <w:ilvl w:val="0"/>
          <w:numId w:val="73"/>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lastRenderedPageBreak/>
        <w:t xml:space="preserve">treatment for populations of patients with more severe disease </w:t>
      </w:r>
      <w:r w:rsidRPr="0080346F">
        <w:rPr>
          <w:rFonts w:asciiTheme="minorHAnsi" w:eastAsia="Calibri" w:hAnsiTheme="minorHAnsi"/>
          <w:noProof/>
          <w:szCs w:val="22"/>
        </w:rPr>
        <w:t>(</w:t>
      </w:r>
      <w:r w:rsidR="00184B6F" w:rsidRPr="0080346F">
        <w:rPr>
          <w:rFonts w:asciiTheme="minorHAnsi" w:eastAsia="Calibri" w:hAnsiTheme="minorHAnsi"/>
          <w:noProof/>
          <w:szCs w:val="22"/>
        </w:rPr>
        <w:t>Nord &amp; Johansen 2014</w:t>
      </w:r>
      <w:r w:rsidRPr="0080346F">
        <w:rPr>
          <w:rFonts w:asciiTheme="minorHAnsi" w:eastAsia="Calibri" w:hAnsiTheme="minorHAnsi"/>
          <w:noProof/>
          <w:szCs w:val="22"/>
        </w:rPr>
        <w:t>)</w:t>
      </w:r>
      <w:r w:rsidRPr="0080346F">
        <w:rPr>
          <w:rFonts w:asciiTheme="minorHAnsi" w:eastAsia="Calibri" w:hAnsiTheme="minorHAnsi"/>
          <w:szCs w:val="22"/>
        </w:rPr>
        <w:t xml:space="preserve">; </w:t>
      </w:r>
    </w:p>
    <w:p w:rsidR="0080346F" w:rsidRPr="0080346F" w:rsidRDefault="0080346F" w:rsidP="000959DF">
      <w:pPr>
        <w:numPr>
          <w:ilvl w:val="0"/>
          <w:numId w:val="73"/>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 xml:space="preserve">treatment for particular populations of social concern </w:t>
      </w:r>
      <w:r w:rsidR="006E536A">
        <w:rPr>
          <w:rFonts w:asciiTheme="minorHAnsi" w:eastAsia="Calibri" w:hAnsiTheme="minorHAnsi"/>
          <w:szCs w:val="22"/>
        </w:rPr>
        <w:t>e.g.</w:t>
      </w:r>
      <w:r w:rsidRPr="0080346F">
        <w:rPr>
          <w:rFonts w:asciiTheme="minorHAnsi" w:eastAsia="Calibri" w:hAnsiTheme="minorHAnsi"/>
          <w:szCs w:val="22"/>
        </w:rPr>
        <w:t xml:space="preserve"> – socio-economically disadvantaged, children, people with dependents, </w:t>
      </w:r>
      <w:r w:rsidR="009161F9" w:rsidRPr="0080346F">
        <w:rPr>
          <w:rFonts w:asciiTheme="minorHAnsi" w:eastAsia="Calibri" w:hAnsiTheme="minorHAnsi"/>
          <w:szCs w:val="22"/>
        </w:rPr>
        <w:t>etc.</w:t>
      </w:r>
      <w:r w:rsidRPr="0080346F">
        <w:rPr>
          <w:rFonts w:asciiTheme="minorHAnsi" w:eastAsia="Calibri" w:hAnsiTheme="minorHAnsi"/>
          <w:szCs w:val="22"/>
        </w:rPr>
        <w:t xml:space="preserve"> </w:t>
      </w:r>
      <w:r w:rsidRPr="0080346F">
        <w:rPr>
          <w:rFonts w:asciiTheme="minorHAnsi" w:eastAsia="Calibri" w:hAnsiTheme="minorHAnsi"/>
          <w:noProof/>
          <w:szCs w:val="22"/>
        </w:rPr>
        <w:t>(</w:t>
      </w:r>
      <w:r w:rsidR="00184B6F" w:rsidRPr="0080346F">
        <w:rPr>
          <w:rFonts w:asciiTheme="minorHAnsi" w:eastAsia="Calibri" w:hAnsiTheme="minorHAnsi"/>
          <w:noProof/>
          <w:szCs w:val="22"/>
        </w:rPr>
        <w:t>Norheim et al. 2014</w:t>
      </w:r>
      <w:r w:rsidRPr="0080346F">
        <w:rPr>
          <w:rFonts w:asciiTheme="minorHAnsi" w:eastAsia="Calibri" w:hAnsiTheme="minorHAnsi"/>
          <w:noProof/>
          <w:szCs w:val="22"/>
        </w:rPr>
        <w:t>)</w:t>
      </w:r>
      <w:r w:rsidRPr="0080346F">
        <w:rPr>
          <w:rFonts w:asciiTheme="minorHAnsi" w:eastAsia="Calibri" w:hAnsiTheme="minorHAnsi"/>
          <w:szCs w:val="22"/>
        </w:rPr>
        <w:t xml:space="preserve">; </w:t>
      </w:r>
    </w:p>
    <w:p w:rsidR="0080346F" w:rsidRPr="0080346F" w:rsidRDefault="0080346F" w:rsidP="000959DF">
      <w:pPr>
        <w:numPr>
          <w:ilvl w:val="0"/>
          <w:numId w:val="73"/>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 xml:space="preserve">treatments which provide considerable rather than marginal benefit </w:t>
      </w:r>
      <w:r w:rsidRPr="0080346F">
        <w:rPr>
          <w:rFonts w:asciiTheme="minorHAnsi" w:eastAsia="Calibri" w:hAnsiTheme="minorHAnsi"/>
          <w:noProof/>
          <w:szCs w:val="22"/>
        </w:rPr>
        <w:t>(</w:t>
      </w:r>
      <w:r w:rsidR="00184B6F" w:rsidRPr="0080346F">
        <w:rPr>
          <w:rFonts w:asciiTheme="minorHAnsi" w:eastAsia="Calibri" w:hAnsiTheme="minorHAnsi"/>
          <w:noProof/>
          <w:szCs w:val="22"/>
        </w:rPr>
        <w:t>Mentzakis, Stefanowska &amp; Hurley 2011</w:t>
      </w:r>
      <w:r w:rsidRPr="0080346F">
        <w:rPr>
          <w:rFonts w:asciiTheme="minorHAnsi" w:eastAsia="Calibri" w:hAnsiTheme="minorHAnsi"/>
          <w:noProof/>
          <w:szCs w:val="22"/>
        </w:rPr>
        <w:t>)</w:t>
      </w:r>
      <w:r w:rsidRPr="0080346F">
        <w:rPr>
          <w:rFonts w:asciiTheme="minorHAnsi" w:eastAsia="Calibri" w:hAnsiTheme="minorHAnsi"/>
          <w:szCs w:val="22"/>
        </w:rPr>
        <w:t xml:space="preserve">; </w:t>
      </w:r>
    </w:p>
    <w:p w:rsidR="0080346F" w:rsidRPr="0080346F" w:rsidRDefault="0080346F" w:rsidP="000959DF">
      <w:pPr>
        <w:numPr>
          <w:ilvl w:val="0"/>
          <w:numId w:val="73"/>
        </w:numPr>
        <w:autoSpaceDE w:val="0"/>
        <w:autoSpaceDN w:val="0"/>
        <w:adjustRightInd w:val="0"/>
        <w:spacing w:line="240" w:lineRule="auto"/>
        <w:rPr>
          <w:rFonts w:asciiTheme="minorHAnsi" w:eastAsia="Calibri" w:hAnsiTheme="minorHAnsi"/>
          <w:szCs w:val="22"/>
        </w:rPr>
      </w:pPr>
      <w:r w:rsidRPr="0080346F">
        <w:rPr>
          <w:rFonts w:asciiTheme="minorHAnsi" w:eastAsia="Calibri" w:hAnsiTheme="minorHAnsi"/>
          <w:szCs w:val="22"/>
        </w:rPr>
        <w:t xml:space="preserve">treatments which will aid large numbers of people; </w:t>
      </w:r>
      <w:r w:rsidR="00A130D0">
        <w:rPr>
          <w:rFonts w:asciiTheme="minorHAnsi" w:eastAsia="Calibri" w:hAnsiTheme="minorHAnsi"/>
          <w:noProof/>
          <w:szCs w:val="22"/>
        </w:rPr>
        <w:t>(</w:t>
      </w:r>
      <w:r w:rsidR="00184B6F">
        <w:rPr>
          <w:rFonts w:asciiTheme="minorHAnsi" w:eastAsia="Calibri" w:hAnsiTheme="minorHAnsi"/>
          <w:noProof/>
          <w:szCs w:val="22"/>
        </w:rPr>
        <w:t>Bobinac, A. et al. 2012</w:t>
      </w:r>
      <w:r w:rsidR="00A130D0">
        <w:rPr>
          <w:rFonts w:asciiTheme="minorHAnsi" w:eastAsia="Calibri" w:hAnsiTheme="minorHAnsi"/>
          <w:noProof/>
          <w:szCs w:val="22"/>
        </w:rPr>
        <w:t>)</w:t>
      </w:r>
      <w:r w:rsidRPr="0080346F">
        <w:rPr>
          <w:rFonts w:asciiTheme="minorHAnsi" w:eastAsia="Calibri" w:hAnsiTheme="minorHAnsi"/>
          <w:szCs w:val="22"/>
        </w:rPr>
        <w:t xml:space="preserve"> and </w:t>
      </w:r>
    </w:p>
    <w:p w:rsidR="0080346F" w:rsidRPr="0080346F" w:rsidRDefault="0080346F" w:rsidP="000959DF">
      <w:pPr>
        <w:numPr>
          <w:ilvl w:val="0"/>
          <w:numId w:val="73"/>
        </w:numPr>
        <w:autoSpaceDE w:val="0"/>
        <w:autoSpaceDN w:val="0"/>
        <w:adjustRightInd w:val="0"/>
        <w:spacing w:line="240" w:lineRule="auto"/>
        <w:rPr>
          <w:rFonts w:asciiTheme="minorHAnsi" w:eastAsia="Calibri" w:hAnsiTheme="minorHAnsi"/>
          <w:szCs w:val="22"/>
        </w:rPr>
      </w:pPr>
      <w:proofErr w:type="gramStart"/>
      <w:r w:rsidRPr="0080346F">
        <w:rPr>
          <w:rFonts w:asciiTheme="minorHAnsi" w:eastAsia="Calibri" w:hAnsiTheme="minorHAnsi"/>
          <w:szCs w:val="22"/>
        </w:rPr>
        <w:t>treatments</w:t>
      </w:r>
      <w:proofErr w:type="gramEnd"/>
      <w:r w:rsidRPr="0080346F">
        <w:rPr>
          <w:rFonts w:asciiTheme="minorHAnsi" w:eastAsia="Calibri" w:hAnsiTheme="minorHAnsi"/>
          <w:szCs w:val="22"/>
        </w:rPr>
        <w:t xml:space="preserve"> which will have economic productivity benefits </w:t>
      </w:r>
      <w:r w:rsidRPr="0080346F">
        <w:rPr>
          <w:rFonts w:asciiTheme="minorHAnsi" w:eastAsia="Calibri" w:hAnsiTheme="minorHAnsi"/>
          <w:noProof/>
          <w:szCs w:val="22"/>
        </w:rPr>
        <w:t>(</w:t>
      </w:r>
      <w:r w:rsidR="00184B6F" w:rsidRPr="0080346F">
        <w:rPr>
          <w:rFonts w:asciiTheme="minorHAnsi" w:eastAsia="Calibri" w:hAnsiTheme="minorHAnsi"/>
          <w:noProof/>
          <w:szCs w:val="22"/>
        </w:rPr>
        <w:t>Norheim et al. 2014</w:t>
      </w:r>
      <w:r w:rsidRPr="0080346F">
        <w:rPr>
          <w:rFonts w:asciiTheme="minorHAnsi" w:eastAsia="Calibri" w:hAnsiTheme="minorHAnsi"/>
          <w:noProof/>
          <w:szCs w:val="22"/>
        </w:rPr>
        <w:t>)</w:t>
      </w:r>
      <w:r w:rsidRPr="0080346F">
        <w:rPr>
          <w:rFonts w:asciiTheme="minorHAnsi" w:eastAsia="Calibri" w:hAnsiTheme="minorHAnsi"/>
          <w:szCs w:val="22"/>
        </w:rPr>
        <w:t xml:space="preserve">. </w:t>
      </w:r>
    </w:p>
    <w:p w:rsidR="0080346F" w:rsidRPr="0080346F" w:rsidRDefault="0080346F" w:rsidP="0080346F">
      <w:pPr>
        <w:rPr>
          <w:rFonts w:asciiTheme="minorHAnsi" w:hAnsiTheme="minorHAnsi"/>
        </w:rPr>
      </w:pPr>
      <w:r w:rsidRPr="0080346F">
        <w:rPr>
          <w:rFonts w:asciiTheme="minorHAnsi" w:hAnsiTheme="minorHAnsi"/>
        </w:rPr>
        <w:t xml:space="preserve">As data are available to support the notion that society has a preference to fund interventions which arise in these six circumstances above other health intervention funding, it is commonly proposed that application of an equity weighting for funding treatment (either when generating or interpreting QALYs), that is based on societal preferences, should occur. In practice the quantification of this type of weighting proves difficult.  Where quantitative data on preferences exists there is significant variability between studies.  For example, Nord and Johansen (2014) reviewed available data on the preferences for severity grading in preference allocation. Although consistently identifying a positive weighting and strong concern on the basis of disease severity (17 out of 20 studies) the quantification of the weighting had large variation, with estimated severity coefficients from 0 to 88 to be applied to a severity scale </w:t>
      </w:r>
      <w:r w:rsidRPr="0080346F">
        <w:rPr>
          <w:rFonts w:asciiTheme="minorHAnsi" w:hAnsiTheme="minorHAnsi"/>
          <w:noProof/>
        </w:rPr>
        <w:t>(</w:t>
      </w:r>
      <w:r w:rsidR="00184B6F" w:rsidRPr="0080346F">
        <w:rPr>
          <w:rFonts w:asciiTheme="minorHAnsi" w:hAnsiTheme="minorHAnsi"/>
          <w:noProof/>
        </w:rPr>
        <w:t>Nord &amp; Johansen 2014</w:t>
      </w:r>
      <w:r w:rsidRPr="0080346F">
        <w:rPr>
          <w:rFonts w:asciiTheme="minorHAnsi" w:hAnsiTheme="minorHAnsi"/>
          <w:noProof/>
        </w:rPr>
        <w:t>)</w:t>
      </w:r>
      <w:r w:rsidRPr="0080346F">
        <w:rPr>
          <w:rFonts w:asciiTheme="minorHAnsi" w:hAnsiTheme="minorHAnsi"/>
        </w:rPr>
        <w:t xml:space="preserve">. For many other proposed ‘weight deserving’ attributes (preference to children, preference to the socially disadvantaged </w:t>
      </w:r>
      <w:r w:rsidR="009161F9" w:rsidRPr="0080346F">
        <w:rPr>
          <w:rFonts w:asciiTheme="minorHAnsi" w:hAnsiTheme="minorHAnsi"/>
        </w:rPr>
        <w:t>etc.</w:t>
      </w:r>
      <w:r w:rsidRPr="0080346F">
        <w:rPr>
          <w:rFonts w:asciiTheme="minorHAnsi" w:hAnsiTheme="minorHAnsi"/>
        </w:rPr>
        <w:t>), despite strong in-principle agreement on the domains, there is little quantitative data available to estimate the extent to which a social preference should be applied. This is particularly the case for data reflecting Australian societal values.</w:t>
      </w:r>
    </w:p>
    <w:p w:rsidR="0080346F" w:rsidRPr="0080346F" w:rsidRDefault="0080346F" w:rsidP="0080346F">
      <w:pPr>
        <w:rPr>
          <w:rFonts w:asciiTheme="minorHAnsi" w:hAnsiTheme="minorHAnsi"/>
        </w:rPr>
      </w:pPr>
      <w:r w:rsidRPr="0080346F">
        <w:rPr>
          <w:rFonts w:asciiTheme="minorHAnsi" w:hAnsiTheme="minorHAnsi"/>
        </w:rPr>
        <w:t xml:space="preserve">If the adoption of social preference weightings (applied on the basis of disease severity and/or the other patient characteristics described above) was considered both worthwhile and feasible, then there would be no reason to limit this to the assessment of orphan drugs for reimbursement decisions; although it might be expected to apply more often in orphan disease conditions </w:t>
      </w:r>
      <w:r w:rsidRPr="0080346F">
        <w:rPr>
          <w:rFonts w:asciiTheme="minorHAnsi" w:hAnsiTheme="minorHAnsi"/>
          <w:noProof/>
        </w:rPr>
        <w:t>(</w:t>
      </w:r>
      <w:r w:rsidR="00184B6F" w:rsidRPr="0080346F">
        <w:rPr>
          <w:rFonts w:asciiTheme="minorHAnsi" w:hAnsiTheme="minorHAnsi"/>
          <w:noProof/>
        </w:rPr>
        <w:t>McCabe, Edlin &amp; Round 2010</w:t>
      </w:r>
      <w:r w:rsidRPr="0080346F">
        <w:rPr>
          <w:rFonts w:asciiTheme="minorHAnsi" w:hAnsiTheme="minorHAnsi"/>
          <w:noProof/>
        </w:rPr>
        <w:t>)</w:t>
      </w:r>
      <w:r w:rsidRPr="0080346F">
        <w:rPr>
          <w:rFonts w:asciiTheme="minorHAnsi" w:hAnsiTheme="minorHAnsi"/>
        </w:rPr>
        <w:t xml:space="preserve">.  Rather, equity-adjustments on the basis of disease severity, or other social justice criteria, could be applicable to all pharmacoeconomic assessment processes. </w:t>
      </w:r>
    </w:p>
    <w:p w:rsidR="0080346F" w:rsidRPr="0080346F" w:rsidRDefault="0080346F" w:rsidP="0080346F">
      <w:pPr>
        <w:keepNext/>
        <w:keepLines/>
        <w:spacing w:before="240"/>
        <w:outlineLvl w:val="2"/>
        <w:rPr>
          <w:rFonts w:asciiTheme="majorHAnsi" w:hAnsiTheme="majorHAnsi" w:cs="Calibri"/>
          <w:bCs/>
          <w:color w:val="002060"/>
        </w:rPr>
      </w:pPr>
      <w:bookmarkStart w:id="614" w:name="_Toc405152143"/>
      <w:r w:rsidRPr="0080346F">
        <w:rPr>
          <w:rFonts w:asciiTheme="majorHAnsi" w:hAnsiTheme="majorHAnsi" w:cs="Calibri"/>
          <w:bCs/>
          <w:color w:val="002060"/>
        </w:rPr>
        <w:t>Preference weighting specifically on the basis of ‘disease rarity’</w:t>
      </w:r>
      <w:bookmarkEnd w:id="614"/>
      <w:r w:rsidRPr="0080346F">
        <w:rPr>
          <w:rFonts w:asciiTheme="majorHAnsi" w:hAnsiTheme="majorHAnsi" w:cs="Calibri"/>
          <w:bCs/>
          <w:color w:val="002060"/>
        </w:rPr>
        <w:t xml:space="preserve"> </w:t>
      </w:r>
    </w:p>
    <w:p w:rsidR="0080346F" w:rsidRPr="0080346F" w:rsidRDefault="0080346F" w:rsidP="0080346F">
      <w:pPr>
        <w:rPr>
          <w:rFonts w:asciiTheme="minorHAnsi" w:hAnsiTheme="minorHAnsi"/>
        </w:rPr>
      </w:pPr>
      <w:r w:rsidRPr="0080346F">
        <w:rPr>
          <w:rFonts w:asciiTheme="minorHAnsi" w:hAnsiTheme="minorHAnsi"/>
        </w:rPr>
        <w:t>It is contentious whether there is a societal preference for increased spending of health resources specifically on ‘orphan’ disease conditions.</w:t>
      </w:r>
    </w:p>
    <w:p w:rsidR="0080346F" w:rsidRPr="0080346F" w:rsidRDefault="0080346F" w:rsidP="0080346F">
      <w:r w:rsidRPr="0080346F">
        <w:t xml:space="preserve">The view and supporting argument that ‘rarity’ </w:t>
      </w:r>
      <w:r w:rsidRPr="0080346F">
        <w:rPr>
          <w:i/>
        </w:rPr>
        <w:t>per se</w:t>
      </w:r>
      <w:r w:rsidRPr="0080346F">
        <w:t xml:space="preserve"> is not an ethically relevant value is expressed clearly by Norheim et al (2014) and McCabe et al (2010) </w:t>
      </w:r>
      <w:r w:rsidRPr="0080346F">
        <w:rPr>
          <w:noProof/>
        </w:rPr>
        <w:t>(</w:t>
      </w:r>
      <w:r w:rsidR="00184B6F" w:rsidRPr="0080346F">
        <w:rPr>
          <w:noProof/>
        </w:rPr>
        <w:t>Norheim et al. 2014</w:t>
      </w:r>
      <w:r w:rsidRPr="0080346F">
        <w:rPr>
          <w:noProof/>
        </w:rPr>
        <w:t>)</w:t>
      </w:r>
      <w:r w:rsidRPr="0080346F">
        <w:t xml:space="preserve"> </w:t>
      </w:r>
      <w:r w:rsidRPr="0080346F">
        <w:rPr>
          <w:noProof/>
        </w:rPr>
        <w:t>(</w:t>
      </w:r>
      <w:r w:rsidR="00184B6F" w:rsidRPr="0080346F">
        <w:rPr>
          <w:noProof/>
        </w:rPr>
        <w:t>McCabe, Edlin &amp; Round 2010</w:t>
      </w:r>
      <w:r w:rsidRPr="0080346F">
        <w:rPr>
          <w:noProof/>
        </w:rPr>
        <w:t>)</w:t>
      </w:r>
      <w:r w:rsidRPr="0080346F">
        <w:t>. This is supported by findings in the following social research:</w:t>
      </w:r>
    </w:p>
    <w:p w:rsidR="0080346F" w:rsidRPr="0080346F" w:rsidRDefault="0080346F" w:rsidP="000959DF">
      <w:pPr>
        <w:numPr>
          <w:ilvl w:val="0"/>
          <w:numId w:val="64"/>
        </w:numPr>
        <w:autoSpaceDE w:val="0"/>
        <w:autoSpaceDN w:val="0"/>
        <w:adjustRightInd w:val="0"/>
        <w:spacing w:line="240" w:lineRule="auto"/>
        <w:rPr>
          <w:rFonts w:eastAsia="Calibri"/>
          <w:szCs w:val="22"/>
        </w:rPr>
      </w:pPr>
      <w:r w:rsidRPr="0080346F">
        <w:rPr>
          <w:rFonts w:eastAsia="Calibri"/>
          <w:szCs w:val="22"/>
        </w:rPr>
        <w:t xml:space="preserve">A survey of 2,767 Norwegians aged 40-67 found that the majority (76.8%) did not, in principle, support preferential funding of rare diseases i.e. at the expense of the health of the majority of the population </w:t>
      </w:r>
      <w:r w:rsidRPr="0080346F">
        <w:rPr>
          <w:rFonts w:eastAsia="Calibri"/>
          <w:noProof/>
          <w:szCs w:val="22"/>
        </w:rPr>
        <w:t>(</w:t>
      </w:r>
      <w:r w:rsidR="00184B6F" w:rsidRPr="0080346F">
        <w:rPr>
          <w:rFonts w:eastAsia="Calibri"/>
          <w:noProof/>
          <w:szCs w:val="22"/>
        </w:rPr>
        <w:t>Desser, A. S., Olsen &amp; Grepperud 2013</w:t>
      </w:r>
      <w:r w:rsidRPr="0080346F">
        <w:rPr>
          <w:rFonts w:eastAsia="Calibri"/>
          <w:noProof/>
          <w:szCs w:val="22"/>
        </w:rPr>
        <w:t>)</w:t>
      </w:r>
      <w:r w:rsidRPr="0080346F">
        <w:rPr>
          <w:rFonts w:eastAsia="Calibri"/>
          <w:szCs w:val="22"/>
        </w:rPr>
        <w:t>;</w:t>
      </w:r>
    </w:p>
    <w:p w:rsidR="0080346F" w:rsidRPr="0080346F" w:rsidRDefault="0080346F" w:rsidP="000959DF">
      <w:pPr>
        <w:numPr>
          <w:ilvl w:val="0"/>
          <w:numId w:val="64"/>
        </w:numPr>
        <w:autoSpaceDE w:val="0"/>
        <w:autoSpaceDN w:val="0"/>
        <w:adjustRightInd w:val="0"/>
        <w:spacing w:line="240" w:lineRule="auto"/>
        <w:rPr>
          <w:rFonts w:eastAsia="Calibri"/>
          <w:szCs w:val="22"/>
        </w:rPr>
      </w:pPr>
      <w:r w:rsidRPr="0080346F">
        <w:rPr>
          <w:rFonts w:eastAsia="Calibri"/>
          <w:szCs w:val="22"/>
        </w:rPr>
        <w:lastRenderedPageBreak/>
        <w:t xml:space="preserve">This was broadly consistent with the author’s findings in a previous trade-off study which indicated little evidence for a societal preference of rare disease treatments at the expense of common disease treatments </w:t>
      </w:r>
      <w:r w:rsidRPr="0080346F">
        <w:rPr>
          <w:rFonts w:eastAsia="Calibri"/>
          <w:noProof/>
          <w:szCs w:val="22"/>
        </w:rPr>
        <w:t>(</w:t>
      </w:r>
      <w:r w:rsidR="00184B6F" w:rsidRPr="0080346F">
        <w:rPr>
          <w:rFonts w:eastAsia="Calibri"/>
          <w:noProof/>
          <w:szCs w:val="22"/>
        </w:rPr>
        <w:t>Desser, A. S. et al. 2010</w:t>
      </w:r>
      <w:r w:rsidRPr="0080346F">
        <w:rPr>
          <w:rFonts w:eastAsia="Calibri"/>
          <w:noProof/>
          <w:szCs w:val="22"/>
        </w:rPr>
        <w:t>)</w:t>
      </w:r>
      <w:r w:rsidRPr="0080346F">
        <w:rPr>
          <w:rFonts w:eastAsia="Calibri"/>
          <w:szCs w:val="22"/>
        </w:rPr>
        <w:t xml:space="preserve">, and a survey of Norwegian doctors that found no stated preference to prioritise on the basis of disease rarity </w:t>
      </w:r>
      <w:r w:rsidRPr="0080346F">
        <w:rPr>
          <w:rFonts w:eastAsia="Calibri"/>
          <w:noProof/>
          <w:szCs w:val="22"/>
        </w:rPr>
        <w:t>(</w:t>
      </w:r>
      <w:r w:rsidR="00184B6F" w:rsidRPr="0080346F">
        <w:rPr>
          <w:rFonts w:eastAsia="Calibri"/>
          <w:noProof/>
          <w:szCs w:val="22"/>
        </w:rPr>
        <w:t>Desser, Arna S. 2013</w:t>
      </w:r>
      <w:r w:rsidRPr="0080346F">
        <w:rPr>
          <w:rFonts w:eastAsia="Calibri"/>
          <w:noProof/>
          <w:szCs w:val="22"/>
        </w:rPr>
        <w:t>)</w:t>
      </w:r>
      <w:r w:rsidRPr="0080346F">
        <w:rPr>
          <w:rFonts w:eastAsia="Calibri"/>
          <w:szCs w:val="22"/>
        </w:rPr>
        <w:t>;</w:t>
      </w:r>
    </w:p>
    <w:p w:rsidR="0080346F" w:rsidRPr="0080346F" w:rsidRDefault="0080346F" w:rsidP="000959DF">
      <w:pPr>
        <w:numPr>
          <w:ilvl w:val="0"/>
          <w:numId w:val="64"/>
        </w:numPr>
        <w:autoSpaceDE w:val="0"/>
        <w:autoSpaceDN w:val="0"/>
        <w:adjustRightInd w:val="0"/>
        <w:spacing w:line="240" w:lineRule="auto"/>
        <w:rPr>
          <w:rFonts w:eastAsia="Calibri"/>
          <w:szCs w:val="22"/>
        </w:rPr>
      </w:pPr>
      <w:r w:rsidRPr="0080346F">
        <w:rPr>
          <w:rFonts w:eastAsia="Calibri"/>
          <w:szCs w:val="22"/>
        </w:rPr>
        <w:t xml:space="preserve">A study of American University students indicated that they did not have a preference that increased funding for the same level of health outcome was justified in rare diseases over a common disease </w:t>
      </w:r>
      <w:r w:rsidRPr="0080346F">
        <w:rPr>
          <w:rFonts w:eastAsia="Calibri"/>
          <w:noProof/>
          <w:szCs w:val="22"/>
        </w:rPr>
        <w:t>(</w:t>
      </w:r>
      <w:r w:rsidR="00184B6F" w:rsidRPr="0080346F">
        <w:rPr>
          <w:rFonts w:eastAsia="Calibri"/>
          <w:noProof/>
          <w:szCs w:val="22"/>
        </w:rPr>
        <w:t>Mentzakis, Stefanowska &amp; Hurley 2011</w:t>
      </w:r>
      <w:r w:rsidRPr="0080346F">
        <w:rPr>
          <w:rFonts w:eastAsia="Calibri"/>
          <w:noProof/>
          <w:szCs w:val="22"/>
        </w:rPr>
        <w:t>)</w:t>
      </w:r>
      <w:r w:rsidRPr="0080346F">
        <w:rPr>
          <w:rFonts w:eastAsia="Calibri"/>
          <w:szCs w:val="22"/>
        </w:rPr>
        <w:t>; and</w:t>
      </w:r>
    </w:p>
    <w:p w:rsidR="0080346F" w:rsidRPr="0080346F" w:rsidRDefault="0080346F" w:rsidP="000959DF">
      <w:pPr>
        <w:numPr>
          <w:ilvl w:val="0"/>
          <w:numId w:val="64"/>
        </w:numPr>
        <w:autoSpaceDE w:val="0"/>
        <w:autoSpaceDN w:val="0"/>
        <w:adjustRightInd w:val="0"/>
        <w:spacing w:line="240" w:lineRule="auto"/>
        <w:rPr>
          <w:rFonts w:eastAsia="Calibri"/>
          <w:szCs w:val="22"/>
        </w:rPr>
      </w:pPr>
      <w:r w:rsidRPr="0080346F">
        <w:rPr>
          <w:rFonts w:eastAsia="Calibri"/>
          <w:szCs w:val="22"/>
        </w:rPr>
        <w:t xml:space="preserve">A NICE Citizens Council (2004), convened specifically to discuss whether or not a premium should be paid on orphan drugs, had a clear majority that considered “rarity in itself should not be a reason for paying premium prices” (unanimous) and “The treatment an individual receives from the NHS should not be affected in any way by the number of patients suffering or likely to suffer from their condition” (&gt;75% agreement). However, this report concluded that premiums for orphan drugs may be warranted for </w:t>
      </w:r>
      <w:r w:rsidRPr="0080346F">
        <w:rPr>
          <w:rFonts w:eastAsia="Calibri"/>
          <w:i/>
          <w:szCs w:val="22"/>
        </w:rPr>
        <w:t xml:space="preserve">reasons other than rarity </w:t>
      </w:r>
      <w:r w:rsidRPr="0080346F">
        <w:rPr>
          <w:rFonts w:eastAsia="Calibri"/>
          <w:szCs w:val="22"/>
        </w:rPr>
        <w:t>(</w:t>
      </w:r>
      <w:r w:rsidR="006E536A">
        <w:rPr>
          <w:rFonts w:eastAsia="Calibri"/>
          <w:szCs w:val="22"/>
        </w:rPr>
        <w:t>e.g.</w:t>
      </w:r>
      <w:r w:rsidRPr="0080346F">
        <w:rPr>
          <w:rFonts w:eastAsia="Calibri"/>
          <w:szCs w:val="22"/>
        </w:rPr>
        <w:t xml:space="preserve"> disease severity) </w:t>
      </w:r>
      <w:r w:rsidR="00A130D0">
        <w:rPr>
          <w:rFonts w:eastAsia="Calibri"/>
          <w:noProof/>
          <w:szCs w:val="22"/>
        </w:rPr>
        <w:t>(</w:t>
      </w:r>
      <w:r w:rsidR="00184B6F">
        <w:rPr>
          <w:rFonts w:eastAsia="Calibri"/>
          <w:noProof/>
          <w:szCs w:val="22"/>
        </w:rPr>
        <w:t>NICE Citizens Council 2004</w:t>
      </w:r>
      <w:r w:rsidR="00A130D0">
        <w:rPr>
          <w:rFonts w:eastAsia="Calibri"/>
          <w:noProof/>
          <w:szCs w:val="22"/>
        </w:rPr>
        <w:t>)</w:t>
      </w:r>
      <w:r w:rsidRPr="0080346F">
        <w:rPr>
          <w:rFonts w:eastAsia="Calibri"/>
          <w:szCs w:val="22"/>
        </w:rPr>
        <w:t>.</w:t>
      </w:r>
    </w:p>
    <w:p w:rsidR="0080346F" w:rsidRPr="0080346F" w:rsidRDefault="0080346F" w:rsidP="0080346F">
      <w:pPr>
        <w:rPr>
          <w:rFonts w:asciiTheme="minorHAnsi" w:hAnsiTheme="minorHAnsi"/>
        </w:rPr>
      </w:pPr>
      <w:r w:rsidRPr="0080346F">
        <w:rPr>
          <w:rFonts w:asciiTheme="minorHAnsi" w:hAnsiTheme="minorHAnsi"/>
        </w:rPr>
        <w:t>A lesser amount of evidence exists to support the contrary suggestion that society does support ‘special consideration’ of funding for orphan drugs.  This includes:</w:t>
      </w:r>
    </w:p>
    <w:p w:rsidR="0080346F" w:rsidRPr="0080346F" w:rsidRDefault="0080346F" w:rsidP="000959DF">
      <w:pPr>
        <w:numPr>
          <w:ilvl w:val="0"/>
          <w:numId w:val="66"/>
        </w:numPr>
        <w:autoSpaceDE w:val="0"/>
        <w:autoSpaceDN w:val="0"/>
        <w:adjustRightInd w:val="0"/>
        <w:spacing w:line="240" w:lineRule="auto"/>
        <w:rPr>
          <w:rFonts w:eastAsia="Calibri"/>
          <w:szCs w:val="22"/>
        </w:rPr>
      </w:pPr>
      <w:r w:rsidRPr="0080346F">
        <w:rPr>
          <w:rFonts w:eastAsia="Calibri"/>
          <w:szCs w:val="22"/>
        </w:rPr>
        <w:t xml:space="preserve">A different NICE Citizens Council (2008) where 20 out 29 Council members voted to support departing from the established NICE ICER threshold in circumstances where the illness is rare </w:t>
      </w:r>
      <w:r w:rsidR="00A130D0">
        <w:rPr>
          <w:rFonts w:eastAsia="Calibri"/>
          <w:noProof/>
          <w:szCs w:val="22"/>
        </w:rPr>
        <w:t>(</w:t>
      </w:r>
      <w:r w:rsidR="00184B6F">
        <w:rPr>
          <w:rFonts w:eastAsia="Calibri"/>
          <w:noProof/>
          <w:szCs w:val="22"/>
        </w:rPr>
        <w:t>NICE Citizens Council 2008</w:t>
      </w:r>
      <w:r w:rsidR="00A130D0">
        <w:rPr>
          <w:rFonts w:eastAsia="Calibri"/>
          <w:noProof/>
          <w:szCs w:val="22"/>
        </w:rPr>
        <w:t>)</w:t>
      </w:r>
      <w:r w:rsidRPr="0080346F">
        <w:rPr>
          <w:rFonts w:eastAsia="Calibri"/>
          <w:szCs w:val="22"/>
        </w:rPr>
        <w:t>;, and</w:t>
      </w:r>
    </w:p>
    <w:p w:rsidR="0080346F" w:rsidRPr="0080346F" w:rsidRDefault="0080346F" w:rsidP="000959DF">
      <w:pPr>
        <w:numPr>
          <w:ilvl w:val="0"/>
          <w:numId w:val="66"/>
        </w:numPr>
        <w:autoSpaceDE w:val="0"/>
        <w:autoSpaceDN w:val="0"/>
        <w:adjustRightInd w:val="0"/>
        <w:spacing w:line="240" w:lineRule="auto"/>
        <w:rPr>
          <w:rFonts w:eastAsia="Calibri"/>
          <w:szCs w:val="22"/>
        </w:rPr>
      </w:pPr>
      <w:r w:rsidRPr="0080346F">
        <w:rPr>
          <w:rFonts w:eastAsia="Calibri"/>
          <w:szCs w:val="22"/>
        </w:rPr>
        <w:t xml:space="preserve">Despite the quantitative trade-off study failing to particularly support preferential orphan drug funding, it was identified (somewhat contradictorily) that there was strong support for the statement “rare disease patients should have the right to treatment even if more expensive” (mean score 4.5/5 on Likert scale) and a preference for doctors to ‘keep some money aside for treatment of rare diseases’ </w:t>
      </w:r>
      <w:r w:rsidRPr="0080346F">
        <w:rPr>
          <w:rFonts w:eastAsia="Calibri"/>
          <w:noProof/>
          <w:szCs w:val="22"/>
        </w:rPr>
        <w:t>(</w:t>
      </w:r>
      <w:r w:rsidR="00184B6F" w:rsidRPr="0080346F">
        <w:rPr>
          <w:rFonts w:eastAsia="Calibri"/>
          <w:noProof/>
          <w:szCs w:val="22"/>
        </w:rPr>
        <w:t>Desser, Arna S. 2013</w:t>
      </w:r>
      <w:r w:rsidRPr="0080346F">
        <w:rPr>
          <w:rFonts w:eastAsia="Calibri"/>
          <w:noProof/>
          <w:szCs w:val="22"/>
        </w:rPr>
        <w:t>)</w:t>
      </w:r>
      <w:r w:rsidRPr="0080346F">
        <w:rPr>
          <w:rFonts w:eastAsia="Calibri"/>
          <w:szCs w:val="22"/>
        </w:rPr>
        <w:t>.</w:t>
      </w:r>
    </w:p>
    <w:p w:rsidR="0080346F" w:rsidRPr="0080346F" w:rsidRDefault="0080346F" w:rsidP="0080346F">
      <w:pPr>
        <w:rPr>
          <w:rFonts w:asciiTheme="minorHAnsi" w:hAnsiTheme="minorHAnsi"/>
        </w:rPr>
      </w:pPr>
      <w:r w:rsidRPr="0080346F">
        <w:rPr>
          <w:rFonts w:asciiTheme="minorHAnsi" w:hAnsiTheme="minorHAnsi"/>
        </w:rPr>
        <w:t xml:space="preserve">Following a theoretical experiment, it was concluded that “…distributional preferences depend on the size of the health gain.  Participants preferred programmes which distributed the total gain as long as they provided a </w:t>
      </w:r>
      <w:r w:rsidRPr="0080346F">
        <w:rPr>
          <w:rFonts w:asciiTheme="minorHAnsi" w:hAnsiTheme="minorHAnsi"/>
          <w:i/>
        </w:rPr>
        <w:t>sufficiently</w:t>
      </w:r>
      <w:r w:rsidRPr="0080346F">
        <w:rPr>
          <w:rFonts w:asciiTheme="minorHAnsi" w:hAnsiTheme="minorHAnsi"/>
        </w:rPr>
        <w:t xml:space="preserve"> big individual gain, but they preferred to concentrate the gain rather than give </w:t>
      </w:r>
      <w:r w:rsidRPr="0080346F">
        <w:rPr>
          <w:rFonts w:asciiTheme="minorHAnsi" w:hAnsiTheme="minorHAnsi"/>
          <w:i/>
        </w:rPr>
        <w:t>insignificant</w:t>
      </w:r>
      <w:r w:rsidRPr="0080346F">
        <w:rPr>
          <w:rFonts w:asciiTheme="minorHAnsi" w:hAnsiTheme="minorHAnsi"/>
        </w:rPr>
        <w:t xml:space="preserve"> gains to many people” </w:t>
      </w:r>
      <w:r w:rsidRPr="0080346F">
        <w:rPr>
          <w:rFonts w:asciiTheme="minorHAnsi" w:hAnsiTheme="minorHAnsi"/>
          <w:noProof/>
        </w:rPr>
        <w:t>(</w:t>
      </w:r>
      <w:r w:rsidR="00184B6F" w:rsidRPr="0080346F">
        <w:rPr>
          <w:rFonts w:asciiTheme="minorHAnsi" w:hAnsiTheme="minorHAnsi"/>
          <w:noProof/>
        </w:rPr>
        <w:t>Rodriguez-Miguez &amp; Pinto-Prades 2002</w:t>
      </w:r>
      <w:r w:rsidRPr="0080346F">
        <w:rPr>
          <w:rFonts w:asciiTheme="minorHAnsi" w:hAnsiTheme="minorHAnsi"/>
          <w:noProof/>
        </w:rPr>
        <w:t>)</w:t>
      </w:r>
      <w:r w:rsidRPr="0080346F">
        <w:rPr>
          <w:rFonts w:asciiTheme="minorHAnsi" w:hAnsiTheme="minorHAnsi"/>
        </w:rPr>
        <w:t xml:space="preserve">. Under this function, the extent to which orphan drugs would receive preferential treatment would depend on the relative size of the </w:t>
      </w:r>
      <w:r w:rsidRPr="0080346F">
        <w:rPr>
          <w:rFonts w:asciiTheme="minorHAnsi" w:hAnsiTheme="minorHAnsi"/>
          <w:i/>
        </w:rPr>
        <w:t>health gain per individual</w:t>
      </w:r>
      <w:r w:rsidRPr="0080346F">
        <w:rPr>
          <w:rFonts w:asciiTheme="minorHAnsi" w:hAnsiTheme="minorHAnsi"/>
        </w:rPr>
        <w:t xml:space="preserve"> provided by the orphan drug compared to the size of the health gain per individual associated with alternative treatments (which would constitute the opportunity cost). Application of these findings suggests that a minimum effect size would be warranted with any preferential allocation of funding to orphan drugs.</w:t>
      </w:r>
    </w:p>
    <w:p w:rsidR="0080346F" w:rsidRPr="0080346F" w:rsidRDefault="0080346F" w:rsidP="0080346F">
      <w:pPr>
        <w:keepNext/>
        <w:keepLines/>
        <w:spacing w:before="240"/>
        <w:outlineLvl w:val="2"/>
        <w:rPr>
          <w:rFonts w:asciiTheme="majorHAnsi" w:hAnsiTheme="majorHAnsi" w:cs="Calibri"/>
          <w:bCs/>
          <w:color w:val="002060"/>
        </w:rPr>
      </w:pPr>
      <w:bookmarkStart w:id="615" w:name="_Toc405152144"/>
      <w:r w:rsidRPr="0080346F">
        <w:rPr>
          <w:rFonts w:asciiTheme="majorHAnsi" w:hAnsiTheme="majorHAnsi" w:cs="Calibri"/>
          <w:bCs/>
          <w:color w:val="002060"/>
        </w:rPr>
        <w:t>Preference weighting to ‘reward and further stimulate scientific innovation’</w:t>
      </w:r>
      <w:bookmarkEnd w:id="615"/>
    </w:p>
    <w:p w:rsidR="0080346F" w:rsidRPr="0080346F" w:rsidRDefault="0080346F" w:rsidP="0080346F">
      <w:pPr>
        <w:rPr>
          <w:rFonts w:asciiTheme="minorHAnsi" w:hAnsiTheme="minorHAnsi"/>
        </w:rPr>
      </w:pPr>
      <w:r w:rsidRPr="0080346F">
        <w:rPr>
          <w:rFonts w:asciiTheme="minorHAnsi" w:hAnsiTheme="minorHAnsi"/>
        </w:rPr>
        <w:t xml:space="preserve">It has been suggested that novel orphan drugs may warrant preferential value weighting because society values the scientific knowledge and technological innovation they are associated with. Supporting the ‘innovation’ may bring indirect and long-term benefits not immediately associated with the product and indirectly return substantial value </w:t>
      </w:r>
      <w:r w:rsidRPr="0080346F">
        <w:rPr>
          <w:rFonts w:asciiTheme="minorHAnsi" w:hAnsiTheme="minorHAnsi"/>
          <w:noProof/>
        </w:rPr>
        <w:t>(</w:t>
      </w:r>
      <w:r w:rsidR="00184B6F" w:rsidRPr="0080346F">
        <w:rPr>
          <w:rFonts w:asciiTheme="minorHAnsi" w:hAnsiTheme="minorHAnsi"/>
          <w:noProof/>
        </w:rPr>
        <w:t>Rollet, Lemoine &amp; Dunoyer 2013</w:t>
      </w:r>
      <w:r w:rsidRPr="0080346F">
        <w:rPr>
          <w:rFonts w:asciiTheme="minorHAnsi" w:hAnsiTheme="minorHAnsi"/>
          <w:noProof/>
        </w:rPr>
        <w:t>)</w:t>
      </w:r>
      <w:r w:rsidRPr="0080346F">
        <w:rPr>
          <w:rFonts w:asciiTheme="minorHAnsi" w:hAnsiTheme="minorHAnsi"/>
        </w:rPr>
        <w:t xml:space="preserve">. It is not possible to determine whether this argument is applicable or whether in the long-term this approach is efficient and would maximise health outcomes. </w:t>
      </w:r>
      <w:r w:rsidRPr="0080346F">
        <w:rPr>
          <w:rFonts w:asciiTheme="minorHAnsi" w:hAnsiTheme="minorHAnsi"/>
        </w:rPr>
        <w:lastRenderedPageBreak/>
        <w:t xml:space="preserve">However the argument is also supported from an equity standpoint, in that patients with rare conditions should be able to access quality treatments like other patients and therefore it is necessary to provide incentives for industry to continue to produce treatments for as yet untreatable conditions </w:t>
      </w:r>
      <w:r w:rsidR="00A130D0">
        <w:rPr>
          <w:rFonts w:asciiTheme="minorHAnsi" w:hAnsiTheme="minorHAnsi"/>
          <w:noProof/>
        </w:rPr>
        <w:t>(</w:t>
      </w:r>
      <w:r w:rsidR="00184B6F">
        <w:rPr>
          <w:rFonts w:asciiTheme="minorHAnsi" w:hAnsiTheme="minorHAnsi"/>
          <w:noProof/>
        </w:rPr>
        <w:t>BIA UK BioIndustry Association 2014</w:t>
      </w:r>
      <w:r w:rsidR="00A130D0">
        <w:rPr>
          <w:rFonts w:asciiTheme="minorHAnsi" w:hAnsiTheme="minorHAnsi"/>
          <w:noProof/>
        </w:rPr>
        <w:t>)</w:t>
      </w:r>
      <w:r w:rsidRPr="0080346F">
        <w:rPr>
          <w:rFonts w:asciiTheme="minorHAnsi" w:hAnsiTheme="minorHAnsi"/>
        </w:rPr>
        <w:t>. There is various information and discussion on other mechanisms to incentivise research in rare disease in the literature</w:t>
      </w:r>
      <w:r w:rsidR="00503807">
        <w:rPr>
          <w:rFonts w:asciiTheme="minorHAnsi" w:hAnsiTheme="minorHAnsi"/>
        </w:rPr>
        <w:t xml:space="preserve"> </w:t>
      </w:r>
      <w:r w:rsidR="00B05798">
        <w:rPr>
          <w:rFonts w:asciiTheme="minorHAnsi" w:hAnsiTheme="minorHAnsi"/>
          <w:noProof/>
        </w:rPr>
        <w:t>(</w:t>
      </w:r>
      <w:r w:rsidR="00184B6F">
        <w:rPr>
          <w:rFonts w:asciiTheme="minorHAnsi" w:hAnsiTheme="minorHAnsi"/>
          <w:noProof/>
        </w:rPr>
        <w:t>Groft &amp; Rubinstein 2013</w:t>
      </w:r>
      <w:r w:rsidR="00B05798">
        <w:rPr>
          <w:rFonts w:asciiTheme="minorHAnsi" w:hAnsiTheme="minorHAnsi"/>
          <w:noProof/>
        </w:rPr>
        <w:t xml:space="preserve">; </w:t>
      </w:r>
      <w:r w:rsidR="00184B6F">
        <w:rPr>
          <w:rFonts w:asciiTheme="minorHAnsi" w:hAnsiTheme="minorHAnsi"/>
          <w:noProof/>
        </w:rPr>
        <w:t>Maurer 2006</w:t>
      </w:r>
      <w:r w:rsidR="00B05798">
        <w:rPr>
          <w:rFonts w:asciiTheme="minorHAnsi" w:hAnsiTheme="minorHAnsi"/>
          <w:noProof/>
        </w:rPr>
        <w:t xml:space="preserve">; </w:t>
      </w:r>
      <w:r w:rsidR="00184B6F">
        <w:rPr>
          <w:rFonts w:asciiTheme="minorHAnsi" w:hAnsiTheme="minorHAnsi"/>
          <w:noProof/>
        </w:rPr>
        <w:t>Rollet, Lemoine &amp; Dunoyer 2013</w:t>
      </w:r>
      <w:r w:rsidR="00B05798">
        <w:rPr>
          <w:rFonts w:asciiTheme="minorHAnsi" w:hAnsiTheme="minorHAnsi"/>
          <w:noProof/>
        </w:rPr>
        <w:t>)</w:t>
      </w:r>
      <w:r>
        <w:rPr>
          <w:rFonts w:asciiTheme="minorHAnsi" w:hAnsiTheme="minorHAnsi"/>
        </w:rPr>
        <w:t>.</w:t>
      </w:r>
    </w:p>
    <w:p w:rsidR="0080346F" w:rsidRPr="0080346F" w:rsidRDefault="0080346F" w:rsidP="0080346F">
      <w:pPr>
        <w:keepNext/>
        <w:keepLines/>
        <w:spacing w:before="240"/>
        <w:outlineLvl w:val="2"/>
        <w:rPr>
          <w:rFonts w:asciiTheme="majorHAnsi" w:hAnsiTheme="majorHAnsi" w:cs="Calibri"/>
          <w:bCs/>
          <w:color w:val="002060"/>
        </w:rPr>
      </w:pPr>
      <w:bookmarkStart w:id="616" w:name="_Toc405152145"/>
      <w:r w:rsidRPr="0080346F">
        <w:rPr>
          <w:rFonts w:asciiTheme="majorHAnsi" w:hAnsiTheme="majorHAnsi" w:cs="Calibri"/>
          <w:bCs/>
          <w:color w:val="002060"/>
        </w:rPr>
        <w:t>Methodology to apply preference (equity) weighting</w:t>
      </w:r>
      <w:bookmarkEnd w:id="616"/>
    </w:p>
    <w:p w:rsidR="0080346F" w:rsidRPr="0080346F" w:rsidRDefault="0080346F" w:rsidP="0080346F">
      <w:pPr>
        <w:rPr>
          <w:rFonts w:asciiTheme="minorHAnsi" w:hAnsiTheme="minorHAnsi"/>
        </w:rPr>
      </w:pPr>
      <w:r w:rsidRPr="0080346F">
        <w:rPr>
          <w:rFonts w:asciiTheme="minorHAnsi" w:hAnsiTheme="minorHAnsi"/>
        </w:rPr>
        <w:t xml:space="preserve">Adaptation of an equity-adjusted approach to assessing cost-effectiveness requires a multi-stage approach. </w:t>
      </w:r>
    </w:p>
    <w:p w:rsidR="0080346F" w:rsidRPr="0080346F" w:rsidRDefault="0080346F" w:rsidP="000959DF">
      <w:pPr>
        <w:numPr>
          <w:ilvl w:val="0"/>
          <w:numId w:val="67"/>
        </w:numPr>
        <w:autoSpaceDE w:val="0"/>
        <w:autoSpaceDN w:val="0"/>
        <w:adjustRightInd w:val="0"/>
        <w:spacing w:line="240" w:lineRule="auto"/>
        <w:rPr>
          <w:rFonts w:eastAsia="Calibri"/>
          <w:szCs w:val="22"/>
        </w:rPr>
      </w:pPr>
      <w:r w:rsidRPr="0080346F">
        <w:rPr>
          <w:rFonts w:eastAsia="Calibri"/>
          <w:szCs w:val="22"/>
        </w:rPr>
        <w:t>Identification of the relevant equity criteria</w:t>
      </w:r>
    </w:p>
    <w:p w:rsidR="0080346F" w:rsidRPr="0080346F" w:rsidRDefault="0080346F" w:rsidP="000959DF">
      <w:pPr>
        <w:numPr>
          <w:ilvl w:val="0"/>
          <w:numId w:val="67"/>
        </w:numPr>
        <w:autoSpaceDE w:val="0"/>
        <w:autoSpaceDN w:val="0"/>
        <w:adjustRightInd w:val="0"/>
        <w:spacing w:line="240" w:lineRule="auto"/>
        <w:rPr>
          <w:rFonts w:eastAsia="Calibri"/>
          <w:szCs w:val="22"/>
        </w:rPr>
      </w:pPr>
      <w:r w:rsidRPr="0080346F">
        <w:rPr>
          <w:rFonts w:eastAsia="Calibri"/>
          <w:szCs w:val="22"/>
        </w:rPr>
        <w:t xml:space="preserve">Quantification of the relative value (importance) of the associated equity criteria.  </w:t>
      </w:r>
    </w:p>
    <w:p w:rsidR="0080346F" w:rsidRPr="0080346F" w:rsidRDefault="0080346F" w:rsidP="000959DF">
      <w:pPr>
        <w:numPr>
          <w:ilvl w:val="0"/>
          <w:numId w:val="67"/>
        </w:numPr>
        <w:autoSpaceDE w:val="0"/>
        <w:autoSpaceDN w:val="0"/>
        <w:adjustRightInd w:val="0"/>
        <w:spacing w:line="240" w:lineRule="auto"/>
        <w:rPr>
          <w:rFonts w:eastAsia="Calibri"/>
          <w:szCs w:val="22"/>
        </w:rPr>
      </w:pPr>
      <w:r w:rsidRPr="0080346F">
        <w:rPr>
          <w:rFonts w:eastAsia="Calibri"/>
          <w:szCs w:val="22"/>
        </w:rPr>
        <w:t>Application of equity weights to the cost-utility analyses; either by</w:t>
      </w:r>
    </w:p>
    <w:p w:rsidR="0080346F" w:rsidRPr="0080346F" w:rsidRDefault="0080346F" w:rsidP="000959DF">
      <w:pPr>
        <w:numPr>
          <w:ilvl w:val="1"/>
          <w:numId w:val="67"/>
        </w:numPr>
        <w:autoSpaceDE w:val="0"/>
        <w:autoSpaceDN w:val="0"/>
        <w:adjustRightInd w:val="0"/>
        <w:spacing w:line="240" w:lineRule="auto"/>
        <w:rPr>
          <w:rFonts w:eastAsia="Calibri"/>
          <w:szCs w:val="22"/>
        </w:rPr>
      </w:pPr>
      <w:r w:rsidRPr="0080346F">
        <w:rPr>
          <w:rFonts w:eastAsia="Calibri"/>
          <w:szCs w:val="22"/>
        </w:rPr>
        <w:t xml:space="preserve">Adjusting QALYs as appropriate before calculation of the ICER; </w:t>
      </w:r>
      <w:r w:rsidRPr="0080346F">
        <w:rPr>
          <w:rFonts w:eastAsia="Calibri"/>
          <w:szCs w:val="22"/>
          <w:u w:val="single"/>
        </w:rPr>
        <w:t>or by</w:t>
      </w:r>
    </w:p>
    <w:p w:rsidR="0080346F" w:rsidRPr="0080346F" w:rsidRDefault="0080346F" w:rsidP="000959DF">
      <w:pPr>
        <w:numPr>
          <w:ilvl w:val="1"/>
          <w:numId w:val="67"/>
        </w:numPr>
        <w:autoSpaceDE w:val="0"/>
        <w:autoSpaceDN w:val="0"/>
        <w:adjustRightInd w:val="0"/>
        <w:spacing w:line="240" w:lineRule="auto"/>
        <w:rPr>
          <w:rFonts w:eastAsia="Calibri"/>
          <w:szCs w:val="22"/>
        </w:rPr>
      </w:pPr>
      <w:r w:rsidRPr="0080346F">
        <w:rPr>
          <w:rFonts w:eastAsia="Calibri"/>
          <w:szCs w:val="22"/>
        </w:rPr>
        <w:t>Adjusting the ICER threshold which is considered cost-effective.</w:t>
      </w:r>
    </w:p>
    <w:p w:rsidR="0080346F" w:rsidRPr="0080346F" w:rsidRDefault="0080346F" w:rsidP="0080346F">
      <w:pPr>
        <w:ind w:left="720" w:firstLine="720"/>
      </w:pPr>
      <w:r w:rsidRPr="0080346F">
        <w:t xml:space="preserve">(a. and/or b. yield mathematically equivalent results. </w:t>
      </w:r>
      <w:r w:rsidR="00A130D0">
        <w:rPr>
          <w:noProof/>
        </w:rPr>
        <w:t>(</w:t>
      </w:r>
      <w:r w:rsidR="00184B6F">
        <w:rPr>
          <w:noProof/>
        </w:rPr>
        <w:t>Bobinac, A. et al. 2012</w:t>
      </w:r>
      <w:r w:rsidR="00A130D0">
        <w:rPr>
          <w:noProof/>
        </w:rPr>
        <w:t>)</w:t>
      </w:r>
    </w:p>
    <w:p w:rsidR="0080346F" w:rsidRPr="0080346F" w:rsidRDefault="0080346F" w:rsidP="0080346F">
      <w:pPr>
        <w:rPr>
          <w:rFonts w:asciiTheme="minorHAnsi" w:hAnsiTheme="minorHAnsi"/>
        </w:rPr>
      </w:pPr>
      <w:r w:rsidRPr="0080346F">
        <w:rPr>
          <w:rFonts w:asciiTheme="minorHAnsi" w:hAnsiTheme="minorHAnsi"/>
        </w:rPr>
        <w:t>Quantification of the relative value (importance) of the associated equity criteria can be undertaken using numerous methods. Approaches to determine equity weights include: elicitation of social preferences through various exercises (</w:t>
      </w:r>
      <w:r w:rsidR="006E536A">
        <w:rPr>
          <w:rFonts w:asciiTheme="minorHAnsi" w:hAnsiTheme="minorHAnsi"/>
        </w:rPr>
        <w:t>e.g.</w:t>
      </w:r>
      <w:r w:rsidRPr="0080346F">
        <w:rPr>
          <w:rFonts w:asciiTheme="minorHAnsi" w:hAnsiTheme="minorHAnsi"/>
        </w:rPr>
        <w:t xml:space="preserve"> willingness to pay, person trade-off, bi/multi-variate choice or conjoint analysis) </w:t>
      </w:r>
      <w:r w:rsidR="00A130D0">
        <w:rPr>
          <w:rFonts w:asciiTheme="minorHAnsi" w:hAnsiTheme="minorHAnsi"/>
          <w:noProof/>
        </w:rPr>
        <w:t>(</w:t>
      </w:r>
      <w:r w:rsidR="00184B6F">
        <w:rPr>
          <w:rFonts w:asciiTheme="minorHAnsi" w:hAnsiTheme="minorHAnsi"/>
          <w:noProof/>
        </w:rPr>
        <w:t>Bobinac, A. et al. 2012</w:t>
      </w:r>
      <w:r w:rsidR="00A130D0">
        <w:rPr>
          <w:rFonts w:asciiTheme="minorHAnsi" w:hAnsiTheme="minorHAnsi"/>
          <w:noProof/>
        </w:rPr>
        <w:t>)</w:t>
      </w:r>
      <w:r w:rsidRPr="0080346F">
        <w:rPr>
          <w:rFonts w:asciiTheme="minorHAnsi" w:hAnsiTheme="minorHAnsi"/>
        </w:rPr>
        <w:t xml:space="preserve">. Examples of mathematical techniques for transformation of the QALY (or ICER) on the basis of preferences have been published </w:t>
      </w:r>
      <w:r w:rsidRPr="0080346F">
        <w:rPr>
          <w:rFonts w:asciiTheme="minorHAnsi" w:hAnsiTheme="minorHAnsi"/>
          <w:noProof/>
        </w:rPr>
        <w:t>(</w:t>
      </w:r>
      <w:r w:rsidR="00184B6F" w:rsidRPr="0080346F">
        <w:rPr>
          <w:rFonts w:asciiTheme="minorHAnsi" w:hAnsiTheme="minorHAnsi"/>
          <w:noProof/>
        </w:rPr>
        <w:t>Bleichrodt, Diecidue &amp; Quiggin 2004</w:t>
      </w:r>
      <w:r w:rsidRPr="0080346F">
        <w:rPr>
          <w:rFonts w:asciiTheme="minorHAnsi" w:hAnsiTheme="minorHAnsi"/>
          <w:noProof/>
        </w:rPr>
        <w:t>)</w:t>
      </w:r>
      <w:r w:rsidRPr="0080346F">
        <w:rPr>
          <w:rFonts w:asciiTheme="minorHAnsi" w:hAnsiTheme="minorHAnsi"/>
        </w:rPr>
        <w:t xml:space="preserve"> </w:t>
      </w:r>
      <w:r w:rsidRPr="0080346F">
        <w:rPr>
          <w:rFonts w:asciiTheme="minorHAnsi" w:hAnsiTheme="minorHAnsi"/>
          <w:noProof/>
        </w:rPr>
        <w:t>(</w:t>
      </w:r>
      <w:r w:rsidR="00184B6F" w:rsidRPr="0080346F">
        <w:rPr>
          <w:rFonts w:asciiTheme="minorHAnsi" w:hAnsiTheme="minorHAnsi"/>
          <w:noProof/>
        </w:rPr>
        <w:t>Nord &amp; Johansen 2014</w:t>
      </w:r>
      <w:r w:rsidRPr="0080346F">
        <w:rPr>
          <w:rFonts w:asciiTheme="minorHAnsi" w:hAnsiTheme="minorHAnsi"/>
          <w:noProof/>
        </w:rPr>
        <w:t>)</w:t>
      </w:r>
      <w:r w:rsidRPr="0080346F">
        <w:rPr>
          <w:rFonts w:asciiTheme="minorHAnsi" w:hAnsiTheme="minorHAnsi"/>
        </w:rPr>
        <w:t xml:space="preserve">. Alternatively, multi-criteria decision analysis (MCDA) – discussed below as a method of obtaining an alternative value metric - can be used as a technique for determining equity weights </w:t>
      </w:r>
      <w:r w:rsidR="00A130D0">
        <w:rPr>
          <w:rFonts w:asciiTheme="minorHAnsi" w:hAnsiTheme="minorHAnsi"/>
          <w:noProof/>
        </w:rPr>
        <w:t>(</w:t>
      </w:r>
      <w:r w:rsidR="00184B6F">
        <w:rPr>
          <w:rFonts w:asciiTheme="minorHAnsi" w:hAnsiTheme="minorHAnsi"/>
          <w:noProof/>
        </w:rPr>
        <w:t>Bobinac, A. et al. 2012</w:t>
      </w:r>
      <w:r w:rsidR="00A130D0">
        <w:rPr>
          <w:rFonts w:asciiTheme="minorHAnsi" w:hAnsiTheme="minorHAnsi"/>
          <w:noProof/>
        </w:rPr>
        <w:t>)</w:t>
      </w:r>
      <w:r w:rsidRPr="0080346F">
        <w:rPr>
          <w:rFonts w:asciiTheme="minorHAnsi" w:hAnsiTheme="minorHAnsi"/>
        </w:rPr>
        <w:t xml:space="preserve">.  </w:t>
      </w:r>
    </w:p>
    <w:p w:rsidR="0080346F" w:rsidRPr="0080346F" w:rsidRDefault="0080346F" w:rsidP="0080346F">
      <w:pPr>
        <w:rPr>
          <w:rFonts w:asciiTheme="minorHAnsi" w:hAnsiTheme="minorHAnsi"/>
        </w:rPr>
      </w:pPr>
      <w:r w:rsidRPr="0080346F">
        <w:rPr>
          <w:rFonts w:asciiTheme="minorHAnsi" w:hAnsiTheme="minorHAnsi"/>
        </w:rPr>
        <w:t xml:space="preserve">Existing data on social preferences is available for some criteria but this has been shown to vary widely within and across populations.  Nord and Johansen (2014) state that the relationship between an equity criterion and a QALY or Willingness-To-Pay (WTP) weighting “needs to be determined through a careful procedure of value judgements by policy-makers”. They ultimately conclude that deciding the extent of the adjustment factor is a political choice </w:t>
      </w:r>
      <w:r w:rsidRPr="0080346F">
        <w:rPr>
          <w:rFonts w:asciiTheme="minorHAnsi" w:hAnsiTheme="minorHAnsi"/>
          <w:noProof/>
        </w:rPr>
        <w:t>(</w:t>
      </w:r>
      <w:r w:rsidR="00184B6F" w:rsidRPr="0080346F">
        <w:rPr>
          <w:rFonts w:asciiTheme="minorHAnsi" w:hAnsiTheme="minorHAnsi"/>
          <w:noProof/>
        </w:rPr>
        <w:t>Nord &amp; Johansen 2014</w:t>
      </w:r>
      <w:r w:rsidRPr="0080346F">
        <w:rPr>
          <w:rFonts w:asciiTheme="minorHAnsi" w:hAnsiTheme="minorHAnsi"/>
          <w:noProof/>
        </w:rPr>
        <w:t>)</w:t>
      </w:r>
      <w:r w:rsidRPr="0080346F">
        <w:rPr>
          <w:rFonts w:asciiTheme="minorHAnsi" w:hAnsiTheme="minorHAnsi"/>
        </w:rPr>
        <w:t>.</w:t>
      </w:r>
    </w:p>
    <w:p w:rsidR="0080346F" w:rsidRPr="0080346F" w:rsidRDefault="0080346F" w:rsidP="0080346F">
      <w:pPr>
        <w:rPr>
          <w:rFonts w:asciiTheme="minorHAnsi" w:hAnsiTheme="minorHAnsi"/>
        </w:rPr>
      </w:pPr>
      <w:r w:rsidRPr="0080346F">
        <w:rPr>
          <w:rFonts w:asciiTheme="minorHAnsi" w:hAnsiTheme="minorHAnsi"/>
        </w:rPr>
        <w:t xml:space="preserve">Application of an equity weighting to the cost-utility metric can be undertaken for a specific analysis. For example, by applying an equity weighting to the estimated QALY gain associated with the intervention being considered which would effectively reduce the ICER for that intervention. A broader policy application could be to adjust the threshold, considered to be acceptably cost-effective, that is applicable to any intervention where equity-weighting is justified. Mathematically these approaches yield identical results as the ICER is a direct function of the QALYs gained </w:t>
      </w:r>
      <w:r w:rsidR="00A130D0">
        <w:rPr>
          <w:rFonts w:asciiTheme="minorHAnsi" w:hAnsiTheme="minorHAnsi"/>
          <w:noProof/>
        </w:rPr>
        <w:t>(</w:t>
      </w:r>
      <w:r w:rsidR="00184B6F">
        <w:rPr>
          <w:rFonts w:asciiTheme="minorHAnsi" w:hAnsiTheme="minorHAnsi"/>
          <w:noProof/>
        </w:rPr>
        <w:t>Bobinac, A. et al. 2012</w:t>
      </w:r>
      <w:r w:rsidR="00A130D0">
        <w:rPr>
          <w:rFonts w:asciiTheme="minorHAnsi" w:hAnsiTheme="minorHAnsi"/>
          <w:noProof/>
        </w:rPr>
        <w:t>)</w:t>
      </w:r>
      <w:r w:rsidRPr="0080346F">
        <w:rPr>
          <w:rFonts w:asciiTheme="minorHAnsi" w:hAnsiTheme="minorHAnsi"/>
        </w:rPr>
        <w:t>.</w:t>
      </w:r>
    </w:p>
    <w:p w:rsidR="0080346F" w:rsidRPr="00D60032" w:rsidRDefault="0080346F" w:rsidP="00D60032">
      <w:pPr>
        <w:pStyle w:val="Heading2"/>
        <w:ind w:left="1985" w:hanging="708"/>
      </w:pPr>
      <w:bookmarkStart w:id="617" w:name="_Toc415141753"/>
      <w:bookmarkStart w:id="618" w:name="_Toc404937328"/>
      <w:bookmarkStart w:id="619" w:name="_Toc405152146"/>
      <w:r w:rsidRPr="0080346F">
        <w:lastRenderedPageBreak/>
        <w:t>Multi-Criteria Decision Analysis (MCDA)</w:t>
      </w:r>
      <w:bookmarkEnd w:id="617"/>
    </w:p>
    <w:p w:rsidR="0080346F" w:rsidRPr="0080346F" w:rsidRDefault="0080346F" w:rsidP="0080346F">
      <w:pPr>
        <w:rPr>
          <w:rFonts w:asciiTheme="minorHAnsi" w:hAnsiTheme="minorHAnsi"/>
        </w:rPr>
      </w:pPr>
      <w:r w:rsidRPr="0080346F">
        <w:rPr>
          <w:rFonts w:asciiTheme="minorHAnsi" w:hAnsiTheme="minorHAnsi"/>
        </w:rPr>
        <w:t xml:space="preserve">MCDA is a methodology in which decision-makers score and rank alternatives in a systematic manner, based on explicit criteria, to obtain a transparent decision </w:t>
      </w:r>
      <w:r w:rsidRPr="0080346F">
        <w:rPr>
          <w:rFonts w:asciiTheme="minorHAnsi" w:hAnsiTheme="minorHAnsi"/>
          <w:noProof/>
        </w:rPr>
        <w:t>(</w:t>
      </w:r>
      <w:r w:rsidR="00184B6F" w:rsidRPr="0080346F">
        <w:rPr>
          <w:rFonts w:asciiTheme="minorHAnsi" w:hAnsiTheme="minorHAnsi"/>
          <w:noProof/>
        </w:rPr>
        <w:t>Goetghebeur et al. 2012</w:t>
      </w:r>
      <w:r w:rsidRPr="0080346F">
        <w:rPr>
          <w:rFonts w:asciiTheme="minorHAnsi" w:hAnsiTheme="minorHAnsi"/>
          <w:noProof/>
        </w:rPr>
        <w:t>)</w:t>
      </w:r>
      <w:r w:rsidRPr="0080346F">
        <w:rPr>
          <w:rFonts w:asciiTheme="minorHAnsi" w:hAnsiTheme="minorHAnsi"/>
        </w:rPr>
        <w:t xml:space="preserve">. The philosophy of the approach is that the multiple criteria included in the assessment are grounded in substantive values (ethics) and collectively generate a holistic definition of ‘value’ </w:t>
      </w:r>
      <w:r w:rsidRPr="0080346F">
        <w:rPr>
          <w:rFonts w:asciiTheme="minorHAnsi" w:hAnsiTheme="minorHAnsi"/>
          <w:noProof/>
        </w:rPr>
        <w:t>(</w:t>
      </w:r>
      <w:r w:rsidR="00184B6F" w:rsidRPr="0080346F">
        <w:rPr>
          <w:rFonts w:asciiTheme="minorHAnsi" w:hAnsiTheme="minorHAnsi"/>
          <w:noProof/>
        </w:rPr>
        <w:t>Wagner 2014</w:t>
      </w:r>
      <w:r w:rsidRPr="0080346F">
        <w:rPr>
          <w:rFonts w:asciiTheme="minorHAnsi" w:hAnsiTheme="minorHAnsi"/>
          <w:noProof/>
        </w:rPr>
        <w:t>)</w:t>
      </w:r>
      <w:r w:rsidRPr="0080346F">
        <w:rPr>
          <w:rFonts w:asciiTheme="minorHAnsi" w:hAnsiTheme="minorHAnsi"/>
        </w:rPr>
        <w:t xml:space="preserve">. These criteria can include dimensions of value such as: burden of disease, socioeconomic parameters and other considerations relevant to society’s distributional preferences (including costs, effectiveness and other factors discussed under ‘equity-weighting’).  </w:t>
      </w:r>
    </w:p>
    <w:p w:rsidR="0080346F" w:rsidRPr="0080346F" w:rsidRDefault="0080346F" w:rsidP="0080346F">
      <w:pPr>
        <w:rPr>
          <w:rFonts w:asciiTheme="minorHAnsi" w:hAnsiTheme="minorHAnsi"/>
        </w:rPr>
      </w:pPr>
      <w:r w:rsidRPr="0080346F">
        <w:rPr>
          <w:rFonts w:asciiTheme="minorHAnsi" w:hAnsiTheme="minorHAnsi"/>
        </w:rPr>
        <w:t xml:space="preserve">The criterion may involve either quantitative and/or qualitative information, and there are various alternative ‘decision support methods’ which may be applied to construct the final MCDA model </w:t>
      </w:r>
      <w:r w:rsidRPr="0080346F">
        <w:rPr>
          <w:rFonts w:asciiTheme="minorHAnsi" w:hAnsiTheme="minorHAnsi"/>
          <w:noProof/>
        </w:rPr>
        <w:t>(</w:t>
      </w:r>
      <w:r w:rsidR="00184B6F" w:rsidRPr="0080346F">
        <w:rPr>
          <w:rFonts w:asciiTheme="minorHAnsi" w:hAnsiTheme="minorHAnsi"/>
          <w:noProof/>
        </w:rPr>
        <w:t>Diaby &amp; Goeree 2014</w:t>
      </w:r>
      <w:r w:rsidRPr="0080346F">
        <w:rPr>
          <w:rFonts w:asciiTheme="minorHAnsi" w:hAnsiTheme="minorHAnsi"/>
          <w:noProof/>
        </w:rPr>
        <w:t>)</w:t>
      </w:r>
      <w:r w:rsidRPr="0080346F">
        <w:rPr>
          <w:rFonts w:asciiTheme="minorHAnsi" w:hAnsiTheme="minorHAnsi"/>
        </w:rPr>
        <w:t>.</w:t>
      </w:r>
    </w:p>
    <w:p w:rsidR="0080346F" w:rsidRPr="0080346F" w:rsidRDefault="0080346F" w:rsidP="0080346F">
      <w:pPr>
        <w:rPr>
          <w:rFonts w:asciiTheme="minorHAnsi" w:hAnsiTheme="minorHAnsi"/>
        </w:rPr>
      </w:pPr>
      <w:r w:rsidRPr="0080346F">
        <w:rPr>
          <w:rFonts w:asciiTheme="minorHAnsi" w:hAnsiTheme="minorHAnsi"/>
        </w:rPr>
        <w:t xml:space="preserve">Simple MCDA methodology (summarised from </w:t>
      </w:r>
      <w:r w:rsidRPr="0080346F">
        <w:rPr>
          <w:rFonts w:asciiTheme="minorHAnsi" w:hAnsiTheme="minorHAnsi"/>
          <w:noProof/>
        </w:rPr>
        <w:t>(</w:t>
      </w:r>
      <w:r w:rsidR="00184B6F" w:rsidRPr="0080346F">
        <w:rPr>
          <w:rFonts w:asciiTheme="minorHAnsi" w:hAnsiTheme="minorHAnsi"/>
          <w:noProof/>
        </w:rPr>
        <w:t>Angelis &amp; Kanavos 2014</w:t>
      </w:r>
      <w:r w:rsidRPr="0080346F">
        <w:rPr>
          <w:rFonts w:asciiTheme="minorHAnsi" w:hAnsiTheme="minorHAnsi"/>
          <w:noProof/>
        </w:rPr>
        <w:t>)</w:t>
      </w:r>
      <w:r w:rsidRPr="0080346F">
        <w:rPr>
          <w:rFonts w:asciiTheme="minorHAnsi" w:hAnsiTheme="minorHAnsi"/>
        </w:rPr>
        <w:t xml:space="preserve">, </w:t>
      </w:r>
      <w:r w:rsidRPr="0080346F">
        <w:rPr>
          <w:rFonts w:asciiTheme="minorHAnsi" w:hAnsiTheme="minorHAnsi"/>
          <w:noProof/>
        </w:rPr>
        <w:t>(</w:t>
      </w:r>
      <w:r w:rsidR="00184B6F" w:rsidRPr="0080346F">
        <w:rPr>
          <w:rFonts w:asciiTheme="minorHAnsi" w:hAnsiTheme="minorHAnsi"/>
          <w:noProof/>
        </w:rPr>
        <w:t>Diaby &amp; Goeree 2014</w:t>
      </w:r>
      <w:r w:rsidRPr="0080346F">
        <w:rPr>
          <w:rFonts w:asciiTheme="minorHAnsi" w:hAnsiTheme="minorHAnsi"/>
          <w:noProof/>
        </w:rPr>
        <w:t>)</w:t>
      </w:r>
      <w:r w:rsidRPr="0080346F">
        <w:rPr>
          <w:rFonts w:asciiTheme="minorHAnsi" w:hAnsiTheme="minorHAnsi"/>
        </w:rPr>
        <w:t>) includes the following steps:</w:t>
      </w:r>
    </w:p>
    <w:p w:rsidR="0080346F" w:rsidRPr="0080346F" w:rsidRDefault="0080346F" w:rsidP="000959DF">
      <w:pPr>
        <w:numPr>
          <w:ilvl w:val="0"/>
          <w:numId w:val="68"/>
        </w:numPr>
        <w:autoSpaceDE w:val="0"/>
        <w:autoSpaceDN w:val="0"/>
        <w:adjustRightInd w:val="0"/>
        <w:spacing w:line="240" w:lineRule="auto"/>
        <w:rPr>
          <w:rFonts w:eastAsia="Calibri"/>
          <w:szCs w:val="22"/>
        </w:rPr>
      </w:pPr>
      <w:r w:rsidRPr="0080346F">
        <w:rPr>
          <w:rFonts w:eastAsia="Calibri"/>
          <w:szCs w:val="22"/>
        </w:rPr>
        <w:t>Define the decision context and the boundaries of the problem</w:t>
      </w:r>
    </w:p>
    <w:p w:rsidR="0080346F" w:rsidRPr="0080346F" w:rsidRDefault="0080346F" w:rsidP="000959DF">
      <w:pPr>
        <w:numPr>
          <w:ilvl w:val="0"/>
          <w:numId w:val="68"/>
        </w:numPr>
        <w:autoSpaceDE w:val="0"/>
        <w:autoSpaceDN w:val="0"/>
        <w:adjustRightInd w:val="0"/>
        <w:spacing w:line="240" w:lineRule="auto"/>
        <w:rPr>
          <w:rFonts w:eastAsia="Calibri"/>
          <w:szCs w:val="22"/>
        </w:rPr>
      </w:pPr>
      <w:r w:rsidRPr="0080346F">
        <w:rPr>
          <w:rFonts w:eastAsia="Calibri"/>
          <w:szCs w:val="22"/>
        </w:rPr>
        <w:t>Identify criteria and attributes against which alternatives will be compared</w:t>
      </w:r>
    </w:p>
    <w:p w:rsidR="0080346F" w:rsidRPr="0080346F" w:rsidRDefault="0080346F" w:rsidP="000959DF">
      <w:pPr>
        <w:numPr>
          <w:ilvl w:val="0"/>
          <w:numId w:val="68"/>
        </w:numPr>
        <w:autoSpaceDE w:val="0"/>
        <w:autoSpaceDN w:val="0"/>
        <w:adjustRightInd w:val="0"/>
        <w:spacing w:line="240" w:lineRule="auto"/>
        <w:rPr>
          <w:rFonts w:eastAsia="Calibri"/>
          <w:szCs w:val="22"/>
        </w:rPr>
      </w:pPr>
      <w:r w:rsidRPr="0080346F">
        <w:rPr>
          <w:rFonts w:eastAsia="Calibri"/>
          <w:szCs w:val="22"/>
        </w:rPr>
        <w:t>Identify alternatives</w:t>
      </w:r>
    </w:p>
    <w:p w:rsidR="0080346F" w:rsidRPr="0080346F" w:rsidRDefault="0080346F" w:rsidP="000959DF">
      <w:pPr>
        <w:numPr>
          <w:ilvl w:val="0"/>
          <w:numId w:val="68"/>
        </w:numPr>
        <w:autoSpaceDE w:val="0"/>
        <w:autoSpaceDN w:val="0"/>
        <w:adjustRightInd w:val="0"/>
        <w:spacing w:line="240" w:lineRule="auto"/>
        <w:rPr>
          <w:rFonts w:eastAsia="Calibri"/>
          <w:szCs w:val="22"/>
        </w:rPr>
      </w:pPr>
      <w:r w:rsidRPr="0080346F">
        <w:rPr>
          <w:rFonts w:eastAsia="Calibri"/>
          <w:szCs w:val="22"/>
        </w:rPr>
        <w:t>Score options (assessed against criteria)</w:t>
      </w:r>
    </w:p>
    <w:p w:rsidR="0080346F" w:rsidRPr="0080346F" w:rsidRDefault="0080346F" w:rsidP="000959DF">
      <w:pPr>
        <w:numPr>
          <w:ilvl w:val="0"/>
          <w:numId w:val="68"/>
        </w:numPr>
        <w:autoSpaceDE w:val="0"/>
        <w:autoSpaceDN w:val="0"/>
        <w:adjustRightInd w:val="0"/>
        <w:spacing w:line="240" w:lineRule="auto"/>
        <w:rPr>
          <w:rFonts w:eastAsia="Calibri"/>
          <w:szCs w:val="22"/>
        </w:rPr>
      </w:pPr>
      <w:r w:rsidRPr="0080346F">
        <w:rPr>
          <w:rFonts w:eastAsia="Calibri"/>
          <w:szCs w:val="22"/>
        </w:rPr>
        <w:t>Weight criteria to reflect relative importance</w:t>
      </w:r>
    </w:p>
    <w:p w:rsidR="0080346F" w:rsidRPr="0080346F" w:rsidRDefault="0080346F" w:rsidP="000959DF">
      <w:pPr>
        <w:numPr>
          <w:ilvl w:val="0"/>
          <w:numId w:val="68"/>
        </w:numPr>
        <w:autoSpaceDE w:val="0"/>
        <w:autoSpaceDN w:val="0"/>
        <w:adjustRightInd w:val="0"/>
        <w:spacing w:line="240" w:lineRule="auto"/>
        <w:rPr>
          <w:rFonts w:eastAsia="Calibri"/>
          <w:szCs w:val="22"/>
        </w:rPr>
      </w:pPr>
      <w:r w:rsidRPr="0080346F">
        <w:rPr>
          <w:rFonts w:eastAsia="Calibri"/>
          <w:szCs w:val="22"/>
        </w:rPr>
        <w:t>Aggregate scores and weights, and</w:t>
      </w:r>
    </w:p>
    <w:p w:rsidR="0080346F" w:rsidRPr="0080346F" w:rsidRDefault="0080346F" w:rsidP="000959DF">
      <w:pPr>
        <w:numPr>
          <w:ilvl w:val="0"/>
          <w:numId w:val="68"/>
        </w:numPr>
        <w:autoSpaceDE w:val="0"/>
        <w:autoSpaceDN w:val="0"/>
        <w:adjustRightInd w:val="0"/>
        <w:spacing w:line="240" w:lineRule="auto"/>
        <w:rPr>
          <w:rFonts w:eastAsia="Calibri"/>
          <w:szCs w:val="22"/>
        </w:rPr>
      </w:pPr>
      <w:r w:rsidRPr="0080346F">
        <w:rPr>
          <w:rFonts w:eastAsia="Calibri"/>
          <w:szCs w:val="22"/>
        </w:rPr>
        <w:t>Examine results and conduct sensitivity analyses.</w:t>
      </w:r>
    </w:p>
    <w:p w:rsidR="0080346F" w:rsidRPr="0080346F" w:rsidRDefault="0080346F" w:rsidP="0080346F">
      <w:pPr>
        <w:keepNext/>
        <w:keepLines/>
        <w:spacing w:before="240"/>
        <w:outlineLvl w:val="2"/>
        <w:rPr>
          <w:rFonts w:asciiTheme="majorHAnsi" w:hAnsiTheme="majorHAnsi" w:cs="Calibri"/>
          <w:bCs/>
          <w:color w:val="002060"/>
        </w:rPr>
      </w:pPr>
      <w:r w:rsidRPr="0080346F">
        <w:rPr>
          <w:rFonts w:asciiTheme="majorHAnsi" w:hAnsiTheme="majorHAnsi" w:cs="Calibri"/>
          <w:bCs/>
          <w:color w:val="002060"/>
        </w:rPr>
        <w:t>Criteria</w:t>
      </w:r>
    </w:p>
    <w:p w:rsidR="0080346F" w:rsidRPr="0080346F" w:rsidRDefault="0080346F" w:rsidP="0080346F">
      <w:pPr>
        <w:rPr>
          <w:rFonts w:asciiTheme="minorHAnsi" w:hAnsiTheme="minorHAnsi"/>
        </w:rPr>
      </w:pPr>
      <w:r w:rsidRPr="0080346F">
        <w:rPr>
          <w:rFonts w:asciiTheme="minorHAnsi" w:hAnsiTheme="minorHAnsi"/>
        </w:rPr>
        <w:t>Best-practice use of MCDA specifies that the decision-making criteria should include all</w:t>
      </w:r>
      <w:r w:rsidRPr="0080346F">
        <w:rPr>
          <w:rFonts w:asciiTheme="minorHAnsi" w:hAnsiTheme="minorHAnsi"/>
          <w:i/>
        </w:rPr>
        <w:t xml:space="preserve"> essential</w:t>
      </w:r>
      <w:r w:rsidRPr="0080346F">
        <w:rPr>
          <w:rFonts w:asciiTheme="minorHAnsi" w:hAnsiTheme="minorHAnsi"/>
        </w:rPr>
        <w:t xml:space="preserve"> aspects of the assessment and decision.  Further, the criteria should have certain properties; they need to </w:t>
      </w:r>
      <w:r w:rsidRPr="0080346F">
        <w:rPr>
          <w:rFonts w:asciiTheme="minorHAnsi" w:hAnsiTheme="minorHAnsi"/>
          <w:i/>
        </w:rPr>
        <w:t>understandable</w:t>
      </w:r>
      <w:r w:rsidRPr="0080346F">
        <w:rPr>
          <w:rFonts w:asciiTheme="minorHAnsi" w:hAnsiTheme="minorHAnsi"/>
        </w:rPr>
        <w:t xml:space="preserve"> to all participants; a </w:t>
      </w:r>
      <w:r w:rsidRPr="0080346F">
        <w:rPr>
          <w:rFonts w:asciiTheme="minorHAnsi" w:hAnsiTheme="minorHAnsi"/>
          <w:i/>
        </w:rPr>
        <w:t>measurable</w:t>
      </w:r>
      <w:r w:rsidRPr="0080346F">
        <w:rPr>
          <w:rFonts w:asciiTheme="minorHAnsi" w:hAnsiTheme="minorHAnsi"/>
        </w:rPr>
        <w:t xml:space="preserve"> performance of the alternatives against the criteria needs to be possible; criteria should be </w:t>
      </w:r>
      <w:r w:rsidRPr="0080346F">
        <w:rPr>
          <w:rFonts w:asciiTheme="minorHAnsi" w:hAnsiTheme="minorHAnsi"/>
          <w:i/>
        </w:rPr>
        <w:t>non-redundant</w:t>
      </w:r>
      <w:r w:rsidRPr="0080346F">
        <w:rPr>
          <w:rFonts w:asciiTheme="minorHAnsi" w:hAnsiTheme="minorHAnsi"/>
        </w:rPr>
        <w:t xml:space="preserve"> (i.e. with no overlap between other criteria), </w:t>
      </w:r>
      <w:r w:rsidRPr="0080346F">
        <w:rPr>
          <w:rFonts w:asciiTheme="minorHAnsi" w:hAnsiTheme="minorHAnsi"/>
          <w:i/>
        </w:rPr>
        <w:t>independent</w:t>
      </w:r>
      <w:r w:rsidRPr="0080346F">
        <w:rPr>
          <w:rFonts w:asciiTheme="minorHAnsi" w:hAnsiTheme="minorHAnsi"/>
        </w:rPr>
        <w:t xml:space="preserve"> of other criteria (i.e. preferences orderings for each criteria should not depend on performance of other criteria) and </w:t>
      </w:r>
      <w:r w:rsidRPr="0080346F">
        <w:rPr>
          <w:rFonts w:asciiTheme="minorHAnsi" w:hAnsiTheme="minorHAnsi"/>
          <w:i/>
        </w:rPr>
        <w:t>concise</w:t>
      </w:r>
      <w:r w:rsidRPr="0080346F">
        <w:rPr>
          <w:rFonts w:asciiTheme="minorHAnsi" w:hAnsiTheme="minorHAnsi"/>
        </w:rPr>
        <w:t xml:space="preserve"> (</w:t>
      </w:r>
      <w:r w:rsidRPr="0080346F">
        <w:rPr>
          <w:rFonts w:asciiTheme="minorHAnsi" w:hAnsiTheme="minorHAnsi"/>
          <w:noProof/>
        </w:rPr>
        <w:t>(</w:t>
      </w:r>
      <w:r w:rsidR="00184B6F" w:rsidRPr="0080346F">
        <w:rPr>
          <w:rFonts w:asciiTheme="minorHAnsi" w:hAnsiTheme="minorHAnsi"/>
          <w:noProof/>
        </w:rPr>
        <w:t>Goetghebeur et al. 2008</w:t>
      </w:r>
      <w:r w:rsidRPr="0080346F">
        <w:rPr>
          <w:rFonts w:asciiTheme="minorHAnsi" w:hAnsiTheme="minorHAnsi"/>
          <w:noProof/>
        </w:rPr>
        <w:t>)</w:t>
      </w:r>
      <w:r w:rsidRPr="0080346F">
        <w:rPr>
          <w:rFonts w:asciiTheme="minorHAnsi" w:hAnsiTheme="minorHAnsi"/>
        </w:rPr>
        <w:t xml:space="preserve"> </w:t>
      </w:r>
      <w:r w:rsidRPr="0080346F">
        <w:rPr>
          <w:rFonts w:asciiTheme="minorHAnsi" w:hAnsiTheme="minorHAnsi"/>
          <w:noProof/>
        </w:rPr>
        <w:t>(</w:t>
      </w:r>
      <w:r w:rsidR="00184B6F" w:rsidRPr="0080346F">
        <w:rPr>
          <w:rFonts w:asciiTheme="minorHAnsi" w:hAnsiTheme="minorHAnsi"/>
          <w:noProof/>
        </w:rPr>
        <w:t>Angelis &amp; Kanavos 2014</w:t>
      </w:r>
      <w:r w:rsidRPr="0080346F">
        <w:rPr>
          <w:rFonts w:asciiTheme="minorHAnsi" w:hAnsiTheme="minorHAnsi"/>
          <w:noProof/>
        </w:rPr>
        <w:t>)</w:t>
      </w:r>
      <w:r w:rsidRPr="0080346F">
        <w:rPr>
          <w:rFonts w:asciiTheme="minorHAnsi" w:hAnsiTheme="minorHAnsi"/>
        </w:rPr>
        <w:t xml:space="preserve">). The selected criteria can be arranged in levels with broader top-level criteria being broken down into sub-criteria for scoring or weighting purposes, as required.  </w:t>
      </w:r>
    </w:p>
    <w:p w:rsidR="0080346F" w:rsidRPr="0080346F" w:rsidRDefault="0080346F" w:rsidP="0080346F">
      <w:pPr>
        <w:rPr>
          <w:rFonts w:asciiTheme="minorHAnsi" w:hAnsiTheme="minorHAnsi"/>
        </w:rPr>
      </w:pPr>
      <w:r w:rsidRPr="0080346F">
        <w:rPr>
          <w:rFonts w:asciiTheme="minorHAnsi" w:hAnsiTheme="minorHAnsi"/>
        </w:rPr>
        <w:t xml:space="preserve">MCDA frameworks that detail criteria for health technology assessments </w:t>
      </w:r>
      <w:proofErr w:type="gramStart"/>
      <w:r w:rsidRPr="0080346F">
        <w:rPr>
          <w:rFonts w:asciiTheme="minorHAnsi" w:hAnsiTheme="minorHAnsi"/>
        </w:rPr>
        <w:t>of  drugs</w:t>
      </w:r>
      <w:proofErr w:type="gramEnd"/>
      <w:r w:rsidRPr="0080346F">
        <w:rPr>
          <w:rFonts w:asciiTheme="minorHAnsi" w:hAnsiTheme="minorHAnsi"/>
        </w:rPr>
        <w:t xml:space="preserve"> include: EVIDEM, a Canadian developed model </w:t>
      </w:r>
      <w:r w:rsidRPr="0080346F">
        <w:rPr>
          <w:rFonts w:asciiTheme="minorHAnsi" w:hAnsiTheme="minorHAnsi"/>
          <w:noProof/>
        </w:rPr>
        <w:t>(</w:t>
      </w:r>
      <w:r w:rsidR="00184B6F" w:rsidRPr="0080346F">
        <w:rPr>
          <w:rFonts w:asciiTheme="minorHAnsi" w:hAnsiTheme="minorHAnsi"/>
          <w:noProof/>
        </w:rPr>
        <w:t>Goetghebeur et al. 2008</w:t>
      </w:r>
      <w:r w:rsidRPr="0080346F">
        <w:rPr>
          <w:rFonts w:asciiTheme="minorHAnsi" w:hAnsiTheme="minorHAnsi"/>
          <w:noProof/>
        </w:rPr>
        <w:t>)</w:t>
      </w:r>
      <w:r>
        <w:rPr>
          <w:rFonts w:asciiTheme="minorHAnsi" w:hAnsiTheme="minorHAnsi"/>
        </w:rPr>
        <w:t xml:space="preserve"> </w:t>
      </w:r>
      <w:r w:rsidRPr="0080346F">
        <w:rPr>
          <w:rFonts w:asciiTheme="minorHAnsi" w:hAnsiTheme="minorHAnsi"/>
        </w:rPr>
        <w:t xml:space="preserve">and other multi-attribute scoring tools developed in Malaysia </w:t>
      </w:r>
      <w:r w:rsidRPr="0080346F">
        <w:rPr>
          <w:rFonts w:asciiTheme="minorHAnsi" w:hAnsiTheme="minorHAnsi"/>
          <w:noProof/>
        </w:rPr>
        <w:t>(</w:t>
      </w:r>
      <w:r w:rsidR="00184B6F" w:rsidRPr="0080346F">
        <w:rPr>
          <w:rFonts w:asciiTheme="minorHAnsi" w:hAnsiTheme="minorHAnsi"/>
          <w:noProof/>
        </w:rPr>
        <w:t>Ramli et al. 2013</w:t>
      </w:r>
      <w:r w:rsidRPr="0080346F">
        <w:rPr>
          <w:rFonts w:asciiTheme="minorHAnsi" w:hAnsiTheme="minorHAnsi"/>
          <w:noProof/>
        </w:rPr>
        <w:t>)</w:t>
      </w:r>
      <w:r w:rsidRPr="0080346F">
        <w:rPr>
          <w:rFonts w:asciiTheme="minorHAnsi" w:hAnsiTheme="minorHAnsi"/>
        </w:rPr>
        <w:t xml:space="preserve"> and Thailand </w:t>
      </w:r>
      <w:r w:rsidRPr="0080346F">
        <w:rPr>
          <w:rFonts w:asciiTheme="minorHAnsi" w:hAnsiTheme="minorHAnsi"/>
          <w:noProof/>
        </w:rPr>
        <w:t>(</w:t>
      </w:r>
      <w:r w:rsidR="00184B6F" w:rsidRPr="0080346F">
        <w:rPr>
          <w:rFonts w:asciiTheme="minorHAnsi" w:hAnsiTheme="minorHAnsi"/>
          <w:noProof/>
        </w:rPr>
        <w:t>Youngkong et al. 2012</w:t>
      </w:r>
      <w:r w:rsidRPr="0080346F">
        <w:rPr>
          <w:rFonts w:asciiTheme="minorHAnsi" w:hAnsiTheme="minorHAnsi"/>
          <w:noProof/>
        </w:rPr>
        <w:t>)</w:t>
      </w:r>
      <w:r w:rsidRPr="0080346F">
        <w:rPr>
          <w:rFonts w:asciiTheme="minorHAnsi" w:hAnsiTheme="minorHAnsi"/>
        </w:rPr>
        <w:t xml:space="preserve">. </w:t>
      </w:r>
      <w:r>
        <w:rPr>
          <w:rFonts w:asciiTheme="minorHAnsi" w:hAnsiTheme="minorHAnsi"/>
        </w:rPr>
        <w:t xml:space="preserve">Potentially the HTA framework </w:t>
      </w:r>
      <w:r w:rsidRPr="0080346F">
        <w:rPr>
          <w:rFonts w:asciiTheme="minorHAnsi" w:hAnsiTheme="minorHAnsi"/>
        </w:rPr>
        <w:t xml:space="preserve">developed by a collaboration of European HTA organisations </w:t>
      </w:r>
      <w:r w:rsidRPr="0080346F">
        <w:rPr>
          <w:rFonts w:asciiTheme="minorHAnsi" w:hAnsiTheme="minorHAnsi"/>
          <w:noProof/>
        </w:rPr>
        <w:t>(</w:t>
      </w:r>
      <w:r w:rsidR="00184B6F" w:rsidRPr="0080346F">
        <w:rPr>
          <w:rFonts w:asciiTheme="minorHAnsi" w:hAnsiTheme="minorHAnsi"/>
          <w:noProof/>
        </w:rPr>
        <w:t>EUnetHTA 2013</w:t>
      </w:r>
      <w:r w:rsidRPr="0080346F">
        <w:rPr>
          <w:rFonts w:asciiTheme="minorHAnsi" w:hAnsiTheme="minorHAnsi"/>
          <w:noProof/>
        </w:rPr>
        <w:t>)</w:t>
      </w:r>
      <w:r w:rsidRPr="0080346F">
        <w:rPr>
          <w:rFonts w:asciiTheme="minorHAnsi" w:hAnsiTheme="minorHAnsi"/>
        </w:rPr>
        <w:t xml:space="preserve"> </w:t>
      </w:r>
      <w:r>
        <w:rPr>
          <w:rFonts w:asciiTheme="minorHAnsi" w:hAnsiTheme="minorHAnsi"/>
        </w:rPr>
        <w:t xml:space="preserve">could be applied to MCDA. </w:t>
      </w:r>
      <w:r w:rsidRPr="0080346F">
        <w:rPr>
          <w:rFonts w:asciiTheme="minorHAnsi" w:hAnsiTheme="minorHAnsi"/>
        </w:rPr>
        <w:t xml:space="preserve">The broad domains of evidence criteria included in these published </w:t>
      </w:r>
      <w:r>
        <w:rPr>
          <w:rFonts w:asciiTheme="minorHAnsi" w:hAnsiTheme="minorHAnsi"/>
        </w:rPr>
        <w:t xml:space="preserve">or proposed </w:t>
      </w:r>
      <w:r w:rsidRPr="0080346F">
        <w:rPr>
          <w:rFonts w:asciiTheme="minorHAnsi" w:hAnsiTheme="minorHAnsi"/>
        </w:rPr>
        <w:t xml:space="preserve">HTA MCDA frameworks are given in </w:t>
      </w:r>
      <w:r w:rsidR="00A72B26" w:rsidRPr="00A72B26">
        <w:rPr>
          <w:rFonts w:asciiTheme="minorHAnsi" w:hAnsiTheme="minorHAnsi"/>
        </w:rPr>
        <w:t>Table 140</w:t>
      </w:r>
      <w:r w:rsidR="00F8590C">
        <w:rPr>
          <w:rFonts w:asciiTheme="minorHAnsi" w:hAnsiTheme="minorHAnsi"/>
        </w:rPr>
        <w:t>.</w:t>
      </w:r>
    </w:p>
    <w:p w:rsidR="0080346F" w:rsidRPr="0080346F" w:rsidRDefault="0080346F" w:rsidP="00F96CAD">
      <w:pPr>
        <w:pStyle w:val="Caption"/>
        <w:keepNext/>
        <w:tabs>
          <w:tab w:val="clear" w:pos="851"/>
          <w:tab w:val="left" w:pos="1276"/>
        </w:tabs>
        <w:ind w:left="1276" w:hanging="1276"/>
      </w:pPr>
      <w:bookmarkStart w:id="620" w:name="_Ref405841099"/>
      <w:bookmarkStart w:id="621" w:name="_Toc411510503"/>
      <w:bookmarkStart w:id="622" w:name="_Toc415141937"/>
      <w:r w:rsidRPr="0080346F">
        <w:lastRenderedPageBreak/>
        <w:t xml:space="preserve">Table </w:t>
      </w:r>
      <w:r w:rsidR="00A72B26">
        <w:rPr>
          <w:noProof/>
        </w:rPr>
        <w:t>140</w:t>
      </w:r>
      <w:bookmarkEnd w:id="620"/>
      <w:r w:rsidRPr="0080346F">
        <w:tab/>
        <w:t>Example of different domains included in published MCDA applicable to drug evaluations.</w:t>
      </w:r>
      <w:bookmarkEnd w:id="621"/>
      <w:bookmarkEnd w:id="622"/>
    </w:p>
    <w:tbl>
      <w:tblPr>
        <w:tblStyle w:val="TableGrid"/>
        <w:tblW w:w="4966" w:type="pct"/>
        <w:tblInd w:w="1" w:type="dxa"/>
        <w:tblCellMar>
          <w:left w:w="57" w:type="dxa"/>
          <w:right w:w="57" w:type="dxa"/>
        </w:tblCellMar>
        <w:tblLook w:val="04A0" w:firstRow="1" w:lastRow="0" w:firstColumn="1" w:lastColumn="0" w:noHBand="0" w:noVBand="1"/>
        <w:tblCaption w:val="Table 105 Example of different domains included in published MCDA applicable to drug evaluations."/>
      </w:tblPr>
      <w:tblGrid>
        <w:gridCol w:w="2351"/>
        <w:gridCol w:w="2353"/>
        <w:gridCol w:w="2353"/>
        <w:gridCol w:w="2353"/>
      </w:tblGrid>
      <w:tr w:rsidR="0080346F" w:rsidRPr="0080346F" w:rsidTr="0080346F">
        <w:trPr>
          <w:trHeight w:val="560"/>
          <w:tblHeader/>
        </w:trPr>
        <w:tc>
          <w:tcPr>
            <w:tcW w:w="1249" w:type="pct"/>
            <w:tcBorders>
              <w:bottom w:val="single" w:sz="4" w:space="0" w:color="auto"/>
            </w:tcBorders>
          </w:tcPr>
          <w:p w:rsidR="0080346F" w:rsidRPr="0080346F" w:rsidRDefault="0080346F" w:rsidP="00184B6F">
            <w:pPr>
              <w:keepNext/>
              <w:spacing w:before="40" w:after="40"/>
              <w:jc w:val="left"/>
              <w:rPr>
                <w:rFonts w:ascii="Arial Narrow" w:hAnsi="Arial Narrow"/>
                <w:b/>
                <w:sz w:val="20"/>
                <w:szCs w:val="20"/>
                <w:lang w:eastAsia="en-AU"/>
              </w:rPr>
            </w:pPr>
            <w:r w:rsidRPr="0080346F">
              <w:rPr>
                <w:rFonts w:ascii="Arial Narrow" w:hAnsi="Arial Narrow"/>
                <w:b/>
                <w:sz w:val="20"/>
                <w:szCs w:val="20"/>
                <w:lang w:eastAsia="en-AU"/>
              </w:rPr>
              <w:t xml:space="preserve">EVIDEM </w:t>
            </w:r>
            <w:r w:rsidRPr="0080346F">
              <w:rPr>
                <w:rFonts w:ascii="Arial Narrow" w:hAnsi="Arial Narrow"/>
                <w:b/>
                <w:noProof/>
                <w:sz w:val="20"/>
                <w:szCs w:val="20"/>
                <w:lang w:eastAsia="en-AU"/>
              </w:rPr>
              <w:t>(</w:t>
            </w:r>
            <w:r w:rsidR="00184B6F" w:rsidRPr="0080346F">
              <w:rPr>
                <w:rFonts w:ascii="Arial Narrow" w:hAnsi="Arial Narrow"/>
                <w:b/>
                <w:noProof/>
                <w:sz w:val="20"/>
                <w:szCs w:val="20"/>
                <w:lang w:eastAsia="en-AU"/>
              </w:rPr>
              <w:t>Goetghebeur et al. 2008</w:t>
            </w:r>
            <w:r w:rsidRPr="0080346F">
              <w:rPr>
                <w:rFonts w:ascii="Arial Narrow" w:hAnsi="Arial Narrow"/>
                <w:b/>
                <w:noProof/>
                <w:sz w:val="20"/>
                <w:szCs w:val="20"/>
                <w:lang w:eastAsia="en-AU"/>
              </w:rPr>
              <w:t>)</w:t>
            </w:r>
          </w:p>
        </w:tc>
        <w:tc>
          <w:tcPr>
            <w:tcW w:w="1250" w:type="pct"/>
          </w:tcPr>
          <w:p w:rsidR="0080346F" w:rsidRPr="0080346F" w:rsidRDefault="0080346F" w:rsidP="0080346F">
            <w:pPr>
              <w:keepNext/>
              <w:spacing w:before="40" w:after="40"/>
              <w:jc w:val="left"/>
              <w:rPr>
                <w:rFonts w:ascii="Arial Narrow" w:hAnsi="Arial Narrow"/>
                <w:b/>
                <w:sz w:val="20"/>
                <w:szCs w:val="20"/>
                <w:lang w:eastAsia="en-AU"/>
              </w:rPr>
            </w:pPr>
            <w:r w:rsidRPr="0080346F">
              <w:rPr>
                <w:rFonts w:ascii="Arial Narrow" w:hAnsi="Arial Narrow"/>
                <w:b/>
                <w:sz w:val="20"/>
                <w:szCs w:val="20"/>
                <w:lang w:eastAsia="en-AU"/>
              </w:rPr>
              <w:t>EUnetHTA Core Model</w:t>
            </w:r>
          </w:p>
          <w:p w:rsidR="0080346F" w:rsidRPr="0080346F" w:rsidRDefault="0080346F" w:rsidP="00184B6F">
            <w:pPr>
              <w:keepNext/>
              <w:spacing w:before="40" w:after="40"/>
              <w:jc w:val="left"/>
              <w:rPr>
                <w:rFonts w:ascii="Arial Narrow" w:hAnsi="Arial Narrow"/>
                <w:b/>
                <w:sz w:val="20"/>
                <w:szCs w:val="20"/>
                <w:lang w:eastAsia="en-AU"/>
              </w:rPr>
            </w:pPr>
            <w:r w:rsidRPr="0080346F">
              <w:rPr>
                <w:rFonts w:ascii="Arial Narrow" w:hAnsi="Arial Narrow"/>
                <w:b/>
                <w:noProof/>
                <w:sz w:val="20"/>
                <w:szCs w:val="20"/>
                <w:lang w:eastAsia="en-AU"/>
              </w:rPr>
              <w:t>(</w:t>
            </w:r>
            <w:r w:rsidR="00184B6F" w:rsidRPr="0080346F">
              <w:rPr>
                <w:rFonts w:ascii="Arial Narrow" w:hAnsi="Arial Narrow"/>
                <w:b/>
                <w:noProof/>
                <w:sz w:val="20"/>
                <w:szCs w:val="20"/>
                <w:lang w:eastAsia="en-AU"/>
              </w:rPr>
              <w:t>EUnetHTA 2013</w:t>
            </w:r>
            <w:r w:rsidRPr="0080346F">
              <w:rPr>
                <w:rFonts w:ascii="Arial Narrow" w:hAnsi="Arial Narrow"/>
                <w:b/>
                <w:noProof/>
                <w:sz w:val="20"/>
                <w:szCs w:val="20"/>
                <w:lang w:eastAsia="en-AU"/>
              </w:rPr>
              <w:t>)</w:t>
            </w:r>
          </w:p>
        </w:tc>
        <w:tc>
          <w:tcPr>
            <w:tcW w:w="1250" w:type="pct"/>
          </w:tcPr>
          <w:p w:rsidR="0080346F" w:rsidRPr="0080346F" w:rsidRDefault="0080346F" w:rsidP="00184B6F">
            <w:pPr>
              <w:keepNext/>
              <w:spacing w:before="40" w:after="40"/>
              <w:jc w:val="left"/>
              <w:rPr>
                <w:rFonts w:ascii="Arial Narrow" w:hAnsi="Arial Narrow"/>
                <w:b/>
                <w:sz w:val="20"/>
                <w:szCs w:val="20"/>
                <w:lang w:eastAsia="en-AU"/>
              </w:rPr>
            </w:pPr>
            <w:r w:rsidRPr="0080346F">
              <w:rPr>
                <w:rFonts w:ascii="Arial Narrow" w:hAnsi="Arial Narrow" w:cs="Arial"/>
                <w:b/>
                <w:noProof/>
                <w:sz w:val="20"/>
                <w:szCs w:val="20"/>
                <w:lang w:eastAsia="en-AU"/>
              </w:rPr>
              <w:t>(</w:t>
            </w:r>
            <w:r w:rsidR="00184B6F" w:rsidRPr="0080346F">
              <w:rPr>
                <w:rFonts w:ascii="Arial Narrow" w:hAnsi="Arial Narrow" w:cs="Arial"/>
                <w:b/>
                <w:noProof/>
                <w:sz w:val="20"/>
                <w:szCs w:val="20"/>
                <w:lang w:eastAsia="en-AU"/>
              </w:rPr>
              <w:t>Ramli et al. 2013</w:t>
            </w:r>
            <w:r w:rsidRPr="0080346F">
              <w:rPr>
                <w:rFonts w:ascii="Arial Narrow" w:hAnsi="Arial Narrow" w:cs="Arial"/>
                <w:b/>
                <w:noProof/>
                <w:sz w:val="20"/>
                <w:szCs w:val="20"/>
                <w:lang w:eastAsia="en-AU"/>
              </w:rPr>
              <w:t>)</w:t>
            </w:r>
          </w:p>
        </w:tc>
        <w:tc>
          <w:tcPr>
            <w:tcW w:w="1250" w:type="pct"/>
          </w:tcPr>
          <w:p w:rsidR="0080346F" w:rsidRPr="0080346F" w:rsidRDefault="0080346F" w:rsidP="00184B6F">
            <w:pPr>
              <w:keepNext/>
              <w:spacing w:before="40" w:after="40"/>
              <w:jc w:val="left"/>
              <w:rPr>
                <w:rFonts w:ascii="Arial Narrow" w:hAnsi="Arial Narrow"/>
                <w:b/>
                <w:sz w:val="20"/>
                <w:szCs w:val="20"/>
                <w:lang w:eastAsia="en-AU"/>
              </w:rPr>
            </w:pPr>
            <w:r w:rsidRPr="0080346F">
              <w:rPr>
                <w:rFonts w:ascii="Arial Narrow" w:hAnsi="Arial Narrow"/>
                <w:b/>
                <w:noProof/>
                <w:sz w:val="20"/>
                <w:szCs w:val="20"/>
                <w:lang w:eastAsia="en-AU"/>
              </w:rPr>
              <w:t>(</w:t>
            </w:r>
            <w:r w:rsidR="00184B6F" w:rsidRPr="0080346F">
              <w:rPr>
                <w:rFonts w:ascii="Arial Narrow" w:hAnsi="Arial Narrow"/>
                <w:b/>
                <w:noProof/>
                <w:sz w:val="20"/>
                <w:szCs w:val="20"/>
                <w:lang w:eastAsia="en-AU"/>
              </w:rPr>
              <w:t>Youngkong et al. 2012</w:t>
            </w:r>
            <w:r w:rsidRPr="0080346F">
              <w:rPr>
                <w:rFonts w:ascii="Arial Narrow" w:hAnsi="Arial Narrow"/>
                <w:b/>
                <w:noProof/>
                <w:sz w:val="20"/>
                <w:szCs w:val="20"/>
                <w:lang w:eastAsia="en-AU"/>
              </w:rPr>
              <w:t>)</w:t>
            </w:r>
          </w:p>
        </w:tc>
      </w:tr>
      <w:tr w:rsidR="0080346F" w:rsidRPr="0080346F" w:rsidTr="0080346F">
        <w:trPr>
          <w:trHeight w:val="2108"/>
        </w:trPr>
        <w:tc>
          <w:tcPr>
            <w:tcW w:w="1249" w:type="pct"/>
            <w:tcBorders>
              <w:top w:val="single" w:sz="4" w:space="0" w:color="auto"/>
              <w:bottom w:val="single" w:sz="4" w:space="0" w:color="auto"/>
            </w:tcBorders>
          </w:tcPr>
          <w:p w:rsidR="0080346F" w:rsidRPr="0080346F" w:rsidRDefault="0080346F" w:rsidP="000959DF">
            <w:pPr>
              <w:keepNext/>
              <w:numPr>
                <w:ilvl w:val="0"/>
                <w:numId w:val="69"/>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Disease Information</w:t>
            </w:r>
          </w:p>
          <w:p w:rsidR="0080346F" w:rsidRPr="0080346F" w:rsidRDefault="0080346F" w:rsidP="000959DF">
            <w:pPr>
              <w:keepNext/>
              <w:numPr>
                <w:ilvl w:val="0"/>
                <w:numId w:val="69"/>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Epidemiology</w:t>
            </w:r>
          </w:p>
          <w:p w:rsidR="0080346F" w:rsidRPr="0080346F" w:rsidRDefault="0080346F" w:rsidP="000959DF">
            <w:pPr>
              <w:keepNext/>
              <w:numPr>
                <w:ilvl w:val="0"/>
                <w:numId w:val="69"/>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Treatment patterns and guidelines</w:t>
            </w:r>
          </w:p>
          <w:p w:rsidR="0080346F" w:rsidRPr="0080346F" w:rsidRDefault="0080346F" w:rsidP="000959DF">
            <w:pPr>
              <w:keepNext/>
              <w:numPr>
                <w:ilvl w:val="0"/>
                <w:numId w:val="69"/>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Impact of intervention on therapy</w:t>
            </w:r>
          </w:p>
          <w:p w:rsidR="0080346F" w:rsidRPr="0080346F" w:rsidRDefault="0080346F" w:rsidP="000959DF">
            <w:pPr>
              <w:keepNext/>
              <w:numPr>
                <w:ilvl w:val="0"/>
                <w:numId w:val="69"/>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 xml:space="preserve">Characteristics of intervention </w:t>
            </w:r>
          </w:p>
          <w:p w:rsidR="0080346F" w:rsidRPr="0080346F" w:rsidRDefault="0080346F" w:rsidP="000959DF">
            <w:pPr>
              <w:keepNext/>
              <w:numPr>
                <w:ilvl w:val="0"/>
                <w:numId w:val="69"/>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Clinical data</w:t>
            </w:r>
          </w:p>
          <w:p w:rsidR="0080346F" w:rsidRPr="0080346F" w:rsidRDefault="0080346F" w:rsidP="000959DF">
            <w:pPr>
              <w:keepNext/>
              <w:numPr>
                <w:ilvl w:val="0"/>
                <w:numId w:val="69"/>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Effectiveness data</w:t>
            </w:r>
          </w:p>
          <w:p w:rsidR="0080346F" w:rsidRPr="0080346F" w:rsidRDefault="0080346F" w:rsidP="000959DF">
            <w:pPr>
              <w:keepNext/>
              <w:numPr>
                <w:ilvl w:val="0"/>
                <w:numId w:val="69"/>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Patient reported outcomes</w:t>
            </w:r>
          </w:p>
          <w:p w:rsidR="0080346F" w:rsidRPr="0080346F" w:rsidRDefault="0080346F" w:rsidP="000959DF">
            <w:pPr>
              <w:keepNext/>
              <w:numPr>
                <w:ilvl w:val="0"/>
                <w:numId w:val="69"/>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Comparator data</w:t>
            </w:r>
          </w:p>
          <w:p w:rsidR="0080346F" w:rsidRPr="0080346F" w:rsidRDefault="0080346F" w:rsidP="000959DF">
            <w:pPr>
              <w:keepNext/>
              <w:numPr>
                <w:ilvl w:val="0"/>
                <w:numId w:val="69"/>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Price information/ justification</w:t>
            </w:r>
          </w:p>
          <w:p w:rsidR="0080346F" w:rsidRPr="0080346F" w:rsidRDefault="0080346F" w:rsidP="000959DF">
            <w:pPr>
              <w:keepNext/>
              <w:numPr>
                <w:ilvl w:val="0"/>
                <w:numId w:val="69"/>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Economic evaluation</w:t>
            </w:r>
          </w:p>
          <w:p w:rsidR="0080346F" w:rsidRPr="0080346F" w:rsidRDefault="0080346F" w:rsidP="000959DF">
            <w:pPr>
              <w:keepNext/>
              <w:numPr>
                <w:ilvl w:val="0"/>
                <w:numId w:val="69"/>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Budget Impact</w:t>
            </w:r>
          </w:p>
        </w:tc>
        <w:tc>
          <w:tcPr>
            <w:tcW w:w="1250" w:type="pct"/>
            <w:tcBorders>
              <w:bottom w:val="single" w:sz="4" w:space="0" w:color="000000"/>
            </w:tcBorders>
          </w:tcPr>
          <w:p w:rsidR="0080346F" w:rsidRPr="0080346F" w:rsidRDefault="0080346F" w:rsidP="000959DF">
            <w:pPr>
              <w:keepNext/>
              <w:numPr>
                <w:ilvl w:val="0"/>
                <w:numId w:val="70"/>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Health problem and current use of technology</w:t>
            </w:r>
          </w:p>
          <w:p w:rsidR="0080346F" w:rsidRPr="0080346F" w:rsidRDefault="0080346F" w:rsidP="000959DF">
            <w:pPr>
              <w:keepNext/>
              <w:numPr>
                <w:ilvl w:val="0"/>
                <w:numId w:val="70"/>
              </w:numPr>
              <w:spacing w:before="40" w:after="40"/>
              <w:ind w:left="113" w:hanging="113"/>
              <w:jc w:val="left"/>
              <w:rPr>
                <w:rFonts w:ascii="Arial Narrow" w:hAnsi="Arial Narrow"/>
                <w:sz w:val="20"/>
                <w:szCs w:val="20"/>
                <w:lang w:val="en" w:eastAsia="en-AU"/>
              </w:rPr>
            </w:pPr>
            <w:r w:rsidRPr="0080346F">
              <w:rPr>
                <w:rFonts w:ascii="Arial Narrow" w:hAnsi="Arial Narrow"/>
                <w:sz w:val="20"/>
                <w:szCs w:val="20"/>
                <w:lang w:val="en" w:eastAsia="en-AU"/>
              </w:rPr>
              <w:t>Description and technical characteristics of technology</w:t>
            </w:r>
          </w:p>
          <w:p w:rsidR="0080346F" w:rsidRPr="0080346F" w:rsidRDefault="0080346F" w:rsidP="000959DF">
            <w:pPr>
              <w:keepNext/>
              <w:numPr>
                <w:ilvl w:val="0"/>
                <w:numId w:val="70"/>
              </w:numPr>
              <w:spacing w:before="40" w:after="40"/>
              <w:ind w:left="113" w:hanging="113"/>
              <w:jc w:val="left"/>
              <w:rPr>
                <w:rFonts w:ascii="Arial Narrow" w:hAnsi="Arial Narrow"/>
                <w:sz w:val="20"/>
                <w:szCs w:val="20"/>
                <w:lang w:val="en" w:eastAsia="en-AU"/>
              </w:rPr>
            </w:pPr>
            <w:r w:rsidRPr="0080346F">
              <w:rPr>
                <w:rFonts w:ascii="Arial Narrow" w:hAnsi="Arial Narrow"/>
                <w:sz w:val="20"/>
                <w:szCs w:val="20"/>
                <w:lang w:val="en" w:eastAsia="en-AU"/>
              </w:rPr>
              <w:t xml:space="preserve">Clinical effectiveness </w:t>
            </w:r>
          </w:p>
          <w:p w:rsidR="0080346F" w:rsidRPr="0080346F" w:rsidRDefault="0080346F" w:rsidP="000959DF">
            <w:pPr>
              <w:keepNext/>
              <w:numPr>
                <w:ilvl w:val="0"/>
                <w:numId w:val="70"/>
              </w:numPr>
              <w:spacing w:before="40" w:after="40"/>
              <w:ind w:left="113" w:hanging="113"/>
              <w:jc w:val="left"/>
              <w:rPr>
                <w:rFonts w:ascii="Arial Narrow" w:hAnsi="Arial Narrow"/>
                <w:sz w:val="20"/>
                <w:szCs w:val="20"/>
                <w:lang w:val="en" w:eastAsia="en-AU"/>
              </w:rPr>
            </w:pPr>
            <w:r w:rsidRPr="0080346F">
              <w:rPr>
                <w:rFonts w:ascii="Arial Narrow" w:hAnsi="Arial Narrow"/>
                <w:sz w:val="20"/>
                <w:szCs w:val="20"/>
                <w:lang w:val="en" w:eastAsia="en-AU"/>
              </w:rPr>
              <w:t>Safety</w:t>
            </w:r>
          </w:p>
          <w:p w:rsidR="0080346F" w:rsidRPr="0080346F" w:rsidRDefault="0080346F" w:rsidP="000959DF">
            <w:pPr>
              <w:keepNext/>
              <w:numPr>
                <w:ilvl w:val="0"/>
                <w:numId w:val="70"/>
              </w:numPr>
              <w:spacing w:before="40" w:after="40"/>
              <w:ind w:left="113" w:hanging="113"/>
              <w:jc w:val="left"/>
              <w:rPr>
                <w:rFonts w:ascii="Arial Narrow" w:hAnsi="Arial Narrow"/>
                <w:sz w:val="20"/>
                <w:szCs w:val="20"/>
                <w:lang w:val="en" w:eastAsia="en-AU"/>
              </w:rPr>
            </w:pPr>
            <w:r w:rsidRPr="0080346F">
              <w:rPr>
                <w:rFonts w:ascii="Arial Narrow" w:hAnsi="Arial Narrow"/>
                <w:sz w:val="20"/>
                <w:szCs w:val="20"/>
                <w:lang w:val="en" w:eastAsia="en-AU"/>
              </w:rPr>
              <w:t>Costs and economic evaluation</w:t>
            </w:r>
          </w:p>
          <w:p w:rsidR="0080346F" w:rsidRPr="0080346F" w:rsidRDefault="0080346F" w:rsidP="000959DF">
            <w:pPr>
              <w:keepNext/>
              <w:numPr>
                <w:ilvl w:val="0"/>
                <w:numId w:val="70"/>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 w:eastAsia="en-AU"/>
              </w:rPr>
              <w:t>Ethical analysis</w:t>
            </w:r>
          </w:p>
          <w:p w:rsidR="0080346F" w:rsidRPr="0080346F" w:rsidRDefault="0080346F" w:rsidP="000959DF">
            <w:pPr>
              <w:keepNext/>
              <w:numPr>
                <w:ilvl w:val="0"/>
                <w:numId w:val="70"/>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 w:eastAsia="en-AU"/>
              </w:rPr>
              <w:t>Organisational aspects</w:t>
            </w:r>
          </w:p>
          <w:p w:rsidR="0080346F" w:rsidRPr="0080346F" w:rsidRDefault="0080346F" w:rsidP="000959DF">
            <w:pPr>
              <w:keepNext/>
              <w:numPr>
                <w:ilvl w:val="0"/>
                <w:numId w:val="70"/>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 w:eastAsia="en-AU"/>
              </w:rPr>
              <w:t>Social aspects</w:t>
            </w:r>
          </w:p>
          <w:p w:rsidR="0080346F" w:rsidRPr="0080346F" w:rsidRDefault="0080346F" w:rsidP="000959DF">
            <w:pPr>
              <w:keepNext/>
              <w:numPr>
                <w:ilvl w:val="0"/>
                <w:numId w:val="70"/>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 w:eastAsia="en-AU"/>
              </w:rPr>
              <w:t>Legal aspects</w:t>
            </w:r>
          </w:p>
        </w:tc>
        <w:tc>
          <w:tcPr>
            <w:tcW w:w="1250" w:type="pct"/>
            <w:tcBorders>
              <w:bottom w:val="single" w:sz="4" w:space="0" w:color="000000"/>
            </w:tcBorders>
          </w:tcPr>
          <w:p w:rsidR="0080346F" w:rsidRPr="0080346F" w:rsidRDefault="0080346F" w:rsidP="000959DF">
            <w:pPr>
              <w:keepNext/>
              <w:numPr>
                <w:ilvl w:val="0"/>
                <w:numId w:val="71"/>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Drug applicability</w:t>
            </w:r>
          </w:p>
          <w:p w:rsidR="0080346F" w:rsidRPr="0080346F" w:rsidRDefault="0080346F" w:rsidP="000959DF">
            <w:pPr>
              <w:keepNext/>
              <w:numPr>
                <w:ilvl w:val="0"/>
                <w:numId w:val="71"/>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Efficacy</w:t>
            </w:r>
          </w:p>
          <w:p w:rsidR="0080346F" w:rsidRPr="0080346F" w:rsidRDefault="0080346F" w:rsidP="000959DF">
            <w:pPr>
              <w:keepNext/>
              <w:numPr>
                <w:ilvl w:val="0"/>
                <w:numId w:val="71"/>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Safety</w:t>
            </w:r>
          </w:p>
          <w:p w:rsidR="0080346F" w:rsidRPr="0080346F" w:rsidRDefault="0080346F" w:rsidP="000959DF">
            <w:pPr>
              <w:keepNext/>
              <w:numPr>
                <w:ilvl w:val="0"/>
                <w:numId w:val="71"/>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Economics</w:t>
            </w:r>
          </w:p>
        </w:tc>
        <w:tc>
          <w:tcPr>
            <w:tcW w:w="1250" w:type="pct"/>
            <w:tcBorders>
              <w:bottom w:val="single" w:sz="4" w:space="0" w:color="000000"/>
            </w:tcBorders>
          </w:tcPr>
          <w:p w:rsidR="0080346F" w:rsidRPr="0080346F" w:rsidRDefault="0080346F" w:rsidP="000959DF">
            <w:pPr>
              <w:keepNext/>
              <w:numPr>
                <w:ilvl w:val="0"/>
                <w:numId w:val="72"/>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Size of population affected by disease</w:t>
            </w:r>
          </w:p>
          <w:p w:rsidR="0080346F" w:rsidRPr="0080346F" w:rsidRDefault="0080346F" w:rsidP="000959DF">
            <w:pPr>
              <w:keepNext/>
              <w:numPr>
                <w:ilvl w:val="0"/>
                <w:numId w:val="72"/>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Severity of disease</w:t>
            </w:r>
          </w:p>
          <w:p w:rsidR="0080346F" w:rsidRPr="0080346F" w:rsidRDefault="0080346F" w:rsidP="000959DF">
            <w:pPr>
              <w:keepNext/>
              <w:numPr>
                <w:ilvl w:val="0"/>
                <w:numId w:val="72"/>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Effectiveness of health intervention</w:t>
            </w:r>
          </w:p>
          <w:p w:rsidR="0080346F" w:rsidRPr="0080346F" w:rsidRDefault="0080346F" w:rsidP="000959DF">
            <w:pPr>
              <w:keepNext/>
              <w:numPr>
                <w:ilvl w:val="0"/>
                <w:numId w:val="72"/>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Economic impact on household expenditure</w:t>
            </w:r>
          </w:p>
          <w:p w:rsidR="0080346F" w:rsidRPr="0080346F" w:rsidRDefault="0080346F" w:rsidP="000959DF">
            <w:pPr>
              <w:keepNext/>
              <w:numPr>
                <w:ilvl w:val="0"/>
                <w:numId w:val="72"/>
              </w:numPr>
              <w:spacing w:before="40" w:after="40"/>
              <w:ind w:left="113" w:hanging="113"/>
              <w:jc w:val="left"/>
              <w:rPr>
                <w:rFonts w:ascii="Arial Narrow" w:hAnsi="Arial Narrow"/>
                <w:sz w:val="20"/>
                <w:szCs w:val="20"/>
                <w:lang w:val="en-GB"/>
              </w:rPr>
            </w:pPr>
            <w:r w:rsidRPr="0080346F">
              <w:rPr>
                <w:rFonts w:ascii="Arial Narrow" w:hAnsi="Arial Narrow"/>
                <w:sz w:val="20"/>
                <w:szCs w:val="20"/>
                <w:lang w:val="en-GB"/>
              </w:rPr>
              <w:t>Equity/ethical and social implication</w:t>
            </w:r>
          </w:p>
        </w:tc>
      </w:tr>
    </w:tbl>
    <w:p w:rsidR="0080346F" w:rsidRPr="0080346F" w:rsidRDefault="0080346F" w:rsidP="0080346F">
      <w:pPr>
        <w:rPr>
          <w:rFonts w:asciiTheme="minorHAnsi" w:hAnsiTheme="minorHAnsi"/>
        </w:rPr>
      </w:pPr>
    </w:p>
    <w:p w:rsidR="0080346F" w:rsidRPr="0080346F" w:rsidRDefault="0080346F" w:rsidP="0080346F">
      <w:pPr>
        <w:rPr>
          <w:rFonts w:asciiTheme="minorHAnsi" w:hAnsiTheme="minorHAnsi"/>
        </w:rPr>
      </w:pPr>
      <w:r w:rsidRPr="0080346F">
        <w:rPr>
          <w:rFonts w:asciiTheme="minorHAnsi" w:hAnsiTheme="minorHAnsi"/>
        </w:rPr>
        <w:t xml:space="preserve">In most cases there are further specific sub-criteria (possibly extending to a number of levels) within the broad criteria. The EUnetHTA </w:t>
      </w:r>
      <w:r w:rsidR="00E8561A">
        <w:rPr>
          <w:rFonts w:asciiTheme="minorHAnsi" w:hAnsiTheme="minorHAnsi"/>
        </w:rPr>
        <w:t xml:space="preserve">HTA </w:t>
      </w:r>
      <w:r w:rsidRPr="0080346F">
        <w:rPr>
          <w:rFonts w:asciiTheme="minorHAnsi" w:hAnsiTheme="minorHAnsi"/>
        </w:rPr>
        <w:t xml:space="preserve">model describes these as ‘topics’ within the domain, and within the topics are specific ‘issues’ of interest. Graphically this </w:t>
      </w:r>
      <w:r w:rsidR="00E8561A">
        <w:rPr>
          <w:rFonts w:asciiTheme="minorHAnsi" w:hAnsiTheme="minorHAnsi"/>
        </w:rPr>
        <w:t xml:space="preserve">concept </w:t>
      </w:r>
      <w:r w:rsidRPr="0080346F">
        <w:rPr>
          <w:rFonts w:asciiTheme="minorHAnsi" w:hAnsiTheme="minorHAnsi"/>
        </w:rPr>
        <w:t xml:space="preserve">can be presented as a ‘value tree’ </w:t>
      </w:r>
      <w:r w:rsidRPr="0080346F">
        <w:rPr>
          <w:rFonts w:asciiTheme="minorHAnsi" w:hAnsiTheme="minorHAnsi"/>
          <w:noProof/>
        </w:rPr>
        <w:t>(</w:t>
      </w:r>
      <w:r w:rsidR="00184B6F" w:rsidRPr="0080346F">
        <w:rPr>
          <w:rFonts w:asciiTheme="minorHAnsi" w:hAnsiTheme="minorHAnsi"/>
          <w:noProof/>
        </w:rPr>
        <w:t>Angelis &amp; Kanavos 2014</w:t>
      </w:r>
      <w:r w:rsidRPr="0080346F">
        <w:rPr>
          <w:rFonts w:asciiTheme="minorHAnsi" w:hAnsiTheme="minorHAnsi"/>
          <w:noProof/>
        </w:rPr>
        <w:t>)</w:t>
      </w:r>
      <w:r w:rsidR="00E8561A">
        <w:rPr>
          <w:rFonts w:asciiTheme="minorHAnsi" w:hAnsiTheme="minorHAnsi"/>
        </w:rPr>
        <w:t xml:space="preserve"> and utilised for multi-level MCDA scoring</w:t>
      </w:r>
      <w:r w:rsidRPr="0080346F">
        <w:rPr>
          <w:rFonts w:asciiTheme="minorHAnsi" w:hAnsiTheme="minorHAnsi"/>
        </w:rPr>
        <w:t>.</w:t>
      </w:r>
    </w:p>
    <w:p w:rsidR="0080346F" w:rsidRPr="0080346F" w:rsidRDefault="0080346F" w:rsidP="0080346F">
      <w:pPr>
        <w:keepNext/>
        <w:keepLines/>
        <w:spacing w:before="240"/>
        <w:outlineLvl w:val="2"/>
        <w:rPr>
          <w:rFonts w:asciiTheme="majorHAnsi" w:hAnsiTheme="majorHAnsi" w:cs="Calibri"/>
          <w:bCs/>
          <w:color w:val="002060"/>
        </w:rPr>
      </w:pPr>
      <w:r w:rsidRPr="0080346F">
        <w:rPr>
          <w:rFonts w:asciiTheme="majorHAnsi" w:hAnsiTheme="majorHAnsi" w:cs="Calibri"/>
          <w:bCs/>
          <w:color w:val="002060"/>
        </w:rPr>
        <w:t>Scoring and weighting</w:t>
      </w:r>
    </w:p>
    <w:p w:rsidR="0080346F" w:rsidRPr="0080346F" w:rsidRDefault="0080346F" w:rsidP="0080346F">
      <w:pPr>
        <w:rPr>
          <w:rFonts w:asciiTheme="minorHAnsi" w:hAnsiTheme="minorHAnsi"/>
        </w:rPr>
      </w:pPr>
      <w:r w:rsidRPr="00D60459">
        <w:rPr>
          <w:rFonts w:asciiTheme="minorHAnsi" w:hAnsiTheme="minorHAnsi"/>
        </w:rPr>
        <w:t>Generally scoring and weighting is applied specifically at the most detailed (</w:t>
      </w:r>
      <w:r w:rsidR="006E536A">
        <w:rPr>
          <w:rFonts w:asciiTheme="minorHAnsi" w:hAnsiTheme="minorHAnsi"/>
        </w:rPr>
        <w:t>e.g.</w:t>
      </w:r>
      <w:r w:rsidRPr="00D60459">
        <w:rPr>
          <w:rFonts w:asciiTheme="minorHAnsi" w:hAnsiTheme="minorHAnsi"/>
        </w:rPr>
        <w:t xml:space="preserve"> topic) level associated with criteria an</w:t>
      </w:r>
      <w:r>
        <w:rPr>
          <w:rFonts w:asciiTheme="minorHAnsi" w:hAnsiTheme="minorHAnsi"/>
        </w:rPr>
        <w:t xml:space="preserve">d aggregated to higher levels. </w:t>
      </w:r>
      <w:r w:rsidRPr="00D60459">
        <w:rPr>
          <w:rFonts w:asciiTheme="minorHAnsi" w:hAnsiTheme="minorHAnsi"/>
        </w:rPr>
        <w:t>Ultimately aggregation of all weighted scores results in a single value metric, the ‘MCDA estimate’ on which a decis</w:t>
      </w:r>
      <w:r>
        <w:rPr>
          <w:rFonts w:asciiTheme="minorHAnsi" w:hAnsiTheme="minorHAnsi"/>
        </w:rPr>
        <w:t xml:space="preserve">ion for funding or </w:t>
      </w:r>
      <w:r w:rsidRPr="0080346F">
        <w:rPr>
          <w:rFonts w:asciiTheme="minorHAnsi" w:hAnsiTheme="minorHAnsi"/>
        </w:rPr>
        <w:t>not is made.</w:t>
      </w:r>
    </w:p>
    <w:p w:rsidR="0080346F" w:rsidRPr="00D60459" w:rsidRDefault="0080346F" w:rsidP="0080346F">
      <w:pPr>
        <w:rPr>
          <w:rFonts w:asciiTheme="minorHAnsi" w:hAnsiTheme="minorHAnsi"/>
        </w:rPr>
      </w:pPr>
      <w:r w:rsidRPr="0080346F">
        <w:rPr>
          <w:rFonts w:asciiTheme="minorHAnsi" w:hAnsiTheme="minorHAnsi"/>
        </w:rPr>
        <w:t xml:space="preserve">Aggregation of the scores associated with the decision criteria can be undertaken as a simple linear addition (for example the methodology in </w:t>
      </w:r>
      <w:r w:rsidRPr="0080346F">
        <w:rPr>
          <w:rFonts w:asciiTheme="minorHAnsi" w:hAnsiTheme="minorHAnsi"/>
          <w:noProof/>
        </w:rPr>
        <w:t>(</w:t>
      </w:r>
      <w:r w:rsidR="00184B6F" w:rsidRPr="0080346F">
        <w:rPr>
          <w:rFonts w:asciiTheme="minorHAnsi" w:hAnsiTheme="minorHAnsi"/>
          <w:noProof/>
        </w:rPr>
        <w:t>Tony et al. 2011</w:t>
      </w:r>
      <w:r w:rsidRPr="0080346F">
        <w:rPr>
          <w:rFonts w:asciiTheme="minorHAnsi" w:hAnsiTheme="minorHAnsi"/>
          <w:noProof/>
        </w:rPr>
        <w:t>)</w:t>
      </w:r>
      <w:r w:rsidRPr="0080346F">
        <w:rPr>
          <w:rFonts w:asciiTheme="minorHAnsi" w:hAnsiTheme="minorHAnsi"/>
        </w:rPr>
        <w:t xml:space="preserve">) or with a simple criteria weighting matrix (examples can be found in </w:t>
      </w:r>
      <w:r w:rsidRPr="0080346F">
        <w:rPr>
          <w:rFonts w:asciiTheme="minorHAnsi" w:hAnsiTheme="minorHAnsi"/>
          <w:noProof/>
        </w:rPr>
        <w:t>Ramli et al. 2013 and</w:t>
      </w:r>
      <w:r w:rsidRPr="0080346F">
        <w:t xml:space="preserve"> </w:t>
      </w:r>
      <w:r w:rsidRPr="0080346F">
        <w:rPr>
          <w:rFonts w:asciiTheme="minorHAnsi" w:hAnsiTheme="minorHAnsi"/>
          <w:noProof/>
        </w:rPr>
        <w:t>Youngkong et al. 2012</w:t>
      </w:r>
      <w:r w:rsidRPr="0080346F">
        <w:rPr>
          <w:rFonts w:asciiTheme="minorHAnsi" w:hAnsiTheme="minorHAnsi"/>
        </w:rPr>
        <w:t xml:space="preserve">)  More sophisticated methods based on quantification of preference curves obtained through survey or experiment (rather than simple committee voting) and complex score allocation and aggregation methods have also been developed.  Depending on the context of use alternative weighting/scoring/aggregation methods may include; value-based measurement methods; goal programming/reference methods and outranking methods </w:t>
      </w:r>
      <w:r w:rsidRPr="0080346F">
        <w:rPr>
          <w:rFonts w:asciiTheme="minorHAnsi" w:hAnsiTheme="minorHAnsi"/>
          <w:noProof/>
        </w:rPr>
        <w:t>(</w:t>
      </w:r>
      <w:r w:rsidR="00184B6F" w:rsidRPr="0080346F">
        <w:rPr>
          <w:rFonts w:asciiTheme="minorHAnsi" w:hAnsiTheme="minorHAnsi"/>
          <w:noProof/>
        </w:rPr>
        <w:t>Diaby &amp; Goeree 2014</w:t>
      </w:r>
      <w:r w:rsidRPr="0080346F">
        <w:rPr>
          <w:rFonts w:asciiTheme="minorHAnsi" w:hAnsiTheme="minorHAnsi"/>
          <w:noProof/>
        </w:rPr>
        <w:t>)</w:t>
      </w:r>
      <w:r w:rsidRPr="0080346F">
        <w:rPr>
          <w:rFonts w:asciiTheme="minorHAnsi" w:hAnsiTheme="minorHAnsi"/>
        </w:rPr>
        <w:t xml:space="preserve"> and computer software (such as M-MACBETH) may be useful </w:t>
      </w:r>
      <w:r w:rsidRPr="0080346F">
        <w:rPr>
          <w:rFonts w:asciiTheme="minorHAnsi" w:hAnsiTheme="minorHAnsi"/>
          <w:noProof/>
        </w:rPr>
        <w:t>(</w:t>
      </w:r>
      <w:r w:rsidR="00184B6F" w:rsidRPr="0080346F">
        <w:rPr>
          <w:rFonts w:asciiTheme="minorHAnsi" w:hAnsiTheme="minorHAnsi"/>
          <w:noProof/>
        </w:rPr>
        <w:t>Angelis &amp; Kanavos 2014</w:t>
      </w:r>
      <w:r w:rsidRPr="0080346F">
        <w:rPr>
          <w:rFonts w:asciiTheme="minorHAnsi" w:hAnsiTheme="minorHAnsi"/>
          <w:noProof/>
        </w:rPr>
        <w:t>)</w:t>
      </w:r>
      <w:r w:rsidRPr="0080346F">
        <w:rPr>
          <w:rFonts w:asciiTheme="minorHAnsi" w:hAnsiTheme="minorHAnsi"/>
        </w:rPr>
        <w:t>.</w:t>
      </w:r>
    </w:p>
    <w:p w:rsidR="0080346F" w:rsidRPr="00D60459" w:rsidRDefault="0080346F" w:rsidP="0080346F">
      <w:pPr>
        <w:rPr>
          <w:rFonts w:asciiTheme="minorHAnsi" w:hAnsiTheme="minorHAnsi"/>
        </w:rPr>
      </w:pPr>
      <w:r w:rsidRPr="00D60459">
        <w:rPr>
          <w:rFonts w:asciiTheme="minorHAnsi" w:hAnsiTheme="minorHAnsi"/>
        </w:rPr>
        <w:lastRenderedPageBreak/>
        <w:t xml:space="preserve">The EVIDEM framework </w:t>
      </w:r>
      <w:r w:rsidRPr="00D60459">
        <w:rPr>
          <w:rFonts w:asciiTheme="minorHAnsi" w:hAnsiTheme="minorHAnsi"/>
          <w:noProof/>
        </w:rPr>
        <w:t>(</w:t>
      </w:r>
      <w:r w:rsidR="00184B6F" w:rsidRPr="00D60459">
        <w:rPr>
          <w:rFonts w:asciiTheme="minorHAnsi" w:hAnsiTheme="minorHAnsi"/>
          <w:noProof/>
        </w:rPr>
        <w:t>Goetghebeur et al. 2008</w:t>
      </w:r>
      <w:r w:rsidRPr="00D60459">
        <w:rPr>
          <w:rFonts w:asciiTheme="minorHAnsi" w:hAnsiTheme="minorHAnsi"/>
          <w:noProof/>
        </w:rPr>
        <w:t xml:space="preserve">, </w:t>
      </w:r>
      <w:r w:rsidR="00184B6F" w:rsidRPr="00D60459">
        <w:rPr>
          <w:rFonts w:asciiTheme="minorHAnsi" w:hAnsiTheme="minorHAnsi"/>
          <w:noProof/>
        </w:rPr>
        <w:t>2012</w:t>
      </w:r>
      <w:r w:rsidRPr="00D60459">
        <w:rPr>
          <w:rFonts w:asciiTheme="minorHAnsi" w:hAnsiTheme="minorHAnsi"/>
          <w:noProof/>
        </w:rPr>
        <w:t>)</w:t>
      </w:r>
      <w:r w:rsidRPr="00D60459">
        <w:rPr>
          <w:rFonts w:asciiTheme="minorHAnsi" w:hAnsiTheme="minorHAnsi"/>
        </w:rPr>
        <w:t xml:space="preserve"> and EUnetHTA </w:t>
      </w:r>
      <w:r w:rsidRPr="00D60459">
        <w:rPr>
          <w:rFonts w:asciiTheme="minorHAnsi" w:hAnsiTheme="minorHAnsi"/>
          <w:noProof/>
        </w:rPr>
        <w:t>(</w:t>
      </w:r>
      <w:r w:rsidR="00184B6F" w:rsidRPr="00D60459">
        <w:rPr>
          <w:rFonts w:asciiTheme="minorHAnsi" w:hAnsiTheme="minorHAnsi"/>
          <w:noProof/>
        </w:rPr>
        <w:t>EUnetHTA 2013</w:t>
      </w:r>
      <w:proofErr w:type="gramStart"/>
      <w:r w:rsidRPr="00D60459">
        <w:rPr>
          <w:rFonts w:asciiTheme="minorHAnsi" w:hAnsiTheme="minorHAnsi"/>
          <w:noProof/>
        </w:rPr>
        <w:t>)</w:t>
      </w:r>
      <w:r w:rsidRPr="00D60459">
        <w:rPr>
          <w:rFonts w:asciiTheme="minorHAnsi" w:hAnsiTheme="minorHAnsi"/>
        </w:rPr>
        <w:t xml:space="preserve">  have</w:t>
      </w:r>
      <w:proofErr w:type="gramEnd"/>
      <w:r w:rsidRPr="00D60459">
        <w:rPr>
          <w:rFonts w:asciiTheme="minorHAnsi" w:hAnsiTheme="minorHAnsi"/>
        </w:rPr>
        <w:t xml:space="preserve"> been developed (and are undergoing ongoing development) with the intention that they may be used as formal decision-making tools across reimbursement decisions in</w:t>
      </w:r>
      <w:r>
        <w:rPr>
          <w:rFonts w:asciiTheme="minorHAnsi" w:hAnsiTheme="minorHAnsi"/>
        </w:rPr>
        <w:t xml:space="preserve"> their relative jurisdictions. </w:t>
      </w:r>
      <w:r w:rsidRPr="00D60459">
        <w:rPr>
          <w:rFonts w:asciiTheme="minorHAnsi" w:hAnsiTheme="minorHAnsi"/>
        </w:rPr>
        <w:t xml:space="preserve">The detailed methodology of these too extensive to reproduce in detail (but can be accessed publically). </w:t>
      </w:r>
    </w:p>
    <w:p w:rsidR="0080346F" w:rsidRPr="0080346F" w:rsidRDefault="0080346F" w:rsidP="0080346F">
      <w:pPr>
        <w:keepNext/>
        <w:keepLines/>
        <w:spacing w:before="240"/>
        <w:outlineLvl w:val="2"/>
        <w:rPr>
          <w:rFonts w:asciiTheme="majorHAnsi" w:hAnsiTheme="majorHAnsi" w:cs="Calibri"/>
          <w:bCs/>
          <w:color w:val="002060"/>
        </w:rPr>
      </w:pPr>
      <w:r w:rsidRPr="0080346F">
        <w:rPr>
          <w:rFonts w:asciiTheme="majorHAnsi" w:hAnsiTheme="majorHAnsi" w:cs="Calibri"/>
          <w:bCs/>
          <w:color w:val="002060"/>
        </w:rPr>
        <w:t>Application to orphan drugs</w:t>
      </w:r>
    </w:p>
    <w:p w:rsidR="0080346F" w:rsidRPr="0080346F" w:rsidRDefault="0080346F" w:rsidP="0080346F">
      <w:pPr>
        <w:rPr>
          <w:rFonts w:asciiTheme="minorHAnsi" w:hAnsiTheme="minorHAnsi"/>
        </w:rPr>
      </w:pPr>
      <w:r w:rsidRPr="0080346F">
        <w:rPr>
          <w:rFonts w:asciiTheme="minorHAnsi" w:hAnsiTheme="minorHAnsi"/>
        </w:rPr>
        <w:t xml:space="preserve">MCDA is an alternative value assessment tool that is used broadly beyond healthcare. It is not specific to health or health technology assessment. Development of a specific MCDA framework to identify the value associated with orphan drugs has been proposed as a practical application </w:t>
      </w:r>
      <w:r w:rsidRPr="0080346F">
        <w:rPr>
          <w:rFonts w:asciiTheme="minorHAnsi" w:hAnsiTheme="minorHAnsi"/>
          <w:noProof/>
        </w:rPr>
        <w:t>(</w:t>
      </w:r>
      <w:r w:rsidR="00184B6F" w:rsidRPr="0080346F">
        <w:rPr>
          <w:rFonts w:asciiTheme="minorHAnsi" w:hAnsiTheme="minorHAnsi"/>
          <w:noProof/>
        </w:rPr>
        <w:t>Hutchings et al. 2012</w:t>
      </w:r>
      <w:r w:rsidRPr="0080346F">
        <w:rPr>
          <w:rFonts w:asciiTheme="minorHAnsi" w:hAnsiTheme="minorHAnsi"/>
          <w:noProof/>
        </w:rPr>
        <w:t>)</w:t>
      </w:r>
      <w:r w:rsidRPr="0080346F">
        <w:rPr>
          <w:rFonts w:asciiTheme="minorHAnsi" w:hAnsiTheme="minorHAnsi"/>
        </w:rPr>
        <w:t xml:space="preserve">, </w:t>
      </w:r>
      <w:r w:rsidR="00A130D0">
        <w:rPr>
          <w:rFonts w:asciiTheme="minorHAnsi" w:hAnsiTheme="minorHAnsi"/>
          <w:noProof/>
        </w:rPr>
        <w:t>(</w:t>
      </w:r>
      <w:r w:rsidR="00184B6F">
        <w:rPr>
          <w:rFonts w:asciiTheme="minorHAnsi" w:hAnsiTheme="minorHAnsi"/>
          <w:noProof/>
        </w:rPr>
        <w:t>Sussex, J, Rollet, P., Garau, M., Schmitt, C., Kent, A. and Hutchings, A 2013</w:t>
      </w:r>
      <w:r w:rsidR="00A130D0">
        <w:rPr>
          <w:rFonts w:asciiTheme="minorHAnsi" w:hAnsiTheme="minorHAnsi"/>
          <w:noProof/>
        </w:rPr>
        <w:t xml:space="preserve">; </w:t>
      </w:r>
      <w:r w:rsidR="00184B6F">
        <w:rPr>
          <w:rFonts w:asciiTheme="minorHAnsi" w:hAnsiTheme="minorHAnsi"/>
          <w:noProof/>
        </w:rPr>
        <w:t>Sussex, J et al. 2013</w:t>
      </w:r>
      <w:r w:rsidR="00A130D0">
        <w:rPr>
          <w:rFonts w:asciiTheme="minorHAnsi" w:hAnsiTheme="minorHAnsi"/>
          <w:noProof/>
        </w:rPr>
        <w:t>)</w:t>
      </w:r>
      <w:r w:rsidRPr="0080346F">
        <w:rPr>
          <w:rFonts w:asciiTheme="minorHAnsi" w:hAnsiTheme="minorHAnsi"/>
        </w:rPr>
        <w:t xml:space="preserve">. </w:t>
      </w:r>
      <w:r w:rsidR="00A130D0">
        <w:rPr>
          <w:rFonts w:asciiTheme="minorHAnsi" w:hAnsiTheme="minorHAnsi"/>
          <w:noProof/>
        </w:rPr>
        <w:t>(</w:t>
      </w:r>
      <w:r w:rsidR="00184B6F">
        <w:rPr>
          <w:rFonts w:asciiTheme="minorHAnsi" w:hAnsiTheme="minorHAnsi"/>
          <w:noProof/>
        </w:rPr>
        <w:t>Wagner 2014</w:t>
      </w:r>
      <w:r w:rsidR="00A130D0">
        <w:rPr>
          <w:rFonts w:asciiTheme="minorHAnsi" w:hAnsiTheme="minorHAnsi"/>
          <w:noProof/>
        </w:rPr>
        <w:t>)</w:t>
      </w:r>
      <w:r w:rsidRPr="0080346F">
        <w:rPr>
          <w:rFonts w:asciiTheme="minorHAnsi" w:hAnsiTheme="minorHAnsi"/>
        </w:rPr>
        <w:t xml:space="preserve"> Wagner (2014) describes a method, based on an adaptation of the EVIDEM framework, which notes that criteria such as disease severity (and sub-criteria: effect of disease on life-expectancy/disability/patient QoL/care) and system capacity (i.e. appropriate monitoring, registries, labs) may be particularly relevant to orphan drugs </w:t>
      </w:r>
      <w:r w:rsidRPr="0080346F">
        <w:rPr>
          <w:rFonts w:asciiTheme="minorHAnsi" w:hAnsiTheme="minorHAnsi"/>
          <w:noProof/>
        </w:rPr>
        <w:t>(Wagner 2014)</w:t>
      </w:r>
      <w:r w:rsidRPr="0080346F">
        <w:rPr>
          <w:rFonts w:asciiTheme="minorHAnsi" w:hAnsiTheme="minorHAnsi"/>
        </w:rPr>
        <w:t xml:space="preserve">. A simple criteria model specifically for valuing orphan drugs has also been presented </w:t>
      </w:r>
      <w:r w:rsidR="00A130D0">
        <w:rPr>
          <w:rFonts w:asciiTheme="minorHAnsi" w:hAnsiTheme="minorHAnsi"/>
          <w:noProof/>
        </w:rPr>
        <w:t>(</w:t>
      </w:r>
      <w:r w:rsidR="00184B6F">
        <w:rPr>
          <w:rFonts w:asciiTheme="minorHAnsi" w:hAnsiTheme="minorHAnsi"/>
          <w:noProof/>
        </w:rPr>
        <w:t>Sussex, J et al. 2013</w:t>
      </w:r>
      <w:r w:rsidR="00A130D0">
        <w:rPr>
          <w:rFonts w:asciiTheme="minorHAnsi" w:hAnsiTheme="minorHAnsi"/>
          <w:noProof/>
        </w:rPr>
        <w:t>)</w:t>
      </w:r>
      <w:r w:rsidRPr="0080346F">
        <w:rPr>
          <w:rFonts w:asciiTheme="minorHAnsi" w:hAnsiTheme="minorHAnsi"/>
        </w:rPr>
        <w:t>.</w:t>
      </w:r>
    </w:p>
    <w:p w:rsidR="0080346F" w:rsidRPr="00D60032" w:rsidRDefault="0080346F" w:rsidP="00D60032">
      <w:pPr>
        <w:pStyle w:val="Heading2"/>
        <w:ind w:left="1985" w:hanging="708"/>
      </w:pPr>
      <w:bookmarkStart w:id="623" w:name="_Toc415141754"/>
      <w:bookmarkStart w:id="624" w:name="_Toc404937329"/>
      <w:bookmarkStart w:id="625" w:name="_Toc405152147"/>
      <w:bookmarkEnd w:id="618"/>
      <w:bookmarkEnd w:id="619"/>
      <w:r w:rsidRPr="0080346F">
        <w:t>Input-based pricing</w:t>
      </w:r>
      <w:bookmarkEnd w:id="623"/>
    </w:p>
    <w:p w:rsidR="0080346F" w:rsidRPr="0080346F" w:rsidRDefault="0080346F" w:rsidP="0080346F">
      <w:pPr>
        <w:rPr>
          <w:rFonts w:asciiTheme="minorHAnsi" w:hAnsiTheme="minorHAnsi"/>
        </w:rPr>
      </w:pPr>
      <w:r w:rsidRPr="0080346F">
        <w:rPr>
          <w:rFonts w:asciiTheme="minorHAnsi" w:hAnsiTheme="minorHAnsi"/>
        </w:rPr>
        <w:t xml:space="preserve">An alternative conceptual method of the valuation of cost-effective orphan drugs is to base value (represented by price) on supply input costs </w:t>
      </w:r>
      <w:r w:rsidRPr="0080346F">
        <w:rPr>
          <w:rFonts w:asciiTheme="minorHAnsi" w:hAnsiTheme="minorHAnsi"/>
          <w:noProof/>
        </w:rPr>
        <w:t>(</w:t>
      </w:r>
      <w:r w:rsidR="00184B6F" w:rsidRPr="0080346F">
        <w:rPr>
          <w:rFonts w:asciiTheme="minorHAnsi" w:hAnsiTheme="minorHAnsi"/>
          <w:noProof/>
        </w:rPr>
        <w:t>Fellows &amp; Hollis 2013</w:t>
      </w:r>
      <w:r w:rsidRPr="0080346F">
        <w:rPr>
          <w:rFonts w:asciiTheme="minorHAnsi" w:hAnsiTheme="minorHAnsi"/>
          <w:noProof/>
        </w:rPr>
        <w:t>)</w:t>
      </w:r>
      <w:r w:rsidRPr="0080346F">
        <w:rPr>
          <w:rFonts w:asciiTheme="minorHAnsi" w:hAnsiTheme="minorHAnsi"/>
        </w:rPr>
        <w:t xml:space="preserve">. This proposed method acknowledges that orphan drugs do not meet previously established cost-effective criteria determined from a ‘health outputs’ perspective, but assumes that access to the orphan drug is desirable on other grounds. The proposed methodology is to cost the development and production of drugs and then estimate a regulated but fair price. This methodology detaches ‘health value’ from price, but links the rarity of the disease to the price function. The authors concede this methodology requires further investigation before it is applied </w:t>
      </w:r>
      <w:r w:rsidRPr="0080346F">
        <w:rPr>
          <w:rFonts w:asciiTheme="minorHAnsi" w:hAnsiTheme="minorHAnsi"/>
          <w:noProof/>
        </w:rPr>
        <w:t>(</w:t>
      </w:r>
      <w:r w:rsidR="00184B6F" w:rsidRPr="0080346F">
        <w:rPr>
          <w:rFonts w:asciiTheme="minorHAnsi" w:hAnsiTheme="minorHAnsi"/>
          <w:noProof/>
        </w:rPr>
        <w:t>Fellows &amp; Hollis 2013</w:t>
      </w:r>
      <w:r w:rsidRPr="0080346F">
        <w:rPr>
          <w:rFonts w:asciiTheme="minorHAnsi" w:hAnsiTheme="minorHAnsi"/>
          <w:noProof/>
        </w:rPr>
        <w:t>)</w:t>
      </w:r>
      <w:r w:rsidRPr="0080346F">
        <w:rPr>
          <w:rFonts w:asciiTheme="minorHAnsi" w:hAnsiTheme="minorHAnsi"/>
        </w:rPr>
        <w:t xml:space="preserve">. </w:t>
      </w:r>
    </w:p>
    <w:p w:rsidR="0080346F" w:rsidRPr="00D60032" w:rsidRDefault="0080346F" w:rsidP="00D60032">
      <w:pPr>
        <w:pStyle w:val="Heading2"/>
        <w:ind w:left="1985" w:hanging="708"/>
      </w:pPr>
      <w:bookmarkStart w:id="626" w:name="_Toc415141755"/>
      <w:r w:rsidRPr="0080346F">
        <w:t>Combined Methods</w:t>
      </w:r>
      <w:bookmarkEnd w:id="626"/>
    </w:p>
    <w:p w:rsidR="0080346F" w:rsidRPr="0080346F" w:rsidRDefault="0080346F" w:rsidP="0080346F">
      <w:r w:rsidRPr="0080346F">
        <w:t>The alternative methods of obtaining value metrics described above - with the exception of input-based pricing which necessarily is a singular method - can be combined. For example, a broader perspective cost-utility analysis may also be subject to an equity weighting adjustment; or an MCDA may potentially include a broader and/or an equity-weighted CU analysis. Alternatively, MCDA methods may be employed to determine equity weights with which to make CU QALY/threshold adjustments. Where multiple methods are utilised within or alongside each other, care must be taken to ensure that adjustment factors are not double-counted.</w:t>
      </w:r>
    </w:p>
    <w:p w:rsidR="0080346F" w:rsidRPr="00D60032" w:rsidRDefault="0080346F" w:rsidP="00D60032">
      <w:pPr>
        <w:pStyle w:val="Heading2"/>
        <w:ind w:left="1985" w:hanging="708"/>
      </w:pPr>
      <w:bookmarkStart w:id="627" w:name="_Toc415141756"/>
      <w:r w:rsidRPr="0080346F">
        <w:t>Summary of advantages and disadvantages of alternative value metrics</w:t>
      </w:r>
      <w:bookmarkEnd w:id="627"/>
      <w:r w:rsidRPr="0080346F">
        <w:t xml:space="preserve"> </w:t>
      </w:r>
    </w:p>
    <w:p w:rsidR="0080346F" w:rsidRPr="0080346F" w:rsidRDefault="0080346F" w:rsidP="0080346F">
      <w:pPr>
        <w:rPr>
          <w:lang w:eastAsia="en-AU"/>
        </w:rPr>
      </w:pPr>
      <w:r w:rsidRPr="0080346F">
        <w:rPr>
          <w:lang w:eastAsia="en-AU"/>
        </w:rPr>
        <w:t xml:space="preserve">The various advantages and limitations associated with the alternative approaches to identifying a value metric for orphan drugs are presented in </w:t>
      </w:r>
      <w:r w:rsidR="00A72B26" w:rsidRPr="0080346F">
        <w:rPr>
          <w:lang w:eastAsia="en-AU"/>
        </w:rPr>
        <w:t xml:space="preserve">Table </w:t>
      </w:r>
      <w:r w:rsidR="00A72B26">
        <w:rPr>
          <w:lang w:eastAsia="en-AU"/>
        </w:rPr>
        <w:t>141</w:t>
      </w:r>
      <w:r w:rsidR="00F8590C">
        <w:rPr>
          <w:lang w:eastAsia="en-AU"/>
        </w:rPr>
        <w:t>.</w:t>
      </w:r>
    </w:p>
    <w:p w:rsidR="0080346F" w:rsidRPr="0080346F" w:rsidRDefault="0080346F" w:rsidP="00D62284">
      <w:pPr>
        <w:pStyle w:val="Caption"/>
        <w:keepNext/>
        <w:tabs>
          <w:tab w:val="clear" w:pos="851"/>
          <w:tab w:val="left" w:pos="1276"/>
        </w:tabs>
        <w:ind w:left="1276" w:hanging="1276"/>
      </w:pPr>
      <w:bookmarkStart w:id="628" w:name="_Ref405841128"/>
      <w:bookmarkStart w:id="629" w:name="_Toc411510504"/>
      <w:bookmarkStart w:id="630" w:name="_Toc415141938"/>
      <w:r w:rsidRPr="0080346F">
        <w:lastRenderedPageBreak/>
        <w:t xml:space="preserve">Table </w:t>
      </w:r>
      <w:r w:rsidR="00A72B26">
        <w:rPr>
          <w:noProof/>
        </w:rPr>
        <w:t>141</w:t>
      </w:r>
      <w:bookmarkEnd w:id="628"/>
      <w:r w:rsidRPr="0080346F">
        <w:tab/>
        <w:t>Advantages and disadvantages of alternative value metrics for the assessment of orphan drugs for reimbursement decisions</w:t>
      </w:r>
      <w:bookmarkEnd w:id="629"/>
      <w:bookmarkEnd w:id="630"/>
    </w:p>
    <w:tbl>
      <w:tblPr>
        <w:tblStyle w:val="TableGrid3"/>
        <w:tblW w:w="9436" w:type="dxa"/>
        <w:tblCellMar>
          <w:left w:w="57" w:type="dxa"/>
          <w:right w:w="57" w:type="dxa"/>
        </w:tblCellMar>
        <w:tblLook w:val="04A0" w:firstRow="1" w:lastRow="0" w:firstColumn="1" w:lastColumn="0" w:noHBand="0" w:noVBand="1"/>
        <w:tblCaption w:val="Table 106 Advantages and disadvantages of alternative value metrics for the assessment of orphan drugs for reimbursement decisions"/>
      </w:tblPr>
      <w:tblGrid>
        <w:gridCol w:w="2106"/>
        <w:gridCol w:w="3279"/>
        <w:gridCol w:w="4051"/>
      </w:tblGrid>
      <w:tr w:rsidR="0080346F" w:rsidRPr="0080346F" w:rsidTr="00F75ECD">
        <w:trPr>
          <w:tblHeader/>
        </w:trPr>
        <w:tc>
          <w:tcPr>
            <w:tcW w:w="2106" w:type="dxa"/>
          </w:tcPr>
          <w:p w:rsidR="0080346F" w:rsidRPr="0080346F" w:rsidRDefault="0080346F" w:rsidP="00D62284">
            <w:pPr>
              <w:keepNext/>
              <w:spacing w:before="40" w:after="40"/>
              <w:jc w:val="left"/>
              <w:rPr>
                <w:rFonts w:ascii="Arial Narrow" w:hAnsi="Arial Narrow"/>
                <w:b/>
                <w:lang w:eastAsia="en-AU"/>
              </w:rPr>
            </w:pPr>
          </w:p>
        </w:tc>
        <w:tc>
          <w:tcPr>
            <w:tcW w:w="3279" w:type="dxa"/>
          </w:tcPr>
          <w:p w:rsidR="0080346F" w:rsidRPr="0080346F" w:rsidRDefault="0080346F" w:rsidP="00D62284">
            <w:pPr>
              <w:keepNext/>
              <w:spacing w:before="40" w:after="40"/>
              <w:jc w:val="left"/>
              <w:rPr>
                <w:rFonts w:ascii="Arial Narrow" w:hAnsi="Arial Narrow"/>
                <w:b/>
                <w:lang w:eastAsia="en-AU"/>
              </w:rPr>
            </w:pPr>
            <w:r w:rsidRPr="0080346F">
              <w:rPr>
                <w:rFonts w:ascii="Arial Narrow" w:hAnsi="Arial Narrow"/>
                <w:b/>
                <w:lang w:eastAsia="en-AU"/>
              </w:rPr>
              <w:t>Advantages</w:t>
            </w:r>
          </w:p>
        </w:tc>
        <w:tc>
          <w:tcPr>
            <w:tcW w:w="4051" w:type="dxa"/>
          </w:tcPr>
          <w:p w:rsidR="0080346F" w:rsidRPr="0080346F" w:rsidRDefault="0080346F" w:rsidP="00D62284">
            <w:pPr>
              <w:keepNext/>
              <w:spacing w:before="40" w:after="40"/>
              <w:jc w:val="left"/>
              <w:rPr>
                <w:rFonts w:ascii="Arial Narrow" w:hAnsi="Arial Narrow"/>
                <w:b/>
                <w:lang w:eastAsia="en-AU"/>
              </w:rPr>
            </w:pPr>
            <w:r w:rsidRPr="0080346F">
              <w:rPr>
                <w:rFonts w:ascii="Arial Narrow" w:hAnsi="Arial Narrow"/>
                <w:b/>
                <w:lang w:eastAsia="en-AU"/>
              </w:rPr>
              <w:t>Disadvantages</w:t>
            </w:r>
          </w:p>
        </w:tc>
      </w:tr>
      <w:tr w:rsidR="0080346F" w:rsidRPr="0080346F" w:rsidTr="0080346F">
        <w:tc>
          <w:tcPr>
            <w:tcW w:w="2106"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Broadened cost-utility perspective</w:t>
            </w:r>
          </w:p>
        </w:tc>
        <w:tc>
          <w:tcPr>
            <w:tcW w:w="3279"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The ICER is a more accurate reflection of the complete value a drug may offer to society.</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Relatively easy to incorporate into existing assessment process.</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Produces an objective, reproducible value metric.</w:t>
            </w:r>
          </w:p>
        </w:tc>
        <w:tc>
          <w:tcPr>
            <w:tcW w:w="4051"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 xml:space="preserve">Fails to reflect social preferences where allocation on an equity basis (i.e. non-utilitarian) is preferred. </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In practice, lack of data may limit the scope and accuracy of the economic model.</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Would generally increase the co</w:t>
            </w:r>
            <w:r w:rsidR="00D60032">
              <w:rPr>
                <w:rFonts w:ascii="Arial Narrow" w:hAnsi="Arial Narrow"/>
                <w:lang w:val="en-GB"/>
              </w:rPr>
              <w:t xml:space="preserve">st-effectiveness of many drugs </w:t>
            </w:r>
            <w:r w:rsidRPr="0080346F">
              <w:rPr>
                <w:rFonts w:ascii="Arial Narrow" w:hAnsi="Arial Narrow"/>
                <w:lang w:val="en-GB"/>
              </w:rPr>
              <w:t>but the magnitude of effect may rarely be decision-altering.</w:t>
            </w:r>
          </w:p>
        </w:tc>
      </w:tr>
      <w:tr w:rsidR="0080346F" w:rsidRPr="0080346F" w:rsidTr="0080346F">
        <w:tc>
          <w:tcPr>
            <w:tcW w:w="2106"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Equity-weighted CU analysis (equity-adjusted QALYS or ICER threshold)</w:t>
            </w:r>
          </w:p>
          <w:p w:rsidR="0080346F" w:rsidRPr="0080346F" w:rsidRDefault="0080346F" w:rsidP="00D62284">
            <w:pPr>
              <w:keepNext/>
              <w:spacing w:before="40" w:after="40"/>
              <w:jc w:val="left"/>
              <w:rPr>
                <w:rFonts w:ascii="Arial Narrow" w:hAnsi="Arial Narrow"/>
                <w:i/>
                <w:lang w:val="en-GB"/>
              </w:rPr>
            </w:pPr>
            <w:r w:rsidRPr="0080346F">
              <w:rPr>
                <w:rFonts w:ascii="Arial Narrow" w:hAnsi="Arial Narrow"/>
                <w:i/>
                <w:lang w:val="en-GB"/>
              </w:rPr>
              <w:t>broad equity criteria</w:t>
            </w:r>
          </w:p>
          <w:p w:rsidR="0080346F" w:rsidRPr="0080346F" w:rsidRDefault="0080346F" w:rsidP="00D62284">
            <w:pPr>
              <w:keepNext/>
              <w:spacing w:before="40" w:after="40"/>
              <w:jc w:val="left"/>
              <w:rPr>
                <w:rFonts w:ascii="Arial Narrow" w:hAnsi="Arial Narrow"/>
                <w:i/>
                <w:lang w:val="en-GB"/>
              </w:rPr>
            </w:pP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i/>
                <w:lang w:val="en-GB"/>
              </w:rPr>
              <w:t>‘rarity’ as a criteria</w:t>
            </w:r>
          </w:p>
        </w:tc>
        <w:tc>
          <w:tcPr>
            <w:tcW w:w="3279"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Once criteria are defined and weightings determined, then application to a conventional economic assessment (ICER) or an adjusted benchmark ICER is straightforward and easy to interpret.</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Weightings favour non-utilitarian social distribution preferences which are not apparent on conventional ICER calculations.</w:t>
            </w:r>
          </w:p>
        </w:tc>
        <w:tc>
          <w:tcPr>
            <w:tcW w:w="4051"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Selection criteria may be contentious.</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Arbitrarily allocated weightings are subjective and yet mathematically determined weightings are highly variable and would require further social research.</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Difficult to apply a weighting where the patient population is highly heterogeneous with respect to the weighting factor.</w:t>
            </w:r>
          </w:p>
        </w:tc>
      </w:tr>
      <w:tr w:rsidR="0080346F" w:rsidRPr="0080346F" w:rsidTr="0080346F">
        <w:tc>
          <w:tcPr>
            <w:tcW w:w="2106"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MCDA</w:t>
            </w:r>
          </w:p>
        </w:tc>
        <w:tc>
          <w:tcPr>
            <w:tcW w:w="3279"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Can potentially incorporate all identified social concerns and values associated with a drug into a value metric.</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Can be set-up with inclusion of fluid or contextual criteria (</w:t>
            </w:r>
            <w:r w:rsidR="006E536A">
              <w:rPr>
                <w:rFonts w:ascii="Arial Narrow" w:hAnsi="Arial Narrow"/>
                <w:lang w:val="en-GB"/>
              </w:rPr>
              <w:t>e.g.</w:t>
            </w:r>
            <w:r w:rsidRPr="0080346F">
              <w:rPr>
                <w:rFonts w:ascii="Arial Narrow" w:hAnsi="Arial Narrow"/>
                <w:lang w:val="en-GB"/>
              </w:rPr>
              <w:t xml:space="preserve"> ‘current priorities’) allowing for change in health strategy or policy, without change in the process.</w:t>
            </w:r>
          </w:p>
        </w:tc>
        <w:tc>
          <w:tcPr>
            <w:tcW w:w="4051"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Selection criteria may be contentious.</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Although intended to be transparent, may become highly complex with reduced transparency.</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May have subjective components.</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Would require significant planning and set-up to implement.</w:t>
            </w:r>
          </w:p>
        </w:tc>
      </w:tr>
      <w:tr w:rsidR="0080346F" w:rsidRPr="0080346F" w:rsidTr="0080346F">
        <w:tc>
          <w:tcPr>
            <w:tcW w:w="2106"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Value-based pricing</w:t>
            </w:r>
          </w:p>
        </w:tc>
        <w:tc>
          <w:tcPr>
            <w:tcW w:w="3279"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Objective determination of (input) value.</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Potentially provides incentive for research and investment in drugs for rare diseases with less financial risk to industry.</w:t>
            </w:r>
          </w:p>
        </w:tc>
        <w:tc>
          <w:tcPr>
            <w:tcW w:w="4051"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No consideration of ‘output’ value.</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Financial risk to funding body.</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Requires sensitive commercial operating cost information which is difficult to verify.</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No practical experience.</w:t>
            </w:r>
          </w:p>
        </w:tc>
      </w:tr>
      <w:tr w:rsidR="0080346F" w:rsidRPr="0080346F" w:rsidTr="0080346F">
        <w:tblPrEx>
          <w:tblCellMar>
            <w:left w:w="108" w:type="dxa"/>
            <w:right w:w="108" w:type="dxa"/>
          </w:tblCellMar>
        </w:tblPrEx>
        <w:tc>
          <w:tcPr>
            <w:tcW w:w="2106"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Combined methods</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(broad CU perspective / equity adjusted CU / MCDA)</w:t>
            </w:r>
          </w:p>
        </w:tc>
        <w:tc>
          <w:tcPr>
            <w:tcW w:w="3279"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Likely to capture all aspects of a drug’s potential value to society.</w:t>
            </w:r>
          </w:p>
        </w:tc>
        <w:tc>
          <w:tcPr>
            <w:tcW w:w="4051" w:type="dxa"/>
          </w:tcPr>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Risk of double-counting value elements</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High level of complexity</w:t>
            </w:r>
          </w:p>
          <w:p w:rsidR="0080346F" w:rsidRPr="0080346F" w:rsidRDefault="0080346F" w:rsidP="00D62284">
            <w:pPr>
              <w:keepNext/>
              <w:spacing w:before="40" w:after="40"/>
              <w:jc w:val="left"/>
              <w:rPr>
                <w:rFonts w:ascii="Arial Narrow" w:hAnsi="Arial Narrow"/>
                <w:lang w:val="en-GB"/>
              </w:rPr>
            </w:pPr>
            <w:r w:rsidRPr="0080346F">
              <w:rPr>
                <w:rFonts w:ascii="Arial Narrow" w:hAnsi="Arial Narrow"/>
                <w:lang w:val="en-GB"/>
              </w:rPr>
              <w:t>Potentially reduced transparency</w:t>
            </w:r>
          </w:p>
        </w:tc>
      </w:tr>
    </w:tbl>
    <w:p w:rsidR="0080346F" w:rsidRPr="0080346F" w:rsidRDefault="0080346F" w:rsidP="0080346F">
      <w:pPr>
        <w:spacing w:after="0" w:line="240" w:lineRule="auto"/>
        <w:jc w:val="left"/>
        <w:rPr>
          <w:rFonts w:ascii="Times New Roman" w:eastAsiaTheme="minorHAnsi" w:hAnsi="Times New Roman"/>
        </w:rPr>
      </w:pPr>
    </w:p>
    <w:p w:rsidR="0080346F" w:rsidRPr="0080346F" w:rsidRDefault="0080346F" w:rsidP="0080346F">
      <w:r w:rsidRPr="0080346F">
        <w:t xml:space="preserve">Also, if adopting a new or alternative value metric for decision-making purposes, consideration as to whether this valuation metric could, or should, be limited to orphan drugs may be contentious. The alternative value metrics vary in the extent to which they lend themselves to restricted or defined use in the orphan drug context. An assessment of the extent to which an alternative value metric should be applied to all drugs, or could be limited to orphan drug, is presented in </w:t>
      </w:r>
      <w:r w:rsidR="00A72B26" w:rsidRPr="0080346F">
        <w:t xml:space="preserve">Table </w:t>
      </w:r>
      <w:r w:rsidR="00A72B26">
        <w:t>142</w:t>
      </w:r>
      <w:r w:rsidR="00F8590C">
        <w:t xml:space="preserve"> </w:t>
      </w:r>
      <w:r w:rsidRPr="0080346F">
        <w:t>although this assessment is necessarily subjective.</w:t>
      </w:r>
    </w:p>
    <w:p w:rsidR="0080346F" w:rsidRPr="0080346F" w:rsidRDefault="0080346F" w:rsidP="00D62284">
      <w:pPr>
        <w:pStyle w:val="Caption"/>
        <w:keepNext/>
        <w:tabs>
          <w:tab w:val="clear" w:pos="851"/>
          <w:tab w:val="left" w:pos="1276"/>
        </w:tabs>
      </w:pPr>
      <w:bookmarkStart w:id="631" w:name="_Ref405841158"/>
      <w:bookmarkStart w:id="632" w:name="_Toc411510505"/>
      <w:bookmarkStart w:id="633" w:name="_Toc415141939"/>
      <w:r w:rsidRPr="0080346F">
        <w:lastRenderedPageBreak/>
        <w:t xml:space="preserve">Table </w:t>
      </w:r>
      <w:r w:rsidR="00A72B26">
        <w:rPr>
          <w:noProof/>
        </w:rPr>
        <w:t>142</w:t>
      </w:r>
      <w:bookmarkEnd w:id="631"/>
      <w:r w:rsidRPr="0080346F">
        <w:tab/>
        <w:t>Summary of the value metrics discussed</w:t>
      </w:r>
      <w:bookmarkEnd w:id="632"/>
      <w:bookmarkEnd w:id="633"/>
    </w:p>
    <w:tbl>
      <w:tblPr>
        <w:tblStyle w:val="TableGrid"/>
        <w:tblW w:w="9436" w:type="dxa"/>
        <w:tblLook w:val="04A0" w:firstRow="1" w:lastRow="0" w:firstColumn="1" w:lastColumn="0" w:noHBand="0" w:noVBand="1"/>
        <w:tblCaption w:val="Table 107 Summary of the value metrics discussed"/>
      </w:tblPr>
      <w:tblGrid>
        <w:gridCol w:w="3369"/>
        <w:gridCol w:w="2126"/>
        <w:gridCol w:w="3941"/>
      </w:tblGrid>
      <w:tr w:rsidR="0080346F" w:rsidRPr="0080346F" w:rsidTr="00F75ECD">
        <w:trPr>
          <w:tblHeader/>
        </w:trPr>
        <w:tc>
          <w:tcPr>
            <w:tcW w:w="3369" w:type="dxa"/>
          </w:tcPr>
          <w:p w:rsidR="0080346F" w:rsidRPr="0080346F" w:rsidRDefault="0080346F" w:rsidP="00D62284">
            <w:pPr>
              <w:keepNext/>
              <w:spacing w:before="40" w:after="40"/>
              <w:jc w:val="left"/>
              <w:rPr>
                <w:rFonts w:ascii="Arial Narrow" w:hAnsi="Arial Narrow"/>
                <w:b/>
                <w:sz w:val="20"/>
                <w:szCs w:val="20"/>
                <w:lang w:eastAsia="en-AU"/>
              </w:rPr>
            </w:pPr>
            <w:r w:rsidRPr="0080346F">
              <w:rPr>
                <w:rFonts w:ascii="Arial Narrow" w:hAnsi="Arial Narrow"/>
                <w:b/>
                <w:sz w:val="20"/>
                <w:szCs w:val="20"/>
                <w:lang w:eastAsia="en-AU"/>
              </w:rPr>
              <w:t>Value metric</w:t>
            </w:r>
          </w:p>
        </w:tc>
        <w:tc>
          <w:tcPr>
            <w:tcW w:w="2126" w:type="dxa"/>
          </w:tcPr>
          <w:p w:rsidR="0080346F" w:rsidRPr="0080346F" w:rsidRDefault="0080346F" w:rsidP="00D62284">
            <w:pPr>
              <w:keepNext/>
              <w:spacing w:before="40" w:after="40"/>
              <w:jc w:val="left"/>
              <w:rPr>
                <w:rFonts w:ascii="Arial Narrow" w:hAnsi="Arial Narrow"/>
                <w:b/>
                <w:sz w:val="20"/>
                <w:szCs w:val="20"/>
                <w:lang w:eastAsia="en-AU"/>
              </w:rPr>
            </w:pPr>
            <w:r w:rsidRPr="0080346F">
              <w:rPr>
                <w:rFonts w:ascii="Arial Narrow" w:hAnsi="Arial Narrow"/>
                <w:b/>
                <w:sz w:val="20"/>
                <w:szCs w:val="20"/>
                <w:lang w:eastAsia="en-AU"/>
              </w:rPr>
              <w:t>Potentially applicable to any drug assessment</w:t>
            </w:r>
          </w:p>
        </w:tc>
        <w:tc>
          <w:tcPr>
            <w:tcW w:w="3941" w:type="dxa"/>
          </w:tcPr>
          <w:p w:rsidR="0080346F" w:rsidRPr="0080346F" w:rsidRDefault="0080346F" w:rsidP="00D62284">
            <w:pPr>
              <w:keepNext/>
              <w:spacing w:before="40" w:after="40"/>
              <w:jc w:val="left"/>
              <w:rPr>
                <w:rFonts w:ascii="Arial Narrow" w:hAnsi="Arial Narrow"/>
                <w:b/>
                <w:sz w:val="20"/>
                <w:szCs w:val="20"/>
                <w:lang w:eastAsia="en-AU"/>
              </w:rPr>
            </w:pPr>
            <w:r w:rsidRPr="0080346F">
              <w:rPr>
                <w:rFonts w:ascii="Arial Narrow" w:hAnsi="Arial Narrow"/>
                <w:b/>
                <w:sz w:val="20"/>
                <w:szCs w:val="20"/>
                <w:lang w:eastAsia="en-AU"/>
              </w:rPr>
              <w:t xml:space="preserve">Justifiable as an approach to orphan drug assessments specifically, without impact on other general drug assessment. </w:t>
            </w:r>
          </w:p>
        </w:tc>
      </w:tr>
      <w:tr w:rsidR="0080346F" w:rsidRPr="0080346F" w:rsidTr="0080346F">
        <w:tc>
          <w:tcPr>
            <w:tcW w:w="3369" w:type="dxa"/>
          </w:tcPr>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t>Broadened cost-utility perspective</w:t>
            </w:r>
          </w:p>
        </w:tc>
        <w:tc>
          <w:tcPr>
            <w:tcW w:w="2126" w:type="dxa"/>
          </w:tcPr>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sym w:font="Wingdings" w:char="F0FC"/>
            </w:r>
          </w:p>
        </w:tc>
        <w:tc>
          <w:tcPr>
            <w:tcW w:w="3941" w:type="dxa"/>
          </w:tcPr>
          <w:p w:rsidR="0080346F" w:rsidRPr="0080346F" w:rsidRDefault="0080346F" w:rsidP="0080346F">
            <w:pPr>
              <w:keepNext/>
              <w:spacing w:before="40" w:after="40"/>
              <w:rPr>
                <w:rFonts w:ascii="Arial Narrow" w:hAnsi="Arial Narrow"/>
                <w:sz w:val="20"/>
                <w:szCs w:val="20"/>
                <w:lang w:val="en-GB"/>
              </w:rPr>
            </w:pPr>
            <w:r w:rsidRPr="0080346F">
              <w:rPr>
                <w:rFonts w:ascii="Arial Narrow" w:hAnsi="Arial Narrow"/>
                <w:sz w:val="20"/>
                <w:szCs w:val="20"/>
                <w:lang w:val="en-GB"/>
              </w:rPr>
              <w:sym w:font="Wingdings" w:char="F0FB"/>
            </w:r>
          </w:p>
        </w:tc>
      </w:tr>
      <w:tr w:rsidR="0080346F" w:rsidRPr="0080346F" w:rsidTr="0080346F">
        <w:trPr>
          <w:trHeight w:val="523"/>
        </w:trPr>
        <w:tc>
          <w:tcPr>
            <w:tcW w:w="3369" w:type="dxa"/>
            <w:tcBorders>
              <w:bottom w:val="nil"/>
            </w:tcBorders>
          </w:tcPr>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t>Equity-weighted QALYS (or equity-adjusted ICER threshold)</w:t>
            </w:r>
          </w:p>
        </w:tc>
        <w:tc>
          <w:tcPr>
            <w:tcW w:w="2126" w:type="dxa"/>
            <w:tcBorders>
              <w:bottom w:val="nil"/>
            </w:tcBorders>
          </w:tcPr>
          <w:p w:rsidR="0080346F" w:rsidRPr="0080346F" w:rsidRDefault="0080346F" w:rsidP="0080346F">
            <w:pPr>
              <w:keepNext/>
              <w:spacing w:before="40" w:after="40"/>
              <w:jc w:val="left"/>
              <w:rPr>
                <w:rFonts w:ascii="Arial Narrow" w:hAnsi="Arial Narrow"/>
                <w:color w:val="FFFFFF" w:themeColor="background1"/>
                <w:sz w:val="20"/>
                <w:szCs w:val="20"/>
                <w:lang w:val="en-GB"/>
              </w:rPr>
            </w:pPr>
            <w:r w:rsidRPr="0080346F">
              <w:rPr>
                <w:rFonts w:ascii="Arial Narrow" w:hAnsi="Arial Narrow"/>
                <w:color w:val="FFFFFF" w:themeColor="background1"/>
                <w:sz w:val="20"/>
                <w:szCs w:val="20"/>
                <w:lang w:val="en-GB"/>
              </w:rPr>
              <w:t>-</w:t>
            </w:r>
          </w:p>
        </w:tc>
        <w:tc>
          <w:tcPr>
            <w:tcW w:w="3941" w:type="dxa"/>
            <w:tcBorders>
              <w:bottom w:val="nil"/>
            </w:tcBorders>
          </w:tcPr>
          <w:p w:rsidR="0080346F" w:rsidRPr="0080346F" w:rsidRDefault="0080346F" w:rsidP="0080346F">
            <w:pPr>
              <w:keepNext/>
              <w:spacing w:before="40" w:after="40"/>
              <w:rPr>
                <w:rFonts w:ascii="Arial Narrow" w:hAnsi="Arial Narrow"/>
                <w:color w:val="FFFFFF" w:themeColor="background1"/>
                <w:sz w:val="20"/>
                <w:szCs w:val="20"/>
                <w:lang w:val="en-GB"/>
              </w:rPr>
            </w:pPr>
            <w:r w:rsidRPr="0080346F">
              <w:rPr>
                <w:rFonts w:ascii="Arial Narrow" w:hAnsi="Arial Narrow"/>
                <w:color w:val="FFFFFF" w:themeColor="background1"/>
                <w:sz w:val="20"/>
                <w:szCs w:val="20"/>
                <w:lang w:val="en-GB"/>
              </w:rPr>
              <w:t>-</w:t>
            </w:r>
          </w:p>
        </w:tc>
      </w:tr>
      <w:tr w:rsidR="0080346F" w:rsidRPr="0080346F" w:rsidTr="0080346F">
        <w:trPr>
          <w:trHeight w:val="580"/>
        </w:trPr>
        <w:tc>
          <w:tcPr>
            <w:tcW w:w="3369" w:type="dxa"/>
            <w:tcBorders>
              <w:top w:val="nil"/>
            </w:tcBorders>
          </w:tcPr>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t>Disease/population-based equity criteria</w:t>
            </w:r>
          </w:p>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t>‘rarity’ as a criteria</w:t>
            </w:r>
          </w:p>
        </w:tc>
        <w:tc>
          <w:tcPr>
            <w:tcW w:w="2126" w:type="dxa"/>
            <w:tcBorders>
              <w:top w:val="nil"/>
            </w:tcBorders>
          </w:tcPr>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sym w:font="Wingdings" w:char="F0FC"/>
            </w:r>
          </w:p>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sym w:font="Wingdings" w:char="F0FB"/>
            </w:r>
          </w:p>
        </w:tc>
        <w:tc>
          <w:tcPr>
            <w:tcW w:w="3941" w:type="dxa"/>
            <w:tcBorders>
              <w:top w:val="nil"/>
            </w:tcBorders>
          </w:tcPr>
          <w:p w:rsidR="0080346F" w:rsidRPr="0080346F" w:rsidRDefault="0080346F" w:rsidP="0080346F">
            <w:pPr>
              <w:keepNext/>
              <w:spacing w:before="40" w:after="40"/>
              <w:rPr>
                <w:rFonts w:ascii="Arial Narrow" w:hAnsi="Arial Narrow"/>
                <w:sz w:val="20"/>
                <w:szCs w:val="20"/>
                <w:lang w:val="en-GB"/>
              </w:rPr>
            </w:pPr>
            <w:r w:rsidRPr="0080346F">
              <w:rPr>
                <w:rFonts w:ascii="Arial Narrow" w:hAnsi="Arial Narrow"/>
                <w:sz w:val="20"/>
                <w:szCs w:val="20"/>
                <w:lang w:val="en-GB"/>
              </w:rPr>
              <w:sym w:font="Wingdings" w:char="F0FB"/>
            </w:r>
          </w:p>
          <w:p w:rsidR="0080346F" w:rsidRPr="0080346F" w:rsidRDefault="0080346F" w:rsidP="0080346F">
            <w:pPr>
              <w:keepNext/>
              <w:spacing w:before="40" w:after="40"/>
              <w:rPr>
                <w:rFonts w:ascii="Arial Narrow" w:hAnsi="Arial Narrow"/>
                <w:sz w:val="20"/>
                <w:szCs w:val="20"/>
                <w:lang w:val="en-GB"/>
              </w:rPr>
            </w:pPr>
            <w:r w:rsidRPr="0080346F">
              <w:rPr>
                <w:rFonts w:ascii="Arial Narrow" w:hAnsi="Arial Narrow"/>
                <w:sz w:val="20"/>
                <w:szCs w:val="20"/>
                <w:lang w:val="en-GB"/>
              </w:rPr>
              <w:sym w:font="Wingdings" w:char="F0FC"/>
            </w:r>
          </w:p>
        </w:tc>
      </w:tr>
      <w:tr w:rsidR="0080346F" w:rsidRPr="0080346F" w:rsidTr="0080346F">
        <w:tc>
          <w:tcPr>
            <w:tcW w:w="3369" w:type="dxa"/>
          </w:tcPr>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t>MCDA</w:t>
            </w:r>
          </w:p>
        </w:tc>
        <w:tc>
          <w:tcPr>
            <w:tcW w:w="2126" w:type="dxa"/>
          </w:tcPr>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sym w:font="Wingdings" w:char="F0FC"/>
            </w:r>
          </w:p>
        </w:tc>
        <w:tc>
          <w:tcPr>
            <w:tcW w:w="3941" w:type="dxa"/>
          </w:tcPr>
          <w:p w:rsidR="0080346F" w:rsidRPr="0080346F" w:rsidRDefault="0080346F" w:rsidP="0080346F">
            <w:pPr>
              <w:keepNext/>
              <w:spacing w:before="40" w:after="40"/>
              <w:rPr>
                <w:rFonts w:ascii="Arial Narrow" w:hAnsi="Arial Narrow"/>
                <w:sz w:val="20"/>
                <w:szCs w:val="20"/>
                <w:lang w:val="en-GB"/>
              </w:rPr>
            </w:pPr>
            <w:r w:rsidRPr="0080346F">
              <w:rPr>
                <w:rFonts w:ascii="Arial Narrow" w:hAnsi="Arial Narrow"/>
                <w:sz w:val="20"/>
                <w:szCs w:val="20"/>
                <w:lang w:val="en-GB"/>
              </w:rPr>
              <w:sym w:font="Wingdings" w:char="F0FC"/>
            </w:r>
            <w:r w:rsidRPr="0080346F">
              <w:rPr>
                <w:rFonts w:ascii="Arial Narrow" w:hAnsi="Arial Narrow"/>
                <w:sz w:val="20"/>
                <w:szCs w:val="20"/>
                <w:lang w:val="en-GB"/>
              </w:rPr>
              <w:t xml:space="preserve"> possibly, but may be contentious</w:t>
            </w:r>
          </w:p>
        </w:tc>
      </w:tr>
      <w:tr w:rsidR="0080346F" w:rsidRPr="0080346F" w:rsidTr="0080346F">
        <w:tc>
          <w:tcPr>
            <w:tcW w:w="3369" w:type="dxa"/>
          </w:tcPr>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t>Input cost -based pricing</w:t>
            </w:r>
          </w:p>
        </w:tc>
        <w:tc>
          <w:tcPr>
            <w:tcW w:w="2126" w:type="dxa"/>
          </w:tcPr>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sym w:font="Wingdings" w:char="F0FC"/>
            </w:r>
            <w:r w:rsidRPr="0080346F">
              <w:rPr>
                <w:rFonts w:ascii="Arial Narrow" w:hAnsi="Arial Narrow"/>
                <w:sz w:val="20"/>
                <w:szCs w:val="20"/>
                <w:lang w:val="en-GB"/>
              </w:rPr>
              <w:t>/</w:t>
            </w:r>
            <w:r w:rsidRPr="0080346F">
              <w:rPr>
                <w:rFonts w:ascii="Arial Narrow" w:hAnsi="Arial Narrow"/>
                <w:sz w:val="20"/>
                <w:szCs w:val="20"/>
                <w:lang w:val="en-GB"/>
              </w:rPr>
              <w:sym w:font="Wingdings" w:char="F0FB"/>
            </w:r>
            <w:r w:rsidRPr="0080346F">
              <w:rPr>
                <w:rFonts w:ascii="Arial Narrow" w:hAnsi="Arial Narrow"/>
                <w:sz w:val="20"/>
                <w:szCs w:val="20"/>
                <w:lang w:val="en-GB"/>
              </w:rPr>
              <w:br/>
              <w:t>theoretically, but not practically</w:t>
            </w:r>
          </w:p>
        </w:tc>
        <w:tc>
          <w:tcPr>
            <w:tcW w:w="3941" w:type="dxa"/>
          </w:tcPr>
          <w:p w:rsidR="0080346F" w:rsidRPr="0080346F" w:rsidRDefault="0080346F" w:rsidP="0080346F">
            <w:pPr>
              <w:keepNext/>
              <w:spacing w:before="40" w:after="40"/>
              <w:rPr>
                <w:rFonts w:ascii="Arial Narrow" w:hAnsi="Arial Narrow"/>
                <w:sz w:val="20"/>
                <w:szCs w:val="20"/>
                <w:lang w:val="en-GB"/>
              </w:rPr>
            </w:pPr>
            <w:r w:rsidRPr="0080346F">
              <w:rPr>
                <w:rFonts w:ascii="Arial Narrow" w:hAnsi="Arial Narrow"/>
                <w:sz w:val="20"/>
                <w:szCs w:val="20"/>
                <w:lang w:val="en-GB"/>
              </w:rPr>
              <w:sym w:font="Wingdings" w:char="F0FC"/>
            </w:r>
            <w:r w:rsidRPr="0080346F">
              <w:rPr>
                <w:rFonts w:ascii="Arial Narrow" w:hAnsi="Arial Narrow"/>
                <w:sz w:val="20"/>
                <w:szCs w:val="20"/>
                <w:lang w:val="en-GB"/>
              </w:rPr>
              <w:t xml:space="preserve"> possibly, but unlikely to be relevant as input cost/patient treated generally substantially lower for drugs with a large market</w:t>
            </w:r>
          </w:p>
        </w:tc>
      </w:tr>
      <w:tr w:rsidR="0080346F" w:rsidRPr="0080346F" w:rsidTr="0080346F">
        <w:tc>
          <w:tcPr>
            <w:tcW w:w="3369" w:type="dxa"/>
          </w:tcPr>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t>Combined methods</w:t>
            </w:r>
          </w:p>
        </w:tc>
        <w:tc>
          <w:tcPr>
            <w:tcW w:w="2126" w:type="dxa"/>
          </w:tcPr>
          <w:p w:rsidR="0080346F" w:rsidRPr="0080346F" w:rsidRDefault="0080346F" w:rsidP="0080346F">
            <w:pPr>
              <w:keepNext/>
              <w:spacing w:before="40" w:after="40"/>
              <w:jc w:val="left"/>
              <w:rPr>
                <w:rFonts w:ascii="Arial Narrow" w:hAnsi="Arial Narrow"/>
                <w:sz w:val="20"/>
                <w:szCs w:val="20"/>
                <w:lang w:val="en-GB"/>
              </w:rPr>
            </w:pPr>
            <w:r w:rsidRPr="0080346F">
              <w:rPr>
                <w:rFonts w:ascii="Arial Narrow" w:hAnsi="Arial Narrow"/>
                <w:sz w:val="20"/>
                <w:szCs w:val="20"/>
                <w:lang w:val="en-GB"/>
              </w:rPr>
              <w:sym w:font="Wingdings" w:char="F0FC"/>
            </w:r>
          </w:p>
        </w:tc>
        <w:tc>
          <w:tcPr>
            <w:tcW w:w="3941" w:type="dxa"/>
          </w:tcPr>
          <w:p w:rsidR="0080346F" w:rsidRPr="0080346F" w:rsidRDefault="0080346F" w:rsidP="0080346F">
            <w:pPr>
              <w:keepNext/>
              <w:spacing w:before="40" w:after="40"/>
              <w:rPr>
                <w:rFonts w:ascii="Arial Narrow" w:hAnsi="Arial Narrow"/>
                <w:sz w:val="20"/>
                <w:szCs w:val="20"/>
                <w:lang w:val="en-GB"/>
              </w:rPr>
            </w:pPr>
            <w:r w:rsidRPr="0080346F">
              <w:rPr>
                <w:rFonts w:ascii="Arial Narrow" w:hAnsi="Arial Narrow"/>
                <w:sz w:val="20"/>
                <w:szCs w:val="20"/>
                <w:lang w:val="en-GB"/>
              </w:rPr>
              <w:sym w:font="Wingdings" w:char="F0FC"/>
            </w:r>
            <w:r w:rsidRPr="0080346F">
              <w:rPr>
                <w:rFonts w:ascii="Arial Narrow" w:hAnsi="Arial Narrow"/>
                <w:sz w:val="20"/>
                <w:szCs w:val="20"/>
                <w:lang w:val="en-GB"/>
              </w:rPr>
              <w:t xml:space="preserve"> possibly</w:t>
            </w:r>
          </w:p>
        </w:tc>
      </w:tr>
    </w:tbl>
    <w:p w:rsidR="0080346F" w:rsidRPr="0080346F" w:rsidRDefault="0080346F" w:rsidP="0080346F"/>
    <w:p w:rsidR="0080346F" w:rsidRPr="0080346F" w:rsidRDefault="0080346F" w:rsidP="0080346F">
      <w:r w:rsidRPr="0080346F">
        <w:t xml:space="preserve">As described previously, the alternative methods that have been identified tend to increase the recognised value of the drug by broadening the value base, and manufacturers of other pharmaceuticals may, understandably, also desire formal recognition of greater value in their products as well. A system that utilises different approaches </w:t>
      </w:r>
      <w:r w:rsidR="00C61E7B">
        <w:t xml:space="preserve">for different products </w:t>
      </w:r>
      <w:r w:rsidR="0014609E">
        <w:t>may not be considered</w:t>
      </w:r>
      <w:r w:rsidRPr="0080346F">
        <w:t xml:space="preserve"> fair</w:t>
      </w:r>
      <w:r w:rsidR="0014609E">
        <w:t xml:space="preserve"> potentially by either the societal recipients or the industry seeking funding</w:t>
      </w:r>
      <w:r w:rsidRPr="0080346F">
        <w:t xml:space="preserve"> </w:t>
      </w:r>
      <w:r w:rsidR="00A130D0">
        <w:rPr>
          <w:noProof/>
        </w:rPr>
        <w:t>(</w:t>
      </w:r>
      <w:r w:rsidR="00184B6F">
        <w:rPr>
          <w:noProof/>
        </w:rPr>
        <w:t>McCabe, Claxton &amp; Tsuchiya 2005</w:t>
      </w:r>
      <w:r w:rsidR="00A130D0">
        <w:rPr>
          <w:noProof/>
        </w:rPr>
        <w:t xml:space="preserve">; </w:t>
      </w:r>
      <w:r w:rsidR="00184B6F">
        <w:rPr>
          <w:noProof/>
        </w:rPr>
        <w:t>McCabe, Edlin &amp; Round 2010</w:t>
      </w:r>
      <w:r w:rsidR="00A130D0">
        <w:rPr>
          <w:noProof/>
        </w:rPr>
        <w:t>)</w:t>
      </w:r>
      <w:r w:rsidRPr="0080346F">
        <w:t xml:space="preserve">). As described in </w:t>
      </w:r>
      <w:r w:rsidR="00A130D0">
        <w:rPr>
          <w:noProof/>
        </w:rPr>
        <w:t>(</w:t>
      </w:r>
      <w:r w:rsidR="00184B6F">
        <w:rPr>
          <w:noProof/>
        </w:rPr>
        <w:t>Wailoo, Tsuchiya &amp; McCabe 2009</w:t>
      </w:r>
      <w:r w:rsidR="00A130D0">
        <w:rPr>
          <w:noProof/>
        </w:rPr>
        <w:t>)</w:t>
      </w:r>
      <w:r w:rsidRPr="0080346F">
        <w:t>, an integral aspect of any economic decision considers alternatives forgone (opportunity cost) and any additional identification of value</w:t>
      </w:r>
      <w:r w:rsidR="0014609E">
        <w:t xml:space="preserve"> in the assessed product</w:t>
      </w:r>
      <w:r w:rsidRPr="0080346F">
        <w:t xml:space="preserve"> – either through equity weights or increased valuation of certain criteria using an MCDA approach – should also be recognised in the </w:t>
      </w:r>
      <w:r w:rsidR="0014609E">
        <w:t xml:space="preserve">consideration of </w:t>
      </w:r>
      <w:r w:rsidRPr="0080346F">
        <w:t xml:space="preserve">opportunity cost. Therefore in any single funding/distribution system, </w:t>
      </w:r>
      <w:r w:rsidR="00C61E7B">
        <w:t xml:space="preserve">attempting to </w:t>
      </w:r>
      <w:r w:rsidR="0014609E">
        <w:t xml:space="preserve">concurrently </w:t>
      </w:r>
      <w:r w:rsidR="00C61E7B">
        <w:t xml:space="preserve">value different products with different valuation methods </w:t>
      </w:r>
      <w:r w:rsidRPr="0080346F">
        <w:t>may be controversial</w:t>
      </w:r>
      <w:r w:rsidR="00C61E7B">
        <w:t xml:space="preserve"> and have </w:t>
      </w:r>
      <w:r w:rsidR="0014609E">
        <w:t>problems of inconsist</w:t>
      </w:r>
      <w:r w:rsidR="00251331">
        <w:t>e</w:t>
      </w:r>
      <w:r w:rsidR="0014609E">
        <w:t>ncy</w:t>
      </w:r>
      <w:r w:rsidRPr="0080346F">
        <w:t>.</w:t>
      </w:r>
    </w:p>
    <w:p w:rsidR="0080346F" w:rsidRPr="00D60032" w:rsidRDefault="0080346F" w:rsidP="00D60032">
      <w:pPr>
        <w:pStyle w:val="Heading2"/>
        <w:ind w:left="1985" w:hanging="708"/>
      </w:pPr>
      <w:bookmarkStart w:id="634" w:name="_Toc415141757"/>
      <w:r w:rsidRPr="0080346F">
        <w:t>Application of value metrics to LSDP drugs</w:t>
      </w:r>
      <w:bookmarkEnd w:id="634"/>
      <w:r w:rsidRPr="0080346F">
        <w:t xml:space="preserve"> </w:t>
      </w:r>
    </w:p>
    <w:p w:rsidR="0080346F" w:rsidRDefault="0080346F" w:rsidP="0080346F">
      <w:r w:rsidRPr="0080346F">
        <w:t>A summary of considerations potentially relevant to the quantification of value using an alternative or adjusted value metric and a description of their rel</w:t>
      </w:r>
      <w:r w:rsidR="00D60032">
        <w:t>e</w:t>
      </w:r>
      <w:r w:rsidRPr="0080346F">
        <w:t xml:space="preserve">vance to the drugs currently funded by the LSDP is presented in </w:t>
      </w:r>
      <w:r w:rsidR="00A72B26" w:rsidRPr="00A72B26">
        <w:t>Table 143</w:t>
      </w:r>
    </w:p>
    <w:p w:rsidR="00D60032" w:rsidRPr="0080346F" w:rsidRDefault="00D60032" w:rsidP="00D60032"/>
    <w:p w:rsidR="006502B8" w:rsidRDefault="006502B8" w:rsidP="00D60032">
      <w:pPr>
        <w:rPr>
          <w:rFonts w:ascii="Cambria" w:hAnsi="Cambria"/>
          <w:bCs/>
          <w:color w:val="1F497D"/>
          <w:szCs w:val="18"/>
        </w:rPr>
        <w:sectPr w:rsidR="006502B8" w:rsidSect="001D2216">
          <w:pgSz w:w="11906" w:h="16838" w:code="9"/>
          <w:pgMar w:top="1077" w:right="1287" w:bottom="902" w:left="1259" w:header="709" w:footer="709" w:gutter="0"/>
          <w:cols w:space="708"/>
          <w:docGrid w:linePitch="360"/>
        </w:sectPr>
      </w:pPr>
    </w:p>
    <w:p w:rsidR="006502B8" w:rsidRPr="006502B8" w:rsidRDefault="006502B8" w:rsidP="006502B8">
      <w:pPr>
        <w:keepNext/>
        <w:tabs>
          <w:tab w:val="left" w:pos="851"/>
        </w:tabs>
        <w:spacing w:before="240" w:after="0"/>
        <w:ind w:left="1276" w:hanging="1276"/>
        <w:rPr>
          <w:rFonts w:ascii="Cambria" w:hAnsi="Cambria"/>
          <w:bCs/>
          <w:color w:val="1F497D"/>
          <w:szCs w:val="18"/>
        </w:rPr>
      </w:pPr>
      <w:bookmarkStart w:id="635" w:name="_Ref413856752"/>
      <w:bookmarkStart w:id="636" w:name="_Toc415141940"/>
      <w:r w:rsidRPr="006502B8">
        <w:rPr>
          <w:rFonts w:ascii="Cambria" w:hAnsi="Cambria"/>
          <w:bCs/>
          <w:color w:val="1F497D"/>
          <w:szCs w:val="18"/>
        </w:rPr>
        <w:lastRenderedPageBreak/>
        <w:t xml:space="preserve">Table </w:t>
      </w:r>
      <w:r w:rsidR="00A72B26">
        <w:rPr>
          <w:rFonts w:ascii="Cambria" w:hAnsi="Cambria"/>
          <w:bCs/>
          <w:noProof/>
          <w:color w:val="1F497D"/>
          <w:szCs w:val="18"/>
        </w:rPr>
        <w:t>143</w:t>
      </w:r>
      <w:bookmarkEnd w:id="635"/>
      <w:r w:rsidRPr="006502B8">
        <w:rPr>
          <w:rFonts w:ascii="Cambria" w:hAnsi="Cambria"/>
          <w:bCs/>
          <w:color w:val="1F497D"/>
          <w:szCs w:val="18"/>
        </w:rPr>
        <w:tab/>
        <w:t>Relevant considerations of alternative value methodologies for existing LSDP drugs</w:t>
      </w:r>
      <w:bookmarkEnd w:id="636"/>
    </w:p>
    <w:tbl>
      <w:tblPr>
        <w:tblStyle w:val="TableGrid4"/>
        <w:tblW w:w="0" w:type="auto"/>
        <w:tblLook w:val="04A0" w:firstRow="1" w:lastRow="0" w:firstColumn="1" w:lastColumn="0" w:noHBand="0" w:noVBand="1"/>
        <w:tblCaption w:val="Considerations of alternative value methodologies for existing LSDP drugs"/>
      </w:tblPr>
      <w:tblGrid>
        <w:gridCol w:w="2145"/>
        <w:gridCol w:w="1843"/>
        <w:gridCol w:w="1701"/>
        <w:gridCol w:w="2126"/>
        <w:gridCol w:w="1843"/>
        <w:gridCol w:w="1701"/>
        <w:gridCol w:w="1559"/>
        <w:gridCol w:w="2157"/>
      </w:tblGrid>
      <w:tr w:rsidR="006502B8" w:rsidRPr="006502B8" w:rsidTr="00F75ECD">
        <w:trPr>
          <w:tblHeader/>
        </w:trPr>
        <w:tc>
          <w:tcPr>
            <w:tcW w:w="2145" w:type="dxa"/>
          </w:tcPr>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Alternative value metrics: relevant considerations</w:t>
            </w:r>
          </w:p>
        </w:tc>
        <w:tc>
          <w:tcPr>
            <w:tcW w:w="1843" w:type="dxa"/>
          </w:tcPr>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Imiglucerase</w:t>
            </w:r>
          </w:p>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Velaglucerase</w:t>
            </w:r>
          </w:p>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Miglustat for Type 1 Gaucher disease</w:t>
            </w:r>
          </w:p>
        </w:tc>
        <w:tc>
          <w:tcPr>
            <w:tcW w:w="1701" w:type="dxa"/>
          </w:tcPr>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Agalsidase alfa</w:t>
            </w:r>
          </w:p>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Agalsidase beta for Fabry disease</w:t>
            </w:r>
          </w:p>
        </w:tc>
        <w:tc>
          <w:tcPr>
            <w:tcW w:w="2126" w:type="dxa"/>
          </w:tcPr>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Alglucosidase alfa for Infantile Onset Pompe Disease</w:t>
            </w:r>
          </w:p>
        </w:tc>
        <w:tc>
          <w:tcPr>
            <w:tcW w:w="1843" w:type="dxa"/>
          </w:tcPr>
          <w:p w:rsidR="006502B8" w:rsidRPr="006502B8" w:rsidRDefault="006502B8" w:rsidP="006502B8">
            <w:pPr>
              <w:keepNext/>
              <w:spacing w:before="40" w:after="40" w:line="240" w:lineRule="auto"/>
              <w:ind w:right="-56"/>
              <w:jc w:val="left"/>
              <w:rPr>
                <w:rFonts w:ascii="Arial Narrow" w:hAnsi="Arial Narrow"/>
                <w:b/>
                <w:lang w:eastAsia="en-AU"/>
              </w:rPr>
            </w:pPr>
            <w:r w:rsidRPr="006502B8">
              <w:rPr>
                <w:rFonts w:ascii="Arial Narrow" w:hAnsi="Arial Narrow"/>
                <w:b/>
                <w:lang w:eastAsia="en-AU"/>
              </w:rPr>
              <w:t>Laronidase for MPS I</w:t>
            </w:r>
          </w:p>
        </w:tc>
        <w:tc>
          <w:tcPr>
            <w:tcW w:w="1701" w:type="dxa"/>
          </w:tcPr>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Idursulfase for MPS II</w:t>
            </w:r>
          </w:p>
        </w:tc>
        <w:tc>
          <w:tcPr>
            <w:tcW w:w="1559" w:type="dxa"/>
          </w:tcPr>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Galsulfase for MPS VI</w:t>
            </w:r>
          </w:p>
        </w:tc>
        <w:tc>
          <w:tcPr>
            <w:tcW w:w="2157" w:type="dxa"/>
          </w:tcPr>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Eculizumab for PNH</w:t>
            </w:r>
          </w:p>
        </w:tc>
      </w:tr>
      <w:tr w:rsidR="006502B8" w:rsidRPr="006502B8" w:rsidTr="006502B8">
        <w:tc>
          <w:tcPr>
            <w:tcW w:w="2145" w:type="dxa"/>
          </w:tcPr>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Improved CU analysis: Improved &amp;</w:t>
            </w:r>
          </w:p>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Broadened capture QoL impact</w:t>
            </w:r>
          </w:p>
        </w:tc>
        <w:tc>
          <w:tcPr>
            <w:tcW w:w="1843"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No data available</w:t>
            </w:r>
          </w:p>
        </w:tc>
        <w:tc>
          <w:tcPr>
            <w:tcW w:w="1701"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No data available</w:t>
            </w:r>
          </w:p>
        </w:tc>
        <w:tc>
          <w:tcPr>
            <w:tcW w:w="2126"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No data available; however severity and childhood nature of disease is suggestive of high levels parent care and parent QoL impacts.</w:t>
            </w:r>
          </w:p>
        </w:tc>
        <w:tc>
          <w:tcPr>
            <w:tcW w:w="1843"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Childhood symptoms with substantial parent care and parent QoL impacts.</w:t>
            </w:r>
          </w:p>
        </w:tc>
        <w:tc>
          <w:tcPr>
            <w:tcW w:w="1701" w:type="dxa"/>
          </w:tcPr>
          <w:p w:rsidR="006502B8" w:rsidRPr="006502B8" w:rsidRDefault="006502B8" w:rsidP="00184B6F">
            <w:pPr>
              <w:keepNext/>
              <w:spacing w:before="40" w:after="40" w:line="240" w:lineRule="auto"/>
              <w:jc w:val="left"/>
              <w:rPr>
                <w:rFonts w:ascii="Arial Narrow" w:hAnsi="Arial Narrow"/>
                <w:lang w:val="en-GB"/>
              </w:rPr>
            </w:pPr>
            <w:r w:rsidRPr="006502B8">
              <w:rPr>
                <w:rFonts w:ascii="Arial Narrow" w:hAnsi="Arial Narrow"/>
                <w:lang w:val="en-GB"/>
              </w:rPr>
              <w:t>Childhood symptoms with substantial parent care and parent QoL impacts.</w:t>
            </w:r>
            <w:r w:rsidR="0084398B">
              <w:rPr>
                <w:rFonts w:ascii="Arial Narrow" w:hAnsi="Arial Narrow"/>
                <w:lang w:val="en-GB"/>
              </w:rPr>
              <w:t xml:space="preserve"> Detailed in </w:t>
            </w:r>
            <w:r w:rsidR="00B05798">
              <w:rPr>
                <w:rFonts w:ascii="Arial Narrow" w:hAnsi="Arial Narrow"/>
                <w:noProof/>
                <w:lang w:val="en-GB"/>
              </w:rPr>
              <w:t>(</w:t>
            </w:r>
            <w:r w:rsidR="00184B6F">
              <w:rPr>
                <w:rFonts w:ascii="Arial Narrow" w:hAnsi="Arial Narrow"/>
                <w:noProof/>
                <w:lang w:val="en-GB"/>
              </w:rPr>
              <w:t>Raluy-Callado et al. 2013</w:t>
            </w:r>
            <w:r w:rsidR="00B05798">
              <w:rPr>
                <w:rFonts w:ascii="Arial Narrow" w:hAnsi="Arial Narrow"/>
                <w:noProof/>
                <w:lang w:val="en-GB"/>
              </w:rPr>
              <w:t>)</w:t>
            </w:r>
            <w:r w:rsidR="0084398B">
              <w:rPr>
                <w:rFonts w:ascii="Arial Narrow" w:hAnsi="Arial Narrow"/>
                <w:lang w:val="en-GB"/>
              </w:rPr>
              <w:t>.</w:t>
            </w:r>
          </w:p>
        </w:tc>
        <w:tc>
          <w:tcPr>
            <w:tcW w:w="1559"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Childhood symptoms with substantial parent care and parent QoL impacts.</w:t>
            </w:r>
          </w:p>
        </w:tc>
        <w:tc>
          <w:tcPr>
            <w:tcW w:w="2157"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Diagnosis of PNH in pregnancy: high potential for impact on dependent children.</w:t>
            </w:r>
          </w:p>
        </w:tc>
      </w:tr>
      <w:tr w:rsidR="006502B8" w:rsidRPr="006502B8" w:rsidTr="006502B8">
        <w:tc>
          <w:tcPr>
            <w:tcW w:w="2145" w:type="dxa"/>
          </w:tcPr>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Equity-weighted CU analysis</w:t>
            </w:r>
          </w:p>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Or</w:t>
            </w:r>
          </w:p>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equity considerations incorporated into MCDA:</w:t>
            </w:r>
          </w:p>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Severity of disease</w:t>
            </w:r>
          </w:p>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w:t>
            </w:r>
            <w:proofErr w:type="gramStart"/>
            <w:r w:rsidR="006E536A">
              <w:rPr>
                <w:rFonts w:ascii="Arial Narrow" w:hAnsi="Arial Narrow"/>
                <w:b/>
                <w:lang w:eastAsia="en-AU"/>
              </w:rPr>
              <w:t>e.g</w:t>
            </w:r>
            <w:proofErr w:type="gramEnd"/>
            <w:r w:rsidR="006E536A">
              <w:rPr>
                <w:rFonts w:ascii="Arial Narrow" w:hAnsi="Arial Narrow"/>
                <w:b/>
                <w:lang w:eastAsia="en-AU"/>
              </w:rPr>
              <w:t>.</w:t>
            </w:r>
            <w:r w:rsidRPr="006502B8">
              <w:rPr>
                <w:rFonts w:ascii="Arial Narrow" w:hAnsi="Arial Narrow"/>
                <w:b/>
                <w:lang w:eastAsia="en-AU"/>
              </w:rPr>
              <w:t xml:space="preserve"> reduction of life-expectancy or reduced functional capacity).</w:t>
            </w:r>
          </w:p>
        </w:tc>
        <w:tc>
          <w:tcPr>
            <w:tcW w:w="1843" w:type="dxa"/>
          </w:tcPr>
          <w:p w:rsidR="006502B8" w:rsidRPr="006502B8" w:rsidRDefault="006502B8" w:rsidP="00184B6F">
            <w:pPr>
              <w:keepNext/>
              <w:spacing w:before="40" w:after="40" w:line="240" w:lineRule="auto"/>
              <w:jc w:val="left"/>
              <w:rPr>
                <w:rFonts w:ascii="Arial Narrow" w:hAnsi="Arial Narrow"/>
                <w:lang w:val="en-GB"/>
              </w:rPr>
            </w:pPr>
            <w:r w:rsidRPr="006502B8">
              <w:rPr>
                <w:rFonts w:ascii="Arial Narrow" w:hAnsi="Arial Narrow"/>
                <w:lang w:val="en-GB"/>
              </w:rPr>
              <w:t>Severity of disease and impact on life expectancy is highly variable.</w:t>
            </w:r>
            <w:r w:rsidR="0084398B">
              <w:rPr>
                <w:rFonts w:ascii="Arial Narrow" w:hAnsi="Arial Narrow"/>
                <w:lang w:val="en-GB"/>
              </w:rPr>
              <w:t xml:space="preserve"> In many</w:t>
            </w:r>
            <w:r w:rsidRPr="006502B8">
              <w:rPr>
                <w:rFonts w:ascii="Arial Narrow" w:hAnsi="Arial Narrow"/>
                <w:lang w:val="en-GB"/>
              </w:rPr>
              <w:t xml:space="preserve"> cases old</w:t>
            </w:r>
            <w:r w:rsidR="0084398B">
              <w:rPr>
                <w:rFonts w:ascii="Arial Narrow" w:hAnsi="Arial Narrow"/>
                <w:lang w:val="en-GB"/>
              </w:rPr>
              <w:t>er</w:t>
            </w:r>
            <w:r w:rsidRPr="006502B8">
              <w:rPr>
                <w:rFonts w:ascii="Arial Narrow" w:hAnsi="Arial Narrow"/>
                <w:lang w:val="en-GB"/>
              </w:rPr>
              <w:t xml:space="preserve"> age </w:t>
            </w:r>
            <w:r w:rsidR="0084398B">
              <w:rPr>
                <w:rFonts w:ascii="Arial Narrow" w:hAnsi="Arial Narrow"/>
                <w:lang w:val="en-GB"/>
              </w:rPr>
              <w:t>is reached with life expectancy into 60s. (Average of 9 years reduction in life expectancy vs overall population).</w:t>
            </w:r>
            <w:r w:rsidR="00B05798">
              <w:rPr>
                <w:rFonts w:ascii="Arial Narrow" w:hAnsi="Arial Narrow"/>
                <w:noProof/>
                <w:lang w:val="en-GB"/>
              </w:rPr>
              <w:t>(</w:t>
            </w:r>
            <w:r w:rsidR="00184B6F">
              <w:rPr>
                <w:rFonts w:ascii="Arial Narrow" w:hAnsi="Arial Narrow"/>
                <w:noProof/>
                <w:lang w:val="en-GB"/>
              </w:rPr>
              <w:t>Weinreb et al. 2008</w:t>
            </w:r>
            <w:r w:rsidR="00B05798">
              <w:rPr>
                <w:rFonts w:ascii="Arial Narrow" w:hAnsi="Arial Narrow"/>
                <w:noProof/>
                <w:lang w:val="en-GB"/>
              </w:rPr>
              <w:t>)</w:t>
            </w:r>
          </w:p>
        </w:tc>
        <w:tc>
          <w:tcPr>
            <w:tcW w:w="1701" w:type="dxa"/>
          </w:tcPr>
          <w:p w:rsidR="006502B8" w:rsidRPr="006502B8" w:rsidRDefault="006502B8" w:rsidP="00184B6F">
            <w:pPr>
              <w:keepNext/>
              <w:spacing w:before="40" w:after="40" w:line="240" w:lineRule="auto"/>
              <w:jc w:val="left"/>
              <w:rPr>
                <w:rFonts w:ascii="Arial Narrow" w:hAnsi="Arial Narrow"/>
                <w:lang w:val="en-GB"/>
              </w:rPr>
            </w:pPr>
            <w:r w:rsidRPr="006502B8">
              <w:rPr>
                <w:rFonts w:ascii="Arial Narrow" w:hAnsi="Arial Narrow"/>
                <w:lang w:val="en-GB"/>
              </w:rPr>
              <w:t xml:space="preserve">US life expectancy data; males 58.2 years (vs 74.7 years in the general population) and for females: 75.4 years (vs 80.0 years in the general population.) </w:t>
            </w:r>
            <w:r w:rsidR="003303FE">
              <w:rPr>
                <w:rFonts w:ascii="Arial Narrow" w:hAnsi="Arial Narrow"/>
                <w:noProof/>
                <w:lang w:val="en-GB"/>
              </w:rPr>
              <w:t>(</w:t>
            </w:r>
            <w:r w:rsidR="00184B6F">
              <w:rPr>
                <w:rFonts w:ascii="Arial Narrow" w:hAnsi="Arial Narrow"/>
                <w:noProof/>
                <w:lang w:val="en-GB"/>
              </w:rPr>
              <w:t>Waldek et al. 2009</w:t>
            </w:r>
            <w:r w:rsidR="003303FE">
              <w:rPr>
                <w:rFonts w:ascii="Arial Narrow" w:hAnsi="Arial Narrow"/>
                <w:noProof/>
                <w:lang w:val="en-GB"/>
              </w:rPr>
              <w:t>)</w:t>
            </w:r>
          </w:p>
        </w:tc>
        <w:tc>
          <w:tcPr>
            <w:tcW w:w="2126" w:type="dxa"/>
          </w:tcPr>
          <w:p w:rsidR="006502B8" w:rsidRPr="006502B8" w:rsidRDefault="0084398B" w:rsidP="00184B6F">
            <w:pPr>
              <w:keepNext/>
              <w:spacing w:before="40" w:after="40" w:line="240" w:lineRule="auto"/>
              <w:jc w:val="left"/>
              <w:rPr>
                <w:rFonts w:ascii="Arial Narrow" w:hAnsi="Arial Narrow"/>
                <w:lang w:val="en-GB"/>
              </w:rPr>
            </w:pPr>
            <w:r>
              <w:rPr>
                <w:rFonts w:ascii="Arial Narrow" w:hAnsi="Arial Narrow"/>
                <w:lang w:val="en-GB"/>
              </w:rPr>
              <w:t>The classic form is a severe disease with l</w:t>
            </w:r>
            <w:r w:rsidR="006502B8" w:rsidRPr="006502B8">
              <w:rPr>
                <w:rFonts w:ascii="Arial Narrow" w:hAnsi="Arial Narrow"/>
                <w:lang w:val="en-GB"/>
              </w:rPr>
              <w:t xml:space="preserve">ife expectancy in untreated infants </w:t>
            </w:r>
            <w:r>
              <w:rPr>
                <w:rFonts w:ascii="Arial Narrow" w:hAnsi="Arial Narrow"/>
                <w:lang w:val="en-GB"/>
              </w:rPr>
              <w:t>&lt;</w:t>
            </w:r>
            <w:r w:rsidR="006502B8" w:rsidRPr="006502B8">
              <w:rPr>
                <w:rFonts w:ascii="Arial Narrow" w:hAnsi="Arial Narrow"/>
                <w:lang w:val="en-GB"/>
              </w:rPr>
              <w:t>1 year.</w:t>
            </w:r>
            <w:r>
              <w:rPr>
                <w:rFonts w:ascii="Arial Narrow" w:hAnsi="Arial Narrow"/>
                <w:lang w:val="en-GB"/>
              </w:rPr>
              <w:t xml:space="preserve"> (A variant form has a slower progression).</w:t>
            </w:r>
            <w:r w:rsidR="00B05798">
              <w:rPr>
                <w:rFonts w:ascii="Arial Narrow" w:hAnsi="Arial Narrow"/>
                <w:noProof/>
                <w:lang w:val="en-GB"/>
              </w:rPr>
              <w:t>(</w:t>
            </w:r>
            <w:r w:rsidR="00184B6F">
              <w:rPr>
                <w:rFonts w:ascii="Arial Narrow" w:hAnsi="Arial Narrow"/>
                <w:noProof/>
                <w:lang w:val="en-GB"/>
              </w:rPr>
              <w:t>Bhengu et al. 2014</w:t>
            </w:r>
            <w:r w:rsidR="00B05798">
              <w:rPr>
                <w:rFonts w:ascii="Arial Narrow" w:hAnsi="Arial Narrow"/>
                <w:noProof/>
                <w:lang w:val="en-GB"/>
              </w:rPr>
              <w:t>)</w:t>
            </w:r>
          </w:p>
        </w:tc>
        <w:tc>
          <w:tcPr>
            <w:tcW w:w="1843"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 xml:space="preserve">Life expectancy in severe form is less than 10 years.  Patients with least severe form can live into </w:t>
            </w:r>
            <w:r w:rsidR="0084398B">
              <w:rPr>
                <w:rFonts w:ascii="Arial Narrow" w:hAnsi="Arial Narrow"/>
                <w:lang w:val="en-GB"/>
              </w:rPr>
              <w:t xml:space="preserve">early </w:t>
            </w:r>
            <w:r w:rsidRPr="006502B8">
              <w:rPr>
                <w:rFonts w:ascii="Arial Narrow" w:hAnsi="Arial Narrow"/>
                <w:lang w:val="en-GB"/>
              </w:rPr>
              <w:t>adulthood.</w:t>
            </w:r>
          </w:p>
          <w:p w:rsidR="006502B8" w:rsidRPr="006502B8" w:rsidRDefault="006502B8" w:rsidP="00184B6F">
            <w:pPr>
              <w:keepNext/>
              <w:spacing w:before="40" w:after="40" w:line="240" w:lineRule="auto"/>
              <w:jc w:val="left"/>
              <w:rPr>
                <w:rFonts w:ascii="Arial Narrow" w:hAnsi="Arial Narrow"/>
                <w:lang w:val="en-GB"/>
              </w:rPr>
            </w:pPr>
            <w:r w:rsidRPr="006502B8">
              <w:rPr>
                <w:rFonts w:ascii="Arial Narrow" w:hAnsi="Arial Narrow"/>
                <w:lang w:val="en-GB"/>
              </w:rPr>
              <w:t xml:space="preserve">Severe symptoms include restricted movement, breathing and feeding. </w:t>
            </w:r>
            <w:r w:rsidR="00B05798">
              <w:rPr>
                <w:rFonts w:ascii="Arial Narrow" w:hAnsi="Arial Narrow"/>
                <w:noProof/>
                <w:lang w:val="en-GB"/>
              </w:rPr>
              <w:t>(</w:t>
            </w:r>
            <w:r w:rsidR="00184B6F">
              <w:rPr>
                <w:rFonts w:ascii="Arial Narrow" w:hAnsi="Arial Narrow"/>
                <w:noProof/>
                <w:lang w:val="en-GB"/>
              </w:rPr>
              <w:t>W</w:t>
            </w:r>
            <w:bookmarkStart w:id="637" w:name="_GoBack"/>
            <w:bookmarkEnd w:id="637"/>
            <w:r w:rsidR="00184B6F">
              <w:rPr>
                <w:rFonts w:ascii="Arial Narrow" w:hAnsi="Arial Narrow"/>
                <w:noProof/>
                <w:lang w:val="en-GB"/>
              </w:rPr>
              <w:t>raith, J. E. &amp; Jones 2014</w:t>
            </w:r>
            <w:r w:rsidR="00B05798">
              <w:rPr>
                <w:rFonts w:ascii="Arial Narrow" w:hAnsi="Arial Narrow"/>
                <w:noProof/>
                <w:lang w:val="en-GB"/>
              </w:rPr>
              <w:t>)</w:t>
            </w:r>
          </w:p>
        </w:tc>
        <w:tc>
          <w:tcPr>
            <w:tcW w:w="1701" w:type="dxa"/>
          </w:tcPr>
          <w:p w:rsidR="006502B8" w:rsidRPr="006502B8" w:rsidRDefault="006502B8" w:rsidP="00184B6F">
            <w:pPr>
              <w:keepNext/>
              <w:spacing w:before="40" w:after="40" w:line="240" w:lineRule="auto"/>
              <w:jc w:val="left"/>
              <w:rPr>
                <w:rFonts w:ascii="Arial Narrow" w:hAnsi="Arial Narrow"/>
                <w:lang w:val="en-GB"/>
              </w:rPr>
            </w:pPr>
            <w:r w:rsidRPr="006502B8">
              <w:rPr>
                <w:rFonts w:ascii="Arial Narrow" w:hAnsi="Arial Narrow"/>
                <w:lang w:val="en-GB"/>
              </w:rPr>
              <w:t xml:space="preserve">Variable severity.  Severe cases with significant mental handicap and life expectancy </w:t>
            </w:r>
            <w:r w:rsidR="0084398B">
              <w:rPr>
                <w:rFonts w:ascii="Arial Narrow" w:hAnsi="Arial Narrow"/>
                <w:lang w:val="en-GB"/>
              </w:rPr>
              <w:t xml:space="preserve">10-20 </w:t>
            </w:r>
            <w:r w:rsidRPr="006502B8">
              <w:rPr>
                <w:rFonts w:ascii="Arial Narrow" w:hAnsi="Arial Narrow"/>
                <w:lang w:val="en-GB"/>
              </w:rPr>
              <w:t xml:space="preserve">years. </w:t>
            </w:r>
            <w:r w:rsidR="0084398B">
              <w:rPr>
                <w:rFonts w:ascii="Arial Narrow" w:hAnsi="Arial Narrow"/>
                <w:lang w:val="en-GB"/>
              </w:rPr>
              <w:t xml:space="preserve"> In l</w:t>
            </w:r>
            <w:r w:rsidRPr="006502B8">
              <w:rPr>
                <w:rFonts w:ascii="Arial Narrow" w:hAnsi="Arial Narrow"/>
                <w:lang w:val="en-GB"/>
              </w:rPr>
              <w:t>ess severe cases</w:t>
            </w:r>
            <w:r w:rsidR="0084398B">
              <w:rPr>
                <w:rFonts w:ascii="Arial Narrow" w:hAnsi="Arial Narrow"/>
                <w:lang w:val="en-GB"/>
              </w:rPr>
              <w:t xml:space="preserve"> patients</w:t>
            </w:r>
            <w:r w:rsidR="00554BA8">
              <w:rPr>
                <w:rFonts w:ascii="Arial Narrow" w:hAnsi="Arial Narrow"/>
                <w:lang w:val="en-GB"/>
              </w:rPr>
              <w:t xml:space="preserve"> often</w:t>
            </w:r>
            <w:r w:rsidRPr="006502B8">
              <w:rPr>
                <w:rFonts w:ascii="Arial Narrow" w:hAnsi="Arial Narrow"/>
                <w:lang w:val="en-GB"/>
              </w:rPr>
              <w:t xml:space="preserve"> live into 30s,</w:t>
            </w:r>
            <w:r w:rsidR="00554BA8">
              <w:rPr>
                <w:rFonts w:ascii="Arial Narrow" w:hAnsi="Arial Narrow"/>
                <w:lang w:val="en-GB"/>
              </w:rPr>
              <w:t xml:space="preserve"> and</w:t>
            </w:r>
            <w:r w:rsidRPr="006502B8">
              <w:rPr>
                <w:rFonts w:ascii="Arial Narrow" w:hAnsi="Arial Narrow"/>
                <w:lang w:val="en-GB"/>
              </w:rPr>
              <w:t xml:space="preserve"> </w:t>
            </w:r>
            <w:r w:rsidR="009161F9" w:rsidRPr="006502B8">
              <w:rPr>
                <w:rFonts w:ascii="Arial Narrow" w:hAnsi="Arial Narrow"/>
                <w:lang w:val="en-GB"/>
              </w:rPr>
              <w:t>occasionally</w:t>
            </w:r>
            <w:r w:rsidR="00554BA8">
              <w:rPr>
                <w:rFonts w:ascii="Arial Narrow" w:hAnsi="Arial Narrow"/>
                <w:lang w:val="en-GB"/>
              </w:rPr>
              <w:t xml:space="preserve"> 60s. </w:t>
            </w:r>
            <w:r w:rsidR="00B05798">
              <w:rPr>
                <w:rFonts w:ascii="Arial Narrow" w:hAnsi="Arial Narrow"/>
                <w:noProof/>
                <w:lang w:val="en-GB"/>
              </w:rPr>
              <w:t>(</w:t>
            </w:r>
            <w:r w:rsidR="00184B6F">
              <w:rPr>
                <w:rFonts w:ascii="Arial Narrow" w:hAnsi="Arial Narrow"/>
                <w:noProof/>
                <w:lang w:val="en-GB"/>
              </w:rPr>
              <w:t>Wraith, J. Edmond et al. 2008</w:t>
            </w:r>
            <w:r w:rsidR="00B05798">
              <w:rPr>
                <w:rFonts w:ascii="Arial Narrow" w:hAnsi="Arial Narrow"/>
                <w:noProof/>
                <w:lang w:val="en-GB"/>
              </w:rPr>
              <w:t>)</w:t>
            </w:r>
          </w:p>
        </w:tc>
        <w:tc>
          <w:tcPr>
            <w:tcW w:w="1559" w:type="dxa"/>
          </w:tcPr>
          <w:p w:rsidR="006502B8" w:rsidRPr="006502B8" w:rsidRDefault="006502B8" w:rsidP="00184B6F">
            <w:pPr>
              <w:keepNext/>
              <w:spacing w:before="40" w:after="40" w:line="240" w:lineRule="auto"/>
              <w:jc w:val="left"/>
              <w:rPr>
                <w:rFonts w:ascii="Arial Narrow" w:hAnsi="Arial Narrow"/>
                <w:lang w:val="en-GB"/>
              </w:rPr>
            </w:pPr>
            <w:r w:rsidRPr="006502B8">
              <w:rPr>
                <w:rFonts w:ascii="Arial Narrow" w:hAnsi="Arial Narrow"/>
                <w:lang w:val="en-GB"/>
              </w:rPr>
              <w:t>Variable severe symptoms including pain, restricted movement, hearing and sight issues and heart disease.</w:t>
            </w:r>
            <w:r w:rsidR="00554BA8">
              <w:rPr>
                <w:rFonts w:ascii="Arial Narrow" w:hAnsi="Arial Narrow"/>
                <w:lang w:val="en-GB"/>
              </w:rPr>
              <w:t xml:space="preserve"> In severe cases death around 20 years, but with slower forms, life expectancy into 40-50s. </w:t>
            </w:r>
            <w:r w:rsidR="00B05798">
              <w:rPr>
                <w:rFonts w:ascii="Arial Narrow" w:hAnsi="Arial Narrow"/>
                <w:noProof/>
                <w:lang w:val="en-GB"/>
              </w:rPr>
              <w:t>(</w:t>
            </w:r>
            <w:r w:rsidR="00184B6F">
              <w:rPr>
                <w:rFonts w:ascii="Arial Narrow" w:hAnsi="Arial Narrow"/>
                <w:noProof/>
                <w:lang w:val="en-GB"/>
              </w:rPr>
              <w:t>Valayannopoulos et al. 2010</w:t>
            </w:r>
            <w:r w:rsidR="00B05798">
              <w:rPr>
                <w:rFonts w:ascii="Arial Narrow" w:hAnsi="Arial Narrow"/>
                <w:noProof/>
                <w:lang w:val="en-GB"/>
              </w:rPr>
              <w:t>)</w:t>
            </w:r>
          </w:p>
        </w:tc>
        <w:tc>
          <w:tcPr>
            <w:tcW w:w="2157" w:type="dxa"/>
          </w:tcPr>
          <w:p w:rsidR="006502B8" w:rsidRPr="006502B8" w:rsidRDefault="006502B8" w:rsidP="00184B6F">
            <w:pPr>
              <w:keepNext/>
              <w:spacing w:before="40" w:after="40" w:line="240" w:lineRule="auto"/>
              <w:jc w:val="left"/>
              <w:rPr>
                <w:rFonts w:ascii="Arial Narrow" w:hAnsi="Arial Narrow"/>
                <w:lang w:val="en-GB"/>
              </w:rPr>
            </w:pPr>
            <w:r w:rsidRPr="006502B8">
              <w:rPr>
                <w:rFonts w:ascii="Arial Narrow" w:hAnsi="Arial Narrow"/>
                <w:lang w:val="en-GB"/>
              </w:rPr>
              <w:t xml:space="preserve">Median survival untreated is 10-20 years. </w:t>
            </w:r>
            <w:r w:rsidR="003303FE">
              <w:rPr>
                <w:rFonts w:ascii="Arial Narrow" w:hAnsi="Arial Narrow"/>
                <w:noProof/>
                <w:lang w:val="en-GB"/>
              </w:rPr>
              <w:t>(</w:t>
            </w:r>
            <w:r w:rsidR="00184B6F">
              <w:rPr>
                <w:rFonts w:ascii="Arial Narrow" w:hAnsi="Arial Narrow"/>
                <w:noProof/>
                <w:lang w:val="en-GB"/>
              </w:rPr>
              <w:t>Parker et al. 2005</w:t>
            </w:r>
            <w:r w:rsidR="003303FE">
              <w:rPr>
                <w:rFonts w:ascii="Arial Narrow" w:hAnsi="Arial Narrow"/>
                <w:noProof/>
                <w:lang w:val="en-GB"/>
              </w:rPr>
              <w:t>)</w:t>
            </w:r>
          </w:p>
        </w:tc>
      </w:tr>
      <w:tr w:rsidR="006502B8" w:rsidRPr="006502B8" w:rsidTr="006502B8">
        <w:tc>
          <w:tcPr>
            <w:tcW w:w="2145" w:type="dxa"/>
          </w:tcPr>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Population of social concern</w:t>
            </w:r>
          </w:p>
          <w:p w:rsidR="006502B8" w:rsidRPr="006502B8" w:rsidRDefault="00D60032" w:rsidP="006502B8">
            <w:pPr>
              <w:keepNext/>
              <w:spacing w:before="40" w:after="40" w:line="240" w:lineRule="auto"/>
              <w:jc w:val="left"/>
              <w:rPr>
                <w:rFonts w:ascii="Arial Narrow" w:hAnsi="Arial Narrow"/>
                <w:b/>
                <w:lang w:eastAsia="en-AU"/>
              </w:rPr>
            </w:pPr>
            <w:r>
              <w:rPr>
                <w:rFonts w:ascii="Arial Narrow" w:hAnsi="Arial Narrow"/>
                <w:b/>
                <w:lang w:eastAsia="en-AU"/>
              </w:rPr>
              <w:t>e</w:t>
            </w:r>
            <w:r w:rsidR="006E536A">
              <w:rPr>
                <w:rFonts w:ascii="Arial Narrow" w:hAnsi="Arial Narrow"/>
                <w:b/>
                <w:lang w:eastAsia="en-AU"/>
              </w:rPr>
              <w:t>.g.</w:t>
            </w:r>
            <w:r w:rsidR="006502B8" w:rsidRPr="006502B8">
              <w:rPr>
                <w:rFonts w:ascii="Arial Narrow" w:hAnsi="Arial Narrow"/>
                <w:b/>
                <w:lang w:eastAsia="en-AU"/>
              </w:rPr>
              <w:t xml:space="preserve"> children</w:t>
            </w:r>
          </w:p>
        </w:tc>
        <w:tc>
          <w:tcPr>
            <w:tcW w:w="1843"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Not confined to specific population (LSDP age range~ 2-84 years, average of 45 years)</w:t>
            </w:r>
          </w:p>
        </w:tc>
        <w:tc>
          <w:tcPr>
            <w:tcW w:w="1701"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Not confined to specific population.</w:t>
            </w:r>
          </w:p>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 xml:space="preserve">LSDP mean age at first treatment ~42 years. </w:t>
            </w:r>
          </w:p>
        </w:tc>
        <w:tc>
          <w:tcPr>
            <w:tcW w:w="2126"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 xml:space="preserve">Generally diagnosed within first few months of life. </w:t>
            </w:r>
          </w:p>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(LSDP population age 1.9-10.5 years, average 5.9 years)</w:t>
            </w:r>
          </w:p>
        </w:tc>
        <w:tc>
          <w:tcPr>
            <w:tcW w:w="1843"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Diagnosed in childhood</w:t>
            </w:r>
          </w:p>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(LSDP current age range~ 7-58 years, average start age 16.5 years)</w:t>
            </w:r>
          </w:p>
        </w:tc>
        <w:tc>
          <w:tcPr>
            <w:tcW w:w="1701"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Often diagnosed in teenage years (LSDP current age range~ 1-57 years, average start age 15.1 years)</w:t>
            </w:r>
          </w:p>
        </w:tc>
        <w:tc>
          <w:tcPr>
            <w:tcW w:w="1559"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Often diagnosed in pre-teenage years (LSDP age range~ 4-35 years, average start age 10 years)</w:t>
            </w:r>
          </w:p>
        </w:tc>
        <w:tc>
          <w:tcPr>
            <w:tcW w:w="2157" w:type="dxa"/>
          </w:tcPr>
          <w:p w:rsidR="006502B8" w:rsidRPr="006502B8" w:rsidRDefault="006502B8" w:rsidP="00184B6F">
            <w:pPr>
              <w:keepNext/>
              <w:spacing w:before="40" w:after="40" w:line="240" w:lineRule="auto"/>
              <w:jc w:val="left"/>
              <w:rPr>
                <w:rFonts w:ascii="Arial Narrow" w:hAnsi="Arial Narrow"/>
                <w:lang w:val="en-GB"/>
              </w:rPr>
            </w:pPr>
            <w:r w:rsidRPr="006502B8">
              <w:rPr>
                <w:rFonts w:ascii="Arial Narrow" w:hAnsi="Arial Narrow"/>
                <w:lang w:val="en-GB"/>
              </w:rPr>
              <w:t xml:space="preserve">Often diagnosed in early adulthood (median age 28 years) (10% in children &lt;21 years). 25% of females diagnosed in pregnancy </w:t>
            </w:r>
            <w:r w:rsidR="003303FE">
              <w:rPr>
                <w:rFonts w:ascii="Arial Narrow" w:hAnsi="Arial Narrow"/>
                <w:noProof/>
                <w:lang w:val="en-GB"/>
              </w:rPr>
              <w:t>(</w:t>
            </w:r>
            <w:r w:rsidR="00184B6F">
              <w:rPr>
                <w:rFonts w:ascii="Arial Narrow" w:hAnsi="Arial Narrow"/>
                <w:noProof/>
                <w:lang w:val="en-GB"/>
              </w:rPr>
              <w:t>Parker et al. 2005</w:t>
            </w:r>
            <w:r w:rsidR="003303FE">
              <w:rPr>
                <w:rFonts w:ascii="Arial Narrow" w:hAnsi="Arial Narrow"/>
                <w:noProof/>
                <w:lang w:val="en-GB"/>
              </w:rPr>
              <w:t>)</w:t>
            </w:r>
            <w:r w:rsidRPr="006502B8">
              <w:rPr>
                <w:rFonts w:ascii="Arial Narrow" w:hAnsi="Arial Narrow"/>
                <w:lang w:val="en-GB"/>
              </w:rPr>
              <w:t xml:space="preserve">.  </w:t>
            </w:r>
          </w:p>
        </w:tc>
      </w:tr>
      <w:tr w:rsidR="006502B8" w:rsidRPr="006502B8" w:rsidTr="006502B8">
        <w:tc>
          <w:tcPr>
            <w:tcW w:w="2145" w:type="dxa"/>
          </w:tcPr>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t xml:space="preserve">Rarity as an adjustment </w:t>
            </w:r>
            <w:r w:rsidRPr="006502B8">
              <w:rPr>
                <w:rFonts w:ascii="Arial Narrow" w:hAnsi="Arial Narrow"/>
                <w:b/>
                <w:lang w:eastAsia="en-AU"/>
              </w:rPr>
              <w:lastRenderedPageBreak/>
              <w:t xml:space="preserve">factor or MCDA criteria: </w:t>
            </w:r>
            <w:r w:rsidR="006E536A">
              <w:rPr>
                <w:rFonts w:ascii="Arial Narrow" w:hAnsi="Arial Narrow"/>
                <w:b/>
                <w:lang w:eastAsia="en-AU"/>
              </w:rPr>
              <w:t>e.g.</w:t>
            </w:r>
            <w:r w:rsidRPr="006502B8">
              <w:rPr>
                <w:rFonts w:ascii="Arial Narrow" w:hAnsi="Arial Narrow"/>
                <w:b/>
                <w:lang w:eastAsia="en-AU"/>
              </w:rPr>
              <w:t xml:space="preserve"> Number of patients in Australia</w:t>
            </w:r>
            <w:r>
              <w:rPr>
                <w:rFonts w:ascii="Arial Narrow" w:hAnsi="Arial Narrow"/>
                <w:b/>
                <w:lang w:eastAsia="en-AU"/>
              </w:rPr>
              <w:t xml:space="preserve"> </w:t>
            </w:r>
          </w:p>
        </w:tc>
        <w:tc>
          <w:tcPr>
            <w:tcW w:w="1843"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lastRenderedPageBreak/>
              <w:t xml:space="preserve">62 patients registered </w:t>
            </w:r>
            <w:r w:rsidRPr="006502B8">
              <w:rPr>
                <w:rFonts w:ascii="Arial Narrow" w:hAnsi="Arial Narrow"/>
                <w:lang w:val="en-GB"/>
              </w:rPr>
              <w:lastRenderedPageBreak/>
              <w:t>on LSDP</w:t>
            </w:r>
            <w:r>
              <w:rPr>
                <w:rFonts w:ascii="Arial Narrow" w:hAnsi="Arial Narrow"/>
                <w:lang w:val="en-GB"/>
              </w:rPr>
              <w:t xml:space="preserve"> in 2014</w:t>
            </w:r>
            <w:r w:rsidRPr="006502B8">
              <w:rPr>
                <w:rFonts w:ascii="Arial Narrow" w:hAnsi="Arial Narrow"/>
                <w:lang w:val="en-GB"/>
              </w:rPr>
              <w:t>.</w:t>
            </w:r>
          </w:p>
        </w:tc>
        <w:tc>
          <w:tcPr>
            <w:tcW w:w="1701"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lastRenderedPageBreak/>
              <w:t xml:space="preserve">78 patients </w:t>
            </w:r>
            <w:r w:rsidRPr="006502B8">
              <w:rPr>
                <w:rFonts w:ascii="Arial Narrow" w:hAnsi="Arial Narrow"/>
                <w:lang w:val="en-GB"/>
              </w:rPr>
              <w:lastRenderedPageBreak/>
              <w:t>registered on LSDP</w:t>
            </w:r>
            <w:r>
              <w:rPr>
                <w:rFonts w:ascii="Arial Narrow" w:hAnsi="Arial Narrow"/>
                <w:lang w:val="en-GB"/>
              </w:rPr>
              <w:t xml:space="preserve"> in 2014</w:t>
            </w:r>
          </w:p>
        </w:tc>
        <w:tc>
          <w:tcPr>
            <w:tcW w:w="2126"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lastRenderedPageBreak/>
              <w:t xml:space="preserve">3 patients registered on </w:t>
            </w:r>
            <w:r w:rsidRPr="006502B8">
              <w:rPr>
                <w:rFonts w:ascii="Arial Narrow" w:hAnsi="Arial Narrow"/>
                <w:lang w:val="en-GB"/>
              </w:rPr>
              <w:lastRenderedPageBreak/>
              <w:t>LSDP</w:t>
            </w:r>
            <w:r>
              <w:rPr>
                <w:rFonts w:ascii="Arial Narrow" w:hAnsi="Arial Narrow"/>
                <w:lang w:val="en-GB"/>
              </w:rPr>
              <w:t xml:space="preserve"> in 2014</w:t>
            </w:r>
          </w:p>
        </w:tc>
        <w:tc>
          <w:tcPr>
            <w:tcW w:w="1843"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lastRenderedPageBreak/>
              <w:t xml:space="preserve">6 patients registered </w:t>
            </w:r>
            <w:r w:rsidRPr="006502B8">
              <w:rPr>
                <w:rFonts w:ascii="Arial Narrow" w:hAnsi="Arial Narrow"/>
                <w:lang w:val="en-GB"/>
              </w:rPr>
              <w:lastRenderedPageBreak/>
              <w:t>on LSDP</w:t>
            </w:r>
            <w:r>
              <w:rPr>
                <w:rFonts w:ascii="Arial Narrow" w:hAnsi="Arial Narrow"/>
                <w:lang w:val="en-GB"/>
              </w:rPr>
              <w:t xml:space="preserve"> in 2014</w:t>
            </w:r>
          </w:p>
        </w:tc>
        <w:tc>
          <w:tcPr>
            <w:tcW w:w="1701"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lastRenderedPageBreak/>
              <w:t xml:space="preserve">15 patients </w:t>
            </w:r>
            <w:r w:rsidRPr="006502B8">
              <w:rPr>
                <w:rFonts w:ascii="Arial Narrow" w:hAnsi="Arial Narrow"/>
                <w:lang w:val="en-GB"/>
              </w:rPr>
              <w:lastRenderedPageBreak/>
              <w:t>registered on LSDP</w:t>
            </w:r>
            <w:r>
              <w:rPr>
                <w:rFonts w:ascii="Arial Narrow" w:hAnsi="Arial Narrow"/>
                <w:lang w:val="en-GB"/>
              </w:rPr>
              <w:t xml:space="preserve"> in 2014.</w:t>
            </w:r>
          </w:p>
        </w:tc>
        <w:tc>
          <w:tcPr>
            <w:tcW w:w="1559"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lastRenderedPageBreak/>
              <w:t xml:space="preserve">12 patients </w:t>
            </w:r>
            <w:r w:rsidRPr="006502B8">
              <w:rPr>
                <w:rFonts w:ascii="Arial Narrow" w:hAnsi="Arial Narrow"/>
                <w:lang w:val="en-GB"/>
              </w:rPr>
              <w:lastRenderedPageBreak/>
              <w:t>registered on LSDP</w:t>
            </w:r>
            <w:r>
              <w:rPr>
                <w:rFonts w:ascii="Arial Narrow" w:hAnsi="Arial Narrow"/>
                <w:lang w:val="en-GB"/>
              </w:rPr>
              <w:t xml:space="preserve"> in 2014.</w:t>
            </w:r>
          </w:p>
        </w:tc>
        <w:tc>
          <w:tcPr>
            <w:tcW w:w="2157"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lastRenderedPageBreak/>
              <w:t xml:space="preserve">78 patients registered on </w:t>
            </w:r>
            <w:r w:rsidRPr="006502B8">
              <w:rPr>
                <w:rFonts w:ascii="Arial Narrow" w:hAnsi="Arial Narrow"/>
                <w:lang w:val="en-GB"/>
              </w:rPr>
              <w:lastRenderedPageBreak/>
              <w:t>LSDP</w:t>
            </w:r>
            <w:r>
              <w:rPr>
                <w:rFonts w:ascii="Arial Narrow" w:hAnsi="Arial Narrow"/>
                <w:lang w:val="en-GB"/>
              </w:rPr>
              <w:t xml:space="preserve"> in 2014.</w:t>
            </w:r>
          </w:p>
        </w:tc>
      </w:tr>
      <w:tr w:rsidR="006502B8" w:rsidRPr="006502B8" w:rsidTr="006502B8">
        <w:tc>
          <w:tcPr>
            <w:tcW w:w="2145" w:type="dxa"/>
          </w:tcPr>
          <w:p w:rsidR="006502B8" w:rsidRPr="006502B8" w:rsidRDefault="006502B8" w:rsidP="006502B8">
            <w:pPr>
              <w:keepNext/>
              <w:spacing w:before="40" w:after="40" w:line="240" w:lineRule="auto"/>
              <w:jc w:val="left"/>
              <w:rPr>
                <w:rFonts w:ascii="Arial Narrow" w:hAnsi="Arial Narrow"/>
                <w:b/>
                <w:lang w:eastAsia="en-AU"/>
              </w:rPr>
            </w:pPr>
            <w:r w:rsidRPr="006502B8">
              <w:rPr>
                <w:rFonts w:ascii="Arial Narrow" w:hAnsi="Arial Narrow"/>
                <w:b/>
                <w:lang w:eastAsia="en-AU"/>
              </w:rPr>
              <w:lastRenderedPageBreak/>
              <w:t>Input costs</w:t>
            </w:r>
          </w:p>
        </w:tc>
        <w:tc>
          <w:tcPr>
            <w:tcW w:w="1843"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unknown</w:t>
            </w:r>
          </w:p>
        </w:tc>
        <w:tc>
          <w:tcPr>
            <w:tcW w:w="1701"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unknown</w:t>
            </w:r>
          </w:p>
        </w:tc>
        <w:tc>
          <w:tcPr>
            <w:tcW w:w="2126"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unknown</w:t>
            </w:r>
          </w:p>
        </w:tc>
        <w:tc>
          <w:tcPr>
            <w:tcW w:w="1843"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unknown</w:t>
            </w:r>
          </w:p>
        </w:tc>
        <w:tc>
          <w:tcPr>
            <w:tcW w:w="1701"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unknown</w:t>
            </w:r>
          </w:p>
        </w:tc>
        <w:tc>
          <w:tcPr>
            <w:tcW w:w="1559"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unknown</w:t>
            </w:r>
          </w:p>
        </w:tc>
        <w:tc>
          <w:tcPr>
            <w:tcW w:w="2157" w:type="dxa"/>
          </w:tcPr>
          <w:p w:rsidR="006502B8" w:rsidRPr="006502B8" w:rsidRDefault="006502B8" w:rsidP="006502B8">
            <w:pPr>
              <w:keepNext/>
              <w:spacing w:before="40" w:after="40" w:line="240" w:lineRule="auto"/>
              <w:jc w:val="left"/>
              <w:rPr>
                <w:rFonts w:ascii="Arial Narrow" w:hAnsi="Arial Narrow"/>
                <w:lang w:val="en-GB"/>
              </w:rPr>
            </w:pPr>
            <w:r w:rsidRPr="006502B8">
              <w:rPr>
                <w:rFonts w:ascii="Arial Narrow" w:hAnsi="Arial Narrow"/>
                <w:lang w:val="en-GB"/>
              </w:rPr>
              <w:t>unknown</w:t>
            </w:r>
          </w:p>
        </w:tc>
      </w:tr>
    </w:tbl>
    <w:p w:rsidR="006502B8" w:rsidRDefault="00D60032" w:rsidP="00D60032">
      <w:pPr>
        <w:pStyle w:val="TableNote"/>
      </w:pPr>
      <w:r>
        <w:t>CU = cost utility analysis; MCDA = multi-criteria decision analysis</w:t>
      </w:r>
      <w:r w:rsidR="002D77B8">
        <w:t>;</w:t>
      </w:r>
      <w:r>
        <w:t xml:space="preserve"> LSDP = Life Saving Drugs Programme</w:t>
      </w:r>
      <w:r w:rsidR="002D77B8">
        <w:t>;</w:t>
      </w:r>
      <w:r>
        <w:t xml:space="preserve"> QoL = quality of life</w:t>
      </w:r>
      <w:r w:rsidR="002D77B8">
        <w:t>;</w:t>
      </w:r>
      <w:r>
        <w:t xml:space="preserve"> MPS = mucopolysaccharidoses</w:t>
      </w:r>
      <w:r w:rsidR="002D77B8">
        <w:t>;</w:t>
      </w:r>
      <w:r>
        <w:t xml:space="preserve"> PNH = paroxysmal nocturnal haemoglobinuria</w:t>
      </w:r>
    </w:p>
    <w:p w:rsidR="00D60032" w:rsidRDefault="00D60032" w:rsidP="006502B8"/>
    <w:p w:rsidR="00D60032" w:rsidRPr="006502B8" w:rsidRDefault="00D60032" w:rsidP="006502B8">
      <w:pPr>
        <w:sectPr w:rsidR="00D60032" w:rsidRPr="006502B8" w:rsidSect="00B302FC">
          <w:pgSz w:w="16838" w:h="11906" w:orient="landscape" w:code="9"/>
          <w:pgMar w:top="1259" w:right="1077" w:bottom="1287" w:left="902" w:header="709" w:footer="709" w:gutter="0"/>
          <w:cols w:space="708"/>
          <w:docGrid w:linePitch="360"/>
        </w:sectPr>
      </w:pPr>
    </w:p>
    <w:p w:rsidR="006502B8" w:rsidRPr="006502B8" w:rsidRDefault="006502B8" w:rsidP="006502B8">
      <w:r w:rsidRPr="006502B8">
        <w:lastRenderedPageBreak/>
        <w:t>It is not possible to indicate the quantitative adjustment that these considerations would have on the ICER, or the interpretation of the ICER, or an MCDA score, or an acceptable price structure, until a quantitative adjustment factor or scoring methodology is decided upon.</w:t>
      </w:r>
    </w:p>
    <w:p w:rsidR="006502B8" w:rsidRPr="006502B8" w:rsidRDefault="006502B8" w:rsidP="006502B8">
      <w:r w:rsidRPr="006502B8">
        <w:t>For the drugs currently listed on the LSDP a review of the evidence identified in the systematic review which would also be relevant to an alternative value is presented in</w:t>
      </w:r>
      <w:r w:rsidR="000326F6">
        <w:t xml:space="preserve"> </w:t>
      </w:r>
      <w:r w:rsidR="00A72B26" w:rsidRPr="0080346F">
        <w:t xml:space="preserve">Table </w:t>
      </w:r>
      <w:r w:rsidR="00A72B26">
        <w:rPr>
          <w:noProof/>
        </w:rPr>
        <w:t>144</w:t>
      </w:r>
      <w:r w:rsidRPr="006502B8">
        <w:t xml:space="preserve">. For each drug class a summary of how the evidence could conceptually be translated to a utility based metric is described in the table, as well as the limitations of the evidence with respect to its </w:t>
      </w:r>
      <w:r w:rsidR="009161F9" w:rsidRPr="006502B8">
        <w:t>transformability</w:t>
      </w:r>
      <w:r w:rsidRPr="006502B8">
        <w:t xml:space="preserve"> to a utility-based value metric. In addition, the results from existing practical attempts to measure the value of the LSDP drugs which have been made (</w:t>
      </w:r>
      <w:r w:rsidR="006E536A">
        <w:t>e.g.</w:t>
      </w:r>
      <w:r w:rsidRPr="006502B8">
        <w:t xml:space="preserve"> in the literature, </w:t>
      </w:r>
      <w:r w:rsidR="00D12B65">
        <w:t>submission to the PBAC</w:t>
      </w:r>
      <w:r w:rsidRPr="006502B8">
        <w:t>) are reported. Analyses from other jurisdictions are not directly applicable to the Australian setting; however their existence may be indicative of the practicality of such an assessment, and in very broad terms suggestive of the expected magnitude of an ICER.</w:t>
      </w:r>
    </w:p>
    <w:p w:rsidR="0080346F" w:rsidRDefault="0080346F" w:rsidP="0080346F">
      <w:pPr>
        <w:keepNext/>
        <w:tabs>
          <w:tab w:val="left" w:pos="851"/>
        </w:tabs>
        <w:spacing w:before="240" w:after="160"/>
        <w:ind w:left="1276" w:hanging="1276"/>
        <w:rPr>
          <w:rFonts w:ascii="Cambria" w:hAnsi="Cambria"/>
          <w:bCs/>
          <w:color w:val="1F497D"/>
          <w:szCs w:val="18"/>
        </w:rPr>
      </w:pPr>
    </w:p>
    <w:p w:rsidR="006502B8" w:rsidRPr="0080346F" w:rsidRDefault="006502B8" w:rsidP="0080346F">
      <w:pPr>
        <w:keepNext/>
        <w:tabs>
          <w:tab w:val="left" w:pos="851"/>
        </w:tabs>
        <w:spacing w:before="240" w:after="160"/>
        <w:ind w:left="1276" w:hanging="1276"/>
        <w:rPr>
          <w:rFonts w:ascii="Cambria" w:hAnsi="Cambria"/>
          <w:bCs/>
          <w:color w:val="1F497D"/>
          <w:szCs w:val="18"/>
        </w:rPr>
        <w:sectPr w:rsidR="006502B8" w:rsidRPr="0080346F" w:rsidSect="001D2216">
          <w:pgSz w:w="11906" w:h="16838" w:code="9"/>
          <w:pgMar w:top="1077" w:right="1287" w:bottom="902" w:left="1259" w:header="709" w:footer="709" w:gutter="0"/>
          <w:cols w:space="708"/>
          <w:docGrid w:linePitch="360"/>
        </w:sectPr>
      </w:pPr>
    </w:p>
    <w:p w:rsidR="0080346F" w:rsidRPr="0080346F" w:rsidRDefault="0080346F" w:rsidP="005776F1">
      <w:pPr>
        <w:pStyle w:val="Caption"/>
        <w:keepNext/>
        <w:tabs>
          <w:tab w:val="clear" w:pos="851"/>
          <w:tab w:val="left" w:pos="1276"/>
        </w:tabs>
        <w:ind w:left="1276" w:hanging="1276"/>
      </w:pPr>
      <w:bookmarkStart w:id="638" w:name="_Ref405841183"/>
      <w:bookmarkStart w:id="639" w:name="_Toc411510506"/>
      <w:bookmarkStart w:id="640" w:name="_Toc415141941"/>
      <w:r w:rsidRPr="0080346F">
        <w:lastRenderedPageBreak/>
        <w:t xml:space="preserve">Table </w:t>
      </w:r>
      <w:r w:rsidR="00A72B26">
        <w:rPr>
          <w:noProof/>
        </w:rPr>
        <w:t>144</w:t>
      </w:r>
      <w:bookmarkEnd w:id="638"/>
      <w:r w:rsidRPr="0080346F">
        <w:tab/>
        <w:t>Identification of outcomes identified in the systematic review of clinical evidence, their applicability to quantitative value assessment and other available economic analyses for existing drugs on the LSDP</w:t>
      </w:r>
      <w:bookmarkEnd w:id="639"/>
      <w:bookmarkEnd w:id="640"/>
    </w:p>
    <w:tbl>
      <w:tblPr>
        <w:tblStyle w:val="TableGrid5"/>
        <w:tblW w:w="5000" w:type="pct"/>
        <w:tblLook w:val="04A0" w:firstRow="1" w:lastRow="0" w:firstColumn="1" w:lastColumn="0" w:noHBand="0" w:noVBand="1"/>
        <w:tblCaption w:val="Table 108 Identification of outcomes identified in the systematic review of clinical evidence, their applicability to quantitative value assessment and other available economic analyses for existing drugs on the LSDP"/>
      </w:tblPr>
      <w:tblGrid>
        <w:gridCol w:w="1978"/>
        <w:gridCol w:w="3274"/>
        <w:gridCol w:w="3181"/>
        <w:gridCol w:w="3301"/>
        <w:gridCol w:w="3341"/>
      </w:tblGrid>
      <w:tr w:rsidR="0080346F" w:rsidRPr="0080346F" w:rsidTr="00F75ECD">
        <w:trPr>
          <w:tblHeader/>
        </w:trPr>
        <w:tc>
          <w:tcPr>
            <w:tcW w:w="656" w:type="pct"/>
          </w:tcPr>
          <w:p w:rsidR="0080346F" w:rsidRPr="0080346F" w:rsidRDefault="0080346F" w:rsidP="002D77B8">
            <w:pPr>
              <w:keepNext/>
              <w:spacing w:before="40" w:after="40"/>
              <w:jc w:val="left"/>
              <w:rPr>
                <w:rFonts w:ascii="Arial Narrow" w:hAnsi="Arial Narrow"/>
                <w:b/>
                <w:lang w:eastAsia="en-AU"/>
              </w:rPr>
            </w:pPr>
            <w:r w:rsidRPr="0080346F">
              <w:rPr>
                <w:rFonts w:ascii="Arial Narrow" w:hAnsi="Arial Narrow"/>
                <w:b/>
                <w:lang w:eastAsia="en-AU"/>
              </w:rPr>
              <w:t>Orphan Drug and condition</w:t>
            </w:r>
          </w:p>
        </w:tc>
        <w:tc>
          <w:tcPr>
            <w:tcW w:w="1086" w:type="pct"/>
          </w:tcPr>
          <w:p w:rsidR="0080346F" w:rsidRPr="0080346F" w:rsidRDefault="0080346F" w:rsidP="002D77B8">
            <w:pPr>
              <w:keepNext/>
              <w:spacing w:before="40" w:after="40"/>
              <w:jc w:val="left"/>
              <w:rPr>
                <w:rFonts w:ascii="Arial Narrow" w:hAnsi="Arial Narrow"/>
                <w:b/>
                <w:lang w:eastAsia="en-AU"/>
              </w:rPr>
            </w:pPr>
            <w:r w:rsidRPr="0080346F">
              <w:rPr>
                <w:rFonts w:ascii="Arial Narrow" w:hAnsi="Arial Narrow"/>
                <w:b/>
                <w:lang w:eastAsia="en-AU"/>
              </w:rPr>
              <w:t>TOR 1 outcomes identified</w:t>
            </w:r>
          </w:p>
        </w:tc>
        <w:tc>
          <w:tcPr>
            <w:tcW w:w="1055" w:type="pct"/>
          </w:tcPr>
          <w:p w:rsidR="0080346F" w:rsidRPr="0080346F" w:rsidRDefault="0080346F" w:rsidP="002D77B8">
            <w:pPr>
              <w:keepNext/>
              <w:spacing w:before="40" w:after="40"/>
              <w:jc w:val="left"/>
              <w:rPr>
                <w:rFonts w:ascii="Arial Narrow" w:hAnsi="Arial Narrow"/>
                <w:b/>
                <w:lang w:eastAsia="en-AU"/>
              </w:rPr>
            </w:pPr>
            <w:r w:rsidRPr="0080346F">
              <w:rPr>
                <w:rFonts w:ascii="Arial Narrow" w:hAnsi="Arial Narrow"/>
                <w:b/>
                <w:lang w:eastAsia="en-AU"/>
              </w:rPr>
              <w:t>Potential application of outcomes in cost-utility analysis</w:t>
            </w:r>
          </w:p>
        </w:tc>
        <w:tc>
          <w:tcPr>
            <w:tcW w:w="1095" w:type="pct"/>
          </w:tcPr>
          <w:p w:rsidR="0080346F" w:rsidRPr="0080346F" w:rsidRDefault="0080346F" w:rsidP="002D77B8">
            <w:pPr>
              <w:keepNext/>
              <w:spacing w:before="40" w:after="40"/>
              <w:jc w:val="left"/>
              <w:rPr>
                <w:rFonts w:ascii="Arial Narrow" w:hAnsi="Arial Narrow"/>
                <w:b/>
                <w:lang w:eastAsia="en-AU"/>
              </w:rPr>
            </w:pPr>
            <w:r w:rsidRPr="0080346F">
              <w:rPr>
                <w:rFonts w:ascii="Arial Narrow" w:hAnsi="Arial Narrow"/>
                <w:b/>
                <w:lang w:eastAsia="en-AU"/>
              </w:rPr>
              <w:t>Limitations of data available for value assessments</w:t>
            </w:r>
          </w:p>
          <w:p w:rsidR="0080346F" w:rsidRPr="0080346F" w:rsidRDefault="0080346F" w:rsidP="002D77B8">
            <w:pPr>
              <w:keepNext/>
              <w:spacing w:before="40" w:after="40"/>
              <w:jc w:val="left"/>
              <w:rPr>
                <w:rFonts w:ascii="Arial Narrow" w:hAnsi="Arial Narrow"/>
                <w:b/>
                <w:lang w:eastAsia="en-AU"/>
              </w:rPr>
            </w:pPr>
            <w:r w:rsidRPr="0080346F">
              <w:rPr>
                <w:rFonts w:ascii="Arial Narrow" w:hAnsi="Arial Narrow"/>
                <w:b/>
                <w:lang w:eastAsia="en-AU"/>
              </w:rPr>
              <w:t>(excluding equity considerations)</w:t>
            </w:r>
          </w:p>
        </w:tc>
        <w:tc>
          <w:tcPr>
            <w:tcW w:w="1108" w:type="pct"/>
          </w:tcPr>
          <w:p w:rsidR="0080346F" w:rsidRPr="0080346F" w:rsidRDefault="0080346F" w:rsidP="002D77B8">
            <w:pPr>
              <w:keepNext/>
              <w:spacing w:before="40" w:after="40"/>
              <w:jc w:val="left"/>
              <w:rPr>
                <w:rFonts w:ascii="Arial Narrow" w:hAnsi="Arial Narrow"/>
                <w:b/>
                <w:lang w:eastAsia="en-AU"/>
              </w:rPr>
            </w:pPr>
            <w:r w:rsidRPr="0080346F">
              <w:rPr>
                <w:rFonts w:ascii="Arial Narrow" w:hAnsi="Arial Narrow"/>
                <w:b/>
                <w:lang w:eastAsia="en-AU"/>
              </w:rPr>
              <w:t>Existing economic analyses</w:t>
            </w:r>
          </w:p>
        </w:tc>
      </w:tr>
      <w:tr w:rsidR="0080346F" w:rsidRPr="0080346F" w:rsidTr="0080346F">
        <w:tc>
          <w:tcPr>
            <w:tcW w:w="65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Imiglucerase</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Velaglucerase</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Miglustat for Type 1 Gaucher disease</w:t>
            </w:r>
          </w:p>
        </w:tc>
        <w:tc>
          <w:tcPr>
            <w:tcW w:w="108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No survival data.</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Some direct QoL data Oliveira, 2013, 31-7) Elstein, 2007, 2296-301,</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Surrogate outcome measures (</w:t>
            </w:r>
            <w:r w:rsidR="006E536A">
              <w:rPr>
                <w:rFonts w:ascii="Arial Narrow" w:hAnsi="Arial Narrow"/>
                <w:lang w:val="en-GB"/>
              </w:rPr>
              <w:t>e.g.</w:t>
            </w:r>
            <w:r w:rsidRPr="0080346F">
              <w:rPr>
                <w:rFonts w:ascii="Arial Narrow" w:hAnsi="Arial Narrow"/>
                <w:lang w:val="en-GB"/>
              </w:rPr>
              <w:t xml:space="preserve"> haematological/ biochemical values, organ size).</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Some event data (</w:t>
            </w:r>
            <w:r w:rsidR="006E536A">
              <w:rPr>
                <w:rFonts w:ascii="Arial Narrow" w:hAnsi="Arial Narrow"/>
                <w:lang w:val="en-GB"/>
              </w:rPr>
              <w:t>e.g.</w:t>
            </w:r>
            <w:r w:rsidRPr="0080346F">
              <w:rPr>
                <w:rFonts w:ascii="Arial Narrow" w:hAnsi="Arial Narrow"/>
                <w:lang w:val="en-GB"/>
              </w:rPr>
              <w:t xml:space="preserve"> bleeding rates).</w:t>
            </w:r>
          </w:p>
        </w:tc>
        <w:tc>
          <w:tcPr>
            <w:tcW w:w="105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Event data could potentially be translated and modelled to estimate incremental QALYs associated with disease/treatment events; however accuracy of transformation may be uncertain.</w:t>
            </w:r>
          </w:p>
        </w:tc>
        <w:tc>
          <w:tcPr>
            <w:tcW w:w="109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 xml:space="preserve">Inability to reliably transform surrogate measures to relevant outcomes/utility measures. </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 xml:space="preserve">Use of limited selective outcomes to estimate QALYs will introduce bias and unreliability into any ICER estimate. </w:t>
            </w:r>
          </w:p>
        </w:tc>
        <w:tc>
          <w:tcPr>
            <w:tcW w:w="1108" w:type="pct"/>
          </w:tcPr>
          <w:p w:rsidR="0080346F" w:rsidRPr="0080346F" w:rsidRDefault="0080346F" w:rsidP="002D77B8">
            <w:pPr>
              <w:keepNext/>
              <w:spacing w:before="40" w:after="40" w:line="240" w:lineRule="auto"/>
              <w:jc w:val="left"/>
              <w:rPr>
                <w:rFonts w:ascii="Arial Narrow" w:hAnsi="Arial Narrow"/>
                <w:lang w:val="en-GB"/>
              </w:rPr>
            </w:pPr>
            <w:proofErr w:type="gramStart"/>
            <w:r w:rsidRPr="0080346F">
              <w:rPr>
                <w:rFonts w:ascii="Arial Narrow" w:hAnsi="Arial Narrow"/>
                <w:lang w:val="en-GB"/>
              </w:rPr>
              <w:t>An</w:t>
            </w:r>
            <w:proofErr w:type="gramEnd"/>
            <w:r w:rsidRPr="0080346F">
              <w:rPr>
                <w:rFonts w:ascii="Arial Narrow" w:hAnsi="Arial Narrow"/>
                <w:lang w:val="en-GB"/>
              </w:rPr>
              <w:t xml:space="preserve"> Dutch CU analysis of ERT in GD 1 </w:t>
            </w:r>
            <w:r w:rsidR="00A130D0">
              <w:rPr>
                <w:rFonts w:ascii="Arial Narrow" w:hAnsi="Arial Narrow"/>
                <w:noProof/>
                <w:lang w:val="en-GB"/>
              </w:rPr>
              <w:t>(</w:t>
            </w:r>
            <w:r w:rsidR="00184B6F">
              <w:rPr>
                <w:rFonts w:ascii="Arial Narrow" w:hAnsi="Arial Narrow"/>
                <w:noProof/>
                <w:lang w:val="en-GB"/>
              </w:rPr>
              <w:t>van Dussen, Biegstraaten, Hollak, et al. 2014</w:t>
            </w:r>
            <w:r w:rsidR="00A130D0">
              <w:rPr>
                <w:rFonts w:ascii="Arial Narrow" w:hAnsi="Arial Narrow"/>
                <w:noProof/>
                <w:lang w:val="en-GB"/>
              </w:rPr>
              <w:t>)</w:t>
            </w:r>
            <w:r w:rsidRPr="0080346F">
              <w:rPr>
                <w:rFonts w:ascii="Arial Narrow" w:hAnsi="Arial Narrow"/>
                <w:lang w:val="en-GB"/>
              </w:rPr>
              <w:t xml:space="preserve"> estimated an ICER of €884,994/QALY or €434,416/YFEOD.</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A cost minimisation of velaglucerase (vs imiglucerase) was submitted to the PBAC.</w:t>
            </w:r>
          </w:p>
        </w:tc>
      </w:tr>
      <w:tr w:rsidR="0080346F" w:rsidRPr="0080346F" w:rsidTr="0080346F">
        <w:tc>
          <w:tcPr>
            <w:tcW w:w="65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Agalsidase alfa</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Agalsidase beta for Fabry disease</w:t>
            </w:r>
          </w:p>
        </w:tc>
        <w:tc>
          <w:tcPr>
            <w:tcW w:w="108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Survival data available but not statistically significant.</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No direct QoL data.</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Some clinically relevant outcome data available (</w:t>
            </w:r>
            <w:r w:rsidR="006E536A">
              <w:rPr>
                <w:rFonts w:ascii="Arial Narrow" w:hAnsi="Arial Narrow"/>
                <w:lang w:val="en-GB"/>
              </w:rPr>
              <w:t>e.g.</w:t>
            </w:r>
            <w:r w:rsidRPr="0080346F">
              <w:rPr>
                <w:rFonts w:ascii="Arial Narrow" w:hAnsi="Arial Narrow"/>
                <w:lang w:val="en-GB"/>
              </w:rPr>
              <w:t xml:space="preserve"> pain, events).</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Other outcome evidence related to surrogate measures (</w:t>
            </w:r>
            <w:r w:rsidR="006E536A">
              <w:rPr>
                <w:rFonts w:ascii="Arial Narrow" w:hAnsi="Arial Narrow"/>
                <w:lang w:val="en-GB"/>
              </w:rPr>
              <w:t>e.g.</w:t>
            </w:r>
            <w:r w:rsidRPr="0080346F">
              <w:rPr>
                <w:rFonts w:ascii="Arial Narrow" w:hAnsi="Arial Narrow"/>
                <w:lang w:val="en-GB"/>
              </w:rPr>
              <w:t xml:space="preserve"> biochemical values).</w:t>
            </w:r>
          </w:p>
        </w:tc>
        <w:tc>
          <w:tcPr>
            <w:tcW w:w="105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Clinically relevant outcomes (</w:t>
            </w:r>
            <w:r w:rsidR="006E536A">
              <w:rPr>
                <w:rFonts w:ascii="Arial Narrow" w:hAnsi="Arial Narrow"/>
                <w:lang w:val="en-GB"/>
              </w:rPr>
              <w:t>e.g.</w:t>
            </w:r>
            <w:r w:rsidRPr="0080346F">
              <w:rPr>
                <w:rFonts w:ascii="Arial Narrow" w:hAnsi="Arial Narrow"/>
                <w:lang w:val="en-GB"/>
              </w:rPr>
              <w:t xml:space="preserve"> pain, events) could potentially be translated to incremental QALY changes.</w:t>
            </w:r>
          </w:p>
        </w:tc>
        <w:tc>
          <w:tcPr>
            <w:tcW w:w="109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Use of limited and selective outcomes to estimate QALYs will potentially introduce bias and unreliability into any ICER estimate.</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 xml:space="preserve">Inability to reliably transform surrogate measures to relevant outcomes/utility measures. </w:t>
            </w:r>
          </w:p>
        </w:tc>
        <w:tc>
          <w:tcPr>
            <w:tcW w:w="1108"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 xml:space="preserve">A Dutch cost-utility assessment of ERT (agalsidase alfa or agalsidase beta) </w:t>
            </w:r>
            <w:r w:rsidRPr="0080346F">
              <w:rPr>
                <w:rFonts w:ascii="Arial Narrow" w:hAnsi="Arial Narrow"/>
                <w:noProof/>
                <w:lang w:val="en-GB"/>
              </w:rPr>
              <w:t>(</w:t>
            </w:r>
            <w:r w:rsidR="00184B6F" w:rsidRPr="0080346F">
              <w:rPr>
                <w:rFonts w:ascii="Arial Narrow" w:hAnsi="Arial Narrow"/>
                <w:noProof/>
                <w:lang w:val="en-GB"/>
              </w:rPr>
              <w:t>Rombach et al. 2013</w:t>
            </w:r>
            <w:r w:rsidRPr="0080346F">
              <w:rPr>
                <w:rFonts w:ascii="Arial Narrow" w:hAnsi="Arial Narrow"/>
                <w:noProof/>
                <w:lang w:val="en-GB"/>
              </w:rPr>
              <w:t>)</w:t>
            </w:r>
            <w:r w:rsidRPr="0080346F">
              <w:rPr>
                <w:rFonts w:ascii="Arial Narrow" w:hAnsi="Arial Narrow"/>
                <w:lang w:val="en-GB"/>
              </w:rPr>
              <w:t>: identified an ICER range of €5.5 - €7.5 million/QALY.</w:t>
            </w:r>
          </w:p>
          <w:p w:rsidR="0080346F" w:rsidRPr="0080346F" w:rsidRDefault="00A130D0" w:rsidP="002D77B8">
            <w:pPr>
              <w:keepNext/>
              <w:spacing w:before="40" w:after="40" w:line="240" w:lineRule="auto"/>
              <w:jc w:val="left"/>
              <w:rPr>
                <w:rFonts w:ascii="Arial Narrow" w:hAnsi="Arial Narrow"/>
                <w:lang w:val="en-GB"/>
              </w:rPr>
            </w:pPr>
            <w:r>
              <w:rPr>
                <w:rFonts w:ascii="Arial Narrow" w:hAnsi="Arial Narrow"/>
                <w:noProof/>
                <w:lang w:val="en-GB"/>
              </w:rPr>
              <w:t>(</w:t>
            </w:r>
            <w:r w:rsidR="00184B6F">
              <w:rPr>
                <w:rFonts w:ascii="Arial Narrow" w:hAnsi="Arial Narrow"/>
                <w:noProof/>
                <w:lang w:val="en-GB"/>
              </w:rPr>
              <w:t>Connock, Juarez-Garcia, et al. 2006</w:t>
            </w:r>
            <w:r>
              <w:rPr>
                <w:rFonts w:ascii="Arial Narrow" w:hAnsi="Arial Narrow"/>
                <w:noProof/>
                <w:lang w:val="en-GB"/>
              </w:rPr>
              <w:t>)</w:t>
            </w:r>
            <w:r w:rsidR="0080346F" w:rsidRPr="0080346F">
              <w:rPr>
                <w:rFonts w:ascii="Arial Narrow" w:hAnsi="Arial Narrow"/>
                <w:lang w:val="en-GB"/>
              </w:rPr>
              <w:t xml:space="preserve"> an English CU assessment estimated an ICER for agalsidase beta of £252,000/QALY.</w:t>
            </w:r>
          </w:p>
          <w:p w:rsidR="0080346F" w:rsidRPr="00FE1CB7" w:rsidRDefault="00FE1CB7" w:rsidP="002D77B8">
            <w:pPr>
              <w:keepNext/>
              <w:spacing w:before="40" w:after="40" w:line="240" w:lineRule="auto"/>
              <w:jc w:val="left"/>
              <w:rPr>
                <w:rFonts w:ascii="Arial Narrow" w:hAnsi="Arial Narrow"/>
                <w:highlight w:val="black"/>
                <w:lang w:val="en-GB"/>
              </w:rPr>
            </w:pPr>
            <w:r>
              <w:rPr>
                <w:rFonts w:ascii="Arial Narrow" w:hAnsi="Arial Narrow"/>
                <w:noProof/>
                <w:color w:val="000000"/>
                <w:highlight w:val="black"/>
                <w:lang w:val="en-GB"/>
              </w:rPr>
              <w:t>'''''''''''''''''''''' ''''''''''''''' ''''''''''''''''''''''''' '''' '''''''''''''''' '''''''''''''''' ''''''''''''''' '''''''''''''''''''''''''''' '''''''''''''''''''''''''' '''''''''' '''''''' ''''''''''' '''''''''''''''''''''''' '''' '''' ''''''''''' ''''' ''''''''''''''''''''''''''' ''''''''''''''''''''''''''</w:t>
            </w:r>
          </w:p>
          <w:p w:rsidR="0080346F" w:rsidRPr="00FE1CB7" w:rsidRDefault="00FE1CB7" w:rsidP="002D77B8">
            <w:pPr>
              <w:keepNext/>
              <w:spacing w:before="40" w:after="40" w:line="240" w:lineRule="auto"/>
              <w:jc w:val="left"/>
              <w:rPr>
                <w:rFonts w:ascii="Arial Narrow" w:hAnsi="Arial Narrow"/>
                <w:highlight w:val="black"/>
                <w:lang w:val="en-GB"/>
              </w:rPr>
            </w:pPr>
            <w:r>
              <w:rPr>
                <w:rFonts w:ascii="Arial Narrow" w:hAnsi="Arial Narrow"/>
                <w:noProof/>
                <w:color w:val="000000"/>
                <w:highlight w:val="black"/>
                <w:lang w:val="en-GB"/>
              </w:rPr>
              <w:t>'''''''''''''''''''''' '''''''''''''''' ''''''''''''''''''''' '''' ''''''''''''' ''''''''''''''' '''''''''''''''' '''''''''''''' ''''''''''''''''''''''' '''' '''''''''''''''''''''''''''''''''''</w:t>
            </w:r>
          </w:p>
        </w:tc>
      </w:tr>
      <w:tr w:rsidR="0080346F" w:rsidRPr="0080346F" w:rsidTr="0080346F">
        <w:tc>
          <w:tcPr>
            <w:tcW w:w="65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Alglucosidase alfa for Infantile Onset Pompe Disease</w:t>
            </w:r>
          </w:p>
        </w:tc>
        <w:tc>
          <w:tcPr>
            <w:tcW w:w="108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Relevant survival data and ‘ventilator-free survival’ data available.</w:t>
            </w:r>
          </w:p>
        </w:tc>
        <w:tc>
          <w:tcPr>
            <w:tcW w:w="105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Survival, ventilator-free survival data could be modelled and transformed to QALYs to estimate ICER.</w:t>
            </w:r>
          </w:p>
        </w:tc>
        <w:tc>
          <w:tcPr>
            <w:tcW w:w="109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Clinical data requires extrapolation to life-time time horizon and transformation to QALYs. (QoL not assessed directly and utility values may be uncertain). Potential utility benefits beyond the patient (i.e. for parents) not captured in trial data. Inherent uncertainty with respect to evidence quality.</w:t>
            </w:r>
          </w:p>
        </w:tc>
        <w:tc>
          <w:tcPr>
            <w:tcW w:w="1108"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 xml:space="preserve">A Dutch cost-utility analysis </w:t>
            </w:r>
            <w:r w:rsidRPr="0080346F">
              <w:rPr>
                <w:rFonts w:ascii="Arial Narrow" w:hAnsi="Arial Narrow"/>
                <w:noProof/>
                <w:lang w:val="en-GB"/>
              </w:rPr>
              <w:t>(</w:t>
            </w:r>
            <w:r w:rsidR="00184B6F" w:rsidRPr="0080346F">
              <w:rPr>
                <w:rFonts w:ascii="Arial Narrow" w:hAnsi="Arial Narrow"/>
                <w:noProof/>
                <w:lang w:val="en-GB"/>
              </w:rPr>
              <w:t>Kanters et al. 2014</w:t>
            </w:r>
            <w:r w:rsidRPr="0080346F">
              <w:rPr>
                <w:rFonts w:ascii="Arial Narrow" w:hAnsi="Arial Narrow"/>
                <w:noProof/>
                <w:lang w:val="en-GB"/>
              </w:rPr>
              <w:t>)</w:t>
            </w:r>
            <w:r w:rsidRPr="0080346F">
              <w:rPr>
                <w:rFonts w:ascii="Arial Narrow" w:hAnsi="Arial Narrow"/>
                <w:lang w:val="en-GB"/>
              </w:rPr>
              <w:t xml:space="preserve"> estimated incremental costs/QALY </w:t>
            </w:r>
            <w:proofErr w:type="gramStart"/>
            <w:r w:rsidRPr="0080346F">
              <w:rPr>
                <w:rFonts w:ascii="Arial Narrow" w:hAnsi="Arial Narrow"/>
                <w:lang w:val="en-GB"/>
              </w:rPr>
              <w:t>were</w:t>
            </w:r>
            <w:proofErr w:type="gramEnd"/>
            <w:r w:rsidRPr="0080346F">
              <w:rPr>
                <w:rFonts w:ascii="Arial Narrow" w:hAnsi="Arial Narrow"/>
                <w:lang w:val="en-GB"/>
              </w:rPr>
              <w:t xml:space="preserve"> €1.0 million and incremental cost/LYG were € 0.5 million.</w:t>
            </w:r>
          </w:p>
          <w:p w:rsidR="0080346F" w:rsidRPr="00FE1CB7" w:rsidRDefault="00FE1CB7" w:rsidP="002D77B8">
            <w:pPr>
              <w:keepNext/>
              <w:spacing w:before="40" w:after="40" w:line="240" w:lineRule="auto"/>
              <w:jc w:val="left"/>
              <w:rPr>
                <w:rFonts w:ascii="Arial Narrow" w:hAnsi="Arial Narrow"/>
                <w:highlight w:val="black"/>
                <w:lang w:val="en-GB"/>
              </w:rPr>
            </w:pPr>
            <w:r>
              <w:rPr>
                <w:rFonts w:ascii="Arial Narrow" w:hAnsi="Arial Narrow"/>
                <w:noProof/>
                <w:color w:val="000000"/>
                <w:highlight w:val="black"/>
                <w:lang w:val="en-GB"/>
              </w:rPr>
              <w:t>''''''''' ''''''''''''''''''''''''' ''''''''''''''''''''' '''''''''''''''''''''''''' ''''' ''''''''' '''''''''''''' '''''''''''''''' ''''''''''''''''''' '''''' ''''''''''''''''''''''''''''' '''''''''' '''' ''''''''''''''''''''''''''''''''''''''''''' ''''''''''''''' '''''''''''' '''' '''''' '''''''''''''''</w:t>
            </w:r>
          </w:p>
        </w:tc>
      </w:tr>
      <w:tr w:rsidR="0080346F" w:rsidRPr="0080346F" w:rsidTr="0080346F">
        <w:tc>
          <w:tcPr>
            <w:tcW w:w="65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Laronidase for MPS I</w:t>
            </w:r>
          </w:p>
        </w:tc>
        <w:tc>
          <w:tcPr>
            <w:tcW w:w="108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No survival data or direct QoL data.</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lastRenderedPageBreak/>
              <w:t xml:space="preserve">Data on exercise </w:t>
            </w:r>
            <w:proofErr w:type="gramStart"/>
            <w:r w:rsidRPr="0080346F">
              <w:rPr>
                <w:rFonts w:ascii="Arial Narrow" w:hAnsi="Arial Narrow"/>
                <w:lang w:val="en-GB"/>
              </w:rPr>
              <w:t>tolerance,</w:t>
            </w:r>
            <w:proofErr w:type="gramEnd"/>
            <w:r w:rsidRPr="0080346F">
              <w:rPr>
                <w:rFonts w:ascii="Arial Narrow" w:hAnsi="Arial Narrow"/>
                <w:lang w:val="en-GB"/>
              </w:rPr>
              <w:t xml:space="preserve"> sleep apnoea and joint movement available.</w:t>
            </w:r>
          </w:p>
        </w:tc>
        <w:tc>
          <w:tcPr>
            <w:tcW w:w="105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lastRenderedPageBreak/>
              <w:t>Clinically relevant outcomes (</w:t>
            </w:r>
            <w:r w:rsidR="006E536A">
              <w:rPr>
                <w:rFonts w:ascii="Arial Narrow" w:hAnsi="Arial Narrow"/>
                <w:lang w:val="en-GB"/>
              </w:rPr>
              <w:t>e.g.</w:t>
            </w:r>
            <w:r w:rsidRPr="0080346F">
              <w:rPr>
                <w:rFonts w:ascii="Arial Narrow" w:hAnsi="Arial Narrow"/>
                <w:lang w:val="en-GB"/>
              </w:rPr>
              <w:t xml:space="preserve"> </w:t>
            </w:r>
            <w:r w:rsidRPr="0080346F">
              <w:rPr>
                <w:rFonts w:ascii="Arial Narrow" w:hAnsi="Arial Narrow"/>
                <w:lang w:val="en-GB"/>
              </w:rPr>
              <w:lastRenderedPageBreak/>
              <w:t>exercise tolerance, sleep apnoea and joint movement) could potentially be translated to incremental QALY changes.</w:t>
            </w:r>
          </w:p>
        </w:tc>
        <w:tc>
          <w:tcPr>
            <w:tcW w:w="109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lastRenderedPageBreak/>
              <w:t xml:space="preserve">Transformation of limited clinical outcome </w:t>
            </w:r>
            <w:r w:rsidRPr="0080346F">
              <w:rPr>
                <w:rFonts w:ascii="Arial Narrow" w:hAnsi="Arial Narrow"/>
                <w:lang w:val="en-GB"/>
              </w:rPr>
              <w:lastRenderedPageBreak/>
              <w:t>data to QALYs uncertain and unlikely to accurately capture true QALY effects.</w:t>
            </w:r>
          </w:p>
        </w:tc>
        <w:tc>
          <w:tcPr>
            <w:tcW w:w="1108" w:type="pct"/>
          </w:tcPr>
          <w:p w:rsidR="0080346F" w:rsidRPr="0080346F" w:rsidRDefault="00A130D0" w:rsidP="002D77B8">
            <w:pPr>
              <w:keepNext/>
              <w:spacing w:before="40" w:after="40" w:line="240" w:lineRule="auto"/>
              <w:jc w:val="left"/>
              <w:rPr>
                <w:rFonts w:ascii="Arial Narrow" w:hAnsi="Arial Narrow"/>
                <w:lang w:val="en-GB"/>
              </w:rPr>
            </w:pPr>
            <w:r>
              <w:rPr>
                <w:rFonts w:ascii="Arial Narrow" w:hAnsi="Arial Narrow"/>
                <w:noProof/>
                <w:lang w:val="en-GB"/>
              </w:rPr>
              <w:lastRenderedPageBreak/>
              <w:t>(</w:t>
            </w:r>
            <w:r w:rsidR="00184B6F">
              <w:rPr>
                <w:rFonts w:ascii="Arial Narrow" w:hAnsi="Arial Narrow"/>
                <w:noProof/>
                <w:lang w:val="en-GB"/>
              </w:rPr>
              <w:t>Connock, Juarez-Garcia, et al. 2006</w:t>
            </w:r>
            <w:r>
              <w:rPr>
                <w:rFonts w:ascii="Arial Narrow" w:hAnsi="Arial Narrow"/>
                <w:noProof/>
                <w:lang w:val="en-GB"/>
              </w:rPr>
              <w:t>)</w:t>
            </w:r>
            <w:r w:rsidR="0080346F" w:rsidRPr="0080346F">
              <w:rPr>
                <w:rFonts w:ascii="Arial Narrow" w:hAnsi="Arial Narrow"/>
                <w:lang w:val="en-GB"/>
              </w:rPr>
              <w:t xml:space="preserve"> was </w:t>
            </w:r>
            <w:r w:rsidR="0080346F" w:rsidRPr="0080346F">
              <w:rPr>
                <w:rFonts w:ascii="Arial Narrow" w:hAnsi="Arial Narrow"/>
                <w:lang w:val="en-GB"/>
              </w:rPr>
              <w:lastRenderedPageBreak/>
              <w:t>unable to estimate an ICER in QALYs for Laronidase.</w:t>
            </w:r>
          </w:p>
          <w:p w:rsidR="0080346F" w:rsidRPr="00290DE3" w:rsidRDefault="00290DE3" w:rsidP="002D77B8">
            <w:pPr>
              <w:keepNext/>
              <w:spacing w:before="40" w:after="40" w:line="240" w:lineRule="auto"/>
              <w:jc w:val="left"/>
              <w:rPr>
                <w:rFonts w:ascii="Arial Narrow" w:hAnsi="Arial Narrow"/>
                <w:highlight w:val="black"/>
                <w:lang w:val="en-GB"/>
              </w:rPr>
            </w:pPr>
            <w:r>
              <w:rPr>
                <w:rFonts w:ascii="Arial Narrow" w:hAnsi="Arial Narrow"/>
                <w:noProof/>
                <w:color w:val="000000"/>
                <w:highlight w:val="black"/>
                <w:lang w:val="en-GB"/>
              </w:rPr>
              <w:t>''''''''' '''''''''''''''''''''''''' '''' ''''''''' '''''''''''''' '''''''''''''' '''''''''''''''''''''' '''''''''' ''' '''''''''''''''''''''''' '''''''' '''''''''' ''''''''''''' '''''''''''''''''''</w:t>
            </w:r>
          </w:p>
        </w:tc>
      </w:tr>
      <w:tr w:rsidR="0080346F" w:rsidRPr="0080346F" w:rsidTr="0080346F">
        <w:tc>
          <w:tcPr>
            <w:tcW w:w="65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lastRenderedPageBreak/>
              <w:t>Idursulfase for MPS II</w:t>
            </w:r>
          </w:p>
        </w:tc>
        <w:tc>
          <w:tcPr>
            <w:tcW w:w="108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No survival data or direct QoL data.</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Data on physical functioning and respiratory function available.</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Other outcome evidence related to surrogate measures (</w:t>
            </w:r>
            <w:r w:rsidR="006E536A">
              <w:rPr>
                <w:rFonts w:ascii="Arial Narrow" w:hAnsi="Arial Narrow"/>
                <w:lang w:val="en-GB"/>
              </w:rPr>
              <w:t>e.g.</w:t>
            </w:r>
            <w:r w:rsidRPr="0080346F">
              <w:rPr>
                <w:rFonts w:ascii="Arial Narrow" w:hAnsi="Arial Narrow"/>
                <w:lang w:val="en-GB"/>
              </w:rPr>
              <w:t xml:space="preserve"> biochemical values).</w:t>
            </w:r>
          </w:p>
        </w:tc>
        <w:tc>
          <w:tcPr>
            <w:tcW w:w="105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Clinically relevant outcomes (</w:t>
            </w:r>
            <w:r w:rsidR="006E536A">
              <w:rPr>
                <w:rFonts w:ascii="Arial Narrow" w:hAnsi="Arial Narrow"/>
                <w:lang w:val="en-GB"/>
              </w:rPr>
              <w:t>e.g.</w:t>
            </w:r>
            <w:r w:rsidRPr="0080346F">
              <w:rPr>
                <w:rFonts w:ascii="Arial Narrow" w:hAnsi="Arial Narrow"/>
                <w:lang w:val="en-GB"/>
              </w:rPr>
              <w:t xml:space="preserve"> physical functioning and respiratory function) could potentially be translated to incremental QALY changes.</w:t>
            </w:r>
          </w:p>
        </w:tc>
        <w:tc>
          <w:tcPr>
            <w:tcW w:w="109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Transformation of clinical event data to QALYs uncertain and unlikely to accurately reflect incremental QALYs.</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 xml:space="preserve">Inability to reliably transform surrogate measures to relevant utility measures.  </w:t>
            </w:r>
          </w:p>
        </w:tc>
        <w:tc>
          <w:tcPr>
            <w:tcW w:w="1108"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No published economic analyses of idursulfase were identified.</w:t>
            </w:r>
          </w:p>
          <w:p w:rsidR="0080346F" w:rsidRPr="00290DE3" w:rsidRDefault="00290DE3" w:rsidP="002D77B8">
            <w:pPr>
              <w:keepNext/>
              <w:spacing w:before="40" w:after="40" w:line="240" w:lineRule="auto"/>
              <w:jc w:val="left"/>
              <w:rPr>
                <w:rFonts w:ascii="Arial Narrow" w:hAnsi="Arial Narrow"/>
                <w:highlight w:val="black"/>
                <w:lang w:val="en-GB"/>
              </w:rPr>
            </w:pPr>
            <w:r>
              <w:rPr>
                <w:rFonts w:ascii="Arial Narrow" w:hAnsi="Arial Narrow"/>
                <w:noProof/>
                <w:color w:val="000000"/>
                <w:highlight w:val="black"/>
                <w:lang w:val="en-GB"/>
              </w:rPr>
              <w:t>'''''''''' ''''''''''''''''''''''''' '''' '''''''' '''''''''''''' ''''''''''''''' '''''''''''''''''''''''''' '''''' ''''''''''''''''''' '''''''''''''''''''''' '''''' '''''''''''''''''''''''''' '''''''''''' ''''''''''''''''''''''' ''''''''''''''' ''''''''''''''' '''' '''''''''''''''''''''</w:t>
            </w:r>
          </w:p>
        </w:tc>
      </w:tr>
      <w:tr w:rsidR="0080346F" w:rsidRPr="0080346F" w:rsidTr="0080346F">
        <w:tc>
          <w:tcPr>
            <w:tcW w:w="65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Galsulfase for MPS VI</w:t>
            </w:r>
          </w:p>
        </w:tc>
        <w:tc>
          <w:tcPr>
            <w:tcW w:w="108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No survival data or direct QoL data.</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Clinical outcome data (physical functioning capacity) available but not statistically significant.</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Other outcome evidence related to surrogate measures (</w:t>
            </w:r>
            <w:r w:rsidR="006E536A">
              <w:rPr>
                <w:rFonts w:ascii="Arial Narrow" w:hAnsi="Arial Narrow"/>
                <w:lang w:val="en-GB"/>
              </w:rPr>
              <w:t>e.g.</w:t>
            </w:r>
            <w:r w:rsidRPr="0080346F">
              <w:rPr>
                <w:rFonts w:ascii="Arial Narrow" w:hAnsi="Arial Narrow"/>
                <w:lang w:val="en-GB"/>
              </w:rPr>
              <w:t xml:space="preserve"> biochemical values).</w:t>
            </w:r>
          </w:p>
        </w:tc>
        <w:tc>
          <w:tcPr>
            <w:tcW w:w="105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Outcome data could potentially be translated to QALYs, however this may be considered highly uncertain given the lack of statistical significance.</w:t>
            </w:r>
          </w:p>
        </w:tc>
        <w:tc>
          <w:tcPr>
            <w:tcW w:w="109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Use of non-statistically significant data and limited selective outcomes will produce unreliable and biased estimate of ICER.</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 xml:space="preserve">Surrogate measures unable to be transformed to relevant utility measures.  </w:t>
            </w:r>
          </w:p>
        </w:tc>
        <w:tc>
          <w:tcPr>
            <w:tcW w:w="1108"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No published economic analyses of galsulfase were identified.</w:t>
            </w:r>
          </w:p>
          <w:p w:rsidR="0080346F" w:rsidRPr="00290DE3" w:rsidRDefault="00290DE3" w:rsidP="002D77B8">
            <w:pPr>
              <w:keepNext/>
              <w:spacing w:before="40" w:after="40" w:line="240" w:lineRule="auto"/>
              <w:jc w:val="left"/>
              <w:rPr>
                <w:rFonts w:ascii="Arial Narrow" w:hAnsi="Arial Narrow"/>
                <w:highlight w:val="black"/>
                <w:lang w:val="en-GB"/>
              </w:rPr>
            </w:pPr>
            <w:r>
              <w:rPr>
                <w:rFonts w:ascii="Arial Narrow" w:hAnsi="Arial Narrow"/>
                <w:noProof/>
                <w:color w:val="000000"/>
                <w:highlight w:val="black"/>
                <w:lang w:val="en-GB"/>
              </w:rPr>
              <w:t>'''''''''' ''''''''''''''''''''''''''' '''' ''''''''' ''''''''''''''' '''''''''''''''' '''''''''''''''''''''' '''' ''''''''''''''''''''''''''''''''''''''''''''' ''''''''''''''''' '''''''''''''''''''''''''' ''''''''''''''''''''''''' '''''''''''''''''''''' ''''''''''''' ''''''''''''''''''''''''''''''''' ''''''''''''''''''''''' ''''''''' '''''''''''''''''''''''''' '''''''''''''''' '''''''''''''''''''''''' '''' ''' ''''''''''' '''' '''''''''''''''''''''' '''''''' ''''' ''''''''''''''''</w:t>
            </w:r>
          </w:p>
        </w:tc>
      </w:tr>
      <w:tr w:rsidR="0080346F" w:rsidRPr="0080346F" w:rsidTr="0080346F">
        <w:tc>
          <w:tcPr>
            <w:tcW w:w="65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Eculizumab for PNH</w:t>
            </w:r>
          </w:p>
        </w:tc>
        <w:tc>
          <w:tcPr>
            <w:tcW w:w="1086"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Survival data available but of poor quality.  Quality of life and event data available.</w:t>
            </w:r>
          </w:p>
        </w:tc>
        <w:tc>
          <w:tcPr>
            <w:tcW w:w="105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Survival, QoL and event data could be modelled and transformed to QALYs to estimate ICER.</w:t>
            </w:r>
          </w:p>
        </w:tc>
        <w:tc>
          <w:tcPr>
            <w:tcW w:w="1095"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Nature of clinical evidence suitable for CU analysis, however unreliability of survival data (due to study design) compromises validity of claim.</w:t>
            </w:r>
          </w:p>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 xml:space="preserve">Broader utility implications for carers (family) not identified. </w:t>
            </w:r>
          </w:p>
        </w:tc>
        <w:tc>
          <w:tcPr>
            <w:tcW w:w="1108" w:type="pct"/>
          </w:tcPr>
          <w:p w:rsidR="0080346F" w:rsidRPr="0080346F" w:rsidRDefault="0080346F" w:rsidP="002D77B8">
            <w:pPr>
              <w:keepNext/>
              <w:spacing w:before="40" w:after="40" w:line="240" w:lineRule="auto"/>
              <w:jc w:val="left"/>
              <w:rPr>
                <w:rFonts w:ascii="Arial Narrow" w:hAnsi="Arial Narrow"/>
                <w:lang w:val="en-GB"/>
              </w:rPr>
            </w:pPr>
            <w:r w:rsidRPr="0080346F">
              <w:rPr>
                <w:rFonts w:ascii="Arial Narrow" w:hAnsi="Arial Narrow"/>
                <w:lang w:val="en-GB"/>
              </w:rPr>
              <w:t xml:space="preserve">A Canadian CU analysis </w:t>
            </w:r>
            <w:r w:rsidRPr="0080346F">
              <w:rPr>
                <w:rFonts w:ascii="Arial Narrow" w:hAnsi="Arial Narrow"/>
                <w:noProof/>
                <w:lang w:val="en-GB"/>
              </w:rPr>
              <w:t>(</w:t>
            </w:r>
            <w:r w:rsidR="00184B6F" w:rsidRPr="0080346F">
              <w:rPr>
                <w:rFonts w:ascii="Arial Narrow" w:hAnsi="Arial Narrow"/>
                <w:noProof/>
                <w:lang w:val="en-GB"/>
              </w:rPr>
              <w:t>Coyle, Cheung &amp; Evans 2014</w:t>
            </w:r>
            <w:r w:rsidRPr="0080346F">
              <w:rPr>
                <w:rFonts w:ascii="Arial Narrow" w:hAnsi="Arial Narrow"/>
                <w:noProof/>
                <w:lang w:val="en-GB"/>
              </w:rPr>
              <w:t>)</w:t>
            </w:r>
            <w:r w:rsidRPr="0080346F">
              <w:rPr>
                <w:rFonts w:ascii="Arial Narrow" w:hAnsi="Arial Narrow"/>
                <w:lang w:val="en-GB"/>
              </w:rPr>
              <w:t xml:space="preserve"> estimated ICERs of CAN$4.62 million/LYG and CAN$2.13 million/QALY.</w:t>
            </w:r>
          </w:p>
          <w:p w:rsidR="0080346F" w:rsidRPr="00290DE3" w:rsidRDefault="00290DE3" w:rsidP="002D77B8">
            <w:pPr>
              <w:keepNext/>
              <w:spacing w:before="40" w:after="40" w:line="240" w:lineRule="auto"/>
              <w:jc w:val="left"/>
              <w:rPr>
                <w:rFonts w:ascii="Arial Narrow" w:hAnsi="Arial Narrow"/>
                <w:highlight w:val="black"/>
                <w:lang w:val="en-GB"/>
              </w:rPr>
            </w:pPr>
            <w:r>
              <w:rPr>
                <w:rFonts w:ascii="Arial Narrow" w:hAnsi="Arial Narrow"/>
                <w:noProof/>
                <w:color w:val="000000"/>
                <w:highlight w:val="black"/>
                <w:lang w:val="en-GB"/>
              </w:rPr>
              <w:t>''''''''' ''''''''''''' ''''''''''''''' ''''''''''''''''''''''''''''' ''''' ''''''''''''' '''''''''''''' ''''''''''''''''''''' '''''''''''''''' '''' ''''''''''''''''''''''''''''''''''''''''' ''''''''' ''''''''''''''''''''''''''''''''''''''''''''''''''''''''''''''''''</w:t>
            </w:r>
          </w:p>
        </w:tc>
      </w:tr>
    </w:tbl>
    <w:p w:rsidR="0080346F" w:rsidRPr="00FD4212" w:rsidRDefault="0080346F" w:rsidP="00B06D06">
      <w:pPr>
        <w:keepNext/>
        <w:spacing w:after="0" w:line="240" w:lineRule="auto"/>
        <w:rPr>
          <w:rFonts w:ascii="Arial Narrow" w:eastAsiaTheme="minorHAnsi" w:hAnsi="Arial Narrow"/>
          <w:sz w:val="18"/>
          <w:szCs w:val="18"/>
          <w:lang w:eastAsia="en-AU"/>
        </w:rPr>
      </w:pPr>
      <w:r w:rsidRPr="0080346F">
        <w:rPr>
          <w:rFonts w:ascii="Arial Narrow" w:eastAsiaTheme="minorHAnsi" w:hAnsi="Arial Narrow"/>
          <w:sz w:val="18"/>
          <w:szCs w:val="18"/>
          <w:lang w:eastAsia="en-AU"/>
        </w:rPr>
        <w:t>CU</w:t>
      </w:r>
      <w:r w:rsidR="00652355" w:rsidRPr="00652355">
        <w:rPr>
          <w:rFonts w:ascii="Arial Narrow" w:eastAsiaTheme="minorHAnsi" w:hAnsi="Arial Narrow"/>
          <w:spacing w:val="-20"/>
          <w:sz w:val="18"/>
          <w:szCs w:val="18"/>
          <w:lang w:eastAsia="en-AU"/>
        </w:rPr>
        <w:t xml:space="preserve"> = </w:t>
      </w:r>
      <w:r w:rsidRPr="0080346F">
        <w:rPr>
          <w:rFonts w:ascii="Arial Narrow" w:eastAsiaTheme="minorHAnsi" w:hAnsi="Arial Narrow"/>
          <w:sz w:val="18"/>
          <w:szCs w:val="18"/>
          <w:lang w:eastAsia="en-AU"/>
        </w:rPr>
        <w:t>cost utility; ERT</w:t>
      </w:r>
      <w:r w:rsidR="00652355" w:rsidRPr="00652355">
        <w:rPr>
          <w:rFonts w:ascii="Arial Narrow" w:eastAsiaTheme="minorHAnsi" w:hAnsi="Arial Narrow"/>
          <w:spacing w:val="-20"/>
          <w:sz w:val="18"/>
          <w:szCs w:val="18"/>
          <w:lang w:eastAsia="en-AU"/>
        </w:rPr>
        <w:t xml:space="preserve"> = </w:t>
      </w:r>
      <w:r w:rsidR="002D77B8">
        <w:rPr>
          <w:rFonts w:ascii="Arial Narrow" w:eastAsiaTheme="minorHAnsi" w:hAnsi="Arial Narrow"/>
          <w:spacing w:val="-20"/>
          <w:sz w:val="18"/>
          <w:szCs w:val="18"/>
          <w:lang w:eastAsia="en-AU"/>
        </w:rPr>
        <w:t xml:space="preserve"> </w:t>
      </w:r>
      <w:r w:rsidRPr="0080346F">
        <w:rPr>
          <w:rFonts w:ascii="Arial Narrow" w:eastAsiaTheme="minorHAnsi" w:hAnsi="Arial Narrow"/>
          <w:sz w:val="18"/>
          <w:szCs w:val="18"/>
          <w:lang w:eastAsia="en-AU"/>
        </w:rPr>
        <w:t>enzyme replacement therapy; GD 1</w:t>
      </w:r>
      <w:r w:rsidR="00652355" w:rsidRPr="00652355">
        <w:rPr>
          <w:rFonts w:ascii="Arial Narrow" w:eastAsiaTheme="minorHAnsi" w:hAnsi="Arial Narrow"/>
          <w:spacing w:val="-20"/>
          <w:sz w:val="18"/>
          <w:szCs w:val="18"/>
          <w:lang w:eastAsia="en-AU"/>
        </w:rPr>
        <w:t xml:space="preserve"> = </w:t>
      </w:r>
      <w:r w:rsidR="00B06D06">
        <w:rPr>
          <w:rFonts w:ascii="Arial Narrow" w:eastAsiaTheme="minorHAnsi" w:hAnsi="Arial Narrow"/>
          <w:sz w:val="18"/>
          <w:szCs w:val="18"/>
          <w:lang w:eastAsia="en-AU"/>
        </w:rPr>
        <w:t xml:space="preserve"> Gaucher disease Type 1; ICE</w:t>
      </w:r>
      <w:r w:rsidR="002D77B8">
        <w:rPr>
          <w:rFonts w:ascii="Arial Narrow" w:eastAsiaTheme="minorHAnsi" w:hAnsi="Arial Narrow"/>
          <w:sz w:val="18"/>
          <w:szCs w:val="18"/>
          <w:lang w:eastAsia="en-AU"/>
        </w:rPr>
        <w:t>R</w:t>
      </w:r>
      <w:r w:rsidR="00652355" w:rsidRPr="00652355">
        <w:rPr>
          <w:rFonts w:ascii="Arial Narrow" w:eastAsiaTheme="minorHAnsi" w:hAnsi="Arial Narrow"/>
          <w:spacing w:val="-20"/>
          <w:sz w:val="18"/>
          <w:szCs w:val="18"/>
          <w:lang w:eastAsia="en-AU"/>
        </w:rPr>
        <w:t xml:space="preserve"> = </w:t>
      </w:r>
      <w:r w:rsidRPr="0080346F">
        <w:rPr>
          <w:rFonts w:ascii="Arial Narrow" w:eastAsiaTheme="minorHAnsi" w:hAnsi="Arial Narrow"/>
          <w:sz w:val="18"/>
          <w:szCs w:val="18"/>
          <w:lang w:eastAsia="en-AU"/>
        </w:rPr>
        <w:t xml:space="preserve"> incremental cost-effectiveness ratio; LYG </w:t>
      </w:r>
      <w:r w:rsidR="00652355" w:rsidRPr="00652355">
        <w:rPr>
          <w:rFonts w:ascii="Arial Narrow" w:eastAsiaTheme="minorHAnsi" w:hAnsi="Arial Narrow"/>
          <w:spacing w:val="-20"/>
          <w:sz w:val="18"/>
          <w:szCs w:val="18"/>
          <w:lang w:eastAsia="en-AU"/>
        </w:rPr>
        <w:t xml:space="preserve"> = </w:t>
      </w:r>
      <w:r w:rsidRPr="0080346F">
        <w:rPr>
          <w:rFonts w:ascii="Arial Narrow" w:eastAsiaTheme="minorHAnsi" w:hAnsi="Arial Narrow"/>
          <w:sz w:val="18"/>
          <w:szCs w:val="18"/>
          <w:lang w:eastAsia="en-AU"/>
        </w:rPr>
        <w:t xml:space="preserve"> life years gained; PBAC </w:t>
      </w:r>
      <w:r w:rsidR="00652355" w:rsidRPr="00652355">
        <w:rPr>
          <w:rFonts w:ascii="Arial Narrow" w:eastAsiaTheme="minorHAnsi" w:hAnsi="Arial Narrow"/>
          <w:spacing w:val="-20"/>
          <w:sz w:val="18"/>
          <w:szCs w:val="18"/>
          <w:lang w:eastAsia="en-AU"/>
        </w:rPr>
        <w:t xml:space="preserve"> = </w:t>
      </w:r>
      <w:r w:rsidRPr="0080346F">
        <w:rPr>
          <w:rFonts w:ascii="Arial Narrow" w:eastAsiaTheme="minorHAnsi" w:hAnsi="Arial Narrow"/>
          <w:sz w:val="18"/>
          <w:szCs w:val="18"/>
          <w:lang w:eastAsia="en-AU"/>
        </w:rPr>
        <w:t xml:space="preserve"> Pharmaceutical Benefits Advisory Committee; QoL </w:t>
      </w:r>
      <w:r w:rsidR="00652355" w:rsidRPr="00652355">
        <w:rPr>
          <w:rFonts w:ascii="Arial Narrow" w:eastAsiaTheme="minorHAnsi" w:hAnsi="Arial Narrow"/>
          <w:spacing w:val="-20"/>
          <w:sz w:val="18"/>
          <w:szCs w:val="18"/>
          <w:lang w:eastAsia="en-AU"/>
        </w:rPr>
        <w:t xml:space="preserve">= </w:t>
      </w:r>
      <w:r w:rsidRPr="0080346F">
        <w:rPr>
          <w:rFonts w:ascii="Arial Narrow" w:eastAsiaTheme="minorHAnsi" w:hAnsi="Arial Narrow"/>
          <w:sz w:val="18"/>
          <w:szCs w:val="18"/>
          <w:lang w:eastAsia="en-AU"/>
        </w:rPr>
        <w:t xml:space="preserve"> quality of life; QALY </w:t>
      </w:r>
      <w:r w:rsidR="00652355" w:rsidRPr="00652355">
        <w:rPr>
          <w:rFonts w:ascii="Arial Narrow" w:eastAsiaTheme="minorHAnsi" w:hAnsi="Arial Narrow"/>
          <w:spacing w:val="-20"/>
          <w:sz w:val="18"/>
          <w:szCs w:val="18"/>
          <w:lang w:eastAsia="en-AU"/>
        </w:rPr>
        <w:t xml:space="preserve"> = </w:t>
      </w:r>
      <w:r w:rsidRPr="0080346F">
        <w:rPr>
          <w:rFonts w:ascii="Arial Narrow" w:eastAsiaTheme="minorHAnsi" w:hAnsi="Arial Narrow"/>
          <w:sz w:val="18"/>
          <w:szCs w:val="18"/>
          <w:lang w:eastAsia="en-AU"/>
        </w:rPr>
        <w:t xml:space="preserve">quality adjusted life year; YFEOD </w:t>
      </w:r>
      <w:r w:rsidR="00652355" w:rsidRPr="00652355">
        <w:rPr>
          <w:rFonts w:ascii="Arial Narrow" w:eastAsiaTheme="minorHAnsi" w:hAnsi="Arial Narrow"/>
          <w:spacing w:val="-20"/>
          <w:sz w:val="18"/>
          <w:szCs w:val="18"/>
          <w:lang w:eastAsia="en-AU"/>
        </w:rPr>
        <w:t xml:space="preserve"> = </w:t>
      </w:r>
      <w:r w:rsidRPr="0080346F">
        <w:rPr>
          <w:rFonts w:ascii="Arial Narrow" w:eastAsiaTheme="minorHAnsi" w:hAnsi="Arial Narrow"/>
          <w:sz w:val="18"/>
          <w:szCs w:val="18"/>
          <w:lang w:eastAsia="en-AU"/>
        </w:rPr>
        <w:t>year free of end organ damage</w:t>
      </w:r>
    </w:p>
    <w:p w:rsidR="000326F6" w:rsidRDefault="000326F6" w:rsidP="00FD4212">
      <w:pPr>
        <w:pStyle w:val="TableNote"/>
        <w:jc w:val="left"/>
        <w:rPr>
          <w:rFonts w:eastAsiaTheme="minorHAnsi"/>
        </w:rPr>
        <w:sectPr w:rsidR="000326F6" w:rsidSect="005C2E71">
          <w:pgSz w:w="16838" w:h="11906" w:orient="landscape" w:code="9"/>
          <w:pgMar w:top="1259" w:right="1077" w:bottom="1287" w:left="902" w:header="709" w:footer="709" w:gutter="0"/>
          <w:cols w:space="708"/>
          <w:docGrid w:linePitch="360"/>
        </w:sectPr>
      </w:pPr>
    </w:p>
    <w:p w:rsidR="0080346F" w:rsidRPr="0080346F" w:rsidRDefault="0080346F" w:rsidP="0080346F">
      <w:r w:rsidRPr="0080346F">
        <w:lastRenderedPageBreak/>
        <w:t xml:space="preserve">In addition to the analyses included in the table above, a broad economic analysis of enzyme and substrate replacement therapies in people with lysosomal storage disorders was undertaken in England </w:t>
      </w:r>
      <w:r w:rsidR="00746F05">
        <w:rPr>
          <w:noProof/>
        </w:rPr>
        <w:t>(</w:t>
      </w:r>
      <w:r w:rsidR="00184B6F">
        <w:rPr>
          <w:noProof/>
        </w:rPr>
        <w:t>Wyatt et al. 2012a</w:t>
      </w:r>
      <w:r w:rsidR="00746F05">
        <w:rPr>
          <w:noProof/>
        </w:rPr>
        <w:t>)</w:t>
      </w:r>
      <w:r w:rsidRPr="0080346F">
        <w:t xml:space="preserve">. This </w:t>
      </w:r>
      <w:r w:rsidR="009161F9">
        <w:t xml:space="preserve">analysis </w:t>
      </w:r>
      <w:r w:rsidRPr="0080346F">
        <w:t xml:space="preserve">considered </w:t>
      </w:r>
      <w:proofErr w:type="gramStart"/>
      <w:r w:rsidRPr="0080346F">
        <w:t>Gaucher</w:t>
      </w:r>
      <w:proofErr w:type="gramEnd"/>
      <w:r w:rsidRPr="0080346F">
        <w:t xml:space="preserve"> disease, Fabry disease, MPS I, MPS II, Pompe or Niemann-Pick C disease. Assessments of </w:t>
      </w:r>
      <w:r w:rsidR="002D77B8">
        <w:t>quality of life</w:t>
      </w:r>
      <w:r w:rsidRPr="0080346F">
        <w:t xml:space="preserve"> and</w:t>
      </w:r>
      <w:r w:rsidR="002D77B8">
        <w:t>,</w:t>
      </w:r>
      <w:r w:rsidRPr="0080346F">
        <w:t xml:space="preserve"> in some cases</w:t>
      </w:r>
      <w:r w:rsidR="002D77B8">
        <w:t>,</w:t>
      </w:r>
      <w:r w:rsidRPr="0080346F">
        <w:t xml:space="preserve"> carer burden were examined. Although associations of treatment and outcomes were identified, the authors decided that they could not undertake valid cost-effectiveness analysis given the paucity of</w:t>
      </w:r>
      <w:r w:rsidR="002D77B8">
        <w:t xml:space="preserve"> evidence of effectiveness and q</w:t>
      </w:r>
      <w:r w:rsidRPr="0080346F">
        <w:t>uality of life outcomes.</w:t>
      </w:r>
    </w:p>
    <w:p w:rsidR="0080346F" w:rsidRPr="0080346F" w:rsidRDefault="0080346F" w:rsidP="0080346F">
      <w:r w:rsidRPr="0080346F">
        <w:t>Of the drugs currently listed on the LSDP, three had minimal survival or quality of life data. None had high quality survival data and high quality of life or event data. While assessment of cost-utility could be undertaken, the accur</w:t>
      </w:r>
      <w:r w:rsidR="002D77B8">
        <w:t xml:space="preserve">acy is likely to be uncertain. </w:t>
      </w:r>
      <w:r w:rsidRPr="0080346F">
        <w:t xml:space="preserve">Incomplete data on all aspects of treatment effect (survival and extensive information on quality of life – potentially including carer/parent/dependent quality of life) is likely to result in an underestimate of the drug’s value (unless unreported harms are greater </w:t>
      </w:r>
      <w:r w:rsidR="009161F9" w:rsidRPr="0080346F">
        <w:t>than</w:t>
      </w:r>
      <w:r w:rsidRPr="0080346F">
        <w:t xml:space="preserve"> unreported benefits).</w:t>
      </w:r>
    </w:p>
    <w:p w:rsidR="0080346F" w:rsidRPr="0080346F" w:rsidRDefault="0080346F" w:rsidP="0080346F">
      <w:r w:rsidRPr="0080346F">
        <w:t>Furthermore numerous drugs lacked any valid comparative data or statistically significant effectiveness data or relied on surrogate outcome measures with poor ability to translate into patient-relevant outcomes; where this is the case, any estimate of value - irrespective of the methodology or value metric selected for use – is essentially unreliable. An attempt to finalise the ‘value’ a drug without knowledge of whether or not it does anything is futile and no value metric should be calculable or meaningful where there is no evidence of clinical effectiveness.</w:t>
      </w:r>
    </w:p>
    <w:p w:rsidR="0080346F" w:rsidRPr="0080346F" w:rsidRDefault="0080346F" w:rsidP="0080346F">
      <w:r w:rsidRPr="0080346F">
        <w:t>The limited clinical data on treatment outcomes and the difficulty of identifying the extent that real health benefits are reflected in single-dimensional or surrogate outcomes is clearly a complicating factor in a quantitative assessment of value for many orphan drugs which ideally should be addressed at the primary research level, rather than at a policy or funding decision level.</w:t>
      </w:r>
    </w:p>
    <w:p w:rsidR="0080346F" w:rsidRPr="002D77B8" w:rsidRDefault="0080346F" w:rsidP="002D77B8">
      <w:pPr>
        <w:pStyle w:val="Heading2"/>
        <w:ind w:left="1985" w:hanging="708"/>
      </w:pPr>
      <w:bookmarkStart w:id="641" w:name="_Toc415141758"/>
      <w:r w:rsidRPr="002D77B8">
        <w:t>Adjustment to value on basis of uncertainty or risk</w:t>
      </w:r>
      <w:bookmarkEnd w:id="641"/>
    </w:p>
    <w:p w:rsidR="0080346F" w:rsidRPr="0080346F" w:rsidRDefault="0080346F" w:rsidP="0080346F">
      <w:r w:rsidRPr="0080346F">
        <w:t xml:space="preserve">The difficulty of obtaining good quality evidence with respect to orphan drugs is commonly described in the literature; small disease populations result in smaller clinical trials with less certain and more variable results; trials are expensive given the drug cost and the dispersed nature of the population; ethical complications exist around use of placebos and obligations around continuation of treatment and affordability. Uncertainty with respect to expected health outcome returns is inherent with any expenditure on health technology, at the individual and population level but given the particularly high costs of orphan drugs and the limited clinical outcome data available, funding orphan drugs from a limited budget is risky. The countering argument; that because populations are small there is limited overall budget impact is suggested as a mitigating factor to the risk. However as the number of orphan </w:t>
      </w:r>
      <w:r w:rsidRPr="0080346F">
        <w:lastRenderedPageBreak/>
        <w:t>conditions and treatments increases (as can be seen from the Horizon Scanning section) the collective impact increases.</w:t>
      </w:r>
    </w:p>
    <w:p w:rsidR="0080346F" w:rsidRPr="0080346F" w:rsidRDefault="0080346F" w:rsidP="0080346F">
      <w:r w:rsidRPr="0080346F">
        <w:t xml:space="preserve">Uncertainty is currently described as a consideration with respect to cost-effectiveness assessment by the PBAC however an explicit quantifiable relationship is not described </w:t>
      </w:r>
      <w:r w:rsidR="00A130D0">
        <w:rPr>
          <w:noProof/>
        </w:rPr>
        <w:t>(</w:t>
      </w:r>
      <w:r w:rsidR="00184B6F">
        <w:rPr>
          <w:noProof/>
        </w:rPr>
        <w:t>Pharmactical Benefits Advisory Committee 2013</w:t>
      </w:r>
      <w:r w:rsidR="00A130D0">
        <w:rPr>
          <w:noProof/>
        </w:rPr>
        <w:t>)</w:t>
      </w:r>
      <w:r w:rsidRPr="0080346F">
        <w:t xml:space="preserve">. Consumer preference theory states that, </w:t>
      </w:r>
      <w:r w:rsidRPr="0080346F">
        <w:rPr>
          <w:i/>
        </w:rPr>
        <w:t>ceterus parabus</w:t>
      </w:r>
      <w:r w:rsidRPr="0080346F">
        <w:t xml:space="preserve">, increased consumer risk is naturally associated with decreased consumer value </w:t>
      </w:r>
      <w:r w:rsidR="00A130D0">
        <w:rPr>
          <w:noProof/>
        </w:rPr>
        <w:t>(</w:t>
      </w:r>
      <w:r w:rsidR="00184B6F">
        <w:rPr>
          <w:noProof/>
        </w:rPr>
        <w:t>Maier, Wilken &amp; Dost 2014</w:t>
      </w:r>
      <w:r w:rsidR="00A130D0">
        <w:rPr>
          <w:noProof/>
        </w:rPr>
        <w:t>)</w:t>
      </w:r>
      <w:r w:rsidRPr="0080346F">
        <w:t xml:space="preserve">. A research study by </w:t>
      </w:r>
      <w:r w:rsidR="00A130D0">
        <w:rPr>
          <w:noProof/>
        </w:rPr>
        <w:t>(</w:t>
      </w:r>
      <w:r w:rsidR="00184B6F">
        <w:rPr>
          <w:noProof/>
        </w:rPr>
        <w:t>Bobinac, Ana et al. 2014</w:t>
      </w:r>
      <w:r w:rsidR="00A130D0">
        <w:rPr>
          <w:noProof/>
        </w:rPr>
        <w:t>)</w:t>
      </w:r>
      <w:r w:rsidRPr="0080346F">
        <w:t xml:space="preserve"> explores how willingness to pay (WTP) for a QALY gain (a quantitative indication of value) changes where outcomes are uncertain and proposes that a probability weighting improves the validity of WTP per QALY estimates. Specific quantitative probability weightings for the study population are derived. It is concluded that further research to quantify probability weightings as they apply to valuations of the QALY would be required before they can be applied in a decision-making context; however the results of this study highlight that an adjustment of this nature may be relevant when assessing value metrics in health and this would be particularly relevant in the context of high uncertainty when reimbursing orphan drugs. </w:t>
      </w:r>
    </w:p>
    <w:p w:rsidR="0080346F" w:rsidRPr="0080346F" w:rsidRDefault="0080346F" w:rsidP="0080346F"/>
    <w:bookmarkEnd w:id="624"/>
    <w:bookmarkEnd w:id="625"/>
    <w:p w:rsidR="0080346F" w:rsidRDefault="0080346F">
      <w:pPr>
        <w:spacing w:after="0" w:line="240" w:lineRule="auto"/>
        <w:jc w:val="left"/>
      </w:pPr>
      <w:r>
        <w:br w:type="page"/>
      </w:r>
    </w:p>
    <w:p w:rsidR="00092F60" w:rsidRDefault="00092F60" w:rsidP="00092F60"/>
    <w:p w:rsidR="00092F60" w:rsidRPr="00494B2E" w:rsidRDefault="00834C67" w:rsidP="00494B2E">
      <w:pPr>
        <w:pStyle w:val="Heading1"/>
      </w:pPr>
      <w:bookmarkStart w:id="642" w:name="_Toc404937331"/>
      <w:bookmarkStart w:id="643" w:name="_Toc415141759"/>
      <w:bookmarkStart w:id="644" w:name="_Toc388269952"/>
      <w:r>
        <w:t>F</w:t>
      </w:r>
      <w:r w:rsidR="00092F60" w:rsidRPr="00494B2E">
        <w:t>ramework for data collection on rare diseases in Australia</w:t>
      </w:r>
      <w:bookmarkEnd w:id="642"/>
      <w:bookmarkEnd w:id="643"/>
      <w:r w:rsidR="00092F60" w:rsidRPr="00494B2E">
        <w:t xml:space="preserve"> </w:t>
      </w:r>
    </w:p>
    <w:bookmarkEnd w:id="644"/>
    <w:p w:rsidR="00092F60" w:rsidRPr="00295E75" w:rsidRDefault="00092F60" w:rsidP="00092F60">
      <w:pPr>
        <w:rPr>
          <w:rFonts w:asciiTheme="minorHAnsi" w:hAnsiTheme="minorHAnsi" w:cstheme="minorHAnsi"/>
        </w:rPr>
      </w:pPr>
      <w:r w:rsidRPr="00B7451B">
        <w:rPr>
          <w:rFonts w:asciiTheme="minorHAnsi" w:hAnsiTheme="minorHAnsi" w:cstheme="minorHAnsi"/>
        </w:rPr>
        <w:t>Conditions that are treated by drugs listed on the LSDP are rare and</w:t>
      </w:r>
      <w:r w:rsidR="00FF09AF">
        <w:rPr>
          <w:rFonts w:asciiTheme="minorHAnsi" w:hAnsiTheme="minorHAnsi" w:cstheme="minorHAnsi"/>
        </w:rPr>
        <w:t>,</w:t>
      </w:r>
      <w:r w:rsidRPr="00B7451B">
        <w:rPr>
          <w:rFonts w:asciiTheme="minorHAnsi" w:hAnsiTheme="minorHAnsi" w:cstheme="minorHAnsi"/>
        </w:rPr>
        <w:t xml:space="preserve"> consequently, the claims </w:t>
      </w:r>
      <w:r>
        <w:rPr>
          <w:rFonts w:asciiTheme="minorHAnsi" w:hAnsiTheme="minorHAnsi" w:cstheme="minorHAnsi"/>
        </w:rPr>
        <w:t>concerning the</w:t>
      </w:r>
      <w:r w:rsidRPr="00B7451B">
        <w:rPr>
          <w:rFonts w:asciiTheme="minorHAnsi" w:hAnsiTheme="minorHAnsi" w:cstheme="minorHAnsi"/>
        </w:rPr>
        <w:t xml:space="preserve"> effectiveness of </w:t>
      </w:r>
      <w:r>
        <w:rPr>
          <w:rFonts w:asciiTheme="minorHAnsi" w:hAnsiTheme="minorHAnsi" w:cstheme="minorHAnsi"/>
        </w:rPr>
        <w:t xml:space="preserve">the </w:t>
      </w:r>
      <w:r w:rsidRPr="00B7451B">
        <w:rPr>
          <w:rFonts w:asciiTheme="minorHAnsi" w:hAnsiTheme="minorHAnsi" w:cstheme="minorHAnsi"/>
        </w:rPr>
        <w:t xml:space="preserve">drugs listed on the LSDP are likely uncertain. One mechanism to monitor the effect and cost of these drugs in the Australian setting is to establish a data collection </w:t>
      </w:r>
      <w:r w:rsidR="00FD4212">
        <w:rPr>
          <w:rFonts w:asciiTheme="minorHAnsi" w:hAnsiTheme="minorHAnsi" w:cstheme="minorHAnsi"/>
        </w:rPr>
        <w:t xml:space="preserve">that </w:t>
      </w:r>
      <w:r w:rsidRPr="00B7451B">
        <w:rPr>
          <w:rFonts w:asciiTheme="minorHAnsi" w:hAnsiTheme="minorHAnsi" w:cstheme="minorHAnsi"/>
        </w:rPr>
        <w:t>contain</w:t>
      </w:r>
      <w:r w:rsidR="00FD4212">
        <w:rPr>
          <w:rFonts w:asciiTheme="minorHAnsi" w:hAnsiTheme="minorHAnsi" w:cstheme="minorHAnsi"/>
        </w:rPr>
        <w:t xml:space="preserve"> disease and</w:t>
      </w:r>
      <w:r w:rsidRPr="00B7451B">
        <w:rPr>
          <w:rFonts w:asciiTheme="minorHAnsi" w:hAnsiTheme="minorHAnsi" w:cstheme="minorHAnsi"/>
        </w:rPr>
        <w:t xml:space="preserve"> </w:t>
      </w:r>
      <w:r>
        <w:rPr>
          <w:rFonts w:asciiTheme="minorHAnsi" w:hAnsiTheme="minorHAnsi" w:cstheme="minorHAnsi"/>
        </w:rPr>
        <w:t xml:space="preserve">drug information, health </w:t>
      </w:r>
      <w:r w:rsidRPr="00B7451B">
        <w:rPr>
          <w:rFonts w:asciiTheme="minorHAnsi" w:hAnsiTheme="minorHAnsi" w:cstheme="minorHAnsi"/>
        </w:rPr>
        <w:t>outcome</w:t>
      </w:r>
      <w:r>
        <w:rPr>
          <w:rFonts w:asciiTheme="minorHAnsi" w:hAnsiTheme="minorHAnsi" w:cstheme="minorHAnsi"/>
        </w:rPr>
        <w:t xml:space="preserve"> measures</w:t>
      </w:r>
      <w:r w:rsidRPr="00B7451B">
        <w:rPr>
          <w:rFonts w:asciiTheme="minorHAnsi" w:hAnsiTheme="minorHAnsi" w:cstheme="minorHAnsi"/>
        </w:rPr>
        <w:t xml:space="preserve"> and costing data.</w:t>
      </w:r>
    </w:p>
    <w:p w:rsidR="00092F60" w:rsidRPr="00421C7A" w:rsidRDefault="00092F60" w:rsidP="00092F60">
      <w:pPr>
        <w:jc w:val="left"/>
        <w:rPr>
          <w:rFonts w:cstheme="minorHAnsi"/>
        </w:rPr>
      </w:pPr>
      <w:r w:rsidRPr="003D728F">
        <w:rPr>
          <w:rFonts w:cstheme="minorHAnsi"/>
        </w:rPr>
        <w:t xml:space="preserve">The </w:t>
      </w:r>
      <w:r>
        <w:rPr>
          <w:rFonts w:cstheme="minorHAnsi"/>
        </w:rPr>
        <w:t>seventh</w:t>
      </w:r>
      <w:r w:rsidRPr="003D728F">
        <w:rPr>
          <w:rFonts w:cstheme="minorHAnsi"/>
        </w:rPr>
        <w:t xml:space="preserve"> </w:t>
      </w:r>
      <w:r>
        <w:rPr>
          <w:rFonts w:cstheme="minorHAnsi"/>
        </w:rPr>
        <w:t>ToR</w:t>
      </w:r>
      <w:r w:rsidRPr="003D728F">
        <w:rPr>
          <w:rFonts w:cstheme="minorHAnsi"/>
        </w:rPr>
        <w:t xml:space="preserve"> </w:t>
      </w:r>
      <w:r>
        <w:rPr>
          <w:rFonts w:cstheme="minorHAnsi"/>
        </w:rPr>
        <w:t xml:space="preserve">for the LSDP review </w:t>
      </w:r>
      <w:r w:rsidR="00FD4212">
        <w:rPr>
          <w:rFonts w:cstheme="minorHAnsi"/>
        </w:rPr>
        <w:t>wa</w:t>
      </w:r>
      <w:r w:rsidRPr="003D728F">
        <w:rPr>
          <w:rFonts w:cstheme="minorHAnsi"/>
        </w:rPr>
        <w:t>s</w:t>
      </w:r>
      <w:r>
        <w:rPr>
          <w:rFonts w:cstheme="minorHAnsi"/>
        </w:rPr>
        <w:t>, therefore,</w:t>
      </w:r>
      <w:r w:rsidRPr="003D728F">
        <w:rPr>
          <w:rFonts w:cstheme="minorHAnsi"/>
        </w:rPr>
        <w:t xml:space="preserve"> </w:t>
      </w:r>
      <w:r>
        <w:rPr>
          <w:rFonts w:cstheme="minorHAnsi"/>
        </w:rPr>
        <w:t>to</w:t>
      </w:r>
      <w:r w:rsidRPr="003D728F">
        <w:rPr>
          <w:rFonts w:cstheme="minorHAnsi"/>
        </w:rPr>
        <w:t xml:space="preserve">: </w:t>
      </w:r>
    </w:p>
    <w:p w:rsidR="00092F60" w:rsidRPr="003D728F" w:rsidRDefault="00092F60" w:rsidP="000959DF">
      <w:pPr>
        <w:pStyle w:val="ListParagraph"/>
        <w:numPr>
          <w:ilvl w:val="0"/>
          <w:numId w:val="30"/>
        </w:numPr>
        <w:tabs>
          <w:tab w:val="left" w:pos="1134"/>
        </w:tabs>
      </w:pPr>
      <w:r w:rsidRPr="006708D2">
        <w:rPr>
          <w:b/>
        </w:rPr>
        <w:t>Establish a framework for data collection on rare diseases in Australia and assess how this could function internationally.</w:t>
      </w:r>
    </w:p>
    <w:p w:rsidR="00092F60" w:rsidRPr="000D5EA0" w:rsidRDefault="00092F60" w:rsidP="00092F60">
      <w:pPr>
        <w:rPr>
          <w:rFonts w:asciiTheme="minorHAnsi" w:hAnsiTheme="minorHAnsi" w:cstheme="minorHAnsi"/>
        </w:rPr>
      </w:pPr>
      <w:r w:rsidRPr="00BB2E18">
        <w:rPr>
          <w:rFonts w:asciiTheme="minorHAnsi" w:hAnsiTheme="minorHAnsi" w:cstheme="minorHAnsi"/>
        </w:rPr>
        <w:t xml:space="preserve">The intended outcome of this section of the technical </w:t>
      </w:r>
      <w:r w:rsidR="00FD4212">
        <w:rPr>
          <w:rFonts w:asciiTheme="minorHAnsi" w:hAnsiTheme="minorHAnsi" w:cstheme="minorHAnsi"/>
        </w:rPr>
        <w:t>assessment</w:t>
      </w:r>
      <w:r w:rsidRPr="00BB2E18">
        <w:rPr>
          <w:rFonts w:asciiTheme="minorHAnsi" w:hAnsiTheme="minorHAnsi" w:cstheme="minorHAnsi"/>
        </w:rPr>
        <w:t xml:space="preserve"> is a high level summary of key concepts related to data collection </w:t>
      </w:r>
      <w:r>
        <w:rPr>
          <w:rFonts w:asciiTheme="minorHAnsi" w:hAnsiTheme="minorHAnsi" w:cstheme="minorHAnsi"/>
        </w:rPr>
        <w:t xml:space="preserve">for rare diseases in Australia </w:t>
      </w:r>
      <w:r w:rsidRPr="00BB2E18">
        <w:rPr>
          <w:rFonts w:asciiTheme="minorHAnsi" w:hAnsiTheme="minorHAnsi" w:cstheme="minorHAnsi"/>
        </w:rPr>
        <w:t xml:space="preserve">and </w:t>
      </w:r>
      <w:r>
        <w:rPr>
          <w:rFonts w:asciiTheme="minorHAnsi" w:hAnsiTheme="minorHAnsi" w:cstheme="minorHAnsi"/>
        </w:rPr>
        <w:t xml:space="preserve">methods for addressing </w:t>
      </w:r>
      <w:r w:rsidRPr="00BB2E18">
        <w:rPr>
          <w:rFonts w:asciiTheme="minorHAnsi" w:hAnsiTheme="minorHAnsi" w:cstheme="minorHAnsi"/>
        </w:rPr>
        <w:t xml:space="preserve">the goals of such a </w:t>
      </w:r>
      <w:r>
        <w:rPr>
          <w:rFonts w:asciiTheme="minorHAnsi" w:hAnsiTheme="minorHAnsi" w:cstheme="minorHAnsi"/>
        </w:rPr>
        <w:t xml:space="preserve">data </w:t>
      </w:r>
      <w:r w:rsidRPr="00BB2E18">
        <w:rPr>
          <w:rFonts w:asciiTheme="minorHAnsi" w:hAnsiTheme="minorHAnsi" w:cstheme="minorHAnsi"/>
        </w:rPr>
        <w:t>collection</w:t>
      </w:r>
      <w:r>
        <w:rPr>
          <w:rFonts w:asciiTheme="minorHAnsi" w:hAnsiTheme="minorHAnsi" w:cstheme="minorHAnsi"/>
        </w:rPr>
        <w:t xml:space="preserve">. </w:t>
      </w:r>
    </w:p>
    <w:p w:rsidR="00092F60" w:rsidRPr="00494B2E" w:rsidRDefault="00DB4EE8" w:rsidP="00D60032">
      <w:pPr>
        <w:pStyle w:val="Heading2"/>
      </w:pPr>
      <w:bookmarkStart w:id="645" w:name="_Toc404178906"/>
      <w:bookmarkStart w:id="646" w:name="_Toc404937332"/>
      <w:r>
        <w:tab/>
      </w:r>
      <w:bookmarkStart w:id="647" w:name="_Toc415141760"/>
      <w:r w:rsidR="00092F60" w:rsidRPr="00494B2E">
        <w:t>Purpose</w:t>
      </w:r>
      <w:bookmarkEnd w:id="645"/>
      <w:bookmarkEnd w:id="646"/>
      <w:bookmarkEnd w:id="647"/>
    </w:p>
    <w:p w:rsidR="00092F60" w:rsidRDefault="00092F60" w:rsidP="00092F60">
      <w:pPr>
        <w:rPr>
          <w:rFonts w:asciiTheme="minorHAnsi" w:hAnsiTheme="minorHAnsi" w:cstheme="minorHAnsi"/>
        </w:rPr>
      </w:pPr>
      <w:r w:rsidRPr="000D5EA0">
        <w:rPr>
          <w:rFonts w:asciiTheme="minorHAnsi" w:hAnsiTheme="minorHAnsi" w:cstheme="minorHAnsi"/>
        </w:rPr>
        <w:t xml:space="preserve">To establish the components of a dataset, methods of data capture and considerations of privacy required for future databases </w:t>
      </w:r>
      <w:r w:rsidR="00FD4212">
        <w:rPr>
          <w:rFonts w:asciiTheme="minorHAnsi" w:hAnsiTheme="minorHAnsi" w:cstheme="minorHAnsi"/>
        </w:rPr>
        <w:t xml:space="preserve">that are </w:t>
      </w:r>
      <w:r w:rsidRPr="000D5EA0">
        <w:rPr>
          <w:rFonts w:asciiTheme="minorHAnsi" w:hAnsiTheme="minorHAnsi" w:cstheme="minorHAnsi"/>
        </w:rPr>
        <w:t>set up for the purpose of auditing the efficacy and cost of drugs listed on the LSDP (or other such reimbursement program</w:t>
      </w:r>
      <w:r>
        <w:rPr>
          <w:rFonts w:asciiTheme="minorHAnsi" w:hAnsiTheme="minorHAnsi" w:cstheme="minorHAnsi"/>
        </w:rPr>
        <w:t>me</w:t>
      </w:r>
      <w:r w:rsidRPr="000D5EA0">
        <w:rPr>
          <w:rFonts w:asciiTheme="minorHAnsi" w:hAnsiTheme="minorHAnsi" w:cstheme="minorHAnsi"/>
        </w:rPr>
        <w:t>).</w:t>
      </w:r>
      <w:r w:rsidRPr="00AB147F">
        <w:rPr>
          <w:rFonts w:asciiTheme="minorHAnsi" w:hAnsiTheme="minorHAnsi" w:cstheme="minorHAnsi"/>
        </w:rPr>
        <w:t xml:space="preserve"> </w:t>
      </w:r>
    </w:p>
    <w:p w:rsidR="00092F60" w:rsidRPr="00BB2E18" w:rsidRDefault="00092F60" w:rsidP="00092F60">
      <w:pPr>
        <w:rPr>
          <w:rFonts w:asciiTheme="minorHAnsi" w:hAnsiTheme="minorHAnsi" w:cstheme="minorHAnsi"/>
        </w:rPr>
      </w:pPr>
      <w:r>
        <w:rPr>
          <w:rFonts w:asciiTheme="minorHAnsi" w:hAnsiTheme="minorHAnsi" w:cstheme="minorHAnsi"/>
        </w:rPr>
        <w:t xml:space="preserve">The following issues </w:t>
      </w:r>
      <w:r w:rsidR="007D1E32">
        <w:rPr>
          <w:rFonts w:asciiTheme="minorHAnsi" w:hAnsiTheme="minorHAnsi" w:cstheme="minorHAnsi"/>
        </w:rPr>
        <w:t>have been</w:t>
      </w:r>
      <w:r>
        <w:rPr>
          <w:rFonts w:asciiTheme="minorHAnsi" w:hAnsiTheme="minorHAnsi" w:cstheme="minorHAnsi"/>
        </w:rPr>
        <w:t xml:space="preserve"> </w:t>
      </w:r>
      <w:r w:rsidRPr="00BB2E18">
        <w:rPr>
          <w:rFonts w:asciiTheme="minorHAnsi" w:hAnsiTheme="minorHAnsi" w:cstheme="minorHAnsi"/>
        </w:rPr>
        <w:t>address</w:t>
      </w:r>
      <w:r>
        <w:rPr>
          <w:rFonts w:asciiTheme="minorHAnsi" w:hAnsiTheme="minorHAnsi" w:cstheme="minorHAnsi"/>
        </w:rPr>
        <w:t>ed</w:t>
      </w:r>
      <w:r w:rsidRPr="00BB2E18">
        <w:rPr>
          <w:rFonts w:asciiTheme="minorHAnsi" w:hAnsiTheme="minorHAnsi" w:cstheme="minorHAnsi"/>
        </w:rPr>
        <w:t>:</w:t>
      </w:r>
    </w:p>
    <w:p w:rsidR="00857147" w:rsidRDefault="00857147" w:rsidP="00E8561A">
      <w:pPr>
        <w:pStyle w:val="ListParagraph"/>
        <w:numPr>
          <w:ilvl w:val="0"/>
          <w:numId w:val="27"/>
        </w:numPr>
        <w:rPr>
          <w:rFonts w:asciiTheme="minorHAnsi" w:hAnsiTheme="minorHAnsi" w:cstheme="minorHAnsi"/>
        </w:rPr>
      </w:pPr>
      <w:r>
        <w:rPr>
          <w:rFonts w:asciiTheme="minorHAnsi" w:hAnsiTheme="minorHAnsi" w:cstheme="minorHAnsi"/>
        </w:rPr>
        <w:t>The purposes for which a drug surveillance registry would be required</w:t>
      </w:r>
      <w:r w:rsidR="00FD4212">
        <w:rPr>
          <w:rFonts w:asciiTheme="minorHAnsi" w:hAnsiTheme="minorHAnsi" w:cstheme="minorHAnsi"/>
        </w:rPr>
        <w:t>;</w:t>
      </w:r>
    </w:p>
    <w:p w:rsidR="00857147" w:rsidRDefault="00857147" w:rsidP="00E8561A">
      <w:pPr>
        <w:pStyle w:val="ListParagraph"/>
        <w:numPr>
          <w:ilvl w:val="0"/>
          <w:numId w:val="27"/>
        </w:numPr>
        <w:rPr>
          <w:rFonts w:asciiTheme="minorHAnsi" w:hAnsiTheme="minorHAnsi" w:cstheme="minorHAnsi"/>
        </w:rPr>
      </w:pPr>
      <w:r>
        <w:rPr>
          <w:rFonts w:asciiTheme="minorHAnsi" w:hAnsiTheme="minorHAnsi" w:cstheme="minorHAnsi"/>
        </w:rPr>
        <w:t>The processes for determining whether data collection will be necessary</w:t>
      </w:r>
      <w:r w:rsidR="00FD4212">
        <w:rPr>
          <w:rFonts w:asciiTheme="minorHAnsi" w:hAnsiTheme="minorHAnsi" w:cstheme="minorHAnsi"/>
        </w:rPr>
        <w:t>;</w:t>
      </w:r>
    </w:p>
    <w:p w:rsidR="00857147" w:rsidRDefault="00857147" w:rsidP="00E8561A">
      <w:pPr>
        <w:pStyle w:val="ListParagraph"/>
        <w:numPr>
          <w:ilvl w:val="0"/>
          <w:numId w:val="27"/>
        </w:numPr>
        <w:rPr>
          <w:rFonts w:asciiTheme="minorHAnsi" w:hAnsiTheme="minorHAnsi" w:cstheme="minorHAnsi"/>
        </w:rPr>
      </w:pPr>
      <w:r>
        <w:rPr>
          <w:rFonts w:asciiTheme="minorHAnsi" w:hAnsiTheme="minorHAnsi" w:cstheme="minorHAnsi"/>
        </w:rPr>
        <w:t>The types of data that will be required for achieving the purposes of the drug surveillance registry</w:t>
      </w:r>
      <w:r w:rsidR="00FD4212">
        <w:rPr>
          <w:rFonts w:asciiTheme="minorHAnsi" w:hAnsiTheme="minorHAnsi" w:cstheme="minorHAnsi"/>
        </w:rPr>
        <w:t>;</w:t>
      </w:r>
    </w:p>
    <w:p w:rsidR="00857147" w:rsidRPr="007D1E32" w:rsidRDefault="00857147" w:rsidP="00E8561A">
      <w:pPr>
        <w:pStyle w:val="ListParagraph"/>
        <w:numPr>
          <w:ilvl w:val="0"/>
          <w:numId w:val="27"/>
        </w:numPr>
        <w:rPr>
          <w:rFonts w:asciiTheme="minorHAnsi" w:hAnsiTheme="minorHAnsi" w:cstheme="minorHAnsi"/>
        </w:rPr>
      </w:pPr>
      <w:r>
        <w:rPr>
          <w:rFonts w:asciiTheme="minorHAnsi" w:hAnsiTheme="minorHAnsi" w:cstheme="minorHAnsi"/>
        </w:rPr>
        <w:t>Key considerations when creating a drug surveillance registry (methods of data collection, quality assurance, ethics and privacy, r</w:t>
      </w:r>
      <w:r w:rsidR="00FD4212">
        <w:rPr>
          <w:rFonts w:asciiTheme="minorHAnsi" w:hAnsiTheme="minorHAnsi" w:cstheme="minorHAnsi"/>
        </w:rPr>
        <w:t>egistry governance and funding);</w:t>
      </w:r>
    </w:p>
    <w:p w:rsidR="00857147" w:rsidRDefault="00857147" w:rsidP="00E8561A">
      <w:pPr>
        <w:pStyle w:val="ListParagraph"/>
        <w:numPr>
          <w:ilvl w:val="0"/>
          <w:numId w:val="27"/>
        </w:numPr>
        <w:rPr>
          <w:rFonts w:asciiTheme="minorHAnsi" w:hAnsiTheme="minorHAnsi" w:cstheme="minorHAnsi"/>
        </w:rPr>
      </w:pPr>
      <w:r>
        <w:rPr>
          <w:rFonts w:asciiTheme="minorHAnsi" w:hAnsiTheme="minorHAnsi" w:cstheme="minorHAnsi"/>
        </w:rPr>
        <w:t>Methods of data collection</w:t>
      </w:r>
      <w:r w:rsidR="00FD4212">
        <w:rPr>
          <w:rFonts w:asciiTheme="minorHAnsi" w:hAnsiTheme="minorHAnsi" w:cstheme="minorHAnsi"/>
        </w:rPr>
        <w:t>; and</w:t>
      </w:r>
    </w:p>
    <w:p w:rsidR="00857147" w:rsidRDefault="00857147" w:rsidP="00E8561A">
      <w:pPr>
        <w:pStyle w:val="ListParagraph"/>
        <w:numPr>
          <w:ilvl w:val="0"/>
          <w:numId w:val="27"/>
        </w:numPr>
        <w:rPr>
          <w:rFonts w:asciiTheme="minorHAnsi" w:hAnsiTheme="minorHAnsi" w:cstheme="minorHAnsi"/>
        </w:rPr>
      </w:pPr>
      <w:r>
        <w:rPr>
          <w:rFonts w:asciiTheme="minorHAnsi" w:hAnsiTheme="minorHAnsi" w:cstheme="minorHAnsi"/>
        </w:rPr>
        <w:t>Methods of quality assurance</w:t>
      </w:r>
      <w:r w:rsidR="00FD4212">
        <w:rPr>
          <w:rFonts w:asciiTheme="minorHAnsi" w:hAnsiTheme="minorHAnsi" w:cstheme="minorHAnsi"/>
        </w:rPr>
        <w:t>.</w:t>
      </w:r>
    </w:p>
    <w:p w:rsidR="00092F60" w:rsidRPr="000D5EA0" w:rsidRDefault="00092F60" w:rsidP="00092F60">
      <w:pPr>
        <w:rPr>
          <w:rFonts w:asciiTheme="minorHAnsi" w:hAnsiTheme="minorHAnsi" w:cstheme="minorHAnsi"/>
        </w:rPr>
      </w:pPr>
    </w:p>
    <w:p w:rsidR="00092F60" w:rsidRDefault="00DB4EE8" w:rsidP="00D60032">
      <w:pPr>
        <w:pStyle w:val="Heading2"/>
      </w:pPr>
      <w:bookmarkStart w:id="648" w:name="_Toc404178907"/>
      <w:bookmarkStart w:id="649" w:name="_Toc404937333"/>
      <w:r>
        <w:tab/>
      </w:r>
      <w:bookmarkStart w:id="650" w:name="_Toc415141761"/>
      <w:r w:rsidR="00092F60" w:rsidRPr="008D5EA3">
        <w:t>Method</w:t>
      </w:r>
      <w:bookmarkEnd w:id="648"/>
      <w:bookmarkEnd w:id="649"/>
      <w:bookmarkEnd w:id="650"/>
    </w:p>
    <w:p w:rsidR="00FD4212" w:rsidRPr="000D5EA0" w:rsidRDefault="00FD4212" w:rsidP="00FD4212">
      <w:pPr>
        <w:rPr>
          <w:rFonts w:asciiTheme="minorHAnsi" w:hAnsiTheme="minorHAnsi" w:cstheme="minorHAnsi"/>
        </w:rPr>
      </w:pPr>
      <w:r w:rsidRPr="000D5EA0">
        <w:rPr>
          <w:rFonts w:asciiTheme="minorHAnsi" w:hAnsiTheme="minorHAnsi" w:cstheme="minorHAnsi"/>
        </w:rPr>
        <w:t xml:space="preserve">As part of the overall review of the LSDP, a review of the current </w:t>
      </w:r>
      <w:r>
        <w:rPr>
          <w:rFonts w:asciiTheme="minorHAnsi" w:hAnsiTheme="minorHAnsi" w:cstheme="minorHAnsi"/>
        </w:rPr>
        <w:t xml:space="preserve">Australian data </w:t>
      </w:r>
      <w:r w:rsidRPr="000D5EA0">
        <w:rPr>
          <w:rFonts w:asciiTheme="minorHAnsi" w:hAnsiTheme="minorHAnsi" w:cstheme="minorHAnsi"/>
        </w:rPr>
        <w:t>registries w</w:t>
      </w:r>
      <w:r>
        <w:rPr>
          <w:rFonts w:asciiTheme="minorHAnsi" w:hAnsiTheme="minorHAnsi" w:cstheme="minorHAnsi"/>
        </w:rPr>
        <w:t>as</w:t>
      </w:r>
      <w:r w:rsidR="00FF09AF">
        <w:rPr>
          <w:rFonts w:asciiTheme="minorHAnsi" w:hAnsiTheme="minorHAnsi" w:cstheme="minorHAnsi"/>
        </w:rPr>
        <w:t xml:space="preserve"> undertaken. </w:t>
      </w:r>
      <w:r w:rsidRPr="000D5EA0">
        <w:rPr>
          <w:rFonts w:asciiTheme="minorHAnsi" w:hAnsiTheme="minorHAnsi" w:cstheme="minorHAnsi"/>
        </w:rPr>
        <w:t xml:space="preserve">Successful components and limitations of the current registry process </w:t>
      </w:r>
      <w:r>
        <w:rPr>
          <w:rFonts w:asciiTheme="minorHAnsi" w:hAnsiTheme="minorHAnsi" w:cstheme="minorHAnsi"/>
        </w:rPr>
        <w:t>were</w:t>
      </w:r>
      <w:r w:rsidRPr="000D5EA0">
        <w:rPr>
          <w:rFonts w:asciiTheme="minorHAnsi" w:hAnsiTheme="minorHAnsi" w:cstheme="minorHAnsi"/>
        </w:rPr>
        <w:t xml:space="preserve"> identified and used to inform the discussion for ToR</w:t>
      </w:r>
      <w:r>
        <w:rPr>
          <w:rFonts w:asciiTheme="minorHAnsi" w:hAnsiTheme="minorHAnsi" w:cstheme="minorHAnsi"/>
        </w:rPr>
        <w:t xml:space="preserve"> 7</w:t>
      </w:r>
      <w:r w:rsidRPr="000D5EA0">
        <w:rPr>
          <w:rFonts w:asciiTheme="minorHAnsi" w:hAnsiTheme="minorHAnsi" w:cstheme="minorHAnsi"/>
        </w:rPr>
        <w:t>.</w:t>
      </w:r>
      <w:r>
        <w:rPr>
          <w:rFonts w:asciiTheme="minorHAnsi" w:hAnsiTheme="minorHAnsi" w:cstheme="minorHAnsi"/>
        </w:rPr>
        <w:t xml:space="preserve"> </w:t>
      </w:r>
    </w:p>
    <w:p w:rsidR="00FD4212" w:rsidRDefault="00FD4212" w:rsidP="00FD4212">
      <w:pPr>
        <w:rPr>
          <w:rFonts w:asciiTheme="minorHAnsi" w:hAnsiTheme="minorHAnsi" w:cstheme="minorHAnsi"/>
        </w:rPr>
      </w:pPr>
      <w:r w:rsidRPr="000D5EA0">
        <w:rPr>
          <w:rFonts w:asciiTheme="minorHAnsi" w:hAnsiTheme="minorHAnsi" w:cstheme="minorHAnsi"/>
        </w:rPr>
        <w:lastRenderedPageBreak/>
        <w:t>I</w:t>
      </w:r>
      <w:r>
        <w:rPr>
          <w:rFonts w:asciiTheme="minorHAnsi" w:hAnsiTheme="minorHAnsi" w:cstheme="minorHAnsi"/>
        </w:rPr>
        <w:t xml:space="preserve">nput was sought from consultants </w:t>
      </w:r>
      <w:r w:rsidRPr="000D5EA0">
        <w:rPr>
          <w:rFonts w:asciiTheme="minorHAnsi" w:hAnsiTheme="minorHAnsi" w:cstheme="minorHAnsi"/>
        </w:rPr>
        <w:t>for this ToR</w:t>
      </w:r>
      <w:r>
        <w:rPr>
          <w:rFonts w:asciiTheme="minorHAnsi" w:hAnsiTheme="minorHAnsi" w:cstheme="minorHAnsi"/>
        </w:rPr>
        <w:t>,</w:t>
      </w:r>
      <w:r w:rsidRPr="000D5EA0">
        <w:rPr>
          <w:rFonts w:asciiTheme="minorHAnsi" w:hAnsiTheme="minorHAnsi" w:cstheme="minorHAnsi"/>
        </w:rPr>
        <w:t xml:space="preserve"> includ</w:t>
      </w:r>
      <w:r>
        <w:rPr>
          <w:rFonts w:asciiTheme="minorHAnsi" w:hAnsiTheme="minorHAnsi" w:cstheme="minorHAnsi"/>
        </w:rPr>
        <w:t>ing</w:t>
      </w:r>
      <w:r w:rsidRPr="000D5EA0">
        <w:rPr>
          <w:rFonts w:asciiTheme="minorHAnsi" w:hAnsiTheme="minorHAnsi" w:cstheme="minorHAnsi"/>
        </w:rPr>
        <w:t xml:space="preserve"> a</w:t>
      </w:r>
      <w:r>
        <w:rPr>
          <w:rFonts w:asciiTheme="minorHAnsi" w:hAnsiTheme="minorHAnsi" w:cstheme="minorHAnsi"/>
        </w:rPr>
        <w:t xml:space="preserve"> data management</w:t>
      </w:r>
      <w:r w:rsidRPr="000D5EA0">
        <w:rPr>
          <w:rFonts w:asciiTheme="minorHAnsi" w:hAnsiTheme="minorHAnsi" w:cstheme="minorHAnsi"/>
        </w:rPr>
        <w:t xml:space="preserve"> expert </w:t>
      </w:r>
      <w:r>
        <w:rPr>
          <w:rFonts w:asciiTheme="minorHAnsi" w:hAnsiTheme="minorHAnsi" w:cstheme="minorHAnsi"/>
        </w:rPr>
        <w:t>with responsibility for</w:t>
      </w:r>
      <w:r w:rsidRPr="000D5EA0">
        <w:rPr>
          <w:rFonts w:asciiTheme="minorHAnsi" w:hAnsiTheme="minorHAnsi" w:cstheme="minorHAnsi"/>
        </w:rPr>
        <w:t xml:space="preserve"> a population registry, an ethicist and a statistician.</w:t>
      </w:r>
      <w:r>
        <w:rPr>
          <w:rFonts w:asciiTheme="minorHAnsi" w:hAnsiTheme="minorHAnsi" w:cstheme="minorHAnsi"/>
        </w:rPr>
        <w:t xml:space="preserve"> </w:t>
      </w:r>
    </w:p>
    <w:p w:rsidR="00FD4212" w:rsidRPr="00FD4212" w:rsidRDefault="00FD4212" w:rsidP="00FD4212">
      <w:pPr>
        <w:rPr>
          <w:rFonts w:asciiTheme="minorHAnsi" w:hAnsiTheme="minorHAnsi" w:cstheme="minorHAnsi"/>
        </w:rPr>
      </w:pPr>
      <w:r>
        <w:rPr>
          <w:rFonts w:asciiTheme="minorHAnsi" w:hAnsiTheme="minorHAnsi" w:cstheme="minorHAnsi"/>
        </w:rPr>
        <w:t>The approach taken for this section of the technical assessment was to:</w:t>
      </w:r>
    </w:p>
    <w:p w:rsidR="00092F60" w:rsidRDefault="00092F60" w:rsidP="00E8561A">
      <w:pPr>
        <w:pStyle w:val="ListParagraph"/>
        <w:numPr>
          <w:ilvl w:val="0"/>
          <w:numId w:val="18"/>
        </w:numPr>
        <w:tabs>
          <w:tab w:val="left" w:pos="1134"/>
        </w:tabs>
        <w:ind w:left="1134" w:hanging="774"/>
      </w:pPr>
      <w:r w:rsidRPr="000D5EA0">
        <w:t>Identify relevant privacy acts and confidentiality legislation governing the collection, storage and use of patient level health data in Australia.</w:t>
      </w:r>
    </w:p>
    <w:p w:rsidR="00092F60" w:rsidRPr="000D5EA0" w:rsidRDefault="00092F60" w:rsidP="00E8561A">
      <w:pPr>
        <w:pStyle w:val="ListParagraph"/>
        <w:numPr>
          <w:ilvl w:val="0"/>
          <w:numId w:val="18"/>
        </w:numPr>
        <w:tabs>
          <w:tab w:val="left" w:pos="1134"/>
        </w:tabs>
        <w:ind w:left="1134" w:hanging="774"/>
      </w:pPr>
      <w:r>
        <w:t>R</w:t>
      </w:r>
      <w:r w:rsidRPr="000D5EA0">
        <w:t>eview the literature to inform discussion and direction in the following areas:</w:t>
      </w:r>
    </w:p>
    <w:p w:rsidR="00092F60" w:rsidRDefault="00092F60" w:rsidP="00E8561A">
      <w:pPr>
        <w:pStyle w:val="ListParagraph"/>
        <w:numPr>
          <w:ilvl w:val="1"/>
          <w:numId w:val="18"/>
        </w:numPr>
        <w:ind w:left="1701" w:hanging="621"/>
      </w:pPr>
      <w:r w:rsidRPr="000D5EA0">
        <w:t xml:space="preserve">Types of data required to audit or assess the efficacy and cost of a drug in the community (and processes for establishing what data </w:t>
      </w:r>
      <w:r>
        <w:t>are</w:t>
      </w:r>
      <w:r w:rsidRPr="000D5EA0">
        <w:t xml:space="preserve"> required);</w:t>
      </w:r>
    </w:p>
    <w:p w:rsidR="00092F60" w:rsidRPr="000D5EA0" w:rsidRDefault="00092F60" w:rsidP="00E8561A">
      <w:pPr>
        <w:pStyle w:val="ListParagraph"/>
        <w:numPr>
          <w:ilvl w:val="1"/>
          <w:numId w:val="18"/>
        </w:numPr>
        <w:ind w:left="1701" w:hanging="621"/>
      </w:pPr>
      <w:r w:rsidRPr="000D5EA0">
        <w:t xml:space="preserve">Methods of data collection and storage that </w:t>
      </w:r>
      <w:r>
        <w:t>are</w:t>
      </w:r>
      <w:r w:rsidRPr="000D5EA0">
        <w:t xml:space="preserve"> efficient and low cost and will ensure accuracy and compliance among data providers;</w:t>
      </w:r>
    </w:p>
    <w:p w:rsidR="00092F60" w:rsidRPr="000D5EA0" w:rsidRDefault="00092F60" w:rsidP="00E8561A">
      <w:pPr>
        <w:pStyle w:val="ListParagraph"/>
        <w:numPr>
          <w:ilvl w:val="1"/>
          <w:numId w:val="18"/>
        </w:numPr>
        <w:ind w:left="1701" w:hanging="621"/>
      </w:pPr>
      <w:r w:rsidRPr="000D5EA0">
        <w:t>Methods of testing data completeness and accuracy (quality assurance);</w:t>
      </w:r>
    </w:p>
    <w:p w:rsidR="00092F60" w:rsidRPr="000D5EA0" w:rsidRDefault="00092F60" w:rsidP="00E8561A">
      <w:pPr>
        <w:pStyle w:val="ListParagraph"/>
        <w:numPr>
          <w:ilvl w:val="1"/>
          <w:numId w:val="18"/>
        </w:numPr>
        <w:ind w:left="1701" w:hanging="621"/>
      </w:pPr>
      <w:r w:rsidRPr="000D5EA0">
        <w:t xml:space="preserve">Mechanisms to ensure </w:t>
      </w:r>
      <w:r w:rsidR="00391BC2">
        <w:t>appropriate</w:t>
      </w:r>
      <w:r w:rsidRPr="000D5EA0">
        <w:t xml:space="preserve"> levels of patient privacy that abides by Australian legislation including the completion, transmission and storage of data and rules governing access to data for analysis;</w:t>
      </w:r>
      <w:r>
        <w:t xml:space="preserve"> and</w:t>
      </w:r>
    </w:p>
    <w:p w:rsidR="00092F60" w:rsidRDefault="00092F60" w:rsidP="00E8561A">
      <w:pPr>
        <w:pStyle w:val="ListParagraph"/>
        <w:numPr>
          <w:ilvl w:val="1"/>
          <w:numId w:val="18"/>
        </w:numPr>
        <w:ind w:left="1701" w:hanging="621"/>
      </w:pPr>
      <w:r w:rsidRPr="000D5EA0">
        <w:t>Appropriate data structures for storing health related data to enable linking of multiple data forms and the periodic reporting of outcomes for auditing or policy purposes.</w:t>
      </w:r>
    </w:p>
    <w:p w:rsidR="00D81D2B" w:rsidRDefault="00D81D2B" w:rsidP="00D81D2B">
      <w:pPr>
        <w:ind w:left="1080"/>
      </w:pPr>
    </w:p>
    <w:p w:rsidR="00092F60" w:rsidRDefault="00DB4EE8" w:rsidP="00D60032">
      <w:pPr>
        <w:pStyle w:val="Heading2"/>
      </w:pPr>
      <w:bookmarkStart w:id="651" w:name="_Toc404178908"/>
      <w:bookmarkStart w:id="652" w:name="_Toc404937334"/>
      <w:r>
        <w:tab/>
      </w:r>
      <w:bookmarkStart w:id="653" w:name="_Toc415141762"/>
      <w:r w:rsidR="00092F60">
        <w:t>Results</w:t>
      </w:r>
      <w:bookmarkEnd w:id="651"/>
      <w:bookmarkEnd w:id="652"/>
      <w:bookmarkEnd w:id="653"/>
    </w:p>
    <w:p w:rsidR="00900B13" w:rsidRPr="00900B13" w:rsidRDefault="00900B13" w:rsidP="00900B13">
      <w:pPr>
        <w:rPr>
          <w:lang w:eastAsia="en-AU"/>
        </w:rPr>
      </w:pPr>
    </w:p>
    <w:p w:rsidR="00FF09AF" w:rsidRDefault="00FF09AF" w:rsidP="00FF09AF">
      <w:pPr>
        <w:pBdr>
          <w:top w:val="single" w:sz="4" w:space="4" w:color="auto"/>
          <w:left w:val="single" w:sz="4" w:space="4" w:color="auto"/>
          <w:bottom w:val="single" w:sz="4" w:space="4" w:color="auto"/>
          <w:right w:val="single" w:sz="4" w:space="4" w:color="auto"/>
        </w:pBdr>
        <w:spacing w:after="200"/>
        <w:jc w:val="left"/>
        <w:rPr>
          <w:rFonts w:ascii="Arial Narrow" w:eastAsia="Calibri" w:hAnsi="Arial Narrow"/>
          <w:sz w:val="22"/>
          <w:szCs w:val="22"/>
        </w:rPr>
      </w:pPr>
      <w:r w:rsidRPr="009D6EFC">
        <w:rPr>
          <w:rFonts w:ascii="Arial Narrow" w:eastAsia="Calibri" w:hAnsi="Arial Narrow"/>
          <w:sz w:val="22"/>
          <w:szCs w:val="22"/>
        </w:rPr>
        <w:t xml:space="preserve">Due to the small number of patients with rare diseases in Australia, it is suggested that Australian physicians and patients be encouraged to participate in international registries, where they exist. </w:t>
      </w:r>
    </w:p>
    <w:p w:rsidR="00FF09AF" w:rsidRDefault="00FF09AF" w:rsidP="00FF09AF">
      <w:pPr>
        <w:pBdr>
          <w:top w:val="single" w:sz="4" w:space="4" w:color="auto"/>
          <w:left w:val="single" w:sz="4" w:space="4" w:color="auto"/>
          <w:bottom w:val="single" w:sz="4" w:space="4" w:color="auto"/>
          <w:right w:val="single" w:sz="4" w:space="4" w:color="auto"/>
        </w:pBdr>
        <w:spacing w:after="200"/>
        <w:jc w:val="left"/>
        <w:rPr>
          <w:rFonts w:ascii="Arial Narrow" w:eastAsia="Calibri" w:hAnsi="Arial Narrow"/>
          <w:sz w:val="22"/>
          <w:szCs w:val="22"/>
        </w:rPr>
      </w:pPr>
      <w:r w:rsidRPr="009D6EFC">
        <w:rPr>
          <w:rFonts w:ascii="Arial Narrow" w:eastAsia="Calibri" w:hAnsi="Arial Narrow"/>
          <w:sz w:val="22"/>
          <w:szCs w:val="22"/>
        </w:rPr>
        <w:t>Elements which should be considered in developing a registry include:</w:t>
      </w:r>
    </w:p>
    <w:p w:rsidR="00FF09AF" w:rsidRDefault="00FF09AF" w:rsidP="00FF09AF">
      <w:pPr>
        <w:pBdr>
          <w:top w:val="single" w:sz="4" w:space="4" w:color="auto"/>
          <w:left w:val="single" w:sz="4" w:space="4" w:color="auto"/>
          <w:bottom w:val="single" w:sz="4" w:space="4" w:color="auto"/>
          <w:right w:val="single" w:sz="4" w:space="4" w:color="auto"/>
        </w:pBdr>
        <w:spacing w:after="200"/>
        <w:ind w:left="284" w:hanging="284"/>
        <w:jc w:val="left"/>
        <w:rPr>
          <w:rFonts w:ascii="Arial Narrow" w:eastAsia="Calibri" w:hAnsi="Arial Narrow"/>
          <w:sz w:val="22"/>
          <w:szCs w:val="22"/>
        </w:rPr>
      </w:pPr>
      <w:r>
        <w:rPr>
          <w:rFonts w:ascii="Arial Narrow" w:eastAsia="Calibri" w:hAnsi="Arial Narrow"/>
          <w:sz w:val="22"/>
          <w:szCs w:val="22"/>
        </w:rPr>
        <w:t xml:space="preserve"> ●  Define </w:t>
      </w:r>
      <w:r w:rsidRPr="009D6EFC">
        <w:rPr>
          <w:rFonts w:ascii="Arial Narrow" w:eastAsia="Calibri" w:hAnsi="Arial Narrow"/>
          <w:sz w:val="22"/>
          <w:szCs w:val="22"/>
        </w:rPr>
        <w:t xml:space="preserve">the purpose of the registry </w:t>
      </w:r>
      <w:r w:rsidR="009161F9">
        <w:rPr>
          <w:rFonts w:ascii="Arial Narrow" w:eastAsia="Calibri" w:hAnsi="Arial Narrow"/>
          <w:sz w:val="22"/>
          <w:szCs w:val="22"/>
        </w:rPr>
        <w:t>i.e.</w:t>
      </w:r>
      <w:r>
        <w:rPr>
          <w:rFonts w:ascii="Arial Narrow" w:eastAsia="Calibri" w:hAnsi="Arial Narrow"/>
          <w:sz w:val="22"/>
          <w:szCs w:val="22"/>
        </w:rPr>
        <w:t xml:space="preserve"> </w:t>
      </w:r>
      <w:r w:rsidRPr="009D6EFC">
        <w:rPr>
          <w:rFonts w:ascii="Arial Narrow" w:eastAsia="Calibri" w:hAnsi="Arial Narrow"/>
          <w:sz w:val="22"/>
          <w:szCs w:val="22"/>
        </w:rPr>
        <w:t>to evaluate eligibility for ongoing access to drugs, measure costs of the drug and management of the condition, evaluate the safety and effectiveness of a drug; use cost, safety and effectiveness measures to facilitate risk-share agreements between sponsors and Government; and to ensure access to data by key stakeholders</w:t>
      </w:r>
    </w:p>
    <w:p w:rsidR="00FF09AF" w:rsidRDefault="00FF09AF" w:rsidP="00FF09AF">
      <w:pPr>
        <w:pBdr>
          <w:top w:val="single" w:sz="4" w:space="4" w:color="auto"/>
          <w:left w:val="single" w:sz="4" w:space="4" w:color="auto"/>
          <w:bottom w:val="single" w:sz="4" w:space="4" w:color="auto"/>
          <w:right w:val="single" w:sz="4" w:space="4" w:color="auto"/>
        </w:pBdr>
        <w:spacing w:after="200"/>
        <w:ind w:left="284" w:hanging="284"/>
        <w:jc w:val="left"/>
        <w:rPr>
          <w:rFonts w:ascii="Arial Narrow" w:eastAsia="Calibri" w:hAnsi="Arial Narrow"/>
          <w:sz w:val="22"/>
          <w:szCs w:val="22"/>
        </w:rPr>
      </w:pPr>
      <w:r>
        <w:rPr>
          <w:rFonts w:ascii="Arial Narrow" w:eastAsia="Calibri" w:hAnsi="Arial Narrow"/>
          <w:sz w:val="22"/>
          <w:szCs w:val="22"/>
        </w:rPr>
        <w:t xml:space="preserve"> ●  </w:t>
      </w:r>
      <w:r w:rsidRPr="009D6EFC">
        <w:rPr>
          <w:rFonts w:ascii="Arial Narrow" w:eastAsia="Calibri" w:hAnsi="Arial Narrow"/>
          <w:sz w:val="22"/>
          <w:szCs w:val="22"/>
        </w:rPr>
        <w:t xml:space="preserve">The best method for the collection of data </w:t>
      </w:r>
      <w:r>
        <w:rPr>
          <w:rFonts w:ascii="Arial Narrow" w:eastAsia="Calibri" w:hAnsi="Arial Narrow"/>
          <w:sz w:val="22"/>
          <w:szCs w:val="22"/>
        </w:rPr>
        <w:t xml:space="preserve">that </w:t>
      </w:r>
      <w:r w:rsidRPr="009D6EFC">
        <w:rPr>
          <w:rFonts w:ascii="Arial Narrow" w:eastAsia="Calibri" w:hAnsi="Arial Narrow"/>
          <w:sz w:val="22"/>
          <w:szCs w:val="22"/>
        </w:rPr>
        <w:t>balanc</w:t>
      </w:r>
      <w:r>
        <w:rPr>
          <w:rFonts w:ascii="Arial Narrow" w:eastAsia="Calibri" w:hAnsi="Arial Narrow"/>
          <w:sz w:val="22"/>
          <w:szCs w:val="22"/>
        </w:rPr>
        <w:t>es</w:t>
      </w:r>
      <w:r w:rsidRPr="009D6EFC">
        <w:rPr>
          <w:rFonts w:ascii="Arial Narrow" w:eastAsia="Calibri" w:hAnsi="Arial Narrow"/>
          <w:sz w:val="22"/>
          <w:szCs w:val="22"/>
        </w:rPr>
        <w:t xml:space="preserve"> ease of use, and </w:t>
      </w:r>
      <w:r>
        <w:rPr>
          <w:rFonts w:ascii="Arial Narrow" w:eastAsia="Calibri" w:hAnsi="Arial Narrow"/>
          <w:sz w:val="22"/>
          <w:szCs w:val="22"/>
        </w:rPr>
        <w:t xml:space="preserve">the </w:t>
      </w:r>
      <w:r w:rsidRPr="009D6EFC">
        <w:rPr>
          <w:rFonts w:ascii="Arial Narrow" w:eastAsia="Calibri" w:hAnsi="Arial Narrow"/>
          <w:sz w:val="22"/>
          <w:szCs w:val="22"/>
        </w:rPr>
        <w:t>amount of detail required, so that the data collected fits the purpose and is not an unreasonable burden on the patient, their families or</w:t>
      </w:r>
      <w:r>
        <w:rPr>
          <w:rFonts w:ascii="Arial Narrow" w:eastAsia="Calibri" w:hAnsi="Arial Narrow"/>
          <w:sz w:val="22"/>
          <w:szCs w:val="22"/>
        </w:rPr>
        <w:t xml:space="preserve"> the treating</w:t>
      </w:r>
      <w:r w:rsidRPr="009D6EFC">
        <w:rPr>
          <w:rFonts w:ascii="Arial Narrow" w:eastAsia="Calibri" w:hAnsi="Arial Narrow"/>
          <w:sz w:val="22"/>
          <w:szCs w:val="22"/>
        </w:rPr>
        <w:t xml:space="preserve"> physician. Questions need to be clear and unambiguous, with explicit definitions for </w:t>
      </w:r>
      <w:r>
        <w:rPr>
          <w:rFonts w:ascii="Arial Narrow" w:eastAsia="Calibri" w:hAnsi="Arial Narrow"/>
          <w:sz w:val="22"/>
          <w:szCs w:val="22"/>
        </w:rPr>
        <w:t xml:space="preserve">each </w:t>
      </w:r>
      <w:r w:rsidRPr="009D6EFC">
        <w:rPr>
          <w:rFonts w:ascii="Arial Narrow" w:eastAsia="Calibri" w:hAnsi="Arial Narrow"/>
          <w:sz w:val="22"/>
          <w:szCs w:val="22"/>
        </w:rPr>
        <w:t>data</w:t>
      </w:r>
      <w:r>
        <w:rPr>
          <w:rFonts w:ascii="Arial Narrow" w:eastAsia="Calibri" w:hAnsi="Arial Narrow"/>
          <w:sz w:val="22"/>
          <w:szCs w:val="22"/>
        </w:rPr>
        <w:t xml:space="preserve"> item</w:t>
      </w:r>
      <w:r w:rsidRPr="009D6EFC">
        <w:rPr>
          <w:rFonts w:ascii="Arial Narrow" w:eastAsia="Calibri" w:hAnsi="Arial Narrow"/>
          <w:sz w:val="22"/>
          <w:szCs w:val="22"/>
        </w:rPr>
        <w:t>.</w:t>
      </w:r>
    </w:p>
    <w:p w:rsidR="00FF09AF" w:rsidRDefault="00FF09AF" w:rsidP="00FF09AF">
      <w:pPr>
        <w:pBdr>
          <w:top w:val="single" w:sz="4" w:space="4" w:color="auto"/>
          <w:left w:val="single" w:sz="4" w:space="4" w:color="auto"/>
          <w:bottom w:val="single" w:sz="4" w:space="4" w:color="auto"/>
          <w:right w:val="single" w:sz="4" w:space="4" w:color="auto"/>
        </w:pBdr>
        <w:spacing w:after="200"/>
        <w:ind w:left="284" w:hanging="284"/>
        <w:jc w:val="left"/>
        <w:rPr>
          <w:rFonts w:ascii="Arial Narrow" w:eastAsia="Calibri" w:hAnsi="Arial Narrow"/>
          <w:sz w:val="22"/>
          <w:szCs w:val="22"/>
        </w:rPr>
      </w:pPr>
      <w:r>
        <w:rPr>
          <w:rFonts w:ascii="Arial Narrow" w:eastAsia="Calibri" w:hAnsi="Arial Narrow"/>
          <w:sz w:val="22"/>
          <w:szCs w:val="22"/>
        </w:rPr>
        <w:t xml:space="preserve"> ●  Incorporating</w:t>
      </w:r>
      <w:r w:rsidRPr="009D6EFC">
        <w:rPr>
          <w:rFonts w:ascii="Arial Narrow" w:eastAsia="Calibri" w:hAnsi="Arial Narrow"/>
          <w:sz w:val="22"/>
          <w:szCs w:val="22"/>
        </w:rPr>
        <w:t xml:space="preserve"> quality assurance processes to ensure completeness of data and compliance, through the use of prompts, clear instructions, data dictionaries, automated reminders, cross-checking with external sources, clarification with data provider to correct spurious or missing data, an audit trail of changes, and reporting of common errors to enable ongoing improvement</w:t>
      </w:r>
      <w:r>
        <w:rPr>
          <w:rFonts w:ascii="Arial Narrow" w:eastAsia="Calibri" w:hAnsi="Arial Narrow"/>
          <w:sz w:val="22"/>
          <w:szCs w:val="22"/>
        </w:rPr>
        <w:t>s.</w:t>
      </w:r>
    </w:p>
    <w:p w:rsidR="00FF09AF" w:rsidRDefault="00FF09AF" w:rsidP="00FF09AF">
      <w:pPr>
        <w:pBdr>
          <w:top w:val="single" w:sz="4" w:space="4" w:color="auto"/>
          <w:left w:val="single" w:sz="4" w:space="4" w:color="auto"/>
          <w:bottom w:val="single" w:sz="4" w:space="4" w:color="auto"/>
          <w:right w:val="single" w:sz="4" w:space="4" w:color="auto"/>
        </w:pBdr>
        <w:spacing w:after="200"/>
        <w:ind w:left="284" w:hanging="284"/>
        <w:jc w:val="left"/>
        <w:rPr>
          <w:rFonts w:ascii="Arial Narrow" w:eastAsia="Calibri" w:hAnsi="Arial Narrow"/>
          <w:sz w:val="22"/>
          <w:szCs w:val="22"/>
        </w:rPr>
      </w:pPr>
      <w:r>
        <w:rPr>
          <w:rFonts w:ascii="Arial Narrow" w:eastAsia="Calibri" w:hAnsi="Arial Narrow"/>
          <w:sz w:val="22"/>
          <w:szCs w:val="22"/>
        </w:rPr>
        <w:t xml:space="preserve"> </w:t>
      </w:r>
      <w:r w:rsidR="009161F9">
        <w:rPr>
          <w:rFonts w:ascii="Arial Narrow" w:eastAsia="Calibri" w:hAnsi="Arial Narrow"/>
          <w:sz w:val="22"/>
          <w:szCs w:val="22"/>
        </w:rPr>
        <w:t>● Governance</w:t>
      </w:r>
      <w:r w:rsidRPr="009D6EFC">
        <w:rPr>
          <w:rFonts w:ascii="Arial Narrow" w:eastAsia="Calibri" w:hAnsi="Arial Narrow"/>
          <w:sz w:val="22"/>
          <w:szCs w:val="22"/>
        </w:rPr>
        <w:t xml:space="preserve"> structures, including key stakeholders who are involved in the development, and maintenance of the registry, delivering re</w:t>
      </w:r>
      <w:r>
        <w:rPr>
          <w:rFonts w:ascii="Arial Narrow" w:eastAsia="Calibri" w:hAnsi="Arial Narrow"/>
          <w:sz w:val="22"/>
          <w:szCs w:val="22"/>
        </w:rPr>
        <w:t xml:space="preserve">ports to Government and public, </w:t>
      </w:r>
      <w:r w:rsidRPr="009D6EFC">
        <w:rPr>
          <w:rFonts w:ascii="Arial Narrow" w:eastAsia="Calibri" w:hAnsi="Arial Narrow"/>
          <w:sz w:val="22"/>
          <w:szCs w:val="22"/>
        </w:rPr>
        <w:t>and funders of the registry</w:t>
      </w:r>
      <w:r>
        <w:rPr>
          <w:rFonts w:ascii="Arial Narrow" w:eastAsia="Calibri" w:hAnsi="Arial Narrow"/>
          <w:sz w:val="22"/>
          <w:szCs w:val="22"/>
        </w:rPr>
        <w:t>.</w:t>
      </w:r>
    </w:p>
    <w:p w:rsidR="00FF09AF" w:rsidRDefault="00FF09AF" w:rsidP="00FF09AF">
      <w:pPr>
        <w:pBdr>
          <w:top w:val="single" w:sz="4" w:space="1" w:color="auto"/>
          <w:left w:val="single" w:sz="4" w:space="4" w:color="auto"/>
          <w:bottom w:val="single" w:sz="4" w:space="1" w:color="auto"/>
          <w:right w:val="single" w:sz="4" w:space="4" w:color="auto"/>
        </w:pBdr>
        <w:spacing w:after="200"/>
        <w:ind w:left="284" w:hanging="284"/>
        <w:jc w:val="left"/>
        <w:rPr>
          <w:rFonts w:ascii="Arial Narrow" w:eastAsia="Calibri" w:hAnsi="Arial Narrow"/>
          <w:sz w:val="22"/>
          <w:szCs w:val="22"/>
        </w:rPr>
      </w:pPr>
      <w:r>
        <w:rPr>
          <w:rFonts w:ascii="Arial Narrow" w:eastAsia="Calibri" w:hAnsi="Arial Narrow"/>
          <w:sz w:val="22"/>
          <w:szCs w:val="22"/>
        </w:rPr>
        <w:lastRenderedPageBreak/>
        <w:t xml:space="preserve"> </w:t>
      </w:r>
      <w:r w:rsidR="009161F9">
        <w:rPr>
          <w:rFonts w:ascii="Arial Narrow" w:eastAsia="Calibri" w:hAnsi="Arial Narrow"/>
          <w:sz w:val="22"/>
          <w:szCs w:val="22"/>
        </w:rPr>
        <w:t>● Ensure</w:t>
      </w:r>
      <w:r w:rsidRPr="009D6EFC">
        <w:rPr>
          <w:rFonts w:ascii="Arial Narrow" w:eastAsia="Calibri" w:hAnsi="Arial Narrow"/>
          <w:sz w:val="22"/>
          <w:szCs w:val="22"/>
        </w:rPr>
        <w:t xml:space="preserve"> that the privacy of patients is maintained and appropriate consent or assent is achieved for the collection of data. Due to the small number of patients, even aggregated de-identified data may be able to be identified, so careful decisions need to be made regarding who can access the data</w:t>
      </w:r>
      <w:r>
        <w:rPr>
          <w:rFonts w:ascii="Arial Narrow" w:eastAsia="Calibri" w:hAnsi="Arial Narrow"/>
          <w:sz w:val="22"/>
          <w:szCs w:val="22"/>
        </w:rPr>
        <w:t>.</w:t>
      </w:r>
    </w:p>
    <w:p w:rsidR="00FF09AF" w:rsidRPr="00C3786E" w:rsidRDefault="00FF09AF" w:rsidP="00FF09AF">
      <w:pPr>
        <w:pBdr>
          <w:top w:val="single" w:sz="4" w:space="1" w:color="auto"/>
          <w:left w:val="single" w:sz="4" w:space="4" w:color="auto"/>
          <w:bottom w:val="single" w:sz="4" w:space="1" w:color="auto"/>
          <w:right w:val="single" w:sz="4" w:space="4" w:color="auto"/>
        </w:pBdr>
        <w:spacing w:after="200"/>
        <w:ind w:left="284" w:hanging="284"/>
        <w:jc w:val="left"/>
        <w:rPr>
          <w:rFonts w:ascii="Arial Narrow" w:eastAsia="Calibri" w:hAnsi="Arial Narrow"/>
          <w:sz w:val="22"/>
          <w:szCs w:val="22"/>
        </w:rPr>
      </w:pPr>
      <w:r>
        <w:rPr>
          <w:rFonts w:ascii="Arial Narrow" w:eastAsia="Calibri" w:hAnsi="Arial Narrow"/>
          <w:sz w:val="22"/>
          <w:szCs w:val="22"/>
        </w:rPr>
        <w:t xml:space="preserve"> ● Consider h</w:t>
      </w:r>
      <w:r w:rsidRPr="009D6EFC">
        <w:rPr>
          <w:rFonts w:ascii="Arial Narrow" w:eastAsia="Calibri" w:hAnsi="Arial Narrow"/>
          <w:sz w:val="22"/>
          <w:szCs w:val="22"/>
        </w:rPr>
        <w:t>ow the registry should be resourced and funded, both the high initial set-up costs, plus the ongoing costs of running the registry, both in terms of the data management and information technology, as well as the steering committee costs</w:t>
      </w:r>
      <w:r>
        <w:rPr>
          <w:rFonts w:ascii="Arial Narrow" w:eastAsia="Calibri" w:hAnsi="Arial Narrow"/>
          <w:sz w:val="22"/>
          <w:szCs w:val="22"/>
        </w:rPr>
        <w:t>.</w:t>
      </w:r>
    </w:p>
    <w:p w:rsidR="00247E93" w:rsidRPr="00247E93" w:rsidRDefault="00247E93" w:rsidP="00247E93">
      <w:pPr>
        <w:rPr>
          <w:lang w:eastAsia="en-AU"/>
        </w:rPr>
      </w:pPr>
    </w:p>
    <w:p w:rsidR="00EE023B" w:rsidRDefault="00EE023B" w:rsidP="00EE023B">
      <w:pPr>
        <w:pStyle w:val="Heading3"/>
      </w:pPr>
      <w:bookmarkStart w:id="654" w:name="_Toc404937335"/>
      <w:r>
        <w:t>Background</w:t>
      </w:r>
      <w:bookmarkEnd w:id="654"/>
    </w:p>
    <w:p w:rsidR="00092F60" w:rsidRDefault="00092F60" w:rsidP="00092F60">
      <w:r>
        <w:t>As can be seen from the systematic literature review that has been undertaken, the evidence base for drugs listed on the LSDP is often scant. Consequently, the claims of efficacy and safety that are made as part of a public funding submission can be uncertain. A drug surveillance registry with the purpose of collecting data to address these uncertainties would likely support the functions of a program that reimburses drugs for rare diseases</w:t>
      </w:r>
      <w:r w:rsidR="00247E93">
        <w:t xml:space="preserve"> </w:t>
      </w:r>
      <w:r w:rsidR="00A130D0">
        <w:rPr>
          <w:noProof/>
        </w:rPr>
        <w:t>(</w:t>
      </w:r>
      <w:r w:rsidR="00184B6F">
        <w:rPr>
          <w:noProof/>
        </w:rPr>
        <w:t>McNeil et al. 2010</w:t>
      </w:r>
      <w:r w:rsidR="00A130D0">
        <w:rPr>
          <w:noProof/>
        </w:rPr>
        <w:t>)</w:t>
      </w:r>
      <w:r>
        <w:t xml:space="preserve">.  </w:t>
      </w:r>
    </w:p>
    <w:p w:rsidR="00092F60" w:rsidRDefault="00092F60" w:rsidP="00092F60">
      <w:r>
        <w:t>This type of drug surveillance registry is different from a rare diseases registry. Gliklich et al 2014</w:t>
      </w:r>
      <w:r w:rsidR="00247E93">
        <w:t xml:space="preserve"> </w:t>
      </w:r>
      <w:r w:rsidR="00A130D0">
        <w:rPr>
          <w:noProof/>
        </w:rPr>
        <w:t>(</w:t>
      </w:r>
      <w:r w:rsidR="00184B6F">
        <w:rPr>
          <w:noProof/>
        </w:rPr>
        <w:t>Gliklich, Dreyer &amp; Leavy 2014</w:t>
      </w:r>
      <w:r w:rsidR="00A130D0">
        <w:rPr>
          <w:noProof/>
        </w:rPr>
        <w:t>)</w:t>
      </w:r>
      <w:r>
        <w:t xml:space="preserve"> indicated that there are four key purposes of a rare diseases registry: </w:t>
      </w:r>
    </w:p>
    <w:p w:rsidR="00092F60" w:rsidRDefault="00092F60" w:rsidP="000959DF">
      <w:pPr>
        <w:pStyle w:val="ListParagraph"/>
        <w:widowControl w:val="0"/>
        <w:numPr>
          <w:ilvl w:val="0"/>
          <w:numId w:val="56"/>
        </w:numPr>
        <w:autoSpaceDE/>
        <w:autoSpaceDN/>
        <w:adjustRightInd/>
        <w:spacing w:after="0"/>
        <w:contextualSpacing/>
      </w:pPr>
      <w:r>
        <w:t xml:space="preserve">to connect affected patients, families and clinicians; </w:t>
      </w:r>
    </w:p>
    <w:p w:rsidR="00092F60" w:rsidRDefault="00092F60" w:rsidP="000959DF">
      <w:pPr>
        <w:pStyle w:val="ListParagraph"/>
        <w:widowControl w:val="0"/>
        <w:numPr>
          <w:ilvl w:val="0"/>
          <w:numId w:val="56"/>
        </w:numPr>
        <w:autoSpaceDE/>
        <w:autoSpaceDN/>
        <w:adjustRightInd/>
        <w:spacing w:after="0"/>
        <w:contextualSpacing/>
      </w:pPr>
      <w:r>
        <w:t xml:space="preserve">to study the natural history of a disease; </w:t>
      </w:r>
    </w:p>
    <w:p w:rsidR="00092F60" w:rsidRDefault="00092F60" w:rsidP="000959DF">
      <w:pPr>
        <w:pStyle w:val="ListParagraph"/>
        <w:widowControl w:val="0"/>
        <w:numPr>
          <w:ilvl w:val="0"/>
          <w:numId w:val="56"/>
        </w:numPr>
        <w:autoSpaceDE/>
        <w:autoSpaceDN/>
        <w:adjustRightInd/>
        <w:spacing w:after="0"/>
        <w:contextualSpacing/>
      </w:pPr>
      <w:r>
        <w:t xml:space="preserve">to support research; and, </w:t>
      </w:r>
    </w:p>
    <w:p w:rsidR="00092F60" w:rsidRDefault="00092F60" w:rsidP="000959DF">
      <w:pPr>
        <w:pStyle w:val="ListParagraph"/>
        <w:widowControl w:val="0"/>
        <w:numPr>
          <w:ilvl w:val="0"/>
          <w:numId w:val="56"/>
        </w:numPr>
        <w:autoSpaceDE/>
        <w:autoSpaceDN/>
        <w:adjustRightInd/>
        <w:contextualSpacing/>
      </w:pPr>
      <w:proofErr w:type="gramStart"/>
      <w:r>
        <w:t>to</w:t>
      </w:r>
      <w:proofErr w:type="gramEnd"/>
      <w:r>
        <w:t xml:space="preserve"> establish a patient base for evaluating drugs.  </w:t>
      </w:r>
    </w:p>
    <w:p w:rsidR="00092F60" w:rsidRDefault="00092F60" w:rsidP="00092F60">
      <w:r>
        <w:t>Given the size of the Australian population and the rarity of these conditions, if the aim is to address all of these objectives, one approach may be to encourage or facilitate participation of Australian clinicians in international data collection for already established rare disease registries</w:t>
      </w:r>
      <w:r w:rsidR="00247E93">
        <w:t xml:space="preserve"> </w:t>
      </w:r>
      <w:r w:rsidR="00B05798">
        <w:rPr>
          <w:noProof/>
        </w:rPr>
        <w:t>(</w:t>
      </w:r>
      <w:r w:rsidR="00184B6F">
        <w:rPr>
          <w:noProof/>
        </w:rPr>
        <w:t xml:space="preserve">Genzyme (Fabry Registry) </w:t>
      </w:r>
      <w:r w:rsidR="00B05798">
        <w:rPr>
          <w:noProof/>
        </w:rPr>
        <w:t xml:space="preserve">; </w:t>
      </w:r>
      <w:r w:rsidR="00184B6F">
        <w:rPr>
          <w:noProof/>
        </w:rPr>
        <w:t xml:space="preserve">Genzyme (MPS I Registry) </w:t>
      </w:r>
      <w:r w:rsidR="00B05798">
        <w:rPr>
          <w:noProof/>
        </w:rPr>
        <w:t xml:space="preserve">; </w:t>
      </w:r>
      <w:r w:rsidR="00184B6F">
        <w:rPr>
          <w:noProof/>
        </w:rPr>
        <w:t xml:space="preserve">Genzyme (Pompe Registry) </w:t>
      </w:r>
      <w:r w:rsidR="00B05798">
        <w:rPr>
          <w:noProof/>
        </w:rPr>
        <w:t xml:space="preserve">; </w:t>
      </w:r>
      <w:r w:rsidR="00184B6F">
        <w:rPr>
          <w:noProof/>
        </w:rPr>
        <w:t>International Collaborative Gaucher Group &amp; Genzyme</w:t>
      </w:r>
      <w:r w:rsidR="00B05798">
        <w:rPr>
          <w:noProof/>
        </w:rPr>
        <w:t>)</w:t>
      </w:r>
      <w:r w:rsidR="006115E8">
        <w:t>.</w:t>
      </w:r>
    </w:p>
    <w:p w:rsidR="00092F60" w:rsidRDefault="00092F60" w:rsidP="00092F60">
      <w:r>
        <w:t xml:space="preserve">International rare disease registries that provide data addressing point 2 above might help inform an initial regulatory decision to enable access to a drug for a rare condition.  Reimbursement decisions, however, rely on an assessment of </w:t>
      </w:r>
      <w:r w:rsidRPr="00AA0845">
        <w:rPr>
          <w:i/>
        </w:rPr>
        <w:t>comparative drug</w:t>
      </w:r>
      <w:r>
        <w:t xml:space="preserve"> </w:t>
      </w:r>
      <w:r w:rsidRPr="00AA0845">
        <w:rPr>
          <w:i/>
        </w:rPr>
        <w:t>performance</w:t>
      </w:r>
      <w:r>
        <w:t>, and often in patients with specific characteristics. These data may not be obtainable from international rare disease registries as they serve a broader purpose.</w:t>
      </w:r>
    </w:p>
    <w:p w:rsidR="00092F60" w:rsidRPr="001A43C0" w:rsidRDefault="00092F60" w:rsidP="00092F60">
      <w:r>
        <w:t xml:space="preserve">If data </w:t>
      </w:r>
      <w:r w:rsidRPr="000B3884">
        <w:rPr>
          <w:i/>
        </w:rPr>
        <w:t>are</w:t>
      </w:r>
      <w:r>
        <w:t xml:space="preserve"> obtainable from a rare diseases registry there are challenges associated with interpreting the findings within a drug reimbursement context. The analysis of registry data is problematic due to the lack of a comparator and inherent biases associated with patient selection and identification, losses to follow up, missing data on key variables, differences in methods for measuring outcomes and the impact on patient prognosis of varying treatment decisions.  Due to these limitations, a rare diseases registry is not likely to facilitate a robust </w:t>
      </w:r>
      <w:r>
        <w:lastRenderedPageBreak/>
        <w:t xml:space="preserve">evaluation of either the effectiveness or cost-effectiveness of an intervention </w:t>
      </w:r>
      <w:r w:rsidR="00746F05">
        <w:rPr>
          <w:noProof/>
        </w:rPr>
        <w:t>(</w:t>
      </w:r>
      <w:r w:rsidR="00184B6F">
        <w:rPr>
          <w:noProof/>
        </w:rPr>
        <w:t>Simoens 2011</w:t>
      </w:r>
      <w:r w:rsidR="00746F05">
        <w:rPr>
          <w:noProof/>
        </w:rPr>
        <w:t xml:space="preserve">; </w:t>
      </w:r>
      <w:r w:rsidR="00184B6F">
        <w:rPr>
          <w:noProof/>
        </w:rPr>
        <w:t>Wyatt et al. 2012b</w:t>
      </w:r>
      <w:r w:rsidR="00746F05">
        <w:rPr>
          <w:noProof/>
        </w:rPr>
        <w:t>)</w:t>
      </w:r>
      <w:r>
        <w:t xml:space="preserve">.  </w:t>
      </w:r>
    </w:p>
    <w:p w:rsidR="00092F60" w:rsidRDefault="00834C67" w:rsidP="00092F60">
      <w:r>
        <w:t xml:space="preserve">A drug surveillance registry may enable reimbursement agencies to pay for a drug and collect data to improve certainty around the effect a drug may have (such as a </w:t>
      </w:r>
      <w:r w:rsidR="009161F9">
        <w:t>‘</w:t>
      </w:r>
      <w:r>
        <w:t>coverage with e</w:t>
      </w:r>
      <w:r w:rsidR="00EC31A5">
        <w:t>vidence development</w:t>
      </w:r>
      <w:r w:rsidR="009161F9">
        <w:t>’</w:t>
      </w:r>
      <w:r w:rsidR="00EC31A5">
        <w:t xml:space="preserve"> approach). </w:t>
      </w:r>
      <w:r>
        <w:t>However, such registries have predictable deficiencies in terms of the answers they can provide.  Furthermore, there is a risk that the trial data required to more completely support the decision to reimburse a drug may not be forthcoming if conditional drug reimbursement is provided.</w:t>
      </w:r>
      <w:r w:rsidR="00EC31A5">
        <w:t xml:space="preserve"> </w:t>
      </w:r>
      <w:r w:rsidR="00092F60">
        <w:t xml:space="preserve">The experience of early marketing authorisation of oncology drugs by the FDA reveals that drugs given conditional approval may not generate the evidence required to enable full marketing </w:t>
      </w:r>
      <w:proofErr w:type="gramStart"/>
      <w:r w:rsidR="00092F60">
        <w:t>approval</w:t>
      </w:r>
      <w:r w:rsidR="00A130D0">
        <w:rPr>
          <w:noProof/>
        </w:rPr>
        <w:t>(</w:t>
      </w:r>
      <w:proofErr w:type="gramEnd"/>
      <w:r w:rsidR="00184B6F">
        <w:rPr>
          <w:noProof/>
        </w:rPr>
        <w:t>Johnson et al. 2011</w:t>
      </w:r>
      <w:r w:rsidR="00A130D0">
        <w:rPr>
          <w:noProof/>
        </w:rPr>
        <w:t>)</w:t>
      </w:r>
      <w:r w:rsidR="00EC31A5">
        <w:t xml:space="preserve">. </w:t>
      </w:r>
      <w:r w:rsidR="00092F60">
        <w:t>Chalkidou (2008) has noted that once public funding has been granted, sponsors of a drug are unlikely to fund research which may reveal a reduction in therapeutic efficacy or narrow the population in which the treatment can be used</w:t>
      </w:r>
      <w:r w:rsidR="006A7505">
        <w:t xml:space="preserve"> </w:t>
      </w:r>
      <w:r w:rsidR="00A130D0">
        <w:rPr>
          <w:noProof/>
        </w:rPr>
        <w:t>(</w:t>
      </w:r>
      <w:r w:rsidR="00184B6F">
        <w:rPr>
          <w:noProof/>
        </w:rPr>
        <w:t>Chalkidou et al. 2008</w:t>
      </w:r>
      <w:r w:rsidR="00A130D0">
        <w:rPr>
          <w:noProof/>
        </w:rPr>
        <w:t>)</w:t>
      </w:r>
      <w:r w:rsidR="00EC31A5">
        <w:t xml:space="preserve">. </w:t>
      </w:r>
      <w:r>
        <w:t>Therefore, the decision to reimburse on the proviso that data on drug effectiveness be captured in a registry may substitute for further clinical trials; and the benefits of earlier reimbursement with some data capture should be balanced against the potential loss of future certaint</w:t>
      </w:r>
      <w:r w:rsidR="00EC31A5">
        <w:t>y.</w:t>
      </w:r>
      <w:r>
        <w:t xml:space="preserve"> It is important to recognise that, in a global sense, the Australian population represents a relatively small market and refusal of the Australian Government to reimburse may not provide adequate incentive to perform an expensive clinical trial.</w:t>
      </w:r>
    </w:p>
    <w:p w:rsidR="00092F60" w:rsidRDefault="00092F60" w:rsidP="00092F60">
      <w:r>
        <w:t xml:space="preserve">In the Australian context, a drug surveillance registry for patients with rare diseases might have several important roles. The current chapter seeks to establish the design of a registry to support reimbursement decisions for drugs for rare diseases. The core purposes for such a registry are outlined in </w:t>
      </w:r>
      <w:r w:rsidR="00391BC2">
        <w:t xml:space="preserve">Section </w:t>
      </w:r>
      <w:r w:rsidR="00A72B26">
        <w:t>8.4</w:t>
      </w:r>
      <w:r w:rsidR="00391BC2">
        <w:t xml:space="preserve">, page </w:t>
      </w:r>
      <w:r w:rsidR="00A72B26">
        <w:rPr>
          <w:noProof/>
        </w:rPr>
        <w:t>270</w:t>
      </w:r>
      <w:r w:rsidR="00391BC2">
        <w:t>.</w:t>
      </w:r>
    </w:p>
    <w:p w:rsidR="00092F60" w:rsidRDefault="00092F60" w:rsidP="00092F60">
      <w:r>
        <w:t xml:space="preserve">For the purposes of this report, a drug surveillance registry is defined as both the database that holds the data, the governance of the database and the systematic process of collection, storage and reporting of register data. The proposed registry for the collection of data relating to drugs that are reimbursed by the Australian Government for rare diseases has been referred to in this chapter as a </w:t>
      </w:r>
      <w:r>
        <w:rPr>
          <w:i/>
        </w:rPr>
        <w:t xml:space="preserve">drug surveillance </w:t>
      </w:r>
      <w:r w:rsidRPr="008432A5">
        <w:rPr>
          <w:i/>
        </w:rPr>
        <w:t>registry for rare diseases</w:t>
      </w:r>
      <w:r>
        <w:t xml:space="preserve">. It is important that this chapter is not misconstrued as a proposal for a registry for rare diseases to capture patient data outside of the context of a reimbursed drug.  </w:t>
      </w:r>
    </w:p>
    <w:p w:rsidR="00092F60" w:rsidRDefault="00092F60" w:rsidP="00092F60">
      <w:r>
        <w:t>It is proposed that the design of the registry (including the method of data collection) will be based upon the successes of the current registry process, the current capacity of the program to collect data, the registry purpose, analyses of other successful, local and international registries and reference to local and international guidelines on registry formation.</w:t>
      </w:r>
    </w:p>
    <w:p w:rsidR="00092F60" w:rsidRDefault="00092F60" w:rsidP="00E965BD">
      <w:pPr>
        <w:pStyle w:val="Heading3"/>
      </w:pPr>
      <w:bookmarkStart w:id="655" w:name="_Toc404937336"/>
      <w:r>
        <w:t>Current LSDP Registries</w:t>
      </w:r>
      <w:bookmarkEnd w:id="655"/>
    </w:p>
    <w:p w:rsidR="00092F60" w:rsidRDefault="00092F60" w:rsidP="00092F60">
      <w:r>
        <w:t xml:space="preserve">Registers for each of the drugs currently covered by the LSDP have been set up to capture patient data. The primary purpose of these registers has been to record the Disease </w:t>
      </w:r>
      <w:r>
        <w:lastRenderedPageBreak/>
        <w:t xml:space="preserve">Advisory Committees’ deliberations on the initial and ongoing eligibility of an individual patient for a drug. The DACs’ decisions were based upon extensive patient information comprising of clinical records, imaging and pathology reports but not all of these data were transferred fully to the registers. As the purpose of these registers was not to </w:t>
      </w:r>
      <w:r w:rsidRPr="000B3884">
        <w:rPr>
          <w:i/>
        </w:rPr>
        <w:t>audit</w:t>
      </w:r>
      <w:r>
        <w:t xml:space="preserve"> patient eligibility or determine drug effectiveness, the data entry requirements to create and sustain a comple</w:t>
      </w:r>
      <w:r w:rsidR="00EC31A5">
        <w:t>te register were not warranted.</w:t>
      </w:r>
      <w:r>
        <w:t xml:space="preserve"> Further affecting the completeness of the registers was the</w:t>
      </w:r>
      <w:r w:rsidR="00834C67">
        <w:t xml:space="preserve"> concomitant</w:t>
      </w:r>
      <w:r>
        <w:t xml:space="preserve"> use of drug industry registries to capture patient outcome data for much of the life of the LSDP.</w:t>
      </w:r>
    </w:p>
    <w:p w:rsidR="00092F60" w:rsidRDefault="00092F60" w:rsidP="00092F60">
      <w:r>
        <w:t>The current registers adequately report on the deliberations of the DACs, but are unable, in most cases, to provide robust data to test the effectiveness of the drugs reimbursed through the LSDP (a purpose for which the registers were never designed).</w:t>
      </w:r>
    </w:p>
    <w:p w:rsidR="00092F60" w:rsidRDefault="00092F60" w:rsidP="00092F60">
      <w:r>
        <w:t xml:space="preserve">A description of the current registers, as well as the data from Australian patients captured by industry based </w:t>
      </w:r>
      <w:r w:rsidR="00391BC2">
        <w:t>registers, has been addressed alongside the systematic literature review</w:t>
      </w:r>
      <w:r w:rsidR="003A2F5C">
        <w:t xml:space="preserve"> results</w:t>
      </w:r>
      <w:r w:rsidR="00391BC2">
        <w:t xml:space="preserve"> in Section </w:t>
      </w:r>
      <w:r w:rsidR="00A72B26">
        <w:t>4</w:t>
      </w:r>
      <w:r w:rsidR="00391BC2">
        <w:t>.</w:t>
      </w:r>
    </w:p>
    <w:p w:rsidR="00092F60" w:rsidRPr="00494B2E" w:rsidRDefault="008509CE" w:rsidP="00D60032">
      <w:pPr>
        <w:pStyle w:val="Heading2"/>
      </w:pPr>
      <w:bookmarkStart w:id="656" w:name="_Toc404937337"/>
      <w:bookmarkStart w:id="657" w:name="_Ref405811390"/>
      <w:bookmarkStart w:id="658" w:name="_Ref405811393"/>
      <w:r>
        <w:tab/>
      </w:r>
      <w:bookmarkStart w:id="659" w:name="_Toc415141763"/>
      <w:r w:rsidR="00092F60" w:rsidRPr="00494B2E">
        <w:t>Proposed Registry Framework</w:t>
      </w:r>
      <w:bookmarkEnd w:id="656"/>
      <w:bookmarkEnd w:id="657"/>
      <w:bookmarkEnd w:id="658"/>
      <w:bookmarkEnd w:id="659"/>
    </w:p>
    <w:p w:rsidR="00092F60" w:rsidRDefault="00092F60" w:rsidP="00092F60">
      <w:r>
        <w:t>In establishing a framework upon which a drug surveillance registry may be designed, specific information is required on current data capture systems, data transfer methods, linking processes and the capacity for the development and maintenance of a registry system. As some of this information may be contingent upon the agreed scope of the registry following the review of the LSDP, the framework proposed below seeks only to outline principles to guide the development of the registry and provide possible examples for its implementation.</w:t>
      </w:r>
    </w:p>
    <w:p w:rsidR="00092F60" w:rsidRDefault="00092F60" w:rsidP="00092F60">
      <w:r>
        <w:t xml:space="preserve">In addition to information derived from answering the other Terms of Reference, as well as reflections on the operation of the current registries, </w:t>
      </w:r>
      <w:r w:rsidR="009D6EFC">
        <w:t>additional</w:t>
      </w:r>
      <w:r>
        <w:t xml:space="preserve"> following sources have been consulted when describing a framework for data collection in Australia</w:t>
      </w:r>
      <w:r w:rsidR="009D6EFC">
        <w:t xml:space="preserve"> </w:t>
      </w:r>
      <w:r w:rsidR="00A130D0">
        <w:rPr>
          <w:noProof/>
        </w:rPr>
        <w:t>(</w:t>
      </w:r>
      <w:r w:rsidR="00184B6F">
        <w:rPr>
          <w:noProof/>
        </w:rPr>
        <w:t>Australian Commission on Safety and Quality in Health Care 2009</w:t>
      </w:r>
      <w:r w:rsidR="00A130D0">
        <w:rPr>
          <w:noProof/>
        </w:rPr>
        <w:t xml:space="preserve">; </w:t>
      </w:r>
      <w:r w:rsidR="00184B6F">
        <w:rPr>
          <w:noProof/>
        </w:rPr>
        <w:t>Bellgard et al. 2012</w:t>
      </w:r>
      <w:r w:rsidR="00A130D0">
        <w:rPr>
          <w:noProof/>
        </w:rPr>
        <w:t xml:space="preserve">; </w:t>
      </w:r>
      <w:r w:rsidR="00184B6F">
        <w:rPr>
          <w:noProof/>
        </w:rPr>
        <w:t>Gliklich &amp; Dreyer (Eds) 2010</w:t>
      </w:r>
      <w:r w:rsidR="00A130D0">
        <w:rPr>
          <w:noProof/>
        </w:rPr>
        <w:t xml:space="preserve">; </w:t>
      </w:r>
      <w:r w:rsidR="00184B6F">
        <w:rPr>
          <w:noProof/>
        </w:rPr>
        <w:t>Herzog, Scheuren &amp; Winkler 2007</w:t>
      </w:r>
      <w:r w:rsidR="00A130D0">
        <w:rPr>
          <w:noProof/>
        </w:rPr>
        <w:t xml:space="preserve">; </w:t>
      </w:r>
      <w:r w:rsidR="00184B6F">
        <w:rPr>
          <w:noProof/>
        </w:rPr>
        <w:t>Rare Diseases Task Force 2011</w:t>
      </w:r>
      <w:r w:rsidR="00A130D0">
        <w:rPr>
          <w:noProof/>
        </w:rPr>
        <w:t>)</w:t>
      </w:r>
      <w:r w:rsidR="009D6EFC">
        <w:t>.</w:t>
      </w:r>
    </w:p>
    <w:p w:rsidR="00092F60" w:rsidRDefault="00092F60" w:rsidP="00092F60">
      <w:r>
        <w:t xml:space="preserve">The Australian Commission on Safety and Quality in Health Care (ACSQHC) is a government agency that coordinates national improvements in safety and quality in health care. The agency has developed several useful documents describing the design requirements of a quality registry.  The report most relevant to the design of a registry for the LSDP is </w:t>
      </w:r>
      <w:r w:rsidRPr="000B3884">
        <w:rPr>
          <w:i/>
        </w:rPr>
        <w:t>“Operating principles and technical standards for Australian clinical quality registries”</w:t>
      </w:r>
      <w:r>
        <w:t xml:space="preserve">, which was endorsed by the Health Minister in November 2010. The considerations outlined in this document have been used to inform the structure of this chapter.  </w:t>
      </w:r>
    </w:p>
    <w:p w:rsidR="00092F60" w:rsidRDefault="00092F60" w:rsidP="00092F60">
      <w:r>
        <w:t xml:space="preserve">In proposing a framework for a </w:t>
      </w:r>
      <w:r w:rsidR="00391BC2">
        <w:t>drug surveillance registry</w:t>
      </w:r>
      <w:r>
        <w:t>, this chapter addresses the following areas, adapted from those proposed by the ACSQHC</w:t>
      </w:r>
      <w:r w:rsidR="007D1E32">
        <w:t xml:space="preserve"> </w:t>
      </w:r>
      <w:r w:rsidR="00A130D0">
        <w:rPr>
          <w:noProof/>
        </w:rPr>
        <w:t>(</w:t>
      </w:r>
      <w:r w:rsidR="00184B6F">
        <w:rPr>
          <w:noProof/>
        </w:rPr>
        <w:t>Australian Commission on Safety and Quality in Health Care 2009</w:t>
      </w:r>
      <w:r w:rsidR="00A130D0">
        <w:rPr>
          <w:noProof/>
        </w:rPr>
        <w:t>)</w:t>
      </w:r>
      <w:r>
        <w:t>:</w:t>
      </w:r>
    </w:p>
    <w:p w:rsidR="00092F60" w:rsidRDefault="00092F60" w:rsidP="000959DF">
      <w:pPr>
        <w:pStyle w:val="ListParagraph"/>
        <w:widowControl w:val="0"/>
        <w:numPr>
          <w:ilvl w:val="0"/>
          <w:numId w:val="50"/>
        </w:numPr>
        <w:autoSpaceDE/>
        <w:autoSpaceDN/>
        <w:adjustRightInd/>
        <w:spacing w:after="0"/>
        <w:contextualSpacing/>
      </w:pPr>
      <w:r>
        <w:t>Purpose of the registry</w:t>
      </w:r>
    </w:p>
    <w:p w:rsidR="00092F60" w:rsidRDefault="00092F60" w:rsidP="000959DF">
      <w:pPr>
        <w:pStyle w:val="ListParagraph"/>
        <w:widowControl w:val="0"/>
        <w:numPr>
          <w:ilvl w:val="0"/>
          <w:numId w:val="50"/>
        </w:numPr>
        <w:autoSpaceDE/>
        <w:autoSpaceDN/>
        <w:adjustRightInd/>
        <w:spacing w:after="0"/>
        <w:contextualSpacing/>
      </w:pPr>
      <w:r>
        <w:lastRenderedPageBreak/>
        <w:t>Data collection</w:t>
      </w:r>
    </w:p>
    <w:p w:rsidR="00092F60" w:rsidRDefault="00092F60" w:rsidP="000959DF">
      <w:pPr>
        <w:pStyle w:val="ListParagraph"/>
        <w:widowControl w:val="0"/>
        <w:numPr>
          <w:ilvl w:val="0"/>
          <w:numId w:val="50"/>
        </w:numPr>
        <w:autoSpaceDE/>
        <w:autoSpaceDN/>
        <w:adjustRightInd/>
        <w:spacing w:after="0"/>
        <w:contextualSpacing/>
      </w:pPr>
      <w:r>
        <w:t>Quality assurance</w:t>
      </w:r>
    </w:p>
    <w:p w:rsidR="00092F60" w:rsidRDefault="00092F60" w:rsidP="000959DF">
      <w:pPr>
        <w:pStyle w:val="ListParagraph"/>
        <w:widowControl w:val="0"/>
        <w:numPr>
          <w:ilvl w:val="0"/>
          <w:numId w:val="50"/>
        </w:numPr>
        <w:autoSpaceDE/>
        <w:autoSpaceDN/>
        <w:adjustRightInd/>
        <w:spacing w:after="0"/>
        <w:contextualSpacing/>
      </w:pPr>
      <w:r>
        <w:t>Governance and custodianship</w:t>
      </w:r>
    </w:p>
    <w:p w:rsidR="00092F60" w:rsidRDefault="00092F60" w:rsidP="000959DF">
      <w:pPr>
        <w:pStyle w:val="ListParagraph"/>
        <w:widowControl w:val="0"/>
        <w:numPr>
          <w:ilvl w:val="0"/>
          <w:numId w:val="50"/>
        </w:numPr>
        <w:autoSpaceDE/>
        <w:autoSpaceDN/>
        <w:adjustRightInd/>
        <w:spacing w:after="0"/>
        <w:contextualSpacing/>
      </w:pPr>
      <w:r>
        <w:t>Ethics, privacy and data security</w:t>
      </w:r>
    </w:p>
    <w:p w:rsidR="00092F60" w:rsidRDefault="00092F60" w:rsidP="000959DF">
      <w:pPr>
        <w:pStyle w:val="ListParagraph"/>
        <w:widowControl w:val="0"/>
        <w:numPr>
          <w:ilvl w:val="0"/>
          <w:numId w:val="50"/>
        </w:numPr>
        <w:autoSpaceDE/>
        <w:autoSpaceDN/>
        <w:adjustRightInd/>
        <w:spacing w:after="0"/>
        <w:contextualSpacing/>
      </w:pPr>
      <w:r>
        <w:t>Information output and reporting</w:t>
      </w:r>
    </w:p>
    <w:p w:rsidR="00092F60" w:rsidRDefault="00092F60" w:rsidP="000959DF">
      <w:pPr>
        <w:pStyle w:val="ListParagraph"/>
        <w:widowControl w:val="0"/>
        <w:numPr>
          <w:ilvl w:val="0"/>
          <w:numId w:val="50"/>
        </w:numPr>
        <w:autoSpaceDE/>
        <w:autoSpaceDN/>
        <w:adjustRightInd/>
        <w:spacing w:after="0"/>
        <w:contextualSpacing/>
      </w:pPr>
      <w:r>
        <w:t>Resources and Funding</w:t>
      </w:r>
    </w:p>
    <w:p w:rsidR="00092F60" w:rsidRDefault="00092F60" w:rsidP="00092F60">
      <w:r>
        <w:t>The data elements to be collected may vary according to the rare condition being treated by the reimbursed drug</w:t>
      </w:r>
      <w:r w:rsidR="00391BC2">
        <w:t xml:space="preserve">. </w:t>
      </w:r>
    </w:p>
    <w:p w:rsidR="00092F60" w:rsidRDefault="00092F60" w:rsidP="00E965BD">
      <w:pPr>
        <w:pStyle w:val="Heading3"/>
      </w:pPr>
      <w:r>
        <w:t>Purpose of a registry for surveillance of drugs treating rare conditions</w:t>
      </w:r>
    </w:p>
    <w:p w:rsidR="00092F60" w:rsidRDefault="00092F60" w:rsidP="00092F60">
      <w:r>
        <w:t>The design of a registry must be closely aligned with the explicit purposes for which it is built.</w:t>
      </w:r>
      <w:r w:rsidRPr="005E5E6E">
        <w:t xml:space="preserve"> </w:t>
      </w:r>
      <w:r>
        <w:t>Although drug surveillance registries are primarily used to monitor the safety of a drug, they can have other purposes. The likely purposes of the proposed registry for the collection of data on drugs that are reimbursed by the Australian Government to treat rare diseases are:</w:t>
      </w:r>
    </w:p>
    <w:p w:rsidR="00092F60" w:rsidRDefault="00092F60" w:rsidP="000959DF">
      <w:pPr>
        <w:pStyle w:val="ListParagraph"/>
        <w:widowControl w:val="0"/>
        <w:numPr>
          <w:ilvl w:val="0"/>
          <w:numId w:val="55"/>
        </w:numPr>
        <w:autoSpaceDE/>
        <w:autoSpaceDN/>
        <w:adjustRightInd/>
        <w:spacing w:after="0"/>
        <w:contextualSpacing/>
      </w:pPr>
      <w:r>
        <w:t>To verify the initial and ongoing eligibility of patients receiving subsidised drugs against the eligibility criteria proposed for the subsidisation;</w:t>
      </w:r>
    </w:p>
    <w:p w:rsidR="00092F60" w:rsidRDefault="00092F60" w:rsidP="000959DF">
      <w:pPr>
        <w:pStyle w:val="ListParagraph"/>
        <w:widowControl w:val="0"/>
        <w:numPr>
          <w:ilvl w:val="0"/>
          <w:numId w:val="55"/>
        </w:numPr>
        <w:autoSpaceDE/>
        <w:autoSpaceDN/>
        <w:adjustRightInd/>
        <w:spacing w:after="0"/>
        <w:contextualSpacing/>
      </w:pPr>
      <w:r>
        <w:t>To measure the costs of the drug, as well as the management of the drug subsidy program;</w:t>
      </w:r>
    </w:p>
    <w:p w:rsidR="00092F60" w:rsidRDefault="00092F60" w:rsidP="000959DF">
      <w:pPr>
        <w:pStyle w:val="ListParagraph"/>
        <w:widowControl w:val="0"/>
        <w:numPr>
          <w:ilvl w:val="0"/>
          <w:numId w:val="55"/>
        </w:numPr>
        <w:autoSpaceDE/>
        <w:autoSpaceDN/>
        <w:adjustRightInd/>
        <w:spacing w:after="0"/>
        <w:contextualSpacing/>
      </w:pPr>
      <w:r>
        <w:t>To evaluate the safety and effectiveness of a drug, particularly against the claims that were made during the process by which the drug was initially approved for subsidisation;</w:t>
      </w:r>
    </w:p>
    <w:p w:rsidR="00092F60" w:rsidRDefault="00092F60" w:rsidP="000959DF">
      <w:pPr>
        <w:pStyle w:val="ListParagraph"/>
        <w:widowControl w:val="0"/>
        <w:numPr>
          <w:ilvl w:val="0"/>
          <w:numId w:val="55"/>
        </w:numPr>
        <w:autoSpaceDE/>
        <w:autoSpaceDN/>
        <w:adjustRightInd/>
        <w:spacing w:after="0"/>
        <w:contextualSpacing/>
      </w:pPr>
      <w:r>
        <w:t>To use cost, and measures of safety and effectiveness, to provide mechanisms to support outcome-based risk-share arrangements between sponsors and Government that may facilitate the reimbursement of drugs when precise estimates of value are unavailable at the time of ‘listing’;</w:t>
      </w:r>
    </w:p>
    <w:p w:rsidR="00834C67" w:rsidRDefault="00834C67" w:rsidP="00092F60"/>
    <w:p w:rsidR="00834C67" w:rsidRDefault="00834C67" w:rsidP="00834C67">
      <w:r>
        <w:t>In summary, the above purposes are proposed to ensure that the value of the drug claimed at the time of the drug’s evaluation is realised when it is used in the Australian population.</w:t>
      </w:r>
    </w:p>
    <w:p w:rsidR="00092F60" w:rsidRDefault="00092F60" w:rsidP="00092F60">
      <w:r>
        <w:t>Not all drugs that are reimbursed to treat rare diseases will require the same extent of data capture. If the use of certain drugs is well established</w:t>
      </w:r>
      <w:r w:rsidR="00391BC2">
        <w:t xml:space="preserve"> and supported by evidence</w:t>
      </w:r>
      <w:r>
        <w:t xml:space="preserve">, the additional burden of capturing health outcome data may have </w:t>
      </w:r>
      <w:r w:rsidR="003A2F5C">
        <w:t>limited</w:t>
      </w:r>
      <w:r>
        <w:t xml:space="preserve"> utility for informing reimbursement policy. </w:t>
      </w:r>
      <w:r w:rsidR="00FF09AF">
        <w:t>Under these circumstances the collection of a core dataset may be sufficient to establish patient eligibility - and, if required, ongoing eligibility. Decisions about the extent of data capture and the purposes of a disease registry must be determined by the steering committee prior to subsidisation of the drug.</w:t>
      </w:r>
    </w:p>
    <w:p w:rsidR="002D322A" w:rsidRDefault="002D322A" w:rsidP="008509CE">
      <w:pPr>
        <w:pStyle w:val="Caption"/>
        <w:keepNext/>
        <w:tabs>
          <w:tab w:val="clear" w:pos="851"/>
          <w:tab w:val="left" w:pos="1276"/>
        </w:tabs>
        <w:ind w:left="1276" w:hanging="1276"/>
      </w:pPr>
      <w:bookmarkStart w:id="660" w:name="_Ref405812966"/>
      <w:bookmarkStart w:id="661" w:name="_Toc411510507"/>
      <w:bookmarkStart w:id="662" w:name="_Toc415141942"/>
      <w:r>
        <w:lastRenderedPageBreak/>
        <w:t xml:space="preserve">Table </w:t>
      </w:r>
      <w:r w:rsidR="00A72B26">
        <w:rPr>
          <w:noProof/>
        </w:rPr>
        <w:t>145</w:t>
      </w:r>
      <w:bookmarkEnd w:id="660"/>
      <w:r>
        <w:tab/>
      </w:r>
      <w:r w:rsidR="00FF09AF">
        <w:t>Questions to consider</w:t>
      </w:r>
      <w:r>
        <w:t xml:space="preserve"> regarding </w:t>
      </w:r>
      <w:r w:rsidR="003A2F5C">
        <w:t xml:space="preserve">the </w:t>
      </w:r>
      <w:r>
        <w:t>necessity of a registry</w:t>
      </w:r>
      <w:bookmarkEnd w:id="661"/>
      <w:bookmarkEnd w:id="662"/>
    </w:p>
    <w:tbl>
      <w:tblPr>
        <w:tblStyle w:val="TableGrid"/>
        <w:tblW w:w="5000" w:type="pct"/>
        <w:tblLook w:val="04A0" w:firstRow="1" w:lastRow="0" w:firstColumn="1" w:lastColumn="0" w:noHBand="0" w:noVBand="1"/>
        <w:tblCaption w:val="Table 109 Questions for the steering committee regarding the necessity of a registry"/>
      </w:tblPr>
      <w:tblGrid>
        <w:gridCol w:w="9242"/>
      </w:tblGrid>
      <w:tr w:rsidR="00086DC6" w:rsidRPr="00167DE8" w:rsidTr="00F75ECD">
        <w:trPr>
          <w:trHeight w:val="359"/>
          <w:tblHeader/>
        </w:trPr>
        <w:tc>
          <w:tcPr>
            <w:tcW w:w="9576" w:type="dxa"/>
            <w:vAlign w:val="center"/>
          </w:tcPr>
          <w:p w:rsidR="00086DC6" w:rsidRPr="003A2F5C" w:rsidRDefault="00086DC6" w:rsidP="002D322A">
            <w:pPr>
              <w:pStyle w:val="TableText0"/>
              <w:rPr>
                <w:b/>
                <w:i/>
                <w:snapToGrid w:val="0"/>
              </w:rPr>
            </w:pPr>
            <w:r w:rsidRPr="003A2F5C">
              <w:rPr>
                <w:b/>
                <w:i/>
                <w:snapToGrid w:val="0"/>
              </w:rPr>
              <w:t>A drug that will be or is likely to be reimbursed through a rare diseases funding pathway is submitted for evaluation.  The rare diseases registry steering committee must determine:</w:t>
            </w:r>
          </w:p>
        </w:tc>
      </w:tr>
      <w:tr w:rsidR="00086DC6" w:rsidRPr="00167DE8" w:rsidTr="002D322A">
        <w:tc>
          <w:tcPr>
            <w:tcW w:w="9576" w:type="dxa"/>
            <w:vAlign w:val="center"/>
          </w:tcPr>
          <w:p w:rsidR="00086DC6" w:rsidRPr="007F00AE" w:rsidRDefault="00086DC6" w:rsidP="000959DF">
            <w:pPr>
              <w:pStyle w:val="TableText0"/>
              <w:numPr>
                <w:ilvl w:val="0"/>
                <w:numId w:val="76"/>
              </w:numPr>
              <w:rPr>
                <w:snapToGrid w:val="0"/>
              </w:rPr>
            </w:pPr>
            <w:r w:rsidRPr="007F00AE">
              <w:rPr>
                <w:snapToGrid w:val="0"/>
              </w:rPr>
              <w:t>Are there eligibility criteria that may exclude some patients with the disease from receiving the drug, and if so, is a registry necessary to ensure eligibility criteria are observed?</w:t>
            </w:r>
          </w:p>
        </w:tc>
      </w:tr>
      <w:tr w:rsidR="00086DC6" w:rsidRPr="00167DE8" w:rsidTr="002D322A">
        <w:tc>
          <w:tcPr>
            <w:tcW w:w="9576" w:type="dxa"/>
            <w:vAlign w:val="center"/>
          </w:tcPr>
          <w:p w:rsidR="00086DC6" w:rsidRPr="007F00AE" w:rsidRDefault="00086DC6" w:rsidP="000959DF">
            <w:pPr>
              <w:pStyle w:val="TableText0"/>
              <w:numPr>
                <w:ilvl w:val="0"/>
                <w:numId w:val="76"/>
              </w:numPr>
              <w:rPr>
                <w:snapToGrid w:val="0"/>
              </w:rPr>
            </w:pPr>
            <w:r w:rsidRPr="007F00AE">
              <w:rPr>
                <w:snapToGrid w:val="0"/>
              </w:rPr>
              <w:t>Are the claims regarding the magnitude of effectiveness (or safety) difficult to determine from the evidence?  If so, would the decision to reimburse the drug at the proposed price be reversed if the drug was found to be less effective or less safe?  Alternatively, would the sponsor accept a lower price for earlier listing on the basis that, once outcomes can be verified, a higher price would be granted?  Can the claims of effectiveness be measured in a registry (in a relatively short period of time)?</w:t>
            </w:r>
          </w:p>
        </w:tc>
      </w:tr>
      <w:tr w:rsidR="00086DC6" w:rsidRPr="00167DE8" w:rsidTr="002D322A">
        <w:tc>
          <w:tcPr>
            <w:tcW w:w="9576" w:type="dxa"/>
            <w:vAlign w:val="center"/>
          </w:tcPr>
          <w:p w:rsidR="00086DC6" w:rsidRPr="007F00AE" w:rsidRDefault="00086DC6" w:rsidP="000959DF">
            <w:pPr>
              <w:pStyle w:val="TableText0"/>
              <w:numPr>
                <w:ilvl w:val="0"/>
                <w:numId w:val="76"/>
              </w:numPr>
              <w:rPr>
                <w:snapToGrid w:val="0"/>
              </w:rPr>
            </w:pPr>
            <w:r w:rsidRPr="007F00AE">
              <w:rPr>
                <w:snapToGrid w:val="0"/>
              </w:rPr>
              <w:t>Are the claims regarding the cost offsets achieved with treatment or the costs associated with the drug reliable?  Could these costs vary enough in the Australian setting to alter the estimate of value of the drug?  If so, could these costs be captured in a registry?</w:t>
            </w:r>
          </w:p>
        </w:tc>
      </w:tr>
      <w:tr w:rsidR="00086DC6" w:rsidRPr="00167DE8" w:rsidTr="002D322A">
        <w:tc>
          <w:tcPr>
            <w:tcW w:w="9576" w:type="dxa"/>
            <w:vAlign w:val="center"/>
          </w:tcPr>
          <w:p w:rsidR="00086DC6" w:rsidRPr="007F00AE" w:rsidRDefault="00086DC6" w:rsidP="000959DF">
            <w:pPr>
              <w:pStyle w:val="TableText0"/>
              <w:numPr>
                <w:ilvl w:val="0"/>
                <w:numId w:val="76"/>
              </w:numPr>
              <w:rPr>
                <w:snapToGrid w:val="0"/>
              </w:rPr>
            </w:pPr>
            <w:r w:rsidRPr="007F00AE">
              <w:rPr>
                <w:snapToGrid w:val="0"/>
              </w:rPr>
              <w:t>Would the likely benefits of data collection outweigh the costs?  Could a price for the drug be negotiated that would negate the need for ongoing data collection?</w:t>
            </w:r>
          </w:p>
        </w:tc>
      </w:tr>
      <w:tr w:rsidR="00086DC6" w:rsidRPr="00167DE8" w:rsidTr="002D322A">
        <w:tc>
          <w:tcPr>
            <w:tcW w:w="9576" w:type="dxa"/>
            <w:vAlign w:val="center"/>
          </w:tcPr>
          <w:p w:rsidR="00086DC6" w:rsidRPr="007F00AE" w:rsidRDefault="00086DC6" w:rsidP="000959DF">
            <w:pPr>
              <w:pStyle w:val="TableText0"/>
              <w:numPr>
                <w:ilvl w:val="0"/>
                <w:numId w:val="76"/>
              </w:numPr>
              <w:rPr>
                <w:snapToGrid w:val="0"/>
              </w:rPr>
            </w:pPr>
            <w:r w:rsidRPr="007F00AE">
              <w:rPr>
                <w:snapToGrid w:val="0"/>
              </w:rPr>
              <w:t>If a registry is required, engage with stakeholders.</w:t>
            </w:r>
          </w:p>
        </w:tc>
      </w:tr>
    </w:tbl>
    <w:p w:rsidR="00086DC6" w:rsidRDefault="00086DC6" w:rsidP="00092F60"/>
    <w:p w:rsidR="00092F60" w:rsidRPr="00167DE8" w:rsidRDefault="00092F60" w:rsidP="00834C67">
      <w:pPr>
        <w:pStyle w:val="Heading4"/>
      </w:pPr>
      <w:r w:rsidRPr="00167DE8">
        <w:t>Review of eligibility</w:t>
      </w:r>
    </w:p>
    <w:p w:rsidR="00092F60" w:rsidRDefault="00092F60" w:rsidP="00092F60">
      <w:r>
        <w:t>Patients who currently wish to receive a drug through the LSDP must meet certain eligibility criteria</w:t>
      </w:r>
      <w:r>
        <w:rPr>
          <w:rStyle w:val="FootnoteReference"/>
        </w:rPr>
        <w:footnoteReference w:id="35"/>
      </w:r>
      <w:r>
        <w:t>:</w:t>
      </w:r>
    </w:p>
    <w:p w:rsidR="00092F60" w:rsidRPr="00834C67" w:rsidRDefault="00092F60" w:rsidP="00EC31A5">
      <w:pPr>
        <w:pStyle w:val="Heading5"/>
      </w:pPr>
      <w:r w:rsidRPr="00834C67">
        <w:t>Initial eligibility</w:t>
      </w:r>
    </w:p>
    <w:p w:rsidR="00092F60" w:rsidRDefault="00092F60" w:rsidP="00092F60">
      <w:r>
        <w:t>A patient must meet the following conditions to receive subsidised drugs through the LSDP:</w:t>
      </w:r>
    </w:p>
    <w:p w:rsidR="00092F60" w:rsidRDefault="00092F60" w:rsidP="000959DF">
      <w:pPr>
        <w:pStyle w:val="ListParagraph"/>
        <w:widowControl w:val="0"/>
        <w:numPr>
          <w:ilvl w:val="0"/>
          <w:numId w:val="48"/>
        </w:numPr>
        <w:autoSpaceDE/>
        <w:autoSpaceDN/>
        <w:adjustRightInd/>
        <w:spacing w:after="0"/>
        <w:contextualSpacing/>
      </w:pPr>
      <w:r>
        <w:t>Satisfy the relevant criteria for treatment with the drug, as detailed in the relevant drug/condition LSDP Guidelines</w:t>
      </w:r>
    </w:p>
    <w:p w:rsidR="00092F60" w:rsidRDefault="00092F60" w:rsidP="000959DF">
      <w:pPr>
        <w:pStyle w:val="ListParagraph"/>
        <w:widowControl w:val="0"/>
        <w:numPr>
          <w:ilvl w:val="0"/>
          <w:numId w:val="48"/>
        </w:numPr>
        <w:autoSpaceDE/>
        <w:autoSpaceDN/>
        <w:adjustRightInd/>
        <w:spacing w:after="0"/>
        <w:contextualSpacing/>
      </w:pPr>
      <w:r>
        <w:t>Participate in the evaluation of effectiveness of the drug by periodic assessment, as directed by the relevant LSDP drug/condition Guidelines, or have an acceptable reason not to participate.</w:t>
      </w:r>
    </w:p>
    <w:p w:rsidR="00092F60" w:rsidRDefault="00092F60" w:rsidP="000959DF">
      <w:pPr>
        <w:pStyle w:val="ListParagraph"/>
        <w:widowControl w:val="0"/>
        <w:numPr>
          <w:ilvl w:val="0"/>
          <w:numId w:val="48"/>
        </w:numPr>
        <w:autoSpaceDE/>
        <w:autoSpaceDN/>
        <w:adjustRightInd/>
        <w:spacing w:after="0"/>
        <w:contextualSpacing/>
      </w:pPr>
      <w:r>
        <w:t>Not be suffering from any other medical condition, including complications or sequelae of the primary condition that might compromise the effectiveness of the drug treatment.</w:t>
      </w:r>
    </w:p>
    <w:p w:rsidR="00092F60" w:rsidRDefault="00092F60" w:rsidP="000959DF">
      <w:pPr>
        <w:pStyle w:val="ListParagraph"/>
        <w:widowControl w:val="0"/>
        <w:numPr>
          <w:ilvl w:val="0"/>
          <w:numId w:val="48"/>
        </w:numPr>
        <w:autoSpaceDE/>
        <w:autoSpaceDN/>
        <w:adjustRightInd/>
        <w:spacing w:after="0"/>
        <w:contextualSpacing/>
      </w:pPr>
      <w:r>
        <w:t>Be a permanent Australian resident who qualifies for Medicare.</w:t>
      </w:r>
    </w:p>
    <w:p w:rsidR="00092F60" w:rsidRDefault="00092F60" w:rsidP="00092F60"/>
    <w:p w:rsidR="00092F60" w:rsidRPr="00834C67" w:rsidRDefault="00092F60" w:rsidP="00EC31A5">
      <w:pPr>
        <w:pStyle w:val="Heading5"/>
      </w:pPr>
      <w:r w:rsidRPr="00834C67">
        <w:t>Ongoing eligibility</w:t>
      </w:r>
    </w:p>
    <w:p w:rsidR="00092F60" w:rsidRDefault="00092F60" w:rsidP="00092F60">
      <w:r>
        <w:t>Patient eligibility is reviewed in accordance with the frequency set out in the relevant drug/condition LSDP Guidelines, but generally 12 months after commencing therapy and every 12 months thereafter. Continued eligibility is subject to the assessment of evidence, as outlined in the relevant drug/condition LSDP Guidelines, which demonstrates:</w:t>
      </w:r>
    </w:p>
    <w:p w:rsidR="00092F60" w:rsidRDefault="00092F60" w:rsidP="000959DF">
      <w:pPr>
        <w:pStyle w:val="ListParagraph"/>
        <w:widowControl w:val="0"/>
        <w:numPr>
          <w:ilvl w:val="0"/>
          <w:numId w:val="49"/>
        </w:numPr>
        <w:autoSpaceDE/>
        <w:autoSpaceDN/>
        <w:adjustRightInd/>
        <w:spacing w:after="0"/>
        <w:contextualSpacing/>
      </w:pPr>
      <w:r>
        <w:lastRenderedPageBreak/>
        <w:t>Clinical improvement in the patient, or</w:t>
      </w:r>
    </w:p>
    <w:p w:rsidR="00092F60" w:rsidRDefault="00092F60" w:rsidP="000959DF">
      <w:pPr>
        <w:pStyle w:val="ListParagraph"/>
        <w:widowControl w:val="0"/>
        <w:numPr>
          <w:ilvl w:val="0"/>
          <w:numId w:val="49"/>
        </w:numPr>
        <w:autoSpaceDE/>
        <w:autoSpaceDN/>
        <w:adjustRightInd/>
        <w:spacing w:after="0"/>
        <w:contextualSpacing/>
      </w:pPr>
      <w:r>
        <w:t>Stabilisation of the patient’s condition.</w:t>
      </w:r>
    </w:p>
    <w:p w:rsidR="00092F60" w:rsidRDefault="00092F60" w:rsidP="00092F60">
      <w:r>
        <w:t>The assessment of eligibility is made with regard to the natural course and stage of the disease, as described in the relevant drug/condition LSDP Guidelines, and any exceptional circumstances that may apply.</w:t>
      </w:r>
    </w:p>
    <w:p w:rsidR="00092F60" w:rsidRDefault="00092F60" w:rsidP="00092F60">
      <w:r>
        <w:t>The proposed registry must capture relevant data to enable the determination of initial and (if relevant) ongoing patient eligibility. As the benefit of a drug is drug and disease specific, the eligibility criteria will need to be tailored to each drug and therefore the registry must capture drug / condition specific fields to establish eligibility.  The assessment of ongoing eligibility must be made at intervals that are also drug / condition specific.</w:t>
      </w:r>
    </w:p>
    <w:p w:rsidR="002D322A" w:rsidRDefault="002D322A" w:rsidP="008509CE">
      <w:pPr>
        <w:pStyle w:val="Caption"/>
        <w:keepNext/>
        <w:tabs>
          <w:tab w:val="clear" w:pos="851"/>
          <w:tab w:val="left" w:pos="1276"/>
        </w:tabs>
        <w:ind w:left="1276" w:hanging="1276"/>
      </w:pPr>
      <w:bookmarkStart w:id="663" w:name="_Toc411510508"/>
      <w:bookmarkStart w:id="664" w:name="_Toc415141943"/>
      <w:r>
        <w:t xml:space="preserve">Table </w:t>
      </w:r>
      <w:r w:rsidR="00A72B26">
        <w:rPr>
          <w:noProof/>
        </w:rPr>
        <w:t>146</w:t>
      </w:r>
      <w:r w:rsidR="00FF09AF">
        <w:tab/>
        <w:t xml:space="preserve">Questions to consider </w:t>
      </w:r>
      <w:r>
        <w:t>regarding the collection of eligibility data</w:t>
      </w:r>
      <w:bookmarkEnd w:id="663"/>
      <w:bookmarkEnd w:id="664"/>
    </w:p>
    <w:tbl>
      <w:tblPr>
        <w:tblStyle w:val="TableGrid"/>
        <w:tblW w:w="5000" w:type="pct"/>
        <w:tblLook w:val="04A0" w:firstRow="1" w:lastRow="0" w:firstColumn="1" w:lastColumn="0" w:noHBand="0" w:noVBand="1"/>
        <w:tblCaption w:val="Table 110 Questions for steering committee regarding the collection of eligibility data"/>
      </w:tblPr>
      <w:tblGrid>
        <w:gridCol w:w="9242"/>
      </w:tblGrid>
      <w:tr w:rsidR="00F75ECD" w:rsidRPr="00167DE8" w:rsidTr="00F75ECD">
        <w:trPr>
          <w:trHeight w:val="359"/>
          <w:tblHeader/>
        </w:trPr>
        <w:tc>
          <w:tcPr>
            <w:tcW w:w="9576" w:type="dxa"/>
            <w:vAlign w:val="center"/>
          </w:tcPr>
          <w:p w:rsidR="00F75ECD" w:rsidRPr="00167DE8" w:rsidRDefault="00F75ECD" w:rsidP="00FF09AF">
            <w:pPr>
              <w:pStyle w:val="TableHeading"/>
            </w:pPr>
            <w:r>
              <w:t>Questions</w:t>
            </w:r>
            <w:r w:rsidR="00FF09AF">
              <w:t xml:space="preserve"> to consider</w:t>
            </w:r>
          </w:p>
        </w:tc>
      </w:tr>
      <w:tr w:rsidR="00092F60" w:rsidRPr="00167DE8" w:rsidTr="00092F60">
        <w:trPr>
          <w:trHeight w:val="359"/>
        </w:trPr>
        <w:tc>
          <w:tcPr>
            <w:tcW w:w="9576" w:type="dxa"/>
            <w:vAlign w:val="center"/>
          </w:tcPr>
          <w:p w:rsidR="00092F60" w:rsidRPr="00167DE8" w:rsidRDefault="00092F60" w:rsidP="000959DF">
            <w:pPr>
              <w:pStyle w:val="TableText0"/>
              <w:numPr>
                <w:ilvl w:val="0"/>
                <w:numId w:val="77"/>
              </w:numPr>
            </w:pPr>
            <w:r w:rsidRPr="00167DE8">
              <w:t>Has the sponsor identified ongoing drug eligibility criteria or stopping criteria?</w:t>
            </w:r>
          </w:p>
        </w:tc>
      </w:tr>
      <w:tr w:rsidR="00092F60" w:rsidRPr="00167DE8" w:rsidTr="00092F60">
        <w:tc>
          <w:tcPr>
            <w:tcW w:w="9576" w:type="dxa"/>
            <w:vAlign w:val="center"/>
          </w:tcPr>
          <w:p w:rsidR="00092F60" w:rsidRPr="00167DE8" w:rsidRDefault="00092F60" w:rsidP="000959DF">
            <w:pPr>
              <w:pStyle w:val="TableText0"/>
              <w:numPr>
                <w:ilvl w:val="0"/>
                <w:numId w:val="77"/>
              </w:numPr>
            </w:pPr>
            <w:r w:rsidRPr="00167DE8">
              <w:t>Are these criteria justified?</w:t>
            </w:r>
          </w:p>
        </w:tc>
      </w:tr>
      <w:tr w:rsidR="00092F60" w:rsidRPr="00167DE8" w:rsidTr="00092F60">
        <w:tc>
          <w:tcPr>
            <w:tcW w:w="9576" w:type="dxa"/>
            <w:vAlign w:val="center"/>
          </w:tcPr>
          <w:p w:rsidR="00092F60" w:rsidRPr="00167DE8" w:rsidRDefault="00092F60" w:rsidP="000959DF">
            <w:pPr>
              <w:pStyle w:val="TableText0"/>
              <w:numPr>
                <w:ilvl w:val="0"/>
                <w:numId w:val="77"/>
              </w:numPr>
            </w:pPr>
            <w:r w:rsidRPr="00167DE8">
              <w:t xml:space="preserve">Can patients who are no longer eligible </w:t>
            </w:r>
            <w:r w:rsidR="003A2F5C">
              <w:t xml:space="preserve">for the drug </w:t>
            </w:r>
            <w:proofErr w:type="gramStart"/>
            <w:r w:rsidRPr="00167DE8">
              <w:t>be</w:t>
            </w:r>
            <w:proofErr w:type="gramEnd"/>
            <w:r w:rsidRPr="00167DE8">
              <w:t xml:space="preserve"> clearly identified using objective criteria?</w:t>
            </w:r>
          </w:p>
        </w:tc>
      </w:tr>
      <w:tr w:rsidR="00092F60" w:rsidRPr="00167DE8" w:rsidTr="00092F60">
        <w:tc>
          <w:tcPr>
            <w:tcW w:w="9576" w:type="dxa"/>
            <w:vAlign w:val="center"/>
          </w:tcPr>
          <w:p w:rsidR="00092F60" w:rsidRPr="00167DE8" w:rsidRDefault="00092F60" w:rsidP="000959DF">
            <w:pPr>
              <w:pStyle w:val="TableText0"/>
              <w:numPr>
                <w:ilvl w:val="0"/>
                <w:numId w:val="77"/>
              </w:numPr>
            </w:pPr>
            <w:r w:rsidRPr="00167DE8">
              <w:t>Will continued treatment beyond stopping criteria be of harm to patients?</w:t>
            </w:r>
          </w:p>
        </w:tc>
      </w:tr>
      <w:tr w:rsidR="00092F60" w:rsidRPr="00167DE8" w:rsidTr="00092F60">
        <w:tc>
          <w:tcPr>
            <w:tcW w:w="9576" w:type="dxa"/>
            <w:vAlign w:val="center"/>
          </w:tcPr>
          <w:p w:rsidR="00092F60" w:rsidRPr="00167DE8" w:rsidRDefault="00092F60" w:rsidP="000959DF">
            <w:pPr>
              <w:pStyle w:val="TableText0"/>
              <w:numPr>
                <w:ilvl w:val="0"/>
                <w:numId w:val="77"/>
              </w:numPr>
            </w:pPr>
            <w:r w:rsidRPr="00167DE8">
              <w:t>Will continued treatment be of benefit?</w:t>
            </w:r>
          </w:p>
        </w:tc>
      </w:tr>
      <w:tr w:rsidR="00092F60" w:rsidRPr="00167DE8" w:rsidTr="00092F60">
        <w:tc>
          <w:tcPr>
            <w:tcW w:w="9576" w:type="dxa"/>
            <w:vAlign w:val="center"/>
          </w:tcPr>
          <w:p w:rsidR="00092F60" w:rsidRPr="00167DE8" w:rsidRDefault="00092F60" w:rsidP="000959DF">
            <w:pPr>
              <w:pStyle w:val="TableText0"/>
              <w:numPr>
                <w:ilvl w:val="0"/>
                <w:numId w:val="77"/>
              </w:numPr>
            </w:pPr>
            <w:r w:rsidRPr="00167DE8">
              <w:t>Could a reduction in the cost of the drug offset the loss of value in patients who are treated beyond the stopping criteria?  (</w:t>
            </w:r>
            <w:r w:rsidR="009161F9" w:rsidRPr="00167DE8">
              <w:t>i.e.</w:t>
            </w:r>
            <w:r w:rsidRPr="00167DE8">
              <w:t>, can stopping criteria be avoided?)</w:t>
            </w:r>
          </w:p>
        </w:tc>
      </w:tr>
      <w:tr w:rsidR="00092F60" w:rsidRPr="00167DE8" w:rsidTr="00092F60">
        <w:tc>
          <w:tcPr>
            <w:tcW w:w="9576" w:type="dxa"/>
            <w:vAlign w:val="center"/>
          </w:tcPr>
          <w:p w:rsidR="00092F60" w:rsidRPr="00167DE8" w:rsidRDefault="00092F60" w:rsidP="000959DF">
            <w:pPr>
              <w:pStyle w:val="TableText0"/>
              <w:numPr>
                <w:ilvl w:val="0"/>
                <w:numId w:val="77"/>
              </w:numPr>
            </w:pPr>
            <w:r w:rsidRPr="00167DE8">
              <w:t>If stopping criteria are required, does ongoing patient eligibility need to be recorded?  Can the treating physician manage the decision of when to stop treatment?</w:t>
            </w:r>
          </w:p>
        </w:tc>
      </w:tr>
      <w:tr w:rsidR="00092F60" w:rsidRPr="00167DE8" w:rsidTr="00092F60">
        <w:tc>
          <w:tcPr>
            <w:tcW w:w="9576" w:type="dxa"/>
            <w:vAlign w:val="center"/>
          </w:tcPr>
          <w:p w:rsidR="00092F60" w:rsidRPr="00167DE8" w:rsidRDefault="00092F60" w:rsidP="000959DF">
            <w:pPr>
              <w:pStyle w:val="TableText0"/>
              <w:numPr>
                <w:ilvl w:val="0"/>
                <w:numId w:val="77"/>
              </w:numPr>
            </w:pPr>
            <w:r w:rsidRPr="00167DE8">
              <w:t xml:space="preserve">If stopping criteria need to be monitored, what are the steps to be taken when a patient meets the stopping criteria? </w:t>
            </w:r>
          </w:p>
        </w:tc>
      </w:tr>
      <w:tr w:rsidR="00092F60" w:rsidRPr="00167DE8" w:rsidTr="00092F60">
        <w:tc>
          <w:tcPr>
            <w:tcW w:w="9576" w:type="dxa"/>
            <w:vAlign w:val="center"/>
          </w:tcPr>
          <w:p w:rsidR="00092F60" w:rsidRPr="00167DE8" w:rsidRDefault="00092F60" w:rsidP="000959DF">
            <w:pPr>
              <w:pStyle w:val="TableText0"/>
              <w:numPr>
                <w:ilvl w:val="0"/>
                <w:numId w:val="77"/>
              </w:numPr>
            </w:pPr>
            <w:r w:rsidRPr="00167DE8">
              <w:t>Will the patient information included in the registry highlight the loss of benefit or possible harms associated with ongoing treatment subsequent to stopping criteria being met?</w:t>
            </w:r>
          </w:p>
        </w:tc>
      </w:tr>
    </w:tbl>
    <w:p w:rsidR="00092F60" w:rsidRDefault="00092F60" w:rsidP="00092F60"/>
    <w:p w:rsidR="00092F60" w:rsidRPr="00167DE8" w:rsidRDefault="00092F60" w:rsidP="00834C67">
      <w:pPr>
        <w:pStyle w:val="Heading4"/>
      </w:pPr>
      <w:r w:rsidRPr="00167DE8">
        <w:t>Cost of drug and management of condition</w:t>
      </w:r>
    </w:p>
    <w:p w:rsidR="00092F60" w:rsidRDefault="00092F60" w:rsidP="00092F60">
      <w:r>
        <w:t xml:space="preserve">Drugs currently provided through the LSDP are not considered to be cost-effective by the PBAC. </w:t>
      </w:r>
      <w:r w:rsidRPr="005C4CB3">
        <w:t xml:space="preserve"> </w:t>
      </w:r>
      <w:r>
        <w:t xml:space="preserve">The Government must therefore ensure that the overall financial impact of the drug as well as the realised return for investment </w:t>
      </w:r>
      <w:r w:rsidR="00391BC2">
        <w:t xml:space="preserve">(in terms of health gained and costs avoided) </w:t>
      </w:r>
      <w:r>
        <w:t xml:space="preserve">are in line with what was proposed at the time of listing. When drugs are listed on the LSDP, the Government considers the cost of the drug in comparable overseas markets as well as the cost of other drugs already funded through the LSDP for the same condition.  Substantial deviations from the effectiveness or cost of the drug proposed at the time of listing could, in the absence of a pricing mechanism linked to effectiveness or overall cost, pose a risk to the sustainability of a program for reimbursing drugs for rare diseases.  </w:t>
      </w:r>
    </w:p>
    <w:p w:rsidR="00092F60" w:rsidRDefault="00092F60" w:rsidP="00092F60">
      <w:r>
        <w:t xml:space="preserve">To monitor the impact of reimbursing drugs for rare diseases, a registry must capture parameters that enable estimation of the cost of the drug as well as </w:t>
      </w:r>
      <w:r w:rsidR="00391BC2">
        <w:t xml:space="preserve">the cost of </w:t>
      </w:r>
      <w:r>
        <w:t xml:space="preserve">the </w:t>
      </w:r>
      <w:r>
        <w:lastRenderedPageBreak/>
        <w:t>additional monitoring required for a patient on the drug. Substantial departures from the financial impacts as originally presented by the sponsor may necessitate a review of the proposed price of the drug in order to ensure the funding program remains a viable mechanism for the provision of drugs for rare diseases.</w:t>
      </w:r>
    </w:p>
    <w:p w:rsidR="00092F60" w:rsidRDefault="00092F60" w:rsidP="00092F60">
      <w:r>
        <w:t>The variables designed to capture data for the cost of the drug will likely involve the following:</w:t>
      </w:r>
    </w:p>
    <w:p w:rsidR="00092F60" w:rsidRDefault="00092F60" w:rsidP="000959DF">
      <w:pPr>
        <w:pStyle w:val="ListParagraph"/>
        <w:widowControl w:val="0"/>
        <w:numPr>
          <w:ilvl w:val="0"/>
          <w:numId w:val="51"/>
        </w:numPr>
        <w:autoSpaceDE/>
        <w:autoSpaceDN/>
        <w:adjustRightInd/>
        <w:spacing w:after="0"/>
        <w:contextualSpacing/>
      </w:pPr>
      <w:r>
        <w:t>Dose and frequency of drug delivery</w:t>
      </w:r>
    </w:p>
    <w:p w:rsidR="00092F60" w:rsidRDefault="00092F60" w:rsidP="000959DF">
      <w:pPr>
        <w:pStyle w:val="ListParagraph"/>
        <w:widowControl w:val="0"/>
        <w:numPr>
          <w:ilvl w:val="0"/>
          <w:numId w:val="51"/>
        </w:numPr>
        <w:autoSpaceDE/>
        <w:autoSpaceDN/>
        <w:adjustRightInd/>
        <w:spacing w:after="0"/>
        <w:contextualSpacing/>
      </w:pPr>
      <w:r>
        <w:t>Patient compliance with medication</w:t>
      </w:r>
    </w:p>
    <w:p w:rsidR="00092F60" w:rsidRDefault="00092F60" w:rsidP="000959DF">
      <w:pPr>
        <w:pStyle w:val="ListParagraph"/>
        <w:widowControl w:val="0"/>
        <w:numPr>
          <w:ilvl w:val="0"/>
          <w:numId w:val="51"/>
        </w:numPr>
        <w:autoSpaceDE/>
        <w:autoSpaceDN/>
        <w:adjustRightInd/>
        <w:spacing w:after="0"/>
        <w:contextualSpacing/>
      </w:pPr>
      <w:r>
        <w:t>Concurrent medications</w:t>
      </w:r>
    </w:p>
    <w:p w:rsidR="00092F60" w:rsidRDefault="00092F60" w:rsidP="000959DF">
      <w:pPr>
        <w:pStyle w:val="ListParagraph"/>
        <w:widowControl w:val="0"/>
        <w:numPr>
          <w:ilvl w:val="0"/>
          <w:numId w:val="51"/>
        </w:numPr>
        <w:autoSpaceDE/>
        <w:autoSpaceDN/>
        <w:adjustRightInd/>
        <w:spacing w:after="0"/>
        <w:contextualSpacing/>
      </w:pPr>
      <w:r>
        <w:t>Imaging / pathology to monitor progress</w:t>
      </w:r>
    </w:p>
    <w:p w:rsidR="00092F60" w:rsidRDefault="00092F60" w:rsidP="000959DF">
      <w:pPr>
        <w:pStyle w:val="ListParagraph"/>
        <w:widowControl w:val="0"/>
        <w:numPr>
          <w:ilvl w:val="0"/>
          <w:numId w:val="51"/>
        </w:numPr>
        <w:autoSpaceDE/>
        <w:autoSpaceDN/>
        <w:adjustRightInd/>
        <w:spacing w:after="0"/>
        <w:contextualSpacing/>
      </w:pPr>
      <w:r>
        <w:t>Additional therapeutic interventions</w:t>
      </w:r>
    </w:p>
    <w:p w:rsidR="00092F60" w:rsidRDefault="00092F60" w:rsidP="000959DF">
      <w:pPr>
        <w:pStyle w:val="ListParagraph"/>
        <w:widowControl w:val="0"/>
        <w:numPr>
          <w:ilvl w:val="0"/>
          <w:numId w:val="51"/>
        </w:numPr>
        <w:autoSpaceDE/>
        <w:autoSpaceDN/>
        <w:adjustRightInd/>
        <w:spacing w:after="0"/>
        <w:contextualSpacing/>
      </w:pPr>
      <w:r>
        <w:t>Hospitalisations</w:t>
      </w:r>
    </w:p>
    <w:p w:rsidR="00092F60" w:rsidRDefault="00092F60" w:rsidP="000959DF">
      <w:pPr>
        <w:pStyle w:val="ListParagraph"/>
        <w:widowControl w:val="0"/>
        <w:numPr>
          <w:ilvl w:val="0"/>
          <w:numId w:val="51"/>
        </w:numPr>
        <w:autoSpaceDE/>
        <w:autoSpaceDN/>
        <w:adjustRightInd/>
        <w:spacing w:after="0"/>
        <w:contextualSpacing/>
      </w:pPr>
      <w:r>
        <w:t>Professional attendances/consultations</w:t>
      </w:r>
    </w:p>
    <w:p w:rsidR="00092F60" w:rsidRDefault="00092F60" w:rsidP="00092F60"/>
    <w:p w:rsidR="00092F60" w:rsidRDefault="00092F60" w:rsidP="00092F60">
      <w:r>
        <w:t>Due to the often high cost of these drugs, variables would only be selected if it is plausible that their occurrence is likely to impact on the overall cost of the management of the disease.  Specific variables will need to be selected on the basis that they are claimed as cost-offsets at the time of the submission to the PBAC. Mechanisms for containing cost or maintaining value for a drug are discussed in the following section.</w:t>
      </w:r>
    </w:p>
    <w:p w:rsidR="002D322A" w:rsidRDefault="002D322A" w:rsidP="00092F60"/>
    <w:p w:rsidR="002D322A" w:rsidRDefault="002D322A" w:rsidP="008509CE">
      <w:pPr>
        <w:pStyle w:val="Caption"/>
        <w:keepNext/>
        <w:tabs>
          <w:tab w:val="clear" w:pos="851"/>
          <w:tab w:val="left" w:pos="1276"/>
        </w:tabs>
        <w:ind w:left="1276" w:hanging="1276"/>
      </w:pPr>
      <w:bookmarkStart w:id="665" w:name="_Toc411510509"/>
      <w:bookmarkStart w:id="666" w:name="_Toc415141944"/>
      <w:r>
        <w:t xml:space="preserve">Table </w:t>
      </w:r>
      <w:r w:rsidR="00A72B26">
        <w:rPr>
          <w:noProof/>
        </w:rPr>
        <w:t>147</w:t>
      </w:r>
      <w:r>
        <w:tab/>
      </w:r>
      <w:r w:rsidR="00FF09AF">
        <w:t>Questions to consider</w:t>
      </w:r>
      <w:r>
        <w:t xml:space="preserve"> regarding the collection of cost data</w:t>
      </w:r>
      <w:bookmarkEnd w:id="665"/>
      <w:bookmarkEnd w:id="666"/>
    </w:p>
    <w:tbl>
      <w:tblPr>
        <w:tblStyle w:val="TableGrid"/>
        <w:tblW w:w="5000" w:type="pct"/>
        <w:tblLook w:val="04A0" w:firstRow="1" w:lastRow="0" w:firstColumn="1" w:lastColumn="0" w:noHBand="0" w:noVBand="1"/>
        <w:tblCaption w:val="Table 111 Questions for the steering committee regarding the collection of cost data"/>
      </w:tblPr>
      <w:tblGrid>
        <w:gridCol w:w="9242"/>
      </w:tblGrid>
      <w:tr w:rsidR="00F75ECD" w:rsidRPr="00167DE8" w:rsidTr="00F75ECD">
        <w:trPr>
          <w:trHeight w:val="359"/>
          <w:tblHeader/>
        </w:trPr>
        <w:tc>
          <w:tcPr>
            <w:tcW w:w="9242" w:type="dxa"/>
            <w:vAlign w:val="center"/>
          </w:tcPr>
          <w:p w:rsidR="00F75ECD" w:rsidRPr="00167DE8" w:rsidRDefault="00F75ECD" w:rsidP="00FF09AF">
            <w:pPr>
              <w:pStyle w:val="TableHeading"/>
            </w:pPr>
            <w:r>
              <w:t xml:space="preserve">Questions </w:t>
            </w:r>
            <w:r w:rsidR="00FF09AF">
              <w:t>to consider</w:t>
            </w:r>
          </w:p>
        </w:tc>
      </w:tr>
      <w:tr w:rsidR="00086DC6" w:rsidRPr="00167DE8" w:rsidTr="00F75ECD">
        <w:tc>
          <w:tcPr>
            <w:tcW w:w="9242" w:type="dxa"/>
          </w:tcPr>
          <w:p w:rsidR="00086DC6" w:rsidRPr="00167DE8" w:rsidRDefault="00086DC6" w:rsidP="000959DF">
            <w:pPr>
              <w:pStyle w:val="TableText0"/>
              <w:numPr>
                <w:ilvl w:val="0"/>
                <w:numId w:val="78"/>
              </w:numPr>
            </w:pPr>
            <w:r>
              <w:t>Is the dosing of the drug likely to differ from that proposed in the submission?</w:t>
            </w:r>
          </w:p>
        </w:tc>
      </w:tr>
      <w:tr w:rsidR="00086DC6" w:rsidRPr="00167DE8" w:rsidTr="00F75ECD">
        <w:tc>
          <w:tcPr>
            <w:tcW w:w="9242" w:type="dxa"/>
          </w:tcPr>
          <w:p w:rsidR="00086DC6" w:rsidRPr="00167DE8" w:rsidRDefault="00086DC6" w:rsidP="000959DF">
            <w:pPr>
              <w:pStyle w:val="TableText0"/>
              <w:numPr>
                <w:ilvl w:val="0"/>
                <w:numId w:val="78"/>
              </w:numPr>
            </w:pPr>
            <w:r>
              <w:t>Would a difference in dosing result in change in the estimate of value of the drug of sufficient magnitude to alter the decision to reimburse?</w:t>
            </w:r>
          </w:p>
        </w:tc>
      </w:tr>
      <w:tr w:rsidR="00086DC6" w:rsidRPr="00167DE8" w:rsidTr="00F75ECD">
        <w:tc>
          <w:tcPr>
            <w:tcW w:w="9242" w:type="dxa"/>
          </w:tcPr>
          <w:p w:rsidR="00086DC6" w:rsidRPr="00167DE8" w:rsidRDefault="00086DC6" w:rsidP="000959DF">
            <w:pPr>
              <w:pStyle w:val="TableText0"/>
              <w:numPr>
                <w:ilvl w:val="0"/>
                <w:numId w:val="78"/>
              </w:numPr>
            </w:pPr>
            <w:r>
              <w:t>Can an agreement be reached that would mitigate the risk to the Government if dosing is different in the Australian population than is presented in the submission?</w:t>
            </w:r>
          </w:p>
        </w:tc>
      </w:tr>
      <w:tr w:rsidR="00086DC6" w:rsidRPr="00167DE8" w:rsidTr="00F75ECD">
        <w:tc>
          <w:tcPr>
            <w:tcW w:w="9242" w:type="dxa"/>
          </w:tcPr>
          <w:p w:rsidR="00086DC6" w:rsidRPr="00167DE8" w:rsidRDefault="00086DC6" w:rsidP="000959DF">
            <w:pPr>
              <w:pStyle w:val="TableText0"/>
              <w:numPr>
                <w:ilvl w:val="0"/>
                <w:numId w:val="78"/>
              </w:numPr>
            </w:pPr>
            <w:r>
              <w:t>Are other substantial costs involved with monitoring patients who receive the drug?</w:t>
            </w:r>
          </w:p>
        </w:tc>
      </w:tr>
      <w:tr w:rsidR="00086DC6" w:rsidRPr="00167DE8" w:rsidTr="00F75ECD">
        <w:tc>
          <w:tcPr>
            <w:tcW w:w="9242" w:type="dxa"/>
          </w:tcPr>
          <w:p w:rsidR="00086DC6" w:rsidRPr="00167DE8" w:rsidRDefault="00086DC6" w:rsidP="000959DF">
            <w:pPr>
              <w:pStyle w:val="TableText0"/>
              <w:numPr>
                <w:ilvl w:val="0"/>
                <w:numId w:val="78"/>
              </w:numPr>
            </w:pPr>
            <w:r>
              <w:t>Are any substantial cost offsets claimed in the submission?</w:t>
            </w:r>
          </w:p>
        </w:tc>
      </w:tr>
      <w:tr w:rsidR="00086DC6" w:rsidRPr="00167DE8" w:rsidTr="00F75ECD">
        <w:tc>
          <w:tcPr>
            <w:tcW w:w="9242" w:type="dxa"/>
          </w:tcPr>
          <w:p w:rsidR="00086DC6" w:rsidRPr="00167DE8" w:rsidRDefault="00086DC6" w:rsidP="000959DF">
            <w:pPr>
              <w:pStyle w:val="TableText0"/>
              <w:numPr>
                <w:ilvl w:val="0"/>
                <w:numId w:val="78"/>
              </w:numPr>
            </w:pPr>
            <w:r>
              <w:t>Could variations in the monitoring costs or cost offsets change the estimate of the value of the drug sufficiently to alter the decision to reimburse?</w:t>
            </w:r>
          </w:p>
        </w:tc>
      </w:tr>
      <w:tr w:rsidR="00086DC6" w:rsidRPr="00167DE8" w:rsidTr="00F75ECD">
        <w:tc>
          <w:tcPr>
            <w:tcW w:w="9242" w:type="dxa"/>
          </w:tcPr>
          <w:p w:rsidR="00086DC6" w:rsidRPr="00167DE8" w:rsidRDefault="00086DC6" w:rsidP="000959DF">
            <w:pPr>
              <w:pStyle w:val="TableText0"/>
              <w:numPr>
                <w:ilvl w:val="0"/>
                <w:numId w:val="78"/>
              </w:numPr>
            </w:pPr>
            <w:r>
              <w:t>Can these costs be captured?</w:t>
            </w:r>
          </w:p>
        </w:tc>
      </w:tr>
      <w:tr w:rsidR="00086DC6" w:rsidRPr="00167DE8" w:rsidTr="00F75ECD">
        <w:tc>
          <w:tcPr>
            <w:tcW w:w="9242" w:type="dxa"/>
          </w:tcPr>
          <w:p w:rsidR="00086DC6" w:rsidRPr="00167DE8" w:rsidRDefault="00086DC6" w:rsidP="000959DF">
            <w:pPr>
              <w:pStyle w:val="TableText0"/>
              <w:numPr>
                <w:ilvl w:val="0"/>
                <w:numId w:val="78"/>
              </w:numPr>
            </w:pPr>
            <w:r>
              <w:t xml:space="preserve">Could a managed entry agreement help mitigate the risk of reimbursing a drug that </w:t>
            </w:r>
            <w:r w:rsidR="00834C67">
              <w:t>may have</w:t>
            </w:r>
            <w:r>
              <w:t xml:space="preserve"> a higher cost, higher management costs or fewer cost offsets than claimed in the submission?</w:t>
            </w:r>
          </w:p>
        </w:tc>
      </w:tr>
    </w:tbl>
    <w:p w:rsidR="00086DC6" w:rsidRDefault="00086DC6" w:rsidP="00092F60"/>
    <w:p w:rsidR="00092F60" w:rsidRPr="00167DE8" w:rsidRDefault="00092F60" w:rsidP="00834C67">
      <w:pPr>
        <w:pStyle w:val="Heading4"/>
      </w:pPr>
      <w:r w:rsidRPr="00167DE8">
        <w:t>Evaluation of effectiveness and safety</w:t>
      </w:r>
    </w:p>
    <w:p w:rsidR="00092F60" w:rsidRDefault="00092F60" w:rsidP="00092F60">
      <w:r>
        <w:t xml:space="preserve">Registers have long been used to help detect safety signals for a drug after it has been marketed. This is because important adverse events may occur more frequently than can be </w:t>
      </w:r>
      <w:r>
        <w:lastRenderedPageBreak/>
        <w:t xml:space="preserve">observed in a clinical trial </w:t>
      </w:r>
      <w:proofErr w:type="gramStart"/>
      <w:r>
        <w:t>setting</w:t>
      </w:r>
      <w:r w:rsidR="00A130D0">
        <w:rPr>
          <w:noProof/>
        </w:rPr>
        <w:t>(</w:t>
      </w:r>
      <w:proofErr w:type="gramEnd"/>
      <w:r w:rsidR="00184B6F">
        <w:rPr>
          <w:noProof/>
        </w:rPr>
        <w:t>Andrade et al. 1995</w:t>
      </w:r>
      <w:r w:rsidR="00A130D0">
        <w:rPr>
          <w:noProof/>
        </w:rPr>
        <w:t>)</w:t>
      </w:r>
      <w:r>
        <w:t xml:space="preserve"> </w:t>
      </w:r>
      <w:r w:rsidR="00834C67">
        <w:t xml:space="preserve">as </w:t>
      </w:r>
      <w:r>
        <w:t>clinical trials may select patients less likely to experience adverse events</w:t>
      </w:r>
      <w:r w:rsidR="00A130D0">
        <w:rPr>
          <w:noProof/>
        </w:rPr>
        <w:t>(</w:t>
      </w:r>
      <w:r w:rsidR="00184B6F">
        <w:rPr>
          <w:noProof/>
        </w:rPr>
        <w:t>Rothwell 2005</w:t>
      </w:r>
      <w:r w:rsidR="00A130D0">
        <w:rPr>
          <w:noProof/>
        </w:rPr>
        <w:t>)</w:t>
      </w:r>
      <w:r>
        <w:t>, the reporting of adverse events may be poor</w:t>
      </w:r>
      <w:r w:rsidR="00A130D0">
        <w:rPr>
          <w:noProof/>
        </w:rPr>
        <w:t>(</w:t>
      </w:r>
      <w:r w:rsidR="00184B6F">
        <w:rPr>
          <w:noProof/>
        </w:rPr>
        <w:t>Ioannidis, J. P. &amp; Contopoulos-Ioannidis 1998</w:t>
      </w:r>
      <w:r w:rsidR="00A130D0">
        <w:rPr>
          <w:noProof/>
        </w:rPr>
        <w:t xml:space="preserve">; </w:t>
      </w:r>
      <w:r w:rsidR="00184B6F">
        <w:rPr>
          <w:noProof/>
        </w:rPr>
        <w:t>McPherson &amp; Hemminki 2004</w:t>
      </w:r>
      <w:r w:rsidR="00A130D0">
        <w:rPr>
          <w:noProof/>
        </w:rPr>
        <w:t>)</w:t>
      </w:r>
      <w:r>
        <w:t>, or the trial may be underpowered to detect differences in adverse events across arms</w:t>
      </w:r>
      <w:r w:rsidR="00A130D0">
        <w:rPr>
          <w:noProof/>
        </w:rPr>
        <w:t>(</w:t>
      </w:r>
      <w:r w:rsidR="00184B6F">
        <w:rPr>
          <w:noProof/>
        </w:rPr>
        <w:t>Ioannidis, John PA 2009</w:t>
      </w:r>
      <w:r w:rsidR="00A130D0">
        <w:rPr>
          <w:noProof/>
        </w:rPr>
        <w:t xml:space="preserve">; </w:t>
      </w:r>
      <w:r w:rsidR="00184B6F">
        <w:rPr>
          <w:noProof/>
        </w:rPr>
        <w:t>Tsang, Colley &amp; Lynd 2009</w:t>
      </w:r>
      <w:r w:rsidR="00A130D0">
        <w:rPr>
          <w:noProof/>
        </w:rPr>
        <w:t>)</w:t>
      </w:r>
      <w:r>
        <w:t xml:space="preserve">). A register based in Australia is unlikely to provide additional insight to drug safety in people with rare diseases because of the small number of </w:t>
      </w:r>
      <w:r w:rsidR="003A2F5C">
        <w:t xml:space="preserve">locally </w:t>
      </w:r>
      <w:r>
        <w:t xml:space="preserve">treated patients. Data that are already captured by industry through periodic safety update reports (PSURs) or post-market trials or registries (often mandated by regulatory </w:t>
      </w:r>
      <w:proofErr w:type="gramStart"/>
      <w:r>
        <w:t>bodies</w:t>
      </w:r>
      <w:r w:rsidR="00A130D0">
        <w:rPr>
          <w:noProof/>
        </w:rPr>
        <w:t>(</w:t>
      </w:r>
      <w:proofErr w:type="gramEnd"/>
      <w:r w:rsidR="00184B6F">
        <w:rPr>
          <w:noProof/>
        </w:rPr>
        <w:t>Food and Drug Administration (FDA) April 2011</w:t>
      </w:r>
      <w:r w:rsidR="00A130D0">
        <w:rPr>
          <w:noProof/>
        </w:rPr>
        <w:t>)</w:t>
      </w:r>
      <w:r>
        <w:t xml:space="preserve">), would be more comprehensive.  </w:t>
      </w:r>
    </w:p>
    <w:p w:rsidR="00092F60" w:rsidRDefault="00092F60" w:rsidP="00092F60">
      <w:r>
        <w:t>Evidence of the therapeutic effectiveness of drugs that treat rare diseases can similarly be of poor quality due to the rarity of the disease, variability of the disease and often lengthy course with uncertain late effects</w:t>
      </w:r>
      <w:r w:rsidR="00495B99">
        <w:t xml:space="preserve"> </w:t>
      </w:r>
      <w:r w:rsidR="00A130D0">
        <w:rPr>
          <w:noProof/>
        </w:rPr>
        <w:t>(</w:t>
      </w:r>
      <w:r w:rsidR="00184B6F">
        <w:rPr>
          <w:noProof/>
        </w:rPr>
        <w:t>Kruer &amp; Steiner 2008</w:t>
      </w:r>
      <w:r w:rsidR="00A130D0">
        <w:rPr>
          <w:noProof/>
        </w:rPr>
        <w:t xml:space="preserve">; </w:t>
      </w:r>
      <w:r w:rsidR="00184B6F">
        <w:rPr>
          <w:noProof/>
        </w:rPr>
        <w:t>Wilcken 2001</w:t>
      </w:r>
      <w:r w:rsidR="00A130D0">
        <w:rPr>
          <w:noProof/>
        </w:rPr>
        <w:t>)</w:t>
      </w:r>
      <w:r>
        <w:t xml:space="preserve">. While it is a criterion of the current LSDP that drugs be clinically effective, in some instances the evidence base cannot assist in the determination of the magnitude of therapeutic effect. A registry will not assist with this determination but the collection of post-market data may be able to </w:t>
      </w:r>
      <w:r w:rsidR="00834C67">
        <w:t>verify that</w:t>
      </w:r>
      <w:r>
        <w:t xml:space="preserve"> the therapeutic effectiveness and safety</w:t>
      </w:r>
      <w:r w:rsidR="003A2F5C">
        <w:t xml:space="preserve"> that is</w:t>
      </w:r>
      <w:r>
        <w:t xml:space="preserve"> </w:t>
      </w:r>
      <w:r w:rsidRPr="00BE37DD">
        <w:rPr>
          <w:i/>
        </w:rPr>
        <w:t>claimed</w:t>
      </w:r>
      <w:r>
        <w:t xml:space="preserve"> at the time of listing is realised when the drug is used in the general population. </w:t>
      </w:r>
    </w:p>
    <w:p w:rsidR="003A2F5C" w:rsidRDefault="003A2F5C" w:rsidP="003A2F5C">
      <w:r>
        <w:t>When comparing the data compiled by the registry with the data suggested in the funding submission, a lower than expected response rate or higher than expected rates of adverse events may impact on the assessment of the value of the funded drug.  It is not uncommon for effectiveness or cost-effectiveness of interventions to differ markedly in real world situations when compared to clinical trials</w:t>
      </w:r>
      <w:r w:rsidR="009161F9">
        <w:t xml:space="preserve"> </w:t>
      </w:r>
      <w:r w:rsidR="00A130D0">
        <w:rPr>
          <w:noProof/>
        </w:rPr>
        <w:t>(</w:t>
      </w:r>
      <w:r w:rsidR="00184B6F">
        <w:rPr>
          <w:noProof/>
        </w:rPr>
        <w:t>MacIntyre et al. 2000</w:t>
      </w:r>
      <w:r w:rsidR="00A130D0">
        <w:rPr>
          <w:noProof/>
        </w:rPr>
        <w:t xml:space="preserve">; </w:t>
      </w:r>
      <w:r w:rsidR="00184B6F">
        <w:rPr>
          <w:noProof/>
        </w:rPr>
        <w:t>Wennberg et al. 1998</w:t>
      </w:r>
      <w:r w:rsidR="00A130D0">
        <w:rPr>
          <w:noProof/>
        </w:rPr>
        <w:t>)</w:t>
      </w:r>
      <w:r>
        <w:t xml:space="preserve">. This may be of limited interest to regulatory bodies if the direction of effect is preserved and the balance of benefits and harms is maintained; however, it is likely to be important to payers if the magnitude of the benefits that were proposed are not being realised. Use of registry data to verify some of the claimed benefits and harms would be particularly important if these clinical outcomes are linked to an agreement between Government and Industry at the time of reimbursing the drug </w:t>
      </w:r>
      <w:r w:rsidR="009161F9">
        <w:t>e.g.</w:t>
      </w:r>
      <w:r>
        <w:t xml:space="preserve"> a managed entry arrangement. </w:t>
      </w:r>
    </w:p>
    <w:p w:rsidR="003A2F5C" w:rsidRDefault="003A2F5C" w:rsidP="003A2F5C">
      <w:r>
        <w:t xml:space="preserve">The linking of an ongoing level of reimbursement with the achievement of a defined level of clinical benefit has been previously used for an orphan drug in the Australian setting </w:t>
      </w:r>
      <w:r w:rsidR="00A130D0">
        <w:rPr>
          <w:noProof/>
        </w:rPr>
        <w:t>(</w:t>
      </w:r>
      <w:r w:rsidR="00184B6F">
        <w:rPr>
          <w:noProof/>
        </w:rPr>
        <w:t>Owen et al. 2008</w:t>
      </w:r>
      <w:r w:rsidR="00A130D0">
        <w:rPr>
          <w:noProof/>
        </w:rPr>
        <w:t>)</w:t>
      </w:r>
      <w:r>
        <w:t>. The success of this approach was untested as the sponsor accepted a price reduction due to a lower priced competitor rather than participating in the alternative risk-share agreement</w:t>
      </w:r>
      <w:r w:rsidR="009161F9">
        <w:t xml:space="preserve"> </w:t>
      </w:r>
      <w:r w:rsidR="00A130D0">
        <w:rPr>
          <w:noProof/>
        </w:rPr>
        <w:t>(</w:t>
      </w:r>
      <w:r w:rsidR="00184B6F">
        <w:rPr>
          <w:noProof/>
        </w:rPr>
        <w:t>Wlodarczyk, Reid &amp; Pater 2011</w:t>
      </w:r>
      <w:r w:rsidR="00A130D0">
        <w:rPr>
          <w:noProof/>
        </w:rPr>
        <w:t>)</w:t>
      </w:r>
      <w:r>
        <w:t xml:space="preserve">, negating the need for re-negotiation of price to achieve a pre-agreed ICER.  This type of managed entry arrangement is not dissimilar to ‘coverage with evidence development’ or managed entry/exit arrangements that have been used in Australia </w:t>
      </w:r>
      <w:r w:rsidR="00A130D0">
        <w:rPr>
          <w:noProof/>
        </w:rPr>
        <w:t>(</w:t>
      </w:r>
      <w:r w:rsidR="00184B6F">
        <w:rPr>
          <w:noProof/>
        </w:rPr>
        <w:t>Wlodarczyk, Reid &amp; Pater 2011</w:t>
      </w:r>
      <w:r w:rsidR="00A130D0">
        <w:rPr>
          <w:noProof/>
        </w:rPr>
        <w:t>)</w:t>
      </w:r>
      <w:r>
        <w:t xml:space="preserve"> and internationally </w:t>
      </w:r>
      <w:r w:rsidR="00A130D0">
        <w:rPr>
          <w:noProof/>
        </w:rPr>
        <w:t>(</w:t>
      </w:r>
      <w:r w:rsidR="00184B6F">
        <w:rPr>
          <w:noProof/>
        </w:rPr>
        <w:t>Morel et al. 2013</w:t>
      </w:r>
      <w:r w:rsidR="00A130D0">
        <w:rPr>
          <w:noProof/>
        </w:rPr>
        <w:t>)</w:t>
      </w:r>
      <w:r>
        <w:t xml:space="preserve">.  </w:t>
      </w:r>
    </w:p>
    <w:p w:rsidR="003A2F5C" w:rsidRDefault="003A2F5C" w:rsidP="003A2F5C">
      <w:r>
        <w:lastRenderedPageBreak/>
        <w:t>To facilitate managed entry agreements based on the performance of the drug, a registry must capture sufficient data to measure patient response and record adverse events. The required variables need to be drug and condition specific and should include patient baseline characteristics and ongoing outcome measures. These outcome measures would include validated surrogate outcomes, as well as clinically-relevant and patient-relevant endpoints (as determined by patient representatives and clinical experts). The registry should continue to capture data on patients until death or until consent for data collection is withdrawn and should be designed to capture death or other important outcomes (hospitalisation, medical intervention) from other sources</w:t>
      </w:r>
      <w:r w:rsidR="00A130D0">
        <w:rPr>
          <w:noProof/>
        </w:rPr>
        <w:t>(</w:t>
      </w:r>
      <w:r w:rsidR="00184B6F">
        <w:rPr>
          <w:noProof/>
        </w:rPr>
        <w:t>Australian Commission on Safety and Quality in Health Care 2009</w:t>
      </w:r>
      <w:r w:rsidR="00A130D0">
        <w:rPr>
          <w:noProof/>
        </w:rPr>
        <w:t>)</w:t>
      </w:r>
      <w:r>
        <w:t xml:space="preserve"> when patients are lost to follow up (</w:t>
      </w:r>
      <w:r w:rsidR="009161F9">
        <w:t>e.g.</w:t>
      </w:r>
      <w:r>
        <w:t xml:space="preserve"> ceases treatment or dies).</w:t>
      </w:r>
    </w:p>
    <w:p w:rsidR="003A2F5C" w:rsidRDefault="003A2F5C" w:rsidP="003A2F5C">
      <w:r>
        <w:t>If the disease or drug is particularly new and an international registry does not yet exist, there may be some utility in designing registry fields and patient consent to facilitate the future linking of Australian data with international data to assist in the understanding of rare diseases. This may be done by ensuring adequate scope of data collection and that data definitions utilised in a drug surveillance registry are consistent with those in the international setting.</w:t>
      </w:r>
    </w:p>
    <w:p w:rsidR="003A2F5C" w:rsidRDefault="003A2F5C" w:rsidP="008509CE">
      <w:pPr>
        <w:pStyle w:val="Caption"/>
        <w:keepNext/>
        <w:tabs>
          <w:tab w:val="clear" w:pos="851"/>
          <w:tab w:val="left" w:pos="1276"/>
        </w:tabs>
        <w:ind w:left="1276" w:hanging="1276"/>
      </w:pPr>
      <w:bookmarkStart w:id="667" w:name="_Ref405812967"/>
      <w:bookmarkStart w:id="668" w:name="_Toc411510510"/>
      <w:bookmarkStart w:id="669" w:name="_Toc415141945"/>
      <w:r>
        <w:t xml:space="preserve">Table </w:t>
      </w:r>
      <w:r w:rsidR="00A72B26">
        <w:rPr>
          <w:noProof/>
        </w:rPr>
        <w:t>148</w:t>
      </w:r>
      <w:bookmarkEnd w:id="667"/>
      <w:r>
        <w:tab/>
      </w:r>
      <w:r w:rsidR="00FF09AF">
        <w:t>Questions to consider</w:t>
      </w:r>
      <w:r>
        <w:t xml:space="preserve"> regarding the collection of efficacy data</w:t>
      </w:r>
      <w:bookmarkEnd w:id="668"/>
      <w:bookmarkEnd w:id="669"/>
    </w:p>
    <w:tbl>
      <w:tblPr>
        <w:tblStyle w:val="TableGrid"/>
        <w:tblW w:w="5000" w:type="pct"/>
        <w:tblLook w:val="04A0" w:firstRow="1" w:lastRow="0" w:firstColumn="1" w:lastColumn="0" w:noHBand="0" w:noVBand="1"/>
        <w:tblCaption w:val="Table 112 Questions for the steering committee regarding the collection of efficacy data"/>
      </w:tblPr>
      <w:tblGrid>
        <w:gridCol w:w="9242"/>
      </w:tblGrid>
      <w:tr w:rsidR="00F75ECD" w:rsidRPr="00167DE8" w:rsidTr="00F75ECD">
        <w:trPr>
          <w:trHeight w:val="359"/>
          <w:tblHeader/>
        </w:trPr>
        <w:tc>
          <w:tcPr>
            <w:tcW w:w="9242" w:type="dxa"/>
            <w:vAlign w:val="center"/>
          </w:tcPr>
          <w:p w:rsidR="00F75ECD" w:rsidRPr="00167DE8" w:rsidRDefault="00F75ECD" w:rsidP="00FF09AF">
            <w:pPr>
              <w:pStyle w:val="TableHeading"/>
            </w:pPr>
            <w:r>
              <w:t xml:space="preserve">Questions </w:t>
            </w:r>
            <w:r w:rsidR="00FF09AF">
              <w:t>to consider</w:t>
            </w:r>
          </w:p>
        </w:tc>
      </w:tr>
      <w:tr w:rsidR="003A2F5C" w:rsidRPr="00167DE8" w:rsidTr="00F75ECD">
        <w:tc>
          <w:tcPr>
            <w:tcW w:w="9242" w:type="dxa"/>
          </w:tcPr>
          <w:p w:rsidR="003A2F5C" w:rsidRPr="00167DE8" w:rsidRDefault="003A2F5C" w:rsidP="000959DF">
            <w:pPr>
              <w:pStyle w:val="TableText0"/>
              <w:numPr>
                <w:ilvl w:val="0"/>
                <w:numId w:val="79"/>
              </w:numPr>
            </w:pPr>
            <w:r w:rsidRPr="00167DE8">
              <w:t>Are the claimed benefits of the drug derived from robust sources?</w:t>
            </w:r>
          </w:p>
        </w:tc>
      </w:tr>
      <w:tr w:rsidR="003A2F5C" w:rsidRPr="00167DE8" w:rsidTr="00F75ECD">
        <w:tc>
          <w:tcPr>
            <w:tcW w:w="9242" w:type="dxa"/>
          </w:tcPr>
          <w:p w:rsidR="003A2F5C" w:rsidRPr="00167DE8" w:rsidRDefault="003A2F5C" w:rsidP="000959DF">
            <w:pPr>
              <w:pStyle w:val="TableText0"/>
              <w:numPr>
                <w:ilvl w:val="0"/>
                <w:numId w:val="79"/>
              </w:numPr>
            </w:pPr>
            <w:r w:rsidRPr="00167DE8">
              <w:t>Are there concerns that benefits observed in the sponsor’s submission may not be realised in the Australian setting?</w:t>
            </w:r>
          </w:p>
        </w:tc>
      </w:tr>
      <w:tr w:rsidR="003A2F5C" w:rsidRPr="00167DE8" w:rsidTr="00F75ECD">
        <w:tc>
          <w:tcPr>
            <w:tcW w:w="9242" w:type="dxa"/>
          </w:tcPr>
          <w:p w:rsidR="003A2F5C" w:rsidRPr="00167DE8" w:rsidRDefault="003A2F5C" w:rsidP="000959DF">
            <w:pPr>
              <w:pStyle w:val="TableText0"/>
              <w:numPr>
                <w:ilvl w:val="0"/>
                <w:numId w:val="79"/>
              </w:numPr>
            </w:pPr>
            <w:r w:rsidRPr="00167DE8">
              <w:t>Would a reduction in benefits substantially affect the value to society of the drug?</w:t>
            </w:r>
          </w:p>
        </w:tc>
      </w:tr>
      <w:tr w:rsidR="003A2F5C" w:rsidRPr="00167DE8" w:rsidTr="00F75ECD">
        <w:tc>
          <w:tcPr>
            <w:tcW w:w="9242" w:type="dxa"/>
          </w:tcPr>
          <w:p w:rsidR="003A2F5C" w:rsidRPr="00167DE8" w:rsidRDefault="003A2F5C" w:rsidP="000959DF">
            <w:pPr>
              <w:pStyle w:val="TableText0"/>
              <w:numPr>
                <w:ilvl w:val="0"/>
                <w:numId w:val="79"/>
              </w:numPr>
            </w:pPr>
            <w:r w:rsidRPr="00167DE8">
              <w:t>Can the benefits of the drug be objectively measured and recorded in a registry?</w:t>
            </w:r>
          </w:p>
        </w:tc>
      </w:tr>
      <w:tr w:rsidR="003A2F5C" w:rsidRPr="00167DE8" w:rsidTr="00F75ECD">
        <w:tc>
          <w:tcPr>
            <w:tcW w:w="9242" w:type="dxa"/>
          </w:tcPr>
          <w:p w:rsidR="003A2F5C" w:rsidRPr="00167DE8" w:rsidRDefault="003A2F5C" w:rsidP="000959DF">
            <w:pPr>
              <w:pStyle w:val="TableText0"/>
              <w:numPr>
                <w:ilvl w:val="0"/>
                <w:numId w:val="79"/>
              </w:numPr>
            </w:pPr>
            <w:r w:rsidRPr="00167DE8">
              <w:t>If surrogate outcomes are preferred to infer therapeutic effectiveness, then have these surrogate outcomes been previously validated?</w:t>
            </w:r>
          </w:p>
        </w:tc>
      </w:tr>
      <w:tr w:rsidR="003A2F5C" w:rsidRPr="00167DE8" w:rsidTr="00F75ECD">
        <w:tc>
          <w:tcPr>
            <w:tcW w:w="9242" w:type="dxa"/>
          </w:tcPr>
          <w:p w:rsidR="003A2F5C" w:rsidRPr="00167DE8" w:rsidRDefault="003A2F5C" w:rsidP="000959DF">
            <w:pPr>
              <w:pStyle w:val="TableText0"/>
              <w:numPr>
                <w:ilvl w:val="0"/>
                <w:numId w:val="79"/>
              </w:numPr>
            </w:pPr>
            <w:r w:rsidRPr="00167DE8">
              <w:t>Are the costs associated with the treatment of the disease (including drug costs or adverse events) likely to vary from those presented in the submission?</w:t>
            </w:r>
          </w:p>
        </w:tc>
      </w:tr>
      <w:tr w:rsidR="003A2F5C" w:rsidRPr="00167DE8" w:rsidTr="00F75ECD">
        <w:tc>
          <w:tcPr>
            <w:tcW w:w="9242" w:type="dxa"/>
          </w:tcPr>
          <w:p w:rsidR="003A2F5C" w:rsidRPr="00167DE8" w:rsidRDefault="003A2F5C" w:rsidP="000959DF">
            <w:pPr>
              <w:pStyle w:val="TableText0"/>
              <w:numPr>
                <w:ilvl w:val="0"/>
                <w:numId w:val="79"/>
              </w:numPr>
            </w:pPr>
            <w:r w:rsidRPr="00167DE8">
              <w:t>Can the cost items and frequency of resource use that were used in the submission be feasibly captured in a registry?</w:t>
            </w:r>
          </w:p>
        </w:tc>
      </w:tr>
      <w:tr w:rsidR="003A2F5C" w:rsidRPr="00167DE8" w:rsidTr="00F75ECD">
        <w:tc>
          <w:tcPr>
            <w:tcW w:w="9242" w:type="dxa"/>
          </w:tcPr>
          <w:p w:rsidR="003A2F5C" w:rsidRPr="00167DE8" w:rsidRDefault="003A2F5C" w:rsidP="000959DF">
            <w:pPr>
              <w:pStyle w:val="TableText0"/>
              <w:numPr>
                <w:ilvl w:val="0"/>
                <w:numId w:val="79"/>
              </w:numPr>
            </w:pPr>
            <w:r w:rsidRPr="00167DE8">
              <w:t>Could a managed entry agreement help mitigate the risk of reimbursing a drug that does not achieve the benefits claimed in the submission, is substantially more costly than claimed in the submission, or does not achieve the cost-offsets claimed in the submission?</w:t>
            </w:r>
          </w:p>
        </w:tc>
      </w:tr>
      <w:tr w:rsidR="003A2F5C" w:rsidRPr="00167DE8" w:rsidTr="00F75ECD">
        <w:tc>
          <w:tcPr>
            <w:tcW w:w="9242" w:type="dxa"/>
          </w:tcPr>
          <w:p w:rsidR="003A2F5C" w:rsidRPr="00167DE8" w:rsidRDefault="003A2F5C" w:rsidP="000959DF">
            <w:pPr>
              <w:pStyle w:val="TableText0"/>
              <w:numPr>
                <w:ilvl w:val="0"/>
                <w:numId w:val="79"/>
              </w:numPr>
            </w:pPr>
            <w:r w:rsidRPr="00167DE8">
              <w:t>Could collection of data into a registry help capture the actual outcomes and costs of reimbursing a drug to enable a comparison with the expected (submission based) claims of outcomes and costs?</w:t>
            </w:r>
          </w:p>
        </w:tc>
      </w:tr>
    </w:tbl>
    <w:p w:rsidR="003A2F5C" w:rsidRDefault="003A2F5C" w:rsidP="003A2F5C"/>
    <w:p w:rsidR="003A2F5C" w:rsidRPr="00017354" w:rsidRDefault="003A2F5C" w:rsidP="00017354">
      <w:pPr>
        <w:pStyle w:val="Heading3"/>
      </w:pPr>
      <w:r w:rsidRPr="00017354">
        <w:lastRenderedPageBreak/>
        <w:t>Data collection and security</w:t>
      </w:r>
    </w:p>
    <w:p w:rsidR="003A2F5C" w:rsidRDefault="003A2F5C" w:rsidP="003A2F5C">
      <w:r>
        <w:t>The method of data collection will be contingent upon the types of data elements captured by the registry. The scope and type of data will be condition-specific.  For the purpose of outlining the method of data collection, the following types of data are considered:</w:t>
      </w:r>
    </w:p>
    <w:p w:rsidR="003A2F5C" w:rsidRDefault="003A2F5C" w:rsidP="000959DF">
      <w:pPr>
        <w:pStyle w:val="ListParagraph"/>
        <w:widowControl w:val="0"/>
        <w:numPr>
          <w:ilvl w:val="0"/>
          <w:numId w:val="52"/>
        </w:numPr>
        <w:autoSpaceDE/>
        <w:autoSpaceDN/>
        <w:adjustRightInd/>
        <w:spacing w:after="0"/>
        <w:contextualSpacing/>
      </w:pPr>
      <w:r>
        <w:t>Scheduled data collection (3 to 12 monthly) from a single physician</w:t>
      </w:r>
    </w:p>
    <w:p w:rsidR="003A2F5C" w:rsidRDefault="003A2F5C" w:rsidP="000959DF">
      <w:pPr>
        <w:pStyle w:val="ListParagraph"/>
        <w:widowControl w:val="0"/>
        <w:numPr>
          <w:ilvl w:val="0"/>
          <w:numId w:val="52"/>
        </w:numPr>
        <w:autoSpaceDE/>
        <w:autoSpaceDN/>
        <w:adjustRightInd/>
        <w:spacing w:after="0"/>
        <w:contextualSpacing/>
      </w:pPr>
      <w:r>
        <w:t>Data collection from patients or guardians</w:t>
      </w:r>
    </w:p>
    <w:p w:rsidR="003A2F5C" w:rsidRDefault="003A2F5C" w:rsidP="000959DF">
      <w:pPr>
        <w:pStyle w:val="ListParagraph"/>
        <w:widowControl w:val="0"/>
        <w:numPr>
          <w:ilvl w:val="0"/>
          <w:numId w:val="52"/>
        </w:numPr>
        <w:autoSpaceDE/>
        <w:autoSpaceDN/>
        <w:adjustRightInd/>
        <w:spacing w:after="0"/>
        <w:contextualSpacing/>
      </w:pPr>
      <w:r>
        <w:t>Data collection from external sources (Births, Deaths and Marriages registry)</w:t>
      </w:r>
    </w:p>
    <w:p w:rsidR="003A2F5C" w:rsidRDefault="003A2F5C" w:rsidP="003A2F5C">
      <w:r>
        <w:t>The aim of designing methods of data capture is to enable capture close to the time of the event, ensure quality and completeness of data, ensure that data collected from different providers are consistent (data definitions are explicit), to minimise the time and complexity associated with data entry and to minimise ‘double-handling’ of data.</w:t>
      </w:r>
    </w:p>
    <w:p w:rsidR="003A2F5C" w:rsidRPr="005A0FCF" w:rsidRDefault="003A2F5C" w:rsidP="00017354">
      <w:pPr>
        <w:pStyle w:val="Heading3"/>
      </w:pPr>
      <w:r w:rsidRPr="005A0FCF">
        <w:t>Timing of data capture</w:t>
      </w:r>
    </w:p>
    <w:p w:rsidR="003A2F5C" w:rsidRDefault="003A2F5C" w:rsidP="003A2F5C">
      <w:r>
        <w:t>One of the key purposes of a drug surveillance registry could be to enable an ongoing assessment of eligibility of the patient receiving drugs through a drug reimbursement program. Currently, the frequency of these assessments is approximately 12 monthly but the committee may request an eligibility review more frequently</w:t>
      </w:r>
      <w:r>
        <w:rPr>
          <w:rStyle w:val="FootnoteReference"/>
        </w:rPr>
        <w:footnoteReference w:id="36"/>
      </w:r>
      <w:r>
        <w:t xml:space="preserve">. To prevent ‘creeping’ of scheduled encounters (which may occur if each encounter is slightly late, and the encounters are scheduled to be 6 months from the previous one), the eligibility review schedule should be established at the time of entry into the reimbursement program. The use of pre-scheduled visits would simplify data reporting and if the schedule is shared centrally it could be used to prompt physicians when data is overdue, or to remind physicians of an impending consultation. A manual or automated reminder mechanism that is linked to the patient eligibility review schedule could help to reduce missing data </w:t>
      </w:r>
      <w:r w:rsidR="00A130D0">
        <w:rPr>
          <w:noProof/>
        </w:rPr>
        <w:t>(</w:t>
      </w:r>
      <w:r w:rsidR="00184B6F">
        <w:rPr>
          <w:noProof/>
        </w:rPr>
        <w:t>Brandt et al. 2006</w:t>
      </w:r>
      <w:r w:rsidR="00A130D0">
        <w:rPr>
          <w:noProof/>
        </w:rPr>
        <w:t>)</w:t>
      </w:r>
      <w:r>
        <w:t>.  These methods are more aligned with those used in clinical trials, and would ordinarily be difficult to apply to registries.  However, as the proposed registry may be less of a passive data collection process and more like data collection in a trial, standardisation of follow up visits may be reasonable.</w:t>
      </w:r>
    </w:p>
    <w:p w:rsidR="003A2F5C" w:rsidRDefault="003A2F5C" w:rsidP="003A2F5C">
      <w:r>
        <w:t>The schedule could be built into the data capture tool but would need to commence from the first day of drug administration.</w:t>
      </w:r>
    </w:p>
    <w:p w:rsidR="003A2F5C" w:rsidRPr="005A0FCF" w:rsidRDefault="003A2F5C" w:rsidP="00017354">
      <w:pPr>
        <w:pStyle w:val="Heading3"/>
      </w:pPr>
      <w:r w:rsidRPr="005A0FCF">
        <w:t>Data quality and completeness</w:t>
      </w:r>
    </w:p>
    <w:p w:rsidR="003A2F5C" w:rsidRDefault="003A2F5C" w:rsidP="003A2F5C">
      <w:r>
        <w:t>The quality of the data captured by a registry is related to:</w:t>
      </w:r>
    </w:p>
    <w:p w:rsidR="003A2F5C" w:rsidRDefault="003A2F5C" w:rsidP="000959DF">
      <w:pPr>
        <w:pStyle w:val="ListParagraph"/>
        <w:widowControl w:val="0"/>
        <w:numPr>
          <w:ilvl w:val="0"/>
          <w:numId w:val="53"/>
        </w:numPr>
        <w:autoSpaceDE/>
        <w:autoSpaceDN/>
        <w:adjustRightInd/>
        <w:spacing w:after="0"/>
        <w:contextualSpacing/>
      </w:pPr>
      <w:r>
        <w:t>The ease of completing data forms (by improving compliance);</w:t>
      </w:r>
    </w:p>
    <w:p w:rsidR="003A2F5C" w:rsidRDefault="003A2F5C" w:rsidP="000959DF">
      <w:pPr>
        <w:pStyle w:val="ListParagraph"/>
        <w:widowControl w:val="0"/>
        <w:numPr>
          <w:ilvl w:val="0"/>
          <w:numId w:val="53"/>
        </w:numPr>
        <w:autoSpaceDE/>
        <w:autoSpaceDN/>
        <w:adjustRightInd/>
        <w:spacing w:after="0"/>
        <w:contextualSpacing/>
      </w:pPr>
      <w:r>
        <w:t>The careful choice of relevant data fields;</w:t>
      </w:r>
    </w:p>
    <w:p w:rsidR="003A2F5C" w:rsidRDefault="003A2F5C" w:rsidP="000959DF">
      <w:pPr>
        <w:pStyle w:val="ListParagraph"/>
        <w:widowControl w:val="0"/>
        <w:numPr>
          <w:ilvl w:val="0"/>
          <w:numId w:val="53"/>
        </w:numPr>
        <w:autoSpaceDE/>
        <w:autoSpaceDN/>
        <w:adjustRightInd/>
        <w:spacing w:after="0"/>
        <w:contextualSpacing/>
      </w:pPr>
      <w:r>
        <w:t>Clear and unambiguous questions;</w:t>
      </w:r>
    </w:p>
    <w:p w:rsidR="003A2F5C" w:rsidRDefault="003A2F5C" w:rsidP="000959DF">
      <w:pPr>
        <w:pStyle w:val="ListParagraph"/>
        <w:widowControl w:val="0"/>
        <w:numPr>
          <w:ilvl w:val="0"/>
          <w:numId w:val="53"/>
        </w:numPr>
        <w:autoSpaceDE/>
        <w:autoSpaceDN/>
        <w:adjustRightInd/>
        <w:spacing w:after="0"/>
        <w:contextualSpacing/>
      </w:pPr>
      <w:r>
        <w:t xml:space="preserve">Data validation methods inbuilt in the data collection method to limit the scope of </w:t>
      </w:r>
      <w:r>
        <w:lastRenderedPageBreak/>
        <w:t xml:space="preserve">answers and to force responses in fields that should not be left empty </w:t>
      </w:r>
      <w:r w:rsidR="00A130D0">
        <w:rPr>
          <w:noProof/>
        </w:rPr>
        <w:t>(</w:t>
      </w:r>
      <w:r w:rsidR="00184B6F">
        <w:rPr>
          <w:noProof/>
        </w:rPr>
        <w:t>Brandt et al. 2006</w:t>
      </w:r>
      <w:r w:rsidR="00A130D0">
        <w:rPr>
          <w:noProof/>
        </w:rPr>
        <w:t xml:space="preserve">; </w:t>
      </w:r>
      <w:r w:rsidR="00184B6F">
        <w:rPr>
          <w:noProof/>
        </w:rPr>
        <w:t>Cole et al. 2006</w:t>
      </w:r>
      <w:r w:rsidR="00A130D0">
        <w:rPr>
          <w:noProof/>
        </w:rPr>
        <w:t>)</w:t>
      </w:r>
      <w:r>
        <w:t>;</w:t>
      </w:r>
    </w:p>
    <w:p w:rsidR="003A2F5C" w:rsidRDefault="003A2F5C" w:rsidP="000959DF">
      <w:pPr>
        <w:pStyle w:val="ListParagraph"/>
        <w:widowControl w:val="0"/>
        <w:numPr>
          <w:ilvl w:val="0"/>
          <w:numId w:val="53"/>
        </w:numPr>
        <w:autoSpaceDE/>
        <w:autoSpaceDN/>
        <w:adjustRightInd/>
        <w:spacing w:after="0"/>
        <w:contextualSpacing/>
      </w:pPr>
      <w:r>
        <w:t xml:space="preserve">Clear and explicit definitions for data </w:t>
      </w:r>
      <w:r w:rsidR="00A130D0">
        <w:rPr>
          <w:noProof/>
        </w:rPr>
        <w:t>(</w:t>
      </w:r>
      <w:r w:rsidR="00184B6F">
        <w:rPr>
          <w:noProof/>
        </w:rPr>
        <w:t>Australian Commission on Safety and Quality in Health Care 2009</w:t>
      </w:r>
      <w:r w:rsidR="00A130D0">
        <w:rPr>
          <w:noProof/>
        </w:rPr>
        <w:t>)</w:t>
      </w:r>
      <w:r>
        <w:t>; and</w:t>
      </w:r>
    </w:p>
    <w:p w:rsidR="003A2F5C" w:rsidRDefault="003A2F5C" w:rsidP="000959DF">
      <w:pPr>
        <w:pStyle w:val="ListParagraph"/>
        <w:widowControl w:val="0"/>
        <w:numPr>
          <w:ilvl w:val="0"/>
          <w:numId w:val="53"/>
        </w:numPr>
        <w:autoSpaceDE/>
        <w:autoSpaceDN/>
        <w:adjustRightInd/>
        <w:spacing w:after="0"/>
        <w:contextualSpacing/>
      </w:pPr>
      <w:r>
        <w:t xml:space="preserve">Prompts and reminders to complete data </w:t>
      </w:r>
      <w:r w:rsidR="00A130D0">
        <w:rPr>
          <w:noProof/>
        </w:rPr>
        <w:t>(</w:t>
      </w:r>
      <w:r w:rsidR="00184B6F">
        <w:rPr>
          <w:noProof/>
        </w:rPr>
        <w:t>Welker 2007</w:t>
      </w:r>
      <w:r w:rsidR="00A130D0">
        <w:rPr>
          <w:noProof/>
        </w:rPr>
        <w:t>)</w:t>
      </w:r>
      <w:r>
        <w:t>.</w:t>
      </w:r>
    </w:p>
    <w:p w:rsidR="003A2F5C" w:rsidRDefault="003A2F5C" w:rsidP="003A2F5C"/>
    <w:p w:rsidR="003A2F5C" w:rsidRDefault="003A2F5C" w:rsidP="003A2F5C">
      <w:r>
        <w:t xml:space="preserve">The utility of a data registry is limited by the quality, appropriateness and completeness of the data captured </w:t>
      </w:r>
      <w:r w:rsidR="00A130D0">
        <w:rPr>
          <w:noProof/>
        </w:rPr>
        <w:t>(</w:t>
      </w:r>
      <w:r w:rsidR="00184B6F">
        <w:rPr>
          <w:noProof/>
        </w:rPr>
        <w:t>Arts, De Keizer &amp; Scheffer 2002</w:t>
      </w:r>
      <w:r w:rsidR="00A130D0">
        <w:rPr>
          <w:noProof/>
        </w:rPr>
        <w:t xml:space="preserve">; </w:t>
      </w:r>
      <w:r w:rsidR="00184B6F">
        <w:rPr>
          <w:noProof/>
        </w:rPr>
        <w:t>Gliklich &amp; Dreyer (Eds) 2010</w:t>
      </w:r>
      <w:r w:rsidR="00A130D0">
        <w:rPr>
          <w:noProof/>
        </w:rPr>
        <w:t>)</w:t>
      </w:r>
      <w:r>
        <w:t>. The types of data to be captured should reflect the key purposes of the registry.  In addition, the design of the registry should aim to ensure that data are complete and auditable. Complete data collection may be achieved by linking ongoing provision of the subsidised drug to the complete collection of data.</w:t>
      </w:r>
    </w:p>
    <w:p w:rsidR="003A2F5C" w:rsidRDefault="003A2F5C" w:rsidP="003A2F5C">
      <w:r>
        <w:t xml:space="preserve">While high quality data can be generated using paper based data capture forms, missing fields or ambiguous answers will require manual intervention to correct. There are added costs associated with data management </w:t>
      </w:r>
      <w:r w:rsidR="00A130D0">
        <w:rPr>
          <w:noProof/>
        </w:rPr>
        <w:t>(</w:t>
      </w:r>
      <w:r w:rsidR="00184B6F">
        <w:rPr>
          <w:noProof/>
        </w:rPr>
        <w:t>Day, Fayers &amp; Harvey 1998</w:t>
      </w:r>
      <w:r w:rsidR="00A130D0">
        <w:rPr>
          <w:noProof/>
        </w:rPr>
        <w:t>)</w:t>
      </w:r>
      <w:r>
        <w:t xml:space="preserve"> and the possibility of introducing errors at the point of transcription </w:t>
      </w:r>
      <w:r w:rsidR="00A130D0">
        <w:rPr>
          <w:noProof/>
        </w:rPr>
        <w:t>(</w:t>
      </w:r>
      <w:r w:rsidR="00184B6F">
        <w:rPr>
          <w:noProof/>
        </w:rPr>
        <w:t>Arts, De Keizer &amp; Scheffer 2002</w:t>
      </w:r>
      <w:r w:rsidR="00A130D0">
        <w:rPr>
          <w:noProof/>
        </w:rPr>
        <w:t xml:space="preserve">; </w:t>
      </w:r>
      <w:r w:rsidR="00184B6F">
        <w:rPr>
          <w:noProof/>
        </w:rPr>
        <w:t>Reynolds-Haertle &amp; McBride 1992</w:t>
      </w:r>
      <w:r w:rsidR="00A130D0">
        <w:rPr>
          <w:noProof/>
        </w:rPr>
        <w:t>)</w:t>
      </w:r>
      <w:r>
        <w:t>.</w:t>
      </w:r>
    </w:p>
    <w:p w:rsidR="003A2F5C" w:rsidRDefault="003A2F5C" w:rsidP="003A2F5C">
      <w:r>
        <w:t xml:space="preserve">Another approach to data capture would be through a dedicated web-based system connected to a secure database. This approach would be costly to implement and would require ongoing technological support to maintain the security of the system.  In registries where the number of patients is small, the initial costs of developing the system may be greater than the savings associated with processing of paper based data collection methods </w:t>
      </w:r>
      <w:r w:rsidR="00A130D0">
        <w:rPr>
          <w:noProof/>
        </w:rPr>
        <w:t>(</w:t>
      </w:r>
      <w:r w:rsidR="00184B6F">
        <w:rPr>
          <w:noProof/>
        </w:rPr>
        <w:t>Gliklich &amp; Dreyer (Eds) 2010</w:t>
      </w:r>
      <w:r w:rsidR="00A130D0">
        <w:rPr>
          <w:noProof/>
        </w:rPr>
        <w:t xml:space="preserve">; </w:t>
      </w:r>
      <w:r w:rsidR="00184B6F">
        <w:rPr>
          <w:noProof/>
        </w:rPr>
        <w:t>Le Jeannic et al. 2014</w:t>
      </w:r>
      <w:r w:rsidR="00A130D0">
        <w:rPr>
          <w:noProof/>
        </w:rPr>
        <w:t>)</w:t>
      </w:r>
      <w:r>
        <w:t>. As such a system would likely be built using specialised software and stored on centralised servers, access to - and manipulation of - the data would require knowledge of databases and querying language, which may require staff training. Changes to a specialised data collection system may be expensive to implement and require a testing period. Given the likely small number of patients that may be captured by a future registry, the cost of implementing such a system would be an important consideration.</w:t>
      </w:r>
      <w:r w:rsidRPr="002725A5">
        <w:t xml:space="preserve"> </w:t>
      </w:r>
      <w:r>
        <w:t>However, this system would permit real-time data queries and data validation tools that would improve the quality of data collected into the register.  While the initial cost may be substantial, if designed appropriately, modular additions to the system for new drugs may be less expensive and this may represent value for money in the longer term – even if patient numbers are smaller.  While less of a consideration, the implementation of such a system may increase the capacity of the Department to undertake similar projects in related areas.</w:t>
      </w:r>
    </w:p>
    <w:p w:rsidR="003A2F5C" w:rsidRDefault="003A2F5C" w:rsidP="003A2F5C">
      <w:r>
        <w:t xml:space="preserve">A hybrid approach to the capture of data would involve the design of a data form using commonly available software such as a spreadsheet or word processor software. Designed effectively, such forms can have much of the functionality of a purpose built web-based entry form, although the data are not automatically entered into a centralised database. Reporting functions within either of these programs could enable the transmission (via </w:t>
      </w:r>
      <w:r>
        <w:lastRenderedPageBreak/>
        <w:t>email) of temporarily de-identified (and possibly encrypted) data to a central location where the data from the report could be re-identified and uploaded into a repository. This method would lack some of the important functionality of a more powerful web-based solution but may be more cost-effective.</w:t>
      </w:r>
    </w:p>
    <w:p w:rsidR="003A2F5C" w:rsidRDefault="003A2F5C" w:rsidP="003A2F5C">
      <w:r>
        <w:t xml:space="preserve">The costs involved with each of the methods of data capture may vary </w:t>
      </w:r>
      <w:r w:rsidR="009161F9">
        <w:t>depending</w:t>
      </w:r>
      <w:r>
        <w:t xml:space="preserve"> upon the current systems and capacities of the Department.  Therefore, a costing process may be appropriate prior to the decision to implement one system instead of another.</w:t>
      </w:r>
    </w:p>
    <w:p w:rsidR="003A2F5C" w:rsidRDefault="003A2F5C" w:rsidP="003A2F5C">
      <w:r>
        <w:t>Regardless of the method of data capture, the definitions of data and variables must be published in a data dictionary (or incorporated into the data capture forms) to ensure that information from different physicians is consistent, and that data collected into the register are compatible with data held in international registers.</w:t>
      </w:r>
    </w:p>
    <w:p w:rsidR="003A2F5C" w:rsidRPr="00017354" w:rsidRDefault="003A2F5C" w:rsidP="00017354">
      <w:pPr>
        <w:pStyle w:val="Heading3"/>
      </w:pPr>
      <w:r w:rsidRPr="00017354">
        <w:t>Quality assurance</w:t>
      </w:r>
    </w:p>
    <w:p w:rsidR="003A2F5C" w:rsidRDefault="003A2F5C" w:rsidP="003A2F5C">
      <w:r>
        <w:t xml:space="preserve">Quality assurance processes in a registry are related to the scope of the data collection and the purpose for the registry. As a drug surveillance register for rare diseases is likely to capture a relatively small number of patients, and the timing of assessments are either predictable or pre-specified, it may be feasible to quality assure using the processes commonly undertaken in clinical trials. If, however, the register grows substantially, most quality assurance measures would likely need to become automated.  </w:t>
      </w:r>
    </w:p>
    <w:p w:rsidR="003A2F5C" w:rsidRDefault="003A2F5C" w:rsidP="003A2F5C">
      <w:r>
        <w:t xml:space="preserve">Quality assurance processes can occur prior to, during, or after the data collection and involve the following aspects </w:t>
      </w:r>
      <w:r w:rsidR="00A130D0">
        <w:rPr>
          <w:noProof/>
        </w:rPr>
        <w:t>(</w:t>
      </w:r>
      <w:r w:rsidR="00184B6F">
        <w:rPr>
          <w:noProof/>
        </w:rPr>
        <w:t>Gassman et al. 1995</w:t>
      </w:r>
      <w:r w:rsidR="00A130D0">
        <w:rPr>
          <w:noProof/>
        </w:rPr>
        <w:t xml:space="preserve">; </w:t>
      </w:r>
      <w:r w:rsidR="00184B6F">
        <w:rPr>
          <w:noProof/>
        </w:rPr>
        <w:t>Sariyar et al. 2013</w:t>
      </w:r>
      <w:r w:rsidR="00A130D0">
        <w:rPr>
          <w:noProof/>
        </w:rPr>
        <w:t>)</w:t>
      </w:r>
      <w:r>
        <w:t>, some of which have been addressed previously:</w:t>
      </w:r>
    </w:p>
    <w:p w:rsidR="003A2F5C" w:rsidRDefault="003A2F5C" w:rsidP="000959DF">
      <w:pPr>
        <w:pStyle w:val="ListParagraph"/>
        <w:widowControl w:val="0"/>
        <w:numPr>
          <w:ilvl w:val="0"/>
          <w:numId w:val="54"/>
        </w:numPr>
        <w:autoSpaceDE/>
        <w:autoSpaceDN/>
        <w:adjustRightInd/>
        <w:spacing w:after="0"/>
        <w:contextualSpacing/>
      </w:pPr>
      <w:r>
        <w:t>A data collection form with built in data verification;</w:t>
      </w:r>
    </w:p>
    <w:p w:rsidR="003A2F5C" w:rsidRDefault="003A2F5C" w:rsidP="000959DF">
      <w:pPr>
        <w:pStyle w:val="ListParagraph"/>
        <w:widowControl w:val="0"/>
        <w:numPr>
          <w:ilvl w:val="0"/>
          <w:numId w:val="54"/>
        </w:numPr>
        <w:autoSpaceDE/>
        <w:autoSpaceDN/>
        <w:adjustRightInd/>
        <w:spacing w:after="0"/>
        <w:contextualSpacing/>
      </w:pPr>
      <w:r>
        <w:t>Clear instructions for completing data forms;</w:t>
      </w:r>
    </w:p>
    <w:p w:rsidR="003A2F5C" w:rsidRDefault="003A2F5C" w:rsidP="000959DF">
      <w:pPr>
        <w:pStyle w:val="ListParagraph"/>
        <w:widowControl w:val="0"/>
        <w:numPr>
          <w:ilvl w:val="0"/>
          <w:numId w:val="54"/>
        </w:numPr>
        <w:autoSpaceDE/>
        <w:autoSpaceDN/>
        <w:adjustRightInd/>
        <w:spacing w:after="0"/>
        <w:contextualSpacing/>
      </w:pPr>
      <w:r>
        <w:t>A data dictionary with clearly defined variables;</w:t>
      </w:r>
    </w:p>
    <w:p w:rsidR="003A2F5C" w:rsidRDefault="003A2F5C" w:rsidP="000959DF">
      <w:pPr>
        <w:pStyle w:val="ListParagraph"/>
        <w:widowControl w:val="0"/>
        <w:numPr>
          <w:ilvl w:val="0"/>
          <w:numId w:val="54"/>
        </w:numPr>
        <w:autoSpaceDE/>
        <w:autoSpaceDN/>
        <w:adjustRightInd/>
        <w:spacing w:after="0"/>
        <w:contextualSpacing/>
      </w:pPr>
      <w:r>
        <w:t>Pre-specified timing of data collection;</w:t>
      </w:r>
    </w:p>
    <w:p w:rsidR="003A2F5C" w:rsidRDefault="003A2F5C" w:rsidP="000959DF">
      <w:pPr>
        <w:pStyle w:val="ListParagraph"/>
        <w:widowControl w:val="0"/>
        <w:numPr>
          <w:ilvl w:val="0"/>
          <w:numId w:val="54"/>
        </w:numPr>
        <w:autoSpaceDE/>
        <w:autoSpaceDN/>
        <w:adjustRightInd/>
        <w:spacing w:after="0"/>
        <w:contextualSpacing/>
      </w:pPr>
      <w:r>
        <w:t>Automated reminders before scheduled visits or when data capture has not taken place;</w:t>
      </w:r>
    </w:p>
    <w:p w:rsidR="003A2F5C" w:rsidRDefault="003A2F5C" w:rsidP="000959DF">
      <w:pPr>
        <w:pStyle w:val="ListParagraph"/>
        <w:widowControl w:val="0"/>
        <w:numPr>
          <w:ilvl w:val="0"/>
          <w:numId w:val="54"/>
        </w:numPr>
        <w:autoSpaceDE/>
        <w:autoSpaceDN/>
        <w:adjustRightInd/>
        <w:spacing w:after="0"/>
        <w:contextualSpacing/>
      </w:pPr>
      <w:r>
        <w:t>Automated or manual checking for likely errors of data based on previous responses;</w:t>
      </w:r>
    </w:p>
    <w:p w:rsidR="003A2F5C" w:rsidRDefault="003A2F5C" w:rsidP="000959DF">
      <w:pPr>
        <w:pStyle w:val="ListParagraph"/>
        <w:widowControl w:val="0"/>
        <w:numPr>
          <w:ilvl w:val="0"/>
          <w:numId w:val="54"/>
        </w:numPr>
        <w:autoSpaceDE/>
        <w:autoSpaceDN/>
        <w:adjustRightInd/>
        <w:spacing w:after="0"/>
        <w:contextualSpacing/>
      </w:pPr>
      <w:r>
        <w:t>Cross-checking with external sources of data;</w:t>
      </w:r>
    </w:p>
    <w:p w:rsidR="003A2F5C" w:rsidRDefault="003A2F5C" w:rsidP="000959DF">
      <w:pPr>
        <w:pStyle w:val="ListParagraph"/>
        <w:widowControl w:val="0"/>
        <w:numPr>
          <w:ilvl w:val="0"/>
          <w:numId w:val="54"/>
        </w:numPr>
        <w:autoSpaceDE/>
        <w:autoSpaceDN/>
        <w:adjustRightInd/>
        <w:spacing w:after="0"/>
        <w:contextualSpacing/>
      </w:pPr>
      <w:r>
        <w:t>Clarification with the data provider to correct spurious or missing data;</w:t>
      </w:r>
    </w:p>
    <w:p w:rsidR="003A2F5C" w:rsidRDefault="003A2F5C" w:rsidP="000959DF">
      <w:pPr>
        <w:pStyle w:val="ListParagraph"/>
        <w:widowControl w:val="0"/>
        <w:numPr>
          <w:ilvl w:val="0"/>
          <w:numId w:val="54"/>
        </w:numPr>
        <w:autoSpaceDE/>
        <w:autoSpaceDN/>
        <w:adjustRightInd/>
        <w:spacing w:after="0"/>
        <w:contextualSpacing/>
      </w:pPr>
      <w:r>
        <w:t>An automated audit trail to track changes to data within the database;</w:t>
      </w:r>
    </w:p>
    <w:p w:rsidR="003A2F5C" w:rsidRDefault="003A2F5C" w:rsidP="000959DF">
      <w:pPr>
        <w:pStyle w:val="ListParagraph"/>
        <w:widowControl w:val="0"/>
        <w:numPr>
          <w:ilvl w:val="0"/>
          <w:numId w:val="54"/>
        </w:numPr>
        <w:autoSpaceDE/>
        <w:autoSpaceDN/>
        <w:adjustRightInd/>
        <w:spacing w:after="0"/>
        <w:contextualSpacing/>
      </w:pPr>
      <w:r>
        <w:t>Logging of quality assurance activities; and</w:t>
      </w:r>
    </w:p>
    <w:p w:rsidR="003A2F5C" w:rsidRDefault="003A2F5C" w:rsidP="000959DF">
      <w:pPr>
        <w:pStyle w:val="ListParagraph"/>
        <w:widowControl w:val="0"/>
        <w:numPr>
          <w:ilvl w:val="0"/>
          <w:numId w:val="54"/>
        </w:numPr>
        <w:autoSpaceDE/>
        <w:autoSpaceDN/>
        <w:adjustRightInd/>
        <w:spacing w:after="0"/>
        <w:contextualSpacing/>
      </w:pPr>
      <w:r>
        <w:t>Reporting of common data errors and quality assurance activities to enable ongoing improvement of data collection processes.</w:t>
      </w:r>
    </w:p>
    <w:p w:rsidR="003A2F5C" w:rsidRDefault="003A2F5C" w:rsidP="003A2F5C"/>
    <w:p w:rsidR="003A2F5C" w:rsidRDefault="003A2F5C" w:rsidP="003A2F5C">
      <w:r>
        <w:t>In some cases, the types of data and methods of data capture may be novel.  In these situations, a pilot phase encompassing the first few patients enrolled into the scheme, or alternatively, in which data providers are asked to report on ‘dummy’ patients, may be valuable to ensure adequate and accurate data are being captured.</w:t>
      </w:r>
    </w:p>
    <w:p w:rsidR="003A2F5C" w:rsidRDefault="003A2F5C" w:rsidP="003A2F5C">
      <w:r>
        <w:lastRenderedPageBreak/>
        <w:t>To a large extent the quality of data entered into a drug surveillance register can be maintained by careful design of data collection methods. However, while quality assurance using data forms can avoid missing data or implausible data, it cannot prevent erroneous data entry. In many cases this may be difficult to avoid without auditing medical records. For some outcomes, it may be valuable to require data providers to send copies of selected source documents to the central repository. In many cases, these sources may be pathology or radiology reports and could be stored as attachments to the patient record in the register.  Verifying data that has been entered against the source documents would likely be an intensive process, although could be organised to occur only at times when a patient’s record requires scrutiny.</w:t>
      </w:r>
    </w:p>
    <w:p w:rsidR="003A2F5C" w:rsidRDefault="003A2F5C" w:rsidP="003A2F5C">
      <w:r>
        <w:t>The scope for using data-linkage across systems to cross-check data accuracy will likely be limited. As most source data, with the exception of date (and possibly cause) of death, is likely to be medical in nature, it will be stored in disparate systems across state-based and private pathology databases. Furthermore, many of the source documents will not be structured in such a way that permits automated data extraction thereby limiting the usefulness of an automated process. Given the relatively small number of patients and the high technology and cost barriers, an automated solution is not likely to be acceptable. If access to source data from pathology providers is required, this requirement and the scope of such access could be made explicit at the time of patient consent.</w:t>
      </w:r>
    </w:p>
    <w:p w:rsidR="003A2F5C" w:rsidRDefault="003A2F5C" w:rsidP="003A2F5C">
      <w:r>
        <w:t>The quality of the information regarding a patient’s death will be variable, if provided by the physician responsible for the patient’s access to subsidised treatment. It is possible that physicians who care for patients enrolled onto the LSDP or similar funding programs will not be notified of a patient’s death if it has occurred from another cause or if the patient has ceased to receive treatment. Periodic requests to state death registers would assist with determining the precise date of death, a description of the primary cause and associated factors relating to the death of a patient.</w:t>
      </w:r>
    </w:p>
    <w:p w:rsidR="003A2F5C" w:rsidRDefault="003A2F5C" w:rsidP="003A2F5C">
      <w:r>
        <w:t xml:space="preserve">A dedicated versioning process may be required to capture all changes made to data tables, particularly if the method of data entry is via a web-service. This functionality would increase the complexity and cost of the registry. </w:t>
      </w:r>
    </w:p>
    <w:p w:rsidR="00F8590C" w:rsidRDefault="003A2F5C" w:rsidP="003A2F5C">
      <w:r>
        <w:t xml:space="preserve">All quality assurance activities should be adequately recorded </w:t>
      </w:r>
      <w:r w:rsidR="00A130D0">
        <w:rPr>
          <w:noProof/>
        </w:rPr>
        <w:t>(</w:t>
      </w:r>
      <w:r w:rsidR="00184B6F">
        <w:rPr>
          <w:noProof/>
        </w:rPr>
        <w:t>Sariyar et al. 2013</w:t>
      </w:r>
      <w:r w:rsidR="00A130D0">
        <w:rPr>
          <w:noProof/>
        </w:rPr>
        <w:t>)</w:t>
      </w:r>
      <w:r>
        <w:t xml:space="preserve">. For example, details relating to the identification of data errors, timeliness of data collection, phone calls to verify data, queries made by data providers, technology failures (such as errors in data transmission or data storage) need to be captured. A simple quality assurance data form, capturing details concerning the data provider and the nature of the error should be completed for each data quality issue. Collated reports of quality assurance activities will enable commonly occurring errors to be addressed and data collection methods to be improved. An example is provided in </w:t>
      </w:r>
      <w:r w:rsidR="00A72B26">
        <w:t xml:space="preserve">Appendix </w:t>
      </w:r>
      <w:r w:rsidR="00A72B26">
        <w:rPr>
          <w:noProof/>
        </w:rPr>
        <w:t>J</w:t>
      </w:r>
      <w:r w:rsidR="001C7C88">
        <w:t xml:space="preserve">, </w:t>
      </w:r>
      <w:r w:rsidR="00A72B26">
        <w:t xml:space="preserve">Table </w:t>
      </w:r>
      <w:r w:rsidR="00A72B26">
        <w:rPr>
          <w:noProof/>
        </w:rPr>
        <w:t>177</w:t>
      </w:r>
      <w:r w:rsidR="00F8590C">
        <w:t xml:space="preserve">. </w:t>
      </w:r>
    </w:p>
    <w:p w:rsidR="00092F60" w:rsidRDefault="003A2F5C" w:rsidP="00092F60">
      <w:r>
        <w:lastRenderedPageBreak/>
        <w:t>It may be appropriate for data management staff to develop standard operating procedures to describe their work procedures to ensure that data is handled consistently across staff and tenures.</w:t>
      </w:r>
    </w:p>
    <w:p w:rsidR="00092F60" w:rsidRPr="00017354" w:rsidRDefault="001C7C88" w:rsidP="00017354">
      <w:pPr>
        <w:pStyle w:val="Heading3"/>
      </w:pPr>
      <w:r w:rsidRPr="00017354">
        <w:t>R</w:t>
      </w:r>
      <w:r w:rsidR="00092F60" w:rsidRPr="00017354">
        <w:t>egistry governance, staff and data custodianship</w:t>
      </w:r>
    </w:p>
    <w:p w:rsidR="00092F60" w:rsidRDefault="00092F60" w:rsidP="00092F60">
      <w:r>
        <w:t>The governance of a drug surveillance registry for rare diseases should include key stakeholders who are responsible for establishing the registry, determining data elements, developing and maintaining the technical systems, delivering reports to Government and the public, and the funders of the registry. This group, which may also include registry staff (</w:t>
      </w:r>
      <w:r w:rsidR="009161F9">
        <w:t>e.g.</w:t>
      </w:r>
      <w:r>
        <w:t xml:space="preserve"> data management or </w:t>
      </w:r>
      <w:r w:rsidR="001C7C88">
        <w:t>computing</w:t>
      </w:r>
      <w:r>
        <w:t xml:space="preserve"> support), would assume the role of a steering committee and be responsible for the day to day activities of the registry. The scope of these activities, as well as the role of individual members of the committee, would ordinarily be established within a constitution or ordinances to which the committee must abide.</w:t>
      </w:r>
    </w:p>
    <w:p w:rsidR="00092F60" w:rsidRDefault="00092F60" w:rsidP="00092F60">
      <w:r>
        <w:t>Some decision making may require additional input involving other stakeholders such as clinical experts, patient representatives</w:t>
      </w:r>
      <w:r w:rsidR="007C3B92">
        <w:t>, a statistician</w:t>
      </w:r>
      <w:r>
        <w:t xml:space="preserve"> or industry representatives.  </w:t>
      </w:r>
    </w:p>
    <w:p w:rsidR="00092F60" w:rsidRDefault="00092F60" w:rsidP="00092F60">
      <w:r>
        <w:t xml:space="preserve">The question of who has access to the data within the registry should be considered carefully. Ordinarily, data registers contain vast numbers of patients, meaning that identification of patients in the absence of key identifiers (name, date of birth) would be difficult. However, in the case of a drug surveillance registry for rare diseases, the risk of identification of patients is high as there are very few patients with the condition who would be eligible for the drug. The governance of the registry must clearly define the level of data access, as well as the type of data that are accessible.  Data management and </w:t>
      </w:r>
      <w:r w:rsidR="001C7C88">
        <w:t>technical</w:t>
      </w:r>
      <w:r>
        <w:t xml:space="preserve"> staff will necessarily have access to identified data, and appropriate confidentiality agreements should be agreed upon with these staff. Other staff involved in the registry might require access to aggregated data in reports. The procedures around data access are important, and will be required at the time of application to </w:t>
      </w:r>
      <w:r w:rsidR="001C7C88">
        <w:t>Human Research Ethics Committee</w:t>
      </w:r>
      <w:r>
        <w:t>s.</w:t>
      </w:r>
    </w:p>
    <w:p w:rsidR="00D45FC7" w:rsidRDefault="00D45FC7" w:rsidP="00092F60">
      <w:r>
        <w:t xml:space="preserve">A proposed governance structure diagram is shown in </w:t>
      </w:r>
      <w:r w:rsidR="00A72B26">
        <w:t xml:space="preserve">Figure </w:t>
      </w:r>
      <w:r w:rsidR="00A72B26">
        <w:rPr>
          <w:noProof/>
        </w:rPr>
        <w:t>2</w:t>
      </w:r>
      <w:r>
        <w:t xml:space="preserve">. </w:t>
      </w:r>
    </w:p>
    <w:p w:rsidR="00D45FC7" w:rsidRDefault="004F17DB" w:rsidP="00D45FC7">
      <w:pPr>
        <w:keepNext/>
      </w:pPr>
      <w:r>
        <w:rPr>
          <w:noProof/>
          <w:lang w:eastAsia="en-AU"/>
        </w:rPr>
        <w:lastRenderedPageBreak/>
        <w:drawing>
          <wp:inline distT="0" distB="0" distL="0" distR="0" wp14:anchorId="6F6A3DE7" wp14:editId="59D5AEC4">
            <wp:extent cx="5943600" cy="4342289"/>
            <wp:effectExtent l="0" t="0" r="0" b="0"/>
            <wp:docPr id="21" name="Picture 21" descr="\\uofa\users$\users2\a1050252\Desktop\LSDP\1. New Data Registry\5 Draft Chapter\Governance Diagram.png" title="Figure 2 Governance structure and direction of information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ofa\users$\users2\a1050252\Desktop\LSDP\1. New Data Registry\5 Draft Chapter\Governance Diagra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342289"/>
                    </a:xfrm>
                    <a:prstGeom prst="rect">
                      <a:avLst/>
                    </a:prstGeom>
                    <a:noFill/>
                    <a:ln>
                      <a:noFill/>
                    </a:ln>
                  </pic:spPr>
                </pic:pic>
              </a:graphicData>
            </a:graphic>
          </wp:inline>
        </w:drawing>
      </w:r>
    </w:p>
    <w:p w:rsidR="004F17DB" w:rsidRDefault="00D45FC7" w:rsidP="00E873BE">
      <w:pPr>
        <w:pStyle w:val="Figureheading0"/>
        <w:tabs>
          <w:tab w:val="clear" w:pos="851"/>
          <w:tab w:val="left" w:pos="1134"/>
        </w:tabs>
        <w:ind w:left="1134" w:hanging="1134"/>
      </w:pPr>
      <w:bookmarkStart w:id="670" w:name="_Ref405366915"/>
      <w:bookmarkStart w:id="671" w:name="_Toc411509186"/>
      <w:bookmarkStart w:id="672" w:name="_Toc415141976"/>
      <w:r>
        <w:t xml:space="preserve">Figure </w:t>
      </w:r>
      <w:r w:rsidR="00A72B26">
        <w:rPr>
          <w:noProof/>
        </w:rPr>
        <w:t>2</w:t>
      </w:r>
      <w:bookmarkEnd w:id="670"/>
      <w:r w:rsidR="00E873BE">
        <w:tab/>
      </w:r>
      <w:r>
        <w:t>Governance structure and direction of information flow</w:t>
      </w:r>
      <w:bookmarkEnd w:id="671"/>
      <w:bookmarkEnd w:id="672"/>
    </w:p>
    <w:p w:rsidR="00092F60" w:rsidRDefault="00092F60" w:rsidP="00E965BD">
      <w:pPr>
        <w:pStyle w:val="Heading3"/>
      </w:pPr>
      <w:r>
        <w:t>Ethics, Privacy and Data Security</w:t>
      </w:r>
    </w:p>
    <w:p w:rsidR="00092F60" w:rsidRDefault="00092F60" w:rsidP="00092F60">
      <w:r>
        <w:t xml:space="preserve">Personal information collected on individuals must be transmitted and stored in a secure manner to abide by the Privacy Act 1988.  </w:t>
      </w:r>
    </w:p>
    <w:p w:rsidR="00092F60" w:rsidRPr="005A0FCF" w:rsidRDefault="00092F60" w:rsidP="00017354">
      <w:pPr>
        <w:pStyle w:val="Heading4"/>
      </w:pPr>
      <w:r w:rsidRPr="005A0FCF">
        <w:t>Data security</w:t>
      </w:r>
    </w:p>
    <w:p w:rsidR="00092F60" w:rsidRDefault="00092F60" w:rsidP="00092F60">
      <w:r>
        <w:t>Achieving data security requires several systems to be in place. Data storage, access and transfer must all be addressed and compliant with Federal and State privacy laws.</w:t>
      </w:r>
    </w:p>
    <w:p w:rsidR="00092F60" w:rsidRDefault="00092F60" w:rsidP="00092F60">
      <w:r>
        <w:t>Data must be kept in a safe and secure storage place. For the most part, records are likely to be electronic and stored in a central Government repository. The characteristics of such storage are described by current Government privacy policies</w:t>
      </w:r>
      <w:r>
        <w:rPr>
          <w:rStyle w:val="FootnoteReference"/>
        </w:rPr>
        <w:footnoteReference w:id="37"/>
      </w:r>
      <w:r>
        <w:t xml:space="preserve"> which comply with the Privacy Act 1988, Australian Privacy Principles and the Australian Government Protective Security Policy</w:t>
      </w:r>
      <w:r>
        <w:rPr>
          <w:rStyle w:val="FootnoteReference"/>
        </w:rPr>
        <w:footnoteReference w:id="38"/>
      </w:r>
      <w:r>
        <w:t xml:space="preserve">. If some records are paper-based, these will need to be stored in a locked cabinet to which there is restricted access (access is described by the governance of the registry, details of which are submitted to the HREC). </w:t>
      </w:r>
    </w:p>
    <w:p w:rsidR="00092F60" w:rsidRDefault="00092F60" w:rsidP="00092F60">
      <w:r>
        <w:lastRenderedPageBreak/>
        <w:t>Protocols for accessing the data should be made explicit and described by the steering committee. This access should be restricted by using an adequate authentication process and access should be recorded so that changes to the data can be attributed to individual users of the system.</w:t>
      </w:r>
    </w:p>
    <w:p w:rsidR="00092F60" w:rsidRDefault="00092F60" w:rsidP="00092F60">
      <w:r>
        <w:t xml:space="preserve">If data </w:t>
      </w:r>
      <w:r w:rsidR="001C7C88">
        <w:t>are</w:t>
      </w:r>
      <w:r>
        <w:t xml:space="preserve"> not entered directly through a secure web-interface, transfer of data should be performed </w:t>
      </w:r>
      <w:r w:rsidR="00834C67">
        <w:t xml:space="preserve">via </w:t>
      </w:r>
      <w:r>
        <w:t>a secure government file transfer service.</w:t>
      </w:r>
    </w:p>
    <w:p w:rsidR="00092F60" w:rsidRDefault="00092F60" w:rsidP="00092F60">
      <w:r>
        <w:t>As a drug surveillance registry for rare diseases may pursue the collection of quality of life or other patient relevant metrics directly from the patient, it may be necessary to use paper-based forms.  The security of these forms may be bolstered by sending the forms with a random identifier generated at the time the questionnaire forms are created, such as a barcode, rather than using the patient’s name. This will ensure that the questionnaire, when returned to the registry data managers, will have no identifying information except for the code that links the questionnaire back to the patient once it is scanned or entered.</w:t>
      </w:r>
    </w:p>
    <w:p w:rsidR="00092F60" w:rsidRPr="005A0FCF" w:rsidRDefault="00092F60" w:rsidP="00017354">
      <w:pPr>
        <w:pStyle w:val="Heading4"/>
      </w:pPr>
      <w:r w:rsidRPr="005A0FCF">
        <w:t>Privacy Legislation</w:t>
      </w:r>
    </w:p>
    <w:p w:rsidR="00092F60" w:rsidRDefault="00092F60" w:rsidP="00092F60">
      <w:r>
        <w:t xml:space="preserve">Privacy legislation varies across Australia and compatibility of activities undertaken in the course of running a drug surveillance registry for rare diseases will need to be verified against these standards. A list of these different standards is provided in </w:t>
      </w:r>
      <w:r w:rsidR="00A72B26">
        <w:t xml:space="preserve">Table </w:t>
      </w:r>
      <w:r w:rsidR="00A72B26">
        <w:rPr>
          <w:noProof/>
        </w:rPr>
        <w:t>149</w:t>
      </w:r>
      <w:r>
        <w:t xml:space="preserve">. However, in cases where patients are able to be consented, or a legal guardian is able to give consent on behalf of a patient, the collection of identified information is more straightforward from a privacy point of view.  The relevant sections of the Privacy Act (1988) and the Guidelines approved under Section 95A of the Privacy Act (1988) are primarily concerned with the collection of data from patients </w:t>
      </w:r>
      <w:r w:rsidR="00A24A2D">
        <w:t xml:space="preserve">for </w:t>
      </w:r>
      <w:r>
        <w:t>who it is im</w:t>
      </w:r>
      <w:r w:rsidR="00A24A2D">
        <w:t>practical to attain consent</w:t>
      </w:r>
      <w:r>
        <w:t>.  More relevant to the conduct of a rare diseases registry is the National Statement on Ethical Conduct in Human Research (2007).</w:t>
      </w:r>
    </w:p>
    <w:p w:rsidR="00092F60" w:rsidRDefault="00092F60" w:rsidP="00092F60">
      <w:r>
        <w:t xml:space="preserve">Ethics approval will need to be sought from an appropriate HREC (such as the Department of Health HREC). The HREC will require an overview of the purpose of the register, a description of its governance, who has access to data and how data will be published, details regarding data security, and a copy of all forms to be given to the patient / guardian (patient / guardian consent form, quality of life forms). If there are substantive changes to the registry that may be of patient interest (such as the use of the data or the types of data that are being collected), a new consent form </w:t>
      </w:r>
      <w:r w:rsidR="007C3B92">
        <w:t>may need to be</w:t>
      </w:r>
      <w:r>
        <w:t xml:space="preserve"> generated for patients to sign. Each change to the consent form must be approved by the HREC.</w:t>
      </w:r>
    </w:p>
    <w:p w:rsidR="00092F60" w:rsidRDefault="00092F60" w:rsidP="00092F60">
      <w:r>
        <w:t>A registry funded by the Department of Health, or governed by Departmental staff, will require approval from the Department of Health Human Research Ethics Committee</w:t>
      </w:r>
      <w:r>
        <w:rPr>
          <w:rStyle w:val="FootnoteReference"/>
        </w:rPr>
        <w:footnoteReference w:id="39"/>
      </w:r>
      <w:r>
        <w:t xml:space="preserve">. Whether separate applications need to be made to State or Territory HRECs may depend upon the type of data being sought from patients.  If data </w:t>
      </w:r>
      <w:r w:rsidR="00A24A2D">
        <w:t>are</w:t>
      </w:r>
      <w:r>
        <w:t xml:space="preserve"> provided directly from the </w:t>
      </w:r>
      <w:r>
        <w:lastRenderedPageBreak/>
        <w:t>clinician caring for the patient, or the patient, and does not require linkage with any hospital systems, the Departmental HREC approval may suffice.</w:t>
      </w:r>
    </w:p>
    <w:p w:rsidR="002D322A" w:rsidRDefault="002D322A" w:rsidP="008509CE">
      <w:pPr>
        <w:pStyle w:val="Caption"/>
        <w:keepNext/>
        <w:tabs>
          <w:tab w:val="clear" w:pos="851"/>
          <w:tab w:val="left" w:pos="1276"/>
        </w:tabs>
        <w:ind w:left="1276" w:hanging="1276"/>
      </w:pPr>
      <w:bookmarkStart w:id="673" w:name="_Ref405833827"/>
      <w:bookmarkStart w:id="674" w:name="_Toc411510511"/>
      <w:bookmarkStart w:id="675" w:name="_Toc415141946"/>
      <w:r>
        <w:t xml:space="preserve">Table </w:t>
      </w:r>
      <w:r w:rsidR="00A72B26">
        <w:rPr>
          <w:noProof/>
        </w:rPr>
        <w:t>149</w:t>
      </w:r>
      <w:bookmarkEnd w:id="673"/>
      <w:r>
        <w:tab/>
        <w:t>Commonwealth and State privacy legislation</w:t>
      </w:r>
      <w:bookmarkEnd w:id="674"/>
      <w:bookmarkEnd w:id="675"/>
    </w:p>
    <w:tbl>
      <w:tblPr>
        <w:tblStyle w:val="TableGrid"/>
        <w:tblW w:w="5000" w:type="pct"/>
        <w:tblLook w:val="04A0" w:firstRow="1" w:lastRow="0" w:firstColumn="1" w:lastColumn="0" w:noHBand="0" w:noVBand="1"/>
        <w:tblCaption w:val="Table 113 Commonwealth and State privacy legislation"/>
      </w:tblPr>
      <w:tblGrid>
        <w:gridCol w:w="2235"/>
        <w:gridCol w:w="7007"/>
      </w:tblGrid>
      <w:tr w:rsidR="00092F60" w:rsidRPr="005A0FCF" w:rsidTr="00F75ECD">
        <w:trPr>
          <w:tblHeader/>
        </w:trPr>
        <w:tc>
          <w:tcPr>
            <w:tcW w:w="2235" w:type="dxa"/>
          </w:tcPr>
          <w:p w:rsidR="00092F60" w:rsidRPr="005A0FCF" w:rsidRDefault="00092F60" w:rsidP="007C3B92">
            <w:pPr>
              <w:pStyle w:val="TableHeading"/>
            </w:pPr>
            <w:r w:rsidRPr="005A0FCF">
              <w:t>Jurisdiction</w:t>
            </w:r>
          </w:p>
        </w:tc>
        <w:tc>
          <w:tcPr>
            <w:tcW w:w="7007" w:type="dxa"/>
          </w:tcPr>
          <w:p w:rsidR="00092F60" w:rsidRPr="005A0FCF" w:rsidRDefault="00092F60" w:rsidP="007C3B92">
            <w:pPr>
              <w:pStyle w:val="TableHeading"/>
            </w:pPr>
            <w:r w:rsidRPr="005A0FCF">
              <w:t>Relevant documents</w:t>
            </w:r>
          </w:p>
        </w:tc>
      </w:tr>
      <w:tr w:rsidR="00092F60" w:rsidRPr="005A0FCF" w:rsidTr="00092F60">
        <w:tc>
          <w:tcPr>
            <w:tcW w:w="2235" w:type="dxa"/>
          </w:tcPr>
          <w:p w:rsidR="00092F60" w:rsidRPr="005A0FCF" w:rsidRDefault="00092F60" w:rsidP="007C3B92">
            <w:pPr>
              <w:pStyle w:val="TableText0"/>
            </w:pPr>
            <w:r w:rsidRPr="005A0FCF">
              <w:t>Commonwealth</w:t>
            </w:r>
          </w:p>
        </w:tc>
        <w:tc>
          <w:tcPr>
            <w:tcW w:w="7007" w:type="dxa"/>
          </w:tcPr>
          <w:p w:rsidR="00092F60" w:rsidRPr="005A0FCF" w:rsidRDefault="00092F60" w:rsidP="007C3B92">
            <w:pPr>
              <w:pStyle w:val="TableText0"/>
            </w:pPr>
            <w:r w:rsidRPr="005A0FCF">
              <w:t>Privacy Act (1988)</w:t>
            </w:r>
          </w:p>
          <w:p w:rsidR="00092F60" w:rsidRPr="005A0FCF" w:rsidRDefault="00092F60" w:rsidP="007C3B92">
            <w:pPr>
              <w:pStyle w:val="TableText0"/>
            </w:pPr>
            <w:r w:rsidRPr="005A0FCF">
              <w:t>Guidelines approved under Section 95A of the Privacy Act (1988)</w:t>
            </w:r>
          </w:p>
          <w:p w:rsidR="00092F60" w:rsidRPr="005A0FCF" w:rsidRDefault="00092F60" w:rsidP="007C3B92">
            <w:pPr>
              <w:pStyle w:val="TableText0"/>
            </w:pPr>
            <w:r w:rsidRPr="005A0FCF">
              <w:t>Australian Privacy Principles (previously the National Privacy Principles)</w:t>
            </w:r>
          </w:p>
          <w:p w:rsidR="00092F60" w:rsidRPr="005A0FCF" w:rsidRDefault="00092F60" w:rsidP="007C3B92">
            <w:pPr>
              <w:pStyle w:val="TableText0"/>
            </w:pPr>
            <w:r w:rsidRPr="005A0FCF">
              <w:t>National Statement on Ethical Conduct in Human Research (2007)</w:t>
            </w:r>
          </w:p>
          <w:p w:rsidR="00092F60" w:rsidRPr="005A0FCF" w:rsidRDefault="00092F60" w:rsidP="007C3B92">
            <w:pPr>
              <w:pStyle w:val="TableText0"/>
            </w:pPr>
            <w:r w:rsidRPr="005A0FCF">
              <w:t>Australian code for the responsible conduct of research (2007)</w:t>
            </w:r>
          </w:p>
        </w:tc>
      </w:tr>
      <w:tr w:rsidR="00092F60" w:rsidRPr="005A0FCF" w:rsidTr="00092F60">
        <w:tc>
          <w:tcPr>
            <w:tcW w:w="2235" w:type="dxa"/>
          </w:tcPr>
          <w:p w:rsidR="00092F60" w:rsidRPr="005A0FCF" w:rsidRDefault="00092F60" w:rsidP="007C3B92">
            <w:pPr>
              <w:pStyle w:val="TableText0"/>
            </w:pPr>
            <w:r w:rsidRPr="005A0FCF">
              <w:t>NSW</w:t>
            </w:r>
          </w:p>
        </w:tc>
        <w:tc>
          <w:tcPr>
            <w:tcW w:w="7007" w:type="dxa"/>
          </w:tcPr>
          <w:p w:rsidR="00092F60" w:rsidRPr="005A0FCF" w:rsidRDefault="00092F60" w:rsidP="007C3B92">
            <w:pPr>
              <w:pStyle w:val="TableText0"/>
            </w:pPr>
            <w:r w:rsidRPr="005A0FCF">
              <w:t>Privacy and Personal Information Protection Act (1998)</w:t>
            </w:r>
          </w:p>
          <w:p w:rsidR="00092F60" w:rsidRPr="005A0FCF" w:rsidRDefault="00092F60" w:rsidP="007C3B92">
            <w:pPr>
              <w:pStyle w:val="TableText0"/>
            </w:pPr>
            <w:r w:rsidRPr="005A0FCF">
              <w:t>Health Records and Information Privacy Act (2002)</w:t>
            </w:r>
          </w:p>
        </w:tc>
      </w:tr>
      <w:tr w:rsidR="00092F60" w:rsidRPr="005A0FCF" w:rsidTr="00092F60">
        <w:tc>
          <w:tcPr>
            <w:tcW w:w="2235" w:type="dxa"/>
          </w:tcPr>
          <w:p w:rsidR="00092F60" w:rsidRPr="005A0FCF" w:rsidRDefault="00092F60" w:rsidP="007C3B92">
            <w:pPr>
              <w:pStyle w:val="TableText0"/>
            </w:pPr>
            <w:r w:rsidRPr="005A0FCF">
              <w:t>Victoria</w:t>
            </w:r>
          </w:p>
        </w:tc>
        <w:tc>
          <w:tcPr>
            <w:tcW w:w="7007" w:type="dxa"/>
          </w:tcPr>
          <w:p w:rsidR="00092F60" w:rsidRPr="005A0FCF" w:rsidRDefault="00092F60" w:rsidP="007C3B92">
            <w:pPr>
              <w:pStyle w:val="TableText0"/>
            </w:pPr>
            <w:r w:rsidRPr="005A0FCF">
              <w:t>Privacy and Data Protection Act (2014)</w:t>
            </w:r>
          </w:p>
          <w:p w:rsidR="00092F60" w:rsidRPr="005A0FCF" w:rsidRDefault="00092F60" w:rsidP="007C3B92">
            <w:pPr>
              <w:pStyle w:val="TableText0"/>
            </w:pPr>
            <w:r w:rsidRPr="005A0FCF">
              <w:t>Health Records Act (2001)</w:t>
            </w:r>
          </w:p>
        </w:tc>
      </w:tr>
      <w:tr w:rsidR="00092F60" w:rsidRPr="005A0FCF" w:rsidTr="00092F60">
        <w:tc>
          <w:tcPr>
            <w:tcW w:w="2235" w:type="dxa"/>
          </w:tcPr>
          <w:p w:rsidR="00092F60" w:rsidRPr="005A0FCF" w:rsidRDefault="00092F60" w:rsidP="007C3B92">
            <w:pPr>
              <w:pStyle w:val="TableText0"/>
            </w:pPr>
            <w:r w:rsidRPr="005A0FCF">
              <w:t>Queensland</w:t>
            </w:r>
          </w:p>
        </w:tc>
        <w:tc>
          <w:tcPr>
            <w:tcW w:w="7007" w:type="dxa"/>
          </w:tcPr>
          <w:p w:rsidR="00092F60" w:rsidRPr="005A0FCF" w:rsidRDefault="00092F60" w:rsidP="007C3B92">
            <w:pPr>
              <w:pStyle w:val="TableText0"/>
            </w:pPr>
            <w:r w:rsidRPr="005A0FCF">
              <w:t>Information Privacy Act (2009)</w:t>
            </w:r>
          </w:p>
        </w:tc>
      </w:tr>
      <w:tr w:rsidR="00092F60" w:rsidRPr="005A0FCF" w:rsidTr="00092F60">
        <w:tc>
          <w:tcPr>
            <w:tcW w:w="2235" w:type="dxa"/>
          </w:tcPr>
          <w:p w:rsidR="00092F60" w:rsidRPr="005A0FCF" w:rsidRDefault="00092F60" w:rsidP="007C3B92">
            <w:pPr>
              <w:pStyle w:val="TableText0"/>
            </w:pPr>
            <w:r w:rsidRPr="005A0FCF">
              <w:t>Australian Capital Territory</w:t>
            </w:r>
          </w:p>
        </w:tc>
        <w:tc>
          <w:tcPr>
            <w:tcW w:w="7007" w:type="dxa"/>
          </w:tcPr>
          <w:p w:rsidR="00092F60" w:rsidRPr="005A0FCF" w:rsidRDefault="00092F60" w:rsidP="007C3B92">
            <w:pPr>
              <w:pStyle w:val="TableText0"/>
            </w:pPr>
            <w:r w:rsidRPr="005A0FCF">
              <w:t>Health Records Act (1997)</w:t>
            </w:r>
          </w:p>
        </w:tc>
      </w:tr>
      <w:tr w:rsidR="00092F60" w:rsidRPr="005A0FCF" w:rsidTr="00092F60">
        <w:tc>
          <w:tcPr>
            <w:tcW w:w="2235" w:type="dxa"/>
          </w:tcPr>
          <w:p w:rsidR="00092F60" w:rsidRPr="005A0FCF" w:rsidRDefault="00092F60" w:rsidP="007C3B92">
            <w:pPr>
              <w:pStyle w:val="TableText0"/>
            </w:pPr>
            <w:r w:rsidRPr="005A0FCF">
              <w:t>Tasmania</w:t>
            </w:r>
          </w:p>
        </w:tc>
        <w:tc>
          <w:tcPr>
            <w:tcW w:w="7007" w:type="dxa"/>
          </w:tcPr>
          <w:p w:rsidR="00092F60" w:rsidRPr="005A0FCF" w:rsidRDefault="00092F60" w:rsidP="007C3B92">
            <w:pPr>
              <w:pStyle w:val="TableText0"/>
            </w:pPr>
            <w:r w:rsidRPr="005A0FCF">
              <w:t>Personal Information Protection Act (2004)</w:t>
            </w:r>
          </w:p>
        </w:tc>
      </w:tr>
      <w:tr w:rsidR="00092F60" w:rsidRPr="005A0FCF" w:rsidTr="00092F60">
        <w:tc>
          <w:tcPr>
            <w:tcW w:w="2235" w:type="dxa"/>
          </w:tcPr>
          <w:p w:rsidR="00092F60" w:rsidRPr="005A0FCF" w:rsidRDefault="00092F60" w:rsidP="007C3B92">
            <w:pPr>
              <w:pStyle w:val="TableText0"/>
            </w:pPr>
            <w:r w:rsidRPr="005A0FCF">
              <w:t>South Australia</w:t>
            </w:r>
          </w:p>
        </w:tc>
        <w:tc>
          <w:tcPr>
            <w:tcW w:w="7007" w:type="dxa"/>
          </w:tcPr>
          <w:p w:rsidR="00092F60" w:rsidRPr="005A0FCF" w:rsidRDefault="00092F60" w:rsidP="007C3B92">
            <w:pPr>
              <w:pStyle w:val="TableText0"/>
            </w:pPr>
            <w:r w:rsidRPr="005A0FCF">
              <w:t>Health Care Act (2008)</w:t>
            </w:r>
          </w:p>
        </w:tc>
      </w:tr>
      <w:tr w:rsidR="00092F60" w:rsidRPr="005A0FCF" w:rsidTr="00092F60">
        <w:tc>
          <w:tcPr>
            <w:tcW w:w="2235" w:type="dxa"/>
          </w:tcPr>
          <w:p w:rsidR="00092F60" w:rsidRPr="005A0FCF" w:rsidRDefault="00092F60" w:rsidP="007C3B92">
            <w:pPr>
              <w:pStyle w:val="TableText0"/>
            </w:pPr>
            <w:r w:rsidRPr="005A0FCF">
              <w:t>Northern Territory</w:t>
            </w:r>
          </w:p>
        </w:tc>
        <w:tc>
          <w:tcPr>
            <w:tcW w:w="7007" w:type="dxa"/>
          </w:tcPr>
          <w:p w:rsidR="00092F60" w:rsidRPr="005A0FCF" w:rsidRDefault="00092F60" w:rsidP="007C3B92">
            <w:pPr>
              <w:pStyle w:val="TableText0"/>
            </w:pPr>
            <w:r w:rsidRPr="005A0FCF">
              <w:t>Information Act (2002)</w:t>
            </w:r>
          </w:p>
        </w:tc>
      </w:tr>
      <w:tr w:rsidR="00092F60" w:rsidRPr="005A0FCF" w:rsidTr="00092F60">
        <w:tc>
          <w:tcPr>
            <w:tcW w:w="2235" w:type="dxa"/>
          </w:tcPr>
          <w:p w:rsidR="00092F60" w:rsidRPr="005A0FCF" w:rsidRDefault="00092F60" w:rsidP="007C3B92">
            <w:pPr>
              <w:pStyle w:val="TableText0"/>
            </w:pPr>
            <w:r w:rsidRPr="005A0FCF">
              <w:t>Western Australia</w:t>
            </w:r>
          </w:p>
        </w:tc>
        <w:tc>
          <w:tcPr>
            <w:tcW w:w="7007" w:type="dxa"/>
          </w:tcPr>
          <w:p w:rsidR="00092F60" w:rsidRPr="005A0FCF" w:rsidRDefault="00092F60" w:rsidP="007C3B92">
            <w:pPr>
              <w:pStyle w:val="TableText0"/>
            </w:pPr>
            <w:r w:rsidRPr="005A0FCF">
              <w:t>None specific.</w:t>
            </w:r>
          </w:p>
        </w:tc>
      </w:tr>
    </w:tbl>
    <w:p w:rsidR="00092F60" w:rsidRDefault="00092F60" w:rsidP="00092F60"/>
    <w:p w:rsidR="00092F60" w:rsidRPr="005A0FCF" w:rsidRDefault="00092F60" w:rsidP="00017354">
      <w:pPr>
        <w:pStyle w:val="Heading4"/>
      </w:pPr>
      <w:r w:rsidRPr="005A0FCF">
        <w:t>Patient consent</w:t>
      </w:r>
    </w:p>
    <w:p w:rsidR="00A24A2D" w:rsidRDefault="00A24A2D" w:rsidP="00A24A2D">
      <w:r>
        <w:t xml:space="preserve">Patient consent to enable collection of data for the purpose of the registry is a requirement for access to drugs through the </w:t>
      </w:r>
      <w:r w:rsidR="00FF09AF">
        <w:t xml:space="preserve">current reimbursement process. </w:t>
      </w:r>
      <w:r>
        <w:t>The current eligibility criteria may enable a patient to not consent to collection of their health data if they have an acceptable</w:t>
      </w:r>
      <w:r w:rsidR="00FF09AF">
        <w:t xml:space="preserve"> reason. </w:t>
      </w:r>
      <w:r>
        <w:t>For future data collections, acceptable reason</w:t>
      </w:r>
      <w:r w:rsidR="009161F9">
        <w:t>s</w:t>
      </w:r>
      <w:r>
        <w:t xml:space="preserve"> to withhold or withdraw consent for the collection of health data should be explicitly agreed upon by the </w:t>
      </w:r>
      <w:r w:rsidR="00FF09AF">
        <w:t xml:space="preserve">proposed registry </w:t>
      </w:r>
      <w:r>
        <w:t>steering committee.</w:t>
      </w:r>
    </w:p>
    <w:p w:rsidR="00092F60" w:rsidRDefault="00A24A2D" w:rsidP="00A24A2D">
      <w:r>
        <w:t xml:space="preserve">Consent may be ‘specific’, ‘extended’ or ‘unspecified’. Specific consent would be limited to the purposes outlined for the specific project. This type of consent is limiting and will almost always be inappropriate for a drug surveillance registry which seeks to collect data over an extended period during which time patients may die and research questions may evolve. </w:t>
      </w:r>
      <w:r w:rsidR="00092F60">
        <w:t>It may be more appropriate to seek extended consent (data can be used for the original project, an extension of the original project, or in a new project for the same general area), or unspecified consent which would permit use of the data in any future research area. While the latter is the most attractive option to researchers, it is the least palatable to patients and ethics committees. In most cases, extended consent is sufficient. Updates relating to the use of the data, or type of data that is being collected, will nee</w:t>
      </w:r>
      <w:r w:rsidR="00FF09AF">
        <w:t xml:space="preserve">d to be submitted to the HREC. </w:t>
      </w:r>
      <w:r w:rsidR="00092F60">
        <w:t xml:space="preserve">The committee may decide that the changes are minor, or may </w:t>
      </w:r>
      <w:r w:rsidR="00092F60">
        <w:lastRenderedPageBreak/>
        <w:t xml:space="preserve">decide that the program or data collection has changed enough to warrant re-consenting patients. </w:t>
      </w:r>
    </w:p>
    <w:p w:rsidR="00092F60" w:rsidRDefault="00092F60" w:rsidP="00092F60">
      <w:r>
        <w:t>Children under 16 years of age cannot give legal consent, and this must be given by a parent or guardian</w:t>
      </w:r>
      <w:r>
        <w:rPr>
          <w:rStyle w:val="FootnoteReference"/>
        </w:rPr>
        <w:footnoteReference w:id="40"/>
      </w:r>
      <w:r>
        <w:t xml:space="preserve">. However, if possible, children should be involved in the decision and their assent should be sought. Children who are under 18 years of age usually cannot provide legal consent to participate in research; however data collection for the purposes of the registry would likely be regarded as very low risk by a HREC, who may ask that a mature child, as well as the guardian, provide consent.  </w:t>
      </w:r>
    </w:p>
    <w:p w:rsidR="00092F60" w:rsidRDefault="00092F60" w:rsidP="00BA787F">
      <w:r w:rsidRPr="000326F6">
        <w:t>Note that this consenting process is relevant only to the collection of data</w:t>
      </w:r>
      <w:r w:rsidR="00D5659A">
        <w:t xml:space="preserve"> and does not incorporate the consenting process for treatment. </w:t>
      </w:r>
      <w:r w:rsidRPr="000326F6">
        <w:t xml:space="preserve">A sample consent form has been provided </w:t>
      </w:r>
      <w:r w:rsidR="00E15E31" w:rsidRPr="000326F6">
        <w:t xml:space="preserve">in </w:t>
      </w:r>
      <w:r w:rsidR="00A72B26">
        <w:t>Appendix K</w:t>
      </w:r>
      <w:r w:rsidR="000326F6" w:rsidRPr="000326F6">
        <w:t>.</w:t>
      </w:r>
      <w:r w:rsidR="00E15E31" w:rsidRPr="000326F6">
        <w:t xml:space="preserve"> </w:t>
      </w:r>
      <w:r w:rsidR="007C3B92" w:rsidRPr="000326F6">
        <w:t>The sample consent form was adapted from an NHMRC template and may be excessively long in its current form.  Consideration should be made when devising a patient consent form to balance the length of the form against the need to fully inform a patient of the risks and benefits of the data collection.</w:t>
      </w:r>
    </w:p>
    <w:p w:rsidR="00092F60" w:rsidRDefault="00092F60" w:rsidP="00017354">
      <w:pPr>
        <w:pStyle w:val="Heading3"/>
      </w:pPr>
      <w:r>
        <w:t>Data reporting</w:t>
      </w:r>
    </w:p>
    <w:p w:rsidR="00092F60" w:rsidRDefault="00092F60" w:rsidP="00092F60">
      <w:r>
        <w:t xml:space="preserve">It is important that data from the registry can be accessed in a timely manner by stakeholders, including the clinicians overseeing the care of patients receiving the reimbursed drug. For the administration of a reimbursement program for drugs for rare diseases, a key stakeholder is the Australian Government. Timely access to the data by the Government to enable auditing of a reimbursement program is important and provides one argument against being reliant on industry based registries.  </w:t>
      </w:r>
    </w:p>
    <w:p w:rsidR="00092F60" w:rsidRDefault="00092F60" w:rsidP="00092F60">
      <w:r>
        <w:t>Due to the very small number of patients who may be on a drug surveillance register for rare diseases or conditions, reporting of information must carefully balance the granularity of information for particular audiences.  For example, reports for the public should be careful not to contain adequate information that someone could be identified. This may require very limited data to be provided for some rare conditions</w:t>
      </w:r>
      <w:r w:rsidR="000740BB">
        <w:t xml:space="preserve"> (for example, when there are fewer than 5 or 10 patients represented </w:t>
      </w:r>
      <w:r w:rsidR="00A24A2D">
        <w:t>in</w:t>
      </w:r>
      <w:r w:rsidR="000740BB">
        <w:t xml:space="preserve"> the registry).</w:t>
      </w:r>
    </w:p>
    <w:p w:rsidR="00092F60" w:rsidRDefault="00092F60" w:rsidP="00092F60">
      <w:r>
        <w:t xml:space="preserve">Data reporting is important to enable improvements in the registry design and to assess the overall success of </w:t>
      </w:r>
      <w:r w:rsidR="00834C67">
        <w:t>a program for reimbursing drugs for rare diseases</w:t>
      </w:r>
      <w:r>
        <w:t>. These reports should be available at meetings of the registry steering committee.</w:t>
      </w:r>
    </w:p>
    <w:p w:rsidR="00092F60" w:rsidRDefault="00092F60" w:rsidP="00092F60">
      <w:r>
        <w:t>In some circumstances, data custodians or researchers may discover information that impacts on the wellbeing of a patient. These circumstances and the methods to communicate to the patient (or more likely the physician responsible for their care) should be discussed and agreed upon by the steering committee at the inception of the registry.</w:t>
      </w:r>
    </w:p>
    <w:p w:rsidR="00092F60" w:rsidRDefault="00092F60" w:rsidP="00E965BD">
      <w:pPr>
        <w:pStyle w:val="Heading3"/>
      </w:pPr>
      <w:r>
        <w:lastRenderedPageBreak/>
        <w:t>Registry funding</w:t>
      </w:r>
    </w:p>
    <w:p w:rsidR="00092F60" w:rsidRDefault="00092F60" w:rsidP="00092F60">
      <w:r>
        <w:t>The funding required for a registry will be dependent upon the type of registry required.  A central database with web-based data entry will have a high initial set up cost although running costs may be less than the management of systems requiring manual data entry.</w:t>
      </w:r>
    </w:p>
    <w:p w:rsidR="00092F60" w:rsidRDefault="00092F60" w:rsidP="00092F60">
      <w:r>
        <w:t xml:space="preserve">When determining the funding source for the registry, the following should be </w:t>
      </w:r>
      <w:r w:rsidR="00A24A2D">
        <w:t>considered</w:t>
      </w:r>
      <w:r>
        <w:t>:</w:t>
      </w:r>
    </w:p>
    <w:p w:rsidR="00092F60" w:rsidRDefault="00092F60" w:rsidP="000959DF">
      <w:pPr>
        <w:pStyle w:val="ListParagraph"/>
        <w:widowControl w:val="0"/>
        <w:numPr>
          <w:ilvl w:val="0"/>
          <w:numId w:val="57"/>
        </w:numPr>
        <w:autoSpaceDE/>
        <w:autoSpaceDN/>
        <w:adjustRightInd/>
        <w:spacing w:after="0"/>
        <w:contextualSpacing/>
      </w:pPr>
      <w:r>
        <w:t>The funding source is sustainable</w:t>
      </w:r>
      <w:r w:rsidR="00A24A2D">
        <w:t>;</w:t>
      </w:r>
    </w:p>
    <w:p w:rsidR="00092F60" w:rsidRDefault="00092F60" w:rsidP="000959DF">
      <w:pPr>
        <w:pStyle w:val="ListParagraph"/>
        <w:widowControl w:val="0"/>
        <w:numPr>
          <w:ilvl w:val="0"/>
          <w:numId w:val="57"/>
        </w:numPr>
        <w:autoSpaceDE/>
        <w:autoSpaceDN/>
        <w:adjustRightInd/>
        <w:spacing w:after="0"/>
        <w:contextualSpacing/>
      </w:pPr>
      <w:r>
        <w:t>The ongoing costs include maintenance and upgrading of the registry software</w:t>
      </w:r>
      <w:r w:rsidR="00A24A2D">
        <w:t>;</w:t>
      </w:r>
    </w:p>
    <w:p w:rsidR="00092F60" w:rsidRDefault="00092F60" w:rsidP="000959DF">
      <w:pPr>
        <w:pStyle w:val="ListParagraph"/>
        <w:widowControl w:val="0"/>
        <w:numPr>
          <w:ilvl w:val="0"/>
          <w:numId w:val="57"/>
        </w:numPr>
        <w:autoSpaceDE/>
        <w:autoSpaceDN/>
        <w:adjustRightInd/>
        <w:spacing w:after="0"/>
        <w:contextualSpacing/>
      </w:pPr>
      <w:r>
        <w:t xml:space="preserve">Costs involve staffing of the registry (data management and </w:t>
      </w:r>
      <w:r w:rsidR="00A24A2D">
        <w:t>computing technical support</w:t>
      </w:r>
      <w:r>
        <w:t>)</w:t>
      </w:r>
      <w:r w:rsidR="00A24A2D">
        <w:t>;</w:t>
      </w:r>
    </w:p>
    <w:p w:rsidR="00092F60" w:rsidRDefault="00092F60" w:rsidP="000959DF">
      <w:pPr>
        <w:pStyle w:val="ListParagraph"/>
        <w:widowControl w:val="0"/>
        <w:numPr>
          <w:ilvl w:val="0"/>
          <w:numId w:val="57"/>
        </w:numPr>
        <w:autoSpaceDE/>
        <w:autoSpaceDN/>
        <w:adjustRightInd/>
        <w:spacing w:after="0"/>
        <w:contextualSpacing/>
      </w:pPr>
      <w:r>
        <w:t>Costs associated with the oversight of the registry (steering committee costs)</w:t>
      </w:r>
      <w:r w:rsidR="00A24A2D">
        <w:t>; and</w:t>
      </w:r>
    </w:p>
    <w:p w:rsidR="00092F60" w:rsidRDefault="00092F60" w:rsidP="000959DF">
      <w:pPr>
        <w:pStyle w:val="ListParagraph"/>
        <w:widowControl w:val="0"/>
        <w:numPr>
          <w:ilvl w:val="0"/>
          <w:numId w:val="57"/>
        </w:numPr>
        <w:autoSpaceDE/>
        <w:autoSpaceDN/>
        <w:adjustRightInd/>
        <w:spacing w:after="0"/>
        <w:contextualSpacing/>
      </w:pPr>
      <w:r>
        <w:t>The initial set up cost</w:t>
      </w:r>
      <w:r w:rsidR="00A24A2D">
        <w:t>.</w:t>
      </w:r>
    </w:p>
    <w:p w:rsidR="00092F60" w:rsidRDefault="00092F60" w:rsidP="00092F60">
      <w:r>
        <w:t>The most reasonable source for funding may be a combination of the Department (particularly for the initial costs) and drug sponsors.  The yearly running costs of the registry could be calculated and a proportion of that could be divided among the sponsors whose listing is contingent upon ongoing data collection.</w:t>
      </w:r>
    </w:p>
    <w:p w:rsidR="00092F60" w:rsidRDefault="00092F60" w:rsidP="00092F60">
      <w:r>
        <w:t>Given the nature of the proposed registry, alternative methods of cost-recovery are unlikely.</w:t>
      </w:r>
    </w:p>
    <w:p w:rsidR="00092F60" w:rsidRDefault="00092F60" w:rsidP="00017354">
      <w:pPr>
        <w:pStyle w:val="Heading4"/>
      </w:pPr>
      <w:r>
        <w:t>Proposed data elements</w:t>
      </w:r>
    </w:p>
    <w:p w:rsidR="00092F60" w:rsidRDefault="00092F60" w:rsidP="00092F60">
      <w:r>
        <w:t xml:space="preserve">The proposed data elements to be captured by the registry </w:t>
      </w:r>
      <w:r w:rsidR="00A24A2D">
        <w:t>will need to be</w:t>
      </w:r>
      <w:r>
        <w:t xml:space="preserve"> determined at the time of listing the drug.  These will be contingent upon the purpose of the registry for that particular drug, and may be informed by the steering committee questions posed </w:t>
      </w:r>
      <w:r w:rsidR="009236F7">
        <w:t xml:space="preserve">in </w:t>
      </w:r>
      <w:r w:rsidR="00A72B26">
        <w:t xml:space="preserve">Table </w:t>
      </w:r>
      <w:r w:rsidR="00A72B26">
        <w:rPr>
          <w:noProof/>
        </w:rPr>
        <w:t>145</w:t>
      </w:r>
      <w:r w:rsidR="009236F7">
        <w:t xml:space="preserve"> to </w:t>
      </w:r>
      <w:r w:rsidR="00A72B26">
        <w:t xml:space="preserve">Table </w:t>
      </w:r>
      <w:r w:rsidR="00A72B26">
        <w:rPr>
          <w:noProof/>
        </w:rPr>
        <w:t>148</w:t>
      </w:r>
      <w:r>
        <w:t xml:space="preserve">.  </w:t>
      </w:r>
    </w:p>
    <w:p w:rsidR="00092F60" w:rsidRDefault="00092F60" w:rsidP="00092F60">
      <w:r>
        <w:t xml:space="preserve">The categories of data elements are listed </w:t>
      </w:r>
      <w:r w:rsidR="000740BB">
        <w:t xml:space="preserve">in </w:t>
      </w:r>
      <w:r w:rsidR="00A72B26">
        <w:t xml:space="preserve">Table </w:t>
      </w:r>
      <w:r w:rsidR="00A72B26">
        <w:rPr>
          <w:noProof/>
        </w:rPr>
        <w:t>150</w:t>
      </w:r>
      <w:r w:rsidR="000740BB">
        <w:t xml:space="preserve"> </w:t>
      </w:r>
      <w:r>
        <w:t>with a description of when the</w:t>
      </w:r>
      <w:r w:rsidR="000740BB">
        <w:t xml:space="preserve">ir collection would be of value. </w:t>
      </w:r>
    </w:p>
    <w:p w:rsidR="000740BB" w:rsidRDefault="000740BB" w:rsidP="008509CE">
      <w:pPr>
        <w:pStyle w:val="Caption"/>
        <w:keepNext/>
        <w:tabs>
          <w:tab w:val="clear" w:pos="851"/>
          <w:tab w:val="left" w:pos="1276"/>
        </w:tabs>
        <w:ind w:left="1276" w:hanging="1276"/>
      </w:pPr>
      <w:bookmarkStart w:id="676" w:name="_Ref405812429"/>
      <w:bookmarkStart w:id="677" w:name="_Toc411510512"/>
      <w:bookmarkStart w:id="678" w:name="_Toc415141947"/>
      <w:r>
        <w:lastRenderedPageBreak/>
        <w:t xml:space="preserve">Table </w:t>
      </w:r>
      <w:r w:rsidR="00A72B26">
        <w:rPr>
          <w:noProof/>
        </w:rPr>
        <w:t>150</w:t>
      </w:r>
      <w:bookmarkEnd w:id="676"/>
      <w:r>
        <w:tab/>
        <w:t>Proposed data elements for a drug surveillance register</w:t>
      </w:r>
      <w:bookmarkEnd w:id="677"/>
      <w:bookmarkEnd w:id="678"/>
    </w:p>
    <w:tbl>
      <w:tblPr>
        <w:tblStyle w:val="TableGrid"/>
        <w:tblW w:w="0" w:type="auto"/>
        <w:tblLook w:val="04A0" w:firstRow="1" w:lastRow="0" w:firstColumn="1" w:lastColumn="0" w:noHBand="0" w:noVBand="1"/>
        <w:tblCaption w:val="Table 114 Proposed data elements for a drug surveillance register"/>
      </w:tblPr>
      <w:tblGrid>
        <w:gridCol w:w="1659"/>
        <w:gridCol w:w="4946"/>
        <w:gridCol w:w="2637"/>
      </w:tblGrid>
      <w:tr w:rsidR="00092F60" w:rsidRPr="005A0FCF" w:rsidTr="00F75ECD">
        <w:trPr>
          <w:tblHeader/>
        </w:trPr>
        <w:tc>
          <w:tcPr>
            <w:tcW w:w="0" w:type="auto"/>
          </w:tcPr>
          <w:p w:rsidR="00092F60" w:rsidRPr="005A0FCF" w:rsidRDefault="00092F60" w:rsidP="007C036E">
            <w:pPr>
              <w:pStyle w:val="TableHeading"/>
              <w:spacing w:line="240" w:lineRule="auto"/>
            </w:pPr>
            <w:r w:rsidRPr="005A0FCF">
              <w:t>Data category</w:t>
            </w:r>
          </w:p>
        </w:tc>
        <w:tc>
          <w:tcPr>
            <w:tcW w:w="0" w:type="auto"/>
          </w:tcPr>
          <w:p w:rsidR="00092F60" w:rsidRPr="005A0FCF" w:rsidRDefault="00AD2588" w:rsidP="009236F7">
            <w:pPr>
              <w:pStyle w:val="TableHeading"/>
              <w:spacing w:line="240" w:lineRule="auto"/>
            </w:pPr>
            <w:r w:rsidRPr="005A0FCF">
              <w:t>When it should be collected</w:t>
            </w:r>
          </w:p>
        </w:tc>
        <w:tc>
          <w:tcPr>
            <w:tcW w:w="0" w:type="auto"/>
          </w:tcPr>
          <w:p w:rsidR="00092F60" w:rsidRPr="005A0FCF" w:rsidRDefault="00092F60" w:rsidP="009236F7">
            <w:pPr>
              <w:pStyle w:val="TableHeading"/>
              <w:spacing w:line="240" w:lineRule="auto"/>
            </w:pPr>
            <w:r w:rsidRPr="005A0FCF">
              <w:t>When not necessary</w:t>
            </w:r>
          </w:p>
        </w:tc>
      </w:tr>
      <w:tr w:rsidR="00092F60" w:rsidRPr="005A0FCF" w:rsidTr="009236F7">
        <w:tc>
          <w:tcPr>
            <w:tcW w:w="0" w:type="auto"/>
          </w:tcPr>
          <w:p w:rsidR="00092F60" w:rsidRPr="005A0FCF" w:rsidRDefault="00092F60" w:rsidP="007C036E">
            <w:pPr>
              <w:pStyle w:val="TableText0"/>
              <w:spacing w:line="240" w:lineRule="auto"/>
            </w:pPr>
            <w:r w:rsidRPr="005A0FCF">
              <w:t>Patient / guardian consent</w:t>
            </w:r>
          </w:p>
        </w:tc>
        <w:tc>
          <w:tcPr>
            <w:tcW w:w="0" w:type="auto"/>
          </w:tcPr>
          <w:p w:rsidR="00092F60" w:rsidRPr="005A0FCF" w:rsidRDefault="00092F60" w:rsidP="009236F7">
            <w:pPr>
              <w:pStyle w:val="TableText0"/>
              <w:spacing w:line="240" w:lineRule="auto"/>
            </w:pPr>
            <w:r w:rsidRPr="005A0FCF">
              <w:t>Always.  The extent of the consent (whether the patient / guardian opted out of any data collection) and the currency of the consent (a history of all of the versions of consent forms that have been signed) should be stored.</w:t>
            </w:r>
          </w:p>
        </w:tc>
        <w:tc>
          <w:tcPr>
            <w:tcW w:w="0" w:type="auto"/>
          </w:tcPr>
          <w:p w:rsidR="00092F60" w:rsidRPr="005A0FCF" w:rsidRDefault="00092F60" w:rsidP="009236F7">
            <w:pPr>
              <w:pStyle w:val="TableText0"/>
              <w:spacing w:line="240" w:lineRule="auto"/>
            </w:pPr>
            <w:r w:rsidRPr="005A0FCF">
              <w:t>Ongoing consent forms may not be necessary if data collection ceases after initial eligibility or the nature of the data collection or use of the data remains unchanged.</w:t>
            </w:r>
          </w:p>
        </w:tc>
      </w:tr>
      <w:tr w:rsidR="00092F60" w:rsidRPr="005A0FCF" w:rsidTr="009236F7">
        <w:tc>
          <w:tcPr>
            <w:tcW w:w="0" w:type="auto"/>
          </w:tcPr>
          <w:p w:rsidR="00092F60" w:rsidRPr="005A0FCF" w:rsidRDefault="00092F60" w:rsidP="007C036E">
            <w:pPr>
              <w:pStyle w:val="TableText0"/>
              <w:spacing w:line="240" w:lineRule="auto"/>
            </w:pPr>
            <w:r w:rsidRPr="005A0FCF">
              <w:t>Initial eligibility</w:t>
            </w:r>
          </w:p>
        </w:tc>
        <w:tc>
          <w:tcPr>
            <w:tcW w:w="0" w:type="auto"/>
          </w:tcPr>
          <w:p w:rsidR="00092F60" w:rsidRPr="005A0FCF" w:rsidRDefault="00092F60" w:rsidP="009236F7">
            <w:pPr>
              <w:pStyle w:val="TableText0"/>
              <w:spacing w:line="240" w:lineRule="auto"/>
            </w:pPr>
            <w:r w:rsidRPr="005A0FCF">
              <w:t>Initial eligibility should always be ascertained for each patient at application.  Supporting documentation should be provided however the collection of specific data points will only be necessary if required to establish ongoing eligibility or the effect of the drug.</w:t>
            </w:r>
          </w:p>
        </w:tc>
        <w:tc>
          <w:tcPr>
            <w:tcW w:w="0" w:type="auto"/>
          </w:tcPr>
          <w:p w:rsidR="00092F60" w:rsidRPr="005A0FCF" w:rsidRDefault="00092F60" w:rsidP="009236F7">
            <w:pPr>
              <w:pStyle w:val="TableText0"/>
              <w:spacing w:line="240" w:lineRule="auto"/>
            </w:pPr>
            <w:r w:rsidRPr="005A0FCF">
              <w:t>-</w:t>
            </w:r>
          </w:p>
        </w:tc>
      </w:tr>
      <w:tr w:rsidR="00092F60" w:rsidRPr="005A0FCF" w:rsidTr="009236F7">
        <w:tc>
          <w:tcPr>
            <w:tcW w:w="0" w:type="auto"/>
          </w:tcPr>
          <w:p w:rsidR="00092F60" w:rsidRPr="005A0FCF" w:rsidRDefault="00092F60" w:rsidP="007C036E">
            <w:pPr>
              <w:pStyle w:val="TableText0"/>
              <w:spacing w:line="240" w:lineRule="auto"/>
            </w:pPr>
            <w:r w:rsidRPr="005A0FCF">
              <w:t>Ongoing eligibility</w:t>
            </w:r>
          </w:p>
        </w:tc>
        <w:tc>
          <w:tcPr>
            <w:tcW w:w="0" w:type="auto"/>
          </w:tcPr>
          <w:p w:rsidR="00092F60" w:rsidRPr="005A0FCF" w:rsidRDefault="00092F60" w:rsidP="009236F7">
            <w:pPr>
              <w:pStyle w:val="TableText0"/>
              <w:spacing w:line="240" w:lineRule="auto"/>
            </w:pPr>
            <w:r w:rsidRPr="005A0FCF">
              <w:t>The disease can progress to a point where treatment is no longer effective or there is no evidence or clinical plausibility for ongoing benefit. Supporting documentation may be required to establish that the disease has not progressed to a ‘no treatment’ stage.  Ongoing eligibility must always be captured if there is a risk that the disease could progress such that the treatment has a negative benefit/risk balance.</w:t>
            </w:r>
          </w:p>
        </w:tc>
        <w:tc>
          <w:tcPr>
            <w:tcW w:w="0" w:type="auto"/>
          </w:tcPr>
          <w:p w:rsidR="00092F60" w:rsidRPr="005A0FCF" w:rsidRDefault="00092F60" w:rsidP="009236F7">
            <w:pPr>
              <w:pStyle w:val="TableText0"/>
              <w:spacing w:line="240" w:lineRule="auto"/>
            </w:pPr>
            <w:r w:rsidRPr="005A0FCF">
              <w:t>The drug has established adequate efficacy regardless of stage of disease.</w:t>
            </w:r>
          </w:p>
          <w:p w:rsidR="00092F60" w:rsidRPr="005A0FCF" w:rsidRDefault="00092F60" w:rsidP="009236F7">
            <w:pPr>
              <w:pStyle w:val="TableText0"/>
              <w:spacing w:line="240" w:lineRule="auto"/>
            </w:pPr>
          </w:p>
          <w:p w:rsidR="00092F60" w:rsidRPr="005A0FCF" w:rsidRDefault="00092F60" w:rsidP="009236F7">
            <w:pPr>
              <w:pStyle w:val="TableText0"/>
              <w:spacing w:line="240" w:lineRule="auto"/>
            </w:pPr>
            <w:r w:rsidRPr="005A0FCF">
              <w:t>Negotiations with the sponsor have resulted in a price commensurate with the drop in efficacy in patients who progress.</w:t>
            </w:r>
          </w:p>
        </w:tc>
      </w:tr>
      <w:tr w:rsidR="00092F60" w:rsidRPr="005A0FCF" w:rsidTr="009236F7">
        <w:tc>
          <w:tcPr>
            <w:tcW w:w="0" w:type="auto"/>
          </w:tcPr>
          <w:p w:rsidR="00092F60" w:rsidRPr="005A0FCF" w:rsidRDefault="00092F60" w:rsidP="007C036E">
            <w:pPr>
              <w:pStyle w:val="TableText0"/>
              <w:spacing w:line="240" w:lineRule="auto"/>
            </w:pPr>
            <w:r w:rsidRPr="005A0FCF">
              <w:t>Baseline and follow up surrogate measures of effectiveness / safety</w:t>
            </w:r>
          </w:p>
        </w:tc>
        <w:tc>
          <w:tcPr>
            <w:tcW w:w="0" w:type="auto"/>
          </w:tcPr>
          <w:p w:rsidR="00092F60" w:rsidRPr="005A0FCF" w:rsidRDefault="00092F60" w:rsidP="009236F7">
            <w:pPr>
              <w:pStyle w:val="TableText0"/>
              <w:spacing w:line="240" w:lineRule="auto"/>
            </w:pPr>
            <w:r w:rsidRPr="005A0FCF">
              <w:t>Disease improvement or stability is determined by comparing with baseline markers (</w:t>
            </w:r>
            <w:r w:rsidR="009161F9" w:rsidRPr="005A0FCF">
              <w:t>i.e.</w:t>
            </w:r>
            <w:r w:rsidRPr="005A0FCF">
              <w:t xml:space="preserve"> haematological, biochemical, organ size, neurological function </w:t>
            </w:r>
            <w:r w:rsidR="009161F9" w:rsidRPr="005A0FCF">
              <w:t>etc.</w:t>
            </w:r>
            <w:r w:rsidRPr="005A0FCF">
              <w:t>).</w:t>
            </w:r>
          </w:p>
          <w:p w:rsidR="00092F60" w:rsidRPr="005A0FCF" w:rsidRDefault="00092F60" w:rsidP="009236F7">
            <w:pPr>
              <w:pStyle w:val="TableText0"/>
              <w:spacing w:line="240" w:lineRule="auto"/>
            </w:pPr>
          </w:p>
          <w:p w:rsidR="00092F60" w:rsidRPr="005A0FCF" w:rsidRDefault="00092F60" w:rsidP="009236F7">
            <w:pPr>
              <w:pStyle w:val="TableText0"/>
              <w:spacing w:line="240" w:lineRule="auto"/>
            </w:pPr>
            <w:r w:rsidRPr="005A0FCF">
              <w:t>The agreed price of a drug is linked to outcomes achieved in patients taking the drug through a managed entry arrangement.</w:t>
            </w:r>
          </w:p>
        </w:tc>
        <w:tc>
          <w:tcPr>
            <w:tcW w:w="0" w:type="auto"/>
          </w:tcPr>
          <w:p w:rsidR="00092F60" w:rsidRPr="005A0FCF" w:rsidRDefault="00092F60" w:rsidP="009236F7">
            <w:pPr>
              <w:pStyle w:val="TableText0"/>
              <w:spacing w:line="240" w:lineRule="auto"/>
            </w:pPr>
            <w:r w:rsidRPr="005A0FCF">
              <w:t>No ongoing eligibility criteria are required and no managed entry scheme requiring the measurement of effectiveness has been entered into.</w:t>
            </w:r>
          </w:p>
        </w:tc>
      </w:tr>
      <w:tr w:rsidR="00092F60" w:rsidRPr="005A0FCF" w:rsidTr="009236F7">
        <w:tc>
          <w:tcPr>
            <w:tcW w:w="0" w:type="auto"/>
          </w:tcPr>
          <w:p w:rsidR="00092F60" w:rsidRPr="005A0FCF" w:rsidRDefault="00092F60" w:rsidP="007C036E">
            <w:pPr>
              <w:pStyle w:val="TableText0"/>
              <w:spacing w:line="240" w:lineRule="auto"/>
            </w:pPr>
            <w:r w:rsidRPr="005A0FCF">
              <w:t>Dose and frequency</w:t>
            </w:r>
          </w:p>
        </w:tc>
        <w:tc>
          <w:tcPr>
            <w:tcW w:w="0" w:type="auto"/>
          </w:tcPr>
          <w:p w:rsidR="00092F60" w:rsidRPr="005A0FCF" w:rsidRDefault="00092F60" w:rsidP="009236F7">
            <w:pPr>
              <w:pStyle w:val="TableText0"/>
              <w:spacing w:line="240" w:lineRule="auto"/>
            </w:pPr>
            <w:r w:rsidRPr="005A0FCF">
              <w:t>This should routinely be provided by the treating clinician for all patients who require any other data to be collected.</w:t>
            </w:r>
          </w:p>
          <w:p w:rsidR="00092F60" w:rsidRPr="005A0FCF" w:rsidRDefault="00092F60" w:rsidP="009236F7">
            <w:pPr>
              <w:pStyle w:val="TableText0"/>
              <w:spacing w:line="240" w:lineRule="auto"/>
            </w:pPr>
          </w:p>
          <w:p w:rsidR="00092F60" w:rsidRPr="005A0FCF" w:rsidRDefault="00092F60" w:rsidP="009236F7">
            <w:pPr>
              <w:pStyle w:val="TableText0"/>
              <w:spacing w:line="240" w:lineRule="auto"/>
            </w:pPr>
            <w:r w:rsidRPr="005A0FCF">
              <w:t>If no other data is captured, dose and frequency could be sought from another source.</w:t>
            </w:r>
          </w:p>
        </w:tc>
        <w:tc>
          <w:tcPr>
            <w:tcW w:w="0" w:type="auto"/>
          </w:tcPr>
          <w:p w:rsidR="00092F60" w:rsidRPr="005A0FCF" w:rsidRDefault="00092F60" w:rsidP="009236F7">
            <w:pPr>
              <w:pStyle w:val="TableText0"/>
              <w:spacing w:line="240" w:lineRule="auto"/>
            </w:pPr>
            <w:r w:rsidRPr="005A0FCF">
              <w:t>-</w:t>
            </w:r>
          </w:p>
        </w:tc>
      </w:tr>
      <w:tr w:rsidR="00092F60" w:rsidRPr="005A0FCF" w:rsidTr="009236F7">
        <w:tc>
          <w:tcPr>
            <w:tcW w:w="0" w:type="auto"/>
          </w:tcPr>
          <w:p w:rsidR="00092F60" w:rsidRPr="005A0FCF" w:rsidRDefault="00092F60" w:rsidP="007C036E">
            <w:pPr>
              <w:pStyle w:val="TableText0"/>
              <w:spacing w:line="240" w:lineRule="auto"/>
            </w:pPr>
            <w:r w:rsidRPr="005A0FCF">
              <w:t>Monitoring and major intervention costs</w:t>
            </w:r>
          </w:p>
        </w:tc>
        <w:tc>
          <w:tcPr>
            <w:tcW w:w="0" w:type="auto"/>
          </w:tcPr>
          <w:p w:rsidR="00092F60" w:rsidRPr="005A0FCF" w:rsidRDefault="00092F60" w:rsidP="009236F7">
            <w:pPr>
              <w:pStyle w:val="TableText0"/>
              <w:spacing w:line="240" w:lineRule="auto"/>
            </w:pPr>
            <w:r w:rsidRPr="005A0FCF">
              <w:t>The cost of monitoring patients (</w:t>
            </w:r>
            <w:r w:rsidR="009161F9" w:rsidRPr="005A0FCF">
              <w:t>i.e.</w:t>
            </w:r>
            <w:r w:rsidRPr="005A0FCF">
              <w:t>, scans, biopsies, specialist visits) receiving the drug is expected to be high (relative to the cost of the drug), these additional costs are unknown or not been accounted for at the time of the decision to reimburse the drug and the Department would seek to renegotiate with the drug sponsor if these costs are greater than expected.  This may form part of a managed entry arrangement.</w:t>
            </w:r>
          </w:p>
          <w:p w:rsidR="00092F60" w:rsidRPr="005A0FCF" w:rsidRDefault="00092F60" w:rsidP="009236F7">
            <w:pPr>
              <w:pStyle w:val="TableText0"/>
              <w:spacing w:line="240" w:lineRule="auto"/>
            </w:pPr>
          </w:p>
          <w:p w:rsidR="00092F60" w:rsidRPr="005A0FCF" w:rsidRDefault="00092F60" w:rsidP="009236F7">
            <w:pPr>
              <w:pStyle w:val="TableText0"/>
              <w:spacing w:line="240" w:lineRule="auto"/>
            </w:pPr>
            <w:r w:rsidRPr="005A0FCF">
              <w:t>Interventions (hospitalisation, transfusions, organ transplants, medications) that are expected to be avoided or reduce in frequency while on the drug and the Department would seek to renegotiate if costs associated with these interventions are greater than expected.  This may form part of a managed entry arrangement.</w:t>
            </w:r>
          </w:p>
        </w:tc>
        <w:tc>
          <w:tcPr>
            <w:tcW w:w="0" w:type="auto"/>
          </w:tcPr>
          <w:p w:rsidR="00092F60" w:rsidRPr="005A0FCF" w:rsidRDefault="00092F60" w:rsidP="009236F7">
            <w:pPr>
              <w:pStyle w:val="TableText0"/>
              <w:spacing w:line="240" w:lineRule="auto"/>
            </w:pPr>
            <w:r w:rsidRPr="005A0FCF">
              <w:t>The cost of monitoring the use of the drug is unlikely to be substantial.</w:t>
            </w:r>
          </w:p>
          <w:p w:rsidR="00092F60" w:rsidRPr="005A0FCF" w:rsidRDefault="00092F60" w:rsidP="009236F7">
            <w:pPr>
              <w:pStyle w:val="TableText0"/>
              <w:spacing w:line="240" w:lineRule="auto"/>
            </w:pPr>
          </w:p>
          <w:p w:rsidR="00092F60" w:rsidRPr="005A0FCF" w:rsidRDefault="00092F60" w:rsidP="009236F7">
            <w:pPr>
              <w:pStyle w:val="TableText0"/>
              <w:spacing w:line="240" w:lineRule="auto"/>
            </w:pPr>
            <w:r w:rsidRPr="005A0FCF">
              <w:t>The reduction in interventions claimed at the time of the decision to reimburse the drug is likely to be met, or unlikely to impact on the overall cost of treatment.</w:t>
            </w:r>
          </w:p>
          <w:p w:rsidR="00092F60" w:rsidRPr="005A0FCF" w:rsidRDefault="00092F60" w:rsidP="009236F7">
            <w:pPr>
              <w:pStyle w:val="TableText0"/>
              <w:spacing w:line="240" w:lineRule="auto"/>
            </w:pPr>
          </w:p>
          <w:p w:rsidR="00092F60" w:rsidRPr="005A0FCF" w:rsidRDefault="00092F60" w:rsidP="009236F7">
            <w:pPr>
              <w:pStyle w:val="TableText0"/>
              <w:spacing w:line="240" w:lineRule="auto"/>
            </w:pPr>
            <w:r w:rsidRPr="005A0FCF">
              <w:t xml:space="preserve">The ongoing price of the drug to the Government is not linked to other costs or will not be renegotiated on this basis. </w:t>
            </w:r>
          </w:p>
        </w:tc>
      </w:tr>
      <w:tr w:rsidR="00092F60" w:rsidRPr="005A0FCF" w:rsidTr="009236F7">
        <w:tc>
          <w:tcPr>
            <w:tcW w:w="0" w:type="auto"/>
          </w:tcPr>
          <w:p w:rsidR="00092F60" w:rsidRPr="005A0FCF" w:rsidRDefault="00092F60" w:rsidP="007C036E">
            <w:pPr>
              <w:pStyle w:val="TableText0"/>
              <w:spacing w:line="240" w:lineRule="auto"/>
            </w:pPr>
            <w:r w:rsidRPr="005A0FCF">
              <w:t>Baseline and follow up patient / carer reported wellbeing</w:t>
            </w:r>
          </w:p>
        </w:tc>
        <w:tc>
          <w:tcPr>
            <w:tcW w:w="0" w:type="auto"/>
          </w:tcPr>
          <w:p w:rsidR="00092F60" w:rsidRPr="005A0FCF" w:rsidRDefault="00092F60" w:rsidP="009236F7">
            <w:pPr>
              <w:pStyle w:val="TableText0"/>
              <w:spacing w:line="240" w:lineRule="auto"/>
            </w:pPr>
            <w:r w:rsidRPr="005A0FCF">
              <w:t>Improvement of quality of life or pain is an important outcome for the drug, and the agreed price of the drug is linked to a stabilisation or improvement in these outcomes.</w:t>
            </w:r>
          </w:p>
        </w:tc>
        <w:tc>
          <w:tcPr>
            <w:tcW w:w="0" w:type="auto"/>
          </w:tcPr>
          <w:p w:rsidR="00092F60" w:rsidRPr="005A0FCF" w:rsidRDefault="00092F60" w:rsidP="009236F7">
            <w:pPr>
              <w:pStyle w:val="TableText0"/>
              <w:spacing w:line="240" w:lineRule="auto"/>
            </w:pPr>
            <w:r w:rsidRPr="005A0FCF">
              <w:t xml:space="preserve">Patient reported outcomes do not make up the claim of effectiveness for the drug. Price is not linked to establishing an improvement or stabilisation for </w:t>
            </w:r>
            <w:r w:rsidRPr="005A0FCF">
              <w:lastRenderedPageBreak/>
              <w:t>this outcome.</w:t>
            </w:r>
          </w:p>
        </w:tc>
      </w:tr>
      <w:tr w:rsidR="00092F60" w:rsidRPr="005A0FCF" w:rsidTr="009236F7">
        <w:tc>
          <w:tcPr>
            <w:tcW w:w="0" w:type="auto"/>
          </w:tcPr>
          <w:p w:rsidR="00092F60" w:rsidRPr="005A0FCF" w:rsidRDefault="00092F60" w:rsidP="007C036E">
            <w:pPr>
              <w:pStyle w:val="TableText0"/>
              <w:spacing w:line="240" w:lineRule="auto"/>
            </w:pPr>
            <w:r w:rsidRPr="005A0FCF">
              <w:lastRenderedPageBreak/>
              <w:t>Death</w:t>
            </w:r>
          </w:p>
        </w:tc>
        <w:tc>
          <w:tcPr>
            <w:tcW w:w="0" w:type="auto"/>
          </w:tcPr>
          <w:p w:rsidR="00092F60" w:rsidRPr="005A0FCF" w:rsidRDefault="00092F60" w:rsidP="009236F7">
            <w:pPr>
              <w:pStyle w:val="TableText0"/>
              <w:spacing w:line="240" w:lineRule="auto"/>
            </w:pPr>
            <w:r w:rsidRPr="005A0FCF">
              <w:t>This should be sought for all patients. However, while this may be requested from the data provider, this may prove difficult to capture reliably.  Alternative sources for date and cause of death should be sought.</w:t>
            </w:r>
          </w:p>
        </w:tc>
        <w:tc>
          <w:tcPr>
            <w:tcW w:w="0" w:type="auto"/>
          </w:tcPr>
          <w:p w:rsidR="00092F60" w:rsidRPr="005A0FCF" w:rsidRDefault="00092F60" w:rsidP="009236F7">
            <w:pPr>
              <w:pStyle w:val="TableText0"/>
              <w:spacing w:line="240" w:lineRule="auto"/>
            </w:pPr>
            <w:r w:rsidRPr="005A0FCF">
              <w:t>-</w:t>
            </w:r>
          </w:p>
        </w:tc>
      </w:tr>
    </w:tbl>
    <w:p w:rsidR="007C036E" w:rsidRDefault="007C036E" w:rsidP="00475E97"/>
    <w:p w:rsidR="00092F60" w:rsidRDefault="00092F60" w:rsidP="00475E97"/>
    <w:p w:rsidR="00A82D5C" w:rsidRPr="00D227CD" w:rsidRDefault="00092F60" w:rsidP="00A82D5C">
      <w:pPr>
        <w:pStyle w:val="Heading1"/>
      </w:pPr>
      <w:r>
        <w:br w:type="page"/>
      </w:r>
      <w:bookmarkStart w:id="679" w:name="_Toc415141764"/>
      <w:r w:rsidR="00A82D5C" w:rsidRPr="00D227CD">
        <w:lastRenderedPageBreak/>
        <w:t>Conclusion</w:t>
      </w:r>
      <w:bookmarkEnd w:id="679"/>
    </w:p>
    <w:p w:rsidR="00A82D5C" w:rsidRDefault="00A82D5C" w:rsidP="00A82D5C">
      <w:r>
        <w:t xml:space="preserve">During the conduct of this technical assessment new evidence was obtained on the safety and effectiveness of the drugs currently funded </w:t>
      </w:r>
      <w:r w:rsidR="000340F4">
        <w:t>through</w:t>
      </w:r>
      <w:r>
        <w:t xml:space="preserve"> the LSDP. The systematic literature review determined that the findings presented in the new evidence were largely consistent with the original recommendations</w:t>
      </w:r>
      <w:r w:rsidRPr="009749B6">
        <w:t xml:space="preserve"> </w:t>
      </w:r>
      <w:r>
        <w:t>to subsidise these drugs. Specifically,</w:t>
      </w:r>
    </w:p>
    <w:p w:rsidR="00A82D5C" w:rsidRDefault="00A82D5C" w:rsidP="002D77B8">
      <w:pPr>
        <w:pStyle w:val="ListParagraph"/>
        <w:numPr>
          <w:ilvl w:val="0"/>
          <w:numId w:val="86"/>
        </w:numPr>
      </w:pPr>
      <w:r>
        <w:t>One new trial demonstrated that imiglucerase was superior to vitamin D alone at reducing the risk of bleeding and indicators of bone disease in patients with Type 1 Gaucher disease. Post-market data collected on patients receiving subsidised imiglucerase through the LSDP indicated that</w:t>
      </w:r>
      <w:r w:rsidRPr="00D227CD">
        <w:t xml:space="preserve">, on average, </w:t>
      </w:r>
      <w:r>
        <w:t>the</w:t>
      </w:r>
      <w:r w:rsidR="000340F4">
        <w:t>se patients had</w:t>
      </w:r>
      <w:r>
        <w:t xml:space="preserve"> </w:t>
      </w:r>
      <w:r w:rsidRPr="00D227CD">
        <w:t>improve</w:t>
      </w:r>
      <w:r>
        <w:t xml:space="preserve">ments in </w:t>
      </w:r>
      <w:r w:rsidR="000340F4">
        <w:t xml:space="preserve">their </w:t>
      </w:r>
      <w:r w:rsidRPr="00D227CD">
        <w:t>haemoglobin levels, platelet counts and spleen and liver volumes</w:t>
      </w:r>
      <w:r>
        <w:t>.</w:t>
      </w:r>
    </w:p>
    <w:p w:rsidR="00A82D5C" w:rsidRDefault="00A82D5C" w:rsidP="002D77B8">
      <w:pPr>
        <w:pStyle w:val="ListParagraph"/>
        <w:numPr>
          <w:ilvl w:val="0"/>
          <w:numId w:val="86"/>
        </w:numPr>
      </w:pPr>
      <w:r>
        <w:t xml:space="preserve">No new trial evidence was identified on patients receiving velaglucerase alfa to treat Type 1 Gaucher disease. Post-market data </w:t>
      </w:r>
      <w:r w:rsidR="00AF650C">
        <w:t>obtain</w:t>
      </w:r>
      <w:r>
        <w:t>ed on patients receiving subsidised velaglucerase alfa indicated that,</w:t>
      </w:r>
      <w:r w:rsidRPr="00D227CD">
        <w:t xml:space="preserve"> on average, </w:t>
      </w:r>
      <w:r>
        <w:t>the</w:t>
      </w:r>
      <w:r w:rsidR="00AF650C">
        <w:t>se patients had</w:t>
      </w:r>
      <w:r>
        <w:t xml:space="preserve"> </w:t>
      </w:r>
      <w:r w:rsidRPr="00D227CD">
        <w:t xml:space="preserve">improvements in </w:t>
      </w:r>
      <w:r w:rsidR="00AF650C">
        <w:t xml:space="preserve">their </w:t>
      </w:r>
      <w:r w:rsidRPr="00D227CD">
        <w:t>haemoglobin levels, platelet counts and spleen and liver volumes</w:t>
      </w:r>
      <w:r>
        <w:t>.</w:t>
      </w:r>
    </w:p>
    <w:p w:rsidR="00A455CA" w:rsidRDefault="00A455CA" w:rsidP="00A455CA">
      <w:pPr>
        <w:pStyle w:val="ListParagraph"/>
        <w:numPr>
          <w:ilvl w:val="0"/>
          <w:numId w:val="86"/>
        </w:numPr>
      </w:pPr>
      <w:r>
        <w:t xml:space="preserve">No new studies were identified concerning miglustat treatment in patients with Type 1 Gaucher disease. However, information was obtained that was not provided in the original miglustat submission to the PBAC. These new data indicated there were higher chitotriosidase levels in patients receiving miglustat than in those being treated with imiglucerase. No further data were identified to change the original finding that miglustat improved patient quality of life, relative to imiglucerase, as a consequence of the mode of administration of the drug. </w:t>
      </w:r>
    </w:p>
    <w:p w:rsidR="00A82D5C" w:rsidRPr="00CD4920" w:rsidRDefault="00A82D5C" w:rsidP="002D77B8">
      <w:pPr>
        <w:pStyle w:val="ListParagraph"/>
        <w:numPr>
          <w:ilvl w:val="0"/>
          <w:numId w:val="86"/>
        </w:numPr>
      </w:pPr>
      <w:r w:rsidRPr="00CD4920">
        <w:t xml:space="preserve">No new trial evidence was identified on patients receiving agalsidase alfa to treat Fabry disease. Post-market data collected on patients receiving subsidised agalsidase alfa through the LSDP indicated that the average </w:t>
      </w:r>
      <w:r>
        <w:t xml:space="preserve">patient </w:t>
      </w:r>
      <w:r w:rsidRPr="00CD4920">
        <w:t>glomerular filtration rate (GFR)</w:t>
      </w:r>
      <w:r w:rsidRPr="006F3686">
        <w:t xml:space="preserve"> </w:t>
      </w:r>
      <w:r>
        <w:t xml:space="preserve">was </w:t>
      </w:r>
      <w:r w:rsidRPr="00CD4920">
        <w:t>slightly reduced</w:t>
      </w:r>
      <w:r>
        <w:t>. This wa</w:t>
      </w:r>
      <w:r w:rsidRPr="00CD4920">
        <w:t xml:space="preserve">s contrary to the claim made in the submission to </w:t>
      </w:r>
      <w:r>
        <w:t xml:space="preserve">the </w:t>
      </w:r>
      <w:r w:rsidRPr="00CD4920">
        <w:t xml:space="preserve">PBAC that GFR would improve or remain stable. </w:t>
      </w:r>
      <w:r>
        <w:t>These results need to be considered in the context of the</w:t>
      </w:r>
      <w:r w:rsidRPr="00CD4920">
        <w:t xml:space="preserve"> small </w:t>
      </w:r>
      <w:r>
        <w:t>number of patients providing data and the</w:t>
      </w:r>
      <w:r w:rsidRPr="00CD4920">
        <w:t xml:space="preserve"> varying follow-up times</w:t>
      </w:r>
      <w:r>
        <w:t xml:space="preserve"> for each patient</w:t>
      </w:r>
      <w:r w:rsidRPr="00CD4920">
        <w:t>.</w:t>
      </w:r>
    </w:p>
    <w:p w:rsidR="00A82D5C" w:rsidRDefault="00A82D5C" w:rsidP="002D77B8">
      <w:pPr>
        <w:pStyle w:val="ListParagraph"/>
        <w:numPr>
          <w:ilvl w:val="0"/>
          <w:numId w:val="86"/>
        </w:numPr>
      </w:pPr>
      <w:r>
        <w:t>One new trial in six patients</w:t>
      </w:r>
      <w:r w:rsidRPr="00AE120A">
        <w:t xml:space="preserve"> </w:t>
      </w:r>
      <w:r>
        <w:t>with Fabry disease found that patients who received agalsidase beta had better cardiac function than those who received a placebo, although the study was too small to determine whether this difference was due to chance or the impact of the drug. Post-market data collected on patients receiving subsidised agalsidase beta through the LSDP indicated that</w:t>
      </w:r>
      <w:r w:rsidRPr="00D227CD">
        <w:t xml:space="preserve">, on average, </w:t>
      </w:r>
      <w:r>
        <w:t xml:space="preserve">there was a small absolute </w:t>
      </w:r>
      <w:r w:rsidRPr="00D227CD">
        <w:t>improve</w:t>
      </w:r>
      <w:r>
        <w:t>ment in GFR.</w:t>
      </w:r>
    </w:p>
    <w:p w:rsidR="00A82D5C" w:rsidRPr="00290DE3" w:rsidRDefault="00A82D5C" w:rsidP="002D77B8">
      <w:pPr>
        <w:pStyle w:val="ListParagraph"/>
        <w:numPr>
          <w:ilvl w:val="0"/>
          <w:numId w:val="86"/>
        </w:numPr>
      </w:pPr>
      <w:r>
        <w:t xml:space="preserve">No new studies were identified on patients receiving alglucosidase alfa to treat infantile onset Pompe Disease. However, longer term data were obtained for one of the historical control studies provided in the original submission to the PBAC. These new data supported the conclusion that alglucosidase alfa prolongs the survival of patients with infantile onset Pompe Disease. This was further supported by the post-market data collected on patients receiving the drug through the LSDP. </w:t>
      </w:r>
      <w:r w:rsidR="00290DE3">
        <w:rPr>
          <w:noProof/>
          <w:color w:val="000000"/>
          <w:sz w:val="22"/>
          <w:highlight w:val="black"/>
        </w:rPr>
        <w:t xml:space="preserve">''''''''' '''''''''''''' </w:t>
      </w:r>
      <w:r w:rsidR="00290DE3">
        <w:rPr>
          <w:noProof/>
          <w:color w:val="000000"/>
          <w:sz w:val="22"/>
          <w:highlight w:val="black"/>
        </w:rPr>
        <w:lastRenderedPageBreak/>
        <w:t>''''''''''''''''' ''''''''''''''''''''''' ''''''' ''''''''''''''' ''''''' ''''''''''' '''''''' ''''''''''''' ''''''''' '''''''''' ''' '''''''''''''''' '''' ''''''''''''''''''''' '''''''''' ''''' ''''''''''''''''' '''''''' ''''''''''' ''' ''''''''''''''''' ''''''''' '''''''''' '''' ''''''''''' '''''''''''''''''' '''' '''''''''' ''''' '''''''''''''' ''' '''''''''' ''''''' ''''' '''''''''''' ''''''''''''''''''''''</w:t>
      </w:r>
    </w:p>
    <w:p w:rsidR="00A82D5C" w:rsidRDefault="00A82D5C" w:rsidP="002D77B8">
      <w:pPr>
        <w:pStyle w:val="ListParagraph"/>
        <w:numPr>
          <w:ilvl w:val="0"/>
          <w:numId w:val="86"/>
        </w:numPr>
      </w:pPr>
      <w:r>
        <w:t>The original submission for the use of alglucosidase alfa to treat juvenile onset Pompe Disease did not have data stratified according to whether the onset of Pompe Disease occurred as a juvenile or adult. The literature searches for this technical assessment identified one case series and 15 case reports of patients with juvenile onset Pompe Disease who have received the drug. P</w:t>
      </w:r>
      <w:r w:rsidRPr="005F3911">
        <w:t>atients improve</w:t>
      </w:r>
      <w:r>
        <w:t>d</w:t>
      </w:r>
      <w:r w:rsidRPr="005F3911">
        <w:t xml:space="preserve"> from baseline when treated with alglucosidase alfa, in terms of respiratory outcomes and muscle functioning. </w:t>
      </w:r>
      <w:r>
        <w:t>There was a</w:t>
      </w:r>
      <w:r w:rsidRPr="005F3911">
        <w:t xml:space="preserve"> large amount of heterogeneity </w:t>
      </w:r>
      <w:r>
        <w:t xml:space="preserve">in terms of the extent of </w:t>
      </w:r>
      <w:r w:rsidR="00AF650C">
        <w:t xml:space="preserve">patient </w:t>
      </w:r>
      <w:r>
        <w:t>response, as well as</w:t>
      </w:r>
      <w:r w:rsidRPr="005F3911">
        <w:t xml:space="preserve"> differen</w:t>
      </w:r>
      <w:r>
        <w:t>ces in the health</w:t>
      </w:r>
      <w:r w:rsidRPr="005F3911">
        <w:t xml:space="preserve"> outcomes</w:t>
      </w:r>
      <w:r>
        <w:t xml:space="preserve"> that were mentioned. </w:t>
      </w:r>
      <w:r w:rsidRPr="005F3911">
        <w:t xml:space="preserve">Only one patient in Australia is currently receiving </w:t>
      </w:r>
      <w:r>
        <w:t xml:space="preserve">subsidised </w:t>
      </w:r>
      <w:r w:rsidRPr="005F3911">
        <w:t>alglucosidase alfa for juvenile onset Pompe disease.</w:t>
      </w:r>
    </w:p>
    <w:p w:rsidR="00A82D5C" w:rsidRPr="00FE3A13" w:rsidRDefault="00A82D5C" w:rsidP="002D77B8">
      <w:pPr>
        <w:pStyle w:val="ListParagraph"/>
        <w:numPr>
          <w:ilvl w:val="0"/>
          <w:numId w:val="86"/>
        </w:numPr>
      </w:pPr>
      <w:r>
        <w:t xml:space="preserve">In the treatment of mucopolysaccharidosis I (MPS I) with laronidase, one new extension to a trial was identified. These longer term data, of a placebo-controlled trial included in the original submission to the PBAC, were not as favourable to laronidase, indicating that the majority of the improvement occurs in the first 6 months. </w:t>
      </w:r>
      <w:r w:rsidRPr="00FE3A13">
        <w:t xml:space="preserve">Additional distance walked on the 6 minute walk test </w:t>
      </w:r>
      <w:r>
        <w:t xml:space="preserve">(6MWT) </w:t>
      </w:r>
      <w:r w:rsidRPr="00FE3A13">
        <w:t xml:space="preserve">after 3.5 – 4 years was less than after 6 months. Forced vital capacity (FVC) was reduced from baseline after 3.5 - 4 years. Other outcomes (liver volume, apnoea symptoms, </w:t>
      </w:r>
      <w:proofErr w:type="gramStart"/>
      <w:r w:rsidRPr="00FE3A13">
        <w:t>shoulder</w:t>
      </w:r>
      <w:proofErr w:type="gramEnd"/>
      <w:r w:rsidRPr="00FE3A13">
        <w:t xml:space="preserve"> range of motion, visual acuity and disability index) were improved from baseline. Th</w:t>
      </w:r>
      <w:r>
        <w:t>ese</w:t>
      </w:r>
      <w:r w:rsidRPr="00FE3A13">
        <w:t xml:space="preserve"> new </w:t>
      </w:r>
      <w:r>
        <w:t xml:space="preserve">published </w:t>
      </w:r>
      <w:r w:rsidRPr="00FE3A13">
        <w:t xml:space="preserve">data were non-comparative, and </w:t>
      </w:r>
      <w:r>
        <w:t>so it was</w:t>
      </w:r>
      <w:r w:rsidRPr="00FE3A13">
        <w:t xml:space="preserve"> uncertain how the </w:t>
      </w:r>
      <w:r>
        <w:t>results</w:t>
      </w:r>
      <w:r w:rsidRPr="00FE3A13">
        <w:t xml:space="preserve"> </w:t>
      </w:r>
      <w:r>
        <w:t xml:space="preserve">would </w:t>
      </w:r>
      <w:r w:rsidRPr="00FE3A13">
        <w:t xml:space="preserve">compare to an untreated population </w:t>
      </w:r>
      <w:r>
        <w:t>over</w:t>
      </w:r>
      <w:r w:rsidRPr="00FE3A13">
        <w:t xml:space="preserve"> the longer-term. The </w:t>
      </w:r>
      <w:r>
        <w:t xml:space="preserve">format of the </w:t>
      </w:r>
      <w:r w:rsidRPr="00FE3A13">
        <w:t xml:space="preserve">individual data </w:t>
      </w:r>
      <w:r>
        <w:t>collected on patients receiving laronidase through the LSDP prevented analysis</w:t>
      </w:r>
      <w:r w:rsidRPr="00FE3A13">
        <w:t xml:space="preserve"> to determine </w:t>
      </w:r>
      <w:r>
        <w:t>the</w:t>
      </w:r>
      <w:r w:rsidRPr="00FE3A13">
        <w:t xml:space="preserve"> clinical benefit</w:t>
      </w:r>
      <w:r>
        <w:t xml:space="preserve"> of the drug</w:t>
      </w:r>
      <w:r w:rsidRPr="00FE3A13">
        <w:t>.</w:t>
      </w:r>
    </w:p>
    <w:p w:rsidR="00A82D5C" w:rsidRDefault="00A82D5C" w:rsidP="002D77B8">
      <w:pPr>
        <w:pStyle w:val="ListParagraph"/>
        <w:numPr>
          <w:ilvl w:val="0"/>
          <w:numId w:val="86"/>
        </w:numPr>
      </w:pPr>
      <w:r>
        <w:t>In the treatment of mucopolysaccharidosis II (MPS II) with idursulfase, one new extension to a placebo-controlled trial was identified. These longer term data indicated that a</w:t>
      </w:r>
      <w:r w:rsidRPr="00E1659D">
        <w:t xml:space="preserve">bsolute forced vital capacity continued to improve for patients </w:t>
      </w:r>
      <w:r>
        <w:t xml:space="preserve">aged </w:t>
      </w:r>
      <w:r w:rsidRPr="00E1659D">
        <w:t xml:space="preserve">≤18 years with 3 years of treatment with idursulfase. Adult patients (over 18 years) had a slight decrease in absolute forced vital capacity over 3 years. Results on the 6MWT were reasonably similar between 1 year (the length of the </w:t>
      </w:r>
      <w:r>
        <w:t>trial</w:t>
      </w:r>
      <w:r w:rsidRPr="00E1659D">
        <w:t xml:space="preserve">) and 3 years. Liver and spleen volume remained stable between 1 and 3 years, and joint flexibility continued to improve between 1 and 3 years. The extension data are therefore consistent with </w:t>
      </w:r>
      <w:r>
        <w:t xml:space="preserve">the </w:t>
      </w:r>
      <w:r w:rsidR="005F2B0C">
        <w:t>evidence</w:t>
      </w:r>
      <w:r w:rsidR="00885BE7">
        <w:t xml:space="preserve"> that informed the original </w:t>
      </w:r>
      <w:r>
        <w:t>recommendation</w:t>
      </w:r>
      <w:r w:rsidR="005F2B0C">
        <w:t xml:space="preserve"> to fund idursulfase</w:t>
      </w:r>
      <w:r w:rsidRPr="00E1659D">
        <w:t xml:space="preserve">. </w:t>
      </w:r>
      <w:r w:rsidRPr="00FE3A13">
        <w:t xml:space="preserve">The </w:t>
      </w:r>
      <w:r>
        <w:t xml:space="preserve">format of the </w:t>
      </w:r>
      <w:r w:rsidRPr="00FE3A13">
        <w:t xml:space="preserve">individual data </w:t>
      </w:r>
      <w:r>
        <w:t>collected on patients receiving idursulfase through the LSDP prevented analysis</w:t>
      </w:r>
      <w:r w:rsidRPr="00FE3A13">
        <w:t xml:space="preserve"> to determine </w:t>
      </w:r>
      <w:r>
        <w:t>the</w:t>
      </w:r>
      <w:r w:rsidRPr="00FE3A13">
        <w:t xml:space="preserve"> clinical benefit</w:t>
      </w:r>
      <w:r>
        <w:t xml:space="preserve"> of the drug</w:t>
      </w:r>
      <w:r w:rsidRPr="00FE3A13">
        <w:t>.</w:t>
      </w:r>
    </w:p>
    <w:p w:rsidR="00A82D5C" w:rsidRDefault="00A82D5C" w:rsidP="002D77B8">
      <w:pPr>
        <w:pStyle w:val="ListParagraph"/>
        <w:numPr>
          <w:ilvl w:val="0"/>
          <w:numId w:val="86"/>
        </w:numPr>
      </w:pPr>
      <w:r>
        <w:t xml:space="preserve">One new extension to a placebo-controlled trial was identified for the treatment of mucopolysaccharidosis VI (MPS VI) with galsulfase; however, no new data could be extracted from the publication. </w:t>
      </w:r>
      <w:r w:rsidRPr="00FE3A13">
        <w:t xml:space="preserve">The </w:t>
      </w:r>
      <w:r>
        <w:t xml:space="preserve">format of the </w:t>
      </w:r>
      <w:r w:rsidRPr="00FE3A13">
        <w:t xml:space="preserve">individual data </w:t>
      </w:r>
      <w:r>
        <w:t>collected on patients receiving galsulfase through the LSDP prevented analysis</w:t>
      </w:r>
      <w:r w:rsidRPr="00FE3A13">
        <w:t xml:space="preserve"> to determine </w:t>
      </w:r>
      <w:r>
        <w:t>the</w:t>
      </w:r>
      <w:r w:rsidRPr="00FE3A13">
        <w:t xml:space="preserve"> clinical benefit</w:t>
      </w:r>
      <w:r>
        <w:t xml:space="preserve"> of the drug</w:t>
      </w:r>
      <w:r w:rsidRPr="00FE3A13">
        <w:t>.</w:t>
      </w:r>
    </w:p>
    <w:p w:rsidR="00A82D5C" w:rsidRDefault="00A82D5C" w:rsidP="002D77B8">
      <w:pPr>
        <w:pStyle w:val="ListParagraph"/>
        <w:numPr>
          <w:ilvl w:val="0"/>
          <w:numId w:val="86"/>
        </w:numPr>
      </w:pPr>
      <w:r>
        <w:t xml:space="preserve">One new historical control study was identified that assessed the effect of eculizumab on the health of patients with paroxysmal nocturnal haemoglobinuria. </w:t>
      </w:r>
      <w:r w:rsidRPr="00AD6EB0">
        <w:t xml:space="preserve">Survival was improved with eculizumab compared to placebo, </w:t>
      </w:r>
      <w:r w:rsidR="009161F9" w:rsidRPr="00AD6EB0">
        <w:t>with</w:t>
      </w:r>
      <w:r w:rsidRPr="00AD6EB0">
        <w:t xml:space="preserve"> a 5-year survival </w:t>
      </w:r>
      <w:r w:rsidRPr="00AD6EB0">
        <w:lastRenderedPageBreak/>
        <w:t>HR of 0.21 (95%CI 0.05, 0.88). Although the</w:t>
      </w:r>
      <w:r>
        <w:t>re were methodological problems with the</w:t>
      </w:r>
      <w:r w:rsidRPr="00AD6EB0">
        <w:t xml:space="preserve"> study, the results support the clinical claim and </w:t>
      </w:r>
      <w:r>
        <w:t xml:space="preserve">the </w:t>
      </w:r>
      <w:r w:rsidRPr="00AD6EB0">
        <w:t xml:space="preserve">short term data provided in the submission to the PBAC, that eculizumab extends survival in patients with paroxysmal nocturnal haemoglobinuria. </w:t>
      </w:r>
      <w:r w:rsidRPr="00FE3A13">
        <w:t xml:space="preserve">The </w:t>
      </w:r>
      <w:r>
        <w:t xml:space="preserve">format of the </w:t>
      </w:r>
      <w:r w:rsidRPr="00FE3A13">
        <w:t xml:space="preserve">individual data </w:t>
      </w:r>
      <w:r>
        <w:t>collected on patients receiving eculizumab through the LSDP prevented analysis</w:t>
      </w:r>
      <w:r w:rsidRPr="00FE3A13">
        <w:t xml:space="preserve"> to determine </w:t>
      </w:r>
      <w:r>
        <w:t>the</w:t>
      </w:r>
      <w:r w:rsidRPr="00FE3A13">
        <w:t xml:space="preserve"> clinical benefit</w:t>
      </w:r>
      <w:r>
        <w:t xml:space="preserve"> of the drug</w:t>
      </w:r>
      <w:r w:rsidRPr="00FE3A13">
        <w:t>.</w:t>
      </w:r>
    </w:p>
    <w:p w:rsidR="00A82D5C" w:rsidRDefault="00A82D5C" w:rsidP="00A82D5C">
      <w:r>
        <w:t>Although the drugs currently subsidised through the LSDP appear to be clinically effective</w:t>
      </w:r>
      <w:r w:rsidR="005F2B0C">
        <w:t xml:space="preserve"> and with an acceptable safety profile</w:t>
      </w:r>
      <w:r>
        <w:t>, they have been previously determined to be cost-ineffective</w:t>
      </w:r>
      <w:r w:rsidR="005F2B0C">
        <w:t xml:space="preserve"> or the data available were insufficient to estimate the cost-effectiveness</w:t>
      </w:r>
      <w:r>
        <w:t>. The LSDP was created to allow compassionate access to drugs that would improve the survival</w:t>
      </w:r>
      <w:r w:rsidR="00AF650C" w:rsidRPr="00AF650C">
        <w:t xml:space="preserve"> </w:t>
      </w:r>
      <w:r w:rsidR="00AF650C">
        <w:t>of patients with very rare diseases</w:t>
      </w:r>
      <w:r>
        <w:t xml:space="preserve">. There are, however, indications that the LSDP may not be sustainable in its current form. </w:t>
      </w:r>
    </w:p>
    <w:p w:rsidR="00A82D5C" w:rsidRDefault="00A82D5C" w:rsidP="00A82D5C">
      <w:r w:rsidRPr="0004128C">
        <w:t xml:space="preserve">With an increase in knowledge regarding the genetic </w:t>
      </w:r>
      <w:r w:rsidR="00AF650C">
        <w:t>cause</w:t>
      </w:r>
      <w:r w:rsidRPr="0004128C">
        <w:t xml:space="preserve">s </w:t>
      </w:r>
      <w:r w:rsidR="00AF650C">
        <w:t>of</w:t>
      </w:r>
      <w:r w:rsidRPr="0004128C">
        <w:t xml:space="preserve"> many </w:t>
      </w:r>
      <w:r>
        <w:t>condition</w:t>
      </w:r>
      <w:r w:rsidRPr="0004128C">
        <w:t>s, diseases which have pr</w:t>
      </w:r>
      <w:r>
        <w:t>eviously been considered common</w:t>
      </w:r>
      <w:r w:rsidRPr="0004128C">
        <w:t xml:space="preserve"> are now being divided into many different </w:t>
      </w:r>
      <w:r w:rsidR="00AF650C">
        <w:t>‘</w:t>
      </w:r>
      <w:r w:rsidRPr="0004128C">
        <w:t>rare</w:t>
      </w:r>
      <w:r w:rsidR="00AF650C">
        <w:t>’</w:t>
      </w:r>
      <w:r w:rsidRPr="0004128C">
        <w:t xml:space="preserve"> subtypes</w:t>
      </w:r>
      <w:r>
        <w:t>. These subtypes</w:t>
      </w:r>
      <w:r w:rsidRPr="0004128C">
        <w:t xml:space="preserve"> can be individually targeted with drugs </w:t>
      </w:r>
      <w:r w:rsidR="00AF650C">
        <w:t xml:space="preserve">given ‘orphan’ designation by regulatory agencies and </w:t>
      </w:r>
      <w:r w:rsidR="005F2B0C">
        <w:t xml:space="preserve">may be </w:t>
      </w:r>
      <w:r w:rsidR="00AF650C">
        <w:t xml:space="preserve">considered </w:t>
      </w:r>
      <w:r>
        <w:t xml:space="preserve">eligible </w:t>
      </w:r>
      <w:r w:rsidRPr="0004128C">
        <w:t>for the LSDP</w:t>
      </w:r>
      <w:r w:rsidR="00666B42">
        <w:t xml:space="preserve"> according to the current eligibility criteria</w:t>
      </w:r>
      <w:r w:rsidRPr="0004128C">
        <w:t>.</w:t>
      </w:r>
      <w:r>
        <w:t xml:space="preserve"> It may</w:t>
      </w:r>
      <w:r w:rsidR="00666B42">
        <w:t xml:space="preserve"> therefore</w:t>
      </w:r>
      <w:r>
        <w:t xml:space="preserve"> not be financially viable in the long term to determine the eligibility of drugs for</w:t>
      </w:r>
      <w:r w:rsidRPr="004F6336">
        <w:t xml:space="preserve"> </w:t>
      </w:r>
      <w:r>
        <w:t xml:space="preserve">subsidisation through </w:t>
      </w:r>
      <w:r w:rsidRPr="004F6336">
        <w:t xml:space="preserve">the LSDP according to the </w:t>
      </w:r>
      <w:r>
        <w:t>criterion of disease ‘</w:t>
      </w:r>
      <w:r w:rsidRPr="004F6336">
        <w:t>rarity</w:t>
      </w:r>
      <w:r>
        <w:t>’.</w:t>
      </w:r>
    </w:p>
    <w:p w:rsidR="00A82D5C" w:rsidRDefault="00A82D5C" w:rsidP="00A82D5C">
      <w:r>
        <w:t xml:space="preserve">Lessons learned from international experience in the public funding of orphan drugs </w:t>
      </w:r>
      <w:r w:rsidR="00666B42">
        <w:t xml:space="preserve">for rare diseases </w:t>
      </w:r>
      <w:r>
        <w:t xml:space="preserve">show a range of approaches that might be adopted to work towards a sustainable LSDP. Several countries have evaluation and funding mechanisms </w:t>
      </w:r>
      <w:r w:rsidR="00666B42">
        <w:t xml:space="preserve">that are </w:t>
      </w:r>
      <w:r>
        <w:t xml:space="preserve">specific to orphan drugs. </w:t>
      </w:r>
      <w:r w:rsidR="00666B42">
        <w:t>Some</w:t>
      </w:r>
      <w:r>
        <w:t xml:space="preserve"> countries allow special consideration of orphan drugs</w:t>
      </w:r>
      <w:r w:rsidR="00666B42">
        <w:t xml:space="preserve"> as part of their usual reimbursement processes</w:t>
      </w:r>
      <w:r>
        <w:t xml:space="preserve">, including through relaxed requirements for pharmacoeconomic evaluation, a higher cost-effectiveness threshold, </w:t>
      </w:r>
      <w:proofErr w:type="gramStart"/>
      <w:r>
        <w:t>an</w:t>
      </w:r>
      <w:proofErr w:type="gramEnd"/>
      <w:r>
        <w:t xml:space="preserve"> acceptance of poorer quality evidence, consideration of a broader societal perspective or the placement of a greater weight in decision-making on the lack of alternative treatments. Several health systems require that initial funding decisions </w:t>
      </w:r>
      <w:r w:rsidR="00666B42">
        <w:t xml:space="preserve">of orphan drugs </w:t>
      </w:r>
      <w:r>
        <w:t>are re-assessed over the longer term. Managed entry schemes and risk-share arrangements have also been implemented to monitor the performance of orphan drugs.</w:t>
      </w:r>
    </w:p>
    <w:p w:rsidR="00A82D5C" w:rsidRDefault="00A82D5C" w:rsidP="00A82D5C">
      <w:r>
        <w:t xml:space="preserve">In terms of determining the </w:t>
      </w:r>
      <w:r w:rsidR="00666B42">
        <w:t>value for money</w:t>
      </w:r>
      <w:r>
        <w:t xml:space="preserve"> of orphan drugs, there are a number of methods that might be considered. In addition to routine cost-utility analyses, alternative approaches might include:</w:t>
      </w:r>
    </w:p>
    <w:p w:rsidR="00A82D5C" w:rsidRPr="0080346F" w:rsidRDefault="00A82D5C" w:rsidP="00A82D5C">
      <w:pPr>
        <w:pStyle w:val="ListParagraph"/>
        <w:numPr>
          <w:ilvl w:val="0"/>
          <w:numId w:val="75"/>
        </w:numPr>
        <w:rPr>
          <w:rFonts w:asciiTheme="minorHAnsi" w:hAnsiTheme="minorHAnsi"/>
        </w:rPr>
      </w:pPr>
      <w:r w:rsidRPr="0080346F">
        <w:rPr>
          <w:rFonts w:asciiTheme="minorHAnsi" w:hAnsiTheme="minorHAnsi"/>
        </w:rPr>
        <w:t>Broadened cost-utility evaluation</w:t>
      </w:r>
      <w:r>
        <w:rPr>
          <w:rFonts w:asciiTheme="minorHAnsi" w:hAnsiTheme="minorHAnsi"/>
        </w:rPr>
        <w:t>,</w:t>
      </w:r>
      <w:r w:rsidRPr="0080346F">
        <w:rPr>
          <w:rFonts w:asciiTheme="minorHAnsi" w:hAnsiTheme="minorHAnsi"/>
        </w:rPr>
        <w:t xml:space="preserve"> with improved sensitivity and broadened perspective</w:t>
      </w:r>
      <w:r>
        <w:rPr>
          <w:rFonts w:asciiTheme="minorHAnsi" w:hAnsiTheme="minorHAnsi"/>
        </w:rPr>
        <w:t>;</w:t>
      </w:r>
    </w:p>
    <w:p w:rsidR="00A82D5C" w:rsidRPr="0080346F" w:rsidRDefault="00A82D5C" w:rsidP="00A82D5C">
      <w:pPr>
        <w:pStyle w:val="ListParagraph"/>
        <w:numPr>
          <w:ilvl w:val="0"/>
          <w:numId w:val="75"/>
        </w:numPr>
        <w:rPr>
          <w:rFonts w:asciiTheme="minorHAnsi" w:hAnsiTheme="minorHAnsi"/>
        </w:rPr>
      </w:pPr>
      <w:r w:rsidRPr="0080346F">
        <w:rPr>
          <w:rFonts w:asciiTheme="minorHAnsi" w:hAnsiTheme="minorHAnsi"/>
        </w:rPr>
        <w:t>Equity-weighted cost-utility evaluation</w:t>
      </w:r>
      <w:r>
        <w:rPr>
          <w:rFonts w:asciiTheme="minorHAnsi" w:hAnsiTheme="minorHAnsi"/>
        </w:rPr>
        <w:t>,</w:t>
      </w:r>
      <w:r w:rsidRPr="0080346F">
        <w:rPr>
          <w:rFonts w:asciiTheme="minorHAnsi" w:hAnsiTheme="minorHAnsi"/>
        </w:rPr>
        <w:t xml:space="preserve"> using various weighting criteria, </w:t>
      </w:r>
      <w:r w:rsidR="009161F9" w:rsidRPr="0080346F">
        <w:rPr>
          <w:rFonts w:asciiTheme="minorHAnsi" w:hAnsiTheme="minorHAnsi"/>
        </w:rPr>
        <w:t>e.g.</w:t>
      </w:r>
      <w:r w:rsidRPr="0080346F">
        <w:rPr>
          <w:rFonts w:asciiTheme="minorHAnsi" w:hAnsiTheme="minorHAnsi"/>
        </w:rPr>
        <w:t xml:space="preserve"> disease severity (non-specific to orphan drugs), or rarity (specific to orphan drugs)</w:t>
      </w:r>
      <w:r>
        <w:rPr>
          <w:rFonts w:asciiTheme="minorHAnsi" w:hAnsiTheme="minorHAnsi"/>
        </w:rPr>
        <w:t>;</w:t>
      </w:r>
    </w:p>
    <w:p w:rsidR="00A82D5C" w:rsidRPr="0080346F" w:rsidRDefault="00A82D5C" w:rsidP="00A82D5C">
      <w:pPr>
        <w:pStyle w:val="ListParagraph"/>
        <w:numPr>
          <w:ilvl w:val="0"/>
          <w:numId w:val="75"/>
        </w:numPr>
        <w:rPr>
          <w:rFonts w:asciiTheme="minorHAnsi" w:hAnsiTheme="minorHAnsi"/>
        </w:rPr>
      </w:pPr>
      <w:r w:rsidRPr="0080346F">
        <w:rPr>
          <w:rFonts w:asciiTheme="minorHAnsi" w:hAnsiTheme="minorHAnsi"/>
        </w:rPr>
        <w:t>Multi-Criteria Decision Analysis (MCDA)</w:t>
      </w:r>
      <w:r>
        <w:rPr>
          <w:rFonts w:asciiTheme="minorHAnsi" w:hAnsiTheme="minorHAnsi"/>
        </w:rPr>
        <w:t>; or</w:t>
      </w:r>
    </w:p>
    <w:p w:rsidR="00A82D5C" w:rsidRPr="0080346F" w:rsidRDefault="00A82D5C" w:rsidP="00A82D5C">
      <w:pPr>
        <w:pStyle w:val="ListParagraph"/>
        <w:numPr>
          <w:ilvl w:val="0"/>
          <w:numId w:val="75"/>
        </w:numPr>
        <w:rPr>
          <w:rFonts w:asciiTheme="minorHAnsi" w:hAnsiTheme="minorHAnsi"/>
        </w:rPr>
      </w:pPr>
      <w:r w:rsidRPr="0080346F">
        <w:rPr>
          <w:rFonts w:asciiTheme="minorHAnsi" w:hAnsiTheme="minorHAnsi"/>
        </w:rPr>
        <w:lastRenderedPageBreak/>
        <w:t>Input-based costing</w:t>
      </w:r>
      <w:r>
        <w:rPr>
          <w:rFonts w:asciiTheme="minorHAnsi" w:hAnsiTheme="minorHAnsi"/>
        </w:rPr>
        <w:t>.</w:t>
      </w:r>
    </w:p>
    <w:p w:rsidR="00317862" w:rsidRDefault="00A82D5C" w:rsidP="00A82D5C">
      <w:r w:rsidRPr="0080346F">
        <w:t xml:space="preserve">There is evidence that societal preferences do not always follow a utilitarian approach of maximising quality adjusted life years (QALYs). Principles such as equity and social justice may cause </w:t>
      </w:r>
      <w:r>
        <w:t xml:space="preserve">a </w:t>
      </w:r>
      <w:r w:rsidRPr="0080346F">
        <w:t>preference for non-</w:t>
      </w:r>
      <w:r w:rsidR="009161F9" w:rsidRPr="0080346F">
        <w:t>utilitarian</w:t>
      </w:r>
      <w:r w:rsidRPr="0080346F">
        <w:t xml:space="preserve"> allocation. Preferences have been proposed </w:t>
      </w:r>
      <w:r>
        <w:t xml:space="preserve">that </w:t>
      </w:r>
      <w:r w:rsidRPr="0080346F">
        <w:t>plac</w:t>
      </w:r>
      <w:r>
        <w:t>e</w:t>
      </w:r>
      <w:r w:rsidRPr="0080346F">
        <w:t xml:space="preserve"> greater value on</w:t>
      </w:r>
      <w:r>
        <w:t>:</w:t>
      </w:r>
      <w:r w:rsidRPr="0080346F">
        <w:t xml:space="preserve"> i) treatments that are life-saving; ii) treatment for patients with more severe disease; </w:t>
      </w:r>
      <w:r>
        <w:t xml:space="preserve">and </w:t>
      </w:r>
      <w:r w:rsidRPr="0080346F">
        <w:t xml:space="preserve">iii) treatments for populations of social concern such as </w:t>
      </w:r>
      <w:r>
        <w:t xml:space="preserve">the </w:t>
      </w:r>
      <w:r w:rsidRPr="0080346F">
        <w:t xml:space="preserve">socio-economically disadvantaged, children, </w:t>
      </w:r>
      <w:r>
        <w:t>or people with dependents</w:t>
      </w:r>
      <w:r w:rsidRPr="0080346F">
        <w:t xml:space="preserve">. </w:t>
      </w:r>
      <w:r>
        <w:t xml:space="preserve">The cost-utility methods mentioned above incorporate societal preferences </w:t>
      </w:r>
      <w:r w:rsidR="00317862">
        <w:t>as part of</w:t>
      </w:r>
      <w:r>
        <w:t xml:space="preserve"> the ‘value’ metric </w:t>
      </w:r>
      <w:r w:rsidR="00317862">
        <w:t>that is used</w:t>
      </w:r>
      <w:r>
        <w:t xml:space="preserve">. One of the methods (MCDA), however, incorporates these societal preferences through the public funding decision-making process itself. </w:t>
      </w:r>
    </w:p>
    <w:p w:rsidR="00A82D5C" w:rsidRDefault="00A82D5C" w:rsidP="00A82D5C">
      <w:r w:rsidRPr="0080346F">
        <w:t xml:space="preserve">Consideration of the limitations of </w:t>
      </w:r>
      <w:r>
        <w:t xml:space="preserve">the </w:t>
      </w:r>
      <w:r w:rsidRPr="0080346F">
        <w:t xml:space="preserve">available evidence </w:t>
      </w:r>
      <w:r>
        <w:t>to measure</w:t>
      </w:r>
      <w:r w:rsidRPr="0080346F">
        <w:t xml:space="preserve"> </w:t>
      </w:r>
      <w:r>
        <w:t xml:space="preserve">the </w:t>
      </w:r>
      <w:r w:rsidRPr="00317862">
        <w:rPr>
          <w:i/>
        </w:rPr>
        <w:t>clinical effectiveness</w:t>
      </w:r>
      <w:r w:rsidRPr="004A76F6">
        <w:t xml:space="preserve"> </w:t>
      </w:r>
      <w:r w:rsidRPr="0080346F">
        <w:t>of existing drugs on the LSDP</w:t>
      </w:r>
      <w:r>
        <w:t xml:space="preserve"> –</w:t>
      </w:r>
      <w:r w:rsidRPr="0080346F">
        <w:t xml:space="preserve"> to inform a value assessment</w:t>
      </w:r>
      <w:r>
        <w:t xml:space="preserve"> –</w:t>
      </w:r>
      <w:r w:rsidRPr="0080346F">
        <w:t xml:space="preserve"> presents </w:t>
      </w:r>
      <w:r>
        <w:t xml:space="preserve">a </w:t>
      </w:r>
      <w:r w:rsidRPr="0080346F">
        <w:t>difficulty</w:t>
      </w:r>
      <w:r>
        <w:t>,</w:t>
      </w:r>
      <w:r w:rsidRPr="0080346F">
        <w:t xml:space="preserve"> irrespective of the metric used</w:t>
      </w:r>
      <w:r>
        <w:t>. The level of</w:t>
      </w:r>
      <w:r w:rsidRPr="0080346F">
        <w:t xml:space="preserve"> uncertainty</w:t>
      </w:r>
      <w:r>
        <w:t>, or risk,</w:t>
      </w:r>
      <w:r w:rsidRPr="0080346F">
        <w:t xml:space="preserve"> itself may be relevant to incorporate into an alternative value metric</w:t>
      </w:r>
      <w:r>
        <w:t xml:space="preserve">. </w:t>
      </w:r>
    </w:p>
    <w:p w:rsidR="00317862" w:rsidRDefault="00A82D5C" w:rsidP="00A82D5C">
      <w:r>
        <w:t xml:space="preserve">In cases where there are uncertainties regarding aspects of the safety, </w:t>
      </w:r>
      <w:r w:rsidR="00317862">
        <w:t xml:space="preserve">clinical </w:t>
      </w:r>
      <w:r>
        <w:t xml:space="preserve">effectiveness and cost-offsets of the drugs considered eligible for the LSDP, the development of a drug surveillance registry tailored to address these uncertainties would be valuable. This type of data collection would support managed entry or performance-based risk share arrangements. Claims that are made with regard to the safety and </w:t>
      </w:r>
      <w:r w:rsidR="00317862">
        <w:t xml:space="preserve">clinical </w:t>
      </w:r>
      <w:r>
        <w:t xml:space="preserve">effectiveness of these orphan drugs, in terms of individual patients’ responses to the treatments, could be verified. </w:t>
      </w:r>
    </w:p>
    <w:p w:rsidR="00A82D5C" w:rsidRDefault="00A82D5C" w:rsidP="00A82D5C">
      <w:r>
        <w:t>Registry data are not appropriate for determining the comparative clinical effectiveness of different drug treatments – that is the role of randomised controlled trials. However, in cases where there are no alternative treatments that improve patient survival and where there is good information on the natural history of the condition, a drug surveillance registry may be a viable option for confirming the safety and clinical effectiveness of a subsidised drug treatment. It would be important to ensure that the drug surveillance registry is developed to answer a specific question and that the appropriate governance, technical arrangements and resourcing are in place before commencing data collection.</w:t>
      </w:r>
    </w:p>
    <w:p w:rsidR="00A82D5C" w:rsidRPr="004F486E" w:rsidRDefault="00A82D5C" w:rsidP="00317862">
      <w:pPr>
        <w:rPr>
          <w:rFonts w:ascii="Times New Roman" w:hAnsi="Times New Roman"/>
        </w:rPr>
      </w:pPr>
    </w:p>
    <w:p w:rsidR="00A82D5C" w:rsidRDefault="00A82D5C" w:rsidP="00317862">
      <w:pPr>
        <w:rPr>
          <w:rFonts w:asciiTheme="minorHAnsi" w:hAnsiTheme="minorHAnsi" w:cstheme="minorHAnsi"/>
        </w:rPr>
      </w:pPr>
    </w:p>
    <w:p w:rsidR="00A82D5C" w:rsidRDefault="00A82D5C">
      <w:pPr>
        <w:spacing w:after="0" w:line="240" w:lineRule="auto"/>
        <w:jc w:val="left"/>
      </w:pPr>
      <w:r>
        <w:br w:type="page"/>
      </w:r>
    </w:p>
    <w:p w:rsidR="00092F60" w:rsidRPr="00E965BD" w:rsidRDefault="00092F60" w:rsidP="00A82D5C">
      <w:pPr>
        <w:pStyle w:val="Heading1"/>
      </w:pPr>
      <w:bookmarkStart w:id="680" w:name="_Toc404937338"/>
      <w:bookmarkStart w:id="681" w:name="_Toc415141765"/>
      <w:r w:rsidRPr="00A11DCB">
        <w:lastRenderedPageBreak/>
        <w:t>REFERENCES</w:t>
      </w:r>
      <w:bookmarkEnd w:id="680"/>
      <w:bookmarkEnd w:id="681"/>
    </w:p>
    <w:p w:rsidR="00184B6F" w:rsidRPr="00184B6F" w:rsidRDefault="00184B6F" w:rsidP="00184B6F">
      <w:pPr>
        <w:pStyle w:val="EndNoteBibliography"/>
        <w:spacing w:after="0"/>
        <w:rPr>
          <w:rFonts w:asciiTheme="minorHAnsi" w:hAnsiTheme="minorHAnsi"/>
        </w:rPr>
      </w:pPr>
      <w:bookmarkStart w:id="682" w:name="_ENREF_1"/>
      <w:r w:rsidRPr="00184B6F">
        <w:rPr>
          <w:rFonts w:asciiTheme="minorHAnsi" w:hAnsiTheme="minorHAnsi"/>
        </w:rPr>
        <w:t xml:space="preserve">Actelion Pharmaceuticals Australia Pty Ltd. 2007, </w:t>
      </w:r>
      <w:r w:rsidRPr="00184B6F">
        <w:rPr>
          <w:rFonts w:asciiTheme="minorHAnsi" w:hAnsiTheme="minorHAnsi"/>
          <w:i/>
        </w:rPr>
        <w:t>Economic evidence supporting the inclusion of Zavesca(R) on the Pharmaceutical Benefits Scheme</w:t>
      </w:r>
      <w:r w:rsidRPr="00184B6F">
        <w:rPr>
          <w:rFonts w:asciiTheme="minorHAnsi" w:hAnsiTheme="minorHAnsi"/>
        </w:rPr>
        <w:t>.</w:t>
      </w:r>
    </w:p>
    <w:bookmarkEnd w:id="68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83" w:name="_ENREF_2"/>
      <w:r w:rsidRPr="00184B6F">
        <w:rPr>
          <w:rFonts w:asciiTheme="minorHAnsi" w:hAnsiTheme="minorHAnsi"/>
        </w:rPr>
        <w:t xml:space="preserve">Actelion Pharmaceuticals Ltd. 2012, </w:t>
      </w:r>
      <w:r w:rsidRPr="00184B6F">
        <w:rPr>
          <w:rFonts w:asciiTheme="minorHAnsi" w:hAnsiTheme="minorHAnsi"/>
          <w:i/>
        </w:rPr>
        <w:t>Product Monograph: Zavesca(R), miglustat, capsule 100 mg, professed standard, glucosylceramide synthase inhibitor</w:t>
      </w:r>
      <w:r w:rsidRPr="00184B6F">
        <w:rPr>
          <w:rFonts w:asciiTheme="minorHAnsi" w:hAnsiTheme="minorHAnsi"/>
        </w:rPr>
        <w:t>.</w:t>
      </w:r>
    </w:p>
    <w:bookmarkEnd w:id="68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84" w:name="_ENREF_3"/>
      <w:r w:rsidRPr="00184B6F">
        <w:rPr>
          <w:rFonts w:asciiTheme="minorHAnsi" w:hAnsiTheme="minorHAnsi"/>
        </w:rPr>
        <w:t xml:space="preserve">Actelion Pharmaceuticals Ltd. 2013, </w:t>
      </w:r>
      <w:r w:rsidRPr="00184B6F">
        <w:rPr>
          <w:rFonts w:asciiTheme="minorHAnsi" w:hAnsiTheme="minorHAnsi"/>
          <w:i/>
        </w:rPr>
        <w:t>Periodic benefit-risk evaluation report for miglustat (Zavesca(R) / Brazaves (R))</w:t>
      </w:r>
      <w:r w:rsidRPr="00184B6F">
        <w:rPr>
          <w:rFonts w:asciiTheme="minorHAnsi" w:hAnsiTheme="minorHAnsi"/>
        </w:rPr>
        <w:t>.</w:t>
      </w:r>
    </w:p>
    <w:bookmarkEnd w:id="68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85" w:name="_ENREF_4"/>
      <w:r w:rsidRPr="00184B6F">
        <w:rPr>
          <w:rFonts w:asciiTheme="minorHAnsi" w:hAnsiTheme="minorHAnsi"/>
        </w:rPr>
        <w:t xml:space="preserve">Al-Janabi, H, Flynn, TN &amp; Coast, J 2011, 'QALYs and carers', </w:t>
      </w:r>
      <w:r w:rsidRPr="00184B6F">
        <w:rPr>
          <w:rFonts w:asciiTheme="minorHAnsi" w:hAnsiTheme="minorHAnsi"/>
          <w:i/>
        </w:rPr>
        <w:t>PharmacoEconomics</w:t>
      </w:r>
      <w:r w:rsidRPr="00184B6F">
        <w:rPr>
          <w:rFonts w:asciiTheme="minorHAnsi" w:hAnsiTheme="minorHAnsi"/>
        </w:rPr>
        <w:t>, vol. 29, no. 12, Dec, pp. 1015-1023.</w:t>
      </w:r>
    </w:p>
    <w:bookmarkEnd w:id="68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86" w:name="_ENREF_5"/>
      <w:r w:rsidRPr="00184B6F">
        <w:rPr>
          <w:rFonts w:asciiTheme="minorHAnsi" w:hAnsiTheme="minorHAnsi"/>
        </w:rPr>
        <w:t>Alberta Health and Wellness 2008, 'Alberta Rare Diseases Drug Program: Fact Sheet', p. 1, viewed 3 July 2014, &lt;</w:t>
      </w:r>
      <w:r w:rsidRPr="00A62C97">
        <w:rPr>
          <w:rFonts w:asciiTheme="minorHAnsi" w:hAnsiTheme="minorHAnsi"/>
        </w:rPr>
        <w:t>http://www.health.alberta.ca/documents/Pharma-Strategy-2008-rare-disease.pdf&gt;</w:t>
      </w:r>
      <w:r w:rsidRPr="00184B6F">
        <w:rPr>
          <w:rFonts w:asciiTheme="minorHAnsi" w:hAnsiTheme="minorHAnsi"/>
        </w:rPr>
        <w:t>.</w:t>
      </w:r>
    </w:p>
    <w:bookmarkEnd w:id="68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87" w:name="_ENREF_6"/>
      <w:r w:rsidRPr="00184B6F">
        <w:rPr>
          <w:rFonts w:asciiTheme="minorHAnsi" w:hAnsiTheme="minorHAnsi"/>
        </w:rPr>
        <w:t xml:space="preserve">Alegra T, Vairo F, de Souza M V, Krug B C &amp; Schwartz I V D 2012, 'Enzyme replacement therapy for Fabry disease: A systematic review and meta-analysis&lt;p&gt;', </w:t>
      </w:r>
      <w:r w:rsidRPr="00184B6F">
        <w:rPr>
          <w:rFonts w:asciiTheme="minorHAnsi" w:hAnsiTheme="minorHAnsi"/>
          <w:i/>
        </w:rPr>
        <w:t>Genet Mol Biol&lt;p&gt;</w:t>
      </w:r>
      <w:r w:rsidRPr="00184B6F">
        <w:rPr>
          <w:rFonts w:asciiTheme="minorHAnsi" w:hAnsiTheme="minorHAnsi"/>
        </w:rPr>
        <w:t>, vol. 35&lt;p&gt;, no. 4 (suppl)&lt;p&gt;, pp. 947-954&lt;p&gt;.</w:t>
      </w:r>
    </w:p>
    <w:bookmarkEnd w:id="68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88" w:name="_ENREF_7"/>
      <w:r w:rsidRPr="00184B6F">
        <w:rPr>
          <w:rFonts w:asciiTheme="minorHAnsi" w:hAnsiTheme="minorHAnsi"/>
        </w:rPr>
        <w:t xml:space="preserve">Alexion Europe 2013, </w:t>
      </w:r>
      <w:r w:rsidRPr="00184B6F">
        <w:rPr>
          <w:rFonts w:asciiTheme="minorHAnsi" w:hAnsiTheme="minorHAnsi"/>
          <w:i/>
        </w:rPr>
        <w:t>Periodic safety update reort no. 9 for eculizumab</w:t>
      </w:r>
      <w:r w:rsidRPr="00184B6F">
        <w:rPr>
          <w:rFonts w:asciiTheme="minorHAnsi" w:hAnsiTheme="minorHAnsi"/>
        </w:rPr>
        <w:t>.</w:t>
      </w:r>
    </w:p>
    <w:bookmarkEnd w:id="688"/>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689" w:name="_ENREF_8"/>
      <w:r w:rsidRPr="00184B6F">
        <w:rPr>
          <w:rFonts w:asciiTheme="minorHAnsi" w:hAnsiTheme="minorHAnsi"/>
        </w:rPr>
        <w:t xml:space="preserve">All Wales Medicines Strategy Group 2007, 'Idursulfase (Elaprase®) (Structured abstract)', </w:t>
      </w:r>
      <w:r w:rsidRPr="00184B6F">
        <w:rPr>
          <w:rFonts w:asciiTheme="minorHAnsi" w:hAnsiTheme="minorHAnsi"/>
          <w:i/>
        </w:rPr>
        <w:t>Health Technology Assessment Database</w:t>
      </w:r>
      <w:r w:rsidRPr="00184B6F">
        <w:rPr>
          <w:rFonts w:asciiTheme="minorHAnsi" w:hAnsiTheme="minorHAnsi"/>
        </w:rPr>
        <w:t>, no. 4, &lt;</w:t>
      </w:r>
      <w:r w:rsidRPr="00A62C97">
        <w:rPr>
          <w:rFonts w:asciiTheme="minorHAnsi" w:hAnsiTheme="minorHAnsi"/>
        </w:rPr>
        <w:t>http://onlinelibrary.wiley.com/o/cochrane/clhta/articles/HTA-32012000454/frame.html&gt;</w:t>
      </w:r>
      <w:r w:rsidRPr="00184B6F">
        <w:rPr>
          <w:rFonts w:asciiTheme="minorHAnsi" w:hAnsiTheme="minorHAnsi"/>
        </w:rPr>
        <w:t>.</w:t>
      </w:r>
    </w:p>
    <w:bookmarkEnd w:id="68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90" w:name="_ENREF_9"/>
      <w:r w:rsidRPr="00184B6F">
        <w:rPr>
          <w:rFonts w:asciiTheme="minorHAnsi" w:hAnsiTheme="minorHAnsi"/>
        </w:rPr>
        <w:t xml:space="preserve">Alsaad, AM &amp; Koren, G 2014, 'Exposure to rufinamide and risks of CNS adverse events in drug-resistant epilepsy: a meta-analysis of randomized, placebo-controlled trials', </w:t>
      </w:r>
      <w:r w:rsidRPr="00184B6F">
        <w:rPr>
          <w:rFonts w:asciiTheme="minorHAnsi" w:hAnsiTheme="minorHAnsi"/>
          <w:i/>
        </w:rPr>
        <w:t>Br J Clin Pharmacol</w:t>
      </w:r>
      <w:r w:rsidRPr="00184B6F">
        <w:rPr>
          <w:rFonts w:asciiTheme="minorHAnsi" w:hAnsiTheme="minorHAnsi"/>
        </w:rPr>
        <w:t>, vol. 78, no. 6, Dec, pp. 1264-1271.</w:t>
      </w:r>
    </w:p>
    <w:bookmarkEnd w:id="69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91" w:name="_ENREF_10"/>
      <w:r w:rsidRPr="00184B6F">
        <w:rPr>
          <w:rFonts w:asciiTheme="minorHAnsi" w:hAnsiTheme="minorHAnsi"/>
        </w:rPr>
        <w:t xml:space="preserve">Amato, RJ, Hawkins, RE, Kaufman, HL, Thompson, JA, Tomczak, P, Szczylik, C, McDonald, M, Eastty, S, Shingler, WH, de Belin, J, Goonewardena, M, Naylor, S &amp; Harrop, R 2010, 'Vaccination of metastatic renal cancer patients with MVA-5T4: a randomized, double-blind, placebo-controlled phase III study', </w:t>
      </w:r>
      <w:r w:rsidRPr="00184B6F">
        <w:rPr>
          <w:rFonts w:asciiTheme="minorHAnsi" w:hAnsiTheme="minorHAnsi"/>
          <w:i/>
        </w:rPr>
        <w:t>Clin Cancer Res</w:t>
      </w:r>
      <w:r w:rsidRPr="00184B6F">
        <w:rPr>
          <w:rFonts w:asciiTheme="minorHAnsi" w:hAnsiTheme="minorHAnsi"/>
        </w:rPr>
        <w:t>, vol. 16, no. 22, Nov 15, pp. 5539-5547.</w:t>
      </w:r>
    </w:p>
    <w:bookmarkEnd w:id="69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92" w:name="_ENREF_11"/>
      <w:r w:rsidRPr="00184B6F">
        <w:rPr>
          <w:rFonts w:asciiTheme="minorHAnsi" w:hAnsiTheme="minorHAnsi"/>
        </w:rPr>
        <w:t xml:space="preserve">Andrade, SE, Walker, AM, Gottlieb, LK, Hollenberg, NK, Testa, MA, Saperia, GM &amp; Platt, R 1995, 'Discontinuation of antihyperlipidemic drugs--do rates reported in clinical trials reflect rates in primary care settings?', </w:t>
      </w:r>
      <w:r w:rsidRPr="00184B6F">
        <w:rPr>
          <w:rFonts w:asciiTheme="minorHAnsi" w:hAnsiTheme="minorHAnsi"/>
          <w:i/>
        </w:rPr>
        <w:t>N Engl J Med</w:t>
      </w:r>
      <w:r w:rsidRPr="00184B6F">
        <w:rPr>
          <w:rFonts w:asciiTheme="minorHAnsi" w:hAnsiTheme="minorHAnsi"/>
        </w:rPr>
        <w:t>, vol. 332, no. 17, Apr 27, pp. 1125-1131.</w:t>
      </w:r>
    </w:p>
    <w:bookmarkEnd w:id="69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93" w:name="_ENREF_12"/>
      <w:r w:rsidRPr="00184B6F">
        <w:rPr>
          <w:rFonts w:asciiTheme="minorHAnsi" w:hAnsiTheme="minorHAnsi"/>
        </w:rPr>
        <w:t xml:space="preserve">Angelini, C, Semplicini, C, Tonin, P, Filosto, M, Pegoraro, E, Soraru, G &amp; Fanin, M 2009, 'Progress in enzyme replacement therapy in glycogen storage disease type II', </w:t>
      </w:r>
      <w:r w:rsidRPr="00184B6F">
        <w:rPr>
          <w:rFonts w:asciiTheme="minorHAnsi" w:hAnsiTheme="minorHAnsi"/>
          <w:i/>
        </w:rPr>
        <w:t>Therapeutic Advances in Neurological Disorders</w:t>
      </w:r>
      <w:r w:rsidRPr="00184B6F">
        <w:rPr>
          <w:rFonts w:asciiTheme="minorHAnsi" w:hAnsiTheme="minorHAnsi"/>
        </w:rPr>
        <w:t>, vol. 2, no. 3, pp. 143-153.</w:t>
      </w:r>
    </w:p>
    <w:bookmarkEnd w:id="69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94" w:name="_ENREF_13"/>
      <w:r w:rsidRPr="00184B6F">
        <w:rPr>
          <w:rFonts w:asciiTheme="minorHAnsi" w:hAnsiTheme="minorHAnsi"/>
        </w:rPr>
        <w:lastRenderedPageBreak/>
        <w:t xml:space="preserve">Angelis, A &amp; Kanavos, P 2014, 'A conceptual and methodological framework for value assessment of medical technologies using MCDA', paper presented at Health Technology Assessment international, Washington DC, USA, June </w:t>
      </w:r>
    </w:p>
    <w:bookmarkEnd w:id="69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95" w:name="_ENREF_14"/>
      <w:r w:rsidRPr="00184B6F">
        <w:rPr>
          <w:rFonts w:asciiTheme="minorHAnsi" w:hAnsiTheme="minorHAnsi"/>
        </w:rPr>
        <w:t xml:space="preserve">Arts, DG, De Keizer, NF &amp; Scheffer, GJ 2002, 'Defining and improving data quality in medical registries: a literature review, case study, and generic framework', </w:t>
      </w:r>
      <w:r w:rsidRPr="00184B6F">
        <w:rPr>
          <w:rFonts w:asciiTheme="minorHAnsi" w:hAnsiTheme="minorHAnsi"/>
          <w:i/>
        </w:rPr>
        <w:t>J Am Med Inform Assoc</w:t>
      </w:r>
      <w:r w:rsidRPr="00184B6F">
        <w:rPr>
          <w:rFonts w:asciiTheme="minorHAnsi" w:hAnsiTheme="minorHAnsi"/>
        </w:rPr>
        <w:t>, vol. 9, no. 6, Nov-Dec, pp. 600-611.</w:t>
      </w:r>
    </w:p>
    <w:bookmarkEnd w:id="695"/>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696" w:name="_ENREF_15"/>
      <w:r w:rsidRPr="00184B6F">
        <w:rPr>
          <w:rFonts w:asciiTheme="minorHAnsi" w:hAnsiTheme="minorHAnsi"/>
        </w:rPr>
        <w:t xml:space="preserve">Australian Commission on Safety and Quality in Health Care 2009, </w:t>
      </w:r>
      <w:r w:rsidRPr="00184B6F">
        <w:rPr>
          <w:rFonts w:asciiTheme="minorHAnsi" w:hAnsiTheme="minorHAnsi"/>
          <w:i/>
        </w:rPr>
        <w:t>Operating Principles and Technical Standards for Australian Clinical Quality Registries</w:t>
      </w:r>
      <w:r w:rsidRPr="00184B6F">
        <w:rPr>
          <w:rFonts w:asciiTheme="minorHAnsi" w:hAnsiTheme="minorHAnsi"/>
        </w:rPr>
        <w:t>, &lt;</w:t>
      </w:r>
      <w:r w:rsidRPr="00A62C97">
        <w:rPr>
          <w:rFonts w:asciiTheme="minorHAnsi" w:hAnsiTheme="minorHAnsi"/>
        </w:rPr>
        <w:t>http://www.med.monash.edu.au/sphpm/creps/docs/operating-principals-and-technical-standards-nov-2008.pdf&gt;</w:t>
      </w:r>
      <w:r w:rsidRPr="00184B6F">
        <w:rPr>
          <w:rFonts w:asciiTheme="minorHAnsi" w:hAnsiTheme="minorHAnsi"/>
        </w:rPr>
        <w:t>.</w:t>
      </w:r>
    </w:p>
    <w:bookmarkEnd w:id="696"/>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697" w:name="_ENREF_16"/>
      <w:r w:rsidRPr="00184B6F">
        <w:rPr>
          <w:rFonts w:asciiTheme="minorHAnsi" w:hAnsiTheme="minorHAnsi"/>
        </w:rPr>
        <w:t>Australian Government 1990, 'Therapeutic Goods Regulations 1990', &lt;</w:t>
      </w:r>
      <w:r w:rsidRPr="00A62C97">
        <w:rPr>
          <w:rFonts w:asciiTheme="minorHAnsi" w:hAnsiTheme="minorHAnsi"/>
        </w:rPr>
        <w:t>http://www.comlaw.gov.au/Details/F2012C00121&gt;</w:t>
      </w:r>
      <w:r w:rsidRPr="00184B6F">
        <w:rPr>
          <w:rFonts w:asciiTheme="minorHAnsi" w:hAnsiTheme="minorHAnsi"/>
        </w:rPr>
        <w:t>.</w:t>
      </w:r>
    </w:p>
    <w:bookmarkEnd w:id="69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98" w:name="_ENREF_17"/>
      <w:r w:rsidRPr="00184B6F">
        <w:rPr>
          <w:rFonts w:asciiTheme="minorHAnsi" w:hAnsiTheme="minorHAnsi"/>
        </w:rPr>
        <w:t xml:space="preserve">Australian Huntington's Disease Association (NSW) Inc 2014, </w:t>
      </w:r>
      <w:r w:rsidRPr="00184B6F">
        <w:rPr>
          <w:rFonts w:asciiTheme="minorHAnsi" w:hAnsiTheme="minorHAnsi"/>
          <w:i/>
        </w:rPr>
        <w:t>How common is Huntington's Disease?</w:t>
      </w:r>
      <w:r w:rsidRPr="00184B6F">
        <w:rPr>
          <w:rFonts w:asciiTheme="minorHAnsi" w:hAnsiTheme="minorHAnsi"/>
        </w:rPr>
        <w:t>, Australian Huntington's Disease Association (NSW) Inc, New South Wales, Australia., viewed 3 Nov 2014, &lt;</w:t>
      </w:r>
      <w:r w:rsidRPr="00A62C97">
        <w:rPr>
          <w:rFonts w:asciiTheme="minorHAnsi" w:hAnsiTheme="minorHAnsi"/>
        </w:rPr>
        <w:t>http://www.huntingtonsnsw.org.au/information/hd-facts/how-common&gt;</w:t>
      </w:r>
      <w:r w:rsidRPr="00184B6F">
        <w:rPr>
          <w:rFonts w:asciiTheme="minorHAnsi" w:hAnsiTheme="minorHAnsi"/>
        </w:rPr>
        <w:t>.</w:t>
      </w:r>
    </w:p>
    <w:bookmarkEnd w:id="69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699" w:name="_ENREF_18"/>
      <w:r w:rsidRPr="00184B6F">
        <w:rPr>
          <w:rFonts w:asciiTheme="minorHAnsi" w:hAnsiTheme="minorHAnsi"/>
        </w:rPr>
        <w:t xml:space="preserve">Australian Institute of Health and Welfare and Australasian Association of Cancer Registries 2012, </w:t>
      </w:r>
      <w:r w:rsidRPr="00184B6F">
        <w:rPr>
          <w:rFonts w:asciiTheme="minorHAnsi" w:hAnsiTheme="minorHAnsi"/>
          <w:i/>
        </w:rPr>
        <w:t>Cancer in Australia: an overview 2012.</w:t>
      </w:r>
      <w:r w:rsidRPr="00184B6F">
        <w:rPr>
          <w:rFonts w:asciiTheme="minorHAnsi" w:hAnsiTheme="minorHAnsi"/>
        </w:rPr>
        <w:t>, AIHW, Canberra, Australia.</w:t>
      </w:r>
    </w:p>
    <w:bookmarkEnd w:id="69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00" w:name="_ENREF_19"/>
      <w:r w:rsidRPr="00184B6F">
        <w:rPr>
          <w:rFonts w:asciiTheme="minorHAnsi" w:hAnsiTheme="minorHAnsi"/>
        </w:rPr>
        <w:t xml:space="preserve">Badesch, DB, Feldman, J, Keogh, A, Mathier, MA, Oudiz, RJ, Shapiro, S, Farber, HW, McGoon, M, Frost, A, Allard, M, Despain, D, Dufton, C &amp; Rubin, LJ 2012, 'ARIES-3: ambrisentan therapy in a diverse population of patients with pulmonary hypertension', </w:t>
      </w:r>
      <w:r w:rsidRPr="00184B6F">
        <w:rPr>
          <w:rFonts w:asciiTheme="minorHAnsi" w:hAnsiTheme="minorHAnsi"/>
          <w:i/>
        </w:rPr>
        <w:t>Cardiovasc Ther</w:t>
      </w:r>
      <w:r w:rsidRPr="00184B6F">
        <w:rPr>
          <w:rFonts w:asciiTheme="minorHAnsi" w:hAnsiTheme="minorHAnsi"/>
        </w:rPr>
        <w:t>, vol. 30, no. 2, Apr, pp. 93-99.</w:t>
      </w:r>
    </w:p>
    <w:bookmarkEnd w:id="70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01" w:name="_ENREF_20"/>
      <w:r w:rsidRPr="00184B6F">
        <w:rPr>
          <w:rFonts w:asciiTheme="minorHAnsi" w:hAnsiTheme="minorHAnsi"/>
        </w:rPr>
        <w:t xml:space="preserve">Banikazemi, M, Bultas, J, Waldek, S, Wilcox, WR, Whitley, CB, McDonald, M, Finkel, R, Packman, S, Bichet, DG, Warnock, DG &amp; Desnick, RJ 2007, 'Agalsidase-beta therapy for advanced Fabry disease: a randomized trial&lt;p&gt;', </w:t>
      </w:r>
      <w:r w:rsidRPr="00184B6F">
        <w:rPr>
          <w:rFonts w:asciiTheme="minorHAnsi" w:hAnsiTheme="minorHAnsi"/>
          <w:i/>
        </w:rPr>
        <w:t>Ann Intern Med&lt;p&gt;</w:t>
      </w:r>
      <w:r w:rsidRPr="00184B6F">
        <w:rPr>
          <w:rFonts w:asciiTheme="minorHAnsi" w:hAnsiTheme="minorHAnsi"/>
        </w:rPr>
        <w:t>, vol. 146&lt;p&gt;, no. 2&lt;p&gt;, pp. 77-86&lt;p&gt;.</w:t>
      </w:r>
    </w:p>
    <w:bookmarkEnd w:id="70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02" w:name="_ENREF_21"/>
      <w:r w:rsidRPr="00184B6F">
        <w:rPr>
          <w:rFonts w:asciiTheme="minorHAnsi" w:hAnsiTheme="minorHAnsi"/>
        </w:rPr>
        <w:t xml:space="preserve">Banikazemi, M, Bultas, J, Waldek, S, Wilcox, WR, Whitley, CB, McDonald, M, Finkel, R, Packman, S, Bichet, DG, Warnock, DG, Desnick, RJ &amp; Fabry Disease Clinical Trial Study, G 2007, 'Agalsidase-beta therapy for advanced Fabry disease: a randomized trial', Journal </w:t>
      </w:r>
    </w:p>
    <w:p w:rsidR="00184B6F" w:rsidRPr="00184B6F" w:rsidRDefault="00184B6F" w:rsidP="00184B6F">
      <w:pPr>
        <w:pStyle w:val="EndNoteBibliography"/>
        <w:spacing w:after="0"/>
        <w:rPr>
          <w:rFonts w:asciiTheme="minorHAnsi" w:hAnsiTheme="minorHAnsi"/>
        </w:rPr>
      </w:pPr>
      <w:r w:rsidRPr="00184B6F">
        <w:rPr>
          <w:rFonts w:asciiTheme="minorHAnsi" w:hAnsiTheme="minorHAnsi"/>
        </w:rPr>
        <w:t xml:space="preserve">Research Support, Non-U.S. Gov't, </w:t>
      </w:r>
      <w:r w:rsidRPr="00184B6F">
        <w:rPr>
          <w:rFonts w:asciiTheme="minorHAnsi" w:hAnsiTheme="minorHAnsi"/>
          <w:i/>
        </w:rPr>
        <w:t>Ann Intern Med.</w:t>
      </w:r>
      <w:r w:rsidRPr="00184B6F">
        <w:rPr>
          <w:rFonts w:asciiTheme="minorHAnsi" w:hAnsiTheme="minorHAnsi"/>
        </w:rPr>
        <w:t>, vol. 146, no. 2, pp. 77-86&lt;</w:t>
      </w:r>
      <w:r w:rsidRPr="00A62C97">
        <w:rPr>
          <w:rFonts w:asciiTheme="minorHAnsi" w:hAnsiTheme="minorHAnsi"/>
        </w:rPr>
        <w:t>http://annals.org/data/Journals/AIM/20129/0000605-200701160-00148.pdf&gt;</w:t>
      </w:r>
      <w:r w:rsidRPr="00184B6F">
        <w:rPr>
          <w:rFonts w:asciiTheme="minorHAnsi" w:hAnsiTheme="minorHAnsi"/>
        </w:rPr>
        <w:t>.</w:t>
      </w:r>
    </w:p>
    <w:bookmarkEnd w:id="70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03" w:name="_ENREF_22"/>
      <w:r w:rsidRPr="00184B6F">
        <w:rPr>
          <w:rFonts w:asciiTheme="minorHAnsi" w:hAnsiTheme="minorHAnsi"/>
        </w:rPr>
        <w:t xml:space="preserve">Banugaria, SG, Prater, SN, Ng, YK, Kobori, JA, Finkel, RS, Ladda, RL, Chen, YT, Rosenberg, AS &amp; Kishnani, PS 2011, 'The impact of antibodies on clinical outcomes in diseases treated with therapeutic protein: lessons learned from infantile Pompe disease', </w:t>
      </w:r>
      <w:r w:rsidRPr="00184B6F">
        <w:rPr>
          <w:rFonts w:asciiTheme="minorHAnsi" w:hAnsiTheme="minorHAnsi"/>
          <w:i/>
        </w:rPr>
        <w:t>Genet Med</w:t>
      </w:r>
      <w:r w:rsidRPr="00184B6F">
        <w:rPr>
          <w:rFonts w:asciiTheme="minorHAnsi" w:hAnsiTheme="minorHAnsi"/>
        </w:rPr>
        <w:t>, vol. 13, no. 8, Aug, pp. 729-736.</w:t>
      </w:r>
    </w:p>
    <w:bookmarkEnd w:id="70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04" w:name="_ENREF_23"/>
      <w:r w:rsidRPr="00184B6F">
        <w:rPr>
          <w:rFonts w:asciiTheme="minorHAnsi" w:hAnsiTheme="minorHAnsi"/>
        </w:rPr>
        <w:t xml:space="preserve">Banugaria, SG, Prater, SN, Patel, TT, DeArmey, SM, Milleson, C, Sheets, KB, Bali, DS, Rehder, CW, Raiman, JAJ, Wang, RA, Labarthe, F, Charrow, J, Harmatz, P, Chakraborty, P, Rosenberg, </w:t>
      </w:r>
      <w:r w:rsidRPr="00184B6F">
        <w:rPr>
          <w:rFonts w:asciiTheme="minorHAnsi" w:hAnsiTheme="minorHAnsi"/>
        </w:rPr>
        <w:lastRenderedPageBreak/>
        <w:t xml:space="preserve">AS &amp; Kishnani, PS 2013, 'Algorithm for the Early Diagnosis and Treatment of Patients with Cross Reactive Immunologic Material-Negative Classic Infantile Pompe Disease: A Step towards Improving the Efficacy of ERT', </w:t>
      </w:r>
      <w:r w:rsidRPr="00184B6F">
        <w:rPr>
          <w:rFonts w:asciiTheme="minorHAnsi" w:hAnsiTheme="minorHAnsi"/>
          <w:i/>
        </w:rPr>
        <w:t>PLoS ONE</w:t>
      </w:r>
      <w:r w:rsidRPr="00184B6F">
        <w:rPr>
          <w:rFonts w:asciiTheme="minorHAnsi" w:hAnsiTheme="minorHAnsi"/>
        </w:rPr>
        <w:t>, vol. 8, no. 6.</w:t>
      </w:r>
    </w:p>
    <w:bookmarkEnd w:id="70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05" w:name="_ENREF_24"/>
      <w:r w:rsidRPr="00184B6F">
        <w:rPr>
          <w:rFonts w:asciiTheme="minorHAnsi" w:hAnsiTheme="minorHAnsi"/>
        </w:rPr>
        <w:t xml:space="preserve">Bareja, C, Waring, J &amp; Stapledon, R 2014, 'Tuberculosis notifications in Australia, 2010', </w:t>
      </w:r>
      <w:r w:rsidRPr="00184B6F">
        <w:rPr>
          <w:rFonts w:asciiTheme="minorHAnsi" w:hAnsiTheme="minorHAnsi"/>
          <w:i/>
        </w:rPr>
        <w:t>Commun Dis Intell Q Rep</w:t>
      </w:r>
      <w:r w:rsidRPr="00184B6F">
        <w:rPr>
          <w:rFonts w:asciiTheme="minorHAnsi" w:hAnsiTheme="minorHAnsi"/>
        </w:rPr>
        <w:t>, vol. 38, no. 1, pp. E36-48.</w:t>
      </w:r>
    </w:p>
    <w:bookmarkEnd w:id="70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06" w:name="_ENREF_25"/>
      <w:r w:rsidRPr="00184B6F">
        <w:rPr>
          <w:rFonts w:asciiTheme="minorHAnsi" w:hAnsiTheme="minorHAnsi"/>
        </w:rPr>
        <w:t xml:space="preserve">Basch, E &amp; Bennett, AV 2014, 'Patient-reported outcomes in clinical trials of rare diseases', </w:t>
      </w:r>
      <w:r w:rsidRPr="00184B6F">
        <w:rPr>
          <w:rFonts w:asciiTheme="minorHAnsi" w:hAnsiTheme="minorHAnsi"/>
          <w:i/>
        </w:rPr>
        <w:t>J Gen Intern Med</w:t>
      </w:r>
      <w:r w:rsidRPr="00184B6F">
        <w:rPr>
          <w:rFonts w:asciiTheme="minorHAnsi" w:hAnsiTheme="minorHAnsi"/>
        </w:rPr>
        <w:t>, vol. 29 Suppl 3, Aug, pp. S801-803.</w:t>
      </w:r>
    </w:p>
    <w:bookmarkEnd w:id="70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07" w:name="_ENREF_26"/>
      <w:r w:rsidRPr="00184B6F">
        <w:rPr>
          <w:rFonts w:asciiTheme="minorHAnsi" w:hAnsiTheme="minorHAnsi"/>
        </w:rPr>
        <w:t xml:space="preserve">Beaulieu, CL, Samuels, ME, Ekins, S, McMaster, CR, Edwards, AM, Krainer, AR, Hicks, GG, Frey, BJ, Boycott, KM &amp; Mackenzie, AE 2012, 'A generalizable pre-clinical research approach for orphan disease therapy', </w:t>
      </w:r>
      <w:r w:rsidRPr="00184B6F">
        <w:rPr>
          <w:rFonts w:asciiTheme="minorHAnsi" w:hAnsiTheme="minorHAnsi"/>
          <w:i/>
        </w:rPr>
        <w:t>Orphanet J Rare Dis</w:t>
      </w:r>
      <w:r w:rsidRPr="00184B6F">
        <w:rPr>
          <w:rFonts w:asciiTheme="minorHAnsi" w:hAnsiTheme="minorHAnsi"/>
        </w:rPr>
        <w:t>, vol. 7, p. 39.</w:t>
      </w:r>
    </w:p>
    <w:bookmarkEnd w:id="70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08" w:name="_ENREF_27"/>
      <w:r w:rsidRPr="00184B6F">
        <w:rPr>
          <w:rFonts w:asciiTheme="minorHAnsi" w:hAnsiTheme="minorHAnsi"/>
        </w:rPr>
        <w:t xml:space="preserve">Bellgard, MI, Macgregor, A, Janon, F, Harvey, A, O'Leary, P, Hunter, A &amp; Dawkins, H 2012, 'A modular approach to disease registry design: successful adoption of an internet-based rare disease registry', </w:t>
      </w:r>
      <w:r w:rsidRPr="00184B6F">
        <w:rPr>
          <w:rFonts w:asciiTheme="minorHAnsi" w:hAnsiTheme="minorHAnsi"/>
          <w:i/>
        </w:rPr>
        <w:t>Hum Mutat</w:t>
      </w:r>
      <w:r w:rsidRPr="00184B6F">
        <w:rPr>
          <w:rFonts w:asciiTheme="minorHAnsi" w:hAnsiTheme="minorHAnsi"/>
        </w:rPr>
        <w:t>, vol. 33, no. 10, Oct, pp. E2356-2366.</w:t>
      </w:r>
    </w:p>
    <w:bookmarkEnd w:id="70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09" w:name="_ENREF_28"/>
      <w:r w:rsidRPr="00184B6F">
        <w:rPr>
          <w:rFonts w:asciiTheme="minorHAnsi" w:hAnsiTheme="minorHAnsi"/>
        </w:rPr>
        <w:t xml:space="preserve">Bembi, B, Pisa, FE, Confalonieri, M, Ciana, G, Fiumara, A, Parini, R, Rigoldi, M, Moglia, A, Costa, A, Carlucci, A, Danesino, C, Pittis, MG, Dardis, A &amp; Ravaglia, S 2010, 'Long-term observational, non-randomized study of enzyme replacement therapy in late-onset glycogenosis type II', </w:t>
      </w:r>
      <w:r w:rsidRPr="00184B6F">
        <w:rPr>
          <w:rFonts w:asciiTheme="minorHAnsi" w:hAnsiTheme="minorHAnsi"/>
          <w:i/>
        </w:rPr>
        <w:t>Journal of Inherited Metabolic Disease</w:t>
      </w:r>
      <w:r w:rsidRPr="00184B6F">
        <w:rPr>
          <w:rFonts w:asciiTheme="minorHAnsi" w:hAnsiTheme="minorHAnsi"/>
        </w:rPr>
        <w:t>, vol. 33, no. 6, Dec, pp. 727-735.</w:t>
      </w:r>
    </w:p>
    <w:bookmarkEnd w:id="70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10" w:name="_ENREF_29"/>
      <w:r w:rsidRPr="00184B6F">
        <w:rPr>
          <w:rFonts w:asciiTheme="minorHAnsi" w:hAnsiTheme="minorHAnsi"/>
        </w:rPr>
        <w:t xml:space="preserve">Ben Turkia, H, Gonzalez, DE, Barton, NW, Zimran, A, Kabra, M, Lukina, EA, Giraldo, P, Kisinovsky, I, Bavdekar, A, Ben, D, M, F, Gupta, N, Kishnani, PS, Sureshkumar, EK, Wang, N, Crombez, E, Bhirangi, K &amp; Mehta, A 2013, 'Velaglucerase alfa enzyme replacement therapy compared with imiglucerase in patients with Gaucher disease', </w:t>
      </w:r>
      <w:r w:rsidRPr="00184B6F">
        <w:rPr>
          <w:rFonts w:asciiTheme="minorHAnsi" w:hAnsiTheme="minorHAnsi"/>
          <w:i/>
        </w:rPr>
        <w:t>Am J Hematol</w:t>
      </w:r>
      <w:r w:rsidRPr="00184B6F">
        <w:rPr>
          <w:rFonts w:asciiTheme="minorHAnsi" w:hAnsiTheme="minorHAnsi"/>
        </w:rPr>
        <w:t>, vol. 88, pp. 179-184.</w:t>
      </w:r>
    </w:p>
    <w:bookmarkEnd w:id="71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11" w:name="_ENREF_30"/>
      <w:r w:rsidRPr="00184B6F">
        <w:rPr>
          <w:rFonts w:asciiTheme="minorHAnsi" w:hAnsiTheme="minorHAnsi"/>
        </w:rPr>
        <w:t xml:space="preserve">Bernstein, DL, Bialer, MG, Mehta, L &amp; Desnick, RJ 2010, 'Pompe disease: Dramatic improvement in gastrointestinal function following enzyme replacement therapy. A report of three later-onset patients', </w:t>
      </w:r>
      <w:r w:rsidRPr="00184B6F">
        <w:rPr>
          <w:rFonts w:asciiTheme="minorHAnsi" w:hAnsiTheme="minorHAnsi"/>
          <w:i/>
        </w:rPr>
        <w:t>Molecular Genetics and Metabolism</w:t>
      </w:r>
      <w:r w:rsidRPr="00184B6F">
        <w:rPr>
          <w:rFonts w:asciiTheme="minorHAnsi" w:hAnsiTheme="minorHAnsi"/>
        </w:rPr>
        <w:t>, vol. 101, no. 2-3, Oct-Nov, pp. 130-133.</w:t>
      </w:r>
    </w:p>
    <w:bookmarkEnd w:id="711"/>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712" w:name="_ENREF_31"/>
      <w:r w:rsidRPr="00184B6F">
        <w:rPr>
          <w:rFonts w:asciiTheme="minorHAnsi" w:hAnsiTheme="minorHAnsi"/>
        </w:rPr>
        <w:t xml:space="preserve">Better Health Channel 2014, </w:t>
      </w:r>
      <w:r w:rsidRPr="00184B6F">
        <w:rPr>
          <w:rFonts w:asciiTheme="minorHAnsi" w:hAnsiTheme="minorHAnsi"/>
          <w:i/>
        </w:rPr>
        <w:t>Myasthenia gravis</w:t>
      </w:r>
      <w:r w:rsidRPr="00184B6F">
        <w:rPr>
          <w:rFonts w:asciiTheme="minorHAnsi" w:hAnsiTheme="minorHAnsi"/>
        </w:rPr>
        <w:t>, Government of Victoria., viewed 5 November 2014, &lt;</w:t>
      </w:r>
      <w:r w:rsidRPr="00A62C97">
        <w:rPr>
          <w:rFonts w:asciiTheme="minorHAnsi" w:hAnsiTheme="minorHAnsi"/>
        </w:rPr>
        <w:t>http://www.betterhealth.vic.gov.au/bhcv2/bhcarticles.nsf/pages/Myasthenia_gravis&gt;</w:t>
      </w:r>
      <w:r w:rsidRPr="00184B6F">
        <w:rPr>
          <w:rFonts w:asciiTheme="minorHAnsi" w:hAnsiTheme="minorHAnsi"/>
        </w:rPr>
        <w:t>.</w:t>
      </w:r>
    </w:p>
    <w:bookmarkEnd w:id="71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13" w:name="_ENREF_32"/>
      <w:r w:rsidRPr="00184B6F">
        <w:rPr>
          <w:rFonts w:asciiTheme="minorHAnsi" w:hAnsiTheme="minorHAnsi"/>
        </w:rPr>
        <w:t xml:space="preserve">Bhengu, L, Davidson, A, du Toit, P, Els, C, Gerntholtz, T, Govendrageloo, K, Henderson, B, Mubaiwa, L &amp; Varughese, S 2014, 'Diagnosis and management of Pompe disease', </w:t>
      </w:r>
      <w:r w:rsidRPr="00184B6F">
        <w:rPr>
          <w:rFonts w:asciiTheme="minorHAnsi" w:hAnsiTheme="minorHAnsi"/>
          <w:i/>
        </w:rPr>
        <w:t>S Afr Med J</w:t>
      </w:r>
      <w:r w:rsidRPr="00184B6F">
        <w:rPr>
          <w:rFonts w:asciiTheme="minorHAnsi" w:hAnsiTheme="minorHAnsi"/>
        </w:rPr>
        <w:t>, vol. 104, no. 4, Apr, pp. 273-274.</w:t>
      </w:r>
    </w:p>
    <w:bookmarkEnd w:id="71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14" w:name="_ENREF_33"/>
      <w:r w:rsidRPr="00184B6F">
        <w:rPr>
          <w:rFonts w:asciiTheme="minorHAnsi" w:hAnsiTheme="minorHAnsi"/>
        </w:rPr>
        <w:t xml:space="preserve">BIA UK BioIndustry Association 2014, </w:t>
      </w:r>
      <w:r w:rsidRPr="00184B6F">
        <w:rPr>
          <w:rFonts w:asciiTheme="minorHAnsi" w:hAnsiTheme="minorHAnsi"/>
          <w:i/>
        </w:rPr>
        <w:t>Very rare diseases, complex issues: Future evaluation of ultra-orphan medicines in the UK</w:t>
      </w:r>
      <w:r w:rsidRPr="00184B6F">
        <w:rPr>
          <w:rFonts w:asciiTheme="minorHAnsi" w:hAnsiTheme="minorHAnsi"/>
        </w:rPr>
        <w:t>.</w:t>
      </w:r>
    </w:p>
    <w:bookmarkEnd w:id="71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15" w:name="_ENREF_34"/>
      <w:r w:rsidRPr="00184B6F">
        <w:rPr>
          <w:rFonts w:asciiTheme="minorHAnsi" w:hAnsiTheme="minorHAnsi"/>
        </w:rPr>
        <w:lastRenderedPageBreak/>
        <w:t xml:space="preserve">Bierer, G, Balfe, D, Wilcox, WR &amp; Mosenifar, Z 2006, 'Improvement in serial cardiopulmonary exercise testing following enzyme replacement therapy in Fabry disease', </w:t>
      </w:r>
      <w:r w:rsidRPr="00184B6F">
        <w:rPr>
          <w:rFonts w:asciiTheme="minorHAnsi" w:hAnsiTheme="minorHAnsi"/>
          <w:i/>
        </w:rPr>
        <w:t>Journal of Inherited Metabolic Disease</w:t>
      </w:r>
      <w:r w:rsidRPr="00184B6F">
        <w:rPr>
          <w:rFonts w:asciiTheme="minorHAnsi" w:hAnsiTheme="minorHAnsi"/>
        </w:rPr>
        <w:t>, vol. 29, no. 4, pp. 572-579.</w:t>
      </w:r>
    </w:p>
    <w:bookmarkEnd w:id="71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16" w:name="_ENREF_35"/>
      <w:r w:rsidRPr="00184B6F">
        <w:rPr>
          <w:rFonts w:asciiTheme="minorHAnsi" w:hAnsiTheme="minorHAnsi"/>
        </w:rPr>
        <w:t>BioMarin Pharmaceuticals Inc. 2014, 'Periodic benefit risk evaluation report for Naglazyme (galsulfase) Report Period 01 Jun 2013 - 31 May 2014'.</w:t>
      </w:r>
    </w:p>
    <w:bookmarkEnd w:id="71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17" w:name="_ENREF_36"/>
      <w:r w:rsidRPr="00184B6F">
        <w:rPr>
          <w:rFonts w:asciiTheme="minorHAnsi" w:hAnsiTheme="minorHAnsi"/>
        </w:rPr>
        <w:t xml:space="preserve">Bisset, C 2014, </w:t>
      </w:r>
      <w:r w:rsidRPr="00184B6F">
        <w:rPr>
          <w:rFonts w:asciiTheme="minorHAnsi" w:hAnsiTheme="minorHAnsi"/>
          <w:i/>
        </w:rPr>
        <w:t>Too much of a good thing: is the orphan drug act sustainable?</w:t>
      </w:r>
      <w:r w:rsidRPr="00184B6F">
        <w:rPr>
          <w:rFonts w:asciiTheme="minorHAnsi" w:hAnsiTheme="minorHAnsi"/>
        </w:rPr>
        <w:t>, Total Orphan Drugs, viewed 23rd November 2014, &lt;</w:t>
      </w:r>
      <w:r w:rsidRPr="00A62C97">
        <w:rPr>
          <w:rFonts w:asciiTheme="minorHAnsi" w:hAnsiTheme="minorHAnsi"/>
        </w:rPr>
        <w:t>http://www.orphan-drugs.org/2014/04/03/breaking-point-cost-increasing-orphan-drug-designations/&gt;</w:t>
      </w:r>
      <w:r w:rsidRPr="00184B6F">
        <w:rPr>
          <w:rFonts w:asciiTheme="minorHAnsi" w:hAnsiTheme="minorHAnsi"/>
        </w:rPr>
        <w:t>.</w:t>
      </w:r>
    </w:p>
    <w:bookmarkEnd w:id="71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18" w:name="_ENREF_37"/>
      <w:r w:rsidRPr="00184B6F">
        <w:rPr>
          <w:rFonts w:asciiTheme="minorHAnsi" w:hAnsiTheme="minorHAnsi"/>
        </w:rPr>
        <w:t xml:space="preserve">Bleichrodt, H, Diecidue, E &amp; Quiggin, J 2004, 'Equity weights in the allocation of health care: the rank-dependent QALY model', </w:t>
      </w:r>
      <w:r w:rsidRPr="00184B6F">
        <w:rPr>
          <w:rFonts w:asciiTheme="minorHAnsi" w:hAnsiTheme="minorHAnsi"/>
          <w:i/>
        </w:rPr>
        <w:t>J Health Econ</w:t>
      </w:r>
      <w:r w:rsidRPr="00184B6F">
        <w:rPr>
          <w:rFonts w:asciiTheme="minorHAnsi" w:hAnsiTheme="minorHAnsi"/>
        </w:rPr>
        <w:t>, vol. 23, no. 1, Jan, pp. 157-171.</w:t>
      </w:r>
    </w:p>
    <w:bookmarkEnd w:id="71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19" w:name="_ENREF_38"/>
      <w:r w:rsidRPr="00184B6F">
        <w:rPr>
          <w:rFonts w:asciiTheme="minorHAnsi" w:hAnsiTheme="minorHAnsi"/>
        </w:rPr>
        <w:t xml:space="preserve">Bobinac, A, van Exel, J, Rutten, FH &amp; Brouwer, WF 2014, 'The Value of a QALY: Individual Willingness to Pay for Health Gains Under Risk', </w:t>
      </w:r>
      <w:r w:rsidRPr="00184B6F">
        <w:rPr>
          <w:rFonts w:asciiTheme="minorHAnsi" w:hAnsiTheme="minorHAnsi"/>
          <w:i/>
        </w:rPr>
        <w:t>PharmacoEconomics</w:t>
      </w:r>
      <w:r w:rsidRPr="00184B6F">
        <w:rPr>
          <w:rFonts w:asciiTheme="minorHAnsi" w:hAnsiTheme="minorHAnsi"/>
        </w:rPr>
        <w:t>, vol. 32, no. 1, 2014/01/01, pp. 75-86.</w:t>
      </w:r>
    </w:p>
    <w:bookmarkEnd w:id="71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20" w:name="_ENREF_39"/>
      <w:r w:rsidRPr="00184B6F">
        <w:rPr>
          <w:rFonts w:asciiTheme="minorHAnsi" w:hAnsiTheme="minorHAnsi"/>
        </w:rPr>
        <w:t xml:space="preserve">Bobinac, A, van Exel, NJ, Rutten, FF &amp; Brouwer, WB 2012, 'Inquiry into the relationship between equity weights and the value of the QALY', </w:t>
      </w:r>
      <w:r w:rsidRPr="00184B6F">
        <w:rPr>
          <w:rFonts w:asciiTheme="minorHAnsi" w:hAnsiTheme="minorHAnsi"/>
          <w:i/>
        </w:rPr>
        <w:t>Value Health</w:t>
      </w:r>
      <w:r w:rsidRPr="00184B6F">
        <w:rPr>
          <w:rFonts w:asciiTheme="minorHAnsi" w:hAnsiTheme="minorHAnsi"/>
        </w:rPr>
        <w:t>, vol. 15, no. 8, Dec, pp. 1119-1126.</w:t>
      </w:r>
    </w:p>
    <w:bookmarkEnd w:id="72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21" w:name="_ENREF_40"/>
      <w:r w:rsidRPr="00184B6F">
        <w:rPr>
          <w:rFonts w:asciiTheme="minorHAnsi" w:hAnsiTheme="minorHAnsi"/>
        </w:rPr>
        <w:t xml:space="preserve">Boycott, KM, Vanstone, MR, Bulman, DE &amp; MacKenzie, AE 2013, 'Rare-disease genetics in the era of next-generation sequencing: discovery to translation', </w:t>
      </w:r>
      <w:r w:rsidRPr="00184B6F">
        <w:rPr>
          <w:rFonts w:asciiTheme="minorHAnsi" w:hAnsiTheme="minorHAnsi"/>
          <w:i/>
        </w:rPr>
        <w:t>Nat Rev Genet</w:t>
      </w:r>
      <w:r w:rsidRPr="00184B6F">
        <w:rPr>
          <w:rFonts w:asciiTheme="minorHAnsi" w:hAnsiTheme="minorHAnsi"/>
        </w:rPr>
        <w:t>, vol. 14, no. 10, Oct, pp. 681-691.</w:t>
      </w:r>
    </w:p>
    <w:bookmarkEnd w:id="72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22" w:name="_ENREF_41"/>
      <w:r w:rsidRPr="00184B6F">
        <w:rPr>
          <w:rFonts w:asciiTheme="minorHAnsi" w:hAnsiTheme="minorHAnsi"/>
        </w:rPr>
        <w:t xml:space="preserve">Brandt, CA, Argraves, S, Money, R, Ananth, G, Trocky, NM &amp; Nadkarni, PM 2006, 'Informatics tools to improve clinical research study implementation', </w:t>
      </w:r>
      <w:r w:rsidRPr="00184B6F">
        <w:rPr>
          <w:rFonts w:asciiTheme="minorHAnsi" w:hAnsiTheme="minorHAnsi"/>
          <w:i/>
        </w:rPr>
        <w:t>Contemp Clin Trials</w:t>
      </w:r>
      <w:r w:rsidRPr="00184B6F">
        <w:rPr>
          <w:rFonts w:asciiTheme="minorHAnsi" w:hAnsiTheme="minorHAnsi"/>
        </w:rPr>
        <w:t>, vol. 27, no. 2, Apr, pp. 112-122.</w:t>
      </w:r>
    </w:p>
    <w:bookmarkEnd w:id="722"/>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723" w:name="_ENREF_42"/>
      <w:r w:rsidRPr="00184B6F">
        <w:rPr>
          <w:rFonts w:asciiTheme="minorHAnsi" w:hAnsiTheme="minorHAnsi"/>
        </w:rPr>
        <w:t xml:space="preserve">Braunlin, E, Rosenfeld, H, Kampmann, C, Johnson, J, Beck, M &amp; Giugliani, R 2013, 'Enzyme replacement therapy for mucopolysaccharidosis VI: long-term cardiac effects of galsulfase (Naglazyme(R)) therapy', </w:t>
      </w:r>
      <w:r w:rsidRPr="00184B6F">
        <w:rPr>
          <w:rFonts w:asciiTheme="minorHAnsi" w:hAnsiTheme="minorHAnsi"/>
          <w:i/>
        </w:rPr>
        <w:t>Journal of Inherited Metabolic Disease</w:t>
      </w:r>
      <w:r w:rsidRPr="00184B6F">
        <w:rPr>
          <w:rFonts w:asciiTheme="minorHAnsi" w:hAnsiTheme="minorHAnsi"/>
        </w:rPr>
        <w:t>, vol. 36, no. 2, pp. 385-394, DOI 10.1007/s10545-012-9481-2, &lt;</w:t>
      </w:r>
      <w:r w:rsidRPr="00A62C97">
        <w:rPr>
          <w:rFonts w:asciiTheme="minorHAnsi" w:hAnsiTheme="minorHAnsi"/>
        </w:rPr>
        <w:t>http://onlinelibrary.wiley.com/o/cochrane/clcentral/articles/180/CN-00973180/frame.html&gt;</w:t>
      </w:r>
      <w:r w:rsidRPr="00184B6F">
        <w:rPr>
          <w:rFonts w:asciiTheme="minorHAnsi" w:hAnsiTheme="minorHAnsi"/>
        </w:rPr>
        <w:t>.</w:t>
      </w:r>
    </w:p>
    <w:bookmarkEnd w:id="72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24" w:name="_ENREF_43"/>
      <w:r w:rsidRPr="00184B6F">
        <w:rPr>
          <w:rFonts w:asciiTheme="minorHAnsi" w:hAnsiTheme="minorHAnsi"/>
        </w:rPr>
        <w:t xml:space="preserve">Brodsky, RA, Young, NS, Antonioli, E, Risitano, AM, Schrezenmeier, H, Schubert, J, Gaya, A, Coyle, L, de Castro, C, Fu, CL, Maciejewski, JP, Bessler, M, Kroon, HA, Rother, RP &amp; Hillmen, P 2008, 'Multicenter phase 3 study of the complement inhibitor eculizumab for the treatment of patients with paroxysmal nocturnal hemoglobinuria', </w:t>
      </w:r>
      <w:r w:rsidRPr="00184B6F">
        <w:rPr>
          <w:rFonts w:asciiTheme="minorHAnsi" w:hAnsiTheme="minorHAnsi"/>
          <w:i/>
        </w:rPr>
        <w:t>Blood</w:t>
      </w:r>
      <w:r w:rsidRPr="00184B6F">
        <w:rPr>
          <w:rFonts w:asciiTheme="minorHAnsi" w:hAnsiTheme="minorHAnsi"/>
        </w:rPr>
        <w:t>, vol. 111, no. 4, Feb 15, pp. 1840-1847.</w:t>
      </w:r>
    </w:p>
    <w:bookmarkEnd w:id="72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25" w:name="_ENREF_44"/>
      <w:r w:rsidRPr="00184B6F">
        <w:rPr>
          <w:rFonts w:asciiTheme="minorHAnsi" w:hAnsiTheme="minorHAnsi"/>
        </w:rPr>
        <w:t xml:space="preserve">CADTH 2011, </w:t>
      </w:r>
      <w:r w:rsidRPr="00184B6F">
        <w:rPr>
          <w:rFonts w:asciiTheme="minorHAnsi" w:hAnsiTheme="minorHAnsi"/>
          <w:i/>
        </w:rPr>
        <w:t>Eliglustat tartrate, miglustat, imiglucerase, velaglucerase or a combination of these for the treatment of gaucher disease: a review of clinical effectiveness and safety (Structured abstract)</w:t>
      </w:r>
      <w:r w:rsidRPr="00184B6F">
        <w:rPr>
          <w:rFonts w:asciiTheme="minorHAnsi" w:hAnsiTheme="minorHAnsi"/>
        </w:rPr>
        <w:t>,  Health Technology Assessment Database, Canadian Agency for Drugs and Technologies in Health (CADTH), Ottawa.</w:t>
      </w:r>
    </w:p>
    <w:bookmarkEnd w:id="725"/>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726" w:name="_ENREF_45"/>
      <w:r w:rsidRPr="00184B6F">
        <w:rPr>
          <w:rFonts w:asciiTheme="minorHAnsi" w:hAnsiTheme="minorHAnsi"/>
        </w:rPr>
        <w:t>Canadian Agency for Drugs and Technologies in Health 2013, 'Drugs for rare diseases: evolving trends in regulatory and health technology assessment perspectives', pp. 1-40, viewed 3 July 2014, &lt;</w:t>
      </w:r>
      <w:r w:rsidRPr="00A62C97">
        <w:rPr>
          <w:rFonts w:asciiTheme="minorHAnsi" w:hAnsiTheme="minorHAnsi"/>
        </w:rPr>
        <w:t>http://www.cadth.ca/products/environmental-scanning/environmental-scans/environmental-scan-42&gt;</w:t>
      </w:r>
      <w:r w:rsidRPr="00184B6F">
        <w:rPr>
          <w:rFonts w:asciiTheme="minorHAnsi" w:hAnsiTheme="minorHAnsi"/>
        </w:rPr>
        <w:t>.</w:t>
      </w:r>
    </w:p>
    <w:bookmarkEnd w:id="72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27" w:name="_ENREF_46"/>
      <w:r w:rsidRPr="00184B6F">
        <w:rPr>
          <w:rFonts w:asciiTheme="minorHAnsi" w:hAnsiTheme="minorHAnsi"/>
        </w:rPr>
        <w:t xml:space="preserve">Casal, JA, Lacerda, L, Perez, LF, Pinto, RA, Miranda, MCS &amp; Tutor, JC 2002, 'Relationship between serum markers on monocyte/macrophage activation in type 1 </w:t>
      </w:r>
      <w:r w:rsidR="00E51493">
        <w:rPr>
          <w:rFonts w:asciiTheme="minorHAnsi" w:hAnsiTheme="minorHAnsi"/>
        </w:rPr>
        <w:t>Gaucher disease</w:t>
      </w:r>
      <w:r w:rsidRPr="00184B6F">
        <w:rPr>
          <w:rFonts w:asciiTheme="minorHAnsi" w:hAnsiTheme="minorHAnsi"/>
        </w:rPr>
        <w:t xml:space="preserve">', </w:t>
      </w:r>
      <w:r w:rsidRPr="00184B6F">
        <w:rPr>
          <w:rFonts w:asciiTheme="minorHAnsi" w:hAnsiTheme="minorHAnsi"/>
          <w:i/>
        </w:rPr>
        <w:t>Clinical Chemistry and Laboratory Medicine</w:t>
      </w:r>
      <w:r w:rsidRPr="00184B6F">
        <w:rPr>
          <w:rFonts w:asciiTheme="minorHAnsi" w:hAnsiTheme="minorHAnsi"/>
        </w:rPr>
        <w:t>, vol. 40, pp. 52-55.</w:t>
      </w:r>
    </w:p>
    <w:bookmarkEnd w:id="72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28" w:name="_ENREF_47"/>
      <w:r w:rsidRPr="00184B6F">
        <w:rPr>
          <w:rFonts w:asciiTheme="minorHAnsi" w:hAnsiTheme="minorHAnsi"/>
        </w:rPr>
        <w:t xml:space="preserve">Centre for Drug Evaluation and Research 2010, </w:t>
      </w:r>
      <w:r w:rsidRPr="00184B6F">
        <w:rPr>
          <w:rFonts w:asciiTheme="minorHAnsi" w:hAnsiTheme="minorHAnsi"/>
          <w:i/>
        </w:rPr>
        <w:t>VPRIV(R) (velaglucerase alfa, Gene-Activated(R) Glucocerebrosidase [GA-GCB]) 60 Units/lg Intravenous Every Other Week</w:t>
      </w:r>
      <w:r w:rsidRPr="00184B6F">
        <w:rPr>
          <w:rFonts w:asciiTheme="minorHAnsi" w:hAnsiTheme="minorHAnsi"/>
        </w:rPr>
        <w:t>,  Statistical Reviews and Evaluation, Clinical Studies, Food and Drug Administration.</w:t>
      </w:r>
    </w:p>
    <w:bookmarkEnd w:id="72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29" w:name="_ENREF_48"/>
      <w:r w:rsidRPr="00184B6F">
        <w:rPr>
          <w:rFonts w:asciiTheme="minorHAnsi" w:hAnsiTheme="minorHAnsi"/>
        </w:rPr>
        <w:t xml:space="preserve">Chakrapani, A, Vellodi, A, Robinson, P, Jones, S &amp; Wraith, JE 2010, 'Treatment of infantile Pompe disease with alglucosidase alpha: The UK experience', </w:t>
      </w:r>
      <w:r w:rsidRPr="00184B6F">
        <w:rPr>
          <w:rFonts w:asciiTheme="minorHAnsi" w:hAnsiTheme="minorHAnsi"/>
          <w:i/>
        </w:rPr>
        <w:t>Journal of Inherited Metabolic Disease</w:t>
      </w:r>
      <w:r w:rsidRPr="00184B6F">
        <w:rPr>
          <w:rFonts w:asciiTheme="minorHAnsi" w:hAnsiTheme="minorHAnsi"/>
        </w:rPr>
        <w:t>, vol. 33, no. 6, pp. 747-750.</w:t>
      </w:r>
    </w:p>
    <w:bookmarkEnd w:id="72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30" w:name="_ENREF_49"/>
      <w:r w:rsidRPr="00184B6F">
        <w:rPr>
          <w:rFonts w:asciiTheme="minorHAnsi" w:hAnsiTheme="minorHAnsi"/>
        </w:rPr>
        <w:t xml:space="preserve">Chalkidou, K, Lord, J, Fischer, A &amp; Littlejohns, P 2008, 'Evidence-based decision making: when should we wait for more information?', </w:t>
      </w:r>
      <w:r w:rsidRPr="00184B6F">
        <w:rPr>
          <w:rFonts w:asciiTheme="minorHAnsi" w:hAnsiTheme="minorHAnsi"/>
          <w:i/>
        </w:rPr>
        <w:t>Health Aff (Millwood)</w:t>
      </w:r>
      <w:r w:rsidRPr="00184B6F">
        <w:rPr>
          <w:rFonts w:asciiTheme="minorHAnsi" w:hAnsiTheme="minorHAnsi"/>
        </w:rPr>
        <w:t>, vol. 27, no. 6, Nov-Dec, pp. 1642-1653.</w:t>
      </w:r>
    </w:p>
    <w:bookmarkEnd w:id="73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31" w:name="_ENREF_50"/>
      <w:r w:rsidRPr="00184B6F">
        <w:rPr>
          <w:rFonts w:asciiTheme="minorHAnsi" w:hAnsiTheme="minorHAnsi"/>
        </w:rPr>
        <w:t xml:space="preserve">Chen, LR, Chen, CA, Chiu, SN, Chien, YH, Lee, NC, Lin, MT, Hwu, WL, Wang, JK &amp; Wu, MH 2009, 'Reversal of Cardiac Dysfunction after Enzyme Replacement in Patients with Infantile-Onset Pompe Disease', </w:t>
      </w:r>
      <w:r w:rsidRPr="00184B6F">
        <w:rPr>
          <w:rFonts w:asciiTheme="minorHAnsi" w:hAnsiTheme="minorHAnsi"/>
          <w:i/>
        </w:rPr>
        <w:t>Journal of Pediatrics</w:t>
      </w:r>
      <w:r w:rsidRPr="00184B6F">
        <w:rPr>
          <w:rFonts w:asciiTheme="minorHAnsi" w:hAnsiTheme="minorHAnsi"/>
        </w:rPr>
        <w:t>, vol. 155, no. 2, pp. 271-275.e272.</w:t>
      </w:r>
    </w:p>
    <w:bookmarkEnd w:id="73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32" w:name="_ENREF_51"/>
      <w:r w:rsidRPr="00184B6F">
        <w:rPr>
          <w:rFonts w:asciiTheme="minorHAnsi" w:hAnsiTheme="minorHAnsi"/>
        </w:rPr>
        <w:t xml:space="preserve">Cheng-Hakimian, A, Anderson, GD &amp; Miller, JW 2006, 'Rufinamide: Pharmacology, clinical trials, and role in clinical practice', </w:t>
      </w:r>
      <w:r w:rsidRPr="00184B6F">
        <w:rPr>
          <w:rFonts w:asciiTheme="minorHAnsi" w:hAnsiTheme="minorHAnsi"/>
          <w:i/>
        </w:rPr>
        <w:t>Int J Clin Pract</w:t>
      </w:r>
      <w:r w:rsidRPr="00184B6F">
        <w:rPr>
          <w:rFonts w:asciiTheme="minorHAnsi" w:hAnsiTheme="minorHAnsi"/>
        </w:rPr>
        <w:t>, vol. 60, no. 11, Nov, pp. 1497-1501.</w:t>
      </w:r>
    </w:p>
    <w:bookmarkEnd w:id="73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33" w:name="_ENREF_52"/>
      <w:r w:rsidRPr="00184B6F">
        <w:rPr>
          <w:rFonts w:asciiTheme="minorHAnsi" w:hAnsiTheme="minorHAnsi"/>
        </w:rPr>
        <w:t xml:space="preserve">Chien, YH, Lee, NC, Thurberg, BL, Chiang, SC, Zhang, XK, Keutzer, J, Huang, AC, Wu, MH, Huang, PH, Tsai, FJ, Chen, YT &amp; Hwu, WL 2009, 'Pompe disease in infants: improving the prognosis by newborn screening and early treatment', </w:t>
      </w:r>
      <w:r w:rsidRPr="00184B6F">
        <w:rPr>
          <w:rFonts w:asciiTheme="minorHAnsi" w:hAnsiTheme="minorHAnsi"/>
          <w:i/>
        </w:rPr>
        <w:t>Pediatrics</w:t>
      </w:r>
      <w:r w:rsidRPr="00184B6F">
        <w:rPr>
          <w:rFonts w:asciiTheme="minorHAnsi" w:hAnsiTheme="minorHAnsi"/>
        </w:rPr>
        <w:t>, vol. 124, no. 6, Dec, pp. e1116-1125.</w:t>
      </w:r>
    </w:p>
    <w:bookmarkEnd w:id="733"/>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734" w:name="_ENREF_53"/>
      <w:r w:rsidRPr="00184B6F">
        <w:rPr>
          <w:rFonts w:asciiTheme="minorHAnsi" w:hAnsiTheme="minorHAnsi"/>
        </w:rPr>
        <w:t xml:space="preserve">Clarke, LA, Wraith, JE, Beck, M, Kolodny, EH, Pastores, GM, Muenzer, J, Rapoport, DM, Berger, KI, Sidman, M, Kakkis, ED &amp; Cox, GF 2009, 'Long-term efficacy and safety of laronidase in the treatment of mucopolysaccharidosis I', </w:t>
      </w:r>
      <w:r w:rsidRPr="00184B6F">
        <w:rPr>
          <w:rFonts w:asciiTheme="minorHAnsi" w:hAnsiTheme="minorHAnsi"/>
          <w:i/>
        </w:rPr>
        <w:t>Pediatrics</w:t>
      </w:r>
      <w:r w:rsidRPr="00184B6F">
        <w:rPr>
          <w:rFonts w:asciiTheme="minorHAnsi" w:hAnsiTheme="minorHAnsi"/>
        </w:rPr>
        <w:t>, vol. 123, no. 1, pp. 229-240, DOI 10.1542/peds.2007-3847, &lt;</w:t>
      </w:r>
      <w:r w:rsidRPr="00A62C97">
        <w:rPr>
          <w:rFonts w:asciiTheme="minorHAnsi" w:hAnsiTheme="minorHAnsi"/>
        </w:rPr>
        <w:t>http://onlinelibrary.wiley.com/o/cochrane/clcentral/articles/004/CN-00666004/frame.html</w:t>
      </w:r>
    </w:p>
    <w:p w:rsidR="00184B6F" w:rsidRPr="00184B6F" w:rsidRDefault="00184B6F" w:rsidP="00184B6F">
      <w:pPr>
        <w:pStyle w:val="EndNoteBibliography"/>
        <w:spacing w:after="0"/>
        <w:rPr>
          <w:rFonts w:asciiTheme="minorHAnsi" w:hAnsiTheme="minorHAnsi"/>
        </w:rPr>
      </w:pPr>
      <w:r w:rsidRPr="00A62C97">
        <w:rPr>
          <w:rFonts w:asciiTheme="minorHAnsi" w:hAnsiTheme="minorHAnsi"/>
        </w:rPr>
        <w:t>http://pediatrics.aappublications.org/content/123/1/229.full.pdf&gt;</w:t>
      </w:r>
      <w:r w:rsidRPr="00184B6F">
        <w:rPr>
          <w:rFonts w:asciiTheme="minorHAnsi" w:hAnsiTheme="minorHAnsi"/>
        </w:rPr>
        <w:t>.</w:t>
      </w:r>
    </w:p>
    <w:bookmarkEnd w:id="73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35" w:name="_ENREF_54"/>
      <w:r w:rsidRPr="00184B6F">
        <w:rPr>
          <w:rFonts w:asciiTheme="minorHAnsi" w:hAnsiTheme="minorHAnsi"/>
        </w:rPr>
        <w:t xml:space="preserve">Cole, E, Pisano, ED, Clary, GJ, Zeng, D, Koomen, M, Kuzmiak, CM, Seo, BK, Lee, Y &amp; Pavic, D 2006, 'A comparative study of mobile electronic data entry systems for clinical trials data collection', </w:t>
      </w:r>
      <w:r w:rsidRPr="00184B6F">
        <w:rPr>
          <w:rFonts w:asciiTheme="minorHAnsi" w:hAnsiTheme="minorHAnsi"/>
          <w:i/>
        </w:rPr>
        <w:t>Int J Med Inform</w:t>
      </w:r>
      <w:r w:rsidRPr="00184B6F">
        <w:rPr>
          <w:rFonts w:asciiTheme="minorHAnsi" w:hAnsiTheme="minorHAnsi"/>
        </w:rPr>
        <w:t>, vol. 75, no. 10-11, Oct-Nov, pp. 722-729.</w:t>
      </w:r>
    </w:p>
    <w:bookmarkEnd w:id="73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36" w:name="_ENREF_55"/>
      <w:r w:rsidRPr="00184B6F">
        <w:rPr>
          <w:rFonts w:asciiTheme="minorHAnsi" w:hAnsiTheme="minorHAnsi"/>
        </w:rPr>
        <w:lastRenderedPageBreak/>
        <w:t xml:space="preserve">Condliffe, R, Elliot, CA, Hurdman, J, Sabroe, I, Billings, C, Kiely, DG &amp; Hamilton, N 2014, 'Ambrisentan therapy in pulmonary hypertension: clinical use and tolerability in a referral centre', </w:t>
      </w:r>
      <w:r w:rsidRPr="00184B6F">
        <w:rPr>
          <w:rFonts w:asciiTheme="minorHAnsi" w:hAnsiTheme="minorHAnsi"/>
          <w:i/>
        </w:rPr>
        <w:t>Ther Adv Respir Dis</w:t>
      </w:r>
      <w:r w:rsidRPr="00184B6F">
        <w:rPr>
          <w:rFonts w:asciiTheme="minorHAnsi" w:hAnsiTheme="minorHAnsi"/>
        </w:rPr>
        <w:t>, vol. 8, no. 3, Apr 30, pp. 71-77.</w:t>
      </w:r>
    </w:p>
    <w:bookmarkEnd w:id="73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37" w:name="_ENREF_56"/>
      <w:r w:rsidRPr="00184B6F">
        <w:rPr>
          <w:rFonts w:asciiTheme="minorHAnsi" w:hAnsiTheme="minorHAnsi"/>
        </w:rPr>
        <w:t xml:space="preserve">Connock, M, Burls, A, Frew, E, Fry-Smith, A, Juarez-Garcia, A, McCabe, C, Wailoo, A, Abrams, K, Cooper, N, Sutton, A, O'Hagan, A &amp; Moore, D 2006, 'The clinical effectiveness and cost-effectiveness of enzyme replacement therapy for </w:t>
      </w:r>
      <w:r w:rsidR="00E51493">
        <w:rPr>
          <w:rFonts w:asciiTheme="minorHAnsi" w:hAnsiTheme="minorHAnsi"/>
        </w:rPr>
        <w:t>Gaucher disease</w:t>
      </w:r>
      <w:r w:rsidRPr="00184B6F">
        <w:rPr>
          <w:rFonts w:asciiTheme="minorHAnsi" w:hAnsiTheme="minorHAnsi"/>
        </w:rPr>
        <w:t xml:space="preserve">: a systematic review', </w:t>
      </w:r>
      <w:r w:rsidRPr="00184B6F">
        <w:rPr>
          <w:rFonts w:asciiTheme="minorHAnsi" w:hAnsiTheme="minorHAnsi"/>
          <w:i/>
        </w:rPr>
        <w:t>Health Technology Assessment</w:t>
      </w:r>
      <w:r w:rsidRPr="00184B6F">
        <w:rPr>
          <w:rFonts w:asciiTheme="minorHAnsi" w:hAnsiTheme="minorHAnsi"/>
        </w:rPr>
        <w:t>, pp. 1-152.</w:t>
      </w:r>
    </w:p>
    <w:bookmarkEnd w:id="73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38" w:name="_ENREF_57"/>
      <w:r w:rsidRPr="00184B6F">
        <w:rPr>
          <w:rFonts w:asciiTheme="minorHAnsi" w:hAnsiTheme="minorHAnsi"/>
        </w:rPr>
        <w:t xml:space="preserve">Connock, M, Juarez-Garcia, A, Frew, E, Mans, A, Dretzke, J, Fry-Smith, A &amp; Moore, D 2006, 'A systematic review of the clinical effectiveness and cost-effectiveness of enzyme replacement therapies for Fabry's disease and mucopolysaccharidosis type 1', </w:t>
      </w:r>
      <w:r w:rsidRPr="00184B6F">
        <w:rPr>
          <w:rFonts w:asciiTheme="minorHAnsi" w:hAnsiTheme="minorHAnsi"/>
          <w:i/>
        </w:rPr>
        <w:t>Health Technol Assess</w:t>
      </w:r>
      <w:r w:rsidRPr="00184B6F">
        <w:rPr>
          <w:rFonts w:asciiTheme="minorHAnsi" w:hAnsiTheme="minorHAnsi"/>
        </w:rPr>
        <w:t>, vol. 10, no. 20, Jun, pp. iii-iv, ix-113.</w:t>
      </w:r>
    </w:p>
    <w:bookmarkEnd w:id="73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39" w:name="_ENREF_58"/>
      <w:r w:rsidRPr="00184B6F">
        <w:rPr>
          <w:rFonts w:asciiTheme="minorHAnsi" w:hAnsiTheme="minorHAnsi"/>
        </w:rPr>
        <w:t xml:space="preserve">Connock, M, Wang, D, Fry-Smith, A &amp; Moore, D 2008, 'Prevalence and prognosis of paroxysmal nocturnal haemoglobinurea and the clinical and cost-effectiveness of eculizumab (Structured abstract)', </w:t>
      </w:r>
      <w:r w:rsidRPr="00184B6F">
        <w:rPr>
          <w:rFonts w:asciiTheme="minorHAnsi" w:hAnsiTheme="minorHAnsi"/>
          <w:i/>
        </w:rPr>
        <w:t>Health Technology Assessment Database</w:t>
      </w:r>
      <w:r w:rsidRPr="00184B6F">
        <w:rPr>
          <w:rFonts w:asciiTheme="minorHAnsi" w:hAnsiTheme="minorHAnsi"/>
        </w:rPr>
        <w:t>, no. 4, p. 1, &lt;</w:t>
      </w:r>
      <w:r w:rsidRPr="00A62C97">
        <w:rPr>
          <w:rFonts w:asciiTheme="minorHAnsi" w:hAnsiTheme="minorHAnsi"/>
        </w:rPr>
        <w:t>http://onlinelibrary.wiley.com/o/cochrane/clhta/articles/HTA-32008100046/frame.html&gt;</w:t>
      </w:r>
      <w:r w:rsidRPr="00184B6F">
        <w:rPr>
          <w:rFonts w:asciiTheme="minorHAnsi" w:hAnsiTheme="minorHAnsi"/>
        </w:rPr>
        <w:t>.</w:t>
      </w:r>
    </w:p>
    <w:bookmarkEnd w:id="73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40" w:name="_ENREF_59"/>
      <w:r w:rsidRPr="00184B6F">
        <w:rPr>
          <w:rFonts w:asciiTheme="minorHAnsi" w:hAnsiTheme="minorHAnsi"/>
        </w:rPr>
        <w:t xml:space="preserve">Coyle, D, Cheung, MC &amp; Evans, GA 2014, 'Opportunity cost of funding drugs for rare diseases: the cost-effectiveness of eculizumab in paroxysmal nocturnal hemoglobinuria', </w:t>
      </w:r>
      <w:r w:rsidRPr="00184B6F">
        <w:rPr>
          <w:rFonts w:asciiTheme="minorHAnsi" w:hAnsiTheme="minorHAnsi"/>
          <w:i/>
        </w:rPr>
        <w:t>Med Decis Making</w:t>
      </w:r>
      <w:r w:rsidRPr="00184B6F">
        <w:rPr>
          <w:rFonts w:asciiTheme="minorHAnsi" w:hAnsiTheme="minorHAnsi"/>
        </w:rPr>
        <w:t>, vol. 34, no. 8, Nov, pp. 1016-1029.</w:t>
      </w:r>
    </w:p>
    <w:bookmarkEnd w:id="74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41" w:name="_ENREF_60"/>
      <w:r w:rsidRPr="00184B6F">
        <w:rPr>
          <w:rFonts w:asciiTheme="minorHAnsi" w:hAnsiTheme="minorHAnsi"/>
        </w:rPr>
        <w:t xml:space="preserve">Cystic Fibrosis Australia 2014, </w:t>
      </w:r>
      <w:r w:rsidRPr="00184B6F">
        <w:rPr>
          <w:rFonts w:asciiTheme="minorHAnsi" w:hAnsiTheme="minorHAnsi"/>
          <w:i/>
        </w:rPr>
        <w:t>About cystic fibrosis.</w:t>
      </w:r>
      <w:r w:rsidRPr="00184B6F">
        <w:rPr>
          <w:rFonts w:asciiTheme="minorHAnsi" w:hAnsiTheme="minorHAnsi"/>
        </w:rPr>
        <w:t>, Cystic Fibrosis Australia, viewed Nov 3 2014, &lt;</w:t>
      </w:r>
      <w:r w:rsidRPr="00A62C97">
        <w:rPr>
          <w:rFonts w:asciiTheme="minorHAnsi" w:hAnsiTheme="minorHAnsi"/>
        </w:rPr>
        <w:t>http://www.cysticfibrosis.org.au/all/learn/&gt;</w:t>
      </w:r>
      <w:r w:rsidRPr="00184B6F">
        <w:rPr>
          <w:rFonts w:asciiTheme="minorHAnsi" w:hAnsiTheme="minorHAnsi"/>
        </w:rPr>
        <w:t>.</w:t>
      </w:r>
    </w:p>
    <w:bookmarkEnd w:id="74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42" w:name="_ENREF_61"/>
      <w:r w:rsidRPr="00184B6F">
        <w:rPr>
          <w:rFonts w:asciiTheme="minorHAnsi" w:hAnsiTheme="minorHAnsi"/>
        </w:rPr>
        <w:t xml:space="preserve">da Silva, EMK, Strufaldi, MWL, Andriolo, RB &amp; Silva, LA 2014, 'Enzyme replacement therapy with idursulfase for mucopolysaccharidosis type II (Hunter syndrome)', </w:t>
      </w:r>
      <w:r w:rsidRPr="00184B6F">
        <w:rPr>
          <w:rFonts w:asciiTheme="minorHAnsi" w:hAnsiTheme="minorHAnsi"/>
          <w:i/>
        </w:rPr>
        <w:t>Cochrane Database Syst Rev</w:t>
      </w:r>
      <w:r w:rsidRPr="00184B6F">
        <w:rPr>
          <w:rFonts w:asciiTheme="minorHAnsi" w:hAnsiTheme="minorHAnsi"/>
        </w:rPr>
        <w:t>, vol. 1, //, p. CD008185.</w:t>
      </w:r>
    </w:p>
    <w:bookmarkEnd w:id="74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43" w:name="_ENREF_62"/>
      <w:r w:rsidRPr="00184B6F">
        <w:rPr>
          <w:rFonts w:asciiTheme="minorHAnsi" w:hAnsiTheme="minorHAnsi"/>
        </w:rPr>
        <w:t xml:space="preserve">Davidson, T &amp; Levin, L-A 2010, 'Is the Societal Approach Wide Enough to Include Relatives? Incorporating Relatives' Costs and Effects in a Cost-Effectiveness Analysis', </w:t>
      </w:r>
      <w:r w:rsidRPr="00184B6F">
        <w:rPr>
          <w:rFonts w:asciiTheme="minorHAnsi" w:hAnsiTheme="minorHAnsi"/>
          <w:i/>
        </w:rPr>
        <w:t>Applied Health Economics and Health Policy</w:t>
      </w:r>
      <w:r w:rsidRPr="00184B6F">
        <w:rPr>
          <w:rFonts w:asciiTheme="minorHAnsi" w:hAnsiTheme="minorHAnsi"/>
        </w:rPr>
        <w:t>, vol. 8, no. 1, pp. 25-35.</w:t>
      </w:r>
    </w:p>
    <w:bookmarkEnd w:id="74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44" w:name="_ENREF_63"/>
      <w:r w:rsidRPr="00184B6F">
        <w:rPr>
          <w:rFonts w:asciiTheme="minorHAnsi" w:hAnsiTheme="minorHAnsi"/>
        </w:rPr>
        <w:t xml:space="preserve">Day, S, Fayers, P &amp; Harvey, D 1998, 'Double data entry: what value, what price?', </w:t>
      </w:r>
      <w:r w:rsidRPr="00184B6F">
        <w:rPr>
          <w:rFonts w:asciiTheme="minorHAnsi" w:hAnsiTheme="minorHAnsi"/>
          <w:i/>
        </w:rPr>
        <w:t>Control Clin Trials</w:t>
      </w:r>
      <w:r w:rsidRPr="00184B6F">
        <w:rPr>
          <w:rFonts w:asciiTheme="minorHAnsi" w:hAnsiTheme="minorHAnsi"/>
        </w:rPr>
        <w:t>, vol. 19, no. 1, Feb, pp. 15-24.</w:t>
      </w:r>
    </w:p>
    <w:bookmarkEnd w:id="74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45" w:name="_ENREF_64"/>
      <w:r w:rsidRPr="00184B6F">
        <w:rPr>
          <w:rFonts w:asciiTheme="minorHAnsi" w:hAnsiTheme="minorHAnsi"/>
        </w:rPr>
        <w:t xml:space="preserve">de Fost, M, Aerts, JM, Groener, JE, Maas, M, Akkerman, EM, Wiersma, MG &amp; Hollak, CE 2007, 'Low frequency maintenance therapy with imiglucerase in adult type I Gaucher disease: a prospective randomized controlled trial', </w:t>
      </w:r>
      <w:r w:rsidRPr="00184B6F">
        <w:rPr>
          <w:rFonts w:asciiTheme="minorHAnsi" w:hAnsiTheme="minorHAnsi"/>
          <w:i/>
        </w:rPr>
        <w:t>Haematologica</w:t>
      </w:r>
      <w:r w:rsidRPr="00184B6F">
        <w:rPr>
          <w:rFonts w:asciiTheme="minorHAnsi" w:hAnsiTheme="minorHAnsi"/>
        </w:rPr>
        <w:t>, vol. 92, pp. 215-221.</w:t>
      </w:r>
    </w:p>
    <w:bookmarkEnd w:id="74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46" w:name="_ENREF_65"/>
      <w:r w:rsidRPr="00184B6F">
        <w:rPr>
          <w:rFonts w:asciiTheme="minorHAnsi" w:hAnsiTheme="minorHAnsi"/>
        </w:rPr>
        <w:t xml:space="preserve">de Yebenes, JG, Landwehrmeyer, B, Squitieri, F, Reilmann, R, Rosser, A, Barker, RA, Saft, C, Magnet, MK, Sword, A, Rembratt, A &amp; Tedroff, J 2011, 'Pridopidine for the treatment of motor function in patients with Huntington's disease (MermaiHD): a phase 3, randomised, double-blind, placebo-controlled trial', </w:t>
      </w:r>
      <w:r w:rsidRPr="00184B6F">
        <w:rPr>
          <w:rFonts w:asciiTheme="minorHAnsi" w:hAnsiTheme="minorHAnsi"/>
          <w:i/>
        </w:rPr>
        <w:t>Lancet Neurol</w:t>
      </w:r>
      <w:r w:rsidRPr="00184B6F">
        <w:rPr>
          <w:rFonts w:asciiTheme="minorHAnsi" w:hAnsiTheme="minorHAnsi"/>
        </w:rPr>
        <w:t>, vol. 10, no. 12, Dec, pp. 1049-1057.</w:t>
      </w:r>
    </w:p>
    <w:bookmarkEnd w:id="74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47" w:name="_ENREF_66"/>
      <w:r w:rsidRPr="00184B6F">
        <w:rPr>
          <w:rFonts w:asciiTheme="minorHAnsi" w:hAnsiTheme="minorHAnsi"/>
        </w:rPr>
        <w:lastRenderedPageBreak/>
        <w:t xml:space="preserve">Dechelotte, P 2003, </w:t>
      </w:r>
      <w:r w:rsidRPr="00184B6F">
        <w:rPr>
          <w:rFonts w:asciiTheme="minorHAnsi" w:hAnsiTheme="minorHAnsi"/>
          <w:i/>
        </w:rPr>
        <w:t>Gastrointestinal and nutritional adverse effects of Zavesca (miglustat)</w:t>
      </w:r>
      <w:r w:rsidRPr="00184B6F">
        <w:rPr>
          <w:rFonts w:asciiTheme="minorHAnsi" w:hAnsiTheme="minorHAnsi"/>
        </w:rPr>
        <w:t>,  Expert Report, Rouen.</w:t>
      </w:r>
    </w:p>
    <w:bookmarkEnd w:id="74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48" w:name="_ENREF_67"/>
      <w:r w:rsidRPr="00184B6F">
        <w:rPr>
          <w:rFonts w:asciiTheme="minorHAnsi" w:hAnsiTheme="minorHAnsi"/>
        </w:rPr>
        <w:t xml:space="preserve">Denis, A, Mergaert, L, Fostier, C, Cleemput, I, Hulstaert, F &amp; Simoens, S 2011, 'Critical assessment of Belgian reimbursement dossiers of orphan drugs', </w:t>
      </w:r>
      <w:r w:rsidRPr="00184B6F">
        <w:rPr>
          <w:rFonts w:asciiTheme="minorHAnsi" w:hAnsiTheme="minorHAnsi"/>
          <w:i/>
        </w:rPr>
        <w:t>PharmacoEconomics</w:t>
      </w:r>
      <w:r w:rsidRPr="00184B6F">
        <w:rPr>
          <w:rFonts w:asciiTheme="minorHAnsi" w:hAnsiTheme="minorHAnsi"/>
        </w:rPr>
        <w:t>, vol. 29, no. 10, pp. 883-893.</w:t>
      </w:r>
    </w:p>
    <w:bookmarkEnd w:id="74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49" w:name="_ENREF_68"/>
      <w:r w:rsidRPr="00184B6F">
        <w:rPr>
          <w:rFonts w:asciiTheme="minorHAnsi" w:hAnsiTheme="minorHAnsi"/>
        </w:rPr>
        <w:t>Department of Health &amp; The Rt Hon Earl Howe 2012, 'NICE to assess high cost low volume drugs', p. 1, viewed 1 October 2014, &lt;https://</w:t>
      </w:r>
      <w:r w:rsidRPr="00A62C97">
        <w:rPr>
          <w:rFonts w:asciiTheme="minorHAnsi" w:hAnsiTheme="minorHAnsi"/>
        </w:rPr>
        <w:t>www.gov.uk/government/news/nice-to-assess-high-cost-low-volume-drugs&gt;</w:t>
      </w:r>
      <w:r w:rsidRPr="00184B6F">
        <w:rPr>
          <w:rFonts w:asciiTheme="minorHAnsi" w:hAnsiTheme="minorHAnsi"/>
        </w:rPr>
        <w:t>.</w:t>
      </w:r>
    </w:p>
    <w:bookmarkEnd w:id="74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50" w:name="_ENREF_69"/>
      <w:r w:rsidRPr="00184B6F">
        <w:rPr>
          <w:rFonts w:asciiTheme="minorHAnsi" w:hAnsiTheme="minorHAnsi"/>
        </w:rPr>
        <w:t xml:space="preserve">Deroma, L, Guerra, M, Sechi, A, Ciana, G, Cisilino, G, Dardis, A &amp; Bembi, B 2014, 'Enzyme replacement therapy in juvenile glycogenosis type II: a longitudinal study', </w:t>
      </w:r>
      <w:r w:rsidRPr="00184B6F">
        <w:rPr>
          <w:rFonts w:asciiTheme="minorHAnsi" w:hAnsiTheme="minorHAnsi"/>
          <w:i/>
        </w:rPr>
        <w:t>European Journal of Pediatrics</w:t>
      </w:r>
      <w:r w:rsidRPr="00184B6F">
        <w:rPr>
          <w:rFonts w:asciiTheme="minorHAnsi" w:hAnsiTheme="minorHAnsi"/>
        </w:rPr>
        <w:t>, vol. 173, no. 6, Jun, pp. 805-813.</w:t>
      </w:r>
    </w:p>
    <w:bookmarkEnd w:id="75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51" w:name="_ENREF_70"/>
      <w:r w:rsidRPr="00184B6F">
        <w:rPr>
          <w:rFonts w:asciiTheme="minorHAnsi" w:hAnsiTheme="minorHAnsi"/>
        </w:rPr>
        <w:t xml:space="preserve">Desnick, RJ 2004, 'Enzyme replacement therapy for Fabry disease: lessons from two alpha-galactosidase A orphan products and one FDA approval', </w:t>
      </w:r>
      <w:r w:rsidRPr="00184B6F">
        <w:rPr>
          <w:rFonts w:asciiTheme="minorHAnsi" w:hAnsiTheme="minorHAnsi"/>
          <w:i/>
        </w:rPr>
        <w:t>Expert Opin Biol Ther</w:t>
      </w:r>
      <w:r w:rsidRPr="00184B6F">
        <w:rPr>
          <w:rFonts w:asciiTheme="minorHAnsi" w:hAnsiTheme="minorHAnsi"/>
        </w:rPr>
        <w:t>, vol. 4, no. 7, //, pp. 1167-1176.</w:t>
      </w:r>
    </w:p>
    <w:bookmarkEnd w:id="75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52" w:name="_ENREF_71"/>
      <w:r w:rsidRPr="00184B6F">
        <w:rPr>
          <w:rFonts w:asciiTheme="minorHAnsi" w:hAnsiTheme="minorHAnsi"/>
        </w:rPr>
        <w:t xml:space="preserve">Desser, AS 2013, 'Prioritizing treatment of rare diseases: A survey of preferences of Norwegian doctors', </w:t>
      </w:r>
      <w:r w:rsidRPr="00184B6F">
        <w:rPr>
          <w:rFonts w:asciiTheme="minorHAnsi" w:hAnsiTheme="minorHAnsi"/>
          <w:i/>
        </w:rPr>
        <w:t>Social Science &amp; Medicine</w:t>
      </w:r>
      <w:r w:rsidRPr="00184B6F">
        <w:rPr>
          <w:rFonts w:asciiTheme="minorHAnsi" w:hAnsiTheme="minorHAnsi"/>
        </w:rPr>
        <w:t>, vol. 94, no. 0, 10//, pp. 56-62.</w:t>
      </w:r>
    </w:p>
    <w:bookmarkEnd w:id="75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53" w:name="_ENREF_72"/>
      <w:r w:rsidRPr="00184B6F">
        <w:rPr>
          <w:rFonts w:asciiTheme="minorHAnsi" w:hAnsiTheme="minorHAnsi"/>
        </w:rPr>
        <w:t xml:space="preserve">Desser, AS, Gyrd-Hansen, D, Olsen, JA, Grepperud, S &amp; Kristiansen, IS 2010, 'Societal views on orphan drugs: cross sectional survey of Norwegians aged 40 to 67', </w:t>
      </w:r>
      <w:r w:rsidRPr="00184B6F">
        <w:rPr>
          <w:rFonts w:asciiTheme="minorHAnsi" w:hAnsiTheme="minorHAnsi"/>
          <w:i/>
        </w:rPr>
        <w:t>British Medical Journal</w:t>
      </w:r>
      <w:r w:rsidRPr="00184B6F">
        <w:rPr>
          <w:rFonts w:asciiTheme="minorHAnsi" w:hAnsiTheme="minorHAnsi"/>
        </w:rPr>
        <w:t>, vol. 341, p. c4715.</w:t>
      </w:r>
    </w:p>
    <w:bookmarkEnd w:id="75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54" w:name="_ENREF_73"/>
      <w:r w:rsidRPr="00184B6F">
        <w:rPr>
          <w:rFonts w:asciiTheme="minorHAnsi" w:hAnsiTheme="minorHAnsi"/>
        </w:rPr>
        <w:t xml:space="preserve">Desser, AS, Olsen, JA &amp; Grepperud, S 2013, 'Eliciting preferences for prioritizing treatment of rare diseases: the role of opportunity costs and framing effects', </w:t>
      </w:r>
      <w:r w:rsidRPr="00184B6F">
        <w:rPr>
          <w:rFonts w:asciiTheme="minorHAnsi" w:hAnsiTheme="minorHAnsi"/>
          <w:i/>
        </w:rPr>
        <w:t>PharmacoEconomics</w:t>
      </w:r>
      <w:r w:rsidRPr="00184B6F">
        <w:rPr>
          <w:rFonts w:asciiTheme="minorHAnsi" w:hAnsiTheme="minorHAnsi"/>
        </w:rPr>
        <w:t>, vol. 31, no. 11, Nov, pp. 1051-1061.</w:t>
      </w:r>
    </w:p>
    <w:bookmarkEnd w:id="75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55" w:name="_ENREF_74"/>
      <w:r w:rsidRPr="00184B6F">
        <w:rPr>
          <w:rFonts w:asciiTheme="minorHAnsi" w:hAnsiTheme="minorHAnsi"/>
        </w:rPr>
        <w:t xml:space="preserve">DeZern, AE, Dorr, D &amp; Brodsky, RA 2013, 'Predictors of hemoglobin response to eculizumab therapy in paroxysmal nocturnal hemoglobinuria', </w:t>
      </w:r>
      <w:r w:rsidRPr="00184B6F">
        <w:rPr>
          <w:rFonts w:asciiTheme="minorHAnsi" w:hAnsiTheme="minorHAnsi"/>
          <w:i/>
        </w:rPr>
        <w:t>Eur J Haematol</w:t>
      </w:r>
      <w:r w:rsidRPr="00184B6F">
        <w:rPr>
          <w:rFonts w:asciiTheme="minorHAnsi" w:hAnsiTheme="minorHAnsi"/>
        </w:rPr>
        <w:t>, vol. 90, no. 1, Jan, pp. 16-24.</w:t>
      </w:r>
    </w:p>
    <w:bookmarkEnd w:id="75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56" w:name="_ENREF_75"/>
      <w:r w:rsidRPr="00184B6F">
        <w:rPr>
          <w:rFonts w:asciiTheme="minorHAnsi" w:hAnsiTheme="minorHAnsi"/>
        </w:rPr>
        <w:t xml:space="preserve">Diaby, V &amp; Goeree, R 2014, 'How to use multi-criteria decision analysis methods for reimbursement decision-making in healthcare: a step-by-step guide', </w:t>
      </w:r>
      <w:r w:rsidRPr="00184B6F">
        <w:rPr>
          <w:rFonts w:asciiTheme="minorHAnsi" w:hAnsiTheme="minorHAnsi"/>
          <w:i/>
        </w:rPr>
        <w:t>Expert Rev Pharmacoecon Outcomes Res</w:t>
      </w:r>
      <w:r w:rsidRPr="00184B6F">
        <w:rPr>
          <w:rFonts w:asciiTheme="minorHAnsi" w:hAnsiTheme="minorHAnsi"/>
        </w:rPr>
        <w:t>, vol. 14, no. 1, Feb, pp. 81-99.</w:t>
      </w:r>
    </w:p>
    <w:bookmarkEnd w:id="75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57" w:name="_ENREF_76"/>
      <w:r w:rsidRPr="00184B6F">
        <w:rPr>
          <w:rFonts w:asciiTheme="minorHAnsi" w:hAnsiTheme="minorHAnsi"/>
        </w:rPr>
        <w:t xml:space="preserve">Dignan, FL, Wynn, RF, Hadzic, N, Karani, J, Quaglia, A, Pagliuca, A, Veys, P, Potter, MN, The Haemato-oncology Task Force of the British Committee for Standards in, H, the British Society for, B &amp; Marrow, T 2013, 'BCSH/BSBMT guideline: diagnosis and management of veno-occlusive disease (sinusoidal obstruction syndrome) following haematopoietic stem cell transplantation', </w:t>
      </w:r>
      <w:r w:rsidRPr="00184B6F">
        <w:rPr>
          <w:rFonts w:asciiTheme="minorHAnsi" w:hAnsiTheme="minorHAnsi"/>
          <w:i/>
        </w:rPr>
        <w:t>Br J Haematol</w:t>
      </w:r>
      <w:r w:rsidRPr="00184B6F">
        <w:rPr>
          <w:rFonts w:asciiTheme="minorHAnsi" w:hAnsiTheme="minorHAnsi"/>
        </w:rPr>
        <w:t>, vol. 163, no. 4, pp. 444-457.</w:t>
      </w:r>
    </w:p>
    <w:bookmarkEnd w:id="75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58" w:name="_ENREF_77"/>
      <w:r w:rsidRPr="00184B6F">
        <w:rPr>
          <w:rFonts w:asciiTheme="minorHAnsi" w:hAnsiTheme="minorHAnsi"/>
        </w:rPr>
        <w:t xml:space="preserve">Dmytrijuk, A, Robie-Suh, K, Cohen, MH, Rieves, D, Weiss, K &amp; Pazdur, R 2008, 'FDA report: eculizumab (Soliris) for the treatment of patients with paroxysmal nocturnal hemoglobinuria', </w:t>
      </w:r>
      <w:r w:rsidRPr="00184B6F">
        <w:rPr>
          <w:rFonts w:asciiTheme="minorHAnsi" w:hAnsiTheme="minorHAnsi"/>
          <w:i/>
        </w:rPr>
        <w:t>Oncologist</w:t>
      </w:r>
      <w:r w:rsidRPr="00184B6F">
        <w:rPr>
          <w:rFonts w:asciiTheme="minorHAnsi" w:hAnsiTheme="minorHAnsi"/>
        </w:rPr>
        <w:t>, vol. 13, no. 9, Sep, pp. 993-1000.</w:t>
      </w:r>
    </w:p>
    <w:bookmarkEnd w:id="75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59" w:name="_ENREF_78"/>
      <w:r w:rsidRPr="00184B6F">
        <w:rPr>
          <w:rFonts w:asciiTheme="minorHAnsi" w:hAnsiTheme="minorHAnsi"/>
        </w:rPr>
        <w:t xml:space="preserve">Dolan, P, Shaw, R, Tsuchiya, A &amp; Williams, A 2005, 'QALY maximisation and people's preferences: a methodological review of the literature', </w:t>
      </w:r>
      <w:r w:rsidRPr="00184B6F">
        <w:rPr>
          <w:rFonts w:asciiTheme="minorHAnsi" w:hAnsiTheme="minorHAnsi"/>
          <w:i/>
        </w:rPr>
        <w:t>Health Econ</w:t>
      </w:r>
      <w:r w:rsidRPr="00184B6F">
        <w:rPr>
          <w:rFonts w:asciiTheme="minorHAnsi" w:hAnsiTheme="minorHAnsi"/>
        </w:rPr>
        <w:t>, vol. 14, no. 2, Feb, pp. 197-208.</w:t>
      </w:r>
    </w:p>
    <w:bookmarkEnd w:id="75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60" w:name="_ENREF_79"/>
      <w:r w:rsidRPr="00184B6F">
        <w:rPr>
          <w:rFonts w:asciiTheme="minorHAnsi" w:hAnsiTheme="minorHAnsi"/>
        </w:rPr>
        <w:t xml:space="preserve">Donaldson, C, Baker, R, Mason, H, Jones-Lee, M, Lancsar, E, Wildman, J, Bateman, I, Loomes, G, Robinson, A, Sugden, R, Prades, J, Ryan, M, Shackley, P &amp; Smith, R 2011, 'The social value of a QALY: raising the bar or barring the raise?', </w:t>
      </w:r>
      <w:r w:rsidRPr="00184B6F">
        <w:rPr>
          <w:rFonts w:asciiTheme="minorHAnsi" w:hAnsiTheme="minorHAnsi"/>
          <w:i/>
        </w:rPr>
        <w:t>BMC Health Services Research</w:t>
      </w:r>
      <w:r w:rsidRPr="00184B6F">
        <w:rPr>
          <w:rFonts w:asciiTheme="minorHAnsi" w:hAnsiTheme="minorHAnsi"/>
        </w:rPr>
        <w:t>, vol. 11, no. 1, p. 8.</w:t>
      </w:r>
    </w:p>
    <w:bookmarkEnd w:id="76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61" w:name="_ENREF_80"/>
      <w:r w:rsidRPr="00184B6F">
        <w:rPr>
          <w:rFonts w:asciiTheme="minorHAnsi" w:hAnsiTheme="minorHAnsi"/>
        </w:rPr>
        <w:t xml:space="preserve">Donaldson, J, Khan, WS, Tailor, H, Hughes, DA, Mehta, AB &amp; Maruthainar, N 2011, 'Gaucher disease: Outcome following total hip replacements and effect of enzyme replacement therapy in a cohort of UK Patients', </w:t>
      </w:r>
      <w:r w:rsidRPr="00184B6F">
        <w:rPr>
          <w:rFonts w:asciiTheme="minorHAnsi" w:hAnsiTheme="minorHAnsi"/>
          <w:i/>
        </w:rPr>
        <w:t>HIP International</w:t>
      </w:r>
      <w:r w:rsidRPr="00184B6F">
        <w:rPr>
          <w:rFonts w:asciiTheme="minorHAnsi" w:hAnsiTheme="minorHAnsi"/>
        </w:rPr>
        <w:t>, vol. 21, no. 6, pp. 665-671.</w:t>
      </w:r>
    </w:p>
    <w:bookmarkEnd w:id="76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62" w:name="_ENREF_81"/>
      <w:r w:rsidRPr="00184B6F">
        <w:rPr>
          <w:rFonts w:asciiTheme="minorHAnsi" w:hAnsiTheme="minorHAnsi"/>
        </w:rPr>
        <w:t xml:space="preserve">El Dib, RP, Nascimento, P &amp; Pastores, GM 2013, 'Enzyme replacement therapy for Anderson-Fabry disease', </w:t>
      </w:r>
      <w:r w:rsidRPr="00184B6F">
        <w:rPr>
          <w:rFonts w:asciiTheme="minorHAnsi" w:hAnsiTheme="minorHAnsi"/>
          <w:i/>
        </w:rPr>
        <w:t>Cochrane Database of Systematic Reviews</w:t>
      </w:r>
      <w:r w:rsidRPr="00184B6F">
        <w:rPr>
          <w:rFonts w:asciiTheme="minorHAnsi" w:hAnsiTheme="minorHAnsi"/>
        </w:rPr>
        <w:t>, no. 2&lt;p&gt;.</w:t>
      </w:r>
    </w:p>
    <w:bookmarkEnd w:id="76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63" w:name="_ENREF_82"/>
      <w:r w:rsidRPr="00184B6F">
        <w:rPr>
          <w:rFonts w:asciiTheme="minorHAnsi" w:hAnsiTheme="minorHAnsi"/>
        </w:rPr>
        <w:t xml:space="preserve">El Dib, RP &amp; Pastores, GM 2007, 'Laronidase for treating mucopolysaccharidosis type I', </w:t>
      </w:r>
      <w:r w:rsidRPr="00184B6F">
        <w:rPr>
          <w:rFonts w:asciiTheme="minorHAnsi" w:hAnsiTheme="minorHAnsi"/>
          <w:i/>
        </w:rPr>
        <w:t>Genetics and Molecular Research</w:t>
      </w:r>
      <w:r w:rsidRPr="00184B6F">
        <w:rPr>
          <w:rFonts w:asciiTheme="minorHAnsi" w:hAnsiTheme="minorHAnsi"/>
        </w:rPr>
        <w:t>, vol. 6, no. 3, pp. 667-674.</w:t>
      </w:r>
    </w:p>
    <w:bookmarkEnd w:id="76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64" w:name="_ENREF_83"/>
      <w:r w:rsidRPr="00184B6F">
        <w:rPr>
          <w:rFonts w:asciiTheme="minorHAnsi" w:hAnsiTheme="minorHAnsi"/>
        </w:rPr>
        <w:t xml:space="preserve">El Dib, RP &amp; Pastores, GM 2009, 'A systematic review of new advances in the management of mucopolysaccharidosis VI (Maroteaux-Lamy syndrome): focus on galsulfase', </w:t>
      </w:r>
      <w:r w:rsidRPr="00184B6F">
        <w:rPr>
          <w:rFonts w:asciiTheme="minorHAnsi" w:hAnsiTheme="minorHAnsi"/>
          <w:i/>
        </w:rPr>
        <w:t>Biologics</w:t>
      </w:r>
      <w:r w:rsidRPr="00184B6F">
        <w:rPr>
          <w:rFonts w:asciiTheme="minorHAnsi" w:hAnsiTheme="minorHAnsi"/>
        </w:rPr>
        <w:t>, vol. 3, //, pp. 459-468.</w:t>
      </w:r>
    </w:p>
    <w:bookmarkEnd w:id="76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65" w:name="_ENREF_84"/>
      <w:r w:rsidRPr="00184B6F">
        <w:rPr>
          <w:rFonts w:asciiTheme="minorHAnsi" w:hAnsiTheme="minorHAnsi"/>
        </w:rPr>
        <w:t xml:space="preserve">Elder, ME, Nayak, S, Collins, SW, Lawson, LA, Kelley, JS, Herzog, RW, Modica, RF, Lew, J, Lawrence, RM &amp; Byrne, BJ 2013, 'B-Cell depletion and immunomodulation before initiation of enzyme replacement therapy blocks the immune response to acid alpha-glucosidase in infantile-onset Pompe disease', </w:t>
      </w:r>
      <w:r w:rsidRPr="00184B6F">
        <w:rPr>
          <w:rFonts w:asciiTheme="minorHAnsi" w:hAnsiTheme="minorHAnsi"/>
          <w:i/>
        </w:rPr>
        <w:t>J Pediatr</w:t>
      </w:r>
      <w:r w:rsidRPr="00184B6F">
        <w:rPr>
          <w:rFonts w:asciiTheme="minorHAnsi" w:hAnsiTheme="minorHAnsi"/>
        </w:rPr>
        <w:t>, vol. 163, no. 3, Sep, pp. 847-854 e841.</w:t>
      </w:r>
    </w:p>
    <w:bookmarkEnd w:id="76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66" w:name="_ENREF_85"/>
      <w:r w:rsidRPr="00184B6F">
        <w:rPr>
          <w:rFonts w:asciiTheme="minorHAnsi" w:hAnsiTheme="minorHAnsi"/>
        </w:rPr>
        <w:t xml:space="preserve">Elstein, D, Dweck, A, Attias, D, Hadas-Halpern, I, Zevin, S, Altarescu, G, Aerts, JF, van, W &amp; Zimran, A 2007, 'Oral maintenance clinical trial with miglustat for type I Gaucher disease: switch from or combination with intravenous enzyme replacement', </w:t>
      </w:r>
      <w:r w:rsidRPr="00184B6F">
        <w:rPr>
          <w:rFonts w:asciiTheme="minorHAnsi" w:hAnsiTheme="minorHAnsi"/>
          <w:i/>
        </w:rPr>
        <w:t>Blood</w:t>
      </w:r>
      <w:r w:rsidRPr="00184B6F">
        <w:rPr>
          <w:rFonts w:asciiTheme="minorHAnsi" w:hAnsiTheme="minorHAnsi"/>
        </w:rPr>
        <w:t>, vol. 110, pp. 2296-2301.</w:t>
      </w:r>
    </w:p>
    <w:bookmarkEnd w:id="76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67" w:name="_ENREF_86"/>
      <w:r w:rsidRPr="00184B6F">
        <w:rPr>
          <w:rFonts w:asciiTheme="minorHAnsi" w:hAnsiTheme="minorHAnsi"/>
        </w:rPr>
        <w:t xml:space="preserve">Elstein, Y, Eisenberg, V, Granovsky-Grisaru, S, Rabinowitz, R, Samueloff, A, Zimran, A &amp; Elstein, D 2004, 'Pregnancies in Gaucher disease: A 5-year study', </w:t>
      </w:r>
      <w:r w:rsidRPr="00184B6F">
        <w:rPr>
          <w:rFonts w:asciiTheme="minorHAnsi" w:hAnsiTheme="minorHAnsi"/>
          <w:i/>
        </w:rPr>
        <w:t>American Journal of Obstetrics and Gynecology</w:t>
      </w:r>
      <w:r w:rsidRPr="00184B6F">
        <w:rPr>
          <w:rFonts w:asciiTheme="minorHAnsi" w:hAnsiTheme="minorHAnsi"/>
        </w:rPr>
        <w:t>, vol. 190, no. 2, Feb, pp. 435-441.</w:t>
      </w:r>
    </w:p>
    <w:bookmarkEnd w:id="76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68" w:name="_ENREF_87"/>
      <w:r w:rsidRPr="00184B6F">
        <w:rPr>
          <w:rFonts w:asciiTheme="minorHAnsi" w:hAnsiTheme="minorHAnsi"/>
        </w:rPr>
        <w:t xml:space="preserve">Eng, CM, Guffon, N, Wilcox, WR, Germain, DP, Lee, P, Waldek, S, Caplan, L, Linthorst, GE &amp; Desnick, RJ 2001, 'Safety and efficacy of recombinant human α-galactosidase A replacement therapy in Fabry's disease', </w:t>
      </w:r>
      <w:r w:rsidRPr="00184B6F">
        <w:rPr>
          <w:rFonts w:asciiTheme="minorHAnsi" w:hAnsiTheme="minorHAnsi"/>
          <w:i/>
        </w:rPr>
        <w:t>New England Journal of Medicine</w:t>
      </w:r>
      <w:r w:rsidRPr="00184B6F">
        <w:rPr>
          <w:rFonts w:asciiTheme="minorHAnsi" w:hAnsiTheme="minorHAnsi"/>
        </w:rPr>
        <w:t>, vol. 345, no. 1, pp. 9-16.</w:t>
      </w:r>
    </w:p>
    <w:bookmarkEnd w:id="76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69" w:name="_ENREF_88"/>
      <w:r w:rsidRPr="00184B6F">
        <w:rPr>
          <w:rFonts w:asciiTheme="minorHAnsi" w:hAnsiTheme="minorHAnsi"/>
        </w:rPr>
        <w:t xml:space="preserve">Epilepsy Action Australia 2014, </w:t>
      </w:r>
      <w:r w:rsidRPr="00184B6F">
        <w:rPr>
          <w:rFonts w:asciiTheme="minorHAnsi" w:hAnsiTheme="minorHAnsi"/>
          <w:i/>
        </w:rPr>
        <w:t>About epilepsy</w:t>
      </w:r>
      <w:r w:rsidRPr="00184B6F">
        <w:rPr>
          <w:rFonts w:asciiTheme="minorHAnsi" w:hAnsiTheme="minorHAnsi"/>
        </w:rPr>
        <w:t>, Epilepsy Action Australia, NSW, Australia, viewed 4 Dec 2014, &lt;</w:t>
      </w:r>
      <w:r w:rsidRPr="00A62C97">
        <w:rPr>
          <w:rFonts w:asciiTheme="minorHAnsi" w:hAnsiTheme="minorHAnsi"/>
        </w:rPr>
        <w:t>http://www.epilepsy.org.au/about-epilepsy&gt;</w:t>
      </w:r>
      <w:r w:rsidRPr="00184B6F">
        <w:rPr>
          <w:rFonts w:asciiTheme="minorHAnsi" w:hAnsiTheme="minorHAnsi"/>
        </w:rPr>
        <w:t>.</w:t>
      </w:r>
    </w:p>
    <w:bookmarkEnd w:id="76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70" w:name="_ENREF_89"/>
      <w:r w:rsidRPr="00184B6F">
        <w:rPr>
          <w:rFonts w:asciiTheme="minorHAnsi" w:hAnsiTheme="minorHAnsi"/>
        </w:rPr>
        <w:t xml:space="preserve">Escudier, B &amp; Albiges, L 2014, 'Pazopanib for the treatment of advanced renal cell cancer', </w:t>
      </w:r>
      <w:r w:rsidRPr="00184B6F">
        <w:rPr>
          <w:rFonts w:asciiTheme="minorHAnsi" w:hAnsiTheme="minorHAnsi"/>
          <w:i/>
        </w:rPr>
        <w:t>Expert Opinion on Orphan Drugs</w:t>
      </w:r>
      <w:r w:rsidRPr="00184B6F">
        <w:rPr>
          <w:rFonts w:asciiTheme="minorHAnsi" w:hAnsiTheme="minorHAnsi"/>
        </w:rPr>
        <w:t>, vol. 2, no. 6, pp. 605-616.</w:t>
      </w:r>
    </w:p>
    <w:bookmarkEnd w:id="770"/>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771" w:name="_ENREF_90"/>
      <w:r w:rsidRPr="00184B6F">
        <w:rPr>
          <w:rFonts w:asciiTheme="minorHAnsi" w:hAnsiTheme="minorHAnsi"/>
        </w:rPr>
        <w:t xml:space="preserve">EUnetHTA 2013, </w:t>
      </w:r>
      <w:r w:rsidRPr="00184B6F">
        <w:rPr>
          <w:rFonts w:asciiTheme="minorHAnsi" w:hAnsiTheme="minorHAnsi"/>
          <w:i/>
        </w:rPr>
        <w:t>HTA Core Model Application for Pharmaceuticals (2.1) - PUBLIC DRAFT</w:t>
      </w:r>
      <w:r w:rsidRPr="00184B6F">
        <w:rPr>
          <w:rFonts w:asciiTheme="minorHAnsi" w:hAnsiTheme="minorHAnsi"/>
        </w:rPr>
        <w:t>, National Institute for Health and Welfare, viewed 19/11/2014, &lt;</w:t>
      </w:r>
      <w:r w:rsidRPr="00A62C97">
        <w:rPr>
          <w:rFonts w:asciiTheme="minorHAnsi" w:hAnsiTheme="minorHAnsi"/>
        </w:rPr>
        <w:t>http://meka.thl.fi/htacore/ViewApplication.aspx?id=17128&gt;</w:t>
      </w:r>
      <w:r w:rsidRPr="00184B6F">
        <w:rPr>
          <w:rFonts w:asciiTheme="minorHAnsi" w:hAnsiTheme="minorHAnsi"/>
        </w:rPr>
        <w:t>.</w:t>
      </w:r>
    </w:p>
    <w:bookmarkEnd w:id="771"/>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772" w:name="_ENREF_91"/>
      <w:r w:rsidRPr="00184B6F">
        <w:rPr>
          <w:rFonts w:asciiTheme="minorHAnsi" w:hAnsiTheme="minorHAnsi"/>
        </w:rPr>
        <w:t xml:space="preserve">European Medicines Agency 2003, 'Scientific Discussion', </w:t>
      </w:r>
      <w:r w:rsidRPr="00184B6F">
        <w:rPr>
          <w:rFonts w:asciiTheme="minorHAnsi" w:hAnsiTheme="minorHAnsi"/>
          <w:i/>
        </w:rPr>
        <w:t>European Public Assessment Report (EPAR)</w:t>
      </w:r>
      <w:r w:rsidRPr="00184B6F">
        <w:rPr>
          <w:rFonts w:asciiTheme="minorHAnsi" w:hAnsiTheme="minorHAnsi"/>
        </w:rPr>
        <w:t>, &lt;</w:t>
      </w:r>
      <w:r w:rsidRPr="00A62C97">
        <w:rPr>
          <w:rFonts w:asciiTheme="minorHAnsi" w:hAnsiTheme="minorHAnsi"/>
        </w:rPr>
        <w:t>http://www.ema.europa.eu/docs/en_GB/document_library/EPAR_-_Scientific_Discussion/human/000435/WC500046721.pdf</w:t>
      </w:r>
      <w:r w:rsidRPr="00184B6F">
        <w:rPr>
          <w:rFonts w:asciiTheme="minorHAnsi" w:hAnsiTheme="minorHAnsi"/>
        </w:rPr>
        <w:t xml:space="preserve"> &gt;.</w:t>
      </w:r>
    </w:p>
    <w:bookmarkEnd w:id="77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73" w:name="_ENREF_92"/>
      <w:r w:rsidRPr="00184B6F">
        <w:rPr>
          <w:rFonts w:asciiTheme="minorHAnsi" w:hAnsiTheme="minorHAnsi"/>
        </w:rPr>
        <w:t xml:space="preserve">Fecarotta, S, Ascione, S, Montefusco, G, Della, CR, Villari, P, Romano, A, Del, GE, Andria, G &amp; Parenti, G 2013, 'Improvement of dysphagia in a child affected by Pompe disease treated with enzyme replacement therapy', </w:t>
      </w:r>
      <w:r w:rsidRPr="00184B6F">
        <w:rPr>
          <w:rFonts w:asciiTheme="minorHAnsi" w:hAnsiTheme="minorHAnsi"/>
          <w:i/>
        </w:rPr>
        <w:t>Ital J Pediatr</w:t>
      </w:r>
      <w:r w:rsidRPr="00184B6F">
        <w:rPr>
          <w:rFonts w:asciiTheme="minorHAnsi" w:hAnsiTheme="minorHAnsi"/>
        </w:rPr>
        <w:t>, vol. 39, //, p. 30.</w:t>
      </w:r>
    </w:p>
    <w:bookmarkEnd w:id="77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74" w:name="_ENREF_93"/>
      <w:r w:rsidRPr="00184B6F">
        <w:rPr>
          <w:rFonts w:asciiTheme="minorHAnsi" w:hAnsiTheme="minorHAnsi"/>
        </w:rPr>
        <w:t xml:space="preserve">Fellows, GK &amp; Hollis, A 2013, 'Funding innovation for treatment for rare diseases: adopting a cost-based yardstick approach', </w:t>
      </w:r>
      <w:r w:rsidRPr="00184B6F">
        <w:rPr>
          <w:rFonts w:asciiTheme="minorHAnsi" w:hAnsiTheme="minorHAnsi"/>
          <w:i/>
        </w:rPr>
        <w:t>Orphanet J Rare Dis</w:t>
      </w:r>
      <w:r w:rsidRPr="00184B6F">
        <w:rPr>
          <w:rFonts w:asciiTheme="minorHAnsi" w:hAnsiTheme="minorHAnsi"/>
        </w:rPr>
        <w:t>, vol. 8, p. 180.</w:t>
      </w:r>
    </w:p>
    <w:bookmarkEnd w:id="77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75" w:name="_ENREF_94"/>
      <w:r w:rsidRPr="00184B6F">
        <w:rPr>
          <w:rFonts w:asciiTheme="minorHAnsi" w:hAnsiTheme="minorHAnsi"/>
        </w:rPr>
        <w:t xml:space="preserve">Fernandez, C, Legido, A, Jethva, R &amp; Marks, HG 2012, 'Correction of a short cardiac PR interval in a 12-year-old girl with late-onset Pompe disease following enzyme replacement therapy', </w:t>
      </w:r>
      <w:r w:rsidRPr="00184B6F">
        <w:rPr>
          <w:rFonts w:asciiTheme="minorHAnsi" w:hAnsiTheme="minorHAnsi"/>
          <w:i/>
        </w:rPr>
        <w:t>Genetics in Medicine</w:t>
      </w:r>
      <w:r w:rsidRPr="00184B6F">
        <w:rPr>
          <w:rFonts w:asciiTheme="minorHAnsi" w:hAnsiTheme="minorHAnsi"/>
        </w:rPr>
        <w:t>, vol. 14, no. 8, Aug, pp. 757-758.</w:t>
      </w:r>
    </w:p>
    <w:bookmarkEnd w:id="775"/>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776" w:name="_ENREF_95"/>
      <w:r w:rsidRPr="00184B6F">
        <w:rPr>
          <w:rFonts w:asciiTheme="minorHAnsi" w:hAnsiTheme="minorHAnsi"/>
        </w:rPr>
        <w:t xml:space="preserve">Food and Drug Administration (FDA) April 2011, </w:t>
      </w:r>
      <w:r w:rsidRPr="00184B6F">
        <w:rPr>
          <w:rFonts w:asciiTheme="minorHAnsi" w:hAnsiTheme="minorHAnsi"/>
          <w:i/>
        </w:rPr>
        <w:t>Guidance for Industry - Postmarketing Studies and Clinical Trial - Implementation of Section 505(o)(3) of the Federal Food, Drug, and Cosmetic Act</w:t>
      </w:r>
      <w:r w:rsidRPr="00184B6F">
        <w:rPr>
          <w:rFonts w:asciiTheme="minorHAnsi" w:hAnsiTheme="minorHAnsi"/>
        </w:rPr>
        <w:t>, &lt;</w:t>
      </w:r>
      <w:r w:rsidRPr="00A62C97">
        <w:rPr>
          <w:rFonts w:asciiTheme="minorHAnsi" w:hAnsiTheme="minorHAnsi"/>
        </w:rPr>
        <w:t>http://www.fda.gov/downloads/drugs/guidancecomplianceregulatoryinformation/guidances/ucm172001.pdf&gt;</w:t>
      </w:r>
      <w:r w:rsidRPr="00184B6F">
        <w:rPr>
          <w:rFonts w:asciiTheme="minorHAnsi" w:hAnsiTheme="minorHAnsi"/>
        </w:rPr>
        <w:t>.</w:t>
      </w:r>
    </w:p>
    <w:bookmarkEnd w:id="77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77" w:name="_ENREF_96"/>
      <w:r w:rsidRPr="00184B6F">
        <w:rPr>
          <w:rFonts w:asciiTheme="minorHAnsi" w:hAnsiTheme="minorHAnsi"/>
        </w:rPr>
        <w:t xml:space="preserve">Furusawa, Y, Mitsuhashi, S, Mori-Yoshimura, M, Shimada, Y, Yamamoto, T, Shibuya, M, Shimizu, J, Ohashi, T, Saito, Y, Nishino, I, Oya, Y &amp; Murata, M 2014, 'Late-onset Pompe disease after 4 years of enzyme replacement therapy: An autopsy case', </w:t>
      </w:r>
      <w:r w:rsidRPr="00184B6F">
        <w:rPr>
          <w:rFonts w:asciiTheme="minorHAnsi" w:hAnsiTheme="minorHAnsi"/>
          <w:i/>
        </w:rPr>
        <w:t>Neurology and Clinical Neuroscience</w:t>
      </w:r>
      <w:r w:rsidRPr="00184B6F">
        <w:rPr>
          <w:rFonts w:asciiTheme="minorHAnsi" w:hAnsiTheme="minorHAnsi"/>
        </w:rPr>
        <w:t>, vol. 2, no. 1, pp. 7-9.</w:t>
      </w:r>
    </w:p>
    <w:bookmarkEnd w:id="77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78" w:name="_ENREF_97"/>
      <w:r w:rsidRPr="00184B6F">
        <w:rPr>
          <w:rFonts w:asciiTheme="minorHAnsi" w:hAnsiTheme="minorHAnsi"/>
        </w:rPr>
        <w:t xml:space="preserve">Furusawa, Y, Mori-Yoshimura, M, Yamamoto, T, Sakamoto, C, Wakita, M, Kobayashi, Y, Fukumoto, Y, Oya, Y, Fukuda, T, Sugie, H, Hayashi, YK, Nishino, I, Nonaka, I &amp; Murata, M 2012, 'Effects of enzyme replacement therapy on five patients with advanced late-onset glycogen storage disease type II: a 2-year follow-up study', </w:t>
      </w:r>
      <w:r w:rsidRPr="00184B6F">
        <w:rPr>
          <w:rFonts w:asciiTheme="minorHAnsi" w:hAnsiTheme="minorHAnsi"/>
          <w:i/>
        </w:rPr>
        <w:t>J Inherit Metab Dis</w:t>
      </w:r>
      <w:r w:rsidRPr="00184B6F">
        <w:rPr>
          <w:rFonts w:asciiTheme="minorHAnsi" w:hAnsiTheme="minorHAnsi"/>
        </w:rPr>
        <w:t>, vol. 35, no. 2, Mar, pp. 301-310.</w:t>
      </w:r>
    </w:p>
    <w:bookmarkEnd w:id="77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79" w:name="_ENREF_98"/>
      <w:r w:rsidRPr="00184B6F">
        <w:rPr>
          <w:rFonts w:asciiTheme="minorHAnsi" w:hAnsiTheme="minorHAnsi"/>
        </w:rPr>
        <w:t xml:space="preserve">Galsky, MD, Von Hoff, DD, Neubauer, M, Anderson, T, Fleming, M, Nagarwala, Y, Mahoney, JM, Midwinter, D, Vocila, L &amp; Zaks, TZ 2012, 'Target-specific, histology-independent, randomized discontinuation study of lapatinib in patients with HER2-amplified solid tumors', </w:t>
      </w:r>
      <w:r w:rsidRPr="00184B6F">
        <w:rPr>
          <w:rFonts w:asciiTheme="minorHAnsi" w:hAnsiTheme="minorHAnsi"/>
          <w:i/>
        </w:rPr>
        <w:t>Invest New Drugs</w:t>
      </w:r>
      <w:r w:rsidRPr="00184B6F">
        <w:rPr>
          <w:rFonts w:asciiTheme="minorHAnsi" w:hAnsiTheme="minorHAnsi"/>
        </w:rPr>
        <w:t>, vol. 30, no. 2, Apr, pp. 695-701.</w:t>
      </w:r>
    </w:p>
    <w:bookmarkEnd w:id="77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80" w:name="_ENREF_99"/>
      <w:r w:rsidRPr="00184B6F">
        <w:rPr>
          <w:rFonts w:asciiTheme="minorHAnsi" w:hAnsiTheme="minorHAnsi"/>
        </w:rPr>
        <w:t xml:space="preserve">Gao, JJ, Song, PP &amp; Tang, W 2013, 'Rare disease patients in China anticipate the sunlight of legislation', </w:t>
      </w:r>
      <w:r w:rsidRPr="00184B6F">
        <w:rPr>
          <w:rFonts w:asciiTheme="minorHAnsi" w:hAnsiTheme="minorHAnsi"/>
          <w:i/>
        </w:rPr>
        <w:t>Drug Discov Ther</w:t>
      </w:r>
      <w:r w:rsidRPr="00184B6F">
        <w:rPr>
          <w:rFonts w:asciiTheme="minorHAnsi" w:hAnsiTheme="minorHAnsi"/>
        </w:rPr>
        <w:t>, vol. 7, no. 3, Jun, pp. 126-128.</w:t>
      </w:r>
    </w:p>
    <w:bookmarkEnd w:id="78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81" w:name="_ENREF_100"/>
      <w:r w:rsidRPr="00184B6F">
        <w:rPr>
          <w:rFonts w:asciiTheme="minorHAnsi" w:hAnsiTheme="minorHAnsi"/>
        </w:rPr>
        <w:lastRenderedPageBreak/>
        <w:t>Garau, M &amp; Mestre-Ferrandiz, J 2009, 'Access mechanisms for orphan drugs: A comparative study of selected European countries', pp. 1-32, viewed 3 October 2014, &lt;</w:t>
      </w:r>
      <w:r w:rsidRPr="00A62C97">
        <w:rPr>
          <w:rFonts w:asciiTheme="minorHAnsi" w:hAnsiTheme="minorHAnsi"/>
        </w:rPr>
        <w:t>www.raredisease.org.uk/documents/OHEBriefingOrphanDrugs.pdf&gt;</w:t>
      </w:r>
      <w:r w:rsidRPr="00184B6F">
        <w:rPr>
          <w:rFonts w:asciiTheme="minorHAnsi" w:hAnsiTheme="minorHAnsi"/>
        </w:rPr>
        <w:t>.</w:t>
      </w:r>
    </w:p>
    <w:bookmarkEnd w:id="78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82" w:name="_ENREF_101"/>
      <w:r w:rsidRPr="00184B6F">
        <w:rPr>
          <w:rFonts w:asciiTheme="minorHAnsi" w:hAnsiTheme="minorHAnsi"/>
        </w:rPr>
        <w:t xml:space="preserve">Gassman, JJ, Owen, WW, Kuntz, TE, Martin, JP &amp; Amoroso, WP 1995, 'Data quality assurance, monitoring, and reporting', </w:t>
      </w:r>
      <w:r w:rsidRPr="00184B6F">
        <w:rPr>
          <w:rFonts w:asciiTheme="minorHAnsi" w:hAnsiTheme="minorHAnsi"/>
          <w:i/>
        </w:rPr>
        <w:t>Control Clin Trials</w:t>
      </w:r>
      <w:r w:rsidRPr="00184B6F">
        <w:rPr>
          <w:rFonts w:asciiTheme="minorHAnsi" w:hAnsiTheme="minorHAnsi"/>
        </w:rPr>
        <w:t>, vol. 16, no. 2 Suppl, Apr, pp. 104S-136S.</w:t>
      </w:r>
    </w:p>
    <w:bookmarkEnd w:id="78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83" w:name="_ENREF_102"/>
      <w:r w:rsidRPr="00184B6F">
        <w:rPr>
          <w:rFonts w:asciiTheme="minorHAnsi" w:hAnsiTheme="minorHAnsi"/>
        </w:rPr>
        <w:t xml:space="preserve">Genzyme 2006, </w:t>
      </w:r>
      <w:r w:rsidRPr="00184B6F">
        <w:rPr>
          <w:rFonts w:asciiTheme="minorHAnsi" w:hAnsiTheme="minorHAnsi"/>
          <w:i/>
        </w:rPr>
        <w:t>Fabrazyme(R) (agalsidase beta) Global Periodic Safety Update (PSUR)</w:t>
      </w:r>
      <w:r w:rsidRPr="00184B6F">
        <w:rPr>
          <w:rFonts w:asciiTheme="minorHAnsi" w:hAnsiTheme="minorHAnsi"/>
        </w:rPr>
        <w:t>.</w:t>
      </w:r>
    </w:p>
    <w:bookmarkEnd w:id="78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84" w:name="_ENREF_103"/>
      <w:r w:rsidRPr="00184B6F">
        <w:rPr>
          <w:rFonts w:asciiTheme="minorHAnsi" w:hAnsiTheme="minorHAnsi"/>
        </w:rPr>
        <w:t>Genzyme 2007, 'Periodic safety update report, 1 May 06 - 30 April 07 for Aldurazyme(R) 500U (laronidase-rch)'.</w:t>
      </w:r>
    </w:p>
    <w:bookmarkEnd w:id="784"/>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785" w:name="_ENREF_104"/>
      <w:r w:rsidRPr="00184B6F">
        <w:rPr>
          <w:rFonts w:asciiTheme="minorHAnsi" w:hAnsiTheme="minorHAnsi"/>
        </w:rPr>
        <w:t xml:space="preserve">Genzyme (Fabry Registry), </w:t>
      </w:r>
      <w:r w:rsidRPr="00184B6F">
        <w:rPr>
          <w:rFonts w:asciiTheme="minorHAnsi" w:hAnsiTheme="minorHAnsi"/>
          <w:i/>
        </w:rPr>
        <w:t>Fabry Registry</w:t>
      </w:r>
      <w:r w:rsidRPr="00184B6F">
        <w:rPr>
          <w:rFonts w:asciiTheme="minorHAnsi" w:hAnsiTheme="minorHAnsi"/>
        </w:rPr>
        <w:t>, viewed 18/11/2014, &lt;</w:t>
      </w:r>
      <w:r w:rsidRPr="00A62C97">
        <w:rPr>
          <w:rFonts w:asciiTheme="minorHAnsi" w:hAnsiTheme="minorHAnsi"/>
        </w:rPr>
        <w:t>http://www.fabrycommunity.com/Healthcare/Registry.aspx&gt;</w:t>
      </w:r>
      <w:r w:rsidRPr="00184B6F">
        <w:rPr>
          <w:rFonts w:asciiTheme="minorHAnsi" w:hAnsiTheme="minorHAnsi"/>
        </w:rPr>
        <w:t>.</w:t>
      </w:r>
    </w:p>
    <w:bookmarkEnd w:id="785"/>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786" w:name="_ENREF_105"/>
      <w:r w:rsidRPr="00184B6F">
        <w:rPr>
          <w:rFonts w:asciiTheme="minorHAnsi" w:hAnsiTheme="minorHAnsi"/>
        </w:rPr>
        <w:t xml:space="preserve">Genzyme (MPS I Registry), </w:t>
      </w:r>
      <w:r w:rsidRPr="00184B6F">
        <w:rPr>
          <w:rFonts w:asciiTheme="minorHAnsi" w:hAnsiTheme="minorHAnsi"/>
          <w:i/>
        </w:rPr>
        <w:t>MPS I Registry</w:t>
      </w:r>
      <w:r w:rsidRPr="00184B6F">
        <w:rPr>
          <w:rFonts w:asciiTheme="minorHAnsi" w:hAnsiTheme="minorHAnsi"/>
        </w:rPr>
        <w:t>, viewed 18/11/2014, &lt;</w:t>
      </w:r>
      <w:r w:rsidRPr="00A62C97">
        <w:rPr>
          <w:rFonts w:asciiTheme="minorHAnsi" w:hAnsiTheme="minorHAnsi"/>
        </w:rPr>
        <w:t>http://www.mps1disease.com/patients/mpsi-registry.aspx&gt;</w:t>
      </w:r>
      <w:r w:rsidRPr="00184B6F">
        <w:rPr>
          <w:rFonts w:asciiTheme="minorHAnsi" w:hAnsiTheme="minorHAnsi"/>
        </w:rPr>
        <w:t>.</w:t>
      </w:r>
    </w:p>
    <w:bookmarkEnd w:id="786"/>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787" w:name="_ENREF_106"/>
      <w:r w:rsidRPr="00184B6F">
        <w:rPr>
          <w:rFonts w:asciiTheme="minorHAnsi" w:hAnsiTheme="minorHAnsi"/>
        </w:rPr>
        <w:t xml:space="preserve">Genzyme (Pompe Registry), </w:t>
      </w:r>
      <w:r w:rsidRPr="00184B6F">
        <w:rPr>
          <w:rFonts w:asciiTheme="minorHAnsi" w:hAnsiTheme="minorHAnsi"/>
          <w:i/>
        </w:rPr>
        <w:t>Pompe Registry</w:t>
      </w:r>
      <w:r w:rsidRPr="00184B6F">
        <w:rPr>
          <w:rFonts w:asciiTheme="minorHAnsi" w:hAnsiTheme="minorHAnsi"/>
        </w:rPr>
        <w:t>, viewed 18/11/2014, &lt;</w:t>
      </w:r>
      <w:r w:rsidRPr="00A62C97">
        <w:rPr>
          <w:rFonts w:asciiTheme="minorHAnsi" w:hAnsiTheme="minorHAnsi"/>
        </w:rPr>
        <w:t>http://www.pompe.com/healthcare-professionals/pompe-registry.aspx&gt;</w:t>
      </w:r>
      <w:r w:rsidRPr="00184B6F">
        <w:rPr>
          <w:rFonts w:asciiTheme="minorHAnsi" w:hAnsiTheme="minorHAnsi"/>
        </w:rPr>
        <w:t>.</w:t>
      </w:r>
    </w:p>
    <w:bookmarkEnd w:id="78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88" w:name="_ENREF_107"/>
      <w:r w:rsidRPr="00184B6F">
        <w:rPr>
          <w:rFonts w:asciiTheme="minorHAnsi" w:hAnsiTheme="minorHAnsi"/>
        </w:rPr>
        <w:t xml:space="preserve">Genzyme Australasia Pty Ltd 2011, </w:t>
      </w:r>
      <w:r w:rsidRPr="00184B6F">
        <w:rPr>
          <w:rFonts w:asciiTheme="minorHAnsi" w:hAnsiTheme="minorHAnsi"/>
          <w:i/>
        </w:rPr>
        <w:t>Periodic safety update report: Myozyme (alglucosidase alfa-rch)</w:t>
      </w:r>
      <w:r w:rsidRPr="00184B6F">
        <w:rPr>
          <w:rFonts w:asciiTheme="minorHAnsi" w:hAnsiTheme="minorHAnsi"/>
        </w:rPr>
        <w:t>.</w:t>
      </w:r>
    </w:p>
    <w:bookmarkEnd w:id="78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89" w:name="_ENREF_108"/>
      <w:r w:rsidRPr="00184B6F">
        <w:rPr>
          <w:rFonts w:asciiTheme="minorHAnsi" w:hAnsiTheme="minorHAnsi"/>
        </w:rPr>
        <w:t xml:space="preserve">Gho, JM, Kummeling, GJ, Koudstaal, S, Jansen Of Lorkeers, SJ, Doevendans, PA, Asselbergs, FW &amp; Chamuleau, SA 2013, 'Cell therapy, a novel remedy for dilated cardiomyopathy? A systematic review', </w:t>
      </w:r>
      <w:r w:rsidRPr="00184B6F">
        <w:rPr>
          <w:rFonts w:asciiTheme="minorHAnsi" w:hAnsiTheme="minorHAnsi"/>
          <w:i/>
        </w:rPr>
        <w:t>J Card Fail</w:t>
      </w:r>
      <w:r w:rsidRPr="00184B6F">
        <w:rPr>
          <w:rFonts w:asciiTheme="minorHAnsi" w:hAnsiTheme="minorHAnsi"/>
        </w:rPr>
        <w:t>, vol. 19, no. 7, Jul, pp. 494-502.</w:t>
      </w:r>
    </w:p>
    <w:bookmarkEnd w:id="78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90" w:name="_ENREF_109"/>
      <w:r w:rsidRPr="00184B6F">
        <w:rPr>
          <w:rFonts w:asciiTheme="minorHAnsi" w:hAnsiTheme="minorHAnsi"/>
        </w:rPr>
        <w:t xml:space="preserve">Giraldo, P, Irun, P, Alfonso, P, Dalmau, J, Fernandez-Galan, MA, Figueredo, A, Hernandez-Rivas, JM, Julia, A, Luno, E, Marin-Jimenez, F, Martin-Nunez, G, Montserrat, JL, de la, S, Vidaller, A, Villalon, L &amp; Pocovi, M 2011, 'Evaluation of Spanish Gaucher disease patients after a 6-month imiglucerase shortage', </w:t>
      </w:r>
      <w:r w:rsidRPr="00184B6F">
        <w:rPr>
          <w:rFonts w:asciiTheme="minorHAnsi" w:hAnsiTheme="minorHAnsi"/>
          <w:i/>
        </w:rPr>
        <w:t>Blood Cells Mol Dis</w:t>
      </w:r>
      <w:r w:rsidRPr="00184B6F">
        <w:rPr>
          <w:rFonts w:asciiTheme="minorHAnsi" w:hAnsiTheme="minorHAnsi"/>
        </w:rPr>
        <w:t>, vol. 46, pp. 115-118.</w:t>
      </w:r>
    </w:p>
    <w:bookmarkEnd w:id="79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91" w:name="_ENREF_110"/>
      <w:r w:rsidRPr="00184B6F">
        <w:rPr>
          <w:rFonts w:asciiTheme="minorHAnsi" w:hAnsiTheme="minorHAnsi"/>
        </w:rPr>
        <w:t xml:space="preserve">Glauser, T, Kluger, G, Sachdeo, R, Krauss, G, Perdomo, C &amp; Arroyo, S 2008, 'Rufinamide for generalized seizures associated with Lennox-Gastaut syndrome', </w:t>
      </w:r>
      <w:r w:rsidRPr="00184B6F">
        <w:rPr>
          <w:rFonts w:asciiTheme="minorHAnsi" w:hAnsiTheme="minorHAnsi"/>
          <w:i/>
        </w:rPr>
        <w:t>Neurology</w:t>
      </w:r>
      <w:r w:rsidRPr="00184B6F">
        <w:rPr>
          <w:rFonts w:asciiTheme="minorHAnsi" w:hAnsiTheme="minorHAnsi"/>
        </w:rPr>
        <w:t>, vol. 70, no. 21, May 20, pp. 1950-1958.</w:t>
      </w:r>
    </w:p>
    <w:bookmarkEnd w:id="791"/>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792" w:name="_ENREF_111"/>
      <w:r w:rsidRPr="00184B6F">
        <w:rPr>
          <w:rFonts w:asciiTheme="minorHAnsi" w:hAnsiTheme="minorHAnsi"/>
        </w:rPr>
        <w:t xml:space="preserve">Gliklich, RE &amp; Dreyer (Eds), NA 2010, </w:t>
      </w:r>
      <w:r w:rsidRPr="00184B6F">
        <w:rPr>
          <w:rFonts w:asciiTheme="minorHAnsi" w:hAnsiTheme="minorHAnsi"/>
          <w:i/>
        </w:rPr>
        <w:t>Registries for evaluating patient outcomes: a user's guide (2nd Ed)</w:t>
      </w:r>
      <w:r w:rsidRPr="00184B6F">
        <w:rPr>
          <w:rFonts w:asciiTheme="minorHAnsi" w:hAnsiTheme="minorHAnsi"/>
        </w:rPr>
        <w:t>, Agency for Healthcare Research and Quality,, &lt;</w:t>
      </w:r>
      <w:r w:rsidRPr="00A62C97">
        <w:rPr>
          <w:rFonts w:asciiTheme="minorHAnsi" w:hAnsiTheme="minorHAnsi"/>
        </w:rPr>
        <w:t>http://effectivehealthcare.ahrq.gov/index.cfm/search-for-guides-reviews-and-reports/?productid=1897&amp;pageaction=displayproduct&gt;</w:t>
      </w:r>
      <w:r w:rsidRPr="00184B6F">
        <w:rPr>
          <w:rFonts w:asciiTheme="minorHAnsi" w:hAnsiTheme="minorHAnsi"/>
        </w:rPr>
        <w:t>.</w:t>
      </w:r>
    </w:p>
    <w:bookmarkEnd w:id="79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93" w:name="_ENREF_112"/>
      <w:r w:rsidRPr="00184B6F">
        <w:rPr>
          <w:rFonts w:asciiTheme="minorHAnsi" w:hAnsiTheme="minorHAnsi"/>
        </w:rPr>
        <w:t>Gliklich, RE, Dreyer, NA &amp; Leavy, MB 2014, 'Rare Disease Registries'.</w:t>
      </w:r>
    </w:p>
    <w:bookmarkEnd w:id="79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94" w:name="_ENREF_113"/>
      <w:r w:rsidRPr="00184B6F">
        <w:rPr>
          <w:rFonts w:asciiTheme="minorHAnsi" w:hAnsiTheme="minorHAnsi"/>
        </w:rPr>
        <w:lastRenderedPageBreak/>
        <w:t xml:space="preserve">Goetghebeur, MM, Wagner, M, Khoury, H, Levitt, RJ, Erickson, LJ &amp; Rindress, D 2008, 'Evidence and Value: Impact on DEcisionMaking--the EVIDEM framework and potential applications', </w:t>
      </w:r>
      <w:r w:rsidRPr="00184B6F">
        <w:rPr>
          <w:rFonts w:asciiTheme="minorHAnsi" w:hAnsiTheme="minorHAnsi"/>
          <w:i/>
        </w:rPr>
        <w:t>BMC Health Serv Res</w:t>
      </w:r>
      <w:r w:rsidRPr="00184B6F">
        <w:rPr>
          <w:rFonts w:asciiTheme="minorHAnsi" w:hAnsiTheme="minorHAnsi"/>
        </w:rPr>
        <w:t>, vol. 8, p. 270.</w:t>
      </w:r>
    </w:p>
    <w:bookmarkEnd w:id="79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95" w:name="_ENREF_114"/>
      <w:r w:rsidRPr="00184B6F">
        <w:rPr>
          <w:rFonts w:asciiTheme="minorHAnsi" w:hAnsiTheme="minorHAnsi"/>
        </w:rPr>
        <w:t xml:space="preserve">Goetghebeur, MM, Wagner, M, Khoury, H, Levitt, RJ, Erickson, LJ &amp; Rindress, D 2012, 'Bridging health technology assessment (HTA) and efficient health care decision making with multicriteria decision analysis (MCDA): applying the EVIDEM framework to medicines appraisal', </w:t>
      </w:r>
      <w:r w:rsidRPr="00184B6F">
        <w:rPr>
          <w:rFonts w:asciiTheme="minorHAnsi" w:hAnsiTheme="minorHAnsi"/>
          <w:i/>
        </w:rPr>
        <w:t>Med Decis Making</w:t>
      </w:r>
      <w:r w:rsidRPr="00184B6F">
        <w:rPr>
          <w:rFonts w:asciiTheme="minorHAnsi" w:hAnsiTheme="minorHAnsi"/>
        </w:rPr>
        <w:t>, vol. 32, no. 2, Mar-Apr, pp. 376-388.</w:t>
      </w:r>
    </w:p>
    <w:bookmarkEnd w:id="79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96" w:name="_ENREF_115"/>
      <w:r w:rsidRPr="00184B6F">
        <w:rPr>
          <w:rFonts w:asciiTheme="minorHAnsi" w:hAnsiTheme="minorHAnsi"/>
        </w:rPr>
        <w:t xml:space="preserve">Gong, S &amp; Jin, S 2012, 'Current progress in the management of rare diseases and orphan drugs in China', </w:t>
      </w:r>
      <w:r w:rsidRPr="00184B6F">
        <w:rPr>
          <w:rFonts w:asciiTheme="minorHAnsi" w:hAnsiTheme="minorHAnsi"/>
          <w:i/>
        </w:rPr>
        <w:t>Intractable &amp; Rare Disease Research</w:t>
      </w:r>
      <w:r w:rsidRPr="00184B6F">
        <w:rPr>
          <w:rFonts w:asciiTheme="minorHAnsi" w:hAnsiTheme="minorHAnsi"/>
        </w:rPr>
        <w:t>, vol. 1, no. 2, pp. 45-52.</w:t>
      </w:r>
    </w:p>
    <w:bookmarkEnd w:id="79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97" w:name="_ENREF_116"/>
      <w:r w:rsidRPr="00184B6F">
        <w:rPr>
          <w:rFonts w:asciiTheme="minorHAnsi" w:hAnsiTheme="minorHAnsi"/>
        </w:rPr>
        <w:t xml:space="preserve">Gonzalez, DE, Turkia, HB, Lukina, EA, Kisinovsky, I, Dridi, MF, Elstein, D, Zahrieh, D, Crombez, E, Bhirangi, K, Barton, NW &amp; Zimran, A 2013, 'Enzyme replacement therapy with velaglucerase alfa in Gaucher disease: Results from a randomized, double-blind, multinational, Phase 3 study', </w:t>
      </w:r>
      <w:r w:rsidRPr="00184B6F">
        <w:rPr>
          <w:rFonts w:asciiTheme="minorHAnsi" w:hAnsiTheme="minorHAnsi"/>
          <w:i/>
        </w:rPr>
        <w:t>Am J Hematol</w:t>
      </w:r>
      <w:r w:rsidRPr="00184B6F">
        <w:rPr>
          <w:rFonts w:asciiTheme="minorHAnsi" w:hAnsiTheme="minorHAnsi"/>
        </w:rPr>
        <w:t>, vol. 88, pp. 166-171.</w:t>
      </w:r>
    </w:p>
    <w:bookmarkEnd w:id="79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98" w:name="_ENREF_117"/>
      <w:r w:rsidRPr="00184B6F">
        <w:rPr>
          <w:rFonts w:asciiTheme="minorHAnsi" w:hAnsiTheme="minorHAnsi"/>
        </w:rPr>
        <w:t xml:space="preserve">Grigorescu-Sido, P, Drugan, C, Alkhzouz, C, Zimmermann, A, Coldea, C, Denes, C, Grigorescu, MD, Cret, V &amp; Bucerzan, S 2010, 'Baseline characteristics and outcome in Romanian patients with Gaucher disease type 1', </w:t>
      </w:r>
      <w:r w:rsidRPr="00184B6F">
        <w:rPr>
          <w:rFonts w:asciiTheme="minorHAnsi" w:hAnsiTheme="minorHAnsi"/>
          <w:i/>
        </w:rPr>
        <w:t>Eur J Intern Med</w:t>
      </w:r>
      <w:r w:rsidRPr="00184B6F">
        <w:rPr>
          <w:rFonts w:asciiTheme="minorHAnsi" w:hAnsiTheme="minorHAnsi"/>
        </w:rPr>
        <w:t>, vol. 21, pp. 104-113.</w:t>
      </w:r>
    </w:p>
    <w:bookmarkEnd w:id="79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799" w:name="_ENREF_118"/>
      <w:r w:rsidRPr="00184B6F">
        <w:rPr>
          <w:rFonts w:asciiTheme="minorHAnsi" w:hAnsiTheme="minorHAnsi"/>
        </w:rPr>
        <w:t xml:space="preserve">Groft, SC &amp; Rubinstein, YR 2013, 'New and evolving rare diseases research programs at the National Institutes of Health', </w:t>
      </w:r>
      <w:r w:rsidRPr="00184B6F">
        <w:rPr>
          <w:rFonts w:asciiTheme="minorHAnsi" w:hAnsiTheme="minorHAnsi"/>
          <w:i/>
        </w:rPr>
        <w:t>Public Health Genomics</w:t>
      </w:r>
      <w:r w:rsidRPr="00184B6F">
        <w:rPr>
          <w:rFonts w:asciiTheme="minorHAnsi" w:hAnsiTheme="minorHAnsi"/>
        </w:rPr>
        <w:t>, vol. 16, no. 6, pp. 259-267.</w:t>
      </w:r>
    </w:p>
    <w:bookmarkEnd w:id="79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00" w:name="_ENREF_119"/>
      <w:r w:rsidRPr="00184B6F">
        <w:rPr>
          <w:rFonts w:asciiTheme="minorHAnsi" w:hAnsiTheme="minorHAnsi"/>
        </w:rPr>
        <w:t xml:space="preserve">Guyatt, G, Oxman, AD, Akl, EA, Kunz, R, Vist, G, Brozek, J, Norris, S, Falck-Ytter, Y, Glasziou, P, DeBeer, H, Jaeschke, R, Rind, D, Meerpohl, J, Dahm, P &amp; Schunemann, HJ 2011, 'GRADE guidelines: 1. Introduction-GRADE evidence profiles and summary of findings tables', </w:t>
      </w:r>
      <w:r w:rsidRPr="00184B6F">
        <w:rPr>
          <w:rFonts w:asciiTheme="minorHAnsi" w:hAnsiTheme="minorHAnsi"/>
          <w:i/>
        </w:rPr>
        <w:t>J Clin Epidemiol</w:t>
      </w:r>
      <w:r w:rsidRPr="00184B6F">
        <w:rPr>
          <w:rFonts w:asciiTheme="minorHAnsi" w:hAnsiTheme="minorHAnsi"/>
        </w:rPr>
        <w:t>, vol. 64, no. 4, Apr, pp. 383-394.</w:t>
      </w:r>
    </w:p>
    <w:bookmarkEnd w:id="80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01" w:name="_ENREF_120"/>
      <w:r w:rsidRPr="00184B6F">
        <w:rPr>
          <w:rFonts w:asciiTheme="minorHAnsi" w:hAnsiTheme="minorHAnsi"/>
        </w:rPr>
        <w:t xml:space="preserve">Guyatt, G, Oxman, AD, Sultan, S, Brozek, J, Glasziou, P, Alonso-Coello, P, Atkins, D, Kunz, R, Montori, V, Jaeschke, R, Rind, D, Dahm, P, Akl, EA, Meerpohl, J, Vist, G, Berliner, E, Norris, S, Falck-Ytter, Y &amp; Schunemann, HJ 2013, 'GRADE guidelines: 11. Making an overall rating of confidence in effect estimates for a single outcome and for all outcomes', </w:t>
      </w:r>
      <w:r w:rsidRPr="00184B6F">
        <w:rPr>
          <w:rFonts w:asciiTheme="minorHAnsi" w:hAnsiTheme="minorHAnsi"/>
          <w:i/>
        </w:rPr>
        <w:t>J Clin Epidemiol</w:t>
      </w:r>
      <w:r w:rsidRPr="00184B6F">
        <w:rPr>
          <w:rFonts w:asciiTheme="minorHAnsi" w:hAnsiTheme="minorHAnsi"/>
        </w:rPr>
        <w:t>, vol. 66, no. 2, Feb, pp. 151-157.</w:t>
      </w:r>
    </w:p>
    <w:bookmarkEnd w:id="80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02" w:name="_ENREF_121"/>
      <w:r w:rsidRPr="00184B6F">
        <w:rPr>
          <w:rFonts w:asciiTheme="minorHAnsi" w:hAnsiTheme="minorHAnsi"/>
        </w:rPr>
        <w:t xml:space="preserve">Harmatz, P, Giugliani, R, Schwartz, I, Guffon, N, Teles, EL, Miranda, MC, Wraith, JE, Beck, M, Arash, L, Scarpa, M, Yu, ZF, Wittes, J, Berger, KI, Newman, MS, Lowe, AM, Kakkis, E &amp; Swiedler, SJ 2006, 'Enzyme replacement therapy for mucopolysaccharidosis VI: a phase 3, randomized, double-blind, placebo-controlled, multinational study of recombinant human N-acetylgalactosamine 4-sulfatase (recombinant human arylsulfatase B or rhASB) and follow-on, open-label extension study', </w:t>
      </w:r>
      <w:r w:rsidRPr="00184B6F">
        <w:rPr>
          <w:rFonts w:asciiTheme="minorHAnsi" w:hAnsiTheme="minorHAnsi"/>
          <w:i/>
        </w:rPr>
        <w:t>J Pediatr</w:t>
      </w:r>
      <w:r w:rsidRPr="00184B6F">
        <w:rPr>
          <w:rFonts w:asciiTheme="minorHAnsi" w:hAnsiTheme="minorHAnsi"/>
        </w:rPr>
        <w:t>, vol. 148, no. 4, Apr, pp. 533-539.</w:t>
      </w:r>
    </w:p>
    <w:bookmarkEnd w:id="80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03" w:name="_ENREF_122"/>
      <w:r w:rsidRPr="00184B6F">
        <w:rPr>
          <w:rFonts w:asciiTheme="minorHAnsi" w:hAnsiTheme="minorHAnsi"/>
        </w:rPr>
        <w:t xml:space="preserve">Harmatz, P, Yu, ZF, Giugliani, R, Schwartz, IVD, Guffon, N, Teles, EL, Miranda, MCS, Wraith, JE, Beck, M, Arash, L, Scarpa, M, Ketteridge, D, Hopwood, JJ, Plecko, B, Steiner, R, Whitley, CB, Kaplan, P, Swiedler, SJ, Hardy, K, Berger, KI &amp; Decker, C 2010, 'Enzyme replacement therapy for mucopolysaccharidosis VI: Evaluation of long-term pulmonary function in </w:t>
      </w:r>
      <w:r w:rsidRPr="00184B6F">
        <w:rPr>
          <w:rFonts w:asciiTheme="minorHAnsi" w:hAnsiTheme="minorHAnsi"/>
        </w:rPr>
        <w:lastRenderedPageBreak/>
        <w:t xml:space="preserve">patients treated with recombinant human N-acetylgalactosamine 4-sulfatase', </w:t>
      </w:r>
      <w:r w:rsidRPr="00184B6F">
        <w:rPr>
          <w:rFonts w:asciiTheme="minorHAnsi" w:hAnsiTheme="minorHAnsi"/>
          <w:i/>
        </w:rPr>
        <w:t>Journal of Inherited Metabolic Disease</w:t>
      </w:r>
      <w:r w:rsidRPr="00184B6F">
        <w:rPr>
          <w:rFonts w:asciiTheme="minorHAnsi" w:hAnsiTheme="minorHAnsi"/>
        </w:rPr>
        <w:t>, vol. 33, no. 1, pp. 51-60.</w:t>
      </w:r>
    </w:p>
    <w:bookmarkEnd w:id="80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04" w:name="_ENREF_123"/>
      <w:r w:rsidRPr="00184B6F">
        <w:rPr>
          <w:rFonts w:asciiTheme="minorHAnsi" w:hAnsiTheme="minorHAnsi"/>
        </w:rPr>
        <w:t xml:space="preserve">Harris, AH, Hill, SR, Chin, G, Li, JJ &amp; Walkom, E 2008, 'The role of value for money in public insurance coverage decisions for drugs in Australia: a retrospective analysis 1994-2004', </w:t>
      </w:r>
      <w:r w:rsidRPr="00184B6F">
        <w:rPr>
          <w:rFonts w:asciiTheme="minorHAnsi" w:hAnsiTheme="minorHAnsi"/>
          <w:i/>
        </w:rPr>
        <w:t>Med Decis Making</w:t>
      </w:r>
      <w:r w:rsidRPr="00184B6F">
        <w:rPr>
          <w:rFonts w:asciiTheme="minorHAnsi" w:hAnsiTheme="minorHAnsi"/>
        </w:rPr>
        <w:t>, vol. 28, no. 5, Sep-Oct, pp. 713-722.</w:t>
      </w:r>
    </w:p>
    <w:bookmarkEnd w:id="80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05" w:name="_ENREF_124"/>
      <w:r w:rsidRPr="00184B6F">
        <w:rPr>
          <w:rFonts w:asciiTheme="minorHAnsi" w:hAnsiTheme="minorHAnsi"/>
        </w:rPr>
        <w:t xml:space="preserve">HAYES &amp; Inc 2013, </w:t>
      </w:r>
      <w:r w:rsidRPr="00184B6F">
        <w:rPr>
          <w:rFonts w:asciiTheme="minorHAnsi" w:hAnsiTheme="minorHAnsi"/>
          <w:i/>
        </w:rPr>
        <w:t>VPRIV (Velaglucerase Alfa for Injection; Shire Human Genetic Therapies Inc.) for type 1 gaucher disease</w:t>
      </w:r>
      <w:r w:rsidRPr="00184B6F">
        <w:rPr>
          <w:rFonts w:asciiTheme="minorHAnsi" w:hAnsiTheme="minorHAnsi"/>
        </w:rPr>
        <w:t>, HAYES, Inc, Lansdale, PA.</w:t>
      </w:r>
    </w:p>
    <w:bookmarkEnd w:id="80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06" w:name="_ENREF_125"/>
      <w:r w:rsidRPr="00184B6F">
        <w:rPr>
          <w:rFonts w:asciiTheme="minorHAnsi" w:hAnsiTheme="minorHAnsi"/>
        </w:rPr>
        <w:t xml:space="preserve">Hayes, RP, Grinzaid, KA, Duffey, EB &amp; Elsas, ILJ 1998, 'The impact of Gaucher disease and its treatment on quality of life', </w:t>
      </w:r>
      <w:r w:rsidRPr="00184B6F">
        <w:rPr>
          <w:rFonts w:asciiTheme="minorHAnsi" w:hAnsiTheme="minorHAnsi"/>
          <w:i/>
        </w:rPr>
        <w:t>Quality of Life Research</w:t>
      </w:r>
      <w:r w:rsidRPr="00184B6F">
        <w:rPr>
          <w:rFonts w:asciiTheme="minorHAnsi" w:hAnsiTheme="minorHAnsi"/>
        </w:rPr>
        <w:t>, vol. 7, no. 6, pp. 521-534.</w:t>
      </w:r>
    </w:p>
    <w:bookmarkEnd w:id="80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07" w:name="_ENREF_126"/>
      <w:r w:rsidRPr="00184B6F">
        <w:rPr>
          <w:rFonts w:asciiTheme="minorHAnsi" w:hAnsiTheme="minorHAnsi"/>
        </w:rPr>
        <w:t xml:space="preserve">Herzog, TN, Scheuren, FJ &amp; Winkler, WE 2007, </w:t>
      </w:r>
      <w:r w:rsidRPr="00184B6F">
        <w:rPr>
          <w:rFonts w:asciiTheme="minorHAnsi" w:hAnsiTheme="minorHAnsi"/>
          <w:i/>
        </w:rPr>
        <w:t>Data quality and record linkage techniques</w:t>
      </w:r>
      <w:r w:rsidRPr="00184B6F">
        <w:rPr>
          <w:rFonts w:asciiTheme="minorHAnsi" w:hAnsiTheme="minorHAnsi"/>
        </w:rPr>
        <w:t>, vol. 1, Springer.</w:t>
      </w:r>
    </w:p>
    <w:bookmarkEnd w:id="80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08" w:name="_ENREF_127"/>
      <w:r w:rsidRPr="00184B6F">
        <w:rPr>
          <w:rFonts w:asciiTheme="minorHAnsi" w:hAnsiTheme="minorHAnsi"/>
        </w:rPr>
        <w:t xml:space="preserve">Hetherington, A 2013, 'Avoiding the most common pitfalls with orphan applications', </w:t>
      </w:r>
      <w:r w:rsidRPr="00184B6F">
        <w:rPr>
          <w:rFonts w:asciiTheme="minorHAnsi" w:hAnsiTheme="minorHAnsi"/>
          <w:i/>
        </w:rPr>
        <w:t>GFA Insight</w:t>
      </w:r>
      <w:r w:rsidRPr="00184B6F">
        <w:rPr>
          <w:rFonts w:asciiTheme="minorHAnsi" w:hAnsiTheme="minorHAnsi"/>
        </w:rPr>
        <w:t>, no. 4, pp. 2-4.</w:t>
      </w:r>
    </w:p>
    <w:bookmarkEnd w:id="80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09" w:name="_ENREF_128"/>
      <w:r w:rsidRPr="00184B6F">
        <w:rPr>
          <w:rFonts w:asciiTheme="minorHAnsi" w:hAnsiTheme="minorHAnsi"/>
        </w:rPr>
        <w:t xml:space="preserve">Hill, A, Hillmen, P, Richards, SJ, Elebute, D, Marsh, JC, Chan, J, Mojcik, CF &amp; Rother, RP 2005, 'Sustained response and long-term safety of eculizumab in paroxysmal nocturnal hemoglobinuria', </w:t>
      </w:r>
      <w:r w:rsidRPr="00184B6F">
        <w:rPr>
          <w:rFonts w:asciiTheme="minorHAnsi" w:hAnsiTheme="minorHAnsi"/>
          <w:i/>
        </w:rPr>
        <w:t>Blood</w:t>
      </w:r>
      <w:r w:rsidRPr="00184B6F">
        <w:rPr>
          <w:rFonts w:asciiTheme="minorHAnsi" w:hAnsiTheme="minorHAnsi"/>
        </w:rPr>
        <w:t>, vol. 106, no. 7, Oct 1, pp. 2559-2565.</w:t>
      </w:r>
    </w:p>
    <w:bookmarkEnd w:id="80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10" w:name="_ENREF_129"/>
      <w:r w:rsidRPr="00184B6F">
        <w:rPr>
          <w:rFonts w:asciiTheme="minorHAnsi" w:hAnsiTheme="minorHAnsi"/>
        </w:rPr>
        <w:t xml:space="preserve">Hill, A, Rother, RP, Wang, X, Morris, SM, Jr., Quinn-Senger, K, Kelly, R, Richards, SJ, Bessler, M, Bell, L, Hillmen, P &amp; Gladwin, MT 2010, 'Effect of eculizumab on haemolysis-associated nitric oxide depletion, dyspnoea, and measures of pulmonary hypertension in patients with paroxysmal nocturnal haemoglobinuria', </w:t>
      </w:r>
      <w:r w:rsidRPr="00184B6F">
        <w:rPr>
          <w:rFonts w:asciiTheme="minorHAnsi" w:hAnsiTheme="minorHAnsi"/>
          <w:i/>
        </w:rPr>
        <w:t>Br J Haematol</w:t>
      </w:r>
      <w:r w:rsidRPr="00184B6F">
        <w:rPr>
          <w:rFonts w:asciiTheme="minorHAnsi" w:hAnsiTheme="minorHAnsi"/>
        </w:rPr>
        <w:t>, vol. 149, no. 3, May, pp. 414-425.</w:t>
      </w:r>
    </w:p>
    <w:bookmarkEnd w:id="81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11" w:name="_ENREF_130"/>
      <w:r w:rsidRPr="00184B6F">
        <w:rPr>
          <w:rFonts w:asciiTheme="minorHAnsi" w:hAnsiTheme="minorHAnsi"/>
        </w:rPr>
        <w:t xml:space="preserve">Hillmen, P, Elebute, M, Kelly, R, Urbano-Ispizua, A, Hill, A, Rother, RP, Khursigara, G, Fu, CL, Omine, M, Browne, P &amp; Rosse, W 2010, 'Long-term effect of the complement inhibitor eculizumab on kidney function in patients with paroxysmal nocturnal hemoglobinuria', </w:t>
      </w:r>
      <w:r w:rsidRPr="00184B6F">
        <w:rPr>
          <w:rFonts w:asciiTheme="minorHAnsi" w:hAnsiTheme="minorHAnsi"/>
          <w:i/>
        </w:rPr>
        <w:t>Am J Hematol</w:t>
      </w:r>
      <w:r w:rsidRPr="00184B6F">
        <w:rPr>
          <w:rFonts w:asciiTheme="minorHAnsi" w:hAnsiTheme="minorHAnsi"/>
        </w:rPr>
        <w:t>, vol. 85, no. 8, Aug, pp. 553-559.</w:t>
      </w:r>
    </w:p>
    <w:bookmarkEnd w:id="81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12" w:name="_ENREF_131"/>
      <w:r w:rsidRPr="00184B6F">
        <w:rPr>
          <w:rFonts w:asciiTheme="minorHAnsi" w:hAnsiTheme="minorHAnsi"/>
        </w:rPr>
        <w:t xml:space="preserve">Hillmen, P, Hall, C, Marsh, JC, Elebute, M, Bombara, MP, Petro, BE, Cullen, MJ, Richards, SJ, Rollins, SA, Mojcik, CF &amp; Rother, RP 2004, 'Effect of eculizumab on hemolysis and transfusion requirements in patients with paroxysmal nocturnal hemoglobinuria', </w:t>
      </w:r>
      <w:r w:rsidRPr="00184B6F">
        <w:rPr>
          <w:rFonts w:asciiTheme="minorHAnsi" w:hAnsiTheme="minorHAnsi"/>
          <w:i/>
        </w:rPr>
        <w:t>N Engl J Med</w:t>
      </w:r>
      <w:r w:rsidRPr="00184B6F">
        <w:rPr>
          <w:rFonts w:asciiTheme="minorHAnsi" w:hAnsiTheme="minorHAnsi"/>
        </w:rPr>
        <w:t>, vol. 350, no. 6, Feb 5, pp. 552-559.</w:t>
      </w:r>
    </w:p>
    <w:bookmarkEnd w:id="81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13" w:name="_ENREF_132"/>
      <w:r w:rsidRPr="00184B6F">
        <w:rPr>
          <w:rFonts w:asciiTheme="minorHAnsi" w:hAnsiTheme="minorHAnsi"/>
        </w:rPr>
        <w:t xml:space="preserve">Hillmen, P, Lewis, SM, Bessler, M, Luzzatto, L &amp; Dacie, JV 1995, 'Natural history of paroxysmal nocturnal hemoglobinuria', </w:t>
      </w:r>
      <w:r w:rsidRPr="00184B6F">
        <w:rPr>
          <w:rFonts w:asciiTheme="minorHAnsi" w:hAnsiTheme="minorHAnsi"/>
          <w:i/>
        </w:rPr>
        <w:t>N Engl J Med</w:t>
      </w:r>
      <w:r w:rsidRPr="00184B6F">
        <w:rPr>
          <w:rFonts w:asciiTheme="minorHAnsi" w:hAnsiTheme="minorHAnsi"/>
        </w:rPr>
        <w:t>, vol. 333, no. 19, Nov 9, pp. 1253-1258.</w:t>
      </w:r>
    </w:p>
    <w:bookmarkEnd w:id="81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14" w:name="_ENREF_133"/>
      <w:r w:rsidRPr="00184B6F">
        <w:rPr>
          <w:rFonts w:asciiTheme="minorHAnsi" w:hAnsiTheme="minorHAnsi"/>
        </w:rPr>
        <w:t xml:space="preserve">Hillmen, P, Muus, P, Duhrsen, U, Risitano, AM, Schubert, J, Luzzatto, L, Schrezenmeier, H, Szer, J, Brodsky, RA, Hill, A, Socie, G, Bessler, M, Rollins, SA, Bell, L, Rother, RP &amp; Young, NS 2007, 'Effect of the complement inhibitor eculizumab on thromboembolism in patients with paroxysmal nocturnal hemoglobinuria', </w:t>
      </w:r>
      <w:r w:rsidRPr="00184B6F">
        <w:rPr>
          <w:rFonts w:asciiTheme="minorHAnsi" w:hAnsiTheme="minorHAnsi"/>
          <w:i/>
        </w:rPr>
        <w:t>Blood</w:t>
      </w:r>
      <w:r w:rsidRPr="00184B6F">
        <w:rPr>
          <w:rFonts w:asciiTheme="minorHAnsi" w:hAnsiTheme="minorHAnsi"/>
        </w:rPr>
        <w:t>, vol. 110, no. 12, Dec 1, pp. 4123-4128.</w:t>
      </w:r>
    </w:p>
    <w:bookmarkEnd w:id="81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15" w:name="_ENREF_134"/>
      <w:r w:rsidRPr="00184B6F">
        <w:rPr>
          <w:rFonts w:asciiTheme="minorHAnsi" w:hAnsiTheme="minorHAnsi"/>
        </w:rPr>
        <w:lastRenderedPageBreak/>
        <w:t xml:space="preserve">Hillmen, P, Muus, P, Roth, A, Elebute, MO, Risitano, AM, Schrezenmeier, H, Szer, J, Browne, P, Maciejewski, JP, Schubert, J, Urbano-Ispizua, A, de Castro, C, Socie, G &amp; Brodsky, RA 2013, 'Long-term safety and efficacy of sustained eculizumab treatment in patients with paroxysmal nocturnal haemoglobinuria', </w:t>
      </w:r>
      <w:r w:rsidRPr="00184B6F">
        <w:rPr>
          <w:rFonts w:asciiTheme="minorHAnsi" w:hAnsiTheme="minorHAnsi"/>
          <w:i/>
        </w:rPr>
        <w:t>Br J Haematol</w:t>
      </w:r>
      <w:r w:rsidRPr="00184B6F">
        <w:rPr>
          <w:rFonts w:asciiTheme="minorHAnsi" w:hAnsiTheme="minorHAnsi"/>
        </w:rPr>
        <w:t>, vol. 162, no. 1, Jul, pp. 62-73.</w:t>
      </w:r>
    </w:p>
    <w:bookmarkEnd w:id="81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16" w:name="_ENREF_135"/>
      <w:r w:rsidRPr="00184B6F">
        <w:rPr>
          <w:rFonts w:asciiTheme="minorHAnsi" w:hAnsiTheme="minorHAnsi"/>
        </w:rPr>
        <w:t xml:space="preserve">Hillmen, P, Young, NS, Schubert, J, Brodsky, RA, Socie, G, Muus, P, Roth, A, Szer, J, Elebute, MO, Nakamura, R, Browne, P, Risitano, AM, Hill, A, Schrezenmeier, H, Fu, CL, Maciejewski, J, Rollins, SA, Mojcik, CF, Rother, RP &amp; Luzzatto, L 2006, 'The complement inhibitor eculizumab in paroxysmal nocturnal hemoglobinuria', </w:t>
      </w:r>
      <w:r w:rsidRPr="00184B6F">
        <w:rPr>
          <w:rFonts w:asciiTheme="minorHAnsi" w:hAnsiTheme="minorHAnsi"/>
          <w:i/>
        </w:rPr>
        <w:t>N Engl J Med</w:t>
      </w:r>
      <w:r w:rsidRPr="00184B6F">
        <w:rPr>
          <w:rFonts w:asciiTheme="minorHAnsi" w:hAnsiTheme="minorHAnsi"/>
        </w:rPr>
        <w:t>, vol. 355, no. 12, Sep 21, pp. 1233-1243.</w:t>
      </w:r>
    </w:p>
    <w:bookmarkEnd w:id="81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17" w:name="_ENREF_136"/>
      <w:r w:rsidRPr="00184B6F">
        <w:rPr>
          <w:rFonts w:asciiTheme="minorHAnsi" w:hAnsiTheme="minorHAnsi"/>
        </w:rPr>
        <w:t xml:space="preserve">Hochsmann, B, Leichtle, R, von Zabern, I, Kaiser, S, Flegel, WA &amp; Schrezenmeier, H 2012, 'Paroxysmal nocturnal haemoglobinuria treatment with eculizumab is associated with a positive direct antiglobulin test', </w:t>
      </w:r>
      <w:r w:rsidRPr="00184B6F">
        <w:rPr>
          <w:rFonts w:asciiTheme="minorHAnsi" w:hAnsiTheme="minorHAnsi"/>
          <w:i/>
        </w:rPr>
        <w:t>Vox Sang</w:t>
      </w:r>
      <w:r w:rsidRPr="00184B6F">
        <w:rPr>
          <w:rFonts w:asciiTheme="minorHAnsi" w:hAnsiTheme="minorHAnsi"/>
        </w:rPr>
        <w:t>, vol. 102, no. 2, Feb, pp. 159-166.</w:t>
      </w:r>
    </w:p>
    <w:bookmarkEnd w:id="81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18" w:name="_ENREF_137"/>
      <w:r w:rsidRPr="00184B6F">
        <w:rPr>
          <w:rFonts w:asciiTheme="minorHAnsi" w:hAnsiTheme="minorHAnsi"/>
        </w:rPr>
        <w:t xml:space="preserve">Hollak, C, Maas, M, Akkerman, E, den, H &amp; Aerts, H 2001, 'Dixon quantitative chemical shift imaging is a sensitive tool for the evaluation of bone marrow responses to individualized doses of enzyme supplementation therapy in type 1 Gaucher disease', </w:t>
      </w:r>
      <w:r w:rsidRPr="00184B6F">
        <w:rPr>
          <w:rFonts w:asciiTheme="minorHAnsi" w:hAnsiTheme="minorHAnsi"/>
          <w:i/>
        </w:rPr>
        <w:t>Blood Cells Mol Dis</w:t>
      </w:r>
      <w:r w:rsidRPr="00184B6F">
        <w:rPr>
          <w:rFonts w:asciiTheme="minorHAnsi" w:hAnsiTheme="minorHAnsi"/>
        </w:rPr>
        <w:t>, vol. 27, pp. 1005-1012.</w:t>
      </w:r>
    </w:p>
    <w:bookmarkEnd w:id="81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19" w:name="_ENREF_138"/>
      <w:r w:rsidRPr="00184B6F">
        <w:rPr>
          <w:rFonts w:asciiTheme="minorHAnsi" w:hAnsiTheme="minorHAnsi"/>
        </w:rPr>
        <w:t xml:space="preserve">Hong, JM, Jang, S, Yang, BM, Lee, HJ, Kwon, HY, Park, MH &amp; Bae, EY 2014, 'The analysis of the drug reimbursement decisions before and after the positive list system in South Korea', </w:t>
      </w:r>
      <w:r w:rsidRPr="00184B6F">
        <w:rPr>
          <w:rFonts w:asciiTheme="minorHAnsi" w:hAnsiTheme="minorHAnsi"/>
          <w:i/>
        </w:rPr>
        <w:t>Value in Health</w:t>
      </w:r>
      <w:r w:rsidRPr="00184B6F">
        <w:rPr>
          <w:rFonts w:asciiTheme="minorHAnsi" w:hAnsiTheme="minorHAnsi"/>
        </w:rPr>
        <w:t>, vol. 17, no. 3, pp. A12-A13.</w:t>
      </w:r>
    </w:p>
    <w:bookmarkEnd w:id="81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20" w:name="_ENREF_139"/>
      <w:r w:rsidRPr="00184B6F">
        <w:rPr>
          <w:rFonts w:asciiTheme="minorHAnsi" w:hAnsiTheme="minorHAnsi"/>
        </w:rPr>
        <w:t xml:space="preserve">Hughes, DA, Elliott, PM, Shah, J, Zuckerman, J, Coghlan, G, Brookes, J &amp; Mehta, AB 2008, 'Effects of enzyme replacement therapy on the cardiomyopathy of Anderson-Fabry disease: a randomised, double-blind, placebo-controlled clinical trial of agalsidase alfa', </w:t>
      </w:r>
      <w:r w:rsidRPr="00184B6F">
        <w:rPr>
          <w:rFonts w:asciiTheme="minorHAnsi" w:hAnsiTheme="minorHAnsi"/>
          <w:i/>
        </w:rPr>
        <w:t>Heart</w:t>
      </w:r>
      <w:r w:rsidRPr="00184B6F">
        <w:rPr>
          <w:rFonts w:asciiTheme="minorHAnsi" w:hAnsiTheme="minorHAnsi"/>
        </w:rPr>
        <w:t>, vol. 94, no. 2, //, pp. 153-158.</w:t>
      </w:r>
    </w:p>
    <w:bookmarkEnd w:id="82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21" w:name="_ENREF_140"/>
      <w:r w:rsidRPr="00184B6F">
        <w:rPr>
          <w:rFonts w:asciiTheme="minorHAnsi" w:hAnsiTheme="minorHAnsi"/>
        </w:rPr>
        <w:t xml:space="preserve">Huntington Study Group HART Investigators 2013, 'A randomized, double-blind, placebo-controlled trial of pridopidine in Huntington's disease', </w:t>
      </w:r>
      <w:r w:rsidRPr="00184B6F">
        <w:rPr>
          <w:rFonts w:asciiTheme="minorHAnsi" w:hAnsiTheme="minorHAnsi"/>
          <w:i/>
        </w:rPr>
        <w:t>Mov Disord</w:t>
      </w:r>
      <w:r w:rsidRPr="00184B6F">
        <w:rPr>
          <w:rFonts w:asciiTheme="minorHAnsi" w:hAnsiTheme="minorHAnsi"/>
        </w:rPr>
        <w:t>, vol. 28, no. 10, Sep, pp. 1407-1415.</w:t>
      </w:r>
    </w:p>
    <w:bookmarkEnd w:id="82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22" w:name="_ENREF_141"/>
      <w:r w:rsidRPr="00184B6F">
        <w:rPr>
          <w:rFonts w:asciiTheme="minorHAnsi" w:hAnsiTheme="minorHAnsi"/>
        </w:rPr>
        <w:t xml:space="preserve">Hutchings, A, Ethgen, O, Schmitt, C &amp; Rollet, P 2012, 'PHP100 Defining Elements of Value for Rare Disease Treatments', </w:t>
      </w:r>
      <w:r w:rsidRPr="00184B6F">
        <w:rPr>
          <w:rFonts w:asciiTheme="minorHAnsi" w:hAnsiTheme="minorHAnsi"/>
          <w:i/>
        </w:rPr>
        <w:t>Value in Health</w:t>
      </w:r>
      <w:r w:rsidRPr="00184B6F">
        <w:rPr>
          <w:rFonts w:asciiTheme="minorHAnsi" w:hAnsiTheme="minorHAnsi"/>
        </w:rPr>
        <w:t>, vol. 15, no. 4, 6//, p. A31.</w:t>
      </w:r>
    </w:p>
    <w:bookmarkEnd w:id="822"/>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823" w:name="_ENREF_142"/>
      <w:r w:rsidRPr="00184B6F">
        <w:rPr>
          <w:rFonts w:asciiTheme="minorHAnsi" w:hAnsiTheme="minorHAnsi"/>
        </w:rPr>
        <w:t xml:space="preserve">International Collaborative Gaucher Group &amp; Genzyme, </w:t>
      </w:r>
      <w:r w:rsidRPr="00184B6F">
        <w:rPr>
          <w:rFonts w:asciiTheme="minorHAnsi" w:hAnsiTheme="minorHAnsi"/>
          <w:i/>
        </w:rPr>
        <w:t>Gaucher Registry</w:t>
      </w:r>
      <w:r w:rsidRPr="00184B6F">
        <w:rPr>
          <w:rFonts w:asciiTheme="minorHAnsi" w:hAnsiTheme="minorHAnsi"/>
        </w:rPr>
        <w:t>, viewed 18/11/2014, &lt;</w:t>
      </w:r>
      <w:r w:rsidRPr="00A62C97">
        <w:rPr>
          <w:rFonts w:asciiTheme="minorHAnsi" w:hAnsiTheme="minorHAnsi"/>
        </w:rPr>
        <w:t>http://www.gauchercare.com/healthcare/registry.aspx&gt;</w:t>
      </w:r>
      <w:r w:rsidRPr="00184B6F">
        <w:rPr>
          <w:rFonts w:asciiTheme="minorHAnsi" w:hAnsiTheme="minorHAnsi"/>
        </w:rPr>
        <w:t>.</w:t>
      </w:r>
    </w:p>
    <w:bookmarkEnd w:id="82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24" w:name="_ENREF_143"/>
      <w:r w:rsidRPr="00184B6F">
        <w:rPr>
          <w:rFonts w:asciiTheme="minorHAnsi" w:hAnsiTheme="minorHAnsi"/>
        </w:rPr>
        <w:t xml:space="preserve">Ioannidis, JP 2009, 'Adverse events in randomized trials: neglected, restricted, distorted, and silenced', </w:t>
      </w:r>
      <w:r w:rsidRPr="00184B6F">
        <w:rPr>
          <w:rFonts w:asciiTheme="minorHAnsi" w:hAnsiTheme="minorHAnsi"/>
          <w:i/>
        </w:rPr>
        <w:t>Archives of internal medicine</w:t>
      </w:r>
      <w:r w:rsidRPr="00184B6F">
        <w:rPr>
          <w:rFonts w:asciiTheme="minorHAnsi" w:hAnsiTheme="minorHAnsi"/>
        </w:rPr>
        <w:t>, vol. 169, no. 19, pp. 1737-1739.</w:t>
      </w:r>
    </w:p>
    <w:bookmarkEnd w:id="82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25" w:name="_ENREF_144"/>
      <w:r w:rsidRPr="00184B6F">
        <w:rPr>
          <w:rFonts w:asciiTheme="minorHAnsi" w:hAnsiTheme="minorHAnsi"/>
        </w:rPr>
        <w:t xml:space="preserve">Ioannidis, JP &amp; Contopoulos-Ioannidis, DG 1998, 'Reporting of safety data from randomised trials', </w:t>
      </w:r>
      <w:r w:rsidRPr="00184B6F">
        <w:rPr>
          <w:rFonts w:asciiTheme="minorHAnsi" w:hAnsiTheme="minorHAnsi"/>
          <w:i/>
        </w:rPr>
        <w:t>Lancet</w:t>
      </w:r>
      <w:r w:rsidRPr="00184B6F">
        <w:rPr>
          <w:rFonts w:asciiTheme="minorHAnsi" w:hAnsiTheme="minorHAnsi"/>
        </w:rPr>
        <w:t>, vol. 352, no. 9142, Nov 28, pp. 1752-1753.</w:t>
      </w:r>
    </w:p>
    <w:bookmarkEnd w:id="82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26" w:name="_ENREF_145"/>
      <w:r w:rsidRPr="00184B6F">
        <w:rPr>
          <w:rFonts w:asciiTheme="minorHAnsi" w:hAnsiTheme="minorHAnsi"/>
        </w:rPr>
        <w:t xml:space="preserve">Iorio, R, Damato, V, Alboini, PE &amp; Evoli, A 2014, 'Efficacy and safety of rituximab for myasthenia gravis: a systematic review and meta-analysis', </w:t>
      </w:r>
      <w:r w:rsidRPr="00184B6F">
        <w:rPr>
          <w:rFonts w:asciiTheme="minorHAnsi" w:hAnsiTheme="minorHAnsi"/>
          <w:i/>
        </w:rPr>
        <w:t>J Neurol</w:t>
      </w:r>
      <w:r w:rsidRPr="00184B6F">
        <w:rPr>
          <w:rFonts w:asciiTheme="minorHAnsi" w:hAnsiTheme="minorHAnsi"/>
        </w:rPr>
        <w:t>, Oct 12.</w:t>
      </w:r>
    </w:p>
    <w:bookmarkEnd w:id="82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27" w:name="_ENREF_146"/>
      <w:r w:rsidRPr="00184B6F">
        <w:rPr>
          <w:rFonts w:asciiTheme="minorHAnsi" w:hAnsiTheme="minorHAnsi"/>
        </w:rPr>
        <w:t xml:space="preserve">Ishigaki, K, Murakami, T, Nakanishi, T, Oda, E, Sato, T &amp; Osawa, M 2012, 'Close monitoring of initial enzyme replacement therapy in a patient with childhood-onset Pompe disease', </w:t>
      </w:r>
      <w:r w:rsidRPr="00184B6F">
        <w:rPr>
          <w:rFonts w:asciiTheme="minorHAnsi" w:hAnsiTheme="minorHAnsi"/>
          <w:i/>
        </w:rPr>
        <w:t>Brain &amp; Development</w:t>
      </w:r>
      <w:r w:rsidRPr="00184B6F">
        <w:rPr>
          <w:rFonts w:asciiTheme="minorHAnsi" w:hAnsiTheme="minorHAnsi"/>
        </w:rPr>
        <w:t>, vol. 34, no. 2, Feb, pp. 98-102.</w:t>
      </w:r>
    </w:p>
    <w:bookmarkEnd w:id="82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28" w:name="_ENREF_147"/>
      <w:r w:rsidRPr="00184B6F">
        <w:rPr>
          <w:rFonts w:asciiTheme="minorHAnsi" w:hAnsiTheme="minorHAnsi"/>
        </w:rPr>
        <w:t>ISPOR 2007, 'ISPOR Global Health Care Systems Road Map: Scotland - Reimbursement process', p. 8, viewed 1 October 2014, &lt;</w:t>
      </w:r>
      <w:r w:rsidRPr="00A62C97">
        <w:rPr>
          <w:rFonts w:asciiTheme="minorHAnsi" w:hAnsiTheme="minorHAnsi"/>
        </w:rPr>
        <w:t>http://www.ispor.org/htaroadmaps/scotland.asp&gt;</w:t>
      </w:r>
      <w:r w:rsidRPr="00184B6F">
        <w:rPr>
          <w:rFonts w:asciiTheme="minorHAnsi" w:hAnsiTheme="minorHAnsi"/>
        </w:rPr>
        <w:t>.</w:t>
      </w:r>
    </w:p>
    <w:bookmarkEnd w:id="82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29" w:name="_ENREF_148"/>
      <w:r w:rsidRPr="00184B6F">
        <w:rPr>
          <w:rFonts w:asciiTheme="minorHAnsi" w:hAnsiTheme="minorHAnsi"/>
        </w:rPr>
        <w:t>ISPOR 2008, 'ISPOR Global Health Care Systems Road Map: Italy - Pharmaceuticals', p. 5, viewed 7 October 2014, &lt;</w:t>
      </w:r>
      <w:r w:rsidRPr="00A62C97">
        <w:rPr>
          <w:rFonts w:asciiTheme="minorHAnsi" w:hAnsiTheme="minorHAnsi"/>
        </w:rPr>
        <w:t>http://www.ispor.org/htaroadmaps/italy.asp&gt;</w:t>
      </w:r>
      <w:r w:rsidRPr="00184B6F">
        <w:rPr>
          <w:rFonts w:asciiTheme="minorHAnsi" w:hAnsiTheme="minorHAnsi"/>
        </w:rPr>
        <w:t>.</w:t>
      </w:r>
    </w:p>
    <w:bookmarkEnd w:id="82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30" w:name="_ENREF_149"/>
      <w:r w:rsidRPr="00184B6F">
        <w:rPr>
          <w:rFonts w:asciiTheme="minorHAnsi" w:hAnsiTheme="minorHAnsi"/>
        </w:rPr>
        <w:t>ISPOR 2009a, 'ISPOR Global Health Care Systems Road Map: Austria - Pharmaceuticals', viewed 13 November 2014, &lt;</w:t>
      </w:r>
      <w:r w:rsidRPr="00A62C97">
        <w:rPr>
          <w:rFonts w:asciiTheme="minorHAnsi" w:hAnsiTheme="minorHAnsi"/>
        </w:rPr>
        <w:t>http://www.ispor.org/HTARoadMaps/Austria.asp&gt;</w:t>
      </w:r>
      <w:r w:rsidRPr="00184B6F">
        <w:rPr>
          <w:rFonts w:asciiTheme="minorHAnsi" w:hAnsiTheme="minorHAnsi"/>
        </w:rPr>
        <w:t>.</w:t>
      </w:r>
    </w:p>
    <w:bookmarkEnd w:id="83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31" w:name="_ENREF_150"/>
      <w:r w:rsidRPr="00184B6F">
        <w:rPr>
          <w:rFonts w:asciiTheme="minorHAnsi" w:hAnsiTheme="minorHAnsi"/>
        </w:rPr>
        <w:t>ISPOR 2009b, 'ISPOR Global Health Care Systems Road Map: France - Pharmaceuticals', viewed 3 October 2014, &lt;</w:t>
      </w:r>
      <w:r w:rsidRPr="00A62C97">
        <w:rPr>
          <w:rFonts w:asciiTheme="minorHAnsi" w:hAnsiTheme="minorHAnsi"/>
        </w:rPr>
        <w:t>http://www.ispor.org/htaroadmaps/France.asp&gt;</w:t>
      </w:r>
      <w:r w:rsidRPr="00184B6F">
        <w:rPr>
          <w:rFonts w:asciiTheme="minorHAnsi" w:hAnsiTheme="minorHAnsi"/>
        </w:rPr>
        <w:t>.</w:t>
      </w:r>
    </w:p>
    <w:bookmarkEnd w:id="83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32" w:name="_ENREF_151"/>
      <w:r w:rsidRPr="00184B6F">
        <w:rPr>
          <w:rFonts w:asciiTheme="minorHAnsi" w:hAnsiTheme="minorHAnsi"/>
        </w:rPr>
        <w:t>ISPOR 2009c, 'ISPOR Global Health Care Systems Road Map: Germany - Pharmaceuticals', viewed 3 October 2014, &lt;</w:t>
      </w:r>
      <w:r w:rsidRPr="00A62C97">
        <w:rPr>
          <w:rFonts w:asciiTheme="minorHAnsi" w:hAnsiTheme="minorHAnsi"/>
        </w:rPr>
        <w:t>http://www.ispor.org/htaroadmaps/germany.asp#2&gt;</w:t>
      </w:r>
      <w:r w:rsidRPr="00184B6F">
        <w:rPr>
          <w:rFonts w:asciiTheme="minorHAnsi" w:hAnsiTheme="minorHAnsi"/>
        </w:rPr>
        <w:t>.</w:t>
      </w:r>
    </w:p>
    <w:bookmarkEnd w:id="83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33" w:name="_ENREF_152"/>
      <w:r w:rsidRPr="00184B6F">
        <w:rPr>
          <w:rFonts w:asciiTheme="minorHAnsi" w:hAnsiTheme="minorHAnsi"/>
        </w:rPr>
        <w:t>ISPOR 2009d, 'ISPOR Global Health Care Systems Road Map: Spain - Pharmaceutical', viewed 7 October 2014, &lt;</w:t>
      </w:r>
      <w:r w:rsidRPr="00A62C97">
        <w:rPr>
          <w:rFonts w:asciiTheme="minorHAnsi" w:hAnsiTheme="minorHAnsi"/>
        </w:rPr>
        <w:t>http://www.ispor.org/htaroadmaps/spain.asp&gt;</w:t>
      </w:r>
      <w:r w:rsidRPr="00184B6F">
        <w:rPr>
          <w:rFonts w:asciiTheme="minorHAnsi" w:hAnsiTheme="minorHAnsi"/>
        </w:rPr>
        <w:t>.</w:t>
      </w:r>
    </w:p>
    <w:bookmarkEnd w:id="83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34" w:name="_ENREF_153"/>
      <w:r w:rsidRPr="00184B6F">
        <w:rPr>
          <w:rFonts w:asciiTheme="minorHAnsi" w:hAnsiTheme="minorHAnsi"/>
        </w:rPr>
        <w:t>ISPOR 2009e, 'ISPOR Global Health Care Systems Road Map: Sweden - Pharmaceutical', viewed 7 October 2014, &lt;</w:t>
      </w:r>
      <w:r w:rsidRPr="00A62C97">
        <w:rPr>
          <w:rFonts w:asciiTheme="minorHAnsi" w:hAnsiTheme="minorHAnsi"/>
        </w:rPr>
        <w:t>http://www.ispor.org/htaroadmaps/sweden.asp&gt;</w:t>
      </w:r>
      <w:r w:rsidRPr="00184B6F">
        <w:rPr>
          <w:rFonts w:asciiTheme="minorHAnsi" w:hAnsiTheme="minorHAnsi"/>
        </w:rPr>
        <w:t>.</w:t>
      </w:r>
    </w:p>
    <w:bookmarkEnd w:id="83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35" w:name="_ENREF_154"/>
      <w:r w:rsidRPr="00184B6F">
        <w:rPr>
          <w:rFonts w:asciiTheme="minorHAnsi" w:hAnsiTheme="minorHAnsi"/>
        </w:rPr>
        <w:t>ISPOR 2011, 'ISPOR  Global Health Care Systems Road Map: Canada - Pharmaceutical', p. 1, viewed 3 July 2014, &lt;</w:t>
      </w:r>
      <w:r w:rsidRPr="00A62C97">
        <w:rPr>
          <w:rFonts w:asciiTheme="minorHAnsi" w:hAnsiTheme="minorHAnsi"/>
        </w:rPr>
        <w:t>http://www.ispor.org/htaroadmaps/canadapharm.asp&gt;</w:t>
      </w:r>
      <w:r w:rsidRPr="00184B6F">
        <w:rPr>
          <w:rFonts w:asciiTheme="minorHAnsi" w:hAnsiTheme="minorHAnsi"/>
        </w:rPr>
        <w:t>.</w:t>
      </w:r>
    </w:p>
    <w:bookmarkEnd w:id="83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36" w:name="_ENREF_155"/>
      <w:r w:rsidRPr="00184B6F">
        <w:rPr>
          <w:rFonts w:asciiTheme="minorHAnsi" w:hAnsiTheme="minorHAnsi"/>
        </w:rPr>
        <w:t xml:space="preserve">Jameson, E, Jones, S &amp; Wraith, JE 2013, 'Enzyme replacement therapy with laronidase (Aldurazyme (R)) for treating mucopolysaccharidosis type I', </w:t>
      </w:r>
      <w:r w:rsidRPr="00184B6F">
        <w:rPr>
          <w:rFonts w:asciiTheme="minorHAnsi" w:hAnsiTheme="minorHAnsi"/>
          <w:i/>
        </w:rPr>
        <w:t>Cochrane Database of Systematic Reviews</w:t>
      </w:r>
      <w:r w:rsidRPr="00184B6F">
        <w:rPr>
          <w:rFonts w:asciiTheme="minorHAnsi" w:hAnsiTheme="minorHAnsi"/>
        </w:rPr>
        <w:t>, no. 9, pp. 1-20.</w:t>
      </w:r>
    </w:p>
    <w:bookmarkEnd w:id="83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37" w:name="_ENREF_156"/>
      <w:r w:rsidRPr="00184B6F">
        <w:rPr>
          <w:rFonts w:asciiTheme="minorHAnsi" w:hAnsiTheme="minorHAnsi"/>
        </w:rPr>
        <w:t xml:space="preserve">Jansson, S 2007, 'Implementing accountability for reasonableness--the case of pharmaceutical reimbursement in Sweden', </w:t>
      </w:r>
      <w:r w:rsidRPr="00184B6F">
        <w:rPr>
          <w:rFonts w:asciiTheme="minorHAnsi" w:hAnsiTheme="minorHAnsi"/>
          <w:i/>
        </w:rPr>
        <w:t>Health Econ Policy Law</w:t>
      </w:r>
      <w:r w:rsidRPr="00184B6F">
        <w:rPr>
          <w:rFonts w:asciiTheme="minorHAnsi" w:hAnsiTheme="minorHAnsi"/>
        </w:rPr>
        <w:t>, vol. 2, no. Pt 2, Apr, pp. 153-171.</w:t>
      </w:r>
    </w:p>
    <w:bookmarkEnd w:id="837"/>
    <w:p w:rsidR="00184B6F" w:rsidRPr="00184B6F" w:rsidRDefault="00184B6F" w:rsidP="00184B6F">
      <w:pPr>
        <w:pStyle w:val="EndNoteBibliography"/>
        <w:spacing w:after="0"/>
        <w:rPr>
          <w:rFonts w:asciiTheme="minorHAnsi" w:hAnsiTheme="minorHAnsi"/>
        </w:rPr>
      </w:pPr>
    </w:p>
    <w:p w:rsidR="00184B6F" w:rsidRDefault="00184B6F" w:rsidP="00184B6F">
      <w:pPr>
        <w:pStyle w:val="EndNoteBibliography"/>
        <w:spacing w:after="0"/>
        <w:rPr>
          <w:rFonts w:asciiTheme="minorHAnsi" w:hAnsiTheme="minorHAnsi"/>
        </w:rPr>
      </w:pPr>
      <w:bookmarkStart w:id="838" w:name="_ENREF_157"/>
      <w:r w:rsidRPr="00184B6F">
        <w:rPr>
          <w:rFonts w:asciiTheme="minorHAnsi" w:hAnsiTheme="minorHAnsi"/>
        </w:rPr>
        <w:t xml:space="preserve">Japan Intractable Diseases Information Center 2014, 'What is an intractable disease? </w:t>
      </w:r>
      <w:r w:rsidRPr="00184B6F">
        <w:rPr>
          <w:rFonts w:asciiTheme="minorHAnsi" w:hAnsiTheme="minorHAnsi"/>
          <w:i/>
        </w:rPr>
        <w:t xml:space="preserve"> </w:t>
      </w:r>
      <w:r w:rsidRPr="00184B6F">
        <w:rPr>
          <w:rFonts w:asciiTheme="minorHAnsi" w:hAnsiTheme="minorHAnsi"/>
        </w:rPr>
        <w:t xml:space="preserve">', p. 1, viewed 7 July 2014, </w:t>
      </w:r>
      <w:bookmarkEnd w:id="838"/>
    </w:p>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39" w:name="_ENREF_158"/>
      <w:r w:rsidRPr="00184B6F">
        <w:rPr>
          <w:rFonts w:asciiTheme="minorHAnsi" w:hAnsiTheme="minorHAnsi"/>
        </w:rPr>
        <w:t xml:space="preserve">Johnson, JR, Ning, YM, Farrell, A, Justice, R, Keegan, P &amp; Pazdur, R 2011, 'Accelerated approval of oncology products: the food and drug administration experience', </w:t>
      </w:r>
      <w:r w:rsidRPr="00184B6F">
        <w:rPr>
          <w:rFonts w:asciiTheme="minorHAnsi" w:hAnsiTheme="minorHAnsi"/>
          <w:i/>
        </w:rPr>
        <w:t>J Natl Cancer Inst</w:t>
      </w:r>
      <w:r w:rsidRPr="00184B6F">
        <w:rPr>
          <w:rFonts w:asciiTheme="minorHAnsi" w:hAnsiTheme="minorHAnsi"/>
        </w:rPr>
        <w:t>, vol. 103, no. 8, Apr 20, pp. 636-644.</w:t>
      </w:r>
    </w:p>
    <w:bookmarkEnd w:id="83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40" w:name="_ENREF_159"/>
      <w:r w:rsidRPr="00184B6F">
        <w:rPr>
          <w:rFonts w:asciiTheme="minorHAnsi" w:hAnsiTheme="minorHAnsi"/>
        </w:rPr>
        <w:t xml:space="preserve">Kanakura, Y, Ohyashiki, K, Shichishima, T, Okamoto, S, Ando, K, Ninomiya, H, Kawaguchi, T, Nakao, S, Nakakuma, H, Nishimura, J, Kinoshita, T, Bedrosian, CL, Ozawa, K &amp; Omine, M </w:t>
      </w:r>
      <w:r w:rsidRPr="00184B6F">
        <w:rPr>
          <w:rFonts w:asciiTheme="minorHAnsi" w:hAnsiTheme="minorHAnsi"/>
        </w:rPr>
        <w:lastRenderedPageBreak/>
        <w:t xml:space="preserve">2013, 'Long-term efficacy and safety of eculizumab in Japanese patients with PNH: AEGIS trial', </w:t>
      </w:r>
      <w:r w:rsidRPr="00184B6F">
        <w:rPr>
          <w:rFonts w:asciiTheme="minorHAnsi" w:hAnsiTheme="minorHAnsi"/>
          <w:i/>
        </w:rPr>
        <w:t>Int J Hematol</w:t>
      </w:r>
      <w:r w:rsidRPr="00184B6F">
        <w:rPr>
          <w:rFonts w:asciiTheme="minorHAnsi" w:hAnsiTheme="minorHAnsi"/>
        </w:rPr>
        <w:t>, vol. 98, no. 4, Oct, pp. 406-416.</w:t>
      </w:r>
    </w:p>
    <w:bookmarkEnd w:id="84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41" w:name="_ENREF_160"/>
      <w:r w:rsidRPr="00184B6F">
        <w:rPr>
          <w:rFonts w:asciiTheme="minorHAnsi" w:hAnsiTheme="minorHAnsi"/>
        </w:rPr>
        <w:t xml:space="preserve">Kanakura, Y, Ohyashiki, K, Shichishima, T, Okamoto, S, Ando, K, Ninomiya, H, Kawaguchi, T, Nakao, S, Nakakuma, H, Nishimura, J, Kinoshita, T, Bedrosian, CL, Valentine, ME, Khursigara, G, Ozawa, K &amp; Omine, M 2011, 'Safety and efficacy of the terminal complement inhibitor eculizumab in Japanese patients with paroxysmal nocturnal hemoglobinuria: the AEGIS clinical trial', </w:t>
      </w:r>
      <w:r w:rsidRPr="00184B6F">
        <w:rPr>
          <w:rFonts w:asciiTheme="minorHAnsi" w:hAnsiTheme="minorHAnsi"/>
          <w:i/>
        </w:rPr>
        <w:t>Int J Hematol</w:t>
      </w:r>
      <w:r w:rsidRPr="00184B6F">
        <w:rPr>
          <w:rFonts w:asciiTheme="minorHAnsi" w:hAnsiTheme="minorHAnsi"/>
        </w:rPr>
        <w:t>, vol. 93, no. 1, Jan, pp. 36-46.</w:t>
      </w:r>
    </w:p>
    <w:bookmarkEnd w:id="84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42" w:name="_ENREF_161"/>
      <w:r w:rsidRPr="00184B6F">
        <w:rPr>
          <w:rFonts w:asciiTheme="minorHAnsi" w:hAnsiTheme="minorHAnsi"/>
        </w:rPr>
        <w:t xml:space="preserve">Kanters, TA, Hoogenboom-Plug, I, Rutten-Van Molken, MP, Redekop, WK, van der Ploeg, AT &amp; Hakkaart, L 2014, 'Cost-effectiveness of enzyme replacement therapy with alglucosidase alfa in classic-infantile patients with Pompe disease', </w:t>
      </w:r>
      <w:r w:rsidRPr="00184B6F">
        <w:rPr>
          <w:rFonts w:asciiTheme="minorHAnsi" w:hAnsiTheme="minorHAnsi"/>
          <w:i/>
        </w:rPr>
        <w:t>Orphanet J Rare Dis</w:t>
      </w:r>
      <w:r w:rsidRPr="00184B6F">
        <w:rPr>
          <w:rFonts w:asciiTheme="minorHAnsi" w:hAnsiTheme="minorHAnsi"/>
        </w:rPr>
        <w:t>, vol. 9, p. 75.</w:t>
      </w:r>
    </w:p>
    <w:bookmarkEnd w:id="84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43" w:name="_ENREF_162"/>
      <w:r w:rsidRPr="00184B6F">
        <w:rPr>
          <w:rFonts w:asciiTheme="minorHAnsi" w:hAnsiTheme="minorHAnsi"/>
        </w:rPr>
        <w:t xml:space="preserve">Kathula, SK 2006, 'Eculizumab in Paroxysmal Nocturnal Hemoglobinuria', </w:t>
      </w:r>
      <w:r w:rsidRPr="00184B6F">
        <w:rPr>
          <w:rFonts w:asciiTheme="minorHAnsi" w:hAnsiTheme="minorHAnsi"/>
          <w:i/>
        </w:rPr>
        <w:t>New England Journal of Medicine</w:t>
      </w:r>
      <w:r w:rsidRPr="00184B6F">
        <w:rPr>
          <w:rFonts w:asciiTheme="minorHAnsi" w:hAnsiTheme="minorHAnsi"/>
        </w:rPr>
        <w:t>, vol. 355, no. 26, pp. 2786-2788.</w:t>
      </w:r>
    </w:p>
    <w:bookmarkEnd w:id="84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44" w:name="_ENREF_163"/>
      <w:r w:rsidRPr="00184B6F">
        <w:rPr>
          <w:rFonts w:asciiTheme="minorHAnsi" w:hAnsiTheme="minorHAnsi"/>
        </w:rPr>
        <w:t xml:space="preserve">Keating, GM 2014, 'Defibrotide: a review of its use in severe hepatic veno-occlusive disease following haematopoietic stem cell transplantation', </w:t>
      </w:r>
      <w:r w:rsidRPr="00184B6F">
        <w:rPr>
          <w:rFonts w:asciiTheme="minorHAnsi" w:hAnsiTheme="minorHAnsi"/>
          <w:i/>
        </w:rPr>
        <w:t>Clin Drug Investig</w:t>
      </w:r>
      <w:r w:rsidRPr="00184B6F">
        <w:rPr>
          <w:rFonts w:asciiTheme="minorHAnsi" w:hAnsiTheme="minorHAnsi"/>
        </w:rPr>
        <w:t>, vol. 34, no. 12, Dec, pp. 895-904.</w:t>
      </w:r>
    </w:p>
    <w:bookmarkEnd w:id="84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45" w:name="_ENREF_164"/>
      <w:r w:rsidRPr="00184B6F">
        <w:rPr>
          <w:rFonts w:asciiTheme="minorHAnsi" w:hAnsiTheme="minorHAnsi"/>
        </w:rPr>
        <w:t xml:space="preserve">Kelly, R, Arnold, L, Richards, S, Hill, A, Bomken, C, Hanley, J, Loughney, A, Beauchamp, J, Khursigara, G, Rother, RP, Chalmers, E, Fyfe, A, Fitzsimons, E, Nakamura, R, Gaya, A, Risitano, AM, Schubert, J, Norfolk, D, Simpson, N &amp; Hillmen, P 2010, 'The management of pregnancy in paroxysmal nocturnal haemoglobinuria on long term eculizumab', </w:t>
      </w:r>
      <w:r w:rsidRPr="00184B6F">
        <w:rPr>
          <w:rFonts w:asciiTheme="minorHAnsi" w:hAnsiTheme="minorHAnsi"/>
          <w:i/>
        </w:rPr>
        <w:t>Br J Haematol</w:t>
      </w:r>
      <w:r w:rsidRPr="00184B6F">
        <w:rPr>
          <w:rFonts w:asciiTheme="minorHAnsi" w:hAnsiTheme="minorHAnsi"/>
        </w:rPr>
        <w:t>, vol. 149, no. 3, May, pp. 446-450.</w:t>
      </w:r>
    </w:p>
    <w:bookmarkEnd w:id="84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46" w:name="_ENREF_165"/>
      <w:r w:rsidRPr="00184B6F">
        <w:rPr>
          <w:rFonts w:asciiTheme="minorHAnsi" w:hAnsiTheme="minorHAnsi"/>
        </w:rPr>
        <w:t xml:space="preserve">Kelly, RJ, Hill, A, Arnold, LM, Brooksbank, GL, Richards, SJ, Cullen, M, Mitchell, LD, Cohen, DR, Gregory, WM &amp; Hillmen, P 2011, 'Long-term treatment with eculizumab in paroxysmal nocturnal hemoglobinuria: sustained efficacy and improved survival', </w:t>
      </w:r>
      <w:r w:rsidRPr="00184B6F">
        <w:rPr>
          <w:rFonts w:asciiTheme="minorHAnsi" w:hAnsiTheme="minorHAnsi"/>
          <w:i/>
        </w:rPr>
        <w:t>Blood</w:t>
      </w:r>
      <w:r w:rsidRPr="00184B6F">
        <w:rPr>
          <w:rFonts w:asciiTheme="minorHAnsi" w:hAnsiTheme="minorHAnsi"/>
        </w:rPr>
        <w:t>, vol. 117, no. 25, Jun 23, pp. 6786-6792.</w:t>
      </w:r>
    </w:p>
    <w:bookmarkEnd w:id="84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47" w:name="_ENREF_166"/>
      <w:r w:rsidRPr="00184B6F">
        <w:rPr>
          <w:rFonts w:asciiTheme="minorHAnsi" w:hAnsiTheme="minorHAnsi"/>
        </w:rPr>
        <w:t xml:space="preserve">Khan, KS, Ter Riet, G, Glanville, JM, Sowden, AJ &amp; Kleijnen, J 2001, </w:t>
      </w:r>
      <w:r w:rsidRPr="00184B6F">
        <w:rPr>
          <w:rFonts w:asciiTheme="minorHAnsi" w:hAnsiTheme="minorHAnsi"/>
          <w:i/>
        </w:rPr>
        <w:t>Undertaking systematic reviews of research on effectiveness. CRD's guidance for those carrying out or commissioning reviews</w:t>
      </w:r>
      <w:r w:rsidRPr="00184B6F">
        <w:rPr>
          <w:rFonts w:asciiTheme="minorHAnsi" w:hAnsiTheme="minorHAnsi"/>
        </w:rPr>
        <w:t>, CRD Report, no. CRD Report Number 4 (second edition), NHS Centre for Reviews and Dissemination, University of York, York.</w:t>
      </w:r>
    </w:p>
    <w:bookmarkEnd w:id="84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48" w:name="_ENREF_167"/>
      <w:r w:rsidRPr="00184B6F">
        <w:rPr>
          <w:rFonts w:asciiTheme="minorHAnsi" w:hAnsiTheme="minorHAnsi"/>
        </w:rPr>
        <w:t xml:space="preserve">Kim, JS, Lee, JW, Kim, BK, Lee, JH &amp; Chung, J 2010, 'The use of the complement inhibitor eculizumab (Soliris(R)) for treating Korean patients with paroxysmal nocturnal hemoglobinuria', </w:t>
      </w:r>
      <w:r w:rsidRPr="00184B6F">
        <w:rPr>
          <w:rFonts w:asciiTheme="minorHAnsi" w:hAnsiTheme="minorHAnsi"/>
          <w:i/>
        </w:rPr>
        <w:t>Korean J Hematol</w:t>
      </w:r>
      <w:r w:rsidRPr="00184B6F">
        <w:rPr>
          <w:rFonts w:asciiTheme="minorHAnsi" w:hAnsiTheme="minorHAnsi"/>
        </w:rPr>
        <w:t>, vol. 45, no. 4, Dec, pp. 269-274.</w:t>
      </w:r>
    </w:p>
    <w:bookmarkEnd w:id="84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49" w:name="_ENREF_168"/>
      <w:r w:rsidRPr="00184B6F">
        <w:rPr>
          <w:rFonts w:asciiTheme="minorHAnsi" w:hAnsiTheme="minorHAnsi"/>
        </w:rPr>
        <w:t xml:space="preserve">Kishnani, P, Byrne, B, Hwu, WL, Leslie, N, Mandel, H, Wraith, J &amp; Nicolino, M 2008, 'Alglucosidase alfa in infants and children with advanced pompe disease', </w:t>
      </w:r>
      <w:r w:rsidRPr="00184B6F">
        <w:rPr>
          <w:rFonts w:asciiTheme="minorHAnsi" w:hAnsiTheme="minorHAnsi"/>
          <w:i/>
        </w:rPr>
        <w:t>Molecular Genetics and Metabolism</w:t>
      </w:r>
      <w:r w:rsidRPr="00184B6F">
        <w:rPr>
          <w:rFonts w:asciiTheme="minorHAnsi" w:hAnsiTheme="minorHAnsi"/>
        </w:rPr>
        <w:t>, vol. 93, no. 3, Mar, pp. 254-254.</w:t>
      </w:r>
    </w:p>
    <w:bookmarkEnd w:id="84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50" w:name="_ENREF_169"/>
      <w:r w:rsidRPr="00184B6F">
        <w:rPr>
          <w:rFonts w:asciiTheme="minorHAnsi" w:hAnsiTheme="minorHAnsi"/>
        </w:rPr>
        <w:t xml:space="preserve">Kishnani, PS, Corzo, D, Leslie, ND, Gruskin, D, Van der Ploeg, A, Clancy, JP, Parini, R, Morin, G, Beck, M, Bauer, MS, Jokic, M, Tsai, CE, Tsai, BW, Morgan, C, O'Meara, T, Richards, S, Tsao, </w:t>
      </w:r>
      <w:r w:rsidRPr="00184B6F">
        <w:rPr>
          <w:rFonts w:asciiTheme="minorHAnsi" w:hAnsiTheme="minorHAnsi"/>
        </w:rPr>
        <w:lastRenderedPageBreak/>
        <w:t xml:space="preserve">EC &amp; Mandel, H 2009, 'Early treatment with alglucosidase alpha prolongs long-term survival of infants with Pompe disease', </w:t>
      </w:r>
      <w:r w:rsidRPr="00184B6F">
        <w:rPr>
          <w:rFonts w:asciiTheme="minorHAnsi" w:hAnsiTheme="minorHAnsi"/>
          <w:i/>
        </w:rPr>
        <w:t>Pediatr Res</w:t>
      </w:r>
      <w:r w:rsidRPr="00184B6F">
        <w:rPr>
          <w:rFonts w:asciiTheme="minorHAnsi" w:hAnsiTheme="minorHAnsi"/>
        </w:rPr>
        <w:t>, vol. 66, no. 3, Sep, pp. 329-335.</w:t>
      </w:r>
    </w:p>
    <w:bookmarkEnd w:id="85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51" w:name="_ENREF_170"/>
      <w:r w:rsidRPr="00184B6F">
        <w:rPr>
          <w:rFonts w:asciiTheme="minorHAnsi" w:hAnsiTheme="minorHAnsi"/>
        </w:rPr>
        <w:t xml:space="preserve">Kishnani, PS, Corzo, D, Nicolino, M, Byrne, B, Mandel, H, Hwu, WL, Leslie, N, Levine, J, Spencer, C, McDonald, M, Li, J, Dumontier, J, Halberthal, M, Chien, YH, Hopkin, R, Vijayaraghavan, S, Gruskin, D, Bartholomew, D, van der Ploeg, A, Clancy, JP, Parini, R, Morin, G, Beck, M, De la Gastine, GS, Jokic, M, Thurberg, B, Richards, S, Bali, D, Davison, M, Worden, MA, Chen, YT &amp; Wraith, JE 2007, 'Recombinant human acid [alpha]-glucosidase: major clinical benefits in infantile-onset Pompe disease', </w:t>
      </w:r>
      <w:r w:rsidRPr="00184B6F">
        <w:rPr>
          <w:rFonts w:asciiTheme="minorHAnsi" w:hAnsiTheme="minorHAnsi"/>
          <w:i/>
        </w:rPr>
        <w:t>Neurology</w:t>
      </w:r>
      <w:r w:rsidRPr="00184B6F">
        <w:rPr>
          <w:rFonts w:asciiTheme="minorHAnsi" w:hAnsiTheme="minorHAnsi"/>
        </w:rPr>
        <w:t>, vol. 68, no. 2, Jan 9, pp. 99-109.</w:t>
      </w:r>
    </w:p>
    <w:bookmarkEnd w:id="85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52" w:name="_ENREF_171"/>
      <w:r w:rsidRPr="00184B6F">
        <w:rPr>
          <w:rFonts w:asciiTheme="minorHAnsi" w:hAnsiTheme="minorHAnsi"/>
        </w:rPr>
        <w:t xml:space="preserve">Kishnani, PS, DiRocco, M, Kaplan, P, Mehta, A, Pastores, GM, Smith, SE, Puga, AC, Lemay, RM &amp; Weinreb, NJ 2009, 'A randomized trial comparing the efficacy and safety of imiglucerase (Cerezyme) infusions every 4 weeks versus every 2 weeks in the maintenance therapy of adult patients with Gaucher disease type 1', </w:t>
      </w:r>
      <w:r w:rsidRPr="00184B6F">
        <w:rPr>
          <w:rFonts w:asciiTheme="minorHAnsi" w:hAnsiTheme="minorHAnsi"/>
          <w:i/>
        </w:rPr>
        <w:t>Mol Genet Metab</w:t>
      </w:r>
      <w:r w:rsidRPr="00184B6F">
        <w:rPr>
          <w:rFonts w:asciiTheme="minorHAnsi" w:hAnsiTheme="minorHAnsi"/>
        </w:rPr>
        <w:t>, vol. 96, pp. 164-170.</w:t>
      </w:r>
    </w:p>
    <w:bookmarkEnd w:id="85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53" w:name="_ENREF_172"/>
      <w:r w:rsidRPr="00184B6F">
        <w:rPr>
          <w:rFonts w:asciiTheme="minorHAnsi" w:hAnsiTheme="minorHAnsi"/>
        </w:rPr>
        <w:t xml:space="preserve">Kishnani, PS, Goldenberg, PC, DeArmey, SL, Heller, J, Benjamin, D, Young, S, Bali, D, Smith, SA, Li, JS, Mandel, H, Koeberl, D, Rosenberg, A &amp; Chen, YT 2010, 'Cross-reactive immunologic material status affects treatment outcomes in Pompe disease infants', </w:t>
      </w:r>
      <w:r w:rsidRPr="00184B6F">
        <w:rPr>
          <w:rFonts w:asciiTheme="minorHAnsi" w:hAnsiTheme="minorHAnsi"/>
          <w:i/>
        </w:rPr>
        <w:t>Molecular Genetics and Metabolism</w:t>
      </w:r>
      <w:r w:rsidRPr="00184B6F">
        <w:rPr>
          <w:rFonts w:asciiTheme="minorHAnsi" w:hAnsiTheme="minorHAnsi"/>
        </w:rPr>
        <w:t>, vol. 99, no. 1, pp. 26-33.</w:t>
      </w:r>
    </w:p>
    <w:bookmarkEnd w:id="85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54" w:name="_ENREF_173"/>
      <w:r w:rsidRPr="00184B6F">
        <w:rPr>
          <w:rFonts w:asciiTheme="minorHAnsi" w:hAnsiTheme="minorHAnsi"/>
        </w:rPr>
        <w:t xml:space="preserve">Kishnani, PS, Hwu, WL, Mandel, H, Nicolino, M, Yong, F, Corzo, D &amp; Infantile-Onset Pompe Disease Natural History Study, G 2006, 'A retrospective, multinational, multicenter study on the natural history of infantile-onset Pompe disease', </w:t>
      </w:r>
      <w:r w:rsidRPr="00184B6F">
        <w:rPr>
          <w:rFonts w:asciiTheme="minorHAnsi" w:hAnsiTheme="minorHAnsi"/>
          <w:i/>
        </w:rPr>
        <w:t>J Pediatr</w:t>
      </w:r>
      <w:r w:rsidRPr="00184B6F">
        <w:rPr>
          <w:rFonts w:asciiTheme="minorHAnsi" w:hAnsiTheme="minorHAnsi"/>
        </w:rPr>
        <w:t>, vol. 148, no. 5, May, pp. 671-676.</w:t>
      </w:r>
    </w:p>
    <w:bookmarkEnd w:id="85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55" w:name="_ENREF_174"/>
      <w:r w:rsidRPr="00184B6F">
        <w:rPr>
          <w:rFonts w:asciiTheme="minorHAnsi" w:hAnsiTheme="minorHAnsi"/>
        </w:rPr>
        <w:t xml:space="preserve">Kishnani, PS, Nicolino, M, Voit, T, Rogers, RC, Tsai, AC, Waterson, J, Herman, GE, Amalfitano, A, Thurberg, BL, Richards, S, Davison, M, Corzo, D &amp; Chen, YT 2006, 'Chinese hamster ovary cell-derived recombinant human acid alpha-glucosidase in infantile-onset Pompe disease', </w:t>
      </w:r>
      <w:r w:rsidRPr="00184B6F">
        <w:rPr>
          <w:rFonts w:asciiTheme="minorHAnsi" w:hAnsiTheme="minorHAnsi"/>
          <w:i/>
        </w:rPr>
        <w:t>J Pediatr</w:t>
      </w:r>
      <w:r w:rsidRPr="00184B6F">
        <w:rPr>
          <w:rFonts w:asciiTheme="minorHAnsi" w:hAnsiTheme="minorHAnsi"/>
        </w:rPr>
        <w:t>, vol. 149, no. 1, Jul, pp. 89-97.</w:t>
      </w:r>
    </w:p>
    <w:bookmarkEnd w:id="85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56" w:name="_ENREF_175"/>
      <w:r w:rsidRPr="00184B6F">
        <w:rPr>
          <w:rFonts w:asciiTheme="minorHAnsi" w:hAnsiTheme="minorHAnsi"/>
        </w:rPr>
        <w:t xml:space="preserve">Kobayashi, H, Shimada, Y, Ikegami, M, Kawai, T, Sakurai, K, Urashima, T, Ijima, M, Fujiwara, M, Kaneshiro, E, Ohashi, T, Eto, Y, Ishigaki, K, Osawa, M, Kyosen, SO &amp; Ida, H 2010, 'Prognostic factors for the late onset Pompe disease with enzyme replacement therapy: From our experience of 4 cases including an autopsy case', </w:t>
      </w:r>
      <w:r w:rsidRPr="00184B6F">
        <w:rPr>
          <w:rFonts w:asciiTheme="minorHAnsi" w:hAnsiTheme="minorHAnsi"/>
          <w:i/>
        </w:rPr>
        <w:t>Molecular Genetics and Metabolism</w:t>
      </w:r>
      <w:r w:rsidRPr="00184B6F">
        <w:rPr>
          <w:rFonts w:asciiTheme="minorHAnsi" w:hAnsiTheme="minorHAnsi"/>
        </w:rPr>
        <w:t>, vol. 100, no. 1, May, pp. 14-19.</w:t>
      </w:r>
    </w:p>
    <w:bookmarkEnd w:id="85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57" w:name="_ENREF_176"/>
      <w:r w:rsidRPr="00184B6F">
        <w:rPr>
          <w:rFonts w:asciiTheme="minorHAnsi" w:hAnsiTheme="minorHAnsi"/>
        </w:rPr>
        <w:t xml:space="preserve">Korpela, MP, Paetau, A, Lofberg, MI, Timonen, MH, Lamminen, AE &amp; Kiuru-Enari, SM 2009, 'A novel mutation of the GAA gene in a Finnish late-onset Pompe disease patient: clinical phenotype and follow-up with enzyme replacement therapy', </w:t>
      </w:r>
      <w:r w:rsidRPr="00184B6F">
        <w:rPr>
          <w:rFonts w:asciiTheme="minorHAnsi" w:hAnsiTheme="minorHAnsi"/>
          <w:i/>
        </w:rPr>
        <w:t>Muscle Nerve</w:t>
      </w:r>
      <w:r w:rsidRPr="00184B6F">
        <w:rPr>
          <w:rFonts w:asciiTheme="minorHAnsi" w:hAnsiTheme="minorHAnsi"/>
        </w:rPr>
        <w:t>, vol. 40, no. 1, Jul, pp. 143-148.</w:t>
      </w:r>
    </w:p>
    <w:bookmarkEnd w:id="85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58" w:name="_ENREF_177"/>
      <w:r w:rsidRPr="00184B6F">
        <w:rPr>
          <w:rFonts w:asciiTheme="minorHAnsi" w:hAnsiTheme="minorHAnsi"/>
        </w:rPr>
        <w:t xml:space="preserve">Kruer, MC &amp; Steiner, RD 2008, 'The role of evidence-based medicine and clinical trials in rare genetic disorders', </w:t>
      </w:r>
      <w:r w:rsidRPr="00184B6F">
        <w:rPr>
          <w:rFonts w:asciiTheme="minorHAnsi" w:hAnsiTheme="minorHAnsi"/>
          <w:i/>
        </w:rPr>
        <w:t>Clin Genet</w:t>
      </w:r>
      <w:r w:rsidRPr="00184B6F">
        <w:rPr>
          <w:rFonts w:asciiTheme="minorHAnsi" w:hAnsiTheme="minorHAnsi"/>
        </w:rPr>
        <w:t>, vol. 74, no. 3, Sep, pp. 197-207.</w:t>
      </w:r>
    </w:p>
    <w:bookmarkEnd w:id="85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59" w:name="_ENREF_178"/>
      <w:r w:rsidRPr="00184B6F">
        <w:rPr>
          <w:rFonts w:asciiTheme="minorHAnsi" w:hAnsiTheme="minorHAnsi"/>
        </w:rPr>
        <w:lastRenderedPageBreak/>
        <w:t xml:space="preserve">Kumar, S, Tana, A &amp; Shankar, A 2014, 'Cystic fibrosis - What are the prospects for a cure?', </w:t>
      </w:r>
      <w:r w:rsidRPr="00184B6F">
        <w:rPr>
          <w:rFonts w:asciiTheme="minorHAnsi" w:hAnsiTheme="minorHAnsi"/>
          <w:i/>
        </w:rPr>
        <w:t>Eur J Intern Med</w:t>
      </w:r>
      <w:r w:rsidRPr="00184B6F">
        <w:rPr>
          <w:rFonts w:asciiTheme="minorHAnsi" w:hAnsiTheme="minorHAnsi"/>
        </w:rPr>
        <w:t>, vol. 25, no. 9, Oct 18, pp. 803-807.</w:t>
      </w:r>
    </w:p>
    <w:bookmarkEnd w:id="85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60" w:name="_ENREF_179"/>
      <w:r w:rsidRPr="00184B6F">
        <w:rPr>
          <w:rFonts w:asciiTheme="minorHAnsi" w:hAnsiTheme="minorHAnsi"/>
        </w:rPr>
        <w:t xml:space="preserve">Lachmann, R &amp; Schoser, B 2013, 'The clinical relevance of outcomes used in late-onset Pompe disease: can we do better?', </w:t>
      </w:r>
      <w:r w:rsidRPr="00184B6F">
        <w:rPr>
          <w:rFonts w:asciiTheme="minorHAnsi" w:hAnsiTheme="minorHAnsi"/>
          <w:i/>
        </w:rPr>
        <w:t>Orphanet J Rare Dis</w:t>
      </w:r>
      <w:r w:rsidRPr="00184B6F">
        <w:rPr>
          <w:rFonts w:asciiTheme="minorHAnsi" w:hAnsiTheme="minorHAnsi"/>
        </w:rPr>
        <w:t>, vol. 8, p. 160.</w:t>
      </w:r>
    </w:p>
    <w:bookmarkEnd w:id="86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61" w:name="_ENREF_180"/>
      <w:r w:rsidRPr="00184B6F">
        <w:rPr>
          <w:rFonts w:asciiTheme="minorHAnsi" w:hAnsiTheme="minorHAnsi"/>
        </w:rPr>
        <w:t xml:space="preserve">Le Jeannic, A, Quelen, C, Alberti, C, Durand-Zaleski, I &amp; CompaRec, I 2014, 'Comparison of two data collection processes in clinical studies: electronic and paper case report forms', </w:t>
      </w:r>
      <w:r w:rsidRPr="00184B6F">
        <w:rPr>
          <w:rFonts w:asciiTheme="minorHAnsi" w:hAnsiTheme="minorHAnsi"/>
          <w:i/>
        </w:rPr>
        <w:t>BMC Med Res Methodol</w:t>
      </w:r>
      <w:r w:rsidRPr="00184B6F">
        <w:rPr>
          <w:rFonts w:asciiTheme="minorHAnsi" w:hAnsiTheme="minorHAnsi"/>
        </w:rPr>
        <w:t>, vol. 14, p. 7.</w:t>
      </w:r>
    </w:p>
    <w:bookmarkEnd w:id="86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62" w:name="_ENREF_181"/>
      <w:r w:rsidRPr="00184B6F">
        <w:rPr>
          <w:rFonts w:asciiTheme="minorHAnsi" w:hAnsiTheme="minorHAnsi"/>
        </w:rPr>
        <w:t xml:space="preserve">Lee, JW, Jang, JH, Kim, JS, Yoon, SS, Lee, JH, Kim, YK, Jo, DY, Chung, J &amp; Sohn, SK 2013, 'Clinical signs and symptoms associated with increased risk for thrombosis in patients with paroxysmal nocturnal hemoglobinuria from a Korean Registry', </w:t>
      </w:r>
      <w:r w:rsidRPr="00184B6F">
        <w:rPr>
          <w:rFonts w:asciiTheme="minorHAnsi" w:hAnsiTheme="minorHAnsi"/>
          <w:i/>
        </w:rPr>
        <w:t>Int J Hematol</w:t>
      </w:r>
      <w:r w:rsidRPr="00184B6F">
        <w:rPr>
          <w:rFonts w:asciiTheme="minorHAnsi" w:hAnsiTheme="minorHAnsi"/>
        </w:rPr>
        <w:t>, vol. 97, no. 6, Jun, pp. 749-757.</w:t>
      </w:r>
    </w:p>
    <w:bookmarkEnd w:id="86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63" w:name="_ENREF_182"/>
      <w:r w:rsidRPr="00184B6F">
        <w:rPr>
          <w:rFonts w:asciiTheme="minorHAnsi" w:hAnsiTheme="minorHAnsi"/>
        </w:rPr>
        <w:t xml:space="preserve">Liberati, A, Altman, DG, Tetzlaff, J, Mulrow, C, Gotzsche, PC, Ioannidis, JP, Clarke, M, Devereaux, PJ, Kleijnen, J &amp; Moher, D 2009, 'The PRISMA statement for reporting systematic reviews and meta-analyses of studies that evaluate health care interventions: explanation and elaboration', </w:t>
      </w:r>
      <w:r w:rsidRPr="00184B6F">
        <w:rPr>
          <w:rFonts w:asciiTheme="minorHAnsi" w:hAnsiTheme="minorHAnsi"/>
          <w:i/>
        </w:rPr>
        <w:t>PLoS Med</w:t>
      </w:r>
      <w:r w:rsidRPr="00184B6F">
        <w:rPr>
          <w:rFonts w:asciiTheme="minorHAnsi" w:hAnsiTheme="minorHAnsi"/>
        </w:rPr>
        <w:t>, vol. 6, no. 7, Jul 21, p. e1000100.</w:t>
      </w:r>
    </w:p>
    <w:bookmarkEnd w:id="86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64" w:name="_ENREF_183"/>
      <w:r w:rsidRPr="00184B6F">
        <w:rPr>
          <w:rFonts w:asciiTheme="minorHAnsi" w:hAnsiTheme="minorHAnsi"/>
        </w:rPr>
        <w:t xml:space="preserve">Lindquist, S &amp; Stangel, M 2011, 'Update on treatment options for Lambert-Eaton myasthenic syndrome: focus on use of amifampridine', </w:t>
      </w:r>
      <w:r w:rsidRPr="00184B6F">
        <w:rPr>
          <w:rFonts w:asciiTheme="minorHAnsi" w:hAnsiTheme="minorHAnsi"/>
          <w:i/>
        </w:rPr>
        <w:t>Neuropsychiatr Dis Treat</w:t>
      </w:r>
      <w:r w:rsidRPr="00184B6F">
        <w:rPr>
          <w:rFonts w:asciiTheme="minorHAnsi" w:hAnsiTheme="minorHAnsi"/>
        </w:rPr>
        <w:t>, vol. 7, pp. 341-349.</w:t>
      </w:r>
    </w:p>
    <w:bookmarkEnd w:id="86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65" w:name="_ENREF_184"/>
      <w:r w:rsidRPr="00184B6F">
        <w:rPr>
          <w:rFonts w:asciiTheme="minorHAnsi" w:hAnsiTheme="minorHAnsi"/>
        </w:rPr>
        <w:t xml:space="preserve">Linertova, R, Serrano-Aguilar, P, Posada-de-la-Paz, M, Hens-Perez, M, Kanavos, P, Taruscio, D, Schieppati, A, Stefanov, R, Pentek, M, Delgado, C, von der Schulenburg, JM, Persson, U, Chevreul, K, Fattore, G, Worbes-Cerezo, M, Sefton, M &amp; Lopez-Bastida, J 2012, 'Delphi approach to select rare diseases for a European representative survey. The BURQOL-RD study', </w:t>
      </w:r>
      <w:r w:rsidRPr="00184B6F">
        <w:rPr>
          <w:rFonts w:asciiTheme="minorHAnsi" w:hAnsiTheme="minorHAnsi"/>
          <w:i/>
        </w:rPr>
        <w:t>Health Policy</w:t>
      </w:r>
      <w:r w:rsidRPr="00184B6F">
        <w:rPr>
          <w:rFonts w:asciiTheme="minorHAnsi" w:hAnsiTheme="minorHAnsi"/>
        </w:rPr>
        <w:t>, vol. 108, no. 1, Nov, pp. 19-26.</w:t>
      </w:r>
    </w:p>
    <w:bookmarkEnd w:id="86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66" w:name="_ENREF_185"/>
      <w:r w:rsidRPr="00184B6F">
        <w:rPr>
          <w:rFonts w:asciiTheme="minorHAnsi" w:hAnsiTheme="minorHAnsi"/>
        </w:rPr>
        <w:t xml:space="preserve">Long, G &amp; Works, J 2013, </w:t>
      </w:r>
      <w:r w:rsidRPr="00184B6F">
        <w:rPr>
          <w:rFonts w:asciiTheme="minorHAnsi" w:hAnsiTheme="minorHAnsi"/>
          <w:i/>
        </w:rPr>
        <w:t>Innovation in the Biopharmaceutical Pipeline: a multidimensional view</w:t>
      </w:r>
      <w:r w:rsidRPr="00184B6F">
        <w:rPr>
          <w:rFonts w:asciiTheme="minorHAnsi" w:hAnsiTheme="minorHAnsi"/>
        </w:rPr>
        <w:t>, Analysis Group.</w:t>
      </w:r>
    </w:p>
    <w:bookmarkEnd w:id="86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67" w:name="_ENREF_186"/>
      <w:r w:rsidRPr="00184B6F">
        <w:rPr>
          <w:rFonts w:asciiTheme="minorHAnsi" w:hAnsiTheme="minorHAnsi"/>
        </w:rPr>
        <w:t xml:space="preserve">Loveman, E, Copley, VR, Colquitt, JL, Scott, DA, Clegg, AJ, Jones, J, O'Reilly, KM, Singh, S, Bausewein, C &amp; Wells, A 2014, 'The effectiveness and cost-effectiveness of treatments for idiopathic pulmonary fibrosis: systematic review, network meta-analysis and health economic evaluation', </w:t>
      </w:r>
      <w:r w:rsidRPr="00184B6F">
        <w:rPr>
          <w:rFonts w:asciiTheme="minorHAnsi" w:hAnsiTheme="minorHAnsi"/>
          <w:i/>
        </w:rPr>
        <w:t>BMC Pharmacol Toxicol</w:t>
      </w:r>
      <w:r w:rsidRPr="00184B6F">
        <w:rPr>
          <w:rFonts w:asciiTheme="minorHAnsi" w:hAnsiTheme="minorHAnsi"/>
        </w:rPr>
        <w:t>, vol. 15, p. 63.</w:t>
      </w:r>
    </w:p>
    <w:bookmarkEnd w:id="86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68" w:name="_ENREF_187"/>
      <w:r w:rsidRPr="00184B6F">
        <w:rPr>
          <w:rFonts w:asciiTheme="minorHAnsi" w:hAnsiTheme="minorHAnsi"/>
        </w:rPr>
        <w:t xml:space="preserve">Ma, D, Li, D, Zhang, X &amp; He, L 2011, 'Opportunities and challenges of rare diseases treatments in China', </w:t>
      </w:r>
      <w:r w:rsidRPr="00184B6F">
        <w:rPr>
          <w:rFonts w:asciiTheme="minorHAnsi" w:hAnsiTheme="minorHAnsi"/>
          <w:i/>
        </w:rPr>
        <w:t>Chin J Evid Based Pediatr</w:t>
      </w:r>
      <w:r w:rsidRPr="00184B6F">
        <w:rPr>
          <w:rFonts w:asciiTheme="minorHAnsi" w:hAnsiTheme="minorHAnsi"/>
        </w:rPr>
        <w:t>, vol. 6, no. 2, pp. 81-82.</w:t>
      </w:r>
    </w:p>
    <w:bookmarkEnd w:id="86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69" w:name="_ENREF_188"/>
      <w:r w:rsidRPr="00184B6F">
        <w:rPr>
          <w:rFonts w:asciiTheme="minorHAnsi" w:hAnsiTheme="minorHAnsi"/>
        </w:rPr>
        <w:t xml:space="preserve">MacIntyre, K, Capewell, S, Stewart, S, Chalmers, JW, Boyd, J, Finlayson, A, Redpath, A, Pell, JP &amp; McMurray, JJ 2000, 'Evidence of improving prognosis in heart failure: trends in case fatality in 66 547 patients hospitalized between 1986 and 1995', </w:t>
      </w:r>
      <w:r w:rsidRPr="00184B6F">
        <w:rPr>
          <w:rFonts w:asciiTheme="minorHAnsi" w:hAnsiTheme="minorHAnsi"/>
          <w:i/>
        </w:rPr>
        <w:t>Circulation</w:t>
      </w:r>
      <w:r w:rsidRPr="00184B6F">
        <w:rPr>
          <w:rFonts w:asciiTheme="minorHAnsi" w:hAnsiTheme="minorHAnsi"/>
        </w:rPr>
        <w:t>, vol. 102, no. 10, Sep 5, pp. 1126-1131.</w:t>
      </w:r>
    </w:p>
    <w:bookmarkEnd w:id="86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70" w:name="_ENREF_189"/>
      <w:r w:rsidRPr="00184B6F">
        <w:rPr>
          <w:rFonts w:asciiTheme="minorHAnsi" w:hAnsiTheme="minorHAnsi"/>
        </w:rPr>
        <w:t xml:space="preserve">Maier, E, Wilken, R &amp; Dost, F 2014, 'The double benefits of consumer certainty: combining risk and range effects', </w:t>
      </w:r>
      <w:r w:rsidRPr="00184B6F">
        <w:rPr>
          <w:rFonts w:asciiTheme="minorHAnsi" w:hAnsiTheme="minorHAnsi"/>
          <w:i/>
        </w:rPr>
        <w:t>Marketing Letters</w:t>
      </w:r>
      <w:r w:rsidRPr="00184B6F">
        <w:rPr>
          <w:rFonts w:asciiTheme="minorHAnsi" w:hAnsiTheme="minorHAnsi"/>
        </w:rPr>
        <w:t>, 2014/02/13, pp. 1-16.</w:t>
      </w:r>
    </w:p>
    <w:bookmarkEnd w:id="87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71" w:name="_ENREF_190"/>
      <w:r w:rsidRPr="00184B6F">
        <w:rPr>
          <w:rFonts w:asciiTheme="minorHAnsi" w:hAnsiTheme="minorHAnsi"/>
        </w:rPr>
        <w:t xml:space="preserve">Maurer, SM 2006, 'Choosing the right incentive strategy for research and development in neglected diseases', </w:t>
      </w:r>
      <w:r w:rsidRPr="00184B6F">
        <w:rPr>
          <w:rFonts w:asciiTheme="minorHAnsi" w:hAnsiTheme="minorHAnsi"/>
          <w:i/>
        </w:rPr>
        <w:t>Bull World Health Organ</w:t>
      </w:r>
      <w:r w:rsidRPr="00184B6F">
        <w:rPr>
          <w:rFonts w:asciiTheme="minorHAnsi" w:hAnsiTheme="minorHAnsi"/>
        </w:rPr>
        <w:t>, vol. 84, no. 5, May, pp. 376-381.</w:t>
      </w:r>
    </w:p>
    <w:bookmarkEnd w:id="87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72" w:name="_ENREF_191"/>
      <w:r w:rsidRPr="00184B6F">
        <w:rPr>
          <w:rFonts w:asciiTheme="minorHAnsi" w:hAnsiTheme="minorHAnsi"/>
        </w:rPr>
        <w:t xml:space="preserve">McCabe, C, Claxton, K &amp; Tsuchiya, A 2005, 'Orphan drugs and the NHS: should we value rarity?', </w:t>
      </w:r>
      <w:r w:rsidRPr="00184B6F">
        <w:rPr>
          <w:rFonts w:asciiTheme="minorHAnsi" w:hAnsiTheme="minorHAnsi"/>
          <w:i/>
        </w:rPr>
        <w:t>British Medical Journal</w:t>
      </w:r>
      <w:r w:rsidRPr="00184B6F">
        <w:rPr>
          <w:rFonts w:asciiTheme="minorHAnsi" w:hAnsiTheme="minorHAnsi"/>
        </w:rPr>
        <w:t>, vol. 331, no. 7523, Oct 29, pp. 1016-1019.</w:t>
      </w:r>
    </w:p>
    <w:bookmarkEnd w:id="87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73" w:name="_ENREF_192"/>
      <w:r w:rsidRPr="00184B6F">
        <w:rPr>
          <w:rFonts w:asciiTheme="minorHAnsi" w:hAnsiTheme="minorHAnsi"/>
        </w:rPr>
        <w:t xml:space="preserve">McCabe, C, Edlin, R &amp; Round, J 2010, 'Economic considerations in the provision of treatments for rare diseases', </w:t>
      </w:r>
      <w:r w:rsidRPr="00184B6F">
        <w:rPr>
          <w:rFonts w:asciiTheme="minorHAnsi" w:hAnsiTheme="minorHAnsi"/>
          <w:i/>
        </w:rPr>
        <w:t>Adv Exp Med Biol</w:t>
      </w:r>
      <w:r w:rsidRPr="00184B6F">
        <w:rPr>
          <w:rFonts w:asciiTheme="minorHAnsi" w:hAnsiTheme="minorHAnsi"/>
        </w:rPr>
        <w:t>, vol. 686, pp. 211-222.</w:t>
      </w:r>
    </w:p>
    <w:bookmarkEnd w:id="87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74" w:name="_ENREF_193"/>
      <w:r w:rsidRPr="00184B6F">
        <w:rPr>
          <w:rFonts w:asciiTheme="minorHAnsi" w:hAnsiTheme="minorHAnsi"/>
        </w:rPr>
        <w:t xml:space="preserve">McMaster University and Evidence Prime Inc., 2014, </w:t>
      </w:r>
      <w:r w:rsidRPr="00184B6F">
        <w:rPr>
          <w:rFonts w:asciiTheme="minorHAnsi" w:hAnsiTheme="minorHAnsi"/>
          <w:i/>
        </w:rPr>
        <w:t>GRADEpro Guideline Development Tool</w:t>
      </w:r>
      <w:r w:rsidRPr="00184B6F">
        <w:rPr>
          <w:rFonts w:asciiTheme="minorHAnsi" w:hAnsiTheme="minorHAnsi"/>
        </w:rPr>
        <w:t xml:space="preserve">, </w:t>
      </w:r>
    </w:p>
    <w:bookmarkEnd w:id="87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75" w:name="_ENREF_194"/>
      <w:r w:rsidRPr="00184B6F">
        <w:rPr>
          <w:rFonts w:asciiTheme="minorHAnsi" w:hAnsiTheme="minorHAnsi"/>
        </w:rPr>
        <w:t xml:space="preserve">McNeil, JJ, Piccenna, L, Ronaldson, K &amp; Ioannides-Demos, LL 2010, 'The value of patient-centred registries in phase IV drug surveillance', </w:t>
      </w:r>
      <w:r w:rsidRPr="00184B6F">
        <w:rPr>
          <w:rFonts w:asciiTheme="minorHAnsi" w:hAnsiTheme="minorHAnsi"/>
          <w:i/>
        </w:rPr>
        <w:t>Pharmaceutical Medicine</w:t>
      </w:r>
      <w:r w:rsidRPr="00184B6F">
        <w:rPr>
          <w:rFonts w:asciiTheme="minorHAnsi" w:hAnsiTheme="minorHAnsi"/>
        </w:rPr>
        <w:t>, vol. 24, no. 5, pp. 281-288.</w:t>
      </w:r>
    </w:p>
    <w:bookmarkEnd w:id="87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76" w:name="_ENREF_195"/>
      <w:r w:rsidRPr="00184B6F">
        <w:rPr>
          <w:rFonts w:asciiTheme="minorHAnsi" w:hAnsiTheme="minorHAnsi"/>
        </w:rPr>
        <w:t xml:space="preserve">McPherson, K &amp; Hemminki, E 2004, 'Synthesising licensing data to assess drug safety', </w:t>
      </w:r>
      <w:r w:rsidRPr="00184B6F">
        <w:rPr>
          <w:rFonts w:asciiTheme="minorHAnsi" w:hAnsiTheme="minorHAnsi"/>
          <w:i/>
        </w:rPr>
        <w:t>British Medical Journal</w:t>
      </w:r>
      <w:r w:rsidRPr="00184B6F">
        <w:rPr>
          <w:rFonts w:asciiTheme="minorHAnsi" w:hAnsiTheme="minorHAnsi"/>
        </w:rPr>
        <w:t>, vol. 328, no. 7438, Feb 28, pp. 518-520.</w:t>
      </w:r>
    </w:p>
    <w:bookmarkEnd w:id="87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77" w:name="_ENREF_196"/>
      <w:r w:rsidRPr="00184B6F">
        <w:rPr>
          <w:rFonts w:asciiTheme="minorHAnsi" w:hAnsiTheme="minorHAnsi"/>
        </w:rPr>
        <w:t xml:space="preserve">Meininger, V, Pradat, PF, Corse, A, Al-Sarraj, S, Rix Brooks, B, Caress, JB, Cudkowicz, M, Kolb, SJ, Lange, D, Leigh, PN, Meyer, T, Milleri, S, Morrison, KE, Orrell, RW, Peters, G, Rothstein, JD, Shefner, J, Lavrov, A, Williams, N, Overend, P, Price, J, Bates, S, Bullman, J, Krull, D, Berges, A, Abila, B, Meno-Tetang, G &amp; Wurthner, J 2014, 'Safety, pharmacokinetic, and functional effects of the nogo-a monoclonal antibody in amyotrophic lateral sclerosis: a randomized, first-in-human clinical trial', </w:t>
      </w:r>
      <w:r w:rsidRPr="00184B6F">
        <w:rPr>
          <w:rFonts w:asciiTheme="minorHAnsi" w:hAnsiTheme="minorHAnsi"/>
          <w:i/>
        </w:rPr>
        <w:t>PLoS ONE</w:t>
      </w:r>
      <w:r w:rsidRPr="00184B6F">
        <w:rPr>
          <w:rFonts w:asciiTheme="minorHAnsi" w:hAnsiTheme="minorHAnsi"/>
        </w:rPr>
        <w:t>, vol. 9, no. 5, p. e97803.</w:t>
      </w:r>
    </w:p>
    <w:bookmarkEnd w:id="87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78" w:name="_ENREF_197"/>
      <w:r w:rsidRPr="00184B6F">
        <w:rPr>
          <w:rFonts w:asciiTheme="minorHAnsi" w:hAnsiTheme="minorHAnsi"/>
        </w:rPr>
        <w:t xml:space="preserve">Mentzakis, E, Stefanowska, P &amp; Hurley, J 2011, 'A Discrete Choice Experiment Investigating Preferences for Funding Drugs Used to Treat Orphan Diseases: An Exploratory Study', </w:t>
      </w:r>
      <w:r w:rsidRPr="00184B6F">
        <w:rPr>
          <w:rFonts w:asciiTheme="minorHAnsi" w:hAnsiTheme="minorHAnsi"/>
          <w:i/>
        </w:rPr>
        <w:t>Health Economics, Policy and Law</w:t>
      </w:r>
      <w:r w:rsidRPr="00184B6F">
        <w:rPr>
          <w:rFonts w:asciiTheme="minorHAnsi" w:hAnsiTheme="minorHAnsi"/>
        </w:rPr>
        <w:t>, vol. 6, no. 3, pp. 405-433.</w:t>
      </w:r>
    </w:p>
    <w:bookmarkEnd w:id="87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79" w:name="_ENREF_198"/>
      <w:r w:rsidRPr="00184B6F">
        <w:rPr>
          <w:rFonts w:asciiTheme="minorHAnsi" w:hAnsiTheme="minorHAnsi"/>
        </w:rPr>
        <w:t xml:space="preserve">Merk, T, Wibmer, T, Schumann, C &amp; Kruger, S 2009, 'Glycogen storage disease type II (Pompe disease)--influence of enzyme replacement therapy in adults', </w:t>
      </w:r>
      <w:r w:rsidRPr="00184B6F">
        <w:rPr>
          <w:rFonts w:asciiTheme="minorHAnsi" w:hAnsiTheme="minorHAnsi"/>
          <w:i/>
        </w:rPr>
        <w:t>Eur J Neurol</w:t>
      </w:r>
      <w:r w:rsidRPr="00184B6F">
        <w:rPr>
          <w:rFonts w:asciiTheme="minorHAnsi" w:hAnsiTheme="minorHAnsi"/>
        </w:rPr>
        <w:t>, vol. 16, no. 2, Feb, pp. 274-277.</w:t>
      </w:r>
    </w:p>
    <w:bookmarkEnd w:id="87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80" w:name="_ENREF_199"/>
      <w:r w:rsidRPr="00184B6F">
        <w:rPr>
          <w:rFonts w:asciiTheme="minorHAnsi" w:hAnsiTheme="minorHAnsi"/>
        </w:rPr>
        <w:t xml:space="preserve">Merlin, T, Weston, A &amp; Tooher, R 2009, 'Extending an evidence hierarchy to include topics other than treatment: revising the Australian 'levels of evidence'', </w:t>
      </w:r>
      <w:r w:rsidRPr="00184B6F">
        <w:rPr>
          <w:rFonts w:asciiTheme="minorHAnsi" w:hAnsiTheme="minorHAnsi"/>
          <w:i/>
        </w:rPr>
        <w:t>BMC Med Res Methodol</w:t>
      </w:r>
      <w:r w:rsidRPr="00184B6F">
        <w:rPr>
          <w:rFonts w:asciiTheme="minorHAnsi" w:hAnsiTheme="minorHAnsi"/>
        </w:rPr>
        <w:t>, vol. 9, p. 34.</w:t>
      </w:r>
    </w:p>
    <w:bookmarkEnd w:id="88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81" w:name="_ENREF_200"/>
      <w:r w:rsidRPr="00184B6F">
        <w:rPr>
          <w:rFonts w:asciiTheme="minorHAnsi" w:hAnsiTheme="minorHAnsi"/>
        </w:rPr>
        <w:t xml:space="preserve">Messinger, YH, Mendelsohn, NJ, Rhead, W, Dimmock, D, Hershkovitz, E, Champion, M, Jones, SA, Olson, R, White, A, Wells, C, Bali, D, Case, LE, Young, SP, Rosenberg, AS &amp; Kishnani, PS 2012, 'Successful immune tolerance induction to enzyme replacement therapy in CRIM-negative infantile Pompe disease', </w:t>
      </w:r>
      <w:r w:rsidRPr="00184B6F">
        <w:rPr>
          <w:rFonts w:asciiTheme="minorHAnsi" w:hAnsiTheme="minorHAnsi"/>
          <w:i/>
        </w:rPr>
        <w:t>Genetics in Medicine</w:t>
      </w:r>
      <w:r w:rsidRPr="00184B6F">
        <w:rPr>
          <w:rFonts w:asciiTheme="minorHAnsi" w:hAnsiTheme="minorHAnsi"/>
        </w:rPr>
        <w:t>, vol. 14, no. 1, pp. 135-142.</w:t>
      </w:r>
    </w:p>
    <w:bookmarkEnd w:id="88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82" w:name="_ENREF_201"/>
      <w:r w:rsidRPr="00184B6F">
        <w:rPr>
          <w:rFonts w:asciiTheme="minorHAnsi" w:hAnsiTheme="minorHAnsi"/>
        </w:rPr>
        <w:t xml:space="preserve">Mistry, PK, Sirrs, S, Chan, A, Pritzker, MR, Duffy, TP, Grace, ME, Meeker, DP &amp; Goldman, ME 2002, 'Pulmonary hypertension in type 1 </w:t>
      </w:r>
      <w:r w:rsidR="00E51493">
        <w:rPr>
          <w:rFonts w:asciiTheme="minorHAnsi" w:hAnsiTheme="minorHAnsi"/>
        </w:rPr>
        <w:t>Gaucher disease</w:t>
      </w:r>
      <w:r w:rsidRPr="00184B6F">
        <w:rPr>
          <w:rFonts w:asciiTheme="minorHAnsi" w:hAnsiTheme="minorHAnsi"/>
        </w:rPr>
        <w:t xml:space="preserve">: genetic and epigenetic determinants of phenotype and response to therapy', </w:t>
      </w:r>
      <w:r w:rsidRPr="00184B6F">
        <w:rPr>
          <w:rFonts w:asciiTheme="minorHAnsi" w:hAnsiTheme="minorHAnsi"/>
          <w:i/>
        </w:rPr>
        <w:t>Mol Genet Metab</w:t>
      </w:r>
      <w:r w:rsidRPr="00184B6F">
        <w:rPr>
          <w:rFonts w:asciiTheme="minorHAnsi" w:hAnsiTheme="minorHAnsi"/>
        </w:rPr>
        <w:t>, vol. 77, pp. 91-98.</w:t>
      </w:r>
    </w:p>
    <w:bookmarkEnd w:id="88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83" w:name="_ENREF_202"/>
      <w:r w:rsidRPr="00184B6F">
        <w:rPr>
          <w:rFonts w:asciiTheme="minorHAnsi" w:hAnsiTheme="minorHAnsi"/>
        </w:rPr>
        <w:lastRenderedPageBreak/>
        <w:t xml:space="preserve">Mitsumoto, H, Brooks, BR &amp; Silani, V 2014, 'Clinical trials in amyotrophic lateral sclerosis: why so many negative trials and how can trials be improved?', </w:t>
      </w:r>
      <w:r w:rsidRPr="00184B6F">
        <w:rPr>
          <w:rFonts w:asciiTheme="minorHAnsi" w:hAnsiTheme="minorHAnsi"/>
          <w:i/>
        </w:rPr>
        <w:t>The Lancet Neurology</w:t>
      </w:r>
      <w:r w:rsidRPr="00184B6F">
        <w:rPr>
          <w:rFonts w:asciiTheme="minorHAnsi" w:hAnsiTheme="minorHAnsi"/>
        </w:rPr>
        <w:t>, vol. 13, no. 11, 11//, pp. 1127-1138.</w:t>
      </w:r>
    </w:p>
    <w:bookmarkEnd w:id="88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84" w:name="_ENREF_203"/>
      <w:r w:rsidRPr="00184B6F">
        <w:rPr>
          <w:rFonts w:asciiTheme="minorHAnsi" w:hAnsiTheme="minorHAnsi"/>
        </w:rPr>
        <w:t xml:space="preserve">Moore, DF, Altarescu, G, Herscovitch, P &amp; Schiffmann, R 2002, 'Enzyme replacement reverses abnormal cerebrovascular responses in Fabry disease', </w:t>
      </w:r>
      <w:r w:rsidRPr="00184B6F">
        <w:rPr>
          <w:rFonts w:asciiTheme="minorHAnsi" w:hAnsiTheme="minorHAnsi"/>
          <w:i/>
        </w:rPr>
        <w:t>BMC Neurol.</w:t>
      </w:r>
      <w:r w:rsidRPr="00184B6F">
        <w:rPr>
          <w:rFonts w:asciiTheme="minorHAnsi" w:hAnsiTheme="minorHAnsi"/>
        </w:rPr>
        <w:t>, vol. 2, pp. 1-10.</w:t>
      </w:r>
    </w:p>
    <w:bookmarkEnd w:id="88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85" w:name="_ENREF_204"/>
      <w:r w:rsidRPr="00184B6F">
        <w:rPr>
          <w:rFonts w:asciiTheme="minorHAnsi" w:hAnsiTheme="minorHAnsi"/>
        </w:rPr>
        <w:t xml:space="preserve">Moore, DF, Scott, LT, Gladwin, MT, Altarescu, G, Kaneski, C, Suzuki, K, Pease-Fye, M, Ferri, R, Brady, RO, Herscovitch, P &amp; Schiffmann, R 2001, 'Regional cerebral hyperperfusion and nitric oxide pathway dysregulation in Fabry disease: reversal by enzyme replacement therapy', </w:t>
      </w:r>
      <w:r w:rsidRPr="00184B6F">
        <w:rPr>
          <w:rFonts w:asciiTheme="minorHAnsi" w:hAnsiTheme="minorHAnsi"/>
          <w:i/>
        </w:rPr>
        <w:t>Circulation</w:t>
      </w:r>
      <w:r w:rsidRPr="00184B6F">
        <w:rPr>
          <w:rFonts w:asciiTheme="minorHAnsi" w:hAnsiTheme="minorHAnsi"/>
        </w:rPr>
        <w:t>, vol. 104, no. 13, Sep 25, pp. 1506-1512.</w:t>
      </w:r>
    </w:p>
    <w:bookmarkEnd w:id="88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86" w:name="_ENREF_205"/>
      <w:r w:rsidRPr="00184B6F">
        <w:rPr>
          <w:rFonts w:asciiTheme="minorHAnsi" w:hAnsiTheme="minorHAnsi"/>
        </w:rPr>
        <w:t xml:space="preserve">Morel, T, Arickx, F, Befrits, G, Siviero, P, van der Meijden, C, Xoxi, E &amp; Simoens, S 2013, 'Reconciling uncertainty of costs and outcomes with the need for access to orphan medicinal products: a comparative study of managed entry agreements across seven European countries', </w:t>
      </w:r>
      <w:r w:rsidRPr="00184B6F">
        <w:rPr>
          <w:rFonts w:asciiTheme="minorHAnsi" w:hAnsiTheme="minorHAnsi"/>
          <w:i/>
        </w:rPr>
        <w:t>Orphanet J Rare Dis</w:t>
      </w:r>
      <w:r w:rsidRPr="00184B6F">
        <w:rPr>
          <w:rFonts w:asciiTheme="minorHAnsi" w:hAnsiTheme="minorHAnsi"/>
        </w:rPr>
        <w:t>, vol. 8, p. 198.</w:t>
      </w:r>
    </w:p>
    <w:bookmarkEnd w:id="88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87" w:name="_ENREF_206"/>
      <w:r w:rsidRPr="00184B6F">
        <w:rPr>
          <w:rFonts w:asciiTheme="minorHAnsi" w:hAnsiTheme="minorHAnsi"/>
        </w:rPr>
        <w:t xml:space="preserve">Morris, JL 2012, 'Velaglucerase alfa for the management of type 1 Gaucher disease', </w:t>
      </w:r>
      <w:r w:rsidRPr="00184B6F">
        <w:rPr>
          <w:rFonts w:asciiTheme="minorHAnsi" w:hAnsiTheme="minorHAnsi"/>
          <w:i/>
        </w:rPr>
        <w:t>Clin Ther</w:t>
      </w:r>
      <w:r w:rsidRPr="00184B6F">
        <w:rPr>
          <w:rFonts w:asciiTheme="minorHAnsi" w:hAnsiTheme="minorHAnsi"/>
        </w:rPr>
        <w:t>, vol. 34, pp. 259-271.</w:t>
      </w:r>
    </w:p>
    <w:bookmarkEnd w:id="88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88" w:name="_ENREF_207"/>
      <w:r w:rsidRPr="00184B6F">
        <w:rPr>
          <w:rFonts w:asciiTheme="minorHAnsi" w:hAnsiTheme="minorHAnsi"/>
        </w:rPr>
        <w:t xml:space="preserve">Motor Neurone Disease Australia 2014, </w:t>
      </w:r>
      <w:r w:rsidRPr="00184B6F">
        <w:rPr>
          <w:rFonts w:asciiTheme="minorHAnsi" w:hAnsiTheme="minorHAnsi"/>
          <w:i/>
        </w:rPr>
        <w:t>Overview: motor neurone disease.</w:t>
      </w:r>
      <w:r w:rsidRPr="00184B6F">
        <w:rPr>
          <w:rFonts w:asciiTheme="minorHAnsi" w:hAnsiTheme="minorHAnsi"/>
        </w:rPr>
        <w:t>, MND Australia, viewed 3 Nov 2014, &lt;</w:t>
      </w:r>
      <w:r w:rsidRPr="00A62C97">
        <w:rPr>
          <w:rFonts w:asciiTheme="minorHAnsi" w:hAnsiTheme="minorHAnsi"/>
        </w:rPr>
        <w:t>http://www.mndcare.net.au/Overview/Motor-neurone-disease.aspx&gt;</w:t>
      </w:r>
      <w:r w:rsidRPr="00184B6F">
        <w:rPr>
          <w:rFonts w:asciiTheme="minorHAnsi" w:hAnsiTheme="minorHAnsi"/>
        </w:rPr>
        <w:t>.</w:t>
      </w:r>
    </w:p>
    <w:bookmarkEnd w:id="88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89" w:name="_ENREF_208"/>
      <w:r w:rsidRPr="00184B6F">
        <w:rPr>
          <w:rFonts w:asciiTheme="minorHAnsi" w:hAnsiTheme="minorHAnsi"/>
        </w:rPr>
        <w:t xml:space="preserve">Muenzer, J, Beck, M, Eng, CM, Giugliani, R, Harmatz, P, Martin, R, Ramaswami, U, Vellodi, A, Wraith, JE, Cleary, M, Gucsavas-Calikoglu, M, Puga, AC, Shinawi, M, Ulbrich, B, Vijayaraghavan, S, Wendt, S, Conway, AM, Rossi, A, Whiteman, DA &amp; Kimura, A 2011, 'Long-term, open-labeled extension study of idursulfase in the treatment of Hunter syndrome', </w:t>
      </w:r>
      <w:r w:rsidRPr="00184B6F">
        <w:rPr>
          <w:rFonts w:asciiTheme="minorHAnsi" w:hAnsiTheme="minorHAnsi"/>
          <w:i/>
        </w:rPr>
        <w:t>Genet Med</w:t>
      </w:r>
      <w:r w:rsidRPr="00184B6F">
        <w:rPr>
          <w:rFonts w:asciiTheme="minorHAnsi" w:hAnsiTheme="minorHAnsi"/>
        </w:rPr>
        <w:t>, vol. 13, no. 2, Feb, pp. 95-101.</w:t>
      </w:r>
    </w:p>
    <w:bookmarkEnd w:id="88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90" w:name="_ENREF_209"/>
      <w:r w:rsidRPr="00184B6F">
        <w:rPr>
          <w:rFonts w:asciiTheme="minorHAnsi" w:hAnsiTheme="minorHAnsi"/>
        </w:rPr>
        <w:t xml:space="preserve">Muenzer, J, Wraith, JE, Beck, M, Giugliani, R, Harmatz, P, Eng, CM, Vellodi, A, Martin, R, Ramaswami, U, Gucsavas-Calikoglu, M, Vijayaraghavan, S, Wendt, S, Puga, AC, Ulbrich, B, Shinawi, M, Cleary, M, Piper, D, Conway, AM &amp; Kimura, A 2006, 'A phase II/III clinical study of enzyme replacement therapy with idursulfase in mucopolysaccharidosis II (Hunter syndrome)', </w:t>
      </w:r>
      <w:r w:rsidRPr="00184B6F">
        <w:rPr>
          <w:rFonts w:asciiTheme="minorHAnsi" w:hAnsiTheme="minorHAnsi"/>
          <w:i/>
        </w:rPr>
        <w:t>Genet Med</w:t>
      </w:r>
      <w:r w:rsidRPr="00184B6F">
        <w:rPr>
          <w:rFonts w:asciiTheme="minorHAnsi" w:hAnsiTheme="minorHAnsi"/>
        </w:rPr>
        <w:t>, vol. 8, no. 8, Aug, pp. 465-473.</w:t>
      </w:r>
    </w:p>
    <w:bookmarkEnd w:id="89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91" w:name="_ENREF_210"/>
      <w:r w:rsidRPr="00184B6F">
        <w:rPr>
          <w:rFonts w:asciiTheme="minorHAnsi" w:hAnsiTheme="minorHAnsi"/>
        </w:rPr>
        <w:t>Mulla, SM, Miller, P, Agarwal, A, Khokhar, R, Mohiuddin, M, Sadeghi, B, Adams-Webber, T, Guyatt, G &amp; Johnston, B 2014, 'Patient-reported outcomes in studies of patients with rare lysosomal storage diseases: a systematic survey', paper presented at Health Technology Assessment International, Washington DC, USA.</w:t>
      </w:r>
    </w:p>
    <w:bookmarkEnd w:id="89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92" w:name="_ENREF_211"/>
      <w:r w:rsidRPr="00184B6F">
        <w:rPr>
          <w:rFonts w:asciiTheme="minorHAnsi" w:hAnsiTheme="minorHAnsi"/>
        </w:rPr>
        <w:t xml:space="preserve">Myers, CE, Gatalica, Z, Spinelli, A, Castro, M, Linden, E, Sartor, O &amp; Sargent, M 2014, 'Metastatic Cancer of Cowper's Gland: A Rare Cancer Managed Successfully by Molecular Profiling', </w:t>
      </w:r>
      <w:r w:rsidRPr="00184B6F">
        <w:rPr>
          <w:rFonts w:asciiTheme="minorHAnsi" w:hAnsiTheme="minorHAnsi"/>
          <w:i/>
        </w:rPr>
        <w:t>Case Rep Oncol</w:t>
      </w:r>
      <w:r w:rsidRPr="00184B6F">
        <w:rPr>
          <w:rFonts w:asciiTheme="minorHAnsi" w:hAnsiTheme="minorHAnsi"/>
        </w:rPr>
        <w:t>, vol. 7, no. 1, Jan, pp. 52-57.</w:t>
      </w:r>
    </w:p>
    <w:bookmarkEnd w:id="89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93" w:name="_ENREF_212"/>
      <w:r w:rsidRPr="00184B6F">
        <w:rPr>
          <w:rFonts w:asciiTheme="minorHAnsi" w:hAnsiTheme="minorHAnsi"/>
        </w:rPr>
        <w:t xml:space="preserve">National Cancer Institute 2014, </w:t>
      </w:r>
      <w:r w:rsidRPr="00184B6F">
        <w:rPr>
          <w:rFonts w:asciiTheme="minorHAnsi" w:hAnsiTheme="minorHAnsi"/>
          <w:i/>
        </w:rPr>
        <w:t>NCI Drug Dictionary</w:t>
      </w:r>
      <w:r w:rsidRPr="00184B6F">
        <w:rPr>
          <w:rFonts w:asciiTheme="minorHAnsi" w:hAnsiTheme="minorHAnsi"/>
        </w:rPr>
        <w:t>, National Institutes of Health, viewed 20 Nov 2014, &lt;</w:t>
      </w:r>
      <w:r w:rsidRPr="00A62C97">
        <w:rPr>
          <w:rFonts w:asciiTheme="minorHAnsi" w:hAnsiTheme="minorHAnsi"/>
        </w:rPr>
        <w:t>http://www.cancer.gov/drugdictionary&gt;</w:t>
      </w:r>
      <w:r w:rsidRPr="00184B6F">
        <w:rPr>
          <w:rFonts w:asciiTheme="minorHAnsi" w:hAnsiTheme="minorHAnsi"/>
        </w:rPr>
        <w:t>.</w:t>
      </w:r>
    </w:p>
    <w:bookmarkEnd w:id="89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94" w:name="_ENREF_213"/>
      <w:r w:rsidRPr="00184B6F">
        <w:rPr>
          <w:rFonts w:asciiTheme="minorHAnsi" w:hAnsiTheme="minorHAnsi"/>
        </w:rPr>
        <w:t>National Institute for Health and Care Excellence 2013, 'Interim process and methods of the highly specialised technologies programme', pp. 1-12, viewed 1 October 2014, &lt;</w:t>
      </w:r>
      <w:r w:rsidRPr="00A62C97">
        <w:rPr>
          <w:rFonts w:asciiTheme="minorHAnsi" w:hAnsiTheme="minorHAnsi"/>
        </w:rPr>
        <w:t>http://www.nice.org.uk/Media/Default/About/what-we-do/NICE-guidance/NICE-highly-specialised-technologies-guidance/Highly-Specialised-Technologies-Interim-methods-and-process-statements.pdf&gt;</w:t>
      </w:r>
      <w:r w:rsidRPr="00184B6F">
        <w:rPr>
          <w:rFonts w:asciiTheme="minorHAnsi" w:hAnsiTheme="minorHAnsi"/>
        </w:rPr>
        <w:t>.</w:t>
      </w:r>
    </w:p>
    <w:bookmarkEnd w:id="89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95" w:name="_ENREF_214"/>
      <w:r w:rsidRPr="00184B6F">
        <w:rPr>
          <w:rFonts w:asciiTheme="minorHAnsi" w:hAnsiTheme="minorHAnsi"/>
        </w:rPr>
        <w:t xml:space="preserve">National Institute for Health and Clinical Excellence 2012, </w:t>
      </w:r>
      <w:r w:rsidRPr="00184B6F">
        <w:rPr>
          <w:rFonts w:asciiTheme="minorHAnsi" w:hAnsiTheme="minorHAnsi"/>
          <w:i/>
        </w:rPr>
        <w:t>The epilepsies: the diagnosis and management of the epilepsies in adults and children in primary and secondary care</w:t>
      </w:r>
      <w:r w:rsidRPr="00184B6F">
        <w:rPr>
          <w:rFonts w:asciiTheme="minorHAnsi" w:hAnsiTheme="minorHAnsi"/>
        </w:rPr>
        <w:t>, National Institute for Health and Clinical Excellence (NICE), London, UK.</w:t>
      </w:r>
    </w:p>
    <w:bookmarkEnd w:id="89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96" w:name="_ENREF_215"/>
      <w:r w:rsidRPr="00184B6F">
        <w:rPr>
          <w:rFonts w:asciiTheme="minorHAnsi" w:hAnsiTheme="minorHAnsi"/>
        </w:rPr>
        <w:t xml:space="preserve">National Institute of Neurological Disorders and Stroke 2014, </w:t>
      </w:r>
      <w:r w:rsidRPr="00184B6F">
        <w:rPr>
          <w:rFonts w:asciiTheme="minorHAnsi" w:hAnsiTheme="minorHAnsi"/>
          <w:i/>
        </w:rPr>
        <w:t>Lennox-Gastaut Syndrome Information Page</w:t>
      </w:r>
      <w:r w:rsidRPr="00184B6F">
        <w:rPr>
          <w:rFonts w:asciiTheme="minorHAnsi" w:hAnsiTheme="minorHAnsi"/>
        </w:rPr>
        <w:t>, NINDS, Maryland, US., viewed 4 Dec 2014, &lt;</w:t>
      </w:r>
      <w:r w:rsidRPr="00A62C97">
        <w:rPr>
          <w:rFonts w:asciiTheme="minorHAnsi" w:hAnsiTheme="minorHAnsi"/>
        </w:rPr>
        <w:t>http://www.ninds.nih.gov/disorders/lennoxgastautsyndrome/lennoxgastautsyndrome.htm&gt;</w:t>
      </w:r>
      <w:r w:rsidRPr="00184B6F">
        <w:rPr>
          <w:rFonts w:asciiTheme="minorHAnsi" w:hAnsiTheme="minorHAnsi"/>
        </w:rPr>
        <w:t>.</w:t>
      </w:r>
    </w:p>
    <w:bookmarkEnd w:id="89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97" w:name="_ENREF_216"/>
      <w:r w:rsidRPr="00184B6F">
        <w:rPr>
          <w:rFonts w:asciiTheme="minorHAnsi" w:hAnsiTheme="minorHAnsi"/>
        </w:rPr>
        <w:t xml:space="preserve">Ngorsuraches, S, Meng, W, Kim, BY &amp; Kulsomboon, V 2012, 'Drug reimbursement decision-making in Thailand, China, and South Korea', </w:t>
      </w:r>
      <w:r w:rsidRPr="00184B6F">
        <w:rPr>
          <w:rFonts w:asciiTheme="minorHAnsi" w:hAnsiTheme="minorHAnsi"/>
          <w:i/>
        </w:rPr>
        <w:t>Value Health</w:t>
      </w:r>
      <w:r w:rsidRPr="00184B6F">
        <w:rPr>
          <w:rFonts w:asciiTheme="minorHAnsi" w:hAnsiTheme="minorHAnsi"/>
        </w:rPr>
        <w:t>, vol. 15, no. 1 Suppl, Jan-Feb, pp. S120-125.</w:t>
      </w:r>
    </w:p>
    <w:bookmarkEnd w:id="89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98" w:name="_ENREF_217"/>
      <w:r w:rsidRPr="00184B6F">
        <w:rPr>
          <w:rFonts w:asciiTheme="minorHAnsi" w:hAnsiTheme="minorHAnsi"/>
        </w:rPr>
        <w:t xml:space="preserve">NICE Citizens Council 2004, </w:t>
      </w:r>
      <w:r w:rsidRPr="00184B6F">
        <w:rPr>
          <w:rFonts w:asciiTheme="minorHAnsi" w:hAnsiTheme="minorHAnsi"/>
          <w:i/>
        </w:rPr>
        <w:t>Ultra Orphan Drugs</w:t>
      </w:r>
      <w:r w:rsidRPr="00184B6F">
        <w:rPr>
          <w:rFonts w:asciiTheme="minorHAnsi" w:hAnsiTheme="minorHAnsi"/>
        </w:rPr>
        <w:t>,  NICE Citizens Council Reports, no. 4, National Institute for Clinical Excellence.</w:t>
      </w:r>
    </w:p>
    <w:bookmarkEnd w:id="89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899" w:name="_ENREF_218"/>
      <w:r w:rsidRPr="00184B6F">
        <w:rPr>
          <w:rFonts w:asciiTheme="minorHAnsi" w:hAnsiTheme="minorHAnsi"/>
        </w:rPr>
        <w:t xml:space="preserve">NICE Citizens Council 2008, </w:t>
      </w:r>
      <w:r w:rsidRPr="00184B6F">
        <w:rPr>
          <w:rFonts w:asciiTheme="minorHAnsi" w:hAnsiTheme="minorHAnsi"/>
          <w:i/>
        </w:rPr>
        <w:t>Departing from the threshold</w:t>
      </w:r>
      <w:r w:rsidRPr="00184B6F">
        <w:rPr>
          <w:rFonts w:asciiTheme="minorHAnsi" w:hAnsiTheme="minorHAnsi"/>
        </w:rPr>
        <w:t>,  NICE Citizens Council Reports, NIfHaC Excellence.</w:t>
      </w:r>
    </w:p>
    <w:bookmarkEnd w:id="89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00" w:name="_ENREF_219"/>
      <w:r w:rsidRPr="00184B6F">
        <w:rPr>
          <w:rFonts w:asciiTheme="minorHAnsi" w:hAnsiTheme="minorHAnsi"/>
        </w:rPr>
        <w:t xml:space="preserve">Nicolino, M, Byrne, B, Wraith, JE, Leslie, N, Mandel, H, Freyer, DR, Arnold, GL, Pivnick, EK, Ottinger, CJ, Robinson, PH, Loo, JC, Smitka, M, Jardine, P, Tat•, L, Chabrol, B, McCandless, S, Kimura, S, Mehta, L, Bali, D, Skrinar, A, Morgan, C, Rangachari, L, Corzo, D &amp; Kishnani, PS 2009, 'Clinical outcomes after long-term treatment with alglucosidase alfa in infants and children with advanced Pompe disease', </w:t>
      </w:r>
      <w:r w:rsidRPr="00184B6F">
        <w:rPr>
          <w:rFonts w:asciiTheme="minorHAnsi" w:hAnsiTheme="minorHAnsi"/>
          <w:i/>
        </w:rPr>
        <w:t>Genet Med.</w:t>
      </w:r>
      <w:r w:rsidRPr="00184B6F">
        <w:rPr>
          <w:rFonts w:asciiTheme="minorHAnsi" w:hAnsiTheme="minorHAnsi"/>
        </w:rPr>
        <w:t>, vol. 11, no. 3, Mar, pp. 210-219. [Genetics in medicine : official journal of the American College of Medical Genetics].</w:t>
      </w:r>
    </w:p>
    <w:bookmarkEnd w:id="90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01" w:name="_ENREF_220"/>
      <w:r w:rsidRPr="00184B6F">
        <w:rPr>
          <w:rFonts w:asciiTheme="minorHAnsi" w:hAnsiTheme="minorHAnsi"/>
        </w:rPr>
        <w:t xml:space="preserve">Nicolino, M, Byrne, B, Wraith, JE, Leslie, N, Mandel, H, Freyer, DR, Arnold, GL, Pivnick, EK, Ottinger, CJ, Robinson, PH, Loo, JC, Smitka, M, Jardine, P, Tato, L, Chabrol, B, McCandless, S, Kimura, S, Mehta, L, Bali, D, Skrinar, A, Morgan, C, Rangachari, L, Corzo, D &amp; Kishnani, PS 2009, 'Clinical outcomes after long-term treatment with alglucosidase alfa in infants and children with advanced Pompe disease', </w:t>
      </w:r>
      <w:r w:rsidRPr="00184B6F">
        <w:rPr>
          <w:rFonts w:asciiTheme="minorHAnsi" w:hAnsiTheme="minorHAnsi"/>
          <w:i/>
        </w:rPr>
        <w:t>Genet Med</w:t>
      </w:r>
      <w:r w:rsidRPr="00184B6F">
        <w:rPr>
          <w:rFonts w:asciiTheme="minorHAnsi" w:hAnsiTheme="minorHAnsi"/>
        </w:rPr>
        <w:t>, vol. 11, no. 3, Mar, pp. 210-219.</w:t>
      </w:r>
    </w:p>
    <w:bookmarkEnd w:id="90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02" w:name="_ENREF_221"/>
      <w:r w:rsidRPr="00184B6F">
        <w:rPr>
          <w:rFonts w:asciiTheme="minorHAnsi" w:hAnsiTheme="minorHAnsi"/>
        </w:rPr>
        <w:t xml:space="preserve">Nord, E &amp; Johansen, R 2014, 'Concerns for severity in priority setting in health care: A review of trade-off data in preference studies and implications for societal willingness to pay for a QALY', </w:t>
      </w:r>
      <w:r w:rsidRPr="00184B6F">
        <w:rPr>
          <w:rFonts w:asciiTheme="minorHAnsi" w:hAnsiTheme="minorHAnsi"/>
          <w:i/>
        </w:rPr>
        <w:t>Health Policy</w:t>
      </w:r>
      <w:r w:rsidRPr="00184B6F">
        <w:rPr>
          <w:rFonts w:asciiTheme="minorHAnsi" w:hAnsiTheme="minorHAnsi"/>
        </w:rPr>
        <w:t>, Feb 28.</w:t>
      </w:r>
    </w:p>
    <w:bookmarkEnd w:id="90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03" w:name="_ENREF_222"/>
      <w:r w:rsidRPr="00184B6F">
        <w:rPr>
          <w:rFonts w:asciiTheme="minorHAnsi" w:hAnsiTheme="minorHAnsi"/>
        </w:rPr>
        <w:t xml:space="preserve">Norheim, O, Baltussen, R, Johri, M, Chisholm, D, Nord, E, Brock, D, Carlsson, P, Cookson, R, Daniels, N, Danis, M, Fleurbaey, M, Johansson, K, Kapiriri, L, Littlejohns, P, Mbeeli, T, Rao, K, Edejer, TT-T &amp; Wikler, D 2014, 'Guidance on priority setting in health care (GPS-Health): the </w:t>
      </w:r>
      <w:r w:rsidRPr="00184B6F">
        <w:rPr>
          <w:rFonts w:asciiTheme="minorHAnsi" w:hAnsiTheme="minorHAnsi"/>
        </w:rPr>
        <w:lastRenderedPageBreak/>
        <w:t xml:space="preserve">inclusion of equity criteria not captured by cost-effectiveness analysis', </w:t>
      </w:r>
      <w:r w:rsidRPr="00184B6F">
        <w:rPr>
          <w:rFonts w:asciiTheme="minorHAnsi" w:hAnsiTheme="minorHAnsi"/>
          <w:i/>
        </w:rPr>
        <w:t>Cost Effectiveness and Resource Allocation</w:t>
      </w:r>
      <w:r w:rsidRPr="00184B6F">
        <w:rPr>
          <w:rFonts w:asciiTheme="minorHAnsi" w:hAnsiTheme="minorHAnsi"/>
        </w:rPr>
        <w:t>, vol. 12, no. 1, p. 18.</w:t>
      </w:r>
    </w:p>
    <w:bookmarkEnd w:id="90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04" w:name="_ENREF_223"/>
      <w:r w:rsidRPr="00184B6F">
        <w:rPr>
          <w:rFonts w:asciiTheme="minorHAnsi" w:hAnsiTheme="minorHAnsi"/>
        </w:rPr>
        <w:t xml:space="preserve">Norman, P 2013, 'Orphan drug approvals in Europe since 2001: An analysis by indication', </w:t>
      </w:r>
      <w:r w:rsidRPr="00184B6F">
        <w:rPr>
          <w:rFonts w:asciiTheme="minorHAnsi" w:hAnsiTheme="minorHAnsi"/>
          <w:i/>
        </w:rPr>
        <w:t>Expert Opinion on Orphan Drugs</w:t>
      </w:r>
      <w:r w:rsidRPr="00184B6F">
        <w:rPr>
          <w:rFonts w:asciiTheme="minorHAnsi" w:hAnsiTheme="minorHAnsi"/>
        </w:rPr>
        <w:t>, vol. 1, no. 2, pp. 131-139.</w:t>
      </w:r>
    </w:p>
    <w:bookmarkEnd w:id="90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05" w:name="_ENREF_224"/>
      <w:r w:rsidRPr="00184B6F">
        <w:rPr>
          <w:rFonts w:asciiTheme="minorHAnsi" w:hAnsiTheme="minorHAnsi"/>
        </w:rPr>
        <w:t xml:space="preserve">Ohtsuka, Y, Yoshinaga, H, Shirasaka, Y, Takayama, R, Takano, H &amp; Iyoda, K 2014, 'Rufinamide as an adjunctive therapy for Lennox-Gastaut syndrome: A randomized double-blind placebo-controlled trial in Japan', </w:t>
      </w:r>
      <w:r w:rsidRPr="00184B6F">
        <w:rPr>
          <w:rFonts w:asciiTheme="minorHAnsi" w:hAnsiTheme="minorHAnsi"/>
          <w:i/>
        </w:rPr>
        <w:t>Epilepsy Res</w:t>
      </w:r>
      <w:r w:rsidRPr="00184B6F">
        <w:rPr>
          <w:rFonts w:asciiTheme="minorHAnsi" w:hAnsiTheme="minorHAnsi"/>
        </w:rPr>
        <w:t>, vol. 108, no. 9, Nov, pp. 1627-1636.</w:t>
      </w:r>
    </w:p>
    <w:bookmarkEnd w:id="90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06" w:name="_ENREF_225"/>
      <w:r w:rsidRPr="00184B6F">
        <w:rPr>
          <w:rFonts w:asciiTheme="minorHAnsi" w:hAnsiTheme="minorHAnsi"/>
        </w:rPr>
        <w:t xml:space="preserve">Oliveira, FL, Alegra, T, Dornelles, A, Krug, BC, Netto, CB, da, R, N, S, Picon, PD &amp; Schwartz, IV 2013, 'Quality of life of brazilian patients with Gaucher disease and fabry disease', </w:t>
      </w:r>
      <w:r w:rsidRPr="00184B6F">
        <w:rPr>
          <w:rFonts w:asciiTheme="minorHAnsi" w:hAnsiTheme="minorHAnsi"/>
          <w:i/>
        </w:rPr>
        <w:t>JIMD Rep</w:t>
      </w:r>
      <w:r w:rsidRPr="00184B6F">
        <w:rPr>
          <w:rFonts w:asciiTheme="minorHAnsi" w:hAnsiTheme="minorHAnsi"/>
        </w:rPr>
        <w:t>, vol. 7, pp. 31-37.</w:t>
      </w:r>
    </w:p>
    <w:bookmarkEnd w:id="90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07" w:name="_ENREF_226"/>
      <w:r w:rsidRPr="00184B6F">
        <w:rPr>
          <w:rFonts w:asciiTheme="minorHAnsi" w:hAnsiTheme="minorHAnsi"/>
        </w:rPr>
        <w:t xml:space="preserve">Olowoyeye, A &amp; Okwundu Charles, I 2014, 'Gene therapy for sickle cell disease', </w:t>
      </w:r>
      <w:r w:rsidRPr="00184B6F">
        <w:rPr>
          <w:rFonts w:asciiTheme="minorHAnsi" w:hAnsiTheme="minorHAnsi"/>
          <w:i/>
        </w:rPr>
        <w:t>Cochrane Database of Systematic Reviews</w:t>
      </w:r>
      <w:r w:rsidRPr="00184B6F">
        <w:rPr>
          <w:rFonts w:asciiTheme="minorHAnsi" w:hAnsiTheme="minorHAnsi"/>
        </w:rPr>
        <w:t>, no. 10, DOI 10.1002/14651858.CD007652.pub4, &lt;</w:t>
      </w:r>
      <w:r w:rsidRPr="00A62C97">
        <w:rPr>
          <w:rFonts w:asciiTheme="minorHAnsi" w:hAnsiTheme="minorHAnsi"/>
        </w:rPr>
        <w:t>http://onlinelibrary.wiley.com/doi/10.1002/14651858.CD007652.pub4/abstract&gt;</w:t>
      </w:r>
      <w:r w:rsidRPr="00184B6F">
        <w:rPr>
          <w:rFonts w:asciiTheme="minorHAnsi" w:hAnsiTheme="minorHAnsi"/>
        </w:rPr>
        <w:t>.</w:t>
      </w:r>
    </w:p>
    <w:bookmarkEnd w:id="90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08" w:name="_ENREF_227"/>
      <w:r w:rsidRPr="00184B6F">
        <w:rPr>
          <w:rFonts w:asciiTheme="minorHAnsi" w:hAnsiTheme="minorHAnsi"/>
        </w:rPr>
        <w:t xml:space="preserve">Orlikowski, D, Pellegrini, N, Prigent, H, Laforet, P, Carlier, R, Carlier, P, Eymard, B, Lofaso, F &amp; Annane, D 2011, 'Recombinant human acid alpha-glucosidase (rhGAA) in adult patients with severe respiratory failure due to Pompe disease', </w:t>
      </w:r>
      <w:r w:rsidRPr="00184B6F">
        <w:rPr>
          <w:rFonts w:asciiTheme="minorHAnsi" w:hAnsiTheme="minorHAnsi"/>
          <w:i/>
        </w:rPr>
        <w:t>Neuromuscular Disorders</w:t>
      </w:r>
      <w:r w:rsidRPr="00184B6F">
        <w:rPr>
          <w:rFonts w:asciiTheme="minorHAnsi" w:hAnsiTheme="minorHAnsi"/>
        </w:rPr>
        <w:t>, vol. 21, no. 7, Jul, pp. 477-482.</w:t>
      </w:r>
    </w:p>
    <w:bookmarkEnd w:id="908"/>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909" w:name="_ENREF_228"/>
      <w:r w:rsidRPr="00184B6F">
        <w:rPr>
          <w:rFonts w:asciiTheme="minorHAnsi" w:hAnsiTheme="minorHAnsi"/>
        </w:rPr>
        <w:t xml:space="preserve">Orphanet 2015, </w:t>
      </w:r>
      <w:r w:rsidRPr="00184B6F">
        <w:rPr>
          <w:rFonts w:asciiTheme="minorHAnsi" w:hAnsiTheme="minorHAnsi"/>
          <w:i/>
        </w:rPr>
        <w:t>Orphan drugs in Australia</w:t>
      </w:r>
      <w:r w:rsidRPr="00184B6F">
        <w:rPr>
          <w:rFonts w:asciiTheme="minorHAnsi" w:hAnsiTheme="minorHAnsi"/>
        </w:rPr>
        <w:t>, viewed 10th February 2015, &lt;</w:t>
      </w:r>
      <w:r w:rsidRPr="00A82D5C">
        <w:rPr>
          <w:rFonts w:asciiTheme="minorHAnsi" w:hAnsiTheme="minorHAnsi"/>
        </w:rPr>
        <w:t>http://www.orpha.net/consor/cgi-bin/Education_AboutOrphanDrugs.php?lng=EN&amp;stapage=ST_EDUCATION_EDUCATION_ABOUTORPHANDRUGS_AUS</w:t>
      </w:r>
      <w:r w:rsidRPr="00184B6F">
        <w:rPr>
          <w:rFonts w:asciiTheme="minorHAnsi" w:hAnsiTheme="minorHAnsi"/>
        </w:rPr>
        <w:t xml:space="preserve"> &gt;.</w:t>
      </w:r>
    </w:p>
    <w:bookmarkEnd w:id="90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10" w:name="_ENREF_229"/>
      <w:r w:rsidRPr="00184B6F">
        <w:rPr>
          <w:rFonts w:asciiTheme="minorHAnsi" w:hAnsiTheme="minorHAnsi"/>
        </w:rPr>
        <w:t xml:space="preserve">Owen, A, Spinks, J, Meehan, A, Robb, T, Hardy, M, Kwasha, D, Wlodarczyk, J &amp; Reid, C 2008, 'A new model to evaluate the long-term cost effectiveness of orphan and highly specialised drugs following listing on the Australian Pharmaceutical Benefits Scheme: the Bosentan Patient Registry', </w:t>
      </w:r>
      <w:r w:rsidRPr="00184B6F">
        <w:rPr>
          <w:rFonts w:asciiTheme="minorHAnsi" w:hAnsiTheme="minorHAnsi"/>
          <w:i/>
        </w:rPr>
        <w:t>J Med Econ</w:t>
      </w:r>
      <w:r w:rsidRPr="00184B6F">
        <w:rPr>
          <w:rFonts w:asciiTheme="minorHAnsi" w:hAnsiTheme="minorHAnsi"/>
        </w:rPr>
        <w:t>, vol. 11, no. 2, pp. 235-243.</w:t>
      </w:r>
    </w:p>
    <w:bookmarkEnd w:id="91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11" w:name="_ENREF_230"/>
      <w:r w:rsidRPr="00184B6F">
        <w:rPr>
          <w:rFonts w:asciiTheme="minorHAnsi" w:hAnsiTheme="minorHAnsi"/>
        </w:rPr>
        <w:t xml:space="preserve">Oxford Glycosciences 2002, </w:t>
      </w:r>
      <w:r w:rsidRPr="00184B6F">
        <w:rPr>
          <w:rFonts w:asciiTheme="minorHAnsi" w:hAnsiTheme="minorHAnsi"/>
          <w:i/>
        </w:rPr>
        <w:t>Research Update 2</w:t>
      </w:r>
      <w:r w:rsidRPr="00184B6F">
        <w:rPr>
          <w:rFonts w:asciiTheme="minorHAnsi" w:hAnsiTheme="minorHAnsi"/>
        </w:rPr>
        <w:t>, viewed 7th November 2014, &lt;</w:t>
      </w:r>
      <w:r w:rsidRPr="00A62C97">
        <w:rPr>
          <w:rFonts w:asciiTheme="minorHAnsi" w:hAnsiTheme="minorHAnsi"/>
        </w:rPr>
        <w:t>http://www.investegate.co.uk/article.aspx?id=200205021430154345V</w:t>
      </w:r>
      <w:r w:rsidRPr="00184B6F">
        <w:rPr>
          <w:rFonts w:asciiTheme="minorHAnsi" w:hAnsiTheme="minorHAnsi"/>
        </w:rPr>
        <w:t xml:space="preserve"> &gt;.</w:t>
      </w:r>
    </w:p>
    <w:bookmarkEnd w:id="91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12" w:name="_ENREF_231"/>
      <w:r w:rsidRPr="00184B6F">
        <w:rPr>
          <w:rFonts w:asciiTheme="minorHAnsi" w:hAnsiTheme="minorHAnsi"/>
        </w:rPr>
        <w:t xml:space="preserve">Papadimas, GK, Spengos, K, Konstantinopoulou, A, Vassilopoulou, S, Vontzalidis, A, Papadopoulos, C, Michelakakis, H &amp; Manta, P 2011, 'Adult Pompe disease: Clinical manifestations and outcome of the first Greek patients receiving enzyme replacement therapy', </w:t>
      </w:r>
      <w:r w:rsidRPr="00184B6F">
        <w:rPr>
          <w:rFonts w:asciiTheme="minorHAnsi" w:hAnsiTheme="minorHAnsi"/>
          <w:i/>
        </w:rPr>
        <w:t>Clinical Neurology and Neurosurgery</w:t>
      </w:r>
      <w:r w:rsidRPr="00184B6F">
        <w:rPr>
          <w:rFonts w:asciiTheme="minorHAnsi" w:hAnsiTheme="minorHAnsi"/>
        </w:rPr>
        <w:t>, vol. 113, no. 4, May, pp. 303-307.</w:t>
      </w:r>
    </w:p>
    <w:bookmarkEnd w:id="91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13" w:name="_ENREF_232"/>
      <w:r w:rsidRPr="00184B6F">
        <w:rPr>
          <w:rFonts w:asciiTheme="minorHAnsi" w:hAnsiTheme="minorHAnsi"/>
        </w:rPr>
        <w:t xml:space="preserve">Park, JS, Kim, HG, Shin, JH, Choi, YC &amp; Kim, DS 2014, 'Effect of enzyme replacement therapy in late onset Pompe disease: open pilot study of 48 weeks follow-up', </w:t>
      </w:r>
      <w:r w:rsidRPr="00184B6F">
        <w:rPr>
          <w:rFonts w:asciiTheme="minorHAnsi" w:hAnsiTheme="minorHAnsi"/>
          <w:i/>
        </w:rPr>
        <w:t>Neurological Sciences</w:t>
      </w:r>
      <w:r w:rsidRPr="00184B6F">
        <w:rPr>
          <w:rFonts w:asciiTheme="minorHAnsi" w:hAnsiTheme="minorHAnsi"/>
        </w:rPr>
        <w:t>.</w:t>
      </w:r>
    </w:p>
    <w:bookmarkEnd w:id="91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14" w:name="_ENREF_233"/>
      <w:r w:rsidRPr="00184B6F">
        <w:rPr>
          <w:rFonts w:asciiTheme="minorHAnsi" w:hAnsiTheme="minorHAnsi"/>
        </w:rPr>
        <w:t xml:space="preserve">Parker, C, Omine, M, Richards, S, Nishimura, J-i, Bessler, M, Ware, R, Hillmen, P, Luzzatto, L, Young, N, Kinoshita, T, Rosse, W &amp; Socié, G 2005, </w:t>
      </w:r>
      <w:r w:rsidRPr="00184B6F">
        <w:rPr>
          <w:rFonts w:asciiTheme="minorHAnsi" w:hAnsiTheme="minorHAnsi"/>
          <w:i/>
        </w:rPr>
        <w:t>Diagnosis and management of paroxysmal nocturnal hemoglobinuria</w:t>
      </w:r>
      <w:r w:rsidRPr="00184B6F">
        <w:rPr>
          <w:rFonts w:asciiTheme="minorHAnsi" w:hAnsiTheme="minorHAnsi"/>
        </w:rPr>
        <w:t>, vol. 106.</w:t>
      </w:r>
    </w:p>
    <w:bookmarkEnd w:id="91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15" w:name="_ENREF_234"/>
      <w:r w:rsidRPr="00184B6F">
        <w:rPr>
          <w:rFonts w:asciiTheme="minorHAnsi" w:hAnsiTheme="minorHAnsi"/>
        </w:rPr>
        <w:t xml:space="preserve">Pentek, M, Kosztolanyi, G, Melegh, B, Halasz, A, Pogany, G, Baji, P, Brodszky, V, Vartokne Hever, N, Boncz, I &amp; Gulacsi, L 2014, '[Health related quality of life and disease burden of patients with cystic fibrosis and their caregivers: Results of the European BURQOL-RD survey in Hungary]', </w:t>
      </w:r>
      <w:r w:rsidRPr="00184B6F">
        <w:rPr>
          <w:rFonts w:asciiTheme="minorHAnsi" w:hAnsiTheme="minorHAnsi"/>
          <w:i/>
        </w:rPr>
        <w:t>Orv Hetil</w:t>
      </w:r>
      <w:r w:rsidRPr="00184B6F">
        <w:rPr>
          <w:rFonts w:asciiTheme="minorHAnsi" w:hAnsiTheme="minorHAnsi"/>
        </w:rPr>
        <w:t>, vol. 155, no. 42, Oct 1, pp. 1673-1684.</w:t>
      </w:r>
    </w:p>
    <w:bookmarkEnd w:id="91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16" w:name="_ENREF_235"/>
      <w:r w:rsidRPr="00184B6F">
        <w:rPr>
          <w:rFonts w:asciiTheme="minorHAnsi" w:hAnsiTheme="minorHAnsi"/>
        </w:rPr>
        <w:t xml:space="preserve">Pharmactical Benefits Advisory Committee 2013, </w:t>
      </w:r>
      <w:r w:rsidRPr="00184B6F">
        <w:rPr>
          <w:rFonts w:asciiTheme="minorHAnsi" w:hAnsiTheme="minorHAnsi"/>
          <w:i/>
        </w:rPr>
        <w:t>Guidelines for preparing submissions to the Pharmaceutical Benefits Advisory Committee</w:t>
      </w:r>
      <w:r w:rsidRPr="00184B6F">
        <w:rPr>
          <w:rFonts w:asciiTheme="minorHAnsi" w:hAnsiTheme="minorHAnsi"/>
        </w:rPr>
        <w:t>, Version 4.4 edn, Australian Government, Canberra.</w:t>
      </w:r>
    </w:p>
    <w:bookmarkEnd w:id="91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17" w:name="_ENREF_236"/>
      <w:r w:rsidRPr="00184B6F">
        <w:rPr>
          <w:rFonts w:asciiTheme="minorHAnsi" w:hAnsiTheme="minorHAnsi"/>
        </w:rPr>
        <w:t xml:space="preserve">Picavet, E, Cassiman, D &amp; Simoens, S 2013, 'Do ultra-orphan medicinal products warrant ultra-high prices? A review', </w:t>
      </w:r>
      <w:r w:rsidRPr="00184B6F">
        <w:rPr>
          <w:rFonts w:asciiTheme="minorHAnsi" w:hAnsiTheme="minorHAnsi"/>
          <w:i/>
        </w:rPr>
        <w:t>Orphan Drugs: Research and Reviews</w:t>
      </w:r>
      <w:r w:rsidRPr="00184B6F">
        <w:rPr>
          <w:rFonts w:asciiTheme="minorHAnsi" w:hAnsiTheme="minorHAnsi"/>
        </w:rPr>
        <w:t>, vol. 3, pp. 23-31.</w:t>
      </w:r>
    </w:p>
    <w:bookmarkEnd w:id="91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18" w:name="_ENREF_237"/>
      <w:r w:rsidRPr="00184B6F">
        <w:rPr>
          <w:rFonts w:asciiTheme="minorHAnsi" w:hAnsiTheme="minorHAnsi"/>
        </w:rPr>
        <w:t xml:space="preserve">Prater, SN, Banugaria, SG, DeArmey, SM, Botha, EG, Stege, EM, Case, LE, Jones, HN, Phornphutkul, C, Wang, RY, Young, SP &amp; Kishnani, PS 2012, 'The emerging phenotype of long-term survivors with infantile Pompe disease', </w:t>
      </w:r>
      <w:r w:rsidRPr="00184B6F">
        <w:rPr>
          <w:rFonts w:asciiTheme="minorHAnsi" w:hAnsiTheme="minorHAnsi"/>
          <w:i/>
        </w:rPr>
        <w:t>Genet Med</w:t>
      </w:r>
      <w:r w:rsidRPr="00184B6F">
        <w:rPr>
          <w:rFonts w:asciiTheme="minorHAnsi" w:hAnsiTheme="minorHAnsi"/>
        </w:rPr>
        <w:t>, vol. 14, no. 9, Sep, pp. 800-810.</w:t>
      </w:r>
    </w:p>
    <w:bookmarkEnd w:id="91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19" w:name="_ENREF_238"/>
      <w:r w:rsidRPr="00184B6F">
        <w:rPr>
          <w:rFonts w:asciiTheme="minorHAnsi" w:hAnsiTheme="minorHAnsi"/>
        </w:rPr>
        <w:t xml:space="preserve">Prater, SN, Patel, TT, Buckley, AF, Mandel, H, Vlodavski, E, Banugaria, SG, Feeney, EJ, Raben, N &amp; Kishnani, PS 2013, 'Skeletal muscle pathology of infantile Pompe disease during long-term enzyme replacement therapy', </w:t>
      </w:r>
      <w:r w:rsidRPr="00184B6F">
        <w:rPr>
          <w:rFonts w:asciiTheme="minorHAnsi" w:hAnsiTheme="minorHAnsi"/>
          <w:i/>
        </w:rPr>
        <w:t>Orphanet Journal of Rare Diseases</w:t>
      </w:r>
      <w:r w:rsidRPr="00184B6F">
        <w:rPr>
          <w:rFonts w:asciiTheme="minorHAnsi" w:hAnsiTheme="minorHAnsi"/>
        </w:rPr>
        <w:t>, vol. 8, no. 1.</w:t>
      </w:r>
    </w:p>
    <w:bookmarkEnd w:id="91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20" w:name="_ENREF_239"/>
      <w:r w:rsidRPr="00184B6F">
        <w:rPr>
          <w:rFonts w:asciiTheme="minorHAnsi" w:hAnsiTheme="minorHAnsi"/>
        </w:rPr>
        <w:t xml:space="preserve">Pu, JJ &amp; Brodsky, RA 2011, 'Paroxysmal nocturnal hemoglobinuria from bench to bedside', </w:t>
      </w:r>
      <w:r w:rsidRPr="00184B6F">
        <w:rPr>
          <w:rFonts w:asciiTheme="minorHAnsi" w:hAnsiTheme="minorHAnsi"/>
          <w:i/>
        </w:rPr>
        <w:t>Clin Transl Sci</w:t>
      </w:r>
      <w:r w:rsidRPr="00184B6F">
        <w:rPr>
          <w:rFonts w:asciiTheme="minorHAnsi" w:hAnsiTheme="minorHAnsi"/>
        </w:rPr>
        <w:t>, vol. 4, no. 3, Jun, pp. 219-224.</w:t>
      </w:r>
    </w:p>
    <w:bookmarkEnd w:id="92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21" w:name="_ENREF_240"/>
      <w:r w:rsidRPr="00184B6F">
        <w:rPr>
          <w:rFonts w:asciiTheme="minorHAnsi" w:hAnsiTheme="minorHAnsi"/>
        </w:rPr>
        <w:t xml:space="preserve">QML Pathology 2009, </w:t>
      </w:r>
      <w:r w:rsidRPr="00184B6F">
        <w:rPr>
          <w:rFonts w:asciiTheme="minorHAnsi" w:hAnsiTheme="minorHAnsi"/>
          <w:i/>
        </w:rPr>
        <w:t>Reference Manual</w:t>
      </w:r>
      <w:r w:rsidRPr="00184B6F">
        <w:rPr>
          <w:rFonts w:asciiTheme="minorHAnsi" w:hAnsiTheme="minorHAnsi"/>
        </w:rPr>
        <w:t>.</w:t>
      </w:r>
    </w:p>
    <w:bookmarkEnd w:id="92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22" w:name="_ENREF_241"/>
      <w:r w:rsidRPr="00184B6F">
        <w:rPr>
          <w:rFonts w:asciiTheme="minorHAnsi" w:hAnsiTheme="minorHAnsi"/>
        </w:rPr>
        <w:t xml:space="preserve">Raluy-Callado, M, Chen, W-H, Whiteman, DAH, Fang, J &amp; Wiklund, I 2013, 'The impact of Hunter syndrome (mucopolysaccharidosis type II) on health-related quality of life', </w:t>
      </w:r>
      <w:r w:rsidRPr="00184B6F">
        <w:rPr>
          <w:rFonts w:asciiTheme="minorHAnsi" w:hAnsiTheme="minorHAnsi"/>
          <w:i/>
        </w:rPr>
        <w:t>Orphanet Journal of Rare Diseases</w:t>
      </w:r>
      <w:r w:rsidRPr="00184B6F">
        <w:rPr>
          <w:rFonts w:asciiTheme="minorHAnsi" w:hAnsiTheme="minorHAnsi"/>
        </w:rPr>
        <w:t>, vol. 8, 07/10</w:t>
      </w:r>
    </w:p>
    <w:p w:rsidR="00184B6F" w:rsidRPr="00184B6F" w:rsidRDefault="00184B6F" w:rsidP="00184B6F">
      <w:pPr>
        <w:pStyle w:val="EndNoteBibliography"/>
        <w:spacing w:after="0"/>
        <w:rPr>
          <w:rFonts w:asciiTheme="minorHAnsi" w:hAnsiTheme="minorHAnsi"/>
        </w:rPr>
      </w:pPr>
      <w:r w:rsidRPr="00184B6F">
        <w:rPr>
          <w:rFonts w:asciiTheme="minorHAnsi" w:hAnsiTheme="minorHAnsi"/>
        </w:rPr>
        <w:t>03/08/received</w:t>
      </w:r>
    </w:p>
    <w:p w:rsidR="00184B6F" w:rsidRPr="00184B6F" w:rsidRDefault="00184B6F" w:rsidP="00184B6F">
      <w:pPr>
        <w:pStyle w:val="EndNoteBibliography"/>
        <w:spacing w:after="0"/>
        <w:rPr>
          <w:rFonts w:asciiTheme="minorHAnsi" w:hAnsiTheme="minorHAnsi"/>
        </w:rPr>
      </w:pPr>
      <w:r w:rsidRPr="00184B6F">
        <w:rPr>
          <w:rFonts w:asciiTheme="minorHAnsi" w:hAnsiTheme="minorHAnsi"/>
        </w:rPr>
        <w:t>07/08/accepted, pp. 101-101.</w:t>
      </w:r>
    </w:p>
    <w:bookmarkEnd w:id="92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23" w:name="_ENREF_242"/>
      <w:r w:rsidRPr="00184B6F">
        <w:rPr>
          <w:rFonts w:asciiTheme="minorHAnsi" w:hAnsiTheme="minorHAnsi"/>
        </w:rPr>
        <w:t xml:space="preserve">Ramli, A, Aljunid, SM, Sulong, S &amp; Md Yusof, FA 2013, 'National Drug Formulary review of statin therapeutic group using the multiattribute scoring tool', </w:t>
      </w:r>
      <w:r w:rsidRPr="00184B6F">
        <w:rPr>
          <w:rFonts w:asciiTheme="minorHAnsi" w:hAnsiTheme="minorHAnsi"/>
          <w:i/>
        </w:rPr>
        <w:t>Ther Clin Risk Manag</w:t>
      </w:r>
      <w:r w:rsidRPr="00184B6F">
        <w:rPr>
          <w:rFonts w:asciiTheme="minorHAnsi" w:hAnsiTheme="minorHAnsi"/>
        </w:rPr>
        <w:t>, vol. 9, pp. 491-504.</w:t>
      </w:r>
    </w:p>
    <w:bookmarkEnd w:id="923"/>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924" w:name="_ENREF_243"/>
      <w:r w:rsidRPr="00184B6F">
        <w:rPr>
          <w:rFonts w:asciiTheme="minorHAnsi" w:hAnsiTheme="minorHAnsi"/>
        </w:rPr>
        <w:t xml:space="preserve">Rare Diseases Task Force 2011, </w:t>
      </w:r>
      <w:r w:rsidRPr="00184B6F">
        <w:rPr>
          <w:rFonts w:asciiTheme="minorHAnsi" w:hAnsiTheme="minorHAnsi"/>
          <w:i/>
        </w:rPr>
        <w:t>Patient registries in the Field of rare diseases.  Overview of the issues surrounding the establishment, managment, governance and financing of academic registries.</w:t>
      </w:r>
      <w:r w:rsidRPr="00184B6F">
        <w:rPr>
          <w:rFonts w:asciiTheme="minorHAnsi" w:hAnsiTheme="minorHAnsi"/>
        </w:rPr>
        <w:t>, viewed 30/10/2014, &lt;</w:t>
      </w:r>
      <w:r w:rsidRPr="00A62C97">
        <w:rPr>
          <w:rFonts w:asciiTheme="minorHAnsi" w:hAnsiTheme="minorHAnsi"/>
        </w:rPr>
        <w:t>http://www.eucerd.eu/upload/file/RDTFRegistriesrev2011.pdf&gt;</w:t>
      </w:r>
      <w:r w:rsidRPr="00184B6F">
        <w:rPr>
          <w:rFonts w:asciiTheme="minorHAnsi" w:hAnsiTheme="minorHAnsi"/>
        </w:rPr>
        <w:t>.</w:t>
      </w:r>
    </w:p>
    <w:bookmarkEnd w:id="92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25" w:name="_ENREF_244"/>
      <w:r w:rsidRPr="00184B6F">
        <w:rPr>
          <w:rFonts w:asciiTheme="minorHAnsi" w:hAnsiTheme="minorHAnsi"/>
        </w:rPr>
        <w:t xml:space="preserve">Reardon, S 2014, 'Regulators adopt more orphan drugs', </w:t>
      </w:r>
      <w:r w:rsidRPr="00184B6F">
        <w:rPr>
          <w:rFonts w:asciiTheme="minorHAnsi" w:hAnsiTheme="minorHAnsi"/>
          <w:i/>
        </w:rPr>
        <w:t>Nature</w:t>
      </w:r>
      <w:r w:rsidRPr="00184B6F">
        <w:rPr>
          <w:rFonts w:asciiTheme="minorHAnsi" w:hAnsiTheme="minorHAnsi"/>
        </w:rPr>
        <w:t>, vol. 508, no. 7494, pp. 16-17.</w:t>
      </w:r>
    </w:p>
    <w:bookmarkEnd w:id="92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26" w:name="_ENREF_245"/>
      <w:r w:rsidRPr="00184B6F">
        <w:rPr>
          <w:rFonts w:asciiTheme="minorHAnsi" w:hAnsiTheme="minorHAnsi"/>
        </w:rPr>
        <w:t>Reese, JH 2014, 'Orphan Drug Designation 101', paper presented at Worldwide Orphan Medicinal Designation Workshop.</w:t>
      </w:r>
    </w:p>
    <w:bookmarkEnd w:id="92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27" w:name="_ENREF_246"/>
      <w:r w:rsidRPr="00184B6F">
        <w:rPr>
          <w:rFonts w:asciiTheme="minorHAnsi" w:hAnsiTheme="minorHAnsi"/>
        </w:rPr>
        <w:t xml:space="preserve">Reiss, UM, Schwartz, J, Sakamoto, KM, Puthenveetil, G, Ogawa, M, Bedrosian, CL &amp; Ware, RE 2014, 'Efficacy and safety of eculizumab in children and adolescents with paroxysmal nocturnal hemoglobinuria', </w:t>
      </w:r>
      <w:r w:rsidRPr="00184B6F">
        <w:rPr>
          <w:rFonts w:asciiTheme="minorHAnsi" w:hAnsiTheme="minorHAnsi"/>
          <w:i/>
        </w:rPr>
        <w:t>Pediatr Blood Cancer</w:t>
      </w:r>
      <w:r w:rsidRPr="00184B6F">
        <w:rPr>
          <w:rFonts w:asciiTheme="minorHAnsi" w:hAnsiTheme="minorHAnsi"/>
        </w:rPr>
        <w:t>, vol. 61, Apr 29, pp. 1544-1550.</w:t>
      </w:r>
    </w:p>
    <w:bookmarkEnd w:id="92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28" w:name="_ENREF_247"/>
      <w:r w:rsidRPr="00184B6F">
        <w:rPr>
          <w:rFonts w:asciiTheme="minorHAnsi" w:hAnsiTheme="minorHAnsi"/>
        </w:rPr>
        <w:t xml:space="preserve">Resnick, T, Arzimanoglou, A, Brown, LW, Flamini, R, Kerr, M, Kluger, G, Kothare, S, Philip, S, Harrison, M &amp; Narurkar, M 2011, 'Rufinamide from clinical trials to clinical practice in the United States and Europe', </w:t>
      </w:r>
      <w:r w:rsidRPr="00184B6F">
        <w:rPr>
          <w:rFonts w:asciiTheme="minorHAnsi" w:hAnsiTheme="minorHAnsi"/>
          <w:i/>
        </w:rPr>
        <w:t>Epileptic Disord</w:t>
      </w:r>
      <w:r w:rsidRPr="00184B6F">
        <w:rPr>
          <w:rFonts w:asciiTheme="minorHAnsi" w:hAnsiTheme="minorHAnsi"/>
        </w:rPr>
        <w:t>, vol. 13 Suppl 1, May, pp. S27-43.</w:t>
      </w:r>
    </w:p>
    <w:bookmarkEnd w:id="92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29" w:name="_ENREF_248"/>
      <w:r w:rsidRPr="00184B6F">
        <w:rPr>
          <w:rFonts w:asciiTheme="minorHAnsi" w:hAnsiTheme="minorHAnsi"/>
        </w:rPr>
        <w:t xml:space="preserve">Reynolds-Haertle, RA &amp; McBride, R 1992, 'Single vs. double data entry in CAST', </w:t>
      </w:r>
      <w:r w:rsidRPr="00184B6F">
        <w:rPr>
          <w:rFonts w:asciiTheme="minorHAnsi" w:hAnsiTheme="minorHAnsi"/>
          <w:i/>
        </w:rPr>
        <w:t>Control Clin Trials</w:t>
      </w:r>
      <w:r w:rsidRPr="00184B6F">
        <w:rPr>
          <w:rFonts w:asciiTheme="minorHAnsi" w:hAnsiTheme="minorHAnsi"/>
        </w:rPr>
        <w:t>, vol. 13, no. 6, Dec, pp. 487-494.</w:t>
      </w:r>
    </w:p>
    <w:bookmarkEnd w:id="92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30" w:name="_ENREF_249"/>
      <w:r w:rsidRPr="00184B6F">
        <w:rPr>
          <w:rFonts w:asciiTheme="minorHAnsi" w:hAnsiTheme="minorHAnsi"/>
        </w:rPr>
        <w:t xml:space="preserve">Richeldi, L, du Bois, RM, Raghu, G, Azuma, A, Brown, KK, Costabel, U, Cottin, V, Flaherty, KR, Hansell, DM, Inoue, Y, Kim, DS, Kolb, M, Nicholson, AG, Noble, PW, Selman, M, Taniguchi, H, Brun, M, Le Maulf, F, Girard, M, Stowasser, S, Schlenker-Herceg, R, Disse, B &amp; Collard, HR 2014, 'Efficacy and safety of nintedanib in idiopathic pulmonary fibrosis', </w:t>
      </w:r>
      <w:r w:rsidRPr="00184B6F">
        <w:rPr>
          <w:rFonts w:asciiTheme="minorHAnsi" w:hAnsiTheme="minorHAnsi"/>
          <w:i/>
        </w:rPr>
        <w:t>N Engl J Med</w:t>
      </w:r>
      <w:r w:rsidRPr="00184B6F">
        <w:rPr>
          <w:rFonts w:asciiTheme="minorHAnsi" w:hAnsiTheme="minorHAnsi"/>
        </w:rPr>
        <w:t>, vol. 370, no. 22, May 29, pp. 2071-2082.</w:t>
      </w:r>
    </w:p>
    <w:bookmarkEnd w:id="93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31" w:name="_ENREF_250"/>
      <w:r w:rsidRPr="00184B6F">
        <w:rPr>
          <w:rFonts w:asciiTheme="minorHAnsi" w:hAnsiTheme="minorHAnsi"/>
        </w:rPr>
        <w:t xml:space="preserve">Rodriguez-Miguez, E &amp; Pinto-Prades, JL 2002, 'Measuring the social importance of concentration or dispersion of individual health benefits', </w:t>
      </w:r>
      <w:r w:rsidRPr="00184B6F">
        <w:rPr>
          <w:rFonts w:asciiTheme="minorHAnsi" w:hAnsiTheme="minorHAnsi"/>
          <w:i/>
        </w:rPr>
        <w:t>Health Econ</w:t>
      </w:r>
      <w:r w:rsidRPr="00184B6F">
        <w:rPr>
          <w:rFonts w:asciiTheme="minorHAnsi" w:hAnsiTheme="minorHAnsi"/>
        </w:rPr>
        <w:t>, vol. 11, no. 1, Jan, pp. 43-53.</w:t>
      </w:r>
    </w:p>
    <w:bookmarkEnd w:id="93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32" w:name="_ENREF_251"/>
      <w:r w:rsidRPr="00184B6F">
        <w:rPr>
          <w:rFonts w:asciiTheme="minorHAnsi" w:hAnsiTheme="minorHAnsi"/>
        </w:rPr>
        <w:t xml:space="preserve">Rollet, P, Lemoine, A &amp; Dunoyer, M 2013, 'Sustainable rare diseases business and drug access: no time for misconceptions', </w:t>
      </w:r>
      <w:r w:rsidRPr="00184B6F">
        <w:rPr>
          <w:rFonts w:asciiTheme="minorHAnsi" w:hAnsiTheme="minorHAnsi"/>
          <w:i/>
        </w:rPr>
        <w:t>Orphanet J Rare Dis</w:t>
      </w:r>
      <w:r w:rsidRPr="00184B6F">
        <w:rPr>
          <w:rFonts w:asciiTheme="minorHAnsi" w:hAnsiTheme="minorHAnsi"/>
        </w:rPr>
        <w:t>, vol. 8, p. 109.</w:t>
      </w:r>
    </w:p>
    <w:bookmarkEnd w:id="93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33" w:name="_ENREF_252"/>
      <w:r w:rsidRPr="00184B6F">
        <w:rPr>
          <w:rFonts w:asciiTheme="minorHAnsi" w:hAnsiTheme="minorHAnsi"/>
        </w:rPr>
        <w:t xml:space="preserve">Rombach, SM, Hollak, CE, Linthorst, GE &amp; Dijkgraaf, MG 2013, 'Cost-effectiveness of enzyme replacement therapy for Fabry disease', </w:t>
      </w:r>
      <w:r w:rsidRPr="00184B6F">
        <w:rPr>
          <w:rFonts w:asciiTheme="minorHAnsi" w:hAnsiTheme="minorHAnsi"/>
          <w:i/>
        </w:rPr>
        <w:t>Orphanet J Rare Dis</w:t>
      </w:r>
      <w:r w:rsidRPr="00184B6F">
        <w:rPr>
          <w:rFonts w:asciiTheme="minorHAnsi" w:hAnsiTheme="minorHAnsi"/>
        </w:rPr>
        <w:t>, vol. 8, p. 29.</w:t>
      </w:r>
    </w:p>
    <w:bookmarkEnd w:id="93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34" w:name="_ENREF_253"/>
      <w:r w:rsidRPr="00184B6F">
        <w:rPr>
          <w:rFonts w:asciiTheme="minorHAnsi" w:hAnsiTheme="minorHAnsi"/>
        </w:rPr>
        <w:t xml:space="preserve">Rossi, M, Parenti, G, Della Casa, R, Romano, A, Mansi, G, Agovino, T, Rosapepe, F, Vosa, C, Del Giudice, E &amp; Andria, G 2007, 'Long-term enzyme replacement therapy for pompe disease with recombinant human alpha-glucosidase derived from Chinese hamster ovary cells', </w:t>
      </w:r>
      <w:r w:rsidRPr="00184B6F">
        <w:rPr>
          <w:rFonts w:asciiTheme="minorHAnsi" w:hAnsiTheme="minorHAnsi"/>
          <w:i/>
        </w:rPr>
        <w:t>Journal of Child Neurology</w:t>
      </w:r>
      <w:r w:rsidRPr="00184B6F">
        <w:rPr>
          <w:rFonts w:asciiTheme="minorHAnsi" w:hAnsiTheme="minorHAnsi"/>
        </w:rPr>
        <w:t>, vol. 22, no. 5, pp. 565-573.</w:t>
      </w:r>
    </w:p>
    <w:bookmarkEnd w:id="93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35" w:name="_ENREF_254"/>
      <w:r w:rsidRPr="00184B6F">
        <w:rPr>
          <w:rFonts w:asciiTheme="minorHAnsi" w:hAnsiTheme="minorHAnsi"/>
        </w:rPr>
        <w:t xml:space="preserve">Roth, A, Hock, C, Konik, A, Christoph, S &amp; Duhrsen, U 2011, 'Chronic treatment of paroxysmal nocturnal hemoglobinuria patients with eculizumab: safety, efficacy, and unexpected laboratory phenomena', </w:t>
      </w:r>
      <w:r w:rsidRPr="00184B6F">
        <w:rPr>
          <w:rFonts w:asciiTheme="minorHAnsi" w:hAnsiTheme="minorHAnsi"/>
          <w:i/>
        </w:rPr>
        <w:t>Int J Hematol</w:t>
      </w:r>
      <w:r w:rsidRPr="00184B6F">
        <w:rPr>
          <w:rFonts w:asciiTheme="minorHAnsi" w:hAnsiTheme="minorHAnsi"/>
        </w:rPr>
        <w:t>, vol. 93, no. 6, Jun, pp. 704-714.</w:t>
      </w:r>
    </w:p>
    <w:bookmarkEnd w:id="93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36" w:name="_ENREF_255"/>
      <w:r w:rsidRPr="00184B6F">
        <w:rPr>
          <w:rFonts w:asciiTheme="minorHAnsi" w:hAnsiTheme="minorHAnsi"/>
        </w:rPr>
        <w:t xml:space="preserve">Rothwell, PM 2005, 'External validity of randomised controlled trials: "to whom do the results of this trial apply?"', </w:t>
      </w:r>
      <w:r w:rsidRPr="00184B6F">
        <w:rPr>
          <w:rFonts w:asciiTheme="minorHAnsi" w:hAnsiTheme="minorHAnsi"/>
          <w:i/>
        </w:rPr>
        <w:t>Lancet</w:t>
      </w:r>
      <w:r w:rsidRPr="00184B6F">
        <w:rPr>
          <w:rFonts w:asciiTheme="minorHAnsi" w:hAnsiTheme="minorHAnsi"/>
        </w:rPr>
        <w:t>, vol. 365, no. 9453, Jan 1-7, pp. 82-93.</w:t>
      </w:r>
    </w:p>
    <w:bookmarkEnd w:id="93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37" w:name="_ENREF_256"/>
      <w:r w:rsidRPr="00184B6F">
        <w:rPr>
          <w:rFonts w:asciiTheme="minorHAnsi" w:hAnsiTheme="minorHAnsi"/>
        </w:rPr>
        <w:t xml:space="preserve">Sariyar, M, Borg, A, Heidinger, O &amp; Pommerening, K 2013, 'A practical framework for data management processes and their evaluation in population-based medical registries', </w:t>
      </w:r>
      <w:r w:rsidRPr="00184B6F">
        <w:rPr>
          <w:rFonts w:asciiTheme="minorHAnsi" w:hAnsiTheme="minorHAnsi"/>
          <w:i/>
        </w:rPr>
        <w:t>Inform Health Soc Care</w:t>
      </w:r>
      <w:r w:rsidRPr="00184B6F">
        <w:rPr>
          <w:rFonts w:asciiTheme="minorHAnsi" w:hAnsiTheme="minorHAnsi"/>
        </w:rPr>
        <w:t>, vol. 38, no. 2, Mar, pp. 104-119.</w:t>
      </w:r>
    </w:p>
    <w:bookmarkEnd w:id="93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38" w:name="_ENREF_257"/>
      <w:r w:rsidRPr="00184B6F">
        <w:rPr>
          <w:rFonts w:asciiTheme="minorHAnsi" w:hAnsiTheme="minorHAnsi"/>
        </w:rPr>
        <w:t xml:space="preserve">Schaefer, RM, Tylki-Szymanska, A &amp; Hilz, MJ 2009, 'Enzyme replacement therapy for Fabry disease: a systematic review of available evidence', </w:t>
      </w:r>
      <w:r w:rsidRPr="00184B6F">
        <w:rPr>
          <w:rFonts w:asciiTheme="minorHAnsi" w:hAnsiTheme="minorHAnsi"/>
          <w:i/>
        </w:rPr>
        <w:t>Drugs</w:t>
      </w:r>
      <w:r w:rsidRPr="00184B6F">
        <w:rPr>
          <w:rFonts w:asciiTheme="minorHAnsi" w:hAnsiTheme="minorHAnsi"/>
        </w:rPr>
        <w:t>, vol. 69, no. 16, pp. 2179-2205.</w:t>
      </w:r>
    </w:p>
    <w:bookmarkEnd w:id="93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39" w:name="_ENREF_258"/>
      <w:r w:rsidRPr="00184B6F">
        <w:rPr>
          <w:rFonts w:asciiTheme="minorHAnsi" w:hAnsiTheme="minorHAnsi"/>
        </w:rPr>
        <w:lastRenderedPageBreak/>
        <w:t xml:space="preserve">Schafer, W, Kroneman, M, Boerma, W, van den Berg, M, Westert, G, Deville, W &amp; van Ginneken, E 2010, 'The Netherlands: health system review', </w:t>
      </w:r>
      <w:r w:rsidRPr="00184B6F">
        <w:rPr>
          <w:rFonts w:asciiTheme="minorHAnsi" w:hAnsiTheme="minorHAnsi"/>
          <w:i/>
        </w:rPr>
        <w:t>Health Syst Transit</w:t>
      </w:r>
      <w:r w:rsidRPr="00184B6F">
        <w:rPr>
          <w:rFonts w:asciiTheme="minorHAnsi" w:hAnsiTheme="minorHAnsi"/>
        </w:rPr>
        <w:t>, vol. 12, no. 1, pp. v-xxvii, 1-228.</w:t>
      </w:r>
    </w:p>
    <w:bookmarkEnd w:id="93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40" w:name="_ENREF_259"/>
      <w:r w:rsidRPr="00184B6F">
        <w:rPr>
          <w:rFonts w:asciiTheme="minorHAnsi" w:hAnsiTheme="minorHAnsi"/>
        </w:rPr>
        <w:t xml:space="preserve">Schiffmann, R, Hauer, P, Freeman, B, Ries, M, Scott, LJC, Polydefkis, M, Brady, RO, McArthur, JC &amp; Wagner, K 2006, 'Enzyme replacement therapy and intraepidermal innervation density in fabry disease', </w:t>
      </w:r>
      <w:r w:rsidRPr="00184B6F">
        <w:rPr>
          <w:rFonts w:asciiTheme="minorHAnsi" w:hAnsiTheme="minorHAnsi"/>
          <w:i/>
        </w:rPr>
        <w:t>Muscle Nerve</w:t>
      </w:r>
      <w:r w:rsidRPr="00184B6F">
        <w:rPr>
          <w:rFonts w:asciiTheme="minorHAnsi" w:hAnsiTheme="minorHAnsi"/>
        </w:rPr>
        <w:t>, vol. 34, no. 1, pp. 53-56.</w:t>
      </w:r>
    </w:p>
    <w:bookmarkEnd w:id="94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41" w:name="_ENREF_260"/>
      <w:r w:rsidRPr="00184B6F">
        <w:rPr>
          <w:rFonts w:asciiTheme="minorHAnsi" w:hAnsiTheme="minorHAnsi"/>
        </w:rPr>
        <w:t xml:space="preserve">Schiffmann, R, Kopp, JB, Austin, HAr, Sabnis, S, Moore, DF, Weibel, T, Balow, JE &amp; Brady, RO 2001, 'Enzyme replacement therapy in Fabry disease: a randomized controlled trial', </w:t>
      </w:r>
      <w:r w:rsidRPr="00184B6F">
        <w:rPr>
          <w:rFonts w:asciiTheme="minorHAnsi" w:hAnsiTheme="minorHAnsi"/>
          <w:i/>
        </w:rPr>
        <w:t>JAMA</w:t>
      </w:r>
      <w:r w:rsidRPr="00184B6F">
        <w:rPr>
          <w:rFonts w:asciiTheme="minorHAnsi" w:hAnsiTheme="minorHAnsi"/>
        </w:rPr>
        <w:t>, vol. 285, no. 21, Jun 6, pp. 2743-2749.</w:t>
      </w:r>
    </w:p>
    <w:bookmarkEnd w:id="94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42" w:name="_ENREF_261"/>
      <w:r w:rsidRPr="00184B6F">
        <w:rPr>
          <w:rFonts w:asciiTheme="minorHAnsi" w:hAnsiTheme="minorHAnsi"/>
        </w:rPr>
        <w:t xml:space="preserve">Schiffmann, R, Mankin, H, Dambrosia, JM, Xavier, RJ, Kreps, C, Hill, SC, Barton, NW &amp; Rosenthal, DI 2002, 'Decreased bone density in splenectomized Gaucher patients receiving enzyme replacement therapy', </w:t>
      </w:r>
      <w:r w:rsidRPr="00184B6F">
        <w:rPr>
          <w:rFonts w:asciiTheme="minorHAnsi" w:hAnsiTheme="minorHAnsi"/>
          <w:i/>
        </w:rPr>
        <w:t>Blood Cells Mol Dis</w:t>
      </w:r>
      <w:r w:rsidRPr="00184B6F">
        <w:rPr>
          <w:rFonts w:asciiTheme="minorHAnsi" w:hAnsiTheme="minorHAnsi"/>
        </w:rPr>
        <w:t>, vol. 28, pp. 288-296.</w:t>
      </w:r>
    </w:p>
    <w:bookmarkEnd w:id="94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43" w:name="_ENREF_262"/>
      <w:r w:rsidRPr="00184B6F">
        <w:rPr>
          <w:rFonts w:asciiTheme="minorHAnsi" w:hAnsiTheme="minorHAnsi"/>
        </w:rPr>
        <w:t xml:space="preserve">Schubert, J, Hillmen, P, Roth, A, Young, NS, Elebute, MO, Szer, J, Gianfaldoni, G, Socie, G, Browne, P, Geller, R, Rother, RP &amp; Muus, P 2008, 'Eculizumab, a terminal complement inhibitor, improves anaemia in patients with paroxysmal nocturnal haemoglobinuria', </w:t>
      </w:r>
      <w:r w:rsidRPr="00184B6F">
        <w:rPr>
          <w:rFonts w:asciiTheme="minorHAnsi" w:hAnsiTheme="minorHAnsi"/>
          <w:i/>
        </w:rPr>
        <w:t>Br J Haematol</w:t>
      </w:r>
      <w:r w:rsidRPr="00184B6F">
        <w:rPr>
          <w:rFonts w:asciiTheme="minorHAnsi" w:hAnsiTheme="minorHAnsi"/>
        </w:rPr>
        <w:t>, vol. 142, no. 2, Jun, pp. 263-272.</w:t>
      </w:r>
    </w:p>
    <w:bookmarkEnd w:id="94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44" w:name="_ENREF_263"/>
      <w:r w:rsidRPr="00184B6F">
        <w:rPr>
          <w:rFonts w:asciiTheme="minorHAnsi" w:hAnsiTheme="minorHAnsi"/>
        </w:rPr>
        <w:t xml:space="preserve">Sedehizadeh, S, Keogh, M &amp; Maddison, P 2012, 'The use of aminopyridines in neurological disorders', </w:t>
      </w:r>
      <w:r w:rsidRPr="00184B6F">
        <w:rPr>
          <w:rFonts w:asciiTheme="minorHAnsi" w:hAnsiTheme="minorHAnsi"/>
          <w:i/>
        </w:rPr>
        <w:t>Clin Neuropharmacol</w:t>
      </w:r>
      <w:r w:rsidRPr="00184B6F">
        <w:rPr>
          <w:rFonts w:asciiTheme="minorHAnsi" w:hAnsiTheme="minorHAnsi"/>
        </w:rPr>
        <w:t>, vol. 35, no. 4, Jul-Aug, pp. 191-200.</w:t>
      </w:r>
    </w:p>
    <w:bookmarkEnd w:id="94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45" w:name="_ENREF_264"/>
      <w:r w:rsidRPr="00184B6F">
        <w:rPr>
          <w:rFonts w:asciiTheme="minorHAnsi" w:hAnsiTheme="minorHAnsi"/>
        </w:rPr>
        <w:t xml:space="preserve">Sharma, A, Easow Mathew, M, Sriganesh, V, Neely, JA &amp; Kalipatnapu, S 2014, 'Gene therapy for haemophilia', </w:t>
      </w:r>
      <w:r w:rsidRPr="00184B6F">
        <w:rPr>
          <w:rFonts w:asciiTheme="minorHAnsi" w:hAnsiTheme="minorHAnsi"/>
          <w:i/>
        </w:rPr>
        <w:t>Cochrane Database Syst Rev</w:t>
      </w:r>
      <w:r w:rsidRPr="00184B6F">
        <w:rPr>
          <w:rFonts w:asciiTheme="minorHAnsi" w:hAnsiTheme="minorHAnsi"/>
        </w:rPr>
        <w:t>, vol. 11, Nov 14, p. CD010822.</w:t>
      </w:r>
    </w:p>
    <w:bookmarkEnd w:id="94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46" w:name="_ENREF_265"/>
      <w:r w:rsidRPr="00184B6F">
        <w:rPr>
          <w:rFonts w:asciiTheme="minorHAnsi" w:hAnsiTheme="minorHAnsi"/>
        </w:rPr>
        <w:t xml:space="preserve">Shea, BJ, Hamel, C, Wells, GA, Bouter, LM, Kristjansson, E, Grimshaw, J, Henry, DA &amp; Boers, M 2009, 'AMSTAR is a reliable and valid measurement tool to assess the methodological quality of systematic reviews', </w:t>
      </w:r>
      <w:r w:rsidRPr="00184B6F">
        <w:rPr>
          <w:rFonts w:asciiTheme="minorHAnsi" w:hAnsiTheme="minorHAnsi"/>
          <w:i/>
        </w:rPr>
        <w:t>J Clin Epidemiol</w:t>
      </w:r>
      <w:r w:rsidRPr="00184B6F">
        <w:rPr>
          <w:rFonts w:asciiTheme="minorHAnsi" w:hAnsiTheme="minorHAnsi"/>
        </w:rPr>
        <w:t>, vol. 62, no. 10, Oct, pp. 1013-1020.</w:t>
      </w:r>
    </w:p>
    <w:bookmarkEnd w:id="94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47" w:name="_ENREF_266"/>
      <w:r w:rsidRPr="00184B6F">
        <w:rPr>
          <w:rFonts w:asciiTheme="minorHAnsi" w:hAnsiTheme="minorHAnsi"/>
        </w:rPr>
        <w:t>Shire Pharmaceuticals 2011, 'Elaprase(R) (idursulfase) and idursulfase-IT Periodic safety update report'.</w:t>
      </w:r>
    </w:p>
    <w:bookmarkEnd w:id="94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48" w:name="_ENREF_267"/>
      <w:r w:rsidRPr="00184B6F">
        <w:rPr>
          <w:rFonts w:asciiTheme="minorHAnsi" w:hAnsiTheme="minorHAnsi"/>
        </w:rPr>
        <w:t xml:space="preserve">Shire Pharmaceuticals 2013, </w:t>
      </w:r>
      <w:r w:rsidRPr="00184B6F">
        <w:rPr>
          <w:rFonts w:asciiTheme="minorHAnsi" w:hAnsiTheme="minorHAnsi"/>
          <w:i/>
        </w:rPr>
        <w:t>Periodic safety update report for Agalsidase Alfa (Replagal(R))</w:t>
      </w:r>
      <w:r w:rsidRPr="00184B6F">
        <w:rPr>
          <w:rFonts w:asciiTheme="minorHAnsi" w:hAnsiTheme="minorHAnsi"/>
        </w:rPr>
        <w:t>.</w:t>
      </w:r>
    </w:p>
    <w:bookmarkEnd w:id="94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49" w:name="_ENREF_268"/>
      <w:r w:rsidRPr="00184B6F">
        <w:rPr>
          <w:rFonts w:asciiTheme="minorHAnsi" w:hAnsiTheme="minorHAnsi"/>
        </w:rPr>
        <w:t xml:space="preserve">Shire Pharmaceuticals Ireland Ltd. 2014, </w:t>
      </w:r>
      <w:r w:rsidRPr="00184B6F">
        <w:rPr>
          <w:rFonts w:asciiTheme="minorHAnsi" w:hAnsiTheme="minorHAnsi"/>
          <w:i/>
        </w:rPr>
        <w:t>Periodic Safety Update Report (PSUR) for Velaglucerase alfa (VPRIV(R))</w:t>
      </w:r>
      <w:r w:rsidRPr="00184B6F">
        <w:rPr>
          <w:rFonts w:asciiTheme="minorHAnsi" w:hAnsiTheme="minorHAnsi"/>
        </w:rPr>
        <w:t>.</w:t>
      </w:r>
    </w:p>
    <w:bookmarkEnd w:id="94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50" w:name="_ENREF_269"/>
      <w:r w:rsidRPr="00184B6F">
        <w:rPr>
          <w:rFonts w:asciiTheme="minorHAnsi" w:hAnsiTheme="minorHAnsi"/>
        </w:rPr>
        <w:t xml:space="preserve">Simoens, S 2011, 'Pricing and reimbursement of orphan drugs: the need for more transparency', </w:t>
      </w:r>
      <w:r w:rsidRPr="00184B6F">
        <w:rPr>
          <w:rFonts w:asciiTheme="minorHAnsi" w:hAnsiTheme="minorHAnsi"/>
          <w:i/>
        </w:rPr>
        <w:t>Orphanet J Rare Dis</w:t>
      </w:r>
      <w:r w:rsidRPr="00184B6F">
        <w:rPr>
          <w:rFonts w:asciiTheme="minorHAnsi" w:hAnsiTheme="minorHAnsi"/>
        </w:rPr>
        <w:t>, vol. 6, p. 42.</w:t>
      </w:r>
    </w:p>
    <w:bookmarkEnd w:id="95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51" w:name="_ENREF_270"/>
      <w:r w:rsidRPr="00184B6F">
        <w:rPr>
          <w:rFonts w:asciiTheme="minorHAnsi" w:hAnsiTheme="minorHAnsi"/>
        </w:rPr>
        <w:t xml:space="preserve">Smid, BE, Rombach, SM, Aerts, JM, Kuiper, S, Mirzaian, M, Overkleeft, HS, Poorthuis, BJ, Hollak, CE, Groener, JE &amp; Linthorst, GE 2011, 'Consequences of a global enzyme shortage of agalsidase beta in adult Dutch Fabry patients', </w:t>
      </w:r>
      <w:r w:rsidRPr="00184B6F">
        <w:rPr>
          <w:rFonts w:asciiTheme="minorHAnsi" w:hAnsiTheme="minorHAnsi"/>
          <w:i/>
        </w:rPr>
        <w:t>Orphanet J Rare Dis</w:t>
      </w:r>
      <w:r w:rsidRPr="00184B6F">
        <w:rPr>
          <w:rFonts w:asciiTheme="minorHAnsi" w:hAnsiTheme="minorHAnsi"/>
        </w:rPr>
        <w:t>, vol. 6, p. 69.</w:t>
      </w:r>
    </w:p>
    <w:bookmarkEnd w:id="95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52" w:name="_ENREF_271"/>
      <w:r w:rsidRPr="00184B6F">
        <w:rPr>
          <w:rFonts w:asciiTheme="minorHAnsi" w:hAnsiTheme="minorHAnsi"/>
        </w:rPr>
        <w:lastRenderedPageBreak/>
        <w:t xml:space="preserve">Socie, G, Schrezenmeier, H, Muus, P, Szer, J, Urbano-Ispizua, A, Maciejewski, JP, Brodsky, RA, Bessler, M, Kanakura, Y, Rosse, WF, Khursigara, G, Bedrosian, CL &amp; Hillmen, P 2012, 'Eculizumab protects against te and prolongs survival in patients with paroxysmal nocturnal hemoglobinuria: An international PNH registry study', </w:t>
      </w:r>
      <w:r w:rsidRPr="00184B6F">
        <w:rPr>
          <w:rFonts w:asciiTheme="minorHAnsi" w:hAnsiTheme="minorHAnsi"/>
          <w:i/>
        </w:rPr>
        <w:t>Blood</w:t>
      </w:r>
      <w:r w:rsidRPr="00184B6F">
        <w:rPr>
          <w:rFonts w:asciiTheme="minorHAnsi" w:hAnsiTheme="minorHAnsi"/>
        </w:rPr>
        <w:t>, vol. 120, no. 21.</w:t>
      </w:r>
    </w:p>
    <w:bookmarkEnd w:id="95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53" w:name="_ENREF_272"/>
      <w:r w:rsidRPr="00184B6F">
        <w:rPr>
          <w:rFonts w:asciiTheme="minorHAnsi" w:hAnsiTheme="minorHAnsi"/>
        </w:rPr>
        <w:t xml:space="preserve">Song, P, Gao, J, Inagaki, Y, Kokudo, N &amp; Tang, W 2012, 'Intractable and rare diseases research in Asia', </w:t>
      </w:r>
      <w:r w:rsidRPr="00184B6F">
        <w:rPr>
          <w:rFonts w:asciiTheme="minorHAnsi" w:hAnsiTheme="minorHAnsi"/>
          <w:i/>
        </w:rPr>
        <w:t>Biosci Trends</w:t>
      </w:r>
      <w:r w:rsidRPr="00184B6F">
        <w:rPr>
          <w:rFonts w:asciiTheme="minorHAnsi" w:hAnsiTheme="minorHAnsi"/>
        </w:rPr>
        <w:t>, vol. 6, no. 2, Apr, pp. 48-51.</w:t>
      </w:r>
    </w:p>
    <w:bookmarkEnd w:id="953"/>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954" w:name="_ENREF_273"/>
      <w:r w:rsidRPr="00184B6F">
        <w:rPr>
          <w:rFonts w:asciiTheme="minorHAnsi" w:hAnsiTheme="minorHAnsi"/>
        </w:rPr>
        <w:t>Soo, M 2014, 'Pharmaceutical reimbursement environment in Korea: current and future', pp. 1-8, viewed 29 September 2014, &lt;</w:t>
      </w:r>
      <w:r w:rsidRPr="00A62C97">
        <w:rPr>
          <w:rFonts w:asciiTheme="minorHAnsi" w:hAnsiTheme="minorHAnsi"/>
        </w:rPr>
        <w:t>http://www.diahome.org/~/media/1F48DEEBD5A24C64B02803805C4C099F.ashx&gt;</w:t>
      </w:r>
      <w:r w:rsidRPr="00184B6F">
        <w:rPr>
          <w:rFonts w:asciiTheme="minorHAnsi" w:hAnsiTheme="minorHAnsi"/>
        </w:rPr>
        <w:t>.</w:t>
      </w:r>
    </w:p>
    <w:bookmarkEnd w:id="95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55" w:name="_ENREF_274"/>
      <w:r w:rsidRPr="00184B6F">
        <w:rPr>
          <w:rFonts w:asciiTheme="minorHAnsi" w:hAnsiTheme="minorHAnsi"/>
        </w:rPr>
        <w:t xml:space="preserve">Srivastava, AK 2014, 'Clinical relevance of stem cell therapies in amyotrophic lateral sclerosis', </w:t>
      </w:r>
      <w:r w:rsidRPr="00184B6F">
        <w:rPr>
          <w:rFonts w:asciiTheme="minorHAnsi" w:hAnsiTheme="minorHAnsi"/>
          <w:i/>
        </w:rPr>
        <w:t>Neurol India</w:t>
      </w:r>
      <w:r w:rsidRPr="00184B6F">
        <w:rPr>
          <w:rFonts w:asciiTheme="minorHAnsi" w:hAnsiTheme="minorHAnsi"/>
        </w:rPr>
        <w:t>, vol. 62, no. 3, May-Jun, pp. 239-248.</w:t>
      </w:r>
    </w:p>
    <w:bookmarkEnd w:id="95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56" w:name="_ENREF_275"/>
      <w:r w:rsidRPr="00184B6F">
        <w:rPr>
          <w:rFonts w:asciiTheme="minorHAnsi" w:hAnsiTheme="minorHAnsi"/>
        </w:rPr>
        <w:t xml:space="preserve">Starzyk, K, Richards, S, Yee, J, Smith, SE &amp; Kingma, W 2007, 'The long-term international safety experience of imiglucerase therapy for Gaucher disease', </w:t>
      </w:r>
      <w:r w:rsidRPr="00184B6F">
        <w:rPr>
          <w:rFonts w:asciiTheme="minorHAnsi" w:hAnsiTheme="minorHAnsi"/>
          <w:i/>
        </w:rPr>
        <w:t>Mol Genet Metab</w:t>
      </w:r>
      <w:r w:rsidRPr="00184B6F">
        <w:rPr>
          <w:rFonts w:asciiTheme="minorHAnsi" w:hAnsiTheme="minorHAnsi"/>
        </w:rPr>
        <w:t>, vol. 90, pp. 157-163.</w:t>
      </w:r>
    </w:p>
    <w:bookmarkEnd w:id="95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57" w:name="_ENREF_276"/>
      <w:r w:rsidRPr="00184B6F">
        <w:rPr>
          <w:rFonts w:asciiTheme="minorHAnsi" w:hAnsiTheme="minorHAnsi"/>
        </w:rPr>
        <w:t xml:space="preserve">Stirnemann, J, Belmatoug, N, Vincent, C, Fain, O, Fantin, B &amp; Mentre, F 2010, 'Bone events and evolution of biologic markers in Gaucher disease before and during treatment', </w:t>
      </w:r>
      <w:r w:rsidRPr="00184B6F">
        <w:rPr>
          <w:rFonts w:asciiTheme="minorHAnsi" w:hAnsiTheme="minorHAnsi"/>
          <w:i/>
        </w:rPr>
        <w:t>Arthritis Research and Therapy</w:t>
      </w:r>
      <w:r w:rsidRPr="00184B6F">
        <w:rPr>
          <w:rFonts w:asciiTheme="minorHAnsi" w:hAnsiTheme="minorHAnsi"/>
        </w:rPr>
        <w:t>, vol. 12, no. 4.</w:t>
      </w:r>
    </w:p>
    <w:bookmarkEnd w:id="95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58" w:name="_ENREF_277"/>
      <w:r w:rsidRPr="00184B6F">
        <w:rPr>
          <w:rFonts w:asciiTheme="minorHAnsi" w:hAnsiTheme="minorHAnsi"/>
        </w:rPr>
        <w:t xml:space="preserve">Stirnemann, J, Vigan, M, Hamroun, D, Heraoui, D, Rossi-Semerano, L, Berger, MG, Rose, C, Camou, F, de, R-S, Grosbois, B, Kaminsky, P, Robert, A, Caillaud, C, Froissart, R, Levade, T, Masseau, A, Mignot, C, Sedel, F, Dobbelaere, D, Vanier, MT, Valayanopoulos, V, Fain, O, Fantin, B, de, V, T, B, Mentre, F &amp; Belmatoug, N 2012, 'The French </w:t>
      </w:r>
      <w:r w:rsidR="00E51493">
        <w:rPr>
          <w:rFonts w:asciiTheme="minorHAnsi" w:hAnsiTheme="minorHAnsi"/>
        </w:rPr>
        <w:t>Gaucher disease</w:t>
      </w:r>
      <w:r w:rsidRPr="00184B6F">
        <w:rPr>
          <w:rFonts w:asciiTheme="minorHAnsi" w:hAnsiTheme="minorHAnsi"/>
        </w:rPr>
        <w:t xml:space="preserve"> registry: clinical characteristics, complications and treatment of 562 patients', </w:t>
      </w:r>
      <w:r w:rsidRPr="00184B6F">
        <w:rPr>
          <w:rFonts w:asciiTheme="minorHAnsi" w:hAnsiTheme="minorHAnsi"/>
          <w:i/>
        </w:rPr>
        <w:t>Orphanet J Rare Dis</w:t>
      </w:r>
      <w:r w:rsidRPr="00184B6F">
        <w:rPr>
          <w:rFonts w:asciiTheme="minorHAnsi" w:hAnsiTheme="minorHAnsi"/>
        </w:rPr>
        <w:t>, vol. 7, p. 77.</w:t>
      </w:r>
    </w:p>
    <w:bookmarkEnd w:id="95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59" w:name="_ENREF_278"/>
      <w:r w:rsidRPr="00184B6F">
        <w:rPr>
          <w:rFonts w:asciiTheme="minorHAnsi" w:hAnsiTheme="minorHAnsi"/>
        </w:rPr>
        <w:t xml:space="preserve">Sugai, F, Kokunai, Y, Yamamoto, Y, Hashida, G, Shimazu, K, Mihara, M, Inoue, S &amp; Sakoda, S 2010, 'Use of the muscle volume analyzer to evaluate enzyme replacement therapy in late-onset Pompe disease', </w:t>
      </w:r>
      <w:r w:rsidRPr="00184B6F">
        <w:rPr>
          <w:rFonts w:asciiTheme="minorHAnsi" w:hAnsiTheme="minorHAnsi"/>
          <w:i/>
        </w:rPr>
        <w:t>Journal of Neurology</w:t>
      </w:r>
      <w:r w:rsidRPr="00184B6F">
        <w:rPr>
          <w:rFonts w:asciiTheme="minorHAnsi" w:hAnsiTheme="minorHAnsi"/>
        </w:rPr>
        <w:t>, vol. 257, no. 3, Mar, pp. 461-463.</w:t>
      </w:r>
    </w:p>
    <w:bookmarkEnd w:id="95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60" w:name="_ENREF_279"/>
      <w:r w:rsidRPr="00184B6F">
        <w:rPr>
          <w:rFonts w:asciiTheme="minorHAnsi" w:hAnsiTheme="minorHAnsi"/>
        </w:rPr>
        <w:t xml:space="preserve">Sussex, J, Rollet, P, Garau, M, Schmitt, C, Kent, A &amp; Hutchings, A 2013, 'A pilot study of multicriteria decision analysis for valuing orphan medicines', </w:t>
      </w:r>
      <w:r w:rsidRPr="00184B6F">
        <w:rPr>
          <w:rFonts w:asciiTheme="minorHAnsi" w:hAnsiTheme="minorHAnsi"/>
          <w:i/>
        </w:rPr>
        <w:t>Value Health</w:t>
      </w:r>
      <w:r w:rsidRPr="00184B6F">
        <w:rPr>
          <w:rFonts w:asciiTheme="minorHAnsi" w:hAnsiTheme="minorHAnsi"/>
        </w:rPr>
        <w:t>, vol. 16, no. 8, Dec, pp. 1163-1169.</w:t>
      </w:r>
    </w:p>
    <w:bookmarkEnd w:id="96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61" w:name="_ENREF_280"/>
      <w:r w:rsidRPr="00184B6F">
        <w:rPr>
          <w:rFonts w:asciiTheme="minorHAnsi" w:hAnsiTheme="minorHAnsi"/>
        </w:rPr>
        <w:t>Sussex, J, Rollet, P., Garau, M., Schmitt, C., Kent, A. and Hutchings, A 2013, 'Multi-criteria decision analysis to value orphan medicines. ', Office of Health Economics., London.</w:t>
      </w:r>
    </w:p>
    <w:bookmarkEnd w:id="96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62" w:name="_ENREF_281"/>
      <w:r w:rsidRPr="00184B6F">
        <w:rPr>
          <w:rFonts w:asciiTheme="minorHAnsi" w:hAnsiTheme="minorHAnsi"/>
        </w:rPr>
        <w:t xml:space="preserve">Swinney, DC &amp; Xia, S 2014, 'The discovery of medicines for rare diseases', </w:t>
      </w:r>
      <w:r w:rsidRPr="00184B6F">
        <w:rPr>
          <w:rFonts w:asciiTheme="minorHAnsi" w:hAnsiTheme="minorHAnsi"/>
          <w:i/>
        </w:rPr>
        <w:t>Future Medicinal Chemistry</w:t>
      </w:r>
      <w:r w:rsidRPr="00184B6F">
        <w:rPr>
          <w:rFonts w:asciiTheme="minorHAnsi" w:hAnsiTheme="minorHAnsi"/>
        </w:rPr>
        <w:t>, vol. 6, no. 9, pp. 987-1002.</w:t>
      </w:r>
    </w:p>
    <w:bookmarkEnd w:id="96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63" w:name="_ENREF_282"/>
      <w:r w:rsidRPr="00184B6F">
        <w:rPr>
          <w:rFonts w:asciiTheme="minorHAnsi" w:hAnsiTheme="minorHAnsi"/>
        </w:rPr>
        <w:t xml:space="preserve">Terk, MR, Dardashti, S &amp; Liebman, HA 2000, 'Bone marrow response in treated patients with Gaucher disease: evaluation by T1-weighted magnetic resonance images and correlation with reduction in liver and spleen volume', </w:t>
      </w:r>
      <w:r w:rsidRPr="00184B6F">
        <w:rPr>
          <w:rFonts w:asciiTheme="minorHAnsi" w:hAnsiTheme="minorHAnsi"/>
          <w:i/>
        </w:rPr>
        <w:t>Skeletal Radiol</w:t>
      </w:r>
      <w:r w:rsidRPr="00184B6F">
        <w:rPr>
          <w:rFonts w:asciiTheme="minorHAnsi" w:hAnsiTheme="minorHAnsi"/>
        </w:rPr>
        <w:t>, vol. 29, pp. 563-571.</w:t>
      </w:r>
    </w:p>
    <w:bookmarkEnd w:id="96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64" w:name="_ENREF_283"/>
      <w:r w:rsidRPr="00184B6F">
        <w:rPr>
          <w:rFonts w:asciiTheme="minorHAnsi" w:hAnsiTheme="minorHAnsi"/>
        </w:rPr>
        <w:t>The Department of Health 2015, 'Other supply arrangements outside the Pharmaceutical Benefits Scheme (PBS)', &lt;</w:t>
      </w:r>
      <w:r w:rsidRPr="00A62C97">
        <w:rPr>
          <w:rFonts w:asciiTheme="minorHAnsi" w:hAnsiTheme="minorHAnsi"/>
        </w:rPr>
        <w:t>http://www.health.gov.au/LSDP&gt;</w:t>
      </w:r>
      <w:r w:rsidRPr="00184B6F">
        <w:rPr>
          <w:rFonts w:asciiTheme="minorHAnsi" w:hAnsiTheme="minorHAnsi"/>
        </w:rPr>
        <w:t>.</w:t>
      </w:r>
    </w:p>
    <w:bookmarkEnd w:id="96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65" w:name="_ENREF_284"/>
      <w:r w:rsidRPr="00184B6F">
        <w:rPr>
          <w:rFonts w:asciiTheme="minorHAnsi" w:hAnsiTheme="minorHAnsi"/>
        </w:rPr>
        <w:t>The Pharmaceutical Benefits Scheme 2011, 'Framework for the introduction of a Managed Entry Scheme for submissions to the Pharmaceutical Benefits Advisory Committee', &lt;</w:t>
      </w:r>
      <w:r w:rsidRPr="00A62C97">
        <w:rPr>
          <w:rFonts w:asciiTheme="minorHAnsi" w:hAnsiTheme="minorHAnsi"/>
        </w:rPr>
        <w:t>http://www.pbs.gov.au/info/publication/factsheets/shared/framework-for-introduction-of-managed-entry-scheme-for-PBAC-submissions&gt;</w:t>
      </w:r>
      <w:r w:rsidRPr="00184B6F">
        <w:rPr>
          <w:rFonts w:asciiTheme="minorHAnsi" w:hAnsiTheme="minorHAnsi"/>
        </w:rPr>
        <w:t>.</w:t>
      </w:r>
    </w:p>
    <w:bookmarkEnd w:id="96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66" w:name="_ENREF_285"/>
      <w:r w:rsidRPr="00184B6F">
        <w:rPr>
          <w:rFonts w:asciiTheme="minorHAnsi" w:hAnsiTheme="minorHAnsi"/>
        </w:rPr>
        <w:t xml:space="preserve">Therapeutic Goods Administration 2010a, </w:t>
      </w:r>
      <w:r w:rsidRPr="00184B6F">
        <w:rPr>
          <w:rFonts w:asciiTheme="minorHAnsi" w:hAnsiTheme="minorHAnsi"/>
          <w:i/>
        </w:rPr>
        <w:t>Product Information: Cerezyme</w:t>
      </w:r>
      <w:r w:rsidRPr="00184B6F">
        <w:rPr>
          <w:rFonts w:asciiTheme="minorHAnsi" w:hAnsiTheme="minorHAnsi"/>
        </w:rPr>
        <w:t>.</w:t>
      </w:r>
    </w:p>
    <w:bookmarkEnd w:id="96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67" w:name="_ENREF_286"/>
      <w:r w:rsidRPr="00184B6F">
        <w:rPr>
          <w:rFonts w:asciiTheme="minorHAnsi" w:hAnsiTheme="minorHAnsi"/>
        </w:rPr>
        <w:t>Therapeutic Goods Administration 2010b, 'Product Information: Fabrazyme(R)', &lt;https://</w:t>
      </w:r>
      <w:r w:rsidRPr="00A62C97">
        <w:rPr>
          <w:rFonts w:asciiTheme="minorHAnsi" w:hAnsiTheme="minorHAnsi"/>
        </w:rPr>
        <w:t>www.ebs.tga.gov.au/ebs/picmi/picmirepository.nsf/pdf?OpenAgent&amp;id=CP-2010-PI-04342-3&gt;</w:t>
      </w:r>
      <w:r w:rsidRPr="00184B6F">
        <w:rPr>
          <w:rFonts w:asciiTheme="minorHAnsi" w:hAnsiTheme="minorHAnsi"/>
        </w:rPr>
        <w:t>.</w:t>
      </w:r>
    </w:p>
    <w:bookmarkEnd w:id="96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68" w:name="_ENREF_287"/>
      <w:r w:rsidRPr="00184B6F">
        <w:rPr>
          <w:rFonts w:asciiTheme="minorHAnsi" w:hAnsiTheme="minorHAnsi"/>
        </w:rPr>
        <w:t xml:space="preserve">Therapeutic Goods Administration 2010c, </w:t>
      </w:r>
      <w:r w:rsidRPr="00184B6F">
        <w:rPr>
          <w:rFonts w:asciiTheme="minorHAnsi" w:hAnsiTheme="minorHAnsi"/>
          <w:i/>
        </w:rPr>
        <w:t>Product Information: Replagal(R) (agalsidase alfa ghu)</w:t>
      </w:r>
      <w:r w:rsidRPr="00184B6F">
        <w:rPr>
          <w:rFonts w:asciiTheme="minorHAnsi" w:hAnsiTheme="minorHAnsi"/>
        </w:rPr>
        <w:t>.</w:t>
      </w:r>
    </w:p>
    <w:bookmarkEnd w:id="96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69" w:name="_ENREF_288"/>
      <w:r w:rsidRPr="00184B6F">
        <w:rPr>
          <w:rFonts w:asciiTheme="minorHAnsi" w:hAnsiTheme="minorHAnsi"/>
        </w:rPr>
        <w:t xml:space="preserve">Therapeutic Goods Administration 2012a, </w:t>
      </w:r>
      <w:r w:rsidRPr="00184B6F">
        <w:rPr>
          <w:rFonts w:asciiTheme="minorHAnsi" w:hAnsiTheme="minorHAnsi"/>
          <w:i/>
        </w:rPr>
        <w:t>Myozyme Product Information</w:t>
      </w:r>
      <w:r w:rsidRPr="00184B6F">
        <w:rPr>
          <w:rFonts w:asciiTheme="minorHAnsi" w:hAnsiTheme="minorHAnsi"/>
        </w:rPr>
        <w:t>, Canberra.</w:t>
      </w:r>
    </w:p>
    <w:bookmarkEnd w:id="96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70" w:name="_ENREF_289"/>
      <w:r w:rsidRPr="00184B6F">
        <w:rPr>
          <w:rFonts w:asciiTheme="minorHAnsi" w:hAnsiTheme="minorHAnsi"/>
        </w:rPr>
        <w:t xml:space="preserve">Therapeutic Goods Administration 2012b, </w:t>
      </w:r>
      <w:r w:rsidRPr="00184B6F">
        <w:rPr>
          <w:rFonts w:asciiTheme="minorHAnsi" w:hAnsiTheme="minorHAnsi"/>
          <w:i/>
        </w:rPr>
        <w:t>Product Information: VPRIV(R) (velaglucerase alfa ghu)</w:t>
      </w:r>
      <w:r w:rsidRPr="00184B6F">
        <w:rPr>
          <w:rFonts w:asciiTheme="minorHAnsi" w:hAnsiTheme="minorHAnsi"/>
        </w:rPr>
        <w:t>.</w:t>
      </w:r>
    </w:p>
    <w:bookmarkEnd w:id="97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71" w:name="_ENREF_290"/>
      <w:r w:rsidRPr="00184B6F">
        <w:rPr>
          <w:rFonts w:asciiTheme="minorHAnsi" w:hAnsiTheme="minorHAnsi"/>
        </w:rPr>
        <w:t xml:space="preserve">Therapeutic Goods Administration 2014, </w:t>
      </w:r>
      <w:r w:rsidRPr="00184B6F">
        <w:rPr>
          <w:rFonts w:asciiTheme="minorHAnsi" w:hAnsiTheme="minorHAnsi"/>
          <w:i/>
        </w:rPr>
        <w:t>Solaris Product Information</w:t>
      </w:r>
      <w:r w:rsidRPr="00184B6F">
        <w:rPr>
          <w:rFonts w:asciiTheme="minorHAnsi" w:hAnsiTheme="minorHAnsi"/>
        </w:rPr>
        <w:t>, Canberra.</w:t>
      </w:r>
    </w:p>
    <w:bookmarkEnd w:id="97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72" w:name="_ENREF_291"/>
      <w:r w:rsidRPr="00184B6F">
        <w:rPr>
          <w:rFonts w:asciiTheme="minorHAnsi" w:hAnsiTheme="minorHAnsi"/>
        </w:rPr>
        <w:t xml:space="preserve">Therapeutic Goods Administration 2015, </w:t>
      </w:r>
      <w:r w:rsidRPr="00184B6F">
        <w:rPr>
          <w:rFonts w:asciiTheme="minorHAnsi" w:hAnsiTheme="minorHAnsi"/>
          <w:i/>
        </w:rPr>
        <w:t>TGA Orphan Drugs Program discussion paper</w:t>
      </w:r>
      <w:r w:rsidRPr="00184B6F">
        <w:rPr>
          <w:rFonts w:asciiTheme="minorHAnsi" w:hAnsiTheme="minorHAnsi"/>
        </w:rPr>
        <w:t>, DoH Therapeutic Goods Administration, Australian Government.</w:t>
      </w:r>
    </w:p>
    <w:bookmarkEnd w:id="97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73" w:name="_ENREF_292"/>
      <w:r w:rsidRPr="00184B6F">
        <w:rPr>
          <w:rFonts w:asciiTheme="minorHAnsi" w:hAnsiTheme="minorHAnsi"/>
        </w:rPr>
        <w:t xml:space="preserve">Thurberg, BL, Byers, HR, Granter, SR, Phelps, RG, Gordon, RE &amp; O'Callaghan, M 2004, 'Monitoring the 3-year efficacy of enzyme replacement therapy in Fabry disease by repeated skin biopsies&lt;p&gt;', </w:t>
      </w:r>
      <w:r w:rsidRPr="00184B6F">
        <w:rPr>
          <w:rFonts w:asciiTheme="minorHAnsi" w:hAnsiTheme="minorHAnsi"/>
          <w:i/>
        </w:rPr>
        <w:t>J. Invest. Dermatol.</w:t>
      </w:r>
      <w:r w:rsidRPr="00184B6F">
        <w:rPr>
          <w:rFonts w:asciiTheme="minorHAnsi" w:hAnsiTheme="minorHAnsi"/>
        </w:rPr>
        <w:t>, vol. 122, no. 4, pp. 900-908.</w:t>
      </w:r>
    </w:p>
    <w:bookmarkEnd w:id="97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74" w:name="_ENREF_293"/>
      <w:r w:rsidRPr="00184B6F">
        <w:rPr>
          <w:rFonts w:asciiTheme="minorHAnsi" w:hAnsiTheme="minorHAnsi"/>
        </w:rPr>
        <w:t xml:space="preserve">Thurberg, BL, Rennke, H, Colvin, RB, Dikman, S, Gordon, RE, Collins, AB, Desnick, RJ &amp; O'Callaghan, M 2002, 'Globotriaosylceramide accumulation in the fabry kidney is cleared from multiple cell types after enzyme replacement therapy', </w:t>
      </w:r>
      <w:r w:rsidRPr="00184B6F">
        <w:rPr>
          <w:rFonts w:asciiTheme="minorHAnsi" w:hAnsiTheme="minorHAnsi"/>
          <w:i/>
        </w:rPr>
        <w:t>Kidney International</w:t>
      </w:r>
      <w:r w:rsidRPr="00184B6F">
        <w:rPr>
          <w:rFonts w:asciiTheme="minorHAnsi" w:hAnsiTheme="minorHAnsi"/>
        </w:rPr>
        <w:t>, vol. 62, no. 6, pp. 1933-1946.</w:t>
      </w:r>
    </w:p>
    <w:bookmarkEnd w:id="974"/>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975" w:name="_ENREF_294"/>
      <w:r w:rsidRPr="00184B6F">
        <w:rPr>
          <w:rFonts w:asciiTheme="minorHAnsi" w:hAnsiTheme="minorHAnsi"/>
        </w:rPr>
        <w:t xml:space="preserve">TKT, I 2003, 'Replgal TM (agalsidase alfa)', </w:t>
      </w:r>
      <w:r w:rsidRPr="00184B6F">
        <w:rPr>
          <w:rFonts w:asciiTheme="minorHAnsi" w:hAnsiTheme="minorHAnsi"/>
          <w:i/>
        </w:rPr>
        <w:t>Briefing Document</w:t>
      </w:r>
      <w:r w:rsidRPr="00184B6F">
        <w:rPr>
          <w:rFonts w:asciiTheme="minorHAnsi" w:hAnsiTheme="minorHAnsi"/>
        </w:rPr>
        <w:t>, &lt;</w:t>
      </w:r>
      <w:r w:rsidRPr="00A62C97">
        <w:rPr>
          <w:rFonts w:asciiTheme="minorHAnsi" w:hAnsiTheme="minorHAnsi"/>
        </w:rPr>
        <w:t>http://www.fda.gov/ohrms/dockets/ac/03/briefing/3917B2_01_TKT%20Replagal%20Background%20.pdf&gt;</w:t>
      </w:r>
      <w:r w:rsidRPr="00184B6F">
        <w:rPr>
          <w:rFonts w:asciiTheme="minorHAnsi" w:hAnsiTheme="minorHAnsi"/>
        </w:rPr>
        <w:t>.</w:t>
      </w:r>
    </w:p>
    <w:bookmarkEnd w:id="97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76" w:name="_ENREF_295"/>
      <w:r w:rsidRPr="00184B6F">
        <w:rPr>
          <w:rFonts w:asciiTheme="minorHAnsi" w:hAnsiTheme="minorHAnsi"/>
        </w:rPr>
        <w:t xml:space="preserve">Tony, M, Wagner, M, Khoury, H, Rindress, D, Papastavros, T, Oh, P &amp; Goetghebeur, MM 2011, 'Bridging health technology assessment (HTA) with multicriteria decision analyses (MCDA): field testing of the EVIDEM framework for coverage decisions by a public payer in Canada', </w:t>
      </w:r>
      <w:r w:rsidRPr="00184B6F">
        <w:rPr>
          <w:rFonts w:asciiTheme="minorHAnsi" w:hAnsiTheme="minorHAnsi"/>
          <w:i/>
        </w:rPr>
        <w:t>BMC Health Serv Res</w:t>
      </w:r>
      <w:r w:rsidRPr="00184B6F">
        <w:rPr>
          <w:rFonts w:asciiTheme="minorHAnsi" w:hAnsiTheme="minorHAnsi"/>
        </w:rPr>
        <w:t>, vol. 11, p. 329.</w:t>
      </w:r>
    </w:p>
    <w:bookmarkEnd w:id="97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77" w:name="_ENREF_296"/>
      <w:r w:rsidRPr="00184B6F">
        <w:rPr>
          <w:rFonts w:asciiTheme="minorHAnsi" w:hAnsiTheme="minorHAnsi"/>
        </w:rPr>
        <w:lastRenderedPageBreak/>
        <w:t xml:space="preserve">Toscano, A &amp; Schoser, B 2013, 'Enzyme replacement therapy in late-onset Pompe disease: a systematic literature review', </w:t>
      </w:r>
      <w:r w:rsidRPr="00184B6F">
        <w:rPr>
          <w:rFonts w:asciiTheme="minorHAnsi" w:hAnsiTheme="minorHAnsi"/>
          <w:i/>
        </w:rPr>
        <w:t>Journal of Neurology</w:t>
      </w:r>
      <w:r w:rsidRPr="00184B6F">
        <w:rPr>
          <w:rFonts w:asciiTheme="minorHAnsi" w:hAnsiTheme="minorHAnsi"/>
        </w:rPr>
        <w:t>, vol. 260, no. 4, Apr, pp. 951-959.</w:t>
      </w:r>
    </w:p>
    <w:bookmarkEnd w:id="97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78" w:name="_ENREF_297"/>
      <w:r w:rsidRPr="00184B6F">
        <w:rPr>
          <w:rFonts w:asciiTheme="minorHAnsi" w:hAnsiTheme="minorHAnsi"/>
        </w:rPr>
        <w:t xml:space="preserve">Tsang, R, Colley, L &amp; Lynd, LD 2009, 'Inadequate statistical power to detect clinically significant differences in adverse event rates in randomized controlled trials', </w:t>
      </w:r>
      <w:r w:rsidRPr="00184B6F">
        <w:rPr>
          <w:rFonts w:asciiTheme="minorHAnsi" w:hAnsiTheme="minorHAnsi"/>
          <w:i/>
        </w:rPr>
        <w:t>J Clin Epidemiol</w:t>
      </w:r>
      <w:r w:rsidRPr="00184B6F">
        <w:rPr>
          <w:rFonts w:asciiTheme="minorHAnsi" w:hAnsiTheme="minorHAnsi"/>
        </w:rPr>
        <w:t>, vol. 62, no. 6, Jun, pp. 609-616.</w:t>
      </w:r>
    </w:p>
    <w:bookmarkEnd w:id="97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79" w:name="_ENREF_298"/>
      <w:r w:rsidRPr="00184B6F">
        <w:rPr>
          <w:rFonts w:asciiTheme="minorHAnsi" w:hAnsiTheme="minorHAnsi"/>
        </w:rPr>
        <w:t xml:space="preserve">Tsuchiya, A 2012, 'Distributional judgements in the context of economic evaluation.', in J AM (ed.), </w:t>
      </w:r>
      <w:r w:rsidRPr="00184B6F">
        <w:rPr>
          <w:rFonts w:asciiTheme="minorHAnsi" w:hAnsiTheme="minorHAnsi"/>
          <w:i/>
        </w:rPr>
        <w:t>The Elgar Companion to Health Economics</w:t>
      </w:r>
      <w:r w:rsidRPr="00184B6F">
        <w:rPr>
          <w:rFonts w:asciiTheme="minorHAnsi" w:hAnsiTheme="minorHAnsi"/>
        </w:rPr>
        <w:t>, Cheltenham, UK, pp. 406-414.</w:t>
      </w:r>
    </w:p>
    <w:bookmarkEnd w:id="97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80" w:name="_ENREF_299"/>
      <w:r w:rsidRPr="00184B6F">
        <w:rPr>
          <w:rFonts w:asciiTheme="minorHAnsi" w:hAnsiTheme="minorHAnsi"/>
        </w:rPr>
        <w:t xml:space="preserve">Valayannopoulos, V, Nicely, H, Harmatz, P &amp; Turbeville, S 2010, 'Mucopolysaccharidosis VI', </w:t>
      </w:r>
      <w:r w:rsidRPr="00184B6F">
        <w:rPr>
          <w:rFonts w:asciiTheme="minorHAnsi" w:hAnsiTheme="minorHAnsi"/>
          <w:i/>
        </w:rPr>
        <w:t>Orphanet Journal of Rare Diseases</w:t>
      </w:r>
      <w:r w:rsidRPr="00184B6F">
        <w:rPr>
          <w:rFonts w:asciiTheme="minorHAnsi" w:hAnsiTheme="minorHAnsi"/>
        </w:rPr>
        <w:t>, vol. 5, , pp. 5-5.</w:t>
      </w:r>
    </w:p>
    <w:bookmarkEnd w:id="98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81" w:name="_ENREF_300"/>
      <w:r w:rsidRPr="00184B6F">
        <w:rPr>
          <w:rFonts w:asciiTheme="minorHAnsi" w:hAnsiTheme="minorHAnsi"/>
        </w:rPr>
        <w:t xml:space="preserve">van Capelle, CI, van der Beek, NA, de Vries, JM, van Doorn, PA, Duivenvoorden, HJ, Leshner, RT, Hagemans, ML &amp; van der Ploeg, AT 2012, 'The quick motor function test: a new tool to rate clinical severity and motor function in Pompe patients', </w:t>
      </w:r>
      <w:r w:rsidRPr="00184B6F">
        <w:rPr>
          <w:rFonts w:asciiTheme="minorHAnsi" w:hAnsiTheme="minorHAnsi"/>
          <w:i/>
        </w:rPr>
        <w:t>J Inherit Metab Dis</w:t>
      </w:r>
      <w:r w:rsidRPr="00184B6F">
        <w:rPr>
          <w:rFonts w:asciiTheme="minorHAnsi" w:hAnsiTheme="minorHAnsi"/>
        </w:rPr>
        <w:t>, vol. 35, no. 2, Mar, pp. 317-323.</w:t>
      </w:r>
    </w:p>
    <w:bookmarkEnd w:id="98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82" w:name="_ENREF_301"/>
      <w:r w:rsidRPr="00184B6F">
        <w:rPr>
          <w:rFonts w:asciiTheme="minorHAnsi" w:hAnsiTheme="minorHAnsi"/>
        </w:rPr>
        <w:t xml:space="preserve">van Capelle, CI, van der Beek, NA, Hagemans, ML, Arts, WF, Hop, WC, Lee, P, Jaeken, J, Frohn-Mulder, IM, Merkus, PJ, Corzo, D, Puga, AC, Reuser, AJ &amp; van der Ploeg, AT 2010, 'Effect of enzyme therapy in juvenile patients with Pompe disease: a three-year open-label study', </w:t>
      </w:r>
      <w:r w:rsidRPr="00184B6F">
        <w:rPr>
          <w:rFonts w:asciiTheme="minorHAnsi" w:hAnsiTheme="minorHAnsi"/>
          <w:i/>
        </w:rPr>
        <w:t>Neuromuscul Disord</w:t>
      </w:r>
      <w:r w:rsidRPr="00184B6F">
        <w:rPr>
          <w:rFonts w:asciiTheme="minorHAnsi" w:hAnsiTheme="minorHAnsi"/>
        </w:rPr>
        <w:t>, vol. 20, no. 12, Dec, pp. 775-782.</w:t>
      </w:r>
    </w:p>
    <w:bookmarkEnd w:id="98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83" w:name="_ENREF_302"/>
      <w:r w:rsidRPr="00184B6F">
        <w:rPr>
          <w:rFonts w:asciiTheme="minorHAnsi" w:hAnsiTheme="minorHAnsi"/>
        </w:rPr>
        <w:t xml:space="preserve">van Capelle, CI, Winkel, LPF, Hagemans, MLC, Shapira, SK, Arts, WFM, van Doorn, PA, Hop, WCJ, Reuser, AJJ &amp; van der Ploeg, AT 2008, 'Eight years experience with enzyme replacement therapy in two children and one adult with Pompe disease', </w:t>
      </w:r>
      <w:r w:rsidRPr="00184B6F">
        <w:rPr>
          <w:rFonts w:asciiTheme="minorHAnsi" w:hAnsiTheme="minorHAnsi"/>
          <w:i/>
        </w:rPr>
        <w:t>Neuromuscular Disorders</w:t>
      </w:r>
      <w:r w:rsidRPr="00184B6F">
        <w:rPr>
          <w:rFonts w:asciiTheme="minorHAnsi" w:hAnsiTheme="minorHAnsi"/>
        </w:rPr>
        <w:t>, vol. 18, no. 6, Jun, pp. 447-452.</w:t>
      </w:r>
    </w:p>
    <w:bookmarkEnd w:id="98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84" w:name="_ENREF_303"/>
      <w:r w:rsidRPr="00184B6F">
        <w:rPr>
          <w:rFonts w:asciiTheme="minorHAnsi" w:hAnsiTheme="minorHAnsi"/>
        </w:rPr>
        <w:t xml:space="preserve">Van Der Ploeg, AT, Clemens, PR, Corzo, D, Escolar, DM, Florence, J, Groeneveld, G, Herson, S, Kishnani, PS, Laforet, P, Lake, SL, Lange, DJ, Leshner, RT, Mayhew, JE, Morgan, C, Nozaki, K, Park, DJ, Pestronk, A, Rosenbloom, B, Skrinar, A, Van Capelle, CI, Van Der Beek, NA, Wasserstein, M &amp; Zivkovic, SA 2010, 'A randomized study of alglucosidase alfa in late-onset Pompe's disease', </w:t>
      </w:r>
      <w:r w:rsidRPr="00184B6F">
        <w:rPr>
          <w:rFonts w:asciiTheme="minorHAnsi" w:hAnsiTheme="minorHAnsi"/>
          <w:i/>
        </w:rPr>
        <w:t>N. Engl. J. Med.</w:t>
      </w:r>
      <w:r w:rsidRPr="00184B6F">
        <w:rPr>
          <w:rFonts w:asciiTheme="minorHAnsi" w:hAnsiTheme="minorHAnsi"/>
        </w:rPr>
        <w:t>, vol. 362, no. 15, //, pp. 1396-1406.</w:t>
      </w:r>
    </w:p>
    <w:bookmarkEnd w:id="98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85" w:name="_ENREF_304"/>
      <w:r w:rsidRPr="00184B6F">
        <w:rPr>
          <w:rFonts w:asciiTheme="minorHAnsi" w:hAnsiTheme="minorHAnsi"/>
        </w:rPr>
        <w:t xml:space="preserve">van Dussen, L, Biegstraaten, M, Dijkgraaf, MG &amp; Hollak, CE 2014, 'Modelling Gaucher disease progression: long-term enzyme replacement therapy reduces the incidence of splenectomy and bone complications', </w:t>
      </w:r>
      <w:r w:rsidRPr="00184B6F">
        <w:rPr>
          <w:rFonts w:asciiTheme="minorHAnsi" w:hAnsiTheme="minorHAnsi"/>
          <w:i/>
        </w:rPr>
        <w:t>Orphanet J Rare Dis</w:t>
      </w:r>
      <w:r w:rsidRPr="00184B6F">
        <w:rPr>
          <w:rFonts w:asciiTheme="minorHAnsi" w:hAnsiTheme="minorHAnsi"/>
        </w:rPr>
        <w:t>, vol. 9, no. 1, p. 112.</w:t>
      </w:r>
    </w:p>
    <w:bookmarkEnd w:id="98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86" w:name="_ENREF_305"/>
      <w:r w:rsidRPr="00184B6F">
        <w:rPr>
          <w:rFonts w:asciiTheme="minorHAnsi" w:hAnsiTheme="minorHAnsi"/>
        </w:rPr>
        <w:t xml:space="preserve">van Dussen, L, Biegstraaten, M, Hollak, CE &amp; Dijkgraaf, MG 2014, 'Cost-effectiveness of enzyme replacement therapy for type 1 Gaucher disease', </w:t>
      </w:r>
      <w:r w:rsidRPr="00184B6F">
        <w:rPr>
          <w:rFonts w:asciiTheme="minorHAnsi" w:hAnsiTheme="minorHAnsi"/>
          <w:i/>
        </w:rPr>
        <w:t>Orphanet J Rare Dis</w:t>
      </w:r>
      <w:r w:rsidRPr="00184B6F">
        <w:rPr>
          <w:rFonts w:asciiTheme="minorHAnsi" w:hAnsiTheme="minorHAnsi"/>
        </w:rPr>
        <w:t>, vol. 9, p. 51.</w:t>
      </w:r>
    </w:p>
    <w:bookmarkEnd w:id="98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87" w:name="_ENREF_306"/>
      <w:r w:rsidRPr="00184B6F">
        <w:rPr>
          <w:rFonts w:asciiTheme="minorHAnsi" w:hAnsiTheme="minorHAnsi"/>
        </w:rPr>
        <w:t xml:space="preserve">Vedder, AC, Linthorst, GE, Houge, G, Groener, JEM, Ormel, EE, Bouma, BJ, Aerts, JMFG, Hirth, A &amp; Hollak, CEM 2007, 'Treatment of fabry disease: Outcome of a comparative trial with agalsidase alfa or beta at a dose of 0.2 mg/kg', </w:t>
      </w:r>
      <w:r w:rsidRPr="00184B6F">
        <w:rPr>
          <w:rFonts w:asciiTheme="minorHAnsi" w:hAnsiTheme="minorHAnsi"/>
          <w:i/>
        </w:rPr>
        <w:t>PLoS ONE</w:t>
      </w:r>
      <w:r w:rsidRPr="00184B6F">
        <w:rPr>
          <w:rFonts w:asciiTheme="minorHAnsi" w:hAnsiTheme="minorHAnsi"/>
        </w:rPr>
        <w:t>, vol. 2, no. 7.</w:t>
      </w:r>
    </w:p>
    <w:bookmarkEnd w:id="98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88" w:name="_ENREF_307"/>
      <w:r w:rsidRPr="00184B6F">
        <w:rPr>
          <w:rFonts w:asciiTheme="minorHAnsi" w:hAnsiTheme="minorHAnsi"/>
        </w:rPr>
        <w:t xml:space="preserve">Vegter, S, Rozenbaum, MH, Postema, R, Tolley, K &amp; Postma, MJ 2010, 'Review of regulatory recommendations for orphan drug submissions in the netherlands and scotland: Focus on </w:t>
      </w:r>
      <w:r w:rsidRPr="00184B6F">
        <w:rPr>
          <w:rFonts w:asciiTheme="minorHAnsi" w:hAnsiTheme="minorHAnsi"/>
        </w:rPr>
        <w:lastRenderedPageBreak/>
        <w:t xml:space="preserve">the underlying pharmacoeconomic evaluations', </w:t>
      </w:r>
      <w:r w:rsidRPr="00184B6F">
        <w:rPr>
          <w:rFonts w:asciiTheme="minorHAnsi" w:hAnsiTheme="minorHAnsi"/>
          <w:i/>
        </w:rPr>
        <w:t>Clinical Therapeutics</w:t>
      </w:r>
      <w:r w:rsidRPr="00184B6F">
        <w:rPr>
          <w:rFonts w:asciiTheme="minorHAnsi" w:hAnsiTheme="minorHAnsi"/>
        </w:rPr>
        <w:t>, vol. 32, no. 9, pp. 1651-1661.</w:t>
      </w:r>
    </w:p>
    <w:bookmarkEnd w:id="98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89" w:name="_ENREF_308"/>
      <w:r w:rsidRPr="00184B6F">
        <w:rPr>
          <w:rFonts w:asciiTheme="minorHAnsi" w:hAnsiTheme="minorHAnsi"/>
        </w:rPr>
        <w:t xml:space="preserve">Verrotti, A, Loiacono, G, Ballone, E, Mattei, PA, Chiarelli, F &amp; Curatolo, P 2011, 'Efficacy of rufinamide in drug-resistant epilepsy: a meta-analysis', </w:t>
      </w:r>
      <w:r w:rsidRPr="00184B6F">
        <w:rPr>
          <w:rFonts w:asciiTheme="minorHAnsi" w:hAnsiTheme="minorHAnsi"/>
          <w:i/>
        </w:rPr>
        <w:t>Pediatr Neurol</w:t>
      </w:r>
      <w:r w:rsidRPr="00184B6F">
        <w:rPr>
          <w:rFonts w:asciiTheme="minorHAnsi" w:hAnsiTheme="minorHAnsi"/>
        </w:rPr>
        <w:t>, vol. 44, no. 5, May, pp. 347-349.</w:t>
      </w:r>
    </w:p>
    <w:bookmarkEnd w:id="98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90" w:name="_ENREF_309"/>
      <w:r w:rsidRPr="00184B6F">
        <w:rPr>
          <w:rFonts w:asciiTheme="minorHAnsi" w:hAnsiTheme="minorHAnsi"/>
        </w:rPr>
        <w:t xml:space="preserve">Visschers, RGJ, van Gemert, WG &amp; Olde Damink, SWM 2011, 'Orphan diseases neglected: The faith of intestinal failure', </w:t>
      </w:r>
      <w:r w:rsidRPr="00184B6F">
        <w:rPr>
          <w:rFonts w:asciiTheme="minorHAnsi" w:hAnsiTheme="minorHAnsi"/>
          <w:i/>
        </w:rPr>
        <w:t>e-SPEN</w:t>
      </w:r>
      <w:r w:rsidRPr="00184B6F">
        <w:rPr>
          <w:rFonts w:asciiTheme="minorHAnsi" w:hAnsiTheme="minorHAnsi"/>
        </w:rPr>
        <w:t>, vol. 6, no. 5, pp. e232-e234.</w:t>
      </w:r>
    </w:p>
    <w:bookmarkEnd w:id="99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91" w:name="_ENREF_310"/>
      <w:r w:rsidRPr="00184B6F">
        <w:rPr>
          <w:rFonts w:asciiTheme="minorHAnsi" w:hAnsiTheme="minorHAnsi"/>
        </w:rPr>
        <w:t>Wagner, M 2014, 'Methodological development of a comprehensive MCDA framework based on real life issues in appraisal of treatments for rare diseases', paper presented at Health Technology Assessment International, Washington DC, USA.</w:t>
      </w:r>
    </w:p>
    <w:bookmarkEnd w:id="99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92" w:name="_ENREF_311"/>
      <w:r w:rsidRPr="00184B6F">
        <w:rPr>
          <w:rFonts w:asciiTheme="minorHAnsi" w:hAnsiTheme="minorHAnsi"/>
        </w:rPr>
        <w:t xml:space="preserve">Wailoo, A, Tsuchiya, A &amp; McCabe, C 2009, 'Weighting must wait: incorporating equity concerns into cost-effectiveness analysis may take longer than expected', </w:t>
      </w:r>
      <w:r w:rsidRPr="00184B6F">
        <w:rPr>
          <w:rFonts w:asciiTheme="minorHAnsi" w:hAnsiTheme="minorHAnsi"/>
          <w:i/>
        </w:rPr>
        <w:t>PharmacoEconomics</w:t>
      </w:r>
      <w:r w:rsidRPr="00184B6F">
        <w:rPr>
          <w:rFonts w:asciiTheme="minorHAnsi" w:hAnsiTheme="minorHAnsi"/>
        </w:rPr>
        <w:t>, vol. 27, no. 12, pp. 983-989.</w:t>
      </w:r>
    </w:p>
    <w:bookmarkEnd w:id="99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93" w:name="_ENREF_312"/>
      <w:r w:rsidRPr="00184B6F">
        <w:rPr>
          <w:rFonts w:asciiTheme="minorHAnsi" w:hAnsiTheme="minorHAnsi"/>
        </w:rPr>
        <w:t xml:space="preserve">Waldek, S, Patel, MR, Banikazemi, M, Lemay, R &amp; Lee, P 2009, 'Life expectancy and cause of death in males and females with Fabry disease: Findings from the Fabry Registry', </w:t>
      </w:r>
      <w:r w:rsidRPr="00184B6F">
        <w:rPr>
          <w:rFonts w:asciiTheme="minorHAnsi" w:hAnsiTheme="minorHAnsi"/>
          <w:i/>
        </w:rPr>
        <w:t>Genet Med</w:t>
      </w:r>
      <w:r w:rsidRPr="00184B6F">
        <w:rPr>
          <w:rFonts w:asciiTheme="minorHAnsi" w:hAnsiTheme="minorHAnsi"/>
        </w:rPr>
        <w:t>, vol. 11, no. 11, 11//print, pp. 790-796.</w:t>
      </w:r>
    </w:p>
    <w:bookmarkEnd w:id="99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94" w:name="_ENREF_313"/>
      <w:r w:rsidRPr="00184B6F">
        <w:rPr>
          <w:rFonts w:asciiTheme="minorHAnsi" w:hAnsiTheme="minorHAnsi"/>
        </w:rPr>
        <w:t xml:space="preserve">Walter, S, Weinschenk, T, Stenzl, A, Zdrojowy, R, Pluzanska, A, Szczylik, C, Staehler, M, Brugger, W, Dietrich, PY, Mendrzyk, R, Hilf, N, Schoor, O, Fritsche, J, Mahr, A, Maurer, D, Vass, V, Trautwein, C, Lewandrowski, P, Flohr, C, Pohla, H, Stanczak, JJ, Bronte, V, Mandruzzato, S, Biedermann, T, Pawelec, G, Derhovanessian, E, Yamagishi, H, Miki, T, Hongo, F, Takaha, N, Hirakawa, K, Tanaka, H, Stevanovic, S, Frisch, J, Mayer-Mokler, A, Kirner, A, Rammensee, HG, Reinhardt, C &amp; Singh-Jasuja, H 2012, 'Multipeptide immune response to cancer vaccine IMA901 after single-dose cyclophosphamide associates with longer patient survival', </w:t>
      </w:r>
      <w:r w:rsidRPr="00184B6F">
        <w:rPr>
          <w:rFonts w:asciiTheme="minorHAnsi" w:hAnsiTheme="minorHAnsi"/>
          <w:i/>
        </w:rPr>
        <w:t>Nat Med</w:t>
      </w:r>
      <w:r w:rsidRPr="00184B6F">
        <w:rPr>
          <w:rFonts w:asciiTheme="minorHAnsi" w:hAnsiTheme="minorHAnsi"/>
        </w:rPr>
        <w:t>, vol. 18, no. 8, Aug, pp. 1254-1261.</w:t>
      </w:r>
    </w:p>
    <w:bookmarkEnd w:id="994"/>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95" w:name="_ENREF_314"/>
      <w:r w:rsidRPr="00184B6F">
        <w:rPr>
          <w:rFonts w:asciiTheme="minorHAnsi" w:hAnsiTheme="minorHAnsi"/>
        </w:rPr>
        <w:t xml:space="preserve">Weinreb, NJ, Deegan, P, Kacena, KA, Mistry, P, Pastores, GM, Velentgas, P &amp; vom Dahl, S 2008, 'Life expectancy in Gaucher disease type 1', </w:t>
      </w:r>
      <w:r w:rsidRPr="00184B6F">
        <w:rPr>
          <w:rFonts w:asciiTheme="minorHAnsi" w:hAnsiTheme="minorHAnsi"/>
          <w:i/>
        </w:rPr>
        <w:t>Am J Hematol</w:t>
      </w:r>
      <w:r w:rsidRPr="00184B6F">
        <w:rPr>
          <w:rFonts w:asciiTheme="minorHAnsi" w:hAnsiTheme="minorHAnsi"/>
        </w:rPr>
        <w:t>, vol. 83, no. 12, pp. 896-900.</w:t>
      </w:r>
    </w:p>
    <w:bookmarkEnd w:id="99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96" w:name="_ENREF_315"/>
      <w:r w:rsidRPr="00184B6F">
        <w:rPr>
          <w:rFonts w:asciiTheme="minorHAnsi" w:hAnsiTheme="minorHAnsi"/>
        </w:rPr>
        <w:t xml:space="preserve">Welker, JA 2007, 'Implementation of electronic data capture systems: barriers and solutions', </w:t>
      </w:r>
      <w:r w:rsidRPr="00184B6F">
        <w:rPr>
          <w:rFonts w:asciiTheme="minorHAnsi" w:hAnsiTheme="minorHAnsi"/>
          <w:i/>
        </w:rPr>
        <w:t>Contemp Clin Trials</w:t>
      </w:r>
      <w:r w:rsidRPr="00184B6F">
        <w:rPr>
          <w:rFonts w:asciiTheme="minorHAnsi" w:hAnsiTheme="minorHAnsi"/>
        </w:rPr>
        <w:t>, vol. 28, no. 3, May, pp. 329-336.</w:t>
      </w:r>
    </w:p>
    <w:bookmarkEnd w:id="99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97" w:name="_ENREF_316"/>
      <w:r w:rsidRPr="00184B6F">
        <w:rPr>
          <w:rFonts w:asciiTheme="minorHAnsi" w:hAnsiTheme="minorHAnsi"/>
        </w:rPr>
        <w:t xml:space="preserve">Wennberg, DE, Lucas, FL, Birkmeyer, JD, Bredenberg, CE &amp; Fisher, ES 1998, 'Variation in carotid endarterectomy mortality in the Medicare population: trial hospitals, volume, and patient characteristics', </w:t>
      </w:r>
      <w:r w:rsidRPr="00184B6F">
        <w:rPr>
          <w:rFonts w:asciiTheme="minorHAnsi" w:hAnsiTheme="minorHAnsi"/>
          <w:i/>
        </w:rPr>
        <w:t>JAMA</w:t>
      </w:r>
      <w:r w:rsidRPr="00184B6F">
        <w:rPr>
          <w:rFonts w:asciiTheme="minorHAnsi" w:hAnsiTheme="minorHAnsi"/>
        </w:rPr>
        <w:t>, vol. 279, no. 16, Apr 22-29, pp. 1278-1281.</w:t>
      </w:r>
    </w:p>
    <w:bookmarkEnd w:id="99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98" w:name="_ENREF_317"/>
      <w:r w:rsidRPr="00184B6F">
        <w:rPr>
          <w:rFonts w:asciiTheme="minorHAnsi" w:hAnsiTheme="minorHAnsi"/>
        </w:rPr>
        <w:t xml:space="preserve">White, W 2013, </w:t>
      </w:r>
      <w:r w:rsidRPr="00184B6F">
        <w:rPr>
          <w:rFonts w:asciiTheme="minorHAnsi" w:hAnsiTheme="minorHAnsi"/>
          <w:i/>
        </w:rPr>
        <w:t>The bright future of orphan drugs</w:t>
      </w:r>
      <w:r w:rsidRPr="00184B6F">
        <w:rPr>
          <w:rFonts w:asciiTheme="minorHAnsi" w:hAnsiTheme="minorHAnsi"/>
        </w:rPr>
        <w:t>, Siren Interactive, , Chicago, IL, viewed 26th November 2014, &lt;</w:t>
      </w:r>
      <w:r w:rsidRPr="00A62C97">
        <w:rPr>
          <w:rFonts w:asciiTheme="minorHAnsi" w:hAnsiTheme="minorHAnsi"/>
        </w:rPr>
        <w:t>http://www.sireninteractive.com/sirensong/the-bright-future-of-orphan-drugs/&gt;</w:t>
      </w:r>
      <w:r w:rsidRPr="00184B6F">
        <w:rPr>
          <w:rFonts w:asciiTheme="minorHAnsi" w:hAnsiTheme="minorHAnsi"/>
        </w:rPr>
        <w:t>.</w:t>
      </w:r>
    </w:p>
    <w:bookmarkEnd w:id="99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999" w:name="_ENREF_318"/>
      <w:r w:rsidRPr="00184B6F">
        <w:rPr>
          <w:rFonts w:asciiTheme="minorHAnsi" w:hAnsiTheme="minorHAnsi"/>
        </w:rPr>
        <w:lastRenderedPageBreak/>
        <w:t xml:space="preserve">Wilcken, B 2001, 'Rare diseases and the assessment of intervention: what sorts of clinical trials can we use?', </w:t>
      </w:r>
      <w:r w:rsidRPr="00184B6F">
        <w:rPr>
          <w:rFonts w:asciiTheme="minorHAnsi" w:hAnsiTheme="minorHAnsi"/>
          <w:i/>
        </w:rPr>
        <w:t>J Inherit Metab Dis</w:t>
      </w:r>
      <w:r w:rsidRPr="00184B6F">
        <w:rPr>
          <w:rFonts w:asciiTheme="minorHAnsi" w:hAnsiTheme="minorHAnsi"/>
        </w:rPr>
        <w:t>, vol. 24, no. 2, Apr, pp. 291-298.</w:t>
      </w:r>
    </w:p>
    <w:bookmarkEnd w:id="99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1000" w:name="_ENREF_319"/>
      <w:r w:rsidRPr="00184B6F">
        <w:rPr>
          <w:rFonts w:asciiTheme="minorHAnsi" w:hAnsiTheme="minorHAnsi"/>
        </w:rPr>
        <w:t xml:space="preserve">Wilcox, WR, Banikazemi, M, Guffon, N, Waldek, S, Lee, P, Linthorst, GE, Desnick, RJ &amp; Germain, DP 2004, 'Long-term safety and efficacy of enzyme replacement therapy for Fabry disease', </w:t>
      </w:r>
      <w:r w:rsidRPr="00184B6F">
        <w:rPr>
          <w:rFonts w:asciiTheme="minorHAnsi" w:hAnsiTheme="minorHAnsi"/>
          <w:i/>
        </w:rPr>
        <w:t>Am J Hum Genet</w:t>
      </w:r>
      <w:r w:rsidRPr="00184B6F">
        <w:rPr>
          <w:rFonts w:asciiTheme="minorHAnsi" w:hAnsiTheme="minorHAnsi"/>
        </w:rPr>
        <w:t>, vol. 75, no. 1, Jul, pp. 65-74.</w:t>
      </w:r>
    </w:p>
    <w:bookmarkEnd w:id="100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1001" w:name="_ENREF_320"/>
      <w:r w:rsidRPr="00184B6F">
        <w:rPr>
          <w:rFonts w:asciiTheme="minorHAnsi" w:hAnsiTheme="minorHAnsi"/>
        </w:rPr>
        <w:t xml:space="preserve">Winkel, LP, Hagemans, ML, van Doorn, PA, Loonen, MC, Hop, WJ, Reuser, AJ &amp; van der Ploeg, AT 2005, 'The natural course of non-classic Pompe's disease; a review of 225 published cases', </w:t>
      </w:r>
      <w:r w:rsidRPr="00184B6F">
        <w:rPr>
          <w:rFonts w:asciiTheme="minorHAnsi" w:hAnsiTheme="minorHAnsi"/>
          <w:i/>
        </w:rPr>
        <w:t>J Neurol</w:t>
      </w:r>
      <w:r w:rsidRPr="00184B6F">
        <w:rPr>
          <w:rFonts w:asciiTheme="minorHAnsi" w:hAnsiTheme="minorHAnsi"/>
        </w:rPr>
        <w:t>, vol. 252, no. 8, Aug, pp. 875-884.</w:t>
      </w:r>
    </w:p>
    <w:bookmarkEnd w:id="100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1002" w:name="_ENREF_321"/>
      <w:r w:rsidRPr="00184B6F">
        <w:rPr>
          <w:rFonts w:asciiTheme="minorHAnsi" w:hAnsiTheme="minorHAnsi"/>
        </w:rPr>
        <w:t xml:space="preserve">Winkel, LPF, Van den Hout, JMP, Kamphoven, JHJ, Disseldorp, JAM, Remmerswaal, M, Arts, WFM, Loonen, MCB, Vulto, AG, Van Doorn, PA, De Jong, G, Hop, W, Smit, GPA, Shapira, SK, Boer, MA, van Diggelen, OP, Reuser, AJJ &amp; Van der Ploeg, AT 2004, 'Enzyme replacement therapy in late-onset Pompe's disease: A three-year follow-up', </w:t>
      </w:r>
      <w:r w:rsidRPr="00184B6F">
        <w:rPr>
          <w:rFonts w:asciiTheme="minorHAnsi" w:hAnsiTheme="minorHAnsi"/>
          <w:i/>
        </w:rPr>
        <w:t>Annals of Neurology</w:t>
      </w:r>
      <w:r w:rsidRPr="00184B6F">
        <w:rPr>
          <w:rFonts w:asciiTheme="minorHAnsi" w:hAnsiTheme="minorHAnsi"/>
        </w:rPr>
        <w:t>, vol. 55, no. 4, Apr, pp. 495-502.</w:t>
      </w:r>
    </w:p>
    <w:bookmarkEnd w:id="1002"/>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1003" w:name="_ENREF_322"/>
      <w:r w:rsidRPr="00184B6F">
        <w:rPr>
          <w:rFonts w:asciiTheme="minorHAnsi" w:hAnsiTheme="minorHAnsi"/>
        </w:rPr>
        <w:t xml:space="preserve">Wlodarczyk, J, Reid, CM &amp; Pater, G 2011, 'Funding linked to ongoing research: impact of the bosentan patient registry on pricing in Australia', </w:t>
      </w:r>
      <w:r w:rsidRPr="00184B6F">
        <w:rPr>
          <w:rFonts w:asciiTheme="minorHAnsi" w:hAnsiTheme="minorHAnsi"/>
          <w:i/>
        </w:rPr>
        <w:t>Value Health</w:t>
      </w:r>
      <w:r w:rsidRPr="00184B6F">
        <w:rPr>
          <w:rFonts w:asciiTheme="minorHAnsi" w:hAnsiTheme="minorHAnsi"/>
        </w:rPr>
        <w:t>, vol. 14, no. 6, Sep-Oct, pp. 961-963.</w:t>
      </w:r>
    </w:p>
    <w:bookmarkEnd w:id="1003"/>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1004" w:name="_ENREF_323"/>
      <w:r w:rsidRPr="00184B6F">
        <w:rPr>
          <w:rFonts w:asciiTheme="minorHAnsi" w:hAnsiTheme="minorHAnsi"/>
        </w:rPr>
        <w:t xml:space="preserve">Woodcock, J 2012, 'The Future of Orphan Drug Development', </w:t>
      </w:r>
      <w:r w:rsidRPr="00184B6F">
        <w:rPr>
          <w:rFonts w:asciiTheme="minorHAnsi" w:hAnsiTheme="minorHAnsi"/>
          <w:i/>
        </w:rPr>
        <w:t>Clinical Pharmacology &amp; Therapeutics</w:t>
      </w:r>
      <w:r w:rsidRPr="00184B6F">
        <w:rPr>
          <w:rFonts w:asciiTheme="minorHAnsi" w:hAnsiTheme="minorHAnsi"/>
        </w:rPr>
        <w:t>, vol. 92, no. 2, pp. 146-148.</w:t>
      </w:r>
    </w:p>
    <w:bookmarkEnd w:id="1004"/>
    <w:p w:rsidR="00184B6F" w:rsidRPr="00184B6F" w:rsidRDefault="00184B6F" w:rsidP="00184B6F">
      <w:pPr>
        <w:pStyle w:val="EndNoteBibliography"/>
        <w:spacing w:after="0"/>
        <w:rPr>
          <w:rFonts w:asciiTheme="minorHAnsi" w:hAnsiTheme="minorHAnsi"/>
        </w:rPr>
      </w:pPr>
    </w:p>
    <w:p w:rsidR="00184B6F" w:rsidRPr="00184B6F" w:rsidRDefault="00184B6F" w:rsidP="00A82D5C">
      <w:pPr>
        <w:pStyle w:val="EndNoteBibliography"/>
        <w:spacing w:after="0"/>
        <w:jc w:val="left"/>
        <w:rPr>
          <w:rFonts w:asciiTheme="minorHAnsi" w:hAnsiTheme="minorHAnsi"/>
        </w:rPr>
      </w:pPr>
      <w:bookmarkStart w:id="1005" w:name="_ENREF_324"/>
      <w:r w:rsidRPr="00184B6F">
        <w:rPr>
          <w:rFonts w:asciiTheme="minorHAnsi" w:hAnsiTheme="minorHAnsi"/>
        </w:rPr>
        <w:t xml:space="preserve">Wraith, JE, Clarke, LA, Beck, M, Kolodny, EH, Pastores, GM, Muenzer, J, Rapoport, DM, Berger, KI, Swiedler, SJ, Kakkis, ED, Braakman, T, Chadbourne, E, Walton-Bowen, K &amp; Cox, GF 2004, 'Enzyme replacement therapy for mucopolysaccharidosis I: a randomized, double-blinded, placebo-controlled, multinational study of recombinant human alpha-L-iduronidase (laronidase)', </w:t>
      </w:r>
      <w:r w:rsidRPr="00184B6F">
        <w:rPr>
          <w:rFonts w:asciiTheme="minorHAnsi" w:hAnsiTheme="minorHAnsi"/>
          <w:i/>
        </w:rPr>
        <w:t>Journal of Pediatrics</w:t>
      </w:r>
      <w:r w:rsidRPr="00184B6F">
        <w:rPr>
          <w:rFonts w:asciiTheme="minorHAnsi" w:hAnsiTheme="minorHAnsi"/>
        </w:rPr>
        <w:t>, vol. 144, no. 5, pp. 581-588, DOI 10.1016/j.jpeds.2004.01.046, &lt;</w:t>
      </w:r>
      <w:r w:rsidRPr="00A62C97">
        <w:rPr>
          <w:rFonts w:asciiTheme="minorHAnsi" w:hAnsiTheme="minorHAnsi"/>
        </w:rPr>
        <w:t>http://onlinelibrary.wiley.com/o/cochrane/clcentral/articles/621/CN-00469621/frame.html&gt;</w:t>
      </w:r>
      <w:r w:rsidRPr="00184B6F">
        <w:rPr>
          <w:rFonts w:asciiTheme="minorHAnsi" w:hAnsiTheme="minorHAnsi"/>
        </w:rPr>
        <w:t>.</w:t>
      </w:r>
    </w:p>
    <w:bookmarkEnd w:id="1005"/>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1006" w:name="_ENREF_325"/>
      <w:r w:rsidRPr="00184B6F">
        <w:rPr>
          <w:rFonts w:asciiTheme="minorHAnsi" w:hAnsiTheme="minorHAnsi"/>
        </w:rPr>
        <w:t xml:space="preserve">Wraith, JE &amp; Jones, S 2014, 'Mucopolysaccharidosis type I', </w:t>
      </w:r>
      <w:r w:rsidRPr="00184B6F">
        <w:rPr>
          <w:rFonts w:asciiTheme="minorHAnsi" w:hAnsiTheme="minorHAnsi"/>
          <w:i/>
        </w:rPr>
        <w:t>Pediatr Endocrinol Rev</w:t>
      </w:r>
      <w:r w:rsidRPr="00184B6F">
        <w:rPr>
          <w:rFonts w:asciiTheme="minorHAnsi" w:hAnsiTheme="minorHAnsi"/>
        </w:rPr>
        <w:t>, vol. 12 Suppl 1, Sep, pp. 102-106.</w:t>
      </w:r>
    </w:p>
    <w:bookmarkEnd w:id="1006"/>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1007" w:name="_ENREF_326"/>
      <w:r w:rsidRPr="00184B6F">
        <w:rPr>
          <w:rFonts w:asciiTheme="minorHAnsi" w:hAnsiTheme="minorHAnsi"/>
        </w:rPr>
        <w:t xml:space="preserve">Wraith, JE, Scarpa, M, Beck, M, Bodamer, OA, De Meirleir, L, Guffon, N, Meldgaard Lund, A, Malm, G, Van der Ploeg, AT &amp; Zeman, J 2008, 'Mucopolysaccharidosis type II (Hunter syndrome): a clinical review and recommendations for treatment in the era of enzyme replacement therapy', </w:t>
      </w:r>
      <w:r w:rsidRPr="00184B6F">
        <w:rPr>
          <w:rFonts w:asciiTheme="minorHAnsi" w:hAnsiTheme="minorHAnsi"/>
          <w:i/>
        </w:rPr>
        <w:t>European Journal of Pediatrics</w:t>
      </w:r>
      <w:r w:rsidRPr="00184B6F">
        <w:rPr>
          <w:rFonts w:asciiTheme="minorHAnsi" w:hAnsiTheme="minorHAnsi"/>
        </w:rPr>
        <w:t>, vol. 167, no. 3, 11/23</w:t>
      </w:r>
    </w:p>
    <w:p w:rsidR="00184B6F" w:rsidRPr="00184B6F" w:rsidRDefault="00184B6F" w:rsidP="00184B6F">
      <w:pPr>
        <w:pStyle w:val="EndNoteBibliography"/>
        <w:spacing w:after="0"/>
        <w:rPr>
          <w:rFonts w:asciiTheme="minorHAnsi" w:hAnsiTheme="minorHAnsi"/>
        </w:rPr>
      </w:pPr>
      <w:r w:rsidRPr="00184B6F">
        <w:rPr>
          <w:rFonts w:asciiTheme="minorHAnsi" w:hAnsiTheme="minorHAnsi"/>
        </w:rPr>
        <w:t>06/22/received</w:t>
      </w:r>
    </w:p>
    <w:p w:rsidR="00184B6F" w:rsidRPr="00184B6F" w:rsidRDefault="00184B6F" w:rsidP="00184B6F">
      <w:pPr>
        <w:pStyle w:val="EndNoteBibliography"/>
        <w:spacing w:after="0"/>
        <w:rPr>
          <w:rFonts w:asciiTheme="minorHAnsi" w:hAnsiTheme="minorHAnsi"/>
        </w:rPr>
      </w:pPr>
      <w:r w:rsidRPr="00184B6F">
        <w:rPr>
          <w:rFonts w:asciiTheme="minorHAnsi" w:hAnsiTheme="minorHAnsi"/>
        </w:rPr>
        <w:t>10/29/revised</w:t>
      </w:r>
    </w:p>
    <w:p w:rsidR="00184B6F" w:rsidRPr="00184B6F" w:rsidRDefault="00184B6F" w:rsidP="00184B6F">
      <w:pPr>
        <w:pStyle w:val="EndNoteBibliography"/>
        <w:spacing w:after="0"/>
        <w:rPr>
          <w:rFonts w:asciiTheme="minorHAnsi" w:hAnsiTheme="minorHAnsi"/>
        </w:rPr>
      </w:pPr>
      <w:r w:rsidRPr="00184B6F">
        <w:rPr>
          <w:rFonts w:asciiTheme="minorHAnsi" w:hAnsiTheme="minorHAnsi"/>
        </w:rPr>
        <w:t>10/29/accepted, pp. 267-277.</w:t>
      </w:r>
    </w:p>
    <w:bookmarkEnd w:id="1007"/>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1008" w:name="_ENREF_327"/>
      <w:r w:rsidRPr="00184B6F">
        <w:rPr>
          <w:rFonts w:asciiTheme="minorHAnsi" w:hAnsiTheme="minorHAnsi"/>
        </w:rPr>
        <w:t>Wyatt, K, Henley, W, Anderson, L, Anderson, R, Nikolaou, V, Stein, K, Klinger, L, Hughes, D, Waldek, S, Lachmann, R, Mehta, A, Vellodi, A &amp; Logan, S 2012a, 'The effectiveness and cost-</w:t>
      </w:r>
      <w:r w:rsidRPr="00184B6F">
        <w:rPr>
          <w:rFonts w:asciiTheme="minorHAnsi" w:hAnsiTheme="minorHAnsi"/>
        </w:rPr>
        <w:lastRenderedPageBreak/>
        <w:t xml:space="preserve">effectiveness of enzyme and substrate replacement therapies: a longitudinal cohort study of people with lysosomal storage disorders', </w:t>
      </w:r>
      <w:r w:rsidRPr="00184B6F">
        <w:rPr>
          <w:rFonts w:asciiTheme="minorHAnsi" w:hAnsiTheme="minorHAnsi"/>
          <w:i/>
        </w:rPr>
        <w:t>Health Technol Assess</w:t>
      </w:r>
      <w:r w:rsidRPr="00184B6F">
        <w:rPr>
          <w:rFonts w:asciiTheme="minorHAnsi" w:hAnsiTheme="minorHAnsi"/>
        </w:rPr>
        <w:t>, vol. 16, no. 39, pp. 1-543.</w:t>
      </w:r>
    </w:p>
    <w:bookmarkEnd w:id="1008"/>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1009" w:name="_ENREF_328"/>
      <w:r w:rsidRPr="00184B6F">
        <w:rPr>
          <w:rFonts w:asciiTheme="minorHAnsi" w:hAnsiTheme="minorHAnsi"/>
        </w:rPr>
        <w:t xml:space="preserve">Wyatt, K, Henley, W, Anderson, L, Anderson, R, Nikolaou, V, Stein, K, Klinger, L, Hughes, D, Waldek, S, Lachmann, R, Mehta, A, Vellodi, A &amp; Logan, S 2012b, 'The effectiveness and cost-effectiveness of enzyme and substrate replacement therapies: a longitudinal cohort study of people with lysosomal storage disorders', </w:t>
      </w:r>
      <w:r w:rsidRPr="00184B6F">
        <w:rPr>
          <w:rFonts w:asciiTheme="minorHAnsi" w:hAnsiTheme="minorHAnsi"/>
          <w:i/>
        </w:rPr>
        <w:t>Health Technology Assessment</w:t>
      </w:r>
      <w:r w:rsidRPr="00184B6F">
        <w:rPr>
          <w:rFonts w:asciiTheme="minorHAnsi" w:hAnsiTheme="minorHAnsi"/>
        </w:rPr>
        <w:t>, vol. 16, no. 39, pp. 1-543.</w:t>
      </w:r>
    </w:p>
    <w:bookmarkEnd w:id="1009"/>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1010" w:name="_ENREF_329"/>
      <w:r w:rsidRPr="00184B6F">
        <w:rPr>
          <w:rFonts w:asciiTheme="minorHAnsi" w:hAnsiTheme="minorHAnsi"/>
        </w:rPr>
        <w:t xml:space="preserve">Yang, C-C, Chien, Y-H, Lee, N-C, Chiang, S-C, Lin, S-P, Kuo, Y-T, Chen, S-S, Jong, Y-J &amp; Hwu, W-L 2011, 'Rapid progressive course of later-onset Pompe disease in Chinese patients', </w:t>
      </w:r>
      <w:r w:rsidRPr="00184B6F">
        <w:rPr>
          <w:rFonts w:asciiTheme="minorHAnsi" w:hAnsiTheme="minorHAnsi"/>
          <w:i/>
        </w:rPr>
        <w:t>Molecular Genetics and Metabolism</w:t>
      </w:r>
      <w:r w:rsidRPr="00184B6F">
        <w:rPr>
          <w:rFonts w:asciiTheme="minorHAnsi" w:hAnsiTheme="minorHAnsi"/>
        </w:rPr>
        <w:t>, vol. 104, no. 3, Nov, pp. 284-288.</w:t>
      </w:r>
    </w:p>
    <w:bookmarkEnd w:id="1010"/>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1011" w:name="_ENREF_330"/>
      <w:r w:rsidRPr="00184B6F">
        <w:rPr>
          <w:rFonts w:asciiTheme="minorHAnsi" w:hAnsiTheme="minorHAnsi"/>
        </w:rPr>
        <w:t xml:space="preserve">Youngkong, S, Baltussen, R, Tantivess, S, Mohara, A &amp; Teerawattananon, Y 2012, 'Multicriteria decision analysis for including health interventions in the universal health coverage benefit package in Thailand', </w:t>
      </w:r>
      <w:r w:rsidRPr="00184B6F">
        <w:rPr>
          <w:rFonts w:asciiTheme="minorHAnsi" w:hAnsiTheme="minorHAnsi"/>
          <w:i/>
        </w:rPr>
        <w:t>Value Health</w:t>
      </w:r>
      <w:r w:rsidRPr="00184B6F">
        <w:rPr>
          <w:rFonts w:asciiTheme="minorHAnsi" w:hAnsiTheme="minorHAnsi"/>
        </w:rPr>
        <w:t>, vol. 15, no. 6, Sep-Oct, pp. 961-970.</w:t>
      </w:r>
    </w:p>
    <w:bookmarkEnd w:id="1011"/>
    <w:p w:rsidR="00184B6F" w:rsidRPr="00184B6F" w:rsidRDefault="00184B6F" w:rsidP="00184B6F">
      <w:pPr>
        <w:pStyle w:val="EndNoteBibliography"/>
        <w:spacing w:after="0"/>
        <w:rPr>
          <w:rFonts w:asciiTheme="minorHAnsi" w:hAnsiTheme="minorHAnsi"/>
        </w:rPr>
      </w:pPr>
    </w:p>
    <w:p w:rsidR="00184B6F" w:rsidRPr="00184B6F" w:rsidRDefault="00184B6F" w:rsidP="00184B6F">
      <w:pPr>
        <w:pStyle w:val="EndNoteBibliography"/>
        <w:spacing w:after="0"/>
        <w:rPr>
          <w:rFonts w:asciiTheme="minorHAnsi" w:hAnsiTheme="minorHAnsi"/>
        </w:rPr>
      </w:pPr>
      <w:bookmarkStart w:id="1012" w:name="_ENREF_331"/>
      <w:r w:rsidRPr="00184B6F">
        <w:rPr>
          <w:rFonts w:asciiTheme="minorHAnsi" w:hAnsiTheme="minorHAnsi"/>
        </w:rPr>
        <w:t xml:space="preserve">Zimran, A, Morris, E, Mengel, E, Kaplan, P, Belmatoug, N, Hughes, DA, Malinova, V, Heitner, R, Sobreira, E, Mrsic, M, Granovsky-Grisaru, S, Amato, D &amp; vom, D 2009, 'The female Gaucher patient: the impact of enzyme replacement therapy around key reproductive events (menstruation, pregnancy and menopause)', </w:t>
      </w:r>
      <w:r w:rsidRPr="00184B6F">
        <w:rPr>
          <w:rFonts w:asciiTheme="minorHAnsi" w:hAnsiTheme="minorHAnsi"/>
          <w:i/>
        </w:rPr>
        <w:t>Blood Cells Mol Dis</w:t>
      </w:r>
      <w:r w:rsidRPr="00184B6F">
        <w:rPr>
          <w:rFonts w:asciiTheme="minorHAnsi" w:hAnsiTheme="minorHAnsi"/>
        </w:rPr>
        <w:t>, vol. 43, pp. 264-288.</w:t>
      </w:r>
    </w:p>
    <w:bookmarkEnd w:id="1012"/>
    <w:p w:rsidR="00184B6F" w:rsidRPr="00184B6F" w:rsidRDefault="00184B6F" w:rsidP="00184B6F">
      <w:pPr>
        <w:pStyle w:val="EndNoteBibliography"/>
        <w:spacing w:after="0"/>
        <w:rPr>
          <w:rFonts w:asciiTheme="minorHAnsi" w:hAnsiTheme="minorHAnsi"/>
        </w:rPr>
      </w:pPr>
    </w:p>
    <w:p w:rsidR="00092F60" w:rsidRPr="00097B8D" w:rsidRDefault="00092F60" w:rsidP="00184B6F">
      <w:pPr>
        <w:spacing w:after="0" w:line="240" w:lineRule="auto"/>
        <w:rPr>
          <w:rFonts w:asciiTheme="minorHAnsi" w:hAnsiTheme="minorHAnsi" w:cstheme="minorHAnsi"/>
        </w:rPr>
      </w:pPr>
    </w:p>
    <w:p w:rsidR="00092F60" w:rsidRDefault="00092F60" w:rsidP="00DB4EE8">
      <w:pPr>
        <w:pStyle w:val="Heading1"/>
        <w:numPr>
          <w:ilvl w:val="0"/>
          <w:numId w:val="0"/>
        </w:numPr>
      </w:pPr>
      <w:r w:rsidRPr="004F486E">
        <w:br w:type="page"/>
      </w:r>
      <w:bookmarkStart w:id="1013" w:name="_Toc358277793"/>
      <w:bookmarkStart w:id="1014" w:name="_Toc404937339"/>
      <w:bookmarkStart w:id="1015" w:name="_Toc415141766"/>
      <w:bookmarkStart w:id="1016" w:name="_Ref335987918"/>
      <w:r w:rsidRPr="004F486E">
        <w:lastRenderedPageBreak/>
        <w:t>GLOSSARY AND ABBREVIATIONS</w:t>
      </w:r>
      <w:bookmarkEnd w:id="1013"/>
      <w:bookmarkEnd w:id="1014"/>
      <w:bookmarkEnd w:id="1015"/>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9"/>
        <w:gridCol w:w="5222"/>
      </w:tblGrid>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3MSC</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3-minute stair climb</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6MWT</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6-minute walk test</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12MWT</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12-minute walk test</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ADR</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Adverse drug reaction</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AE</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Adverse event</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AHI</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Apnoea/hypopnea index</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AMSTAR</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Assessing the Methodological Quality of Systematic Reviews</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CRIM</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Cross-reactive immunologic material</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ECG</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Electrocardiogram</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eGFR</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estimated glomerular filtration rate</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EOW</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Every other week</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ERT</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Enzyme replacement therapy</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FDA</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Food and Drug Administration</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FVC</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Forced vital capacity</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GAG</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Glycosaminoglycans</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GFR</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Glomerular filtration rate</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GRADE</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Grading of Recommendations Assessment, Development and Evaluation</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Hb</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Haemoglobin</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HS</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Horizon Scanning</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IAR</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Infusion associated reaction</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INAHTA</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International Network of Agencies for Health Technology Assessment</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ITI</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Immune tolerance induction</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ITT</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Intention to treat</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IV</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Intravenously</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LSDP</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Life Saving Drugs Programme</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LVMI</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Left ventricular mass index</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lastRenderedPageBreak/>
              <w:t>MD</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Mean difference</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NHMRC</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National Health and Medical Research Council</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NR</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Not reported</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NS</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Not significant</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PBAC  </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Pharmaceutical Benefits Advisory Committee</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PBPA</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Pharmaceutical Benefits Pricing Authority</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PI</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TGA-approved Product Information</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PNH</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Paroxysmal nocturnal haematuria</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RCT</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randomised controlled trial</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RR</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Relative risk</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SD</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Standard deviation</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SE</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Standard error</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SR</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Systematic review</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TE</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thromboembolic</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TEAEs</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treatment emergent adverse events</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TGA</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Therapeutic Goods Administration</w:t>
            </w:r>
          </w:p>
        </w:tc>
      </w:tr>
      <w:tr w:rsidR="00216CD4" w:rsidRPr="00A82D5C" w:rsidTr="00216CD4">
        <w:trPr>
          <w:tblCellSpacing w:w="15" w:type="dxa"/>
        </w:trPr>
        <w:tc>
          <w:tcPr>
            <w:tcW w:w="874"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ToR</w:t>
            </w:r>
          </w:p>
        </w:tc>
        <w:tc>
          <w:tcPr>
            <w:tcW w:w="5177" w:type="dxa"/>
            <w:vAlign w:val="center"/>
            <w:hideMark/>
          </w:tcPr>
          <w:p w:rsidR="00216CD4" w:rsidRPr="00A82D5C" w:rsidRDefault="00216CD4" w:rsidP="00216CD4">
            <w:pPr>
              <w:pStyle w:val="TableText0"/>
              <w:rPr>
                <w:rFonts w:asciiTheme="minorHAnsi" w:hAnsiTheme="minorHAnsi"/>
                <w:sz w:val="22"/>
                <w:szCs w:val="22"/>
                <w:lang w:eastAsia="en-AU"/>
              </w:rPr>
            </w:pPr>
            <w:r w:rsidRPr="00A82D5C">
              <w:rPr>
                <w:rFonts w:asciiTheme="minorHAnsi" w:hAnsiTheme="minorHAnsi"/>
                <w:sz w:val="22"/>
                <w:szCs w:val="22"/>
                <w:lang w:eastAsia="en-AU"/>
              </w:rPr>
              <w:t>Term(s) of Reference</w:t>
            </w:r>
          </w:p>
        </w:tc>
      </w:tr>
    </w:tbl>
    <w:p w:rsidR="00092F60" w:rsidRPr="004F486E" w:rsidRDefault="00092F60" w:rsidP="00092F60">
      <w:pPr>
        <w:spacing w:after="0" w:line="240" w:lineRule="auto"/>
        <w:rPr>
          <w:sz w:val="22"/>
          <w:szCs w:val="22"/>
        </w:rPr>
      </w:pPr>
      <w:r w:rsidRPr="004F486E">
        <w:rPr>
          <w:sz w:val="22"/>
          <w:szCs w:val="22"/>
        </w:rPr>
        <w:br w:type="page"/>
      </w:r>
    </w:p>
    <w:p w:rsidR="00092F60" w:rsidRPr="004F486E" w:rsidRDefault="00092F60" w:rsidP="00DB4EE8">
      <w:pPr>
        <w:pStyle w:val="Heading1"/>
        <w:numPr>
          <w:ilvl w:val="0"/>
          <w:numId w:val="0"/>
        </w:numPr>
      </w:pPr>
      <w:bookmarkStart w:id="1017" w:name="_Ref363217411"/>
      <w:bookmarkStart w:id="1018" w:name="_Toc404937342"/>
      <w:bookmarkStart w:id="1019" w:name="_Toc415141767"/>
      <w:r w:rsidRPr="004F486E">
        <w:lastRenderedPageBreak/>
        <w:t xml:space="preserve">APPENDIX </w:t>
      </w:r>
      <w:r w:rsidR="00A72B26">
        <w:t>A</w:t>
      </w:r>
      <w:bookmarkEnd w:id="1016"/>
      <w:bookmarkEnd w:id="1017"/>
      <w:r w:rsidRPr="004F486E">
        <w:t xml:space="preserve"> </w:t>
      </w:r>
      <w:r>
        <w:tab/>
        <w:t xml:space="preserve">2009 </w:t>
      </w:r>
      <w:r w:rsidRPr="00864581">
        <w:t>Outcomes of Life Saving Drugs Program</w:t>
      </w:r>
      <w:r>
        <w:t>me</w:t>
      </w:r>
      <w:r w:rsidRPr="00864581">
        <w:t xml:space="preserve"> Review</w:t>
      </w:r>
      <w:bookmarkEnd w:id="1018"/>
      <w:bookmarkEnd w:id="1019"/>
    </w:p>
    <w:p w:rsidR="00092F60" w:rsidRPr="00864581" w:rsidRDefault="00092F60" w:rsidP="00D60032">
      <w:pPr>
        <w:pStyle w:val="Heading2"/>
        <w:numPr>
          <w:ilvl w:val="0"/>
          <w:numId w:val="0"/>
        </w:numPr>
      </w:pPr>
      <w:bookmarkStart w:id="1020" w:name="_Toc394047903"/>
      <w:bookmarkStart w:id="1021" w:name="_Toc394667759"/>
      <w:bookmarkStart w:id="1022" w:name="_Toc394674629"/>
      <w:bookmarkStart w:id="1023" w:name="_Toc404937343"/>
      <w:bookmarkStart w:id="1024" w:name="_Toc415141768"/>
      <w:r w:rsidRPr="00864581">
        <w:t>Background</w:t>
      </w:r>
      <w:bookmarkEnd w:id="1020"/>
      <w:bookmarkEnd w:id="1021"/>
      <w:bookmarkEnd w:id="1022"/>
      <w:bookmarkEnd w:id="1023"/>
      <w:bookmarkEnd w:id="1024"/>
    </w:p>
    <w:p w:rsidR="00092F60" w:rsidRDefault="00092F60" w:rsidP="00092F60">
      <w:pPr>
        <w:rPr>
          <w:lang w:eastAsia="en-AU"/>
        </w:rPr>
      </w:pPr>
      <w:r w:rsidRPr="00864581">
        <w:rPr>
          <w:lang w:eastAsia="en-AU"/>
        </w:rPr>
        <w:t>The Life Saving Drugs Program</w:t>
      </w:r>
      <w:r>
        <w:rPr>
          <w:lang w:eastAsia="en-AU"/>
        </w:rPr>
        <w:t>me</w:t>
      </w:r>
      <w:r w:rsidRPr="00864581">
        <w:rPr>
          <w:lang w:eastAsia="en-AU"/>
        </w:rPr>
        <w:t xml:space="preserve"> (LSDP) provides free access for eligible patients to expensive and lifesaving drugs for serious medical conditions. Drugs included on the LSDP have been shown to be effective in extending the lifespan of patients suffering from life-threatening diseases. There are no other suitable, cost-effective therapies or drugs available through the Pharmaceutical Benefits Scheme (PBS) for the conditions treated under the LSDP.</w:t>
      </w:r>
    </w:p>
    <w:p w:rsidR="00092F60" w:rsidRDefault="00092F60" w:rsidP="00092F60">
      <w:pPr>
        <w:rPr>
          <w:lang w:eastAsia="en-AU"/>
        </w:rPr>
      </w:pPr>
      <w:r w:rsidRPr="00864581">
        <w:rPr>
          <w:lang w:eastAsia="en-AU"/>
        </w:rPr>
        <w:t>In 2009, the Australian Government completed a review of the LSDP. The purpose of the review was to examine the LSDP with a view to establishing consistent and rigorous procedures and ensuring sustainability. The terms of reference for the review specified that it was to be conducted with reference to the Government’s Expenditure Review principles of appropriateness, effectiveness, efficiency, performance assessment, integration and strategic policy alignment.</w:t>
      </w:r>
    </w:p>
    <w:p w:rsidR="00092F60" w:rsidRDefault="00092F60" w:rsidP="00092F60">
      <w:pPr>
        <w:rPr>
          <w:lang w:eastAsia="en-AU"/>
        </w:rPr>
      </w:pPr>
      <w:r w:rsidRPr="00864581">
        <w:rPr>
          <w:lang w:eastAsia="en-AU"/>
        </w:rPr>
        <w:t>The Government has now considered the outcomes of the review and made a number of decisions on how the program</w:t>
      </w:r>
      <w:r>
        <w:rPr>
          <w:lang w:eastAsia="en-AU"/>
        </w:rPr>
        <w:t>me</w:t>
      </w:r>
      <w:r w:rsidRPr="00864581">
        <w:rPr>
          <w:lang w:eastAsia="en-AU"/>
        </w:rPr>
        <w:t xml:space="preserve"> should continue. This paper summarises the outcomes of the review and the Government decisions that have been made. The </w:t>
      </w:r>
      <w:r w:rsidR="00E66055" w:rsidRPr="00864581">
        <w:rPr>
          <w:lang w:eastAsia="en-AU"/>
        </w:rPr>
        <w:t>status of decisions, where relevant, is</w:t>
      </w:r>
      <w:r w:rsidRPr="00864581">
        <w:rPr>
          <w:lang w:eastAsia="en-AU"/>
        </w:rPr>
        <w:t xml:space="preserve"> also described.</w:t>
      </w:r>
    </w:p>
    <w:p w:rsidR="00092F60" w:rsidRDefault="00092F60" w:rsidP="00092F60">
      <w:pPr>
        <w:rPr>
          <w:lang w:eastAsia="en-AU"/>
        </w:rPr>
      </w:pPr>
      <w:r w:rsidRPr="00864581">
        <w:rPr>
          <w:lang w:eastAsia="en-AU"/>
        </w:rPr>
        <w:t>Importantly, the Government has agreed to continue to supply all currently available drugs for eligible patients through the LSDP. The Government’s other decisions largely relate to enhancing performance reporting; strengthening the Government’s ability to negotiate better value for money with medicine suppliers; and improving program</w:t>
      </w:r>
      <w:r>
        <w:rPr>
          <w:lang w:eastAsia="en-AU"/>
        </w:rPr>
        <w:t>me</w:t>
      </w:r>
      <w:r w:rsidRPr="00864581">
        <w:rPr>
          <w:lang w:eastAsia="en-AU"/>
        </w:rPr>
        <w:t xml:space="preserve"> governance and administration.</w:t>
      </w:r>
    </w:p>
    <w:p w:rsidR="00092F60" w:rsidRDefault="00092F60" w:rsidP="00092F60">
      <w:pPr>
        <w:rPr>
          <w:lang w:eastAsia="en-AU"/>
        </w:rPr>
      </w:pPr>
      <w:r w:rsidRPr="00864581">
        <w:rPr>
          <w:lang w:eastAsia="en-AU"/>
        </w:rPr>
        <w:t>The Review was informed by a range of information and views, including clinical literature and research; international policies, guidelines and experiences; and through consultation with many stakeholders in the program</w:t>
      </w:r>
      <w:r>
        <w:rPr>
          <w:lang w:eastAsia="en-AU"/>
        </w:rPr>
        <w:t>me</w:t>
      </w:r>
      <w:r w:rsidRPr="00864581">
        <w:rPr>
          <w:lang w:eastAsia="en-AU"/>
        </w:rPr>
        <w:t>, such as Australian Government Departments, the Pharmaceutical Benefits Advisory Committee (PBAC), the Pharmaceutical Benefits Pricing Authority (PBPA), industry representatives, expert clinicians and consumer representatives.</w:t>
      </w:r>
    </w:p>
    <w:p w:rsidR="00092F60" w:rsidRDefault="00092F60" w:rsidP="00092F60">
      <w:pPr>
        <w:rPr>
          <w:lang w:eastAsia="en-AU"/>
        </w:rPr>
      </w:pPr>
      <w:r w:rsidRPr="00864581">
        <w:rPr>
          <w:lang w:eastAsia="en-AU"/>
        </w:rPr>
        <w:t>Given the breadth of issues explored through the review, and raised independently by stakeholders in consultation and submissions, the Government anticipates giving further consideration to improving the program</w:t>
      </w:r>
      <w:r>
        <w:rPr>
          <w:lang w:eastAsia="en-AU"/>
        </w:rPr>
        <w:t>me</w:t>
      </w:r>
      <w:r w:rsidRPr="00864581">
        <w:rPr>
          <w:lang w:eastAsia="en-AU"/>
        </w:rPr>
        <w:t>’s operations and administration in the future. The Government has noted that stakeholders’ feedback and comments included issues that were outside of the formal terms of reference, and intends to continue to review these matters.</w:t>
      </w:r>
    </w:p>
    <w:p w:rsidR="00092F60" w:rsidRPr="00864581" w:rsidRDefault="00092F60" w:rsidP="00E965BD">
      <w:pPr>
        <w:pStyle w:val="Heading3"/>
      </w:pPr>
      <w:bookmarkStart w:id="1025" w:name="_Toc394047904"/>
      <w:bookmarkStart w:id="1026" w:name="_Toc394667760"/>
      <w:bookmarkStart w:id="1027" w:name="_Toc394674630"/>
      <w:bookmarkStart w:id="1028" w:name="_Toc404937344"/>
      <w:r w:rsidRPr="00864581">
        <w:lastRenderedPageBreak/>
        <w:t>The appropriateness of the LSDP</w:t>
      </w:r>
      <w:bookmarkEnd w:id="1025"/>
      <w:bookmarkEnd w:id="1026"/>
      <w:bookmarkEnd w:id="1027"/>
      <w:bookmarkEnd w:id="1028"/>
    </w:p>
    <w:p w:rsidR="00092F60" w:rsidRPr="00864581" w:rsidRDefault="00092F60" w:rsidP="00E965BD">
      <w:pPr>
        <w:pStyle w:val="Headings4"/>
      </w:pPr>
      <w:bookmarkStart w:id="1029" w:name="_Toc394047905"/>
      <w:bookmarkStart w:id="1030" w:name="_Toc394667761"/>
      <w:bookmarkStart w:id="1031" w:name="_Toc394674631"/>
      <w:bookmarkStart w:id="1032" w:name="_Toc404937345"/>
      <w:r w:rsidRPr="00864581">
        <w:t>Scope</w:t>
      </w:r>
      <w:bookmarkEnd w:id="1029"/>
      <w:bookmarkEnd w:id="1030"/>
      <w:bookmarkEnd w:id="1031"/>
      <w:bookmarkEnd w:id="1032"/>
    </w:p>
    <w:p w:rsidR="00092F60" w:rsidRDefault="00092F60" w:rsidP="00092F60">
      <w:pPr>
        <w:rPr>
          <w:lang w:eastAsia="en-AU"/>
        </w:rPr>
      </w:pPr>
      <w:r w:rsidRPr="00864581">
        <w:rPr>
          <w:lang w:eastAsia="en-AU"/>
        </w:rPr>
        <w:t>The eligibility criteria for the LSDP do not place any restrictions on the range of</w:t>
      </w:r>
      <w:r>
        <w:rPr>
          <w:lang w:eastAsia="en-AU"/>
        </w:rPr>
        <w:t xml:space="preserve"> </w:t>
      </w:r>
      <w:r w:rsidRPr="00864581">
        <w:rPr>
          <w:lang w:eastAsia="en-AU"/>
        </w:rPr>
        <w:t>conditions to be treated or the types of pharmaceutical therapies. However, at the time of the</w:t>
      </w:r>
      <w:r>
        <w:rPr>
          <w:lang w:eastAsia="en-AU"/>
        </w:rPr>
        <w:t xml:space="preserve"> </w:t>
      </w:r>
      <w:r w:rsidRPr="00864581">
        <w:rPr>
          <w:lang w:eastAsia="en-AU"/>
        </w:rPr>
        <w:t>review, the Program</w:t>
      </w:r>
      <w:r>
        <w:rPr>
          <w:lang w:eastAsia="en-AU"/>
        </w:rPr>
        <w:t>me</w:t>
      </w:r>
      <w:r w:rsidRPr="00864581">
        <w:rPr>
          <w:lang w:eastAsia="en-AU"/>
        </w:rPr>
        <w:t xml:space="preserve"> had funded six enzyme replacement therapies (ERTs) for about 150 patients with five separate lysosomal storage disorders, which are rare inherited enzyme deficiencies.</w:t>
      </w:r>
    </w:p>
    <w:p w:rsidR="00092F60" w:rsidRDefault="00092F60" w:rsidP="00092F60">
      <w:pPr>
        <w:rPr>
          <w:lang w:eastAsia="en-AU"/>
        </w:rPr>
      </w:pPr>
      <w:r w:rsidRPr="00864581">
        <w:rPr>
          <w:lang w:eastAsia="en-AU"/>
        </w:rPr>
        <w:t xml:space="preserve">Since then, in September 2009, the Government added Zavesca® (miglustat), an oral therapy, to the LSDP for the treatment of certain patients with </w:t>
      </w:r>
      <w:proofErr w:type="gramStart"/>
      <w:r w:rsidRPr="00864581">
        <w:rPr>
          <w:lang w:eastAsia="en-AU"/>
        </w:rPr>
        <w:t>Gaucher</w:t>
      </w:r>
      <w:proofErr w:type="gramEnd"/>
      <w:r w:rsidRPr="00864581">
        <w:rPr>
          <w:lang w:eastAsia="en-AU"/>
        </w:rPr>
        <w:t xml:space="preserve"> disease (in addition to the existing ERT that is available through the LSDP for eligible patients with Gaucher disease).</w:t>
      </w:r>
    </w:p>
    <w:p w:rsidR="00092F60" w:rsidRDefault="00092F60" w:rsidP="00092F60">
      <w:pPr>
        <w:rPr>
          <w:lang w:eastAsia="en-AU"/>
        </w:rPr>
      </w:pPr>
      <w:r w:rsidRPr="00864581">
        <w:rPr>
          <w:lang w:eastAsia="en-AU"/>
        </w:rPr>
        <w:t>No decisions have been made to limit or expand the scope of the program</w:t>
      </w:r>
      <w:r>
        <w:rPr>
          <w:lang w:eastAsia="en-AU"/>
        </w:rPr>
        <w:t>me</w:t>
      </w:r>
      <w:r w:rsidRPr="00864581">
        <w:rPr>
          <w:lang w:eastAsia="en-AU"/>
        </w:rPr>
        <w:t>.</w:t>
      </w:r>
    </w:p>
    <w:p w:rsidR="00092F60" w:rsidRPr="00864581" w:rsidRDefault="00092F60" w:rsidP="00E965BD">
      <w:pPr>
        <w:pStyle w:val="Headings4"/>
      </w:pPr>
      <w:bookmarkStart w:id="1033" w:name="_Toc394047906"/>
      <w:bookmarkStart w:id="1034" w:name="_Toc394667762"/>
      <w:bookmarkStart w:id="1035" w:name="_Toc394674632"/>
      <w:bookmarkStart w:id="1036" w:name="_Toc404937346"/>
      <w:r w:rsidRPr="00864581">
        <w:t>Procedures</w:t>
      </w:r>
      <w:bookmarkEnd w:id="1033"/>
      <w:bookmarkEnd w:id="1034"/>
      <w:bookmarkEnd w:id="1035"/>
      <w:bookmarkEnd w:id="1036"/>
    </w:p>
    <w:p w:rsidR="00092F60" w:rsidRDefault="00092F60" w:rsidP="00092F60">
      <w:pPr>
        <w:rPr>
          <w:lang w:eastAsia="en-AU"/>
        </w:rPr>
      </w:pPr>
      <w:r w:rsidRPr="00864581">
        <w:rPr>
          <w:lang w:eastAsia="en-AU"/>
        </w:rPr>
        <w:t>In considering whether to fund a medicine through the LSDP, the Government requires that</w:t>
      </w:r>
      <w:r>
        <w:rPr>
          <w:lang w:eastAsia="en-AU"/>
        </w:rPr>
        <w:t xml:space="preserve"> </w:t>
      </w:r>
      <w:r w:rsidRPr="00864581">
        <w:rPr>
          <w:lang w:eastAsia="en-AU"/>
        </w:rPr>
        <w:t>applications be submitted to an independent expert body - the PBAC. The PBAC must consider the evidence presented by the medicine sponsor; conclude that the medicine is not cost-effective (and therefore not suitable for listing on the PBS); and then find that the medicine meets the LSDP criteria. Positive findings are then considered by the Government for funding.</w:t>
      </w:r>
    </w:p>
    <w:p w:rsidR="00092F60" w:rsidRDefault="00092F60" w:rsidP="00092F60">
      <w:pPr>
        <w:rPr>
          <w:lang w:eastAsia="en-AU"/>
        </w:rPr>
      </w:pPr>
      <w:r w:rsidRPr="00864581">
        <w:rPr>
          <w:lang w:eastAsia="en-AU"/>
        </w:rPr>
        <w:t>In submissions to the review, pharmaceutical companies in particular raised concerns that this</w:t>
      </w:r>
      <w:r>
        <w:rPr>
          <w:lang w:eastAsia="en-AU"/>
        </w:rPr>
        <w:t xml:space="preserve"> </w:t>
      </w:r>
      <w:r w:rsidRPr="00864581">
        <w:rPr>
          <w:lang w:eastAsia="en-AU"/>
        </w:rPr>
        <w:t>process is lengthy and untargeted - due to the PBAC process and submission requirements being tailored for cost-effectiveness purposes for PBS listings.</w:t>
      </w:r>
    </w:p>
    <w:p w:rsidR="00092F60" w:rsidRDefault="00092F60" w:rsidP="00092F60">
      <w:pPr>
        <w:rPr>
          <w:lang w:eastAsia="en-AU"/>
        </w:rPr>
      </w:pPr>
      <w:r w:rsidRPr="00864581">
        <w:rPr>
          <w:lang w:eastAsia="en-AU"/>
        </w:rPr>
        <w:t>In response to the review, the Government has reaffirmed the use of the PBAC to provide</w:t>
      </w:r>
      <w:r>
        <w:rPr>
          <w:lang w:eastAsia="en-AU"/>
        </w:rPr>
        <w:t xml:space="preserve"> </w:t>
      </w:r>
      <w:r w:rsidRPr="00864581">
        <w:rPr>
          <w:lang w:eastAsia="en-AU"/>
        </w:rPr>
        <w:t>independent and expert advice on the funding of drugs through the LSDP, with regard to the</w:t>
      </w:r>
      <w:r>
        <w:rPr>
          <w:lang w:eastAsia="en-AU"/>
        </w:rPr>
        <w:t xml:space="preserve"> </w:t>
      </w:r>
      <w:r w:rsidRPr="00864581">
        <w:rPr>
          <w:lang w:eastAsia="en-AU"/>
        </w:rPr>
        <w:t>program</w:t>
      </w:r>
      <w:r>
        <w:rPr>
          <w:lang w:eastAsia="en-AU"/>
        </w:rPr>
        <w:t>me</w:t>
      </w:r>
      <w:r w:rsidRPr="00864581">
        <w:rPr>
          <w:lang w:eastAsia="en-AU"/>
        </w:rPr>
        <w:t xml:space="preserve"> criteria. However, the Government also acknowledged that it would be timely to review the LSDP criteria. The Government will consult with key stakeholders on any proposed changes.</w:t>
      </w:r>
    </w:p>
    <w:p w:rsidR="00092F60" w:rsidRDefault="00092F60" w:rsidP="00092F60">
      <w:pPr>
        <w:rPr>
          <w:lang w:eastAsia="en-AU"/>
        </w:rPr>
      </w:pPr>
      <w:r w:rsidRPr="00864581">
        <w:rPr>
          <w:lang w:eastAsia="en-AU"/>
        </w:rPr>
        <w:t>The Government intends to also review the information and data that is required by the PBAC, to ensure that relevant information is being requested and considered in a targeted manner. These matters will be addressed in 2010.</w:t>
      </w:r>
    </w:p>
    <w:p w:rsidR="00092F60" w:rsidRPr="005B243F" w:rsidRDefault="00092F60" w:rsidP="00E965BD">
      <w:pPr>
        <w:pStyle w:val="Heading3"/>
      </w:pPr>
      <w:bookmarkStart w:id="1037" w:name="_Toc394047907"/>
      <w:bookmarkStart w:id="1038" w:name="_Toc394667763"/>
      <w:bookmarkStart w:id="1039" w:name="_Toc394674633"/>
      <w:bookmarkStart w:id="1040" w:name="_Toc404937347"/>
      <w:r w:rsidRPr="005B243F">
        <w:t>Administration of the program</w:t>
      </w:r>
      <w:r>
        <w:t>me</w:t>
      </w:r>
      <w:r w:rsidRPr="005B243F">
        <w:t xml:space="preserve"> funding</w:t>
      </w:r>
      <w:bookmarkEnd w:id="1037"/>
      <w:bookmarkEnd w:id="1038"/>
      <w:bookmarkEnd w:id="1039"/>
      <w:bookmarkEnd w:id="1040"/>
    </w:p>
    <w:p w:rsidR="00092F60" w:rsidRDefault="00092F60" w:rsidP="00092F60">
      <w:pPr>
        <w:rPr>
          <w:lang w:eastAsia="en-AU"/>
        </w:rPr>
      </w:pPr>
      <w:r w:rsidRPr="00864581">
        <w:rPr>
          <w:lang w:eastAsia="en-AU"/>
        </w:rPr>
        <w:t>The LSDP differs from the PBS, as it is administered through Annual Appropriation Bills rather than a specific legislative basis. That is, the Government provides funding for the Program</w:t>
      </w:r>
      <w:r>
        <w:rPr>
          <w:lang w:eastAsia="en-AU"/>
        </w:rPr>
        <w:t>me</w:t>
      </w:r>
      <w:r w:rsidRPr="00864581">
        <w:rPr>
          <w:lang w:eastAsia="en-AU"/>
        </w:rPr>
        <w:t xml:space="preserve"> each year under an annual appropriation item approved by Parliament.</w:t>
      </w:r>
    </w:p>
    <w:p w:rsidR="00092F60" w:rsidRDefault="00092F60" w:rsidP="00092F60">
      <w:pPr>
        <w:rPr>
          <w:lang w:eastAsia="en-AU"/>
        </w:rPr>
      </w:pPr>
      <w:r w:rsidRPr="00864581">
        <w:rPr>
          <w:lang w:eastAsia="en-AU"/>
        </w:rPr>
        <w:t>The review considered the demand-driven nature of expenditure under the LSDP, and the</w:t>
      </w:r>
      <w:r>
        <w:rPr>
          <w:lang w:eastAsia="en-AU"/>
        </w:rPr>
        <w:t xml:space="preserve"> </w:t>
      </w:r>
      <w:r w:rsidRPr="00864581">
        <w:rPr>
          <w:lang w:eastAsia="en-AU"/>
        </w:rPr>
        <w:t>Government’s challenge in monitoring and budgeting for such expenditure under yearly, capped appropriation (as provided by Annual Appropriation Bills).</w:t>
      </w:r>
    </w:p>
    <w:p w:rsidR="00092F60" w:rsidRDefault="00092F60" w:rsidP="00092F60">
      <w:pPr>
        <w:rPr>
          <w:lang w:eastAsia="en-AU"/>
        </w:rPr>
      </w:pPr>
      <w:r w:rsidRPr="00864581">
        <w:rPr>
          <w:lang w:eastAsia="en-AU"/>
        </w:rPr>
        <w:lastRenderedPageBreak/>
        <w:t>The Government has agreed to provide the Department with greater flexibility in managing</w:t>
      </w:r>
      <w:r>
        <w:rPr>
          <w:lang w:eastAsia="en-AU"/>
        </w:rPr>
        <w:t xml:space="preserve"> </w:t>
      </w:r>
      <w:r w:rsidRPr="00864581">
        <w:rPr>
          <w:lang w:eastAsia="en-AU"/>
        </w:rPr>
        <w:t>expenditure for each drug within the program</w:t>
      </w:r>
      <w:r>
        <w:rPr>
          <w:lang w:eastAsia="en-AU"/>
        </w:rPr>
        <w:t>me</w:t>
      </w:r>
      <w:r w:rsidRPr="00864581">
        <w:rPr>
          <w:lang w:eastAsia="en-AU"/>
        </w:rPr>
        <w:t>’s yearly appropriation (funding). This decision does not have any implications for stakeholders outside of the Government.</w:t>
      </w:r>
    </w:p>
    <w:p w:rsidR="00092F60" w:rsidRPr="00864581" w:rsidRDefault="00092F60" w:rsidP="00E965BD">
      <w:pPr>
        <w:pStyle w:val="Heading3"/>
      </w:pPr>
      <w:bookmarkStart w:id="1041" w:name="_Toc394047908"/>
      <w:bookmarkStart w:id="1042" w:name="_Toc394667764"/>
      <w:bookmarkStart w:id="1043" w:name="_Toc394674634"/>
      <w:bookmarkStart w:id="1044" w:name="_Toc404937348"/>
      <w:r w:rsidRPr="00864581">
        <w:t>The effectiveness of the LSDP</w:t>
      </w:r>
      <w:bookmarkEnd w:id="1041"/>
      <w:bookmarkEnd w:id="1042"/>
      <w:bookmarkEnd w:id="1043"/>
      <w:bookmarkEnd w:id="1044"/>
    </w:p>
    <w:p w:rsidR="00092F60" w:rsidRDefault="00092F60" w:rsidP="00092F60">
      <w:pPr>
        <w:rPr>
          <w:lang w:eastAsia="en-AU"/>
        </w:rPr>
      </w:pPr>
      <w:r w:rsidRPr="00864581">
        <w:rPr>
          <w:lang w:eastAsia="en-AU"/>
        </w:rPr>
        <w:t>The approaches taken to evaluate the clinical and cost effectiveness of the medicines available through the LSDP, including data quality and availability, was a key issue considered by the review.</w:t>
      </w:r>
    </w:p>
    <w:p w:rsidR="00092F60" w:rsidRDefault="00092F60" w:rsidP="00092F60">
      <w:pPr>
        <w:jc w:val="left"/>
        <w:rPr>
          <w:lang w:eastAsia="en-AU"/>
        </w:rPr>
        <w:sectPr w:rsidR="00092F60" w:rsidSect="00107597">
          <w:headerReference w:type="default" r:id="rId25"/>
          <w:footerReference w:type="default" r:id="rId26"/>
          <w:pgSz w:w="11906" w:h="16838"/>
          <w:pgMar w:top="1440" w:right="1440" w:bottom="1440" w:left="1440" w:header="708" w:footer="708" w:gutter="0"/>
          <w:cols w:space="708"/>
          <w:docGrid w:linePitch="360"/>
        </w:sectPr>
      </w:pPr>
      <w:r w:rsidRPr="00864581">
        <w:rPr>
          <w:lang w:eastAsia="en-AU"/>
        </w:rPr>
        <w:t>The review found that overall the program</w:t>
      </w:r>
      <w:r>
        <w:rPr>
          <w:lang w:eastAsia="en-AU"/>
        </w:rPr>
        <w:t>me</w:t>
      </w:r>
      <w:r w:rsidRPr="00864581">
        <w:rPr>
          <w:lang w:eastAsia="en-AU"/>
        </w:rPr>
        <w:t xml:space="preserve"> has been effective in assisting patients with rare, serious medical conditions to gain access to expensive medicines which either improve the patient’s condition or in some cases simply assist in stabilisation of the condition so that further deterioration is avoided. The review concluded that the medicines were all effective as life-saving therapy.</w:t>
      </w:r>
    </w:p>
    <w:p w:rsidR="00092F60" w:rsidRDefault="00092F60" w:rsidP="00DB4EE8">
      <w:pPr>
        <w:pStyle w:val="Heading1"/>
        <w:numPr>
          <w:ilvl w:val="0"/>
          <w:numId w:val="0"/>
        </w:numPr>
      </w:pPr>
      <w:bookmarkStart w:id="1045" w:name="_Ref404335806"/>
      <w:bookmarkStart w:id="1046" w:name="_Toc404937349"/>
      <w:bookmarkStart w:id="1047" w:name="_Toc415141769"/>
      <w:bookmarkStart w:id="1048" w:name="_Ref340001288"/>
      <w:r>
        <w:lastRenderedPageBreak/>
        <w:t xml:space="preserve">Appendix </w:t>
      </w:r>
      <w:r w:rsidR="00A72B26">
        <w:t>B</w:t>
      </w:r>
      <w:bookmarkEnd w:id="1045"/>
      <w:r>
        <w:tab/>
      </w:r>
      <w:r w:rsidR="009D2776">
        <w:tab/>
      </w:r>
      <w:r>
        <w:t>PRISMA flowcharts (ToR 1)</w:t>
      </w:r>
      <w:bookmarkEnd w:id="1046"/>
      <w:bookmarkEnd w:id="1047"/>
      <w:r>
        <w:t xml:space="preserve"> </w:t>
      </w:r>
    </w:p>
    <w:p w:rsidR="00092F60" w:rsidRDefault="00092F60" w:rsidP="00D60032">
      <w:pPr>
        <w:pStyle w:val="Heading2"/>
        <w:numPr>
          <w:ilvl w:val="0"/>
          <w:numId w:val="0"/>
        </w:numPr>
        <w:ind w:left="360"/>
      </w:pPr>
      <w:bookmarkStart w:id="1049" w:name="_Toc404937350"/>
      <w:bookmarkStart w:id="1050" w:name="_Toc415141770"/>
      <w:r>
        <w:t>Gaucher disease</w:t>
      </w:r>
      <w:bookmarkEnd w:id="1049"/>
      <w:bookmarkEnd w:id="1050"/>
    </w:p>
    <w:p w:rsidR="00092F60" w:rsidRDefault="00092F60" w:rsidP="00092F60">
      <w:pPr>
        <w:keepNext/>
      </w:pPr>
      <w:r>
        <w:rPr>
          <w:noProof/>
          <w:lang w:eastAsia="en-AU"/>
        </w:rPr>
        <w:drawing>
          <wp:inline distT="0" distB="0" distL="0" distR="0" wp14:anchorId="759E8C1D" wp14:editId="5E72187D">
            <wp:extent cx="5680787" cy="6972300"/>
            <wp:effectExtent l="0" t="0" r="0" b="0"/>
            <wp:docPr id="29" name="Picture 29" descr="Figure 3 PRISMA flowchart for literature on Gaucher Type I disease (imiglucerase, velaglucerase alfa and miglu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ucher Quorum flowchart.tif"/>
                    <pic:cNvPicPr/>
                  </pic:nvPicPr>
                  <pic:blipFill rotWithShape="1">
                    <a:blip r:embed="rId27">
                      <a:extLst>
                        <a:ext uri="{28A0092B-C50C-407E-A947-70E740481C1C}">
                          <a14:useLocalDpi xmlns:a14="http://schemas.microsoft.com/office/drawing/2010/main" val="0"/>
                        </a:ext>
                      </a:extLst>
                    </a:blip>
                    <a:srcRect l="6124" t="8740" r="11291" b="19583"/>
                    <a:stretch/>
                  </pic:blipFill>
                  <pic:spPr bwMode="auto">
                    <a:xfrm>
                      <a:off x="0" y="0"/>
                      <a:ext cx="5682940" cy="6974942"/>
                    </a:xfrm>
                    <a:prstGeom prst="rect">
                      <a:avLst/>
                    </a:prstGeom>
                    <a:ln>
                      <a:noFill/>
                    </a:ln>
                    <a:extLst>
                      <a:ext uri="{53640926-AAD7-44D8-BBD7-CCE9431645EC}">
                        <a14:shadowObscured xmlns:a14="http://schemas.microsoft.com/office/drawing/2010/main"/>
                      </a:ext>
                    </a:extLst>
                  </pic:spPr>
                </pic:pic>
              </a:graphicData>
            </a:graphic>
          </wp:inline>
        </w:drawing>
      </w:r>
    </w:p>
    <w:p w:rsidR="00847A6D" w:rsidRDefault="00847A6D" w:rsidP="009A032F">
      <w:pPr>
        <w:pStyle w:val="Figureheading0"/>
        <w:tabs>
          <w:tab w:val="clear" w:pos="851"/>
          <w:tab w:val="left" w:pos="1134"/>
        </w:tabs>
        <w:ind w:left="1134" w:hanging="1134"/>
      </w:pPr>
      <w:bookmarkStart w:id="1051" w:name="_Toc404976350"/>
      <w:bookmarkStart w:id="1052" w:name="_Toc404980725"/>
      <w:bookmarkStart w:id="1053" w:name="_Toc411509187"/>
      <w:bookmarkStart w:id="1054" w:name="_Toc415141977"/>
      <w:r>
        <w:t xml:space="preserve">Figure </w:t>
      </w:r>
      <w:r w:rsidR="00A72B26">
        <w:rPr>
          <w:noProof/>
        </w:rPr>
        <w:t>3</w:t>
      </w:r>
      <w:r>
        <w:tab/>
      </w:r>
      <w:r w:rsidR="00092F60">
        <w:t xml:space="preserve">PRISMA </w:t>
      </w:r>
      <w:proofErr w:type="gramStart"/>
      <w:r w:rsidR="00092F60">
        <w:t>flowchart</w:t>
      </w:r>
      <w:proofErr w:type="gramEnd"/>
      <w:r w:rsidR="00092F60">
        <w:t xml:space="preserve"> for literature on Gaucher Type I disease (imiglucerase, velaglucerase alfa and miglustat</w:t>
      </w:r>
      <w:bookmarkStart w:id="1055" w:name="_Toc407023024"/>
      <w:bookmarkEnd w:id="1051"/>
      <w:bookmarkEnd w:id="1052"/>
      <w:r>
        <w:t>)</w:t>
      </w:r>
      <w:bookmarkStart w:id="1056" w:name="_Toc404937351"/>
      <w:bookmarkEnd w:id="1053"/>
      <w:bookmarkEnd w:id="1054"/>
      <w:bookmarkEnd w:id="1055"/>
    </w:p>
    <w:p w:rsidR="00847A6D" w:rsidRDefault="00E66055" w:rsidP="00D27751">
      <w:r w:rsidRPr="00C023C4">
        <w:t xml:space="preserve">RT </w:t>
      </w:r>
      <w:r w:rsidRPr="00652355">
        <w:rPr>
          <w:spacing w:val="-20"/>
        </w:rPr>
        <w:t xml:space="preserve">= </w:t>
      </w:r>
      <w:r>
        <w:t>enzyme</w:t>
      </w:r>
      <w:r w:rsidR="00847A6D" w:rsidRPr="00C023C4">
        <w:rPr>
          <w:rStyle w:val="TableNoteChar"/>
        </w:rPr>
        <w:t xml:space="preserve"> replacement therapy; </w:t>
      </w:r>
      <w:r w:rsidRPr="00C023C4">
        <w:rPr>
          <w:rStyle w:val="TableNoteChar"/>
        </w:rPr>
        <w:t xml:space="preserve">PICO </w:t>
      </w:r>
      <w:r w:rsidRPr="00652355">
        <w:rPr>
          <w:rStyle w:val="TableNoteChar"/>
          <w:spacing w:val="-20"/>
        </w:rPr>
        <w:t xml:space="preserve">= </w:t>
      </w:r>
      <w:r w:rsidRPr="00C023C4">
        <w:rPr>
          <w:rStyle w:val="TableNoteChar"/>
        </w:rPr>
        <w:t>population</w:t>
      </w:r>
      <w:r w:rsidR="00847A6D" w:rsidRPr="00C023C4">
        <w:rPr>
          <w:rStyle w:val="TableNoteChar"/>
        </w:rPr>
        <w:t>, intervention, comparator, outcome criteria</w:t>
      </w:r>
    </w:p>
    <w:p w:rsidR="00092F60" w:rsidRDefault="00092F60" w:rsidP="00D60032">
      <w:pPr>
        <w:pStyle w:val="Heading2"/>
        <w:numPr>
          <w:ilvl w:val="0"/>
          <w:numId w:val="0"/>
        </w:numPr>
        <w:ind w:left="567"/>
      </w:pPr>
      <w:bookmarkStart w:id="1057" w:name="_Toc415141771"/>
      <w:r>
        <w:lastRenderedPageBreak/>
        <w:t>Fabry</w:t>
      </w:r>
      <w:r w:rsidR="00B20C92">
        <w:t xml:space="preserve"> </w:t>
      </w:r>
      <w:r>
        <w:t>disease</w:t>
      </w:r>
      <w:bookmarkEnd w:id="1056"/>
      <w:bookmarkEnd w:id="1057"/>
    </w:p>
    <w:p w:rsidR="00597466" w:rsidRDefault="007C44C1" w:rsidP="00B20C92">
      <w:pPr>
        <w:pStyle w:val="Figureheading0"/>
        <w:tabs>
          <w:tab w:val="clear" w:pos="851"/>
          <w:tab w:val="left" w:pos="1134"/>
        </w:tabs>
        <w:ind w:left="1134" w:hanging="1134"/>
      </w:pPr>
      <w:bookmarkStart w:id="1058" w:name="_Toc411509188"/>
      <w:bookmarkStart w:id="1059" w:name="_Toc404937352"/>
      <w:r>
        <w:rPr>
          <w:noProof/>
          <w:lang w:eastAsia="en-AU"/>
        </w:rPr>
        <w:drawing>
          <wp:inline distT="0" distB="0" distL="0" distR="0" wp14:anchorId="5A22593D" wp14:editId="72C64D3A">
            <wp:extent cx="5343525" cy="7172325"/>
            <wp:effectExtent l="0" t="0" r="9525" b="9525"/>
            <wp:docPr id="1" name="Picture 1" descr="Figure 4 PRISMA flowchart for literature on Fabry disease (agalsidase alfa, agalsidase 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bry clipboard.tif"/>
                    <pic:cNvPicPr/>
                  </pic:nvPicPr>
                  <pic:blipFill>
                    <a:blip r:embed="rId28">
                      <a:extLst>
                        <a:ext uri="{28A0092B-C50C-407E-A947-70E740481C1C}">
                          <a14:useLocalDpi xmlns:a14="http://schemas.microsoft.com/office/drawing/2010/main" val="0"/>
                        </a:ext>
                      </a:extLst>
                    </a:blip>
                    <a:stretch>
                      <a:fillRect/>
                    </a:stretch>
                  </pic:blipFill>
                  <pic:spPr>
                    <a:xfrm>
                      <a:off x="0" y="0"/>
                      <a:ext cx="5348955" cy="7179613"/>
                    </a:xfrm>
                    <a:prstGeom prst="rect">
                      <a:avLst/>
                    </a:prstGeom>
                  </pic:spPr>
                </pic:pic>
              </a:graphicData>
            </a:graphic>
          </wp:inline>
        </w:drawing>
      </w:r>
    </w:p>
    <w:p w:rsidR="00847A6D" w:rsidRDefault="0084464C" w:rsidP="00B20C92">
      <w:pPr>
        <w:pStyle w:val="Figureheading0"/>
        <w:tabs>
          <w:tab w:val="clear" w:pos="851"/>
          <w:tab w:val="left" w:pos="1134"/>
        </w:tabs>
        <w:ind w:left="1134" w:hanging="1134"/>
      </w:pPr>
      <w:bookmarkStart w:id="1060" w:name="_Toc415141978"/>
      <w:r>
        <w:t>F</w:t>
      </w:r>
      <w:r w:rsidR="00847A6D">
        <w:t xml:space="preserve">igure </w:t>
      </w:r>
      <w:r w:rsidR="00A72B26">
        <w:rPr>
          <w:noProof/>
        </w:rPr>
        <w:t>4</w:t>
      </w:r>
      <w:r w:rsidR="00847A6D">
        <w:tab/>
        <w:t xml:space="preserve">PRISMA </w:t>
      </w:r>
      <w:proofErr w:type="gramStart"/>
      <w:r w:rsidR="00847A6D">
        <w:t>flowchart</w:t>
      </w:r>
      <w:proofErr w:type="gramEnd"/>
      <w:r w:rsidR="00847A6D">
        <w:t xml:space="preserve"> for literature on Fabry disease (agalsidase alfa, agalsidase beta)</w:t>
      </w:r>
      <w:bookmarkEnd w:id="1058"/>
      <w:bookmarkEnd w:id="1060"/>
    </w:p>
    <w:p w:rsidR="00C023C4" w:rsidRDefault="00E66055" w:rsidP="00C023C4">
      <w:pPr>
        <w:pStyle w:val="TableNote"/>
      </w:pPr>
      <w:r>
        <w:t xml:space="preserve">HTA </w:t>
      </w:r>
      <w:r w:rsidRPr="00652355">
        <w:rPr>
          <w:spacing w:val="-20"/>
        </w:rPr>
        <w:t xml:space="preserve">= </w:t>
      </w:r>
      <w:r>
        <w:t>health</w:t>
      </w:r>
      <w:r w:rsidR="00B101EC">
        <w:t xml:space="preserve"> technolo</w:t>
      </w:r>
      <w:r w:rsidR="00C023C4">
        <w:t>gy assessment</w:t>
      </w:r>
    </w:p>
    <w:p w:rsidR="00B20C92" w:rsidRPr="00C023C4" w:rsidRDefault="0084464C" w:rsidP="00C023C4">
      <w:pPr>
        <w:pStyle w:val="TableNote"/>
      </w:pPr>
      <w:proofErr w:type="gramStart"/>
      <w:r>
        <w:rPr>
          <w:vertAlign w:val="superscript"/>
        </w:rPr>
        <w:t>a</w:t>
      </w:r>
      <w:r>
        <w:t>Reasons</w:t>
      </w:r>
      <w:proofErr w:type="gramEnd"/>
      <w:r>
        <w:t xml:space="preserve"> for exclusion of HTA and SR are described in the systematic review section of this report. </w:t>
      </w:r>
    </w:p>
    <w:p w:rsidR="00A0089D" w:rsidRPr="00A0089D" w:rsidRDefault="00A0089D" w:rsidP="00A0089D">
      <w:pPr>
        <w:rPr>
          <w:lang w:eastAsia="en-AU"/>
        </w:rPr>
      </w:pPr>
    </w:p>
    <w:p w:rsidR="00092F60" w:rsidRPr="004679DC" w:rsidRDefault="00092F60" w:rsidP="00D60032">
      <w:pPr>
        <w:pStyle w:val="Heading2"/>
        <w:numPr>
          <w:ilvl w:val="0"/>
          <w:numId w:val="0"/>
        </w:numPr>
        <w:ind w:left="360"/>
      </w:pPr>
      <w:bookmarkStart w:id="1061" w:name="_Toc415141772"/>
      <w:r>
        <w:lastRenderedPageBreak/>
        <w:t>Infantile Onset Pompe Disease</w:t>
      </w:r>
      <w:bookmarkEnd w:id="1059"/>
      <w:bookmarkEnd w:id="1061"/>
    </w:p>
    <w:p w:rsidR="00092F60" w:rsidRDefault="00092F60" w:rsidP="00092F60">
      <w:pPr>
        <w:keepNext/>
      </w:pPr>
      <w:r>
        <w:rPr>
          <w:rFonts w:asciiTheme="majorHAnsi" w:hAnsiTheme="majorHAnsi" w:cs="Calibri"/>
          <w:bCs/>
          <w:noProof/>
          <w:color w:val="002060"/>
          <w:lang w:eastAsia="en-AU"/>
        </w:rPr>
        <w:drawing>
          <wp:inline distT="0" distB="0" distL="0" distR="0" wp14:anchorId="3C8DA2A1" wp14:editId="20A4DE5F">
            <wp:extent cx="4219575" cy="7029450"/>
            <wp:effectExtent l="0" t="0" r="9525" b="0"/>
            <wp:docPr id="30" name="Picture 30" descr="Figure 5 PRISMA flowchart for Infantile Onset Pompe Disease (alglucosidase al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rum flowchart Pompe.tiff"/>
                    <pic:cNvPicPr/>
                  </pic:nvPicPr>
                  <pic:blipFill rotWithShape="1">
                    <a:blip r:embed="rId29">
                      <a:extLst>
                        <a:ext uri="{28A0092B-C50C-407E-A947-70E740481C1C}">
                          <a14:useLocalDpi xmlns:a14="http://schemas.microsoft.com/office/drawing/2010/main" val="0"/>
                        </a:ext>
                      </a:extLst>
                    </a:blip>
                    <a:srcRect l="13729" t="10108" r="28386" b="21664"/>
                    <a:stretch/>
                  </pic:blipFill>
                  <pic:spPr bwMode="auto">
                    <a:xfrm>
                      <a:off x="0" y="0"/>
                      <a:ext cx="4221930" cy="7033373"/>
                    </a:xfrm>
                    <a:prstGeom prst="rect">
                      <a:avLst/>
                    </a:prstGeom>
                    <a:ln>
                      <a:noFill/>
                    </a:ln>
                    <a:extLst>
                      <a:ext uri="{53640926-AAD7-44D8-BBD7-CCE9431645EC}">
                        <a14:shadowObscured xmlns:a14="http://schemas.microsoft.com/office/drawing/2010/main"/>
                      </a:ext>
                    </a:extLst>
                  </pic:spPr>
                </pic:pic>
              </a:graphicData>
            </a:graphic>
          </wp:inline>
        </w:drawing>
      </w:r>
    </w:p>
    <w:p w:rsidR="009D2776" w:rsidRDefault="00092F60" w:rsidP="00847A6D">
      <w:pPr>
        <w:pStyle w:val="Figureheading0"/>
        <w:tabs>
          <w:tab w:val="clear" w:pos="851"/>
          <w:tab w:val="left" w:pos="1134"/>
        </w:tabs>
        <w:ind w:left="1134" w:hanging="1134"/>
      </w:pPr>
      <w:bookmarkStart w:id="1062" w:name="_Toc404976351"/>
      <w:bookmarkStart w:id="1063" w:name="_Toc404980726"/>
      <w:bookmarkStart w:id="1064" w:name="_Toc411509189"/>
      <w:bookmarkStart w:id="1065" w:name="_Toc415141979"/>
      <w:r>
        <w:t xml:space="preserve">Figure </w:t>
      </w:r>
      <w:r w:rsidR="00A72B26">
        <w:rPr>
          <w:noProof/>
        </w:rPr>
        <w:t>5</w:t>
      </w:r>
      <w:r w:rsidR="00847A6D">
        <w:tab/>
      </w:r>
      <w:r>
        <w:t xml:space="preserve">PRISMA </w:t>
      </w:r>
      <w:proofErr w:type="gramStart"/>
      <w:r>
        <w:t>flowchart</w:t>
      </w:r>
      <w:proofErr w:type="gramEnd"/>
      <w:r>
        <w:t xml:space="preserve"> for Infantile Onset Pompe Disease (alglucosidase alfa)</w:t>
      </w:r>
      <w:bookmarkEnd w:id="1062"/>
      <w:bookmarkEnd w:id="1063"/>
      <w:bookmarkEnd w:id="1064"/>
      <w:bookmarkEnd w:id="1065"/>
    </w:p>
    <w:p w:rsidR="00103085" w:rsidRDefault="00103085" w:rsidP="00847A6D">
      <w:pPr>
        <w:pStyle w:val="Figureheading0"/>
        <w:tabs>
          <w:tab w:val="clear" w:pos="851"/>
          <w:tab w:val="left" w:pos="1134"/>
        </w:tabs>
        <w:ind w:left="1134" w:hanging="1134"/>
      </w:pPr>
      <w:r>
        <w:br w:type="page"/>
      </w:r>
    </w:p>
    <w:p w:rsidR="00103085" w:rsidRPr="004679DC" w:rsidRDefault="00103085" w:rsidP="00D60032">
      <w:pPr>
        <w:pStyle w:val="Heading2"/>
        <w:numPr>
          <w:ilvl w:val="0"/>
          <w:numId w:val="0"/>
        </w:numPr>
        <w:ind w:left="360"/>
      </w:pPr>
      <w:bookmarkStart w:id="1066" w:name="_Toc415141773"/>
      <w:r>
        <w:lastRenderedPageBreak/>
        <w:t>Juvenile Onset Pompe Disease</w:t>
      </w:r>
      <w:bookmarkEnd w:id="1066"/>
    </w:p>
    <w:p w:rsidR="00103085" w:rsidRDefault="00585E4F" w:rsidP="00103085">
      <w:pPr>
        <w:spacing w:after="0" w:line="240" w:lineRule="auto"/>
      </w:pPr>
      <w:r>
        <w:rPr>
          <w:noProof/>
          <w:lang w:eastAsia="en-AU"/>
        </w:rPr>
        <w:drawing>
          <wp:inline distT="0" distB="0" distL="0" distR="0" wp14:anchorId="6FF39ADB" wp14:editId="6F88B42C">
            <wp:extent cx="5731510" cy="7370445"/>
            <wp:effectExtent l="0" t="0" r="2540" b="1905"/>
            <wp:docPr id="13" name="Picture 13" descr="Figure 6  PRISMA flowchart for literature on Juvenile Onset Pompe Disease (alglucosidase al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tif"/>
                    <pic:cNvPicPr/>
                  </pic:nvPicPr>
                  <pic:blipFill>
                    <a:blip r:embed="rId30">
                      <a:extLst>
                        <a:ext uri="{28A0092B-C50C-407E-A947-70E740481C1C}">
                          <a14:useLocalDpi xmlns:a14="http://schemas.microsoft.com/office/drawing/2010/main" val="0"/>
                        </a:ext>
                      </a:extLst>
                    </a:blip>
                    <a:stretch>
                      <a:fillRect/>
                    </a:stretch>
                  </pic:blipFill>
                  <pic:spPr>
                    <a:xfrm>
                      <a:off x="0" y="0"/>
                      <a:ext cx="5731510" cy="7370445"/>
                    </a:xfrm>
                    <a:prstGeom prst="rect">
                      <a:avLst/>
                    </a:prstGeom>
                  </pic:spPr>
                </pic:pic>
              </a:graphicData>
            </a:graphic>
          </wp:inline>
        </w:drawing>
      </w:r>
    </w:p>
    <w:p w:rsidR="00103085" w:rsidRPr="00526729" w:rsidRDefault="00103085" w:rsidP="00103085">
      <w:pPr>
        <w:pStyle w:val="Figureheading0"/>
        <w:tabs>
          <w:tab w:val="clear" w:pos="851"/>
          <w:tab w:val="left" w:pos="1134"/>
        </w:tabs>
        <w:ind w:left="1134" w:hanging="1134"/>
      </w:pPr>
      <w:bookmarkStart w:id="1067" w:name="_Toc411509190"/>
      <w:bookmarkStart w:id="1068" w:name="_Toc415141980"/>
      <w:r w:rsidRPr="00526729">
        <w:t xml:space="preserve">Figure </w:t>
      </w:r>
      <w:proofErr w:type="gramStart"/>
      <w:r w:rsidR="00A72B26">
        <w:rPr>
          <w:noProof/>
        </w:rPr>
        <w:t>6</w:t>
      </w:r>
      <w:r w:rsidRPr="00526729">
        <w:t xml:space="preserve"> </w:t>
      </w:r>
      <w:r w:rsidR="00F71730">
        <w:tab/>
      </w:r>
      <w:r w:rsidRPr="00526729">
        <w:t>PRISMA flowchart</w:t>
      </w:r>
      <w:proofErr w:type="gramEnd"/>
      <w:r w:rsidRPr="00526729">
        <w:t xml:space="preserve"> for literature on Juvenile Onset Pompe Disease (alglucosidase alfa)</w:t>
      </w:r>
      <w:bookmarkEnd w:id="1067"/>
      <w:bookmarkEnd w:id="1068"/>
    </w:p>
    <w:p w:rsidR="00092F60" w:rsidRPr="004679DC" w:rsidRDefault="00A0089D" w:rsidP="00D60032">
      <w:pPr>
        <w:pStyle w:val="Heading2"/>
        <w:numPr>
          <w:ilvl w:val="0"/>
          <w:numId w:val="0"/>
        </w:numPr>
      </w:pPr>
      <w:bookmarkStart w:id="1069" w:name="_Toc415141774"/>
      <w:r>
        <w:lastRenderedPageBreak/>
        <w:t>Mucopolysaccharidosis Types I, II and VI</w:t>
      </w:r>
      <w:bookmarkEnd w:id="1069"/>
    </w:p>
    <w:p w:rsidR="009D2776" w:rsidRDefault="00917C5B" w:rsidP="00092F60">
      <w:pPr>
        <w:rPr>
          <w:rFonts w:asciiTheme="majorHAnsi" w:hAnsiTheme="majorHAnsi" w:cs="Calibri"/>
          <w:bCs/>
          <w:color w:val="002060"/>
        </w:rPr>
      </w:pPr>
      <w:r>
        <w:rPr>
          <w:rFonts w:asciiTheme="majorHAnsi" w:hAnsiTheme="majorHAnsi" w:cs="Calibri"/>
          <w:bCs/>
          <w:noProof/>
          <w:color w:val="002060"/>
          <w:lang w:eastAsia="en-AU"/>
        </w:rPr>
        <w:drawing>
          <wp:inline distT="0" distB="0" distL="0" distR="0" wp14:anchorId="6A74FC7C" wp14:editId="25070EAB">
            <wp:extent cx="5657850" cy="7372350"/>
            <wp:effectExtent l="0" t="0" r="0" b="0"/>
            <wp:docPr id="16" name="Picture 16" descr="Figure 7 PRISMA flowchart for literature on Mucopolysaccharidosis Types I, II and VI disease (laronidase, idursulfase, galsulf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S clipboard.tif"/>
                    <pic:cNvPicPr/>
                  </pic:nvPicPr>
                  <pic:blipFill>
                    <a:blip r:embed="rId31">
                      <a:extLst>
                        <a:ext uri="{28A0092B-C50C-407E-A947-70E740481C1C}">
                          <a14:useLocalDpi xmlns:a14="http://schemas.microsoft.com/office/drawing/2010/main" val="0"/>
                        </a:ext>
                      </a:extLst>
                    </a:blip>
                    <a:stretch>
                      <a:fillRect/>
                    </a:stretch>
                  </pic:blipFill>
                  <pic:spPr>
                    <a:xfrm>
                      <a:off x="0" y="0"/>
                      <a:ext cx="5657850" cy="7372350"/>
                    </a:xfrm>
                    <a:prstGeom prst="rect">
                      <a:avLst/>
                    </a:prstGeom>
                  </pic:spPr>
                </pic:pic>
              </a:graphicData>
            </a:graphic>
          </wp:inline>
        </w:drawing>
      </w:r>
    </w:p>
    <w:p w:rsidR="00B04F3B" w:rsidRDefault="00A0089D" w:rsidP="006A217C">
      <w:pPr>
        <w:pStyle w:val="Figureheading0"/>
        <w:tabs>
          <w:tab w:val="clear" w:pos="851"/>
          <w:tab w:val="left" w:pos="1134"/>
        </w:tabs>
        <w:ind w:left="1134" w:hanging="1134"/>
      </w:pPr>
      <w:bookmarkStart w:id="1070" w:name="_Toc411509191"/>
      <w:bookmarkStart w:id="1071" w:name="_Toc415141981"/>
      <w:r>
        <w:t xml:space="preserve">Figure </w:t>
      </w:r>
      <w:r w:rsidR="00A72B26">
        <w:rPr>
          <w:noProof/>
        </w:rPr>
        <w:t>7</w:t>
      </w:r>
      <w:r w:rsidR="006A217C">
        <w:rPr>
          <w:noProof/>
        </w:rPr>
        <w:tab/>
      </w:r>
      <w:r>
        <w:t xml:space="preserve">PRISMA </w:t>
      </w:r>
      <w:proofErr w:type="gramStart"/>
      <w:r>
        <w:t>flowchart</w:t>
      </w:r>
      <w:proofErr w:type="gramEnd"/>
      <w:r>
        <w:t xml:space="preserve"> for literature on Mucopolysaccharidosis Types I, II and VI disease (laronidase, idursulfase, galsulfase)</w:t>
      </w:r>
      <w:bookmarkEnd w:id="1070"/>
      <w:bookmarkEnd w:id="1071"/>
    </w:p>
    <w:p w:rsidR="00C023C4" w:rsidRDefault="00E66055" w:rsidP="00C023C4">
      <w:pPr>
        <w:pStyle w:val="TableNote"/>
      </w:pPr>
      <w:r>
        <w:t xml:space="preserve">HTA </w:t>
      </w:r>
      <w:r w:rsidRPr="00652355">
        <w:rPr>
          <w:spacing w:val="-20"/>
        </w:rPr>
        <w:t xml:space="preserve">= </w:t>
      </w:r>
      <w:r>
        <w:t>health</w:t>
      </w:r>
      <w:r w:rsidR="00C023C4">
        <w:t xml:space="preserve"> technology assessment</w:t>
      </w:r>
    </w:p>
    <w:p w:rsidR="00A453F1" w:rsidRPr="00A453F1" w:rsidRDefault="00A453F1" w:rsidP="00C023C4">
      <w:pPr>
        <w:pStyle w:val="TableNote"/>
      </w:pPr>
      <w:proofErr w:type="gramStart"/>
      <w:r>
        <w:rPr>
          <w:vertAlign w:val="superscript"/>
        </w:rPr>
        <w:t>a</w:t>
      </w:r>
      <w:r w:rsidR="00D631B3" w:rsidRPr="00D631B3">
        <w:t>Excluded</w:t>
      </w:r>
      <w:proofErr w:type="gramEnd"/>
      <w:r w:rsidR="00D631B3">
        <w:t xml:space="preserve"> s</w:t>
      </w:r>
      <w:r>
        <w:t xml:space="preserve">tudies </w:t>
      </w:r>
      <w:r w:rsidR="00D631B3">
        <w:t xml:space="preserve">meeting inclusion criteria </w:t>
      </w:r>
      <w:r>
        <w:t xml:space="preserve">are listed in </w:t>
      </w:r>
      <w:r w:rsidR="00A72B26" w:rsidRPr="009D2776">
        <w:t xml:space="preserve">Appendix </w:t>
      </w:r>
      <w:r w:rsidR="00A72B26">
        <w:rPr>
          <w:noProof/>
        </w:rPr>
        <w:t>C</w:t>
      </w:r>
      <w:r w:rsidR="00A72B26" w:rsidRPr="009D2776">
        <w:tab/>
        <w:t>excluded studies (ToR 1)</w:t>
      </w:r>
      <w:r w:rsidR="00D631B3">
        <w:t xml:space="preserve"> according to reason for exclusion.</w:t>
      </w:r>
    </w:p>
    <w:p w:rsidR="009D2776" w:rsidRDefault="009D2776" w:rsidP="00092F60">
      <w:pPr>
        <w:rPr>
          <w:rFonts w:asciiTheme="majorHAnsi" w:hAnsiTheme="majorHAnsi" w:cs="Calibri"/>
          <w:bCs/>
          <w:color w:val="002060"/>
        </w:rPr>
      </w:pPr>
    </w:p>
    <w:p w:rsidR="00092F60" w:rsidRPr="004679DC" w:rsidRDefault="00092F60" w:rsidP="00D60032">
      <w:pPr>
        <w:pStyle w:val="Heading2"/>
        <w:numPr>
          <w:ilvl w:val="0"/>
          <w:numId w:val="0"/>
        </w:numPr>
      </w:pPr>
      <w:bookmarkStart w:id="1072" w:name="_Toc404937354"/>
      <w:bookmarkStart w:id="1073" w:name="_Toc415141775"/>
      <w:r w:rsidRPr="008D1EA1">
        <w:lastRenderedPageBreak/>
        <w:t>P</w:t>
      </w:r>
      <w:r w:rsidR="009D2776">
        <w:t xml:space="preserve">aroxysmal </w:t>
      </w:r>
      <w:r w:rsidRPr="008D1EA1">
        <w:t>N</w:t>
      </w:r>
      <w:r w:rsidR="009D2776">
        <w:t xml:space="preserve">octurnal </w:t>
      </w:r>
      <w:r w:rsidRPr="008D1EA1">
        <w:t>H</w:t>
      </w:r>
      <w:bookmarkEnd w:id="1072"/>
      <w:r w:rsidR="009D2776">
        <w:t>aematuria</w:t>
      </w:r>
      <w:bookmarkEnd w:id="1073"/>
      <w:r w:rsidRPr="008D1EA1">
        <w:t xml:space="preserve"> </w:t>
      </w:r>
    </w:p>
    <w:p w:rsidR="00092F60" w:rsidRDefault="00092F60" w:rsidP="00092F60">
      <w:pPr>
        <w:keepNext/>
      </w:pPr>
      <w:r>
        <w:rPr>
          <w:noProof/>
          <w:lang w:eastAsia="en-AU"/>
        </w:rPr>
        <w:drawing>
          <wp:inline distT="0" distB="0" distL="0" distR="0" wp14:anchorId="1ACA85FF" wp14:editId="6683533D">
            <wp:extent cx="4062382" cy="6560288"/>
            <wp:effectExtent l="0" t="0" r="0" b="0"/>
            <wp:docPr id="31" name="Picture 31" descr="Figure 7 PRISMA flowchart for literature on PNH (eculizu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orum flowchart PNH.tiff"/>
                    <pic:cNvPicPr/>
                  </pic:nvPicPr>
                  <pic:blipFill rotWithShape="1">
                    <a:blip r:embed="rId32">
                      <a:extLst>
                        <a:ext uri="{28A0092B-C50C-407E-A947-70E740481C1C}">
                          <a14:useLocalDpi xmlns:a14="http://schemas.microsoft.com/office/drawing/2010/main" val="0"/>
                        </a:ext>
                      </a:extLst>
                    </a:blip>
                    <a:srcRect l="11874" t="9976" r="30798" b="24521"/>
                    <a:stretch/>
                  </pic:blipFill>
                  <pic:spPr bwMode="auto">
                    <a:xfrm>
                      <a:off x="0" y="0"/>
                      <a:ext cx="4063416" cy="6561958"/>
                    </a:xfrm>
                    <a:prstGeom prst="rect">
                      <a:avLst/>
                    </a:prstGeom>
                    <a:ln>
                      <a:noFill/>
                    </a:ln>
                    <a:extLst>
                      <a:ext uri="{53640926-AAD7-44D8-BBD7-CCE9431645EC}">
                        <a14:shadowObscured xmlns:a14="http://schemas.microsoft.com/office/drawing/2010/main"/>
                      </a:ext>
                    </a:extLst>
                  </pic:spPr>
                </pic:pic>
              </a:graphicData>
            </a:graphic>
          </wp:inline>
        </w:drawing>
      </w:r>
    </w:p>
    <w:p w:rsidR="00092F60" w:rsidRDefault="00092F60" w:rsidP="008509CE">
      <w:pPr>
        <w:pStyle w:val="Figureheading0"/>
        <w:tabs>
          <w:tab w:val="clear" w:pos="851"/>
          <w:tab w:val="left" w:pos="1134"/>
        </w:tabs>
        <w:ind w:left="1134" w:hanging="1134"/>
      </w:pPr>
      <w:bookmarkStart w:id="1074" w:name="_Toc404976352"/>
      <w:bookmarkStart w:id="1075" w:name="_Toc404980727"/>
      <w:bookmarkStart w:id="1076" w:name="_Toc411509192"/>
      <w:bookmarkStart w:id="1077" w:name="_Toc415141982"/>
      <w:r>
        <w:t xml:space="preserve">Figure </w:t>
      </w:r>
      <w:r w:rsidR="00A72B26">
        <w:rPr>
          <w:noProof/>
        </w:rPr>
        <w:t>8</w:t>
      </w:r>
      <w:r w:rsidR="00833F94">
        <w:tab/>
      </w:r>
      <w:r>
        <w:t xml:space="preserve">PRISMA </w:t>
      </w:r>
      <w:proofErr w:type="gramStart"/>
      <w:r>
        <w:t>flowchart</w:t>
      </w:r>
      <w:proofErr w:type="gramEnd"/>
      <w:r>
        <w:t xml:space="preserve"> for literature on PNH (eculizumab)</w:t>
      </w:r>
      <w:bookmarkEnd w:id="1074"/>
      <w:bookmarkEnd w:id="1075"/>
      <w:bookmarkEnd w:id="1076"/>
      <w:bookmarkEnd w:id="1077"/>
    </w:p>
    <w:p w:rsidR="00092F60" w:rsidRDefault="00092F60" w:rsidP="00092F60">
      <w:r>
        <w:br w:type="page"/>
      </w:r>
    </w:p>
    <w:p w:rsidR="00092F60" w:rsidRPr="009D2776" w:rsidRDefault="00092F60" w:rsidP="00DB4EE8">
      <w:pPr>
        <w:pStyle w:val="Heading1"/>
        <w:numPr>
          <w:ilvl w:val="0"/>
          <w:numId w:val="0"/>
        </w:numPr>
        <w:jc w:val="left"/>
      </w:pPr>
      <w:bookmarkStart w:id="1078" w:name="_Ref404335892"/>
      <w:bookmarkStart w:id="1079" w:name="_Ref411255301"/>
      <w:bookmarkStart w:id="1080" w:name="_Toc404937355"/>
      <w:bookmarkStart w:id="1081" w:name="_Ref413155290"/>
      <w:bookmarkStart w:id="1082" w:name="_Ref413155576"/>
      <w:bookmarkStart w:id="1083" w:name="_Toc415141776"/>
      <w:r w:rsidRPr="009D2776">
        <w:lastRenderedPageBreak/>
        <w:t xml:space="preserve">Appendix </w:t>
      </w:r>
      <w:r w:rsidR="00A72B26">
        <w:t>C</w:t>
      </w:r>
      <w:bookmarkEnd w:id="1078"/>
      <w:bookmarkEnd w:id="1079"/>
      <w:r w:rsidRPr="009D2776">
        <w:tab/>
        <w:t>excluded studies (ToR 1)</w:t>
      </w:r>
      <w:bookmarkEnd w:id="1080"/>
      <w:bookmarkEnd w:id="1081"/>
      <w:bookmarkEnd w:id="1082"/>
      <w:bookmarkEnd w:id="1083"/>
      <w:r w:rsidRPr="009D2776">
        <w:t xml:space="preserve"> </w:t>
      </w:r>
    </w:p>
    <w:p w:rsidR="00092F60" w:rsidRPr="00512043" w:rsidRDefault="00092F60" w:rsidP="00092F60">
      <w:r>
        <w:t xml:space="preserve">Studies which did not meet the PICO criteria were excluded, and have not been listed below. Some studies may have met the PICO criteria, but were excluded from the systematic review, due to duplicated data, being in a foreign language (and not appearing to be a higher level of evidence than available in English), being only a conference abstract, being a lower level of evidence (i.e. being more at risk of bias than other study designs, and hence excluded in favour of higher level evidence). These studies are listed below. </w:t>
      </w:r>
    </w:p>
    <w:p w:rsidR="00092F60" w:rsidRPr="009D2776" w:rsidRDefault="00092F60" w:rsidP="00D60032">
      <w:pPr>
        <w:pStyle w:val="Heading2"/>
        <w:numPr>
          <w:ilvl w:val="0"/>
          <w:numId w:val="0"/>
        </w:numPr>
      </w:pPr>
      <w:bookmarkStart w:id="1084" w:name="_Toc404937356"/>
      <w:bookmarkStart w:id="1085" w:name="_Toc415141777"/>
      <w:r w:rsidRPr="009D2776">
        <w:t>Type I Gaucher disease (imiglucerase and velaglucerase alfa)</w:t>
      </w:r>
      <w:bookmarkEnd w:id="1084"/>
      <w:bookmarkEnd w:id="1085"/>
    </w:p>
    <w:p w:rsidR="00092F60" w:rsidRPr="003F3F2D" w:rsidRDefault="00092F60" w:rsidP="00E965BD">
      <w:pPr>
        <w:pStyle w:val="Heading3"/>
      </w:pPr>
      <w:r w:rsidRPr="003F3F2D">
        <w:t>Duplicated data</w:t>
      </w:r>
    </w:p>
    <w:p w:rsidR="00092F60" w:rsidRPr="007032B9" w:rsidRDefault="00092F60" w:rsidP="00092F60">
      <w:r w:rsidRPr="007032B9">
        <w:t xml:space="preserve">Ben, T, Gonzalez, DE, Zimran, A, Kabra, M, Lukina, EA, Giraldo, P, Kisinovsky, I, Bavdekar, A, Ben, D, M, F, Gupta, N, Kishnani, PS, Sureshkumar, EK, Wang, N, Crombez, E, Bhirangi, K &amp; Mehta, A 2011, 'Achievement of therapeutic goals in patients with type 1 Gaucher disease (GD1) on velaglucerase alfa or imiglucerase: Phase III trial HGT-GCB-039 and extension', </w:t>
      </w:r>
      <w:r w:rsidRPr="007032B9">
        <w:rPr>
          <w:i/>
          <w:iCs/>
        </w:rPr>
        <w:t>Journal of Inherited Metabolic Disease</w:t>
      </w:r>
      <w:r w:rsidRPr="007032B9">
        <w:t>, vol. 34, p. S224.</w:t>
      </w:r>
      <w:r>
        <w:t xml:space="preserve"> (</w:t>
      </w:r>
      <w:proofErr w:type="gramStart"/>
      <w:r>
        <w:t>same</w:t>
      </w:r>
      <w:proofErr w:type="gramEnd"/>
      <w:r>
        <w:t xml:space="preserve"> study as Ben, T. et al (2013), but with less information)</w:t>
      </w:r>
    </w:p>
    <w:p w:rsidR="00092F60" w:rsidRDefault="00092F60" w:rsidP="00092F60"/>
    <w:p w:rsidR="00092F60" w:rsidRDefault="00092F60" w:rsidP="00E965BD">
      <w:pPr>
        <w:pStyle w:val="Heading3"/>
      </w:pPr>
      <w:r>
        <w:t>Cohort study</w:t>
      </w:r>
    </w:p>
    <w:p w:rsidR="00092F60" w:rsidRPr="007032B9" w:rsidRDefault="00092F60" w:rsidP="00092F60">
      <w:r w:rsidRPr="007032B9">
        <w:t xml:space="preserve">Casal, JA, Lacerda, L, Perez, LF, Pinto, RA, Miranda, MCS &amp; Tutor, JC 2002, 'Relationship between serum markers on monocyte/macrophage activation in type 1 </w:t>
      </w:r>
      <w:r w:rsidR="00E51493">
        <w:t>Gaucher disease</w:t>
      </w:r>
      <w:r w:rsidRPr="007032B9">
        <w:t xml:space="preserve">', </w:t>
      </w:r>
      <w:r w:rsidRPr="007032B9">
        <w:rPr>
          <w:i/>
          <w:iCs/>
        </w:rPr>
        <w:t>Clinical Chemistry and Laboratory Medicine</w:t>
      </w:r>
      <w:r w:rsidRPr="007032B9">
        <w:t>, vol. 40, pp. 52-55.</w:t>
      </w:r>
    </w:p>
    <w:p w:rsidR="00092F60" w:rsidRPr="007032B9" w:rsidRDefault="00092F60" w:rsidP="00092F60">
      <w:r w:rsidRPr="007032B9">
        <w:t xml:space="preserve">Doneda, D, Lopes, AL, Oliveira, AR, Netto, CB, Moulin, CC &amp; Schwartz, IV 2011, 'Gaucher disease type I: assessment of basal metabolic rate in patients from southern Brazil', </w:t>
      </w:r>
      <w:r w:rsidRPr="007032B9">
        <w:rPr>
          <w:i/>
          <w:iCs/>
        </w:rPr>
        <w:t>Blood Cells Mol Dis</w:t>
      </w:r>
      <w:r w:rsidRPr="007032B9">
        <w:t>, vol. 46, pp. 42-46.</w:t>
      </w:r>
    </w:p>
    <w:p w:rsidR="00092F60" w:rsidRPr="007032B9" w:rsidRDefault="00092F60" w:rsidP="00092F60">
      <w:r w:rsidRPr="007032B9">
        <w:t xml:space="preserve">Erba, PA, Minichilli, F, Giona, F, Linari, S, Dambrosia, J, Pierini, A, Filocamo, M, Di, R, Buffoni, F, Brady, RO &amp; Mariani, G 2013, 'Tc-99m-Sestamibi Scintigraphy to Monitor the Long-Term Efficacy of Enzyme Replacement Therapy on Bone Marrow Infiltration in Patients with Gaucher Disease', </w:t>
      </w:r>
      <w:r w:rsidRPr="007032B9">
        <w:rPr>
          <w:i/>
          <w:iCs/>
        </w:rPr>
        <w:t>Journal of Nuclear Medicine</w:t>
      </w:r>
      <w:r w:rsidRPr="007032B9">
        <w:t>, vol. 54, pp. 1717-1724.</w:t>
      </w:r>
    </w:p>
    <w:p w:rsidR="00092F60" w:rsidRPr="007032B9" w:rsidRDefault="00092F60" w:rsidP="00092F60">
      <w:r w:rsidRPr="007032B9">
        <w:t xml:space="preserve">Giraldo, P, Irun, P, Alfonso, P, Dalmau, J, Fernandez-Galan, MA, Figueredo, A, Hernandez-Rivas, JM, Julia, A, Luno, E, Marin-Jimenez, F, Martin-Nunez, G, Montserrat, JL, de la, S, Vidaller, A, Villalon, L &amp; Pocovi, M 2011, 'Evaluation of Spanish Gaucher disease patients after a 6-month imiglucerase shortage', </w:t>
      </w:r>
      <w:r w:rsidRPr="007032B9">
        <w:rPr>
          <w:i/>
          <w:iCs/>
        </w:rPr>
        <w:t>Blood Cells Mol Dis</w:t>
      </w:r>
      <w:r w:rsidRPr="007032B9">
        <w:t>, vol. 46, pp. 115-118.</w:t>
      </w:r>
    </w:p>
    <w:p w:rsidR="00092F60" w:rsidRPr="007032B9" w:rsidRDefault="00092F60" w:rsidP="00092F60">
      <w:r w:rsidRPr="007032B9">
        <w:t xml:space="preserve">Grigorescu-Sido, P, Drugan, C, Alkhzouz, C, Zimmermann, A, Coldea, C, Denes, C, Grigorescu, MD, Cret, V &amp; Bucerzan, S 2010, 'Baseline characteristics and outcome in Romanian patients with Gaucher disease type 1', </w:t>
      </w:r>
      <w:r w:rsidRPr="007032B9">
        <w:rPr>
          <w:i/>
          <w:iCs/>
        </w:rPr>
        <w:t>Eur J Intern Med</w:t>
      </w:r>
      <w:r w:rsidRPr="007032B9">
        <w:t>, vol. 21, pp. 104-113.</w:t>
      </w:r>
    </w:p>
    <w:p w:rsidR="00092F60" w:rsidRPr="007032B9" w:rsidRDefault="00092F60" w:rsidP="00092F60">
      <w:r w:rsidRPr="007032B9">
        <w:lastRenderedPageBreak/>
        <w:t xml:space="preserve">Grosbois, B, Rose, C, Noel, E, Serratrice, CdR, Dobbelaere, D, Gressin, V, Cherin, P, Hartmann, A, Javier, RM, Clerson, P, Hachulla, E &amp; Jaussaud, R 2009, 'Gaucher disease and monoclonal gammopathy: A report of 17 cases and impact of therapy', </w:t>
      </w:r>
      <w:r w:rsidRPr="007032B9">
        <w:rPr>
          <w:i/>
          <w:iCs/>
        </w:rPr>
        <w:t>Blood Cells, Molecules, and Diseases</w:t>
      </w:r>
      <w:r w:rsidRPr="007032B9">
        <w:t>, vol. 43, pp. 138-139.</w:t>
      </w:r>
    </w:p>
    <w:p w:rsidR="00092F60" w:rsidRPr="007032B9" w:rsidRDefault="00092F60" w:rsidP="00092F60">
      <w:r w:rsidRPr="007032B9">
        <w:t xml:space="preserve">Hollak, C, Maas, M, Akkerman, E, den, H &amp; Aerts, H 2001, 'Dixon quantitative chemical shift imaging is a sensitive tool for the evaluation of bone marrow responses to individualized doses of enzyme supplementation therapy in type 1 Gaucher disease', </w:t>
      </w:r>
      <w:r w:rsidRPr="007032B9">
        <w:rPr>
          <w:i/>
          <w:iCs/>
        </w:rPr>
        <w:t>Blood Cells Mol Dis</w:t>
      </w:r>
      <w:r w:rsidRPr="007032B9">
        <w:t>, vol. 27, pp. 1005-1012.</w:t>
      </w:r>
    </w:p>
    <w:p w:rsidR="00092F60" w:rsidRPr="007032B9" w:rsidRDefault="00092F60" w:rsidP="00092F60">
      <w:r w:rsidRPr="007032B9">
        <w:t xml:space="preserve">Kauli, R, Zaizov, R, Lazar, L, Pertzelan, A, Laron, Z, Galatzer, A, Phillip, M, Yaniv, Y &amp; Cohen, IJ 2000, 'Delayed growth and puberty in patients with Gaucher disease type 1: Natural history and effect of splenectomy and/or enzyme replacement therapy', </w:t>
      </w:r>
      <w:r w:rsidRPr="007032B9">
        <w:rPr>
          <w:i/>
          <w:iCs/>
        </w:rPr>
        <w:t>Israel Medical Association Journal</w:t>
      </w:r>
      <w:r w:rsidRPr="007032B9">
        <w:t>, vol. 2, pp. 158-163.</w:t>
      </w:r>
    </w:p>
    <w:p w:rsidR="00092F60" w:rsidRPr="007032B9" w:rsidRDefault="00092F60" w:rsidP="00092F60">
      <w:r w:rsidRPr="007032B9">
        <w:t xml:space="preserve">Mistry, PK, Sirrs, S, Chan, A, Pritzker, MR, Duffy, TP, Grace, ME, Meeker, DP &amp; Goldman, ME 2002, 'Pulmonary hypertension in type 1 </w:t>
      </w:r>
      <w:r w:rsidR="00E51493">
        <w:t>Gaucher disease</w:t>
      </w:r>
      <w:r w:rsidRPr="007032B9">
        <w:t xml:space="preserve">: genetic and epigenetic determinants of phenotype and response to therapy', </w:t>
      </w:r>
      <w:r w:rsidRPr="007032B9">
        <w:rPr>
          <w:i/>
          <w:iCs/>
        </w:rPr>
        <w:t>Mol Genet Metab</w:t>
      </w:r>
      <w:r w:rsidRPr="007032B9">
        <w:t>, vol. 77, pp. 91-98.</w:t>
      </w:r>
    </w:p>
    <w:p w:rsidR="00092F60" w:rsidRPr="007032B9" w:rsidRDefault="00092F60" w:rsidP="00092F60">
      <w:r w:rsidRPr="007032B9">
        <w:t xml:space="preserve">Oliveira, FL, Alegra, T, Dornelles, A, Krug, BC, Netto, CB, da, R, N, S, Picon, PD &amp; Schwartz, IV 2013, 'Quality of life of brazilian patients with Gaucher disease and fabry disease', </w:t>
      </w:r>
      <w:r w:rsidRPr="007032B9">
        <w:rPr>
          <w:i/>
          <w:iCs/>
        </w:rPr>
        <w:t>JIMD Rep</w:t>
      </w:r>
      <w:r w:rsidRPr="007032B9">
        <w:t>, vol. 7, pp. 31-37.</w:t>
      </w:r>
    </w:p>
    <w:p w:rsidR="00092F60" w:rsidRPr="007032B9" w:rsidRDefault="00092F60" w:rsidP="00092F60">
      <w:r w:rsidRPr="007032B9">
        <w:t xml:space="preserve">Stirnemann, J, Boutten, A, Vincent, C, Mekinian, A, Heraoui, D, Fantin, B, Fain, O, Mentre, F &amp; Belmatoug, N 2011, 'Impact of imiglucerase on the serum glycosylated-ferritin level in Gaucher disease', </w:t>
      </w:r>
      <w:r w:rsidRPr="007032B9">
        <w:rPr>
          <w:i/>
          <w:iCs/>
        </w:rPr>
        <w:t>Blood Cells Mol Dis</w:t>
      </w:r>
      <w:r w:rsidRPr="007032B9">
        <w:t>, vol. 46, pp. 34-38.</w:t>
      </w:r>
    </w:p>
    <w:p w:rsidR="00092F60" w:rsidRPr="007032B9" w:rsidRDefault="00092F60" w:rsidP="00092F60">
      <w:r w:rsidRPr="007032B9">
        <w:t xml:space="preserve">Stirnemann, J, Vigan, M, Hamroun, D, Heraoui, D, Rossi-Semerano, L, Berger, MG, Rose, C, Camou, F, de, R-S, Grosbois, B, Kaminsky, P, Robert, A, Caillaud, C, Froissart, R, Levade, T, Masseau, A, Mignot, C, Sedel, F, Dobbelaere, D, Vanier, MT, Valayanopoulos, V, Fain, O, Fantin, B, de, V, T, B, Mentre, F &amp; Belmatoug, N 2012, 'The French </w:t>
      </w:r>
      <w:r w:rsidR="00E51493">
        <w:t>Gaucher disease</w:t>
      </w:r>
      <w:r w:rsidRPr="007032B9">
        <w:t xml:space="preserve"> registry: clinical characteristics, complications and treatment of 562 patients', </w:t>
      </w:r>
      <w:r w:rsidRPr="007032B9">
        <w:rPr>
          <w:i/>
          <w:iCs/>
        </w:rPr>
        <w:t>Orphanet J Rare Dis</w:t>
      </w:r>
      <w:r w:rsidRPr="007032B9">
        <w:t>, vol. 7, p. 77.</w:t>
      </w:r>
    </w:p>
    <w:p w:rsidR="00092F60" w:rsidRPr="007032B9" w:rsidRDefault="00092F60" w:rsidP="00092F60">
      <w:r w:rsidRPr="007032B9">
        <w:t xml:space="preserve">Terk, MR, Dardashti, S &amp; Liebman, HA 2000, 'Bone marrow response in treated patients with Gaucher disease: evaluation by T1-weighted magnetic resonance images and correlation with reduction in liver and spleen volume', </w:t>
      </w:r>
      <w:r w:rsidRPr="007032B9">
        <w:rPr>
          <w:i/>
          <w:iCs/>
        </w:rPr>
        <w:t>Skeletal Radiol</w:t>
      </w:r>
      <w:r w:rsidRPr="007032B9">
        <w:t>, vol. 29, pp. 563-571.</w:t>
      </w:r>
    </w:p>
    <w:p w:rsidR="00092F60" w:rsidRPr="007032B9" w:rsidRDefault="00092F60" w:rsidP="00092F60">
      <w:r w:rsidRPr="007032B9">
        <w:t xml:space="preserve">van, B, M, J, de, F, Voerman, JSA, Laman, JD, Boot, RG, Maas, M, Hollak, CEM, Aerts, JM &amp; Rezaee, F 2007, 'Increased plasma macrophage inflammatory protein (MIP)-1(alpha) and MIP-1(beta) levels in type 1 Gaucher disease', </w:t>
      </w:r>
      <w:r w:rsidRPr="007032B9">
        <w:rPr>
          <w:i/>
          <w:iCs/>
        </w:rPr>
        <w:t>Biochimica et Biophysica Acta - Molecular Basis of Disease</w:t>
      </w:r>
      <w:r w:rsidRPr="007032B9">
        <w:t>, vol. 1772, pp. 788-796.</w:t>
      </w:r>
    </w:p>
    <w:p w:rsidR="00092F60" w:rsidRPr="007032B9" w:rsidRDefault="00092F60" w:rsidP="00092F60">
      <w:r w:rsidRPr="007032B9">
        <w:t xml:space="preserve">Vom, D, Monnighoff, I &amp; Haussinger, D 2000, 'Decrease of plasma taurine in Gaucher disease and its sustained correction during enzyme replacement therapy', </w:t>
      </w:r>
      <w:r w:rsidRPr="007032B9">
        <w:rPr>
          <w:i/>
          <w:iCs/>
        </w:rPr>
        <w:t>Amino Acids</w:t>
      </w:r>
      <w:r w:rsidRPr="007032B9">
        <w:t>, vol. 19, pp. 585-592.</w:t>
      </w:r>
    </w:p>
    <w:p w:rsidR="00092F60" w:rsidRPr="007032B9" w:rsidRDefault="00092F60" w:rsidP="00092F60">
      <w:r w:rsidRPr="007032B9">
        <w:lastRenderedPageBreak/>
        <w:t xml:space="preserve">Wenstrup, RJ, Kacena, KA, Kaplan, P, Pastores, GM, Prakash-Cheng, A, Zimran, A &amp; Hangartner, TN 2007, 'Effect of enzyme replacement therapy with imiglucerase on BMD in type 1 Gaucher disease', </w:t>
      </w:r>
      <w:r w:rsidRPr="007032B9">
        <w:rPr>
          <w:i/>
          <w:iCs/>
        </w:rPr>
        <w:t>J Bone Miner Res</w:t>
      </w:r>
      <w:r w:rsidRPr="007032B9">
        <w:t>, vol. 22, pp. 119-126.</w:t>
      </w:r>
    </w:p>
    <w:p w:rsidR="00092F60" w:rsidRDefault="00092F60" w:rsidP="00092F60">
      <w:r w:rsidRPr="007032B9">
        <w:t xml:space="preserve">Zimran, A, Morris, E, Mengel, E, Kaplan, P, Belmatoug, N, Hughes, DA, Malinova, V, Heitner, R, Sobreira, E, Mrsic, M, Granovsky-Grisaru, S, Amato, D &amp; vom, D 2009, 'The female Gaucher patient: the impact of enzyme replacement therapy around key reproductive events (menstruation, pregnancy and menopause)', </w:t>
      </w:r>
      <w:r w:rsidRPr="007032B9">
        <w:rPr>
          <w:i/>
          <w:iCs/>
        </w:rPr>
        <w:t>Blood Cells Mol Dis</w:t>
      </w:r>
      <w:r w:rsidRPr="007032B9">
        <w:t>, vol. 43, pp. 264-288.</w:t>
      </w:r>
    </w:p>
    <w:p w:rsidR="00092F60" w:rsidRDefault="00092F60" w:rsidP="00E965BD">
      <w:pPr>
        <w:pStyle w:val="Heading3"/>
      </w:pPr>
      <w:r>
        <w:t>Dose comparison (two doses of same treatment, without alternative treatment as comparator)</w:t>
      </w:r>
    </w:p>
    <w:p w:rsidR="00092F60" w:rsidRPr="007032B9" w:rsidRDefault="00092F60" w:rsidP="00092F60">
      <w:r w:rsidRPr="007032B9">
        <w:t xml:space="preserve">Altarescu, G, Schiffmann, R, Parker, CC, Moore, DF, Kreps, C, Brady, RO &amp; Barton, NW 2000, 'Comparative efficacy of dose regimens in enzyme replacement therapy of type I Gaucher disease', </w:t>
      </w:r>
      <w:r w:rsidRPr="007032B9">
        <w:rPr>
          <w:iCs/>
        </w:rPr>
        <w:t>Blood Cells Molecules and Diseases</w:t>
      </w:r>
      <w:r w:rsidRPr="007032B9">
        <w:t>, vol. 26, pp. 285-290.</w:t>
      </w:r>
    </w:p>
    <w:p w:rsidR="00092F60" w:rsidRPr="007032B9" w:rsidRDefault="00092F60" w:rsidP="00092F60">
      <w:r w:rsidRPr="007032B9">
        <w:t xml:space="preserve">Chien, YH, Lee, NC, Tsai, FJ, Chao, MC &amp; Hwu, WL 2010, 'Reduction in imiglucerase dosage causes immediate rise of chitotriosidase activity in patients with Gaucher disease', </w:t>
      </w:r>
      <w:r w:rsidRPr="007032B9">
        <w:rPr>
          <w:iCs/>
        </w:rPr>
        <w:t>Mol Genet Metab</w:t>
      </w:r>
      <w:r w:rsidRPr="007032B9">
        <w:t>, vol. 101, pp. 90-91.</w:t>
      </w:r>
    </w:p>
    <w:p w:rsidR="00092F60" w:rsidRPr="007032B9" w:rsidRDefault="00092F60" w:rsidP="00092F60">
      <w:r w:rsidRPr="007032B9">
        <w:t>Cole, A, Weinreb, N, Rosenbloom, B, Andersson, H, Tripuraneni, R &amp; Belmatoug, N 2011, '</w:t>
      </w:r>
      <w:proofErr w:type="gramStart"/>
      <w:r w:rsidRPr="007032B9">
        <w:t>An</w:t>
      </w:r>
      <w:proofErr w:type="gramEnd"/>
      <w:r w:rsidRPr="007032B9">
        <w:t xml:space="preserve"> analysis from the ICGG gaucher registry: A report of gaucher patients affected by reduced doses of imiglucerase', </w:t>
      </w:r>
      <w:r w:rsidRPr="007032B9">
        <w:rPr>
          <w:iCs/>
        </w:rPr>
        <w:t>Pharmacoepidemiology and Drug Safety</w:t>
      </w:r>
      <w:r w:rsidRPr="007032B9">
        <w:t>, vol. 20, p. S69.</w:t>
      </w:r>
    </w:p>
    <w:p w:rsidR="00092F60" w:rsidRPr="007032B9" w:rsidRDefault="00092F60" w:rsidP="00092F60">
      <w:r w:rsidRPr="007032B9">
        <w:t xml:space="preserve">de, F, Aerts, JM, Groener, JE, Maas, M, Akkerman, EM, Wiersma, MG &amp; Hollak, CE 2007, 'Low frequency maintenance therapy with imiglucerase in adult type I Gaucher disease: a prospective randomized controlled trial', </w:t>
      </w:r>
      <w:r w:rsidRPr="007032B9">
        <w:rPr>
          <w:iCs/>
        </w:rPr>
        <w:t>Haematologica</w:t>
      </w:r>
      <w:r w:rsidRPr="007032B9">
        <w:t>, vol. 92, pp. 215-221.</w:t>
      </w:r>
    </w:p>
    <w:p w:rsidR="00092F60" w:rsidRPr="007032B9" w:rsidRDefault="00092F60" w:rsidP="00092F60">
      <w:proofErr w:type="gramStart"/>
      <w:r w:rsidRPr="007032B9">
        <w:t>Deroma, L, Sechi, A, Dardis, A, Macor, D, Liva, G, Ciana, G &amp; Bembi, B 2013, 'Did the temporary shortage in supply of imiglucerase have clinical consequences?</w:t>
      </w:r>
      <w:proofErr w:type="gramEnd"/>
      <w:r w:rsidRPr="007032B9">
        <w:t xml:space="preserve"> Retrospective observational study on 34 </w:t>
      </w:r>
      <w:proofErr w:type="gramStart"/>
      <w:r w:rsidRPr="007032B9">
        <w:t>italian</w:t>
      </w:r>
      <w:proofErr w:type="gramEnd"/>
      <w:r w:rsidRPr="007032B9">
        <w:t xml:space="preserve"> Gaucher type I patients', </w:t>
      </w:r>
      <w:r w:rsidRPr="007032B9">
        <w:rPr>
          <w:iCs/>
        </w:rPr>
        <w:t>JIMD Rep</w:t>
      </w:r>
      <w:r w:rsidRPr="007032B9">
        <w:t>, vol. 7, pp. 117-122.</w:t>
      </w:r>
    </w:p>
    <w:p w:rsidR="00092F60" w:rsidRPr="007032B9" w:rsidRDefault="00092F60" w:rsidP="00092F60">
      <w:proofErr w:type="gramStart"/>
      <w:r w:rsidRPr="007032B9">
        <w:t xml:space="preserve">Elstein, D, Enciu, CA, Fontaine, L &amp; Piwko, C 2013, 'Impact of velaglucerase alfa on quality of life of adult patients with type-I gaucher disease', </w:t>
      </w:r>
      <w:r w:rsidRPr="007032B9">
        <w:rPr>
          <w:iCs/>
        </w:rPr>
        <w:t>Value in Health</w:t>
      </w:r>
      <w:r w:rsidRPr="007032B9">
        <w:t>, vol. 16, p. A108.</w:t>
      </w:r>
      <w:proofErr w:type="gramEnd"/>
    </w:p>
    <w:p w:rsidR="00092F60" w:rsidRPr="007032B9" w:rsidRDefault="00092F60" w:rsidP="00092F60">
      <w:r w:rsidRPr="007032B9">
        <w:t xml:space="preserve">Ferreira, AC &amp; Sequeira, S 2011, 'Effects of a shortage of imiglucerase on three patients with type I Gaucher disease', </w:t>
      </w:r>
      <w:r w:rsidRPr="007032B9">
        <w:rPr>
          <w:iCs/>
        </w:rPr>
        <w:t>Journal of Inherited Metabolic Disease</w:t>
      </w:r>
      <w:r w:rsidRPr="007032B9">
        <w:t>, vol. 34, p. S222.</w:t>
      </w:r>
    </w:p>
    <w:p w:rsidR="00092F60" w:rsidRPr="007032B9" w:rsidRDefault="00092F60" w:rsidP="00092F60">
      <w:r w:rsidRPr="007032B9">
        <w:t xml:space="preserve">Gonzalez, DE, Turkia, HB, Lukina, EA, Kisinovsky, I, Dridi, MF, Elstein, D, Zahrieh, D, Crombez, E, Bhirangi, K, Barton, NW &amp; Zimran, A 2013, 'Enzyme replacement therapy with velaglucerase alfa in Gaucher disease: Results from a randomized, double-blind, multinational, Phase 3 study', </w:t>
      </w:r>
      <w:r w:rsidRPr="007032B9">
        <w:rPr>
          <w:iCs/>
        </w:rPr>
        <w:t>Am J Hematol</w:t>
      </w:r>
      <w:r w:rsidRPr="007032B9">
        <w:t>, vol. 88, pp. 166-171.</w:t>
      </w:r>
    </w:p>
    <w:p w:rsidR="00092F60" w:rsidRPr="007032B9" w:rsidRDefault="00092F60" w:rsidP="00092F60">
      <w:r w:rsidRPr="007032B9">
        <w:t xml:space="preserve">Grabowski, G, Kacena, K, Hollak, CEM, Zhang, L, Yee, J, Mistry, P, Zimran, A, Charrow, J &amp; vom, D 2008, 'Dose-response relationships for enzyme replacement therapy with imiglucerase/alglucerase in patients with Gaucher disease type I', </w:t>
      </w:r>
      <w:r w:rsidRPr="007032B9">
        <w:rPr>
          <w:iCs/>
        </w:rPr>
        <w:t>Molecular Genetics and Metabolism</w:t>
      </w:r>
      <w:r w:rsidRPr="007032B9">
        <w:t>, vol. 93, pp. S23-S23.</w:t>
      </w:r>
    </w:p>
    <w:p w:rsidR="00092F60" w:rsidRPr="007032B9" w:rsidRDefault="00092F60" w:rsidP="00092F60">
      <w:r w:rsidRPr="007032B9">
        <w:lastRenderedPageBreak/>
        <w:t xml:space="preserve">Kishnani, PS 2008, 'A Multicenter, Randomized, Dose Frequency Study of the Safety and Efficacy of Cerezyme (R) Infusions Every 4 Weeks Versus Every 2 Weeks in the Maintenance Therapy of Patients with Type 1 Gaucher Disease', </w:t>
      </w:r>
      <w:r w:rsidRPr="007032B9">
        <w:rPr>
          <w:iCs/>
        </w:rPr>
        <w:t>Blood</w:t>
      </w:r>
      <w:r w:rsidRPr="007032B9">
        <w:t>, vol. 112, pp. 460-460.</w:t>
      </w:r>
    </w:p>
    <w:p w:rsidR="00092F60" w:rsidRPr="007032B9" w:rsidRDefault="00092F60" w:rsidP="00092F60">
      <w:r w:rsidRPr="007032B9">
        <w:t xml:space="preserve">Kishnani, PS, DiRocco, M, Kaplan, P, Mehta, A, Pastores, GM, Smith, SE, Puga, AC, Lemay, RM &amp; Weinreb, NJ 2009, 'A randomized trial comparing the efficacy and safety of imiglucerase (Cerezyme) infusions every 4 weeks versus every 2 weeks in the maintenance therapy of adult patients with Gaucher disease type 1', </w:t>
      </w:r>
      <w:r w:rsidRPr="007032B9">
        <w:rPr>
          <w:iCs/>
        </w:rPr>
        <w:t>Mol Genet Metab</w:t>
      </w:r>
      <w:r w:rsidRPr="007032B9">
        <w:t>, vol. 96, pp. 164-170.</w:t>
      </w:r>
    </w:p>
    <w:p w:rsidR="00092F60" w:rsidRPr="007032B9" w:rsidRDefault="00092F60" w:rsidP="00092F60">
      <w:r w:rsidRPr="007032B9">
        <w:t xml:space="preserve">Perez-Calvo, J, Giraldo, P, Pastores, GM, Fernandez-Galan, M, Martin-Nunez, G &amp; Pocovi, M 2003, 'Extended interval between enzyme therapy infusions for adult patients with </w:t>
      </w:r>
      <w:r w:rsidR="00E51493">
        <w:t>Gaucher disease</w:t>
      </w:r>
      <w:r w:rsidRPr="007032B9">
        <w:t xml:space="preserve"> type 1', </w:t>
      </w:r>
      <w:r w:rsidRPr="007032B9">
        <w:rPr>
          <w:iCs/>
        </w:rPr>
        <w:t>J Postgrad Med</w:t>
      </w:r>
      <w:r w:rsidRPr="007032B9">
        <w:t>, vol. 49, pp. 127-131.</w:t>
      </w:r>
    </w:p>
    <w:p w:rsidR="00092F60" w:rsidRPr="007032B9" w:rsidRDefault="00092F60" w:rsidP="00092F60">
      <w:proofErr w:type="gramStart"/>
      <w:r w:rsidRPr="007032B9">
        <w:t xml:space="preserve">Zimran, A, Elstein, D, Levy-Lahad, E, Zevin, S, Abrahamov, A &amp; et al. 1995, 'Replacement therapy with imiglucerase for type 1 </w:t>
      </w:r>
      <w:r w:rsidR="00E51493">
        <w:t>Gaucher disease</w:t>
      </w:r>
      <w:r w:rsidRPr="007032B9">
        <w:t xml:space="preserve">', </w:t>
      </w:r>
      <w:r w:rsidRPr="007032B9">
        <w:rPr>
          <w:iCs/>
        </w:rPr>
        <w:t>Lancet</w:t>
      </w:r>
      <w:r w:rsidRPr="007032B9">
        <w:t>, vol. 345, pp. 1479-1480.</w:t>
      </w:r>
      <w:proofErr w:type="gramEnd"/>
    </w:p>
    <w:p w:rsidR="00092F60" w:rsidRPr="007032B9" w:rsidRDefault="00092F60" w:rsidP="00092F60">
      <w:r w:rsidRPr="007032B9">
        <w:t xml:space="preserve">Zimran, A, Gonzalez, D, Crombez, E &amp; Bhirangi, K 2010, 'Enzyme replacement therapy with velaglucerase alfa improves key clinical parameters in a pediatric subgroup with type 1 Gaucher disease', </w:t>
      </w:r>
      <w:r w:rsidRPr="007032B9">
        <w:rPr>
          <w:iCs/>
        </w:rPr>
        <w:t>Molecular Genetics and Metabolism</w:t>
      </w:r>
      <w:r w:rsidRPr="007032B9">
        <w:t>, vol. 99, pp. S40-S41.</w:t>
      </w:r>
    </w:p>
    <w:p w:rsidR="00092F60" w:rsidRPr="007032B9" w:rsidRDefault="00092F60" w:rsidP="00092F60">
      <w:r w:rsidRPr="007032B9">
        <w:t xml:space="preserve">Zimran, A, Lukina, A, Ben, D, M, F, Kisinovsky, I, Crombez, E, Bhirangi, K, Elstein, D &amp; Gonzalez, E 2010, 'Enzyme replacement therapy with velaglucerase alfa significantly improves key clinical parameters in type 1 gaucher disease: Positive results from a randomized, double-blind, global, phase III study', </w:t>
      </w:r>
      <w:r w:rsidRPr="007032B9">
        <w:rPr>
          <w:iCs/>
        </w:rPr>
        <w:t>Haematologica</w:t>
      </w:r>
      <w:r w:rsidRPr="007032B9">
        <w:t>, vol. 95, pp. 75-76.</w:t>
      </w:r>
    </w:p>
    <w:p w:rsidR="00092F60" w:rsidRPr="007032B9" w:rsidRDefault="00092F60" w:rsidP="00092F60"/>
    <w:p w:rsidR="00092F60" w:rsidRDefault="00092F60" w:rsidP="00E965BD">
      <w:pPr>
        <w:pStyle w:val="Heading3"/>
      </w:pPr>
      <w:r>
        <w:t>Eratum</w:t>
      </w:r>
    </w:p>
    <w:p w:rsidR="00092F60" w:rsidRDefault="00092F60" w:rsidP="00092F60">
      <w:r w:rsidRPr="007032B9">
        <w:t xml:space="preserve">Burrow, TA &amp; Grabowski, GA 2012, 'Erratum: Velaglucerase alfa in the treatment of Gaucher disease type 1 (Clinical Investigation (2011) 1:2 (285-293))', </w:t>
      </w:r>
      <w:r w:rsidRPr="007032B9">
        <w:rPr>
          <w:iCs/>
        </w:rPr>
        <w:t>Clinical Investigation</w:t>
      </w:r>
      <w:r w:rsidRPr="007032B9">
        <w:t>, vol. 2, p. 951.</w:t>
      </w:r>
    </w:p>
    <w:p w:rsidR="00092F60" w:rsidRDefault="00092F60" w:rsidP="00092F60"/>
    <w:p w:rsidR="00092F60" w:rsidRDefault="00092F60" w:rsidP="00E965BD">
      <w:pPr>
        <w:pStyle w:val="Heading3"/>
      </w:pPr>
      <w:r>
        <w:t>Systematic review</w:t>
      </w:r>
    </w:p>
    <w:p w:rsidR="00092F60" w:rsidRPr="007032B9" w:rsidRDefault="00092F60" w:rsidP="00092F60">
      <w:r w:rsidRPr="007032B9">
        <w:t xml:space="preserve">Cadth 2011, 'Eliglustat tartrate, miglustat, imiglucerase, velaglucerase or a combination of these for the treatment of gaucher disease: a review of clinical effectiveness and safety (Structured abstract)', </w:t>
      </w:r>
      <w:r w:rsidRPr="007032B9">
        <w:rPr>
          <w:i/>
          <w:iCs/>
        </w:rPr>
        <w:t>Health Technology Assessment Database</w:t>
      </w:r>
      <w:r w:rsidRPr="007032B9">
        <w:t>.</w:t>
      </w:r>
    </w:p>
    <w:p w:rsidR="00092F60" w:rsidRPr="007032B9" w:rsidRDefault="00092F60" w:rsidP="00092F60">
      <w:r w:rsidRPr="007032B9">
        <w:t>Connock, M, Burls, A, Frew, E, Fry-Smith, A, Juarez-Garcia, A, McCabe, C, Wailoo, A, Abrams, K, Cooper, N, Sutton, A, O'Hagan, A &amp; Moore, D 2006, '</w:t>
      </w:r>
      <w:proofErr w:type="gramStart"/>
      <w:r w:rsidRPr="007032B9">
        <w:t>The</w:t>
      </w:r>
      <w:proofErr w:type="gramEnd"/>
      <w:r w:rsidRPr="007032B9">
        <w:t xml:space="preserve"> clinical effectiveness and cost-effectiveness of enzyme replacement therapy for </w:t>
      </w:r>
      <w:r w:rsidR="00E51493">
        <w:t>Gaucher disease</w:t>
      </w:r>
      <w:r w:rsidRPr="007032B9">
        <w:t xml:space="preserve">: a systematic review (Structured abstract)', </w:t>
      </w:r>
      <w:r w:rsidRPr="007032B9">
        <w:rPr>
          <w:i/>
          <w:iCs/>
        </w:rPr>
        <w:t>Health Technology Assessment Database</w:t>
      </w:r>
      <w:r w:rsidRPr="007032B9">
        <w:t>, p. 1.</w:t>
      </w:r>
    </w:p>
    <w:p w:rsidR="00092F60" w:rsidRPr="007032B9" w:rsidRDefault="00092F60" w:rsidP="00092F60">
      <w:r w:rsidRPr="007032B9">
        <w:lastRenderedPageBreak/>
        <w:t xml:space="preserve">Hayes &amp; Inc 2013, 'VPRIV (Velaglucerase Alfa for Injection; Shire Human Genetic Therapies Inc.) for type 1 gaucher disease (Structured abstract)', </w:t>
      </w:r>
      <w:r w:rsidRPr="007032B9">
        <w:rPr>
          <w:i/>
          <w:iCs/>
        </w:rPr>
        <w:t>Health Technology Assessment Database</w:t>
      </w:r>
      <w:r w:rsidRPr="007032B9">
        <w:t>.</w:t>
      </w:r>
    </w:p>
    <w:p w:rsidR="00092F60" w:rsidRPr="007032B9" w:rsidRDefault="00092F60" w:rsidP="00092F60">
      <w:r w:rsidRPr="007032B9">
        <w:t xml:space="preserve">Morris, JL 2012, 'Velaglucerase alfa for the management of type 1 </w:t>
      </w:r>
      <w:proofErr w:type="gramStart"/>
      <w:r w:rsidRPr="007032B9">
        <w:t>Gaucher</w:t>
      </w:r>
      <w:proofErr w:type="gramEnd"/>
      <w:r w:rsidRPr="007032B9">
        <w:t xml:space="preserve"> disease', </w:t>
      </w:r>
      <w:r w:rsidRPr="007032B9">
        <w:rPr>
          <w:i/>
          <w:iCs/>
        </w:rPr>
        <w:t>Clin Ther</w:t>
      </w:r>
      <w:r w:rsidRPr="007032B9">
        <w:t>, vol. 34, pp. 259-271.</w:t>
      </w:r>
    </w:p>
    <w:p w:rsidR="00092F60" w:rsidRPr="007032B9" w:rsidRDefault="00092F60" w:rsidP="00092F60">
      <w:r w:rsidRPr="007032B9">
        <w:t xml:space="preserve">Piran, S &amp; Amato, D 2010, 'Gaucher disease: a systematic review and meta-analysis of bone complications and their response to treatment', </w:t>
      </w:r>
      <w:r w:rsidRPr="007032B9">
        <w:rPr>
          <w:i/>
          <w:iCs/>
        </w:rPr>
        <w:t>J Inherit Metab Dis</w:t>
      </w:r>
      <w:r w:rsidRPr="007032B9">
        <w:t>, vol. 33, pp. 271-279.</w:t>
      </w:r>
    </w:p>
    <w:p w:rsidR="00092F60" w:rsidRPr="007032B9" w:rsidRDefault="00092F60" w:rsidP="00092F60">
      <w:proofErr w:type="gramStart"/>
      <w:r w:rsidRPr="007032B9">
        <w:t xml:space="preserve">Starzyk, K, Richards, S, Yee, J, Smith, SE &amp; Kingma, W 2007, 'The long-term international safety experience of imiglucerase therapy for Gaucher disease', </w:t>
      </w:r>
      <w:r w:rsidRPr="007032B9">
        <w:rPr>
          <w:i/>
          <w:iCs/>
        </w:rPr>
        <w:t>Mol Genet Metab</w:t>
      </w:r>
      <w:r w:rsidRPr="007032B9">
        <w:t>, vol. 90, pp. 157-163.</w:t>
      </w:r>
      <w:proofErr w:type="gramEnd"/>
    </w:p>
    <w:p w:rsidR="00092F60" w:rsidRPr="007032B9" w:rsidRDefault="00092F60" w:rsidP="00092F60">
      <w:r w:rsidRPr="007032B9">
        <w:t xml:space="preserve">Vom, D, Poll, L, Di, R, Ciana, G, Denes, C, Mariani, G &amp; Maas, M 2006, 'Evidence-based recommendations for monitoring bone disease and the response to enzyme replacement therapy in Gaucher patients', </w:t>
      </w:r>
      <w:r w:rsidRPr="007032B9">
        <w:rPr>
          <w:i/>
          <w:iCs/>
        </w:rPr>
        <w:t>Current Medical Research and Opinion</w:t>
      </w:r>
      <w:r w:rsidRPr="007032B9">
        <w:t>, vol. 22, pp. 1045-1064.</w:t>
      </w:r>
    </w:p>
    <w:p w:rsidR="00092F60" w:rsidRDefault="00092F60" w:rsidP="00E965BD"/>
    <w:p w:rsidR="00092F60" w:rsidRDefault="00092F60" w:rsidP="00E965BD">
      <w:pPr>
        <w:pStyle w:val="Heading3"/>
      </w:pPr>
      <w:r>
        <w:t>Case series</w:t>
      </w:r>
    </w:p>
    <w:p w:rsidR="00092F60" w:rsidRPr="00DE294B" w:rsidRDefault="00092F60" w:rsidP="00092F60">
      <w:proofErr w:type="gramStart"/>
      <w:r w:rsidRPr="00DE294B">
        <w:t xml:space="preserve">Andersson, H 2009, 'Alglucerase (Ceredase) and imiglucerase (Cerezyme) in </w:t>
      </w:r>
      <w:r w:rsidR="00E51493">
        <w:t>Gaucher disease</w:t>
      </w:r>
      <w:r w:rsidRPr="00DE294B">
        <w:t xml:space="preserve">', </w:t>
      </w:r>
      <w:r w:rsidRPr="00DE294B">
        <w:rPr>
          <w:i/>
          <w:iCs/>
        </w:rPr>
        <w:t>P and T</w:t>
      </w:r>
      <w:r w:rsidRPr="00DE294B">
        <w:t>, vol. 34, p. 93.</w:t>
      </w:r>
      <w:proofErr w:type="gramEnd"/>
    </w:p>
    <w:p w:rsidR="00092F60" w:rsidRPr="00DE294B" w:rsidRDefault="00092F60" w:rsidP="00092F60">
      <w:r w:rsidRPr="00DE294B">
        <w:t xml:space="preserve">Andersson, H, Kaplan, P, Kacena, K &amp; Yee, J 2008, 'Eight-year clinical outcomes of long-term enzyme replacement therapy for 884 children with Gaucher disease type 1', </w:t>
      </w:r>
      <w:r w:rsidRPr="00DE294B">
        <w:rPr>
          <w:i/>
          <w:iCs/>
        </w:rPr>
        <w:t>Pediatrics</w:t>
      </w:r>
      <w:r w:rsidRPr="00DE294B">
        <w:t>, vol. 122, pp. 1182-1190.</w:t>
      </w:r>
    </w:p>
    <w:p w:rsidR="00092F60" w:rsidRPr="00DE294B" w:rsidRDefault="00092F60" w:rsidP="00092F60">
      <w:r w:rsidRPr="00DE294B">
        <w:t>Arikan-Ayyildiz, Z, Yuce, A, Emre, S, Baysoy, G, Saltik-Temizel, IN &amp; Gurakan, F 2011, 'Outcome of enzyme replacement therapy in Turkish patients with Gaucher disease: does late intervention affect the response?</w:t>
      </w:r>
      <w:proofErr w:type="gramStart"/>
      <w:r w:rsidRPr="00DE294B">
        <w:t>',</w:t>
      </w:r>
      <w:proofErr w:type="gramEnd"/>
      <w:r w:rsidRPr="00DE294B">
        <w:t xml:space="preserve"> </w:t>
      </w:r>
      <w:r w:rsidRPr="00DE294B">
        <w:rPr>
          <w:i/>
          <w:iCs/>
        </w:rPr>
        <w:t>Turk J Pediatr</w:t>
      </w:r>
      <w:r w:rsidRPr="00DE294B">
        <w:t>, vol. 53, pp. 499-507.</w:t>
      </w:r>
    </w:p>
    <w:p w:rsidR="00092F60" w:rsidRPr="00DE294B" w:rsidRDefault="00092F60" w:rsidP="00092F60">
      <w:r w:rsidRPr="00DE294B">
        <w:t xml:space="preserve">Arikan-Ayyildiz, Z, Yuce, A, Uslu-Kizilkan, N, Demir, H &amp; Gurakan, F 2011, 'Immunoglobulin abnormalities and effects of enzyme replacement therapy in children with Gaucher disease', </w:t>
      </w:r>
      <w:r w:rsidRPr="00DE294B">
        <w:rPr>
          <w:i/>
          <w:iCs/>
        </w:rPr>
        <w:t>Pediatr Blood Cancer</w:t>
      </w:r>
      <w:r w:rsidRPr="00DE294B">
        <w:t>, vol. 56, pp. 664-666.</w:t>
      </w:r>
    </w:p>
    <w:p w:rsidR="00092F60" w:rsidRPr="00DE294B" w:rsidRDefault="00092F60" w:rsidP="00092F60">
      <w:r w:rsidRPr="00DE294B">
        <w:t xml:space="preserve">Balwani, M, Cox, TM, Drelichman, G, Cravo, R, Martins, AM, Lukina, E, Rosenbloom, BE, Ross, LH, Angell, J &amp; Puga, AC 2013, 'Encore: A Randomized, Controlled, Open-Label Non-Inferiority Study Comparing Eliglustat To Imiglucerase In Gaucher Disease Type 1 Patients On Enzyme Replacement Therapy Who Have Reached Therapeutic Goals', </w:t>
      </w:r>
      <w:r w:rsidRPr="00DE294B">
        <w:rPr>
          <w:i/>
          <w:iCs/>
        </w:rPr>
        <w:t>Blood</w:t>
      </w:r>
      <w:r w:rsidRPr="00DE294B">
        <w:t>, vol. 122, no. 21, pp. 3468-3468.</w:t>
      </w:r>
    </w:p>
    <w:p w:rsidR="00092F60" w:rsidRPr="00DE294B" w:rsidRDefault="00092F60" w:rsidP="00092F60">
      <w:r w:rsidRPr="00DE294B">
        <w:t xml:space="preserve">Barton, NW, Pastores, G, Dambrosia, JM, Brady, RO &amp; et al. 1995, 'Enzyme therapy in type 1 </w:t>
      </w:r>
      <w:r w:rsidR="00E51493">
        <w:t>Gaucher disease</w:t>
      </w:r>
      <w:r w:rsidRPr="00DE294B">
        <w:t xml:space="preserve">: comparative efficacy of mannose-terminated glucocerebrosidase from natural and recombinant sources AU - Grabowski GA', </w:t>
      </w:r>
      <w:r w:rsidRPr="00DE294B">
        <w:rPr>
          <w:i/>
          <w:iCs/>
        </w:rPr>
        <w:t>Ann. Intern. Med.</w:t>
      </w:r>
      <w:r w:rsidRPr="00DE294B">
        <w:t>, vol. 122, pp. 33-39.</w:t>
      </w:r>
    </w:p>
    <w:p w:rsidR="00092F60" w:rsidRPr="00DE294B" w:rsidRDefault="00092F60" w:rsidP="00092F60">
      <w:proofErr w:type="gramStart"/>
      <w:r w:rsidRPr="00DE294B">
        <w:lastRenderedPageBreak/>
        <w:t xml:space="preserve">Bembi, B, Ciana, G, Mengel, E, Terk, MR, Martini, C &amp; Wenstrup, RJ 2002, 'Bone complications in children with Gaucher disease', </w:t>
      </w:r>
      <w:r w:rsidRPr="00DE294B">
        <w:rPr>
          <w:i/>
          <w:iCs/>
        </w:rPr>
        <w:t>British Journal of Radiology</w:t>
      </w:r>
      <w:r w:rsidRPr="00DE294B">
        <w:t>, vol. 75, pp. A37-A43.</w:t>
      </w:r>
      <w:proofErr w:type="gramEnd"/>
    </w:p>
    <w:p w:rsidR="00092F60" w:rsidRPr="00DE294B" w:rsidRDefault="00092F60" w:rsidP="00092F60">
      <w:r w:rsidRPr="00DE294B">
        <w:t xml:space="preserve">Benedik-Dolnicar, M &amp; Kitanovski, L 2011, 'Individualized long-term enzyme therapy for </w:t>
      </w:r>
      <w:proofErr w:type="gramStart"/>
      <w:r w:rsidRPr="00DE294B">
        <w:t>Gaucher</w:t>
      </w:r>
      <w:proofErr w:type="gramEnd"/>
      <w:r w:rsidRPr="00DE294B">
        <w:t xml:space="preserve"> disease type 1 in Slovenia', </w:t>
      </w:r>
      <w:r w:rsidRPr="00DE294B">
        <w:rPr>
          <w:i/>
          <w:iCs/>
        </w:rPr>
        <w:t>Pediatr Int</w:t>
      </w:r>
      <w:r w:rsidRPr="00DE294B">
        <w:t>, vol. 53, pp. 1018-1022.</w:t>
      </w:r>
    </w:p>
    <w:p w:rsidR="00092F60" w:rsidRPr="00DE294B" w:rsidRDefault="00092F60" w:rsidP="00092F60">
      <w:r w:rsidRPr="00DE294B">
        <w:t xml:space="preserve">Brunel-Guitton, C, Rivard, GE, Galipeau, J, Alos, N, Miron, MC, Therrien, R, Mitchell, G, Lapierre, G &amp; Lambert, M 2009, 'Enzyme replacement therapy in pediatric patients with Gaucher disease: What should we use as maintenance dosage?', </w:t>
      </w:r>
      <w:r w:rsidRPr="00DE294B">
        <w:rPr>
          <w:i/>
          <w:iCs/>
        </w:rPr>
        <w:t>Molecular Genetics and Metabolism</w:t>
      </w:r>
      <w:r w:rsidRPr="00DE294B">
        <w:t>, vol. 96, pp. 73-76.</w:t>
      </w:r>
    </w:p>
    <w:p w:rsidR="00092F60" w:rsidRPr="00DE294B" w:rsidRDefault="00092F60" w:rsidP="00092F60">
      <w:r w:rsidRPr="00DE294B">
        <w:t xml:space="preserve">Camelo, J, Cravo, R, Cabello, F, Drelichman, G, Kerstenetzky, M, Sarmiento, I &amp; Linares, A 2013, 'Long-term imiglucerase/alglucerase treatment in Latin American children with type 1 Gaucher disease: Lessons from the International Collaborative Gaucher Group (ICGG) Gaucher Registry', </w:t>
      </w:r>
      <w:r w:rsidRPr="00DE294B">
        <w:rPr>
          <w:i/>
          <w:iCs/>
        </w:rPr>
        <w:t>Molecular Genetics and Metabolism</w:t>
      </w:r>
      <w:r w:rsidRPr="00DE294B">
        <w:t>, vol. 108, pp. S28-S28.</w:t>
      </w:r>
    </w:p>
    <w:p w:rsidR="00092F60" w:rsidRPr="00DE294B" w:rsidRDefault="00092F60" w:rsidP="00092F60">
      <w:r w:rsidRPr="00DE294B">
        <w:t xml:space="preserve">Cappellini, M, Belmatoug, N, Cole, A, vom Dahl, S, Deegan, P, Goldblatt, J, Rosenbloom, B, Tylki-Szymañska, A, Weinreb, N &amp; Zimran, A 2010, 'Determinants of persisting thrombocytopenia in patients with type 1 Gaucher disease treated with alglucerase/imiglucerase for 4–5 years', </w:t>
      </w:r>
      <w:r w:rsidRPr="00DE294B">
        <w:rPr>
          <w:i/>
          <w:iCs/>
        </w:rPr>
        <w:t>Blood</w:t>
      </w:r>
      <w:r w:rsidRPr="00DE294B">
        <w:t>, vol. 116, no. 21, pp. 4719-4719.</w:t>
      </w:r>
    </w:p>
    <w:p w:rsidR="00092F60" w:rsidRPr="00DE294B" w:rsidRDefault="00092F60" w:rsidP="00092F60">
      <w:r w:rsidRPr="00DE294B">
        <w:t xml:space="preserve">Cappellini, M, Belmatoug, N, Cole, A, vom Dahl, S, Deegan, P, Goldblatt, J, Rosenbloom, B, van Dussen, L, Tylki-Szymańska, A &amp; Weinreb, N 2011, 'Determinants of persisting thrombocytopenia in patients with type 1 Gaucher disease treated with imiglucerase for 4-5 years', </w:t>
      </w:r>
      <w:r w:rsidRPr="00DE294B">
        <w:rPr>
          <w:i/>
          <w:iCs/>
        </w:rPr>
        <w:t>Haematologica</w:t>
      </w:r>
      <w:r w:rsidRPr="00DE294B">
        <w:t>, vol. 96, no. Suppl. 2, pp. 326-326.</w:t>
      </w:r>
    </w:p>
    <w:p w:rsidR="00092F60" w:rsidRPr="00DE294B" w:rsidRDefault="00092F60" w:rsidP="00092F60">
      <w:r w:rsidRPr="00DE294B">
        <w:t xml:space="preserve">Charrow, J, Dulisse, B, Grabowski, GA &amp; Weinreb, NJ 2007, 'The effect of enzyme replacement therapy on bone crisis and bone pain in patients with type 1 Gaucher disease', </w:t>
      </w:r>
      <w:r w:rsidRPr="00DE294B">
        <w:rPr>
          <w:i/>
          <w:iCs/>
        </w:rPr>
        <w:t>Clinical Genetics</w:t>
      </w:r>
      <w:r w:rsidRPr="00DE294B">
        <w:t>, vol. 71, pp. 205-211.</w:t>
      </w:r>
    </w:p>
    <w:p w:rsidR="00092F60" w:rsidRPr="00DE294B" w:rsidRDefault="00092F60" w:rsidP="00092F60">
      <w:proofErr w:type="gramStart"/>
      <w:r w:rsidRPr="00DE294B">
        <w:t xml:space="preserve">Chippington, S, McHugh, K &amp; Vellodi, A 2008, 'Splenic nodules in paediatric Gaucher disease treated by enzyme replacement therapy', </w:t>
      </w:r>
      <w:r w:rsidRPr="00DE294B">
        <w:rPr>
          <w:i/>
          <w:iCs/>
        </w:rPr>
        <w:t>Pediatr Radiol</w:t>
      </w:r>
      <w:r w:rsidRPr="00DE294B">
        <w:t>, vol. 38, pp. 657-660.</w:t>
      </w:r>
      <w:proofErr w:type="gramEnd"/>
    </w:p>
    <w:p w:rsidR="00092F60" w:rsidRPr="00DE294B" w:rsidRDefault="00092F60" w:rsidP="00092F60">
      <w:r w:rsidRPr="00DE294B">
        <w:t xml:space="preserve">Ciana, G, Deroma, L, Franzil, AM, Dardis, A &amp; Bembi, B 2012, 'Long-term bone mineral density response to enzyme replacement therapy in a retrospective pediatric cohort of Gaucher patients', </w:t>
      </w:r>
      <w:r w:rsidRPr="00DE294B">
        <w:rPr>
          <w:i/>
          <w:iCs/>
        </w:rPr>
        <w:t>J Inherit Metab Dis</w:t>
      </w:r>
      <w:r w:rsidRPr="00DE294B">
        <w:t>, vol. 35, pp. 1101-1106.</w:t>
      </w:r>
    </w:p>
    <w:p w:rsidR="00092F60" w:rsidRPr="00DE294B" w:rsidRDefault="00092F60" w:rsidP="00092F60">
      <w:r w:rsidRPr="00DE294B">
        <w:t xml:space="preserve">Cole, A, Weinreb, N, Balwani, M, Charrow, J, Tripuraneni, R, Villalobos, J, Kerstenetzky, M &amp; Hollak, C 2011, 'Clinical outcomes of imiglucerase after 10 years of treatment', </w:t>
      </w:r>
      <w:r w:rsidRPr="00DE294B">
        <w:rPr>
          <w:i/>
          <w:iCs/>
        </w:rPr>
        <w:t>Pharmacoepidemiology and Drug Safety</w:t>
      </w:r>
      <w:r w:rsidRPr="00DE294B">
        <w:t>, vol. 20, p. S69.</w:t>
      </w:r>
    </w:p>
    <w:p w:rsidR="00092F60" w:rsidRPr="00DE294B" w:rsidRDefault="00092F60" w:rsidP="00092F60">
      <w:proofErr w:type="gramStart"/>
      <w:r w:rsidRPr="00DE294B">
        <w:t xml:space="preserve">Deegan, PB, Pavlova, E, Tindall, J, Stein, PE, Bearcroft, P, Mehta, A, Hughes, D, Wraith, JE &amp; Cox, TM 2011, 'Osseous manifestations of adult gaucher disease in the era of enzyme replacement therapy', </w:t>
      </w:r>
      <w:r w:rsidRPr="00DE294B">
        <w:rPr>
          <w:i/>
          <w:iCs/>
        </w:rPr>
        <w:t>Medicine</w:t>
      </w:r>
      <w:r w:rsidRPr="00DE294B">
        <w:t>, vol. 90, pp. 52-60.</w:t>
      </w:r>
      <w:proofErr w:type="gramEnd"/>
    </w:p>
    <w:p w:rsidR="00092F60" w:rsidRPr="00DE294B" w:rsidRDefault="00092F60" w:rsidP="00092F60">
      <w:r w:rsidRPr="00DE294B">
        <w:lastRenderedPageBreak/>
        <w:t xml:space="preserve">Denes, CL, Munteanu, D, Popita, V, Drugan, C &amp; Grigorescu-Sido, P 2009, 'Imaging findings of the outcome of enzyme replacement therapy in Romanian patients with type 1 Gaucher disease', </w:t>
      </w:r>
      <w:r w:rsidRPr="00DE294B">
        <w:rPr>
          <w:i/>
          <w:iCs/>
        </w:rPr>
        <w:t>Clinical Therapeutics</w:t>
      </w:r>
      <w:r w:rsidRPr="00DE294B">
        <w:t>, vol. 31, p. S201.</w:t>
      </w:r>
    </w:p>
    <w:p w:rsidR="00092F60" w:rsidRPr="00DE294B" w:rsidRDefault="00092F60" w:rsidP="00092F60">
      <w:proofErr w:type="gramStart"/>
      <w:r w:rsidRPr="00DE294B">
        <w:t xml:space="preserve">Dowley, M 2013, 'Long-term clinical outcomes in type 1 Gaucher disease following 10 years of imiglucerase treatment', </w:t>
      </w:r>
      <w:r w:rsidRPr="00DE294B">
        <w:rPr>
          <w:i/>
          <w:iCs/>
        </w:rPr>
        <w:t>Annals of Clinical Biochemistry</w:t>
      </w:r>
      <w:r w:rsidRPr="00DE294B">
        <w:t>, vol. 50, p. 507.</w:t>
      </w:r>
      <w:proofErr w:type="gramEnd"/>
    </w:p>
    <w:p w:rsidR="00092F60" w:rsidRPr="00DE294B" w:rsidRDefault="00092F60" w:rsidP="00092F60">
      <w:r w:rsidRPr="00DE294B">
        <w:t xml:space="preserve">El-Beshlawy, A, Ragab, L, Youssry, I, Yakout, K, El-Kiki, H, Eid, K, Mansour, IM, Abd, E-H, Yang, M &amp; Mistry, PK 2006, 'Enzyme replacement therapy and bony changes in Egyptian pediatric Gaucher disease patients', </w:t>
      </w:r>
      <w:r w:rsidRPr="00DE294B">
        <w:rPr>
          <w:i/>
          <w:iCs/>
        </w:rPr>
        <w:t>J. Inherited Metab. Dis.</w:t>
      </w:r>
      <w:r w:rsidRPr="00DE294B">
        <w:t>, vol. 29, pp. 92-98.</w:t>
      </w:r>
    </w:p>
    <w:p w:rsidR="00092F60" w:rsidRPr="00DE294B" w:rsidRDefault="00092F60" w:rsidP="00092F60">
      <w:r w:rsidRPr="00DE294B">
        <w:t xml:space="preserve">Elstein, D, Abrahamov, A, Hadas-Halpern, I, Meyer, A &amp; Zimran, A 1998, 'Low-dose low-frequency imiglucerase as a starting regimen of enzyme replacement therapy for patients with type I Gaucher disease', </w:t>
      </w:r>
      <w:r w:rsidRPr="00DE294B">
        <w:rPr>
          <w:i/>
          <w:iCs/>
        </w:rPr>
        <w:t>QJM</w:t>
      </w:r>
      <w:r w:rsidRPr="00DE294B">
        <w:t>, vol. 91, pp. 483-488.</w:t>
      </w:r>
    </w:p>
    <w:p w:rsidR="00092F60" w:rsidRPr="00DE294B" w:rsidRDefault="00092F60" w:rsidP="00092F60">
      <w:proofErr w:type="gramStart"/>
      <w:r w:rsidRPr="00DE294B">
        <w:t xml:space="preserve">Elstein, D, Abrahamov, A, Hadas-Halpern, I &amp; Zimran, A 2000, 'Withdrawal of enzyme replacement therapy in </w:t>
      </w:r>
      <w:r w:rsidR="00E51493">
        <w:t>Gaucher disease</w:t>
      </w:r>
      <w:r w:rsidRPr="00DE294B">
        <w:t xml:space="preserve">', </w:t>
      </w:r>
      <w:r w:rsidRPr="00DE294B">
        <w:rPr>
          <w:i/>
          <w:iCs/>
        </w:rPr>
        <w:t>British Journal of Haematology</w:t>
      </w:r>
      <w:r w:rsidRPr="00DE294B">
        <w:t>, vol. 110, pp. 488-492.</w:t>
      </w:r>
      <w:proofErr w:type="gramEnd"/>
    </w:p>
    <w:p w:rsidR="00092F60" w:rsidRPr="00DE294B" w:rsidRDefault="00092F60" w:rsidP="00092F60">
      <w:r w:rsidRPr="00DE294B">
        <w:t xml:space="preserve">Elstein, D, Ben, T, Gonzalez, DE, Kabra, M, Lukina, EA &amp; Giraldo, P 2012, 'Bone mineral density in adults with type 1 gaucher disease receiving velaglucerase alfa 60 U/KG every other week: 2-year results [abstract]', </w:t>
      </w:r>
      <w:r w:rsidRPr="00DE294B">
        <w:rPr>
          <w:i/>
          <w:iCs/>
        </w:rPr>
        <w:t>Journal of Inherited Metabolic Disease</w:t>
      </w:r>
      <w:r w:rsidRPr="00DE294B">
        <w:t>, vol. 35 Suppl 1, pp. S150, Abstract no: P-410.</w:t>
      </w:r>
    </w:p>
    <w:p w:rsidR="00092F60" w:rsidRPr="00DE294B" w:rsidRDefault="00092F60" w:rsidP="00092F60">
      <w:r w:rsidRPr="00DE294B">
        <w:t xml:space="preserve">Elstein, D, Cohn, G, Zahrieh, D, Crombez, E &amp; Zimran, A 2013, 'A 7-year open-label study of clinical parameters and therapeutic goals in patients with type 1 Gaucher disease receiving treatment with velaglucerase alfa: Updating the long-term experience with velaglucerase alfa', </w:t>
      </w:r>
      <w:r w:rsidRPr="00DE294B">
        <w:rPr>
          <w:i/>
          <w:iCs/>
        </w:rPr>
        <w:t>Molecular Genetics and Metabolism</w:t>
      </w:r>
      <w:r w:rsidRPr="00DE294B">
        <w:t>, vol. 108, pp. S37-S37.</w:t>
      </w:r>
    </w:p>
    <w:p w:rsidR="00092F60" w:rsidRPr="00DE294B" w:rsidRDefault="00092F60" w:rsidP="00092F60">
      <w:proofErr w:type="gramStart"/>
      <w:r w:rsidRPr="00DE294B">
        <w:t xml:space="preserve">Elstein, D, Cohn, GM, Wang, N, Djordjevic, M, Brutaru, C &amp; Zimran, A 2011, 'Early achievement and maintenance of the therapeutic goals using velaglucerase alfa in type 1 Gaucher disease', </w:t>
      </w:r>
      <w:r w:rsidRPr="00DE294B">
        <w:rPr>
          <w:i/>
          <w:iCs/>
        </w:rPr>
        <w:t>Blood Cells Mol Dis</w:t>
      </w:r>
      <w:r w:rsidRPr="00DE294B">
        <w:t>, vol. 46, pp. 119-123.</w:t>
      </w:r>
      <w:proofErr w:type="gramEnd"/>
    </w:p>
    <w:p w:rsidR="00092F60" w:rsidRPr="00DE294B" w:rsidRDefault="00092F60" w:rsidP="00092F60">
      <w:proofErr w:type="gramStart"/>
      <w:r w:rsidRPr="00DE294B">
        <w:t xml:space="preserve">Elstein, D, Crombez, E, Zahrieh, D, Wang, N &amp; Zimran, A 2014, '7-year safety and efficacy with velaglucerase alfa for treatment-naive adult patients with type 1 Gaucher disease', </w:t>
      </w:r>
      <w:r w:rsidRPr="00DE294B">
        <w:rPr>
          <w:i/>
          <w:iCs/>
        </w:rPr>
        <w:t>Molecular Genetics and Metabolism</w:t>
      </w:r>
      <w:r w:rsidRPr="00DE294B">
        <w:t>, vol. 111, pp. S40-S41.</w:t>
      </w:r>
      <w:proofErr w:type="gramEnd"/>
    </w:p>
    <w:p w:rsidR="00092F60" w:rsidRPr="00DE294B" w:rsidRDefault="00092F60" w:rsidP="00092F60">
      <w:r w:rsidRPr="00DE294B">
        <w:t xml:space="preserve">Elstein, D, Haims, AH, Zahrieh, D, Cohn, GM &amp; Zimran, A 2012, 'Impact of Velaglucerase Alfa Therapy on Bone Marrow Burden Score in Adults with Type 1 Gaucher Disease: 7-Year Experience', </w:t>
      </w:r>
      <w:r w:rsidRPr="00DE294B">
        <w:rPr>
          <w:i/>
          <w:iCs/>
        </w:rPr>
        <w:t>European Working Group for Gaucher Disease (EWGGD)</w:t>
      </w:r>
      <w:r w:rsidRPr="00DE294B">
        <w:t>.</w:t>
      </w:r>
    </w:p>
    <w:p w:rsidR="00092F60" w:rsidRPr="00DE294B" w:rsidRDefault="00092F60" w:rsidP="00092F60">
      <w:r w:rsidRPr="00DE294B">
        <w:t xml:space="preserve">Elstein, D, Haims, AH, Zahrieh, D, Cohn, GM &amp; Zimran, A 2014, 'Impact of velaglucerase alfa on bone marrow burden score in adult patients with type 1 Gaucher disease: 7-year follow-up', </w:t>
      </w:r>
      <w:r w:rsidRPr="00DE294B">
        <w:rPr>
          <w:i/>
          <w:iCs/>
        </w:rPr>
        <w:t>Blood Cells Mol Dis</w:t>
      </w:r>
      <w:r w:rsidRPr="00DE294B">
        <w:t>, vol. 53, pp. 56-60.</w:t>
      </w:r>
    </w:p>
    <w:p w:rsidR="00092F60" w:rsidRPr="00DE294B" w:rsidRDefault="00092F60" w:rsidP="00092F60">
      <w:proofErr w:type="gramStart"/>
      <w:r w:rsidRPr="00DE294B">
        <w:t xml:space="preserve">Elstein, D, Hughes, D, Goker-Alpan, O, Stivel, M, Baris, HN, Cohen, IJ, Granovsky-Grisaru, S, Samueloff, A, Mehta, A &amp; Zimran, A 2014, 'Outcome of pregnancies in women receiving velaglucerase alfa for Gaucher disease', </w:t>
      </w:r>
      <w:r w:rsidRPr="00DE294B">
        <w:rPr>
          <w:i/>
          <w:iCs/>
        </w:rPr>
        <w:t>J Obstet Gynaecol Res</w:t>
      </w:r>
      <w:r w:rsidRPr="00DE294B">
        <w:t>, vol. 40, pp. 968-975.</w:t>
      </w:r>
      <w:proofErr w:type="gramEnd"/>
    </w:p>
    <w:p w:rsidR="00092F60" w:rsidRPr="00DE294B" w:rsidRDefault="00092F60" w:rsidP="00092F60">
      <w:r w:rsidRPr="00DE294B">
        <w:lastRenderedPageBreak/>
        <w:t xml:space="preserve">Elstein, D, Turkia, HB, Kabra, M, Giraldo, P, Ben, D, M, F, Gupta, N, Zahrieh, D, Crombez, E &amp; Zimran, A 2012, 'Achievement of therapeutic goals over 2 years of velaglucerase alfa enzyme replacement therapy in patients with type 1 gaucher disease', </w:t>
      </w:r>
      <w:r w:rsidRPr="00DE294B">
        <w:rPr>
          <w:i/>
          <w:iCs/>
        </w:rPr>
        <w:t>Molecular Genetics and Metabolism</w:t>
      </w:r>
      <w:r w:rsidRPr="00DE294B">
        <w:t>, vol. 105, p. S28.</w:t>
      </w:r>
    </w:p>
    <w:p w:rsidR="00092F60" w:rsidRPr="00DE294B" w:rsidRDefault="00092F60" w:rsidP="00092F60">
      <w:r w:rsidRPr="00DE294B">
        <w:t xml:space="preserve">Elstein, D, Zimran, </w:t>
      </w:r>
      <w:proofErr w:type="gramStart"/>
      <w:r w:rsidRPr="00DE294B">
        <w:t>A</w:t>
      </w:r>
      <w:proofErr w:type="gramEnd"/>
      <w:r w:rsidRPr="00DE294B">
        <w:t xml:space="preserve">, Cohn, MG &amp; Bhirangi, K 2010, 'Five-year safety and efficacy of velaglucerase alfa in Gaucher disease type 1: Experience in clinic and home settings', </w:t>
      </w:r>
      <w:r w:rsidRPr="00DE294B">
        <w:rPr>
          <w:i/>
          <w:iCs/>
        </w:rPr>
        <w:t>Molecular Genetics and Metabolism</w:t>
      </w:r>
      <w:r w:rsidRPr="00DE294B">
        <w:t>, vol. 99, p. S18.</w:t>
      </w:r>
    </w:p>
    <w:p w:rsidR="00092F60" w:rsidRPr="00DE294B" w:rsidRDefault="00092F60" w:rsidP="00092F60">
      <w:r w:rsidRPr="00DE294B">
        <w:t xml:space="preserve">Erdemir, G, Ozkan, T, Ozgur, T, Yazici, Z &amp; Ozdemir, O 2011, 'Pediatric Gaucher experience in South Marmara region of Turkey', </w:t>
      </w:r>
      <w:r w:rsidRPr="00DE294B">
        <w:rPr>
          <w:i/>
          <w:iCs/>
        </w:rPr>
        <w:t>Turk J Gastroenterol</w:t>
      </w:r>
      <w:r w:rsidRPr="00DE294B">
        <w:t>, vol. 22, pp. 500-504.</w:t>
      </w:r>
    </w:p>
    <w:p w:rsidR="00092F60" w:rsidRPr="00DE294B" w:rsidRDefault="00092F60" w:rsidP="00092F60">
      <w:r w:rsidRPr="00DE294B">
        <w:t>Fraticelli, P, Bonifazi, M, Lucci, M, Giori, S &amp; Gabrielli, A 2009, 'Clinical response to low-frequency maintenance therapy with imiglucerase (</w:t>
      </w:r>
      <w:proofErr w:type="gramStart"/>
      <w:r w:rsidRPr="00DE294B">
        <w:t>Cerezyme(</w:t>
      </w:r>
      <w:proofErr w:type="gramEnd"/>
      <w:r w:rsidRPr="00DE294B">
        <w:t xml:space="preserve">registered trademark)) in three adult patients with stabletype 1 Gaucher disease', </w:t>
      </w:r>
      <w:r w:rsidRPr="00DE294B">
        <w:rPr>
          <w:i/>
          <w:iCs/>
        </w:rPr>
        <w:t>Clinical Therapeutics</w:t>
      </w:r>
      <w:r w:rsidRPr="00DE294B">
        <w:t>, vol. 31, p. S206.</w:t>
      </w:r>
    </w:p>
    <w:p w:rsidR="00092F60" w:rsidRPr="00DE294B" w:rsidRDefault="00092F60" w:rsidP="00092F60">
      <w:r w:rsidRPr="00DE294B">
        <w:t xml:space="preserve">Giona, F, Palumbo, G, Amendola, A, Santoro, C &amp; Mazzuconi, MG 2006, 'Platelet function and coagulation abnormalities in type 1 Gaucher disease patients: Effects of enzyme replacement therapy (ERT) [2]', </w:t>
      </w:r>
      <w:r w:rsidRPr="00DE294B">
        <w:rPr>
          <w:i/>
          <w:iCs/>
        </w:rPr>
        <w:t>Journal of Thrombosis and Haemostasis</w:t>
      </w:r>
      <w:r w:rsidRPr="00DE294B">
        <w:t>, vol. 4, pp. 1831-1833.</w:t>
      </w:r>
    </w:p>
    <w:p w:rsidR="00092F60" w:rsidRPr="00DE294B" w:rsidRDefault="00092F60" w:rsidP="00092F60">
      <w:r w:rsidRPr="00DE294B">
        <w:t xml:space="preserve">Giraldo, P, Solano, V, Perez-Calvo, JI, Giralt, M &amp; Rubio-Felix, D 2005, 'Quality of life related to type 1 Gaucher disease: Spanish experience', </w:t>
      </w:r>
      <w:r w:rsidRPr="00DE294B">
        <w:rPr>
          <w:i/>
          <w:iCs/>
        </w:rPr>
        <w:t>Quality of Life Research</w:t>
      </w:r>
      <w:r w:rsidRPr="00DE294B">
        <w:t>, vol. 14, pp. 453-462.</w:t>
      </w:r>
    </w:p>
    <w:p w:rsidR="00092F60" w:rsidRPr="00DE294B" w:rsidRDefault="00092F60" w:rsidP="00092F60">
      <w:r w:rsidRPr="00DE294B">
        <w:t xml:space="preserve">Giraldo, P, Zimran, A, Mehta, A, Hughes, D, Hangartner, TN, Wang, N, Cohn, GM, Crombez, E &amp; Elstein, D 2014, 'Safety and efficacy of long-term velaglucerase alfa therapy in treatment-naive adults with type 1 Gaucher disease: results from Phase III trials', </w:t>
      </w:r>
      <w:r w:rsidRPr="00DE294B">
        <w:rPr>
          <w:i/>
          <w:iCs/>
        </w:rPr>
        <w:t>Molecular Genetics and Metabolism</w:t>
      </w:r>
      <w:r w:rsidRPr="00DE294B">
        <w:t>, vol. 111, pp. S47-S47.</w:t>
      </w:r>
    </w:p>
    <w:p w:rsidR="00092F60" w:rsidRPr="00DE294B" w:rsidRDefault="00092F60" w:rsidP="00092F60">
      <w:proofErr w:type="gramStart"/>
      <w:r w:rsidRPr="00DE294B">
        <w:t xml:space="preserve">Goitein, O, Elstein, D, Abrahamov, A, Hadas-Halpern, I, Melzer, E, Kerem, E &amp; Zimran, A 2001, 'Lung involvement and enzyme replacement therapy in </w:t>
      </w:r>
      <w:r w:rsidR="00E51493">
        <w:t>Gaucher disease</w:t>
      </w:r>
      <w:r w:rsidRPr="00DE294B">
        <w:t xml:space="preserve">', </w:t>
      </w:r>
      <w:r w:rsidRPr="00DE294B">
        <w:rPr>
          <w:i/>
          <w:iCs/>
        </w:rPr>
        <w:t>QJM</w:t>
      </w:r>
      <w:r w:rsidRPr="00DE294B">
        <w:t>, vol. 94, pp. 407-415.</w:t>
      </w:r>
      <w:proofErr w:type="gramEnd"/>
    </w:p>
    <w:p w:rsidR="00092F60" w:rsidRPr="00DE294B" w:rsidRDefault="00092F60" w:rsidP="00092F60">
      <w:r w:rsidRPr="00DE294B">
        <w:t xml:space="preserve">Goker-Alpan, O, Kasmani, S, Farwah, A &amp; Alpan, O 2011, 'First year of clinical therapeutic experience using velaglucerase-alpha for the treatment of Gaucher disease', </w:t>
      </w:r>
      <w:r w:rsidRPr="00DE294B">
        <w:rPr>
          <w:i/>
          <w:iCs/>
        </w:rPr>
        <w:t>Journal of Inherited Metabolic Disease</w:t>
      </w:r>
      <w:r w:rsidRPr="00DE294B">
        <w:t>, vol. 34, p. S225.</w:t>
      </w:r>
    </w:p>
    <w:p w:rsidR="00092F60" w:rsidRPr="00DE294B" w:rsidRDefault="00092F60" w:rsidP="00092F60">
      <w:r w:rsidRPr="00DE294B">
        <w:t xml:space="preserve">Goldblatt, J, Fletcher, JM, McGill, J, Szer, J &amp; Wilson, M 2011, 'Enzyme replacement therapy "drug holiday": results from an unexpected shortage of an orphan drug supply in Australia', </w:t>
      </w:r>
      <w:r w:rsidRPr="00DE294B">
        <w:rPr>
          <w:i/>
          <w:iCs/>
        </w:rPr>
        <w:t>Blood Cells Mol Dis</w:t>
      </w:r>
      <w:r w:rsidRPr="00DE294B">
        <w:t>, vol. 46, pp. 107-110.</w:t>
      </w:r>
    </w:p>
    <w:p w:rsidR="00092F60" w:rsidRPr="00DE294B" w:rsidRDefault="00092F60" w:rsidP="00092F60">
      <w:r w:rsidRPr="00DE294B">
        <w:t xml:space="preserve">Goldblatt, J, Szer, J, Fletcher, JM, McGill, J, Rowell, JA &amp; Wilson, M 2005, 'Enzyme replacement therapy for Gaucher disease in Australia', </w:t>
      </w:r>
      <w:r w:rsidRPr="00DE294B">
        <w:rPr>
          <w:i/>
          <w:iCs/>
        </w:rPr>
        <w:t>Intern Med J</w:t>
      </w:r>
      <w:r w:rsidRPr="00DE294B">
        <w:t>, vol. 35, pp. 156-161.</w:t>
      </w:r>
    </w:p>
    <w:p w:rsidR="00092F60" w:rsidRPr="00DE294B" w:rsidRDefault="00092F60" w:rsidP="00092F60">
      <w:r w:rsidRPr="00DE294B">
        <w:t xml:space="preserve">Grabowski, GA, Barton, NW, Pastores, G, Dambrosia, JM, Banerjee, TK, McKee, MA, Parker, C, Schiffmann, R, Hill, SC &amp; Brady, RO 1995, 'Enzyme therapy in type 1 Gaucher disease: </w:t>
      </w:r>
      <w:r w:rsidRPr="00DE294B">
        <w:lastRenderedPageBreak/>
        <w:t xml:space="preserve">comparative efficacy of mannose-terminated glucocerebrosidase from natural and recombinant sources', </w:t>
      </w:r>
      <w:r w:rsidRPr="00DE294B">
        <w:rPr>
          <w:i/>
          <w:iCs/>
        </w:rPr>
        <w:t>Ann Intern Med</w:t>
      </w:r>
      <w:r w:rsidRPr="00DE294B">
        <w:t>, vol. 122, pp. 33-39.</w:t>
      </w:r>
    </w:p>
    <w:p w:rsidR="00092F60" w:rsidRPr="00DE294B" w:rsidRDefault="00092F60" w:rsidP="00092F60">
      <w:r w:rsidRPr="00DE294B">
        <w:t xml:space="preserve">Grigorescu, S, Drugan, C, Cret, V, Al-Kzouz, C, Denes, C, Coldea, C &amp; Zimmermann, A 2007, 'Outcome of enzyme replacement therapy in patients with </w:t>
      </w:r>
      <w:proofErr w:type="gramStart"/>
      <w:r w:rsidRPr="00DE294B">
        <w:t>Gaucher</w:t>
      </w:r>
      <w:proofErr w:type="gramEnd"/>
      <w:r w:rsidRPr="00DE294B">
        <w:t xml:space="preserve"> disease type I. </w:t>
      </w:r>
      <w:proofErr w:type="gramStart"/>
      <w:r w:rsidRPr="00DE294B">
        <w:t xml:space="preserve">The Romanian experience', </w:t>
      </w:r>
      <w:r w:rsidRPr="00DE294B">
        <w:rPr>
          <w:i/>
          <w:iCs/>
        </w:rPr>
        <w:t>J Inherit Metab Dis</w:t>
      </w:r>
      <w:r w:rsidRPr="00DE294B">
        <w:t>, vol. 30, pp. 783-789.</w:t>
      </w:r>
      <w:proofErr w:type="gramEnd"/>
    </w:p>
    <w:p w:rsidR="00092F60" w:rsidRPr="00DE294B" w:rsidRDefault="00092F60" w:rsidP="00092F60">
      <w:proofErr w:type="gramStart"/>
      <w:r w:rsidRPr="00DE294B">
        <w:t xml:space="preserve">Grinzaid, KA, Geller, E, Hanna, SL, Elsas, LJ &amp; nd 2002, 'Cessation of enzyme replacement therapy in Gaucher disease', </w:t>
      </w:r>
      <w:r w:rsidRPr="00DE294B">
        <w:rPr>
          <w:i/>
          <w:iCs/>
        </w:rPr>
        <w:t>Genet Med</w:t>
      </w:r>
      <w:r w:rsidRPr="00DE294B">
        <w:t>, vol. 4, pp. 427-433.</w:t>
      </w:r>
      <w:proofErr w:type="gramEnd"/>
    </w:p>
    <w:p w:rsidR="00092F60" w:rsidRPr="00DE294B" w:rsidRDefault="00092F60" w:rsidP="00092F60">
      <w:proofErr w:type="gramStart"/>
      <w:r w:rsidRPr="00DE294B">
        <w:t xml:space="preserve">Gupta, N, Kabra, M, Shrivastava, R &amp; Vashist, S 2009, 'Enzyme replacement therapy with imiglucerase in Indian patients with Gaucher disease', </w:t>
      </w:r>
      <w:r w:rsidRPr="00DE294B">
        <w:rPr>
          <w:i/>
          <w:iCs/>
        </w:rPr>
        <w:t>Molecular Genetics and Metabolism</w:t>
      </w:r>
      <w:r w:rsidRPr="00DE294B">
        <w:t>, vol. 96, p. S26.</w:t>
      </w:r>
      <w:proofErr w:type="gramEnd"/>
    </w:p>
    <w:p w:rsidR="00092F60" w:rsidRPr="00DE294B" w:rsidRDefault="00092F60" w:rsidP="00092F60">
      <w:r w:rsidRPr="00DE294B">
        <w:t xml:space="preserve">Hangartner, T, Weinreb, N, Kaplan, P, Cole, JA, Gwosdow, A &amp; Mistry, P 2010, 'Osteopenia in gaucher disease develops early in life: Response to imiglucerase enzyme therapy in children, adolescents and adults', </w:t>
      </w:r>
      <w:r w:rsidRPr="00DE294B">
        <w:rPr>
          <w:i/>
          <w:iCs/>
        </w:rPr>
        <w:t>Journal of Bone and Mineral Research</w:t>
      </w:r>
      <w:r w:rsidRPr="00DE294B">
        <w:t>, vol. 25, p. S216.</w:t>
      </w:r>
    </w:p>
    <w:p w:rsidR="00092F60" w:rsidRPr="00DE294B" w:rsidRDefault="00092F60" w:rsidP="00092F60">
      <w:r w:rsidRPr="00DE294B">
        <w:t xml:space="preserve">Hollak, CE, Belmatoug, N, Cole, JA, Vom, D, Deegan, PB, Goldblatt, J, Rosenbloom, B, van, D, Tylki-Szymanska, A, Weinreb, NJ, Zimran, A &amp; Cappellini, MD 2012, 'Characteristics of type I Gaucher disease associated with persistent thrombocytopenia after treatment with imiglucerase for 4-5 years', </w:t>
      </w:r>
      <w:r w:rsidRPr="00DE294B">
        <w:rPr>
          <w:i/>
          <w:iCs/>
        </w:rPr>
        <w:t>Br J Haematol</w:t>
      </w:r>
      <w:r w:rsidRPr="00DE294B">
        <w:t>, vol. 158, pp. 528-538.</w:t>
      </w:r>
    </w:p>
    <w:p w:rsidR="00092F60" w:rsidRPr="00DE294B" w:rsidRDefault="00092F60" w:rsidP="00092F60">
      <w:r w:rsidRPr="00DE294B">
        <w:t xml:space="preserve">Hsu, CC, Chien, YH, Lai, MY &amp; Hwu, WL 2002, 'Enzyme replacement therapy with imiglucerase in Taiwanese patients with type I Gaucher disease', </w:t>
      </w:r>
      <w:r w:rsidRPr="00DE294B">
        <w:rPr>
          <w:i/>
          <w:iCs/>
        </w:rPr>
        <w:t>J Formos Med Assoc</w:t>
      </w:r>
      <w:r w:rsidRPr="00DE294B">
        <w:t>, vol. 101, pp. 627-631.</w:t>
      </w:r>
    </w:p>
    <w:p w:rsidR="00092F60" w:rsidRPr="00DE294B" w:rsidRDefault="00092F60" w:rsidP="00092F60">
      <w:r w:rsidRPr="00DE294B">
        <w:t xml:space="preserve">Ida, H, Rennert, OM, Kobayashi, M &amp; Eto, Y 2001, 'Effects of enzyme replacement therapy in thirteen Japanese paediatric patients with Gaucher disease', </w:t>
      </w:r>
      <w:r w:rsidRPr="00DE294B">
        <w:rPr>
          <w:i/>
          <w:iCs/>
        </w:rPr>
        <w:t>European Journal of Pediatrics</w:t>
      </w:r>
      <w:r w:rsidRPr="00DE294B">
        <w:t>, vol. 160, pp. 21-25.</w:t>
      </w:r>
    </w:p>
    <w:p w:rsidR="00092F60" w:rsidRPr="00DE294B" w:rsidRDefault="00092F60" w:rsidP="00092F60">
      <w:r w:rsidRPr="00DE294B">
        <w:t xml:space="preserve">Javier, RM, Hachulla, E, Rose, C, Gressin, V, Cherin, P, Noel, E, de, R-S, Dobbelaere, D, Hartmann, A, Jaussaud, R, Clerson, P, Grosbois, B &amp; Roux, C 2011, 'Vertebral fractures in Gaucher disease type I: data from the French "Observatoire" on Gaucher disease (FROG)', </w:t>
      </w:r>
      <w:r w:rsidRPr="00DE294B">
        <w:rPr>
          <w:i/>
          <w:iCs/>
        </w:rPr>
        <w:t>Osteoporosis International</w:t>
      </w:r>
      <w:r w:rsidRPr="00DE294B">
        <w:t>, vol. 22, pp. 1255-1261.</w:t>
      </w:r>
    </w:p>
    <w:p w:rsidR="00092F60" w:rsidRPr="00DE294B" w:rsidRDefault="00092F60" w:rsidP="00092F60">
      <w:r w:rsidRPr="00DE294B">
        <w:t xml:space="preserve">Khalifa, AS, Tantawy, AA, Shawky, RM, Monir, E, Elsayed, SM, Fateen, E &amp; Cooper, A 2011, 'Outcome of enzyme replacement therapy in children with Gaucher disease: The Egyptian experience', </w:t>
      </w:r>
      <w:r w:rsidRPr="00DE294B">
        <w:rPr>
          <w:i/>
          <w:iCs/>
        </w:rPr>
        <w:t>Egyptian Journal of Medical Human Genetics</w:t>
      </w:r>
      <w:r w:rsidRPr="00DE294B">
        <w:t>, vol. 12, pp. 9-14.</w:t>
      </w:r>
    </w:p>
    <w:p w:rsidR="00092F60" w:rsidRPr="00DE294B" w:rsidRDefault="00092F60" w:rsidP="00092F60">
      <w:proofErr w:type="gramStart"/>
      <w:r w:rsidRPr="00DE294B">
        <w:t xml:space="preserve">Kishnani, P, Crissman, B &amp; Mackey, J 2008, 'Effect of dose of enzyme replacement therapy with imiglucerase on bone crises in adolescents with Gaucher disease', </w:t>
      </w:r>
      <w:r w:rsidRPr="00DE294B">
        <w:rPr>
          <w:i/>
          <w:iCs/>
        </w:rPr>
        <w:t>Molecular Genetics and Metabolism</w:t>
      </w:r>
      <w:r w:rsidRPr="00DE294B">
        <w:t>, vol. 93, pp. S27-S27.</w:t>
      </w:r>
      <w:proofErr w:type="gramEnd"/>
    </w:p>
    <w:p w:rsidR="00092F60" w:rsidRPr="00DE294B" w:rsidRDefault="00092F60" w:rsidP="00092F60">
      <w:r w:rsidRPr="00DE294B">
        <w:t>Komninaka, V, Kolomodi, D, Marinakis, T, Repa, K, Christoulas, D, Voskaridou, E, Dimopoulos, MA &amp; Terpos, E 2012, 'Replacement therapy with imiglucerase improves magnetic resonance imaging (MRI) abnormalities in almost half patients with non-</w:t>
      </w:r>
      <w:r w:rsidRPr="00DE294B">
        <w:lastRenderedPageBreak/>
        <w:t xml:space="preserve">neuronopathic form of gaucher disease after twelve months of therapy: Results of a semi-quantitative MRI method', </w:t>
      </w:r>
      <w:r w:rsidRPr="00DE294B">
        <w:rPr>
          <w:i/>
          <w:iCs/>
        </w:rPr>
        <w:t>Blood</w:t>
      </w:r>
      <w:r w:rsidRPr="00DE294B">
        <w:t>, vol. 120.</w:t>
      </w:r>
    </w:p>
    <w:p w:rsidR="00092F60" w:rsidRPr="00DE294B" w:rsidRDefault="00092F60" w:rsidP="00092F60">
      <w:r w:rsidRPr="00DE294B">
        <w:t xml:space="preserve">Lebel, E, Dweck, A, Foldes, AJ, Golowa, Y, Itzchaki, M, Zimran, A &amp; Elstein, D 2004, 'Bone density changes with enzyme therapy for Gaucher disease', </w:t>
      </w:r>
      <w:r w:rsidRPr="00DE294B">
        <w:rPr>
          <w:i/>
          <w:iCs/>
        </w:rPr>
        <w:t>J Bone Miner Metab</w:t>
      </w:r>
      <w:r w:rsidRPr="00DE294B">
        <w:t>, vol. 22, pp. 597-601.</w:t>
      </w:r>
    </w:p>
    <w:p w:rsidR="00092F60" w:rsidRPr="00DE294B" w:rsidRDefault="00092F60" w:rsidP="00092F60">
      <w:r w:rsidRPr="00DE294B">
        <w:t xml:space="preserve">Mandala, E, Lafaras, C, Tsioni, K, Michelakaki, H, Koutalidou, S &amp; Ilonidis, G 2009, 'Enzyme replacement therapy in type 1 Gaucher disease: A single center's experience', </w:t>
      </w:r>
      <w:r w:rsidRPr="00DE294B">
        <w:rPr>
          <w:i/>
          <w:iCs/>
        </w:rPr>
        <w:t>Clinical Therapeutics</w:t>
      </w:r>
      <w:r w:rsidRPr="00DE294B">
        <w:t>, vol. 31, pp. S209-S210.</w:t>
      </w:r>
    </w:p>
    <w:p w:rsidR="00092F60" w:rsidRPr="00DE294B" w:rsidRDefault="00092F60" w:rsidP="00092F60">
      <w:r w:rsidRPr="00DE294B">
        <w:t xml:space="preserve">Mehta, A, Turkia, HB, Gonzalez, DE, Kabra, M, Lukina, EA, Giraldo, P, Kisinovsky, I, Bavdekar, A, Ben, D, M, F, Gupta, N, Kishnani, PS, Sureshkumar, EK, Barton, N, Wang, N, Crombez, E, Bhirangi, K &amp; Zimran, A 2011, 'Two-year safety and tolerability of velaglucerase alfa in patients with type 1 Gaucher disease, including patients switched from imiglucerase: Phase III trial HGT-GCB-039 and extension', </w:t>
      </w:r>
      <w:r w:rsidRPr="00DE294B">
        <w:rPr>
          <w:i/>
          <w:iCs/>
        </w:rPr>
        <w:t>Blood</w:t>
      </w:r>
      <w:r w:rsidRPr="00DE294B">
        <w:t>, vol. 118.</w:t>
      </w:r>
    </w:p>
    <w:p w:rsidR="00092F60" w:rsidRPr="00DE294B" w:rsidRDefault="00092F60" w:rsidP="00092F60">
      <w:proofErr w:type="gramStart"/>
      <w:r w:rsidRPr="00DE294B">
        <w:t xml:space="preserve">Milligan, A, Baker, R, Cooke, J, Hughes, D, Richfield, L &amp; Mehta, A 2011, 'Clinical experience (pre and post licensing) in previously ERT-naove patients receiving velaglucerase alfa for type 1 Gaucher disease', </w:t>
      </w:r>
      <w:r w:rsidRPr="00DE294B">
        <w:rPr>
          <w:i/>
          <w:iCs/>
        </w:rPr>
        <w:t>Journal of Inherited Metabolic Disease</w:t>
      </w:r>
      <w:r w:rsidRPr="00DE294B">
        <w:t>, vol. 34, p. S222.</w:t>
      </w:r>
      <w:proofErr w:type="gramEnd"/>
    </w:p>
    <w:p w:rsidR="00092F60" w:rsidRPr="00DE294B" w:rsidRDefault="00092F60" w:rsidP="00092F60">
      <w:r w:rsidRPr="00DE294B">
        <w:t xml:space="preserve">Mistry, PK, Weinreb, NJ, Kaplan, P, Cole, JA, Gwosdow, AR &amp; Hangartner, T 2010, 'Osteopenia in Gaucher disease develops early in life: Response to imiglucerase enzyme therapy in children, adolescents and adults', </w:t>
      </w:r>
      <w:r w:rsidRPr="00DE294B">
        <w:rPr>
          <w:i/>
          <w:iCs/>
        </w:rPr>
        <w:t>Journal of Inherited Metabolic Disease</w:t>
      </w:r>
      <w:r w:rsidRPr="00DE294B">
        <w:t>, vol. 33, p. S127.</w:t>
      </w:r>
    </w:p>
    <w:p w:rsidR="00092F60" w:rsidRPr="00DE294B" w:rsidRDefault="00092F60" w:rsidP="00092F60">
      <w:r w:rsidRPr="00DE294B">
        <w:t xml:space="preserve">Mitrovic, M, Sumarac, Z, Antic, D, Bogdanovic, A, Elezovic, I, Vukosavljevic, D, Ignjatovic, S, Majkic-Singh, N &amp; Suvajdzic, N 2012, 'Markers of coagulation activation and enhanced fibrinolysis in Gaucher type 1 patient: Effects of enzyme replacement therapy', </w:t>
      </w:r>
      <w:r w:rsidRPr="00DE294B">
        <w:rPr>
          <w:i/>
          <w:iCs/>
        </w:rPr>
        <w:t>Blood Cells, Molecules, and Diseases</w:t>
      </w:r>
      <w:r w:rsidRPr="00DE294B">
        <w:t>, vol. 49, pp. 58-59.</w:t>
      </w:r>
    </w:p>
    <w:p w:rsidR="00092F60" w:rsidRPr="00DE294B" w:rsidRDefault="00092F60" w:rsidP="00092F60">
      <w:r w:rsidRPr="00DE294B">
        <w:t xml:space="preserve">Mitrovic, M, Suvajdzic, V, Elezovic, I, Miljic, P, Sumarac, Z, Janic, D, Djordjevic, M, Petakov, M, Nikolic, T, Rodic, P &amp; Djunic, I 2010, 'Platelet function and coagulation abnormalities in type 1 gaucher patients: Effects of enzyme replacement therapy', </w:t>
      </w:r>
      <w:r w:rsidRPr="00DE294B">
        <w:rPr>
          <w:i/>
          <w:iCs/>
        </w:rPr>
        <w:t>Haematologica</w:t>
      </w:r>
      <w:r w:rsidRPr="00DE294B">
        <w:t>, vol. 95, p. 70.</w:t>
      </w:r>
    </w:p>
    <w:p w:rsidR="00092F60" w:rsidRPr="00DE294B" w:rsidRDefault="00092F60" w:rsidP="00092F60">
      <w:proofErr w:type="gramStart"/>
      <w:r w:rsidRPr="00DE294B">
        <w:t xml:space="preserve">Mota, RM &amp; Mankin, H 2007, 'Use of plain radiography to optimize skeletal outcomes in children with type 1 Gaucher disease in Brazil', </w:t>
      </w:r>
      <w:r w:rsidRPr="00DE294B">
        <w:rPr>
          <w:i/>
          <w:iCs/>
        </w:rPr>
        <w:t>J Pediatr Orthop</w:t>
      </w:r>
      <w:r w:rsidRPr="00DE294B">
        <w:t>, vol. 27, pp. 347-350.</w:t>
      </w:r>
      <w:proofErr w:type="gramEnd"/>
    </w:p>
    <w:p w:rsidR="00092F60" w:rsidRPr="00DE294B" w:rsidRDefault="00092F60" w:rsidP="00092F60">
      <w:r w:rsidRPr="00DE294B">
        <w:t xml:space="preserve">Mrsic, M, Stavljenic-Rukavina, A, Fumic, K, Labar, B, Bogdanic, V, Potocki, K, Kardum-Skelin, I &amp; Rovers, D 2003, 'Management of Gaucher disease in a post-communist transitional health care system: Croatian experience', </w:t>
      </w:r>
      <w:r w:rsidRPr="00DE294B">
        <w:rPr>
          <w:i/>
          <w:iCs/>
        </w:rPr>
        <w:t>Croat Med J</w:t>
      </w:r>
      <w:r w:rsidRPr="00DE294B">
        <w:t>, vol. 44, pp. 606-609.</w:t>
      </w:r>
    </w:p>
    <w:p w:rsidR="00092F60" w:rsidRPr="00DE294B" w:rsidRDefault="00092F60" w:rsidP="00092F60">
      <w:r w:rsidRPr="00DE294B">
        <w:t xml:space="preserve">Nagral, A, Mewawalla, P, Jagadeesh, S, Kabra, M, Phadke, SR, Verma, IC, Puri, RD, Gupta, N, Kishnani, PS &amp; Mistry, PK 2011, 'Recombinant macrophage targeted enzyme replacement therapy for Gaucher disease in India', </w:t>
      </w:r>
      <w:r w:rsidRPr="00DE294B">
        <w:rPr>
          <w:i/>
          <w:iCs/>
        </w:rPr>
        <w:t>Indian Pediatr</w:t>
      </w:r>
      <w:r w:rsidRPr="00DE294B">
        <w:t>, vol. 48, pp. 779-784.</w:t>
      </w:r>
    </w:p>
    <w:p w:rsidR="00092F60" w:rsidRPr="00DE294B" w:rsidRDefault="00092F60" w:rsidP="00092F60">
      <w:r w:rsidRPr="00DE294B">
        <w:lastRenderedPageBreak/>
        <w:t xml:space="preserve">Parisi, MS, Mastaglia, SR, Bagur, A, Goldstein, G, Zeni, SN &amp; Oliveri, B 2008, 'Body composition and bone metabolism in young Gaucher disease type I patients treated with imiglucerase', </w:t>
      </w:r>
      <w:r w:rsidRPr="00DE294B">
        <w:rPr>
          <w:i/>
          <w:iCs/>
        </w:rPr>
        <w:t>Eur J Med Res</w:t>
      </w:r>
      <w:r w:rsidRPr="00DE294B">
        <w:t>, vol. 13, pp. 31-38.</w:t>
      </w:r>
    </w:p>
    <w:p w:rsidR="00092F60" w:rsidRPr="00DE294B" w:rsidRDefault="00092F60" w:rsidP="00092F60">
      <w:r w:rsidRPr="00DE294B">
        <w:t xml:space="preserve">Pastores, GM, Rosenbloom, B, Weinreb, N, Goker-Alpan, O, Grabowski, G, Cohn, GM &amp; Zahrieh, D 2014, 'A multicenter open-label treatment protocol (HGT-GCB-058) of velaglucerase alfa enzyme replacement therapy in patients with Gaucher disease type 1: safety and tolerability', </w:t>
      </w:r>
      <w:r w:rsidRPr="00DE294B">
        <w:rPr>
          <w:i/>
          <w:iCs/>
        </w:rPr>
        <w:t>Genet Med</w:t>
      </w:r>
      <w:r w:rsidRPr="00DE294B">
        <w:t>, vol. 16, pp. 359-366.</w:t>
      </w:r>
    </w:p>
    <w:p w:rsidR="00092F60" w:rsidRPr="00DE294B" w:rsidRDefault="00092F60" w:rsidP="00092F60">
      <w:r w:rsidRPr="00DE294B">
        <w:t xml:space="preserve">Pastores, GM, Rosenbloom, BE, Weinreb, NJ, Goker-Alpan, O, Mardach, R, Lipson, M, Ibrahim, J, Cohn, GM, Zahrieh, D &amp; Mistry, PK 2011, 'Report on the safety of velaglucerase alfa enzyme replacement therapy in patients with type 1 Gaucher disease and the transition from clinic to home infusions during treatment protocol HGT-GCB-058', </w:t>
      </w:r>
      <w:r w:rsidRPr="00DE294B">
        <w:rPr>
          <w:i/>
          <w:iCs/>
        </w:rPr>
        <w:t>Blood</w:t>
      </w:r>
      <w:r w:rsidRPr="00DE294B">
        <w:t>, vol. 118.</w:t>
      </w:r>
    </w:p>
    <w:p w:rsidR="00092F60" w:rsidRPr="00DE294B" w:rsidRDefault="00092F60" w:rsidP="00092F60">
      <w:proofErr w:type="gramStart"/>
      <w:r w:rsidRPr="00DE294B">
        <w:t xml:space="preserve">Patlas, M, Hadas-Halpern, I, Abrahamov, A, Elstein, D &amp; Zimran, A 2002, 'Spectrum of abdominal sonographic findings in 103 pediatric patients with Gaucher disease', </w:t>
      </w:r>
      <w:r w:rsidRPr="00DE294B">
        <w:rPr>
          <w:i/>
          <w:iCs/>
        </w:rPr>
        <w:t>European Radiology</w:t>
      </w:r>
      <w:r w:rsidRPr="00DE294B">
        <w:t>, vol. 12, pp. 397-400.</w:t>
      </w:r>
      <w:proofErr w:type="gramEnd"/>
    </w:p>
    <w:p w:rsidR="00092F60" w:rsidRPr="00DE294B" w:rsidRDefault="00092F60" w:rsidP="00092F60">
      <w:r w:rsidRPr="00DE294B">
        <w:t xml:space="preserve">Poll, LW, Koch, JA, vom, D, Willers, R, Scherer, A, Boerner, D, Niederau, C, Haussinger, D &amp; Modder, U 2001, 'Magnetic resonance imaging of bone marrow changes in Gaucher disease during enzyme replacement therapy: first German long-term results', </w:t>
      </w:r>
      <w:r w:rsidRPr="00DE294B">
        <w:rPr>
          <w:i/>
          <w:iCs/>
        </w:rPr>
        <w:t>Skeletal Radiol</w:t>
      </w:r>
      <w:r w:rsidRPr="00DE294B">
        <w:t>, vol. 30, pp. 496-503.</w:t>
      </w:r>
    </w:p>
    <w:p w:rsidR="00092F60" w:rsidRPr="00DE294B" w:rsidRDefault="00092F60" w:rsidP="00092F60">
      <w:r w:rsidRPr="00DE294B">
        <w:t xml:space="preserve">Poll, LW, Koch, JA, Willers, R, Aerts, H, Scherer, A, Haussinger, D, Modder, U &amp; Vom, D 2002, 'Correlation of bone marrow response with hematological, biochemical, and visceral responses to enzyme replacement therapy of nonneuronopathic (type 1) Gaucher disease in 30 adult patients', </w:t>
      </w:r>
      <w:r w:rsidRPr="00DE294B">
        <w:rPr>
          <w:i/>
          <w:iCs/>
        </w:rPr>
        <w:t>Blood Cells, Molecules, and Diseases</w:t>
      </w:r>
      <w:r w:rsidRPr="00DE294B">
        <w:t>, vol. 28, pp. 209-220.</w:t>
      </w:r>
    </w:p>
    <w:p w:rsidR="00092F60" w:rsidRPr="00DE294B" w:rsidRDefault="00092F60" w:rsidP="00092F60">
      <w:r w:rsidRPr="00DE294B">
        <w:t xml:space="preserve">Poll, LW, Maas, M, Terk, MR, Roca-Espiau, M, Bembi, B, Ciana, G &amp; Weinreb, NJ 2002, 'Response of Gaucher bone disease to enzyme replacement therapy', </w:t>
      </w:r>
      <w:r w:rsidRPr="00DE294B">
        <w:rPr>
          <w:i/>
          <w:iCs/>
        </w:rPr>
        <w:t>British Journal of Radiology</w:t>
      </w:r>
      <w:r w:rsidRPr="00DE294B">
        <w:t>, vol. 75, pp. A25-A36.</w:t>
      </w:r>
    </w:p>
    <w:p w:rsidR="00092F60" w:rsidRPr="00DE294B" w:rsidRDefault="00092F60" w:rsidP="00092F60">
      <w:r w:rsidRPr="00DE294B">
        <w:t xml:space="preserve">Repa, C, Marinakis, TH, Tsaftaridis, P, Karkalousos, P, Komninaka, V, Athanassaki, K, Michelakakis, H, Anagnostopoulos, NI &amp; Symeonidis, A 2009, 'Treatment of Gaucher disease in </w:t>
      </w:r>
      <w:proofErr w:type="gramStart"/>
      <w:r w:rsidRPr="00DE294B">
        <w:t>greek</w:t>
      </w:r>
      <w:proofErr w:type="gramEnd"/>
      <w:r w:rsidRPr="00DE294B">
        <w:t xml:space="preserve"> adult patients: Long-term experience of a collaborative study of enzyme replacement therapy', </w:t>
      </w:r>
      <w:r w:rsidRPr="00DE294B">
        <w:rPr>
          <w:i/>
          <w:iCs/>
        </w:rPr>
        <w:t>Clinical Therapeutics</w:t>
      </w:r>
      <w:r w:rsidRPr="00DE294B">
        <w:t>, vol. 31, p. S210.</w:t>
      </w:r>
    </w:p>
    <w:p w:rsidR="00092F60" w:rsidRPr="00DE294B" w:rsidRDefault="00092F60" w:rsidP="00092F60">
      <w:r w:rsidRPr="00DE294B">
        <w:t xml:space="preserve">Robertson, PL, Maas, M &amp; Goldblatt, J 2007, 'Semiquantitative assessment of skeletal response to enzyme replacement therapy for </w:t>
      </w:r>
      <w:r w:rsidR="00E51493">
        <w:t>Gaucher disease</w:t>
      </w:r>
      <w:r w:rsidRPr="00DE294B">
        <w:t xml:space="preserve"> using the bone marrow burden score', </w:t>
      </w:r>
      <w:r w:rsidRPr="00DE294B">
        <w:rPr>
          <w:i/>
          <w:iCs/>
        </w:rPr>
        <w:t>AJR Am J Roentgenol</w:t>
      </w:r>
      <w:r w:rsidRPr="00DE294B">
        <w:t>, vol. 188, pp. 1521-1528.</w:t>
      </w:r>
    </w:p>
    <w:p w:rsidR="00092F60" w:rsidRPr="00DE294B" w:rsidRDefault="00092F60" w:rsidP="00092F60">
      <w:r w:rsidRPr="00DE294B">
        <w:t xml:space="preserve">Rudzki, Z, Okon, K, Machaczka, M, Rucinska, M, Papla, B &amp; Skotnicki, AB 2003, 'Enzyme replacement therapy reduces Gaucher cell burden but may accelerate osteopenia in patients with type I disease - a histological study', </w:t>
      </w:r>
      <w:r w:rsidRPr="00DE294B">
        <w:rPr>
          <w:i/>
          <w:iCs/>
        </w:rPr>
        <w:t>Eur J Haematol</w:t>
      </w:r>
      <w:r w:rsidRPr="00DE294B">
        <w:t>, vol. 70, pp. 273-281.</w:t>
      </w:r>
    </w:p>
    <w:p w:rsidR="00092F60" w:rsidRPr="00DE294B" w:rsidRDefault="00092F60" w:rsidP="00092F60">
      <w:r w:rsidRPr="00DE294B">
        <w:t xml:space="preserve">Serratrice, C, Bengherbia, M, Alessandrini, M, Grosbois, B, Camou, F, Pers, YM, Bismuth, M, Marie, I, Belmatoug, N &amp; Berger, M 2014, 'Effects of switching from imiglucerase to </w:t>
      </w:r>
      <w:r w:rsidRPr="00DE294B">
        <w:lastRenderedPageBreak/>
        <w:t xml:space="preserve">velaglucerase alfa without dose reduction nor wash out in type 1 Gaucher disease', </w:t>
      </w:r>
      <w:r w:rsidRPr="00DE294B">
        <w:rPr>
          <w:i/>
          <w:iCs/>
        </w:rPr>
        <w:t>Blood Cells Mol Dis</w:t>
      </w:r>
      <w:r w:rsidRPr="00DE294B">
        <w:t>, vol. 53, pp. 94-96.</w:t>
      </w:r>
    </w:p>
    <w:p w:rsidR="00092F60" w:rsidRPr="00DE294B" w:rsidRDefault="00092F60" w:rsidP="00092F60">
      <w:r w:rsidRPr="00DE294B">
        <w:t>Shehi, B, Bocari, G, Vyshka, G, Xhepa, R &amp; Alushani, D 2011, '</w:t>
      </w:r>
      <w:r w:rsidR="00E51493">
        <w:t>Gaucher disease</w:t>
      </w:r>
      <w:r w:rsidRPr="00DE294B">
        <w:t xml:space="preserve"> in Albanian Children: Casuistics and Treatment', </w:t>
      </w:r>
      <w:r w:rsidRPr="00DE294B">
        <w:rPr>
          <w:i/>
          <w:iCs/>
        </w:rPr>
        <w:t>Iran J Pediatr</w:t>
      </w:r>
      <w:r w:rsidRPr="00DE294B">
        <w:t>, vol. 21, pp. 1-7.</w:t>
      </w:r>
    </w:p>
    <w:p w:rsidR="00092F60" w:rsidRPr="00DE294B" w:rsidRDefault="00092F60" w:rsidP="00092F60">
      <w:r w:rsidRPr="00DE294B">
        <w:t xml:space="preserve">Sims, KB, Pastores, GM, Weinreb, NJ, Barranger, J, Rosenbloom, BE, Packman, S, Kaplan, P, Mankin, H, Xavier, R, Angell, J, Fitzpatrick, MA &amp; Rosenthal, D 2008, 'Improvement of bone disease by imiglucerase (Cerezyme) therapy in patients with skeletal manifestations of type 1 Gaucher disease: results of a 48-month longitudinal cohort study', </w:t>
      </w:r>
      <w:r w:rsidRPr="00DE294B">
        <w:rPr>
          <w:i/>
          <w:iCs/>
        </w:rPr>
        <w:t>Clin Genet</w:t>
      </w:r>
      <w:r w:rsidRPr="00DE294B">
        <w:t>, vol. 73, pp. 430-440.</w:t>
      </w:r>
    </w:p>
    <w:p w:rsidR="00092F60" w:rsidRPr="00DE294B" w:rsidRDefault="00092F60" w:rsidP="00092F60">
      <w:r w:rsidRPr="00DE294B">
        <w:t xml:space="preserve">Stirnemann, J, Heraoui, D, Vincent, C, Fain, O, Fantin, B, Mentre, F &amp; Belmatoug, N 2010, 'Bone events in type 1 Gaucher disease before and during treatment', </w:t>
      </w:r>
      <w:r w:rsidRPr="00DE294B">
        <w:rPr>
          <w:i/>
          <w:iCs/>
        </w:rPr>
        <w:t>Arthritis and Rheumatism</w:t>
      </w:r>
      <w:r w:rsidRPr="00DE294B">
        <w:t>, vol. 62, p. 1653.</w:t>
      </w:r>
    </w:p>
    <w:p w:rsidR="00092F60" w:rsidRPr="00DE294B" w:rsidRDefault="00092F60" w:rsidP="00092F60">
      <w:r w:rsidRPr="00DE294B">
        <w:t xml:space="preserve">Terk, MR, Dardashti, S &amp; Liebman, HA 2000, 'Bone marrow response in treated patients with Gaucher disease: evaluation by T1-weighted magnetic resonance images and correlation with reduction in liver and spleen volume', </w:t>
      </w:r>
      <w:r w:rsidRPr="00DE294B">
        <w:rPr>
          <w:i/>
          <w:iCs/>
        </w:rPr>
        <w:t>Skeletal Radiol</w:t>
      </w:r>
      <w:r w:rsidRPr="00DE294B">
        <w:t>, vol. 29, pp. 563-571.</w:t>
      </w:r>
    </w:p>
    <w:p w:rsidR="00092F60" w:rsidRPr="00DE294B" w:rsidRDefault="00092F60" w:rsidP="00092F60">
      <w:r w:rsidRPr="00DE294B">
        <w:t xml:space="preserve">Tukan, I, Hadas-Halpern, I, Altarescu, G, Abrahamov, A, Elstein, D &amp; Zimran, A 2013, 'Achievement of therapeutic goals with low-dose imiglucerase in Gaucher disease: a single-center experience', </w:t>
      </w:r>
      <w:r w:rsidRPr="00DE294B">
        <w:rPr>
          <w:i/>
          <w:iCs/>
        </w:rPr>
        <w:t>Adv Hematol</w:t>
      </w:r>
      <w:r w:rsidRPr="00DE294B">
        <w:t>, vol. 2013, p. 151506.</w:t>
      </w:r>
    </w:p>
    <w:p w:rsidR="00092F60" w:rsidRPr="00DE294B" w:rsidRDefault="00092F60" w:rsidP="00092F60">
      <w:proofErr w:type="gramStart"/>
      <w:r w:rsidRPr="00DE294B">
        <w:t xml:space="preserve">Vairo, F, Alegra, T, Dornelles, A, Mittelstadt, S, Netto, CB &amp; Schwartz, IV 2012, 'Hyperimmunoglobulinemia in pediatric Gaucher patients in Southern Brazil', </w:t>
      </w:r>
      <w:r w:rsidRPr="00DE294B">
        <w:rPr>
          <w:i/>
          <w:iCs/>
        </w:rPr>
        <w:t>Pediatric Blood and Cancer</w:t>
      </w:r>
      <w:r w:rsidRPr="00DE294B">
        <w:t>, vol. 59, pp. 339-339.</w:t>
      </w:r>
      <w:proofErr w:type="gramEnd"/>
    </w:p>
    <w:p w:rsidR="00092F60" w:rsidRPr="00DE294B" w:rsidRDefault="00092F60" w:rsidP="00092F60">
      <w:r w:rsidRPr="00DE294B">
        <w:t xml:space="preserve">van, B, M, J, de, F, Voerman, JSA, Laman, JD, Boot, RG, Maas, M, Hollak, CEM, Aerts, JM &amp; Rezaee, F 2007, 'Increased plasma macrophage inflammatory protein (MIP)-1(alpha) and MIP-1(beta) levels in type 1 Gaucher disease', </w:t>
      </w:r>
      <w:r w:rsidRPr="00DE294B">
        <w:rPr>
          <w:i/>
          <w:iCs/>
        </w:rPr>
        <w:t>Biochimica et Biophysica Acta - Molecular Basis of Disease</w:t>
      </w:r>
      <w:r w:rsidRPr="00DE294B">
        <w:t>, vol. 1772, pp. 788-796.</w:t>
      </w:r>
    </w:p>
    <w:p w:rsidR="00092F60" w:rsidRPr="00DE294B" w:rsidRDefault="00092F60" w:rsidP="00092F60">
      <w:r w:rsidRPr="00DE294B">
        <w:t xml:space="preserve">Weinreb, N, Balwanib, M, Charrowc, J, Coled, A, Tripuranenid, R, Villalobose, J, Kerstenetzkyf, M &amp; Hollakg, C 2011, 'Continued efficacy of cerezyme after 10 years of treatment', </w:t>
      </w:r>
      <w:r w:rsidRPr="00DE294B">
        <w:rPr>
          <w:i/>
          <w:iCs/>
        </w:rPr>
        <w:t>Molecular Genetics and Metabolism</w:t>
      </w:r>
      <w:r w:rsidRPr="00DE294B">
        <w:t>, vol. 102, p. S45.</w:t>
      </w:r>
    </w:p>
    <w:p w:rsidR="00092F60" w:rsidRPr="00DE294B" w:rsidRDefault="00092F60" w:rsidP="00092F60">
      <w:r w:rsidRPr="00DE294B">
        <w:t xml:space="preserve">Weinreb, N &amp; Invest, CZS 2008, 'Effect of enzyme replacement therapy with imiglucerase (Cerezyme.) every 4 weeks in patients with type I Gaucher disease', </w:t>
      </w:r>
      <w:r w:rsidRPr="00DE294B">
        <w:rPr>
          <w:i/>
          <w:iCs/>
        </w:rPr>
        <w:t>Molecular Genetics and Metabolism</w:t>
      </w:r>
      <w:r w:rsidRPr="00DE294B">
        <w:t>, vol. 93, pp. S41-S41.</w:t>
      </w:r>
    </w:p>
    <w:p w:rsidR="00092F60" w:rsidRPr="00DE294B" w:rsidRDefault="00092F60" w:rsidP="00092F60">
      <w:r w:rsidRPr="00DE294B">
        <w:t xml:space="preserve">Weinreb, N, Taylor, J, Cox, T, Yee, J &amp; vom, D 2008, 'A benchmark analysis of the achievement of therapeutic goals for type 1 Gaucher disease patients treated with imiglucerase', </w:t>
      </w:r>
      <w:r w:rsidRPr="00DE294B">
        <w:rPr>
          <w:i/>
          <w:iCs/>
        </w:rPr>
        <w:t>Am J Hematol</w:t>
      </w:r>
      <w:r w:rsidRPr="00DE294B">
        <w:t>, vol. 83, pp. 890-895.</w:t>
      </w:r>
    </w:p>
    <w:p w:rsidR="00092F60" w:rsidRPr="00DE294B" w:rsidRDefault="00092F60" w:rsidP="00092F60">
      <w:proofErr w:type="gramStart"/>
      <w:r w:rsidRPr="00DE294B">
        <w:t xml:space="preserve">Weinreb, NJ 2010, 'Achievement of therapeutic goals and severity scoring in Type 1 Gaucher disease', </w:t>
      </w:r>
      <w:r w:rsidRPr="00DE294B">
        <w:rPr>
          <w:i/>
          <w:iCs/>
        </w:rPr>
        <w:t>International Journal of Clinical Pharmacology and Therapeutics</w:t>
      </w:r>
      <w:r w:rsidRPr="00DE294B">
        <w:t>, vol. 48, pp. S20-S21.</w:t>
      </w:r>
      <w:proofErr w:type="gramEnd"/>
    </w:p>
    <w:p w:rsidR="00092F60" w:rsidRPr="00DE294B" w:rsidRDefault="00092F60" w:rsidP="00092F60">
      <w:r w:rsidRPr="00DE294B">
        <w:lastRenderedPageBreak/>
        <w:t xml:space="preserve">Weinreb, NJ, Barranger, J, Packman, S, Prakash-Cheng, A, Rosenbloom, B, Sims, K, Angell, J, Skrinar, A &amp; Pastores, GM 2007, 'Imiglucerase (Cerezyme(registered trademark)) improves quality of life in patients with skeletal manifestations of Gaucher disease', </w:t>
      </w:r>
      <w:r w:rsidRPr="00DE294B">
        <w:rPr>
          <w:i/>
          <w:iCs/>
        </w:rPr>
        <w:t>Clinical Genetics</w:t>
      </w:r>
      <w:r w:rsidRPr="00DE294B">
        <w:t>, vol. 71, pp. 576-588.</w:t>
      </w:r>
    </w:p>
    <w:p w:rsidR="00092F60" w:rsidRPr="00DE294B" w:rsidRDefault="00092F60" w:rsidP="00092F60">
      <w:r w:rsidRPr="00DE294B">
        <w:t xml:space="preserve">Weinreb, NJ, Charrow, J, Andersson, HC, Kaplan, P, Kolodny, EH, Mistry, P, Pastores, G, Rosenbloom, BE, Scott, CR, Wappner, RS &amp; Zimran, A 2002, 'Effectiveness of enzyme replacement therapy in 1028 patients with type 1 Gaucher disease after 2 to 5 years of treatment: a report from the Gaucher Registry', </w:t>
      </w:r>
      <w:r w:rsidRPr="00DE294B">
        <w:rPr>
          <w:i/>
          <w:iCs/>
        </w:rPr>
        <w:t>Am J Med</w:t>
      </w:r>
      <w:r w:rsidRPr="00DE294B">
        <w:t>, vol. 113, pp. 112-119.</w:t>
      </w:r>
    </w:p>
    <w:p w:rsidR="00092F60" w:rsidRPr="00DE294B" w:rsidRDefault="00092F60" w:rsidP="00092F60">
      <w:r w:rsidRPr="00DE294B">
        <w:t xml:space="preserve">Weinreb, NJ, Goldblatt, J, Villalobos, J, Charrow, J, Cole, JA, Kerstenetzky, M, vom, D &amp; Hollak, C 2013, 'Long-term clinical outcomes in type 1 Gaucher disease following 10 years of imiglucerase treatment', </w:t>
      </w:r>
      <w:r w:rsidRPr="00DE294B">
        <w:rPr>
          <w:i/>
          <w:iCs/>
        </w:rPr>
        <w:t>J Inherit Metab Dis</w:t>
      </w:r>
      <w:r w:rsidRPr="00DE294B">
        <w:t>, vol. 36, pp. 543-553.</w:t>
      </w:r>
    </w:p>
    <w:p w:rsidR="00092F60" w:rsidRPr="00DE294B" w:rsidRDefault="00092F60" w:rsidP="00092F60">
      <w:r w:rsidRPr="00DE294B">
        <w:t xml:space="preserve">—— 2014, 'Erratum: Long-term clinical outcomes in type 1 Gaucher disease following 10 years of imiglucerase treatment (Journal of Inherited Metabolic Disease (2013) 36 (543-553) DOI 10.1007/s10545-012-9528-4)', </w:t>
      </w:r>
      <w:r w:rsidRPr="00DE294B">
        <w:rPr>
          <w:i/>
          <w:iCs/>
        </w:rPr>
        <w:t>Journal of Inherited Metabolic Disease</w:t>
      </w:r>
      <w:r w:rsidRPr="00DE294B">
        <w:t>, vol. 37, p. 147.</w:t>
      </w:r>
    </w:p>
    <w:p w:rsidR="00092F60" w:rsidRPr="00DE294B" w:rsidRDefault="00092F60" w:rsidP="00092F60">
      <w:r w:rsidRPr="00DE294B">
        <w:t xml:space="preserve">Weinreb, NJ, Vom, D &amp; Cappellini, MD 2009, 'Long-term data from the ICGG gaucher registry: Clinical parameters after 10 years of treatment with imiglucerase', </w:t>
      </w:r>
      <w:r w:rsidRPr="00DE294B">
        <w:rPr>
          <w:i/>
          <w:iCs/>
        </w:rPr>
        <w:t>Blood</w:t>
      </w:r>
      <w:r w:rsidRPr="00DE294B">
        <w:t>, vol. 114.</w:t>
      </w:r>
    </w:p>
    <w:p w:rsidR="00092F60" w:rsidRPr="00DE294B" w:rsidRDefault="00092F60" w:rsidP="00092F60">
      <w:r w:rsidRPr="00DE294B">
        <w:t xml:space="preserve">Wilson, C, Spearing, R, Teague, L, Robertson, P &amp; Blacklock, H 2007, 'The outcome of clinical parameters in adults with severe Type I Gaucher disease using very low dose enzyme replacement therapy', </w:t>
      </w:r>
      <w:r w:rsidRPr="00DE294B">
        <w:rPr>
          <w:i/>
          <w:iCs/>
        </w:rPr>
        <w:t>Mol Genet Metab</w:t>
      </w:r>
      <w:r w:rsidRPr="00DE294B">
        <w:t>, vol. 92, pp. 131-136.</w:t>
      </w:r>
    </w:p>
    <w:p w:rsidR="00092F60" w:rsidRPr="00DE294B" w:rsidRDefault="00092F60" w:rsidP="00092F60">
      <w:r w:rsidRPr="00DE294B">
        <w:t xml:space="preserve">Wine, E, Yaniv, I &amp; Cohen, IJ 2007, 'Hyperimmunoglobulinemia in pediatric-onset type 1 Gaucher disease and effects of enzyme replacement therapy', </w:t>
      </w:r>
      <w:r w:rsidRPr="00DE294B">
        <w:rPr>
          <w:i/>
          <w:iCs/>
        </w:rPr>
        <w:t>J Pediatr Hematol Oncol</w:t>
      </w:r>
      <w:r w:rsidRPr="00DE294B">
        <w:t>, vol. 29, pp. 451-457.</w:t>
      </w:r>
    </w:p>
    <w:p w:rsidR="00092F60" w:rsidRPr="00DE294B" w:rsidRDefault="00092F60" w:rsidP="00092F60">
      <w:proofErr w:type="gramStart"/>
      <w:r w:rsidRPr="00DE294B">
        <w:t xml:space="preserve">Zaman, T &amp; Moradian, R 2010, 'The effect of long-term imiglucerase treatment on children with Gaucher disease', </w:t>
      </w:r>
      <w:r w:rsidRPr="00DE294B">
        <w:rPr>
          <w:i/>
          <w:iCs/>
        </w:rPr>
        <w:t>Journal of Inherited Metabolic Disease</w:t>
      </w:r>
      <w:r w:rsidRPr="00DE294B">
        <w:t>, vol. 33, p. S146.</w:t>
      </w:r>
      <w:proofErr w:type="gramEnd"/>
    </w:p>
    <w:p w:rsidR="00092F60" w:rsidRPr="00DE294B" w:rsidRDefault="00092F60" w:rsidP="00092F60">
      <w:r w:rsidRPr="00DE294B">
        <w:t xml:space="preserve">Zimmermann, A, Grigorescu-Sido, P, Rossmann, H, Lackner, KJ, Drugan, C, Al, K, Bucerzan, S, Nascu, I, Zimmermann, T, Leucuta, D &amp; Weber, MM 2013, 'Dynamic changes of lipid profile in Romanian patients with Gaucher disease type 1 under enzyme replacement therapy: a prospective study', </w:t>
      </w:r>
      <w:r w:rsidRPr="00DE294B">
        <w:rPr>
          <w:i/>
          <w:iCs/>
        </w:rPr>
        <w:t>J Inherit Metab Dis</w:t>
      </w:r>
      <w:r w:rsidRPr="00DE294B">
        <w:t>, vol. 36, pp. 555-563.</w:t>
      </w:r>
    </w:p>
    <w:p w:rsidR="00092F60" w:rsidRPr="00DE294B" w:rsidRDefault="00092F60" w:rsidP="00092F60">
      <w:r w:rsidRPr="00DE294B">
        <w:t xml:space="preserve">Zimran, A, Altarescu, G, Philips, M, Attias, D, Jmoudiak, M, Deeb, M, Wang, N, Bhirangi, K, Cohn, GM &amp; Elstein, D 2010, 'Phase 1/2 and extension study of velaglucerase alfa replacement therapy in adults with type 1 Gaucher disease: 48-month experience', </w:t>
      </w:r>
      <w:r w:rsidRPr="00DE294B">
        <w:rPr>
          <w:i/>
          <w:iCs/>
        </w:rPr>
        <w:t>Blood</w:t>
      </w:r>
      <w:r w:rsidRPr="00DE294B">
        <w:t>, vol. 115, pp. 4651-4656.</w:t>
      </w:r>
    </w:p>
    <w:p w:rsidR="00092F60" w:rsidRPr="00DE294B" w:rsidRDefault="00092F60" w:rsidP="00092F60">
      <w:r w:rsidRPr="00DE294B">
        <w:t xml:space="preserve">Zimran, A, Giraldo, P, Zahrieh, D, Crombez, E, Cohn, G &amp; Elstein, D 2013, 'Corrigendum to abstract "Bone mineral density change in type 1 Gaucher disease adults given velaglucerase alfa for 2years" [Molecular Genetics and Metabolism 108/2 (2013) S101]', </w:t>
      </w:r>
      <w:r w:rsidRPr="00DE294B">
        <w:rPr>
          <w:i/>
          <w:iCs/>
        </w:rPr>
        <w:t>Molecular Genetics and Metabolism</w:t>
      </w:r>
      <w:r w:rsidRPr="00DE294B">
        <w:t>, vol. 109, p. 119.</w:t>
      </w:r>
    </w:p>
    <w:p w:rsidR="00092F60" w:rsidRPr="00DE294B" w:rsidRDefault="00092F60" w:rsidP="00092F60">
      <w:r w:rsidRPr="00DE294B">
        <w:lastRenderedPageBreak/>
        <w:t xml:space="preserve">Zimran, A, Giraldo, P, Zahrieh, D, Crombez, E, Cohn, G, Elstein, D &amp; Investiga Tkt Hgt Gcb, S 2013, 'Bone mineral density change in type 1 Gaucher disease adults given velaglucerase alfa for 2 years', </w:t>
      </w:r>
      <w:r w:rsidRPr="00DE294B">
        <w:rPr>
          <w:i/>
          <w:iCs/>
        </w:rPr>
        <w:t>Molecular Genetics and Metabolism</w:t>
      </w:r>
      <w:r w:rsidRPr="00DE294B">
        <w:t>, vol. 108, pp. S101-S101.</w:t>
      </w:r>
    </w:p>
    <w:p w:rsidR="00092F60" w:rsidRPr="00DE294B" w:rsidRDefault="00092F60" w:rsidP="00092F60">
      <w:r w:rsidRPr="00DE294B">
        <w:t xml:space="preserve">Zimran, A, Hughes, D, Elstein, D, Smith, L, Harmatz, P, Rhead, W, Giraldo, P, Mendelsohn, N, Park, C-H &amp; Zahrieh, D 2013, 'Linear growth over 2 years of velaglucerase alfa therapy in children with type 1 Gaucher disease previously treated with imiglucerase', </w:t>
      </w:r>
      <w:r w:rsidRPr="00DE294B">
        <w:rPr>
          <w:i/>
          <w:iCs/>
        </w:rPr>
        <w:t>6th International Conference on Children's Bone Health,</w:t>
      </w:r>
      <w:r w:rsidRPr="00DE294B">
        <w:t xml:space="preserve"> Rotterdam, Netherlands, vol. 2013, p. P133.</w:t>
      </w:r>
    </w:p>
    <w:p w:rsidR="00092F60" w:rsidRPr="00DE294B" w:rsidRDefault="00092F60" w:rsidP="00092F60">
      <w:r w:rsidRPr="00DE294B">
        <w:t xml:space="preserve">Zimran, A, Kabra, M, Giraldo, P, Dridi, MFB, Elstein, D, Gupta, N, Zahrieh, D, Crombez, E &amp; Turkia, HB 2012, 'Safety and efficacy of velaglucerase alfa in patients with type 1 gaucher disease: 2 years of treatment in phase III trials and an extension study', </w:t>
      </w:r>
      <w:r w:rsidRPr="00DE294B">
        <w:rPr>
          <w:i/>
          <w:iCs/>
        </w:rPr>
        <w:t>Molecular Genetics and Metabolism</w:t>
      </w:r>
      <w:r w:rsidRPr="00DE294B">
        <w:t>, vol. 105, p. S69.</w:t>
      </w:r>
    </w:p>
    <w:p w:rsidR="00092F60" w:rsidRPr="00DE294B" w:rsidRDefault="00092F60" w:rsidP="00092F60">
      <w:r w:rsidRPr="00DE294B">
        <w:t xml:space="preserve">Zimran, A, Kishnani, P, Elstein, D, Gonzalez, DE, Zahrieh, D, Crombez, E &amp; Cohn, GM 2013, 'Exploratory assessment of growth and bone marrow burden in a pooled subgroup of paediatric patients with type 1 Gaucher disease treated with long-term velaglucerase alfa', </w:t>
      </w:r>
      <w:r w:rsidRPr="00DE294B">
        <w:rPr>
          <w:i/>
          <w:iCs/>
        </w:rPr>
        <w:t>Journal of Inherited Metabolic Disease</w:t>
      </w:r>
      <w:r w:rsidRPr="00DE294B">
        <w:t>, vol. 36, p. S302.</w:t>
      </w:r>
    </w:p>
    <w:p w:rsidR="00092F60" w:rsidRPr="00DE294B" w:rsidRDefault="00092F60" w:rsidP="00092F60">
      <w:r w:rsidRPr="00DE294B">
        <w:t xml:space="preserve">Zimran, A, Kisinovsky, I, Lukina, EA, Elstein, D, Zahrieh, D, Crombez, E &amp; Giraldo, P 2013, 'Efficacy of long-term velaglucerase alfa on haematological and visceral parameters in patients with type 1 Gaucher disease', </w:t>
      </w:r>
      <w:r w:rsidRPr="00DE294B">
        <w:rPr>
          <w:i/>
          <w:iCs/>
        </w:rPr>
        <w:t>Journal of Inherited Metabolic Disease</w:t>
      </w:r>
      <w:r w:rsidRPr="00DE294B">
        <w:t>, vol. 36, p. S302.</w:t>
      </w:r>
    </w:p>
    <w:p w:rsidR="00092F60" w:rsidRDefault="00092F60" w:rsidP="00092F60">
      <w:r w:rsidRPr="00DE294B">
        <w:t xml:space="preserve">Zimran, A, Pastores, GM, Tylki-Szymanska, A, Hughes, DA, Elstein, D, Mardach, R, Eng, C, Smith, L, Heisel-Kurth, M, Charrow, J, Harmatz, P, Fernhoff, P, Rhead, W, Longo, N, Giraldo, P, Ruiz, JA, Zahrieh, D, Crombez, E &amp; Grabowski, GA 2013, 'Safety and efficacy of velaglucerase alfa in Gaucher disease type 1 patients previously treated with imiglucerase', </w:t>
      </w:r>
      <w:r w:rsidRPr="00DE294B">
        <w:rPr>
          <w:i/>
          <w:iCs/>
        </w:rPr>
        <w:t>Am J Hematol</w:t>
      </w:r>
      <w:r w:rsidRPr="00DE294B">
        <w:t>, vol. 88, pp. 172-178.</w:t>
      </w:r>
    </w:p>
    <w:p w:rsidR="00092F60" w:rsidRDefault="00092F60" w:rsidP="00E965BD"/>
    <w:p w:rsidR="00092F60" w:rsidRDefault="00092F60" w:rsidP="00E965BD">
      <w:pPr>
        <w:pStyle w:val="Heading3"/>
      </w:pPr>
      <w:r>
        <w:t>Switched case series (case series of patients switched from imiglucerase to another treatment)</w:t>
      </w:r>
    </w:p>
    <w:p w:rsidR="00092F60" w:rsidRPr="007032B9" w:rsidRDefault="00092F60" w:rsidP="00092F60">
      <w:r w:rsidRPr="007032B9">
        <w:t xml:space="preserve">Bembi, B, Sechi, A, Dardis, A, Deroma, L, Macor, D, Liva, G &amp; Ciana, G 2013, 'Clinical follow-up in a group of Gaucher type I patients switching enzyme replacement therapy from imiglucerase to velaglucerase', </w:t>
      </w:r>
      <w:r w:rsidRPr="007032B9">
        <w:rPr>
          <w:i/>
          <w:iCs/>
        </w:rPr>
        <w:t>Molecular Genetics and Metabolism</w:t>
      </w:r>
      <w:r w:rsidRPr="007032B9">
        <w:t>, vol. 108, pp. S23-S24.</w:t>
      </w:r>
    </w:p>
    <w:p w:rsidR="00092F60" w:rsidRPr="007032B9" w:rsidRDefault="00092F60" w:rsidP="00092F60">
      <w:r w:rsidRPr="007032B9">
        <w:t xml:space="preserve">Braudeau, C, Graveleau, J, Rimbert, M, Neel, A, Hamidou, M, Grosbois, B, Besancon, A, Giraudet, S, Terrien, C, Josien, R &amp; Masseau, A 2013, 'Altered innate function of plasmacytoid dendritic cells restored by enzyme replacement therapy in Gaucher disease', </w:t>
      </w:r>
      <w:r w:rsidRPr="007032B9">
        <w:rPr>
          <w:i/>
          <w:iCs/>
        </w:rPr>
        <w:t>Blood Cells, Molecules, and Diseases</w:t>
      </w:r>
      <w:r w:rsidRPr="007032B9">
        <w:t>, vol. 50, pp. 281-288.</w:t>
      </w:r>
    </w:p>
    <w:p w:rsidR="00092F60" w:rsidRPr="007032B9" w:rsidRDefault="00092F60" w:rsidP="00092F60">
      <w:r w:rsidRPr="007032B9">
        <w:t xml:space="preserve">Crombez, E, Kishnani, P, Ben, T, Gonzalez, D, Zimran, A, Kabra, M, Lukina, E, Giraldo, P, Kisinovsky, I, Bavdekar, A, Ben, D, M, F &amp; Gupta, N 2012, 'Two-year efficacy and safety of velaglucerase alfa in patients with type 1 gaucher disease switching from imiglucerase: </w:t>
      </w:r>
      <w:r w:rsidRPr="007032B9">
        <w:lastRenderedPageBreak/>
        <w:t xml:space="preserve">Phase III trial HGT-GCB-039 and extension', </w:t>
      </w:r>
      <w:r w:rsidRPr="007032B9">
        <w:rPr>
          <w:i/>
          <w:iCs/>
        </w:rPr>
        <w:t>Molecular Genetics and Metabolism</w:t>
      </w:r>
      <w:r w:rsidRPr="007032B9">
        <w:t>, vol. 105, pp. S25-S26.</w:t>
      </w:r>
    </w:p>
    <w:p w:rsidR="00092F60" w:rsidRPr="007032B9" w:rsidRDefault="00092F60" w:rsidP="00092F60">
      <w:r w:rsidRPr="007032B9">
        <w:t xml:space="preserve">Drelichman, G, Ponce, E, Basack, N, Freigeiro, D, Aversa, L, Graciela, E &amp; Kohan, R 2007, 'Clinical Consequences of Interrupting Enzyme Replacement Therapy in Children with Type 1 Gaucher Disease', </w:t>
      </w:r>
      <w:r w:rsidRPr="007032B9">
        <w:rPr>
          <w:i/>
          <w:iCs/>
        </w:rPr>
        <w:t>Journal of Pediatrics</w:t>
      </w:r>
      <w:r w:rsidRPr="007032B9">
        <w:t>, vol. 151, pp. 197-201.</w:t>
      </w:r>
    </w:p>
    <w:p w:rsidR="00092F60" w:rsidRPr="007032B9" w:rsidRDefault="00092F60" w:rsidP="00092F60">
      <w:r w:rsidRPr="007032B9">
        <w:t xml:space="preserve">Elstein, D, Giraldo, P, Mehta, A, Pastores, G, Rhead, W, Smith, L, Wang, N, Crombez, E &amp; Zimran, A 2014, 'Safety and efficacy of long-term enzyme replacement therapy with velaglucerase alfa in patients with type 1 Gaucher disease transitioned from imiglucerase', </w:t>
      </w:r>
      <w:r w:rsidRPr="007032B9">
        <w:rPr>
          <w:i/>
          <w:iCs/>
        </w:rPr>
        <w:t>Molecular Genetics and Metabolism</w:t>
      </w:r>
      <w:r w:rsidRPr="007032B9">
        <w:t>, vol. 111, pp. S41-S42.</w:t>
      </w:r>
    </w:p>
    <w:p w:rsidR="00092F60" w:rsidRPr="007032B9" w:rsidRDefault="00092F60" w:rsidP="00092F60">
      <w:proofErr w:type="gramStart"/>
      <w:r w:rsidRPr="007032B9">
        <w:t xml:space="preserve">Giraldo, P, Grabowski, G &amp; Pastores, G 2010, 'Safety and efficacy of velaglucerase alfa in Gaucher disease type 1 patients previously treated with imiglucerase', </w:t>
      </w:r>
      <w:r w:rsidRPr="007032B9">
        <w:rPr>
          <w:i/>
          <w:iCs/>
        </w:rPr>
        <w:t>Eur Working Group Gaucher Dis-9th International Meeting (June 30–July 3, Cologne)</w:t>
      </w:r>
      <w:r w:rsidRPr="007032B9">
        <w:t>.</w:t>
      </w:r>
      <w:proofErr w:type="gramEnd"/>
    </w:p>
    <w:p w:rsidR="00092F60" w:rsidRPr="007032B9" w:rsidRDefault="00092F60" w:rsidP="00092F60">
      <w:r w:rsidRPr="007032B9">
        <w:t xml:space="preserve">Grabowski, A, Pastores, G, Mardach, R, Eng, C, Smith, L, Fernhoff, P, Charrow, J, Heisel-Kurth, M, Longo, N, Rhead, W, Harmatz, P, Mehta, A, Giraldo, P, Tylki-Szymanska, A, Crombez, E &amp; Zimran, A 2010, 'Safety and efficacy of velaglucerase alfa in patients with gaucher disease type 1 previously treated with imiglucerase: 1-year, multicenter, phase iii clinical trial', </w:t>
      </w:r>
      <w:r w:rsidRPr="007032B9">
        <w:rPr>
          <w:i/>
          <w:iCs/>
        </w:rPr>
        <w:t>Haematologica</w:t>
      </w:r>
      <w:r w:rsidRPr="007032B9">
        <w:t>, vol. 95, p. 77.</w:t>
      </w:r>
    </w:p>
    <w:p w:rsidR="00092F60" w:rsidRPr="007032B9" w:rsidRDefault="00092F60" w:rsidP="00092F60">
      <w:r w:rsidRPr="007032B9">
        <w:t xml:space="preserve">Mardach-Verdon, R, Pastores, G &amp; Zimran, A 2010, 'Clinical and immunological response in patients with type 1 </w:t>
      </w:r>
      <w:proofErr w:type="gramStart"/>
      <w:r w:rsidRPr="007032B9">
        <w:t>Gaucher</w:t>
      </w:r>
      <w:proofErr w:type="gramEnd"/>
      <w:r w:rsidRPr="007032B9">
        <w:t xml:space="preserve"> disease transitioning from imiglucerase to velaglucerase alfa. </w:t>
      </w:r>
      <w:proofErr w:type="gramStart"/>
      <w:r w:rsidRPr="007032B9">
        <w:t xml:space="preserve">Ongoing extension study of tkt034', </w:t>
      </w:r>
      <w:r w:rsidRPr="007032B9">
        <w:rPr>
          <w:i/>
          <w:iCs/>
        </w:rPr>
        <w:t>60th Annual American Society of Human Genetics Meeting</w:t>
      </w:r>
      <w:r w:rsidRPr="007032B9">
        <w:t>.</w:t>
      </w:r>
      <w:proofErr w:type="gramEnd"/>
    </w:p>
    <w:p w:rsidR="00092F60" w:rsidRPr="007032B9" w:rsidRDefault="00092F60" w:rsidP="00092F60">
      <w:r w:rsidRPr="007032B9">
        <w:t xml:space="preserve">Mikosch, P, Reed, M, Baker, R, Holloway, B, Berger, L, Mehta, AB &amp; Hughes, DA 2008, 'Changes of bone metabolism in seven patients with Gaucher disease treated consecutively with imiglucerase and miglustat', </w:t>
      </w:r>
      <w:r w:rsidRPr="007032B9">
        <w:rPr>
          <w:i/>
          <w:iCs/>
        </w:rPr>
        <w:t>Calcif Tissue Int</w:t>
      </w:r>
      <w:r w:rsidRPr="007032B9">
        <w:t>, vol. 83, pp. 43-54.</w:t>
      </w:r>
    </w:p>
    <w:p w:rsidR="00092F60" w:rsidRPr="007032B9" w:rsidRDefault="00092F60" w:rsidP="00092F60">
      <w:r w:rsidRPr="007032B9">
        <w:t xml:space="preserve">Pastores, GM, Rosenbloom, B, Grabowski, GA, Weinreb, N, Goker-Alpan, O, Mardach, R, Lipson, M, Ibrahim, J, Cohn, GM, Zahrieh, D &amp; Mistry, PK 2011, 'Multicenter, open-labeltreatment protocol (HGT-GCB-058) of velaglucerase alfa enzyme replacement therapy (ERT) in type 1 Gaucher disease (GD1): 1-year analysis of safety and tolerability', </w:t>
      </w:r>
      <w:r w:rsidRPr="007032B9">
        <w:rPr>
          <w:i/>
          <w:iCs/>
        </w:rPr>
        <w:t>Journal of Inherited Metabolic Disease</w:t>
      </w:r>
      <w:r w:rsidRPr="007032B9">
        <w:t>, vol. 34, p. S223.</w:t>
      </w:r>
    </w:p>
    <w:p w:rsidR="00092F60" w:rsidRPr="007032B9" w:rsidRDefault="00092F60" w:rsidP="00092F60">
      <w:r w:rsidRPr="007032B9">
        <w:t xml:space="preserve">van, D, Cox, TM, Hendriks, EJ, Morris, E, Akkerman, EM, Maas, M, Groener, JE, Aerts, JM, Deegan, PB &amp; Hollak, CE 2012, 'Effects of switching from a reduced dose imiglucerase to velaglucerase in type 1 Gaucher disease: clinical and biochemical outcomes', </w:t>
      </w:r>
      <w:r w:rsidRPr="007032B9">
        <w:rPr>
          <w:i/>
          <w:iCs/>
        </w:rPr>
        <w:t>Haematologica</w:t>
      </w:r>
      <w:r w:rsidRPr="007032B9">
        <w:t>, vol. 97, pp. 1850-1854.</w:t>
      </w:r>
    </w:p>
    <w:p w:rsidR="00092F60" w:rsidRPr="007032B9" w:rsidRDefault="00092F60" w:rsidP="00092F60">
      <w:r w:rsidRPr="007032B9">
        <w:t xml:space="preserve">Zimran, A, Altarescu, G &amp; Elstein, D 2011, 'Nonprecipitous changes upon withdrawal from imiglucerase for Gaucher disease because of a shortage in supply', </w:t>
      </w:r>
      <w:r w:rsidRPr="007032B9">
        <w:rPr>
          <w:i/>
          <w:iCs/>
        </w:rPr>
        <w:t>Blood Cells Mol Dis</w:t>
      </w:r>
      <w:r w:rsidRPr="007032B9">
        <w:t>, vol. 46, pp. 111-114.</w:t>
      </w:r>
    </w:p>
    <w:p w:rsidR="00092F60" w:rsidRPr="007032B9" w:rsidRDefault="00092F60" w:rsidP="00092F60">
      <w:r w:rsidRPr="007032B9">
        <w:lastRenderedPageBreak/>
        <w:t xml:space="preserve">Zimran, A, Pastores, GM, Tylki-Szymanska, A, Hughes, D, Elstein, D, Mardach, R, Eng, C, Smith, L, Heisel-Kurth, M, Charrow, J, Harmatz, P, Fernhoff, P, Rhead, W, Longo, N, Giraldo, P, Zahrieh, D, Crombez, E &amp; Grabowski, GA 2011, 'Efficacy of velaglucerase alfa in patients with type 1 Gaucher disease (GD1) transitioned from imiglucerase: Phase II/III trial TKT034 and extension 2-year results', </w:t>
      </w:r>
      <w:r w:rsidRPr="007032B9">
        <w:rPr>
          <w:i/>
          <w:iCs/>
        </w:rPr>
        <w:t>Journal of Inherited Metabolic Disease</w:t>
      </w:r>
      <w:r w:rsidRPr="007032B9">
        <w:t>, vol. 34, p. S224.</w:t>
      </w:r>
    </w:p>
    <w:p w:rsidR="00092F60" w:rsidRDefault="00092F60" w:rsidP="00092F60"/>
    <w:p w:rsidR="00092F60" w:rsidRDefault="00092F60" w:rsidP="00E965BD">
      <w:pPr>
        <w:pStyle w:val="Heading3"/>
      </w:pPr>
      <w:r>
        <w:t>Case study</w:t>
      </w:r>
    </w:p>
    <w:p w:rsidR="00092F60" w:rsidRPr="00DE294B" w:rsidRDefault="00092F60" w:rsidP="00092F60">
      <w:r w:rsidRPr="00DE294B">
        <w:t xml:space="preserve">Belmatoug, N, Launay, O &amp; Carbon, C 1998, 'Pulmonary hypertension in type 1 </w:t>
      </w:r>
      <w:proofErr w:type="gramStart"/>
      <w:r w:rsidR="00E51493">
        <w:t>Gaucher</w:t>
      </w:r>
      <w:proofErr w:type="gramEnd"/>
      <w:r w:rsidR="00E51493">
        <w:t xml:space="preserve"> disease</w:t>
      </w:r>
      <w:r w:rsidRPr="00DE294B">
        <w:t xml:space="preserve">. </w:t>
      </w:r>
      <w:proofErr w:type="gramStart"/>
      <w:r w:rsidRPr="00DE294B">
        <w:t xml:space="preserve">Comite d'Evaluation du Traitement de la Maladie de Gaucher', </w:t>
      </w:r>
      <w:r w:rsidRPr="00DE294B">
        <w:rPr>
          <w:i/>
          <w:iCs/>
        </w:rPr>
        <w:t>Lancet</w:t>
      </w:r>
      <w:r w:rsidRPr="00DE294B">
        <w:t>, vol. 352, p. 240.</w:t>
      </w:r>
      <w:proofErr w:type="gramEnd"/>
    </w:p>
    <w:p w:rsidR="00092F60" w:rsidRPr="00DE294B" w:rsidRDefault="00092F60" w:rsidP="00092F60">
      <w:r w:rsidRPr="00DE294B">
        <w:t xml:space="preserve">Benketira, A 2012, 'Clinical and therapeutic aspects of </w:t>
      </w:r>
      <w:proofErr w:type="gramStart"/>
      <w:r w:rsidR="00E51493">
        <w:t>Gaucher</w:t>
      </w:r>
      <w:proofErr w:type="gramEnd"/>
      <w:r w:rsidR="00E51493">
        <w:t xml:space="preserve"> disease</w:t>
      </w:r>
      <w:r w:rsidRPr="00DE294B">
        <w:t xml:space="preserve"> in children', </w:t>
      </w:r>
      <w:r w:rsidRPr="00DE294B">
        <w:rPr>
          <w:i/>
          <w:iCs/>
        </w:rPr>
        <w:t>Archives of Disease in Childhood</w:t>
      </w:r>
      <w:r w:rsidRPr="00DE294B">
        <w:t>, vol. 97, p. A155.</w:t>
      </w:r>
    </w:p>
    <w:p w:rsidR="00092F60" w:rsidRPr="00DE294B" w:rsidRDefault="00092F60" w:rsidP="00092F60">
      <w:r w:rsidRPr="00DE294B">
        <w:t xml:space="preserve">Bozdag, SC, Topcuoglu, P, Kuzu, I &amp; Arat, M 2013, 'Acute Lymphoblastic Leukemia During Enzyme Replacement Therapy in Type 1 </w:t>
      </w:r>
      <w:r w:rsidR="00E51493">
        <w:t>Gaucher disease</w:t>
      </w:r>
      <w:r w:rsidRPr="00DE294B">
        <w:t xml:space="preserve">', </w:t>
      </w:r>
      <w:r w:rsidRPr="00DE294B">
        <w:rPr>
          <w:i/>
          <w:iCs/>
        </w:rPr>
        <w:t>Clinical Advances in Hematology and Oncology</w:t>
      </w:r>
      <w:r w:rsidRPr="00DE294B">
        <w:t>, vol. 11, pp. 251-252.</w:t>
      </w:r>
    </w:p>
    <w:p w:rsidR="00092F60" w:rsidRPr="00DE294B" w:rsidRDefault="00092F60" w:rsidP="00092F60">
      <w:r w:rsidRPr="00DE294B">
        <w:t xml:space="preserve">Burrow, TA, Cohen, MB, Bokulic, R, Deutsch, G, Choudhary, A, Falcone, Jr., R, A &amp; Grabowski, GA 2007, 'Gaucher Disease: Progressive Mesenteric and Mediastinal Lymphadenopathy Despite Enzyme Therapy', </w:t>
      </w:r>
      <w:r w:rsidRPr="00DE294B">
        <w:rPr>
          <w:i/>
          <w:iCs/>
        </w:rPr>
        <w:t>Journal of Pediatrics</w:t>
      </w:r>
      <w:r w:rsidRPr="00DE294B">
        <w:t>, vol. 150, pp. 202-206.</w:t>
      </w:r>
    </w:p>
    <w:p w:rsidR="00092F60" w:rsidRPr="00DE294B" w:rsidRDefault="00092F60" w:rsidP="00092F60">
      <w:r w:rsidRPr="00DE294B">
        <w:t xml:space="preserve">Chen, CA, Tang, NL, Chien, YH, Zhang, WM, Wang, JK &amp; Hwu, WL 2005, 'Type I Gaucher disease with exophthalmos and pulmonary arteriovenous malformation', </w:t>
      </w:r>
      <w:r w:rsidRPr="00DE294B">
        <w:rPr>
          <w:i/>
          <w:iCs/>
        </w:rPr>
        <w:t>BMC Med Genet</w:t>
      </w:r>
      <w:r w:rsidRPr="00DE294B">
        <w:t>, vol. 6, p. 25.</w:t>
      </w:r>
    </w:p>
    <w:p w:rsidR="00092F60" w:rsidRPr="00DE294B" w:rsidRDefault="00092F60" w:rsidP="00092F60">
      <w:r w:rsidRPr="00DE294B">
        <w:t xml:space="preserve">De, F, Van, N, C, JM, Aerts, JMFG, Maas, M, Poll, RG &amp; Hollak, CEM 2008, 'Persistent bone disease in adult type 1 Gaucher disease despite increasing doses of enzyme replacement therapy', </w:t>
      </w:r>
      <w:r w:rsidRPr="00DE294B">
        <w:rPr>
          <w:i/>
          <w:iCs/>
        </w:rPr>
        <w:t>Haematologica</w:t>
      </w:r>
      <w:r w:rsidRPr="00DE294B">
        <w:t>, vol. 93, pp. 1119-1120.</w:t>
      </w:r>
    </w:p>
    <w:p w:rsidR="00092F60" w:rsidRPr="00DE294B" w:rsidRDefault="00092F60" w:rsidP="00092F60">
      <w:r w:rsidRPr="00DE294B">
        <w:t xml:space="preserve">Kasturi, L &amp; Amin, A 2001, 'Enzyme replacement therapy in </w:t>
      </w:r>
      <w:proofErr w:type="gramStart"/>
      <w:r w:rsidR="00E51493">
        <w:t>Gaucher</w:t>
      </w:r>
      <w:proofErr w:type="gramEnd"/>
      <w:r w:rsidR="00E51493">
        <w:t xml:space="preserve"> disease</w:t>
      </w:r>
      <w:r w:rsidRPr="00DE294B">
        <w:t xml:space="preserve"> [2]', </w:t>
      </w:r>
      <w:r w:rsidRPr="00DE294B">
        <w:rPr>
          <w:i/>
          <w:iCs/>
        </w:rPr>
        <w:t>Indian Pediatrics</w:t>
      </w:r>
      <w:r w:rsidRPr="00DE294B">
        <w:t>, vol. 38, pp. 686-688.</w:t>
      </w:r>
    </w:p>
    <w:p w:rsidR="00092F60" w:rsidRPr="00DE294B" w:rsidRDefault="00092F60" w:rsidP="00092F60">
      <w:proofErr w:type="gramStart"/>
      <w:r w:rsidRPr="00DE294B">
        <w:t xml:space="preserve">ROMANIAN, ERTI 2009, 'THE EFFECT OF IMIGLUCERASE ON BONE TISSUE AND MARROW IN THE CONTEXT OF DELAYED CONSOLIDATION OF TRAUMATIC FRACTURE IN A PATIENT WITH GAUCHER DISEASE', </w:t>
      </w:r>
      <w:r w:rsidRPr="00DE294B">
        <w:rPr>
          <w:i/>
          <w:iCs/>
        </w:rPr>
        <w:t>Clinical Therapeutics</w:t>
      </w:r>
      <w:r w:rsidRPr="00DE294B">
        <w:t>, vol. 31.</w:t>
      </w:r>
      <w:proofErr w:type="gramEnd"/>
    </w:p>
    <w:p w:rsidR="00092F60" w:rsidRPr="00512043" w:rsidRDefault="00092F60" w:rsidP="00092F60"/>
    <w:p w:rsidR="00092F60" w:rsidRDefault="00092F60" w:rsidP="00E965BD">
      <w:pPr>
        <w:pStyle w:val="Heading3"/>
      </w:pPr>
      <w:r>
        <w:t>Protocol only</w:t>
      </w:r>
    </w:p>
    <w:p w:rsidR="00092F60" w:rsidRPr="00DE294B" w:rsidRDefault="00092F60" w:rsidP="00092F60">
      <w:r w:rsidRPr="00DE294B">
        <w:t xml:space="preserve">Weinreb, N, Rosenbloom, B, Andersson, H, Cole, A, Tripuraneni, R &amp; Belmatoug, N 2011, 'A preliminary analysis from the ICGG Gaucher registry: Short-term clinical outcomes in Gaucher patients affected by the shortage of imiglucerase', </w:t>
      </w:r>
      <w:r w:rsidRPr="00DE294B">
        <w:rPr>
          <w:i/>
          <w:iCs/>
        </w:rPr>
        <w:t>Molecular Genetics and Metabolism</w:t>
      </w:r>
      <w:r w:rsidRPr="00DE294B">
        <w:t>, vol. 102, p. S45.</w:t>
      </w:r>
    </w:p>
    <w:p w:rsidR="00092F60" w:rsidRDefault="00092F60" w:rsidP="00092F60"/>
    <w:p w:rsidR="00092F60" w:rsidRDefault="00092F60" w:rsidP="00E965BD">
      <w:pPr>
        <w:pStyle w:val="Heading3"/>
      </w:pPr>
      <w:r>
        <w:t>Abstract only</w:t>
      </w:r>
    </w:p>
    <w:p w:rsidR="00092F60" w:rsidRPr="00DE294B" w:rsidRDefault="00092F60" w:rsidP="00092F60">
      <w:proofErr w:type="gramStart"/>
      <w:r w:rsidRPr="00DE294B">
        <w:t xml:space="preserve">Bettman, N, Avivi, I, Katz, T &amp; Rosenbaumab, H 2011, 'Dendritic cell dysfunction in patients with Gaucher disease', </w:t>
      </w:r>
      <w:r w:rsidRPr="00DE294B">
        <w:rPr>
          <w:i/>
          <w:iCs/>
        </w:rPr>
        <w:t>Molecular Genetics and Metabolism</w:t>
      </w:r>
      <w:r w:rsidRPr="00DE294B">
        <w:t>, vol. 102, p. S38.</w:t>
      </w:r>
      <w:proofErr w:type="gramEnd"/>
    </w:p>
    <w:p w:rsidR="00092F60" w:rsidRPr="00DE294B" w:rsidRDefault="00092F60" w:rsidP="00092F60">
      <w:proofErr w:type="gramStart"/>
      <w:r w:rsidRPr="00DE294B">
        <w:t xml:space="preserve">Cenarro, A, Pocovi, M, Giraldo, P, Garcia-Otin, AL &amp; Ordovas, JM 1999, 'Plasma lipoprotein responses to enzyme-replacement in </w:t>
      </w:r>
      <w:r w:rsidR="00E51493">
        <w:t>Gaucher disease</w:t>
      </w:r>
      <w:r w:rsidRPr="00DE294B">
        <w:t>'.</w:t>
      </w:r>
      <w:proofErr w:type="gramEnd"/>
    </w:p>
    <w:p w:rsidR="00092F60" w:rsidRPr="00DE294B" w:rsidRDefault="00092F60" w:rsidP="00092F60">
      <w:r w:rsidRPr="00DE294B">
        <w:t xml:space="preserve">Elstein, D, Benisty, J, Klutstein, M, Hadas-Halpern, I &amp; Zimran, A 2009, 'Pulmonary arterial hypertension in Gaucher disease: Predictors of progression and effect of enzyme replacement therapy', </w:t>
      </w:r>
      <w:r w:rsidRPr="00DE294B">
        <w:rPr>
          <w:i/>
          <w:iCs/>
        </w:rPr>
        <w:t>Molecular Genetics and Metabolism</w:t>
      </w:r>
      <w:r w:rsidRPr="00DE294B">
        <w:t>, vol. 96, p. S23.</w:t>
      </w:r>
    </w:p>
    <w:p w:rsidR="00092F60" w:rsidRPr="00DE294B" w:rsidRDefault="00092F60" w:rsidP="00092F60">
      <w:r w:rsidRPr="00DE294B">
        <w:t xml:space="preserve">Khalifa, A, Tantawy, A, Sherif, E, Sadek, A &amp; Tiseer, N 2010, 'Immune dysfunction in patients with gaucher disease: Impact of disease severity and enzyme replacement therapy', </w:t>
      </w:r>
      <w:r w:rsidRPr="00DE294B">
        <w:rPr>
          <w:i/>
          <w:iCs/>
        </w:rPr>
        <w:t>Haematologica</w:t>
      </w:r>
      <w:r w:rsidRPr="00DE294B">
        <w:t>, vol. 95, p. 104.</w:t>
      </w:r>
    </w:p>
    <w:p w:rsidR="00092F60" w:rsidRPr="00DE294B" w:rsidRDefault="00092F60" w:rsidP="00092F60">
      <w:r w:rsidRPr="00DE294B">
        <w:t xml:space="preserve">Komninaka, V, Kolomodi, D, Marinakis, T, Repa, K, Christoulas, D, Voskaridou, E, Dimopoulos, MA &amp; Terpos, E 2012, 'Replacement therapy with imiglucerase improves magnetic resonance imaging (MRI) abnormalities in almost half patients with non-neuronopathic form of gaucher disease after twelve months of therapy: Results of a semi-quantitative MRI method', </w:t>
      </w:r>
      <w:r w:rsidRPr="00DE294B">
        <w:rPr>
          <w:i/>
          <w:iCs/>
        </w:rPr>
        <w:t>Blood</w:t>
      </w:r>
      <w:r w:rsidRPr="00DE294B">
        <w:t>, vol. 120.</w:t>
      </w:r>
    </w:p>
    <w:p w:rsidR="00092F60" w:rsidRPr="00DE294B" w:rsidRDefault="00092F60" w:rsidP="00092F60">
      <w:r w:rsidRPr="00DE294B">
        <w:t xml:space="preserve">Mehta, A, Ben Dridi, M &amp; Gonzalez, D 2010, 'A multicenter, randomized, double-blind, head-to-head, Phase III study of velaglucerase alfa enzyme replacement therapy compared with imiglucerase in patients with type 1 Gaucher disease', </w:t>
      </w:r>
      <w:r w:rsidRPr="00DE294B">
        <w:rPr>
          <w:i/>
          <w:iCs/>
        </w:rPr>
        <w:t>60th Annual American Society of Human Genetics Meeting. Washington, DC, USA,</w:t>
      </w:r>
      <w:r w:rsidRPr="00DE294B">
        <w:t xml:space="preserve"> pp. 2-6.</w:t>
      </w:r>
    </w:p>
    <w:p w:rsidR="00092F60" w:rsidRPr="00DE294B" w:rsidRDefault="00092F60" w:rsidP="00092F60">
      <w:r w:rsidRPr="00DE294B">
        <w:t xml:space="preserve">Pastores, G, Zimran, A, Tylki-Szymanska, A, Mehta, A, Mardach, R, Heisel-Kurth, M, Eng, C, Smith, L, Harmatz, P, Charrow, J, Zahrieh, D &amp; Grabowski, G 2010, 'Safety and efficacy of velaglucerase alfa in patients with type 1 Gaucher disease previously treated with imiglucerase: Ongoing extension of study TKT034', </w:t>
      </w:r>
      <w:r w:rsidRPr="00DE294B">
        <w:rPr>
          <w:i/>
          <w:iCs/>
        </w:rPr>
        <w:t>Journal of Inherited Metabolic Disease</w:t>
      </w:r>
      <w:r w:rsidRPr="00DE294B">
        <w:t>, vol. 33, p. S130.</w:t>
      </w:r>
    </w:p>
    <w:p w:rsidR="00092F60" w:rsidRPr="00DE294B" w:rsidRDefault="00092F60" w:rsidP="00092F60">
      <w:r w:rsidRPr="00DE294B">
        <w:t xml:space="preserve">Wenstrup, R, Kacena, K, Kaplan, P, Pastores, G, Prakash-Cheng, A, Zimran, A &amp; Hangartner, T 2006, 'Bone mineral density in type 1 gaucher disease: Prevalence of fractures and effect of treatment with imiglucerase', </w:t>
      </w:r>
      <w:r w:rsidRPr="00DE294B">
        <w:rPr>
          <w:i/>
          <w:iCs/>
        </w:rPr>
        <w:t>Journal of Inherited Metabolic Disease</w:t>
      </w:r>
      <w:r w:rsidRPr="00DE294B">
        <w:t>, vol. 29, pp. 64-64.</w:t>
      </w:r>
    </w:p>
    <w:p w:rsidR="00092F60" w:rsidRPr="00DE294B" w:rsidRDefault="00092F60" w:rsidP="00092F60">
      <w:r w:rsidRPr="00DE294B">
        <w:t xml:space="preserve">Wenstrup, R, Kaplan, P, Pastores, G, Prakash-Cheng, A, Zimran, A &amp; Hangartner, T 2007, 'The effect of enzyme replacement therapy with imiglucerase on bone mineral density in type 1 Gaucher disease', </w:t>
      </w:r>
      <w:r w:rsidRPr="00DE294B">
        <w:rPr>
          <w:i/>
          <w:iCs/>
        </w:rPr>
        <w:t>Clinical Therapeutics</w:t>
      </w:r>
      <w:r w:rsidRPr="00DE294B">
        <w:t>, vol. 29, pp. S117-S117.</w:t>
      </w:r>
    </w:p>
    <w:p w:rsidR="00092F60" w:rsidRPr="00DE294B" w:rsidRDefault="00092F60" w:rsidP="00092F60">
      <w:r w:rsidRPr="00DE294B">
        <w:t xml:space="preserve">Zimran, A, Pastores, GM, Tylki-Szymanska, A, Hughes, D, Elstein, D, Mardach, R, Eng, C, Smith, L, Heisel-Kurth, M, Charrow, J, Harmatz, P, Fernhoff, P, Rhead, W, Longo, N, Giraldo, P, Zahrieh, D, Crombez, E &amp; Grabowski, GA 2011, '2-year safety and tolerability of velaglucerase alfa enzyme replacement therapy (ERT) in patients with type 1 Gaucher </w:t>
      </w:r>
      <w:r w:rsidRPr="00DE294B">
        <w:lastRenderedPageBreak/>
        <w:t xml:space="preserve">disease (GD1) switching from imiglucerase', </w:t>
      </w:r>
      <w:r w:rsidRPr="00DE294B">
        <w:rPr>
          <w:i/>
          <w:iCs/>
        </w:rPr>
        <w:t>Journal of Inherited Metabolic Disease</w:t>
      </w:r>
      <w:r w:rsidRPr="00DE294B">
        <w:t>, vol. 34, p. S225.</w:t>
      </w:r>
    </w:p>
    <w:p w:rsidR="00092F60" w:rsidRDefault="00092F60" w:rsidP="00092F60"/>
    <w:p w:rsidR="00092F60" w:rsidRDefault="00092F60" w:rsidP="00E965BD">
      <w:pPr>
        <w:pStyle w:val="Heading3"/>
      </w:pPr>
      <w:r>
        <w:t>Foreign language (not a higher level of evidence than available in English)</w:t>
      </w:r>
    </w:p>
    <w:p w:rsidR="00092F60" w:rsidRPr="00DE294B" w:rsidRDefault="00092F60" w:rsidP="00092F60">
      <w:r w:rsidRPr="00DE294B">
        <w:t xml:space="preserve">'Enzymatic replacement treatment for type I </w:t>
      </w:r>
      <w:r w:rsidR="00E51493">
        <w:t>Gaucher disease</w:t>
      </w:r>
      <w:r w:rsidRPr="00DE294B">
        <w:t xml:space="preserve"> patients (Structured abstract)'</w:t>
      </w:r>
      <w:proofErr w:type="gramStart"/>
      <w:r w:rsidRPr="00DE294B">
        <w:t>,  2011</w:t>
      </w:r>
      <w:proofErr w:type="gramEnd"/>
      <w:r w:rsidRPr="00DE294B">
        <w:t xml:space="preserve">, </w:t>
      </w:r>
      <w:r w:rsidRPr="00DE294B">
        <w:rPr>
          <w:i/>
          <w:iCs/>
        </w:rPr>
        <w:t>Health Technology Assessment Database</w:t>
      </w:r>
      <w:r w:rsidRPr="00DE294B">
        <w:t>.</w:t>
      </w:r>
    </w:p>
    <w:p w:rsidR="00092F60" w:rsidRPr="00DE294B" w:rsidRDefault="00092F60" w:rsidP="00092F60">
      <w:r w:rsidRPr="00DE294B">
        <w:t>'Imiglucerase in Gaucher disease (Project record)'</w:t>
      </w:r>
      <w:proofErr w:type="gramStart"/>
      <w:r w:rsidRPr="00DE294B">
        <w:t>,  2011</w:t>
      </w:r>
      <w:proofErr w:type="gramEnd"/>
      <w:r w:rsidRPr="00DE294B">
        <w:t xml:space="preserve">, </w:t>
      </w:r>
      <w:r w:rsidRPr="00DE294B">
        <w:rPr>
          <w:i/>
          <w:iCs/>
        </w:rPr>
        <w:t>Health Technology Assessment Database</w:t>
      </w:r>
      <w:r w:rsidRPr="00DE294B">
        <w:t>.</w:t>
      </w:r>
    </w:p>
    <w:p w:rsidR="00092F60" w:rsidRPr="00DE294B" w:rsidRDefault="00092F60" w:rsidP="00092F60">
      <w:r w:rsidRPr="00DE294B">
        <w:t xml:space="preserve">Alfonso, P, Cenarro, A, Perez-Calvo, JI, Puzo, J, Giralt, M, Giraldo, P &amp; Pocovi, M 2003, 'Effect of enzyme replacement therapy on lipid profile in patients with </w:t>
      </w:r>
      <w:r w:rsidR="00E51493">
        <w:t>Gaucher disease</w:t>
      </w:r>
      <w:r w:rsidRPr="00DE294B">
        <w:t xml:space="preserve">', </w:t>
      </w:r>
      <w:r w:rsidRPr="00DE294B">
        <w:rPr>
          <w:i/>
          <w:iCs/>
        </w:rPr>
        <w:t>Medicina Clinica</w:t>
      </w:r>
      <w:r w:rsidRPr="00DE294B">
        <w:t>, vol. 120, pp. 641-646.</w:t>
      </w:r>
    </w:p>
    <w:p w:rsidR="00092F60" w:rsidRPr="00DE294B" w:rsidRDefault="00092F60" w:rsidP="00092F60">
      <w:proofErr w:type="gramStart"/>
      <w:r w:rsidRPr="00DE294B">
        <w:t xml:space="preserve">Cabanas, MJ, Moraga, F, Barroso, C &amp; Castello, F 1998, 'Alglucerase and imiglucerase', </w:t>
      </w:r>
      <w:r w:rsidRPr="00DE294B">
        <w:rPr>
          <w:i/>
          <w:iCs/>
        </w:rPr>
        <w:t>Pediatria Catalana</w:t>
      </w:r>
      <w:r w:rsidRPr="00DE294B">
        <w:t>, vol. 58, pp. 180-181.</w:t>
      </w:r>
      <w:proofErr w:type="gramEnd"/>
    </w:p>
    <w:p w:rsidR="00092F60" w:rsidRPr="00DE294B" w:rsidRDefault="00092F60" w:rsidP="00092F60">
      <w:r w:rsidRPr="00DE294B">
        <w:t xml:space="preserve">Drelichman, G, Linares, A, Villalobos, J, Cabello, JF, Kerstenetzky, M, Kohan, RM &amp; Martins, AM 2012, 'Gaucher disease in Latin America: A report from the Gaucher disease international registry and the Latin Americam group for Gaucher disease', </w:t>
      </w:r>
      <w:r w:rsidRPr="00DE294B">
        <w:rPr>
          <w:i/>
          <w:iCs/>
        </w:rPr>
        <w:t>Medicina (Argentina)</w:t>
      </w:r>
      <w:r w:rsidRPr="00DE294B">
        <w:t>, vol. 72, pp. 273-282.</w:t>
      </w:r>
    </w:p>
    <w:p w:rsidR="00092F60" w:rsidRPr="00DE294B" w:rsidRDefault="00092F60" w:rsidP="00092F60">
      <w:r w:rsidRPr="00DE294B">
        <w:t xml:space="preserve">Grabowski, G, Pastores, G &amp; Mardach, R 2010, 'Patients with Gaucher disease type 1 switching from imiglucerase to velaglucerasa alfa in clinical trial and real world settings', </w:t>
      </w:r>
      <w:r w:rsidRPr="00DE294B">
        <w:rPr>
          <w:i/>
          <w:iCs/>
        </w:rPr>
        <w:t>Presentado en el ACMG Annual Genetics Meeting</w:t>
      </w:r>
      <w:r w:rsidRPr="00DE294B">
        <w:t>.</w:t>
      </w:r>
    </w:p>
    <w:p w:rsidR="00092F60" w:rsidRPr="00DE294B" w:rsidRDefault="00092F60" w:rsidP="00092F60">
      <w:proofErr w:type="gramStart"/>
      <w:r w:rsidRPr="00DE294B">
        <w:t xml:space="preserve">Guillen-Navarro, E &amp; Domingo-Jimenez, R 2011, 'Enzyme replacement therapy in lysosomal diseases', </w:t>
      </w:r>
      <w:r w:rsidRPr="00DE294B">
        <w:rPr>
          <w:i/>
          <w:iCs/>
        </w:rPr>
        <w:t>Anales de Pediatria Continuada</w:t>
      </w:r>
      <w:r w:rsidRPr="00DE294B">
        <w:t>, vol. 9, pp. 98-105.</w:t>
      </w:r>
      <w:proofErr w:type="gramEnd"/>
    </w:p>
    <w:p w:rsidR="00092F60" w:rsidRPr="00DE294B" w:rsidRDefault="00092F60" w:rsidP="00092F60">
      <w:r w:rsidRPr="00DE294B">
        <w:t>Hellwig, B 2010, '</w:t>
      </w:r>
      <w:r w:rsidR="00E51493">
        <w:t>Gaucher disease</w:t>
      </w:r>
      <w:r w:rsidRPr="00DE294B">
        <w:t xml:space="preserve">: Velaglucerase alfa for the long-term enzyme replacement therapy', </w:t>
      </w:r>
      <w:r w:rsidRPr="00DE294B">
        <w:rPr>
          <w:i/>
          <w:iCs/>
        </w:rPr>
        <w:t>Deutsche Apotheker Zeitung</w:t>
      </w:r>
      <w:r w:rsidRPr="00DE294B">
        <w:t>, vol. 150, pp. 32-33.</w:t>
      </w:r>
    </w:p>
    <w:p w:rsidR="00092F60" w:rsidRPr="00DE294B" w:rsidRDefault="00092F60" w:rsidP="00092F60">
      <w:r w:rsidRPr="00DE294B">
        <w:t xml:space="preserve">Krug, B &amp; Schwartz, I 'Doença de Gaucher: delineando estratégias para promoção do </w:t>
      </w:r>
      <w:proofErr w:type="gramStart"/>
      <w:r w:rsidRPr="00DE294B">
        <w:t>uso</w:t>
      </w:r>
      <w:proofErr w:type="gramEnd"/>
      <w:r w:rsidRPr="00DE294B">
        <w:t xml:space="preserve"> racional de imiglucerase no Brasil. 58-59. 2006', </w:t>
      </w:r>
      <w:r w:rsidRPr="00DE294B">
        <w:rPr>
          <w:i/>
          <w:iCs/>
        </w:rPr>
        <w:t>Anais do XVIII Congresso Brasileiro de Genética Clínica</w:t>
      </w:r>
      <w:r w:rsidRPr="00DE294B">
        <w:t>.</w:t>
      </w:r>
    </w:p>
    <w:p w:rsidR="00092F60" w:rsidRPr="00DE294B" w:rsidRDefault="00092F60" w:rsidP="00092F60">
      <w:r w:rsidRPr="00DE294B">
        <w:t xml:space="preserve">Krug, B, Schwartz, I &amp; Picon, P 2006, 'Doença de Gaucher: delineando estratégias para promoção do </w:t>
      </w:r>
      <w:proofErr w:type="gramStart"/>
      <w:r w:rsidRPr="00DE294B">
        <w:t>uso</w:t>
      </w:r>
      <w:proofErr w:type="gramEnd"/>
      <w:r w:rsidRPr="00DE294B">
        <w:t xml:space="preserve"> racional de imiglucerase no Brasil', </w:t>
      </w:r>
      <w:r w:rsidRPr="00DE294B">
        <w:rPr>
          <w:i/>
          <w:iCs/>
        </w:rPr>
        <w:t>Anais do XVIII Congresso Brasileiro de Genética Clínica. Ribeirão Preto: Sociedade Brasileira de Genética Clínica,</w:t>
      </w:r>
      <w:r w:rsidRPr="00DE294B">
        <w:t xml:space="preserve"> pp. 58-59.</w:t>
      </w:r>
    </w:p>
    <w:p w:rsidR="00092F60" w:rsidRPr="00DE294B" w:rsidRDefault="00092F60" w:rsidP="00092F60">
      <w:proofErr w:type="gramStart"/>
      <w:r w:rsidRPr="00DE294B">
        <w:t xml:space="preserve">Li, J, Zheng, JJ &amp; Zhu, Z 2010, 'Enzyme replacement therapy with imiglucerase for gaucher disease', </w:t>
      </w:r>
      <w:r w:rsidRPr="00DE294B">
        <w:rPr>
          <w:i/>
          <w:iCs/>
        </w:rPr>
        <w:t>Chinese Pharmaceutical Journal</w:t>
      </w:r>
      <w:r w:rsidRPr="00DE294B">
        <w:t>, vol. 45, pp. 237-238.</w:t>
      </w:r>
      <w:proofErr w:type="gramEnd"/>
    </w:p>
    <w:p w:rsidR="00092F60" w:rsidRPr="00DE294B" w:rsidRDefault="00092F60" w:rsidP="00092F60">
      <w:r w:rsidRPr="00DE294B">
        <w:t xml:space="preserve">Mittelstadt, SD 2012, 'Tratamento com </w:t>
      </w:r>
      <w:proofErr w:type="gramStart"/>
      <w:r w:rsidRPr="00DE294B">
        <w:t>a</w:t>
      </w:r>
      <w:proofErr w:type="gramEnd"/>
      <w:r w:rsidRPr="00DE294B">
        <w:t xml:space="preserve"> enzima taliglucerase alfa em pacientes com doença de Gaucher tipo I previamente tratados com imiglucerase'.</w:t>
      </w:r>
    </w:p>
    <w:p w:rsidR="00092F60" w:rsidRPr="00DE294B" w:rsidRDefault="00092F60" w:rsidP="00092F60">
      <w:r w:rsidRPr="00DE294B">
        <w:lastRenderedPageBreak/>
        <w:t xml:space="preserve">Perez, C, J, I &amp; Castellano, PG 2002, 'Home therapy for type 1 Gaucher disease in Spain [3]', </w:t>
      </w:r>
      <w:r w:rsidRPr="00DE294B">
        <w:rPr>
          <w:i/>
          <w:iCs/>
        </w:rPr>
        <w:t>Medicina Clinica</w:t>
      </w:r>
      <w:r w:rsidRPr="00DE294B">
        <w:t>, vol. 119, p. 756.</w:t>
      </w:r>
    </w:p>
    <w:p w:rsidR="00092F60" w:rsidRPr="00DE294B" w:rsidRDefault="00092F60" w:rsidP="00092F60">
      <w:proofErr w:type="gramStart"/>
      <w:r w:rsidRPr="00DE294B">
        <w:t xml:space="preserve">Schulz, M 1998, 'Imiglucerase for the treatment of </w:t>
      </w:r>
      <w:r w:rsidR="00E51493">
        <w:t>Gaucher disease</w:t>
      </w:r>
      <w:r w:rsidRPr="00DE294B">
        <w:t xml:space="preserve">', </w:t>
      </w:r>
      <w:r w:rsidRPr="00DE294B">
        <w:rPr>
          <w:i/>
          <w:iCs/>
        </w:rPr>
        <w:t>Pharmazeutische Zeitung</w:t>
      </w:r>
      <w:r w:rsidRPr="00DE294B">
        <w:t>, vol. 143, pp. 32-35.</w:t>
      </w:r>
      <w:proofErr w:type="gramEnd"/>
    </w:p>
    <w:p w:rsidR="00092F60" w:rsidRPr="00DE294B" w:rsidRDefault="00092F60" w:rsidP="00092F60">
      <w:r w:rsidRPr="00DE294B">
        <w:t xml:space="preserve">Serratrice, C, Kaminsky, P, Berger, M, Grosbois, B, Pelletier, S, Leguy-Seguin, V, Bismuth, M &amp; Belmatoug, N 2011, 'Efficacité et sécurité du relais par velaglucerase chez les patients porteurs d’une maladie de Gaucher lors de la pénurie d’imiglucerase', </w:t>
      </w:r>
      <w:r w:rsidRPr="00DE294B">
        <w:rPr>
          <w:i/>
          <w:iCs/>
        </w:rPr>
        <w:t>La Revue de Médecine Interne</w:t>
      </w:r>
      <w:r w:rsidRPr="00DE294B">
        <w:t>, vol. 32, pp. S273-S274.</w:t>
      </w:r>
    </w:p>
    <w:p w:rsidR="00092F60" w:rsidRPr="00DE294B" w:rsidRDefault="00092F60" w:rsidP="00092F60">
      <w:proofErr w:type="gramStart"/>
      <w:r w:rsidRPr="00DE294B">
        <w:t xml:space="preserve">Stirnemann, J 2006, 'Clinical study of the French cohort of Gaucher disease patients', </w:t>
      </w:r>
      <w:r w:rsidRPr="00DE294B">
        <w:rPr>
          <w:i/>
          <w:iCs/>
        </w:rPr>
        <w:t>Revue de Medecine Interne</w:t>
      </w:r>
      <w:r w:rsidRPr="00DE294B">
        <w:t>, vol. 27, pp. S18-S21.</w:t>
      </w:r>
      <w:proofErr w:type="gramEnd"/>
    </w:p>
    <w:p w:rsidR="00092F60" w:rsidRPr="00DE294B" w:rsidRDefault="00092F60" w:rsidP="00092F60">
      <w:r w:rsidRPr="00DE294B">
        <w:t xml:space="preserve">Stirnemann, J 2011, 'Velaglucerase: Another enzyme therapy in Gaucher disease', </w:t>
      </w:r>
      <w:r w:rsidRPr="00DE294B">
        <w:rPr>
          <w:i/>
          <w:iCs/>
        </w:rPr>
        <w:t>Revue du Praticien-Monographie</w:t>
      </w:r>
      <w:r w:rsidRPr="00DE294B">
        <w:t>, vol. 61, no. 8, p. 7.</w:t>
      </w:r>
    </w:p>
    <w:p w:rsidR="00092F60" w:rsidRPr="00DE294B" w:rsidRDefault="00092F60" w:rsidP="00092F60">
      <w:r w:rsidRPr="00DE294B">
        <w:t xml:space="preserve">Tekin, A, TÜMER, L, GÜNDÜZ, M &amp; HASANOĞLU, A 2005, 'Okülomotor Apraksi ile Başvuran Tip 3 Gaucher Hastasında Yüksek Doz Imiglucerase Tedavisinin Sonuçları', </w:t>
      </w:r>
      <w:r w:rsidRPr="00DE294B">
        <w:rPr>
          <w:i/>
          <w:iCs/>
        </w:rPr>
        <w:t>Türkiye Klinikleri Pediatrik Bilimler Dergisi</w:t>
      </w:r>
      <w:r w:rsidRPr="00DE294B">
        <w:t>, vol. 1, no. 10, pp. 12-14.</w:t>
      </w:r>
    </w:p>
    <w:p w:rsidR="00092F60" w:rsidRDefault="00092F60" w:rsidP="00E965BD"/>
    <w:p w:rsidR="00092F60" w:rsidRPr="003F3F2D" w:rsidRDefault="00092F60" w:rsidP="00D60032">
      <w:pPr>
        <w:pStyle w:val="Heading2"/>
        <w:numPr>
          <w:ilvl w:val="0"/>
          <w:numId w:val="0"/>
        </w:numPr>
      </w:pPr>
      <w:bookmarkStart w:id="1086" w:name="_Toc404937357"/>
      <w:bookmarkStart w:id="1087" w:name="_Toc415141778"/>
      <w:r w:rsidRPr="003F3F2D">
        <w:t>Miglustat</w:t>
      </w:r>
      <w:bookmarkEnd w:id="1086"/>
      <w:bookmarkEnd w:id="1087"/>
    </w:p>
    <w:p w:rsidR="00092F60" w:rsidRDefault="00092F60" w:rsidP="00E965BD">
      <w:pPr>
        <w:pStyle w:val="Heading3"/>
      </w:pPr>
      <w:r>
        <w:t>Duplicated data</w:t>
      </w:r>
    </w:p>
    <w:p w:rsidR="00092F60" w:rsidRDefault="00092F60" w:rsidP="00092F60">
      <w:pPr>
        <w:rPr>
          <w:lang w:eastAsia="en-AU"/>
        </w:rPr>
      </w:pPr>
      <w:r>
        <w:rPr>
          <w:lang w:eastAsia="en-AU"/>
        </w:rPr>
        <w:t>Aerts, JF, van Weely, S, Zimran, A, Elstein, D, Dweck, A, Attias, D, Hadas-Halpern, I, Zevin, S &amp; Altarescu, G 'Oral maintenance clinical trial with miglustat for type 1 Gaucher disease'. (</w:t>
      </w:r>
      <w:proofErr w:type="gramStart"/>
      <w:r>
        <w:rPr>
          <w:lang w:eastAsia="en-AU"/>
        </w:rPr>
        <w:t>duplicate</w:t>
      </w:r>
      <w:proofErr w:type="gramEnd"/>
      <w:r>
        <w:rPr>
          <w:lang w:eastAsia="en-AU"/>
        </w:rPr>
        <w:t xml:space="preserve"> of Elstein et al of same title)</w:t>
      </w:r>
    </w:p>
    <w:p w:rsidR="00092F60" w:rsidRDefault="00092F60" w:rsidP="00E965BD">
      <w:pPr>
        <w:pStyle w:val="Heading3"/>
      </w:pPr>
      <w:r>
        <w:t>Lower level evidence</w:t>
      </w:r>
    </w:p>
    <w:p w:rsidR="00092F60" w:rsidRDefault="00092F60" w:rsidP="00092F60">
      <w:proofErr w:type="gramStart"/>
      <w:r w:rsidRPr="00787621">
        <w:t xml:space="preserve">Agostino, A, Stefano, P, Giovanni, C, Fulvio, P &amp; Bruno, B 2010, 'Eye Movement Impairment Recovery in a Gaucher Patient Treated with Miglustat', </w:t>
      </w:r>
      <w:r w:rsidRPr="00787621">
        <w:rPr>
          <w:i/>
          <w:iCs/>
        </w:rPr>
        <w:t>Neurology Research International</w:t>
      </w:r>
      <w:r w:rsidRPr="00787621">
        <w:t>, vol. 2010.</w:t>
      </w:r>
      <w:proofErr w:type="gramEnd"/>
    </w:p>
    <w:p w:rsidR="00092F60" w:rsidRPr="00512043" w:rsidRDefault="00092F60" w:rsidP="00092F60">
      <w:r w:rsidRPr="00512043">
        <w:t xml:space="preserve">Cox, T, Lachmann, R, Hollak, C, Aerts, J, van Weely, S, Hrebicek, M, Platt, F, Butters, T, Dwek, R, Moyses, C, Gow, I, Elstein, D &amp; Zimran, A 2000, 'Novel oral treatment of </w:t>
      </w:r>
      <w:r w:rsidR="00E51493">
        <w:t>Gaucher disease</w:t>
      </w:r>
      <w:r w:rsidRPr="00512043">
        <w:t xml:space="preserve"> with N-butyldeoxynojirimycin (OGT 918) to decrease substrate biosynthesis', </w:t>
      </w:r>
      <w:r w:rsidRPr="00512043">
        <w:rPr>
          <w:iCs/>
        </w:rPr>
        <w:t>Lancet</w:t>
      </w:r>
      <w:r w:rsidRPr="00512043">
        <w:t>, vol. 355, no. 9214, Apr 29, pp. 1481-1485.</w:t>
      </w:r>
    </w:p>
    <w:p w:rsidR="00092F60" w:rsidRPr="00512043" w:rsidRDefault="00092F60" w:rsidP="00092F60">
      <w:r w:rsidRPr="00512043">
        <w:t xml:space="preserve">Giraldo, P, Alonso, D, Acedo, M, Franco, R, Barez, A, Corrales, A, Serrano, D, Roldan, V, Latre, P, Alfonso, P &amp; Pocovi, M 2005, 'Short-Term Effect of Oral Treatment with Miglustat in Type 1 Gaucher Disease', </w:t>
      </w:r>
      <w:r w:rsidRPr="00512043">
        <w:rPr>
          <w:iCs/>
        </w:rPr>
        <w:t>ASH Annual Meeting Abstracts</w:t>
      </w:r>
      <w:r w:rsidRPr="00512043">
        <w:t>, vol. 106, no. 11, November 16, 2005, pp. 2235-.</w:t>
      </w:r>
    </w:p>
    <w:p w:rsidR="00092F60" w:rsidRPr="00512043" w:rsidRDefault="00092F60" w:rsidP="00092F60">
      <w:r w:rsidRPr="00512043">
        <w:t xml:space="preserve">Giraldo, P, Andrade, MM, Medrano, B, Alfonso, P, Irun, P, Atutxa, K, Fernandez-Galan, A, Barez, A, Franco, R, Roig, I, Giner, V, Villalon, L, Martinez-Estefano, E, Luno, E, Loyola, I, </w:t>
      </w:r>
      <w:r w:rsidRPr="00512043">
        <w:lastRenderedPageBreak/>
        <w:t xml:space="preserve">Salamero, O, de la Serna, J &amp; Pocovi, M 2013, 'Substrate Reduction Therapy With Miglustat In Type 1 Gaucher Disease In Spain. Nine Years Outcomes Update On ZAGAL Study', </w:t>
      </w:r>
      <w:r w:rsidRPr="00512043">
        <w:rPr>
          <w:iCs/>
        </w:rPr>
        <w:t>Blood</w:t>
      </w:r>
      <w:r w:rsidRPr="00512043">
        <w:t>, vol. 122, no. 21, Nov.</w:t>
      </w:r>
    </w:p>
    <w:p w:rsidR="00092F60" w:rsidRPr="00512043" w:rsidRDefault="00092F60" w:rsidP="00092F60">
      <w:r w:rsidRPr="00512043">
        <w:t xml:space="preserve">Giraldo, P, Irun, P, Alfonso, P, Dalmau, J, Fernandez-Galan, MA, Figueredo, A, Hernandez-Rivas, JM, Julia, A, Luno, E, Marin-Jimenez, F, Martin-Nunez, G, Montserrat, JL, de la Serna, J, Vidaller, A, Villalon, L &amp; Pocovi, M 2011, 'Evaluation of Spanish Gaucher disease patients after a 6-month imiglucerase shortage', </w:t>
      </w:r>
      <w:r w:rsidRPr="00512043">
        <w:rPr>
          <w:iCs/>
        </w:rPr>
        <w:t>Blood Cells Mol Dis</w:t>
      </w:r>
      <w:r w:rsidRPr="00512043">
        <w:t>, vol. 46, no. 1, Jan 15, pp. 115-118.</w:t>
      </w:r>
    </w:p>
    <w:p w:rsidR="00092F60" w:rsidRPr="00512043" w:rsidRDefault="00092F60" w:rsidP="00092F60">
      <w:r w:rsidRPr="00512043">
        <w:t xml:space="preserve">Giraldo, P, Latre, P, Alfonso, P, Acedo, A, Alonso, D, Barez, A, Corrales, A, Franco, R, Roldan, V, Serrano, S &amp; Pocovi, M 2006, 'Short-term effect of miglustat in every day clinical use in treatment-naive or previously treated patients with type 1 </w:t>
      </w:r>
      <w:r w:rsidR="00E51493">
        <w:t>Gaucher disease</w:t>
      </w:r>
      <w:r w:rsidRPr="00512043">
        <w:t xml:space="preserve">', </w:t>
      </w:r>
      <w:r w:rsidRPr="00512043">
        <w:rPr>
          <w:iCs/>
        </w:rPr>
        <w:t>Haematologica</w:t>
      </w:r>
      <w:r w:rsidRPr="00512043">
        <w:t>, vol. 91, no. 5, May, pp. 703-706.</w:t>
      </w:r>
    </w:p>
    <w:p w:rsidR="00092F60" w:rsidRPr="00512043" w:rsidRDefault="00092F60" w:rsidP="00092F60">
      <w:r w:rsidRPr="00512043">
        <w:t xml:space="preserve">Heemstra, HE, Giezen, TJ, Mantel-Teeuwisse, AK, De Vrueh, RLA &amp; Leufkens, HGM 2010, 'Safety-related regulatory actions for orphan drugs in the US and EU: A cohort study', </w:t>
      </w:r>
      <w:r w:rsidRPr="00512043">
        <w:rPr>
          <w:iCs/>
        </w:rPr>
        <w:t>Drug Safety</w:t>
      </w:r>
      <w:r w:rsidRPr="00512043">
        <w:t>, vol. 33, no. 2, pp. 127-137.</w:t>
      </w:r>
    </w:p>
    <w:p w:rsidR="00092F60" w:rsidRPr="00512043" w:rsidRDefault="00092F60" w:rsidP="00092F60">
      <w:r w:rsidRPr="00512043">
        <w:t xml:space="preserve">Heitner, R, Elstein, D, Aerts, J, Weely, S &amp; Zimran, A 2002, 'Low-dose N-butyldeoxynojirimycin (OGT 918) for type I Gaucher disease', </w:t>
      </w:r>
      <w:r w:rsidRPr="00512043">
        <w:rPr>
          <w:iCs/>
        </w:rPr>
        <w:t>Blood Cells Mol Dis</w:t>
      </w:r>
      <w:r w:rsidRPr="00512043">
        <w:t>, vol. 28, no. 2, Mar-Apr, pp. 127-133.</w:t>
      </w:r>
    </w:p>
    <w:p w:rsidR="00092F60" w:rsidRPr="00512043" w:rsidRDefault="00092F60" w:rsidP="00092F60">
      <w:r w:rsidRPr="00512043">
        <w:t xml:space="preserve">Heitner, R, Elstein, D, Aerts, J &amp; Zimran, A 2002, 'Erratum: Low-dose N-butyldeoxynojirimycin (OGT 918) for type I gaucher disease (Blood Cells, Molecules, and Diseases (2002) 28:2 (127-133))', </w:t>
      </w:r>
      <w:r w:rsidRPr="00512043">
        <w:rPr>
          <w:iCs/>
        </w:rPr>
        <w:t>Blood Cells, Molecules, and Diseases</w:t>
      </w:r>
      <w:r w:rsidRPr="00512043">
        <w:t>, vol. 28, no. 2, p. 301.</w:t>
      </w:r>
    </w:p>
    <w:p w:rsidR="00092F60" w:rsidRPr="00512043" w:rsidRDefault="00092F60" w:rsidP="00092F60">
      <w:r w:rsidRPr="00512043">
        <w:t xml:space="preserve">Hollak, C, Heitner, R, Hrebicek, M, Elstein, D &amp; Zimran, A 2005, 'ADULT PATIENTS WITH TYPE I GAUCHER DISEASE (GD 1) ON LONG-TERM MIGLUSTAT TREATMENT', </w:t>
      </w:r>
      <w:r w:rsidRPr="00512043">
        <w:rPr>
          <w:iCs/>
        </w:rPr>
        <w:t>J Inherit Metab Dis</w:t>
      </w:r>
      <w:r w:rsidRPr="00512043">
        <w:t>, vol. 28, pp. 171-171.</w:t>
      </w:r>
    </w:p>
    <w:p w:rsidR="00092F60" w:rsidRPr="00512043" w:rsidRDefault="00092F60" w:rsidP="00092F60">
      <w:r w:rsidRPr="00512043">
        <w:t xml:space="preserve">Hollak, CEM, Kuter, D, Giraldo, P, Hughes, D, Belmatoug, N, Brand, M, Muller, A, Schaaf, B, Giorgino, R &amp; Zimran, A 2012, 'MIGLUSTAT THERAPY IN TYPE 1 GAUCHER DISEASE: LONG-TERM TREATMENT EXPERIENCE FROM A MULTICENTER, RETROSPECTIVE COHORT STUDY', </w:t>
      </w:r>
      <w:r w:rsidRPr="00512043">
        <w:rPr>
          <w:iCs/>
        </w:rPr>
        <w:t>J Inherit Metab Dis</w:t>
      </w:r>
      <w:r w:rsidRPr="00512043">
        <w:t>, vol. 35, Sep, pp. S97-S97.</w:t>
      </w:r>
    </w:p>
    <w:p w:rsidR="00092F60" w:rsidRPr="00512043" w:rsidRDefault="00092F60" w:rsidP="00092F60">
      <w:r w:rsidRPr="00512043">
        <w:t xml:space="preserve">Kuter, DJ, Mehta, A, Hollak, C, Giraldo, P, Hughes, D, Belmatoug, N, Brand, M, Muller, A, Schaaf, B, Giorgino, R &amp; Zimran, A 2011, 'Miglustat therapy in type 1 Gaucher disease: Long-term treatment experience from a multicenter, retrospective cohort study', </w:t>
      </w:r>
      <w:r w:rsidRPr="00512043">
        <w:rPr>
          <w:iCs/>
        </w:rPr>
        <w:t>Blood</w:t>
      </w:r>
      <w:r w:rsidRPr="00512043">
        <w:t>, vol. 118, no. 21.</w:t>
      </w:r>
    </w:p>
    <w:p w:rsidR="00092F60" w:rsidRPr="00512043" w:rsidRDefault="00092F60" w:rsidP="00092F60">
      <w:r w:rsidRPr="00512043">
        <w:t xml:space="preserve">Kuter, DJ, Mehta, A, Hollak, CE, Giraldo, P, Hughes, D, Belmatoug, N, Brand, M, Muller, A, Schaaf, B, Giorgino, R &amp; Zimran, A 2013, 'Miglustat therapy in type 1 Gaucher disease: clinical and safety outcomes in a multicenter retrospective cohort study', </w:t>
      </w:r>
      <w:r w:rsidRPr="00512043">
        <w:rPr>
          <w:iCs/>
        </w:rPr>
        <w:t>Blood Cells Mol Dis</w:t>
      </w:r>
      <w:r w:rsidRPr="00512043">
        <w:t>, vol. 51, no. 2, Aug, pp. 116-124.</w:t>
      </w:r>
    </w:p>
    <w:p w:rsidR="00092F60" w:rsidRPr="00512043" w:rsidRDefault="00092F60" w:rsidP="00092F60">
      <w:r w:rsidRPr="00512043">
        <w:lastRenderedPageBreak/>
        <w:t xml:space="preserve">Machaczka, M, Hast, R, Dahlman, I, Lerner, R, Klimkowska, M, Engvall, M &amp; Hagglund, H 2012, 'Substrate reduction therapy with miglustat for type 1 Gaucher disease: a retrospective analysis from a single institution', </w:t>
      </w:r>
      <w:r w:rsidRPr="00512043">
        <w:rPr>
          <w:iCs/>
        </w:rPr>
        <w:t>Ups J Med Sci</w:t>
      </w:r>
      <w:r w:rsidRPr="00512043">
        <w:t>, vol. 117, no. 1, Mar, pp. 28-34.</w:t>
      </w:r>
    </w:p>
    <w:p w:rsidR="00092F60" w:rsidRPr="00512043" w:rsidRDefault="00092F60" w:rsidP="00092F60">
      <w:r w:rsidRPr="00512043">
        <w:t xml:space="preserve">Puzo, J, Alfonso, P, Irun, P, Gervas, J, Pocovi, M &amp; Giraldo, P 2010, 'Changes in the atherogenic profile of patients with type 1 Gaucher disease after miglustat therapy', </w:t>
      </w:r>
      <w:r w:rsidRPr="00512043">
        <w:rPr>
          <w:iCs/>
        </w:rPr>
        <w:t>Atherosclerosis</w:t>
      </w:r>
      <w:r w:rsidRPr="00512043">
        <w:t>, vol. 209, no. 2, Apr, pp. 515-519.</w:t>
      </w:r>
    </w:p>
    <w:p w:rsidR="00092F60" w:rsidRPr="00512043" w:rsidRDefault="00092F60" w:rsidP="00092F60">
      <w:r w:rsidRPr="00512043">
        <w:t>Revest, M, Perlat, A, Decaux, O, Lamy, T, Verin, M, Brissot, P &amp; Grosbois, B 2009, '[</w:t>
      </w:r>
      <w:r w:rsidR="00E51493">
        <w:t>Gaucher disease</w:t>
      </w:r>
      <w:r w:rsidRPr="00512043">
        <w:t xml:space="preserve"> in Rennes University hospital: a 10-year retrospective study]', </w:t>
      </w:r>
      <w:r w:rsidRPr="00512043">
        <w:rPr>
          <w:iCs/>
        </w:rPr>
        <w:t>Rev Med Interne</w:t>
      </w:r>
      <w:r w:rsidRPr="00512043">
        <w:t>, vol. 30, no. 10, Oct, pp. 847-856.</w:t>
      </w:r>
    </w:p>
    <w:p w:rsidR="00092F60" w:rsidRDefault="00092F60" w:rsidP="00092F60">
      <w:r w:rsidRPr="00512043">
        <w:t xml:space="preserve">Stirnemann, J, Vigan, M, Hamroun, D, Heraoui, D, Rossi-Semerano, L, Berger, MG, Rose, C, Camou, F, de Roux-Serratrice, C, Grosbois, B, Kaminsky, P, Robert, A, Caillaud, C, Froissart, R, Levade, T, Masseau, A, Mignot, C, Sedel, F, Dobbelaere, D, Vanier, MT, Valayanopoulos, V, Fain, O, Fantin, B, de Villemeur, TB, Mentre, F &amp; Belmatoug, N 2012, 'The French </w:t>
      </w:r>
      <w:r w:rsidR="00E51493">
        <w:t>Gaucher disease</w:t>
      </w:r>
      <w:r w:rsidRPr="00512043">
        <w:t xml:space="preserve"> registry: clinical characteristics, complications and treatment of 562 patients', </w:t>
      </w:r>
      <w:r w:rsidRPr="00512043">
        <w:rPr>
          <w:iCs/>
        </w:rPr>
        <w:t>Orphanet J Rare Dis</w:t>
      </w:r>
      <w:r w:rsidRPr="00512043">
        <w:t>, vol. 7, p. 77.</w:t>
      </w:r>
    </w:p>
    <w:p w:rsidR="00092F60" w:rsidRPr="00512043" w:rsidRDefault="00092F60" w:rsidP="00092F60">
      <w:r w:rsidRPr="00787621">
        <w:t xml:space="preserve">Tifft, C &amp; Yang, S 2007, 'WITHDRAWN: 105 Treat type I Gaucher disease with miglustat: Experience with two patients', </w:t>
      </w:r>
      <w:r w:rsidRPr="00787621">
        <w:rPr>
          <w:i/>
          <w:iCs/>
        </w:rPr>
        <w:t>Molecular Genetics and Metabolism</w:t>
      </w:r>
      <w:r w:rsidRPr="00787621">
        <w:t>.</w:t>
      </w:r>
    </w:p>
    <w:p w:rsidR="00092F60" w:rsidRPr="00512043" w:rsidRDefault="00092F60" w:rsidP="00092F60">
      <w:proofErr w:type="gramStart"/>
      <w:r w:rsidRPr="00512043">
        <w:t xml:space="preserve">Vicente, C, Agustin, MJ, Navarro, H, Picaza, E, Arenere, M &amp; Idoipe, A 2009, 'Substrate reduction therapy in patients with mild-to-moderate type i gaucher disease', </w:t>
      </w:r>
      <w:r w:rsidRPr="00512043">
        <w:rPr>
          <w:iCs/>
        </w:rPr>
        <w:t>Pharmacy World &amp; Science</w:t>
      </w:r>
      <w:r w:rsidRPr="00512043">
        <w:t>, vol. 31, no. 1, Feb, pp. 120-121.</w:t>
      </w:r>
      <w:proofErr w:type="gramEnd"/>
    </w:p>
    <w:p w:rsidR="00092F60" w:rsidRDefault="00092F60" w:rsidP="00092F60">
      <w:r w:rsidRPr="00512043">
        <w:t xml:space="preserve">Weinreb, NJ, Charrow, J, Andersson, HC, Kaplan, P, Kolodny, EH, Mistry, P, Pastores, G, Rosenbloom, BE, Scott, CR &amp; Wappner, RS 2002, 'Effectiveness of enzyme replacement therapy in 1028 patients with type 1 Gaucher disease after 2 to 5 years of treatment: a report from the Gaucher Registry', </w:t>
      </w:r>
      <w:r w:rsidRPr="00512043">
        <w:rPr>
          <w:iCs/>
        </w:rPr>
        <w:t>The American journal of medicine</w:t>
      </w:r>
      <w:r w:rsidRPr="00512043">
        <w:t>, vol. 113, no. 2, pp. 112-119.</w:t>
      </w:r>
    </w:p>
    <w:p w:rsidR="00092F60" w:rsidRDefault="00092F60" w:rsidP="00E965BD">
      <w:pPr>
        <w:pStyle w:val="Heading3"/>
      </w:pPr>
      <w:r>
        <w:t>Switched case series (case series of patients switched from imiglucerase to another treatment)</w:t>
      </w:r>
    </w:p>
    <w:p w:rsidR="00092F60" w:rsidRPr="00787621" w:rsidRDefault="00092F60" w:rsidP="00092F60">
      <w:r w:rsidRPr="00787621">
        <w:t xml:space="preserve">'Miglustat: In type 1 </w:t>
      </w:r>
      <w:r w:rsidR="00E51493">
        <w:t>Gaucher disease</w:t>
      </w:r>
      <w:r w:rsidRPr="00787621">
        <w:t>: A slight benefit after imiglucerase therapy'</w:t>
      </w:r>
      <w:proofErr w:type="gramStart"/>
      <w:r w:rsidRPr="00787621">
        <w:t>,  2005</w:t>
      </w:r>
      <w:proofErr w:type="gramEnd"/>
      <w:r w:rsidRPr="00787621">
        <w:t xml:space="preserve">, </w:t>
      </w:r>
      <w:r w:rsidRPr="00787621">
        <w:rPr>
          <w:i/>
          <w:iCs/>
        </w:rPr>
        <w:t>Prescrire Int</w:t>
      </w:r>
      <w:r w:rsidRPr="00787621">
        <w:t>, vol. 14, no. 79, pp. 168-170.</w:t>
      </w:r>
    </w:p>
    <w:p w:rsidR="00092F60" w:rsidRPr="00787621" w:rsidRDefault="00092F60" w:rsidP="00092F60">
      <w:r w:rsidRPr="00787621">
        <w:t xml:space="preserve">Ait-Aissa, N, Jamieson, V, Morand, O, Esparza, I &amp; Goffin, H 2005, 'A CLINICAL STUDY TO ASSESS MIGLUSTAT AS MAINTENANCE THERAPY FOR ADULT PATIENTS WITH STABLE TYPE 1 GAUCHER DISEASE (GD 1) AFTER SWITCH FROM ENZYME REPLACEMENT THERAPY (ERT): OBJECTIVES AND STUDY DESIGN', </w:t>
      </w:r>
      <w:r w:rsidRPr="00787621">
        <w:rPr>
          <w:i/>
          <w:iCs/>
        </w:rPr>
        <w:t>J Inherit Metab Dis</w:t>
      </w:r>
      <w:r w:rsidRPr="00787621">
        <w:t>, vol. 28, pp. 170-170.</w:t>
      </w:r>
    </w:p>
    <w:p w:rsidR="00092F60" w:rsidRPr="00787621" w:rsidRDefault="00092F60" w:rsidP="00092F60">
      <w:r w:rsidRPr="00787621">
        <w:t xml:space="preserve">Cox, TM, Amato, D, Hollak, CE, Luzy, C, Silkey, M, Giorgino, R &amp; Steiner, RD 2012, 'Evaluation of miglustat as maintenance therapy after enzyme therapy in adults with stable type 1 </w:t>
      </w:r>
      <w:r w:rsidRPr="00787621">
        <w:lastRenderedPageBreak/>
        <w:t xml:space="preserve">Gaucher disease: a prospective, open-label non-inferiority study', </w:t>
      </w:r>
      <w:r w:rsidRPr="00787621">
        <w:rPr>
          <w:i/>
          <w:iCs/>
        </w:rPr>
        <w:t>Orphanet J Rare Dis</w:t>
      </w:r>
      <w:r w:rsidRPr="00787621">
        <w:t>, vol. 7, p. 102.</w:t>
      </w:r>
    </w:p>
    <w:p w:rsidR="00092F60" w:rsidRPr="00787621" w:rsidRDefault="00092F60" w:rsidP="00092F60">
      <w:r w:rsidRPr="00787621">
        <w:t xml:space="preserve">Elstein, D, Dweck, A, Attias, D, Hadas-Halpern, I, Zevin, S, Altarescu, G &amp; Zimran, A 2007, 'Oral maintenance with miglustat in adult patients with type 1 Gaucher disease: The patients quality-of-life perspective', </w:t>
      </w:r>
      <w:r w:rsidRPr="00787621">
        <w:rPr>
          <w:i/>
          <w:iCs/>
        </w:rPr>
        <w:t>J Inherit Metab Dis</w:t>
      </w:r>
      <w:r w:rsidRPr="00787621">
        <w:t>, vol. 30, Aug, pp. 120-120.</w:t>
      </w:r>
    </w:p>
    <w:p w:rsidR="00092F60" w:rsidRPr="00787621" w:rsidRDefault="00092F60" w:rsidP="00092F60">
      <w:r w:rsidRPr="00787621">
        <w:t xml:space="preserve">Giraldo, P, Alfonso, P, Atutxa, K, Fernandez-Galan, MA, Barez, A, Franco, R, Alonso, D, Martin, A, Latre, P &amp; Pocovi, M 2009, 'Real-world clinical experience with long-term miglustat maintenance therapy in type 1 Gaucher disease: the ZAGAL project', </w:t>
      </w:r>
      <w:r w:rsidRPr="00787621">
        <w:rPr>
          <w:i/>
          <w:iCs/>
        </w:rPr>
        <w:t>Haematologica</w:t>
      </w:r>
      <w:r w:rsidRPr="00787621">
        <w:t>, vol. 94, no. 12, Dec, pp. 1771-1775.</w:t>
      </w:r>
    </w:p>
    <w:p w:rsidR="00092F60" w:rsidRPr="00787621" w:rsidRDefault="00092F60" w:rsidP="00092F60">
      <w:proofErr w:type="gramStart"/>
      <w:r w:rsidRPr="00787621">
        <w:t xml:space="preserve">Mehta, A 2006, 'Clinical experience with substrate reduction therapy', </w:t>
      </w:r>
      <w:r w:rsidRPr="00787621">
        <w:rPr>
          <w:i/>
          <w:iCs/>
        </w:rPr>
        <w:t>Eur J Intern Med</w:t>
      </w:r>
      <w:r w:rsidRPr="00787621">
        <w:t>, vol. 17 Suppl, Nov, pp. S13-15.</w:t>
      </w:r>
      <w:proofErr w:type="gramEnd"/>
    </w:p>
    <w:p w:rsidR="00092F60" w:rsidRPr="00787621" w:rsidRDefault="00092F60" w:rsidP="00092F60">
      <w:r w:rsidRPr="00787621">
        <w:t xml:space="preserve">Mikosch, P, Reed, M, Baker, R, Holloway, B, Berger, L, Mehta, AB &amp; Hughes, DA 2008, 'Changes of bone metabolism in seven patients with Gaucher disease treated consecutively with imiglucerase and miglustat', </w:t>
      </w:r>
      <w:r w:rsidRPr="00787621">
        <w:rPr>
          <w:i/>
          <w:iCs/>
        </w:rPr>
        <w:t>Calcif Tissue Int</w:t>
      </w:r>
      <w:r w:rsidRPr="00787621">
        <w:t>, vol. 83, no. 1, Jul, pp. 43-54.</w:t>
      </w:r>
    </w:p>
    <w:p w:rsidR="00092F60" w:rsidRPr="00787621" w:rsidRDefault="00092F60" w:rsidP="00092F60">
      <w:r w:rsidRPr="00787621">
        <w:t xml:space="preserve">Steiner, RD, Amato, D, Hollak, CEM, Luzy, C, Silkey, M, Giorgino, R &amp; Cox, TM 2011, 'A 2-year, prospective, open-label, non-inferiority study of miglustatas maintenance therapy in adults with type 1 Gaucher disease (GD-1) stabilised on enzyme replacement therapy (ERT)', </w:t>
      </w:r>
      <w:r w:rsidRPr="00787621">
        <w:rPr>
          <w:i/>
          <w:iCs/>
        </w:rPr>
        <w:t>J Inherit Metab Dis</w:t>
      </w:r>
      <w:r w:rsidRPr="00787621">
        <w:t>, vol. 34, p. S200.</w:t>
      </w:r>
    </w:p>
    <w:p w:rsidR="00092F60" w:rsidRPr="00787621" w:rsidRDefault="00092F60" w:rsidP="00092F60">
      <w:r w:rsidRPr="00787621">
        <w:t xml:space="preserve">—— 2011, 'A 2-year, prospective, open-label, non-inferiority study of miglustatas maintenance therapy in adults with type 1 Gaucher disease (GD-1) stabilised on enzyme replacement therapy (ERT)', </w:t>
      </w:r>
      <w:r w:rsidRPr="00787621">
        <w:rPr>
          <w:i/>
          <w:iCs/>
        </w:rPr>
        <w:t>J Inherit Metab Dis</w:t>
      </w:r>
      <w:r w:rsidRPr="00787621">
        <w:t>, vol. 34, p. S200.</w:t>
      </w:r>
    </w:p>
    <w:p w:rsidR="00092F60" w:rsidRDefault="00092F60" w:rsidP="00E965BD"/>
    <w:p w:rsidR="00092F60" w:rsidRDefault="00092F60" w:rsidP="00E965BD">
      <w:pPr>
        <w:pStyle w:val="Heading3"/>
      </w:pPr>
      <w:r>
        <w:t>Abstract only</w:t>
      </w:r>
    </w:p>
    <w:p w:rsidR="00092F60" w:rsidRPr="00787621" w:rsidRDefault="00092F60" w:rsidP="00092F60">
      <w:proofErr w:type="gramStart"/>
      <w:r w:rsidRPr="00787621">
        <w:t xml:space="preserve">Amsallem, D 2006, 'Gaucher disease linked to a deficit in saposine C with treatment by miglustat', </w:t>
      </w:r>
      <w:r w:rsidRPr="00787621">
        <w:rPr>
          <w:i/>
          <w:iCs/>
        </w:rPr>
        <w:t>PRESSE MEDICALE</w:t>
      </w:r>
      <w:r w:rsidRPr="00787621">
        <w:t>, vol. 35, pp. S35-S36.</w:t>
      </w:r>
      <w:proofErr w:type="gramEnd"/>
    </w:p>
    <w:p w:rsidR="00092F60" w:rsidRPr="00787621" w:rsidRDefault="00092F60" w:rsidP="00092F60">
      <w:r w:rsidRPr="00787621">
        <w:t xml:space="preserve">Andrade, MM, Medrano, B, Alfonso, P, Irún, P, Atutxa, K, Fernandez-Galan, A, Barez, A, Franco, R, Roig, I &amp; Giner, V 2013, 'Substrate Reduction Therapy With Miglustat In Type 1 Gaucher Disease In Spain. Nine Years Outcomes Update On ZAGAL Study', </w:t>
      </w:r>
      <w:r w:rsidRPr="00787621">
        <w:rPr>
          <w:i/>
          <w:iCs/>
        </w:rPr>
        <w:t>Blood</w:t>
      </w:r>
      <w:r w:rsidRPr="00787621">
        <w:t>, vol. 122, no. 21, pp. 4713-4713.</w:t>
      </w:r>
    </w:p>
    <w:p w:rsidR="00092F60" w:rsidRPr="00787621" w:rsidRDefault="00092F60" w:rsidP="00092F60">
      <w:r w:rsidRPr="00787621">
        <w:t xml:space="preserve">Giraldo, M, Latre, P, Acedo, A, Alonso, D, Barez, A, Martin, A, Franco, R, Fernandez-Villamor, A &amp; Pocovi, M 2007, 'Long term efficacy and safety of miglustat therapy in type 1 Gaucher disease', </w:t>
      </w:r>
      <w:r w:rsidRPr="00787621">
        <w:rPr>
          <w:i/>
          <w:iCs/>
        </w:rPr>
        <w:t>HAEMATOLOGICA-THE HEMATOLOGY JOURNAL,</w:t>
      </w:r>
      <w:r w:rsidRPr="00787621">
        <w:t xml:space="preserve"> vol. 92, pp. 279-279.</w:t>
      </w:r>
    </w:p>
    <w:p w:rsidR="00092F60" w:rsidRPr="00787621" w:rsidRDefault="00092F60" w:rsidP="00092F60">
      <w:r w:rsidRPr="00787621">
        <w:t xml:space="preserve">Giraldo, P 2005, 'Gaucher diesease: experiences with substrate reduction therapy with miglustat in Spain', </w:t>
      </w:r>
      <w:r w:rsidRPr="00787621">
        <w:rPr>
          <w:i/>
          <w:iCs/>
        </w:rPr>
        <w:t>Management of Patients with Gaucher Disease: Investigating New Clinical Perspectives</w:t>
      </w:r>
      <w:r w:rsidRPr="00787621">
        <w:t>, p. 12.</w:t>
      </w:r>
    </w:p>
    <w:p w:rsidR="00092F60" w:rsidRDefault="00092F60" w:rsidP="00092F60">
      <w:r w:rsidRPr="00787621">
        <w:lastRenderedPageBreak/>
        <w:t xml:space="preserve">Zimran, A, Elstein, D, Pastores, G &amp; Hrebícek, M 2007, 'WITHDRAWN: 95 Beneficial effects of miglustat on skeletal symptoms in type I Gaucher disease: A meta-analysis', </w:t>
      </w:r>
      <w:r w:rsidRPr="00787621">
        <w:rPr>
          <w:i/>
          <w:iCs/>
        </w:rPr>
        <w:t>Molecular Genetics and Metabolism</w:t>
      </w:r>
      <w:r w:rsidRPr="00787621">
        <w:t>.</w:t>
      </w:r>
    </w:p>
    <w:p w:rsidR="00092F60" w:rsidRDefault="00092F60" w:rsidP="00E965BD">
      <w:pPr>
        <w:pStyle w:val="Heading3"/>
      </w:pPr>
      <w:r>
        <w:t>Foreign language (not a higher level of evidence than available in English)</w:t>
      </w:r>
    </w:p>
    <w:p w:rsidR="00092F60" w:rsidRPr="00787621" w:rsidRDefault="00092F60" w:rsidP="00092F60">
      <w:r w:rsidRPr="00787621">
        <w:t xml:space="preserve">Amsallem, D 2006, 'Maladie de Gaucher liée à </w:t>
      </w:r>
      <w:proofErr w:type="gramStart"/>
      <w:r w:rsidRPr="00787621">
        <w:t>un</w:t>
      </w:r>
      <w:proofErr w:type="gramEnd"/>
      <w:r w:rsidRPr="00787621">
        <w:t xml:space="preserve"> déficit en saposine C avec traitement par miglustat: D’après la communication de Daniel Amsallem', </w:t>
      </w:r>
      <w:r w:rsidRPr="00787621">
        <w:rPr>
          <w:i/>
          <w:iCs/>
        </w:rPr>
        <w:t>La Presse Médicale</w:t>
      </w:r>
      <w:r w:rsidRPr="00787621">
        <w:t>, vol. 35, pp. 35-36.</w:t>
      </w:r>
    </w:p>
    <w:p w:rsidR="00092F60" w:rsidRPr="00787621" w:rsidRDefault="00092F60" w:rsidP="00092F60">
      <w:r w:rsidRPr="00787621">
        <w:t xml:space="preserve">BERTSCHE, T &amp; SCHULZ, M 2005, 'Miglustat bei Morbus Gaucher', </w:t>
      </w:r>
      <w:r w:rsidRPr="00787621">
        <w:rPr>
          <w:i/>
          <w:iCs/>
        </w:rPr>
        <w:t>Pharmazeutische Zeitung</w:t>
      </w:r>
      <w:r w:rsidRPr="00787621">
        <w:t>, vol. 150, no. 15, pp. 24-28.</w:t>
      </w:r>
    </w:p>
    <w:p w:rsidR="00092F60" w:rsidRPr="00787621" w:rsidRDefault="00092F60" w:rsidP="00092F60">
      <w:r w:rsidRPr="00787621">
        <w:t xml:space="preserve">Bouslimani, K, Hakem, D, Hamzaoui, N, Ouadahi, N &amp; Berrah, A 2013, 'Diététique </w:t>
      </w:r>
      <w:proofErr w:type="gramStart"/>
      <w:r w:rsidRPr="00787621">
        <w:t>et</w:t>
      </w:r>
      <w:proofErr w:type="gramEnd"/>
      <w:r w:rsidRPr="00787621">
        <w:t xml:space="preserve"> prise de miglustat chez les patients souffrant de maladie de Gaucher de Type 1: expérience d’un service de médecine interne à propos de trois patients', </w:t>
      </w:r>
      <w:r w:rsidRPr="00787621">
        <w:rPr>
          <w:i/>
          <w:iCs/>
        </w:rPr>
        <w:t>La Revue de médecine interne</w:t>
      </w:r>
      <w:r w:rsidRPr="00787621">
        <w:t>, vol. 34, pp. A172-A173.</w:t>
      </w:r>
    </w:p>
    <w:p w:rsidR="00092F60" w:rsidRPr="00787621" w:rsidRDefault="00092F60" w:rsidP="00092F60">
      <w:r w:rsidRPr="00787621">
        <w:t xml:space="preserve">Cherin, P, Jaussaud, R &amp; Pastores, G 2007, 'Traitement des complications osseuses de la maladie de Gaucher de type 1 chez l'adulte: méta-analyse des études d'enregistrement du miglustat', </w:t>
      </w:r>
      <w:r w:rsidRPr="00787621">
        <w:rPr>
          <w:i/>
          <w:iCs/>
        </w:rPr>
        <w:t>La Revue de médecine interne</w:t>
      </w:r>
      <w:r w:rsidRPr="00787621">
        <w:t>, vol. 28, pp. 76-77.</w:t>
      </w:r>
    </w:p>
    <w:p w:rsidR="00092F60" w:rsidRPr="00787621" w:rsidRDefault="00092F60" w:rsidP="00092F60">
      <w:r w:rsidRPr="00787621">
        <w:t xml:space="preserve">Dechelotte, P 2004, 'PARTENAIRES-Entretien therapeutique-Maladie de Gaucher de type 1 chez l'adulte-Prise en charge nutritionnelle lors de la mise en place d'un traitement par miglustat', </w:t>
      </w:r>
      <w:r w:rsidRPr="00787621">
        <w:rPr>
          <w:i/>
          <w:iCs/>
        </w:rPr>
        <w:t>PRESSE MEDICALE</w:t>
      </w:r>
      <w:r w:rsidRPr="00787621">
        <w:t>, vol. 33, no. 7, pp. 494-496.</w:t>
      </w:r>
    </w:p>
    <w:p w:rsidR="00092F60" w:rsidRPr="00787621" w:rsidRDefault="00092F60" w:rsidP="00092F60">
      <w:r w:rsidRPr="00787621">
        <w:t xml:space="preserve">Déchelotte, P 2004, 'Maladie de Gaucher de type 1 chez l’adulte: Prise en charge nutritionnelle lors de la mise en place d’un traitement par miglustat', </w:t>
      </w:r>
      <w:r w:rsidRPr="00787621">
        <w:rPr>
          <w:i/>
          <w:iCs/>
        </w:rPr>
        <w:t>La Presse Médicale</w:t>
      </w:r>
      <w:r w:rsidRPr="00787621">
        <w:t>, vol. 33, no. 7, pp. 494-496.</w:t>
      </w:r>
    </w:p>
    <w:p w:rsidR="00092F60" w:rsidRPr="00787621" w:rsidRDefault="00092F60" w:rsidP="00092F60">
      <w:proofErr w:type="gramStart"/>
      <w:r w:rsidRPr="00787621">
        <w:t>Giraud, E 2004, 'La maladie de Gaucher, intérêt du miglustat (zavesca)'.</w:t>
      </w:r>
      <w:proofErr w:type="gramEnd"/>
    </w:p>
    <w:p w:rsidR="00092F60" w:rsidRPr="00787621" w:rsidRDefault="00092F60" w:rsidP="00092F60">
      <w:r w:rsidRPr="00787621">
        <w:t>Marie, I 2009, 'Combined therapy of imiglucerase and miglustat in Gaucher disease with severe bone complications', MASSON EDITEUR 21 STREET CAMILLE DESMOULINS, ISSY, 92789 MOULINEAUX CEDEX 9, FRANCE.</w:t>
      </w:r>
    </w:p>
    <w:p w:rsidR="00092F60" w:rsidRPr="00787621" w:rsidRDefault="00092F60" w:rsidP="00092F60">
      <w:r w:rsidRPr="00787621">
        <w:t xml:space="preserve">Niederau, C 2004, 'Kurzbewertungen-Neue Behandlungsstrategien der Gaucher-Krankheit: Substrathemmung durch Miglustat (Zavesca)', </w:t>
      </w:r>
      <w:r w:rsidRPr="00787621">
        <w:rPr>
          <w:i/>
          <w:iCs/>
        </w:rPr>
        <w:t>Internistische Praxis</w:t>
      </w:r>
      <w:r w:rsidRPr="00787621">
        <w:t>, vol. 44, no. 4, pp. 839-848.</w:t>
      </w:r>
    </w:p>
    <w:p w:rsidR="00092F60" w:rsidRPr="00787621" w:rsidRDefault="00092F60" w:rsidP="00092F60">
      <w:proofErr w:type="gramStart"/>
      <w:r w:rsidRPr="00787621">
        <w:t xml:space="preserve">—— 2004, 'Substrathemmung durch Miglustat Neue Behandlungsstrategie der Gaucher-Krankheit', </w:t>
      </w:r>
      <w:r w:rsidRPr="00787621">
        <w:rPr>
          <w:i/>
          <w:iCs/>
        </w:rPr>
        <w:t>Arzneimitteltherapie</w:t>
      </w:r>
      <w:r w:rsidRPr="00787621">
        <w:t>, vol. 22, no. 5, pp. 136-141.</w:t>
      </w:r>
      <w:proofErr w:type="gramEnd"/>
    </w:p>
    <w:p w:rsidR="00092F60" w:rsidRPr="00787621" w:rsidRDefault="00092F60" w:rsidP="00092F60">
      <w:r w:rsidRPr="00787621">
        <w:t xml:space="preserve">Pastores, G, Elstein, D, Hrebicek, M &amp; Zimran, A 2006, 'Atteintes ostéoarticulaires de la maladie de Gaucher chez </w:t>
      </w:r>
      <w:proofErr w:type="gramStart"/>
      <w:r w:rsidRPr="00787621">
        <w:t>l'adulte :</w:t>
      </w:r>
      <w:proofErr w:type="gramEnd"/>
      <w:r w:rsidRPr="00787621">
        <w:t xml:space="preserve"> de la physiopathologie au traitement / Effect of miglustat on skeletal symptoms in adult type 1 Gaucher disease: meta-analysis of 2-year follow-up in clinical trials', </w:t>
      </w:r>
      <w:r w:rsidRPr="00787621">
        <w:rPr>
          <w:i/>
          <w:iCs/>
        </w:rPr>
        <w:t>Cambridge: European Working Group on Gaucher Disease</w:t>
      </w:r>
      <w:r w:rsidRPr="00787621">
        <w:t>.</w:t>
      </w:r>
    </w:p>
    <w:p w:rsidR="00092F60" w:rsidRPr="00787621" w:rsidRDefault="00092F60" w:rsidP="00092F60">
      <w:r w:rsidRPr="00787621">
        <w:lastRenderedPageBreak/>
        <w:t xml:space="preserve">Recker, K 2003, </w:t>
      </w:r>
      <w:r w:rsidRPr="00787621">
        <w:rPr>
          <w:i/>
          <w:iCs/>
        </w:rPr>
        <w:t>Morbus Gaucher-neues orales Therapiekonzept: Substratreduktion mit Miglustat</w:t>
      </w:r>
      <w:r w:rsidRPr="00787621">
        <w:t>, Springer.</w:t>
      </w:r>
    </w:p>
    <w:p w:rsidR="00092F60" w:rsidRPr="00787621" w:rsidRDefault="00092F60" w:rsidP="00092F60">
      <w:r w:rsidRPr="00787621">
        <w:t xml:space="preserve">—— 2003, </w:t>
      </w:r>
      <w:r w:rsidRPr="00787621">
        <w:rPr>
          <w:i/>
          <w:iCs/>
        </w:rPr>
        <w:t>Neues orales Therapiekonzept: Substratreduktion mit Miglustat: Morbus Gaucher</w:t>
      </w:r>
      <w:proofErr w:type="gramStart"/>
      <w:r w:rsidRPr="00787621">
        <w:rPr>
          <w:i/>
          <w:iCs/>
        </w:rPr>
        <w:t>;[</w:t>
      </w:r>
      <w:proofErr w:type="gramEnd"/>
      <w:r w:rsidRPr="00787621">
        <w:rPr>
          <w:i/>
          <w:iCs/>
        </w:rPr>
        <w:t xml:space="preserve">Symposium, Paris/Frankreich, 11. </w:t>
      </w:r>
      <w:proofErr w:type="gramStart"/>
      <w:r w:rsidRPr="00787621">
        <w:rPr>
          <w:i/>
          <w:iCs/>
        </w:rPr>
        <w:t>Juni 2003]</w:t>
      </w:r>
      <w:r w:rsidRPr="00787621">
        <w:t>, Springer.</w:t>
      </w:r>
      <w:proofErr w:type="gramEnd"/>
    </w:p>
    <w:p w:rsidR="00092F60" w:rsidRPr="00787621" w:rsidRDefault="00092F60" w:rsidP="00092F60">
      <w:r w:rsidRPr="00787621">
        <w:t xml:space="preserve">Stirnemann, J, Heraoui, D, Fain, O, Fantin, B &amp; Belmatoug, N 2009, 'Efficacité du miglustat dans la maladie de Gaucher: à propos de l’analyse du suivi de 8 patients suivi au Centre de Référence des Maladies Lysosomales', </w:t>
      </w:r>
      <w:r w:rsidRPr="00787621">
        <w:rPr>
          <w:i/>
          <w:iCs/>
        </w:rPr>
        <w:t>La Revue de médecine interne</w:t>
      </w:r>
      <w:r w:rsidRPr="00787621">
        <w:t>, vol. 30, p. S124.</w:t>
      </w:r>
    </w:p>
    <w:p w:rsidR="00092F60" w:rsidRDefault="00092F60" w:rsidP="00092F60">
      <w:proofErr w:type="gramStart"/>
      <w:r w:rsidRPr="00512043">
        <w:t xml:space="preserve">Stirnemann, J 2006, '[Clinical study of the French cohort of Gaucher disease patients]', </w:t>
      </w:r>
      <w:r w:rsidRPr="00512043">
        <w:rPr>
          <w:i/>
          <w:iCs/>
        </w:rPr>
        <w:t>Rev Med Interne</w:t>
      </w:r>
      <w:r w:rsidRPr="00512043">
        <w:t>, vol. 27 Suppl 1, Mar, pp. S18-21.</w:t>
      </w:r>
      <w:proofErr w:type="gramEnd"/>
    </w:p>
    <w:p w:rsidR="00092F60" w:rsidRDefault="00092F60" w:rsidP="00D60032">
      <w:pPr>
        <w:pStyle w:val="Heading2"/>
        <w:numPr>
          <w:ilvl w:val="0"/>
          <w:numId w:val="0"/>
        </w:numPr>
      </w:pPr>
      <w:bookmarkStart w:id="1088" w:name="_Toc404937358"/>
      <w:bookmarkStart w:id="1089" w:name="_Toc415141779"/>
      <w:r>
        <w:t>E</w:t>
      </w:r>
      <w:r w:rsidR="009D2776">
        <w:t xml:space="preserve">nzyme </w:t>
      </w:r>
      <w:r>
        <w:t>R</w:t>
      </w:r>
      <w:r w:rsidR="009D2776">
        <w:t xml:space="preserve">eplacement </w:t>
      </w:r>
      <w:r>
        <w:t>T</w:t>
      </w:r>
      <w:bookmarkEnd w:id="1088"/>
      <w:r w:rsidR="009D2776">
        <w:t>herapy</w:t>
      </w:r>
      <w:bookmarkEnd w:id="1089"/>
    </w:p>
    <w:p w:rsidR="00092F60" w:rsidRDefault="00092F60" w:rsidP="00E965BD">
      <w:pPr>
        <w:pStyle w:val="Heading3"/>
      </w:pPr>
      <w:r>
        <w:t>Cohort study</w:t>
      </w:r>
    </w:p>
    <w:p w:rsidR="00092F60" w:rsidRPr="00537C4F" w:rsidRDefault="00092F60" w:rsidP="00092F60">
      <w:r w:rsidRPr="00537C4F">
        <w:t xml:space="preserve">Anderson, LJ, Henley, W, Wyatt, KM, Nikolaou, V, Hughes, DA, Waldek, S &amp; Logan, S 2014, 'Long-term effectiveness of enzyme replacement therapy in adults with Gaucher disease: results from the NCS-LSD cohort study', </w:t>
      </w:r>
      <w:r w:rsidRPr="00537C4F">
        <w:rPr>
          <w:i/>
          <w:iCs/>
        </w:rPr>
        <w:t>J Inherit Metab Dis</w:t>
      </w:r>
      <w:r w:rsidRPr="00537C4F">
        <w:t>, vol. 37, no. 6, pp. 953-960.</w:t>
      </w:r>
    </w:p>
    <w:p w:rsidR="00092F60" w:rsidRPr="00537C4F" w:rsidRDefault="00092F60" w:rsidP="00092F60">
      <w:r w:rsidRPr="00537C4F">
        <w:t xml:space="preserve">Brautbar, A, Elstein, D, Pines, G, Abrahamov, A &amp; Zimran, A 2004, 'Effect of enzyme replacement therapy on gammopathies in Gaucher disease', </w:t>
      </w:r>
      <w:r w:rsidRPr="00537C4F">
        <w:rPr>
          <w:i/>
          <w:iCs/>
        </w:rPr>
        <w:t>Blood Cells, Molecules, and Diseases</w:t>
      </w:r>
      <w:r w:rsidRPr="00537C4F">
        <w:t>, vol. 32, no. 1, pp. 214-217.</w:t>
      </w:r>
    </w:p>
    <w:p w:rsidR="00092F60" w:rsidRPr="00537C4F" w:rsidRDefault="00092F60" w:rsidP="00092F60">
      <w:r w:rsidRPr="00537C4F">
        <w:t xml:space="preserve">Clarke, JTR, Amato, D &amp; Deber, RB 2001, 'Managing public payment for high-cost, high-benefit treatment: Enzyme replacement therapy for </w:t>
      </w:r>
      <w:r w:rsidR="00E51493">
        <w:t>Gaucher disease</w:t>
      </w:r>
      <w:r w:rsidRPr="00537C4F">
        <w:t xml:space="preserve"> in Ontario', </w:t>
      </w:r>
      <w:r w:rsidRPr="00537C4F">
        <w:rPr>
          <w:i/>
          <w:iCs/>
        </w:rPr>
        <w:t>Canadian Medical Association Journal</w:t>
      </w:r>
      <w:r w:rsidRPr="00537C4F">
        <w:t>, vol. 165, no. 5, pp. 595-596.</w:t>
      </w:r>
    </w:p>
    <w:p w:rsidR="00092F60" w:rsidRPr="00537C4F" w:rsidRDefault="00092F60" w:rsidP="00092F60">
      <w:r w:rsidRPr="00537C4F">
        <w:t xml:space="preserve">Donaldson, J, Khan, WS, Tailor, H, Hughes, DA, Mehta, AB &amp; Maruthainar, N 2011, 'Gaucher disease: Outcome following total hip replacements and effect of enzyme replacement therapy in a cohort of UK Patients', </w:t>
      </w:r>
      <w:r w:rsidRPr="00537C4F">
        <w:rPr>
          <w:i/>
          <w:iCs/>
        </w:rPr>
        <w:t>HIP International</w:t>
      </w:r>
      <w:r w:rsidRPr="00537C4F">
        <w:t>, vol. 21, no. 6, pp. 665-671.</w:t>
      </w:r>
    </w:p>
    <w:p w:rsidR="00092F60" w:rsidRPr="00537C4F" w:rsidRDefault="00092F60" w:rsidP="00092F60">
      <w:r w:rsidRPr="00537C4F">
        <w:t xml:space="preserve">Elstein, Y, Eisenberg, V, Granovsky-Grisaru, S, Rabinowitz, R, Samueloff, A, Zimran, A &amp; Elstein, D 2004, 'Pregnancies in Gaucher disease: A 5-year study', </w:t>
      </w:r>
      <w:r w:rsidRPr="00537C4F">
        <w:rPr>
          <w:i/>
          <w:iCs/>
        </w:rPr>
        <w:t>American Journal of Obstetrics and Gynecology</w:t>
      </w:r>
      <w:r w:rsidRPr="00537C4F">
        <w:t>, vol. 190, no. 2, Feb, pp. 435-441.</w:t>
      </w:r>
    </w:p>
    <w:p w:rsidR="00092F60" w:rsidRPr="00537C4F" w:rsidRDefault="00092F60" w:rsidP="00092F60">
      <w:r w:rsidRPr="00537C4F">
        <w:t xml:space="preserve">Erba, PA, Minichilli, F, Giona, F, Linari, S, Dambrosia, J, Pierini, A, Filocamo, M, Di Rocco, M, Buffoni, F, Brady, RO &amp; Mariani, G 2013, '99mTc-sestamibi scintigraphy to monitor the long-term efficacy of enzyme replacement therapy on bone marrow infiltration in patients with gaucher disease', </w:t>
      </w:r>
      <w:r w:rsidRPr="00537C4F">
        <w:rPr>
          <w:i/>
          <w:iCs/>
        </w:rPr>
        <w:t>Journal of Nuclear Medicine</w:t>
      </w:r>
      <w:r w:rsidRPr="00537C4F">
        <w:t>, vol. 54, no. 10, pp. 1717-1724.</w:t>
      </w:r>
    </w:p>
    <w:p w:rsidR="00092F60" w:rsidRPr="00537C4F" w:rsidRDefault="00092F60" w:rsidP="00092F60">
      <w:r w:rsidRPr="00537C4F">
        <w:t xml:space="preserve">Hayes, RP, Grinzaid, KA, Duffey, EB &amp; Elsas, ILJ 1998, 'The impact of Gaucher disease and its treatment on quality of life', </w:t>
      </w:r>
      <w:r w:rsidRPr="00537C4F">
        <w:rPr>
          <w:i/>
          <w:iCs/>
        </w:rPr>
        <w:t>Quality of Life Research</w:t>
      </w:r>
      <w:r w:rsidRPr="00537C4F">
        <w:t>, vol. 7, no. 6, pp. 521-534.</w:t>
      </w:r>
    </w:p>
    <w:p w:rsidR="00092F60" w:rsidRPr="00537C4F" w:rsidRDefault="00092F60" w:rsidP="00092F60">
      <w:r w:rsidRPr="00537C4F">
        <w:t xml:space="preserve">Lebel, E, Elstein, D, Peleg, A, Reinus, C, Zimran, A &amp; Amir, G 2013, 'Histologic findings of femoral heads from patients with Gaucher disease treated with enzyme replacement', </w:t>
      </w:r>
      <w:r w:rsidRPr="00537C4F">
        <w:rPr>
          <w:i/>
          <w:iCs/>
        </w:rPr>
        <w:t>American Journal of Clinical Pathology</w:t>
      </w:r>
      <w:r w:rsidRPr="00537C4F">
        <w:t>, vol. 140, no. 1, pp. 91-96.</w:t>
      </w:r>
    </w:p>
    <w:p w:rsidR="00092F60" w:rsidRPr="00537C4F" w:rsidRDefault="00092F60" w:rsidP="00092F60">
      <w:r w:rsidRPr="00537C4F">
        <w:lastRenderedPageBreak/>
        <w:t xml:space="preserve">Lorberboym, M, Pastores, GM, Kim, CK, Hermann, G, Glajchen, N &amp; Machac, J 1997, 'Scintigraphic monitoring of reticuloendothelial system in patients with type 1 Gaucher disease on enzyme replacement therapy', </w:t>
      </w:r>
      <w:r w:rsidRPr="00537C4F">
        <w:rPr>
          <w:i/>
          <w:iCs/>
        </w:rPr>
        <w:t>Journal of Nuclear Medicine</w:t>
      </w:r>
      <w:r w:rsidRPr="00537C4F">
        <w:t>, vol. 38, no. 6, pp. 890-895.</w:t>
      </w:r>
    </w:p>
    <w:p w:rsidR="00092F60" w:rsidRPr="00537C4F" w:rsidRDefault="00092F60" w:rsidP="00092F60">
      <w:r w:rsidRPr="00537C4F">
        <w:t xml:space="preserve">Mariani, G, Filocamo, M, Giona, F, Villa, G, Amendola, A, Erba, P, Buffoni, F, Copello, F, Pierini, A, Minichilli, F, Gatti, R &amp; Brady, RO 2003, 'Severity of bone marrow involvement in patients with </w:t>
      </w:r>
      <w:r w:rsidR="00E51493">
        <w:t>Gaucher disease</w:t>
      </w:r>
      <w:r w:rsidRPr="00537C4F">
        <w:t xml:space="preserve"> evaluated by scintigraphy with 99mTc-sestamibi', </w:t>
      </w:r>
      <w:r w:rsidRPr="00537C4F">
        <w:rPr>
          <w:i/>
          <w:iCs/>
        </w:rPr>
        <w:t>Journal of Nuclear Medicine</w:t>
      </w:r>
      <w:r w:rsidRPr="00537C4F">
        <w:t>, vol. 44, no. 8, pp. 1253-1262.</w:t>
      </w:r>
    </w:p>
    <w:p w:rsidR="00092F60" w:rsidRPr="00537C4F" w:rsidRDefault="00092F60" w:rsidP="00092F60">
      <w:r w:rsidRPr="00537C4F">
        <w:t xml:space="preserve">Stirnemann, J, Belmatoug, N, Vincent, C, Fain, O, Fantin, B &amp; Mentre, F 2010, 'Bone events and evolution of biologic markers in Gaucher disease before and during treatment', </w:t>
      </w:r>
      <w:r w:rsidRPr="00537C4F">
        <w:rPr>
          <w:i/>
          <w:iCs/>
        </w:rPr>
        <w:t>Arthritis Research and Therapy</w:t>
      </w:r>
      <w:r w:rsidRPr="00537C4F">
        <w:t>, vol. 12, no. 4.</w:t>
      </w:r>
    </w:p>
    <w:p w:rsidR="00092F60" w:rsidRPr="00537C4F" w:rsidRDefault="00092F60" w:rsidP="00092F60">
      <w:r w:rsidRPr="00537C4F">
        <w:t xml:space="preserve">van Dussen, L, Biegstraaten, M, Dijkgraaf, MG &amp; Hollak, CE 2014, 'Modelling Gaucher disease progression: long-term enzyme replacement therapy reduces the incidence of splenectomy and bone complications', </w:t>
      </w:r>
      <w:r w:rsidRPr="00537C4F">
        <w:rPr>
          <w:i/>
          <w:iCs/>
        </w:rPr>
        <w:t>Orphanet J Rare Dis</w:t>
      </w:r>
      <w:r w:rsidRPr="00537C4F">
        <w:t>, vol. 9, no. 1, p. 112.</w:t>
      </w:r>
    </w:p>
    <w:p w:rsidR="00092F60" w:rsidRPr="00537C4F" w:rsidRDefault="00092F60" w:rsidP="00092F60">
      <w:proofErr w:type="gramStart"/>
      <w:r w:rsidRPr="00537C4F">
        <w:t>van</w:t>
      </w:r>
      <w:proofErr w:type="gramEnd"/>
      <w:r w:rsidRPr="00537C4F">
        <w:t xml:space="preserve"> Dussen, L, Biegstraaten, M, Hollak, CE &amp; Dijkgraaf, MG 2014, 'Cost-effectiveness of enzyme replacement therapy for type 1 Gaucher disease', </w:t>
      </w:r>
      <w:r w:rsidRPr="00537C4F">
        <w:rPr>
          <w:i/>
          <w:iCs/>
        </w:rPr>
        <w:t>Orphanet J Rare Dis</w:t>
      </w:r>
      <w:r w:rsidRPr="00537C4F">
        <w:t>, vol. 9, p. 51.</w:t>
      </w:r>
    </w:p>
    <w:p w:rsidR="00092F60" w:rsidRPr="00537C4F" w:rsidRDefault="00092F60" w:rsidP="00092F60">
      <w:r w:rsidRPr="00537C4F">
        <w:t xml:space="preserve">Wyatt, K, Henley, W, Anderson, L, Anderson, R, Nikolaou, V, Stein, K, Klinger, L, Hughes, D, Waldek, S, Lachmann, R, Mehta, A, Vellodi, A &amp; Logan, S 2012, 'The effectiveness and cost-effectiveness of enzyme and substrate replacement therapies: a longitudinal cohort study of people with lysosomal storage disorders', </w:t>
      </w:r>
      <w:r w:rsidRPr="00537C4F">
        <w:rPr>
          <w:i/>
          <w:iCs/>
        </w:rPr>
        <w:t>Health Technology Assessment</w:t>
      </w:r>
      <w:r w:rsidRPr="00537C4F">
        <w:t>, vol. 16, no. 39, pp. 1-543.</w:t>
      </w:r>
    </w:p>
    <w:p w:rsidR="00092F60" w:rsidRDefault="00092F60" w:rsidP="00092F60"/>
    <w:p w:rsidR="00092F60" w:rsidRDefault="00092F60" w:rsidP="00E965BD">
      <w:pPr>
        <w:pStyle w:val="Heading3"/>
      </w:pPr>
      <w:r>
        <w:t>Case series</w:t>
      </w:r>
    </w:p>
    <w:p w:rsidR="00092F60" w:rsidRPr="00537C4F" w:rsidRDefault="00092F60" w:rsidP="00092F60">
      <w:r w:rsidRPr="00537C4F">
        <w:t xml:space="preserve">Abrahamov, A, Hadas-Halpern, I, Levy-Lahad, E &amp; Zimran, A 1992, 'ENZYME REPLACEMENT THERAPY FOR CHILDREN WITH GAUCHER DISEASE LOW DOSE HIGH FREQUENCY LOWER COST HIGH EFFICACY', </w:t>
      </w:r>
      <w:r w:rsidRPr="00537C4F">
        <w:rPr>
          <w:i/>
          <w:iCs/>
        </w:rPr>
        <w:t>Pediatric Research</w:t>
      </w:r>
      <w:r w:rsidRPr="00537C4F">
        <w:t>, vol. 31, no. 4 PART 2, 1992, pp. 137A-137A.</w:t>
      </w:r>
    </w:p>
    <w:p w:rsidR="00092F60" w:rsidRPr="00537C4F" w:rsidRDefault="00092F60" w:rsidP="00092F60">
      <w:r w:rsidRPr="00537C4F">
        <w:t xml:space="preserve">Aharoni, D, Krausz, Y, Elstein, D, Hadas-Halpern, I &amp; Zimran, A 2002, 'Tc-99m sestamibi bone marrow scintigraphy in Gaucher disease', </w:t>
      </w:r>
      <w:r w:rsidRPr="00537C4F">
        <w:rPr>
          <w:i/>
          <w:iCs/>
        </w:rPr>
        <w:t>Clinical Nuclear Medicine</w:t>
      </w:r>
      <w:r w:rsidRPr="00537C4F">
        <w:t>, vol. 27, no. 7, pp. 503-509.</w:t>
      </w:r>
    </w:p>
    <w:p w:rsidR="00092F60" w:rsidRPr="00537C4F" w:rsidRDefault="00092F60" w:rsidP="00092F60">
      <w:r w:rsidRPr="00537C4F">
        <w:t xml:space="preserve">Alentado Morell, N, Escrig Fernandez, R &amp; Dalmau Serra, J 2005, 'Type 1 Gaucher disease: 10 Years of experience in enzyme replacement therapy', </w:t>
      </w:r>
      <w:r w:rsidRPr="00537C4F">
        <w:rPr>
          <w:i/>
          <w:iCs/>
        </w:rPr>
        <w:t>Acta Pediatrica Espanola</w:t>
      </w:r>
      <w:r w:rsidRPr="00537C4F">
        <w:t>, vol. 63, no. 9, pp. 373-376.</w:t>
      </w:r>
    </w:p>
    <w:p w:rsidR="00092F60" w:rsidRPr="00537C4F" w:rsidRDefault="00092F60" w:rsidP="00092F60">
      <w:r w:rsidRPr="00537C4F">
        <w:t xml:space="preserve">Altarescu, G, Schiffmann, R, O'Brady, R &amp; Barton, NW 1999, 'Dose effect on enzyme replacement therapy (ERT) in type I gaucher disease', </w:t>
      </w:r>
      <w:r w:rsidRPr="00537C4F">
        <w:rPr>
          <w:i/>
          <w:iCs/>
        </w:rPr>
        <w:t>Blood</w:t>
      </w:r>
      <w:r w:rsidRPr="00537C4F">
        <w:t>, vol. 94, no. 10, Nov 15, pp. 209A-209A.</w:t>
      </w:r>
    </w:p>
    <w:p w:rsidR="00092F60" w:rsidRPr="00537C4F" w:rsidRDefault="00092F60" w:rsidP="00092F60">
      <w:r w:rsidRPr="00537C4F">
        <w:lastRenderedPageBreak/>
        <w:t xml:space="preserve">Anderson, LJ, Henley, W, Wyatt, KM, Nikolaou, V, Waldek, S, Hughes, DA, Pastores, GM &amp; Logan, S 2014, 'Long-term effectiveness of enzyme replacement therapy in children with Gaucher disease: results from the NCS-LSD cohort study', </w:t>
      </w:r>
      <w:r w:rsidRPr="00537C4F">
        <w:rPr>
          <w:i/>
          <w:iCs/>
        </w:rPr>
        <w:t>J Inherit Metab Dis</w:t>
      </w:r>
      <w:r w:rsidRPr="00537C4F">
        <w:t>.</w:t>
      </w:r>
    </w:p>
    <w:p w:rsidR="00092F60" w:rsidRPr="00537C4F" w:rsidRDefault="00092F60" w:rsidP="00092F60">
      <w:r w:rsidRPr="00537C4F">
        <w:t xml:space="preserve">Andersson, H, Charrow, J, Kaplan, P, Kolodny, EH, Mistry, P, Pastores, G, Rosenbloom, BE &amp; Wappner, RS 2000, 'The Gaucher Registry: Demographics and disease characteristics and response to enzyme replacement therapy (ERT) for 78 pediatric patients (pts)', </w:t>
      </w:r>
      <w:r w:rsidRPr="00537C4F">
        <w:rPr>
          <w:i/>
          <w:iCs/>
        </w:rPr>
        <w:t>Blood</w:t>
      </w:r>
      <w:r w:rsidRPr="00537C4F">
        <w:t>, vol. 96, no. 11, Nov 16, pp. 8A-8A.</w:t>
      </w:r>
    </w:p>
    <w:p w:rsidR="00092F60" w:rsidRPr="00537C4F" w:rsidRDefault="00092F60" w:rsidP="00092F60">
      <w:r w:rsidRPr="00537C4F">
        <w:t xml:space="preserve">Andersson, H, Kaplan, P, Kacena, K &amp; Yee, J 2008, 'Clinical outcome following 8-year enzyme replacement therapy in 884 children with type 1 Gaucher disease (GDI)', </w:t>
      </w:r>
      <w:r w:rsidRPr="00537C4F">
        <w:rPr>
          <w:i/>
          <w:iCs/>
        </w:rPr>
        <w:t>Mol Genet Metab</w:t>
      </w:r>
      <w:r w:rsidRPr="00537C4F">
        <w:t>, vol. 93, no. 2, Feb, pp. S14-S14.</w:t>
      </w:r>
    </w:p>
    <w:p w:rsidR="00092F60" w:rsidRPr="00537C4F" w:rsidRDefault="00092F60" w:rsidP="00092F60">
      <w:r w:rsidRPr="00537C4F">
        <w:t xml:space="preserve">Andersson, H, Kaplan, P, Kacena, K &amp; Yee, J 2008, 'CLINICAL OUTCOMES OF LONG-TERM (8 YEARS) ENZYME REPLACEMENT THERAPY IN 884 CHILDREN WITH TYPE 1 GAUCHER DISEASE', </w:t>
      </w:r>
      <w:r w:rsidRPr="00537C4F">
        <w:rPr>
          <w:i/>
          <w:iCs/>
        </w:rPr>
        <w:t>Clin Ther</w:t>
      </w:r>
      <w:r w:rsidRPr="00537C4F">
        <w:t>, vol. 30, 2008, pp. S101-S102.</w:t>
      </w:r>
    </w:p>
    <w:p w:rsidR="00092F60" w:rsidRDefault="00092F60" w:rsidP="00092F60">
      <w:proofErr w:type="gramStart"/>
      <w:r w:rsidRPr="00537C4F">
        <w:t xml:space="preserve">—— 2008, 'Eight-year clinical outcomes of long-term enzyme replacement therapy in 884 children with type 1 Gaucher disease', </w:t>
      </w:r>
      <w:r w:rsidRPr="00537C4F">
        <w:rPr>
          <w:i/>
          <w:iCs/>
        </w:rPr>
        <w:t>J Inherit Metab Dis</w:t>
      </w:r>
      <w:r w:rsidRPr="00537C4F">
        <w:t>, vol. 31, Aug, pp. 103-103.</w:t>
      </w:r>
      <w:proofErr w:type="gramEnd"/>
    </w:p>
    <w:p w:rsidR="00092F60" w:rsidRPr="00537C4F" w:rsidRDefault="00092F60" w:rsidP="00092F60">
      <w:r w:rsidRPr="00AC312E">
        <w:t xml:space="preserve">Andreassen, CS, Schlutter, JM, Vissing, J &amp; Andersen, H 2014, 'Effect of enzyme replacement therapy on isokinetic strength for all major muscle groups in four patients with Pompe disease-a long-term follow-up', </w:t>
      </w:r>
      <w:r w:rsidRPr="00AC312E">
        <w:rPr>
          <w:i/>
          <w:iCs/>
        </w:rPr>
        <w:t>Mol Genet Metab</w:t>
      </w:r>
      <w:r w:rsidRPr="00AC312E">
        <w:t>, vol. 112, no. 1, May, pp. 40-43.</w:t>
      </w:r>
    </w:p>
    <w:p w:rsidR="00092F60" w:rsidRPr="00537C4F" w:rsidRDefault="00092F60" w:rsidP="00092F60">
      <w:r w:rsidRPr="00537C4F">
        <w:t xml:space="preserve">Arikan-Ayyildiz, Z, Yuce, A, Uslu-Kizilkan, N, Demir, H &amp; Gurakan, F 2010, 'Immunoglobulin abnormalities and effects of enzyme replacement therapy in children with Gaucher disease', </w:t>
      </w:r>
      <w:r w:rsidRPr="00537C4F">
        <w:rPr>
          <w:i/>
          <w:iCs/>
        </w:rPr>
        <w:t>Pediatr Blood Cancer</w:t>
      </w:r>
      <w:r w:rsidRPr="00537C4F">
        <w:t>, //.</w:t>
      </w:r>
    </w:p>
    <w:p w:rsidR="00092F60" w:rsidRPr="00537C4F" w:rsidRDefault="00092F60" w:rsidP="00092F60">
      <w:r w:rsidRPr="00537C4F">
        <w:t xml:space="preserve">Aviezer, D, Almon-Brill, E, Shaaltiel, Y, Galili, G, Chertkoff, R, Hashmueli, S, Galun, E &amp; Zimran, A 2008, 'Novel enzyme replacement therapy for Gaucher disease: On-going phase III clinical trial with recombinant human glucocerebrosidase expressed in plant cells', </w:t>
      </w:r>
      <w:r w:rsidRPr="00537C4F">
        <w:rPr>
          <w:i/>
          <w:iCs/>
        </w:rPr>
        <w:t>Mol Genet Metab</w:t>
      </w:r>
      <w:r w:rsidRPr="00537C4F">
        <w:t>, vol. 93, no. 2, Feb, pp. S15-S15.</w:t>
      </w:r>
    </w:p>
    <w:p w:rsidR="00092F60" w:rsidRPr="00537C4F" w:rsidRDefault="00092F60" w:rsidP="00092F60">
      <w:r w:rsidRPr="00537C4F">
        <w:t xml:space="preserve">Barton, NW, Brady, RO, Dambrosia, JM, Di Bisceglie, AM, Doppelt, SH, Hill, SC, Mankin, HJ, Murray, GJ, Parker, RI, Argoff, CE &amp; et al. 1991, 'Replacement therapy for inherited enzyme deficiency--macrophage-targeted glucocerebrosidase for </w:t>
      </w:r>
      <w:r w:rsidR="00E51493">
        <w:t>Gaucher disease</w:t>
      </w:r>
      <w:r w:rsidRPr="00537C4F">
        <w:t xml:space="preserve">', </w:t>
      </w:r>
      <w:r w:rsidRPr="00537C4F">
        <w:rPr>
          <w:i/>
          <w:iCs/>
        </w:rPr>
        <w:t>N Engl J Med</w:t>
      </w:r>
      <w:r w:rsidRPr="00537C4F">
        <w:t>, vol. 324, no. 21, May 23, pp. 1464-1470.</w:t>
      </w:r>
    </w:p>
    <w:p w:rsidR="00092F60" w:rsidRPr="00537C4F" w:rsidRDefault="00092F60" w:rsidP="00092F60">
      <w:r w:rsidRPr="00537C4F">
        <w:t xml:space="preserve">Bembi, B, Zanatta, M, Carrozzi, M, Baralle, F, Gornati, R, Berra, B &amp; Agosti, E 1994, 'Enzyme replacement treatment in type 1 and type 3 </w:t>
      </w:r>
      <w:r w:rsidR="00E51493">
        <w:t>Gaucher disease</w:t>
      </w:r>
      <w:r w:rsidRPr="00537C4F">
        <w:t xml:space="preserve">', </w:t>
      </w:r>
      <w:r w:rsidRPr="00537C4F">
        <w:rPr>
          <w:i/>
          <w:iCs/>
        </w:rPr>
        <w:t>Lancet</w:t>
      </w:r>
      <w:r w:rsidRPr="00537C4F">
        <w:t>, vol. 344, no. 8938, Dec 17, pp. 1679-1682.</w:t>
      </w:r>
    </w:p>
    <w:p w:rsidR="00092F60" w:rsidRPr="00537C4F" w:rsidRDefault="00092F60" w:rsidP="00092F60">
      <w:r w:rsidRPr="00537C4F">
        <w:t xml:space="preserve">Brady, RO &amp; Barton, NW 1994, 'Enzyme replacement therapy for Gaucher disease: Critical investigations beyond demonstration of clinical efficacy', </w:t>
      </w:r>
      <w:r w:rsidRPr="00537C4F">
        <w:rPr>
          <w:i/>
          <w:iCs/>
        </w:rPr>
        <w:t>Biochemical Medicine and Metabolic Biology</w:t>
      </w:r>
      <w:r w:rsidRPr="00537C4F">
        <w:t>, vol. 52, no. 1, pp. 1-9.</w:t>
      </w:r>
    </w:p>
    <w:p w:rsidR="00092F60" w:rsidRDefault="00092F60" w:rsidP="00092F60">
      <w:proofErr w:type="gramStart"/>
      <w:r w:rsidRPr="00537C4F">
        <w:lastRenderedPageBreak/>
        <w:t xml:space="preserve">Brady, RO, Dambrosia, JM &amp; Barton, NW 1992, 'EFFECTIVENESS OF LOW-DOSE ENZYME REPLACEMENT THERAPY IN GAUCHERS-DISEASE', </w:t>
      </w:r>
      <w:r w:rsidRPr="00537C4F">
        <w:rPr>
          <w:i/>
          <w:iCs/>
        </w:rPr>
        <w:t>Clinical Research</w:t>
      </w:r>
      <w:r w:rsidRPr="00537C4F">
        <w:t>, vol. 40, no. 2, Apr, pp. A144-A144.</w:t>
      </w:r>
      <w:proofErr w:type="gramEnd"/>
    </w:p>
    <w:p w:rsidR="00092F60" w:rsidRPr="00537C4F" w:rsidRDefault="00092F60" w:rsidP="00092F60">
      <w:r w:rsidRPr="00537C4F">
        <w:t xml:space="preserve">Cabrera-Salazar, MA, O'Rourke, E, Henderson, N, Wessel, H &amp; Barranger, JA 2004, 'Correlation of surrogate markers of </w:t>
      </w:r>
      <w:proofErr w:type="gramStart"/>
      <w:r w:rsidRPr="00537C4F">
        <w:t>Gaucher</w:t>
      </w:r>
      <w:proofErr w:type="gramEnd"/>
      <w:r w:rsidRPr="00537C4F">
        <w:t xml:space="preserve"> disease. </w:t>
      </w:r>
      <w:proofErr w:type="gramStart"/>
      <w:r w:rsidRPr="00537C4F">
        <w:t xml:space="preserve">Implications for long-term follow up of enzyme replacement therapy', </w:t>
      </w:r>
      <w:r w:rsidRPr="00537C4F">
        <w:rPr>
          <w:i/>
          <w:iCs/>
        </w:rPr>
        <w:t>Clinica Chimica Acta</w:t>
      </w:r>
      <w:r w:rsidRPr="00537C4F">
        <w:t>, vol. 344, no. 1-2, pp. 101-107.</w:t>
      </w:r>
      <w:proofErr w:type="gramEnd"/>
    </w:p>
    <w:p w:rsidR="00092F60" w:rsidRDefault="00092F60" w:rsidP="00092F60">
      <w:proofErr w:type="gramStart"/>
      <w:r w:rsidRPr="00537C4F">
        <w:t xml:space="preserve">Carrozzi, M, Zanatta, M, Scabar, A &amp; Bembi, B 1995, 'Enzyme replacement therapy for </w:t>
      </w:r>
      <w:r w:rsidR="00E51493">
        <w:t>Gaucher disease</w:t>
      </w:r>
      <w:r w:rsidRPr="00537C4F">
        <w:t xml:space="preserve"> types 1, 2 and 3', </w:t>
      </w:r>
      <w:r w:rsidRPr="00537C4F">
        <w:rPr>
          <w:i/>
          <w:iCs/>
        </w:rPr>
        <w:t>Mariani Found.</w:t>
      </w:r>
      <w:proofErr w:type="gramEnd"/>
      <w:r w:rsidRPr="00537C4F">
        <w:rPr>
          <w:i/>
          <w:iCs/>
        </w:rPr>
        <w:t xml:space="preserve"> </w:t>
      </w:r>
      <w:proofErr w:type="gramStart"/>
      <w:r w:rsidRPr="00537C4F">
        <w:rPr>
          <w:i/>
          <w:iCs/>
        </w:rPr>
        <w:t>Paediatr.</w:t>
      </w:r>
      <w:proofErr w:type="gramEnd"/>
      <w:r w:rsidRPr="00537C4F">
        <w:rPr>
          <w:i/>
          <w:iCs/>
        </w:rPr>
        <w:t xml:space="preserve"> </w:t>
      </w:r>
      <w:proofErr w:type="gramStart"/>
      <w:r w:rsidRPr="00537C4F">
        <w:rPr>
          <w:i/>
          <w:iCs/>
        </w:rPr>
        <w:t>Neurol. Ser.</w:t>
      </w:r>
      <w:r w:rsidRPr="00537C4F">
        <w:t>, vol. 4, no.</w:t>
      </w:r>
      <w:proofErr w:type="gramEnd"/>
      <w:r w:rsidRPr="00537C4F">
        <w:t xml:space="preserve"> Metabolic Encephalopathies, //, pp. 121-128.</w:t>
      </w:r>
    </w:p>
    <w:p w:rsidR="00092F60" w:rsidRPr="00537C4F" w:rsidRDefault="00092F60" w:rsidP="00092F60">
      <w:proofErr w:type="gramStart"/>
      <w:r w:rsidRPr="00537C4F">
        <w:t xml:space="preserve">Cenarro, A, Pocovi, M, Giraldo, P, Garcia-Otin, AL &amp; Ordovas, JM 1999, 'Plasma lipoprotein responses to enzyme-replacement in </w:t>
      </w:r>
      <w:r w:rsidR="00E51493">
        <w:t>Gaucher disease</w:t>
      </w:r>
      <w:r w:rsidRPr="00537C4F">
        <w:t xml:space="preserve">', </w:t>
      </w:r>
      <w:r w:rsidRPr="00537C4F">
        <w:rPr>
          <w:i/>
          <w:iCs/>
        </w:rPr>
        <w:t>Lancet</w:t>
      </w:r>
      <w:r w:rsidRPr="00537C4F">
        <w:t>, vol. 353, no. 9153, Feb 20, pp. 642-643.</w:t>
      </w:r>
      <w:proofErr w:type="gramEnd"/>
    </w:p>
    <w:p w:rsidR="00092F60" w:rsidRPr="00537C4F" w:rsidRDefault="00092F60" w:rsidP="00092F60">
      <w:r w:rsidRPr="00537C4F">
        <w:t xml:space="preserve">Chan, LL &amp; Lin, HP 2002, 'Enzyme replacement therapy for gaucher disease: The only experience in Malaysia', </w:t>
      </w:r>
      <w:r w:rsidRPr="00537C4F">
        <w:rPr>
          <w:i/>
          <w:iCs/>
        </w:rPr>
        <w:t>Medical Journal of Malaysia</w:t>
      </w:r>
      <w:r w:rsidRPr="00537C4F">
        <w:t>, vol. 57, no. 3, pp. 348-352.</w:t>
      </w:r>
    </w:p>
    <w:p w:rsidR="00092F60" w:rsidRPr="00537C4F" w:rsidRDefault="00092F60" w:rsidP="00092F60">
      <w:r w:rsidRPr="00537C4F">
        <w:t xml:space="preserve">Charrow, J, Andersson, HC, Kaplan, P, Kolodny, E, Mistry, P, Pastores, G, Rosenbloom, B, Scott, R, Wappner, R &amp; Weinrab, N 2000, 'Response to enzyme replacement therapy in Gaucher disease patients with N370S/N370S, N370S compound heterozygotes and L444P/L444P genotypes', </w:t>
      </w:r>
      <w:r w:rsidRPr="00537C4F">
        <w:rPr>
          <w:i/>
          <w:iCs/>
        </w:rPr>
        <w:t>American Journal of Human Genetics</w:t>
      </w:r>
      <w:r w:rsidRPr="00537C4F">
        <w:t>, vol. 67, no. 4, Oct, pp. 427-427.</w:t>
      </w:r>
    </w:p>
    <w:p w:rsidR="00092F60" w:rsidRPr="00537C4F" w:rsidRDefault="00092F60" w:rsidP="00092F60">
      <w:r w:rsidRPr="00537C4F">
        <w:t xml:space="preserve">Charrow, J, Dulisse, B, Grabowski, GA &amp; Weinreb, NJ 2007, 'The effect of enzyme replacement therapy on bone crisis and bone pain in patients with type 1 Gaucher disease - Response', </w:t>
      </w:r>
      <w:r w:rsidRPr="00537C4F">
        <w:rPr>
          <w:i/>
          <w:iCs/>
        </w:rPr>
        <w:t>Clin Genet</w:t>
      </w:r>
      <w:r w:rsidRPr="00537C4F">
        <w:t>, vol. 72, no. 2, Aug, pp. 161-161.</w:t>
      </w:r>
    </w:p>
    <w:p w:rsidR="00092F60" w:rsidRPr="00537C4F" w:rsidRDefault="00092F60" w:rsidP="00092F60">
      <w:r w:rsidRPr="00537C4F">
        <w:t xml:space="preserve">Ciana, G, Addobbati, R, Tamaro, G, Leopaldi, A, Nevyjel, M, Ronfani, L, Vidoni, L, Pittis, MG &amp; Bembi, B 2005, 'Gaucher disease and bone: Laboratory and skeletal mineral density variations during a long period of enzyme replacement therapy', </w:t>
      </w:r>
      <w:r w:rsidRPr="00537C4F">
        <w:rPr>
          <w:i/>
          <w:iCs/>
        </w:rPr>
        <w:t>J Inherit Metab Dis</w:t>
      </w:r>
      <w:r w:rsidRPr="00537C4F">
        <w:t>, vol. 28, no. 5, pp. 723-732.</w:t>
      </w:r>
    </w:p>
    <w:p w:rsidR="00092F60" w:rsidRPr="00537C4F" w:rsidRDefault="00092F60" w:rsidP="00092F60">
      <w:r w:rsidRPr="00537C4F">
        <w:t xml:space="preserve">Ciana, G, Deroma, L, Pisa, FE, Franzil, AM, Dardis, A, Sechi, A, Malini, E &amp; Bembi, B 2011, 'Bone mineralization in a pediatric cohort of gaucher patients under enzyme replacement therapy', </w:t>
      </w:r>
      <w:r w:rsidRPr="00537C4F">
        <w:rPr>
          <w:i/>
          <w:iCs/>
        </w:rPr>
        <w:t>J Inherit Metab Dis</w:t>
      </w:r>
      <w:r w:rsidRPr="00537C4F">
        <w:t>, vol. 34, p. S200.</w:t>
      </w:r>
    </w:p>
    <w:p w:rsidR="00092F60" w:rsidRDefault="00092F60" w:rsidP="00092F60">
      <w:r w:rsidRPr="00537C4F">
        <w:t xml:space="preserve">Cohen, IJ, Katz, K, Kornreich, L, Horev, G, Frish, A &amp; Zaizov, R 1998, 'Low-dose high-frequency enzyme replacement therapy prevents fractures without complete suppression of painful bone crises in patients with severe juvenile onset type I Gaucher disease', </w:t>
      </w:r>
      <w:r w:rsidRPr="00537C4F">
        <w:rPr>
          <w:i/>
          <w:iCs/>
        </w:rPr>
        <w:t>Blood Cells, Molecules, and Diseases</w:t>
      </w:r>
      <w:r w:rsidRPr="00537C4F">
        <w:t>, vol. 24, no. 3, pp. 296-302.</w:t>
      </w:r>
    </w:p>
    <w:p w:rsidR="00092F60" w:rsidRPr="00537C4F" w:rsidRDefault="00092F60" w:rsidP="00092F60">
      <w:r w:rsidRPr="00537C4F">
        <w:t xml:space="preserve">Damiano, AM, Pastores, GM &amp; Ware Jr, JE 1998, 'The health-related quality of life of adults with </w:t>
      </w:r>
      <w:r w:rsidR="00E51493">
        <w:t>Gaucher disease</w:t>
      </w:r>
      <w:r w:rsidRPr="00537C4F">
        <w:t xml:space="preserve"> receiving enzyme replacement therapy: Results from a retrospective study', </w:t>
      </w:r>
      <w:r w:rsidRPr="00537C4F">
        <w:rPr>
          <w:i/>
          <w:iCs/>
        </w:rPr>
        <w:t>Quality of Life Research</w:t>
      </w:r>
      <w:r w:rsidRPr="00537C4F">
        <w:t>, vol. 7, no. 5, pp. 373-386.</w:t>
      </w:r>
    </w:p>
    <w:p w:rsidR="00092F60" w:rsidRPr="00537C4F" w:rsidRDefault="00092F60" w:rsidP="00092F60">
      <w:r w:rsidRPr="00537C4F">
        <w:lastRenderedPageBreak/>
        <w:t xml:space="preserve">De Fost, M, Hollak, CEM, Groener, JEM, Aerts, JMFG, Maas, M, Poll, LW, Wiersma, MG, Haussinger, D, Brett, S, Brill, N &amp; Vom Dahl, S 2006, 'Superior effects of high-dose enzyme replacement therapy in type 1 Gaucher disease on bone marrow involvement and chitotriosidase levels: A 2-center retrospective analysis', </w:t>
      </w:r>
      <w:r w:rsidRPr="00537C4F">
        <w:rPr>
          <w:i/>
          <w:iCs/>
        </w:rPr>
        <w:t>Blood</w:t>
      </w:r>
      <w:r w:rsidRPr="00537C4F">
        <w:t>, vol. 108, no. 3, pp. 830-835.</w:t>
      </w:r>
    </w:p>
    <w:p w:rsidR="00092F60" w:rsidRPr="00537C4F" w:rsidRDefault="00092F60" w:rsidP="00092F60">
      <w:r w:rsidRPr="00537C4F">
        <w:t xml:space="preserve">Freedman, R, Peters, H, Curnow, L &amp; Sahhar, M 2012, 'Receiving enzyme replacement therapy for a lysosomal storage disorder; exploring the experiences of young patients and their families', </w:t>
      </w:r>
      <w:r w:rsidRPr="00537C4F">
        <w:rPr>
          <w:i/>
          <w:iCs/>
        </w:rPr>
        <w:t>Twin Research and Human Genetics</w:t>
      </w:r>
      <w:r w:rsidRPr="00537C4F">
        <w:t>, vol. 15, no. 4, p. 575.</w:t>
      </w:r>
    </w:p>
    <w:p w:rsidR="00092F60" w:rsidRPr="00537C4F" w:rsidRDefault="00092F60" w:rsidP="00092F60">
      <w:proofErr w:type="gramStart"/>
      <w:r w:rsidRPr="00537C4F">
        <w:t>Giraldo, P, Perez-Calvo, JI, Pocovi, M, Rubio-Felix, D &amp; Giralt, M 2002, '</w:t>
      </w:r>
      <w:r w:rsidR="00E51493">
        <w:t>Gaucher disease</w:t>
      </w:r>
      <w:r w:rsidRPr="00537C4F">
        <w:t xml:space="preserve"> in Spain.</w:t>
      </w:r>
      <w:proofErr w:type="gramEnd"/>
      <w:r w:rsidRPr="00537C4F">
        <w:t xml:space="preserve"> Ten Years of Experience in Enzymatic Replacement Therapy', </w:t>
      </w:r>
      <w:r w:rsidRPr="00537C4F">
        <w:rPr>
          <w:i/>
          <w:iCs/>
        </w:rPr>
        <w:t>Blood</w:t>
      </w:r>
      <w:r w:rsidRPr="00537C4F">
        <w:t>, vol. 100, no. 11, November 16, pp. 3639-Abstract No. 3639.</w:t>
      </w:r>
    </w:p>
    <w:p w:rsidR="00092F60" w:rsidRPr="00537C4F" w:rsidRDefault="00092F60" w:rsidP="00092F60">
      <w:r w:rsidRPr="00537C4F">
        <w:t xml:space="preserve">Giraldo, P, Pocovi, M, Perez-Calvo, JI, Rubio-Felix, D &amp; Giralt, M 2000, 'Report of the Spanish </w:t>
      </w:r>
      <w:r w:rsidR="00E51493">
        <w:t>Gaucher disease</w:t>
      </w:r>
      <w:r w:rsidRPr="00537C4F">
        <w:t xml:space="preserve"> registry: Clinical and genetic characteristics', </w:t>
      </w:r>
      <w:r w:rsidRPr="00537C4F">
        <w:rPr>
          <w:i/>
          <w:iCs/>
        </w:rPr>
        <w:t>Haematologica</w:t>
      </w:r>
      <w:r w:rsidRPr="00537C4F">
        <w:t xml:space="preserve">, vol. 85, no. 8, </w:t>
      </w:r>
      <w:proofErr w:type="gramStart"/>
      <w:r w:rsidRPr="00537C4F">
        <w:t>pp</w:t>
      </w:r>
      <w:proofErr w:type="gramEnd"/>
      <w:r w:rsidRPr="00537C4F">
        <w:t>. 792-799.</w:t>
      </w:r>
    </w:p>
    <w:p w:rsidR="00092F60" w:rsidRPr="00537C4F" w:rsidRDefault="00092F60" w:rsidP="00092F60">
      <w:r w:rsidRPr="00537C4F">
        <w:t xml:space="preserve">Heitner, R, Elstein, D &amp; Zimran, A 2001, 'A dose comparison of the efficacy and safety of oral N-butyldeoxynojirimycin (OGT 918) in clinical studies in Gaucher disease', </w:t>
      </w:r>
      <w:r w:rsidRPr="00537C4F">
        <w:rPr>
          <w:i/>
          <w:iCs/>
        </w:rPr>
        <w:t>Blood</w:t>
      </w:r>
      <w:r w:rsidRPr="00537C4F">
        <w:t>, vol. 98, no. 11, Nov 16, pp. 28B-28B.</w:t>
      </w:r>
    </w:p>
    <w:p w:rsidR="00092F60" w:rsidRPr="00537C4F" w:rsidRDefault="00092F60" w:rsidP="00092F60">
      <w:r w:rsidRPr="00537C4F">
        <w:t xml:space="preserve">Hollak, CEM, de Fost, M, van Dussen, L, vom Dahl, S &amp; Aerts, JMFG 2009, 'Enzyme therapy for the treatment of type 1 Gaucher disease: clinical outcomes and dose - response relationships', </w:t>
      </w:r>
      <w:r w:rsidRPr="00537C4F">
        <w:rPr>
          <w:i/>
          <w:iCs/>
        </w:rPr>
        <w:t xml:space="preserve">Expert Opin. </w:t>
      </w:r>
      <w:proofErr w:type="gramStart"/>
      <w:r w:rsidRPr="00537C4F">
        <w:rPr>
          <w:i/>
          <w:iCs/>
        </w:rPr>
        <w:t>Pharmacother.</w:t>
      </w:r>
      <w:r w:rsidRPr="00537C4F">
        <w:t>,</w:t>
      </w:r>
      <w:proofErr w:type="gramEnd"/>
      <w:r w:rsidRPr="00537C4F">
        <w:t xml:space="preserve"> vol. 10, no. 16, //, pp. 2641-2652.</w:t>
      </w:r>
    </w:p>
    <w:p w:rsidR="00092F60" w:rsidRPr="00537C4F" w:rsidRDefault="00092F60" w:rsidP="00092F60">
      <w:r w:rsidRPr="00537C4F">
        <w:t xml:space="preserve">Hollak, CEM, Levi, M, Berends, F, Aerts, J &amp; vanOers, MHJ 1997, 'Coagulation abnormalities in type 1 Gaucher disease are due to low-grade activation and can be partly restored by enzyme supplementation therapy', </w:t>
      </w:r>
      <w:r w:rsidRPr="00537C4F">
        <w:rPr>
          <w:i/>
          <w:iCs/>
        </w:rPr>
        <w:t>Br J Haematol</w:t>
      </w:r>
      <w:r w:rsidRPr="00537C4F">
        <w:t>, vol. 96, no. 3, Mar, pp. 470-476.</w:t>
      </w:r>
    </w:p>
    <w:p w:rsidR="00092F60" w:rsidRDefault="00092F60" w:rsidP="00092F60">
      <w:r w:rsidRPr="00537C4F">
        <w:t xml:space="preserve">Ida, H, Rennert, OM, Kobayashi, M &amp; Eto, Y 2001, 'Effects of enzyme replacement therapy in thirteen Japanese pediatric patients with Gaucher disease', </w:t>
      </w:r>
      <w:r w:rsidRPr="00537C4F">
        <w:rPr>
          <w:i/>
          <w:iCs/>
        </w:rPr>
        <w:t>Eur. J. Pediatr.</w:t>
      </w:r>
      <w:r w:rsidRPr="00537C4F">
        <w:t>, vol. 160, no. 1, //, pp. 21-25.</w:t>
      </w:r>
    </w:p>
    <w:p w:rsidR="00092F60" w:rsidRPr="00537C4F" w:rsidRDefault="00092F60" w:rsidP="00092F60">
      <w:r w:rsidRPr="00537C4F">
        <w:t xml:space="preserve">Kaplan, P, Andersson, HC, Charrow, J, Kolodny, EH, Mistry, P, Pastores, GM, Rosenbloom, BE, Scott, CR, Wappner, RS &amp; Weinreb, NJ 2001, 'Growth improvement in response to enzyme replacement therapy (ERT) among children with Gaucher disease: The Gaucher Registry', </w:t>
      </w:r>
      <w:r w:rsidRPr="00537C4F">
        <w:rPr>
          <w:i/>
          <w:iCs/>
        </w:rPr>
        <w:t>American Journal of Human Genetics</w:t>
      </w:r>
      <w:r w:rsidRPr="00537C4F">
        <w:t>, vol. 69, no. 4, Oct, pp. 674-674.</w:t>
      </w:r>
    </w:p>
    <w:p w:rsidR="00092F60" w:rsidRPr="00537C4F" w:rsidRDefault="00092F60" w:rsidP="00092F60">
      <w:r w:rsidRPr="00537C4F">
        <w:t xml:space="preserve">Kim, HJ, Ha, MJ, Cho, JH, Kim, BS, Kim, MK, Kim, SH, Kim, HS, Kim, JS, Lim, YA, Lee, YJ, Yoo, HW &amp; Park, CH 1999, 'Clinical accessment of therapeutic response to enzyme replacement therapy in 16 Korean Gaucher pts', </w:t>
      </w:r>
      <w:r w:rsidRPr="00537C4F">
        <w:rPr>
          <w:i/>
          <w:iCs/>
        </w:rPr>
        <w:t>American Journal of Human Genetics</w:t>
      </w:r>
      <w:r w:rsidRPr="00537C4F">
        <w:t>, vol. 65, no. 4, Oct, pp. A310-A310.</w:t>
      </w:r>
    </w:p>
    <w:p w:rsidR="00092F60" w:rsidRPr="00537C4F" w:rsidRDefault="00092F60" w:rsidP="00092F60">
      <w:r w:rsidRPr="00537C4F">
        <w:t xml:space="preserve">Kleinotiene, G &amp; Tylki-Szymanska, A 2007, 'The analysis of the achievement of therapeutic goals in 45 polish and Lithuanian Gaucher disease patients treated with enzyme replacement therapy', </w:t>
      </w:r>
      <w:r w:rsidRPr="00537C4F">
        <w:rPr>
          <w:i/>
          <w:iCs/>
        </w:rPr>
        <w:t>Clin Ther</w:t>
      </w:r>
      <w:r w:rsidRPr="00537C4F">
        <w:t>, vol. 29, 2007, pp. S117-S118.</w:t>
      </w:r>
    </w:p>
    <w:p w:rsidR="00092F60" w:rsidRPr="00537C4F" w:rsidRDefault="00092F60" w:rsidP="00092F60">
      <w:r w:rsidRPr="00537C4F">
        <w:lastRenderedPageBreak/>
        <w:t xml:space="preserve">Kobayashi, M, Ida, H &amp; </w:t>
      </w:r>
      <w:proofErr w:type="gramStart"/>
      <w:r w:rsidRPr="00537C4F">
        <w:t>Eto</w:t>
      </w:r>
      <w:proofErr w:type="gramEnd"/>
      <w:r w:rsidRPr="00537C4F">
        <w:t xml:space="preserve">, Y 2000, 'Maintenance dosage efficacy of enzyme replacement therapy in 13 Japanese pediatric patients with Gaucher disease', </w:t>
      </w:r>
      <w:r w:rsidRPr="00537C4F">
        <w:rPr>
          <w:i/>
          <w:iCs/>
        </w:rPr>
        <w:t>J Inherit Metab Dis</w:t>
      </w:r>
      <w:r w:rsidRPr="00537C4F">
        <w:t>, vol. 23, no. Supplement 1, July, pp. 227-227.</w:t>
      </w:r>
    </w:p>
    <w:p w:rsidR="00092F60" w:rsidRPr="00537C4F" w:rsidRDefault="00092F60" w:rsidP="00092F60">
      <w:r w:rsidRPr="00537C4F">
        <w:t xml:space="preserve">Lerner, D, Simpson, W, Hermann, G &amp; Balwani, M 2010, 'Bone Marrow Alteration in Patients With Type 1 Gaucher Disease on Enzyme Replacement Therapy', </w:t>
      </w:r>
      <w:r w:rsidRPr="00537C4F">
        <w:rPr>
          <w:i/>
          <w:iCs/>
        </w:rPr>
        <w:t>American Journal of Roentgenology</w:t>
      </w:r>
      <w:r w:rsidRPr="00537C4F">
        <w:t>, vol. 194, no. 5, May.</w:t>
      </w:r>
    </w:p>
    <w:p w:rsidR="00092F60" w:rsidRDefault="00092F60" w:rsidP="00092F60">
      <w:r w:rsidRPr="00537C4F">
        <w:t xml:space="preserve">Lukina, E 2009, 'Latest data on Genz-112638, an investigational oral therapy for type 1 Gaucher disease: Phase II clinical trial results after 1 year of treatment', </w:t>
      </w:r>
      <w:r w:rsidRPr="00537C4F">
        <w:rPr>
          <w:i/>
          <w:iCs/>
        </w:rPr>
        <w:t>Clin Ther</w:t>
      </w:r>
      <w:r w:rsidRPr="00537C4F">
        <w:t xml:space="preserve">, vol. 31, no. </w:t>
      </w:r>
      <w:proofErr w:type="gramStart"/>
      <w:r w:rsidRPr="00537C4F">
        <w:t>SUPPL. 3, pp. S194-S195.</w:t>
      </w:r>
      <w:proofErr w:type="gramEnd"/>
    </w:p>
    <w:p w:rsidR="00092F60" w:rsidRPr="00537C4F" w:rsidRDefault="00092F60" w:rsidP="00092F60">
      <w:r w:rsidRPr="00AC312E">
        <w:t xml:space="preserve">McDowell, R, Li, JS, Benjamin, DK, Jr., Morgan, C, Becker, A, Kishnani, PS &amp; Kanter, RJ 2008, 'Arrhythmias in patients receiving enzyme replacement therapy for infantile Pompe disease', </w:t>
      </w:r>
      <w:r w:rsidRPr="00AC312E">
        <w:rPr>
          <w:i/>
          <w:iCs/>
        </w:rPr>
        <w:t>Genet Med</w:t>
      </w:r>
      <w:r w:rsidRPr="00AC312E">
        <w:t>, vol. 10, no. 10, Oct, pp. 758-762.</w:t>
      </w:r>
    </w:p>
    <w:p w:rsidR="00092F60" w:rsidRPr="00537C4F" w:rsidRDefault="00092F60" w:rsidP="00092F60">
      <w:r w:rsidRPr="00537C4F">
        <w:t xml:space="preserve">MacKenzie, JJ, Amato, D &amp; Clarke, JTR 1998, 'Enzyme replacement therapy for </w:t>
      </w:r>
      <w:r w:rsidR="00E51493">
        <w:t>Gaucher disease</w:t>
      </w:r>
      <w:r w:rsidRPr="00537C4F">
        <w:t xml:space="preserve">: The early Canadian experience', </w:t>
      </w:r>
      <w:r w:rsidRPr="00537C4F">
        <w:rPr>
          <w:i/>
          <w:iCs/>
        </w:rPr>
        <w:t>Canadian Medical Association Journal</w:t>
      </w:r>
      <w:r w:rsidRPr="00537C4F">
        <w:t>, vol. 159, no. 10, pp. 1273-1278.</w:t>
      </w:r>
    </w:p>
    <w:p w:rsidR="00092F60" w:rsidRPr="00537C4F" w:rsidRDefault="00092F60" w:rsidP="00092F60">
      <w:r w:rsidRPr="00537C4F">
        <w:t xml:space="preserve">Magnaldi, S, Longo, R, Ukmar, M, Zanatta, M, Bottega, M &amp; Sottocasa, GL 1997, 'Bone marrow relaxation times in Gaucher disease before and after enzyme replacement therapy', </w:t>
      </w:r>
      <w:r w:rsidRPr="00537C4F">
        <w:rPr>
          <w:i/>
          <w:iCs/>
        </w:rPr>
        <w:t>European Radiology</w:t>
      </w:r>
      <w:r w:rsidRPr="00537C4F">
        <w:t>, vol. 7, no. 4, pp. 486-491.</w:t>
      </w:r>
    </w:p>
    <w:p w:rsidR="00092F60" w:rsidRPr="00537C4F" w:rsidRDefault="00092F60" w:rsidP="00092F60">
      <w:r w:rsidRPr="00537C4F">
        <w:t xml:space="preserve">Malhotra, A, Boxer, M &amp; Mistry, PK 2004, 'Hepatic response to enzyme replacement therapy (ERT) with mannose-terminated glucocerebrosidase in type 1 Gaucher disease', </w:t>
      </w:r>
      <w:r w:rsidRPr="00537C4F">
        <w:rPr>
          <w:i/>
          <w:iCs/>
        </w:rPr>
        <w:t>Hepatology</w:t>
      </w:r>
      <w:r w:rsidRPr="00537C4F">
        <w:t>, vol. 40, no. 4, Oct, pp. 234A-234A.</w:t>
      </w:r>
    </w:p>
    <w:p w:rsidR="00092F60" w:rsidRPr="00537C4F" w:rsidRDefault="00092F60" w:rsidP="00092F60">
      <w:r w:rsidRPr="00537C4F">
        <w:t xml:space="preserve">Masek, BJ, Sims, KB, Bove, CM, Korson, MS, Short, P &amp; Norman, DK 1999, 'Quality of life assessment in adults with type 1 Gaucher disease', </w:t>
      </w:r>
      <w:r w:rsidRPr="00537C4F">
        <w:rPr>
          <w:i/>
          <w:iCs/>
        </w:rPr>
        <w:t>Quality of Life Research</w:t>
      </w:r>
      <w:r w:rsidRPr="00537C4F">
        <w:t>, vol. 8, no. 3, pp. 263-268, &lt;http://onlinelibrary.wiley.com/o/cochrane/clcentral/articles/075/CN-00167075/frame.html&gt;.</w:t>
      </w:r>
    </w:p>
    <w:p w:rsidR="00092F60" w:rsidRPr="00537C4F" w:rsidRDefault="00092F60" w:rsidP="00092F60">
      <w:r w:rsidRPr="00537C4F">
        <w:t xml:space="preserve">Mensah, R &amp; Elstein, D 2005, 'Phase I/II, nine month study results of enzyme replacement therapy with gene activated human glucocerebrosidase (GA-GCB) in patients with type I Gaucher disease', </w:t>
      </w:r>
      <w:r w:rsidRPr="00537C4F">
        <w:rPr>
          <w:i/>
          <w:iCs/>
        </w:rPr>
        <w:t>Blood</w:t>
      </w:r>
      <w:r w:rsidRPr="00537C4F">
        <w:t>, vol. 106, no. 11, Nov 16, pp. 51B-51B.</w:t>
      </w:r>
    </w:p>
    <w:p w:rsidR="00092F60" w:rsidRPr="00537C4F" w:rsidRDefault="00092F60" w:rsidP="00092F60">
      <w:r w:rsidRPr="00537C4F">
        <w:t xml:space="preserve">Moennighoff, I, vom Dahl, S &amp; Haeussinger, D 1999, 'Restoration of plasma taurine levels in patients with Gaucher disease during enzyme replacement therapy (ERT)', </w:t>
      </w:r>
      <w:r w:rsidRPr="00537C4F">
        <w:rPr>
          <w:i/>
          <w:iCs/>
        </w:rPr>
        <w:t>Amino Acids (Vienna)</w:t>
      </w:r>
      <w:r w:rsidRPr="00537C4F">
        <w:t>, vol. 17, no. 1, 1999, pp. 31-31.</w:t>
      </w:r>
    </w:p>
    <w:p w:rsidR="00092F60" w:rsidRPr="00537C4F" w:rsidRDefault="00092F60" w:rsidP="00092F60">
      <w:proofErr w:type="gramStart"/>
      <w:r w:rsidRPr="00537C4F">
        <w:t xml:space="preserve">Molzer, B, Bernheimer, H &amp; Voigtlaender, T 2001, 'Diagnosis and follow-up of Austrian patients with Gaucher disease during enzyme replacement therapy', </w:t>
      </w:r>
      <w:r w:rsidRPr="00537C4F">
        <w:rPr>
          <w:i/>
          <w:iCs/>
        </w:rPr>
        <w:t>J Inherit Metab Dis</w:t>
      </w:r>
      <w:r w:rsidRPr="00537C4F">
        <w:t>, vol. 24, no.</w:t>
      </w:r>
      <w:proofErr w:type="gramEnd"/>
      <w:r w:rsidRPr="00537C4F">
        <w:t xml:space="preserve"> Supplement 2, 2001, pp. 162-162.</w:t>
      </w:r>
    </w:p>
    <w:p w:rsidR="00092F60" w:rsidRPr="00537C4F" w:rsidRDefault="00092F60" w:rsidP="00092F60">
      <w:proofErr w:type="gramStart"/>
      <w:r w:rsidRPr="00537C4F">
        <w:t xml:space="preserve">Moyses, C 2001, 'Substrate reduction therapy in type 1 Gaucher disease with OGT918', </w:t>
      </w:r>
      <w:r w:rsidRPr="00537C4F">
        <w:rPr>
          <w:i/>
          <w:iCs/>
        </w:rPr>
        <w:t>European Journal of Human Genetics</w:t>
      </w:r>
      <w:r w:rsidRPr="00537C4F">
        <w:t>, vol. 9, no.</w:t>
      </w:r>
      <w:proofErr w:type="gramEnd"/>
      <w:r w:rsidRPr="00537C4F">
        <w:t xml:space="preserve"> </w:t>
      </w:r>
      <w:proofErr w:type="gramStart"/>
      <w:r w:rsidRPr="00537C4F">
        <w:t>Supplement 1, 2001, pp. C075-C075.</w:t>
      </w:r>
      <w:proofErr w:type="gramEnd"/>
    </w:p>
    <w:p w:rsidR="00092F60" w:rsidRPr="00537C4F" w:rsidRDefault="00092F60" w:rsidP="00092F60">
      <w:r w:rsidRPr="00537C4F">
        <w:lastRenderedPageBreak/>
        <w:t xml:space="preserve">Nicol, A, Mengel, E, Mani, L, Huth, M &amp; Beck, M 2006, 'Effects of enzyme replacement therapy and age at onset of therapy on bone involvement', </w:t>
      </w:r>
      <w:r w:rsidRPr="00537C4F">
        <w:rPr>
          <w:i/>
          <w:iCs/>
        </w:rPr>
        <w:t>Acta Paediatrica</w:t>
      </w:r>
      <w:r w:rsidRPr="00537C4F">
        <w:t>, vol. 95, Apr, pp. 139-139.</w:t>
      </w:r>
    </w:p>
    <w:p w:rsidR="00092F60" w:rsidRPr="00537C4F" w:rsidRDefault="00092F60" w:rsidP="00092F60">
      <w:r w:rsidRPr="00537C4F">
        <w:t xml:space="preserve">Niederau, C, Holderer, A, Heintges, T &amp; Strohmeyer, G 1994, 'GLUCOCEREBROSIDASE FOR TREATMENT OF GAUCHERS-DISEASE - FIRST GERMAN LONG-TERM RESULTS', </w:t>
      </w:r>
      <w:r w:rsidRPr="00537C4F">
        <w:rPr>
          <w:i/>
          <w:iCs/>
        </w:rPr>
        <w:t>Journal of Hepatology</w:t>
      </w:r>
      <w:r w:rsidRPr="00537C4F">
        <w:t>, vol. 21, no. 4, Oct, pp. 610-617.</w:t>
      </w:r>
    </w:p>
    <w:p w:rsidR="00092F60" w:rsidRPr="00537C4F" w:rsidRDefault="00092F60" w:rsidP="00092F60">
      <w:r w:rsidRPr="00537C4F">
        <w:t xml:space="preserve">Oliveri, B, Goldstein, G, Rivero, M, Parisi, MS, Aguilar, G &amp; Mautalen, C 2003, 'Marked osteopenia and increased bone resorption in Gaucher disease patients in spite of enzyme replacement therapy', </w:t>
      </w:r>
      <w:r w:rsidRPr="00537C4F">
        <w:rPr>
          <w:i/>
          <w:iCs/>
        </w:rPr>
        <w:t>Journal of Bone and Mineral Research</w:t>
      </w:r>
      <w:r w:rsidRPr="00537C4F">
        <w:t>, vol. 18, Sep, pp. S388-S388.</w:t>
      </w:r>
    </w:p>
    <w:p w:rsidR="00092F60" w:rsidRPr="00537C4F" w:rsidRDefault="00092F60" w:rsidP="00092F60">
      <w:proofErr w:type="gramStart"/>
      <w:r w:rsidRPr="00537C4F">
        <w:t xml:space="preserve">Parco, S, Bruno, G, Durighello, M, Giorgini, R, Simeone, R &amp; Bembi, B 1999, 'Hematologic response in type I </w:t>
      </w:r>
      <w:r w:rsidR="00E51493">
        <w:t>Gaucher disease</w:t>
      </w:r>
      <w:r w:rsidRPr="00537C4F">
        <w:t xml:space="preserve"> after enzyme replacement therapy', </w:t>
      </w:r>
      <w:r w:rsidRPr="00537C4F">
        <w:rPr>
          <w:i/>
          <w:iCs/>
        </w:rPr>
        <w:t>Haematologica</w:t>
      </w:r>
      <w:r w:rsidRPr="00537C4F">
        <w:t>, vol. 84, no. 4, Apr, pp. 376-377.</w:t>
      </w:r>
      <w:proofErr w:type="gramEnd"/>
    </w:p>
    <w:p w:rsidR="00092F60" w:rsidRPr="00537C4F" w:rsidRDefault="00092F60" w:rsidP="00092F60">
      <w:proofErr w:type="gramStart"/>
      <w:r w:rsidRPr="00537C4F">
        <w:t xml:space="preserve">Park, JH, Moore, AF &amp; Kuter, DJ 2006, 'Long-term follow-up of monoclonal gammopathies in Gaucher disease patients on enzyme replacement therapy', </w:t>
      </w:r>
      <w:r w:rsidRPr="00537C4F">
        <w:rPr>
          <w:i/>
          <w:iCs/>
        </w:rPr>
        <w:t>Blood</w:t>
      </w:r>
      <w:r w:rsidRPr="00537C4F">
        <w:t>, vol. 108, no. 11, Nov 16, pp. 952A-952A.</w:t>
      </w:r>
      <w:proofErr w:type="gramEnd"/>
    </w:p>
    <w:p w:rsidR="00092F60" w:rsidRPr="00537C4F" w:rsidRDefault="00092F60" w:rsidP="00092F60">
      <w:r w:rsidRPr="00537C4F">
        <w:t xml:space="preserve">Pastores, GM, Sibille, AR &amp; Grabowski, GA 1993, 'ENZYME THERAPY IN GAUCHER DISEASE TYPE-1 - DOSAGE EFFICACY AND ADVERSE-EFFECTS IN 33 PATIENTS TREATED FOR 6 TO 24 MONTHS', </w:t>
      </w:r>
      <w:r w:rsidRPr="00537C4F">
        <w:rPr>
          <w:i/>
          <w:iCs/>
        </w:rPr>
        <w:t>Blood</w:t>
      </w:r>
      <w:r w:rsidRPr="00537C4F">
        <w:t>, vol. 82, no. 2, Jul 15, pp. 408-416.</w:t>
      </w:r>
    </w:p>
    <w:p w:rsidR="00092F60" w:rsidRDefault="00092F60" w:rsidP="00092F60">
      <w:r w:rsidRPr="00537C4F">
        <w:t xml:space="preserve">Patlas, M, Hadas-Halpern, I, Abrahamov, A, Zimran, A &amp; Elstein, D 2002, 'Repeat abdominal ultrasound evaluation of 100 patients with type I Gaucher disease treated with enzyme replacement therapy for up to 7 years', </w:t>
      </w:r>
      <w:r w:rsidRPr="00537C4F">
        <w:rPr>
          <w:i/>
          <w:iCs/>
        </w:rPr>
        <w:t>Hematology Journal</w:t>
      </w:r>
      <w:r w:rsidRPr="00537C4F">
        <w:t>, vol. 3, no. 1, pp. 17-20.</w:t>
      </w:r>
    </w:p>
    <w:p w:rsidR="00092F60" w:rsidRPr="00537C4F" w:rsidRDefault="00092F60" w:rsidP="00092F60">
      <w:r w:rsidRPr="00AC312E">
        <w:t xml:space="preserve">Prater, SN, Banugaria, SG, DeArmey, SM, Botha, EG, Stege, EM, Case, LE, Jones, HN, Phornphutkul, C, Wang, RY, Young, SP &amp; Kishnani, PS 2012, 'The emerging phenotype of long-term survivors with infantile Pompe disease', </w:t>
      </w:r>
      <w:r w:rsidRPr="00AC312E">
        <w:rPr>
          <w:i/>
          <w:iCs/>
        </w:rPr>
        <w:t>Genet Med</w:t>
      </w:r>
      <w:r w:rsidRPr="00AC312E">
        <w:t>, vol. 14, no. 9, Sep, pp. 800-810.</w:t>
      </w:r>
    </w:p>
    <w:p w:rsidR="00092F60" w:rsidRPr="00537C4F" w:rsidRDefault="00092F60" w:rsidP="00092F60">
      <w:r w:rsidRPr="00537C4F">
        <w:t xml:space="preserve">Rodrigues, F, Martins, F, Freitas, F, Diogo, L &amp; Garcia, P 2011, 'Impact of lysosomal storage disorders on daily living of patients and their families and perceptions on enzyme replacement therapy', </w:t>
      </w:r>
      <w:r w:rsidRPr="00537C4F">
        <w:rPr>
          <w:i/>
          <w:iCs/>
        </w:rPr>
        <w:t>J Inherit Metab Dis</w:t>
      </w:r>
      <w:r w:rsidRPr="00537C4F">
        <w:t>, vol. 34, p. S215.</w:t>
      </w:r>
    </w:p>
    <w:p w:rsidR="00092F60" w:rsidRPr="00537C4F" w:rsidRDefault="00092F60" w:rsidP="00092F60">
      <w:r w:rsidRPr="00537C4F">
        <w:t xml:space="preserve">Rodrigues, F, Vaz, C, Almeida, M, Martins, F, Diogo, L &amp; Garcia, P 2008, 'Psychological follow-up of children on enzyme replacement therapy for lisosomal storage disorders and their parents', </w:t>
      </w:r>
      <w:r w:rsidRPr="00537C4F">
        <w:rPr>
          <w:i/>
          <w:iCs/>
        </w:rPr>
        <w:t>J Inherit Metab Dis</w:t>
      </w:r>
      <w:r w:rsidRPr="00537C4F">
        <w:t>, vol. 31, Aug, pp. 110-110.</w:t>
      </w:r>
    </w:p>
    <w:p w:rsidR="00092F60" w:rsidRPr="00537C4F" w:rsidRDefault="00092F60" w:rsidP="00092F60">
      <w:r w:rsidRPr="00537C4F">
        <w:t xml:space="preserve">Rosenbaum, H, Brenner, B, Besser, M &amp; Rowe, JM 1998, 'Type I Gaucher disease: Clinical features in 80 patients and enzyme replacement therapy results in 18 patients', </w:t>
      </w:r>
      <w:r w:rsidRPr="00537C4F">
        <w:rPr>
          <w:i/>
          <w:iCs/>
        </w:rPr>
        <w:t>Blood</w:t>
      </w:r>
      <w:r w:rsidRPr="00537C4F">
        <w:t>, vol. 92, no. 10, Nov 15, pp. 537A-537A.</w:t>
      </w:r>
    </w:p>
    <w:p w:rsidR="00092F60" w:rsidRPr="00537C4F" w:rsidRDefault="00092F60" w:rsidP="00092F60">
      <w:r w:rsidRPr="00537C4F">
        <w:t xml:space="preserve">Rosengarten, D, Abrahamov, A, Nir, A, Farber, B, Glaser, J, Zimran, A &amp; Elstein, D 2007, 'Outcome of ten years' echocardiographic follow-up in children with Gaucher disease', </w:t>
      </w:r>
      <w:r w:rsidRPr="00537C4F">
        <w:rPr>
          <w:i/>
          <w:iCs/>
        </w:rPr>
        <w:t>Eur J Pediatr</w:t>
      </w:r>
      <w:r w:rsidRPr="00537C4F">
        <w:t>, vol. 166, no. 6, pp. 549-551.</w:t>
      </w:r>
    </w:p>
    <w:p w:rsidR="00092F60" w:rsidRPr="00537C4F" w:rsidRDefault="00092F60" w:rsidP="00092F60">
      <w:r w:rsidRPr="00537C4F">
        <w:lastRenderedPageBreak/>
        <w:t xml:space="preserve">Rosenthal, DI, Doppelt, SH, Mankin, HJ, Dambrosia, JM, Xavier, RJ, McKusick, KA, Rosen, BR, Baker, J, Niklason, LT, Hill, SC &amp; et al. 1995, 'Enzyme replacement therapy for Gaucher disease: skeletal responses to macrophage-targeted glucocerebrosidase', </w:t>
      </w:r>
      <w:r w:rsidRPr="00537C4F">
        <w:rPr>
          <w:i/>
          <w:iCs/>
        </w:rPr>
        <w:t>Pediatrics</w:t>
      </w:r>
      <w:r w:rsidRPr="00537C4F">
        <w:t>, vol. 96, no. 4 Pt 1, Oct, pp. 629-637.</w:t>
      </w:r>
    </w:p>
    <w:p w:rsidR="00092F60" w:rsidRPr="00537C4F" w:rsidRDefault="00092F60" w:rsidP="00092F60">
      <w:proofErr w:type="gramStart"/>
      <w:r w:rsidRPr="00537C4F">
        <w:t xml:space="preserve">Rubio-Felix, D, Giraldo, P, Perez-Calvo, JI &amp; Giralt, M 1999, 'Type-1 </w:t>
      </w:r>
      <w:r w:rsidR="00E51493">
        <w:t>Gaucher disease</w:t>
      </w:r>
      <w:r w:rsidRPr="00537C4F">
        <w:t>.</w:t>
      </w:r>
      <w:proofErr w:type="gramEnd"/>
      <w:r w:rsidRPr="00537C4F">
        <w:t xml:space="preserve"> </w:t>
      </w:r>
      <w:proofErr w:type="gramStart"/>
      <w:r w:rsidRPr="00537C4F">
        <w:t xml:space="preserve">Enzymatic replacement therapy and assessment of quality of life', </w:t>
      </w:r>
      <w:r w:rsidRPr="00537C4F">
        <w:rPr>
          <w:i/>
          <w:iCs/>
        </w:rPr>
        <w:t>Blood</w:t>
      </w:r>
      <w:r w:rsidRPr="00537C4F">
        <w:t>, vol. 94, no. 10, Nov 15, pp. 184A-185A.</w:t>
      </w:r>
      <w:proofErr w:type="gramEnd"/>
    </w:p>
    <w:p w:rsidR="00092F60" w:rsidRPr="00537C4F" w:rsidRDefault="00092F60" w:rsidP="00092F60">
      <w:r w:rsidRPr="00537C4F">
        <w:t xml:space="preserve">Sido, PG, Drugan, C, Cret, V, Al-Kzouz, C, Denes, C, Zimmermann, A &amp; Coldea, C 2007, 'Enzyme replacement therapy in romanian patients with type 1 Gaucher disease', </w:t>
      </w:r>
      <w:r w:rsidRPr="00537C4F">
        <w:rPr>
          <w:i/>
          <w:iCs/>
        </w:rPr>
        <w:t>Clin Ther</w:t>
      </w:r>
      <w:r w:rsidRPr="00537C4F">
        <w:t>, vol. 29, 2007, pp. S118-S118.</w:t>
      </w:r>
    </w:p>
    <w:p w:rsidR="00092F60" w:rsidRPr="00537C4F" w:rsidRDefault="00092F60" w:rsidP="00092F60">
      <w:r w:rsidRPr="00537C4F">
        <w:t xml:space="preserve">Sidransky, E, Ginns, EI, Westman, JA &amp; Ehmann, WC 1994, 'Pathologic fractures may develop in </w:t>
      </w:r>
      <w:proofErr w:type="gramStart"/>
      <w:r w:rsidRPr="00537C4F">
        <w:t>Gaucher</w:t>
      </w:r>
      <w:proofErr w:type="gramEnd"/>
      <w:r w:rsidRPr="00537C4F">
        <w:t xml:space="preserve"> patients receiving enzyme replacement therapy [5]', </w:t>
      </w:r>
      <w:r w:rsidRPr="00537C4F">
        <w:rPr>
          <w:i/>
          <w:iCs/>
        </w:rPr>
        <w:t>Am J Hematol</w:t>
      </w:r>
      <w:r w:rsidRPr="00537C4F">
        <w:t>, vol. 47, no. 3, pp. 247-249.</w:t>
      </w:r>
    </w:p>
    <w:p w:rsidR="00092F60" w:rsidRPr="00537C4F" w:rsidRDefault="00092F60" w:rsidP="00092F60">
      <w:r w:rsidRPr="00537C4F">
        <w:t xml:space="preserve">Simpson Jr, WL, Hermann, G &amp; Balwani, M 2012, 'Bone marrow alteration in patients with type 1 gaucher disease on enzyme replacement therapy', </w:t>
      </w:r>
      <w:r w:rsidRPr="00537C4F">
        <w:rPr>
          <w:i/>
          <w:iCs/>
        </w:rPr>
        <w:t>Molecular Syndromology</w:t>
      </w:r>
      <w:r w:rsidRPr="00537C4F">
        <w:t>, vol. 2, no. 6, p. 272.</w:t>
      </w:r>
    </w:p>
    <w:p w:rsidR="00092F60" w:rsidRPr="00537C4F" w:rsidRDefault="00092F60" w:rsidP="00092F60">
      <w:proofErr w:type="gramStart"/>
      <w:r w:rsidRPr="00537C4F">
        <w:t xml:space="preserve">Spada, M, Chiappa, E &amp; Ponzone, A 1998, 'Cardiac response to enzyme-replacement therapy in </w:t>
      </w:r>
      <w:r w:rsidR="00E51493">
        <w:t>Gaucher disease</w:t>
      </w:r>
      <w:r w:rsidRPr="00537C4F">
        <w:t xml:space="preserve">', </w:t>
      </w:r>
      <w:r w:rsidRPr="00537C4F">
        <w:rPr>
          <w:i/>
          <w:iCs/>
        </w:rPr>
        <w:t>N Engl J Med</w:t>
      </w:r>
      <w:r w:rsidRPr="00537C4F">
        <w:t>, vol. 339, no. 16, Oct 15, pp. 1165-1166.</w:t>
      </w:r>
      <w:proofErr w:type="gramEnd"/>
    </w:p>
    <w:p w:rsidR="00092F60" w:rsidRPr="00537C4F" w:rsidRDefault="00092F60" w:rsidP="00092F60">
      <w:r w:rsidRPr="00537C4F">
        <w:t xml:space="preserve">Spada, M, Chiappa, E, Sacchetti, S, Ciriotti, G &amp; Ponzone, A 1997, 'Reversible cardiomyopathy with enzyme replacement therapy in </w:t>
      </w:r>
      <w:r w:rsidR="00E51493">
        <w:t>Gaucher disease</w:t>
      </w:r>
      <w:r w:rsidRPr="00537C4F">
        <w:t xml:space="preserve"> type 1', </w:t>
      </w:r>
      <w:r w:rsidRPr="00537C4F">
        <w:rPr>
          <w:i/>
          <w:iCs/>
        </w:rPr>
        <w:t>J Inherit Metab Dis</w:t>
      </w:r>
      <w:r w:rsidRPr="00537C4F">
        <w:t>, vol. 20, no. SUPPL. 1, 1997, pp. 76-76.</w:t>
      </w:r>
    </w:p>
    <w:p w:rsidR="00092F60" w:rsidRPr="00537C4F" w:rsidRDefault="00092F60" w:rsidP="00092F60">
      <w:proofErr w:type="gramStart"/>
      <w:r w:rsidRPr="00537C4F">
        <w:t xml:space="preserve">Starzyk, KA &amp; Kingma, W 2003, 'Long term international safety monitoring of ERT in Gaucher disease', </w:t>
      </w:r>
      <w:r w:rsidRPr="00537C4F">
        <w:rPr>
          <w:i/>
          <w:iCs/>
        </w:rPr>
        <w:t>J Inherit Metab Dis</w:t>
      </w:r>
      <w:r w:rsidRPr="00537C4F">
        <w:t>, vol. 26, no.</w:t>
      </w:r>
      <w:proofErr w:type="gramEnd"/>
      <w:r w:rsidRPr="00537C4F">
        <w:t xml:space="preserve"> Supplement 2, September, pp. 172-172.</w:t>
      </w:r>
    </w:p>
    <w:p w:rsidR="00092F60" w:rsidRPr="00537C4F" w:rsidRDefault="00092F60" w:rsidP="00092F60">
      <w:r w:rsidRPr="00537C4F">
        <w:t xml:space="preserve">Symeonidis, A, Richfield, L, Miligan, A, Bruce, R, Hughes, D &amp; Mehta, A 2007, 'Achievement of the goals of therapy for patients with Gaucher disease on enzyme replacement therapy is higher among earlier-treated patients and is not influenced by disease severity at presentation', </w:t>
      </w:r>
      <w:r w:rsidRPr="00537C4F">
        <w:rPr>
          <w:i/>
          <w:iCs/>
        </w:rPr>
        <w:t>Haematologica-the Hematology Journal</w:t>
      </w:r>
      <w:r w:rsidRPr="00537C4F">
        <w:t>, vol. 92, Jun, pp. 277-277.</w:t>
      </w:r>
    </w:p>
    <w:p w:rsidR="00092F60" w:rsidRPr="00537C4F" w:rsidRDefault="00092F60" w:rsidP="00092F60">
      <w:r w:rsidRPr="00537C4F">
        <w:t xml:space="preserve">Tantawy, AA, Sherif, EM, Adly, AA, Hassanine, S &amp; Awad, AH 2013, 'Evoked potentials and neurocognitive functions in pediatric Egyptian Gaucher patients on enzyme replacement therapy: a single center experience', </w:t>
      </w:r>
      <w:r w:rsidRPr="00537C4F">
        <w:rPr>
          <w:i/>
          <w:iCs/>
        </w:rPr>
        <w:t>J Inherit Metab Dis</w:t>
      </w:r>
      <w:r w:rsidRPr="00537C4F">
        <w:t>, vol. 36, no. 6, Nov, pp. 1025-1037.</w:t>
      </w:r>
    </w:p>
    <w:p w:rsidR="00092F60" w:rsidRDefault="00092F60" w:rsidP="00092F60">
      <w:r w:rsidRPr="00537C4F">
        <w:t xml:space="preserve">Toth, J, Szucs, FZ, Benko, K &amp; Marodi, L 2003, 'Enzyme replacement therapy in Gaucher-disease: Monitoring visceral and bone changes with MRI', (Enzimszubsztitucios terapia Gaucher-korban: </w:t>
      </w:r>
      <w:proofErr w:type="gramStart"/>
      <w:r w:rsidRPr="00537C4F">
        <w:t>Az</w:t>
      </w:r>
      <w:proofErr w:type="gramEnd"/>
      <w:r w:rsidRPr="00537C4F">
        <w:t xml:space="preserve"> MRI-vizsgalat szerepe a visceralis es a csontelvaltozasok monitorozasaban.), </w:t>
      </w:r>
      <w:r w:rsidRPr="00537C4F">
        <w:rPr>
          <w:i/>
          <w:iCs/>
        </w:rPr>
        <w:t>Orv Hetil</w:t>
      </w:r>
      <w:r w:rsidRPr="00537C4F">
        <w:t>, vol. 144, no. 16, Aprilis 20, pp. 749-755.</w:t>
      </w:r>
    </w:p>
    <w:p w:rsidR="00092F60" w:rsidRPr="00537C4F" w:rsidRDefault="00092F60" w:rsidP="00092F60">
      <w:r w:rsidRPr="00AC312E">
        <w:t xml:space="preserve">van Gelder, CM, van Capelle, CI, Ebbink, BJ, Moor-van Nugteren, I, van den Hout, JMP, Hakkesteegt, MM, van Doorn, PA, de Coo, IFM, Reuser, AJJ, de Gier, HHW &amp; van der Ploeg, AT 2012, 'Facial-muscle weakness, speech disorders and dysphagia are common in patients </w:t>
      </w:r>
      <w:r w:rsidRPr="00AC312E">
        <w:lastRenderedPageBreak/>
        <w:t xml:space="preserve">with classic infantile Pompe disease treated with enzyme therapy', </w:t>
      </w:r>
      <w:r w:rsidRPr="00AC312E">
        <w:rPr>
          <w:i/>
          <w:iCs/>
        </w:rPr>
        <w:t>J Inherit Metab Dis</w:t>
      </w:r>
      <w:r w:rsidRPr="00AC312E">
        <w:t>, vol. 35, no. 3, May, pp. 505-511.</w:t>
      </w:r>
    </w:p>
    <w:p w:rsidR="00092F60" w:rsidRPr="00537C4F" w:rsidRDefault="00092F60" w:rsidP="00092F60">
      <w:proofErr w:type="gramStart"/>
      <w:r w:rsidRPr="00537C4F">
        <w:t>vom</w:t>
      </w:r>
      <w:proofErr w:type="gramEnd"/>
      <w:r w:rsidRPr="00537C4F">
        <w:t xml:space="preserve"> Dahl, S, Hollak, C, Zimran, A, Charrow, J, Kacena, K, Mistry, P &amp; Grabowski, G 2007, 'Hepatosplenomegaly and blood parameters in Gaucher disease - Analysis of dose-response relationships in enzyme replacement therapy', </w:t>
      </w:r>
      <w:r w:rsidRPr="00537C4F">
        <w:rPr>
          <w:i/>
          <w:iCs/>
        </w:rPr>
        <w:t>Hepatology</w:t>
      </w:r>
      <w:r w:rsidRPr="00537C4F">
        <w:t>, vol. 46, no. 4, Oct, pp. 883A-883A.</w:t>
      </w:r>
    </w:p>
    <w:p w:rsidR="00092F60" w:rsidRDefault="00092F60" w:rsidP="00092F60">
      <w:r w:rsidRPr="00537C4F">
        <w:t xml:space="preserve">vom Dahl, S, Niederau, C &amp; Haussinger, D 1998, 'Loss of vision in </w:t>
      </w:r>
      <w:r w:rsidR="00E51493">
        <w:t>Gaucher disease</w:t>
      </w:r>
      <w:r w:rsidRPr="00537C4F">
        <w:t xml:space="preserve"> and its reversal by enzyme-replacement therapy', </w:t>
      </w:r>
      <w:r w:rsidRPr="00537C4F">
        <w:rPr>
          <w:i/>
          <w:iCs/>
        </w:rPr>
        <w:t>N Engl J Med</w:t>
      </w:r>
      <w:r w:rsidRPr="00537C4F">
        <w:t>, vol. 338, no. 20, May 14, pp. 1471-1472.</w:t>
      </w:r>
    </w:p>
    <w:p w:rsidR="00092F60" w:rsidRPr="00537C4F" w:rsidRDefault="00092F60" w:rsidP="00092F60">
      <w:r w:rsidRPr="00537C4F">
        <w:t xml:space="preserve">Weinreb, N, Andersson, H, Charrow, J, Kaplan, P, Kolodny, E, Mistry, P, Pastores, G, Rosenbloom, B, Scott, CR, Wappner, R &amp; Zimran, A 1999, 'The gaucher registry: Clinical response after 60 mos of enzyme replacement therapy (ERT)', </w:t>
      </w:r>
      <w:r w:rsidRPr="00537C4F">
        <w:rPr>
          <w:i/>
          <w:iCs/>
        </w:rPr>
        <w:t>Blood</w:t>
      </w:r>
      <w:r w:rsidRPr="00537C4F">
        <w:t>, vol. 94, no. 10, Nov 15, pp. 210A-210A.</w:t>
      </w:r>
    </w:p>
    <w:p w:rsidR="00092F60" w:rsidRPr="00537C4F" w:rsidRDefault="00092F60" w:rsidP="00092F60">
      <w:r w:rsidRPr="00537C4F">
        <w:t xml:space="preserve">Weinreb, NJ, Andersson, H, Charrow, J, Kaplan, P &amp; Kolodny, EH 2000, 'The Gaucher registry: Demographics and disease characteristics and response to enzyme replacement therapy (ERT) for 78 pediatric patients (PTS)', </w:t>
      </w:r>
      <w:r w:rsidRPr="00537C4F">
        <w:rPr>
          <w:i/>
          <w:iCs/>
        </w:rPr>
        <w:t>Blood</w:t>
      </w:r>
      <w:r w:rsidRPr="00537C4F">
        <w:t>, vol. 96, no. 11 PART I.</w:t>
      </w:r>
    </w:p>
    <w:p w:rsidR="00092F60" w:rsidRPr="00537C4F" w:rsidRDefault="00092F60" w:rsidP="00092F60">
      <w:r w:rsidRPr="00537C4F">
        <w:t xml:space="preserve">Weinreb, NJ, Andersson, HC, Charrow, J, Kaplan, P, Kolodny, EH, Mistry, P, Pastores, G, Rosenbloom, BE, Scott, CR &amp; Wappner, RS 2001, 'Clinical factors influencing the achievement of a complete response (CR) after 24 months of enzyme replacement therapy (ERT) in patients with Gaucher disease (GD): The Gaucher Registry', </w:t>
      </w:r>
      <w:r w:rsidRPr="00537C4F">
        <w:rPr>
          <w:i/>
          <w:iCs/>
        </w:rPr>
        <w:t>Blood</w:t>
      </w:r>
      <w:r w:rsidRPr="00537C4F">
        <w:t>, vol. 98, no. 11, Nov 16, pp. 20A-20A.</w:t>
      </w:r>
    </w:p>
    <w:p w:rsidR="00092F60" w:rsidRPr="00537C4F" w:rsidRDefault="00092F60" w:rsidP="00092F60">
      <w:r w:rsidRPr="00537C4F">
        <w:t xml:space="preserve">Wenstrup, R, Kacena, K, Kaplan, P, Pastores, G, Prakash-Cheng, A, Zimran, A &amp; Hangartner, T 2005, 'Effect of enzyme replacement therapy on bone mineral density in type 1 Gaucher disease', </w:t>
      </w:r>
      <w:r w:rsidRPr="00537C4F">
        <w:rPr>
          <w:i/>
          <w:iCs/>
        </w:rPr>
        <w:t>Blood</w:t>
      </w:r>
      <w:r w:rsidRPr="00537C4F">
        <w:t>, vol. 106, no. 11, Nov 16, pp. 54B-54B.</w:t>
      </w:r>
    </w:p>
    <w:p w:rsidR="00092F60" w:rsidRPr="00537C4F" w:rsidRDefault="00092F60" w:rsidP="00092F60">
      <w:r w:rsidRPr="00537C4F">
        <w:t xml:space="preserve">Zahran, AM, Elsayh, KI, El-Deek, SE &amp; El-Baz, MA 2013, 'Oxidative Stress, Trace Elements, and Circulating Microparticles in Patients With Gaucher Disease Before and After Enzyme Replacement Therapy', </w:t>
      </w:r>
      <w:r w:rsidRPr="00537C4F">
        <w:rPr>
          <w:i/>
          <w:iCs/>
        </w:rPr>
        <w:t>Clin Appl Thromb Hemost</w:t>
      </w:r>
      <w:r w:rsidRPr="00537C4F">
        <w:t>, May 22.</w:t>
      </w:r>
    </w:p>
    <w:p w:rsidR="00092F60" w:rsidRPr="00537C4F" w:rsidRDefault="00092F60" w:rsidP="00092F60">
      <w:proofErr w:type="gramStart"/>
      <w:r w:rsidRPr="00537C4F">
        <w:t xml:space="preserve">Zaman, T &amp; Roya, M 2006, 'Gaucher disease and enzyme replacement therapy, Iranian experience', </w:t>
      </w:r>
      <w:r w:rsidRPr="00537C4F">
        <w:rPr>
          <w:i/>
          <w:iCs/>
        </w:rPr>
        <w:t>J Inherit Metab Dis</w:t>
      </w:r>
      <w:r w:rsidRPr="00537C4F">
        <w:t>, vol. 29, Aug, pp. 46-46.</w:t>
      </w:r>
      <w:proofErr w:type="gramEnd"/>
    </w:p>
    <w:p w:rsidR="00092F60" w:rsidRPr="00537C4F" w:rsidRDefault="00092F60" w:rsidP="00092F60">
      <w:r w:rsidRPr="00537C4F">
        <w:t xml:space="preserve">Zevin, S, Abrahamov, A, Hadashalpern, I, Kannai, R, Levylahad, E, Horowitz, M &amp; Zimran, A 1993, 'ADULT-TYPE GAUCHER DISEASE IN CHILDREN - GENETICS, CLINICAL-FEATURES AND ENZYME REPLACEMENT THERAPY', </w:t>
      </w:r>
      <w:r w:rsidRPr="00537C4F">
        <w:rPr>
          <w:i/>
          <w:iCs/>
        </w:rPr>
        <w:t>Quarterly Journal of Medicine</w:t>
      </w:r>
      <w:r w:rsidRPr="00537C4F">
        <w:t>, vol. 86, no. 9, Sep, pp. 565-573.</w:t>
      </w:r>
    </w:p>
    <w:p w:rsidR="00092F60" w:rsidRPr="00537C4F" w:rsidRDefault="00092F60" w:rsidP="00092F60">
      <w:proofErr w:type="gramStart"/>
      <w:r w:rsidRPr="00537C4F">
        <w:t xml:space="preserve">Zimran, A, Elstein, D &amp; Abrahamov, A 1995, 'Enzyme replacement therapy in type 1 and type 3 </w:t>
      </w:r>
      <w:r w:rsidR="00E51493">
        <w:t>Gaucher disease</w:t>
      </w:r>
      <w:r w:rsidRPr="00537C4F">
        <w:t xml:space="preserve">', </w:t>
      </w:r>
      <w:r w:rsidRPr="00537C4F">
        <w:rPr>
          <w:i/>
          <w:iCs/>
        </w:rPr>
        <w:t>Lancet</w:t>
      </w:r>
      <w:r w:rsidRPr="00537C4F">
        <w:t>, vol. 345, no. 8947, Feb 18, pp. 451-452.</w:t>
      </w:r>
      <w:proofErr w:type="gramEnd"/>
    </w:p>
    <w:p w:rsidR="00092F60" w:rsidRPr="00537C4F" w:rsidRDefault="00092F60" w:rsidP="00092F60">
      <w:r w:rsidRPr="00537C4F">
        <w:lastRenderedPageBreak/>
        <w:t xml:space="preserve">Zimran, A, Elstein, D, Loveday, K, Aliski, W &amp; Fratazzi, C 2006, 'Phase I/II study of glucocerebrosidase replacement therapy in patients with type I Gaucher disease', </w:t>
      </w:r>
      <w:r w:rsidRPr="00537C4F">
        <w:rPr>
          <w:i/>
          <w:iCs/>
        </w:rPr>
        <w:t>Acta Paediatrica</w:t>
      </w:r>
      <w:r w:rsidRPr="00537C4F">
        <w:t>, vol. 95, Apr, pp. 143-143.</w:t>
      </w:r>
    </w:p>
    <w:p w:rsidR="00092F60" w:rsidRPr="00537C4F" w:rsidRDefault="00092F60" w:rsidP="00092F60">
      <w:r w:rsidRPr="00537C4F">
        <w:t xml:space="preserve">Zimran, A, Fratazzi, C, Altarescu, G, Mensah, R &amp; Elstein, D 2007, 'Phase I/II, 9-month study results of enzyme replacement therapy with Gene-Activated (R) human glucocerebrosidase in patients with type 1 Gaucher disease', </w:t>
      </w:r>
      <w:r w:rsidRPr="00537C4F">
        <w:rPr>
          <w:i/>
          <w:iCs/>
        </w:rPr>
        <w:t>Acta Paediatrica</w:t>
      </w:r>
      <w:r w:rsidRPr="00537C4F">
        <w:t>, vol. 96, Apr, pp. 106-106.</w:t>
      </w:r>
    </w:p>
    <w:p w:rsidR="00092F60" w:rsidRPr="00537C4F" w:rsidRDefault="00092F60" w:rsidP="00092F60">
      <w:r w:rsidRPr="00537C4F">
        <w:t xml:space="preserve">Zimran, A, Loveday, K, Fratazzi, C &amp; Elstein, D 2007, 'A pharmacokinetic analysis of a novel enzyme replacement therapy with Gene-Activated (R) human glucocerebrosidase (GA-GCB) in patients with type 1 Gaucher disease', </w:t>
      </w:r>
      <w:r w:rsidRPr="00537C4F">
        <w:rPr>
          <w:i/>
          <w:iCs/>
        </w:rPr>
        <w:t>Blood Cells Molecules and Diseases</w:t>
      </w:r>
      <w:r w:rsidRPr="00537C4F">
        <w:t>, vol. 39, no. 1, Jul-Aug, pp. 115-118.</w:t>
      </w:r>
    </w:p>
    <w:p w:rsidR="00092F60" w:rsidRDefault="00092F60" w:rsidP="00E965BD"/>
    <w:p w:rsidR="00092F60" w:rsidRDefault="00092F60" w:rsidP="00E965BD">
      <w:pPr>
        <w:pStyle w:val="Heading3"/>
      </w:pPr>
      <w:r>
        <w:t>Abstract only</w:t>
      </w:r>
    </w:p>
    <w:p w:rsidR="00092F60" w:rsidRDefault="00092F60" w:rsidP="00092F60">
      <w:proofErr w:type="gramStart"/>
      <w:r w:rsidRPr="00537C4F">
        <w:t xml:space="preserve">Aerts, JM 2008, 'Enzyme replacement therapy versus substrate deprivation in the treatment of lysosomal disorders', </w:t>
      </w:r>
      <w:r w:rsidRPr="00537C4F">
        <w:rPr>
          <w:i/>
          <w:iCs/>
        </w:rPr>
        <w:t>Chemistry and Physics of Lipids</w:t>
      </w:r>
      <w:r w:rsidRPr="00537C4F">
        <w:t>, vol. 154, Aug, pp. S19-S19.</w:t>
      </w:r>
      <w:proofErr w:type="gramEnd"/>
    </w:p>
    <w:p w:rsidR="00092F60" w:rsidRPr="00537C4F" w:rsidRDefault="00092F60" w:rsidP="00092F60">
      <w:r w:rsidRPr="00AC312E">
        <w:t xml:space="preserve">De Vries, JM, Van Der Beek, NAME, Hagemans, MLC, Hop, WCJ, Reuser, AJJ, Van Doorn, PA &amp; Van Der Ploeg, AT 2011, 'Enzyme Replacement Therapy and prognostic factors for response an ongoing open-label cohort study in adults with Pompe disease', </w:t>
      </w:r>
      <w:r w:rsidRPr="00AC312E">
        <w:rPr>
          <w:i/>
          <w:iCs/>
        </w:rPr>
        <w:t>J Inherit Metab Dis</w:t>
      </w:r>
      <w:r w:rsidRPr="00AC312E">
        <w:t>, vol. 34, p. S221.</w:t>
      </w:r>
    </w:p>
    <w:p w:rsidR="00092F60" w:rsidRDefault="00092F60" w:rsidP="00092F60">
      <w:r w:rsidRPr="00537C4F">
        <w:t xml:space="preserve">Garcia, CS, Santin, J, Mello, AS, Pires, GD, Peres, A &amp; Coelho, JC 2014, 'Gaucher disease: Levels of inflammatory factors in patients with and without enzyme replacement therapy', </w:t>
      </w:r>
      <w:r w:rsidRPr="00537C4F">
        <w:rPr>
          <w:i/>
          <w:iCs/>
        </w:rPr>
        <w:t>J Inherit Metab Dis</w:t>
      </w:r>
      <w:r w:rsidRPr="00537C4F">
        <w:t>, vol. 37, no. 1, p. S144.</w:t>
      </w:r>
    </w:p>
    <w:p w:rsidR="00092F60" w:rsidRPr="00AC312E" w:rsidRDefault="00092F60" w:rsidP="00092F60">
      <w:r w:rsidRPr="00AC312E">
        <w:t xml:space="preserve">Hilz, M, Hoppe, U &amp; Koehn, J 2013, 'Stapedius Reflex Testing Demonstrates Impaired Small Muscle Function in Untreated Pompe Patients and Improvement after Enzyme Replacement Therapy', </w:t>
      </w:r>
      <w:r w:rsidRPr="00AC312E">
        <w:rPr>
          <w:i/>
          <w:iCs/>
        </w:rPr>
        <w:t>Neurology</w:t>
      </w:r>
      <w:r w:rsidRPr="00AC312E">
        <w:t>, vol. 80, Feb 12.</w:t>
      </w:r>
    </w:p>
    <w:p w:rsidR="00092F60" w:rsidRPr="00AC312E" w:rsidRDefault="00092F60" w:rsidP="00092F60">
      <w:proofErr w:type="gramStart"/>
      <w:r w:rsidRPr="00AC312E">
        <w:t xml:space="preserve">Hilz, MJ, Hoppe, U &amp; Koehn, J 2013, 'Stapedius reflex testing demonstrates improvement of small muscle function with enzyme replacement therapy', </w:t>
      </w:r>
      <w:r w:rsidRPr="00AC312E">
        <w:rPr>
          <w:i/>
          <w:iCs/>
        </w:rPr>
        <w:t>J Neurol Sci</w:t>
      </w:r>
      <w:r w:rsidRPr="00AC312E">
        <w:t>, vol. 333, p. e454.</w:t>
      </w:r>
      <w:proofErr w:type="gramEnd"/>
    </w:p>
    <w:p w:rsidR="00092F60" w:rsidRPr="00AC312E" w:rsidRDefault="00092F60" w:rsidP="00092F60">
      <w:r w:rsidRPr="00AC312E">
        <w:t xml:space="preserve">Hwu, WL, Byrne, B, Wraith, E, Leslie, N, Mandel, H, Nicolino, M &amp; Kishnani, PS 2008, 'Alglucosidase ALEA in infants and children with Pompe disease', </w:t>
      </w:r>
      <w:r w:rsidRPr="00AC312E">
        <w:rPr>
          <w:i/>
          <w:iCs/>
        </w:rPr>
        <w:t>J Inherit Metab Dis</w:t>
      </w:r>
      <w:r w:rsidRPr="00AC312E">
        <w:t>, vol. 31, Aug, pp. 130-130.</w:t>
      </w:r>
    </w:p>
    <w:p w:rsidR="00092F60" w:rsidRPr="00AC312E" w:rsidRDefault="00092F60" w:rsidP="00092F60">
      <w:r w:rsidRPr="00AC312E">
        <w:t xml:space="preserve">Laforet, P, Clemens, PR, Corzo, D, Escolar, D, Florence, J, van der Ploeg, A, Lake, S, Mayhew, J, Pestronk, A, Rosenbloom, B, Skrinar, A &amp; Wasserstein, M 2008, 'Safety and efficacy results from a randomized, double-blind, placebo-controlled study of alglucosidase alfa for the treatment of Pompe disease in juveniles and adults', </w:t>
      </w:r>
      <w:r w:rsidRPr="00AC312E">
        <w:rPr>
          <w:i/>
          <w:iCs/>
        </w:rPr>
        <w:t>Neuromuscular Disorders</w:t>
      </w:r>
      <w:r w:rsidRPr="00AC312E">
        <w:t>, vol. 18, no. 9-10, Oct, pp. 832-833.</w:t>
      </w:r>
    </w:p>
    <w:p w:rsidR="00092F60" w:rsidRDefault="00092F60" w:rsidP="00092F60">
      <w:proofErr w:type="gramStart"/>
      <w:r w:rsidRPr="00AC312E">
        <w:lastRenderedPageBreak/>
        <w:t xml:space="preserve">Nicolino, M, Byrne, B, Hwu, WL, Leslie, N, Mandel, H, Wraith, E &amp; Kishnani, PS 2008, 'Alglucosidase alpha in infants and children with Pompe's disease', </w:t>
      </w:r>
      <w:r w:rsidRPr="00AC312E">
        <w:rPr>
          <w:i/>
          <w:iCs/>
        </w:rPr>
        <w:t>European Journal of Neurology</w:t>
      </w:r>
      <w:r w:rsidRPr="00AC312E">
        <w:t>, vol. 15, Aug, pp. 176-176.</w:t>
      </w:r>
      <w:proofErr w:type="gramEnd"/>
    </w:p>
    <w:p w:rsidR="00092F60" w:rsidRPr="00537C4F" w:rsidRDefault="00092F60" w:rsidP="00092F60">
      <w:r w:rsidRPr="00537C4F">
        <w:t xml:space="preserve">Petakov, M, Suvajdzic, N, Petakov, M, Macut, D, Ognjanovic, S, Elezovic, V, Djurovic, M &amp; Damjanovic, S 2010, 'Serum IGF1 levels in adult patients with type 1 Gaucher disease', </w:t>
      </w:r>
      <w:r w:rsidRPr="00537C4F">
        <w:rPr>
          <w:i/>
          <w:iCs/>
        </w:rPr>
        <w:t>Endocrine Abstracts</w:t>
      </w:r>
      <w:r w:rsidRPr="00537C4F">
        <w:t>, vol. 22, p. P505.</w:t>
      </w:r>
    </w:p>
    <w:p w:rsidR="00092F60" w:rsidRPr="00537C4F" w:rsidRDefault="00092F60" w:rsidP="00092F60">
      <w:r w:rsidRPr="00537C4F">
        <w:t xml:space="preserve">Piran, S &amp; Amato, D 2008, 'Gaucher Disease: A Systematic Review and Meta-Analysis of Bone Complications and Their Response to Treatment', </w:t>
      </w:r>
      <w:r w:rsidRPr="00537C4F">
        <w:rPr>
          <w:i/>
          <w:iCs/>
        </w:rPr>
        <w:t>Blood</w:t>
      </w:r>
      <w:r w:rsidRPr="00537C4F">
        <w:t>, vol. 112, no. 11, Nov 16, pp. 458-458.</w:t>
      </w:r>
    </w:p>
    <w:p w:rsidR="00092F60" w:rsidRPr="00537C4F" w:rsidRDefault="00092F60" w:rsidP="00092F60">
      <w:r w:rsidRPr="00537C4F">
        <w:t xml:space="preserve">Weinreb, N, Andersson, H, Charrow, J, Kaplan, P, Kolodny, E, Mistry, P, Pastores, G, Rosenbloom, B, Scott, CR, Wappner, R &amp; Zimran, A 1999, 'The Gaucher Registry: Demographics and disease characteristics of 996 patients (PTS) on enzyme replacement therapy (ERT) compared to 438 untreated PTS', </w:t>
      </w:r>
      <w:r w:rsidRPr="00537C4F">
        <w:rPr>
          <w:i/>
          <w:iCs/>
        </w:rPr>
        <w:t>Blood</w:t>
      </w:r>
      <w:r w:rsidRPr="00537C4F">
        <w:t>, vol. 94, no. 10, Nov 15, pp. 211A-211A.</w:t>
      </w:r>
    </w:p>
    <w:p w:rsidR="00092F60" w:rsidRPr="00537C4F" w:rsidRDefault="00092F60" w:rsidP="00092F60">
      <w:proofErr w:type="gramStart"/>
      <w:r w:rsidRPr="00537C4F">
        <w:t xml:space="preserve">Weinreb, NJ &amp; Lee, RE 2004, 'Changing patterns of mortality in Gaucher disease prior to and following the advent of enzyme replacement therapy', </w:t>
      </w:r>
      <w:r w:rsidRPr="00537C4F">
        <w:rPr>
          <w:i/>
          <w:iCs/>
        </w:rPr>
        <w:t>Blood</w:t>
      </w:r>
      <w:r w:rsidRPr="00537C4F">
        <w:t>, vol. 104, no. 11, Nov 16, pp. 36B-36B.</w:t>
      </w:r>
      <w:proofErr w:type="gramEnd"/>
    </w:p>
    <w:p w:rsidR="00092F60" w:rsidRDefault="00092F60" w:rsidP="00092F60"/>
    <w:p w:rsidR="00092F60" w:rsidRDefault="00092F60" w:rsidP="00E965BD">
      <w:pPr>
        <w:pStyle w:val="Heading3"/>
      </w:pPr>
      <w:r>
        <w:t>Foreign language (not a higher level of evidence than available in English)</w:t>
      </w:r>
    </w:p>
    <w:p w:rsidR="00092F60" w:rsidRDefault="00092F60" w:rsidP="00092F60">
      <w:r w:rsidRPr="00537C4F">
        <w:t xml:space="preserve">Roca, M, Mota, J, Giraldo, P, Perez Calvo, J, Gomez Pereda, R &amp; Giralt, M 1997, 'Magnetic resonance in the diagnosis of extent and osseous complications of </w:t>
      </w:r>
      <w:r w:rsidR="00E51493">
        <w:t>Gaucher disease</w:t>
      </w:r>
      <w:r w:rsidRPr="00537C4F">
        <w:t xml:space="preserve"> type 1', </w:t>
      </w:r>
      <w:r w:rsidRPr="00537C4F">
        <w:rPr>
          <w:i/>
          <w:iCs/>
        </w:rPr>
        <w:t>Rev Clin Esp</w:t>
      </w:r>
      <w:r w:rsidRPr="00537C4F">
        <w:t>, vol. 197, no. 8, pp. 550-554.</w:t>
      </w:r>
    </w:p>
    <w:p w:rsidR="00092F60" w:rsidRPr="00537C4F" w:rsidRDefault="00092F60" w:rsidP="00092F60"/>
    <w:p w:rsidR="00092F60" w:rsidRDefault="00092F60" w:rsidP="00E965BD">
      <w:pPr>
        <w:pStyle w:val="Heading3"/>
      </w:pPr>
      <w:r>
        <w:t>Non-systematic review</w:t>
      </w:r>
    </w:p>
    <w:p w:rsidR="00092F60" w:rsidRPr="00537C4F" w:rsidRDefault="00092F60" w:rsidP="00092F60">
      <w:r w:rsidRPr="00537C4F">
        <w:t xml:space="preserve">Roca, M, Mota, J, Giraldo, P, Perez Calvo, J, Gomez Pereda, R &amp; Giralt, M 1997, 'Magnetic resonance in the diagnosis of extent and osseous complications of </w:t>
      </w:r>
      <w:r w:rsidR="00E51493">
        <w:t>Gaucher disease</w:t>
      </w:r>
      <w:r w:rsidRPr="00537C4F">
        <w:t xml:space="preserve"> type 1', </w:t>
      </w:r>
      <w:r w:rsidRPr="00537C4F">
        <w:rPr>
          <w:i/>
          <w:iCs/>
        </w:rPr>
        <w:t>Rev Clin Esp</w:t>
      </w:r>
      <w:r w:rsidRPr="00537C4F">
        <w:t>, vol. 197, no. 8, pp. 550-554.</w:t>
      </w:r>
    </w:p>
    <w:p w:rsidR="00092F60" w:rsidRDefault="00092F60" w:rsidP="00E965BD"/>
    <w:p w:rsidR="00685ABF" w:rsidRDefault="00685ABF" w:rsidP="00E965BD"/>
    <w:p w:rsidR="00475E97" w:rsidRDefault="00475E97" w:rsidP="00D60032">
      <w:pPr>
        <w:pStyle w:val="Heading2"/>
        <w:numPr>
          <w:ilvl w:val="0"/>
          <w:numId w:val="0"/>
        </w:numPr>
      </w:pPr>
      <w:bookmarkStart w:id="1090" w:name="_Toc404937359"/>
      <w:r>
        <w:br w:type="page"/>
      </w:r>
    </w:p>
    <w:p w:rsidR="0063378B" w:rsidRDefault="00092F60" w:rsidP="00D60032">
      <w:pPr>
        <w:pStyle w:val="Heading2"/>
        <w:numPr>
          <w:ilvl w:val="0"/>
          <w:numId w:val="0"/>
        </w:numPr>
      </w:pPr>
      <w:bookmarkStart w:id="1091" w:name="_Toc415141780"/>
      <w:r w:rsidRPr="003F3F2D">
        <w:lastRenderedPageBreak/>
        <w:t>Fabry disease</w:t>
      </w:r>
      <w:bookmarkEnd w:id="1090"/>
      <w:bookmarkEnd w:id="1091"/>
    </w:p>
    <w:p w:rsidR="003F2866" w:rsidRDefault="003F2866" w:rsidP="00E5335E">
      <w:pPr>
        <w:pStyle w:val="Heading3"/>
      </w:pPr>
      <w:r>
        <w:t>Agalsidase alfa or beta versus placebo</w:t>
      </w:r>
    </w:p>
    <w:p w:rsidR="003F2866" w:rsidRDefault="003F2866" w:rsidP="0063378B">
      <w:pPr>
        <w:pStyle w:val="Heading3"/>
      </w:pPr>
      <w:r>
        <w:t>Systematic Review/Health Technology Assessment</w:t>
      </w:r>
      <w:r>
        <w:rPr>
          <w:rStyle w:val="FootnoteReference"/>
        </w:rPr>
        <w:footnoteReference w:id="41"/>
      </w:r>
    </w:p>
    <w:p w:rsidR="003F2866" w:rsidRPr="009C414F" w:rsidRDefault="003F2866" w:rsidP="003F2866">
      <w:r w:rsidRPr="009C414F">
        <w:t xml:space="preserve">Alegra, T, Vairo, F, de, SMV, Krug, BC &amp; Schwartz, IVD 2012, 'Enzyme replacement therapy for Fabry disease: A systematic review and meta-analysis', </w:t>
      </w:r>
      <w:r w:rsidRPr="009C414F">
        <w:rPr>
          <w:i/>
          <w:iCs/>
        </w:rPr>
        <w:t>Genet Mol Biol</w:t>
      </w:r>
      <w:r w:rsidRPr="009C414F">
        <w:t>, vol. 35, no. 4 (suppl), pp. 947-954.</w:t>
      </w:r>
    </w:p>
    <w:p w:rsidR="003F2866" w:rsidRPr="009C414F" w:rsidRDefault="003F2866" w:rsidP="003F2866">
      <w:r w:rsidRPr="009C414F">
        <w:t xml:space="preserve">Connock, M, Juarez-Garcia, A, Frew, E, Mans, A, Dretzke, J, Fry-Smith, A &amp; Moore, D 2006, 'A systematic review of the clinical effectiveness and cost-effectiveness of enzyme replacement therapies for Fabry's disease and mucopolysaccharidosis type 1', </w:t>
      </w:r>
      <w:r w:rsidRPr="009C414F">
        <w:rPr>
          <w:i/>
          <w:iCs/>
        </w:rPr>
        <w:t>Health Technol Assess</w:t>
      </w:r>
      <w:r w:rsidRPr="009C414F">
        <w:t>, vol. 10, no. 20, Jun, pp. iii-iv, ix-113.</w:t>
      </w:r>
    </w:p>
    <w:p w:rsidR="003F2866" w:rsidRPr="009C414F" w:rsidRDefault="003F2866" w:rsidP="003F2866">
      <w:r w:rsidRPr="009C414F">
        <w:t xml:space="preserve">Lidove, O, Joly, D, Barbey, F, Bekri, S, Alexandra, JF, Peigne, V, Jaussaud, R &amp; Papo, T 2007, 'Clinical results of enzyme replacement therapy in Fabry disease: a comprehensive review of literature', </w:t>
      </w:r>
      <w:r w:rsidRPr="009C414F">
        <w:rPr>
          <w:i/>
          <w:iCs/>
        </w:rPr>
        <w:t>International Journal of Clinical Practice</w:t>
      </w:r>
      <w:r w:rsidRPr="009C414F">
        <w:t>, vol. 61, no. 2, pp. 293-302.</w:t>
      </w:r>
    </w:p>
    <w:p w:rsidR="003F2866" w:rsidRPr="009C414F" w:rsidRDefault="003F2866" w:rsidP="003F2866">
      <w:r w:rsidRPr="009C414F">
        <w:t xml:space="preserve">Lidove, O, West, ML, Pintos-Morell, G, Reisin, R, Nicholls, K, Figuera, LE, Parini, R, Carvalho, LR, Kampmann, C, Pastores, GM &amp; Mehta, A 2010, 'Effects of enzyme replacement therapy in Fabry disease - A comprehensive review of the medical literature', </w:t>
      </w:r>
      <w:r w:rsidRPr="009C414F">
        <w:rPr>
          <w:i/>
          <w:iCs/>
        </w:rPr>
        <w:t>Genetics in Medicine</w:t>
      </w:r>
      <w:r w:rsidRPr="009C414F">
        <w:t>, vol. 12, no. 11, pp. 668-679.</w:t>
      </w:r>
    </w:p>
    <w:p w:rsidR="003F2866" w:rsidRDefault="003F2866" w:rsidP="003F2866">
      <w:r w:rsidRPr="009C414F">
        <w:t xml:space="preserve">Rombach, SM, Smid, BE, Linthorst, GE, Dijkgraaf, MGW &amp; Hollak, CEM 2014, 'Natural course of Fabry disease and the effectiveness of enzyme replacement therapy: a systematic review and meta-analysis - Effectiveness of ERT in different disease stages', </w:t>
      </w:r>
      <w:r w:rsidRPr="009C414F">
        <w:rPr>
          <w:i/>
          <w:iCs/>
        </w:rPr>
        <w:t>J. Inherited Metab. Dis.</w:t>
      </w:r>
      <w:r w:rsidRPr="009C414F">
        <w:t>, vol. 37, no. 3, //, pp. 341-352.</w:t>
      </w:r>
    </w:p>
    <w:p w:rsidR="0063378B" w:rsidRDefault="0063378B" w:rsidP="003F2866"/>
    <w:p w:rsidR="003F2866" w:rsidRDefault="003F2866" w:rsidP="0063378B">
      <w:pPr>
        <w:pStyle w:val="Heading3"/>
      </w:pPr>
      <w:r>
        <w:t>Cohort study</w:t>
      </w:r>
    </w:p>
    <w:p w:rsidR="003F2866" w:rsidRPr="009C414F" w:rsidRDefault="003F2866" w:rsidP="003F2866">
      <w:r w:rsidRPr="009C414F">
        <w:t xml:space="preserve">Rombach, SM, Smid, BE, Bouwman, MG, Linthorst, GE, Dijkgraaf, MGW &amp; Hollak, CEM 2013, 'Long term enzyme replacement therapy for Fabry disease: effectiveness on kidney, heart and brain', </w:t>
      </w:r>
      <w:r w:rsidRPr="009C414F">
        <w:rPr>
          <w:i/>
          <w:iCs/>
        </w:rPr>
        <w:t>Orphanet Journal of Rare Diseases</w:t>
      </w:r>
      <w:r w:rsidRPr="009C414F">
        <w:t>, vol. 8, Mar.</w:t>
      </w:r>
    </w:p>
    <w:p w:rsidR="003F2866" w:rsidRPr="009C414F" w:rsidRDefault="003F2866" w:rsidP="003F2866">
      <w:r w:rsidRPr="009C414F">
        <w:t xml:space="preserve">Sirrs, SM, Bichet, DG, Casey, R, Clarke, JT, Lemoine, K, Doucette, S &amp; West, ML 2014, 'Outcomes of patients treated through the Canadian Fabry disease initiative', </w:t>
      </w:r>
      <w:r w:rsidRPr="009C414F">
        <w:rPr>
          <w:i/>
          <w:iCs/>
        </w:rPr>
        <w:t>Mol Genet Metab</w:t>
      </w:r>
      <w:r w:rsidRPr="009C414F">
        <w:t>, vol. 111, no. 4, Apr, pp. 499-506.</w:t>
      </w:r>
    </w:p>
    <w:p w:rsidR="003F2866" w:rsidRPr="009C414F" w:rsidRDefault="003F2866" w:rsidP="003F2866">
      <w:r w:rsidRPr="009C414F">
        <w:t xml:space="preserve">Uceyler, N, He, L, Schonfeld, D, Kahn, AK, Reiners, K, Hilz, MJ, Breunig, F &amp; Sommer, C 2011, 'Small fibers in Fabry disease: Baseline and follow-up data under enzyme replacement therapy', </w:t>
      </w:r>
      <w:r w:rsidRPr="009C414F">
        <w:rPr>
          <w:i/>
          <w:iCs/>
        </w:rPr>
        <w:t>Journal of the Peripheral Nervous System</w:t>
      </w:r>
      <w:r w:rsidRPr="009C414F">
        <w:t>, vol. 16, no. 4, pp. 304-314.</w:t>
      </w:r>
    </w:p>
    <w:p w:rsidR="003F2866" w:rsidRPr="009C414F" w:rsidRDefault="003F2866" w:rsidP="003F2866">
      <w:r w:rsidRPr="009C414F">
        <w:lastRenderedPageBreak/>
        <w:t xml:space="preserve">van Breemen, MJ, Rombach, SM, Dekker, N, Poorthuis, BJ, Linthorst, GE, Zwinderman, AH, Breunig, F, Wanner, C, Aerts, JM &amp; Hollak, CE 2011, 'Reduction of elevated plasma globotriaosylsphingosine in patients with classic Fabry disease following enzyme replacement therapy', </w:t>
      </w:r>
      <w:r w:rsidRPr="009C414F">
        <w:rPr>
          <w:i/>
          <w:iCs/>
        </w:rPr>
        <w:t>Biochim Biophys Acta</w:t>
      </w:r>
      <w:r w:rsidRPr="009C414F">
        <w:t>, vol. 1812, no. 1, Jan, pp. 70-76.</w:t>
      </w:r>
    </w:p>
    <w:p w:rsidR="003F2866" w:rsidRDefault="003F2866" w:rsidP="003F2866">
      <w:r w:rsidRPr="009C414F">
        <w:t xml:space="preserve">Weidemann, F, Niemann, M, Stoerk, S, Breunig, F, Beer, M, Sommer, C, Herrmann, S, Ertl, G &amp; Wanner, C 2013, 'Long-term outcome of enzyme-replacement therapy in advanced Fabry disease: evidence for disease progression towards serious complications', </w:t>
      </w:r>
      <w:r w:rsidRPr="009C414F">
        <w:rPr>
          <w:i/>
          <w:iCs/>
        </w:rPr>
        <w:t>J. Intern. Med.</w:t>
      </w:r>
      <w:r w:rsidRPr="009C414F">
        <w:t>, vol. 274, no. 4, //, pp. 331-341.</w:t>
      </w:r>
    </w:p>
    <w:p w:rsidR="0063378B" w:rsidRPr="009C414F" w:rsidRDefault="0063378B" w:rsidP="003F2866"/>
    <w:p w:rsidR="003F2866" w:rsidRDefault="003F2866" w:rsidP="0063378B">
      <w:pPr>
        <w:pStyle w:val="Heading3"/>
      </w:pPr>
      <w:r>
        <w:t>Case series</w:t>
      </w:r>
    </w:p>
    <w:p w:rsidR="003F2866" w:rsidRPr="009C414F" w:rsidRDefault="003F2866" w:rsidP="003F2866">
      <w:r w:rsidRPr="009C414F">
        <w:t xml:space="preserve">Andrikos, E, Iatrou, C, Boletis, JN, Diamandopoulos, A, Katsinas, C, Kalaitzidis, K, Galinas, A, Xaidara, A, Pappas, M &amp; Siamopoulos, KC 2010, 'Evolution of Fabry disease in male patients: The Greek experience', </w:t>
      </w:r>
      <w:r w:rsidRPr="009C414F">
        <w:rPr>
          <w:i/>
          <w:iCs/>
        </w:rPr>
        <w:t>Clinical Nephrology</w:t>
      </w:r>
      <w:r w:rsidRPr="009C414F">
        <w:t>, vol. 73, no. 1, pp. 58-63.</w:t>
      </w:r>
    </w:p>
    <w:p w:rsidR="003F2866" w:rsidRPr="009C414F" w:rsidRDefault="003F2866" w:rsidP="003F2866">
      <w:r w:rsidRPr="009C414F">
        <w:t xml:space="preserve">Biancini, GB, Vanzin, CS, Rodrigues, DB, Deon, M, Ribas, GS, Barschak, AG, Manfredini, V, Netto, CBO, Jardim, LB, Giugliani, R &amp; Vargas, CR 2012, 'Globotriaosylceramide is correlated with oxidative stress and inflammation in Fabry patients treated with enzyme replacement therapy', </w:t>
      </w:r>
      <w:r w:rsidRPr="009C414F">
        <w:rPr>
          <w:i/>
          <w:iCs/>
        </w:rPr>
        <w:t xml:space="preserve">Biochim. </w:t>
      </w:r>
      <w:proofErr w:type="gramStart"/>
      <w:r w:rsidRPr="009C414F">
        <w:rPr>
          <w:i/>
          <w:iCs/>
        </w:rPr>
        <w:t>Biophys.</w:t>
      </w:r>
      <w:proofErr w:type="gramEnd"/>
      <w:r w:rsidRPr="009C414F">
        <w:rPr>
          <w:i/>
          <w:iCs/>
        </w:rPr>
        <w:t xml:space="preserve"> Acta, Mol. Basis Dis.</w:t>
      </w:r>
      <w:r w:rsidRPr="009C414F">
        <w:t>, vol. 1822, no. 2, pp. 226-232.</w:t>
      </w:r>
    </w:p>
    <w:p w:rsidR="003F2866" w:rsidRPr="009C414F" w:rsidRDefault="003F2866" w:rsidP="003F2866">
      <w:r w:rsidRPr="009C414F">
        <w:t xml:space="preserve">Campbell, RC, Jackson, L, Thomas, CP, Birrer, E, Guasch, T, Laney, DA, Charrow, J, Widera, S, Warnock, DG &amp; Investigators, F 2010, 'FABRY NEPHROPATHY AND THE FABRAZYME AND ARBS AND ACE INHIBITOR TREATMENT (FAACET) STUDY: DETERMINANTS OF PROTEINURIA DURING THE TITRATION PHASE', </w:t>
      </w:r>
      <w:r w:rsidRPr="009C414F">
        <w:rPr>
          <w:i/>
          <w:iCs/>
        </w:rPr>
        <w:t>Clinical Therapeutics</w:t>
      </w:r>
      <w:r w:rsidRPr="009C414F">
        <w:t>, vol. 32, pp. S115-S115.</w:t>
      </w:r>
    </w:p>
    <w:p w:rsidR="003F2866" w:rsidRPr="009C414F" w:rsidRDefault="003F2866" w:rsidP="003F2866">
      <w:r w:rsidRPr="009C414F">
        <w:t xml:space="preserve">Cartwright, DJ, Cole, AL, Cousins, AJ &amp; Lee, PJ 2004, 'Raised HDL cholesterol in Fabry disease: Response to enzyme replacement therapy', </w:t>
      </w:r>
      <w:r w:rsidRPr="009C414F">
        <w:rPr>
          <w:i/>
          <w:iCs/>
        </w:rPr>
        <w:t>Journal of Inherited Metabolic Disease</w:t>
      </w:r>
      <w:r w:rsidRPr="009C414F">
        <w:t>, vol. 27, no. 6, pp. 791-793.</w:t>
      </w:r>
    </w:p>
    <w:p w:rsidR="003F2866" w:rsidRPr="009C414F" w:rsidRDefault="003F2866" w:rsidP="003F2866">
      <w:r w:rsidRPr="009C414F">
        <w:t xml:space="preserve">Fujii, H, Kono, K, Yamamoto, T, Onishi, T, Goto, S, Nakai, K, Kawai, H, Hirata, KI, Fukagawa, M &amp; Nishi, S 2012, 'Effect of enzyme replacement therapy on serum asymmetric dimethylarginine levels, coronary flow reserve and left ventricular hypertrophy in patients with Fabry disease', </w:t>
      </w:r>
      <w:r w:rsidRPr="009C414F">
        <w:rPr>
          <w:i/>
          <w:iCs/>
        </w:rPr>
        <w:t>Clinical Kidney Journal</w:t>
      </w:r>
      <w:r w:rsidRPr="009C414F">
        <w:t>, vol. 5, no. 6, pp. 512-518.</w:t>
      </w:r>
    </w:p>
    <w:p w:rsidR="003F2866" w:rsidRPr="009C414F" w:rsidRDefault="003F2866" w:rsidP="003F2866">
      <w:r w:rsidRPr="009C414F">
        <w:t xml:space="preserve">Goker-Alpan, O, Nedd, K, Shankar, S, Lien, YH, Weinreb, N, Wijatyk, A, Chang, P &amp; Martin, R 2014, 'HGT-REP-059 treatment protocol: effect and tolerability of open-label agalsidase alfa in patients with Fabry disease', </w:t>
      </w:r>
      <w:r w:rsidRPr="009C414F">
        <w:rPr>
          <w:i/>
          <w:iCs/>
        </w:rPr>
        <w:t>Molecular Genetics and Metabolism</w:t>
      </w:r>
      <w:r w:rsidRPr="009C414F">
        <w:t>, vol. 111, no. 2, pp. S48-S48.</w:t>
      </w:r>
    </w:p>
    <w:p w:rsidR="003F2866" w:rsidRPr="009C414F" w:rsidRDefault="003F2866" w:rsidP="003F2866">
      <w:r w:rsidRPr="009C414F">
        <w:t xml:space="preserve">Kovacevic-Preradovic, T, Zuber, M, Attenhofer, JCH, Widmer, U, Seifert, B, Schulthess, G, Fischer, A &amp; Jenni, R 2008, 'Anderson-Fabry disease: long-term echocardiographic follow-up under enzyme replacement therapy', </w:t>
      </w:r>
      <w:r w:rsidRPr="009C414F">
        <w:rPr>
          <w:i/>
          <w:iCs/>
        </w:rPr>
        <w:t>Eur J Echocardiogr</w:t>
      </w:r>
      <w:r w:rsidRPr="009C414F">
        <w:t>, vol. 9, no. 6, //, pp. 729-735.</w:t>
      </w:r>
    </w:p>
    <w:p w:rsidR="003F2866" w:rsidRPr="009C414F" w:rsidRDefault="003F2866" w:rsidP="003F2866">
      <w:r w:rsidRPr="009C414F">
        <w:t xml:space="preserve">Lin, HY, Liu, HC, Huang, YH, Liao, HC, Hsu, TR, Shen, CI, Li, ST, Li, CF, Lee, LH, Lee, PC, Huang, CK, Chiang, CC, Lin, CY, Lin, SP &amp; Niu, DM 2013, 'Effects of enzyme replacement therapy i for </w:t>
      </w:r>
      <w:r w:rsidRPr="009C414F">
        <w:lastRenderedPageBreak/>
        <w:t xml:space="preserve">cardiac-type Fabry patients with a Chinese hotspot late-onset Fabry mutation (IVS4+919G&gt;A)', </w:t>
      </w:r>
      <w:r w:rsidRPr="009C414F">
        <w:rPr>
          <w:i/>
          <w:iCs/>
        </w:rPr>
        <w:t>BMJ Open</w:t>
      </w:r>
      <w:r w:rsidRPr="009C414F">
        <w:t>, vol. 3, no. 7.</w:t>
      </w:r>
    </w:p>
    <w:p w:rsidR="003F2866" w:rsidRPr="009C414F" w:rsidRDefault="003F2866" w:rsidP="003F2866">
      <w:r w:rsidRPr="00AA5F09">
        <w:t xml:space="preserve">Lin, H-Y, Huang, Y-H, Liao, H-C, Liu, H-C, Hsu, T-R, Shen, C-I, Li, S-T, Li, C-F, Lee, L-H, Lee, P-C, Huang, C-K, Chiang, C-C, Lin, S-P &amp; Niu, D-M 2014, 'Clinical observations on enzyme replacement therapy in patients with Fabry disease and the switch from agalsidase beta to agalsidase alfa', </w:t>
      </w:r>
      <w:r w:rsidRPr="00AA5F09">
        <w:rPr>
          <w:i/>
          <w:iCs/>
        </w:rPr>
        <w:t>J. Chin. Med. Assoc.</w:t>
      </w:r>
      <w:r w:rsidRPr="00AA5F09">
        <w:t>, vol. 77, no. 4, pp. 190-197.</w:t>
      </w:r>
    </w:p>
    <w:p w:rsidR="003F2866" w:rsidRPr="009C414F" w:rsidRDefault="003F2866" w:rsidP="003F2866">
      <w:r w:rsidRPr="009C414F">
        <w:t xml:space="preserve">Linthorst, GE, Hollak, CE, Donker-Koopman, WE, Strijland, A &amp; Aerts, JM 2004, 'Enzyme therapy for Fabry disease: neutralizing antibodies toward agalsidase alpha and beta', </w:t>
      </w:r>
      <w:r w:rsidRPr="009C414F">
        <w:rPr>
          <w:i/>
          <w:iCs/>
        </w:rPr>
        <w:t>Kidney International</w:t>
      </w:r>
      <w:r w:rsidRPr="009C414F">
        <w:t>, vol. 66, no. 4, pp. 1589-1595.</w:t>
      </w:r>
    </w:p>
    <w:p w:rsidR="003F2866" w:rsidRPr="009C414F" w:rsidRDefault="003F2866" w:rsidP="003F2866">
      <w:r w:rsidRPr="009C414F">
        <w:t xml:space="preserve">Linthorst, GE, Van Breemen, MJ, Rombach, SM, Dekker, N, Zwinderman, AH, Breunig, F, Wanner, C, Aerts, JMFG &amp; Hollak, CEM 2010, 'Reduction of elevated plasma globotriaosylsphingosine following enzyme replacement therapy in patients with classic fabry disease', </w:t>
      </w:r>
      <w:r w:rsidRPr="009C414F">
        <w:rPr>
          <w:i/>
          <w:iCs/>
        </w:rPr>
        <w:t>Journal of Inherited Metabolic Disease</w:t>
      </w:r>
      <w:r w:rsidRPr="009C414F">
        <w:t>, vol. 33, p. S133.</w:t>
      </w:r>
    </w:p>
    <w:p w:rsidR="003F2866" w:rsidRPr="009C414F" w:rsidRDefault="003F2866" w:rsidP="003F2866">
      <w:r w:rsidRPr="009C414F">
        <w:t xml:space="preserve">Lobo, T, Morgan, J, Bjorksten, A, Nicholls, K, Grigg, L, Centra, E &amp; Becker, G 2008, 'Cardiovascular testing in Fabry disease: Exercise capacity reduction, chronotropic incompetence and improved anaerobic threshold after enzyme replacement', </w:t>
      </w:r>
      <w:r w:rsidRPr="009C414F">
        <w:rPr>
          <w:i/>
          <w:iCs/>
        </w:rPr>
        <w:t>Internal Medicine Journal</w:t>
      </w:r>
      <w:r w:rsidRPr="009C414F">
        <w:t>, vol. 38, no. 6 A, pp. 407-414.</w:t>
      </w:r>
    </w:p>
    <w:p w:rsidR="003F2866" w:rsidRPr="009C414F" w:rsidRDefault="003F2866" w:rsidP="003F2866">
      <w:r w:rsidRPr="009C414F">
        <w:t xml:space="preserve">Mehta, A, Beck, M, Elliott, P, Giugliani, R, Linhart, A, Sunder-Plassmann, G, Schiffmann, R, Barbey, F, Ries, M &amp; Clarke, JT 2009, 'Enzyme replacement therapy with agalsidase alfa in patients with Fabry's disease: an analysis of registry data', </w:t>
      </w:r>
      <w:r w:rsidRPr="009C414F">
        <w:rPr>
          <w:i/>
          <w:iCs/>
        </w:rPr>
        <w:t>Lancet</w:t>
      </w:r>
      <w:r w:rsidRPr="009C414F">
        <w:t>, vol. 374, no. 9706, Dec 12, pp. 1986-1996.</w:t>
      </w:r>
    </w:p>
    <w:p w:rsidR="003F2866" w:rsidRPr="009C414F" w:rsidRDefault="003F2866" w:rsidP="003F2866">
      <w:r w:rsidRPr="009C414F">
        <w:t xml:space="preserve">Mignani, R, Feriozzi, S, Pisani, A, Cioni, A, Comotti, C, Cossu, M, Foschi, A, Giudicissi, A, Gotti, E, Lozupone, VA, Marchini, F, Martinelli, F, Bianco, F, Panichi, V, Procaccini, DA, Ragazzoni, E, Serra, A, Soliani, F, Spinelli, L, Torti, G, Veroux, M, Cianciaruso, B &amp; Cagnoli, L 2008, 'Agalsidase therapy in patients with Fabry disease on renal replacement therapy: a nationwide study in Italy', </w:t>
      </w:r>
      <w:r w:rsidRPr="009C414F">
        <w:rPr>
          <w:i/>
          <w:iCs/>
        </w:rPr>
        <w:t>Nephrol Dial Transplant</w:t>
      </w:r>
      <w:r w:rsidRPr="009C414F">
        <w:t>, vol. 23, no. 5, May, pp. 1628-1635.</w:t>
      </w:r>
    </w:p>
    <w:p w:rsidR="003F2866" w:rsidRPr="009C414F" w:rsidRDefault="003F2866" w:rsidP="003F2866">
      <w:r w:rsidRPr="009C414F">
        <w:t xml:space="preserve">Pisani, A, Spinelli, L, Sabbatini, M, Andreucci, MV, Procaccini, D, Abbaterusso, C, Pasquali, S, Savoldi, S, Comotti, C &amp; Cianciaruso, B 2005, 'Enzyme replacement therapy in Fabry disease patients undergoing dialysis: Effects on quality of life and organ involvement', </w:t>
      </w:r>
      <w:r w:rsidRPr="009C414F">
        <w:rPr>
          <w:i/>
          <w:iCs/>
        </w:rPr>
        <w:t>American Journal of Kidney Diseases</w:t>
      </w:r>
      <w:r w:rsidRPr="009C414F">
        <w:t>, vol. 46, no. 1, pp. 120-127.</w:t>
      </w:r>
    </w:p>
    <w:p w:rsidR="003F2866" w:rsidRPr="009C414F" w:rsidRDefault="003F2866" w:rsidP="003F2866">
      <w:r w:rsidRPr="009C414F">
        <w:t xml:space="preserve">Pisani, A, Spinelli, L, Visciano, B, Capuano, I, Sabbatini, M, Riccio, E, Messalli, G &amp; Imbriaco, M 2013, 'Effects of switching from agalsidase Beta to agalsidase alfa in 10 patients with anderson-fabry disease', </w:t>
      </w:r>
      <w:r w:rsidRPr="009C414F">
        <w:rPr>
          <w:i/>
          <w:iCs/>
        </w:rPr>
        <w:t>JIMD Rep</w:t>
      </w:r>
      <w:r w:rsidRPr="009C414F">
        <w:t>, vol. 9, pp. 41-48.</w:t>
      </w:r>
    </w:p>
    <w:p w:rsidR="003F2866" w:rsidRPr="009C414F" w:rsidRDefault="003F2866" w:rsidP="003F2866">
      <w:r w:rsidRPr="009C414F">
        <w:t xml:space="preserve">Rombach, SM, Aerts, J, Poorthuis, B, Groener, JEM, Donker-Koopman, W, Hendriks, E, Mirzaian, M, Kuiper, S, Wijburg, FA, Hollak, CEM &amp; Linthorst, GE 2012, 'Long-Term Effect of Antibodies against Infused Alpha-Galactosidase A in Fabry Disease on Plasma and Urinary (lyso)Gb3 Reduction and Treatment Outcome', </w:t>
      </w:r>
      <w:r w:rsidRPr="009C414F">
        <w:rPr>
          <w:i/>
          <w:iCs/>
        </w:rPr>
        <w:t>Plos One</w:t>
      </w:r>
      <w:r w:rsidRPr="009C414F">
        <w:t>, vol. 7, no. 10, Oct.</w:t>
      </w:r>
    </w:p>
    <w:p w:rsidR="003F2866" w:rsidRPr="009C414F" w:rsidRDefault="003F2866" w:rsidP="003F2866">
      <w:r w:rsidRPr="009C414F">
        <w:lastRenderedPageBreak/>
        <w:t xml:space="preserve">Smid, BE, Hoogendijk, SL, Wijburg, FA, Hollak, CE &amp; Linthorst, GE 2013, 'A revised home treatment algorithm for Fabry disease: influence of antibody formation', </w:t>
      </w:r>
      <w:r w:rsidRPr="009C414F">
        <w:rPr>
          <w:i/>
          <w:iCs/>
        </w:rPr>
        <w:t>Mol Genet Metab.</w:t>
      </w:r>
      <w:r w:rsidRPr="009C414F">
        <w:t xml:space="preserve">, vol. 108, no. 2, Feb, pp. 132-137. </w:t>
      </w:r>
      <w:proofErr w:type="gramStart"/>
      <w:r w:rsidRPr="009C414F">
        <w:t>[Molecular genetics and metabolism].</w:t>
      </w:r>
      <w:proofErr w:type="gramEnd"/>
    </w:p>
    <w:p w:rsidR="003F2866" w:rsidRPr="009C414F" w:rsidRDefault="003F2866" w:rsidP="003F2866">
      <w:proofErr w:type="gramStart"/>
      <w:r w:rsidRPr="009C414F">
        <w:t xml:space="preserve">Thompson, L, Bleakley, C &amp; Hallows, L 2010, 'Experience of switching enzyme replacement therapy (ERT) products in patients with Anderson fabry disease: A specialist nurse perspective', </w:t>
      </w:r>
      <w:r w:rsidRPr="009C414F">
        <w:rPr>
          <w:i/>
          <w:iCs/>
        </w:rPr>
        <w:t>Journal of Inherited Metabolic Disease</w:t>
      </w:r>
      <w:r w:rsidRPr="009C414F">
        <w:t>, vol. 33, p. S153.</w:t>
      </w:r>
      <w:proofErr w:type="gramEnd"/>
    </w:p>
    <w:p w:rsidR="003F2866" w:rsidRPr="009C414F" w:rsidRDefault="003F2866" w:rsidP="003F2866">
      <w:r w:rsidRPr="009C414F">
        <w:t xml:space="preserve">Tondel, C, Bostad, L, Larsen, KK, Hirth, A, Vikse, BE, Houge, G &amp; Svarstad, E 2013, 'Agalsidase benefits renal histology in young patients with Fabry disease', </w:t>
      </w:r>
      <w:r w:rsidRPr="009C414F">
        <w:rPr>
          <w:i/>
          <w:iCs/>
        </w:rPr>
        <w:t>Journal of the American Society of Nephrology</w:t>
      </w:r>
      <w:r w:rsidRPr="009C414F">
        <w:t>, vol. 24, no. 1, pp. 137-148.</w:t>
      </w:r>
    </w:p>
    <w:p w:rsidR="003F2866" w:rsidRPr="009C414F" w:rsidRDefault="003F2866" w:rsidP="003F2866">
      <w:proofErr w:type="gramStart"/>
      <w:r w:rsidRPr="009C414F">
        <w:t xml:space="preserve">Tondel, C, Bostad, L &amp; Svarstad, E 2010, 'Renal follow-up biopsies in young male fabry patients on enzyme replacement therapy', </w:t>
      </w:r>
      <w:r w:rsidRPr="009C414F">
        <w:rPr>
          <w:i/>
          <w:iCs/>
        </w:rPr>
        <w:t>Clinical Therapeutics</w:t>
      </w:r>
      <w:r w:rsidRPr="009C414F">
        <w:t>, vol. 32, pp. S105-S107.</w:t>
      </w:r>
      <w:proofErr w:type="gramEnd"/>
    </w:p>
    <w:p w:rsidR="003F2866" w:rsidRPr="009C414F" w:rsidRDefault="003F2866" w:rsidP="003F2866">
      <w:proofErr w:type="gramStart"/>
      <w:r w:rsidRPr="009C414F">
        <w:t xml:space="preserve">Tsuboi, K 2007, 'Enzyme replacement therapy in patients with Fabry's disease', </w:t>
      </w:r>
      <w:r w:rsidRPr="009C414F">
        <w:rPr>
          <w:i/>
          <w:iCs/>
        </w:rPr>
        <w:t>Journal of International Medical Research</w:t>
      </w:r>
      <w:r w:rsidRPr="009C414F">
        <w:t>, vol. 35, no. 4, pp. 574-581.</w:t>
      </w:r>
      <w:proofErr w:type="gramEnd"/>
    </w:p>
    <w:p w:rsidR="003F2866" w:rsidRPr="009C414F" w:rsidRDefault="003F2866" w:rsidP="003F2866">
      <w:r w:rsidRPr="009C414F">
        <w:t xml:space="preserve">Tsuboi, K &amp; Yamamoto, H 2012, 'Clinical observation of patients with Fabry disease after switching from agalsidase beta (Fabrazyme) to agalsidase alfa (Replagal)', </w:t>
      </w:r>
      <w:r w:rsidRPr="009C414F">
        <w:rPr>
          <w:i/>
          <w:iCs/>
        </w:rPr>
        <w:t>Genetics in Medicine</w:t>
      </w:r>
      <w:r w:rsidRPr="009C414F">
        <w:t>, vol. 14, no. 9, pp. 779-786.</w:t>
      </w:r>
    </w:p>
    <w:p w:rsidR="003F2866" w:rsidRPr="009C414F" w:rsidRDefault="003F2866" w:rsidP="003F2866">
      <w:proofErr w:type="gramStart"/>
      <w:r w:rsidRPr="009C414F">
        <w:t xml:space="preserve">—— 2014, 'Clinical course of patients with Fabry disease who were switched from agalsidase-beta to agalsidase-alpha', </w:t>
      </w:r>
      <w:r w:rsidRPr="009C414F">
        <w:rPr>
          <w:i/>
          <w:iCs/>
        </w:rPr>
        <w:t>Genet Med</w:t>
      </w:r>
      <w:r w:rsidRPr="009C414F">
        <w:t>, Mar 20.</w:t>
      </w:r>
      <w:proofErr w:type="gramEnd"/>
    </w:p>
    <w:p w:rsidR="003F2866" w:rsidRPr="009C414F" w:rsidRDefault="003F2866" w:rsidP="003F2866">
      <w:r w:rsidRPr="009C414F">
        <w:t xml:space="preserve">Wakabayashi, T, Sakuma, M, Morita, A, Ohashi, T, Eto, Y &amp; Ida, H 2013, 'The effect of switching treatment from agalsidase-(beta) to agalsidase-(alpha) on renal function in 18 adults with Fabry disease', </w:t>
      </w:r>
      <w:r w:rsidRPr="009C414F">
        <w:rPr>
          <w:i/>
          <w:iCs/>
        </w:rPr>
        <w:t>Journal of Inherited Metabolic Disease</w:t>
      </w:r>
      <w:r w:rsidRPr="009C414F">
        <w:t>, vol. 36, no. 2, p. S282.</w:t>
      </w:r>
    </w:p>
    <w:p w:rsidR="003F2866" w:rsidRPr="009C414F" w:rsidRDefault="003F2866" w:rsidP="003F2866">
      <w:r w:rsidRPr="009C414F">
        <w:t xml:space="preserve">Warnock, GD, Jackson, L, Thomas, C, Phillips, E, Guasch, T, Laney, AD, Charrow, J &amp; Widera, S 2010, 'Fabry nephropathy (FN) and the agalsidase beta and ARBs and ACE inhibitor treatment (FAACET) study: Determinants of proteinuria during the titration phase', </w:t>
      </w:r>
      <w:r w:rsidRPr="009C414F">
        <w:rPr>
          <w:i/>
          <w:iCs/>
        </w:rPr>
        <w:t>Molecular Genetics and Metabolism</w:t>
      </w:r>
      <w:r w:rsidRPr="009C414F">
        <w:t>, vol. 99, no. 2, p. S38.</w:t>
      </w:r>
    </w:p>
    <w:p w:rsidR="003F2866" w:rsidRPr="009C414F" w:rsidRDefault="003F2866" w:rsidP="003F2866">
      <w:r w:rsidRPr="009C414F">
        <w:t xml:space="preserve">Weidemann, F, Kramer, J, Duning, T, Lenders, M, Canaan-Kuhl, S, Krebs, A, Gonzalez, HG, Sommer, C, Uceyler, N, Niemann, M, Stork, S, Schelleckes, M, Reiermann, S, Stypmann, J, Brand, SM, Wanner, C &amp; Brand, E 2014, 'Patients with Fabry Disease after Enzyme Replacement Therapy Dose Reduction Versus Treatment Switch', </w:t>
      </w:r>
      <w:r w:rsidRPr="009C414F">
        <w:rPr>
          <w:i/>
          <w:iCs/>
        </w:rPr>
        <w:t>Journal of the American Society of Nephrology</w:t>
      </w:r>
      <w:r w:rsidRPr="009C414F">
        <w:t>, vol. 25, no. 4, pp. 837-849.</w:t>
      </w:r>
    </w:p>
    <w:p w:rsidR="003F2866" w:rsidRPr="009C414F" w:rsidRDefault="003F2866" w:rsidP="003F2866">
      <w:proofErr w:type="gramStart"/>
      <w:r w:rsidRPr="009C414F">
        <w:t xml:space="preserve">West, M &amp; Lemoine, K 2006, 'Effect of changing therapy from agalsidase beta to agalsidase alfa in patients with Fabry disease', </w:t>
      </w:r>
      <w:r w:rsidRPr="009C414F">
        <w:rPr>
          <w:i/>
          <w:iCs/>
        </w:rPr>
        <w:t>Acta Paediatrica</w:t>
      </w:r>
      <w:r w:rsidRPr="009C414F">
        <w:t>, vol. 95, Apr, pp. 136-136.</w:t>
      </w:r>
      <w:proofErr w:type="gramEnd"/>
    </w:p>
    <w:p w:rsidR="003F2866" w:rsidRDefault="003F2866" w:rsidP="003F2866">
      <w:r w:rsidRPr="009C414F">
        <w:t xml:space="preserve">Wuest, W, Machann, W, Breunig, F, Weidemann, F, Koestler, H, Hahn, D, Wanner, C &amp; Beer, M 2011, 'Right ventricular involvement in patients with Fabry's disease and the effect of enzyme replacement therapy', </w:t>
      </w:r>
      <w:r w:rsidRPr="009C414F">
        <w:rPr>
          <w:i/>
          <w:iCs/>
        </w:rPr>
        <w:t>RoFo : Fortschritte auf dem Gebiete der Rontgenstrahlen und der Nuklearmedizin</w:t>
      </w:r>
      <w:r w:rsidRPr="009C414F">
        <w:t>, vol. 183, no. 11, pp. 1037-1042.</w:t>
      </w:r>
    </w:p>
    <w:p w:rsidR="0063378B" w:rsidRPr="009C414F" w:rsidRDefault="0063378B" w:rsidP="003F2866"/>
    <w:p w:rsidR="003F2866" w:rsidRDefault="003F2866" w:rsidP="0063378B">
      <w:pPr>
        <w:pStyle w:val="Heading3"/>
      </w:pPr>
      <w:r>
        <w:lastRenderedPageBreak/>
        <w:t>Erratum</w:t>
      </w:r>
    </w:p>
    <w:p w:rsidR="003F2866" w:rsidRPr="0094443F" w:rsidRDefault="003F2866" w:rsidP="003F2866">
      <w:r w:rsidRPr="0094443F">
        <w:t xml:space="preserve">Tsuboi, K &amp; Yamamoto, H 2012, 'Erratum: Clinical observation of patients with Fabry disease after switching from agalsidase beta (Fabrazyme) to agalsidase alfa (Replagal) (Genetics in Medicine (2012) DOI:10.1038/gim.2012.39)', </w:t>
      </w:r>
      <w:r w:rsidRPr="0094443F">
        <w:rPr>
          <w:i/>
          <w:iCs/>
        </w:rPr>
        <w:t>Genetics in Medicine</w:t>
      </w:r>
      <w:r w:rsidRPr="0094443F">
        <w:t>, vol. 14, no. 8, p. 762.</w:t>
      </w:r>
    </w:p>
    <w:p w:rsidR="003F2866" w:rsidRDefault="003F2866" w:rsidP="003F2866">
      <w:r w:rsidRPr="0094443F">
        <w:t xml:space="preserve">WCB WR, MM, R Finkel, S Packman 2009, 'Erratum', </w:t>
      </w:r>
      <w:r w:rsidRPr="0094443F">
        <w:rPr>
          <w:i/>
          <w:iCs/>
        </w:rPr>
        <w:t>American Journal of Nephrology</w:t>
      </w:r>
      <w:r w:rsidRPr="0094443F">
        <w:t>, vol. 29, no. 5, pp. 361-361.</w:t>
      </w:r>
    </w:p>
    <w:p w:rsidR="0063378B" w:rsidRDefault="0063378B" w:rsidP="003F2866"/>
    <w:p w:rsidR="00E42A3F" w:rsidRPr="0063378B" w:rsidRDefault="00E42A3F" w:rsidP="00E5335E">
      <w:pPr>
        <w:pStyle w:val="Heading3"/>
      </w:pPr>
      <w:r w:rsidRPr="0063378B">
        <w:t>Agalsidase alfa versus placebo</w:t>
      </w:r>
    </w:p>
    <w:p w:rsidR="00E42A3F" w:rsidRDefault="00E42A3F" w:rsidP="0063378B">
      <w:pPr>
        <w:pStyle w:val="Heading3"/>
      </w:pPr>
      <w:r>
        <w:t>Dose comparison (two doses of same treatment, without alternative treatment as comparator)</w:t>
      </w:r>
    </w:p>
    <w:p w:rsidR="00E42A3F" w:rsidRDefault="00E42A3F" w:rsidP="00E42A3F">
      <w:r w:rsidRPr="005437FD">
        <w:t>Hughes, DA, Deegan, PB, Milligan, A, Wright, N, Butler, LH, Jacobs, A &amp; Mehta, AB 2013, 'A randomised, double-blind, placebo-controlled, crossover study to assess the efficacy and safety of three dosing schedules of agalsidase alfa enzyme replacement therapy for Fabry disease', Mol Genet Metab, vol. 109, no. 3, Jul, pp. 269-275.</w:t>
      </w:r>
    </w:p>
    <w:p w:rsidR="0063378B" w:rsidRDefault="0063378B" w:rsidP="00E42A3F"/>
    <w:p w:rsidR="003E3BE4" w:rsidRPr="0094443F" w:rsidRDefault="00152AC9" w:rsidP="003E3BE4">
      <w:pPr>
        <w:pStyle w:val="Heading3"/>
      </w:pPr>
      <w:r>
        <w:t xml:space="preserve">Wrong </w:t>
      </w:r>
      <w:r w:rsidR="0028582C">
        <w:t>o</w:t>
      </w:r>
      <w:r w:rsidR="003E3BE4">
        <w:t xml:space="preserve">utcomes </w:t>
      </w:r>
    </w:p>
    <w:p w:rsidR="003E3BE4" w:rsidRDefault="003E3BE4" w:rsidP="003E3BE4">
      <w:r>
        <w:t>Hajioff, D, Enever, Y, Quiney, R, Zuckerman, J, Macdermot, K &amp; Mehta, A 2003, 'Hearing loss in Fabry disease: The effect of agalsidase alfa replacement therapy', Journal of Inherited Metabolic Disease, vol. 26, no. 8, pp. 787-794.</w:t>
      </w:r>
    </w:p>
    <w:p w:rsidR="003E3BE4" w:rsidRDefault="003E3BE4" w:rsidP="003E3BE4">
      <w:r>
        <w:t xml:space="preserve">Hajioff, D, Goodwin, S, Quiney, R, Zuckerman, J, MacDermot, KD &amp; Mehta, A 2003, 'Hearing improvement in patients with Fabry disease treated with agalsidase alfa', Acta paediatrica (Oslo, </w:t>
      </w:r>
      <w:proofErr w:type="gramStart"/>
      <w:r>
        <w:t>Norway :</w:t>
      </w:r>
      <w:proofErr w:type="gramEnd"/>
      <w:r>
        <w:t xml:space="preserve"> 1992). </w:t>
      </w:r>
      <w:proofErr w:type="gramStart"/>
      <w:r>
        <w:t>Supplement, vol. 92, no. 443, pp. 28-30; discussion 27.</w:t>
      </w:r>
      <w:proofErr w:type="gramEnd"/>
    </w:p>
    <w:p w:rsidR="003E3BE4" w:rsidRPr="005437FD" w:rsidRDefault="003E3BE4" w:rsidP="00E42A3F"/>
    <w:p w:rsidR="00E42A3F" w:rsidRPr="0094443F" w:rsidRDefault="00E42A3F" w:rsidP="0063378B">
      <w:pPr>
        <w:pStyle w:val="Heading3"/>
      </w:pPr>
      <w:r>
        <w:t>Duplicated data</w:t>
      </w:r>
    </w:p>
    <w:p w:rsidR="004620F8" w:rsidRPr="004620F8" w:rsidRDefault="004620F8" w:rsidP="00E42A3F">
      <w:r w:rsidRPr="004620F8">
        <w:t>Moore, DF, Scott, LT, Gladwin, MT, Altarescu, G, Kaneski, C, Suzuki, K, Pease-Fye, M, Ferri, R, Brady, RO, Herscovitch, P &amp; Schiffmann, R 2001, 'Regional cerebral hyperperfusion and nitric oxide pathway dysregulation in Fabry disease: reversal by enzyme replacement therapy', Circulation, vol. 104, no. 13, Sep 25, pp. 1506-1512.</w:t>
      </w:r>
    </w:p>
    <w:p w:rsidR="00E42A3F" w:rsidRDefault="00E42A3F" w:rsidP="00E42A3F">
      <w:r>
        <w:t>Schiffmann, R, Hauer, P, Freeman, B, Ries, M, Scott, LJC, Polydefkis, M, Brady, RO, McArthur, JC &amp; Wagner, K 2006, 'Enzyme replacement therapy and intraepidermal innervation density in fabry disease', Muscle Nerve, vol. 34, no. 1, pp. 53-56.</w:t>
      </w:r>
    </w:p>
    <w:p w:rsidR="00E42A3F" w:rsidRDefault="00E42A3F" w:rsidP="00E42A3F">
      <w:r>
        <w:t xml:space="preserve">Schiffmann, R, Martin, RA, Reimschisel, T, Johnson, K, Castaneda, V, Lien, YH, Pastores, GM, Kampmann, C, Ries, M &amp; Clarke, JTR 2010, 'Four-Year Prospective Clinical Trial of Agalsidase </w:t>
      </w:r>
      <w:r>
        <w:lastRenderedPageBreak/>
        <w:t xml:space="preserve">Alfa in Children with Fabry Disease', J. Pediatr. </w:t>
      </w:r>
      <w:proofErr w:type="gramStart"/>
      <w:r>
        <w:t>(N. Y., NY, U. S.), vol. 156, no. 5, pp. 832-837, e832/831.</w:t>
      </w:r>
      <w:proofErr w:type="gramEnd"/>
    </w:p>
    <w:p w:rsidR="00E42A3F" w:rsidRDefault="00E42A3F" w:rsidP="00E42A3F">
      <w:r>
        <w:t>Schiffmann, R, Ries, M, Blankenship, D, Nicholls, K, Mehta, A, Clarke, JT, Steiner, RD, Beck, M, Barshop, BA, Rhead, W, West, M, Martin, R, Amato, D, Nair, N &amp; Huertas, P 2013, 'Changes in plasma and urine globotriaosylceramide levels do not predict Fabry disease progression over 1 year of agalsidase alfa', Genet Med, vol. 15, no. 12, Dec, pp. 983-989.</w:t>
      </w:r>
    </w:p>
    <w:p w:rsidR="00E42A3F" w:rsidRDefault="00E42A3F" w:rsidP="00E42A3F">
      <w:r>
        <w:t>Thurberg, BL, Rennke, H, Colvin, RB, Dikman, S, Gordon, RE, Collins, AB, Desnick, RJ &amp; O'Callaghan, M 2002, 'Globotriaosylceramide accumulation in the fabry kidney is cleared from multiple cell types after enzyme replacement therapy', Kidney International, vol. 62, no. 6, pp. 1933-1946.</w:t>
      </w:r>
    </w:p>
    <w:p w:rsidR="00E42A3F" w:rsidRDefault="00E42A3F" w:rsidP="00E42A3F">
      <w:r>
        <w:t>West, M, Nicholls, K, Mehta, A, Clarke, JTR, Steiner, R, Beck, M, Barshop, BA, Rhead, W, Mensah, R, Ries, M &amp; Schiffmann, R 2009, 'Agalsidase alfa and kidney dysfunction in Fabry disease', Journal of the American Society of Nephrology, vol. 20, no. 5, pp. 1132-1139.</w:t>
      </w:r>
    </w:p>
    <w:p w:rsidR="0063378B" w:rsidRDefault="0063378B" w:rsidP="00E42A3F"/>
    <w:p w:rsidR="00E42A3F" w:rsidRDefault="00E42A3F" w:rsidP="0063378B">
      <w:pPr>
        <w:pStyle w:val="Heading3"/>
      </w:pPr>
      <w:r>
        <w:t>Cohort study</w:t>
      </w:r>
    </w:p>
    <w:p w:rsidR="00E42A3F" w:rsidRPr="00D87F6E" w:rsidRDefault="00E42A3F" w:rsidP="00E42A3F">
      <w:r w:rsidRPr="00D87F6E">
        <w:t xml:space="preserve">Germain, DP, Weidemann, F, Abiose, A, Patel, MR, Cizmarik, M, Cole, JA, Beitner-Johnson, D, Benistan, K, Cabrera, G, Charrow, J, Kantola, I, Linhart, A, Nicholls, K, Niemann, M, Scott, CR, Sims, K, Waldek, S, Warnock, DG, Strotmann, J &amp; Fabry, R 2013, 'Analysis of left ventricular mass in untreated men and in men treated with agalsidase-beta: data from the Fabry Registry', </w:t>
      </w:r>
      <w:r w:rsidRPr="00D87F6E">
        <w:rPr>
          <w:i/>
          <w:iCs/>
        </w:rPr>
        <w:t>Genetics in Medicine</w:t>
      </w:r>
      <w:r w:rsidRPr="00D87F6E">
        <w:t>, vol. 15, no. 12, pp. 958-965.</w:t>
      </w:r>
    </w:p>
    <w:p w:rsidR="00E42A3F" w:rsidRPr="00D87F6E" w:rsidRDefault="00E42A3F" w:rsidP="00E42A3F">
      <w:r w:rsidRPr="00D87F6E">
        <w:t xml:space="preserve">Hoffmann, B, Beck, M, Sunder-Plassmann, G, Borsini, W, Ricci, R, Mehta, A &amp; Invest, FOSE 2007, 'Nature and prevalence of pain in Fabry disease and its response to enzyme replacement therapy - A retrospective analysis from the Fabry outcome survey', </w:t>
      </w:r>
      <w:r w:rsidRPr="00D87F6E">
        <w:rPr>
          <w:i/>
          <w:iCs/>
        </w:rPr>
        <w:t>Clinical Journal of Pain</w:t>
      </w:r>
      <w:r w:rsidRPr="00D87F6E">
        <w:t>, vol. 23, no. 6, pp. 535-542.</w:t>
      </w:r>
    </w:p>
    <w:p w:rsidR="00E42A3F" w:rsidRPr="00D87F6E" w:rsidRDefault="00E42A3F" w:rsidP="00E42A3F">
      <w:r w:rsidRPr="00D87F6E">
        <w:t xml:space="preserve">Hoffmann, B, Garcia de Lorenzo, A, Mehta, A, Beck, M, Widmer, U &amp; Ricci, R 2005, 'Effects of enzyme replacement therapy on pain and health related quality of life in patients with Fabry disease: data from FOS (Fabry Outcome Survey)', </w:t>
      </w:r>
      <w:r w:rsidRPr="00D87F6E">
        <w:rPr>
          <w:i/>
          <w:iCs/>
        </w:rPr>
        <w:t>J Med Genet</w:t>
      </w:r>
      <w:r w:rsidRPr="00D87F6E">
        <w:t>, vol. 42, no. 3, Mar, pp. 247-252.</w:t>
      </w:r>
    </w:p>
    <w:p w:rsidR="00E42A3F" w:rsidRPr="00D87F6E" w:rsidRDefault="00E42A3F" w:rsidP="00E42A3F">
      <w:r w:rsidRPr="00D87F6E">
        <w:t xml:space="preserve">Hoffmann, B, Schwarz, M, Mehta, A, Keshav, S &amp; Fabry Outcome Survey European, I 2007, 'Gastrointestinal symptoms in 342 patients with Fabry disease: Prevalence and response to enzyme replacement therapy', </w:t>
      </w:r>
      <w:r w:rsidRPr="00D87F6E">
        <w:rPr>
          <w:i/>
          <w:iCs/>
        </w:rPr>
        <w:t>Clinical Gastroenterology and Hepatology</w:t>
      </w:r>
      <w:r w:rsidRPr="00D87F6E">
        <w:t>, vol. 5, no. 12, pp. 1447-1453.</w:t>
      </w:r>
    </w:p>
    <w:p w:rsidR="00E42A3F" w:rsidRDefault="00E42A3F" w:rsidP="0063378B">
      <w:pPr>
        <w:pStyle w:val="Heading3"/>
      </w:pPr>
      <w:r>
        <w:t>Case series</w:t>
      </w:r>
    </w:p>
    <w:p w:rsidR="00E42A3F" w:rsidRPr="00D87F6E" w:rsidRDefault="00E42A3F" w:rsidP="00E42A3F">
      <w:r w:rsidRPr="00D87F6E">
        <w:t xml:space="preserve">Baehner, F, Kampmann, C, Whybra, C, Miebach, E, Wiethoff, CM &amp; Beck, M 2003, 'Enzyme replacement therapy in heterozygous females with Fabry disease: results of a phase IIIB study', </w:t>
      </w:r>
      <w:r w:rsidRPr="00D87F6E">
        <w:rPr>
          <w:i/>
          <w:iCs/>
        </w:rPr>
        <w:t>Journal of Inherited Metabolic Disease</w:t>
      </w:r>
      <w:r w:rsidRPr="00D87F6E">
        <w:t>, vol. 26, no. 7, pp. 617-627.</w:t>
      </w:r>
    </w:p>
    <w:p w:rsidR="00E42A3F" w:rsidRPr="00D87F6E" w:rsidRDefault="00E42A3F" w:rsidP="00E42A3F">
      <w:r w:rsidRPr="00D87F6E">
        <w:lastRenderedPageBreak/>
        <w:t xml:space="preserve">Barbey, F &amp; Livio, F 2006, 'Safety of enzyme replacement therapy', </w:t>
      </w:r>
      <w:r w:rsidRPr="00D87F6E">
        <w:rPr>
          <w:i/>
          <w:iCs/>
        </w:rPr>
        <w:t>Fabry Disease: Perspectives from 5 Years of FOS</w:t>
      </w:r>
      <w:r w:rsidRPr="00D87F6E">
        <w:t>.</w:t>
      </w:r>
    </w:p>
    <w:p w:rsidR="00E42A3F" w:rsidRPr="00D87F6E" w:rsidRDefault="00E42A3F" w:rsidP="00E42A3F">
      <w:r w:rsidRPr="00D87F6E">
        <w:t xml:space="preserve">Beck, M, Ricci, R, Widmer, U, Dehout, F, García De Lorenzo, A, Kampmann, C, Linhart, A, Sunder-Plassmann, G, Houge, G, Ramaswami, U, Gal, A &amp; Mehta, A 2004, 'Fabry disease: Overall effects of agalsidase alfa treatment', </w:t>
      </w:r>
      <w:r w:rsidRPr="00D87F6E">
        <w:rPr>
          <w:i/>
          <w:iCs/>
        </w:rPr>
        <w:t>European Journal of Clinical Investigation</w:t>
      </w:r>
      <w:r w:rsidRPr="00D87F6E">
        <w:t>, vol. 34, no. 12, pp. 838-844.</w:t>
      </w:r>
    </w:p>
    <w:p w:rsidR="00E42A3F" w:rsidRPr="00D87F6E" w:rsidRDefault="00E42A3F" w:rsidP="00E42A3F">
      <w:r w:rsidRPr="00D87F6E">
        <w:t xml:space="preserve">Bongiorno, MR, Pistone, G &amp; Arico, M 2003, 'Fabry disease: Enzyme replacement therapy', </w:t>
      </w:r>
      <w:r w:rsidRPr="00D87F6E">
        <w:rPr>
          <w:i/>
          <w:iCs/>
        </w:rPr>
        <w:t>Journal of the European Academy of Dermatology and Venereology</w:t>
      </w:r>
      <w:r w:rsidRPr="00D87F6E">
        <w:t>, vol. 17, no. 6, pp. 676-679.</w:t>
      </w:r>
    </w:p>
    <w:p w:rsidR="00E42A3F" w:rsidRPr="00D87F6E" w:rsidRDefault="00E42A3F" w:rsidP="00E42A3F">
      <w:proofErr w:type="gramStart"/>
      <w:r w:rsidRPr="00D87F6E">
        <w:t xml:space="preserve">Breunig, F, Weidemann, F, Strotmann, J, Knoll, A &amp; Wanner, C 2006, 'Clinical benefit of enzyme replacement therapy in Fabry disease', </w:t>
      </w:r>
      <w:r w:rsidRPr="00D87F6E">
        <w:rPr>
          <w:i/>
          <w:iCs/>
        </w:rPr>
        <w:t>Kidney International</w:t>
      </w:r>
      <w:r w:rsidRPr="00D87F6E">
        <w:t>, vol. 69, no. 7, pp. 1216-1221.</w:t>
      </w:r>
      <w:proofErr w:type="gramEnd"/>
    </w:p>
    <w:p w:rsidR="00E42A3F" w:rsidRPr="00D87F6E" w:rsidRDefault="00E42A3F" w:rsidP="00E42A3F">
      <w:proofErr w:type="gramStart"/>
      <w:r w:rsidRPr="00D87F6E">
        <w:t xml:space="preserve">Cybulla, M, Walter, KN, Schwarting, A, Divito, R, Feriozzi, S &amp; Sunder-Plassmann, G 2009, 'Kidney transplantation in patients with Fabry disease', </w:t>
      </w:r>
      <w:r w:rsidRPr="00D87F6E">
        <w:rPr>
          <w:i/>
          <w:iCs/>
        </w:rPr>
        <w:t>Transpl Int</w:t>
      </w:r>
      <w:r w:rsidRPr="00D87F6E">
        <w:t>, vol. 22, no. 4, Apr, pp. 475-481.</w:t>
      </w:r>
      <w:proofErr w:type="gramEnd"/>
    </w:p>
    <w:p w:rsidR="00E42A3F" w:rsidRPr="00D87F6E" w:rsidRDefault="00E42A3F" w:rsidP="00E42A3F">
      <w:r w:rsidRPr="00D87F6E">
        <w:t xml:space="preserve">Cybulla, M, West, M, Nicholls, K, Torras, J, Neumann, P, Sunder-Plassmann, G &amp; Feriozzi, S 2014, 'Efficacy and safety of enzyme replacement therapy (ERT) in acohort of kidney transplant recipients with Fabry disease', </w:t>
      </w:r>
      <w:r w:rsidRPr="00D87F6E">
        <w:rPr>
          <w:i/>
          <w:iCs/>
        </w:rPr>
        <w:t>Nephrology Dialysis Transplantation</w:t>
      </w:r>
      <w:r w:rsidRPr="00D87F6E">
        <w:t>, vol. 29, p. iii349.</w:t>
      </w:r>
    </w:p>
    <w:p w:rsidR="00E42A3F" w:rsidRPr="00D87F6E" w:rsidRDefault="00E42A3F" w:rsidP="00E42A3F">
      <w:r w:rsidRPr="00D87F6E">
        <w:t xml:space="preserve">Dehout, F, Roland, D, Treille de Granseigne, S, Guillaume, B &amp; Van Maldergem, L 2004, 'Relief of gastrointestinal symptoms under enzyme replacement therapy [corrected] in patients with Fabry disease', </w:t>
      </w:r>
      <w:r w:rsidRPr="00D87F6E">
        <w:rPr>
          <w:i/>
          <w:iCs/>
        </w:rPr>
        <w:t>J Inherit Metab Dis</w:t>
      </w:r>
      <w:r w:rsidRPr="00D87F6E">
        <w:t>, vol. 27, no. 4, pp. 499-505.</w:t>
      </w:r>
    </w:p>
    <w:p w:rsidR="00E42A3F" w:rsidRPr="00D87F6E" w:rsidRDefault="00E42A3F" w:rsidP="00E42A3F">
      <w:r w:rsidRPr="00D87F6E">
        <w:t xml:space="preserve">Dehout, F, Schwarting, A, Beck, M, Mehta, A, Ricci, R &amp; Widmer, U 2003, 'Effects of enzyme replacement therapy with agalsidase alfa on glomerular filtration rate in patients with Fabry disease: preliminary data', </w:t>
      </w:r>
      <w:r w:rsidRPr="00D87F6E">
        <w:rPr>
          <w:i/>
          <w:iCs/>
        </w:rPr>
        <w:t>Acta Paediatr Suppl</w:t>
      </w:r>
      <w:r w:rsidRPr="00D87F6E">
        <w:t>, vol. 92, no. 443, Dec, pp. 14-15; discussion 15.</w:t>
      </w:r>
    </w:p>
    <w:p w:rsidR="00E42A3F" w:rsidRPr="00D87F6E" w:rsidRDefault="00E42A3F" w:rsidP="00E42A3F">
      <w:proofErr w:type="gramStart"/>
      <w:r w:rsidRPr="00D87F6E">
        <w:t xml:space="preserve">Feriozzi, S 2009, 'Agalsidase alfa slows the decline in renal function in patients with Fabry disease (vol 29, pg 353, 2009)', </w:t>
      </w:r>
      <w:r w:rsidRPr="00D87F6E">
        <w:rPr>
          <w:i/>
          <w:iCs/>
        </w:rPr>
        <w:t>American Journal of Nephrology</w:t>
      </w:r>
      <w:r w:rsidRPr="00D87F6E">
        <w:t>, vol. 29, no. 5.</w:t>
      </w:r>
      <w:proofErr w:type="gramEnd"/>
    </w:p>
    <w:p w:rsidR="00E42A3F" w:rsidRPr="00D87F6E" w:rsidRDefault="00E42A3F" w:rsidP="00E42A3F">
      <w:r w:rsidRPr="00D87F6E">
        <w:t xml:space="preserve">Feriozzi, S, Schwarting, A, Sunder-Plassmann, G, West, M &amp; Cybulla, M 2009, 'Agalsidase Alfa Slows the Decline in Renal Function in Patients with Fabry Disease', </w:t>
      </w:r>
      <w:r w:rsidRPr="00D87F6E">
        <w:rPr>
          <w:i/>
          <w:iCs/>
        </w:rPr>
        <w:t>Am. J. Nephrol.</w:t>
      </w:r>
      <w:r w:rsidRPr="00D87F6E">
        <w:t>, vol. 29, no. 5, pp. 353-361.</w:t>
      </w:r>
    </w:p>
    <w:p w:rsidR="00E42A3F" w:rsidRPr="00D87F6E" w:rsidRDefault="00E42A3F" w:rsidP="00E42A3F">
      <w:r w:rsidRPr="00D87F6E">
        <w:t xml:space="preserve">Feriozzi, S, Torras, J, Cybulla, M, Nicholls, K, Sunder-Plassmann, G &amp; West, M 2012, 'The effectiveness of long-term agalsidase alfa therapy in the treatment of Fabry nephropathy', </w:t>
      </w:r>
      <w:r w:rsidRPr="00D87F6E">
        <w:rPr>
          <w:i/>
          <w:iCs/>
        </w:rPr>
        <w:t>Clin J Am Soc Nephrol</w:t>
      </w:r>
      <w:r w:rsidRPr="00D87F6E">
        <w:t>, vol. 7, no. 1, Jan, pp. 60-69.</w:t>
      </w:r>
    </w:p>
    <w:p w:rsidR="00E42A3F" w:rsidRPr="00D87F6E" w:rsidRDefault="00E42A3F" w:rsidP="00E42A3F">
      <w:r w:rsidRPr="00D87F6E">
        <w:t xml:space="preserve">Hajioff, D, Hegemannn, S, Conti, G, Beck, M, Sunder-Plassmann, G, Widmer, U, Mehta, A &amp; Keilmann, A 2006, 'Agalsidase alpha and hearing in Fabry disease: Data from the Fabry Outcome Survey', </w:t>
      </w:r>
      <w:r w:rsidRPr="00D87F6E">
        <w:rPr>
          <w:i/>
          <w:iCs/>
        </w:rPr>
        <w:t>European Journal of Clinical Investigation</w:t>
      </w:r>
      <w:r w:rsidRPr="00D87F6E">
        <w:t>, vol. 36, no. 9, pp. 663-667.</w:t>
      </w:r>
    </w:p>
    <w:p w:rsidR="00E42A3F" w:rsidRPr="00D87F6E" w:rsidRDefault="00E42A3F" w:rsidP="00E42A3F">
      <w:proofErr w:type="gramStart"/>
      <w:r w:rsidRPr="00D87F6E">
        <w:lastRenderedPageBreak/>
        <w:t xml:space="preserve">Hartung, R, Schaefer, E, Mengel, E &amp; Beck, M 2006, 'Infusion reactions to agalsidase alfa in relation to Fabry genotype', </w:t>
      </w:r>
      <w:r w:rsidRPr="00D87F6E">
        <w:rPr>
          <w:i/>
          <w:iCs/>
        </w:rPr>
        <w:t>Acta Paediatrica</w:t>
      </w:r>
      <w:r w:rsidRPr="00D87F6E">
        <w:t>, vol. 95, Apr, pp. 137-137.</w:t>
      </w:r>
      <w:proofErr w:type="gramEnd"/>
    </w:p>
    <w:p w:rsidR="00E42A3F" w:rsidRPr="00D87F6E" w:rsidRDefault="00E42A3F" w:rsidP="00E42A3F">
      <w:r w:rsidRPr="00D87F6E">
        <w:t xml:space="preserve">Hilz, MJ, Brys, M, Marthol, H, Stemper, B &amp; Duetsch, M 2004, 'Enzyme replacement therapy improves function of C-, Aδ-, and Aβ-nerve fibers in Fabry neuropathy', </w:t>
      </w:r>
      <w:r w:rsidRPr="00D87F6E">
        <w:rPr>
          <w:i/>
          <w:iCs/>
        </w:rPr>
        <w:t>Neurology</w:t>
      </w:r>
      <w:r w:rsidRPr="00D87F6E">
        <w:t>, vol. 62, no. 7, pp. 1066-1072.</w:t>
      </w:r>
    </w:p>
    <w:p w:rsidR="00E42A3F" w:rsidRPr="00D87F6E" w:rsidRDefault="00E42A3F" w:rsidP="00E42A3F">
      <w:r w:rsidRPr="00D87F6E">
        <w:t xml:space="preserve">Hoffmann, B, Schwarz, M, Mehta, A &amp; Keshav, S 2007, 'Gastrointestinal symptoms in 342 patients with Fabry disease: prevalence and response to enzyme replacement therapy', </w:t>
      </w:r>
      <w:r w:rsidRPr="00D87F6E">
        <w:rPr>
          <w:i/>
          <w:iCs/>
        </w:rPr>
        <w:t>Clin Gastroenterol Hepatol</w:t>
      </w:r>
      <w:r w:rsidRPr="00D87F6E">
        <w:t>, vol. 5, no. 12, pp. 1447-1453.</w:t>
      </w:r>
    </w:p>
    <w:p w:rsidR="00E42A3F" w:rsidRPr="00D87F6E" w:rsidRDefault="00E42A3F" w:rsidP="00E42A3F">
      <w:r w:rsidRPr="00D87F6E">
        <w:t xml:space="preserve">Hughes, DA, Barba Romero, MA, Hollak, CE, Giugliani, R &amp; Deegan, PB 2011, 'Response of women with Fabry disease to enzyme replacement therapy: comparison with men, using data from FOS--the Fabry Outcome Survey', </w:t>
      </w:r>
      <w:r w:rsidRPr="00D87F6E">
        <w:rPr>
          <w:i/>
          <w:iCs/>
        </w:rPr>
        <w:t>Mol Genet Metab</w:t>
      </w:r>
      <w:r w:rsidRPr="00D87F6E">
        <w:t>, vol. 103, no. 3, Jul, pp. 207-214.</w:t>
      </w:r>
    </w:p>
    <w:p w:rsidR="00E42A3F" w:rsidRPr="00D87F6E" w:rsidRDefault="00E42A3F" w:rsidP="00E42A3F">
      <w:r w:rsidRPr="00D87F6E">
        <w:t xml:space="preserve">Imbriaco, M, Pisani, A, Spinelli, L, Cuocolo, A, Messalli, G, Capuano, E, Marmo, M, Liuzzi, R, Visciano, B, Cianciaruso, B &amp; Salvatore, M 2009, 'Effects of enzyme-replacement therapy in patients with Anderson-Fabry disease: A prospective longterm cardiac magnetic resonance imaging study', </w:t>
      </w:r>
      <w:r w:rsidRPr="00D87F6E">
        <w:rPr>
          <w:i/>
          <w:iCs/>
        </w:rPr>
        <w:t>Heart</w:t>
      </w:r>
      <w:r w:rsidRPr="00D87F6E">
        <w:t>, vol. 95, no. 13, pp. 1103-1107.</w:t>
      </w:r>
    </w:p>
    <w:p w:rsidR="00E42A3F" w:rsidRPr="00D87F6E" w:rsidRDefault="00E42A3F" w:rsidP="00E42A3F">
      <w:r w:rsidRPr="00D87F6E">
        <w:t xml:space="preserve">Jardim, L, Vedolin, L, Schwartz, IV, Burin, MG, Cecchin, C, Kalakun, L, Matte, U, Aesse, F, Pitta-Pinheiro, C, Marconato, J &amp; Giugliani, R 2004, 'CNS involvement in Fabry disease: clinical and imaging studies before and after 12 months of enzyme replacement therapy', </w:t>
      </w:r>
      <w:r w:rsidRPr="00D87F6E">
        <w:rPr>
          <w:i/>
          <w:iCs/>
        </w:rPr>
        <w:t>Journal of Inherited Metabolic Disease</w:t>
      </w:r>
      <w:r w:rsidRPr="00D87F6E">
        <w:t>, vol. 27, no. 2, pp. 229-240.</w:t>
      </w:r>
    </w:p>
    <w:p w:rsidR="00E42A3F" w:rsidRPr="00D87F6E" w:rsidRDefault="00E42A3F" w:rsidP="00E42A3F">
      <w:r w:rsidRPr="00D87F6E">
        <w:t xml:space="preserve">Jardim, LB, Gomes, I, Netto, CB, Nora, DB, Matte, US, Pereira, F, Burin, MG, Kalakun, L, Giugliani, R &amp; Becker, J 2006, 'Improvement of sympathetic skin responses under enzyme replacement therapy in Fabry disease', </w:t>
      </w:r>
      <w:r w:rsidRPr="00D87F6E">
        <w:rPr>
          <w:i/>
          <w:iCs/>
        </w:rPr>
        <w:t>Journal of Inherited Metabolic Disease</w:t>
      </w:r>
      <w:r w:rsidRPr="00D87F6E">
        <w:t>, vol. 29, no. 5, pp. 653-659.</w:t>
      </w:r>
    </w:p>
    <w:p w:rsidR="00E42A3F" w:rsidRPr="00D87F6E" w:rsidRDefault="00E42A3F" w:rsidP="00E42A3F">
      <w:r w:rsidRPr="00D87F6E">
        <w:t xml:space="preserve">Kampmann, C, Linhart, A, Devereux, RB &amp; Schiffmann, R 2009, 'Effect of agalsidase alfa replacement therapy on Fabry disease-related hypertrophic cardiomyopathy: a 12- to 36-month, retrospective, blinded echocardiographic pooled analysis', </w:t>
      </w:r>
      <w:r w:rsidRPr="00D87F6E">
        <w:rPr>
          <w:i/>
          <w:iCs/>
        </w:rPr>
        <w:t>Clin Ther</w:t>
      </w:r>
      <w:r w:rsidRPr="00D87F6E">
        <w:t>, vol. 31, no. 9, Sep, pp. 1966-1976.</w:t>
      </w:r>
    </w:p>
    <w:p w:rsidR="00E42A3F" w:rsidRPr="00D87F6E" w:rsidRDefault="00E42A3F" w:rsidP="00E42A3F">
      <w:r w:rsidRPr="00D87F6E">
        <w:t xml:space="preserve">Kisinovsky, I, Caceres, G, Coronel, C &amp; Reisin, R 2013, 'Home infusion program for Fabry disease: experience with agalsidase alfa in Argentina', </w:t>
      </w:r>
      <w:r w:rsidRPr="00D87F6E">
        <w:rPr>
          <w:i/>
          <w:iCs/>
        </w:rPr>
        <w:t>Medicina (B Aires)</w:t>
      </w:r>
      <w:r w:rsidRPr="00D87F6E">
        <w:t>, vol. 73, no. 1, //, pp. 31-34.</w:t>
      </w:r>
    </w:p>
    <w:p w:rsidR="00E42A3F" w:rsidRPr="00D87F6E" w:rsidRDefault="00E42A3F" w:rsidP="00E42A3F">
      <w:r w:rsidRPr="00D87F6E">
        <w:t xml:space="preserve">Kleinert, J, Dehout, F, Schwarting, A, de Lorenzo, AG, Ricci, R, Kampmann, C, Beck, M, Ramaswami, U, Linhart, A, Gal, A, Houge, G, Widmer, U, Mehta, A &amp; Sunder-Plassmann, G 2005, 'Anemia is a new complication in Fabry disease: data from the Fabry Outcome Survey', </w:t>
      </w:r>
      <w:r w:rsidRPr="00D87F6E">
        <w:rPr>
          <w:i/>
          <w:iCs/>
        </w:rPr>
        <w:t>Kidney International</w:t>
      </w:r>
      <w:r w:rsidRPr="00D87F6E">
        <w:t>, vol. 67, no. 5, pp. 1955-1960.</w:t>
      </w:r>
    </w:p>
    <w:p w:rsidR="00E42A3F" w:rsidRPr="00D87F6E" w:rsidRDefault="00E42A3F" w:rsidP="00E42A3F">
      <w:r w:rsidRPr="00D87F6E">
        <w:t xml:space="preserve">Mehta, A, Beck, M, Elliott, P, Giugliani, R, Linhart, A, Sunder-Plassmann, G, Schiffmann, R, Barbey, F, Ries, M &amp; Clarke, JT 2009, 'Enzyme replacement therapy with agalsidase alfa in </w:t>
      </w:r>
      <w:r w:rsidRPr="00D87F6E">
        <w:lastRenderedPageBreak/>
        <w:t xml:space="preserve">patients with Fabry's disease: an analysis of registry data', </w:t>
      </w:r>
      <w:r w:rsidRPr="00D87F6E">
        <w:rPr>
          <w:i/>
          <w:iCs/>
        </w:rPr>
        <w:t>Lancet</w:t>
      </w:r>
      <w:r w:rsidRPr="00D87F6E">
        <w:t>, vol. 374, no. 9706, Dec 12, pp. 1986-1996.</w:t>
      </w:r>
    </w:p>
    <w:p w:rsidR="00E42A3F" w:rsidRPr="00D87F6E" w:rsidRDefault="00E42A3F" w:rsidP="00E42A3F">
      <w:r w:rsidRPr="00D87F6E">
        <w:t xml:space="preserve">Palla, A, Hegemann, S, Widmer, U &amp; Straumann, D 2007, 'Vestibular and auditory deficits in Fabry disease and their response to enzyme replacement therapy', </w:t>
      </w:r>
      <w:r w:rsidRPr="00D87F6E">
        <w:rPr>
          <w:i/>
          <w:iCs/>
        </w:rPr>
        <w:t>Journal of neurology</w:t>
      </w:r>
      <w:r w:rsidRPr="00D87F6E">
        <w:t>, vol. 254, no. 10, pp. 1433-1442.</w:t>
      </w:r>
    </w:p>
    <w:p w:rsidR="00E42A3F" w:rsidRPr="00D87F6E" w:rsidRDefault="00E42A3F" w:rsidP="00E42A3F">
      <w:r w:rsidRPr="00D87F6E">
        <w:t xml:space="preserve">Palla, A, Widmer, U &amp; Straumann, D 2003, 'Head-impulse testing in Fabry disease - Vestibular function in male and female patients', </w:t>
      </w:r>
      <w:r w:rsidRPr="00D87F6E">
        <w:rPr>
          <w:i/>
          <w:iCs/>
        </w:rPr>
        <w:t>Acta Paediatrica, International Journal of Paediatrics, Supplement</w:t>
      </w:r>
      <w:r w:rsidRPr="00D87F6E">
        <w:t>, vol. 92, no. 443, pp. 38-42.</w:t>
      </w:r>
    </w:p>
    <w:p w:rsidR="00E42A3F" w:rsidRPr="00D87F6E" w:rsidRDefault="00E42A3F" w:rsidP="00E42A3F">
      <w:r w:rsidRPr="00D87F6E">
        <w:t xml:space="preserve">Pano, A, Goker-Alpan, O, Longo, N, McDonald, M, Shankar, S, Shen, YH, Chang, P &amp; Schiffmann, R 2014, 'Safety and effect of open-label agalsidase alfa in treatment-naive children with Fabry disease', </w:t>
      </w:r>
      <w:r w:rsidRPr="00D87F6E">
        <w:rPr>
          <w:i/>
          <w:iCs/>
        </w:rPr>
        <w:t>Molecular Genetics and Metabolism</w:t>
      </w:r>
      <w:r w:rsidRPr="00D87F6E">
        <w:t>, vol. 111, no. 2, Feb, pp. S84-S84.</w:t>
      </w:r>
    </w:p>
    <w:p w:rsidR="00E42A3F" w:rsidRPr="00D87F6E" w:rsidRDefault="00E42A3F" w:rsidP="00E42A3F">
      <w:r w:rsidRPr="00D87F6E">
        <w:t xml:space="preserve">Parini, R, Santus, F, Pintos-Morell, G, Ramaswami, U, Beck, M &amp; Kalkum, G 2009, 'Prevalence of gastrointestinal symptoms and effectiveness of enzyme replacement therapy with agalsidase alfa in children - Data from FOS - Fabry outcome survey', </w:t>
      </w:r>
      <w:r w:rsidRPr="00D87F6E">
        <w:rPr>
          <w:i/>
          <w:iCs/>
        </w:rPr>
        <w:t>Molecular Genetics and Metabolism</w:t>
      </w:r>
      <w:r w:rsidRPr="00D87F6E">
        <w:t>, vol. 98, no. 1-2, p. 82.</w:t>
      </w:r>
    </w:p>
    <w:p w:rsidR="00E42A3F" w:rsidRPr="00D87F6E" w:rsidRDefault="00E42A3F" w:rsidP="00E42A3F">
      <w:r w:rsidRPr="00D87F6E">
        <w:t xml:space="preserve">Ramaswami, U, Parini, R, Kampmann, C &amp; Beck, M 2011, 'Safety of agalsidase alfa in patients with Fabry disease under 7 years', </w:t>
      </w:r>
      <w:r w:rsidRPr="00D87F6E">
        <w:rPr>
          <w:i/>
          <w:iCs/>
        </w:rPr>
        <w:t>Acta Paediatr</w:t>
      </w:r>
      <w:r w:rsidRPr="00D87F6E">
        <w:t>, vol. 100, no. 4, Apr, pp. 605-611.</w:t>
      </w:r>
    </w:p>
    <w:p w:rsidR="00E42A3F" w:rsidRPr="00D87F6E" w:rsidRDefault="00E42A3F" w:rsidP="00E42A3F">
      <w:r w:rsidRPr="00D87F6E">
        <w:t xml:space="preserve">Ramaswami, U, Wendt, S, Pintos-Morell, G, Parini, R, Whybra, C, Leal, JAL, Santus, F &amp; Beck, M 2007, 'Enzyme replacement therapy with agalsidase alfa in children with Fabry disease', </w:t>
      </w:r>
      <w:r w:rsidRPr="00D87F6E">
        <w:rPr>
          <w:i/>
          <w:iCs/>
        </w:rPr>
        <w:t>Acta Paediatrica</w:t>
      </w:r>
      <w:r w:rsidRPr="00D87F6E">
        <w:t>, vol. 96, no. 1, Jan, pp. 122-127.</w:t>
      </w:r>
    </w:p>
    <w:p w:rsidR="00E42A3F" w:rsidRPr="00D87F6E" w:rsidRDefault="00E42A3F" w:rsidP="00E42A3F">
      <w:r w:rsidRPr="00D87F6E">
        <w:t xml:space="preserve">Ries, M, Clarke, JTR, Whybra, C, Timmons, M, Robinson, C, Schlaggar, BL, Pastores, G, Lien, YH, Kampmann, C, Brady, RO, Beck, M &amp; Schiffmann, R 2006, 'Enzyme-replacement therapy with agalsidase alfa in children with Fabry disease', </w:t>
      </w:r>
      <w:r w:rsidRPr="00D87F6E">
        <w:rPr>
          <w:i/>
          <w:iCs/>
        </w:rPr>
        <w:t>Pediatrics</w:t>
      </w:r>
      <w:r w:rsidRPr="00D87F6E">
        <w:t>, vol. 118, no. 3, pp. 924-932.</w:t>
      </w:r>
    </w:p>
    <w:p w:rsidR="00E42A3F" w:rsidRPr="00D87F6E" w:rsidRDefault="00E42A3F" w:rsidP="00E42A3F">
      <w:r w:rsidRPr="00D87F6E">
        <w:t xml:space="preserve">Rivera Gallego, A, Lopez Rodriguez, M, Barbado Hernandez, FJ, Barba Romero, MA, Garcia De Lorenzo, YMA, Pintos Morell, G, Barba, MA, Gomez Huertas, E, Herrera, J, Bonal, AJ, Pintos, GJ, Ballarin, J, Torra, J, Torras, J, Torregrosa, V, Gonzalez, J, Martin, I, Hernandez, S, Barbado, FJ, Garcia-Consuegra, J, Lopez, M, Garcia De Lorenzo, A, Paniaga, J, Fernandez, V, Andreu, J, Febrer, I, Perez Garcia, A &amp; Rivera, A 2006, 'Fabry disease in Spain: First analysis of the response to enzyme replacement therapy', </w:t>
      </w:r>
      <w:r w:rsidRPr="00D87F6E">
        <w:rPr>
          <w:i/>
          <w:iCs/>
        </w:rPr>
        <w:t>Medicina Clinica</w:t>
      </w:r>
      <w:r w:rsidRPr="00D87F6E">
        <w:t>, vol. 127, no. 13, pp. 481-484.</w:t>
      </w:r>
    </w:p>
    <w:p w:rsidR="00E42A3F" w:rsidRPr="00D87F6E" w:rsidRDefault="00E42A3F" w:rsidP="00E42A3F">
      <w:r w:rsidRPr="00D87F6E">
        <w:t xml:space="preserve">Russo, R, Pisani, A, Messalli, G &amp; Imbriaco, M 2012, 'Effects of switch therapy with agalsidase-alfa in patients with anderson-fabry disease (AFD) previously treated with agalsidase-beta: A prospective cardiac magnetic resonance imaging study', </w:t>
      </w:r>
      <w:r w:rsidRPr="00D87F6E">
        <w:rPr>
          <w:i/>
          <w:iCs/>
        </w:rPr>
        <w:t>Nephrology Dialysis Transplantation</w:t>
      </w:r>
      <w:r w:rsidRPr="00D87F6E">
        <w:t>, vol. 27, pp. ii323-ii324.</w:t>
      </w:r>
    </w:p>
    <w:p w:rsidR="00E42A3F" w:rsidRPr="00D87F6E" w:rsidRDefault="00E42A3F" w:rsidP="00E42A3F">
      <w:r w:rsidRPr="00D87F6E">
        <w:t xml:space="preserve">Schiffmann, R, Askari, H, Timmons, M, Robinson, C, Benko, W, Brady, RO &amp; Ries, M 2007, 'Weekly enzyme replacement therapy may slow decline of renal function in patients with </w:t>
      </w:r>
      <w:r w:rsidRPr="00D87F6E">
        <w:lastRenderedPageBreak/>
        <w:t xml:space="preserve">Fabry disease who are on long-term biweekly dosing', </w:t>
      </w:r>
      <w:r w:rsidRPr="00D87F6E">
        <w:rPr>
          <w:i/>
          <w:iCs/>
        </w:rPr>
        <w:t>J. Am. Soc. Nephrol.</w:t>
      </w:r>
      <w:r w:rsidRPr="00D87F6E">
        <w:t>, vol. 18, no. 5, pp. 1576-1583.</w:t>
      </w:r>
    </w:p>
    <w:p w:rsidR="00E42A3F" w:rsidRPr="00D87F6E" w:rsidRDefault="00E42A3F" w:rsidP="00E42A3F">
      <w:r w:rsidRPr="00D87F6E">
        <w:t xml:space="preserve">Schiffmann, R, Castaneda, V, Lien, YH, Chang, P, Martin, R, Pastores, G &amp; Wijatyk, A 2013, 'Agalsidase alfa in paediatric patients with Fabry disease: A 7-year open-label study', </w:t>
      </w:r>
      <w:r w:rsidRPr="00D87F6E">
        <w:rPr>
          <w:i/>
          <w:iCs/>
        </w:rPr>
        <w:t>Journal of Inherited Metabolic Disease</w:t>
      </w:r>
      <w:r w:rsidRPr="00D87F6E">
        <w:t>, vol. 36, no. 2, pp. S300-S301.</w:t>
      </w:r>
    </w:p>
    <w:p w:rsidR="00E42A3F" w:rsidRPr="00D87F6E" w:rsidRDefault="00E42A3F" w:rsidP="00E42A3F">
      <w:r w:rsidRPr="00D87F6E">
        <w:t xml:space="preserve">Schiffmann, R, Martin, RA, Reimschisel, T, Johnson, K, Castaneda, V, Lien, YH, Pastores, GM, Kampmann, C, Ries, M &amp; Clarke, JTR 2010, 'Four-Year Prospective Clinical Trial of Agalsidase Alfa in Children with Fabry Disease', </w:t>
      </w:r>
      <w:r w:rsidRPr="00D87F6E">
        <w:rPr>
          <w:i/>
          <w:iCs/>
        </w:rPr>
        <w:t>Journal of Pediatrics</w:t>
      </w:r>
      <w:r w:rsidRPr="00D87F6E">
        <w:t>, vol. 156, no. 5, pp. 832-837.e831.</w:t>
      </w:r>
    </w:p>
    <w:p w:rsidR="00E42A3F" w:rsidRPr="00D87F6E" w:rsidRDefault="00E42A3F" w:rsidP="00E42A3F">
      <w:r w:rsidRPr="00D87F6E">
        <w:t xml:space="preserve">Schiffmann, R, Ries, M, Timmons, M, Flaherty, JT &amp; Brady, RO 2006, 'Long-term therapy with agalsidase alfa for Fabry disease: safety and effects on renal function in a home infusion setting', </w:t>
      </w:r>
      <w:r w:rsidRPr="00D87F6E">
        <w:rPr>
          <w:i/>
          <w:iCs/>
        </w:rPr>
        <w:t>Nephrol Dial Transplant</w:t>
      </w:r>
      <w:r w:rsidRPr="00D87F6E">
        <w:t>, vol. 21, no. 2, Feb, pp. 345-354.</w:t>
      </w:r>
    </w:p>
    <w:p w:rsidR="00E42A3F" w:rsidRPr="00D87F6E" w:rsidRDefault="00E42A3F" w:rsidP="00E42A3F">
      <w:r w:rsidRPr="00D87F6E">
        <w:t xml:space="preserve">Schwarting, A, Dehout, F, Feriozzi, S, Beck, M, Mehta, A &amp; Sunder-Plassman, G 2006, 'Enzyme replacement therapy and renal function in 201 patients with fabry disease', </w:t>
      </w:r>
      <w:r w:rsidRPr="00D87F6E">
        <w:rPr>
          <w:i/>
          <w:iCs/>
        </w:rPr>
        <w:t xml:space="preserve">Clin. </w:t>
      </w:r>
      <w:proofErr w:type="gramStart"/>
      <w:r w:rsidRPr="00D87F6E">
        <w:rPr>
          <w:i/>
          <w:iCs/>
        </w:rPr>
        <w:t>Nephrol.</w:t>
      </w:r>
      <w:r w:rsidRPr="00D87F6E">
        <w:t>,</w:t>
      </w:r>
      <w:proofErr w:type="gramEnd"/>
      <w:r w:rsidRPr="00D87F6E">
        <w:t xml:space="preserve"> vol. 66, no. 2, pp. 77-84.</w:t>
      </w:r>
    </w:p>
    <w:p w:rsidR="00E42A3F" w:rsidRPr="00D87F6E" w:rsidRDefault="00E42A3F" w:rsidP="00E42A3F">
      <w:r w:rsidRPr="00D87F6E">
        <w:t xml:space="preserve">Schwarting, A, Sunder-Plassmann, G, Mehta, A &amp; Beck, M 2006, 'Effect of enzyme replacement therapy with agalsidase alfa on renal function in patients with Fabry disease: data from FOS - the Fabry Outcome Survey', </w:t>
      </w:r>
      <w:r w:rsidRPr="00D87F6E">
        <w:rPr>
          <w:i/>
          <w:iCs/>
        </w:rPr>
        <w:t>Fabry Disease: Perspectives from 5 Years of FOS</w:t>
      </w:r>
      <w:r w:rsidRPr="00D87F6E">
        <w:t>.</w:t>
      </w:r>
    </w:p>
    <w:p w:rsidR="00E42A3F" w:rsidRPr="00D87F6E" w:rsidRDefault="00E42A3F" w:rsidP="00E42A3F">
      <w:r w:rsidRPr="00D87F6E">
        <w:t xml:space="preserve">Thofehrn, S, Netto, C, Cecchin, C, Burin, M, Matte, U, Brustolin, S, Nunes, ACF, Coelho, J, Tsao, M, Jardim, L, Giugliani, R &amp; Barros, EJG 2009, 'Kidney Function and 24-Hour Proteinuria in Patients with Fabry Disease during 36 Months of Agalsidase Alfa Enzyme Replacement Therapy: A Brazilian Experience', </w:t>
      </w:r>
      <w:r w:rsidRPr="00D87F6E">
        <w:rPr>
          <w:i/>
          <w:iCs/>
        </w:rPr>
        <w:t>Renal Failure</w:t>
      </w:r>
      <w:r w:rsidRPr="00D87F6E">
        <w:t>, vol. 31, no. 9, pp. 773-778.</w:t>
      </w:r>
    </w:p>
    <w:p w:rsidR="00E42A3F" w:rsidRPr="00D87F6E" w:rsidRDefault="00E42A3F" w:rsidP="00E42A3F">
      <w:r w:rsidRPr="00D87F6E">
        <w:t xml:space="preserve">Undas, A, Rys, D, Brzezinska-Kolarz, B, Padjas, A &amp; Musial, J 2004, 'The first Polish experience with enzyme replacement therapy in patients with Fabry disease', </w:t>
      </w:r>
      <w:r w:rsidRPr="00D87F6E">
        <w:rPr>
          <w:i/>
          <w:iCs/>
        </w:rPr>
        <w:t>Polskie Archiwum Medycyny Wewnetrznej</w:t>
      </w:r>
      <w:r w:rsidRPr="00D87F6E">
        <w:t>, vol. 112, no. 6, pp. 1479-1486.</w:t>
      </w:r>
    </w:p>
    <w:p w:rsidR="00E42A3F" w:rsidRPr="00D87F6E" w:rsidRDefault="00E42A3F" w:rsidP="00E42A3F">
      <w:r w:rsidRPr="00D87F6E">
        <w:t xml:space="preserve">Weidemann, F, Breunig, F, Beer, M, Sandstede, J, Turschner, O, Voelker, W, Ertl, G, Knoll, A, Wanner, C &amp; Strotmann, JM 2003, 'Improvement of cardiac function during enzyme replacement therapy in patients with Fabry disease: a prospective strain rate imaging study', </w:t>
      </w:r>
      <w:r w:rsidRPr="00D87F6E">
        <w:rPr>
          <w:i/>
          <w:iCs/>
        </w:rPr>
        <w:t>Circulation</w:t>
      </w:r>
      <w:r w:rsidRPr="00D87F6E">
        <w:t xml:space="preserve">, vol. 108, no. 11, pp. 1299-1301, DOI 10.1161/01.CIR.0000091253.71282.04, </w:t>
      </w:r>
    </w:p>
    <w:p w:rsidR="00E42A3F" w:rsidRPr="00D87F6E" w:rsidRDefault="00E42A3F" w:rsidP="00E42A3F">
      <w:r w:rsidRPr="00D87F6E">
        <w:t xml:space="preserve">Weidemann, F, Niemann, M, Breunig, F, Herrmann, S, Beer, M, Stork, S, Voelker, W, Ertl, G, Wanner, C &amp; Strotmann, J 2009, 'Long-Term Effects of Enzyme Replacement Therapy on Fabry Cardiomyopathy Evidence for a Better Outcome With Early Treatment', </w:t>
      </w:r>
      <w:r w:rsidRPr="00D87F6E">
        <w:rPr>
          <w:i/>
          <w:iCs/>
        </w:rPr>
        <w:t>Circulation</w:t>
      </w:r>
      <w:r w:rsidRPr="00D87F6E">
        <w:t>, vol. 119, no. 4, Feb, pp. 524-529.</w:t>
      </w:r>
    </w:p>
    <w:p w:rsidR="00E42A3F" w:rsidRPr="00D87F6E" w:rsidRDefault="00E42A3F" w:rsidP="00E42A3F">
      <w:r w:rsidRPr="00D87F6E">
        <w:t xml:space="preserve">Whybra, C, Kampmann, C, Krummenauer, F, Ries, M, Mengel, E, Miebach, E, Baehner, F, Kim, K, Bajbouj, M, Schwarting, A, Gal, A &amp; Beck, M 2004, 'The Mainz Severity Score Index: a new instrument for quantifying the Anderson-Fabry disease phenotype, and the response of patients to enzyme replacement therapy', </w:t>
      </w:r>
      <w:r w:rsidRPr="00D87F6E">
        <w:rPr>
          <w:i/>
          <w:iCs/>
        </w:rPr>
        <w:t>Clin Genet</w:t>
      </w:r>
      <w:r w:rsidRPr="00D87F6E">
        <w:t>, vol. 65, no. 4, Apr, pp. 299-307.</w:t>
      </w:r>
    </w:p>
    <w:p w:rsidR="00E42A3F" w:rsidRPr="00D87F6E" w:rsidRDefault="00E42A3F" w:rsidP="00E42A3F">
      <w:proofErr w:type="gramStart"/>
      <w:r w:rsidRPr="00D87F6E">
        <w:lastRenderedPageBreak/>
        <w:t xml:space="preserve">Whybra, C, Kampmann, C, Miebach, E, Gal, A, Baron, K &amp; Beck, M 2008, 'Long-term efficacy and safety of agalsidase alfa in women with Fabry disease', </w:t>
      </w:r>
      <w:r w:rsidRPr="00D87F6E">
        <w:rPr>
          <w:i/>
          <w:iCs/>
        </w:rPr>
        <w:t>Journal of Inherited Metabolic Disease</w:t>
      </w:r>
      <w:r w:rsidRPr="00D87F6E">
        <w:t>, vol. 31, Aug, pp. 107-107.</w:t>
      </w:r>
      <w:proofErr w:type="gramEnd"/>
    </w:p>
    <w:p w:rsidR="00E42A3F" w:rsidRPr="00D87F6E" w:rsidRDefault="00E42A3F" w:rsidP="00E42A3F">
      <w:r w:rsidRPr="00D87F6E">
        <w:t xml:space="preserve">Whybra, C, Miebach, E, Mengel, E, Gal, A, Baron, K, Beck, M &amp; Kampmann, C 2009, 'A 4-year study of the efficacy and tolerability of enzyme replacement therapy with agalsidase alfa in 36 women with Fabry disease', </w:t>
      </w:r>
      <w:r w:rsidRPr="00D87F6E">
        <w:rPr>
          <w:i/>
          <w:iCs/>
        </w:rPr>
        <w:t>Genet Med</w:t>
      </w:r>
      <w:r w:rsidRPr="00D87F6E">
        <w:t>, vol. 11, no. 6, Jun, pp. 441-449.</w:t>
      </w:r>
    </w:p>
    <w:p w:rsidR="00E42A3F" w:rsidRDefault="00E42A3F" w:rsidP="00E42A3F">
      <w:r w:rsidRPr="00D87F6E">
        <w:t xml:space="preserve">Zamorano, J, Serra, V, De Isla, LP, Feltes, G, Calli, A, Barbado, FJ, Torras, J, Hernandez, S, Herrera, J, Herrero, JA &amp; Pintos, G 2011, 'Usefulness of tissue Doppler on early detection of cardiac disease in Fabry patients and potential role of enzyme replacement therapy (ERT) for avoiding progression of disease', </w:t>
      </w:r>
      <w:r w:rsidRPr="00D87F6E">
        <w:rPr>
          <w:i/>
          <w:iCs/>
        </w:rPr>
        <w:t>European Journal of Echocardiography</w:t>
      </w:r>
      <w:r w:rsidRPr="00D87F6E">
        <w:t>, vol. 12, no. 9, pp. 671-677.</w:t>
      </w:r>
    </w:p>
    <w:p w:rsidR="0063378B" w:rsidRPr="00D87F6E" w:rsidRDefault="0063378B" w:rsidP="00E42A3F"/>
    <w:p w:rsidR="00E42A3F" w:rsidRDefault="00E42A3F" w:rsidP="0063378B">
      <w:pPr>
        <w:pStyle w:val="Heading3"/>
      </w:pPr>
      <w:r>
        <w:t>Erratum</w:t>
      </w:r>
    </w:p>
    <w:p w:rsidR="00E42A3F" w:rsidRPr="00D87F6E" w:rsidRDefault="00E42A3F" w:rsidP="00E42A3F">
      <w:r w:rsidRPr="00D87F6E">
        <w:t>'Erratum: Agalsidase alfa slows the decline in renal function in patients with Fabry disease (American Journal of Nephrology (2009) 29 (353-361))'</w:t>
      </w:r>
      <w:proofErr w:type="gramStart"/>
      <w:r w:rsidRPr="00D87F6E">
        <w:t>,  2009</w:t>
      </w:r>
      <w:proofErr w:type="gramEnd"/>
      <w:r w:rsidRPr="00D87F6E">
        <w:t xml:space="preserve">, </w:t>
      </w:r>
      <w:r w:rsidRPr="00D87F6E">
        <w:rPr>
          <w:i/>
          <w:iCs/>
        </w:rPr>
        <w:t>American Journal of Nephrology</w:t>
      </w:r>
      <w:r w:rsidRPr="00D87F6E">
        <w:t>, vol. 29, no. 5, pp. 353-361.</w:t>
      </w:r>
    </w:p>
    <w:p w:rsidR="00E42A3F" w:rsidRDefault="00E42A3F" w:rsidP="00E42A3F">
      <w:r w:rsidRPr="00D87F6E">
        <w:t xml:space="preserve">Hajioff, D, Hegemann, S, Conti, G, Beck, M, Sunder-Plassmann, G, Widmer, U, Mehta, A &amp; Keilmann, A 2007, 'Erratum: Agalsidase alpha and hearing in Fabry disease: Data from the Fabry outcome survey (European Journal of Clinical Investigation (2006) 36, (663-667))', </w:t>
      </w:r>
      <w:r w:rsidRPr="00D87F6E">
        <w:rPr>
          <w:i/>
          <w:iCs/>
        </w:rPr>
        <w:t>European Journal of Clinical Investigation</w:t>
      </w:r>
      <w:r w:rsidRPr="00D87F6E">
        <w:t>, vol. 37, no. 10, p. 828.</w:t>
      </w:r>
    </w:p>
    <w:p w:rsidR="0063378B" w:rsidRPr="00D87F6E" w:rsidRDefault="0063378B" w:rsidP="00E42A3F"/>
    <w:p w:rsidR="00E42A3F" w:rsidRDefault="00E42A3F" w:rsidP="00E5335E">
      <w:pPr>
        <w:pStyle w:val="Heading3"/>
      </w:pPr>
      <w:r>
        <w:t>Agalsidase beta versus placebo</w:t>
      </w:r>
    </w:p>
    <w:p w:rsidR="00E42A3F" w:rsidRDefault="00E42A3F" w:rsidP="0063378B">
      <w:pPr>
        <w:pStyle w:val="Heading3"/>
      </w:pPr>
      <w:r>
        <w:t>Duplicated data</w:t>
      </w:r>
    </w:p>
    <w:p w:rsidR="00E42A3F" w:rsidRPr="00D87F6E" w:rsidRDefault="00E42A3F" w:rsidP="00E42A3F">
      <w:r w:rsidRPr="00D87F6E">
        <w:t xml:space="preserve">Germain, DP, Waldek, S, Banikazemi, M, Bushinsky, DA, Charrow, J, Desnick, RJ, Lee, P, Loew, T, Vedder, AC, Abichandani, R, Wilcox, WR &amp; Guffon, N 2007, 'Sustained, long-term renal stabilization after 54 months of agalsidase beta therapy in patients with Fabry disease', </w:t>
      </w:r>
      <w:r w:rsidRPr="00D87F6E">
        <w:rPr>
          <w:i/>
          <w:iCs/>
        </w:rPr>
        <w:t>J Am Soc Nephrol</w:t>
      </w:r>
      <w:r w:rsidRPr="00D87F6E">
        <w:t>, vol. 18, no. 5, May, pp. 1547-1557.</w:t>
      </w:r>
    </w:p>
    <w:p w:rsidR="00E42A3F" w:rsidRPr="00D87F6E" w:rsidRDefault="00E42A3F" w:rsidP="00E42A3F">
      <w:r w:rsidRPr="00D87F6E">
        <w:t xml:space="preserve">Wijburg, F, Benichou, B, Bichet, DG, Dostalova, G, Clarke, L, Fainboim, A, Fellgiebel, A, Forcelini, C, Haack, KA, Hopkin, R, Scott, CR, Shankar, S, Tylki-Szymanska, A, Tondel, C &amp; Ramaswami, U 2013, 'A randomized, multicenter, multinational, phase 3B, open-label, parallel-group study of agalsidase beta in treatment-naive male pediatric patients with Fabry disease without severe symptoms: Baseline demographics and clinical data', </w:t>
      </w:r>
      <w:r w:rsidRPr="00D87F6E">
        <w:rPr>
          <w:i/>
          <w:iCs/>
        </w:rPr>
        <w:t>Molecular Genetics and Metabolism</w:t>
      </w:r>
      <w:r w:rsidRPr="00D87F6E">
        <w:t>, vol. 108, no. 2, Feb, pp. S99-S99.</w:t>
      </w:r>
    </w:p>
    <w:p w:rsidR="00E42A3F" w:rsidRPr="00D87F6E" w:rsidRDefault="00E42A3F" w:rsidP="00E42A3F">
      <w:r w:rsidRPr="00D87F6E">
        <w:lastRenderedPageBreak/>
        <w:t xml:space="preserve">Wilcox, WR, Banikazemi, M, Guffon, N, Waldek, S, Lee, P, Linthorst, GE, Desnick, RJ &amp; Germain, DP 2004, 'Long-term safety and efficacy of enzyme replacement therapy for Fabry disease', </w:t>
      </w:r>
      <w:r w:rsidRPr="00D87F6E">
        <w:rPr>
          <w:i/>
          <w:iCs/>
        </w:rPr>
        <w:t>Am J Hum Genet</w:t>
      </w:r>
      <w:r w:rsidRPr="00D87F6E">
        <w:t>, vol. 75, no. 1, Jul, pp. 65-74.</w:t>
      </w:r>
    </w:p>
    <w:p w:rsidR="00E42A3F" w:rsidRPr="00D87F6E" w:rsidRDefault="00E42A3F" w:rsidP="00E42A3F"/>
    <w:p w:rsidR="00E42A3F" w:rsidRDefault="00E42A3F" w:rsidP="0063378B">
      <w:pPr>
        <w:pStyle w:val="Heading3"/>
      </w:pPr>
      <w:r>
        <w:t>Cohort study</w:t>
      </w:r>
    </w:p>
    <w:p w:rsidR="00E42A3F" w:rsidRPr="00D87F6E" w:rsidRDefault="00E42A3F" w:rsidP="00E42A3F">
      <w:r w:rsidRPr="00D87F6E">
        <w:t xml:space="preserve">Collin, C, Briet, M, Tran, TC, Beaussier, H, Benistan, K, Bensalah, M, Mousseaux, E, Froissart, M, Bozec, E, Laurent, S, Boutouyrie, P &amp; Germain, DP 2012, 'Long-term changes in arterial structure and function and left ventricular geometry after enzyme replacement therapy in patients affected with Fabry disease', </w:t>
      </w:r>
      <w:r w:rsidRPr="00D87F6E">
        <w:rPr>
          <w:i/>
          <w:iCs/>
        </w:rPr>
        <w:t>Eur J Prev Cardiol</w:t>
      </w:r>
      <w:r w:rsidRPr="00D87F6E">
        <w:t>, vol. 19, no. 1, Feb, pp. 43-54.</w:t>
      </w:r>
    </w:p>
    <w:p w:rsidR="00E42A3F" w:rsidRPr="00D87F6E" w:rsidRDefault="00E42A3F" w:rsidP="00E42A3F">
      <w:r w:rsidRPr="00D87F6E">
        <w:t xml:space="preserve">Germain, DP, Weidemann, F, Abiose, A, Patel, MR, Cizmarik, M, Cole, JA, Beitner-Johnson, D, Benistan, K, Cabrera, G, Charrow, J, Kantola, I, Linhart, A, Nicholls, K, Niemann, M, Scott, CR, Sims, K, Waldek, S, Warnock, DG &amp; Strotmann, J 2013, 'Analysis of left ventricular mass in untreated men and in men treated with agalsidase-(beta): Data from the Fabry Registry', </w:t>
      </w:r>
      <w:r w:rsidRPr="00D87F6E">
        <w:rPr>
          <w:i/>
          <w:iCs/>
        </w:rPr>
        <w:t>Genetics in Medicine</w:t>
      </w:r>
      <w:r w:rsidRPr="00D87F6E">
        <w:t>, vol. 15, no. 12, pp. 958-965.</w:t>
      </w:r>
    </w:p>
    <w:p w:rsidR="00E42A3F" w:rsidRPr="00D87F6E" w:rsidRDefault="00E42A3F" w:rsidP="00E42A3F">
      <w:r w:rsidRPr="00D87F6E">
        <w:t xml:space="preserve">Hilz, MJ, Koehn, J, Kolodny, EH, Brys, M, Moeller, S &amp; Stemper, B 2011, 'Metronomic breathing shows altered parasympathetic baroreflex function in untreated Fabry patients and baroreflex improvement after enzyme replacement therapy', </w:t>
      </w:r>
      <w:r w:rsidRPr="00D87F6E">
        <w:rPr>
          <w:i/>
          <w:iCs/>
        </w:rPr>
        <w:t>J Hypertens</w:t>
      </w:r>
      <w:r w:rsidRPr="00D87F6E">
        <w:t>, vol. 29, no. 12, Dec, pp. 2387-2394.</w:t>
      </w:r>
    </w:p>
    <w:p w:rsidR="00E42A3F" w:rsidRPr="00D87F6E" w:rsidRDefault="00E42A3F" w:rsidP="00E42A3F">
      <w:r w:rsidRPr="00D87F6E">
        <w:t xml:space="preserve">Hilz, MJ, Marthol, H, Schwab, S, Kolodny, EH, Brys, M &amp; Stemper, B 2010, 'Enzyme replacement therapy improves cardiovascular responses to orthostatic challenge in Fabry patients', </w:t>
      </w:r>
      <w:r w:rsidRPr="00D87F6E">
        <w:rPr>
          <w:i/>
          <w:iCs/>
        </w:rPr>
        <w:t>J Hypertens</w:t>
      </w:r>
      <w:r w:rsidRPr="00D87F6E">
        <w:t>, vol. 28, no. 7, Jul, pp. 1438-1448.</w:t>
      </w:r>
    </w:p>
    <w:p w:rsidR="00E42A3F" w:rsidRDefault="00E42A3F" w:rsidP="00E42A3F">
      <w:r w:rsidRPr="00D87F6E">
        <w:t xml:space="preserve">Motwani, M, Banypersad, S, Woolfson, P &amp; Waldek, S 2012, 'Enzyme replacement therapy improves cardiac features and severity of Fabry disease', </w:t>
      </w:r>
      <w:r w:rsidRPr="00D87F6E">
        <w:rPr>
          <w:i/>
          <w:iCs/>
        </w:rPr>
        <w:t>Molecular Genetics and Metabolism</w:t>
      </w:r>
      <w:r w:rsidRPr="00D87F6E">
        <w:t>, vol. 107, no. 1-2, pp. 197-202.</w:t>
      </w:r>
    </w:p>
    <w:p w:rsidR="0063378B" w:rsidRPr="00D87F6E" w:rsidRDefault="0063378B" w:rsidP="00E42A3F"/>
    <w:p w:rsidR="00E42A3F" w:rsidRDefault="00E42A3F" w:rsidP="0063378B">
      <w:pPr>
        <w:pStyle w:val="Heading3"/>
      </w:pPr>
      <w:r>
        <w:t>Case series</w:t>
      </w:r>
    </w:p>
    <w:p w:rsidR="00E42A3F" w:rsidRPr="00D87F6E" w:rsidRDefault="00E42A3F" w:rsidP="00E42A3F">
      <w:proofErr w:type="gramStart"/>
      <w:r w:rsidRPr="00D87F6E">
        <w:t xml:space="preserve">Alamartine, E 2005, 'Enzyme replacement therapy in nine patients with Fabry disease', </w:t>
      </w:r>
      <w:r w:rsidRPr="00D87F6E">
        <w:rPr>
          <w:i/>
          <w:iCs/>
        </w:rPr>
        <w:t>Medecine/Sciences</w:t>
      </w:r>
      <w:r w:rsidRPr="00D87F6E">
        <w:t>, vol. 21, no.</w:t>
      </w:r>
      <w:proofErr w:type="gramEnd"/>
      <w:r w:rsidRPr="00D87F6E">
        <w:t xml:space="preserve"> SPEC. ISS. NOV., pp. 62-65.</w:t>
      </w:r>
    </w:p>
    <w:p w:rsidR="00E42A3F" w:rsidRPr="00D87F6E" w:rsidRDefault="00E42A3F" w:rsidP="00E42A3F">
      <w:r w:rsidRPr="00D87F6E">
        <w:t xml:space="preserve">Banikazemi, M, Ullman, T &amp; Desnick, RJ 2005, 'Gastrointestinal manifestations of Fabry disease: clinical response to enzyme replacement therapy', </w:t>
      </w:r>
      <w:r w:rsidRPr="00D87F6E">
        <w:rPr>
          <w:i/>
          <w:iCs/>
        </w:rPr>
        <w:t>Mol Genet Metab</w:t>
      </w:r>
      <w:r w:rsidRPr="00D87F6E">
        <w:t>, vol. 85, no. 4, Aug, pp. 255-259.</w:t>
      </w:r>
    </w:p>
    <w:p w:rsidR="00E42A3F" w:rsidRPr="00D87F6E" w:rsidRDefault="00E42A3F" w:rsidP="00E42A3F">
      <w:r w:rsidRPr="00D87F6E">
        <w:t xml:space="preserve">Beer, M, Weidemann, F, Breunig, F, Knoll, A, Koeppe, S, Machann, W, Hahn, D, Wanner, C, Strotmann, J &amp; Sandstede, J 2006, 'Impact of Enzyme Replacement Therapy on Cardiac Morphology and Function and Late Enhancement in Fabry's Cardiomyopathy', </w:t>
      </w:r>
      <w:r w:rsidRPr="00D87F6E">
        <w:rPr>
          <w:i/>
          <w:iCs/>
        </w:rPr>
        <w:t>American Journal of Cardiology</w:t>
      </w:r>
      <w:r w:rsidRPr="00D87F6E">
        <w:t>, vol. 97, no. 10, pp. 1515-1518.</w:t>
      </w:r>
    </w:p>
    <w:p w:rsidR="00E42A3F" w:rsidRPr="00D87F6E" w:rsidRDefault="00E42A3F" w:rsidP="00E42A3F">
      <w:r w:rsidRPr="00D87F6E">
        <w:lastRenderedPageBreak/>
        <w:t xml:space="preserve">Bodensteiner, D, Scott, CR, Sims, KB, Shepherd, GM, Cintron, RD &amp; Germain, DP 2008, 'Successful reinstitution of agalsidase beta therapy in Fabry disease patients with previous IgE-antibody or skin-test reactivity to the recombinant enzyme', </w:t>
      </w:r>
      <w:r w:rsidRPr="00D87F6E">
        <w:rPr>
          <w:i/>
          <w:iCs/>
        </w:rPr>
        <w:t>Genet. Med.</w:t>
      </w:r>
      <w:r w:rsidRPr="00D87F6E">
        <w:t>, vol. 10, no. 5, pp. 353-358.</w:t>
      </w:r>
    </w:p>
    <w:p w:rsidR="00E42A3F" w:rsidRPr="00D87F6E" w:rsidRDefault="00E42A3F" w:rsidP="00E42A3F">
      <w:r w:rsidRPr="00D87F6E">
        <w:t xml:space="preserve">Borgwardt, L, Feldt-Rasmussen, U, Rasmussen, AK, Ballegaard, M &amp; Meldgaard Lund, A 2013, 'Fabry disease in children: agalsidase-beta enzyme replacement therapy', </w:t>
      </w:r>
      <w:r w:rsidRPr="00D87F6E">
        <w:rPr>
          <w:i/>
          <w:iCs/>
        </w:rPr>
        <w:t>Clin Genet</w:t>
      </w:r>
      <w:r w:rsidRPr="00D87F6E">
        <w:t>, vol. 83, no. 5, May, pp. 432-438.</w:t>
      </w:r>
    </w:p>
    <w:p w:rsidR="00E42A3F" w:rsidRPr="00D87F6E" w:rsidRDefault="00E42A3F" w:rsidP="00E42A3F">
      <w:r w:rsidRPr="00D87F6E">
        <w:t xml:space="preserve">Choi, JH, Cho, YM, Suh, KS, Yoon, HR, Kim, GH, Kim, SS, Ko, JM, Lee, JH, Park, YS &amp; Yoo, HW 2008, 'Short-term efficacy of enzyme replacement therapy in Korean patients with Fabry disease', </w:t>
      </w:r>
      <w:r w:rsidRPr="00D87F6E">
        <w:rPr>
          <w:i/>
          <w:iCs/>
        </w:rPr>
        <w:t>J Korean Med Sci</w:t>
      </w:r>
      <w:r w:rsidRPr="00D87F6E">
        <w:t>, vol. 23, no. 2, Apr, pp. 243-250.</w:t>
      </w:r>
    </w:p>
    <w:p w:rsidR="00E42A3F" w:rsidRPr="00D87F6E" w:rsidRDefault="00E42A3F" w:rsidP="00E42A3F">
      <w:r w:rsidRPr="00D87F6E">
        <w:t xml:space="preserve">Cianciaruso, B, Pisani, A, Andreucci, MV, Parente, N, Andria, G, Federico, S, Sabbatini, M &amp; Sessa, A 2003, 'Anderson-Fabry's disease: diagnostic problems, therapeutic relevance, and clinical experience in the treatment of the disease with enzyme replacement therapy in nephropathic patients', </w:t>
      </w:r>
      <w:r w:rsidRPr="00D87F6E">
        <w:rPr>
          <w:i/>
          <w:iCs/>
        </w:rPr>
        <w:t>Giornale italiano di nefrologia : organo ufficiale della Società italiana di nefrologia</w:t>
      </w:r>
      <w:r w:rsidRPr="00D87F6E">
        <w:t>, vol. 20, no. 2, pp. 113-119.</w:t>
      </w:r>
    </w:p>
    <w:p w:rsidR="00E42A3F" w:rsidRPr="00D87F6E" w:rsidRDefault="00E42A3F" w:rsidP="00E42A3F">
      <w:proofErr w:type="gramStart"/>
      <w:r w:rsidRPr="00D87F6E">
        <w:t xml:space="preserve">Cousins, A, Fondo, A, Murphy, E &amp; Lachmann, R 2010, 'Patient experience of dose reductions of fabrazyme(R)', </w:t>
      </w:r>
      <w:r w:rsidRPr="00D87F6E">
        <w:rPr>
          <w:i/>
          <w:iCs/>
        </w:rPr>
        <w:t>Journal of Inherited Metabolic Disease</w:t>
      </w:r>
      <w:r w:rsidRPr="00D87F6E">
        <w:t>, vol. 33, p. S157.</w:t>
      </w:r>
      <w:proofErr w:type="gramEnd"/>
    </w:p>
    <w:p w:rsidR="00E42A3F" w:rsidRPr="00D87F6E" w:rsidRDefault="00E42A3F" w:rsidP="00E42A3F">
      <w:r w:rsidRPr="00D87F6E">
        <w:t xml:space="preserve">Dominguez, RO, Amartino, H, Chamoles, NA, Amores, M, Larralde, M, Tanus, E, Michref, A, Gullone, N, Badia, J, Schenone, A, Blanco, M &amp; Marschoff, E 2006, 'Neuropathic pain in Fabry's disease: Heterogeneous remission in three years of enzyme replacement therapy', </w:t>
      </w:r>
      <w:r w:rsidRPr="00D87F6E">
        <w:rPr>
          <w:i/>
          <w:iCs/>
        </w:rPr>
        <w:t>Revista de Neurologia</w:t>
      </w:r>
      <w:r w:rsidRPr="00D87F6E">
        <w:t>, vol. 43, no. 4, pp. 201-206.</w:t>
      </w:r>
    </w:p>
    <w:p w:rsidR="00E42A3F" w:rsidRPr="00D87F6E" w:rsidRDefault="00E42A3F" w:rsidP="00E42A3F">
      <w:r w:rsidRPr="00D87F6E">
        <w:t xml:space="preserve">Elliott, PM, Kindler, H, Shah, JS, Sachdev, B, Rimoldi, OE, Thaman, R, Tome, MT, McKenna, WJ, Lee, P &amp; Camici, PG 2006, 'Coronary microvascular dysfunction in male patients with Anderson-Fabry disease and the effect of treatment with α galactosidase A', </w:t>
      </w:r>
      <w:r w:rsidRPr="00D87F6E">
        <w:rPr>
          <w:i/>
          <w:iCs/>
        </w:rPr>
        <w:t>Heart (London, U. K.)</w:t>
      </w:r>
      <w:r w:rsidRPr="00D87F6E">
        <w:t>, vol. 92, no. 3, //, pp. 357-360.</w:t>
      </w:r>
    </w:p>
    <w:p w:rsidR="00E42A3F" w:rsidRPr="00D87F6E" w:rsidRDefault="00E42A3F" w:rsidP="00E42A3F">
      <w:r w:rsidRPr="00D87F6E">
        <w:t xml:space="preserve">Engelen, MA, Brand, E, Baumeister, TB, Marquardt, T, Duning, T, Osada, N, Schaefer, RM &amp; Stypmann, J 2012, 'Effects of enzyme replacement therapy in adult patients with Fabry disease on cardiac structure and function: A retrospective cohort study of the Fabry Münster Study (FaMüS) data', </w:t>
      </w:r>
      <w:r w:rsidRPr="00D87F6E">
        <w:rPr>
          <w:i/>
          <w:iCs/>
        </w:rPr>
        <w:t>BMJ Open</w:t>
      </w:r>
      <w:r w:rsidRPr="00D87F6E">
        <w:t>, vol. 2, no. 6.</w:t>
      </w:r>
    </w:p>
    <w:p w:rsidR="00E42A3F" w:rsidRPr="00D87F6E" w:rsidRDefault="00E42A3F" w:rsidP="00E42A3F">
      <w:r w:rsidRPr="00D87F6E">
        <w:t xml:space="preserve">Eto, Y, Ohashi, T, Utsunomiya, Y, Fujiwara, M, Mizuno, A, Inui, K, Sakai, N, Kitagawa, T, Suzuki, Y, Mochizuki, S, Kawakami, M, Hosoya, T, Owada, M, Sakuraba, H &amp; Saito, H 2005, 'Enzyme replacement therapy in Japanese Fabry disease patients: the results of a phase 2 bridging study', </w:t>
      </w:r>
      <w:r w:rsidRPr="00D87F6E">
        <w:rPr>
          <w:i/>
          <w:iCs/>
        </w:rPr>
        <w:t>J Inherit Metab Dis</w:t>
      </w:r>
      <w:r w:rsidRPr="00D87F6E">
        <w:t>, vol. 28, no. 4, pp. 575-583.</w:t>
      </w:r>
    </w:p>
    <w:p w:rsidR="00E42A3F" w:rsidRPr="00D87F6E" w:rsidRDefault="00E42A3F" w:rsidP="00E42A3F">
      <w:r w:rsidRPr="00D87F6E">
        <w:t xml:space="preserve">Feldt-Rasmussen, U, Watt, T, Burlina, AP, Cazzorla, C, Schonfeld, D, Banikazemi, M, Hopkin, RJ, Martins, AM, Sims, K, Beitner-Johnson, D &amp; O'Brien, F 2012, 'Agalsidase beta treatment is associated with improvement in quality of life in patients with fabry disease: Findings from the fabry registry', </w:t>
      </w:r>
      <w:r w:rsidRPr="00D87F6E">
        <w:rPr>
          <w:i/>
          <w:iCs/>
        </w:rPr>
        <w:t>Clinical Therapeutics</w:t>
      </w:r>
      <w:r w:rsidRPr="00D87F6E">
        <w:t>, vol. 34, no. 4, p. e26.</w:t>
      </w:r>
    </w:p>
    <w:p w:rsidR="00E42A3F" w:rsidRPr="00D87F6E" w:rsidRDefault="00E42A3F" w:rsidP="00E42A3F">
      <w:r w:rsidRPr="00D87F6E">
        <w:lastRenderedPageBreak/>
        <w:t xml:space="preserve">Frustaci, A, Morgante, E, Antuzzi, D, Verardo, R, Russo, MA &amp; Chimenti, C 2009, 'Low accessibility of human cardiomyocytes with advanced Fabry disease to enzyme replacement therapy', </w:t>
      </w:r>
      <w:r w:rsidRPr="00D87F6E">
        <w:rPr>
          <w:i/>
          <w:iCs/>
        </w:rPr>
        <w:t>European Heart Journal</w:t>
      </w:r>
      <w:r w:rsidRPr="00D87F6E">
        <w:t>, vol. 30, p. 548.</w:t>
      </w:r>
    </w:p>
    <w:p w:rsidR="00E42A3F" w:rsidRPr="00D87F6E" w:rsidRDefault="00E42A3F" w:rsidP="00E42A3F">
      <w:r w:rsidRPr="00D87F6E">
        <w:t xml:space="preserve">Fujiwara, M, Ohashi, T, Kobayashi, M, Hiroyuki, I &amp; Yoshikatsu, E 2007, 'The cardiac effects of enzyme replacement therapy for fabry disease: Comparison of clinical course between female and male patients', </w:t>
      </w:r>
      <w:r w:rsidRPr="00D87F6E">
        <w:rPr>
          <w:i/>
          <w:iCs/>
        </w:rPr>
        <w:t>Tokyo Jikeikai Medical Journal</w:t>
      </w:r>
      <w:r w:rsidRPr="00D87F6E">
        <w:t>, vol. 122, no. 6, pp. 295-304.</w:t>
      </w:r>
    </w:p>
    <w:p w:rsidR="00E42A3F" w:rsidRPr="00D87F6E" w:rsidRDefault="00E42A3F" w:rsidP="00E42A3F">
      <w:r w:rsidRPr="00D87F6E">
        <w:t xml:space="preserve">Germain, D, Abiose, A, Patel, M, Cizmarik, M &amp; Strotmann, J 2012, 'Agalsidase beta treatment improves left ventricular hypertrophy when treatment is initiated early: Data from the fabry registry', </w:t>
      </w:r>
      <w:r w:rsidRPr="00D87F6E">
        <w:rPr>
          <w:i/>
          <w:iCs/>
        </w:rPr>
        <w:t>Molecular Genetics and Metabolism</w:t>
      </w:r>
      <w:r w:rsidRPr="00D87F6E">
        <w:t>, vol. 105, no. 2, p. S30.</w:t>
      </w:r>
    </w:p>
    <w:p w:rsidR="00E42A3F" w:rsidRPr="00D87F6E" w:rsidRDefault="00E42A3F" w:rsidP="00E42A3F">
      <w:r w:rsidRPr="00D87F6E">
        <w:t xml:space="preserve">Germain, DP, Abiose, A, Patel, MR, Weidemann, F, Benistan, K, Waldek, S &amp; Strotmann, J 2012, 'CARDIAC OUTCOMES OF AGALSIDASE BETA TREATMENT FOR FABRY DISEASE: ANALYSIS OF CARDIOVASCULAR DISEASE PROGRESSION IN MEN ENROLLED IN THE FABRY REGISTRY', </w:t>
      </w:r>
      <w:r w:rsidRPr="00D87F6E">
        <w:rPr>
          <w:i/>
          <w:iCs/>
        </w:rPr>
        <w:t>Journal of Inherited Metabolic Disease</w:t>
      </w:r>
      <w:r w:rsidRPr="00D87F6E">
        <w:t>, vol. 35, pp. S92-S92.</w:t>
      </w:r>
    </w:p>
    <w:p w:rsidR="00E42A3F" w:rsidRPr="00D87F6E" w:rsidRDefault="00E42A3F" w:rsidP="00E42A3F">
      <w:r w:rsidRPr="00D87F6E">
        <w:t xml:space="preserve">Ghali, J, Nicholls, K, Denaro, C, Sillence, D, Chapman, I, Goldblatt, J, Thomas, M &amp; Fletcher, J 2012, 'Effect of reduced agalsidase Beta dosage in fabry patients: the Australian experience', </w:t>
      </w:r>
      <w:r w:rsidRPr="00D87F6E">
        <w:rPr>
          <w:i/>
          <w:iCs/>
        </w:rPr>
        <w:t>JIMD reports</w:t>
      </w:r>
      <w:r w:rsidRPr="00D87F6E">
        <w:t>, vol. 3, pp. 33-43.</w:t>
      </w:r>
    </w:p>
    <w:p w:rsidR="00E42A3F" w:rsidRPr="00D87F6E" w:rsidRDefault="00E42A3F" w:rsidP="00E42A3F">
      <w:r w:rsidRPr="00D87F6E">
        <w:t xml:space="preserve">Guffon, N &amp; Fouilhoux, A 2004, 'Clinical benefit in Fabry patients given enzyme replacement therapy--a case series', </w:t>
      </w:r>
      <w:r w:rsidRPr="00D87F6E">
        <w:rPr>
          <w:i/>
          <w:iCs/>
        </w:rPr>
        <w:t>J Inherit Metab Dis</w:t>
      </w:r>
      <w:r w:rsidRPr="00D87F6E">
        <w:t>, vol. 27, no. 2, pp. 221-227.</w:t>
      </w:r>
    </w:p>
    <w:p w:rsidR="00E42A3F" w:rsidRPr="00D87F6E" w:rsidRDefault="00E42A3F" w:rsidP="00E42A3F">
      <w:r w:rsidRPr="00D87F6E">
        <w:t xml:space="preserve">Juan, P, Hernan, A, Beatriz, SA, Gustavo, C, Antonio, M, Eduardo, T, Raul, D, Margarita, L, Mariana, B, Daniela, G &amp; Marina, S 2014, 'Fabry Disease: Multidisciplinary Evaluation After 10 Years of Treatment with Agalsidase Beta', </w:t>
      </w:r>
      <w:r w:rsidRPr="00D87F6E">
        <w:rPr>
          <w:i/>
          <w:iCs/>
        </w:rPr>
        <w:t>JIMD Rep</w:t>
      </w:r>
      <w:r w:rsidRPr="00D87F6E">
        <w:t>, May 22.</w:t>
      </w:r>
    </w:p>
    <w:p w:rsidR="00E42A3F" w:rsidRPr="00D87F6E" w:rsidRDefault="00E42A3F" w:rsidP="00E42A3F">
      <w:r w:rsidRPr="00D87F6E">
        <w:t xml:space="preserve">Kakosova, V, Hlavata, A, Bzduch, V &amp; Foltanova, T 2013, 'Experiences with enzyme replacement therapy of Fabry disease in Slovakia', </w:t>
      </w:r>
      <w:r w:rsidRPr="00D87F6E">
        <w:rPr>
          <w:i/>
          <w:iCs/>
        </w:rPr>
        <w:t>International Journal of Clinical Pharmacy</w:t>
      </w:r>
      <w:r w:rsidRPr="00D87F6E">
        <w:t>, vol. 35, no. 5, pp. 988-989.</w:t>
      </w:r>
    </w:p>
    <w:p w:rsidR="00E42A3F" w:rsidRPr="00D87F6E" w:rsidRDefault="00E42A3F" w:rsidP="00E42A3F">
      <w:r w:rsidRPr="00D87F6E">
        <w:t xml:space="preserve">Kalliokoski, RJ, Kantola, I, Kalliokoski, KK, Engblom, E, Sundell, J, Hannukainen, JC, Janatuinen, T, Raitakari, OT, Knuuti, J, Penttinen, M, Viikari, J &amp; Nuutila, P 2006, 'The effect of 12-month enzyme replacement therapy on myocardial perfusion in patients with Fabry disease', </w:t>
      </w:r>
      <w:r w:rsidRPr="00D87F6E">
        <w:rPr>
          <w:i/>
          <w:iCs/>
        </w:rPr>
        <w:t>J Inherit Metab Dis</w:t>
      </w:r>
      <w:r w:rsidRPr="00D87F6E">
        <w:t>, vol. 29, no. 1, Feb, pp. 112-118.</w:t>
      </w:r>
    </w:p>
    <w:p w:rsidR="00E42A3F" w:rsidRPr="00D87F6E" w:rsidRDefault="00E42A3F" w:rsidP="00E42A3F">
      <w:r w:rsidRPr="00D87F6E">
        <w:t xml:space="preserve">Koskenvuo, JW, Hartiala, JJ, Nuutila, P, Kalliokoski, R, Viikari, JS, Engblom, E, Penttinen, M, Knuuti, J, Mononen, I &amp; Kantola, IM 2008, 'Twenty-four-month alpha-galactosidase A replacement therapy in Fabry disease has only minimal effects on symptoms and cardiovascular parameters', </w:t>
      </w:r>
      <w:r w:rsidRPr="00D87F6E">
        <w:rPr>
          <w:i/>
          <w:iCs/>
        </w:rPr>
        <w:t>Journal of Inherited Metabolic Disease</w:t>
      </w:r>
      <w:r w:rsidRPr="00D87F6E">
        <w:t>, vol. 31, no. 3, Jun, pp. 432-441.</w:t>
      </w:r>
    </w:p>
    <w:p w:rsidR="00E42A3F" w:rsidRPr="00D87F6E" w:rsidRDefault="00E42A3F" w:rsidP="00E42A3F">
      <w:r w:rsidRPr="00D87F6E">
        <w:t xml:space="preserve">Linthorst, GE, Hollak, CEM, Donker-Koopman, WE, Strijland, A &amp; Aerts, JMFG 2004, 'Enzyme therapy for fabry disease: neutralizing antibodies toward agalsidase alpha and beta', </w:t>
      </w:r>
      <w:r w:rsidRPr="00D87F6E">
        <w:rPr>
          <w:i/>
          <w:iCs/>
        </w:rPr>
        <w:t>Kidney Int.</w:t>
      </w:r>
      <w:r w:rsidRPr="00D87F6E">
        <w:t>, vol. 66, no. 4, pp. 1589-1595.</w:t>
      </w:r>
    </w:p>
    <w:p w:rsidR="00E42A3F" w:rsidRPr="00D87F6E" w:rsidRDefault="00E42A3F" w:rsidP="00E42A3F">
      <w:r w:rsidRPr="00D87F6E">
        <w:lastRenderedPageBreak/>
        <w:t xml:space="preserve">Lorenzen, JM, Dietrich, B, Fiedler, J, Jazbutyte, V, Fleissner, F, Karpinski, N, Weidemann, F, Wanner, C, Asan, E, Caprio, M, Ertl, G, Bauersachs, J &amp; Thum, T 2013, 'Pathologic endothelial response and impaired function of circulating angiogenic cells in patients with Fabry disease', </w:t>
      </w:r>
      <w:r w:rsidRPr="00D87F6E">
        <w:rPr>
          <w:i/>
          <w:iCs/>
        </w:rPr>
        <w:t>Basic Research in Cardiology</w:t>
      </w:r>
      <w:r w:rsidRPr="00D87F6E">
        <w:t>, vol. 108, no. 1.</w:t>
      </w:r>
    </w:p>
    <w:p w:rsidR="00E42A3F" w:rsidRPr="00D87F6E" w:rsidRDefault="00E42A3F" w:rsidP="00E42A3F">
      <w:r w:rsidRPr="00D87F6E">
        <w:t xml:space="preserve">MacHann, W, Breunig, F, Weidemann, F, Sandstede, J, Hahn, D, Kostler, H, Neubauer, S, Wanner, C &amp; Beer, M 2011, 'Cardiac energy metabolism is disturbed in Fabry disease and improves with enzyme replacement therapy using recombinant human galactosidase A', </w:t>
      </w:r>
      <w:r w:rsidRPr="00D87F6E">
        <w:rPr>
          <w:i/>
          <w:iCs/>
        </w:rPr>
        <w:t>European Journal of Heart Failure</w:t>
      </w:r>
      <w:r w:rsidRPr="00D87F6E">
        <w:t>, vol. 13, no. 3, pp. 278-283.</w:t>
      </w:r>
    </w:p>
    <w:p w:rsidR="00E42A3F" w:rsidRPr="00D87F6E" w:rsidRDefault="00E42A3F" w:rsidP="00E42A3F">
      <w:proofErr w:type="gramStart"/>
      <w:r w:rsidRPr="00D87F6E">
        <w:t xml:space="preserve">Mendes, CSC, Rand, MH, Kyosen, SO &amp; Martins, AM 2010, 'Neurologic assessment in patients with fabry disease before and after enzyme replacement therapy (ERT) with agalsidase beta', </w:t>
      </w:r>
      <w:r w:rsidRPr="00D87F6E">
        <w:rPr>
          <w:i/>
          <w:iCs/>
        </w:rPr>
        <w:t>Journal of Inherited Metabolic Disease</w:t>
      </w:r>
      <w:r w:rsidRPr="00D87F6E">
        <w:t>, vol. 33, p. S157.</w:t>
      </w:r>
      <w:proofErr w:type="gramEnd"/>
    </w:p>
    <w:p w:rsidR="00E42A3F" w:rsidRPr="00D87F6E" w:rsidRDefault="00E42A3F" w:rsidP="00E42A3F">
      <w:r w:rsidRPr="00D87F6E">
        <w:t xml:space="preserve">Messalli, G, Imbriaco, M, Avitabile, G, Russo, R, Iodice, D, Spinelli, L, Dellegrottaglie, S, Cademartiri, F, Salvatore, M &amp; Pisani, A 2012, 'Role of cardiac MRI in evaluating patients with Anderson-Fabry disease: assessing cardiac effects of long-term enzyme replacement therapy', </w:t>
      </w:r>
      <w:r w:rsidRPr="00D87F6E">
        <w:rPr>
          <w:i/>
          <w:iCs/>
        </w:rPr>
        <w:t>Radiol Med</w:t>
      </w:r>
      <w:r w:rsidRPr="00D87F6E">
        <w:t>, vol. 117, no. 1, Feb, pp. 19-28.</w:t>
      </w:r>
    </w:p>
    <w:p w:rsidR="00E42A3F" w:rsidRPr="00D87F6E" w:rsidRDefault="00E42A3F" w:rsidP="00E42A3F">
      <w:r w:rsidRPr="00D87F6E">
        <w:t xml:space="preserve">Ohashi, T, Sakuma, M, Kitagawa, T, Suzuki, K, Ishige, N &amp; Eto, Y 2007, 'Influence of antibody formation on reduction of globotriaosylceramide (GL-3) in urine from Fabry patients during agalsidase beta therapy', </w:t>
      </w:r>
      <w:r w:rsidRPr="00D87F6E">
        <w:rPr>
          <w:i/>
          <w:iCs/>
        </w:rPr>
        <w:t>Mol Genet Metab</w:t>
      </w:r>
      <w:r w:rsidRPr="00D87F6E">
        <w:t>, vol. 92, no. 3, Nov, pp. 271-273.</w:t>
      </w:r>
    </w:p>
    <w:p w:rsidR="00E42A3F" w:rsidRPr="00D87F6E" w:rsidRDefault="00E42A3F" w:rsidP="00E42A3F">
      <w:r w:rsidRPr="00D87F6E">
        <w:t xml:space="preserve">Prabakaran, T, Birn, H, Bibby, BM, Regeniter, A, Sorensen So, S, Feldt-Rasmussen, U, Nielsen, R &amp; Christensen, EI 2014, 'Long-term enzyme replacement therapy is associated with reduced proteinuria and preserved proximal tubular function in women with Fabry disease', </w:t>
      </w:r>
      <w:r w:rsidRPr="00D87F6E">
        <w:rPr>
          <w:i/>
          <w:iCs/>
        </w:rPr>
        <w:t>Nephrology Dialysis Transplantation</w:t>
      </w:r>
      <w:r w:rsidRPr="00D87F6E">
        <w:t>, vol. 29, no. 3, pp. 619-625.</w:t>
      </w:r>
    </w:p>
    <w:p w:rsidR="00E42A3F" w:rsidRPr="00D87F6E" w:rsidRDefault="00E42A3F" w:rsidP="00E42A3F">
      <w:r w:rsidRPr="00D87F6E">
        <w:t xml:space="preserve">Sestito, S, Di Vito, R, Maccarone, M, Parini, R, Dizione, L &amp; Concolino, D 2010, 'Home treatment using agalsidase alfa among patients with Fabry disease in Italy', </w:t>
      </w:r>
      <w:r w:rsidRPr="00D87F6E">
        <w:rPr>
          <w:i/>
          <w:iCs/>
        </w:rPr>
        <w:t>Minerva Pediatrica</w:t>
      </w:r>
      <w:r w:rsidRPr="00D87F6E">
        <w:t>, vol. 62, no. 5.</w:t>
      </w:r>
    </w:p>
    <w:p w:rsidR="00E42A3F" w:rsidRPr="00D87F6E" w:rsidRDefault="00E42A3F" w:rsidP="00E42A3F">
      <w:r w:rsidRPr="00D87F6E">
        <w:t xml:space="preserve">Smid, BE, Rombach, SM, Aerts, J, Kuiper, S, Mirzaian, M, Overkleeft, HS, Poorthuis, B, Hollak, CEM, Groener, JEM &amp; Linthorst, GE 2011, 'Consequences of a global enzyme shortage of agalsidase beta in adult Dutch Fabry patients', </w:t>
      </w:r>
      <w:r w:rsidRPr="00D87F6E">
        <w:rPr>
          <w:i/>
          <w:iCs/>
        </w:rPr>
        <w:t>Orphanet Journal of Rare Diseases</w:t>
      </w:r>
      <w:r w:rsidRPr="00D87F6E">
        <w:t>, vol. 6, Oct.</w:t>
      </w:r>
    </w:p>
    <w:p w:rsidR="00E42A3F" w:rsidRPr="00D87F6E" w:rsidRDefault="00E42A3F" w:rsidP="00E42A3F">
      <w:r w:rsidRPr="00D87F6E">
        <w:t xml:space="preserve">Spinelli, L, Pisani, A, Sabbatini, M, Petretta, M, Andreucci, MV, Procaccini, D, Lo Surdo, N, Federico, S &amp; Cianciaruso, B 2004, 'Enzyme replacement therapy with agalsidase beta improves cardiac involvement in Fabry's disease', </w:t>
      </w:r>
      <w:r w:rsidRPr="00D87F6E">
        <w:rPr>
          <w:i/>
          <w:iCs/>
        </w:rPr>
        <w:t>Clin Genet</w:t>
      </w:r>
      <w:r w:rsidRPr="00D87F6E">
        <w:t>, vol. 66, no. 2, Aug, pp. 158-165.</w:t>
      </w:r>
    </w:p>
    <w:p w:rsidR="00E42A3F" w:rsidRPr="00D87F6E" w:rsidRDefault="00E42A3F" w:rsidP="00E42A3F">
      <w:r w:rsidRPr="00D87F6E">
        <w:t xml:space="preserve">Tahir, H, Jackson, LL &amp; Warnock, DG 2007, 'Antiproteinuric therapy and fabry nephropathy: Sustained reduction of proteinuria in patients receiving enzyme replacement therapy with agalsidase-β', </w:t>
      </w:r>
      <w:r w:rsidRPr="00D87F6E">
        <w:rPr>
          <w:i/>
          <w:iCs/>
        </w:rPr>
        <w:t>Journal of the American Society of Nephrology</w:t>
      </w:r>
      <w:r w:rsidRPr="00D87F6E">
        <w:t>, vol. 18, no. 9, pp. 2609-2617.</w:t>
      </w:r>
    </w:p>
    <w:p w:rsidR="00E42A3F" w:rsidRPr="00D87F6E" w:rsidRDefault="00E42A3F" w:rsidP="00E42A3F">
      <w:proofErr w:type="gramStart"/>
      <w:r w:rsidRPr="00D87F6E">
        <w:lastRenderedPageBreak/>
        <w:t xml:space="preserve">Tran, TC, Benistan, K, Froissart, M &amp; Germain, DP 2009, 'LONG-TERM OUTCOME OF AGALSIDASE BETA THERAPY IN 10 ADULT MALE PATIENTS WITH FABRY DISEASE AND RENAL ALLOGRAFT', </w:t>
      </w:r>
      <w:r w:rsidRPr="00D87F6E">
        <w:rPr>
          <w:i/>
          <w:iCs/>
        </w:rPr>
        <w:t>Clinical Therapeutics</w:t>
      </w:r>
      <w:r w:rsidRPr="00D87F6E">
        <w:t>, vol. 31, pp. S39-S40.</w:t>
      </w:r>
      <w:proofErr w:type="gramEnd"/>
    </w:p>
    <w:p w:rsidR="00E42A3F" w:rsidRPr="00D87F6E" w:rsidRDefault="00E42A3F" w:rsidP="00E42A3F">
      <w:r w:rsidRPr="00D87F6E">
        <w:t xml:space="preserve">Warnock, D, Guasch, A, Thomas, C, Wanner, C, Campbell, R &amp; Vujkovac, B 2013, 'The fabrazyme(registered trademark), angiotensin receptor blocker and ACE inhibitor treatment study for fabry nephropathy (For the faacet investigators)', </w:t>
      </w:r>
      <w:r w:rsidRPr="00D87F6E">
        <w:rPr>
          <w:i/>
          <w:iCs/>
        </w:rPr>
        <w:t>Nephrology Dialysis Transplantation</w:t>
      </w:r>
      <w:r w:rsidRPr="00D87F6E">
        <w:t>, vol. 28, p. i321.</w:t>
      </w:r>
    </w:p>
    <w:p w:rsidR="00E42A3F" w:rsidRPr="00D87F6E" w:rsidRDefault="00E42A3F" w:rsidP="00E42A3F">
      <w:r w:rsidRPr="00D87F6E">
        <w:t xml:space="preserve">Warnock, DG, Germain, DP, Beitner-Johnson, D, Lemay, R &amp; Wanner, C 2011, 'Progression of chronic kidney disease (CKD) in adult male Fabry patients treated with enzyme replacement therapy (ERT)', </w:t>
      </w:r>
      <w:r w:rsidRPr="00D87F6E">
        <w:rPr>
          <w:i/>
          <w:iCs/>
        </w:rPr>
        <w:t>American Journal of Kidney Diseases</w:t>
      </w:r>
      <w:r w:rsidRPr="00D87F6E">
        <w:t>, vol. 57, no. 4, p. A103.</w:t>
      </w:r>
    </w:p>
    <w:p w:rsidR="00E42A3F" w:rsidRPr="00D87F6E" w:rsidRDefault="00E42A3F" w:rsidP="00E42A3F">
      <w:r w:rsidRPr="00D87F6E">
        <w:t xml:space="preserve">Warnock, DG, Ortiz, A, Mauer, M, Linthorst, GE, Oliveira, JP, Serra, AL, Marodi, L, Mignani, R, Vujkovac, B, Beitner-Johnson, D, Lemay, R, Cole, JA, Svarstad, E, Waldek, S, Germain, DP &amp; Wanner, C 2012, 'Renal outcomes of agalsidase beta treatment for Fabry disease: role of proteinuria and timing of treatment initiation', </w:t>
      </w:r>
      <w:r w:rsidRPr="00D87F6E">
        <w:rPr>
          <w:i/>
          <w:iCs/>
        </w:rPr>
        <w:t>Nephrol Dial Transplant</w:t>
      </w:r>
      <w:r w:rsidRPr="00D87F6E">
        <w:t>, vol. 27, no. 3, Mar, pp. 1042-1049.</w:t>
      </w:r>
    </w:p>
    <w:p w:rsidR="00E42A3F" w:rsidRPr="00D87F6E" w:rsidRDefault="00E42A3F" w:rsidP="00E42A3F">
      <w:r w:rsidRPr="00D87F6E">
        <w:t xml:space="preserve">Watt, T, Burlina, AP, Cazzorla, C, Schonfeld, D, Banikazemi, M, Hopkin, RJ, Martins, AM, Sims, K, Beitner-Johnson, D, O'Brien, F &amp; Feldt-Rasmussen, U 2010, 'Agalsidase beta treatment is associated with improved quality of life in patients with Fabry disease: findings from the Fabry Registry', </w:t>
      </w:r>
      <w:r w:rsidRPr="00D87F6E">
        <w:rPr>
          <w:i/>
          <w:iCs/>
        </w:rPr>
        <w:t>Genet Med</w:t>
      </w:r>
      <w:r w:rsidRPr="00D87F6E">
        <w:t>, vol. 12, no. 11, Nov, pp. 703-712.</w:t>
      </w:r>
    </w:p>
    <w:p w:rsidR="00E42A3F" w:rsidRPr="00D87F6E" w:rsidRDefault="00E42A3F" w:rsidP="00E42A3F">
      <w:r w:rsidRPr="00D87F6E">
        <w:t xml:space="preserve">Wilcox, WR, Linthorst, GE, Germain, DP, Feldt-Rasmussen, U, Waldek, S, Richards, SM, Beitner-Johnson, D, Cizmarik, M, Cole, JA, Kingma, W &amp; Warnock, DG 2012, 'Anti-(alpha)-galactosidase A antibody response to agalsidase beta treatment: Data from the Fabry Registry', </w:t>
      </w:r>
      <w:r w:rsidRPr="00D87F6E">
        <w:rPr>
          <w:i/>
          <w:iCs/>
        </w:rPr>
        <w:t>Molecular Genetics and Metabolism</w:t>
      </w:r>
      <w:r w:rsidRPr="00D87F6E">
        <w:t>, vol. 105, no. 3, pp. 443-449.</w:t>
      </w:r>
    </w:p>
    <w:p w:rsidR="00E42A3F" w:rsidRPr="00D87F6E" w:rsidRDefault="00E42A3F" w:rsidP="00E42A3F">
      <w:proofErr w:type="gramStart"/>
      <w:r w:rsidRPr="00D87F6E">
        <w:t xml:space="preserve">Wraith, JE &amp; Investigators, A-S 2006, 'Agalsidase beta (recombinant human alpha-galactosidase A) therapy in paediatric patients with Fabry disease', </w:t>
      </w:r>
      <w:r w:rsidRPr="00D87F6E">
        <w:rPr>
          <w:i/>
          <w:iCs/>
        </w:rPr>
        <w:t>Journal of Inherited Metabolic Disease</w:t>
      </w:r>
      <w:r w:rsidRPr="00D87F6E">
        <w:t>, vol. 29, Aug, pp. 28-28.</w:t>
      </w:r>
      <w:proofErr w:type="gramEnd"/>
    </w:p>
    <w:p w:rsidR="00E42A3F" w:rsidRDefault="00E42A3F" w:rsidP="00E42A3F">
      <w:r w:rsidRPr="00D87F6E">
        <w:t xml:space="preserve">Wraith, JE, Tylki-Szymanska, A, Guffon, N, Lien, YH, Tsimaratos, M, Vellodi, A &amp; Germain, DP 2008, 'Safety and Efficacy of Enzyme Replacement Therapy with Agalsidase Beta: An International, Open-label Study in Pediatric Patients with Fabry Disease', </w:t>
      </w:r>
      <w:r w:rsidRPr="00D87F6E">
        <w:rPr>
          <w:i/>
          <w:iCs/>
        </w:rPr>
        <w:t>Journal of Pediatrics</w:t>
      </w:r>
      <w:r w:rsidRPr="00D87F6E">
        <w:t>, vol. 152, no. 4, pp. 563-570.e561.</w:t>
      </w:r>
    </w:p>
    <w:p w:rsidR="0063378B" w:rsidRPr="00D87F6E" w:rsidRDefault="0063378B" w:rsidP="00E42A3F"/>
    <w:p w:rsidR="00E42A3F" w:rsidRDefault="00E42A3F" w:rsidP="00E5335E">
      <w:pPr>
        <w:pStyle w:val="Heading3"/>
      </w:pPr>
      <w:r>
        <w:t>Agalsidase alfa versus agalsidase beta</w:t>
      </w:r>
    </w:p>
    <w:p w:rsidR="00E42A3F" w:rsidRPr="00D87F6E" w:rsidRDefault="00E42A3F" w:rsidP="0063378B">
      <w:pPr>
        <w:pStyle w:val="Heading3"/>
      </w:pPr>
      <w:r>
        <w:t>Duplicated data</w:t>
      </w:r>
    </w:p>
    <w:p w:rsidR="00E42A3F" w:rsidRPr="003B4F8B" w:rsidRDefault="00E42A3F" w:rsidP="00E42A3F">
      <w:r w:rsidRPr="003B4F8B">
        <w:t xml:space="preserve">Vedder, AC, Breunig, F, Donker-Koopman, WE, Mills, K, Young, E, Winchester, B, Ten Berge, IJ, Groener, JE, Aerts, JM, Wanner, C &amp; Hollak, CE 2008, 'Treatment of Fabry disease with different dosing regimens of agalsidase: effects on antibody formation and GL-3', </w:t>
      </w:r>
      <w:r w:rsidRPr="003B4F8B">
        <w:rPr>
          <w:i/>
          <w:iCs/>
        </w:rPr>
        <w:t>Mol Genet Metab</w:t>
      </w:r>
      <w:r w:rsidRPr="003B4F8B">
        <w:t>, vol. 94, no. 3, Jul, pp. 319-325.</w:t>
      </w:r>
    </w:p>
    <w:p w:rsidR="00E42A3F" w:rsidRPr="003B4F8B" w:rsidRDefault="00E42A3F" w:rsidP="00E42A3F">
      <w:r w:rsidRPr="003B4F8B">
        <w:lastRenderedPageBreak/>
        <w:t xml:space="preserve">Vedder, AC, Linthorst, GE, Houge, G, Groener, JEM, Ormel, EE, Bouma, BJ, Aerts, JMFG, Hirth, A &amp; Hollak, CEM 2007, 'Treatment of fabry disease: Outcome of a comparative trial with agalsidase alfa or beta at a dose of 0.2 mg/kg', </w:t>
      </w:r>
      <w:r w:rsidRPr="003B4F8B">
        <w:rPr>
          <w:i/>
          <w:iCs/>
        </w:rPr>
        <w:t>Plos One</w:t>
      </w:r>
      <w:r w:rsidRPr="003B4F8B">
        <w:t>, vol. 2, no. 7.</w:t>
      </w:r>
    </w:p>
    <w:p w:rsidR="003F2866" w:rsidRDefault="003F2866" w:rsidP="00092F60">
      <w:pPr>
        <w:rPr>
          <w:highlight w:val="magenta"/>
        </w:rPr>
      </w:pPr>
    </w:p>
    <w:p w:rsidR="00092F60" w:rsidRPr="003F3F2D" w:rsidRDefault="00092F60" w:rsidP="00D60032">
      <w:pPr>
        <w:pStyle w:val="Heading2"/>
        <w:numPr>
          <w:ilvl w:val="0"/>
          <w:numId w:val="0"/>
        </w:numPr>
      </w:pPr>
      <w:bookmarkStart w:id="1092" w:name="_Toc404937361"/>
      <w:bookmarkStart w:id="1093" w:name="_Toc415141781"/>
      <w:r w:rsidRPr="003F3F2D">
        <w:t>Infantile Onset Pompe Disease</w:t>
      </w:r>
      <w:bookmarkEnd w:id="1092"/>
      <w:bookmarkEnd w:id="1093"/>
    </w:p>
    <w:p w:rsidR="00092F60" w:rsidRDefault="00092F60" w:rsidP="00E965BD">
      <w:pPr>
        <w:pStyle w:val="Heading3"/>
      </w:pPr>
      <w:r>
        <w:t>Duplicated data</w:t>
      </w:r>
    </w:p>
    <w:p w:rsidR="00092F60" w:rsidRDefault="00092F60" w:rsidP="00092F60">
      <w:r w:rsidRPr="00551E72">
        <w:t xml:space="preserve">Prater, SN, Banugaria, SG, Case, LE, MacKey, JF, Canfield, MM, DeArmey, SL &amp; Kishnani, PS 2011, 'The emerging phenotype of long-term infantile Pompe survivors on enzyme replacement therapy', </w:t>
      </w:r>
      <w:r w:rsidRPr="00551E72">
        <w:rPr>
          <w:i/>
          <w:iCs/>
        </w:rPr>
        <w:t>Mol Genet Metab</w:t>
      </w:r>
      <w:r w:rsidRPr="00551E72">
        <w:t>, vol. 102, no. 3, p. 250.</w:t>
      </w:r>
    </w:p>
    <w:p w:rsidR="00092F60" w:rsidRDefault="00092F60" w:rsidP="00092F60"/>
    <w:p w:rsidR="00092F60" w:rsidRDefault="00092F60" w:rsidP="00E965BD">
      <w:pPr>
        <w:pStyle w:val="Heading3"/>
      </w:pPr>
      <w:r>
        <w:t>Foreign language (not a higher level than available in English)</w:t>
      </w:r>
    </w:p>
    <w:p w:rsidR="00092F60" w:rsidRDefault="00092F60" w:rsidP="00092F60">
      <w:r w:rsidRPr="00551E72">
        <w:t>'Pompe's disease: 5 years of successful treatment with alglucosidase alfa'</w:t>
      </w:r>
      <w:proofErr w:type="gramStart"/>
      <w:r w:rsidRPr="00551E72">
        <w:t>,  2012</w:t>
      </w:r>
      <w:proofErr w:type="gramEnd"/>
      <w:r w:rsidRPr="00551E72">
        <w:t xml:space="preserve">, </w:t>
      </w:r>
      <w:r w:rsidRPr="00551E72">
        <w:rPr>
          <w:i/>
          <w:iCs/>
        </w:rPr>
        <w:t>Neurologie und Rehabilitation</w:t>
      </w:r>
      <w:r w:rsidRPr="00551E72">
        <w:t>, vol. 18, no. 1, p. 81.</w:t>
      </w:r>
    </w:p>
    <w:p w:rsidR="00092F60" w:rsidRPr="00551E72" w:rsidRDefault="00092F60" w:rsidP="00092F60"/>
    <w:p w:rsidR="00092F60" w:rsidRDefault="00092F60" w:rsidP="00E965BD">
      <w:pPr>
        <w:pStyle w:val="Heading3"/>
      </w:pPr>
      <w:r>
        <w:t>Cost-effectiveness</w:t>
      </w:r>
    </w:p>
    <w:p w:rsidR="00092F60" w:rsidRPr="00537C4F" w:rsidRDefault="00092F60" w:rsidP="00092F60">
      <w:r w:rsidRPr="00AC312E">
        <w:t xml:space="preserve">Kanters, TA, Hoogenboom-Plug, I, Rutten-Van, MMP, Redekop, WK, van, dPAT &amp; Hakkaart, L 2014, 'Cost-effectiveness of enzyme replacement therapy with alglucosidase alfa in classic-infantile patients with Pompe disease', </w:t>
      </w:r>
      <w:r w:rsidRPr="00AC312E">
        <w:rPr>
          <w:i/>
          <w:iCs/>
        </w:rPr>
        <w:t>Orphanet J Rare Dis</w:t>
      </w:r>
      <w:r w:rsidRPr="00AC312E">
        <w:t>, vol. 9, //, p. 75.</w:t>
      </w:r>
    </w:p>
    <w:p w:rsidR="00092F60" w:rsidRDefault="00092F60" w:rsidP="00092F60"/>
    <w:p w:rsidR="00092F60" w:rsidRDefault="00092F60" w:rsidP="00E965BD">
      <w:pPr>
        <w:pStyle w:val="Heading3"/>
      </w:pPr>
      <w:r>
        <w:t>Case series</w:t>
      </w:r>
    </w:p>
    <w:p w:rsidR="00092F60" w:rsidRPr="00AC312E" w:rsidRDefault="00092F60" w:rsidP="00092F60">
      <w:r w:rsidRPr="00AC312E">
        <w:t xml:space="preserve">Amalfitano, A, Bengur, AR, Morse, RP, Majure, JM, Case, LE, Veerling, DL, Mackey, J, Kishnani, P, Smith, W, McVie-Wylie, A, Sullivan, JA, Hoganson, GE, Phillips, JA, 3rd, Schaefer, GB, Charrow, J, Ware, RE, Bossen, EH &amp; Chen, YT 2001, 'Recombinant human acid alpha-glucosidase enzyme therapy for infantile glycogen storage disease type II: results of a phase I/II clinical trial', </w:t>
      </w:r>
      <w:r w:rsidRPr="00AC312E">
        <w:rPr>
          <w:i/>
          <w:iCs/>
        </w:rPr>
        <w:t>Genet Med</w:t>
      </w:r>
      <w:r w:rsidRPr="00AC312E">
        <w:t>, vol. 3, no. 2, Mar-Apr, pp. 132-138.</w:t>
      </w:r>
    </w:p>
    <w:p w:rsidR="00092F60" w:rsidRPr="00AC312E" w:rsidRDefault="00092F60" w:rsidP="00092F60">
      <w:r w:rsidRPr="00AC312E">
        <w:t xml:space="preserve">Angelini, C, Semplicini, C, Tonin, P, Filosto, M, Pegoraro, E, Soraru, G &amp; Fanin, M 2009, 'Progress in enzyme replacement therapy in glycogen storage disease type II', </w:t>
      </w:r>
      <w:r w:rsidRPr="00AC312E">
        <w:rPr>
          <w:i/>
          <w:iCs/>
        </w:rPr>
        <w:t>Therapeutic Advances in Neurological Disorders</w:t>
      </w:r>
      <w:r w:rsidRPr="00AC312E">
        <w:t>, vol. 2, no. 3, pp. 143-153.</w:t>
      </w:r>
    </w:p>
    <w:p w:rsidR="00092F60" w:rsidRPr="00AC312E" w:rsidRDefault="00092F60" w:rsidP="00092F60">
      <w:r w:rsidRPr="00AC312E">
        <w:t xml:space="preserve">Ansong, AK, Li, JS, Nozik-Grayck, E, Ing, R, Kravitz, RM, Idriss, SF, Kanter, RJ, Rice, H, Chen, YT &amp; Kishnani, PS 2006, 'Electrocardiographic response to enzyme replacement therapy for Pompe disease', </w:t>
      </w:r>
      <w:r w:rsidRPr="00AC312E">
        <w:rPr>
          <w:i/>
          <w:iCs/>
        </w:rPr>
        <w:t>Genet Med</w:t>
      </w:r>
      <w:r w:rsidRPr="00AC312E">
        <w:t>, vol. 8, no. 5, May, pp. 297-301.</w:t>
      </w:r>
    </w:p>
    <w:p w:rsidR="00092F60" w:rsidRDefault="00092F60" w:rsidP="00092F60">
      <w:r w:rsidRPr="00AC312E">
        <w:t xml:space="preserve">Barker, PC, Pasquali, SK, Darty, S, Ing, RJ, Li, JS, Kim, RJ, DeArmey, S, Kishnani, PS &amp; Campbell, MJ 2010, 'Use of cardiac magnetic resonance imaging to evaluate cardiac </w:t>
      </w:r>
      <w:r w:rsidRPr="00AC312E">
        <w:lastRenderedPageBreak/>
        <w:t xml:space="preserve">structure, function and fibrosis in children with infantile Pompe disease on enzyme replacement therapy', </w:t>
      </w:r>
      <w:r w:rsidRPr="00AC312E">
        <w:rPr>
          <w:i/>
          <w:iCs/>
        </w:rPr>
        <w:t>Mol Genet Metab</w:t>
      </w:r>
      <w:r w:rsidRPr="00AC312E">
        <w:t>, vol. 101, no. 4, Dec, pp. 332-337.</w:t>
      </w:r>
    </w:p>
    <w:p w:rsidR="00092F60" w:rsidRDefault="00092F60" w:rsidP="00092F60">
      <w:r w:rsidRPr="00AC312E">
        <w:t xml:space="preserve">Byrne, BJ, Kishnani, PS, Case, LE, Merlini, L, Mueller-Felber, W, Prasad, S &amp; van der Ploeg, A 2011, 'Pompe disease: Design, methodology, and early findings from the Pompe Registry', </w:t>
      </w:r>
      <w:r w:rsidRPr="00AC312E">
        <w:rPr>
          <w:i/>
          <w:iCs/>
        </w:rPr>
        <w:t>Mol Genet Metab</w:t>
      </w:r>
      <w:r w:rsidRPr="00AC312E">
        <w:t>, vol. 103, no. 1, May, pp. 1-11.</w:t>
      </w:r>
    </w:p>
    <w:p w:rsidR="00092F60" w:rsidRPr="00AC312E" w:rsidRDefault="00092F60" w:rsidP="00092F60">
      <w:r w:rsidRPr="00AC312E">
        <w:t xml:space="preserve">Case, LE, Hanna, R, Frush, DP, Krishnamurthy, V, DeArmey, S, Mackey, J, Boney, A, Morgan, C, Corzo, D, Bouchard, S, Weber, TJ, Chen, Y-T &amp; Kishnani, PS 2007, 'Fractures in children with Pompe disease: a potentiallong-term complication', </w:t>
      </w:r>
      <w:r w:rsidRPr="00AC312E">
        <w:rPr>
          <w:i/>
          <w:iCs/>
        </w:rPr>
        <w:t>Pediatr Radiol</w:t>
      </w:r>
      <w:r w:rsidRPr="00AC312E">
        <w:t>, vol. 37, no. 5, May, pp. 437-445.</w:t>
      </w:r>
    </w:p>
    <w:p w:rsidR="00092F60" w:rsidRPr="00AC312E" w:rsidRDefault="00092F60" w:rsidP="00092F60">
      <w:r w:rsidRPr="00AC312E">
        <w:t xml:space="preserve">Chakrapani, A, Vellodi, A, Robinson, P, Jones, S &amp; Wraith, JE 2010, 'Treatment of infantile Pompe disease with alglucosidase alpha: The UK experience', </w:t>
      </w:r>
      <w:r w:rsidRPr="00AC312E">
        <w:rPr>
          <w:i/>
          <w:iCs/>
        </w:rPr>
        <w:t>J Inherit Metab Dis</w:t>
      </w:r>
      <w:r w:rsidRPr="00AC312E">
        <w:t>, vol. 33, no. 6, pp. 747-750.</w:t>
      </w:r>
    </w:p>
    <w:p w:rsidR="00092F60" w:rsidRPr="00AC312E" w:rsidRDefault="00092F60" w:rsidP="00092F60">
      <w:r w:rsidRPr="00AC312E">
        <w:t xml:space="preserve">Chen, CA, Chien, YH, Hwu, WL, Lee, NC, Wang, JK, Chen, LR, Lu, CW, Lin, MT, Chiu, SN, Chiu, HH &amp; Wu, MH 2011, 'Left ventricular geometry, global function, and dyssynchrony in infants and children with pompe cardiomyopathy undergoing enzyme replacement therapy', </w:t>
      </w:r>
      <w:r w:rsidRPr="00AC312E">
        <w:rPr>
          <w:i/>
          <w:iCs/>
        </w:rPr>
        <w:t>Journal of Cardiac Failure</w:t>
      </w:r>
      <w:r w:rsidRPr="00AC312E">
        <w:t>, vol. 17, no. 11, pp. 930-936.</w:t>
      </w:r>
    </w:p>
    <w:p w:rsidR="00092F60" w:rsidRPr="00AC312E" w:rsidRDefault="00092F60" w:rsidP="00092F60">
      <w:r w:rsidRPr="00AC312E">
        <w:t xml:space="preserve">Chien, YH, Lee, NC, Peng, SF &amp; Hwu, WL 2006, 'Brain development in infantile-onset pompe disease treated by enzyme replacement therapy', </w:t>
      </w:r>
      <w:r w:rsidRPr="00AC312E">
        <w:rPr>
          <w:i/>
          <w:iCs/>
        </w:rPr>
        <w:t>Pediatr Res</w:t>
      </w:r>
      <w:r w:rsidRPr="00AC312E">
        <w:t>, vol. 60, no. 3, pp. 349-352.</w:t>
      </w:r>
    </w:p>
    <w:p w:rsidR="00092F60" w:rsidRPr="00AC312E" w:rsidRDefault="00092F60" w:rsidP="00092F60">
      <w:r w:rsidRPr="00AC312E">
        <w:t xml:space="preserve">Cho, A, Kim, SJ, Lim, BC, Hwang, H, Park, JD, Kim, GB, Jin, DK, Lee, J, Ki, CS, Kim, KJ, Hwang, YS &amp; Chae, JH 2012, 'Infantile Pompe disease: Clinical and genetic characteristics with an experience of enzyme replacement therapy', </w:t>
      </w:r>
      <w:r w:rsidRPr="00AC312E">
        <w:rPr>
          <w:i/>
          <w:iCs/>
        </w:rPr>
        <w:t>J Child Neurol</w:t>
      </w:r>
      <w:r w:rsidRPr="00AC312E">
        <w:t>, vol. 27, no. 3, pp. 319-324.</w:t>
      </w:r>
    </w:p>
    <w:p w:rsidR="00092F60" w:rsidRDefault="00092F60" w:rsidP="00092F60">
      <w:r w:rsidRPr="00AC312E">
        <w:t xml:space="preserve">Cook, AL, Kishnani, PS, Carboni, MP, Kanter, RJ, Chen, YT, Ansong, AK, Kravitz, RM, Rice, H &amp; Li, JS 2006, 'Ambulatory electrocardiogram analysis in infants treated with recombinant human acid alpha-glucosidase enzyme replacement therapy for Pompe disease', </w:t>
      </w:r>
      <w:r w:rsidRPr="00AC312E">
        <w:rPr>
          <w:i/>
          <w:iCs/>
        </w:rPr>
        <w:t>Genet Med</w:t>
      </w:r>
      <w:r w:rsidRPr="00AC312E">
        <w:t>, vol. 8, no. 5, May, pp. 313-317.</w:t>
      </w:r>
    </w:p>
    <w:p w:rsidR="00092F60" w:rsidRDefault="00092F60" w:rsidP="00092F60">
      <w:proofErr w:type="gramStart"/>
      <w:r w:rsidRPr="00AC312E">
        <w:t xml:space="preserve">D'Angona, AL, Finn, P, Murray, J, McVie-Wylie, A &amp; Andrews, L 2013, 'Safety evaluation of a second generation enzyme replacement therapy', </w:t>
      </w:r>
      <w:r w:rsidRPr="00AC312E">
        <w:rPr>
          <w:i/>
          <w:iCs/>
        </w:rPr>
        <w:t>FASEB Journal</w:t>
      </w:r>
      <w:r w:rsidRPr="00AC312E">
        <w:t>, vol. 27, Apr.</w:t>
      </w:r>
      <w:proofErr w:type="gramEnd"/>
    </w:p>
    <w:p w:rsidR="00092F60" w:rsidRPr="00AC312E" w:rsidRDefault="00092F60" w:rsidP="00092F60">
      <w:r w:rsidRPr="00617BD5">
        <w:t xml:space="preserve">Jones, HN, Muller, CW, Lin, M, Banugaria, SG, Case, LE, Li, JS, O'Grady, G, Heller, JH &amp; Kishnani, PS 2010, 'Oropharyngeal dysphagia in infants and children with infantile Pompe disease', </w:t>
      </w:r>
      <w:r w:rsidRPr="00617BD5">
        <w:rPr>
          <w:i/>
          <w:iCs/>
        </w:rPr>
        <w:t>Dysphagia</w:t>
      </w:r>
      <w:r w:rsidRPr="00617BD5">
        <w:t>, vol. 25, no. 4, Dec, pp. 277-283.</w:t>
      </w:r>
    </w:p>
    <w:p w:rsidR="00092F60" w:rsidRDefault="00092F60" w:rsidP="00092F60">
      <w:pPr>
        <w:rPr>
          <w:rFonts w:ascii="Segoe UI" w:hAnsi="Segoe UI" w:cs="Segoe UI"/>
          <w:sz w:val="18"/>
          <w:szCs w:val="18"/>
          <w:lang w:eastAsia="en-AU"/>
        </w:rPr>
      </w:pPr>
      <w:r w:rsidRPr="00AC312E">
        <w:t xml:space="preserve">Kishnani, PS, Nicolino, M, Voit, T, Rogers, RC, Tsai, AC, Waterson, J, Herman, GE, Amalfitano, A, Thurberg, BL, Richards, S, Davison, M, Corzo, D &amp; Chen, YT 2006, 'Chinese hamster ovary cell-derived recombinant human acid alpha-glucosidase in infantile-onset Pompe disease', </w:t>
      </w:r>
      <w:r w:rsidRPr="00AC312E">
        <w:rPr>
          <w:i/>
          <w:iCs/>
        </w:rPr>
        <w:t>J Pediatr</w:t>
      </w:r>
      <w:r w:rsidRPr="00AC312E">
        <w:t>, vol. 149, no. 1, Jul, pp. 89-97.</w:t>
      </w:r>
      <w:r w:rsidRPr="009F5813">
        <w:rPr>
          <w:rFonts w:ascii="Segoe UI" w:hAnsi="Segoe UI" w:cs="Segoe UI"/>
          <w:sz w:val="18"/>
          <w:szCs w:val="18"/>
          <w:lang w:eastAsia="en-AU"/>
        </w:rPr>
        <w:t xml:space="preserve"> </w:t>
      </w:r>
    </w:p>
    <w:p w:rsidR="00092F60" w:rsidRPr="00AC312E" w:rsidRDefault="00092F60" w:rsidP="00092F60">
      <w:r w:rsidRPr="009F5813">
        <w:t xml:space="preserve">Kishnani, PS, Goldenberg, PC, DeArmey, SL, Heller, J, Benjamin, D, Young, S, Bali, D, Smith, SA, Li, JS, Mandel, H, Koeberl, D, Rosenberg, A &amp; Chen, YT 2010, 'Cross-reactive immunologic </w:t>
      </w:r>
      <w:r w:rsidRPr="009F5813">
        <w:lastRenderedPageBreak/>
        <w:t xml:space="preserve">material status affects treatment outcomes in Pompe disease infants', </w:t>
      </w:r>
      <w:r w:rsidRPr="009F5813">
        <w:rPr>
          <w:i/>
          <w:iCs/>
        </w:rPr>
        <w:t>Molecular Genetics and Metabolism</w:t>
      </w:r>
      <w:r w:rsidRPr="009F5813">
        <w:t>, vol. 99, no. 1, pp. 26-33.</w:t>
      </w:r>
    </w:p>
    <w:p w:rsidR="00092F60" w:rsidRPr="00AC312E" w:rsidRDefault="00092F60" w:rsidP="00092F60">
      <w:r w:rsidRPr="00AC312E">
        <w:t xml:space="preserve">Klinge, L, Straub, V, Neudorf, U, Schaper, J, Bosbach, T, Gorlinger, K, Wallot, M, Richards, S &amp; Voit, T 2005, 'Safety and efficacy of recombinant acid alpha-glucosidase (rhGAA) in patients with classical infantile Pompe disease: Results of a phase II clinical trial', </w:t>
      </w:r>
      <w:r w:rsidRPr="00AC312E">
        <w:rPr>
          <w:i/>
          <w:iCs/>
        </w:rPr>
        <w:t>Neuromuscular Disorders</w:t>
      </w:r>
      <w:r w:rsidRPr="00AC312E">
        <w:t>, vol. 15, no. 1, pp. 24-31.</w:t>
      </w:r>
    </w:p>
    <w:p w:rsidR="00092F60" w:rsidRDefault="00092F60" w:rsidP="00092F60">
      <w:r w:rsidRPr="00AC312E">
        <w:t xml:space="preserve">Klinge, L, Straub, V, Neudorf, U &amp; Voit, T 2005, 'Enzyme replacement therapy in classical infantile pompe disease: Results of a ten-month follow-up study', </w:t>
      </w:r>
      <w:r w:rsidRPr="00AC312E">
        <w:rPr>
          <w:i/>
          <w:iCs/>
        </w:rPr>
        <w:t>Neuropediatrics (Stuttgart, Ger.)</w:t>
      </w:r>
      <w:r w:rsidRPr="00AC312E">
        <w:t>, vol. 36, no. 1, //, pp. 6-11.</w:t>
      </w:r>
    </w:p>
    <w:p w:rsidR="00092F60" w:rsidRPr="00AC312E" w:rsidRDefault="00092F60" w:rsidP="00092F60">
      <w:r w:rsidRPr="00AC312E">
        <w:t xml:space="preserve">Levine, JC, Kishnani, PS, Chen, YT, Herlong, JR &amp; Li, JS 2008, 'Cardiac remodeling after enzyme replacement therapy with acid (alpha)-glucosidase for infants with Pompe disease', </w:t>
      </w:r>
      <w:r w:rsidRPr="00AC312E">
        <w:rPr>
          <w:i/>
          <w:iCs/>
        </w:rPr>
        <w:t>Pediatric Cardiology</w:t>
      </w:r>
      <w:r w:rsidRPr="00AC312E">
        <w:t>, vol. 29, no. 6, pp. 1033-1042.</w:t>
      </w:r>
    </w:p>
    <w:p w:rsidR="00092F60" w:rsidRPr="00AC312E" w:rsidRDefault="00092F60" w:rsidP="00092F60">
      <w:r w:rsidRPr="00AC312E">
        <w:t xml:space="preserve">Muller, CW, Jones, HN, O'Grady, G, Suarez, HA, Heller, JH &amp; Kishnani, PS 2009, 'Language and speech function in children with infantile Pompe disease', </w:t>
      </w:r>
      <w:r w:rsidRPr="00AC312E">
        <w:rPr>
          <w:i/>
          <w:iCs/>
        </w:rPr>
        <w:t>Journal of Pediatric Neurology</w:t>
      </w:r>
      <w:r w:rsidRPr="00AC312E">
        <w:t>, vol. 7, no. 2, pp. 147-156.</w:t>
      </w:r>
    </w:p>
    <w:p w:rsidR="00092F60" w:rsidRPr="00AC312E" w:rsidRDefault="00092F60" w:rsidP="00092F60">
      <w:r w:rsidRPr="00AC312E">
        <w:t xml:space="preserve">Prater, SN, Patel, TT, Buckley, AF, Mandel, H, Vlodavski, E, Banugaria, SG, Feeney, EJ, Raben, N &amp; Kishnani, PS 2013, 'Skeletal muscle pathology of infantile Pompe disease during long-term enzyme replacement therapy', </w:t>
      </w:r>
      <w:r w:rsidRPr="00AC312E">
        <w:rPr>
          <w:i/>
          <w:iCs/>
        </w:rPr>
        <w:t>Orphanet J Rare Dis</w:t>
      </w:r>
      <w:r w:rsidRPr="00AC312E">
        <w:t>, vol. 8, no. 1.</w:t>
      </w:r>
    </w:p>
    <w:p w:rsidR="00092F60" w:rsidRDefault="00092F60" w:rsidP="00092F60">
      <w:r w:rsidRPr="00AC312E">
        <w:t xml:space="preserve">Rossi, M, Parenti, G, Della Casa, R, Romano, A, Mansi, G, Agovino, T, Rosapepe, F, Vosa, C, Del Giudice, E &amp; Andria, G 2007, 'Long-term enzyme replacement therapy for pompe disease with recombinant human alpha-glucosidase derived from Chinese hamster ovary cells', </w:t>
      </w:r>
      <w:r w:rsidRPr="00AC312E">
        <w:rPr>
          <w:i/>
          <w:iCs/>
        </w:rPr>
        <w:t>J Child Neurol</w:t>
      </w:r>
      <w:r w:rsidRPr="00AC312E">
        <w:t>, vol. 22, no. 5, pp. 565-573.</w:t>
      </w:r>
    </w:p>
    <w:p w:rsidR="00092F60" w:rsidRPr="009F5813" w:rsidRDefault="00092F60" w:rsidP="00092F60">
      <w:proofErr w:type="gramStart"/>
      <w:r w:rsidRPr="009F5813">
        <w:t xml:space="preserve">Spiridigliozzi, GA, Heller, JH, Case, LE, Jones, HN &amp; Kishnani, PS 2012, 'Early cognitive development in children with infantile Pompe disease', </w:t>
      </w:r>
      <w:r w:rsidRPr="009F5813">
        <w:rPr>
          <w:i/>
          <w:iCs/>
        </w:rPr>
        <w:t>Mol Genet Metab</w:t>
      </w:r>
      <w:r w:rsidRPr="009F5813">
        <w:t>, vol. 105, no. 3, Mar, pp. 428-432.</w:t>
      </w:r>
      <w:proofErr w:type="gramEnd"/>
    </w:p>
    <w:p w:rsidR="00092F60" w:rsidRDefault="00092F60" w:rsidP="00092F60">
      <w:r w:rsidRPr="009F5813">
        <w:t xml:space="preserve">Spiridigliozzi, GA, Heller, JH &amp; Kishnani, PS 2012, 'Cognitive and adaptive functioning of children with infantile Pompe disease treated with enzyme replacement therapy: long-term follow-up', </w:t>
      </w:r>
      <w:r w:rsidRPr="009F5813">
        <w:rPr>
          <w:i/>
          <w:iCs/>
        </w:rPr>
        <w:t>Am J Med Genet C Semin Med Genet</w:t>
      </w:r>
      <w:r w:rsidRPr="009F5813">
        <w:t>, vol. 160C, no. 1, Feb 15, pp. 22-29.</w:t>
      </w:r>
    </w:p>
    <w:p w:rsidR="00092F60" w:rsidRPr="00AC312E" w:rsidRDefault="00092F60" w:rsidP="00092F60">
      <w:r w:rsidRPr="00AC312E">
        <w:t xml:space="preserve">Thurberg, BL, Lynch Maloney, C, Vaccaro, C, Afonso, K, Tsai, AC, Bossen, E, Kishnani, PS &amp; O'Callaghan, M 2006, 'Characterization of pre- and post-treatment pathology after enzyme replacement therapy for Pompe disease', </w:t>
      </w:r>
      <w:r w:rsidRPr="00AC312E">
        <w:rPr>
          <w:i/>
          <w:iCs/>
        </w:rPr>
        <w:t>Lab Invest</w:t>
      </w:r>
      <w:r w:rsidRPr="00AC312E">
        <w:t>, vol. 86, no. 12, Dec, pp. 1208-1220.</w:t>
      </w:r>
    </w:p>
    <w:p w:rsidR="00092F60" w:rsidRDefault="00092F60" w:rsidP="00092F60">
      <w:r w:rsidRPr="00AC312E">
        <w:t xml:space="preserve">van Capelle, CI, Goedegebure, A, Homans, NC, Hoeve, HL, Reuser, AJ &amp; van der Ploeg, AT 2010, 'Hearing loss in Pompe disease revisited: results from a study of 24 children', </w:t>
      </w:r>
      <w:r w:rsidRPr="00AC312E">
        <w:rPr>
          <w:i/>
          <w:iCs/>
        </w:rPr>
        <w:t>J Inherit Metab Dis</w:t>
      </w:r>
      <w:r w:rsidRPr="00AC312E">
        <w:t>, vol. 33, no. 5, Oct, pp. 597-602.</w:t>
      </w:r>
      <w:r w:rsidRPr="00617BD5">
        <w:t xml:space="preserve"> </w:t>
      </w:r>
    </w:p>
    <w:p w:rsidR="00092F60" w:rsidRDefault="00092F60" w:rsidP="00092F60">
      <w:r w:rsidRPr="00AC312E">
        <w:t xml:space="preserve">Van Gelder, C, Kroos, M, Ozkan, L, Plug, I, Reuser, A &amp; Van Der Ploeg, A 2013, 'Antibody formation to enzyme therapy in classic infantile Pompe disease: Implications of patient age', </w:t>
      </w:r>
      <w:r w:rsidRPr="00AC312E">
        <w:rPr>
          <w:i/>
          <w:iCs/>
        </w:rPr>
        <w:t>BMC Musculoskeletal Disorders</w:t>
      </w:r>
      <w:r w:rsidRPr="00AC312E">
        <w:t>, vol. 14, no. 1.</w:t>
      </w:r>
    </w:p>
    <w:p w:rsidR="00092F60" w:rsidRPr="00AC312E" w:rsidRDefault="00092F60" w:rsidP="00092F60">
      <w:r w:rsidRPr="00AC312E">
        <w:lastRenderedPageBreak/>
        <w:t xml:space="preserve">Wasant, P, Vatanavicharn, N, Liammongkolkul, S &amp; Hwu, WL 2008, 'Pompe disease in Thai infants - Report of 4 cases', </w:t>
      </w:r>
      <w:r w:rsidRPr="00AC312E">
        <w:rPr>
          <w:i/>
          <w:iCs/>
        </w:rPr>
        <w:t>J Inherit Metab Dis</w:t>
      </w:r>
      <w:r w:rsidRPr="00AC312E">
        <w:t>, vol. 31, Aug, pp. 117-117.</w:t>
      </w:r>
    </w:p>
    <w:p w:rsidR="00092F60" w:rsidRPr="00AC312E" w:rsidRDefault="00092F60" w:rsidP="00092F60">
      <w:r w:rsidRPr="00AC312E">
        <w:t xml:space="preserve">Yang, CF, Liu, HC, Hsu, TR, Tsai, FC, Chiang, SF, Chiang, CC, Ho, HC, Lai, CJ, Yang, TF, Chuang, SY, Lin, CY &amp; Niu, DM 2014, 'A large-scale nationwide newborn screening program for pompe disease in Taiwan: Towards effective diagnosis and treatment', </w:t>
      </w:r>
      <w:r w:rsidRPr="00AC312E">
        <w:rPr>
          <w:i/>
          <w:iCs/>
        </w:rPr>
        <w:t>American Journal of Medical Genetics, Part A</w:t>
      </w:r>
      <w:r w:rsidRPr="00AC312E">
        <w:t>, vol. 164, no. 1, pp. 54-61.</w:t>
      </w:r>
    </w:p>
    <w:p w:rsidR="00092F60" w:rsidRDefault="00092F60" w:rsidP="00092F60">
      <w:r w:rsidRPr="00AC312E">
        <w:t xml:space="preserve">Young, SP, Zhang, H, Corzo, D, Thurberg, BL, Bali, D, Kishnani, PS &amp; Millington, DS 2009, 'Long-term monitoring of patients with infantile-onset Pompe disease on enzyme replacement therapy using a urinary glucose tetrasaccharide biomarker', </w:t>
      </w:r>
      <w:r w:rsidRPr="00AC312E">
        <w:rPr>
          <w:i/>
          <w:iCs/>
        </w:rPr>
        <w:t>Genetics in Medicine</w:t>
      </w:r>
      <w:r w:rsidRPr="00AC312E">
        <w:t>, vol. 11, no. 7, pp. 536-541.</w:t>
      </w:r>
    </w:p>
    <w:p w:rsidR="00092F60" w:rsidRDefault="00092F60" w:rsidP="00092F60"/>
    <w:p w:rsidR="00092F60" w:rsidRDefault="00092F60" w:rsidP="00E965BD">
      <w:pPr>
        <w:pStyle w:val="Heading3"/>
      </w:pPr>
      <w:r>
        <w:t>Case series focusing on CRIM status or antibodies</w:t>
      </w:r>
    </w:p>
    <w:p w:rsidR="00092F60" w:rsidRPr="00AC312E" w:rsidRDefault="00092F60" w:rsidP="00092F60">
      <w:r w:rsidRPr="00AC312E">
        <w:t xml:space="preserve">Banugaria, SG, Patel, TT &amp; Kishnani, PS 2012, 'Immune modulation in Pompe disease treated with enzyme replacement therapy', </w:t>
      </w:r>
      <w:r w:rsidRPr="00AC312E">
        <w:rPr>
          <w:i/>
          <w:iCs/>
        </w:rPr>
        <w:t>Expert Review of Clinical Immunology</w:t>
      </w:r>
      <w:r w:rsidRPr="00AC312E">
        <w:t>, vol. 8, no. 6, Aug, pp. 497-499.</w:t>
      </w:r>
    </w:p>
    <w:p w:rsidR="00092F60" w:rsidRPr="00AC312E" w:rsidRDefault="00092F60" w:rsidP="00092F60">
      <w:r w:rsidRPr="00AC312E">
        <w:t xml:space="preserve">Banugaria, SG, Prater, SN, Ng, YK, Kobori, JA, Finkel, RS, Ladda, RL, Chen, YT, Rosenberg, AS &amp; Kishnani, PS 2011, 'The impact of antibodies on clinical outcomes in diseases treated with therapeutic protein: lessons learned from infantile Pompe disease', </w:t>
      </w:r>
      <w:r w:rsidRPr="00AC312E">
        <w:rPr>
          <w:i/>
          <w:iCs/>
        </w:rPr>
        <w:t>Genet Med</w:t>
      </w:r>
      <w:r w:rsidRPr="00AC312E">
        <w:t>, vol. 13, no. 8, Aug, pp. 729-736.</w:t>
      </w:r>
    </w:p>
    <w:p w:rsidR="00092F60" w:rsidRPr="00AC312E" w:rsidRDefault="00092F60" w:rsidP="00092F60">
      <w:r w:rsidRPr="00AC312E">
        <w:t xml:space="preserve">Banugaria, SG, Prater, SN, Ng, YK, Kobori, JA, Finkel, RS, Ladda, RL &amp; Kishnani, PS 2010, 'The role of anti-rhGAA antibody titers and clinical outcomes in infantile pompe disease patients', </w:t>
      </w:r>
      <w:r w:rsidRPr="00AC312E">
        <w:rPr>
          <w:i/>
          <w:iCs/>
        </w:rPr>
        <w:t>Mol Genet Metab</w:t>
      </w:r>
      <w:r w:rsidRPr="00AC312E">
        <w:t>, vol. 99, no. 3, p. 199.</w:t>
      </w:r>
    </w:p>
    <w:p w:rsidR="00092F60" w:rsidRPr="00AC312E" w:rsidRDefault="00092F60" w:rsidP="00092F60">
      <w:r w:rsidRPr="00AC312E">
        <w:t xml:space="preserve">Banugaria, SG, Prater, SN, Patel, TT, DeArmey, SM, Milleson, C, Sheets, KB, Bali, DS, Rehder, CW, Raiman, JAJ, Wang, RA, Labarthe, F, Charrow, J, Harmatz, P, Chakraborty, P, Rosenberg, AS &amp; Kishnani, PS 2013, 'Algorithm for the Early Diagnosis and Treatment of Patients with Cross Reactive Immunologic Material-Negative Classic Infantile Pompe Disease: A Step towards Improving the Efficacy of ERT', </w:t>
      </w:r>
      <w:r w:rsidRPr="00AC312E">
        <w:rPr>
          <w:i/>
          <w:iCs/>
        </w:rPr>
        <w:t>PLoS One</w:t>
      </w:r>
      <w:r w:rsidRPr="00AC312E">
        <w:t>, vol. 8, no. 6.</w:t>
      </w:r>
    </w:p>
    <w:p w:rsidR="00092F60" w:rsidRPr="00AC312E" w:rsidRDefault="00092F60" w:rsidP="00092F60">
      <w:r w:rsidRPr="00AC312E">
        <w:t xml:space="preserve">Elder, ME, Nayak, S, Collins, SW, Lawson, LA, Kelley, JS, Herzog, RW, Modica, RF, Lew, J, Lawrence, RM &amp; Byrne, BJ 2013, 'B-Cell depletion and immunomodulation before initiation of enzyme replacement therapy blocks the immune response to acid alpha-glucosidase in infantile-onset Pompe disease', </w:t>
      </w:r>
      <w:r w:rsidRPr="00AC312E">
        <w:rPr>
          <w:i/>
          <w:iCs/>
        </w:rPr>
        <w:t>J Pediatr</w:t>
      </w:r>
      <w:r w:rsidRPr="00AC312E">
        <w:t>, vol. 163, no. 3, Sep, pp. 847-854 e841.</w:t>
      </w:r>
    </w:p>
    <w:p w:rsidR="00092F60" w:rsidRDefault="00092F60" w:rsidP="00092F60">
      <w:r w:rsidRPr="009F5813">
        <w:t xml:space="preserve">Kishnani, PS, Goldenberg, PC, DeArmey, SL, Heller, J, Benjamin, D, Young, S, Bali, D, Smith, SA, Li, JS, Mandel, H, Koeberl, D, Rosenberg, A &amp; Chen, YT 2010, 'Cross-reactive immunologic material status affects treatment outcomes in Pompe disease infants', </w:t>
      </w:r>
      <w:r w:rsidRPr="009F5813">
        <w:rPr>
          <w:i/>
          <w:iCs/>
        </w:rPr>
        <w:t>Molecular Genetics and Metabolism</w:t>
      </w:r>
      <w:r w:rsidRPr="009F5813">
        <w:t>, vol. 99, no. 1, pp. 26-33.</w:t>
      </w:r>
    </w:p>
    <w:p w:rsidR="00092F60" w:rsidRPr="00AC312E" w:rsidRDefault="00092F60" w:rsidP="00092F60">
      <w:r w:rsidRPr="00AC312E">
        <w:t xml:space="preserve">Messinger, YH, Mendelsohn, NJ, Rhead, W, Dimmock, D, Hershkovitz, E, Champion, M, Jones, SA, Olson, R, White, A, Wells, C, Bali, D, Case, LE, Young, SP, Rosenberg, AS &amp; </w:t>
      </w:r>
      <w:r w:rsidRPr="00AC312E">
        <w:lastRenderedPageBreak/>
        <w:t xml:space="preserve">Kishnani, PS 2012, 'Successful immune tolerance induction to enzyme replacement therapy in CRIM-negative infantile Pompe disease', </w:t>
      </w:r>
      <w:r w:rsidRPr="00AC312E">
        <w:rPr>
          <w:i/>
          <w:iCs/>
        </w:rPr>
        <w:t>Genetics in Medicine</w:t>
      </w:r>
      <w:r w:rsidRPr="00AC312E">
        <w:t>, vol. 14, no. 1, pp. 135-142.</w:t>
      </w:r>
    </w:p>
    <w:p w:rsidR="00092F60" w:rsidRPr="00AC312E" w:rsidRDefault="00092F60" w:rsidP="00092F60"/>
    <w:p w:rsidR="00092F60" w:rsidRDefault="00092F60" w:rsidP="00E965BD">
      <w:pPr>
        <w:pStyle w:val="Heading3"/>
      </w:pPr>
      <w:r>
        <w:t>Abstract only</w:t>
      </w:r>
    </w:p>
    <w:p w:rsidR="00092F60" w:rsidRPr="00AC312E" w:rsidRDefault="00092F60" w:rsidP="00092F60">
      <w:r w:rsidRPr="00AC312E">
        <w:t>'Use of alglucosidase alfa (Myozyme?) within NHS Wales (Structured abstract)'</w:t>
      </w:r>
      <w:proofErr w:type="gramStart"/>
      <w:r w:rsidRPr="00AC312E">
        <w:t>,  2007</w:t>
      </w:r>
      <w:proofErr w:type="gramEnd"/>
      <w:r w:rsidRPr="00AC312E">
        <w:t xml:space="preserve">, </w:t>
      </w:r>
      <w:r w:rsidRPr="00AC312E">
        <w:rPr>
          <w:i/>
          <w:iCs/>
        </w:rPr>
        <w:t>Health Technology Assessment Database</w:t>
      </w:r>
      <w:r w:rsidRPr="00AC312E">
        <w:t>, no. 4, &lt;http://onlinelibrary.wiley.com/o/cochrane/clhta/articles/HTA-32012000466/frame.html&gt;.</w:t>
      </w:r>
    </w:p>
    <w:p w:rsidR="00092F60" w:rsidRPr="00AC312E" w:rsidRDefault="00092F60" w:rsidP="00092F60">
      <w:proofErr w:type="gramStart"/>
      <w:r w:rsidRPr="00AC312E">
        <w:t xml:space="preserve">Austin, S &amp; Kishnani, P 2013, 'Long term outcome and clinical experience on immune tolerance induction therapies in infantile Pompe disease', </w:t>
      </w:r>
      <w:r w:rsidRPr="00AC312E">
        <w:rPr>
          <w:i/>
          <w:iCs/>
        </w:rPr>
        <w:t>BMC Musculoskeletal Disorders</w:t>
      </w:r>
      <w:r w:rsidRPr="00AC312E">
        <w:t>, vol. 14, no. 1.</w:t>
      </w:r>
      <w:proofErr w:type="gramEnd"/>
    </w:p>
    <w:p w:rsidR="00092F60" w:rsidRPr="00AC312E" w:rsidRDefault="00092F60" w:rsidP="00092F60">
      <w:r w:rsidRPr="00AC312E">
        <w:t xml:space="preserve">Banugaria, S, Prater, S, Bali, D, Rehder, C, Rosenberg, A &amp; Kishnani, P 2012, 'Long term outcome and clinical experience on immune tolerance induction therapies in infantile pompe disease', </w:t>
      </w:r>
      <w:r w:rsidRPr="00AC312E">
        <w:rPr>
          <w:i/>
          <w:iCs/>
        </w:rPr>
        <w:t>Mol Genet Metab</w:t>
      </w:r>
      <w:r w:rsidRPr="00AC312E">
        <w:t>, vol. 105, no. 2, p. S20.</w:t>
      </w:r>
    </w:p>
    <w:p w:rsidR="00092F60" w:rsidRPr="00AC312E" w:rsidRDefault="00092F60" w:rsidP="00092F60">
      <w:r w:rsidRPr="00AC312E">
        <w:t xml:space="preserve">Banugaria, S, Prater, S, Patel, T, DeArmey, S, Milleson, C, Raiman, J, Wang, R, Labarthe, F, Joel, C, Harmatz, P, Charkraborty, P &amp; Priya, K 2013, 'Approach to management of cross-reactive immunologic material (CRIM)-negative infantile pompe patients treated with ERT: Role of immune modulation in changing the natural history', </w:t>
      </w:r>
      <w:r w:rsidRPr="00AC312E">
        <w:rPr>
          <w:i/>
          <w:iCs/>
        </w:rPr>
        <w:t>Mol Genet Metab</w:t>
      </w:r>
      <w:r w:rsidRPr="00AC312E">
        <w:t>, vol. 108, no. 2, Feb, pp. S23-S23.</w:t>
      </w:r>
    </w:p>
    <w:p w:rsidR="00092F60" w:rsidRPr="00AC312E" w:rsidRDefault="00092F60" w:rsidP="00092F60">
      <w:r w:rsidRPr="00AC312E">
        <w:t xml:space="preserve">Broomfield, AA, Crook, V, Finnegan, N, Fletcher, J, Stewart, C, Cleary, M, Chakrapani, A, Malaiya, N, Jones, S, Chikermane, A, Vellodi, A &amp; Fenton, M 2012, 'LEFT VENTRICULAR FUNCTION IN INFANTILE POMPE PATIENTS ON ENZYME REPLACEMENT THERAPY (ERT)', </w:t>
      </w:r>
      <w:r w:rsidRPr="00AC312E">
        <w:rPr>
          <w:i/>
          <w:iCs/>
        </w:rPr>
        <w:t>J Inherit Metab Dis</w:t>
      </w:r>
      <w:r w:rsidRPr="00AC312E">
        <w:t>, vol. 35, Sep, pp. S12-S12.</w:t>
      </w:r>
    </w:p>
    <w:p w:rsidR="00092F60" w:rsidRPr="00AC312E" w:rsidRDefault="00092F60" w:rsidP="00092F60">
      <w:r w:rsidRPr="00AC312E">
        <w:t xml:space="preserve">Capelle, </w:t>
      </w:r>
      <w:proofErr w:type="gramStart"/>
      <w:r w:rsidRPr="00AC312E">
        <w:t>Cv</w:t>
      </w:r>
      <w:proofErr w:type="gramEnd"/>
      <w:r w:rsidRPr="00AC312E">
        <w:t xml:space="preserve"> 2008, 'Pompe Disease in Children-Early to Mid-stage', </w:t>
      </w:r>
      <w:r w:rsidRPr="00AC312E">
        <w:rPr>
          <w:i/>
          <w:iCs/>
        </w:rPr>
        <w:t>Clinical Therapeutics</w:t>
      </w:r>
      <w:r w:rsidRPr="00AC312E">
        <w:t xml:space="preserve">, vol. 30, no. </w:t>
      </w:r>
      <w:proofErr w:type="gramStart"/>
      <w:r w:rsidRPr="00AC312E">
        <w:t>SUPPL. 1, pp. S11-S12.</w:t>
      </w:r>
      <w:proofErr w:type="gramEnd"/>
    </w:p>
    <w:p w:rsidR="00092F60" w:rsidRPr="00AC312E" w:rsidRDefault="00092F60" w:rsidP="00092F60">
      <w:r w:rsidRPr="00AC312E">
        <w:t xml:space="preserve">Chien, Y-H, Hwu, W-L, Lee, N-C, Chen, C-A, Tsai, F-J, Tsai, W-H, Huang, H-J, Hsu, W-C, Tsai, T-H &amp; Shieh, J-Y 2013, 'Long-term follow-up results in patients with classic infantile Pompe disease receiving enzyme therapy since newborn', </w:t>
      </w:r>
      <w:r w:rsidRPr="00AC312E">
        <w:rPr>
          <w:i/>
          <w:iCs/>
        </w:rPr>
        <w:t>Mol Genet Metab</w:t>
      </w:r>
      <w:r w:rsidRPr="00AC312E">
        <w:t>, vol. 108, no. 2, Feb, pp. S29-S30.</w:t>
      </w:r>
    </w:p>
    <w:p w:rsidR="00092F60" w:rsidRPr="00AC312E" w:rsidRDefault="00092F60" w:rsidP="00092F60">
      <w:r w:rsidRPr="00AC312E">
        <w:t xml:space="preserve">Corzo, D, Byrne, B, Hwu, WL, Leslie, N, Mandel, H &amp; Nicolino, M 2008, 'Alglucosidase Alfa (Myozyme(registered trademark)) in Infants and Children with Rapidly Progressive Pompe Disease', </w:t>
      </w:r>
      <w:r w:rsidRPr="00AC312E">
        <w:rPr>
          <w:i/>
          <w:iCs/>
        </w:rPr>
        <w:t>Clinical Therapeutics</w:t>
      </w:r>
      <w:r w:rsidRPr="00AC312E">
        <w:t xml:space="preserve">, vol. 30, no. </w:t>
      </w:r>
      <w:proofErr w:type="gramStart"/>
      <w:r w:rsidRPr="00AC312E">
        <w:t>SUPPL. 1, pp. S9-S10.</w:t>
      </w:r>
      <w:proofErr w:type="gramEnd"/>
    </w:p>
    <w:p w:rsidR="00092F60" w:rsidRPr="00AC312E" w:rsidRDefault="00092F60" w:rsidP="00092F60">
      <w:r w:rsidRPr="00AC312E">
        <w:t xml:space="preserve">Fenton, M, Burch, M, Andrews, R &amp; Broomfield, A 2013, 'Cardiac Hypertrophy in Pompe disease is Significantly Reduced </w:t>
      </w:r>
      <w:proofErr w:type="gramStart"/>
      <w:r w:rsidRPr="00AC312E">
        <w:t>During</w:t>
      </w:r>
      <w:proofErr w:type="gramEnd"/>
      <w:r w:rsidRPr="00AC312E">
        <w:t xml:space="preserve"> Enzyme Replacement Therapy. </w:t>
      </w:r>
      <w:proofErr w:type="gramStart"/>
      <w:r w:rsidRPr="00AC312E">
        <w:t xml:space="preserve">A United Kingdom Cohort', </w:t>
      </w:r>
      <w:r w:rsidRPr="00AC312E">
        <w:rPr>
          <w:i/>
          <w:iCs/>
        </w:rPr>
        <w:t>Circulation</w:t>
      </w:r>
      <w:r w:rsidRPr="00AC312E">
        <w:t>, vol. 128, no. 22.</w:t>
      </w:r>
      <w:proofErr w:type="gramEnd"/>
    </w:p>
    <w:p w:rsidR="00092F60" w:rsidRPr="00AC312E" w:rsidRDefault="00092F60" w:rsidP="00092F60">
      <w:r w:rsidRPr="00AC312E">
        <w:t xml:space="preserve">Guo, J, Kelton, CM &amp; Guo, JJ 2012, 'Recent developments in pompe disease therapy', </w:t>
      </w:r>
      <w:r w:rsidRPr="00AC312E">
        <w:rPr>
          <w:i/>
          <w:iCs/>
        </w:rPr>
        <w:t>Value in Health</w:t>
      </w:r>
      <w:r w:rsidRPr="00AC312E">
        <w:t>, vol. 15, no. 4, p. A14.</w:t>
      </w:r>
    </w:p>
    <w:p w:rsidR="00092F60" w:rsidRPr="00AC312E" w:rsidRDefault="00092F60" w:rsidP="00092F60">
      <w:r w:rsidRPr="00AC312E">
        <w:lastRenderedPageBreak/>
        <w:t xml:space="preserve">Hilz, M, Hoppe, U, Moeller, S &amp; Kohn, J 2013, 'Stapedius reflex testing shows altered small muscle function in untreated Pompe patients and improvement after enzyme replacement therapy', </w:t>
      </w:r>
      <w:r w:rsidRPr="00AC312E">
        <w:rPr>
          <w:i/>
          <w:iCs/>
        </w:rPr>
        <w:t>BMC Musculoskeletal Disorders</w:t>
      </w:r>
      <w:r w:rsidRPr="00AC312E">
        <w:t>, vol. 14, no. 1.</w:t>
      </w:r>
    </w:p>
    <w:p w:rsidR="00092F60" w:rsidRPr="00AC312E" w:rsidRDefault="00092F60" w:rsidP="00092F60">
      <w:r w:rsidRPr="00AC312E">
        <w:t xml:space="preserve">Kishnani, P, Byrne, B, Hwu, WL, Leslie, N, Mandel, H, Wraith, J &amp; Nicolino, M 2008, 'Alglucosidase alfa in infants and children with advanced pompe disease', </w:t>
      </w:r>
      <w:r w:rsidRPr="00AC312E">
        <w:rPr>
          <w:i/>
          <w:iCs/>
        </w:rPr>
        <w:t>Mol Genet Metab</w:t>
      </w:r>
      <w:r w:rsidRPr="00AC312E">
        <w:t>, vol. 93, no. 3, Mar, pp. 254-254.</w:t>
      </w:r>
    </w:p>
    <w:p w:rsidR="00092F60" w:rsidRPr="00AC312E" w:rsidRDefault="00092F60" w:rsidP="00092F60">
      <w:proofErr w:type="gramStart"/>
      <w:r w:rsidRPr="00AC312E">
        <w:t xml:space="preserve">Kishnani, P, Hwu, WL, Leslie, N, Wraith, J &amp; Nicolino, M 2008, 'ALGLUCOSIDASE ALFA IN INFANTS AND CHILDREN WITH POMPE DISEASE', </w:t>
      </w:r>
      <w:r w:rsidRPr="00AC312E">
        <w:rPr>
          <w:i/>
          <w:iCs/>
        </w:rPr>
        <w:t>Clinical Therapeutics</w:t>
      </w:r>
      <w:r w:rsidRPr="00AC312E">
        <w:t>, vol. 30, pp. S114-S114.</w:t>
      </w:r>
      <w:proofErr w:type="gramEnd"/>
    </w:p>
    <w:p w:rsidR="00092F60" w:rsidRPr="00AC312E" w:rsidRDefault="00092F60" w:rsidP="00092F60">
      <w:r w:rsidRPr="00AC312E">
        <w:t xml:space="preserve">Koeberl, D, Kishnani, P, Goldenberg, P, Dearmey, S, Heller, J, Benjamin, D, Young, S, Bali, D, Smith, SA, Li, J, Mandel, H, Rosenburg, A &amp; Chen, YT 2009, 'Cross-reacting immunologic material status affects outcomes in infants with Pompe disease treated with alglucosidase alfa', </w:t>
      </w:r>
      <w:r w:rsidRPr="00AC312E">
        <w:rPr>
          <w:i/>
          <w:iCs/>
        </w:rPr>
        <w:t>Mol Genet Metab</w:t>
      </w:r>
      <w:r w:rsidRPr="00AC312E">
        <w:t>, vol. 96, no. 2, pp. S28-S29.</w:t>
      </w:r>
    </w:p>
    <w:p w:rsidR="00092F60" w:rsidRPr="00AC312E" w:rsidRDefault="00092F60" w:rsidP="00092F60">
      <w:r w:rsidRPr="00AC312E">
        <w:t xml:space="preserve">Lianou, D, Syrengelas, D, Andreou, N, Chantzopoulos, I, Mavridou, I &amp; Michelakakis, H 2013, 'Pompe disease (PD): Clinical outcome in infants and children treated with recombinant human acid alpha-glucosidase (rhGAA)', </w:t>
      </w:r>
      <w:r w:rsidRPr="00AC312E">
        <w:rPr>
          <w:i/>
          <w:iCs/>
        </w:rPr>
        <w:t>European Journal of Paediatric Neurology</w:t>
      </w:r>
      <w:r w:rsidRPr="00AC312E">
        <w:t>, vol. 17, p. S132.</w:t>
      </w:r>
    </w:p>
    <w:p w:rsidR="00092F60" w:rsidRPr="00AC312E" w:rsidRDefault="00092F60" w:rsidP="00092F60">
      <w:r w:rsidRPr="00AC312E">
        <w:t xml:space="preserve">Mandel, H, Bar-Joseph, G, Lorber, A, Khoury, A, Natan, D, Eldad, DJ, Zeigler, M &amp; Bercovich, M 2009, 'Enzyme replacement therapy in Pompe disease in Northern Israel - A six year follow-up', </w:t>
      </w:r>
      <w:r w:rsidRPr="00AC312E">
        <w:rPr>
          <w:i/>
          <w:iCs/>
        </w:rPr>
        <w:t>Mol Genet Metab</w:t>
      </w:r>
      <w:r w:rsidRPr="00AC312E">
        <w:t>, vol. 98, no. 1-2, p. 81.</w:t>
      </w:r>
    </w:p>
    <w:p w:rsidR="00092F60" w:rsidRPr="00AC312E" w:rsidRDefault="00092F60" w:rsidP="00092F60">
      <w:r w:rsidRPr="00AC312E">
        <w:t xml:space="preserve">Mandel, H, Gruber, M, Goldsher, D, Chistyakov, A, Kaplan, B, Zaaroor, M &amp; Hafner, H 2007, 'Longer Survival by Enzyme Replacement Therapy Unmasks the Underrecognition of Otoneurologic Involvement in Infantile-Onset Pompe Disease', </w:t>
      </w:r>
      <w:r w:rsidRPr="00AC312E">
        <w:rPr>
          <w:i/>
          <w:iCs/>
        </w:rPr>
        <w:t>Clinical Therapeutics</w:t>
      </w:r>
      <w:r w:rsidRPr="00AC312E">
        <w:t xml:space="preserve">, vol. 29, no. </w:t>
      </w:r>
      <w:proofErr w:type="gramStart"/>
      <w:r w:rsidRPr="00AC312E">
        <w:t>SUPPL. C, pp. S109-S110.</w:t>
      </w:r>
      <w:proofErr w:type="gramEnd"/>
    </w:p>
    <w:p w:rsidR="00092F60" w:rsidRPr="00AC312E" w:rsidRDefault="00092F60" w:rsidP="00092F60">
      <w:r w:rsidRPr="00AC312E">
        <w:t xml:space="preserve">Nicolino, M, Byrne, B, Spencer, C, Levine, J, Leslie, N, Wraith, E &amp; Kishnani, P 2008, 'Clinical benefit of treatment with alglucosidase alfa in infants and children with advanced Pompe disease', </w:t>
      </w:r>
      <w:r w:rsidRPr="00AC312E">
        <w:rPr>
          <w:i/>
          <w:iCs/>
        </w:rPr>
        <w:t>Clinical Therapeutics</w:t>
      </w:r>
      <w:r w:rsidRPr="00AC312E">
        <w:t>, vol. 30, pp. S33-S33.</w:t>
      </w:r>
    </w:p>
    <w:p w:rsidR="00092F60" w:rsidRPr="00AC312E" w:rsidRDefault="00092F60" w:rsidP="00092F60">
      <w:r w:rsidRPr="00AC312E">
        <w:t xml:space="preserve">Spencer, CT, Levine, J, Corzo, D, Colan, SD, Graham, D, Kishnani, PS, Nicolino, M, Li, J, Leslie, N, Wraith, E, Mandel, H, Hwu, W-L &amp; Byrne, BJ 2008, 'Clinical Response to Recombinant Acid alpha-Glucosidase is Predicted by Cardiac Outcome Measures in Children with Pompe Disease', </w:t>
      </w:r>
      <w:r w:rsidRPr="00AC312E">
        <w:rPr>
          <w:i/>
          <w:iCs/>
        </w:rPr>
        <w:t>Circulation</w:t>
      </w:r>
      <w:r w:rsidRPr="00AC312E">
        <w:t>, vol. 118, no. 18, Oct 28, pp. S881-S881.</w:t>
      </w:r>
    </w:p>
    <w:p w:rsidR="00092F60" w:rsidRPr="00AC312E" w:rsidRDefault="00092F60" w:rsidP="00092F60">
      <w:r w:rsidRPr="00AC312E">
        <w:t xml:space="preserve">Tolun, AA, Hwu, PWL, Chien, YH, Vaisnins-Carroll, A, Bali, D, Millington, D, Kishnani, PS &amp; Young, SP 2011, 'Monitoring urinary glucose tetrasaccharide biomarker in patients with infantile and late-onset Pompe disease identified through newborn screening', </w:t>
      </w:r>
      <w:r w:rsidRPr="00AC312E">
        <w:rPr>
          <w:i/>
          <w:iCs/>
        </w:rPr>
        <w:t>Mol Genet Metab</w:t>
      </w:r>
      <w:r w:rsidRPr="00AC312E">
        <w:t>, vol. 102, no. 3, pp. 316-317.</w:t>
      </w:r>
    </w:p>
    <w:p w:rsidR="00092F60" w:rsidRPr="00AC312E" w:rsidRDefault="00092F60" w:rsidP="00092F60">
      <w:r w:rsidRPr="00AC312E">
        <w:lastRenderedPageBreak/>
        <w:t xml:space="preserve">Van Gelder, C, Plug, I, Kroos, M, Reuser, A &amp; Van Der Ploeg, A 2013, 'A higher dose of enzyme therapy in patients with classic infantile Pompe disease seems to improve ventilator-free survival and motor function', </w:t>
      </w:r>
      <w:r w:rsidRPr="00AC312E">
        <w:rPr>
          <w:i/>
          <w:iCs/>
        </w:rPr>
        <w:t>BMC Musculoskeletal Disorders</w:t>
      </w:r>
      <w:r w:rsidRPr="00AC312E">
        <w:t>, vol. 14, no. 1.</w:t>
      </w:r>
    </w:p>
    <w:p w:rsidR="00092F60" w:rsidRPr="00AC312E" w:rsidRDefault="00092F60" w:rsidP="00092F60">
      <w:r w:rsidRPr="00AC312E">
        <w:t xml:space="preserve">van Gelder, CM, Kroos, MA, Ozkan, L, Plug, I, Reuser, AJJ &amp; van der Ploeg, AT 2012, 'ANTIBODY FORMATION TO ENZYME THERAPY IN CLASSIC INFANTILE POMPE DISEASE: IMPLICATIONS OF PATIENT AGE', </w:t>
      </w:r>
      <w:r w:rsidRPr="00AC312E">
        <w:rPr>
          <w:i/>
          <w:iCs/>
        </w:rPr>
        <w:t>J Inherit Metab Dis</w:t>
      </w:r>
      <w:r w:rsidRPr="00AC312E">
        <w:t>, vol. 35, Sep, pp. S12-S12.</w:t>
      </w:r>
    </w:p>
    <w:p w:rsidR="00092F60" w:rsidRPr="00AC312E" w:rsidRDefault="00092F60" w:rsidP="00092F60">
      <w:r w:rsidRPr="00AC312E">
        <w:t xml:space="preserve">Van Gelder, CM, Kroos, MA, Ozkan, L, Van Der Ploeg, AT &amp; Reuser, AJJ 2011, 'Crim status, antibody formation and neutralizing antibodies in patients with classic infantile Pompe disease treated with enzyme-replacement therapy', </w:t>
      </w:r>
      <w:r w:rsidRPr="00AC312E">
        <w:rPr>
          <w:i/>
          <w:iCs/>
        </w:rPr>
        <w:t>J Inherit Metab Dis</w:t>
      </w:r>
      <w:r w:rsidRPr="00AC312E">
        <w:t>, vol. 34, p. S226.</w:t>
      </w:r>
    </w:p>
    <w:p w:rsidR="00092F60" w:rsidRPr="00AC312E" w:rsidRDefault="00092F60" w:rsidP="00092F60">
      <w:r w:rsidRPr="00AC312E">
        <w:t xml:space="preserve">Wraith, E, Byrne, B, Hwu, WL, Leslie, N, Mandel, H, Nicolino, M &amp; Kishnani, PS 2008, 'Alglucosidase alfa in infants and children with Pompe disease', </w:t>
      </w:r>
      <w:r w:rsidRPr="00AC312E">
        <w:rPr>
          <w:i/>
          <w:iCs/>
        </w:rPr>
        <w:t>Neuromuscular Disorders</w:t>
      </w:r>
      <w:r w:rsidRPr="00AC312E">
        <w:t>, vol. 18, no. 9-10, Oct, pp. 800-800.</w:t>
      </w:r>
    </w:p>
    <w:p w:rsidR="00092F60" w:rsidRDefault="00092F60" w:rsidP="00092F60">
      <w:r w:rsidRPr="00AC312E">
        <w:t xml:space="preserve">Yanovitch, TL, Casey, R, Banugaria, SG &amp; Kishnani, PS 2010, 'Improvement of bilateral ptosis on higher dose enzyme replacement therapy in Pompe disease', </w:t>
      </w:r>
      <w:r w:rsidRPr="00AC312E">
        <w:rPr>
          <w:i/>
          <w:iCs/>
        </w:rPr>
        <w:t>J Neuroophthalmol</w:t>
      </w:r>
      <w:r w:rsidRPr="00AC312E">
        <w:t>, vol. 30, no. 2, Jun, pp. 165-166.</w:t>
      </w:r>
    </w:p>
    <w:p w:rsidR="00092F60" w:rsidRPr="00AC312E" w:rsidRDefault="00092F60" w:rsidP="00092F60"/>
    <w:p w:rsidR="00092F60" w:rsidRDefault="00092F60" w:rsidP="00E965BD">
      <w:pPr>
        <w:pStyle w:val="Heading3"/>
      </w:pPr>
      <w:r>
        <w:t xml:space="preserve">Review </w:t>
      </w:r>
    </w:p>
    <w:p w:rsidR="00092F60" w:rsidRPr="00AC312E" w:rsidRDefault="00092F60" w:rsidP="00092F60">
      <w:r w:rsidRPr="00AC312E">
        <w:t xml:space="preserve">Alfadhel, M, Al-Thihli, K, Moubayed, H, Eyaid, W &amp; Al-Jeraisy, M 2013, 'Drug treatment of inborn errors of metabolism: A systematic review', </w:t>
      </w:r>
      <w:r w:rsidRPr="00AC312E">
        <w:rPr>
          <w:i/>
          <w:iCs/>
        </w:rPr>
        <w:t>Archives of Disease in Childhood</w:t>
      </w:r>
      <w:r w:rsidRPr="00AC312E">
        <w:t>, vol. 98, no. 6, pp. 454-461.</w:t>
      </w:r>
    </w:p>
    <w:p w:rsidR="00092F60" w:rsidRPr="00AC312E" w:rsidRDefault="00092F60" w:rsidP="00092F60">
      <w:r w:rsidRPr="00AC312E">
        <w:t xml:space="preserve">Dupont, AG &amp; Van Wilder, PB 2011, 'Access to orphan drugs despite poor quality of clinical evidence', </w:t>
      </w:r>
      <w:r w:rsidRPr="00AC312E">
        <w:rPr>
          <w:i/>
          <w:iCs/>
        </w:rPr>
        <w:t>British Journal of Clinical Pharmacology</w:t>
      </w:r>
      <w:r w:rsidRPr="00AC312E">
        <w:t>, vol. 71, no. 4, pp. 488-496.</w:t>
      </w:r>
    </w:p>
    <w:p w:rsidR="00092F60" w:rsidRPr="00AC312E" w:rsidRDefault="00092F60" w:rsidP="00092F60">
      <w:r w:rsidRPr="00AC312E">
        <w:t xml:space="preserve">Kanters, TA, De Sonneville-Koedoot, C, Redekop, WK &amp; Hakkaart, L 2013, 'Systematic review of available evidence on 11 high-priced inpatient orphan drugs', </w:t>
      </w:r>
      <w:r w:rsidRPr="00AC312E">
        <w:rPr>
          <w:i/>
          <w:iCs/>
        </w:rPr>
        <w:t>Orphanet J Rare Dis</w:t>
      </w:r>
      <w:r w:rsidRPr="00AC312E">
        <w:t>, vol. 8, no. 1.</w:t>
      </w:r>
    </w:p>
    <w:p w:rsidR="00092F60" w:rsidRPr="00AC312E" w:rsidRDefault="00092F60" w:rsidP="00092F60">
      <w:r w:rsidRPr="00AC312E">
        <w:t xml:space="preserve">Mitsumoto, J, Dorsey, ER, Beck, CA, Kieburtz, K &amp; Griggs, RC 2009, 'Pivotal studies of orphan drugs approved for neurological diseases', </w:t>
      </w:r>
      <w:r w:rsidRPr="00AC312E">
        <w:rPr>
          <w:i/>
          <w:iCs/>
        </w:rPr>
        <w:t>Ann Neurol</w:t>
      </w:r>
      <w:r w:rsidRPr="00AC312E">
        <w:t>, vol. 66, no. 2, pp. 184-190.</w:t>
      </w:r>
    </w:p>
    <w:p w:rsidR="00092F60" w:rsidRPr="00AC312E" w:rsidRDefault="00092F60" w:rsidP="00092F60">
      <w:r w:rsidRPr="00AC312E">
        <w:t xml:space="preserve">Wang, RY, Bodamer, OA, Watson, MS &amp; Wilcox, WR 2011, 'Lysosomal storage diseases: Diagnostic confirmation and management of presymptomatic individuals', </w:t>
      </w:r>
      <w:r w:rsidRPr="00AC312E">
        <w:rPr>
          <w:i/>
          <w:iCs/>
        </w:rPr>
        <w:t>Genetics in Medicine</w:t>
      </w:r>
      <w:r w:rsidRPr="00AC312E">
        <w:t>, vol. 13, no. 5, pp. 457-484.</w:t>
      </w:r>
    </w:p>
    <w:p w:rsidR="00092F60" w:rsidRPr="00AC312E" w:rsidRDefault="00092F60" w:rsidP="00092F60"/>
    <w:p w:rsidR="00103085" w:rsidRDefault="00103085" w:rsidP="00D60032">
      <w:pPr>
        <w:pStyle w:val="Heading2"/>
        <w:numPr>
          <w:ilvl w:val="0"/>
          <w:numId w:val="0"/>
        </w:numPr>
      </w:pPr>
      <w:bookmarkStart w:id="1094" w:name="_Toc415141782"/>
      <w:r>
        <w:lastRenderedPageBreak/>
        <w:t>Juvenile Onset Pompe Disease</w:t>
      </w:r>
      <w:bookmarkEnd w:id="1094"/>
    </w:p>
    <w:p w:rsidR="00092F60" w:rsidRDefault="00A13051" w:rsidP="00A13051">
      <w:pPr>
        <w:pStyle w:val="Heading3"/>
      </w:pPr>
      <w:r>
        <w:t>Guidelines</w:t>
      </w:r>
    </w:p>
    <w:p w:rsidR="00A13051" w:rsidRPr="00A13051" w:rsidRDefault="00A13051" w:rsidP="00A13051">
      <w:r w:rsidRPr="00A13051">
        <w:t>'Use of alglucosidase alfa (Myozyme?) within NHS Wales (Structured abstract)'</w:t>
      </w:r>
      <w:proofErr w:type="gramStart"/>
      <w:r w:rsidRPr="00A13051">
        <w:t>,  2007</w:t>
      </w:r>
      <w:proofErr w:type="gramEnd"/>
      <w:r w:rsidRPr="00A13051">
        <w:t xml:space="preserve">, </w:t>
      </w:r>
      <w:r w:rsidRPr="00A13051">
        <w:rPr>
          <w:i/>
          <w:iCs/>
        </w:rPr>
        <w:t>Health Technology Assessment Database</w:t>
      </w:r>
      <w:r w:rsidRPr="00A13051">
        <w:t>, no. 4, &lt;http://onlinelibrary.wiley.com/o/cochrane/clhta/articles/HTA-32012000466/frame.html&gt;.</w:t>
      </w:r>
    </w:p>
    <w:p w:rsidR="00A13051" w:rsidRPr="00A13051" w:rsidRDefault="00A13051" w:rsidP="00A13051"/>
    <w:p w:rsidR="00A13051" w:rsidRDefault="002734FC" w:rsidP="00A13051">
      <w:pPr>
        <w:pStyle w:val="Heading3"/>
      </w:pPr>
      <w:r>
        <w:t>Juvenile-late onset</w:t>
      </w:r>
      <w:r w:rsidR="00A13051">
        <w:t xml:space="preserve"> not separated </w:t>
      </w:r>
    </w:p>
    <w:p w:rsidR="00A13051" w:rsidRPr="00A13051" w:rsidRDefault="00A13051" w:rsidP="00A13051">
      <w:r w:rsidRPr="00A13051">
        <w:t xml:space="preserve">Anderson, L, Henley, W, Wyatt, K, Nikolaou, V, Waldek, S, Hughes, D, Lachmann, R &amp; Logan, S 2014, 'Effectiveness of enzyme replacement therapy in adults with late-onset Pompe disease: results from the NCS-LSD cohort study', </w:t>
      </w:r>
      <w:r w:rsidRPr="00A13051">
        <w:rPr>
          <w:i/>
          <w:iCs/>
        </w:rPr>
        <w:t>Journal of Inherited Metabolic Disease</w:t>
      </w:r>
      <w:r w:rsidRPr="00A13051">
        <w:t>, vol. 37, no. 6, pp. 945-952.</w:t>
      </w:r>
    </w:p>
    <w:p w:rsidR="00A13051" w:rsidRPr="00A13051" w:rsidRDefault="00A13051" w:rsidP="00A13051">
      <w:r w:rsidRPr="00A13051">
        <w:t xml:space="preserve">Angelini, C, Semplicini, C, Ravaglia, S, Bembi, B, Servidei, S, Pegoraro, E, Moggio, M, Filosto, M, Sette, E, Crescimanno, G, Tonin, P, Parini, R, Morandi, L, Marrosu, G, Greco, G, Musumeci, O, Iorio, G, Siciliano, G, Donati, MA, Carubbi, F, Ermani, M, Mongini, T &amp; Toscano, A 2012, 'Observational clinical study in juvenile-adult glycogenosis type 2 patients undergoing enzyme replacement therapy for up to 4 years', </w:t>
      </w:r>
      <w:r w:rsidRPr="00A13051">
        <w:rPr>
          <w:i/>
          <w:iCs/>
        </w:rPr>
        <w:t>Journal of Neurology</w:t>
      </w:r>
      <w:r w:rsidRPr="00A13051">
        <w:t>, vol. 259, no. 5, pp. 952-958, DOI 10.1007/s00415-011-6293-5, &lt;http://onlinelibrary.wiley.com/o/cochrane/clcentral/articles/454/CN-00900454/frame.html</w:t>
      </w:r>
    </w:p>
    <w:p w:rsidR="00A13051" w:rsidRPr="00A13051" w:rsidRDefault="00A13051" w:rsidP="00A13051">
      <w:proofErr w:type="gramStart"/>
      <w:r w:rsidRPr="00A13051">
        <w:t>http://download.springer.com/static/pdf/762/art%253A10.1007%252Fs00415-011-6293-5.pdf?auth66=1422315887_49f4be2f11d872527d0e0b5e6a46399f&amp;ext=.pdf&gt;.</w:t>
      </w:r>
      <w:proofErr w:type="gramEnd"/>
    </w:p>
    <w:p w:rsidR="00A13051" w:rsidRPr="00A13051" w:rsidRDefault="00A13051" w:rsidP="00A13051">
      <w:r w:rsidRPr="00A13051">
        <w:t xml:space="preserve">Angelini, C, Semplicini, C, Ravaglia, S, Moggio, M, Comi, GP, Musumeci, O, Pegoraro, E, Tonin, P, Filosto, M, Servidei, S, Morandi, L, Crescimanno, G, Marrosu, G, Siciliano, G, Mongini, T, Toscano, A &amp; Italian Grp, G 2012, 'New motor outcome function measures in evaluation of Late-Onset Pompe disease before and after enzyme replacement therapy', </w:t>
      </w:r>
      <w:r w:rsidRPr="00A13051">
        <w:rPr>
          <w:i/>
          <w:iCs/>
        </w:rPr>
        <w:t>Muscle &amp; Nerve</w:t>
      </w:r>
      <w:r w:rsidRPr="00A13051">
        <w:t>, vol. 45, no. 6, Jun, pp. 831-834.</w:t>
      </w:r>
    </w:p>
    <w:p w:rsidR="00A13051" w:rsidRPr="00A13051" w:rsidRDefault="00A13051" w:rsidP="00A13051">
      <w:r w:rsidRPr="00A13051">
        <w:t xml:space="preserve">Angelini, C, Semplicini, C, Tonin, P, Filosto, M, Pegoraro, E, Soraru, G &amp; Fanin, M 2009, 'Progress in Enzyme Replacement Therapy in Glycogen Storage Disease Type II', </w:t>
      </w:r>
      <w:r w:rsidRPr="00A13051">
        <w:rPr>
          <w:i/>
          <w:iCs/>
        </w:rPr>
        <w:t>Ther Adv Neurol Disord</w:t>
      </w:r>
      <w:r w:rsidRPr="00A13051">
        <w:t>, vol. 2, no. 3, May, pp. 143-153.</w:t>
      </w:r>
    </w:p>
    <w:p w:rsidR="00A13051" w:rsidRPr="00A13051" w:rsidRDefault="00A13051" w:rsidP="00A13051">
      <w:r w:rsidRPr="00A13051">
        <w:t xml:space="preserve">de Vries, JM, van der Beek, NAME, Hop, WCJ, Karstens, FPJ, Wokke, JH, de, VM, van, EBGM, Kuks, JBM, van, dKAJ, Notermans, NC, Faber, CG, Verschuuren, JJGM, Kruijshaar, ME, Reuser, AJJ, van, DPA &amp; van, dPAT 2012, 'Effect of enzyme therapy and prognostic factors in 69 adults with Pompe disease: an open-label single-center study', </w:t>
      </w:r>
      <w:r w:rsidRPr="00A13051">
        <w:rPr>
          <w:i/>
          <w:iCs/>
        </w:rPr>
        <w:t>Orphanet J Rare Dis</w:t>
      </w:r>
      <w:r w:rsidRPr="00A13051">
        <w:t>, vol. 7, //, p. 73.</w:t>
      </w:r>
    </w:p>
    <w:p w:rsidR="00A13051" w:rsidRPr="00A13051" w:rsidRDefault="00A13051" w:rsidP="00A13051">
      <w:r w:rsidRPr="00A13051">
        <w:t xml:space="preserve">Gungor, D, de Vries, JM, Brusse, E, Kruijshaar, ME, Hop, WCJ, Murawska, M, van den Berg, LEM, Reuser, AJJ, van Doorn, PA, Hagemans, MLC, Plug, I &amp; van der Ploeg, AT 2013, 'Enzyme </w:t>
      </w:r>
      <w:r w:rsidRPr="00A13051">
        <w:lastRenderedPageBreak/>
        <w:t xml:space="preserve">replacement therapy and fatigue in adults with Pompe disease', </w:t>
      </w:r>
      <w:r w:rsidRPr="00A13051">
        <w:rPr>
          <w:i/>
          <w:iCs/>
        </w:rPr>
        <w:t xml:space="preserve">Mol. Genet. </w:t>
      </w:r>
      <w:proofErr w:type="gramStart"/>
      <w:r w:rsidRPr="00A13051">
        <w:rPr>
          <w:i/>
          <w:iCs/>
        </w:rPr>
        <w:t>Metab.</w:t>
      </w:r>
      <w:r w:rsidRPr="00A13051">
        <w:t>,</w:t>
      </w:r>
      <w:proofErr w:type="gramEnd"/>
      <w:r w:rsidRPr="00A13051">
        <w:t xml:space="preserve"> vol. 109, no. 2, //, pp. 174-178.</w:t>
      </w:r>
    </w:p>
    <w:p w:rsidR="00A13051" w:rsidRPr="00A13051" w:rsidRDefault="00A13051" w:rsidP="00A13051">
      <w:r w:rsidRPr="00A13051">
        <w:t xml:space="preserve">Gungor, D, Kruijshaar, ME, Plug, I, D'Agostino, RB, Hagemans, MLC, Doorn, PA, Reuser, AJJ &amp; Ploeg, AT 2013, 'Impact of enzyme replacement therapy on survival in adults with Pompe disease: Results from a prospective international observational study', </w:t>
      </w:r>
      <w:r w:rsidRPr="00A13051">
        <w:rPr>
          <w:i/>
          <w:iCs/>
        </w:rPr>
        <w:t>Orphanet Journal of Rare Diseases</w:t>
      </w:r>
      <w:r w:rsidRPr="00A13051">
        <w:t>, vol. 8, no. 1, DOI 10.1186/1750-1172-8-49, &lt;http://onlinelibrary.wiley.com/o/cochrane/clcentral/articles/995/CN-00916995/frame.html</w:t>
      </w:r>
    </w:p>
    <w:p w:rsidR="00A13051" w:rsidRPr="00A13051" w:rsidRDefault="00A13051" w:rsidP="00A13051">
      <w:proofErr w:type="gramStart"/>
      <w:r w:rsidRPr="00A13051">
        <w:t>http://www.ojrd.com/content/pdf/1750-1172-8-49.pdf&gt;.</w:t>
      </w:r>
      <w:proofErr w:type="gramEnd"/>
    </w:p>
    <w:p w:rsidR="00A13051" w:rsidRDefault="00A13051" w:rsidP="00A13051">
      <w:r w:rsidRPr="00A13051">
        <w:t xml:space="preserve">Güngör, D, Schober, AK, Kruijshaar, ME, Plug, I, Karabul, N, Deschauer, M, van Doorn, PA, van der Ploeg, AT, Schoser, B &amp; Hanisch, F 2013, 'Pain in adult patients with Pompe disease: A cross-sectional survey', </w:t>
      </w:r>
      <w:r w:rsidRPr="00A13051">
        <w:rPr>
          <w:i/>
          <w:iCs/>
        </w:rPr>
        <w:t>Molecular Genetics and Metabolism</w:t>
      </w:r>
      <w:r w:rsidRPr="00A13051">
        <w:t>, vol. 109, no. 4, pp. 371-376.</w:t>
      </w:r>
    </w:p>
    <w:p w:rsidR="000A14BC" w:rsidRPr="00A13051" w:rsidRDefault="000A14BC" w:rsidP="00A13051">
      <w:r w:rsidRPr="000A14BC">
        <w:t xml:space="preserve">Forsha, D, Li, JS, Smith, PB, van der Ploeg, AT, Kishnani, P, Pasquali, SK &amp; Late-Onset Treatment Study, I 2011, 'Cardiovascular abnormalities in late-onset Pompe disease and response to enzyme replacement therapy', </w:t>
      </w:r>
      <w:r w:rsidRPr="000A14BC">
        <w:rPr>
          <w:i/>
          <w:iCs/>
        </w:rPr>
        <w:t>Genetics in Medicine</w:t>
      </w:r>
      <w:r w:rsidRPr="000A14BC">
        <w:t>, vol. 13, no. 7, Jul, pp. 625-631.</w:t>
      </w:r>
    </w:p>
    <w:p w:rsidR="00A13051" w:rsidRPr="00A13051" w:rsidRDefault="00A13051" w:rsidP="00A13051">
      <w:r w:rsidRPr="00A13051">
        <w:t>Pichiecchio, A, Poloni, GU, Ravaglia, S, Ponzio, M, Germani, G, Maranzana, D, Costa, A, Repetto, A, Tavazzi, E, Danesino, C, Moglia, A &amp; Bastianello, S 2009, 'Enzyme replacement therapy in adult-onset glycogenosis II: Is quantitative muscle MRI helpful?</w:t>
      </w:r>
      <w:proofErr w:type="gramStart"/>
      <w:r w:rsidRPr="00A13051">
        <w:t>',</w:t>
      </w:r>
      <w:proofErr w:type="gramEnd"/>
      <w:r w:rsidRPr="00A13051">
        <w:t xml:space="preserve"> </w:t>
      </w:r>
      <w:r w:rsidRPr="00A13051">
        <w:rPr>
          <w:i/>
          <w:iCs/>
        </w:rPr>
        <w:t>Muscle and Nerve</w:t>
      </w:r>
      <w:r w:rsidRPr="00A13051">
        <w:t>, vol. 40, no. 1, pp. 122-125.</w:t>
      </w:r>
    </w:p>
    <w:p w:rsidR="00A13051" w:rsidRPr="00A13051" w:rsidRDefault="00A13051" w:rsidP="00A13051">
      <w:r w:rsidRPr="00A13051">
        <w:t xml:space="preserve">Ravaglia, S, Pichiecchio, A, Ponzio, M, Danesino, C, Saeidi Garaghani, K, Poloni, GU, Toscano, A, Moglia, A, Carlucci, A, Bini, P, Ceroni, M &amp; Bastianello, S 2010, 'Changes in skeletal muscle qualities during enzyme replacement therapy in late-onset type II glycogenosis: temporal and spatial pattern of mass vs. strength response', </w:t>
      </w:r>
      <w:r w:rsidRPr="00A13051">
        <w:rPr>
          <w:i/>
          <w:iCs/>
        </w:rPr>
        <w:t>J Inherit Metab Dis</w:t>
      </w:r>
      <w:r w:rsidRPr="00A13051">
        <w:t>, vol. 33, no. 6, Dec, pp. 737-745.</w:t>
      </w:r>
    </w:p>
    <w:p w:rsidR="00A13051" w:rsidRPr="00A13051" w:rsidRDefault="00A13051" w:rsidP="00A13051">
      <w:r w:rsidRPr="00A13051">
        <w:t>Regnery, C, Kornblum, C, Hanisch, F, Vielhaber, S, Strigl-Pill, N, Grunert, B, M</w:t>
      </w:r>
      <w:r w:rsidRPr="00A13051">
        <w:rPr>
          <w:rFonts w:cs="Calibri"/>
        </w:rPr>
        <w:t></w:t>
      </w:r>
      <w:r w:rsidRPr="00A13051">
        <w:t xml:space="preserve">ller-Felber, W, Glocker, FX, Spranger, M, Deschauer, M, Mengel, E &amp; Schoser, B 2012, '36 months observational clinical study of 38 adult Pompe disease patients under alglucosidase alfa enzyme replacement therapy', </w:t>
      </w:r>
      <w:r w:rsidRPr="00A13051">
        <w:rPr>
          <w:i/>
          <w:iCs/>
        </w:rPr>
        <w:t>J Inherit Metab Dis.</w:t>
      </w:r>
      <w:r w:rsidRPr="00A13051">
        <w:t xml:space="preserve">, vol. 35, no. 5, Sep, pp. 837-845. </w:t>
      </w:r>
      <w:proofErr w:type="gramStart"/>
      <w:r w:rsidRPr="00A13051">
        <w:t>[Journal of inherited metabolic disease].</w:t>
      </w:r>
      <w:proofErr w:type="gramEnd"/>
    </w:p>
    <w:p w:rsidR="00A13051" w:rsidRPr="00A13051" w:rsidRDefault="00A13051" w:rsidP="00A13051">
      <w:r w:rsidRPr="00A13051">
        <w:t xml:space="preserve">Strothotte, S, Strigl-Pill, N, Grunert, B, Kornblum, C, Eger, K, Wessig, C, Deschauer, M, Breunig, F, Glocker, FX, Vielhaber, S, Brejova, A, Hilz, M, Reiners, K, Müller-Felber, W, Mengel, E, Spranger, M &amp; Schoser, B 2010, 'Enzyme replacement therapy with alglucosidase alfa in 44 patients with late-onset glycogen storage disease type 2: 12-month results of an observational clinical trial', </w:t>
      </w:r>
      <w:r w:rsidRPr="00A13051">
        <w:rPr>
          <w:i/>
          <w:iCs/>
        </w:rPr>
        <w:t>Journal of Neurology</w:t>
      </w:r>
      <w:r w:rsidRPr="00A13051">
        <w:t>, vol. 257, no. 1, pp. 91-97.</w:t>
      </w:r>
    </w:p>
    <w:p w:rsidR="000A14BC" w:rsidRDefault="000A14BC" w:rsidP="00A13051">
      <w:r w:rsidRPr="000A14BC">
        <w:t xml:space="preserve">Toscano, A &amp; Schoser, B 2013, 'Enzyme replacement therapy in late-onset Pompe disease: a systematic literature review', </w:t>
      </w:r>
      <w:r w:rsidRPr="000A14BC">
        <w:rPr>
          <w:i/>
          <w:iCs/>
        </w:rPr>
        <w:t>Journal of Neurology</w:t>
      </w:r>
      <w:r w:rsidRPr="000A14BC">
        <w:t>, vol. 260, no. 4, Apr, pp. 951-959.</w:t>
      </w:r>
    </w:p>
    <w:p w:rsidR="00A13051" w:rsidRDefault="00A13051" w:rsidP="00A13051">
      <w:r w:rsidRPr="00A13051">
        <w:lastRenderedPageBreak/>
        <w:t xml:space="preserve">van der Meijden, JC, Gungor, D, Kruijshaar, ME, Muir, ADJ, Broekgaarden, HA &amp; van der Ploeg, AT 2014, 'Ten years of the international Pompe survey: patient reported outcomes as a reliable tool for studying treated and untreated children and adults with non-classic Pompe disease', </w:t>
      </w:r>
      <w:r w:rsidRPr="00A13051">
        <w:rPr>
          <w:i/>
          <w:iCs/>
        </w:rPr>
        <w:t>Journal of Inherited Metabolic Disease</w:t>
      </w:r>
      <w:r w:rsidRPr="00A13051">
        <w:t>.</w:t>
      </w:r>
    </w:p>
    <w:p w:rsidR="000A14BC" w:rsidRPr="000A14BC" w:rsidRDefault="000A14BC" w:rsidP="000A14BC">
      <w:r w:rsidRPr="000A14BC">
        <w:t xml:space="preserve">Van der Ploeg, AT, Barohn, R, Carlson, L, Charrow, J, Clemens, PR, Hopkin, RJ, Kishnani, PS, Laforêt, P, Morgan, C, Nations, S, Pestronk, A, Plotkin, H, Rosenbloom, BE, Sims, KB &amp; Tsao, E 2012, 'Open-label extension study following the Late-Onset Treatment Study (LOTS) of alglucosidase alfa', </w:t>
      </w:r>
      <w:r w:rsidRPr="000A14BC">
        <w:rPr>
          <w:i/>
          <w:iCs/>
        </w:rPr>
        <w:t>Molecular Genetics and Metabolism</w:t>
      </w:r>
      <w:r w:rsidRPr="000A14BC">
        <w:t>, vol. 107, no. 3, pp. 456-461.</w:t>
      </w:r>
    </w:p>
    <w:p w:rsidR="000A14BC" w:rsidRPr="00A13051" w:rsidRDefault="000A14BC" w:rsidP="00A13051">
      <w:r w:rsidRPr="000A14BC">
        <w:t xml:space="preserve">Van Der Ploeg, AT, Clemens, PR, Corzo, D, Escolar, DM, Florence, J, Groeneveld, G, Herson, S, Kishnani, PS, Laforet, P, Lake, SL, Lange, DJ, Leshner, RT, Mayhew, JE, Morgan, C, Nozaki, K, Park, DJ, Pestronk, A, Rosenbloom, B, Skrinar, A, Van Capelle, CI, Van Der Beek, NA, Wasserstein, M &amp; Zivkovic, SA 2010, 'A randomized study of alglucosidase alfa in late-onset Pompe's disease', </w:t>
      </w:r>
      <w:r w:rsidRPr="000A14BC">
        <w:rPr>
          <w:i/>
          <w:iCs/>
        </w:rPr>
        <w:t>N. Engl. J. Med.</w:t>
      </w:r>
      <w:r w:rsidRPr="000A14BC">
        <w:t>, vol. 362, no. 15, //, pp. 1396-1406.</w:t>
      </w:r>
    </w:p>
    <w:p w:rsidR="00A13051" w:rsidRPr="00A13051" w:rsidRDefault="00A13051" w:rsidP="00A13051">
      <w:r w:rsidRPr="00A13051">
        <w:t xml:space="preserve">Vianello, A, Semplicini, C, Paladini, L, Concas, A, Ravaglia, S, Servidei, S, Toscano, A, Mongini, T, Angelini, C &amp; Pegoraro, E 2013, 'Enzyme Replacement Therapy Improves Respiratory Outcomes in Patients with Late-Onset Type II Glycogenosis and High Ventilator Dependency', </w:t>
      </w:r>
      <w:r w:rsidRPr="00A13051">
        <w:rPr>
          <w:i/>
          <w:iCs/>
        </w:rPr>
        <w:t>Lung</w:t>
      </w:r>
      <w:r w:rsidRPr="00A13051">
        <w:t>, vol. 191, no. 5, Oct, pp. 537-544.</w:t>
      </w:r>
    </w:p>
    <w:p w:rsidR="00A13051" w:rsidRPr="00A13051" w:rsidRDefault="00A13051" w:rsidP="00A13051">
      <w:pPr>
        <w:pStyle w:val="Heading3"/>
      </w:pPr>
      <w:r>
        <w:t>Not a higher level than available in English (foreign language)</w:t>
      </w:r>
    </w:p>
    <w:p w:rsidR="00A13051" w:rsidRPr="00A13051" w:rsidRDefault="00A13051" w:rsidP="00A13051">
      <w:r w:rsidRPr="00A13051">
        <w:t>'Alglucosidase alpha (Myozyme) for treatment of patients with late-onset Pompe disease (Structured abstract)'</w:t>
      </w:r>
      <w:proofErr w:type="gramStart"/>
      <w:r w:rsidRPr="00A13051">
        <w:t>,  2011</w:t>
      </w:r>
      <w:proofErr w:type="gramEnd"/>
      <w:r w:rsidRPr="00A13051">
        <w:t xml:space="preserve">, </w:t>
      </w:r>
      <w:r w:rsidRPr="00A13051">
        <w:rPr>
          <w:i/>
          <w:iCs/>
        </w:rPr>
        <w:t>Health Technology Assessment Database</w:t>
      </w:r>
      <w:r w:rsidRPr="00A13051">
        <w:t>, no. 4, &lt;http://onlinelibrary.wiley.com/o/cochrane/clhta/articles/HTA-32011000221/frame.html&gt;.</w:t>
      </w:r>
    </w:p>
    <w:p w:rsidR="00A13051" w:rsidRPr="00A13051" w:rsidRDefault="00A13051" w:rsidP="00A13051">
      <w:r w:rsidRPr="00A13051">
        <w:t>'Pompe's disease: 5 years of successful treatment with alglucosidase alfa'</w:t>
      </w:r>
      <w:proofErr w:type="gramStart"/>
      <w:r w:rsidRPr="00A13051">
        <w:t>,  2012</w:t>
      </w:r>
      <w:proofErr w:type="gramEnd"/>
      <w:r w:rsidRPr="00A13051">
        <w:t xml:space="preserve">, </w:t>
      </w:r>
      <w:r w:rsidRPr="00A13051">
        <w:rPr>
          <w:i/>
          <w:iCs/>
        </w:rPr>
        <w:t>Neurologie und Rehabilitation</w:t>
      </w:r>
      <w:r w:rsidRPr="00A13051">
        <w:t>, vol. 18, no. 1, p. 81.</w:t>
      </w:r>
    </w:p>
    <w:p w:rsidR="00A13051" w:rsidRPr="00A13051" w:rsidRDefault="00A13051" w:rsidP="00A13051">
      <w:r w:rsidRPr="00A13051">
        <w:t>'Alglucosidase alfa (Myozyme ®) in late-onset Pompe disease (Structured abstract)'</w:t>
      </w:r>
      <w:proofErr w:type="gramStart"/>
      <w:r w:rsidRPr="00A13051">
        <w:t>,  2014</w:t>
      </w:r>
      <w:proofErr w:type="gramEnd"/>
      <w:r w:rsidRPr="00A13051">
        <w:t xml:space="preserve">, </w:t>
      </w:r>
      <w:r w:rsidRPr="00A13051">
        <w:rPr>
          <w:i/>
          <w:iCs/>
        </w:rPr>
        <w:t>Health Technology Assessment Database</w:t>
      </w:r>
      <w:r w:rsidRPr="00A13051">
        <w:t>, no. 4, &lt;http://onlinelibrary.wiley.com/o/cochrane/clhta/articles/HTA-32014001015/frame.html&gt;.</w:t>
      </w:r>
    </w:p>
    <w:p w:rsidR="00A13051" w:rsidRPr="00A13051" w:rsidRDefault="00A13051" w:rsidP="00A13051">
      <w:r w:rsidRPr="00A13051">
        <w:t xml:space="preserve">Baños Álvarez, I &amp; Miranda Machado, PA 2014, 'Enfermedad de Pompe de inicio tardío con compromiso respiratorio severo, influencia de la terapia de reemplazo enzimático', </w:t>
      </w:r>
      <w:r w:rsidRPr="00A13051">
        <w:rPr>
          <w:i/>
          <w:iCs/>
        </w:rPr>
        <w:t>Revista de Patologia Respiratoria</w:t>
      </w:r>
      <w:r w:rsidRPr="00A13051">
        <w:t>, vol. 17, no. 1, pp. 23-26.</w:t>
      </w:r>
    </w:p>
    <w:p w:rsidR="00A13051" w:rsidRPr="00A13051" w:rsidRDefault="00A13051" w:rsidP="00A13051">
      <w:r w:rsidRPr="00A13051">
        <w:t xml:space="preserve">Bereznai, B, Trauninger, A, Gyoergy, I, Szakszon, K, Almassy, Z, Pal, E, Herczegfalvi, A, Vardi Visy, K, Illes, Z &amp; Molnar Maria, J 2011, 'Clinical manifestation, disease course and response to enzyme replacement therapy in Hungarian patients with Pompe's disease', (Pompe-kor fenotipusvariacioi, korlefolyasa es az enzimpotlo kezeles eredmenyei: hazai tapasztalatok), </w:t>
      </w:r>
      <w:r w:rsidRPr="00A13051">
        <w:rPr>
          <w:i/>
          <w:iCs/>
        </w:rPr>
        <w:t>Orvosi Hetilap</w:t>
      </w:r>
      <w:r w:rsidRPr="00A13051">
        <w:t>, vol. 152, no. 39, Sep, pp. 1569-1575.</w:t>
      </w:r>
    </w:p>
    <w:p w:rsidR="00A13051" w:rsidRPr="00A13051" w:rsidRDefault="00A13051" w:rsidP="00A13051">
      <w:r w:rsidRPr="00A13051">
        <w:t xml:space="preserve">Fath, R 2006, 'Enzyme replacement therapy in Pompe's disease is now approved: Markedly prolonged survival for patients', </w:t>
      </w:r>
      <w:r w:rsidRPr="00A13051">
        <w:rPr>
          <w:i/>
          <w:iCs/>
        </w:rPr>
        <w:t>Nervenheilkunde</w:t>
      </w:r>
      <w:r w:rsidRPr="00A13051">
        <w:t>, vol. 25, no. 6, pp. 490-491.</w:t>
      </w:r>
    </w:p>
    <w:p w:rsidR="00A13051" w:rsidRPr="00A13051" w:rsidRDefault="00A13051" w:rsidP="00A13051">
      <w:proofErr w:type="gramStart"/>
      <w:r w:rsidRPr="00A13051">
        <w:lastRenderedPageBreak/>
        <w:t xml:space="preserve">Merk, T, Wibmer, T, Schumann, C &amp; Krüger, S 2007, 'Enzyme replacement therapy in Pompe's disease', </w:t>
      </w:r>
      <w:r w:rsidRPr="00A13051">
        <w:rPr>
          <w:i/>
          <w:iCs/>
        </w:rPr>
        <w:t>Medizinische Klinik</w:t>
      </w:r>
      <w:r w:rsidRPr="00A13051">
        <w:t>, vol. 102, no. 7, pp. 570-573.</w:t>
      </w:r>
      <w:proofErr w:type="gramEnd"/>
    </w:p>
    <w:p w:rsidR="00A13051" w:rsidRPr="00A13051" w:rsidRDefault="00A13051" w:rsidP="00A13051">
      <w:proofErr w:type="gramStart"/>
      <w:r w:rsidRPr="00A13051">
        <w:t>Regnery, C 2012, 'Clinical process study into the enzyme-replacement therapy with alglucosidase-α over 36 months in Pompe disease in the adult age', Copyright (C) 2015 American Chemical Society (ACS).</w:t>
      </w:r>
      <w:proofErr w:type="gramEnd"/>
      <w:r w:rsidRPr="00A13051">
        <w:t xml:space="preserve"> All Rights Reserved. </w:t>
      </w:r>
      <w:proofErr w:type="gramStart"/>
      <w:r w:rsidRPr="00A13051">
        <w:t>thesis</w:t>
      </w:r>
      <w:proofErr w:type="gramEnd"/>
      <w:r w:rsidRPr="00A13051">
        <w:t>, &lt;http://d-nb.info/102522406X/34&gt;.</w:t>
      </w:r>
    </w:p>
    <w:p w:rsidR="00A13051" w:rsidRPr="00A13051" w:rsidRDefault="00A13051" w:rsidP="00A13051">
      <w:r w:rsidRPr="00A13051">
        <w:t xml:space="preserve">Ressiot, E, Leblanc, A, Tirel-Badets, A, Viakhireva, I, Blanchard, C &amp; Zagnoll, F 2011, 'Q16 Bénéfices du traitement par l'alphaglucosidase acide recombinante humaine (MYOZYME®) dans la forme tardive de la maladie de pompe: à propos de cinq cas', </w:t>
      </w:r>
      <w:r w:rsidRPr="00A13051">
        <w:rPr>
          <w:i/>
          <w:iCs/>
        </w:rPr>
        <w:t>Revue Neurologique</w:t>
      </w:r>
      <w:r w:rsidRPr="00A13051">
        <w:t>, vol. 167, no. 2, p. A31.</w:t>
      </w:r>
    </w:p>
    <w:p w:rsidR="00A13051" w:rsidRPr="00A13051" w:rsidRDefault="00A13051" w:rsidP="00A13051">
      <w:r w:rsidRPr="00A13051">
        <w:t xml:space="preserve">Strothotte, S 2011, 'Clinical progress documentation of the enzyme replacement therapy with alglucosidase alfa over one year in 44 adult patients with glycogenose type II', Copyright (C) 2015 American Chemical Society (ACS). All Rights Reserved. </w:t>
      </w:r>
      <w:proofErr w:type="gramStart"/>
      <w:r w:rsidRPr="00A13051">
        <w:t>thesis</w:t>
      </w:r>
      <w:proofErr w:type="gramEnd"/>
      <w:r w:rsidRPr="00A13051">
        <w:t>, &lt;http://d-nb.info/1018163549/34&gt;.</w:t>
      </w:r>
    </w:p>
    <w:p w:rsidR="00A13051" w:rsidRPr="00A13051" w:rsidRDefault="00A13051" w:rsidP="00A13051">
      <w:r w:rsidRPr="00A13051">
        <w:t xml:space="preserve">Zagnoli, F 2013, 'Late-onset Pompe disease: Modest effect for the replacement for ERT, but a first treatment in myology', </w:t>
      </w:r>
      <w:r w:rsidRPr="00A13051">
        <w:rPr>
          <w:i/>
          <w:iCs/>
        </w:rPr>
        <w:t>Revue du Praticien</w:t>
      </w:r>
      <w:r w:rsidRPr="00A13051">
        <w:t>, vol. 63, no. 9 SUPPL., p. S5.</w:t>
      </w:r>
    </w:p>
    <w:p w:rsidR="00A13051" w:rsidRPr="00A13051" w:rsidRDefault="00A13051" w:rsidP="00A13051">
      <w:proofErr w:type="gramStart"/>
      <w:r w:rsidRPr="00A13051">
        <w:rPr>
          <w:rFonts w:ascii="MS Gothic" w:eastAsia="MS Gothic" w:hAnsi="MS Gothic" w:cs="MS Gothic" w:hint="eastAsia"/>
        </w:rPr>
        <w:t>李燕燕</w:t>
      </w:r>
      <w:r w:rsidRPr="00A13051">
        <w:t xml:space="preserve"> 2003, 'Genzyme </w:t>
      </w:r>
      <w:r w:rsidRPr="00A13051">
        <w:rPr>
          <w:rFonts w:ascii="MS Gothic" w:eastAsia="MS Gothic" w:hAnsi="MS Gothic" w:cs="MS Gothic" w:hint="eastAsia"/>
        </w:rPr>
        <w:t>公司的</w:t>
      </w:r>
      <w:r w:rsidRPr="00A13051">
        <w:t xml:space="preserve"> Myozyme </w:t>
      </w:r>
      <w:r w:rsidRPr="00A13051">
        <w:rPr>
          <w:rFonts w:ascii="MS Gothic" w:eastAsia="MS Gothic" w:hAnsi="MS Gothic" w:cs="MS Gothic" w:hint="eastAsia"/>
        </w:rPr>
        <w:t>开始</w:t>
      </w:r>
      <w:r w:rsidRPr="00A13051">
        <w:t xml:space="preserve"> pompe </w:t>
      </w:r>
      <w:r w:rsidRPr="00A13051">
        <w:rPr>
          <w:rFonts w:ascii="MS Gothic" w:eastAsia="MS Gothic" w:hAnsi="MS Gothic" w:cs="MS Gothic" w:hint="eastAsia"/>
        </w:rPr>
        <w:t>病研究</w:t>
      </w:r>
      <w:r w:rsidRPr="00A13051">
        <w:t xml:space="preserve">', </w:t>
      </w:r>
      <w:r w:rsidRPr="00A13051">
        <w:rPr>
          <w:rFonts w:ascii="MS Gothic" w:eastAsia="MS Gothic" w:hAnsi="MS Gothic" w:cs="MS Gothic" w:hint="eastAsia"/>
          <w:i/>
          <w:iCs/>
        </w:rPr>
        <w:t>国外</w:t>
      </w:r>
      <w:r w:rsidRPr="00A13051">
        <w:rPr>
          <w:rFonts w:ascii="MingLiU" w:eastAsia="MingLiU" w:hAnsi="MingLiU" w:cs="MingLiU" w:hint="eastAsia"/>
          <w:i/>
          <w:iCs/>
        </w:rPr>
        <w:t>药讯</w:t>
      </w:r>
      <w:r w:rsidRPr="00A13051">
        <w:t>, no. 9, pp. 31-31.</w:t>
      </w:r>
      <w:proofErr w:type="gramEnd"/>
    </w:p>
    <w:p w:rsidR="00A13051" w:rsidRDefault="00A13051" w:rsidP="00A13051">
      <w:pPr>
        <w:pStyle w:val="Heading3"/>
      </w:pPr>
      <w:r>
        <w:t>Could not extract outcomes</w:t>
      </w:r>
    </w:p>
    <w:p w:rsidR="00A13051" w:rsidRPr="00A13051" w:rsidRDefault="00A13051" w:rsidP="00A13051">
      <w:r w:rsidRPr="00A13051">
        <w:t>Haaker, G, Forst, J, Forst, R &amp; Fujak, A 2014, '</w:t>
      </w:r>
      <w:proofErr w:type="gramStart"/>
      <w:r w:rsidRPr="00A13051">
        <w:t>Orthopedic</w:t>
      </w:r>
      <w:proofErr w:type="gramEnd"/>
      <w:r w:rsidRPr="00A13051">
        <w:t xml:space="preserve"> management of patients with Pompe disease: a retrospective case series of 8 patients', </w:t>
      </w:r>
      <w:r w:rsidRPr="00A13051">
        <w:rPr>
          <w:i/>
          <w:iCs/>
        </w:rPr>
        <w:t>TheScientificWorldJournal</w:t>
      </w:r>
      <w:r w:rsidRPr="00A13051">
        <w:t>, vol. 2014, 2014, pp. 963861-963861.</w:t>
      </w:r>
    </w:p>
    <w:p w:rsidR="00A13051" w:rsidRPr="00A13051" w:rsidRDefault="00A13051" w:rsidP="00A13051">
      <w:r w:rsidRPr="00A13051">
        <w:t xml:space="preserve">Ishigaki, K, Yoshikawa, Y, Kuwatsuru, R, Oda, E, Murakami, T, Sato, T, Saito, T, Umezu, R &amp; Osawa, M 2012, 'High-density CT of muscle and liver may allow early diagnosis of childhood-onset Pompe disease', </w:t>
      </w:r>
      <w:r w:rsidRPr="00A13051">
        <w:rPr>
          <w:i/>
          <w:iCs/>
        </w:rPr>
        <w:t>Brain &amp; Development</w:t>
      </w:r>
      <w:r w:rsidRPr="00A13051">
        <w:t>, vol. 34, no. 2, Feb, pp. 103-106.</w:t>
      </w:r>
    </w:p>
    <w:p w:rsidR="00A13051" w:rsidRPr="00A13051" w:rsidRDefault="00A13051" w:rsidP="00A13051">
      <w:r w:rsidRPr="00A13051">
        <w:t xml:space="preserve">Papadimas, GK, Terzis, G, Methenitis, S, Spengos, K, Papadopoulos, C, Vassilopoulou, S, Kavouras, S, Michelakakis, H &amp; Manta, P 2011, 'Body composition analysis in late-onset Pompe disease', </w:t>
      </w:r>
      <w:r w:rsidRPr="00A13051">
        <w:rPr>
          <w:i/>
          <w:iCs/>
        </w:rPr>
        <w:t>Molecular Genetics and Metabolism</w:t>
      </w:r>
      <w:r w:rsidRPr="00A13051">
        <w:t>, vol. 102, no. 1, Jan, pp. 41-43.</w:t>
      </w:r>
    </w:p>
    <w:p w:rsidR="00A13051" w:rsidRPr="00A13051" w:rsidRDefault="00A13051" w:rsidP="00A13051">
      <w:r w:rsidRPr="00A13051">
        <w:t xml:space="preserve">Park, JS, Kim, HG, Shin, JH, Choi, YC &amp; Kim, DS 2014, 'Effect of enzyme replacement therapy in late onset Pompe disease: open pilot study of 48 weeks follow-up', </w:t>
      </w:r>
      <w:r w:rsidRPr="00A13051">
        <w:rPr>
          <w:i/>
          <w:iCs/>
        </w:rPr>
        <w:t>Neurological Sciences</w:t>
      </w:r>
      <w:r w:rsidRPr="00A13051">
        <w:t>.</w:t>
      </w:r>
    </w:p>
    <w:p w:rsidR="00A13051" w:rsidRPr="00A13051" w:rsidRDefault="00A13051" w:rsidP="00A13051">
      <w:r w:rsidRPr="00A13051">
        <w:t xml:space="preserve">Rossi, M, Parenti, G, Della Casa, R, Romano, A, Mansi, G, Agovino, T, Rosapepe, F, Vosa, C, Del Giudice, E &amp; Andria, G 2007, 'Long-term enzyme replacement therapy for pompe disease with recombinant human alpha-glucosidase derived from chinese hamster ovary cells', </w:t>
      </w:r>
      <w:r w:rsidRPr="00A13051">
        <w:rPr>
          <w:i/>
          <w:iCs/>
        </w:rPr>
        <w:t>J Child Neurol</w:t>
      </w:r>
      <w:r w:rsidRPr="00A13051">
        <w:t>, vol. 22, no. 5, May, pp. 565-573.</w:t>
      </w:r>
    </w:p>
    <w:p w:rsidR="00A13051" w:rsidRPr="00A13051" w:rsidRDefault="00A13051" w:rsidP="00A13051">
      <w:r w:rsidRPr="00A13051">
        <w:t xml:space="preserve">Yang, C-C, Chien, Y-H, Lee, N-C, Chiang, S-C, Lin, S-P, Kuo, Y-T, Chen, S-S, Jong, Y-J &amp; Hwu, W-L 2011, 'Rapid progressive course of later-onset Pompe disease in Chinese patients', </w:t>
      </w:r>
      <w:r w:rsidRPr="00A13051">
        <w:rPr>
          <w:i/>
          <w:iCs/>
        </w:rPr>
        <w:t>Molecular Genetics and Metabolism</w:t>
      </w:r>
      <w:r w:rsidRPr="00A13051">
        <w:t>, vol. 104, no. 3, Nov, pp. 284-288.</w:t>
      </w:r>
    </w:p>
    <w:p w:rsidR="00A13051" w:rsidRPr="00A13051" w:rsidRDefault="00A13051" w:rsidP="00A13051">
      <w:r w:rsidRPr="00A13051">
        <w:lastRenderedPageBreak/>
        <w:t xml:space="preserve">Yanovitch, TL, Casey, R, Banugaria, SG &amp; Kishnani, PS 2010, 'Improvement of Bilateral Ptosis on Higher Dose Enzyme Replacement Therapy in Pompe Disease', </w:t>
      </w:r>
      <w:r w:rsidRPr="00A13051">
        <w:rPr>
          <w:i/>
          <w:iCs/>
        </w:rPr>
        <w:t>Journal of Neuro-Ophthalmology</w:t>
      </w:r>
      <w:r w:rsidRPr="00A13051">
        <w:t>, vol. 30, no. 2, Jun, pp. 165-166.</w:t>
      </w:r>
    </w:p>
    <w:p w:rsidR="00A13051" w:rsidRDefault="00A13051" w:rsidP="00A13051">
      <w:pPr>
        <w:pStyle w:val="Heading3"/>
      </w:pPr>
      <w:r>
        <w:t>Wrong population</w:t>
      </w:r>
    </w:p>
    <w:p w:rsidR="00A13051" w:rsidRPr="00A13051" w:rsidRDefault="00A13051" w:rsidP="00A13051">
      <w:r w:rsidRPr="00A13051">
        <w:t xml:space="preserve">Anonymous 2007, 'Alglucosidase alfa: new drug. Pompe disease: a short-term benefit', </w:t>
      </w:r>
      <w:r w:rsidRPr="00A13051">
        <w:rPr>
          <w:i/>
          <w:iCs/>
        </w:rPr>
        <w:t>Prescrire Int</w:t>
      </w:r>
      <w:r w:rsidRPr="00A13051">
        <w:t>, vo</w:t>
      </w:r>
      <w:r w:rsidR="000A14BC">
        <w:t>l. 16, no. 92, //, pp. 240-241.</w:t>
      </w:r>
    </w:p>
    <w:p w:rsidR="00A13051" w:rsidRPr="00A13051" w:rsidRDefault="00A13051" w:rsidP="00A13051">
      <w:r w:rsidRPr="00A13051">
        <w:t xml:space="preserve">Ansong, AK, Li, JS, Nozik-Grayck, E, Ing, R, Kravitz, RM, Idriss, SF, Kanter, RJ, Rice, H, Chen, YT &amp; Kishnani, PS 2006, 'Electrocardiographic response to enzyme replacement therapy for Pompe disease', </w:t>
      </w:r>
      <w:r w:rsidRPr="00A13051">
        <w:rPr>
          <w:i/>
          <w:iCs/>
        </w:rPr>
        <w:t>Genetics in Medicine</w:t>
      </w:r>
      <w:r w:rsidRPr="00A13051">
        <w:t>, v</w:t>
      </w:r>
      <w:r w:rsidR="000A14BC">
        <w:t>ol. 8, no. 5, May, pp. 297-301.</w:t>
      </w:r>
    </w:p>
    <w:p w:rsidR="00A13051" w:rsidRPr="00A13051" w:rsidRDefault="00A13051" w:rsidP="00A13051">
      <w:r w:rsidRPr="00A13051">
        <w:t xml:space="preserve">Chen, CA, Chien, YH, Hwu, WL, Lee, NC, Wang, JK, Chen, LR, Lu, CW, Lin, MT, Chiu, SN, Chiu, HH &amp; Wu, MH 2011, 'Left ventricular geometry, global function, and dyssynchrony in infants and children with pompe cardiomyopathy undergoing enzyme replacement therapy', </w:t>
      </w:r>
      <w:r w:rsidRPr="00A13051">
        <w:rPr>
          <w:i/>
          <w:iCs/>
        </w:rPr>
        <w:t>Journal of Cardiac Failure</w:t>
      </w:r>
      <w:r w:rsidR="000A14BC">
        <w:t>, vol. 17, no. 11, pp. 930-936.</w:t>
      </w:r>
    </w:p>
    <w:p w:rsidR="00A13051" w:rsidRPr="00A13051" w:rsidRDefault="00A13051" w:rsidP="00A13051">
      <w:r w:rsidRPr="00A13051">
        <w:t xml:space="preserve">Corzo, D, Byrne, B, Hwu, WL, Leslie, N, Mandel, H &amp; Nicolino, M 2008, 'Alglucosidase Alfa (Myozyme(registered trademark)) in Infants and Children with Rapidly Progressive Pompe Disease', </w:t>
      </w:r>
      <w:r w:rsidRPr="00A13051">
        <w:rPr>
          <w:i/>
          <w:iCs/>
        </w:rPr>
        <w:t>Clinical Therapeutics</w:t>
      </w:r>
      <w:r w:rsidRPr="00A13051">
        <w:t>, vol</w:t>
      </w:r>
      <w:r w:rsidR="000A14BC">
        <w:t xml:space="preserve">. 30, no. </w:t>
      </w:r>
      <w:proofErr w:type="gramStart"/>
      <w:r w:rsidR="000A14BC">
        <w:t>SUPPL. 1, pp. S9-S10.</w:t>
      </w:r>
      <w:proofErr w:type="gramEnd"/>
    </w:p>
    <w:p w:rsidR="00A13051" w:rsidRPr="00A13051" w:rsidRDefault="00A13051" w:rsidP="00A13051">
      <w:r w:rsidRPr="00A13051">
        <w:t xml:space="preserve">Hundsberger, T, Roesler, KM &amp; Findling, O 2014, 'Cessation and resuming of alglucosidase alfa in Pompe disease: a retrospective analysis', </w:t>
      </w:r>
      <w:r w:rsidRPr="00A13051">
        <w:rPr>
          <w:i/>
          <w:iCs/>
        </w:rPr>
        <w:t>Journal of Neurology</w:t>
      </w:r>
      <w:r w:rsidRPr="00A13051">
        <w:t xml:space="preserve">, vol. </w:t>
      </w:r>
      <w:r w:rsidR="000A14BC">
        <w:t>261, no. 9, Sep, pp. 1684-1690.</w:t>
      </w:r>
    </w:p>
    <w:p w:rsidR="00A13051" w:rsidRPr="00A13051" w:rsidRDefault="00A13051" w:rsidP="00A13051">
      <w:r w:rsidRPr="00A13051">
        <w:t xml:space="preserve">Hunley, TE, Corzo, D, Dudek, M, Kishnani, P, Amalfitano, A, Chen, YT, Richards, SM, Phillips, JA, Fogo, AB &amp; Tiller, GE 2004, 'Nephrotic syndrome complicating alpha-glucosidase replacement therapy for Pompe disease', </w:t>
      </w:r>
      <w:r w:rsidRPr="00A13051">
        <w:rPr>
          <w:i/>
          <w:iCs/>
        </w:rPr>
        <w:t>Pediatrics</w:t>
      </w:r>
      <w:r w:rsidRPr="00A13051">
        <w:t xml:space="preserve">, vol. </w:t>
      </w:r>
      <w:r w:rsidR="000A14BC">
        <w:t>114, no. 4, Oct, pp. E532-E535.</w:t>
      </w:r>
    </w:p>
    <w:p w:rsidR="00A13051" w:rsidRPr="00A13051" w:rsidRDefault="00A13051" w:rsidP="00A13051">
      <w:proofErr w:type="gramStart"/>
      <w:r w:rsidRPr="00A13051">
        <w:t xml:space="preserve">Illes, Z, Mike, A, Trauninger, A, Várdi, K &amp; Váczi, M 2014, 'Motor function and respiratory capacity in patients with late-onset pompe disease', </w:t>
      </w:r>
      <w:r w:rsidRPr="00A13051">
        <w:rPr>
          <w:i/>
          <w:iCs/>
        </w:rPr>
        <w:t>Muscle and Nerve</w:t>
      </w:r>
      <w:r w:rsidR="000A14BC">
        <w:t>, vol. 49, no. 4, pp. 603-606.</w:t>
      </w:r>
      <w:proofErr w:type="gramEnd"/>
    </w:p>
    <w:p w:rsidR="00A13051" w:rsidRPr="00A13051" w:rsidRDefault="00A13051" w:rsidP="00A13051">
      <w:r w:rsidRPr="00A13051">
        <w:t xml:space="preserve">Lianou, D, Syrengelas, D, Andreou, N, Chantzopoulos, I, Mavridou, I &amp; Michelakakis, H 2013, 'Pompe disease (PD): Clinical outcome in infants and children treated with recombinant human acid alpha-glucosidase (rhGAA)', </w:t>
      </w:r>
      <w:r w:rsidRPr="00A13051">
        <w:rPr>
          <w:i/>
          <w:iCs/>
        </w:rPr>
        <w:t>European Journal of Paediatric Neurology</w:t>
      </w:r>
      <w:r w:rsidR="000A14BC">
        <w:t>, vol. 17, p. S132.</w:t>
      </w:r>
    </w:p>
    <w:p w:rsidR="00A13051" w:rsidRPr="00A13051" w:rsidRDefault="00A13051" w:rsidP="00A13051">
      <w:r w:rsidRPr="00A13051">
        <w:t xml:space="preserve">Lin, DS, Chiang, MF, Ho, CS, Hsiao, CD, Lin, CY, Wang, NL, Chuang, CK, Huang, YW, Chang, PC &amp; Liu, HL 2013, 'Low-frequency enzyme replacement therapy in late-onset pompe disease', </w:t>
      </w:r>
      <w:r w:rsidRPr="00A13051">
        <w:rPr>
          <w:i/>
          <w:iCs/>
        </w:rPr>
        <w:t>Muscle and Nerve</w:t>
      </w:r>
      <w:r w:rsidR="000A14BC">
        <w:t>, vol. 47, no. 4, pp. 612-613.</w:t>
      </w:r>
    </w:p>
    <w:p w:rsidR="00A13051" w:rsidRPr="00A13051" w:rsidRDefault="00A13051" w:rsidP="00A13051">
      <w:r w:rsidRPr="00A13051">
        <w:t xml:space="preserve">Marzorati, M, Porcelli, S, Bellistri, G, Morandi, L &amp; Grassi, B 2012, 'Exercise testing in late-onset glycogen storage disease type II patients undergoing enzyme replacement therapy', </w:t>
      </w:r>
      <w:r w:rsidRPr="00A13051">
        <w:rPr>
          <w:i/>
          <w:iCs/>
        </w:rPr>
        <w:t>Neuromuscular Disorders</w:t>
      </w:r>
      <w:r w:rsidRPr="00A13051">
        <w:t>,</w:t>
      </w:r>
      <w:r w:rsidR="000A14BC">
        <w:t xml:space="preserve"> vol. 22, Dec 1, pp. S230-S234.</w:t>
      </w:r>
    </w:p>
    <w:p w:rsidR="00A13051" w:rsidRPr="00A13051" w:rsidRDefault="00A13051" w:rsidP="00A13051">
      <w:r w:rsidRPr="00A13051">
        <w:lastRenderedPageBreak/>
        <w:t xml:space="preserve">Marzorati, M, Porcelli, S, Reggiori, B, Morandi, L &amp; Grassi, B 2012, 'Improved Exercise Tolerance after Enzyme Replacement Therapy in Pompe Disease', </w:t>
      </w:r>
      <w:r w:rsidRPr="00A13051">
        <w:rPr>
          <w:i/>
          <w:iCs/>
        </w:rPr>
        <w:t>Medicine and Science in Sports and Exercise</w:t>
      </w:r>
      <w:r w:rsidRPr="00A13051">
        <w:t>, vol</w:t>
      </w:r>
      <w:r w:rsidR="000A14BC">
        <w:t>. 44, no. 5, May, pp. 771-775.</w:t>
      </w:r>
    </w:p>
    <w:p w:rsidR="00A13051" w:rsidRPr="00A13051" w:rsidRDefault="00A13051" w:rsidP="00A13051">
      <w:r w:rsidRPr="00A13051">
        <w:t xml:space="preserve">Nicolino, M, Byrne, B, Wraith, JE, Leslie, N, Mandel, H, Freyer, DR, Arnold, GL, Pivnick, EK, Ottinger, CJ, Robinson, PH, Loo, JC, Smitka, M, Jardine, P, Tat•, L, Chabrol, B, McCandless, S, Kimura, S, Mehta, L, Bali, D, Skrinar, A, Morgan, C, Rangachari, L, Corzo, D &amp; Kishnani, PS 2009, 'Clinical outcomes after long-term treatment with alglucosidase alfa in infants and children with advanced Pompe disease', </w:t>
      </w:r>
      <w:r w:rsidRPr="00A13051">
        <w:rPr>
          <w:i/>
          <w:iCs/>
        </w:rPr>
        <w:t>Genet Med.</w:t>
      </w:r>
      <w:r w:rsidRPr="00A13051">
        <w:t xml:space="preserve">, vol. 11, no. 3, Mar, pp. 210-219. [Genetics in </w:t>
      </w:r>
      <w:proofErr w:type="gramStart"/>
      <w:r w:rsidRPr="00A13051">
        <w:t>medicine :</w:t>
      </w:r>
      <w:proofErr w:type="gramEnd"/>
      <w:r w:rsidRPr="00A13051">
        <w:t xml:space="preserve"> official journal of the America</w:t>
      </w:r>
      <w:r w:rsidR="000A14BC">
        <w:t>n College of Medical Genetics].</w:t>
      </w:r>
    </w:p>
    <w:p w:rsidR="00A13051" w:rsidRPr="00A13051" w:rsidRDefault="00A13051" w:rsidP="00A13051">
      <w:r w:rsidRPr="00A13051">
        <w:t xml:space="preserve">Papadimas, G, Terzis, G, Papadopoulos, C, Areovimata, A, Spengos, K, Kavouras, S &amp; Manta, P 2012, 'Bone density in patients with late onset Pompe disease', </w:t>
      </w:r>
      <w:r w:rsidRPr="00A13051">
        <w:rPr>
          <w:i/>
          <w:iCs/>
        </w:rPr>
        <w:t>International Journal of Endocrinology and Metabolism</w:t>
      </w:r>
      <w:r w:rsidRPr="00A13051">
        <w:t>, vol</w:t>
      </w:r>
      <w:r w:rsidR="000A14BC">
        <w:t>. 10, no. 4, 2012, pp. 599-603.</w:t>
      </w:r>
    </w:p>
    <w:p w:rsidR="00A13051" w:rsidRPr="00A13051" w:rsidRDefault="00A13051" w:rsidP="00A13051">
      <w:r w:rsidRPr="00A13051">
        <w:t>Phillips, D 2012, 'Concurrent validity and responsiveness of the Peabody Developmental Motor Scales-2 in infants and children with Pompe disease undergoing enzyme replacement therapy', Ph.D. thesis, University of North Carolina at Chapel Hill, c8h, &lt;http://proxy.library.adelaide.edu.au/login?url=http://search.ebscohost.com/login.aspx?direct=true&amp;db=c8h&amp;AN=2012250378&amp;site=ehost-live&amp;scope=site&gt;.</w:t>
      </w:r>
    </w:p>
    <w:p w:rsidR="00A13051" w:rsidRPr="00A13051" w:rsidRDefault="00A13051" w:rsidP="00A13051">
      <w:r w:rsidRPr="00A13051">
        <w:t xml:space="preserve">Ravaglia, S, Danesino, C, Moglia, A, Costa, A, Cena, H, Maccarini, L, Carlucci, A, Pichiecchio, A, Bini, P, De Filippi, P &amp; Rossi, M 2010, 'Changes in nutritional status and body composition during enzyme replacement therapy in adult-onset type II glycogenosis', </w:t>
      </w:r>
      <w:r w:rsidRPr="00A13051">
        <w:rPr>
          <w:i/>
          <w:iCs/>
        </w:rPr>
        <w:t>European Journal of Neurology</w:t>
      </w:r>
      <w:r w:rsidRPr="00A13051">
        <w:t>, vol. 17, no. 7, Jul, pp. 957-962.</w:t>
      </w:r>
    </w:p>
    <w:p w:rsidR="00A13051" w:rsidRPr="00A13051" w:rsidRDefault="00A13051" w:rsidP="00A13051">
      <w:r w:rsidRPr="00A13051">
        <w:t xml:space="preserve">Ravaglia, S, Danesino, C, Pichiecchio, A, Repetto, A, Poloni, GU, Rossi, M, Fratino, P, Moglia, A &amp; Costa, A 2008, 'Enzyme replacement therapy in severe adult-onset glycogen storage disease type II', </w:t>
      </w:r>
      <w:r w:rsidRPr="00A13051">
        <w:rPr>
          <w:i/>
          <w:iCs/>
        </w:rPr>
        <w:t>Advances in Therapy</w:t>
      </w:r>
      <w:r w:rsidRPr="00A13051">
        <w:t>, vol. 25, no. 8, Aug, pp. 820-829.</w:t>
      </w:r>
    </w:p>
    <w:p w:rsidR="00A13051" w:rsidRPr="00A13051" w:rsidRDefault="00A13051" w:rsidP="00A13051">
      <w:r w:rsidRPr="00A13051">
        <w:t xml:space="preserve">Sacconi, S, Bocquet, JD, Chanalet, S, Tanant, V, Salviati, L &amp; Desnuelle, C 2010, 'Abnormalities of cerebral arteries are frequent in patients with late-onset Pompe disease', </w:t>
      </w:r>
      <w:r w:rsidRPr="00A13051">
        <w:rPr>
          <w:i/>
          <w:iCs/>
        </w:rPr>
        <w:t>Journal of Neurology</w:t>
      </w:r>
      <w:r w:rsidRPr="00A13051">
        <w:t>, vol. 2</w:t>
      </w:r>
      <w:r w:rsidR="000A14BC">
        <w:t>57, no. 10, Oct, pp. 1730-1733.</w:t>
      </w:r>
    </w:p>
    <w:p w:rsidR="00A13051" w:rsidRPr="00A13051" w:rsidRDefault="00A13051" w:rsidP="00A13051">
      <w:r w:rsidRPr="00A13051">
        <w:t xml:space="preserve">Sacconi, S, Wahbi, K, Theodore, G, Garcia, J, Salviati, L, Bouhour, F, Vial, C, Duboc, D, Laforet, P &amp; Desnuelle, C 2014, 'Atrio-ventricular block requiring pacemaker in patients with late onset Pompe disease', </w:t>
      </w:r>
      <w:r w:rsidRPr="00A13051">
        <w:rPr>
          <w:i/>
          <w:iCs/>
        </w:rPr>
        <w:t>Neuromuscular Disorders</w:t>
      </w:r>
      <w:r w:rsidRPr="00A13051">
        <w:t>, vol. 24, no. 7, Jul, pp. 64</w:t>
      </w:r>
      <w:r w:rsidR="000A14BC">
        <w:t>8-650.</w:t>
      </w:r>
    </w:p>
    <w:p w:rsidR="00A13051" w:rsidRPr="00A13051" w:rsidRDefault="00A13051" w:rsidP="00A13051">
      <w:r w:rsidRPr="00A13051">
        <w:t xml:space="preserve">Saux, A, Laforet, P, Pages, AM, Figarella-Branger, D, Pellissier, JF, Pages, M &amp; Labauge, P 2008, 'A retrospective study of six patients with late-onset Pompe disease', </w:t>
      </w:r>
      <w:r w:rsidRPr="00A13051">
        <w:rPr>
          <w:i/>
          <w:iCs/>
        </w:rPr>
        <w:t>Revue Neurologique</w:t>
      </w:r>
      <w:r w:rsidR="000A14BC">
        <w:t>, vol. 164, no. 4, pp. 336-342.</w:t>
      </w:r>
    </w:p>
    <w:p w:rsidR="00A13051" w:rsidRPr="00A13051" w:rsidRDefault="00A13051" w:rsidP="00A13051">
      <w:r w:rsidRPr="00A13051">
        <w:t xml:space="preserve">Schneider, I, Hanisch, F, Muller, T, Schmidt, B &amp; Zierz, S 2013, 'Respiratory function in late-onset Pompe disease patients receiving long-term enzyme replacement therapy for more than 48 months', </w:t>
      </w:r>
      <w:r w:rsidRPr="00A13051">
        <w:rPr>
          <w:i/>
          <w:iCs/>
        </w:rPr>
        <w:t>Wiener medizinische Wochenschrift (1946)</w:t>
      </w:r>
      <w:r w:rsidRPr="00A13051">
        <w:t>, vol. 163</w:t>
      </w:r>
      <w:r w:rsidR="000A14BC">
        <w:t>, no. 1-2, 2013-Jan, pp. 40-44.</w:t>
      </w:r>
    </w:p>
    <w:p w:rsidR="00A13051" w:rsidRPr="00A13051" w:rsidRDefault="00A13051" w:rsidP="00A13051">
      <w:proofErr w:type="gramStart"/>
      <w:r w:rsidRPr="00A13051">
        <w:lastRenderedPageBreak/>
        <w:t xml:space="preserve">Schneider, I, Hanisch, F, Muller, T &amp; Zierz, S 2012, 'Respiratory function in late onset Pompe disease patients upon long-term enzyme replacement therapy', </w:t>
      </w:r>
      <w:r w:rsidRPr="00A13051">
        <w:rPr>
          <w:i/>
          <w:iCs/>
        </w:rPr>
        <w:t>Klinische Neurophysiologie</w:t>
      </w:r>
      <w:r w:rsidR="000A14BC">
        <w:t>, vol. 43, no. 1.</w:t>
      </w:r>
      <w:proofErr w:type="gramEnd"/>
    </w:p>
    <w:p w:rsidR="00A13051" w:rsidRPr="00A13051" w:rsidRDefault="00A13051" w:rsidP="00A13051">
      <w:r w:rsidRPr="00A13051">
        <w:t xml:space="preserve">Terzis, G, Dimopoulos, F, Papadimas, GK, Papadopoulos, C, Spengos, K, Fatouros, I, Kavouras, SA &amp; Manta, P 2011, 'Effect of aerobic and resistance exercise training on late-onset Pompe disease patients receiving enzyme replacement therapy', </w:t>
      </w:r>
      <w:r w:rsidRPr="00A13051">
        <w:rPr>
          <w:i/>
          <w:iCs/>
        </w:rPr>
        <w:t>Molecular Genetics and Metabolism</w:t>
      </w:r>
      <w:r w:rsidRPr="00A13051">
        <w:t>, vol</w:t>
      </w:r>
      <w:r w:rsidR="000A14BC">
        <w:t>. 104, no. 3, Nov, pp. 279-283.</w:t>
      </w:r>
    </w:p>
    <w:p w:rsidR="00A13051" w:rsidRPr="00A13051" w:rsidRDefault="00A13051" w:rsidP="00A13051">
      <w:r w:rsidRPr="00A13051">
        <w:t xml:space="preserve">Terzis, G, Krase, A, Papadimas, G, Papadopoulos, C, Kavouras, SA &amp; Manta, P 2012, 'Effects of exercise training during infusion on late-onset Pompe disease patients receiving enzyme replacement therapy', </w:t>
      </w:r>
      <w:r w:rsidRPr="00A13051">
        <w:rPr>
          <w:i/>
          <w:iCs/>
        </w:rPr>
        <w:t>Molecular Genetics and Metabolism</w:t>
      </w:r>
      <w:r w:rsidRPr="00A13051">
        <w:t>, vol. 107, no. 4, Dec</w:t>
      </w:r>
      <w:r w:rsidR="000A14BC">
        <w:t>, pp. 669-673.</w:t>
      </w:r>
    </w:p>
    <w:p w:rsidR="00A13051" w:rsidRPr="00A13051" w:rsidRDefault="00A13051" w:rsidP="00A13051">
      <w:r w:rsidRPr="00A13051">
        <w:t xml:space="preserve">Thurberg, BL, Lynch Maloney, C, Vaccaro, C, Afonso, K, Tsai, AC, Bossen, E, Kishnani, PS &amp; O'Callaghan, M 2006, 'Characterization of pre- and post-treatment pathology after enzyme replacement therapy for Pompe disease', </w:t>
      </w:r>
      <w:r w:rsidRPr="00A13051">
        <w:rPr>
          <w:i/>
          <w:iCs/>
        </w:rPr>
        <w:t>Lab Invest</w:t>
      </w:r>
      <w:r w:rsidRPr="00A13051">
        <w:t>, vol. 86,</w:t>
      </w:r>
      <w:r w:rsidR="000A14BC">
        <w:t xml:space="preserve"> no. 12, Dec, pp. 1208-1220.</w:t>
      </w:r>
    </w:p>
    <w:p w:rsidR="00A13051" w:rsidRPr="00A13051" w:rsidRDefault="00A13051" w:rsidP="00A13051">
      <w:r w:rsidRPr="00A13051">
        <w:t xml:space="preserve">Vielhaber, S, Brejova, A, Debska-Vielhaber, G, Kaufmann, J, Feistner, H, Schoenfeld, MA &amp; Awiszus, F 2011, '24-Months results in two adults with Pompe disease on enzyme replacement therapy', </w:t>
      </w:r>
      <w:r w:rsidRPr="00A13051">
        <w:rPr>
          <w:i/>
          <w:iCs/>
        </w:rPr>
        <w:t>Clinical Neurology and Neurosurgery</w:t>
      </w:r>
      <w:r w:rsidRPr="00A13051">
        <w:t>, vol</w:t>
      </w:r>
      <w:r w:rsidR="000A14BC">
        <w:t>. 113, no. 5, Jun, pp. 350-357.</w:t>
      </w:r>
    </w:p>
    <w:p w:rsidR="00A13051" w:rsidRPr="00A13051" w:rsidRDefault="00A13051" w:rsidP="00A13051">
      <w:r w:rsidRPr="00A13051">
        <w:t xml:space="preserve">Wu, KHC, Devine, KT, Tchan, M &amp; Sillence, DO 2012, 'An observational study of nine adult late-onset pompe disease patients treated or untreated with acid alpha-glucosidase enzyme replacement therapy', </w:t>
      </w:r>
      <w:r w:rsidRPr="00A13051">
        <w:rPr>
          <w:i/>
          <w:iCs/>
        </w:rPr>
        <w:t>Twin Research and Human Genetics</w:t>
      </w:r>
      <w:r w:rsidR="000A14BC">
        <w:t>, vol. 15, no. 4, p. 565.</w:t>
      </w:r>
    </w:p>
    <w:p w:rsidR="00A13051" w:rsidRPr="00A13051" w:rsidRDefault="000A14BC" w:rsidP="000A14BC">
      <w:pPr>
        <w:pStyle w:val="Heading3"/>
      </w:pPr>
      <w:r>
        <w:t>Protocol only</w:t>
      </w:r>
    </w:p>
    <w:p w:rsidR="000A14BC" w:rsidRPr="000A14BC" w:rsidRDefault="000A14BC" w:rsidP="000A14BC">
      <w:r w:rsidRPr="000A14BC">
        <w:rPr>
          <w:i/>
          <w:iCs/>
        </w:rPr>
        <w:t>Observational Study About the Evolution of Severe Late Onset Pompe Disease Patient With Pulmonary Dysfunction and Receiving Myozyme - terminated trial</w:t>
      </w:r>
      <w:r w:rsidRPr="000A14BC">
        <w:t>,   ORPHA172900, Genzyme europe, France.</w:t>
      </w:r>
    </w:p>
    <w:p w:rsidR="000A14BC" w:rsidRPr="000A14BC" w:rsidRDefault="000A14BC" w:rsidP="000A14BC">
      <w:r w:rsidRPr="000A14BC">
        <w:rPr>
          <w:i/>
          <w:iCs/>
        </w:rPr>
        <w:t xml:space="preserve">A Prospective, Open-Label Study of the Effect and Safety of rhGAA in Patients With Advanced Late-Onset Pompe Disease Receiving Respiratory Support (Phase III) -Terminated </w:t>
      </w:r>
      <w:r w:rsidRPr="000A14BC">
        <w:t>ORPHA77215, Genzyme europe, France.</w:t>
      </w:r>
    </w:p>
    <w:p w:rsidR="000A14BC" w:rsidRPr="000A14BC" w:rsidRDefault="000A14BC" w:rsidP="000A14BC">
      <w:r w:rsidRPr="000A14BC">
        <w:rPr>
          <w:i/>
          <w:iCs/>
        </w:rPr>
        <w:t xml:space="preserve">Single-Center, Open-Label Study of Safety, Pharmacokinetics and Efficacy of rhGAA in Patients </w:t>
      </w:r>
      <w:proofErr w:type="gramStart"/>
      <w:r w:rsidRPr="000A14BC">
        <w:rPr>
          <w:i/>
          <w:iCs/>
        </w:rPr>
        <w:t>With</w:t>
      </w:r>
      <w:proofErr w:type="gramEnd"/>
      <w:r w:rsidRPr="000A14BC">
        <w:rPr>
          <w:i/>
          <w:iCs/>
        </w:rPr>
        <w:t xml:space="preserve"> Late-Onset Pompe Disease</w:t>
      </w:r>
      <w:r w:rsidRPr="000A14BC">
        <w:t>,   ORPHA80891, Genzyme europe, Netherlands.</w:t>
      </w:r>
    </w:p>
    <w:p w:rsidR="00A13051" w:rsidRDefault="000A14BC" w:rsidP="006E2AFB">
      <w:pPr>
        <w:spacing w:after="480"/>
      </w:pPr>
      <w:proofErr w:type="gramStart"/>
      <w:r w:rsidRPr="000A14BC">
        <w:t>'ISRCTN72578000: Protocolised follow-up of Pompe patients recieving enzyme replacement therapy ona compasionate use basis' 2007, Recruitment in progress, ISRCTN Registry, Netherlands, &lt;http://www.isrctn.com/ISRCTN72578000?q=Pompe&amp;filters=&amp;sort=&amp;offset=1&amp;totalResults=1&amp;page=1&amp;pageSize=10&amp;searchType=advanced-search&gt;.</w:t>
      </w:r>
      <w:proofErr w:type="gramEnd"/>
      <w:r w:rsidR="006E2AFB">
        <w:t xml:space="preserve"> </w:t>
      </w:r>
    </w:p>
    <w:p w:rsidR="00B153A0" w:rsidRPr="00B153A0" w:rsidRDefault="00B153A0" w:rsidP="00B153A0">
      <w:pPr>
        <w:pStyle w:val="Heading3"/>
      </w:pPr>
      <w:r w:rsidRPr="00B153A0">
        <w:lastRenderedPageBreak/>
        <w:t>Non-systematic rev</w:t>
      </w:r>
      <w:r>
        <w:t>i</w:t>
      </w:r>
      <w:r w:rsidRPr="00B153A0">
        <w:t>ew</w:t>
      </w:r>
    </w:p>
    <w:p w:rsidR="00B153A0" w:rsidRDefault="00B153A0" w:rsidP="00B153A0">
      <w:r>
        <w:t>Angelini, C &amp; Semplicini, C 2012, 'Enzyme Replacement Therapy for Pompe Disease', Current Neurology and Neuroscience Reports, vol. 12, no. 1, Feb, pp. 70-75.</w:t>
      </w:r>
    </w:p>
    <w:p w:rsidR="00B153A0" w:rsidRDefault="00B153A0" w:rsidP="00B153A0">
      <w:r>
        <w:t>Beck, M 2009, 'Alglucosidase alfa: Long term use in the treatment of patients with Pompe disease', Therapeutics and clinical risk management, vol. 5, 2009, pp. 767-772.</w:t>
      </w:r>
    </w:p>
    <w:p w:rsidR="00B153A0" w:rsidRDefault="00B153A0" w:rsidP="00B153A0">
      <w:r>
        <w:t>Chien, YH, Lee, NC, Huang, PH, Lee, WT, Thurberg, BL &amp; Hwu, WL 2012, 'Early pathologic changes and responses to treatment in patients with later-onset Pompe disease', Pediatric Neurology, vol. 46, no. 3, pp. 168-171.</w:t>
      </w:r>
    </w:p>
    <w:p w:rsidR="00B153A0" w:rsidRDefault="00B153A0" w:rsidP="00B153A0">
      <w:proofErr w:type="gramStart"/>
      <w:r>
        <w:t>Fiumara, A 2014, 'Enzyme replacement therapy (ERT) in pompe disease', Italian Journal of Pediatrics, vol. 40.</w:t>
      </w:r>
      <w:proofErr w:type="gramEnd"/>
    </w:p>
    <w:p w:rsidR="00B153A0" w:rsidRDefault="00B153A0" w:rsidP="00B153A0">
      <w:r>
        <w:t>Hobson-Webb, LD, Proia, AD, Thurberg, BL, Banugaria, S, Prater, SN &amp; Kishnani, PS 2012, 'Autopsy findings in late-onset Pompe disease: A case report and systematic review of the literature', Molecular Genetics and Metabolism, vol. 106, no. 4, Aug, pp. 462-469.</w:t>
      </w:r>
    </w:p>
    <w:p w:rsidR="00B153A0" w:rsidRDefault="00B153A0" w:rsidP="00B153A0">
      <w:r>
        <w:t>Khallaf, HHA, Propst, J, Geffrard, S, Botha, E &amp; Pervaiz, MA 2013, 'CRIM-Negative Pompe Disease Patients with Satisfactory Clinical Outcomes on Enzyme Replacement Therapy', JIMD reports, vol. 9, 2013, pp. 133-137.</w:t>
      </w:r>
    </w:p>
    <w:p w:rsidR="00B153A0" w:rsidRDefault="00B153A0" w:rsidP="00B153A0">
      <w:r>
        <w:t>Miura, A 2008, 'Myozyme: clinical benefits in Pompe disease', Saibo, vol. 40, no. 5, //, pp. 214-217.</w:t>
      </w:r>
    </w:p>
    <w:p w:rsidR="00B153A0" w:rsidRDefault="00B153A0" w:rsidP="00B153A0">
      <w:r>
        <w:t>Parenti, G &amp; Andria, G 2011, 'Pompe Disease: From New Views on Pathophysiology to Innovative Therapeutic Strategies', Current Pharmaceutical Biotechnology, vol. 12, no. 6, Jun, pp. 902-915.</w:t>
      </w:r>
    </w:p>
    <w:p w:rsidR="00B153A0" w:rsidRDefault="00B153A0" w:rsidP="00B153A0">
      <w:r>
        <w:t>Pascual Pascual, SI 2009, 'Phenotype variations in early onset pompe disease: Diagnosis and treatment results with myozyme®', Advances in Experimental Medicine and Biology, vol. 652, pp. 39-46&lt;http://www.scopus.com/inward/record.url?eid=2-s2.0-77950361615&amp;partnerID=40&amp;md5=b5389f4dbfb1896614ab37386755fea4&gt;.</w:t>
      </w:r>
    </w:p>
    <w:p w:rsidR="00B153A0" w:rsidRDefault="00B153A0" w:rsidP="00B153A0"/>
    <w:p w:rsidR="00B153A0" w:rsidRDefault="00B153A0" w:rsidP="00B153A0">
      <w:r>
        <w:t>Patel, TT, Banugaria, SG, Case, LE, Wenninger, S, Schoser, B &amp; Kishnani, PS 2012, '</w:t>
      </w:r>
      <w:proofErr w:type="gramStart"/>
      <w:r>
        <w:t>The</w:t>
      </w:r>
      <w:proofErr w:type="gramEnd"/>
      <w:r>
        <w:t xml:space="preserve"> impact of antibodies in late-onset Pompe disease: A case series and literature review', Molecular Genetics and Metabolism, vol. 106, no. 3, Jul, pp. 301-309.</w:t>
      </w:r>
    </w:p>
    <w:p w:rsidR="00B153A0" w:rsidRDefault="00B153A0" w:rsidP="00B153A0">
      <w:r>
        <w:t xml:space="preserve">Ploeg, Avd, Hagemans, M, Beek, Nvd, Capelle, </w:t>
      </w:r>
      <w:proofErr w:type="gramStart"/>
      <w:r>
        <w:t>Cv</w:t>
      </w:r>
      <w:proofErr w:type="gramEnd"/>
      <w:r>
        <w:t xml:space="preserve">, Doorn, PAv, Laforêt, P &amp; Reuser, AJ 2008, 'Natural Course and Effects of Enzyme Therapy in Adults with Pompe Disease', Clinical Therapeutics, vol. 30, no. </w:t>
      </w:r>
      <w:proofErr w:type="gramStart"/>
      <w:r>
        <w:t>SUPPL. 1, pp. S15-S16.</w:t>
      </w:r>
      <w:proofErr w:type="gramEnd"/>
    </w:p>
    <w:p w:rsidR="00B153A0" w:rsidRDefault="00B153A0" w:rsidP="00B153A0">
      <w:r>
        <w:t>Vitacca, M &amp; Filosto, M 2010, 'Multidisciplinary neurological and pneumological management of patients with glycogenosis type II', Rassegna di Patologia dell'Apparato Respiratorio, vol. 25, no. 5, pp. 263-271.</w:t>
      </w:r>
    </w:p>
    <w:p w:rsidR="00B153A0" w:rsidRDefault="00B153A0" w:rsidP="00B153A0"/>
    <w:p w:rsidR="00092F60" w:rsidRPr="003F3F2D" w:rsidRDefault="00092F60" w:rsidP="00D60032">
      <w:pPr>
        <w:pStyle w:val="Heading2"/>
        <w:numPr>
          <w:ilvl w:val="0"/>
          <w:numId w:val="0"/>
        </w:numPr>
      </w:pPr>
      <w:bookmarkStart w:id="1095" w:name="_Toc404937362"/>
      <w:bookmarkStart w:id="1096" w:name="_Toc415141783"/>
      <w:r w:rsidRPr="003F3F2D">
        <w:lastRenderedPageBreak/>
        <w:t>M</w:t>
      </w:r>
      <w:r w:rsidR="00E42A3F">
        <w:t>ucopolysaccharidosis</w:t>
      </w:r>
      <w:bookmarkEnd w:id="1095"/>
      <w:r w:rsidR="00E42A3F">
        <w:t xml:space="preserve"> </w:t>
      </w:r>
      <w:r w:rsidR="0033067C">
        <w:t xml:space="preserve">Types </w:t>
      </w:r>
      <w:r w:rsidR="00E42A3F">
        <w:t>I, II &amp; VI</w:t>
      </w:r>
      <w:bookmarkEnd w:id="1096"/>
    </w:p>
    <w:p w:rsidR="00E42A3F" w:rsidRDefault="00E42A3F" w:rsidP="00E5335E">
      <w:pPr>
        <w:pStyle w:val="Heading3"/>
      </w:pPr>
      <w:r>
        <w:t>MPS I: Laronidase versus placebo</w:t>
      </w:r>
    </w:p>
    <w:p w:rsidR="00E42A3F" w:rsidRDefault="00E42A3F" w:rsidP="0063378B">
      <w:pPr>
        <w:pStyle w:val="Heading3"/>
      </w:pPr>
      <w:r>
        <w:t>Systematic Review / Health Technology Assessment</w:t>
      </w:r>
      <w:bookmarkStart w:id="1097" w:name="_Ref405378812"/>
      <w:r>
        <w:rPr>
          <w:rStyle w:val="FootnoteReference"/>
        </w:rPr>
        <w:footnoteReference w:id="42"/>
      </w:r>
      <w:bookmarkEnd w:id="1097"/>
    </w:p>
    <w:p w:rsidR="00E42A3F" w:rsidRPr="00EF2585" w:rsidRDefault="00E42A3F" w:rsidP="00E42A3F">
      <w:r w:rsidRPr="00EF2585">
        <w:t xml:space="preserve">Connock, M, Juarez-Garcia, A, Frew, E, Mans, A, Dretzke, J, Fry-Smith, A &amp; Moore, D 2006, 'A systematic review of the clinical effectiveness and cost-effectiveness of enzyme replacement therapies for Fabry's disease and mucopolysaccharidosis type I', </w:t>
      </w:r>
      <w:r w:rsidRPr="00EF2585">
        <w:rPr>
          <w:i/>
          <w:iCs/>
        </w:rPr>
        <w:t>Health Technology Assessment</w:t>
      </w:r>
      <w:r w:rsidRPr="00EF2585">
        <w:t>, vol. 10, no. 20, pp. iii-87.</w:t>
      </w:r>
    </w:p>
    <w:p w:rsidR="00E42A3F" w:rsidRPr="00EF2585" w:rsidRDefault="00E42A3F" w:rsidP="00E42A3F">
      <w:r w:rsidRPr="00EF2585">
        <w:t xml:space="preserve">El Dib, RP &amp; Pastores, GM 2007, 'Laronidase for treating mucopolysaccharidosis type I', </w:t>
      </w:r>
      <w:r w:rsidRPr="00EF2585">
        <w:rPr>
          <w:i/>
          <w:iCs/>
        </w:rPr>
        <w:t>Genetics and Molecular Research</w:t>
      </w:r>
      <w:r w:rsidRPr="00EF2585">
        <w:t>, vol. 6, no. 3, pp. 667-674.</w:t>
      </w:r>
    </w:p>
    <w:p w:rsidR="00E42A3F" w:rsidRPr="0061289E" w:rsidRDefault="00E42A3F" w:rsidP="00E42A3F">
      <w:r w:rsidRPr="0061289E">
        <w:t xml:space="preserve">Jameson, E, Jones, S &amp; Wraith James, E 2013, 'Enzyme replacement therapy with laronidase (Aldurazyme®) for treating mucopolysaccharidosis type I', </w:t>
      </w:r>
      <w:r w:rsidRPr="0061289E">
        <w:rPr>
          <w:i/>
          <w:iCs/>
        </w:rPr>
        <w:t>Cochrane Database of Systematic Reviews</w:t>
      </w:r>
      <w:r w:rsidRPr="0061289E">
        <w:t xml:space="preserve">, no. 11, DOI </w:t>
      </w:r>
      <w:r>
        <w:t>10.1002/14651858.CD009354.pub3</w:t>
      </w:r>
    </w:p>
    <w:p w:rsidR="00E42A3F" w:rsidRPr="00797DA6" w:rsidRDefault="00E42A3F" w:rsidP="00E42A3F"/>
    <w:p w:rsidR="00E42A3F" w:rsidRDefault="00E42A3F" w:rsidP="0063378B">
      <w:pPr>
        <w:pStyle w:val="Heading3"/>
      </w:pPr>
      <w:r>
        <w:t>Cohort study</w:t>
      </w:r>
    </w:p>
    <w:p w:rsidR="00E42A3F" w:rsidRPr="0061289E" w:rsidRDefault="00E42A3F" w:rsidP="00E42A3F">
      <w:r w:rsidRPr="0061289E">
        <w:t xml:space="preserve">Clarke, LA, Wraith, JE, Beck, M, Kolodny, EH, Pastores, GM, Muenzer, J, Rapoport, DM, Berger, KI, Sidman, M, Kakkis, ED &amp; Cox, GF 2009, 'Long-term efficacy and safety of laronidase in the treatment of mucopolysaccharidosis I', </w:t>
      </w:r>
      <w:r w:rsidRPr="0061289E">
        <w:rPr>
          <w:i/>
          <w:iCs/>
        </w:rPr>
        <w:t>Pediatrics</w:t>
      </w:r>
      <w:r w:rsidRPr="0061289E">
        <w:t>, vol. 123, no. 1, pp. 229-2</w:t>
      </w:r>
      <w:r>
        <w:t>40, DOI 10.1542/peds.2007-3847</w:t>
      </w:r>
    </w:p>
    <w:p w:rsidR="00E42A3F" w:rsidRPr="0061289E" w:rsidRDefault="00E42A3F" w:rsidP="00E42A3F">
      <w:r w:rsidRPr="0061289E">
        <w:t xml:space="preserve">Clarke, LA, Wraith, JE, Beck, M, Kolodny, EH, Pastores, GM &amp; Muenzers, J 2007, 'A phase III extension study of Aldurazyme (R) (Laronidase) in mucopolysaccharidosis I', </w:t>
      </w:r>
      <w:r w:rsidRPr="0061289E">
        <w:rPr>
          <w:i/>
          <w:iCs/>
        </w:rPr>
        <w:t>Clinical Therapeutics</w:t>
      </w:r>
      <w:r w:rsidRPr="0061289E">
        <w:t>, vol. 29, pp. S111-S111.</w:t>
      </w:r>
    </w:p>
    <w:p w:rsidR="00E42A3F" w:rsidRPr="0061289E" w:rsidRDefault="00E42A3F" w:rsidP="00E42A3F">
      <w:r w:rsidRPr="0061289E">
        <w:t xml:space="preserve">Dornelles, AD, De Camargo Pinto, LL, De Paula, AC, Steiner, CE, Lourenco, CM, Ae Kim, C, Horovitz, DDG, Ribeiro, EM, Valadares, ER, Goulart, I, De Souza, ICN, Da Costa Neri, JI, Santana-da-Silva, LC, Silva, LR, Ribeiro, M, De Oliveira Sobrinho, RP, Giugliani, R &amp; Schwartz, IVD 2014, 'Enzyme replacement therapy for mucopolysaccharidosis type I among patients followed within the MPS Brazil network', </w:t>
      </w:r>
      <w:r w:rsidRPr="0061289E">
        <w:rPr>
          <w:i/>
          <w:iCs/>
        </w:rPr>
        <w:t>Genetics and Molecular Biology</w:t>
      </w:r>
      <w:r w:rsidRPr="0061289E">
        <w:t>, vol. 37, no. 1, pp. 23-29.</w:t>
      </w:r>
    </w:p>
    <w:p w:rsidR="00E42A3F" w:rsidRPr="0061289E" w:rsidRDefault="00E42A3F" w:rsidP="00E42A3F">
      <w:r w:rsidRPr="0061289E">
        <w:t xml:space="preserve">Giugliani, R, Rojas, VM, Martins, AM, Valadares, ER, Clarke, JTR, Goes, JEC, Kakkis, ED, Worden, MA, Sidman, M &amp; Cox, GF 2009, 'A dose-optimization trial of laronidase (Aldurazyme (R)) in patients with mucopolysaccharidosis I', </w:t>
      </w:r>
      <w:r w:rsidRPr="0061289E">
        <w:rPr>
          <w:i/>
          <w:iCs/>
        </w:rPr>
        <w:t>Molecular Genetics and Metabolism</w:t>
      </w:r>
      <w:r w:rsidRPr="0061289E">
        <w:t>, vol. 96, no. 1, Jan, pp. 13-19.</w:t>
      </w:r>
    </w:p>
    <w:p w:rsidR="00E42A3F" w:rsidRDefault="00E42A3F" w:rsidP="00E42A3F"/>
    <w:p w:rsidR="00E42A3F" w:rsidRDefault="00E42A3F" w:rsidP="0063378B">
      <w:pPr>
        <w:pStyle w:val="Heading3"/>
      </w:pPr>
      <w:r>
        <w:lastRenderedPageBreak/>
        <w:t>Case series</w:t>
      </w:r>
    </w:p>
    <w:p w:rsidR="00E42A3F" w:rsidRPr="0061289E" w:rsidRDefault="00E42A3F" w:rsidP="00E42A3F">
      <w:r w:rsidRPr="0061289E">
        <w:t xml:space="preserve">Arora, RS, Mercer, J, Thornley, M, Tylee, K &amp; Wraith, JE 2007, 'Enzyme replacement therapy in 12 patients with MPS I-H/S with homozygous p.Leu490Pro mutation', </w:t>
      </w:r>
      <w:r w:rsidRPr="0061289E">
        <w:rPr>
          <w:i/>
          <w:iCs/>
        </w:rPr>
        <w:t>J Inherit Metab Dis</w:t>
      </w:r>
      <w:r w:rsidRPr="0061289E">
        <w:t>, vol. 30, no. 5, Oct, p. 821.</w:t>
      </w:r>
    </w:p>
    <w:p w:rsidR="00E42A3F" w:rsidRPr="0061289E" w:rsidRDefault="00E42A3F" w:rsidP="00E42A3F">
      <w:r w:rsidRPr="0061289E">
        <w:t xml:space="preserve">Braunlin, EA, Berry, JM &amp; Whitley, CB 2006, 'Cardiac Findings After Enzyme Replacement Therapy for Mucopolysaccharidosis Type I', </w:t>
      </w:r>
      <w:r w:rsidRPr="0061289E">
        <w:rPr>
          <w:i/>
          <w:iCs/>
        </w:rPr>
        <w:t>American Journal of Cardiology</w:t>
      </w:r>
      <w:r w:rsidRPr="0061289E">
        <w:t>, vol. 98, no. 3, pp. 416-418.</w:t>
      </w:r>
    </w:p>
    <w:p w:rsidR="00E42A3F" w:rsidRPr="0061289E" w:rsidRDefault="00E42A3F" w:rsidP="00E42A3F">
      <w:r w:rsidRPr="0061289E">
        <w:t xml:space="preserve">Cox-Brinkman, J, Smeulders, MJC, Hollak, CEM &amp; Wijburg, FA 2007, 'Restricted upper extremity range of motion in mucopolysaccharidosis type I: No response to one year of enzyme replacement therapy', </w:t>
      </w:r>
      <w:r w:rsidRPr="0061289E">
        <w:rPr>
          <w:i/>
          <w:iCs/>
        </w:rPr>
        <w:t>Journal of Inherited Metabolic Disease</w:t>
      </w:r>
      <w:r w:rsidRPr="0061289E">
        <w:t>, vol. 30, no. 1, pp. 47-50.</w:t>
      </w:r>
    </w:p>
    <w:p w:rsidR="00E42A3F" w:rsidRPr="0061289E" w:rsidRDefault="00E42A3F" w:rsidP="00E42A3F">
      <w:r w:rsidRPr="0061289E">
        <w:t xml:space="preserve">Kakavanos, R, Turner, CT, Hopwood, JJ, Kakkis, ED &amp; Brooks, DA 2003, 'Immune tolerance after long-term enzyme-replacement therapy among patients who have mucopolysaccharidosis I', </w:t>
      </w:r>
      <w:r w:rsidRPr="0061289E">
        <w:rPr>
          <w:i/>
          <w:iCs/>
        </w:rPr>
        <w:t>Lancet</w:t>
      </w:r>
      <w:r w:rsidRPr="0061289E">
        <w:t>, vol. 361, no. 9369, //, pp. 1608-1613.</w:t>
      </w:r>
    </w:p>
    <w:p w:rsidR="00E42A3F" w:rsidRPr="0061289E" w:rsidRDefault="00E42A3F" w:rsidP="00E42A3F">
      <w:r w:rsidRPr="0061289E">
        <w:t xml:space="preserve">Kakkis, ED, Muenzer, J, Tiller, GE, Waber, L, Belmont, J, Passage, M, Izykowski, B, Phillips, J, Doroshow, R, Walot, I, Hoft, R &amp; Neufeld, EF 2001, 'Enzyme-replacement therapy in mucopolysaccharidosis I', </w:t>
      </w:r>
      <w:r w:rsidRPr="0061289E">
        <w:rPr>
          <w:i/>
          <w:iCs/>
        </w:rPr>
        <w:t>N. Engl. J. Med.</w:t>
      </w:r>
      <w:r w:rsidRPr="0061289E">
        <w:t>, vol. 344, no. 3, //, pp. 182-188.</w:t>
      </w:r>
    </w:p>
    <w:p w:rsidR="00E42A3F" w:rsidRPr="0061289E" w:rsidRDefault="00E42A3F" w:rsidP="00E42A3F">
      <w:r w:rsidRPr="0061289E">
        <w:t xml:space="preserve">Martins, AM, Micheletti, C, Tavares Silva, C, Meloni Vicente, C, Santos Braghiroli, P, Canossa, S, Aquino, R, Silva, D, Culson-Thomas, V &amp; Toma, L 2009, 'MPS I patients in enzyme replacement therapy with laronidase in doble dose every two weeks and glycosaminoglycans measurements', </w:t>
      </w:r>
      <w:r w:rsidRPr="0061289E">
        <w:rPr>
          <w:i/>
          <w:iCs/>
        </w:rPr>
        <w:t>Molecular Genetics and Metabolism</w:t>
      </w:r>
      <w:r w:rsidRPr="0061289E">
        <w:t>, vol. 98, no. 1-2, pp. 87-88.</w:t>
      </w:r>
    </w:p>
    <w:p w:rsidR="00E42A3F" w:rsidRPr="0061289E" w:rsidRDefault="00E42A3F" w:rsidP="00E42A3F">
      <w:r w:rsidRPr="0061289E">
        <w:t xml:space="preserve">Pereira, VG, Martins, AM, Micheletti, C &amp; D'Almeida, V 2008, 'Mutational and oxidative stress analysis in patients with mucopolysaccharidosis type I undergoing enzyme replacement therapy', </w:t>
      </w:r>
      <w:r w:rsidRPr="0061289E">
        <w:rPr>
          <w:i/>
          <w:iCs/>
        </w:rPr>
        <w:t>Clinica Chimica Acta</w:t>
      </w:r>
      <w:r w:rsidRPr="0061289E">
        <w:t>, vol. 387, no. 1-2, pp. 75-79.</w:t>
      </w:r>
    </w:p>
    <w:p w:rsidR="00E42A3F" w:rsidRPr="0061289E" w:rsidRDefault="00E42A3F" w:rsidP="00E42A3F">
      <w:r w:rsidRPr="0061289E">
        <w:t xml:space="preserve">Ruiz-Cruz, ED, Campos-Garcia, FJ, Carpio-Hernandez, JC, Vega- Ramirez, ME, Marquez-Gutierrez, MA, Ricardez-Marcial, EF, Franco-Ornelas, SJ &amp; Gonzalez-Vite, M 2013, 'Clinical outcome of 5 Mexican patients with Mucopolysaccharidosis type I in enzyme replacement therapy', </w:t>
      </w:r>
      <w:r w:rsidRPr="0061289E">
        <w:rPr>
          <w:i/>
          <w:iCs/>
        </w:rPr>
        <w:t>Journal of Inherited Metabolic Disease</w:t>
      </w:r>
      <w:r w:rsidRPr="0061289E">
        <w:t>, vol. 36, no. 2, pp. S302-S303.</w:t>
      </w:r>
    </w:p>
    <w:p w:rsidR="00E42A3F" w:rsidRPr="0061289E" w:rsidRDefault="00E42A3F" w:rsidP="00E42A3F">
      <w:r w:rsidRPr="0061289E">
        <w:t xml:space="preserve">Valayannopoulos, V, Chabli, A, Romano, S, Mahlaoui, N, Caillaud, C, Le Merrer, M &amp; de Lonlay, P 2006, 'Experience with laronidase treatment in 5 MPS I patients with various phenotypes and indications', </w:t>
      </w:r>
      <w:r w:rsidRPr="0061289E">
        <w:rPr>
          <w:i/>
          <w:iCs/>
        </w:rPr>
        <w:t>Journal of Inherited Metabolic Disease</w:t>
      </w:r>
      <w:r w:rsidRPr="0061289E">
        <w:t>, vol. 29, Aug, pp. 65-65.</w:t>
      </w:r>
    </w:p>
    <w:p w:rsidR="00E42A3F" w:rsidRPr="0061289E" w:rsidRDefault="00E42A3F" w:rsidP="00E42A3F">
      <w:proofErr w:type="gramStart"/>
      <w:r w:rsidRPr="0061289E">
        <w:t xml:space="preserve">Vera, M, Le, S, Kan, SH, Garban, H, Naylor, D, Mlikotic, A, Kaitila, I, Harmatz, P, Chen, A &amp; Dickson, P 2013, 'Immune response to intrathecal enzyme replacement therapy in mucopolysaccharidosis I patients', </w:t>
      </w:r>
      <w:r w:rsidRPr="0061289E">
        <w:rPr>
          <w:i/>
          <w:iCs/>
        </w:rPr>
        <w:t>Pediatric Research</w:t>
      </w:r>
      <w:r w:rsidRPr="0061289E">
        <w:t>, vol. 74, no. 6, pp. 712-720.</w:t>
      </w:r>
      <w:proofErr w:type="gramEnd"/>
    </w:p>
    <w:p w:rsidR="00E42A3F" w:rsidRPr="0061289E" w:rsidRDefault="00E42A3F" w:rsidP="00E42A3F">
      <w:r w:rsidRPr="0061289E">
        <w:t xml:space="preserve">Wraith, JE, Beck, M, Lane, R, van der Ploeg, A, Shapiro, E, Xue, Y, Kakkis, ED &amp; Guffon, N 2007, 'Enzyme replacement therapy in patients who have mucopolysaccharidosis I and are </w:t>
      </w:r>
      <w:r w:rsidRPr="0061289E">
        <w:lastRenderedPageBreak/>
        <w:t xml:space="preserve">younger than 5 years: results of a multinational study of recombinant human alpha-L-iduronidase (laronidase)', </w:t>
      </w:r>
      <w:r w:rsidRPr="0061289E">
        <w:rPr>
          <w:i/>
          <w:iCs/>
        </w:rPr>
        <w:t>Pediatrics</w:t>
      </w:r>
      <w:r w:rsidRPr="0061289E">
        <w:t>, vol. 120, no. 1, Jul, pp. e37-46.</w:t>
      </w:r>
    </w:p>
    <w:p w:rsidR="00E42A3F" w:rsidRPr="0061289E" w:rsidRDefault="00E42A3F" w:rsidP="00E42A3F">
      <w:r w:rsidRPr="0061289E">
        <w:t xml:space="preserve">Wynn, RF, Mercer, J, Page, J, Carr, TF, Jones, S &amp; Wraith, JE 2009, 'Use of enzyme replacement therapy (Laronidase) before hematopoietic stem cell transplantation for mucopolysaccharidosis I: experience in 18 patients', </w:t>
      </w:r>
      <w:r w:rsidRPr="0061289E">
        <w:rPr>
          <w:i/>
          <w:iCs/>
        </w:rPr>
        <w:t>J Pediatr</w:t>
      </w:r>
      <w:r w:rsidRPr="0061289E">
        <w:t>, vol. 154, no. 1, Jan, pp. 135-139.</w:t>
      </w:r>
    </w:p>
    <w:p w:rsidR="00E42A3F" w:rsidRDefault="00E42A3F" w:rsidP="00E42A3F"/>
    <w:p w:rsidR="00E42A3F" w:rsidRDefault="00E42A3F" w:rsidP="00E5335E">
      <w:pPr>
        <w:pStyle w:val="Heading3"/>
      </w:pPr>
      <w:r>
        <w:t>MPS II: Idursulfase versus placebo</w:t>
      </w:r>
    </w:p>
    <w:p w:rsidR="00E42A3F" w:rsidRDefault="00E42A3F" w:rsidP="0063378B">
      <w:pPr>
        <w:pStyle w:val="Heading3"/>
      </w:pPr>
      <w:r>
        <w:t>Systematic Review</w:t>
      </w:r>
      <w:r w:rsidR="00A72B26">
        <w:rPr>
          <w:vertAlign w:val="superscript"/>
        </w:rPr>
        <w:t>42</w:t>
      </w:r>
    </w:p>
    <w:p w:rsidR="00E42A3F" w:rsidRPr="003E1A95" w:rsidRDefault="00E42A3F" w:rsidP="00E42A3F">
      <w:r w:rsidRPr="003E1A95">
        <w:t>da Silva, EM</w:t>
      </w:r>
      <w:r>
        <w:t>K</w:t>
      </w:r>
      <w:r w:rsidRPr="003E1A95">
        <w:t xml:space="preserve">, Strufaldi, MWL, Andriolo, RB &amp; Silva, LA 2011, 'Enzyme replacement therapy with idursulfase for mucopolysaccharidosis type II (Hunter syndrome)', </w:t>
      </w:r>
      <w:r w:rsidRPr="003E1A95">
        <w:rPr>
          <w:i/>
          <w:iCs/>
        </w:rPr>
        <w:t>Cochrane Database Syst Rev</w:t>
      </w:r>
      <w:r w:rsidRPr="003E1A95">
        <w:t>, no. 11, //, p. CD008185.</w:t>
      </w:r>
    </w:p>
    <w:p w:rsidR="00E42A3F" w:rsidRPr="003E1A95" w:rsidRDefault="00E42A3F" w:rsidP="00E42A3F"/>
    <w:p w:rsidR="00E42A3F" w:rsidRDefault="00E42A3F" w:rsidP="0063378B">
      <w:pPr>
        <w:pStyle w:val="Heading3"/>
      </w:pPr>
      <w:r>
        <w:t>Dose comparison (two doses of same treatment, without alternative treatment as comparator)</w:t>
      </w:r>
    </w:p>
    <w:p w:rsidR="00E42A3F" w:rsidRPr="003D4559" w:rsidRDefault="00E42A3F" w:rsidP="00E42A3F">
      <w:r w:rsidRPr="003D4559">
        <w:t xml:space="preserve">Muenzer, J, Gucsavas-Calikoglu, M, McCandless, SE, Schuetz, TJ &amp; Kimura, A 2007, 'A phase I/II clinical trial of enzyme replacement therapy in mucopolysaccharidosis II (Hunter syndrome)', </w:t>
      </w:r>
      <w:r w:rsidRPr="003D4559">
        <w:rPr>
          <w:i/>
          <w:iCs/>
        </w:rPr>
        <w:t>Molecular genetics and metabolism</w:t>
      </w:r>
      <w:r w:rsidRPr="003D4559">
        <w:t>, vol. 90, no. 3, pp. 329-337, D</w:t>
      </w:r>
      <w:r>
        <w:t>OI 10.1016/j.ymgme.2006.09.001</w:t>
      </w:r>
    </w:p>
    <w:p w:rsidR="00E42A3F" w:rsidRDefault="00E42A3F" w:rsidP="00E42A3F"/>
    <w:p w:rsidR="00E42A3F" w:rsidRDefault="00E42A3F" w:rsidP="0063378B">
      <w:pPr>
        <w:pStyle w:val="Heading3"/>
      </w:pPr>
      <w:r>
        <w:t>Cohort Study</w:t>
      </w:r>
    </w:p>
    <w:p w:rsidR="00E42A3F" w:rsidRPr="003D4559" w:rsidRDefault="00E42A3F" w:rsidP="00E42A3F">
      <w:r w:rsidRPr="003D4559">
        <w:t xml:space="preserve">Barbier, AJ, Bielefeld, B, Whiteman, DA, Natarajan, M, Pano, A &amp; Amato, DA 2013, 'The relationship between anti-idursulfase antibody status and safety and efficacy outcomes in attenuated mucopolysaccharidosis II patients aged 5 years and older treated with intravenous idursulfase', </w:t>
      </w:r>
      <w:r w:rsidRPr="003D4559">
        <w:rPr>
          <w:i/>
          <w:iCs/>
        </w:rPr>
        <w:t>Mol Genet Metab</w:t>
      </w:r>
      <w:r w:rsidRPr="003D4559">
        <w:t>, vol. 110, no. 3, Nov, pp. 303-310.</w:t>
      </w:r>
    </w:p>
    <w:p w:rsidR="00E42A3F" w:rsidRPr="003D4559" w:rsidRDefault="00E42A3F" w:rsidP="00E42A3F">
      <w:r w:rsidRPr="003D4559">
        <w:t xml:space="preserve">Brown, IFR, Hall, CW &amp; Neufeld, EF 1982, 'Administration of iduronate sulfatase by plasma exchange to patients with the Hunter syndrome: A clinical study', </w:t>
      </w:r>
      <w:r w:rsidRPr="003D4559">
        <w:rPr>
          <w:i/>
          <w:iCs/>
        </w:rPr>
        <w:t>American Journal of Medical Genetics</w:t>
      </w:r>
      <w:r w:rsidRPr="003D4559">
        <w:t>, vol. 13, no. 3, pp. 309-318.</w:t>
      </w:r>
    </w:p>
    <w:p w:rsidR="00E42A3F" w:rsidRPr="003D4559" w:rsidRDefault="00E42A3F" w:rsidP="00E42A3F">
      <w:r w:rsidRPr="003D4559">
        <w:t xml:space="preserve">Burton, BK, Guffon, N, Roberts, J, van der Ploeg, AT &amp; Jones, SA 2010, 'Home treatment with intravenous enzyme replacement therapy with idursulfase for mucopolysaccharidosis type II - data from the Hunter Outcome Survey', </w:t>
      </w:r>
      <w:r w:rsidRPr="003D4559">
        <w:rPr>
          <w:i/>
          <w:iCs/>
        </w:rPr>
        <w:t>Mol Genet Metab</w:t>
      </w:r>
      <w:r w:rsidRPr="003D4559">
        <w:t>, vol. 101, no. 2-3, Oct-Nov, pp. 123-129.</w:t>
      </w:r>
    </w:p>
    <w:p w:rsidR="00E42A3F" w:rsidRPr="003D4559" w:rsidRDefault="00E42A3F" w:rsidP="00E42A3F">
      <w:r w:rsidRPr="003D4559">
        <w:t xml:space="preserve">Burton, BK &amp; Whiteman, DA 2011, 'Incidence and timing of infusion-related reactions in patients with mucopolysaccharidosis type II (Hunter syndrome) on idursulfase therapy in the </w:t>
      </w:r>
      <w:r w:rsidRPr="003D4559">
        <w:lastRenderedPageBreak/>
        <w:t xml:space="preserve">real-world setting: a perspective from the Hunter Outcome Survey (HOS)', </w:t>
      </w:r>
      <w:r w:rsidRPr="003D4559">
        <w:rPr>
          <w:i/>
          <w:iCs/>
        </w:rPr>
        <w:t>Mol Genet Metab</w:t>
      </w:r>
      <w:r w:rsidRPr="003D4559">
        <w:t>, vol. 103, no. 2, Jun, pp. 113-120.</w:t>
      </w:r>
    </w:p>
    <w:p w:rsidR="00E42A3F" w:rsidRPr="003D4559" w:rsidRDefault="00E42A3F" w:rsidP="00E42A3F">
      <w:r w:rsidRPr="003D4559">
        <w:t xml:space="preserve">Giugliani, R, Hwu, WL, Tylki-Szymanska, A, Whiteman, DA &amp; Pano, A 2014, 'A multicenter, open-label study evaluating safety and clinical outcomes in children (1.4-7.5 years) with Hunter syndrome receiving idursulfase enzyme replacement therapy', </w:t>
      </w:r>
      <w:r w:rsidRPr="003D4559">
        <w:rPr>
          <w:i/>
          <w:iCs/>
        </w:rPr>
        <w:t>Genet Med</w:t>
      </w:r>
      <w:r w:rsidRPr="003D4559">
        <w:t>, vol. 16, no. 6, Jun, pp. 435-441.</w:t>
      </w:r>
    </w:p>
    <w:p w:rsidR="00E42A3F" w:rsidRPr="003D4559" w:rsidRDefault="00E42A3F" w:rsidP="00E42A3F">
      <w:r w:rsidRPr="003D4559">
        <w:t>Jones, SA, Parini, R, Harmatz, P, Giugliani, R, Fang, J &amp; Mendelsohn, NJ 2013, '</w:t>
      </w:r>
      <w:proofErr w:type="gramStart"/>
      <w:r w:rsidRPr="003D4559">
        <w:t>The</w:t>
      </w:r>
      <w:proofErr w:type="gramEnd"/>
      <w:r w:rsidRPr="003D4559">
        <w:t xml:space="preserve"> effect of idursulfase on growth in patients with Hunter syndrome: data from the Hunter Outcome Survey (HOS)', </w:t>
      </w:r>
      <w:r w:rsidRPr="003D4559">
        <w:rPr>
          <w:i/>
          <w:iCs/>
        </w:rPr>
        <w:t>Mol Genet Metab</w:t>
      </w:r>
      <w:r w:rsidRPr="003D4559">
        <w:t>, vol. 109, no. 1, May, pp. 41-48.</w:t>
      </w:r>
    </w:p>
    <w:p w:rsidR="00E42A3F" w:rsidRPr="003D4559" w:rsidRDefault="00E42A3F" w:rsidP="00E42A3F">
      <w:r w:rsidRPr="003D4559">
        <w:t xml:space="preserve">Muenzer, J, Beck, M, Eng, CM, Giugliani, R, Harmatz, P, Martin, R, Ramaswami, U, Vellodi, A, Wraith, JE, Cleary, M, Gucsavas-Calikoglu, M, Puga, AC, Shinawi, M, Ulbrich, B, Vijayaraghavan, S, Wendt, S, Conway, AM, Rossi, A, Whiteman, DA &amp; Kimura, A 2011, 'Long-term, open-labeled extension study of idursulfase in the treatment of Hunter syndrome', </w:t>
      </w:r>
      <w:r w:rsidRPr="003D4559">
        <w:rPr>
          <w:i/>
          <w:iCs/>
        </w:rPr>
        <w:t>Genet Med</w:t>
      </w:r>
      <w:r w:rsidRPr="003D4559">
        <w:t>, vol. 13, no. 2, Feb, pp. 95-101.</w:t>
      </w:r>
    </w:p>
    <w:p w:rsidR="00E42A3F" w:rsidRPr="003D4559" w:rsidRDefault="00E42A3F" w:rsidP="00E42A3F">
      <w:r w:rsidRPr="003D4559">
        <w:t xml:space="preserve">Muenzer, J, Beck, M, Giugliani, R, Suzuki, Y, Tylki-Szymanska, A, Valayannopoulos, V, Vellodi, A &amp; Wraith, JE 2011, 'Idursulfase treatment of Hunter syndrome in children younger than 6 years: results from the Hunter Outcome Survey', </w:t>
      </w:r>
      <w:r w:rsidRPr="003D4559">
        <w:rPr>
          <w:i/>
          <w:iCs/>
        </w:rPr>
        <w:t>Genet Med</w:t>
      </w:r>
      <w:r w:rsidRPr="003D4559">
        <w:t>, vol. 13, no. 2, Feb, pp. 102-109.</w:t>
      </w:r>
    </w:p>
    <w:p w:rsidR="00E42A3F" w:rsidRPr="003D4559" w:rsidRDefault="00E42A3F" w:rsidP="00E42A3F">
      <w:r w:rsidRPr="003D4559">
        <w:t xml:space="preserve">Tylki-Szymanska </w:t>
      </w:r>
      <w:proofErr w:type="gramStart"/>
      <w:r w:rsidRPr="003D4559">
        <w:t>A</w:t>
      </w:r>
      <w:proofErr w:type="gramEnd"/>
      <w:r w:rsidRPr="003D4559">
        <w:t xml:space="preserve"> 2011 trial completed, 'Safety and Clinical Outcomes in Hunter Syndrome Patients 5 Years of Age and Younger Receiving Idursulfase Therapy'.</w:t>
      </w:r>
    </w:p>
    <w:p w:rsidR="00E42A3F" w:rsidRPr="003D4559" w:rsidRDefault="00E42A3F" w:rsidP="00E42A3F">
      <w:r w:rsidRPr="003D4559">
        <w:t xml:space="preserve">White, KK, Hale, S &amp; Goldberg, MJ 2010, 'Musculoskeletal health in Hunter disease (MPS II): ERT improves functional outcomes', </w:t>
      </w:r>
      <w:r w:rsidRPr="003D4559">
        <w:rPr>
          <w:i/>
          <w:iCs/>
        </w:rPr>
        <w:t>Journal of Pediatric Rehabilitation Medicine</w:t>
      </w:r>
      <w:r w:rsidRPr="003D4559">
        <w:t>, vol. 3, no. 2, pp. 101-107.</w:t>
      </w:r>
    </w:p>
    <w:p w:rsidR="00E42A3F" w:rsidRPr="003D4559" w:rsidRDefault="00E42A3F" w:rsidP="00E42A3F">
      <w:proofErr w:type="gramStart"/>
      <w:r w:rsidRPr="003D4559">
        <w:t xml:space="preserve">Zuber, Z, Rozdzynska-Swiatkowska, A, Jurecka, A &amp; Tylki-Szymanska, A 2014, 'The effect of recombinant human iduronate-2-sulfatase (Idursulfase) on growth in young patients with mucopolysaccharidosis type II', </w:t>
      </w:r>
      <w:r w:rsidRPr="003D4559">
        <w:rPr>
          <w:i/>
          <w:iCs/>
        </w:rPr>
        <w:t>PLoS One</w:t>
      </w:r>
      <w:r w:rsidRPr="003D4559">
        <w:t>, vol. 9, no. 1, p. e85074.</w:t>
      </w:r>
      <w:proofErr w:type="gramEnd"/>
    </w:p>
    <w:p w:rsidR="00E42A3F" w:rsidRDefault="00E42A3F" w:rsidP="00E42A3F"/>
    <w:p w:rsidR="00E42A3F" w:rsidRDefault="00E42A3F" w:rsidP="0063378B">
      <w:pPr>
        <w:pStyle w:val="Heading3"/>
      </w:pPr>
      <w:r>
        <w:t>Case series</w:t>
      </w:r>
    </w:p>
    <w:p w:rsidR="00E42A3F" w:rsidRPr="003D4559" w:rsidRDefault="00E42A3F" w:rsidP="00E42A3F">
      <w:r w:rsidRPr="003D4559">
        <w:t xml:space="preserve">Alcalde-Martín, C, Muro-Tudelilla, JM, Cancho-Candela, R, Gutiérrez-Solana, LG, Pintos-Morell, G, Martí-Herrero, M, Munguira-Aguado, P &amp; Galán-Gómez, E 2010, 'First experience of enzyme replacement therapy with idursulfase in Spanish patients with Hunter syndrome under 5 years of age: Case observations from the Hunter Outcome Survey (HOS)', </w:t>
      </w:r>
      <w:r w:rsidRPr="003D4559">
        <w:rPr>
          <w:i/>
          <w:iCs/>
        </w:rPr>
        <w:t>European Journal of Medical Genetics</w:t>
      </w:r>
      <w:r w:rsidRPr="003D4559">
        <w:t>, vol. 53, no. 6, pp. 371-377.</w:t>
      </w:r>
    </w:p>
    <w:p w:rsidR="00E42A3F" w:rsidRPr="003D4559" w:rsidRDefault="00E42A3F" w:rsidP="00E42A3F">
      <w:proofErr w:type="gramStart"/>
      <w:r w:rsidRPr="003D4559">
        <w:t xml:space="preserve">Buraczewska, M, O'Leary, D, Walsh, O, Monavari, A &amp; Crushell, E 2013, 'Parental experience of enzyme replacement therapy for hunter syndrome', </w:t>
      </w:r>
      <w:r w:rsidRPr="003D4559">
        <w:rPr>
          <w:i/>
          <w:iCs/>
        </w:rPr>
        <w:t>Irish Medical Journal</w:t>
      </w:r>
      <w:r w:rsidRPr="003D4559">
        <w:t>, vol. 106, no. 4.</w:t>
      </w:r>
      <w:proofErr w:type="gramEnd"/>
    </w:p>
    <w:p w:rsidR="00E42A3F" w:rsidRPr="003D4559" w:rsidRDefault="00E42A3F" w:rsidP="00E42A3F">
      <w:r w:rsidRPr="003D4559">
        <w:lastRenderedPageBreak/>
        <w:t xml:space="preserve">Cho, SY, Huh, R, Chang, MS, Lee, J, Kwun, Y, Maeng, SH, Kim, SJ, Sohn, YB, Park, SW, Kwon, EK, Han, SJ, Jung, J &amp; Jin, DK 2014, 'Impact of enzyme replacement therapy on linear growth in Korean patients with mucopolysaccharidosis type II (Hunter syndrome)', </w:t>
      </w:r>
      <w:r w:rsidRPr="003D4559">
        <w:rPr>
          <w:i/>
          <w:iCs/>
        </w:rPr>
        <w:t>J Korean Med Sci</w:t>
      </w:r>
      <w:r w:rsidRPr="003D4559">
        <w:t>, vol. 29, no. 2, Feb, pp. 254-260.</w:t>
      </w:r>
    </w:p>
    <w:p w:rsidR="00E42A3F" w:rsidRPr="003D4559" w:rsidRDefault="00E42A3F" w:rsidP="00E42A3F">
      <w:r w:rsidRPr="003D4559">
        <w:t xml:space="preserve">Jurecka, A, Zuber, Z, Opoka-Winiarska, V, Wegrzyn, G &amp; Tylki-Szymańska, A 2012, 'Effect of rapid cessation of enzyme replacement therapy: A report of 5 cases and a review of the literature', </w:t>
      </w:r>
      <w:r w:rsidRPr="003D4559">
        <w:rPr>
          <w:i/>
          <w:iCs/>
        </w:rPr>
        <w:t>Molecular Genetics and Metabolism</w:t>
      </w:r>
      <w:r w:rsidRPr="003D4559">
        <w:t>, vol. 107, no. 3, pp. 508-512.</w:t>
      </w:r>
    </w:p>
    <w:p w:rsidR="00E42A3F" w:rsidRPr="003D4559" w:rsidRDefault="00E42A3F" w:rsidP="00E42A3F">
      <w:r w:rsidRPr="003D4559">
        <w:t xml:space="preserve">Kim, J, Park, MR, Kim, DS, Lee, JO, Maeng, SH, Cho, SY, Han, Y, Ahn, K &amp; Jin, DK 2013, 'IgE-mediated anaphylaxis and allergic reactions to idursulfase in patients with Hunter syndrome', </w:t>
      </w:r>
      <w:r w:rsidRPr="003D4559">
        <w:rPr>
          <w:i/>
          <w:iCs/>
        </w:rPr>
        <w:t>Allergy</w:t>
      </w:r>
      <w:r w:rsidRPr="003D4559">
        <w:t>, vol. 68, no. 6, Jun, pp. 796-802.</w:t>
      </w:r>
    </w:p>
    <w:p w:rsidR="00E42A3F" w:rsidRPr="003D4559" w:rsidRDefault="00E42A3F" w:rsidP="00E42A3F">
      <w:proofErr w:type="gramStart"/>
      <w:r w:rsidRPr="003D4559">
        <w:t>Ko</w:t>
      </w:r>
      <w:proofErr w:type="gramEnd"/>
      <w:r w:rsidRPr="003D4559">
        <w:t xml:space="preserve">, K, Yi, SH, Jin, DK &amp; Kwon, JY 2011, 'The effect of enzyme replacement therapy on carpal tunnel syndrome in patients with mucopolysaccharidosis type II (Hunter syndrome): Electrophysiological findings', </w:t>
      </w:r>
      <w:r w:rsidRPr="003D4559">
        <w:rPr>
          <w:i/>
          <w:iCs/>
        </w:rPr>
        <w:t>Developmental Medicine and Child Neurology</w:t>
      </w:r>
      <w:r w:rsidRPr="003D4559">
        <w:t>, vol. 53, p. 62.</w:t>
      </w:r>
    </w:p>
    <w:p w:rsidR="00E42A3F" w:rsidRPr="003D4559" w:rsidRDefault="00E42A3F" w:rsidP="00E42A3F">
      <w:r w:rsidRPr="003D4559">
        <w:t xml:space="preserve">Lampe, C, Atherton, A, Burton, BK, Descartes, M, Giugliani, R, Horovitz, DD, Kyosen, SO, Magalhaes, TS, Martins, AM, Mendelsohn, NJ, Muenzer, J &amp; Smith, LD 2014, 'Enzyme Replacement Therapy in Mucopolysaccharidosis II Patients Under 1 Year of Age', </w:t>
      </w:r>
      <w:r w:rsidRPr="003D4559">
        <w:rPr>
          <w:i/>
          <w:iCs/>
        </w:rPr>
        <w:t>JIMD Rep</w:t>
      </w:r>
      <w:r w:rsidRPr="003D4559">
        <w:t>, Feb 11.</w:t>
      </w:r>
    </w:p>
    <w:p w:rsidR="00E42A3F" w:rsidRPr="003D4559" w:rsidRDefault="00E42A3F" w:rsidP="00E42A3F">
      <w:r w:rsidRPr="003D4559">
        <w:t xml:space="preserve">Lampe, C, Bosserhoff, A-K, Burton, BK, Giugliani, R, de, SCF, Bittar, C, Muschol, N, Olson, R &amp; Mendelsohn, NJ 2014, 'Long-term experience with enzyme replacement therapy (ERT) in MPS II patients with a severe phenotype: an international case series', </w:t>
      </w:r>
      <w:r w:rsidRPr="003D4559">
        <w:rPr>
          <w:i/>
          <w:iCs/>
        </w:rPr>
        <w:t>J Inherit Metab Dis</w:t>
      </w:r>
      <w:r w:rsidRPr="003D4559">
        <w:t>, //.</w:t>
      </w:r>
    </w:p>
    <w:p w:rsidR="00E42A3F" w:rsidRPr="003D4559" w:rsidRDefault="00E42A3F" w:rsidP="00E42A3F">
      <w:r w:rsidRPr="003D4559">
        <w:t xml:space="preserve">Malik, V, Nichani, J, Rothera, MP, Wraith, JE, Jones, SA, Walker, R &amp; Bruce, IA 2013, 'Tracheostomy in mucopolysaccharidosis type II (Hunter's Syndrome)', </w:t>
      </w:r>
      <w:r w:rsidRPr="003D4559">
        <w:rPr>
          <w:i/>
          <w:iCs/>
        </w:rPr>
        <w:t>International Journal of Pediatric Otorhinolaryngology</w:t>
      </w:r>
      <w:r w:rsidRPr="003D4559">
        <w:t>, vol. 77, no. 7, pp. 1204-1208.</w:t>
      </w:r>
    </w:p>
    <w:p w:rsidR="00E42A3F" w:rsidRPr="003D4559" w:rsidRDefault="00E42A3F" w:rsidP="00E42A3F">
      <w:r w:rsidRPr="003D4559">
        <w:t xml:space="preserve">Manara, R, Priante, E, Grimaldi, M, Santoro, L, Astarita, L, Barone, R, Concolino, D, Di Rocco, M, Donati, MA, Fecarotta, S, Ficcadenti, A, Fiumara, A, Furlan, F, Giovannini, I, Lilliu, F, Mardari, R, Polonara, G, Procopio, E, Rampazzo, A, Rossi, A, Sanna, G, Parini, R &amp; Scarpa, M 2011, 'Brain and spine MRI features of Hunter disease: Frequency, natural evolution and response to therapy', </w:t>
      </w:r>
      <w:r w:rsidRPr="003D4559">
        <w:rPr>
          <w:i/>
          <w:iCs/>
        </w:rPr>
        <w:t>Journal of Inherited Metabolic Disease</w:t>
      </w:r>
      <w:r w:rsidRPr="003D4559">
        <w:t>, vol. 34, no. 3, pp. 763-780.</w:t>
      </w:r>
    </w:p>
    <w:p w:rsidR="00E42A3F" w:rsidRPr="003D4559" w:rsidRDefault="00E42A3F" w:rsidP="00E42A3F">
      <w:r w:rsidRPr="003D4559">
        <w:t xml:space="preserve">Marucha, J, Jurecka, </w:t>
      </w:r>
      <w:proofErr w:type="gramStart"/>
      <w:r w:rsidRPr="003D4559">
        <w:t>A</w:t>
      </w:r>
      <w:proofErr w:type="gramEnd"/>
      <w:r w:rsidRPr="003D4559">
        <w:t>, Syczewska, M, Rozdzynska-Swiatkowska, A &amp; Tylki-Szymanska, A 2012, 'Restricted joint range of motion in patients with MPS II: correlation with height, age and functional st</w:t>
      </w:r>
      <w:r>
        <w:t>a</w:t>
      </w:r>
      <w:r w:rsidRPr="003D4559">
        <w:t xml:space="preserve">tus', </w:t>
      </w:r>
      <w:r w:rsidRPr="003D4559">
        <w:rPr>
          <w:i/>
          <w:iCs/>
        </w:rPr>
        <w:t>Acta Paediatrica</w:t>
      </w:r>
      <w:r w:rsidRPr="003D4559">
        <w:t>, vol. 101, no. 4, Apr, pp. E183-E188.</w:t>
      </w:r>
    </w:p>
    <w:p w:rsidR="00E42A3F" w:rsidRPr="003D4559" w:rsidRDefault="00E42A3F" w:rsidP="00E42A3F">
      <w:r w:rsidRPr="003D4559">
        <w:t xml:space="preserve">Okuyama, T, Tanaka, A, Suzuki, Y, Ida, H, Tanaka, T, Cox, GF, Eto, Y &amp; Orii, T 2010, 'Japan Elaprase® Treatment (JET) study: Idursulfase enzyme replacement therapy in adult patients with attenuated Hunter syndrome (Mucopolysaccharidosis II, MPS II)', </w:t>
      </w:r>
      <w:r w:rsidRPr="003D4559">
        <w:rPr>
          <w:i/>
          <w:iCs/>
        </w:rPr>
        <w:t>Molecular Genetics and Metabolism</w:t>
      </w:r>
      <w:r w:rsidRPr="003D4559">
        <w:t>, vol. 99, no. 1, pp. 18-25.</w:t>
      </w:r>
    </w:p>
    <w:p w:rsidR="00E42A3F" w:rsidRPr="003D4559" w:rsidRDefault="00E42A3F" w:rsidP="00E42A3F">
      <w:r w:rsidRPr="003D4559">
        <w:lastRenderedPageBreak/>
        <w:t xml:space="preserve">Okuyama, T, Tanaka, A, Tanaka, T, Ida, H, Suzuki, Y, Cox, GF, Eto, Y &amp; Orii, T 2009, 'Idursulfase enzyme replacement therapy in seriously ill, Japanese men with Hunter syndrome', </w:t>
      </w:r>
      <w:r w:rsidRPr="003D4559">
        <w:rPr>
          <w:i/>
          <w:iCs/>
        </w:rPr>
        <w:t>Molecular Genetics and Metabolism</w:t>
      </w:r>
      <w:r w:rsidRPr="003D4559">
        <w:t>, vol. 98, no. 1-2, p. 65.</w:t>
      </w:r>
    </w:p>
    <w:p w:rsidR="00E42A3F" w:rsidRPr="003D4559" w:rsidRDefault="00E42A3F" w:rsidP="00E42A3F">
      <w:r w:rsidRPr="003D4559">
        <w:t xml:space="preserve">Pano, A, Barbier, AJ, Bielefeld, B, Whiteman, DAH &amp; Amato, DA 2013, 'Immunogenicity of idursulfase and clinical outcomes in very young Mucopolysaccharidosis II (MPS II) patients (16months to 7.5 years old)', </w:t>
      </w:r>
      <w:r w:rsidRPr="003D4559">
        <w:rPr>
          <w:i/>
          <w:iCs/>
        </w:rPr>
        <w:t>Journal of Inherited Metabolic Disease</w:t>
      </w:r>
      <w:r w:rsidRPr="003D4559">
        <w:t>, vol. 36, no. 2, p. S278.</w:t>
      </w:r>
    </w:p>
    <w:p w:rsidR="00E42A3F" w:rsidRPr="003D4559" w:rsidRDefault="00E42A3F" w:rsidP="00E42A3F">
      <w:r w:rsidRPr="003D4559">
        <w:t xml:space="preserve">Scarpa, M, Morin, I, Giugliani, R &amp; Tylki-Szymanska, A 2013, 'Idursulfase treatment in six female patients with Hunter syndrome: Data from the Hunter Outcome Survey (HOS)', </w:t>
      </w:r>
      <w:r w:rsidRPr="003D4559">
        <w:rPr>
          <w:i/>
          <w:iCs/>
        </w:rPr>
        <w:t>Journal of Inherited Metabolic Disease</w:t>
      </w:r>
      <w:r w:rsidRPr="003D4559">
        <w:t>, vol. 36, no. 2, p. S290.</w:t>
      </w:r>
    </w:p>
    <w:p w:rsidR="00E42A3F" w:rsidRPr="003D4559" w:rsidRDefault="00E42A3F" w:rsidP="00E42A3F">
      <w:r w:rsidRPr="003D4559">
        <w:t xml:space="preserve">Schulze-Frenking, G, Jones, SA, Roberts, J, Beck, M &amp; Wraith, JE 2011, 'Effects of enzyme replacement therapy on growth in patients with mucopolysaccharidosis type II', </w:t>
      </w:r>
      <w:r w:rsidRPr="003D4559">
        <w:rPr>
          <w:i/>
          <w:iCs/>
        </w:rPr>
        <w:t>J Inherit Metab Dis</w:t>
      </w:r>
      <w:r w:rsidRPr="003D4559">
        <w:t>, vol. 34, no. 1, Feb, pp. 203-208.</w:t>
      </w:r>
    </w:p>
    <w:p w:rsidR="00E42A3F" w:rsidRPr="003D4559" w:rsidRDefault="00E42A3F" w:rsidP="00E42A3F">
      <w:r w:rsidRPr="003D4559">
        <w:t xml:space="preserve">Valayannopoulos, V, Arnoux, JB, Kossorotoff, M, Chabli, A, Caillaud, C, Lemoine, M, Lyonnet, S, Lemerrer, M, Cormier-Daire, V &amp; De Lonlay, P 2010, 'Cognitive outcome in 14 MPS II patients treated with idursulfase', </w:t>
      </w:r>
      <w:r w:rsidRPr="003D4559">
        <w:rPr>
          <w:i/>
          <w:iCs/>
        </w:rPr>
        <w:t>Journal of Inherited Metabolic Disease</w:t>
      </w:r>
      <w:r w:rsidRPr="003D4559">
        <w:t>, vol. 33, p. S149.</w:t>
      </w:r>
    </w:p>
    <w:p w:rsidR="00E42A3F" w:rsidRDefault="00E42A3F" w:rsidP="00E42A3F"/>
    <w:p w:rsidR="00E42A3F" w:rsidRDefault="00E42A3F" w:rsidP="0063378B">
      <w:pPr>
        <w:pStyle w:val="Heading3"/>
      </w:pPr>
      <w:r>
        <w:t>Erratum</w:t>
      </w:r>
    </w:p>
    <w:p w:rsidR="00E42A3F" w:rsidRPr="003D4559" w:rsidRDefault="00E42A3F" w:rsidP="00E42A3F">
      <w:r w:rsidRPr="003D4559">
        <w:t xml:space="preserve">Muenzer, J, Beck, M, Eng, CM, Giugliani, R, Harmatz, P, Martin, R, Ramaswami, U, Vellodi, A, Wraith, JE, Cleary, M, Gucsavas-Calikoglu, M, Puga, AC, Shinawi, M, Ulbrich, B, Vijayaraghavan, S, Wendt, S, Conway, AM, Rossi, A, Whiteman, DAH &amp; Kimura, A 2013, 'Erratum: Long-term, open-labeled extension study of idursulfase in the treatment of Hunter syndrome (Genetics in Medicine (2013) 13:2 (95-101) DOI: 10.1097/GIM.0b013e3181fea459)', </w:t>
      </w:r>
      <w:r w:rsidRPr="003D4559">
        <w:rPr>
          <w:i/>
          <w:iCs/>
        </w:rPr>
        <w:t>Genetics in Medicine</w:t>
      </w:r>
      <w:r w:rsidRPr="003D4559">
        <w:t>, vol. 15, no. 10, p. 849.</w:t>
      </w:r>
    </w:p>
    <w:p w:rsidR="00E42A3F" w:rsidRPr="003D4559" w:rsidRDefault="00E42A3F" w:rsidP="00E42A3F">
      <w:r w:rsidRPr="003D4559">
        <w:t xml:space="preserve">Muenzer, J, Wraith, JE, Beck, M, Giugliani, R, Harmatz, P, Eng, CM, Vellodi, A, Martin, R, Ramaswami, U, Gucsavas-Calikoglu, M, Vijayaraghavan, S, Wendt, S, Puga, AC, Ulbrich, B, Shinawi, M, Cleary, M, Piper, D, Conway, AM &amp; Kimura, A 2006, 'Erratum: A phase II/III clinical study of enzyme replacement therapy with idursulfase in mucopolysaccharidosis II (Hunter syndrome) (Genetics in Medicine (August 2006) 8, 8, (465-473))', </w:t>
      </w:r>
      <w:r w:rsidRPr="003D4559">
        <w:rPr>
          <w:i/>
          <w:iCs/>
        </w:rPr>
        <w:t>Genetics in Medicine</w:t>
      </w:r>
      <w:r w:rsidRPr="003D4559">
        <w:t>, vol. 8, no. 9, p. 599.</w:t>
      </w:r>
    </w:p>
    <w:p w:rsidR="00E42A3F" w:rsidRPr="003D4559" w:rsidRDefault="00E42A3F" w:rsidP="00E42A3F"/>
    <w:p w:rsidR="00E42A3F" w:rsidRDefault="00E42A3F" w:rsidP="00E5335E">
      <w:pPr>
        <w:pStyle w:val="Heading3"/>
      </w:pPr>
      <w:r>
        <w:t>MPS VI: Galsulfase versus placebo</w:t>
      </w:r>
    </w:p>
    <w:p w:rsidR="00E42A3F" w:rsidRDefault="00E42A3F" w:rsidP="0063378B">
      <w:pPr>
        <w:pStyle w:val="Heading3"/>
      </w:pPr>
      <w:r>
        <w:t>Systematic Review</w:t>
      </w:r>
      <w:r w:rsidR="00A72B26">
        <w:rPr>
          <w:vertAlign w:val="superscript"/>
        </w:rPr>
        <w:t>42</w:t>
      </w:r>
    </w:p>
    <w:p w:rsidR="00E42A3F" w:rsidRPr="008C7CC0" w:rsidRDefault="00E42A3F" w:rsidP="00E42A3F">
      <w:r w:rsidRPr="008C7CC0">
        <w:t xml:space="preserve">El, DRP &amp; Pastores, GM 2009, 'A systematic review of new advances in the management of mucopolysaccharidosis VI (Maroteaux-Lamy syndrome): focus on galsulfase', </w:t>
      </w:r>
      <w:r w:rsidRPr="008C7CC0">
        <w:rPr>
          <w:i/>
          <w:iCs/>
        </w:rPr>
        <w:t>Biologics</w:t>
      </w:r>
      <w:r w:rsidRPr="008C7CC0">
        <w:t>, vol. 3, //, pp. 459-468.</w:t>
      </w:r>
    </w:p>
    <w:p w:rsidR="00E42A3F" w:rsidRPr="008C7CC0" w:rsidRDefault="00E42A3F" w:rsidP="00E42A3F"/>
    <w:p w:rsidR="00E42A3F" w:rsidRDefault="00E42A3F" w:rsidP="0063378B">
      <w:pPr>
        <w:pStyle w:val="Heading3"/>
      </w:pPr>
      <w:r>
        <w:t>Cohort study</w:t>
      </w:r>
    </w:p>
    <w:p w:rsidR="00E42A3F" w:rsidRPr="008C7CC0" w:rsidRDefault="00E42A3F" w:rsidP="00E42A3F">
      <w:r w:rsidRPr="008C7CC0">
        <w:t xml:space="preserve">Harmatz, P, Yu, ZF, Giugliani, R, Schwartz, IVD, Guffon, N, Teles, EL, Miranda, MCS, Wraith, JE, Beck, M, Arash, L, Scarpa, M, Ketteridge, D, Hopwood, JJ, Plecko, B, Steiner, R, Whitley, CB, Kaplan, P, Swiedler, SJ, Hardy, K, Berger, KI &amp; Decker, C 2010, 'Enzyme replacement therapy for mucopolysaccharidosis VI: Evaluation of long-term pulmonary function in patients treated with recombinant human N-acetylgalactosamine 4-sulfatase', </w:t>
      </w:r>
      <w:r w:rsidRPr="008C7CC0">
        <w:rPr>
          <w:i/>
          <w:iCs/>
        </w:rPr>
        <w:t>Journal of Inherited Metabolic Disease</w:t>
      </w:r>
      <w:r w:rsidRPr="008C7CC0">
        <w:t>, vol. 33, no. 1, pp. 51-60.</w:t>
      </w:r>
    </w:p>
    <w:p w:rsidR="00E42A3F" w:rsidRPr="008C7CC0" w:rsidRDefault="00E42A3F" w:rsidP="00E42A3F">
      <w:r w:rsidRPr="008C7CC0">
        <w:t xml:space="preserve">Hendriksz, CJ, Giugliani, R, Harmatz, P, Lampe, C, Martins, AM, Pastores, GM, Steiner, RD, Leao, TE &amp; Valayannopoulos, V 2013, 'Design, baseline characteristics, and early findings of the MPS VI (mucopolysaccharidosis VI) Clinical Surveillance Program (CSP)', </w:t>
      </w:r>
      <w:r w:rsidRPr="008C7CC0">
        <w:rPr>
          <w:i/>
          <w:iCs/>
        </w:rPr>
        <w:t>J Inherit Metab Dis</w:t>
      </w:r>
      <w:r w:rsidRPr="008C7CC0">
        <w:t>, vol. 36, no. 2, //, pp. 373-384.</w:t>
      </w:r>
    </w:p>
    <w:p w:rsidR="00E42A3F" w:rsidRPr="008C7CC0" w:rsidRDefault="00E42A3F" w:rsidP="00E42A3F">
      <w:r w:rsidRPr="008C7CC0">
        <w:t xml:space="preserve">Kampmann, C, Lampe, C, Whybra-Truempler, C, Wiethoff, CM, Mengel, E, Arash, L, Beck, M &amp; Miebach, E 2014, 'Mucopolysaccharidosis VI: cardiac involvement and the impact of enzyme replacement therapy', </w:t>
      </w:r>
      <w:r w:rsidRPr="008C7CC0">
        <w:rPr>
          <w:i/>
          <w:iCs/>
        </w:rPr>
        <w:t>J. Inherited Metab. Dis.</w:t>
      </w:r>
      <w:r w:rsidRPr="008C7CC0">
        <w:t>, vol. 37, no. 2, //, pp. 269-276.</w:t>
      </w:r>
    </w:p>
    <w:p w:rsidR="00E42A3F" w:rsidRPr="008C7CC0" w:rsidRDefault="00E42A3F" w:rsidP="00E42A3F"/>
    <w:p w:rsidR="00E42A3F" w:rsidRDefault="00E42A3F" w:rsidP="0063378B">
      <w:pPr>
        <w:pStyle w:val="Heading3"/>
      </w:pPr>
      <w:r>
        <w:t>Case series</w:t>
      </w:r>
    </w:p>
    <w:p w:rsidR="00E42A3F" w:rsidRPr="008C7CC0" w:rsidRDefault="00E42A3F" w:rsidP="00E42A3F">
      <w:r w:rsidRPr="008C7CC0">
        <w:t xml:space="preserve">Bagewadi, S, Roberts, J, Mercer, J, Jones, S, Stephenson, J &amp; Wraith, J 2008, 'Home treatment with Elaprase (R) and Naglazyme (R) is safe in patients with mucopolysaccharidoses types II and VI, respectively', </w:t>
      </w:r>
      <w:r w:rsidRPr="008C7CC0">
        <w:rPr>
          <w:i/>
          <w:iCs/>
        </w:rPr>
        <w:t>Journal of Inherited Metabolic Disease</w:t>
      </w:r>
      <w:r w:rsidRPr="008C7CC0">
        <w:t>, vol. 31, no. 6, Dec, pp. 733-737.</w:t>
      </w:r>
    </w:p>
    <w:p w:rsidR="00E42A3F" w:rsidRPr="008C7CC0" w:rsidRDefault="00E42A3F" w:rsidP="00E42A3F">
      <w:r w:rsidRPr="008C7CC0">
        <w:t xml:space="preserve">Brands, MMMG, Oussoren, E, Hagemans, MLC &amp; Van Der Ploeg, AT 2011, 'Enzyme replacement therapy in 10 Dutch mucopolysaccharidosis type VI patients', </w:t>
      </w:r>
      <w:r w:rsidRPr="008C7CC0">
        <w:rPr>
          <w:i/>
          <w:iCs/>
        </w:rPr>
        <w:t>Journal of Inherited Metabolic Disease</w:t>
      </w:r>
      <w:r w:rsidRPr="008C7CC0">
        <w:t>, vol. 34, p. S214.</w:t>
      </w:r>
    </w:p>
    <w:p w:rsidR="00E42A3F" w:rsidRPr="008C7CC0" w:rsidRDefault="00E42A3F" w:rsidP="00E42A3F">
      <w:r w:rsidRPr="008C7CC0">
        <w:t xml:space="preserve">Brands, MMMG, Oussoren, E, Ruijter, GJG, Vollebregt, AAM, van den Hout, HMP, Joosten, KFM, Hop, WCJ, Plug, I &amp; Van der Ploeg, AT 2013, 'Up to five years experience with 11 mucopolysaccharidosis type VI patients', </w:t>
      </w:r>
      <w:r w:rsidRPr="008C7CC0">
        <w:rPr>
          <w:i/>
          <w:iCs/>
        </w:rPr>
        <w:t>Molecular Genetics and Metabolism</w:t>
      </w:r>
      <w:r w:rsidRPr="008C7CC0">
        <w:t>, vol. 109, no. 1, pp. 70-76.</w:t>
      </w:r>
    </w:p>
    <w:p w:rsidR="00E42A3F" w:rsidRPr="008C7CC0" w:rsidRDefault="00E42A3F" w:rsidP="00E42A3F">
      <w:r w:rsidRPr="008C7CC0">
        <w:t xml:space="preserve">Giugliani, R, Lampe, C, Guffon, N, Ketteridge, D, Leão-Teles, E, Wraith, JE, Jones, SA, Piscia-Nichols, C, Lin, P, Quartel, A &amp; Harmatz, P 2014, 'Natural history and galsulfase treatment in mucopolysaccharidosis VI (MPS VI, Maroteaux-Lamy syndrome)-10-year follow-up of patients who previously participated in an MPS VI survey study', </w:t>
      </w:r>
      <w:r w:rsidRPr="008C7CC0">
        <w:rPr>
          <w:i/>
          <w:iCs/>
        </w:rPr>
        <w:t>American Journal of Medical Genetics, Part A</w:t>
      </w:r>
      <w:r w:rsidRPr="008C7CC0">
        <w:t>.</w:t>
      </w:r>
    </w:p>
    <w:p w:rsidR="00E42A3F" w:rsidRPr="008C7CC0" w:rsidRDefault="00E42A3F" w:rsidP="00E42A3F">
      <w:r w:rsidRPr="008C7CC0">
        <w:t>Giugliani, R, Lampe, C, Guffon, N, Ketteridge, D, Leao-Teles, E, Wraith, JE, Jones, SA, Piscia-Nichols, C, Quartel, A &amp; Harmatz, P 2013, 'Longitudinal natural history and galsulfase treatment in Mucopolysaccharidosis VI (MPSVI, Maroteaux-Lamy syndrome): 10 year follow-</w:t>
      </w:r>
      <w:r w:rsidRPr="008C7CC0">
        <w:lastRenderedPageBreak/>
        <w:t xml:space="preserve">up of patients who previously participated in a MPSVI survey study', </w:t>
      </w:r>
      <w:r w:rsidRPr="008C7CC0">
        <w:rPr>
          <w:i/>
          <w:iCs/>
        </w:rPr>
        <w:t>Journal of Inherited Metabolic Disease</w:t>
      </w:r>
      <w:r w:rsidRPr="008C7CC0">
        <w:t>, vol. 36, no. 2, p. S273.</w:t>
      </w:r>
    </w:p>
    <w:p w:rsidR="00E42A3F" w:rsidRPr="008C7CC0" w:rsidRDefault="00E42A3F" w:rsidP="00E42A3F">
      <w:r w:rsidRPr="008C7CC0">
        <w:t xml:space="preserve">Harmatz, P, Guffon, N, Garcia, P, Cheng, S, Lagan, K &amp; Decker, C 2010, 'A phase 4 two dose level study of galsulfase in mucopolysaccharidosis VI infants', </w:t>
      </w:r>
      <w:r w:rsidRPr="008C7CC0">
        <w:rPr>
          <w:i/>
          <w:iCs/>
        </w:rPr>
        <w:t>Journal of Inherited Metabolic Disease</w:t>
      </w:r>
      <w:r w:rsidRPr="008C7CC0">
        <w:t>, vol. 33, p. S144.</w:t>
      </w:r>
    </w:p>
    <w:p w:rsidR="00E42A3F" w:rsidRPr="008C7CC0" w:rsidRDefault="00E42A3F" w:rsidP="00E42A3F">
      <w:r w:rsidRPr="008C7CC0">
        <w:t xml:space="preserve">Horovitz, DD, Magalhaes, TS, Acosta, A, Ribeiro, EM, Giuliani, LR, Palhares, DB, Kim, CA, de Paula, AC, Kerstenestzy, M, Pianovski, MA, Costa, MI, Santos, FC, Martins, AM, Aranda, CS, Correa Neto, J, Holanda, GB, Cardoso, L, Jr., da Silva, CA, Bonatti, RC, Ribeiro, BF, Rodrigues Mdo, C &amp; Llerena, JC, Jr. 2013, 'Enzyme replacement therapy with galsulfase in 34 children younger than five years of age with MPS VI', </w:t>
      </w:r>
      <w:r w:rsidRPr="008C7CC0">
        <w:rPr>
          <w:i/>
          <w:iCs/>
        </w:rPr>
        <w:t>Mol Genet Metab</w:t>
      </w:r>
      <w:r w:rsidRPr="008C7CC0">
        <w:t>, vol. 109, no. 1, May, pp. 62-69.</w:t>
      </w:r>
    </w:p>
    <w:p w:rsidR="00E42A3F" w:rsidRPr="008C7CC0" w:rsidRDefault="00E42A3F" w:rsidP="00E42A3F">
      <w:r w:rsidRPr="008C7CC0">
        <w:t xml:space="preserve">Horovitz, DDG, Magalhaes, T, Costa, APE, Carelli, LE, Silva, DSE, Riello, A &amp; Llerena, JC 2011, 'Spinal cord compression in young children with type VI mucopolysaccharidosis', </w:t>
      </w:r>
      <w:r w:rsidRPr="008C7CC0">
        <w:rPr>
          <w:i/>
          <w:iCs/>
        </w:rPr>
        <w:t>Molecular Genetics and Metabolism</w:t>
      </w:r>
      <w:r w:rsidRPr="008C7CC0">
        <w:t>, vol. 104, no. 3, Nov, pp. 295-300.</w:t>
      </w:r>
    </w:p>
    <w:p w:rsidR="00E42A3F" w:rsidRPr="008C7CC0" w:rsidRDefault="00E42A3F" w:rsidP="00E42A3F">
      <w:r w:rsidRPr="008C7CC0">
        <w:t xml:space="preserve">Horovitz, DDG, Ribeiro, EM, Acosta, A, Giuliani, L, Kerstenestzy, M, Kim, CA, Magalhaes, TSPC, Palhares, D &amp; Llerena, JC 2009, 'Enzyme replacement therapy in eight mucopolysaccharidosis type VI Brazilian children under age three: Preliminary data', </w:t>
      </w:r>
      <w:r w:rsidRPr="008C7CC0">
        <w:rPr>
          <w:i/>
          <w:iCs/>
        </w:rPr>
        <w:t>Molecular Genetics and Metabolism</w:t>
      </w:r>
      <w:r w:rsidRPr="008C7CC0">
        <w:t>, vol. 98, no. 1-2, p. 67.</w:t>
      </w:r>
    </w:p>
    <w:p w:rsidR="00E42A3F" w:rsidRPr="008C7CC0" w:rsidRDefault="00E42A3F" w:rsidP="00E42A3F">
      <w:r w:rsidRPr="008C7CC0">
        <w:t xml:space="preserve">Jurecka, A, Rozdzynska, A, Marucha, J, Czartoryska, B &amp; Tylki-Szymanska, A 2010, 'Polish patients with Maroteaux-Lamy syndrome (mucopolisaccharidosis type VI)', </w:t>
      </w:r>
      <w:r w:rsidRPr="008C7CC0">
        <w:rPr>
          <w:i/>
          <w:iCs/>
        </w:rPr>
        <w:t>Pediatria Polska</w:t>
      </w:r>
      <w:r w:rsidRPr="008C7CC0">
        <w:t>, vol. 85, no. 4, pp. 311-319.</w:t>
      </w:r>
    </w:p>
    <w:p w:rsidR="00E42A3F" w:rsidRPr="008C7CC0" w:rsidRDefault="00E42A3F" w:rsidP="00E42A3F">
      <w:r w:rsidRPr="008C7CC0">
        <w:t xml:space="preserve">Kantaputra, PN, Kayserili, H, Güven, Y, Kantaputra, W, Balci, MC, Tanpaiboon, P, Uttarilli, A &amp; Dalal, A 2014, 'Oral manifestations of 17 patients affected with mucopolysaccharidosis type VI', </w:t>
      </w:r>
      <w:r w:rsidRPr="008C7CC0">
        <w:rPr>
          <w:i/>
          <w:iCs/>
        </w:rPr>
        <w:t>Journal of Inherited Metabolic Disease</w:t>
      </w:r>
      <w:r w:rsidRPr="008C7CC0">
        <w:t>, vol. 37, no. 2, pp. 263-268.</w:t>
      </w:r>
    </w:p>
    <w:p w:rsidR="00E42A3F" w:rsidRPr="008C7CC0" w:rsidRDefault="00E42A3F" w:rsidP="00E42A3F">
      <w:r w:rsidRPr="008C7CC0">
        <w:t xml:space="preserve">Micheletti, C, Mendes, CC, Silva, LF, Silveira, MT, Pedroso, A &amp; Martins, AM 2009, 'Experience of enzyme replacement therapy in patients with mucopolysaccharidoses type VI', </w:t>
      </w:r>
      <w:r w:rsidRPr="008C7CC0">
        <w:rPr>
          <w:i/>
          <w:iCs/>
        </w:rPr>
        <w:t>Molecular Genetics and Metabolism</w:t>
      </w:r>
      <w:r w:rsidRPr="008C7CC0">
        <w:t>, vol. 98, no. 1-2, p. 73.</w:t>
      </w:r>
    </w:p>
    <w:p w:rsidR="00E42A3F" w:rsidRPr="008C7CC0" w:rsidRDefault="00E42A3F" w:rsidP="00E42A3F">
      <w:r w:rsidRPr="008C7CC0">
        <w:t xml:space="preserve">Pitz, S, Ogun, O, Arash, L, Miebach, E &amp; Beck, M 2009, 'Does enzyme replacement therapy influence the ocular changes in type VI mucopolysaccharidosis?', </w:t>
      </w:r>
      <w:r w:rsidRPr="008C7CC0">
        <w:rPr>
          <w:i/>
          <w:iCs/>
        </w:rPr>
        <w:t xml:space="preserve">Graefe's archive for clinical and experimental ophthalmology </w:t>
      </w:r>
      <w:r w:rsidR="00652355" w:rsidRPr="00652355">
        <w:rPr>
          <w:i/>
          <w:iCs/>
          <w:spacing w:val="-20"/>
        </w:rPr>
        <w:t xml:space="preserve"> = </w:t>
      </w:r>
      <w:r w:rsidRPr="008C7CC0">
        <w:rPr>
          <w:i/>
          <w:iCs/>
        </w:rPr>
        <w:t xml:space="preserve"> Albrecht von Graefes Archiv für klinische und experimentelle Ophthalmologie</w:t>
      </w:r>
      <w:r w:rsidRPr="008C7CC0">
        <w:t>, vol. 247, no. 7, pp. 975-980,</w:t>
      </w:r>
      <w:r>
        <w:t xml:space="preserve"> DOI 10.1007/s00417-008-1030-1</w:t>
      </w:r>
    </w:p>
    <w:p w:rsidR="00E42A3F" w:rsidRPr="008C7CC0" w:rsidRDefault="00E42A3F" w:rsidP="00E42A3F">
      <w:r w:rsidRPr="008C7CC0">
        <w:t xml:space="preserve">Pitz, S, Ogun, O, Bajbouj, M, Arash, L, Schulze-Frenking, G &amp; Beck, M 2007, 'Ocular changes in patients with mucopolysaccharidosis I receiving enzyme replacement therapy: a 4-year experience', </w:t>
      </w:r>
      <w:r w:rsidRPr="008C7CC0">
        <w:rPr>
          <w:i/>
          <w:iCs/>
        </w:rPr>
        <w:t>Archives of ophthalmology</w:t>
      </w:r>
      <w:r w:rsidRPr="008C7CC0">
        <w:t>, vol. 125, no. 10, pp. 1353-1356, DO</w:t>
      </w:r>
      <w:r>
        <w:t>I 10.1001/archopht.125.10.1353</w:t>
      </w:r>
    </w:p>
    <w:p w:rsidR="00E42A3F" w:rsidRPr="008C7CC0" w:rsidRDefault="00E42A3F" w:rsidP="00E42A3F">
      <w:r w:rsidRPr="008C7CC0">
        <w:lastRenderedPageBreak/>
        <w:t xml:space="preserve">Ribeiro, EM, Ribeiro, EM, Magalhaes, TSPC, Horovitz, D, Acosta, A, Giuliani, L, Palhares, D, Kim, CA, Paula, AC, Kerstenestzy, M, Pianovski, MAD, Costa, MIF, Santos, FC, Martins, AM, Aranda, CS, Soares, N, Cardoso Jr, L, Llerena Jr, JC &amp; Bruno, CA 2010, 'Enzyme replacement therapy in 25 mucopolysaccharidosis type VI Brazilian children under age five years', </w:t>
      </w:r>
      <w:r w:rsidRPr="008C7CC0">
        <w:rPr>
          <w:i/>
          <w:iCs/>
        </w:rPr>
        <w:t>Journal of Inherited Metabolic Disease</w:t>
      </w:r>
      <w:r w:rsidRPr="008C7CC0">
        <w:t>, vol. 33, p. S155.</w:t>
      </w:r>
    </w:p>
    <w:p w:rsidR="00E42A3F" w:rsidRPr="008C7CC0" w:rsidRDefault="00E42A3F" w:rsidP="00E42A3F">
      <w:r w:rsidRPr="008C7CC0">
        <w:t xml:space="preserve">Valayannopoulos, V, Barbier, V, Boddaert, N, Arnoux, JB, Lemerrer, M &amp; De Lonlay, P 2009, 'High prevalence of mental impairment in a series of 6 patients with mucopolysaccharidosis type VI (Maroteaux-Lamy syndrome', </w:t>
      </w:r>
      <w:r w:rsidRPr="008C7CC0">
        <w:rPr>
          <w:i/>
          <w:iCs/>
        </w:rPr>
        <w:t>Molecular Genetics and Metabolism</w:t>
      </w:r>
      <w:r w:rsidRPr="008C7CC0">
        <w:t>, vol. 98, no. 1-2, p. 80.</w:t>
      </w:r>
    </w:p>
    <w:p w:rsidR="00E42A3F" w:rsidRDefault="00E42A3F" w:rsidP="00E42A3F"/>
    <w:p w:rsidR="00E42A3F" w:rsidRDefault="00E42A3F" w:rsidP="00E5335E">
      <w:pPr>
        <w:pStyle w:val="Heading3"/>
      </w:pPr>
      <w:r>
        <w:t>ERT for MPS I, MPS II and/or MPS VI</w:t>
      </w:r>
    </w:p>
    <w:p w:rsidR="00E42A3F" w:rsidRDefault="00E42A3F" w:rsidP="0063378B">
      <w:pPr>
        <w:pStyle w:val="Heading3"/>
      </w:pPr>
      <w:r>
        <w:t>Case series</w:t>
      </w:r>
    </w:p>
    <w:p w:rsidR="00E42A3F" w:rsidRPr="00915FFB" w:rsidRDefault="00E42A3F" w:rsidP="00E42A3F">
      <w:r w:rsidRPr="00915FFB">
        <w:t xml:space="preserve">Brands, MMMG, Frohn-Mulder, IM, Hagemans, MLC, Hop, WCJ, Oussoren, E, Helbing, WA &amp; Van Der Ploeg, AT 2013, 'Mucopolysaccharidosis: Cardiologic features and effects of enzyme-replacement therapy in 24 children with MPS I, II and VI', </w:t>
      </w:r>
      <w:r w:rsidRPr="00915FFB">
        <w:rPr>
          <w:i/>
          <w:iCs/>
        </w:rPr>
        <w:t>Journal of Inherited Metabolic Disease</w:t>
      </w:r>
      <w:r w:rsidRPr="00915FFB">
        <w:t>, vol. 36, no. 2, pp. 227-234.</w:t>
      </w:r>
    </w:p>
    <w:p w:rsidR="00E42A3F" w:rsidRPr="00915FFB" w:rsidRDefault="00E42A3F" w:rsidP="00E42A3F">
      <w:r w:rsidRPr="00915FFB">
        <w:t xml:space="preserve">Burton, BK, Wiesman, C, Paras, A, Kim, K &amp; Katz, R 2009, 'Home infusion therapy is safe and enhances compliance in patients with mucopolysaccharidoses', </w:t>
      </w:r>
      <w:r w:rsidRPr="00915FFB">
        <w:rPr>
          <w:i/>
          <w:iCs/>
        </w:rPr>
        <w:t>Molecular Genetics and Metabolism</w:t>
      </w:r>
      <w:r w:rsidRPr="00915FFB">
        <w:t>, vol. 97, no. 3, pp. 234-236.</w:t>
      </w:r>
    </w:p>
    <w:p w:rsidR="00AE6C2E" w:rsidRDefault="00E42A3F" w:rsidP="00AE6C2E">
      <w:r w:rsidRPr="00915FFB">
        <w:t xml:space="preserve">Coman, DJ, Hayes, IM, Collins, V, Sahhar, M, Wraith, JE &amp; Delatycki, MB 2008, 'Enzyme Replacement Therapy for Mucopolysaccharidoses: Opinions of Patients and Families', </w:t>
      </w:r>
      <w:r w:rsidRPr="00915FFB">
        <w:rPr>
          <w:i/>
          <w:iCs/>
        </w:rPr>
        <w:t>Journal of Pediatrics</w:t>
      </w:r>
      <w:r w:rsidRPr="00915FFB">
        <w:t>, vol. 152, no. 5, pp. 723-727.</w:t>
      </w:r>
    </w:p>
    <w:p w:rsidR="00AE6C2E" w:rsidRDefault="00AE6C2E" w:rsidP="00AE6C2E">
      <w:r>
        <w:t>Jurecka, A, Malinova, V &amp; Tylki-Szymanska, A 2014, 'Effect of rapid cessation of enzyme replacement therapy: A report of 5 more cases', Molecular Genetics and Metabolism, vol. 111, no. 2, pp. 212-213.</w:t>
      </w:r>
    </w:p>
    <w:p w:rsidR="00AE6C2E" w:rsidRDefault="00AE6C2E" w:rsidP="00AE6C2E">
      <w:r>
        <w:t>Lin, S-P, Shih, S-C, Chuang, C-K, Lee, K-S, Chen, M-R, Niu, D-M, Chiu, PC, Lin, SJ &amp; Lin, H-Y 2014, 'Characterization of Pulmonary Function Impairments in Patients With Mucopolysaccharidoses-Changes With Age and Treatment', Pediatric Pulmonology, vol. 49, no. 3, Mar, pp. 277-284.</w:t>
      </w:r>
    </w:p>
    <w:p w:rsidR="00AE6C2E" w:rsidRDefault="00AE6C2E" w:rsidP="00AE6C2E">
      <w:r>
        <w:t>Miebach, E 2009, 'Management of infusion-related reactions to enzyme replacement therapy in a cohort of patients with mucopolysaccharidosis disorders', Int J Clin Pharmacol Ther, vol. 47 Suppl 1, pp. S100-106.</w:t>
      </w:r>
    </w:p>
    <w:p w:rsidR="00685ABF" w:rsidRDefault="00685ABF" w:rsidP="00E965BD"/>
    <w:p w:rsidR="00092F60" w:rsidRPr="003F3F2D" w:rsidRDefault="00092F60" w:rsidP="00D60032">
      <w:pPr>
        <w:pStyle w:val="Heading2"/>
        <w:numPr>
          <w:ilvl w:val="0"/>
          <w:numId w:val="0"/>
        </w:numPr>
      </w:pPr>
      <w:bookmarkStart w:id="1098" w:name="_Toc404937363"/>
      <w:bookmarkStart w:id="1099" w:name="_Toc415141784"/>
      <w:r w:rsidRPr="003F3F2D">
        <w:lastRenderedPageBreak/>
        <w:t>P</w:t>
      </w:r>
      <w:r w:rsidR="00685ABF">
        <w:t xml:space="preserve">aroxysmal </w:t>
      </w:r>
      <w:r w:rsidRPr="003F3F2D">
        <w:t>N</w:t>
      </w:r>
      <w:r w:rsidR="00685ABF">
        <w:t xml:space="preserve">octurnal </w:t>
      </w:r>
      <w:r w:rsidRPr="003F3F2D">
        <w:t>H</w:t>
      </w:r>
      <w:bookmarkEnd w:id="1098"/>
      <w:r w:rsidR="00685ABF">
        <w:t>aematuria</w:t>
      </w:r>
      <w:bookmarkEnd w:id="1099"/>
    </w:p>
    <w:p w:rsidR="00092F60" w:rsidRPr="0063378B" w:rsidRDefault="00092F60" w:rsidP="0063378B">
      <w:pPr>
        <w:pStyle w:val="Heading3"/>
      </w:pPr>
      <w:r w:rsidRPr="0063378B">
        <w:t>Duplicated data</w:t>
      </w:r>
    </w:p>
    <w:p w:rsidR="00092F60" w:rsidRPr="00713C14" w:rsidRDefault="00092F60" w:rsidP="00092F60">
      <w:proofErr w:type="gramStart"/>
      <w:r w:rsidRPr="00713C14">
        <w:t xml:space="preserve">Connock, M, Wang, D, Fry-Smith, A &amp; Moore, D 2008, 'Prevalence and prognosis of paroxysmal nocturnal haemoglobinuria and the clinical and cost-effectiveness of eculizumab (Provisional abstract)', </w:t>
      </w:r>
      <w:r w:rsidRPr="00713C14">
        <w:rPr>
          <w:i/>
          <w:iCs/>
        </w:rPr>
        <w:t>NHS Economic Evaluation Database (NHSEED)</w:t>
      </w:r>
      <w:r w:rsidRPr="00713C14">
        <w:t>, no. 4, p. 1, &lt;http://onlinelibrary.wiley.com/o/cochrane/cleed/articles/NHSEED-22009101584/frame.html&gt;.</w:t>
      </w:r>
      <w:proofErr w:type="gramEnd"/>
    </w:p>
    <w:p w:rsidR="00092F60" w:rsidRPr="00713C14" w:rsidRDefault="00092F60" w:rsidP="00092F60">
      <w:r w:rsidRPr="00713C14">
        <w:t xml:space="preserve">Hill, A, Rother, RP, Risitano, AM, Cole, DS, Cullen, MJ, Richards, SJ, Selleri, C, Ricci, P, Rotoh, B, Luzzatto, L &amp; Hillmen, P 2007, 'Blockade of intravascular hemolysis in PNH with the terminal complement inhibitor eculizumab unmasks low-level hemolysis potentially occurring through C3 opsonization', </w:t>
      </w:r>
      <w:r w:rsidRPr="00713C14">
        <w:rPr>
          <w:i/>
          <w:iCs/>
        </w:rPr>
        <w:t>Haematologica-the Hematology Journal</w:t>
      </w:r>
      <w:r w:rsidRPr="00713C14">
        <w:t>, vol. 92, Jun, pp. 24-24.</w:t>
      </w:r>
    </w:p>
    <w:p w:rsidR="00092F60" w:rsidRPr="00713C14" w:rsidRDefault="00092F60" w:rsidP="00092F60">
      <w:r w:rsidRPr="00713C14">
        <w:t xml:space="preserve">Hill, A, Rother, RP, Wang, X, Sapsford, RJ, Collinson, PO, Gaze, DC, Morris, SM, Scally, A, Quinn-Senger, K, Richards, SJ, Bessel, M, Kelly, R, Hillmen, P &amp; Gladwin, M 2009, 'Eculizumab Reduces Pulmonary Hypertension through Inhibition of Hemolysis-Associated Nitric Oxide Consumption in Patients with Paroxysmal Nocturnal Hemoglobinuria [Abstract No. 486]', </w:t>
      </w:r>
      <w:r w:rsidRPr="00713C14">
        <w:rPr>
          <w:i/>
          <w:iCs/>
        </w:rPr>
        <w:t>Blood</w:t>
      </w:r>
      <w:r w:rsidRPr="00713C14">
        <w:t>, vol. 112, no. 11, p. 185, &lt;http://onlinelibrary.wiley.com/o/cochrane/clcentral/articles/913/CN-00782913/frame.html&gt;.</w:t>
      </w:r>
    </w:p>
    <w:p w:rsidR="00092F60" w:rsidRPr="00713C14" w:rsidRDefault="00092F60" w:rsidP="00092F60">
      <w:r w:rsidRPr="00713C14">
        <w:t xml:space="preserve">Kelly, RJ, Hill, A, Arnold, LM, Brooksbank, GL, Richards, SJ, Cullen, M, Mitchell, LD, Cohen, DR, Gregory, WM &amp; Hillmen, P 2011, 'Long term treatment with eculizumab in paroxysmal nocturnal haemoglobinuria (PNH): sustained efficacy and improved survival', </w:t>
      </w:r>
      <w:r w:rsidRPr="00713C14">
        <w:rPr>
          <w:i/>
          <w:iCs/>
        </w:rPr>
        <w:t>British Journal of Haematology</w:t>
      </w:r>
      <w:r w:rsidRPr="00713C14">
        <w:t>, vol. 153, Apr, pp. 26-26.</w:t>
      </w:r>
    </w:p>
    <w:p w:rsidR="00092F60" w:rsidRPr="00713C14" w:rsidRDefault="00092F60" w:rsidP="00092F60">
      <w:r w:rsidRPr="00713C14">
        <w:t xml:space="preserve">Roeth, A, Hock, C, Tokareva, O, Konik, A &amp; Duehrsen, U 2011, 'Role of bone marrow failure in paroxysmal nocturnal hemoglobinuria (PNH) patients chronically treated with Eculizumab', </w:t>
      </w:r>
      <w:r w:rsidRPr="00713C14">
        <w:rPr>
          <w:i/>
          <w:iCs/>
        </w:rPr>
        <w:t>Onkologie</w:t>
      </w:r>
      <w:r w:rsidRPr="00713C14">
        <w:t>, vol. 34, Sep, pp. 115-115.</w:t>
      </w:r>
    </w:p>
    <w:p w:rsidR="00092F60" w:rsidRDefault="00092F60" w:rsidP="00092F60"/>
    <w:p w:rsidR="00092F60" w:rsidRPr="0063378B" w:rsidRDefault="00092F60" w:rsidP="0063378B">
      <w:pPr>
        <w:pStyle w:val="Heading3"/>
      </w:pPr>
      <w:r w:rsidRPr="0063378B">
        <w:t>Abstract only</w:t>
      </w:r>
    </w:p>
    <w:p w:rsidR="00092F60" w:rsidRPr="00713C14" w:rsidRDefault="00092F60" w:rsidP="00092F60">
      <w:r w:rsidRPr="00713C14">
        <w:t xml:space="preserve">Alexander, W, Bessler, M &amp; Parker, CJ 2008, 'American Society of Hematology 49th Annual Meeting: Eculizumab (Soliris) for paroxysmal nocturnal hemolysis', </w:t>
      </w:r>
      <w:r w:rsidRPr="00713C14">
        <w:rPr>
          <w:i/>
          <w:iCs/>
        </w:rPr>
        <w:t>P and T</w:t>
      </w:r>
      <w:r w:rsidRPr="00713C14">
        <w:t>, vol. 33, no. 2, pp. 111-112.</w:t>
      </w:r>
    </w:p>
    <w:p w:rsidR="00092F60" w:rsidRPr="00713C14" w:rsidRDefault="00092F60" w:rsidP="00092F60">
      <w:r w:rsidRPr="00713C14">
        <w:t>Alexander, W &amp; Kelly, RJ 2011, 'http</w:t>
      </w:r>
      <w:proofErr w:type="gramStart"/>
      <w:r w:rsidRPr="00713C14">
        <w:t>:/</w:t>
      </w:r>
      <w:proofErr w:type="gramEnd"/>
      <w:r w:rsidRPr="00713C14">
        <w:t xml:space="preserve">/www.ncbi.nlm.nih.gov/pmc/articles/PMC3086088/', </w:t>
      </w:r>
      <w:r w:rsidRPr="00713C14">
        <w:rPr>
          <w:i/>
          <w:iCs/>
        </w:rPr>
        <w:t>P and T</w:t>
      </w:r>
      <w:r w:rsidRPr="00713C14">
        <w:t>, vol. 36, no. 2, p. 103.</w:t>
      </w:r>
    </w:p>
    <w:p w:rsidR="00092F60" w:rsidRPr="00713C14" w:rsidRDefault="00092F60" w:rsidP="00092F60">
      <w:r w:rsidRPr="00713C14">
        <w:t xml:space="preserve">Arnold, LM, Brooksbank, GL, Kelly, RJ, Hill, A, Richards, SJ, Senior, R, Downing, T, McKinley, C, Brown, J, Momoh, I, Elebute, M &amp; Hillmen, P 2011, 'Continued benefit from prolonged treatment with eculizumab in 130 patients with PNH in the UK: Home delivery of </w:t>
      </w:r>
      <w:r w:rsidRPr="00713C14">
        <w:lastRenderedPageBreak/>
        <w:t xml:space="preserve">eculizumab is safe, convenient and associated with very high levels of patient satisfaction', </w:t>
      </w:r>
      <w:r w:rsidRPr="00713C14">
        <w:rPr>
          <w:i/>
          <w:iCs/>
        </w:rPr>
        <w:t>Blood</w:t>
      </w:r>
      <w:r w:rsidRPr="00713C14">
        <w:t>, vol. 118, no. 21.</w:t>
      </w:r>
    </w:p>
    <w:p w:rsidR="00092F60" w:rsidRPr="00713C14" w:rsidRDefault="00092F60" w:rsidP="00092F60">
      <w:r w:rsidRPr="00713C14">
        <w:t xml:space="preserve">Bessler, M, Schrezenmeier, H, Maciejewski, JP, Hill, A, Rollins, SA, Young, NS &amp; Luzzatto, L 2007, 'Significant Disease Burden in Paroxysmal Nocturnal Hemoglobinuria Patients with Lower Levels of Hemolysis, Mild Anemia and Minimal Transfusion: Clinical Improvement with Eculizumab Therapy', </w:t>
      </w:r>
      <w:r w:rsidRPr="00713C14">
        <w:rPr>
          <w:i/>
          <w:iCs/>
        </w:rPr>
        <w:t>ASH Annual Meeting Abstracts</w:t>
      </w:r>
      <w:r w:rsidRPr="00713C14">
        <w:t>, vol. 110, no. 11, November 16, 2007, pp. 840-.</w:t>
      </w:r>
    </w:p>
    <w:p w:rsidR="00092F60" w:rsidRPr="00713C14" w:rsidRDefault="00092F60" w:rsidP="00092F60">
      <w:r w:rsidRPr="00713C14">
        <w:t xml:space="preserve">Brodsky, RA, De Castro, C, Schrezenmeier, H, Risitano, AM, Schubert, J, Maciejewski, JP, Duehrsen, U, Luzzatto, L, Muus, P, Szer, J, Socie, G &amp; Hillmen, P 2010, 'Long term safety and efficacy of sustained eculizumab treatment in patients with paroxysmal nocturnal hemoglobinuria (PNH)', </w:t>
      </w:r>
      <w:r w:rsidRPr="00713C14">
        <w:rPr>
          <w:i/>
          <w:iCs/>
        </w:rPr>
        <w:t>Blood</w:t>
      </w:r>
      <w:r w:rsidRPr="00713C14">
        <w:t>, vol. 116, no. 21.</w:t>
      </w:r>
    </w:p>
    <w:p w:rsidR="00092F60" w:rsidRPr="00713C14" w:rsidRDefault="00092F60" w:rsidP="00092F60">
      <w:r w:rsidRPr="00713C14">
        <w:t xml:space="preserve">Brodsky RA, HP, Schubert J, Luzzatto L, Socie G, Mojcik CF, Rother RP, Young NS 2007, 'Safety and efficacy of eculizumab in paroxysmal nocturnal hemoglobinuria evolving from patients with myelodysplastic syndrome and aplastic anemia', </w:t>
      </w:r>
      <w:r w:rsidRPr="00713C14">
        <w:rPr>
          <w:i/>
          <w:iCs/>
        </w:rPr>
        <w:t>Journal of Clinical Oncology</w:t>
      </w:r>
      <w:r w:rsidRPr="00713C14">
        <w:t>, vol. 25, No 18S ASCO Annual Meeting Proceedings, no. 7033.</w:t>
      </w:r>
    </w:p>
    <w:p w:rsidR="00092F60" w:rsidRPr="00713C14" w:rsidRDefault="00092F60" w:rsidP="00092F60">
      <w:r w:rsidRPr="00713C14">
        <w:t xml:space="preserve">de Andres, AM, Sola, N, Creus, N, Codina, C &amp; Ribas, J 2010, 'Evaluation of the use of eculizumab for treatment of paroxysmal nocturnal hemoglobinuria', </w:t>
      </w:r>
      <w:r w:rsidRPr="00713C14">
        <w:rPr>
          <w:i/>
          <w:iCs/>
        </w:rPr>
        <w:t>Pharmacy World &amp; Science</w:t>
      </w:r>
      <w:r w:rsidRPr="00713C14">
        <w:t>, vol. 32, no. 2, Apr, pp. 299-300.</w:t>
      </w:r>
    </w:p>
    <w:p w:rsidR="00092F60" w:rsidRPr="00713C14" w:rsidRDefault="00092F60" w:rsidP="00092F60">
      <w:r w:rsidRPr="00713C14">
        <w:t xml:space="preserve">de Latour, RP, Fremeaux-Bacchi, V, Porcher, R, Rodriguez-Otero, P, Abbes, S, Roncelin, S &amp; Socie, G 2013, 'Complement assessment in patients with paroxysmal nocturnal haemoglobinuria treated by eculizumab', </w:t>
      </w:r>
      <w:r w:rsidRPr="00713C14">
        <w:rPr>
          <w:i/>
          <w:iCs/>
        </w:rPr>
        <w:t>Bone Marrow Transplantation</w:t>
      </w:r>
      <w:r w:rsidRPr="00713C14">
        <w:t>, vol. 48, Apr, pp. S414-S415.</w:t>
      </w:r>
    </w:p>
    <w:p w:rsidR="00092F60" w:rsidRPr="00713C14" w:rsidRDefault="00092F60" w:rsidP="00092F60">
      <w:r w:rsidRPr="00713C14">
        <w:t>De Latour, RP, Fremeaux-Bacchi, V, Porcher, R, Rodriguez-Otero, P, Roncellin, S, Abbes, S &amp; Socie, G 2012, 'CH50 activity correlates with residual intravascular hemolysis in PTS with paroxysmal nocturnal hemoglobinuria treated by eculizumab</w:t>
      </w:r>
    </w:p>
    <w:p w:rsidR="00092F60" w:rsidRPr="00713C14" w:rsidRDefault="00092F60" w:rsidP="00092F60">
      <w:proofErr w:type="gramStart"/>
      <w:r w:rsidRPr="00713C14">
        <w:t xml:space="preserve">', </w:t>
      </w:r>
      <w:r w:rsidRPr="00713C14">
        <w:rPr>
          <w:i/>
          <w:iCs/>
        </w:rPr>
        <w:t>Blood</w:t>
      </w:r>
      <w:r w:rsidRPr="00713C14">
        <w:t>, vol. 120, no. 21.</w:t>
      </w:r>
      <w:proofErr w:type="gramEnd"/>
    </w:p>
    <w:p w:rsidR="00092F60" w:rsidRPr="00713C14" w:rsidRDefault="00092F60" w:rsidP="00092F60">
      <w:r w:rsidRPr="00713C14">
        <w:t xml:space="preserve">DeZern, AE, Dorr, D &amp; Brodsky, RA 2012, 'Predictors of response to eculizumab therapy in paroxysmal nocturnal hemoglobinuria', </w:t>
      </w:r>
      <w:r w:rsidRPr="00713C14">
        <w:rPr>
          <w:i/>
          <w:iCs/>
        </w:rPr>
        <w:t>Blood</w:t>
      </w:r>
      <w:r w:rsidRPr="00713C14">
        <w:t>, vol. 120, no. 21.</w:t>
      </w:r>
    </w:p>
    <w:p w:rsidR="00092F60" w:rsidRPr="00713C14" w:rsidRDefault="00092F60" w:rsidP="00092F60">
      <w:r w:rsidRPr="00713C14">
        <w:t xml:space="preserve">Fernandez-Jurado, A 2013, 'ORPHAN DRUGS: ECULIZUMAB IN THE TREATMENT OF PAROXYSMAL NOCTURNAL HEMOGLOBINURIA', </w:t>
      </w:r>
      <w:r w:rsidRPr="00713C14">
        <w:rPr>
          <w:i/>
          <w:iCs/>
        </w:rPr>
        <w:t>Basic &amp; Clinical Pharmacology &amp; Toxicology</w:t>
      </w:r>
      <w:r w:rsidRPr="00713C14">
        <w:t>, vol. 113, Oct, pp. 4-4.</w:t>
      </w:r>
    </w:p>
    <w:p w:rsidR="00092F60" w:rsidRPr="00713C14" w:rsidRDefault="00092F60" w:rsidP="00092F60">
      <w:proofErr w:type="gramStart"/>
      <w:r w:rsidRPr="00713C14">
        <w:t xml:space="preserve">Haughton, J, Kelly, RJ, Richards, SJ, Arnold, LM, Wood, A, Downing, T, McKinley, C, Davies, M, Hillmen, P &amp; Hill, A 2012, 'Improved outcomes of budd-chiari syndrome in paroxysmal nocturnal hemoglobinuria with eculizumab therapy', </w:t>
      </w:r>
      <w:r w:rsidRPr="00713C14">
        <w:rPr>
          <w:i/>
          <w:iCs/>
        </w:rPr>
        <w:t>Blood</w:t>
      </w:r>
      <w:r w:rsidRPr="00713C14">
        <w:t>, vol. 120, no. 21.</w:t>
      </w:r>
      <w:proofErr w:type="gramEnd"/>
    </w:p>
    <w:p w:rsidR="00092F60" w:rsidRPr="00713C14" w:rsidRDefault="00092F60" w:rsidP="00092F60">
      <w:r w:rsidRPr="00713C14">
        <w:t xml:space="preserve">—— 2013, 'Early diagnosis and immediate treatment with eculizumab improves the outcome of Budd-Chiari syndrome (BCS) in paroxysmal nocturnal haemoglobinuria (PNH)', </w:t>
      </w:r>
      <w:r w:rsidRPr="00713C14">
        <w:rPr>
          <w:i/>
          <w:iCs/>
        </w:rPr>
        <w:t>British Journal of Haematology</w:t>
      </w:r>
      <w:r w:rsidRPr="00713C14">
        <w:t>, vol. 161, Apr, pp. 71-72.</w:t>
      </w:r>
    </w:p>
    <w:p w:rsidR="00092F60" w:rsidRPr="00713C14" w:rsidRDefault="00092F60" w:rsidP="00092F60">
      <w:r w:rsidRPr="00713C14">
        <w:lastRenderedPageBreak/>
        <w:t xml:space="preserve">Helley, D, Darnige, L, De Latour, RP, Zemori, L, Socie, G &amp; Fischer, AM 2011, 'Antiphospholipid antibodies in patients with paroxysmal nocturnal hemoglobinuria receiving eculizumab', </w:t>
      </w:r>
      <w:r w:rsidRPr="00713C14">
        <w:rPr>
          <w:i/>
          <w:iCs/>
        </w:rPr>
        <w:t>Journal of Thrombosis and Haemostasis</w:t>
      </w:r>
      <w:r w:rsidRPr="00713C14">
        <w:t>, vol. 9, p. 624.</w:t>
      </w:r>
    </w:p>
    <w:p w:rsidR="00092F60" w:rsidRPr="00713C14" w:rsidRDefault="00092F60" w:rsidP="00092F60">
      <w:r w:rsidRPr="00713C14">
        <w:t xml:space="preserve">Hill, A 2009, 'Eculizumab (Soliris) reduces pulmonary hypertension in paroxysmal nocturnal hemoglobinuria', </w:t>
      </w:r>
      <w:r w:rsidRPr="00713C14">
        <w:rPr>
          <w:i/>
          <w:iCs/>
        </w:rPr>
        <w:t>P and T</w:t>
      </w:r>
      <w:r w:rsidRPr="00713C14">
        <w:t>, vol. 34, no. 2, p. 98.</w:t>
      </w:r>
    </w:p>
    <w:p w:rsidR="00092F60" w:rsidRPr="00713C14" w:rsidRDefault="00092F60" w:rsidP="00092F60">
      <w:r w:rsidRPr="00713C14">
        <w:t xml:space="preserve">—— 2009, 'PNH: New options', </w:t>
      </w:r>
      <w:r w:rsidRPr="00713C14">
        <w:rPr>
          <w:i/>
          <w:iCs/>
        </w:rPr>
        <w:t>Leukemia Research</w:t>
      </w:r>
      <w:r w:rsidRPr="00713C14">
        <w:t>, vol. 33, pp. S20-S21.</w:t>
      </w:r>
    </w:p>
    <w:p w:rsidR="00092F60" w:rsidRPr="00713C14" w:rsidRDefault="00092F60" w:rsidP="00092F60">
      <w:r w:rsidRPr="00713C14">
        <w:t xml:space="preserve">Hill, A, Bessler, M, Schrezenmeier, H, Maciejewski, JP, Rollins, SA, Young, NS &amp; Luzzatto, L 2008, 'Significant disease burden in paroxysmal nocturnal haemoglobinuria (PNH) patients with lower levels of haemolysis, mild anaemia and minimal transfusion: clinical improvement with eculizumab therapy', </w:t>
      </w:r>
      <w:r w:rsidRPr="00713C14">
        <w:rPr>
          <w:i/>
          <w:iCs/>
        </w:rPr>
        <w:t>British Journal of Haematology</w:t>
      </w:r>
      <w:r w:rsidRPr="00713C14">
        <w:t>, vol. 141, Apr, pp. 66-67.</w:t>
      </w:r>
    </w:p>
    <w:p w:rsidR="00092F60" w:rsidRPr="00713C14" w:rsidRDefault="00092F60" w:rsidP="00092F60">
      <w:r w:rsidRPr="00713C14">
        <w:t xml:space="preserve">Hill, A, Kelly, R, Kulasekararaj, A, Gandhi, S, Mitchell, L, Elebute, M, Richards, S, Cullen, M, Arnold, L, Large, J, Wood, A, Downing, T, McKinley, C, Brooksbank, G, Cohen, D, Gregory, W, Marsh, J, Mufti, G &amp; Hillmen, P 2013, 'Eculizumab in paroxysmal nocturnal haemoglobinuria (PNH): a report of all 153 patients treated in the UK', </w:t>
      </w:r>
      <w:r w:rsidRPr="00713C14">
        <w:rPr>
          <w:i/>
          <w:iCs/>
        </w:rPr>
        <w:t>British Journal of Haematology</w:t>
      </w:r>
      <w:r w:rsidRPr="00713C14">
        <w:t>, vol. 161, Apr, pp. 3-4.</w:t>
      </w:r>
    </w:p>
    <w:p w:rsidR="00092F60" w:rsidRPr="00713C14" w:rsidRDefault="00092F60" w:rsidP="00092F60">
      <w:r w:rsidRPr="00713C14">
        <w:t xml:space="preserve">Hill, A, Kelly, RJ, Kulasekararaj, AG, Gandhi, SA, Mitchell, LD, Elebute, M, Richards, SJ, Cullen, M, Arnold, LM, Large, J, Wood, A, Brooksbank, GL, Downing, T, McKinley, C, Cohen, D, Gregory, WM, Marsh, JCW, Mufti, GJ &amp; Hillmen, P 2012, 'Eculizumab in paroxysmal nocturnal hemoglobinuria (PNH): A report of all 153 patients treated in the UK', </w:t>
      </w:r>
      <w:r w:rsidRPr="00713C14">
        <w:rPr>
          <w:i/>
          <w:iCs/>
        </w:rPr>
        <w:t>Blood</w:t>
      </w:r>
      <w:r w:rsidRPr="00713C14">
        <w:t>, vol. 120, no. 21.</w:t>
      </w:r>
    </w:p>
    <w:p w:rsidR="00092F60" w:rsidRPr="00713C14" w:rsidRDefault="00092F60" w:rsidP="00092F60">
      <w:r w:rsidRPr="00713C14">
        <w:t xml:space="preserve">Hill, A, Muus, P, Duhrsen, U, Socie, G, Risitano, A, De Paz, R, Van den Neste, E, Zanella, A, Lai, JS, Hillmen, P, Rother, R &amp; Cella, D 2008, 'IMPROVEMENT IN FATIGUE WITH ECULIZUMAB TREATMENT OF PATIENTS WITH PAROXYSMAL NOCTURNAL HEMOGLOBINURIA (PNH) OCCURS INDEPENDENT OF CHANGES IN ANEMIA', </w:t>
      </w:r>
      <w:r w:rsidRPr="00713C14">
        <w:rPr>
          <w:i/>
          <w:iCs/>
        </w:rPr>
        <w:t>Haematologica-the Hematology Journal</w:t>
      </w:r>
      <w:r w:rsidRPr="00713C14">
        <w:t>, vol. 93, Jun, pp. 359-359.</w:t>
      </w:r>
    </w:p>
    <w:p w:rsidR="00092F60" w:rsidRPr="00713C14" w:rsidRDefault="00092F60" w:rsidP="00092F60">
      <w:r w:rsidRPr="00713C14">
        <w:t xml:space="preserve">Hill, A, Rother, R, Wang, X, Sapsford, R, Collinson, P, Gaze, D, Morris, S, Scally, A, Quinn-Senger, K, Richards, S, Bessler, M, Kelly, R, Hillmen, P &amp; Galdwin, M 2009, 'Eculizumab reduces pulmonary hypertension through inhibition of haemolysis-associated nitric oxide consumption in patients with Paroxysmal nocturnal haemoglobinuria', </w:t>
      </w:r>
      <w:r w:rsidRPr="00713C14">
        <w:rPr>
          <w:i/>
          <w:iCs/>
        </w:rPr>
        <w:t>Haematologica</w:t>
      </w:r>
      <w:r w:rsidRPr="00713C14">
        <w:t>, vol. 94, p. 450.</w:t>
      </w:r>
    </w:p>
    <w:p w:rsidR="00092F60" w:rsidRPr="00713C14" w:rsidRDefault="00092F60" w:rsidP="00092F60">
      <w:r w:rsidRPr="00713C14">
        <w:t xml:space="preserve">Hill, A, Rother, RP, Risitano, AM, Cole, DS, Cullen, MJ, Richards, SJ, Selleri, C, Ricci, P, Rotoli, B, Luzzatto, L &amp; Hillmen, P 2006, 'Blockade of Intravascular Hemolysis in PNH with the Terminal Complement Inhibitor Eculizumab Unmasks Low-Level Hemolysis Potentially Occurring through C3 Opsonization', </w:t>
      </w:r>
      <w:r w:rsidRPr="00713C14">
        <w:rPr>
          <w:i/>
          <w:iCs/>
        </w:rPr>
        <w:t>ASH Annual Meeting Abstracts</w:t>
      </w:r>
      <w:r w:rsidRPr="00713C14">
        <w:t>, vol. 108, no. 11, November 16, 2006, pp. 972-.</w:t>
      </w:r>
    </w:p>
    <w:p w:rsidR="00092F60" w:rsidRPr="00713C14" w:rsidRDefault="00092F60" w:rsidP="00092F60">
      <w:r w:rsidRPr="00713C14">
        <w:lastRenderedPageBreak/>
        <w:t xml:space="preserve">Hill, A, Socie, G, Muus, P, Schrezenmeier, H, Hochsmann, B, Maciejewski, J, Weitz, IC, Bessler, M &amp; Risitano, AM 2010, 'Terminal complement inhibitor eculizumab improves complement-mediated platelet consumption and thrombocytopenia in patients with Paroxysmal Nocturnal Hemoglobinuria (PNH)', </w:t>
      </w:r>
      <w:r w:rsidRPr="00713C14">
        <w:rPr>
          <w:i/>
          <w:iCs/>
        </w:rPr>
        <w:t>British Journal of Haematology</w:t>
      </w:r>
      <w:r w:rsidRPr="00713C14">
        <w:t>, vol. 149, p. 10.</w:t>
      </w:r>
    </w:p>
    <w:p w:rsidR="00092F60" w:rsidRPr="00713C14" w:rsidRDefault="00092F60" w:rsidP="00092F60">
      <w:r w:rsidRPr="00713C14">
        <w:t xml:space="preserve">Hochsmann, B, Von Zabern, I, Leichtle, R, Kaiser, S, Flegel, WA &amp; Schrezenmeier, H 2010, 'Paroxysmal Nocturnal Hemoglobinuria (PNH) and targeted therapy with C5 antibody eculizumab-consequences for transfusion medicine', </w:t>
      </w:r>
      <w:r w:rsidRPr="00713C14">
        <w:rPr>
          <w:i/>
          <w:iCs/>
        </w:rPr>
        <w:t>Vox Sanguinis</w:t>
      </w:r>
      <w:r w:rsidRPr="00713C14">
        <w:t>, vol. 99, no. supp 1, pp. 373-374.</w:t>
      </w:r>
    </w:p>
    <w:p w:rsidR="00092F60" w:rsidRPr="00713C14" w:rsidRDefault="00092F60" w:rsidP="00092F60">
      <w:r w:rsidRPr="00713C14">
        <w:t xml:space="preserve">Hochsmann, B, Von Zabern, I, Leichtle, R &amp; Schrezenmeier, H 2010, 'Development of Ferritin levels during therapy with C5 antibody eculicumab in paroxysmal nocturnal hemoglobinuria (PNH)', </w:t>
      </w:r>
      <w:r w:rsidRPr="00713C14">
        <w:rPr>
          <w:i/>
          <w:iCs/>
        </w:rPr>
        <w:t>Onkologie</w:t>
      </w:r>
      <w:r w:rsidRPr="00713C14">
        <w:t>, vol. 33, no. 6, pp. 113-114.</w:t>
      </w:r>
    </w:p>
    <w:p w:rsidR="00092F60" w:rsidRPr="00713C14" w:rsidRDefault="00092F60" w:rsidP="00092F60">
      <w:r w:rsidRPr="00713C14">
        <w:t xml:space="preserve">Kulasekararaj, AG, Odunsi, D, Krishnamurthy, P, Janet, H, Momoh, I, Mufti, GJ, Marsh, JCW &amp; Elebute, M 2010, 'Low level residual extravascular haemolysis is commom following eculizumab treatment in paroxysmal nocturnal haemoglobinuria(PNH), but does not affect transfusion requirement', </w:t>
      </w:r>
      <w:r w:rsidRPr="00713C14">
        <w:rPr>
          <w:i/>
          <w:iCs/>
        </w:rPr>
        <w:t>Blood</w:t>
      </w:r>
      <w:r w:rsidRPr="00713C14">
        <w:t>, vol. 116, no. 21.</w:t>
      </w:r>
    </w:p>
    <w:p w:rsidR="00092F60" w:rsidRPr="00713C14" w:rsidRDefault="00092F60" w:rsidP="00092F60">
      <w:r w:rsidRPr="00713C14">
        <w:t xml:space="preserve">Lisukov, I, Kulagin, A, Maschan, A, Shilova, E, Abdulkadyrov, K, Zaritskiy, A, Ivanova, V, Bogdanova, Y, Volkova, S, Gavrilenko, A, Kaporskaya, TS, Meresiy, S, Schneider, T, Yakupova, S, Anchukova, L, Bakirov, B, Kosacheva, N, Krinitsina, T, Ustyantseva, V, Shatokhin, Y, Rumyantsev, A &amp; Afanasyev, B 2013, 'Data from the Russian cohort of the international disease registry for paroxysmal nocturnal hemoglobinuria (PNH)', </w:t>
      </w:r>
      <w:r w:rsidRPr="00713C14">
        <w:rPr>
          <w:i/>
          <w:iCs/>
        </w:rPr>
        <w:t>Blood</w:t>
      </w:r>
      <w:r w:rsidRPr="00713C14">
        <w:t>, vol. 122, no. 21.</w:t>
      </w:r>
    </w:p>
    <w:p w:rsidR="00092F60" w:rsidRPr="00713C14" w:rsidRDefault="00092F60" w:rsidP="00092F60">
      <w:r w:rsidRPr="00713C14">
        <w:t xml:space="preserve">Marando, L, Seneca, E, Ranaldi, D, Alfinito, F, Lucia Ferrara, IL, Pulini, S, La Barba, G, Fabbiano, F, Marino, A, Capalbo, S, Fenu, S, Carella, AM, Iori, AP, Notaro, R, Risitano, AM &amp; Rotoli, B 2009, 'Beyond eculizumab (EC): Can we improve the hematological response in paroxysmal nocturnal hemoglobinuria (PNH) patients? What, to whom and why', </w:t>
      </w:r>
      <w:r w:rsidRPr="00713C14">
        <w:rPr>
          <w:i/>
          <w:iCs/>
        </w:rPr>
        <w:t>Haematologica</w:t>
      </w:r>
      <w:r w:rsidRPr="00713C14">
        <w:t>, vol. 94, p. 134.</w:t>
      </w:r>
    </w:p>
    <w:p w:rsidR="00092F60" w:rsidRPr="00713C14" w:rsidRDefault="00092F60" w:rsidP="00092F60">
      <w:r w:rsidRPr="00713C14">
        <w:t xml:space="preserve">Mojik CF, YN, Luzzatto L, Socie G, Hillmen P, Brodsky RA 2007, 'Safety and efficacy of eculizumab with conomitant erythropoietin therapy in patients with paroxysmal nocturnal hemoglobinuria (PNH)', </w:t>
      </w:r>
      <w:r w:rsidRPr="00713C14">
        <w:rPr>
          <w:i/>
          <w:iCs/>
        </w:rPr>
        <w:t>Am Soc Clin Onc</w:t>
      </w:r>
      <w:r w:rsidRPr="00713C14">
        <w:t>, vol. 25, no. 18.</w:t>
      </w:r>
    </w:p>
    <w:p w:rsidR="00092F60" w:rsidRPr="00713C14" w:rsidRDefault="00092F60" w:rsidP="00092F60">
      <w:r w:rsidRPr="00713C14">
        <w:t xml:space="preserve">Munoz-Linares, C, Pastrana, M, Ojeda, E, Fores, R, Cabero, M, Morillo, D, Bautista, G, Navarro, B, Krsnik, I, Gil, S, Regidor, C, De LaIglesia, A, Bueno, JL, Garcia-Marco, JA &amp; Cabrera, JR 2013, 'Paroxysmal nocturnal hemoglobinuria and thrombosis before and after eculizumab', </w:t>
      </w:r>
      <w:r w:rsidRPr="00713C14">
        <w:rPr>
          <w:i/>
          <w:iCs/>
        </w:rPr>
        <w:t>Blood</w:t>
      </w:r>
      <w:r w:rsidRPr="00713C14">
        <w:t>, vol. 122, no. 21.</w:t>
      </w:r>
    </w:p>
    <w:p w:rsidR="00092F60" w:rsidRPr="00713C14" w:rsidRDefault="00092F60" w:rsidP="00092F60">
      <w:r w:rsidRPr="00713C14">
        <w:t xml:space="preserve">Muus, P, Duhrsen, U, Elebute, M, Browne, P, Urbano-Ispizua, A, Coutre, S, Van Den Neste, E, De Paz, R, Konkle, B, Moskovits, T, Nakamura, R, Zanella, A, Hillmen, P, Rother, RP &amp; Soci, G 2007, 'The clinical benefit of eculizumab is demonstrable in all subpopulations of patients with paroxysmal nocturnal hemoglobinuria (PNH) with hemolysis', </w:t>
      </w:r>
      <w:r w:rsidRPr="00713C14">
        <w:rPr>
          <w:i/>
          <w:iCs/>
        </w:rPr>
        <w:t>Haematologica-the Hematology Journal</w:t>
      </w:r>
      <w:r w:rsidRPr="00713C14">
        <w:t>, vol. 92, Jun, pp. 137-138.</w:t>
      </w:r>
    </w:p>
    <w:p w:rsidR="00092F60" w:rsidRPr="00713C14" w:rsidRDefault="00092F60" w:rsidP="00092F60">
      <w:r w:rsidRPr="00713C14">
        <w:lastRenderedPageBreak/>
        <w:t xml:space="preserve">Muus, P, Luzzatto, L, Rotoli, B, Young, NS, Schubert, J, Urbano-Ispizua, A, Coyle, L, DeCastro, C, Fu, CL, Maciejewski, JP, Kroon, HA, Rother, RP, Hillmen, P &amp; Schrezenmeier, H 2007, 'OP04 Safety and efficacy of the terminal complement inhibitor eculizumab in patients with paroxysmal nocturnal hemoglobinuria: Shepherd Phase III clinical study results', </w:t>
      </w:r>
      <w:r w:rsidRPr="00713C14">
        <w:rPr>
          <w:i/>
          <w:iCs/>
        </w:rPr>
        <w:t>Leukemia Research</w:t>
      </w:r>
      <w:r w:rsidRPr="00713C14">
        <w:t>, vol. 31, Supplement 2, no. 0, 9//, pp. S32-S33.</w:t>
      </w:r>
    </w:p>
    <w:p w:rsidR="00092F60" w:rsidRPr="00713C14" w:rsidRDefault="00092F60" w:rsidP="00092F60">
      <w:r w:rsidRPr="00713C14">
        <w:t xml:space="preserve">Reiss, UM, Schwartz, J, Sakamoto, KM, Puthenveetil, G, Ogawa, M &amp; Ware, RE 2011, 'Efficacy and safety of eculizumab in children and adolescents with paroxysmal nocturnal hemoglobinuria', </w:t>
      </w:r>
      <w:r w:rsidRPr="00713C14">
        <w:rPr>
          <w:i/>
          <w:iCs/>
        </w:rPr>
        <w:t>Blood</w:t>
      </w:r>
      <w:r w:rsidRPr="00713C14">
        <w:t>, vol. 118, no. 21.</w:t>
      </w:r>
    </w:p>
    <w:p w:rsidR="00092F60" w:rsidRPr="00713C14" w:rsidRDefault="00092F60" w:rsidP="00092F60">
      <w:r w:rsidRPr="00713C14">
        <w:t xml:space="preserve">Risitano, A, Alfinito, F, Seneca, E, Marando, L, Boschetti, C, Bonfigli, S, Fenu, S, Re, F, Gosetti, G, Khursigara, G, Rother, R, Zanella, A &amp; Rotoli, B 2009, 'Efficacy of the complement inhibitor eculizumab in paroxysmal nocturnal hemoglobinuria patients never transfused', </w:t>
      </w:r>
      <w:r w:rsidRPr="00713C14">
        <w:rPr>
          <w:i/>
          <w:iCs/>
        </w:rPr>
        <w:t>Haematologica</w:t>
      </w:r>
      <w:r w:rsidRPr="00713C14">
        <w:t>, vol. 94, p. 237.</w:t>
      </w:r>
    </w:p>
    <w:p w:rsidR="00092F60" w:rsidRPr="00713C14" w:rsidRDefault="00092F60" w:rsidP="00092F60">
      <w:r w:rsidRPr="00713C14">
        <w:t xml:space="preserve">Risitano, AM, Seneca, E, Marando, L, Imbriaco, M, Soscia, E, Soscia, F, Micol Pizzuti, L, Malcovati, L, Fenu, S, Paola Iori, A, Notaro, R, Matarazzo, M &amp; Rotoli, B 2009, 'From renal siderosis due to perpetual hemosiderinuria to possible liver overload due to extravascular hemolysis: Changes in iron metabolism in paroxysmal nocturnal hemoglobinuria (PNH) patients on eculizumab', </w:t>
      </w:r>
      <w:r w:rsidRPr="00713C14">
        <w:rPr>
          <w:i/>
          <w:iCs/>
        </w:rPr>
        <w:t>Blood</w:t>
      </w:r>
      <w:r w:rsidRPr="00713C14">
        <w:t>, vol. 114, no. 22.</w:t>
      </w:r>
    </w:p>
    <w:p w:rsidR="00092F60" w:rsidRPr="00713C14" w:rsidRDefault="00092F60" w:rsidP="00092F60">
      <w:r w:rsidRPr="00713C14">
        <w:t xml:space="preserve">Risitano, AM, Seneca, E, Marando, L, Imbriaco, M, Soscia, E, Soscia, F, Pizzuti, LM, Malcovati, L, Iori, AP, Notaro, R, Matarazzo, M &amp; Rotoli, B 2009, 'Iron metabolism in paroxysmal nocturnal hemoglobinuria (PNH) patients on eculizumab: From perpetual hemosiderinuria and renal siderosis to possible liver overload due to extravascular hemolysis', </w:t>
      </w:r>
      <w:r w:rsidRPr="00713C14">
        <w:rPr>
          <w:i/>
          <w:iCs/>
        </w:rPr>
        <w:t>Haematologica</w:t>
      </w:r>
      <w:r w:rsidRPr="00713C14">
        <w:t>, vol. 94, pp. 35-36.</w:t>
      </w:r>
    </w:p>
    <w:p w:rsidR="00092F60" w:rsidRPr="00713C14" w:rsidRDefault="00092F60" w:rsidP="00092F60">
      <w:r w:rsidRPr="00713C14">
        <w:t xml:space="preserve">Roeth, A, Schubert, J, Hock, C, Christoph, S &amp; Duehrsen, U 2008, 'Effect of Reducing Intravascular Hemolysis on Ferritin Homeostasis in Eculizumab Treated Paroxysmal Nocturnal Hemoglobinuria (PNH) Patients', </w:t>
      </w:r>
      <w:r w:rsidRPr="00713C14">
        <w:rPr>
          <w:i/>
          <w:iCs/>
        </w:rPr>
        <w:t>ASH Annual Meeting Abstracts</w:t>
      </w:r>
      <w:r w:rsidRPr="00713C14">
        <w:t>, vol. 112, no. 11, November 16, 2008, pp. 3437-.</w:t>
      </w:r>
    </w:p>
    <w:p w:rsidR="00092F60" w:rsidRPr="00713C14" w:rsidRDefault="00092F60" w:rsidP="00092F60">
      <w:r w:rsidRPr="00713C14">
        <w:t xml:space="preserve">Rondelli, T, Risitano, AM, De Latour, RP, Peruzzi, B, Patrizia, R, Barcellini, W, Iori, AP, Boschetti, C, Valle, V, Fremeaux-Bacchi, V, De Angioletti, M, Socie, G, Luzzatto, L &amp; Notaro, R 2012, 'Genetic polymorphism of the complement receptor-1 (CR1) gene correlates with the clinical response to eculizumab of patients with paroxysmal nocturnal hemoglobinuria (PNH)', </w:t>
      </w:r>
      <w:r w:rsidRPr="00713C14">
        <w:rPr>
          <w:i/>
          <w:iCs/>
        </w:rPr>
        <w:t>Blood</w:t>
      </w:r>
      <w:r w:rsidRPr="00713C14">
        <w:t>, vol. 120, no. 21.</w:t>
      </w:r>
    </w:p>
    <w:p w:rsidR="00092F60" w:rsidRPr="00713C14" w:rsidRDefault="00092F60" w:rsidP="00092F60">
      <w:r w:rsidRPr="00713C14">
        <w:t xml:space="preserve">Roth, A, Hock, C, Tokareva, O, Konik, A &amp; Duhrsen, U 2011, 'Role of bone marrow failure in paroxysmal nocturnalhemoglobinuria (PNH) patients chronically treated withEculizumab', </w:t>
      </w:r>
      <w:r w:rsidRPr="00713C14">
        <w:rPr>
          <w:i/>
          <w:iCs/>
        </w:rPr>
        <w:t>Onkologie</w:t>
      </w:r>
      <w:r w:rsidRPr="00713C14">
        <w:t>, vol. 34, p. 115.</w:t>
      </w:r>
    </w:p>
    <w:p w:rsidR="00092F60" w:rsidRPr="00713C14" w:rsidRDefault="00092F60" w:rsidP="00092F60">
      <w:r w:rsidRPr="00713C14">
        <w:t xml:space="preserve">Rother, RP, Hall, C, Marsh, J, Elebute, D, Mojcik, CF, Rollins, SA, Richards, S, Cullen, M &amp; Hillmen, P 2003, 'Eculizumab, a C5 complement-blocking antibody, abolishes hemolysis and reduces transfusion dependency in patients with paroxysmal nocturnal hemoglobinuria (PNH)', </w:t>
      </w:r>
      <w:r w:rsidRPr="00713C14">
        <w:rPr>
          <w:i/>
          <w:iCs/>
        </w:rPr>
        <w:t>Molecular Immunology</w:t>
      </w:r>
      <w:r w:rsidRPr="00713C14">
        <w:t>, vol. 40, no. 2-4, Sep, pp. 197-197.</w:t>
      </w:r>
    </w:p>
    <w:p w:rsidR="00092F60" w:rsidRPr="00713C14" w:rsidRDefault="00092F60" w:rsidP="00092F60">
      <w:r w:rsidRPr="00713C14">
        <w:lastRenderedPageBreak/>
        <w:t xml:space="preserve">Schrezenmeier, H, Schubert, J, Luzzatto, L, Muus, P, Socie, G, Risitano, AM, Hill, A &amp; Hillmen, P 2009, 'Effects of eculizumab therapy in patients with paroxysmal nocturnal hemoglobinuria (PNH) receiving concurrent immunosuppressive therapy for bone marrow insufficiency', </w:t>
      </w:r>
      <w:r w:rsidRPr="00713C14">
        <w:rPr>
          <w:i/>
          <w:iCs/>
        </w:rPr>
        <w:t>Blood</w:t>
      </w:r>
      <w:r w:rsidRPr="00713C14">
        <w:t>, vol. 114, no. 22.</w:t>
      </w:r>
    </w:p>
    <w:p w:rsidR="00092F60" w:rsidRPr="00713C14" w:rsidRDefault="00092F60" w:rsidP="00092F60">
      <w:proofErr w:type="gramStart"/>
      <w:r w:rsidRPr="00713C14">
        <w:t>Schubert, J 2009, 'Blockade of terminal complement cascade.</w:t>
      </w:r>
      <w:proofErr w:type="gramEnd"/>
      <w:r w:rsidRPr="00713C14">
        <w:t xml:space="preserve"> </w:t>
      </w:r>
      <w:proofErr w:type="gramStart"/>
      <w:r w:rsidRPr="00713C14">
        <w:t xml:space="preserve">Clinical effects of eculizumab in patients with paroxysmal nocturnal haemoglobinuria (PNH)', </w:t>
      </w:r>
      <w:r w:rsidRPr="00713C14">
        <w:rPr>
          <w:i/>
          <w:iCs/>
        </w:rPr>
        <w:t>European Journal of Immunology</w:t>
      </w:r>
      <w:r w:rsidRPr="00713C14">
        <w:t>, vol. 39, p. S293.</w:t>
      </w:r>
      <w:proofErr w:type="gramEnd"/>
    </w:p>
    <w:p w:rsidR="00092F60" w:rsidRPr="00713C14" w:rsidRDefault="00092F60" w:rsidP="00092F60">
      <w:r w:rsidRPr="00713C14">
        <w:t xml:space="preserve">Seneca, E, Marando, L, Alfinito, F, Cerciello, G, Boschetti, C, Bonfigli, S, Fenu, S, Re, F, Gosetti, G, Khursigara, G, Rother, R, Zanella, A, Risitano, AM &amp; Rotoli, B 2009, 'Clinical benefit from eculizumab in paroxysmal nocturnal hemoglobinuria patients (PNH) who have not received previous transfusions', </w:t>
      </w:r>
      <w:r w:rsidRPr="00713C14">
        <w:rPr>
          <w:i/>
          <w:iCs/>
        </w:rPr>
        <w:t>Haematologica</w:t>
      </w:r>
      <w:r w:rsidRPr="00713C14">
        <w:t>, vol. 94, p. 134.</w:t>
      </w:r>
    </w:p>
    <w:p w:rsidR="00092F60" w:rsidRPr="00713C14" w:rsidRDefault="00092F60" w:rsidP="00092F60">
      <w:proofErr w:type="gramStart"/>
      <w:r w:rsidRPr="00713C14">
        <w:t xml:space="preserve">Socie, G, Muus, P, Schrezenmeier, H, Hochsmann, B, Maciejewski, JP, Weitz, IC, Hill, A, Bessler, M &amp; Risitano, AM 2009, 'Terminal complement inhibitor eculizumab improves complement-mediated platelet consumption and thrombocytopenia in patients with paroxysmal nocturnal hemoglobinuria (PNH)', </w:t>
      </w:r>
      <w:r w:rsidRPr="00713C14">
        <w:rPr>
          <w:i/>
          <w:iCs/>
        </w:rPr>
        <w:t>Blood</w:t>
      </w:r>
      <w:r w:rsidRPr="00713C14">
        <w:t>, vol. 114, no. 22.</w:t>
      </w:r>
      <w:proofErr w:type="gramEnd"/>
    </w:p>
    <w:p w:rsidR="00092F60" w:rsidRPr="00713C14" w:rsidRDefault="00092F60" w:rsidP="00092F60">
      <w:r w:rsidRPr="00713C14">
        <w:t xml:space="preserve">Socie, G, Schrezenmeier, H, Muus, P, Szer, J, Urbano-Ispizua, A, Maciejewski, JP, Brodsky, RA, Bessler, M, Kanakura, Y, Rosse, WF, Khursigara, G, Bedrosian, CL &amp; Hillmen, P 2012, 'Eculizumab protects against te and prolongs survival in patients with paroxysmal nocturnal hemoglobinuria: An international PNH registry study', </w:t>
      </w:r>
      <w:r w:rsidRPr="00713C14">
        <w:rPr>
          <w:i/>
          <w:iCs/>
        </w:rPr>
        <w:t>Blood</w:t>
      </w:r>
      <w:r w:rsidRPr="00713C14">
        <w:t>, vol. 120, no. 21.</w:t>
      </w:r>
    </w:p>
    <w:p w:rsidR="00092F60" w:rsidRPr="00713C14" w:rsidRDefault="00092F60" w:rsidP="00092F60">
      <w:r w:rsidRPr="00713C14">
        <w:t xml:space="preserve">Usuki, K, Urabe, A, Kawaguchi, T, Miyasaka, N, Miura, O, Morishita, E, Arima, N, Morita, Y, Nishiwaki, K, Ninomiya, H, Gotoh, A, Imashuku, S, Shichishima, T, Nishimura, JI &amp; Kanakura, Y 2013, 'Management of pregnancy in Paroxysmal Nocturnal Hemoglobinuria (PNH): A report of 10 cases from the working group on pregnancy of the Japan PNH study group', </w:t>
      </w:r>
      <w:r w:rsidRPr="00713C14">
        <w:rPr>
          <w:i/>
          <w:iCs/>
        </w:rPr>
        <w:t>Blood</w:t>
      </w:r>
      <w:r w:rsidRPr="00713C14">
        <w:t>, vol. 122, no. 21.</w:t>
      </w:r>
    </w:p>
    <w:p w:rsidR="00092F60" w:rsidRPr="00713C14" w:rsidRDefault="00092F60" w:rsidP="00092F60">
      <w:r w:rsidRPr="00713C14">
        <w:t xml:space="preserve">Waldner, B 2009, 'Eculizumab (Soliris (R)): a promising treatment of haemolytic anaemia in paroxysmal nocturnal haemoglobinuria', </w:t>
      </w:r>
      <w:r w:rsidRPr="00713C14">
        <w:rPr>
          <w:i/>
          <w:iCs/>
        </w:rPr>
        <w:t>Bone Marrow Transplantation</w:t>
      </w:r>
      <w:r w:rsidRPr="00713C14">
        <w:t>, vol. 43, Mar, pp. S362-S362.</w:t>
      </w:r>
    </w:p>
    <w:p w:rsidR="00092F60" w:rsidRPr="00713C14" w:rsidRDefault="00092F60" w:rsidP="00092F60">
      <w:proofErr w:type="gramStart"/>
      <w:r w:rsidRPr="00713C14">
        <w:t xml:space="preserve">Weitz, I, Rochanda, L &amp; Liebman, H 2009, 'Effect of eculizimab therapy on thrombocytopenia in patients with Paroxysmal nocturnal hemoglobinuria', </w:t>
      </w:r>
      <w:r w:rsidRPr="00713C14">
        <w:rPr>
          <w:i/>
          <w:iCs/>
        </w:rPr>
        <w:t>Haematologica</w:t>
      </w:r>
      <w:r w:rsidRPr="00713C14">
        <w:t>, vol. 94, p. 238.</w:t>
      </w:r>
      <w:proofErr w:type="gramEnd"/>
    </w:p>
    <w:p w:rsidR="00092F60" w:rsidRPr="00713C14" w:rsidRDefault="00092F60" w:rsidP="00092F60">
      <w:r w:rsidRPr="00713C14">
        <w:t xml:space="preserve">Weitz, IC, Ghods, M, Rochanda, L, Prazavi, P, Zwicker, J, Furie, B &amp; Liebman, H 2008, 'Eculizumab Therapy Results in Rapid and Sustained Decreases in Markers of Thrombin Generation and Inflammation in Patients with PNH', </w:t>
      </w:r>
      <w:r w:rsidRPr="00713C14">
        <w:rPr>
          <w:i/>
          <w:iCs/>
        </w:rPr>
        <w:t>ASH Annual Meeting Abstracts</w:t>
      </w:r>
      <w:r w:rsidRPr="00713C14">
        <w:t>, vol. 112, no. 11, November 16, 2008, pp. 407-.</w:t>
      </w:r>
    </w:p>
    <w:p w:rsidR="00092F60" w:rsidRDefault="00092F60" w:rsidP="00092F60"/>
    <w:p w:rsidR="00092F60" w:rsidRDefault="00092F60" w:rsidP="00E965BD">
      <w:pPr>
        <w:pStyle w:val="Heading3"/>
      </w:pPr>
      <w:r>
        <w:lastRenderedPageBreak/>
        <w:t>Case series</w:t>
      </w:r>
    </w:p>
    <w:p w:rsidR="00092F60" w:rsidRPr="00F8567B" w:rsidRDefault="00092F60" w:rsidP="00092F60">
      <w:proofErr w:type="gramStart"/>
      <w:r w:rsidRPr="00F8567B">
        <w:t xml:space="preserve">DeZern, AE, Dorr, D &amp; Brodsky, RA 2013, 'Predictors of hemoglobin response to eculizumab therapy in paroxysmal nocturnal hemoglobinuria', </w:t>
      </w:r>
      <w:r w:rsidRPr="00F8567B">
        <w:rPr>
          <w:i/>
          <w:iCs/>
        </w:rPr>
        <w:t>Eur J Haematol</w:t>
      </w:r>
      <w:r w:rsidRPr="00F8567B">
        <w:t>, vol. 90, no. 1, Jan, pp. 16-24.</w:t>
      </w:r>
      <w:proofErr w:type="gramEnd"/>
    </w:p>
    <w:p w:rsidR="00092F60" w:rsidRPr="00F8567B" w:rsidRDefault="00092F60" w:rsidP="00092F60">
      <w:r w:rsidRPr="00F8567B">
        <w:t xml:space="preserve">Hill, A, Hillmen, P, Richards, SJ, Elebute, D, Marsh, JC, Chan, J, Mojcik, CF &amp; Rother, RP 2005, 'Sustained response and long-term safety of eculizumab in paroxysmal nocturnal hemoglobinuria', </w:t>
      </w:r>
      <w:r w:rsidRPr="00F8567B">
        <w:rPr>
          <w:i/>
          <w:iCs/>
        </w:rPr>
        <w:t>Blood</w:t>
      </w:r>
      <w:r w:rsidRPr="00F8567B">
        <w:t>, vol. 106, no. 7, Oct 1, pp. 2559-2565.</w:t>
      </w:r>
    </w:p>
    <w:p w:rsidR="00092F60" w:rsidRPr="00F8567B" w:rsidRDefault="00092F60" w:rsidP="00092F60">
      <w:r w:rsidRPr="00F8567B">
        <w:t xml:space="preserve">Hillmen, P, Hall, C, Marsh, JC, Elebute, M, Bombara, MP, Petro, BE, Cullen, MJ, Richards, SJ, Rollins, SA, Mojcik, CF &amp; Rother, RP 2004, 'Effect of eculizumab on hemolysis and transfusion requirements in patients with paroxysmal nocturnal hemoglobinuria', </w:t>
      </w:r>
      <w:r w:rsidRPr="00F8567B">
        <w:rPr>
          <w:i/>
          <w:iCs/>
        </w:rPr>
        <w:t>N Engl J Med</w:t>
      </w:r>
      <w:r w:rsidRPr="00F8567B">
        <w:t>, vol. 350, no. 6, Feb 5, pp. 552-559.</w:t>
      </w:r>
    </w:p>
    <w:p w:rsidR="00092F60" w:rsidRPr="00F8567B" w:rsidRDefault="00092F60" w:rsidP="00092F60">
      <w:r w:rsidRPr="00F8567B">
        <w:t xml:space="preserve">Hochsmann, B, Leichtle, R, von Zabern, I, Kaiser, S, Flegel, WA &amp; Schrezenmeier, H 2012, 'Paroxysmal nocturnal haemoglobinuria treatment with eculizumab is associated with a positive direct antiglobulin test', </w:t>
      </w:r>
      <w:r w:rsidRPr="00F8567B">
        <w:rPr>
          <w:i/>
          <w:iCs/>
        </w:rPr>
        <w:t>Vox Sang</w:t>
      </w:r>
      <w:r w:rsidRPr="00F8567B">
        <w:t>, vol. 102, no. 2, Feb, pp. 159-166.</w:t>
      </w:r>
    </w:p>
    <w:p w:rsidR="00092F60" w:rsidRPr="00F8567B" w:rsidRDefault="00092F60" w:rsidP="00092F60">
      <w:r w:rsidRPr="00F8567B">
        <w:t xml:space="preserve">Kanakura, Y, Ohyashiki, K, Shichishima, T, Okamoto, S, Ando, K, Ninomiya, H, Kawaguchi, T, Nakao, S, Nakakuma, H, Nishimura, J, Kinoshita, T, Bedrosian, CL, Ozawa, K &amp; Omine, M 2013, 'Long-term efficacy and safety of eculizumab in Japanese patients with PNH: AEGIS trial', </w:t>
      </w:r>
      <w:r w:rsidRPr="00F8567B">
        <w:rPr>
          <w:i/>
          <w:iCs/>
        </w:rPr>
        <w:t>Int J Hematol</w:t>
      </w:r>
      <w:r w:rsidRPr="00F8567B">
        <w:t>, vol. 98, no. 4, Oct, pp. 406-416.</w:t>
      </w:r>
    </w:p>
    <w:p w:rsidR="00092F60" w:rsidRPr="00F8567B" w:rsidRDefault="00092F60" w:rsidP="00092F60">
      <w:r w:rsidRPr="00F8567B">
        <w:t xml:space="preserve">Kanakura, Y, Ohyashiki, K, Shichishima, T, Okamoto, S, Ando, K, Ninomiya, H, Kawaguchi, T, Nakao, S, Nakakuma, H, Nishimura, J, Kinoshita, T, Bedrosian, CL, Valentine, ME, Khursigara, G, Ozawa, K &amp; Omine, M 2011, 'Safety and efficacy of the terminal complement inhibitor eculizumab in Japanese patients with paroxysmal nocturnal hemoglobinuria: the AEGIS clinical trial', </w:t>
      </w:r>
      <w:r w:rsidRPr="00F8567B">
        <w:rPr>
          <w:i/>
          <w:iCs/>
        </w:rPr>
        <w:t>Int J Hematol</w:t>
      </w:r>
      <w:r w:rsidRPr="00F8567B">
        <w:t>, vol. 93, no. 1, Jan, pp. 36-46.</w:t>
      </w:r>
    </w:p>
    <w:p w:rsidR="00092F60" w:rsidRPr="00F8567B" w:rsidRDefault="00092F60" w:rsidP="00092F60">
      <w:r w:rsidRPr="00F8567B">
        <w:t xml:space="preserve">Kim, JS, Lee, JW, Kim, BK, Lee, JH &amp; Chung, J 2010, 'The use of the complement inhibitor eculizumab (Soliris(R)) for treating Korean patients with paroxysmal nocturnal hemoglobinuria', </w:t>
      </w:r>
      <w:r w:rsidRPr="00F8567B">
        <w:rPr>
          <w:i/>
          <w:iCs/>
        </w:rPr>
        <w:t>Korean J Hematol</w:t>
      </w:r>
      <w:r w:rsidRPr="00F8567B">
        <w:t>, vol. 45, no. 4, Dec, pp. 269-274.</w:t>
      </w:r>
    </w:p>
    <w:p w:rsidR="00092F60" w:rsidRPr="00F8567B" w:rsidRDefault="00092F60" w:rsidP="00092F60">
      <w:proofErr w:type="gramStart"/>
      <w:r w:rsidRPr="00F8567B">
        <w:t xml:space="preserve">Reiss, UM, Schwartz, J, Sakamoto, KM, Puthenveetil, G, Ogawa, M, Bedrosian, CL &amp; Ware, RE 2014, 'Efficacy and safety of eculizumab in children and adolescents with paroxysmal nocturnal hemoglobinuria', </w:t>
      </w:r>
      <w:r w:rsidRPr="00F8567B">
        <w:rPr>
          <w:i/>
          <w:iCs/>
        </w:rPr>
        <w:t>Pediatr Blood Cancer</w:t>
      </w:r>
      <w:r w:rsidRPr="00F8567B">
        <w:t>, vol. 61, Apr 29, pp. 1544-1550.</w:t>
      </w:r>
      <w:proofErr w:type="gramEnd"/>
    </w:p>
    <w:p w:rsidR="00092F60" w:rsidRPr="00F8567B" w:rsidRDefault="00092F60" w:rsidP="00092F60">
      <w:r w:rsidRPr="00F8567B">
        <w:t xml:space="preserve">Roth, A, Hock, C, Konik, A, Christoph, S &amp; Duhrsen, U 2011, 'Chronic treatment of paroxysmal nocturnal hemoglobinuria patients with eculizumab: safety, efficacy, and unexpected laboratory phenomena', </w:t>
      </w:r>
      <w:r w:rsidRPr="00F8567B">
        <w:rPr>
          <w:i/>
          <w:iCs/>
        </w:rPr>
        <w:t>Int J Hematol</w:t>
      </w:r>
      <w:r w:rsidRPr="00F8567B">
        <w:t>, vol. 93, no. 6, Jun, pp. 704-714.</w:t>
      </w:r>
    </w:p>
    <w:p w:rsidR="00092F60" w:rsidRPr="00F8567B" w:rsidRDefault="00092F60" w:rsidP="00092F60"/>
    <w:p w:rsidR="00092F60" w:rsidRDefault="00092F60" w:rsidP="00E965BD">
      <w:pPr>
        <w:pStyle w:val="Heading3"/>
      </w:pPr>
      <w:r>
        <w:t>Foreign language (not a higher level of evidence than available in English)</w:t>
      </w:r>
    </w:p>
    <w:p w:rsidR="00092F60" w:rsidRPr="00713C14" w:rsidRDefault="00092F60" w:rsidP="00092F60">
      <w:r w:rsidRPr="00713C14">
        <w:t xml:space="preserve">Abdel-Kader Martín, L, Castillo Muñoz, MA, Alegre del Rey, EJ, Muñoz Muñoz, N &amp; Muñoz Muñoz, JA 2011, 'Eculizumab (Soliris®) Assessment of effectivity and safety of the drug and </w:t>
      </w:r>
      <w:r w:rsidRPr="00713C14">
        <w:lastRenderedPageBreak/>
        <w:t xml:space="preserve">economic analysis of use in Paroxysmal Nocturnal Haemoglobinuria therapy (Structured abstract)', </w:t>
      </w:r>
      <w:r w:rsidRPr="00713C14">
        <w:rPr>
          <w:i/>
          <w:iCs/>
        </w:rPr>
        <w:t>Health Technology Assessment Database</w:t>
      </w:r>
      <w:r w:rsidRPr="00713C14">
        <w:t>, no. 4, &lt;http://onlinelibrary.wiley.com/o/cochrane/clhta/articles/HTA-32012000771/frame.html&gt;.</w:t>
      </w:r>
    </w:p>
    <w:p w:rsidR="00092F60" w:rsidRPr="00713C14" w:rsidRDefault="00092F60" w:rsidP="00092F60">
      <w:r w:rsidRPr="00713C14">
        <w:t xml:space="preserve">López Rubio, M, Morado, M, Gaya, A, Alonso Rosa, D, Ojeda, E, Muñoz, JA, Pérez De Mendiguren, B, Monteagudo, MD, Durán, JM, Fisac, RM, Moreno, D &amp; Villegas, AM 2011, 'Paroxysmal nocturnal hemoglobinuria therapy with eculizumab: Spanish experience', </w:t>
      </w:r>
      <w:r w:rsidRPr="00713C14">
        <w:rPr>
          <w:i/>
          <w:iCs/>
        </w:rPr>
        <w:t>Medicina Clinica</w:t>
      </w:r>
      <w:r w:rsidRPr="00713C14">
        <w:t>, vol. 137, no. 1, pp. 8-13.</w:t>
      </w:r>
    </w:p>
    <w:p w:rsidR="00092F60" w:rsidRPr="00713C14" w:rsidRDefault="00092F60" w:rsidP="00092F60">
      <w:r w:rsidRPr="00713C14">
        <w:t xml:space="preserve">Moncharmont, P, Barraco, F, Bernaud, J, Raffin, A, Michallet, M &amp; Rigal, D 2009, 'Follow-up of patients with paroxystic nocturnal haemoglobinuria treated by eculizumab', </w:t>
      </w:r>
      <w:r w:rsidRPr="00713C14">
        <w:rPr>
          <w:i/>
          <w:iCs/>
        </w:rPr>
        <w:t>Immuno-Analyse et Biologie Specialisee</w:t>
      </w:r>
      <w:r w:rsidRPr="00713C14">
        <w:t>, vol. 24, no. 2, pp. 86-91.</w:t>
      </w:r>
    </w:p>
    <w:p w:rsidR="00092F60" w:rsidRPr="00713C14" w:rsidRDefault="00092F60" w:rsidP="00092F60">
      <w:r w:rsidRPr="00713C14">
        <w:t xml:space="preserve">Paladio, N 2009, 'Eculizumab for the treatment of paroxysmal nocturnal haemoglobinuria (Structured abstract)', </w:t>
      </w:r>
      <w:r w:rsidRPr="00713C14">
        <w:rPr>
          <w:i/>
          <w:iCs/>
        </w:rPr>
        <w:t>Health Technology Assessment Database</w:t>
      </w:r>
      <w:r w:rsidRPr="00713C14">
        <w:t>, no. 4, &lt;http://onlinelibrary.wiley.com/o/cochrane/clhta/articles/HTA-32010000742/frame.html&gt;.</w:t>
      </w:r>
    </w:p>
    <w:p w:rsidR="00092F60" w:rsidRPr="00713C14" w:rsidRDefault="00092F60" w:rsidP="00092F60">
      <w:r w:rsidRPr="00713C14">
        <w:t xml:space="preserve">Pichon Riviere, A, Augustovski, F, Garcia Marti, S, Alcaraz, A, Glujovsky, D, Lopez, A, Rey-Ares, L, Bardach, A &amp; Regueiro, A 2011, 'Effectiveness of eculizumab in the treatment of paroxysmal nocturnal hemoglobinuria (Structured abstract)', </w:t>
      </w:r>
      <w:r w:rsidRPr="00713C14">
        <w:rPr>
          <w:i/>
          <w:iCs/>
        </w:rPr>
        <w:t>Health Technology Assessment Database</w:t>
      </w:r>
      <w:r w:rsidRPr="00713C14">
        <w:t>, no. 4, &lt;http://onlinelibrary.wiley.com/o/cochrane/clhta/articles/HTA-32011000968/frame.html&gt;.</w:t>
      </w:r>
    </w:p>
    <w:p w:rsidR="00092F60" w:rsidRPr="00713C14" w:rsidRDefault="00092F60" w:rsidP="00092F60"/>
    <w:p w:rsidR="00092F60" w:rsidRDefault="00092F60" w:rsidP="00E965BD">
      <w:pPr>
        <w:pStyle w:val="Heading3"/>
      </w:pPr>
      <w:r>
        <w:t>Wrong comparator</w:t>
      </w:r>
    </w:p>
    <w:p w:rsidR="00092F60" w:rsidRPr="00F879B0" w:rsidRDefault="00092F60" w:rsidP="00092F60">
      <w:proofErr w:type="gramStart"/>
      <w:r w:rsidRPr="00F879B0">
        <w:t>Canalejo, K, Cervantes, NR, Felippo, M, Sarandria, C &amp; Aixala, M 2014, 'Paroxysmal nocturnal haemoglobinuria.</w:t>
      </w:r>
      <w:proofErr w:type="gramEnd"/>
      <w:r w:rsidRPr="00F879B0">
        <w:t xml:space="preserve"> Experience over a 10years period', </w:t>
      </w:r>
      <w:r w:rsidRPr="00F879B0">
        <w:rPr>
          <w:i/>
          <w:iCs/>
        </w:rPr>
        <w:t>International Journal of Laboratory Hematology</w:t>
      </w:r>
      <w:r w:rsidRPr="00F879B0">
        <w:t>, vol. 36, no. 2, Apr, pp. 213-221.</w:t>
      </w:r>
    </w:p>
    <w:p w:rsidR="00092F60" w:rsidRDefault="00092F60" w:rsidP="00E965BD"/>
    <w:p w:rsidR="00092F60" w:rsidRDefault="00092F60" w:rsidP="00E965BD">
      <w:pPr>
        <w:pStyle w:val="Heading3"/>
      </w:pPr>
      <w:r>
        <w:t>Wrong outcome</w:t>
      </w:r>
    </w:p>
    <w:p w:rsidR="00092F60" w:rsidRPr="00F879B0" w:rsidRDefault="00092F60" w:rsidP="00092F60">
      <w:r w:rsidRPr="00F879B0">
        <w:t xml:space="preserve">Alfinito, F, Ruggiero, G, Sica, M, Udhayachandran, A, Rubino, V, Pepa, RD, Palatucci, AT, Annunziatella, M, Notaro, R, Risitano, AM &amp; Terrazzano, G 2012, 'Eculizumab treatment modifies the immune profile of PNH patients', </w:t>
      </w:r>
      <w:r w:rsidRPr="00F879B0">
        <w:rPr>
          <w:i/>
          <w:iCs/>
        </w:rPr>
        <w:t>Immunobiology</w:t>
      </w:r>
      <w:r w:rsidRPr="00F879B0">
        <w:t>, vol. 217, no. 7, Jul, pp. 698-703.</w:t>
      </w:r>
    </w:p>
    <w:p w:rsidR="00092F60" w:rsidRPr="00F879B0" w:rsidRDefault="00092F60" w:rsidP="00092F60">
      <w:r w:rsidRPr="00F879B0">
        <w:t xml:space="preserve">Arcavi, M, Ceballo, F, Brodsky, AL, Halperin, NS, Cantenys, N, Colin, LB, Malusardi, C &amp; Lazarowski, A 2013, 'Ham test for therapeutic monitoring of eculizumab in paroxysmal nocturnal hemoglobinuria', </w:t>
      </w:r>
      <w:r w:rsidRPr="00F879B0">
        <w:rPr>
          <w:i/>
          <w:iCs/>
        </w:rPr>
        <w:t>Blood</w:t>
      </w:r>
      <w:r w:rsidRPr="00F879B0">
        <w:t>, vol. 122, no. 21.</w:t>
      </w:r>
    </w:p>
    <w:p w:rsidR="00092F60" w:rsidRPr="00F879B0" w:rsidRDefault="00092F60" w:rsidP="00092F60">
      <w:r w:rsidRPr="00F879B0">
        <w:t xml:space="preserve">Arnold, LM, Stephenson, J, Kelly, RJ, Buchanan, D, Hill, A, Stichler, A, Bagabag, J, Jones, G, Bilbrough, C &amp; Hillmen, P 2009, 'Home infusion of eculizumab: A survey of a unique model of drug delivery for patients in the NCG PNH service', </w:t>
      </w:r>
      <w:r w:rsidRPr="00F879B0">
        <w:rPr>
          <w:i/>
          <w:iCs/>
        </w:rPr>
        <w:t>British Journal of Haematology</w:t>
      </w:r>
      <w:r w:rsidRPr="00F879B0">
        <w:t>, vol. 145, p. 43.</w:t>
      </w:r>
    </w:p>
    <w:p w:rsidR="00092F60" w:rsidRPr="00F879B0" w:rsidRDefault="00092F60" w:rsidP="00092F60">
      <w:r w:rsidRPr="00F879B0">
        <w:lastRenderedPageBreak/>
        <w:t xml:space="preserve">Ceballo, F, Brodsky, AL, Halperin, NS, Cantenys, N, Colin, LB, Malusardi, C &amp; Lazarowski, A 2013, </w:t>
      </w:r>
      <w:r w:rsidRPr="00F879B0">
        <w:rPr>
          <w:i/>
          <w:iCs/>
        </w:rPr>
        <w:t>Ham Test For Therapeutic Monitoring Of Eculizumab In Paroxysmal Nocturnal Hemoglobinuria</w:t>
      </w:r>
      <w:r w:rsidRPr="00F879B0">
        <w:t>, vol. 122.</w:t>
      </w:r>
    </w:p>
    <w:p w:rsidR="00092F60" w:rsidRPr="00F879B0" w:rsidRDefault="00092F60" w:rsidP="00092F60">
      <w:r w:rsidRPr="00F879B0">
        <w:t xml:space="preserve">Darnige, L, Peffault de Latour, R, Zemori, L, Socie, G, Fischer, A-M &amp; Helley, D 2011, 'Antiphospholipid antibodies in patients with paroxysmal nocturnal haemoglobinuria receiving eculizumab', </w:t>
      </w:r>
      <w:r w:rsidRPr="00F879B0">
        <w:rPr>
          <w:i/>
          <w:iCs/>
        </w:rPr>
        <w:t>Br. J. Haematol.</w:t>
      </w:r>
      <w:r w:rsidRPr="00F879B0">
        <w:t>, vol. 153, no. 6, //, pp. 789-791.</w:t>
      </w:r>
    </w:p>
    <w:p w:rsidR="00092F60" w:rsidRPr="00F879B0" w:rsidRDefault="00092F60" w:rsidP="00092F60">
      <w:r w:rsidRPr="00F879B0">
        <w:t xml:space="preserve">Helley, D, de Latour, RP, Porcher, R, Rodrigues, CA, Galy-Fauroux, I, Matheron, J, Duval, A, Schved, JF, Fischer, AM &amp; Socie, G 2010, 'Evaluation of hemostasis and endothelial function in patients with paroxysmal nocturnal hemoglobinuria receiving eculizumab', </w:t>
      </w:r>
      <w:r w:rsidRPr="00F879B0">
        <w:rPr>
          <w:i/>
          <w:iCs/>
        </w:rPr>
        <w:t>Haematologica</w:t>
      </w:r>
      <w:r w:rsidRPr="00F879B0">
        <w:t>, vol. 95, no. 4, Apr, pp. 574-581.</w:t>
      </w:r>
    </w:p>
    <w:p w:rsidR="00092F60" w:rsidRPr="00F879B0" w:rsidRDefault="00092F60" w:rsidP="00092F60">
      <w:proofErr w:type="gramStart"/>
      <w:r w:rsidRPr="00F879B0">
        <w:t>Helley, D, Peffault De Latour, R, Porcher, R, Rodrigues, CA, Matheron, J, Galy-Fauroux, I, Duval, A, Socie, G &amp; Fischer, AM 2009, 'Coagulation activation and endothelial dysfunction in patients with paroxysmal nocturnal hemoglobinuria.</w:t>
      </w:r>
      <w:proofErr w:type="gramEnd"/>
      <w:r w:rsidRPr="00F879B0">
        <w:t xml:space="preserve"> </w:t>
      </w:r>
      <w:proofErr w:type="gramStart"/>
      <w:r w:rsidRPr="00F879B0">
        <w:t xml:space="preserve">Beneficial effect of eculizumab treatment', </w:t>
      </w:r>
      <w:r w:rsidRPr="00F879B0">
        <w:rPr>
          <w:i/>
          <w:iCs/>
        </w:rPr>
        <w:t>Journal of Thrombosis and Haemostasis</w:t>
      </w:r>
      <w:r w:rsidRPr="00F879B0">
        <w:t>, vol. 7, no.</w:t>
      </w:r>
      <w:proofErr w:type="gramEnd"/>
      <w:r w:rsidRPr="00F879B0">
        <w:t xml:space="preserve"> S2, p. 616.</w:t>
      </w:r>
    </w:p>
    <w:p w:rsidR="00092F60" w:rsidRPr="00F879B0" w:rsidRDefault="00092F60" w:rsidP="00092F60">
      <w:r w:rsidRPr="00F879B0">
        <w:t xml:space="preserve">Hill, A, Rother, RP, Arnold, L, Kelly, R, Cullen, MJ, Richards, SJ &amp; Hillmen, P 2010, 'Eculizumab prevents intravascular hemolysis in patients with paroxysmal nocturnal hemoglobinuria and unmasks low-level extravascular hemolysis occurring through C3 opsonization', </w:t>
      </w:r>
      <w:r w:rsidRPr="00F879B0">
        <w:rPr>
          <w:i/>
          <w:iCs/>
        </w:rPr>
        <w:t>Haematologica</w:t>
      </w:r>
      <w:r w:rsidRPr="00F879B0">
        <w:t>, vol. 95, no. 4, Apr, pp. 567-573.</w:t>
      </w:r>
    </w:p>
    <w:p w:rsidR="00092F60" w:rsidRPr="00F879B0" w:rsidRDefault="00092F60" w:rsidP="00092F60">
      <w:r w:rsidRPr="00F879B0">
        <w:t xml:space="preserve">Hill, A, Sapsford, RJ, Scally, A, Kelly, R, Richards, SJ, Khurisgara, G, Sivananthan, MU &amp; Hillmen, P 2012, 'Under-recognized complications in patients with paroxysmal nocturnal haemoglobinuria: raised pulmonary pressure and reduced right ventricular function', </w:t>
      </w:r>
      <w:r w:rsidRPr="00F879B0">
        <w:rPr>
          <w:i/>
          <w:iCs/>
        </w:rPr>
        <w:t>British Journal of Haematology</w:t>
      </w:r>
      <w:r w:rsidRPr="00F879B0">
        <w:t>, vol. 158, no. 3, Aug, pp. 409-414.</w:t>
      </w:r>
    </w:p>
    <w:p w:rsidR="00092F60" w:rsidRPr="00F879B0" w:rsidRDefault="00092F60" w:rsidP="00092F60">
      <w:r w:rsidRPr="00F879B0">
        <w:t xml:space="preserve">Hochsmann, Bt, Rojewski, M, Flegel, WA &amp; Schrezenmeier, H 2008, 'Direct Antiglobulin Test, Ferritin and GPI-Negative Cell Populations in Patients with Paroxysmal Nocturnal Hemoglobinuria (PNH) during Eculizumab Therapy: Extravascular Hemolysis Unmasked by Efficient Eculizumab-Mediated Inhibition of Intravascular Hemolysis', </w:t>
      </w:r>
      <w:r w:rsidRPr="00F879B0">
        <w:rPr>
          <w:i/>
          <w:iCs/>
        </w:rPr>
        <w:t>ASH Annual Meeting Abstracts</w:t>
      </w:r>
      <w:r w:rsidRPr="00F879B0">
        <w:t>, vol. 112, no. 11, November 16, 2008, pp. 3440-.</w:t>
      </w:r>
    </w:p>
    <w:p w:rsidR="00092F60" w:rsidRPr="00F879B0" w:rsidRDefault="00092F60" w:rsidP="00092F60">
      <w:r w:rsidRPr="00F879B0">
        <w:t xml:space="preserve">Kelly, R, Richards, S, Arnold, L, Valters, G, Cullen, M, Hill, A &amp; Hillmen, P 2009, 'A spontaneous reduction of clone size in paroxysmal nocturnal hemoglobinuria patients treated with eculizumab for greater than 12 months', </w:t>
      </w:r>
      <w:r w:rsidRPr="00F879B0">
        <w:rPr>
          <w:i/>
          <w:iCs/>
        </w:rPr>
        <w:t>Blood</w:t>
      </w:r>
      <w:r w:rsidRPr="00F879B0">
        <w:t>, vol. 114, no. 22.</w:t>
      </w:r>
    </w:p>
    <w:p w:rsidR="00092F60" w:rsidRPr="00F879B0" w:rsidRDefault="00092F60" w:rsidP="00092F60">
      <w:r w:rsidRPr="00F879B0">
        <w:t xml:space="preserve">Konik, A, Duhrsen, U &amp; Roth, A 2010, 'Longitudinal analysis of the monospecific coombs test in patients with Paroxysmal Nocturnal Hemoglobinuria (PNH) chronically treated with Eculizumab', </w:t>
      </w:r>
      <w:r w:rsidRPr="00F879B0">
        <w:rPr>
          <w:i/>
          <w:iCs/>
        </w:rPr>
        <w:t>Onkologie</w:t>
      </w:r>
      <w:r w:rsidRPr="00F879B0">
        <w:t>, vol. 33, Oct, pp. 50-50.</w:t>
      </w:r>
    </w:p>
    <w:p w:rsidR="00092F60" w:rsidRPr="00F879B0" w:rsidRDefault="00092F60" w:rsidP="00092F60">
      <w:r w:rsidRPr="00F879B0">
        <w:t xml:space="preserve">Kulasekararaj, AG, Potter, VT, Gandhi, SA, Benson-Quarm, N, Large, J, Pagliuca, A, Mufti, GJ &amp; Marsh, J 2013, 'Feasibility and optimal schedule of using eculizumab in patients with Hemolytic Paroxysmal Nocturnal Hemoglobinuria (hPNH) with Severe Aplastic Anemia (SAA) prior to Haemopoietic Stem Cell Transplant (HSCT)', </w:t>
      </w:r>
      <w:r w:rsidRPr="00F879B0">
        <w:rPr>
          <w:i/>
          <w:iCs/>
        </w:rPr>
        <w:t>Blood</w:t>
      </w:r>
      <w:r w:rsidRPr="00F879B0">
        <w:t>, vol. 122, no. 21.</w:t>
      </w:r>
    </w:p>
    <w:p w:rsidR="00092F60" w:rsidRPr="00F879B0" w:rsidRDefault="00092F60" w:rsidP="00092F60">
      <w:r w:rsidRPr="00F879B0">
        <w:lastRenderedPageBreak/>
        <w:t xml:space="preserve">Munoz, C, Garcia-Marco, JA, Gil, S, Ojeda, E, Fores, R, Bautista, G, Krsnik, I, Navarro, B, De La Iglesia, A, Juan, IS, Regidor, C, Millan, I, Cabrera, JR, Piris, M, Santero, M, Claros, N, Beltran, P, Cabero, M, Morillo, D, Martin, T, Gonzalo, R &amp; Azcoitia, B 2011, 'Analysis of procoagulants phospholipids in plasma of paroxysmal nocturnal hemoglobinuria patients,processed in differents preanalytic conditions', </w:t>
      </w:r>
      <w:r w:rsidRPr="00F879B0">
        <w:rPr>
          <w:i/>
          <w:iCs/>
        </w:rPr>
        <w:t>Blood</w:t>
      </w:r>
      <w:r w:rsidRPr="00F879B0">
        <w:t>, vol. 118, no. 21.</w:t>
      </w:r>
    </w:p>
    <w:p w:rsidR="00092F60" w:rsidRPr="00F879B0" w:rsidRDefault="00092F60" w:rsidP="00092F60">
      <w:r w:rsidRPr="00F879B0">
        <w:t xml:space="preserve">Nishimura, J, Yamamoto, M, Hayashi, S, Ohyashiki, K, Ando, K, Brodsky, AL, Noji, H, Kitamura, K, Eto, T, Takahashi, T, Masuko, M, Matsumoto, T, Wano, Y, Shichishima, T, Shibayama, H, Hase, M, Li, L, Johnson, K, Lazarowski, A, Tamburini, P, Inazawa, J, Kinoshita, T &amp; Kanakura, Y 2014, 'Genetic variants in C5 and poor response to eculizumab', </w:t>
      </w:r>
      <w:r w:rsidRPr="00F879B0">
        <w:rPr>
          <w:i/>
          <w:iCs/>
        </w:rPr>
        <w:t>N Engl J Med</w:t>
      </w:r>
      <w:r w:rsidRPr="00F879B0">
        <w:t>, vol. 370, no. 7, Feb 13, pp. 632-639.</w:t>
      </w:r>
    </w:p>
    <w:p w:rsidR="00092F60" w:rsidRPr="00F879B0" w:rsidRDefault="00092F60" w:rsidP="00092F60">
      <w:r w:rsidRPr="00F879B0">
        <w:t xml:space="preserve">Nishimura, JI, Yamamoto, M, Hayashi, S, Ohyashiki, K, Ando, K, Noji, H, Kitamura, K, Eto, T, Takahashi, T, Masuko, M, Matsumoto, T, Wano, Y, Shichishima, T, Shibayama, H, Hase, M, Lan, L, Johnson, K, Tamburini, P, Inazawa, J, Kinoshita, T &amp; Kanakura, Y 2013, 'A rare genetic polymorphism in C5 confers poor response to the anti-C5 monoclonal antibody eculizumab in 11 japanese patients with PNH', </w:t>
      </w:r>
      <w:r w:rsidRPr="00F879B0">
        <w:rPr>
          <w:i/>
          <w:iCs/>
        </w:rPr>
        <w:t>Blood</w:t>
      </w:r>
      <w:r w:rsidRPr="00F879B0">
        <w:t>, vol. 122, no. 21.</w:t>
      </w:r>
    </w:p>
    <w:p w:rsidR="00092F60" w:rsidRPr="00F879B0" w:rsidRDefault="00092F60" w:rsidP="00092F60">
      <w:r w:rsidRPr="00F879B0">
        <w:t xml:space="preserve">Richards, SJ, Cullen, MJ, Dickinson, AJ, Hill, A, Buchanon, D, Arnold, L, Elebute, M, Rother, RP &amp; Hillmen, P 2006, 'Long term stability of red cell responses in patients with paroxysmal nocturnal haemoglobinuria (PNH) on eculizumab therapy: implications for the future treatment and management of PNH', </w:t>
      </w:r>
      <w:r w:rsidRPr="00F879B0">
        <w:rPr>
          <w:i/>
          <w:iCs/>
        </w:rPr>
        <w:t>British Journal of Haematology</w:t>
      </w:r>
      <w:r w:rsidRPr="00F879B0">
        <w:t>, vol. 133, Apr, pp. 16-16.</w:t>
      </w:r>
    </w:p>
    <w:p w:rsidR="00092F60" w:rsidRPr="00F879B0" w:rsidRDefault="00092F60" w:rsidP="00092F60">
      <w:r w:rsidRPr="00F879B0">
        <w:t xml:space="preserve">Risitano, AM, Imbriaco, M, Marando, L, Seneca, E, Soscia, E, Malcovati, L, Iori, AP, Pane, F, Notaro, R &amp; Matarazzo, M 2012, 'From perpetual haemosiderinuria to possible iron overload: iron redistribution in paroxysmal nocturnal haemoglobinuria patients on eculizumab by magnetic resonance imaging', </w:t>
      </w:r>
      <w:r w:rsidRPr="00F879B0">
        <w:rPr>
          <w:i/>
          <w:iCs/>
        </w:rPr>
        <w:t>Br J Haematol</w:t>
      </w:r>
      <w:r w:rsidRPr="00F879B0">
        <w:t>, vol. 158, no. 3, Aug, pp. 415-418.</w:t>
      </w:r>
    </w:p>
    <w:p w:rsidR="00092F60" w:rsidRPr="00F879B0" w:rsidRDefault="00092F60" w:rsidP="00092F60">
      <w:r w:rsidRPr="00F879B0">
        <w:t xml:space="preserve">Risitano, AM, Marando, L, Ranaldi, D, Seneca, E, Serio, B, Gianfaldoni, G, Antonioli, E, Milano, F, Amendola, A, Boschetti, C, Barcellini, W, Di Bona, E, Carella, AM, Barbano, F, Bonfigli, S, Capalbo, S, Fabbiano, F, Pulini, S, Marino, A, Pietrogrande, F, Iuliano, F, Rodeghiero, F, Zanella, A, Iori, A, Notaro, R, Luzzatto, L &amp; Rotoli, B 2008, 'C3-Mediated Extravascular Hemolysis as Additional Mechanism of Disease in Paroxysmal Nocturnal Hemoglobinuria (PNH) Patients Treated by the Complent Inhibitor Eculizumab', </w:t>
      </w:r>
      <w:r w:rsidRPr="00F879B0">
        <w:rPr>
          <w:i/>
          <w:iCs/>
        </w:rPr>
        <w:t>ASH Annual Meeting Abstracts</w:t>
      </w:r>
      <w:r w:rsidRPr="00F879B0">
        <w:t>, vol. 112, no. 11, November 16, 2008, pp. 485-.</w:t>
      </w:r>
    </w:p>
    <w:p w:rsidR="00092F60" w:rsidRPr="00F879B0" w:rsidRDefault="00092F60" w:rsidP="00092F60">
      <w:r w:rsidRPr="00F879B0">
        <w:t xml:space="preserve">Risitano, AM, Notaro, R, Marando, L, Serio, B, Ranaldi, D, Seneca, E, Ricci, P, Alfinito, F, Camera, A, Gianfaldoni, G, Amendola, A, Boschetti, C, Di Bona, E, Fratellanza, G, Barbano, F, Rodeghiero, F, Zanella, A, Iori, AP, Selleri, C, Luzzatto, L &amp; Rotoli, B 2009, 'Complement fraction 3 binding on erythrocytes as additional mechanism of disease in paroxysmal nocturnal hemoglobinuria patients treated by eculizumab', </w:t>
      </w:r>
      <w:r w:rsidRPr="00F879B0">
        <w:rPr>
          <w:i/>
          <w:iCs/>
        </w:rPr>
        <w:t>Blood</w:t>
      </w:r>
      <w:r w:rsidRPr="00F879B0">
        <w:t>, vol. 113, no. 17, Apr 23, pp. 4094-4100.</w:t>
      </w:r>
    </w:p>
    <w:p w:rsidR="00092F60" w:rsidRPr="00F879B0" w:rsidRDefault="00092F60" w:rsidP="00092F60">
      <w:r w:rsidRPr="00F879B0">
        <w:lastRenderedPageBreak/>
        <w:t xml:space="preserve">Rondelli, T, Risitano, AM, Peffault de Latour, R, Sica, M, Peruzzi, B, Ricci, P, Barcellini, W, Iori, AP, Boschetti, C, Valle, V, Fremeaux-Bacchi, V, De Angioletti, M, Socie, G, Luzzatto, L &amp; Notaro, R 2014, 'Polymorphism of the complement receptor 1 gene correlates with the hematologic response to eculizumab in patients with paroxysmal nocturnal hemoglobinuria', </w:t>
      </w:r>
      <w:r w:rsidRPr="00F879B0">
        <w:rPr>
          <w:i/>
          <w:iCs/>
        </w:rPr>
        <w:t>Haematologica</w:t>
      </w:r>
      <w:r w:rsidRPr="00F879B0">
        <w:t>, vol. 99, no. 2, Feb, pp. 262-266.</w:t>
      </w:r>
    </w:p>
    <w:p w:rsidR="00092F60" w:rsidRPr="00F879B0" w:rsidRDefault="00092F60" w:rsidP="00092F60">
      <w:proofErr w:type="gramStart"/>
      <w:r w:rsidRPr="00F879B0">
        <w:t xml:space="preserve">Seregina, E, Nikulina, O, Tsvetaeva, N, Balandina, A &amp; Ataullakhanov, F 2013, 'Effect of eculizumab administrations on the haemostatic changes in patients with paroxysmal nocturnal hemoglobinuria', </w:t>
      </w:r>
      <w:r w:rsidRPr="00F879B0">
        <w:rPr>
          <w:i/>
          <w:iCs/>
        </w:rPr>
        <w:t>Journal of Thrombosis and Haemostasis</w:t>
      </w:r>
      <w:r w:rsidRPr="00F879B0">
        <w:t>, vol. 11, p. 836.</w:t>
      </w:r>
      <w:proofErr w:type="gramEnd"/>
    </w:p>
    <w:p w:rsidR="00092F60" w:rsidRPr="00F879B0" w:rsidRDefault="00092F60" w:rsidP="00092F60">
      <w:r w:rsidRPr="00F879B0">
        <w:t xml:space="preserve">Tabacco, P, Risitano, AM, Seneca, E, Marando, L, Barbano, F, Valle, G, Ritrovato, G, Carella, AM &amp; Rotoli, B 2009, '51-Cr labelled red blood cells (RBC) kinetics in paroxysmal nocturnal hemoglobinuria (PNH) patients with suboptimal response to the complement inhibitor eculizumab: physiopathologic insights and therapeutic suggestions', </w:t>
      </w:r>
      <w:r w:rsidRPr="00F879B0">
        <w:rPr>
          <w:i/>
          <w:iCs/>
        </w:rPr>
        <w:t>European Journal of Nuclear Medicine and Molecular Imaging</w:t>
      </w:r>
      <w:r w:rsidRPr="00F879B0">
        <w:t>, vol. 36, Sep, pp. S459-S459.</w:t>
      </w:r>
    </w:p>
    <w:p w:rsidR="00092F60" w:rsidRPr="00F879B0" w:rsidRDefault="00092F60" w:rsidP="00092F60">
      <w:r w:rsidRPr="00F879B0">
        <w:t xml:space="preserve">Villegas, A, Gonzalez, A, Matute, F, Nieto, JM &amp; de la Fuente, F 2013, 'Value Of Magnetic Resonance Imaging In The Study and Follow-Up Of Paroxysmal Nocturnal Hemoglobinuria', </w:t>
      </w:r>
      <w:r w:rsidRPr="00F879B0">
        <w:rPr>
          <w:i/>
          <w:iCs/>
        </w:rPr>
        <w:t>Blood</w:t>
      </w:r>
      <w:r w:rsidRPr="00F879B0">
        <w:t>, vol. 122, no. 21, Nov 15.</w:t>
      </w:r>
    </w:p>
    <w:p w:rsidR="00092F60" w:rsidRPr="00F879B0" w:rsidRDefault="00092F60" w:rsidP="00092F60">
      <w:r w:rsidRPr="00F879B0">
        <w:t xml:space="preserve">Weitz, IC, Razavi, P, Rochanda, L, Zwicker, J, Furie, B, Manly, D, Mackman, N, Green, R &amp; Liebman, HA 2012, 'Eculizumab therapy results in rapid and sustained decreases in markers of thrombin generation and inflammation in patients with PNH independent of its effects on hemolysis and microparticle formation', </w:t>
      </w:r>
      <w:r w:rsidRPr="00F879B0">
        <w:rPr>
          <w:i/>
          <w:iCs/>
        </w:rPr>
        <w:t>Thromb Res</w:t>
      </w:r>
      <w:r w:rsidRPr="00F879B0">
        <w:t>, vol. 130, no. 3, Sep, pp. 361-368.</w:t>
      </w:r>
    </w:p>
    <w:p w:rsidR="00092F60" w:rsidRPr="00F879B0" w:rsidRDefault="00092F60" w:rsidP="00092F60">
      <w:r w:rsidRPr="00F879B0">
        <w:t xml:space="preserve">Zeerleder, S, Van Bijnen, S, Wouters, D, Van Mierlo, GJ &amp; Muus, P 2013, 'Neutrophil extracellular trap formation in PNH patients with and without a history of thrombosis-effects of eculizumab', </w:t>
      </w:r>
      <w:r w:rsidRPr="00F879B0">
        <w:rPr>
          <w:i/>
          <w:iCs/>
        </w:rPr>
        <w:t>Blood</w:t>
      </w:r>
      <w:r w:rsidRPr="00F879B0">
        <w:t>, vol. 122, no. 21.</w:t>
      </w:r>
    </w:p>
    <w:p w:rsidR="00092F60" w:rsidRPr="00F879B0" w:rsidRDefault="00092F60" w:rsidP="00092F60"/>
    <w:p w:rsidR="00092F60" w:rsidRDefault="00092F60" w:rsidP="00E965BD">
      <w:pPr>
        <w:pStyle w:val="Heading3"/>
      </w:pPr>
      <w:r>
        <w:t>Wrong study type</w:t>
      </w:r>
    </w:p>
    <w:p w:rsidR="00092F60" w:rsidRPr="00F879B0" w:rsidRDefault="00092F60" w:rsidP="00092F60">
      <w:r w:rsidRPr="00F879B0">
        <w:t xml:space="preserve">All Wales Medicines Strategy Group 2009, 'Eculizumab (Soliris®) for the treatment of paroxysmal nocturnal haemoglobinuria (Structured abstract)', </w:t>
      </w:r>
      <w:r w:rsidRPr="00F879B0">
        <w:rPr>
          <w:i/>
          <w:iCs/>
        </w:rPr>
        <w:t>Health Technology Assessment Database</w:t>
      </w:r>
      <w:r w:rsidRPr="00F879B0">
        <w:t>, no. 4, &lt;http://onlinelibrary.wiley.com/o/cochrane/clhta/articles/HTA-32012000414/frame.html&gt;.</w:t>
      </w:r>
    </w:p>
    <w:p w:rsidR="00092F60" w:rsidRPr="00F879B0" w:rsidRDefault="00092F60" w:rsidP="00092F60">
      <w:proofErr w:type="gramStart"/>
      <w:r w:rsidRPr="00F879B0">
        <w:t xml:space="preserve">Connock, M, Wang, D, Fry-Smith, A &amp; Moore, D 2008, 'Prevalence and prognosis of paroxysmal nocturnal haemoglobinurea and the clinical and cost-effectiveness of eculizumab (Structured abstract)', </w:t>
      </w:r>
      <w:r w:rsidRPr="00F879B0">
        <w:rPr>
          <w:i/>
          <w:iCs/>
        </w:rPr>
        <w:t>Health Technology Assessment Database</w:t>
      </w:r>
      <w:r w:rsidRPr="00F879B0">
        <w:t>, no. 4, p. 1, &lt;http://onlinelibrary.wiley.com/o/cochrane/clhta/articles/HTA-32008100046/frame.html&gt;.</w:t>
      </w:r>
      <w:proofErr w:type="gramEnd"/>
    </w:p>
    <w:p w:rsidR="00092F60" w:rsidRPr="00F879B0" w:rsidRDefault="00092F60" w:rsidP="00092F60">
      <w:r w:rsidRPr="00F879B0">
        <w:t xml:space="preserve">Curran, KJ, Kernan, NA, Prockop, SE, Scaradavou, A, Small, TN, Castro-Malaspina, H, Araten, D, DiMichele, D, O'Reilly, RJ &amp; Boulad, F 2010, 'Paroxysmal Nocturnal Hemoglobinuria (PNH) In Pediatric Patients: Review of a Single Center Series', </w:t>
      </w:r>
      <w:r w:rsidRPr="00F879B0">
        <w:rPr>
          <w:i/>
          <w:iCs/>
        </w:rPr>
        <w:t>ASH Annual Meeting Abstracts</w:t>
      </w:r>
      <w:r w:rsidRPr="00F879B0">
        <w:t>, vol. 116, no. 21, November 19, 2010, pp. 2231-.</w:t>
      </w:r>
    </w:p>
    <w:p w:rsidR="00092F60" w:rsidRPr="00F879B0" w:rsidRDefault="00092F60" w:rsidP="00092F60">
      <w:r w:rsidRPr="00F879B0">
        <w:lastRenderedPageBreak/>
        <w:t xml:space="preserve">Curran, KJ, Kernan, NA, Prockop, SE, Scaradavou, A, Small, TN, Kobos, R, Castro-Malaspina, H, Araten, D, DiMichele, D, O'Reilly, RJ &amp; Boulad, F 2012, 'Paroxysmal nocturnal hemoglobinuria in pediatric patients', </w:t>
      </w:r>
      <w:r w:rsidRPr="00F879B0">
        <w:rPr>
          <w:i/>
          <w:iCs/>
        </w:rPr>
        <w:t>Pediatr Blood Cancer</w:t>
      </w:r>
      <w:r w:rsidRPr="00F879B0">
        <w:t>, vol. 59, no. 3, Sep, pp. 525-529.</w:t>
      </w:r>
    </w:p>
    <w:p w:rsidR="00092F60" w:rsidRPr="00F879B0" w:rsidRDefault="00092F60" w:rsidP="00092F60">
      <w:r w:rsidRPr="00F879B0">
        <w:t xml:space="preserve">Dmytrijuk, A, Robie-Suh, K, Cohen, MH, Rieves, D, Weiss, K &amp; Pazdur, R 2008, 'FDA report: eculizumab (Soliris) for the treatment of patients with paroxysmal nocturnal hemoglobinuria', </w:t>
      </w:r>
      <w:r w:rsidRPr="00F879B0">
        <w:rPr>
          <w:i/>
          <w:iCs/>
        </w:rPr>
        <w:t>Oncologist</w:t>
      </w:r>
      <w:r w:rsidRPr="00F879B0">
        <w:t>, vol. 13, no. 9, Sep, pp. 993-1000.</w:t>
      </w:r>
    </w:p>
    <w:p w:rsidR="00092F60" w:rsidRPr="00F879B0" w:rsidRDefault="00092F60" w:rsidP="00092F60">
      <w:proofErr w:type="gramStart"/>
      <w:r w:rsidRPr="00F879B0">
        <w:t xml:space="preserve">Gribkova, I, Tsvetaeva, N, Seregina, E, Nikulina, O, Balandina, A, Gorbatenko, A &amp; Sinauridze, E 2014, 'Effect of eculizumab therapy on the coagulation status of patients with paroxysmal nocturnal hemoglobinuria', </w:t>
      </w:r>
      <w:r w:rsidRPr="00F879B0">
        <w:rPr>
          <w:i/>
          <w:iCs/>
        </w:rPr>
        <w:t>Journal of Thrombosis and Haemostasis</w:t>
      </w:r>
      <w:r w:rsidRPr="00F879B0">
        <w:t>, vol. 12, Jun, pp. 13-13.</w:t>
      </w:r>
      <w:proofErr w:type="gramEnd"/>
    </w:p>
    <w:p w:rsidR="00092F60" w:rsidRPr="00F879B0" w:rsidRDefault="00092F60" w:rsidP="00092F60">
      <w:proofErr w:type="gramStart"/>
      <w:r w:rsidRPr="00F879B0">
        <w:t xml:space="preserve">Hill, A, Rother, RP &amp; Hillmen, P 2005, 'Improvement in the symptoms of smooth muscle dystonia during eculizumab therapy in paroxysmal nocturnal hemoglobinuria', </w:t>
      </w:r>
      <w:r w:rsidRPr="00F879B0">
        <w:rPr>
          <w:i/>
          <w:iCs/>
        </w:rPr>
        <w:t>Haematologica</w:t>
      </w:r>
      <w:r w:rsidRPr="00F879B0">
        <w:t>, vol. 90, no. 12 Suppl, 2005-Dec, pp. ECR40-ECR40.</w:t>
      </w:r>
      <w:proofErr w:type="gramEnd"/>
    </w:p>
    <w:p w:rsidR="00092F60" w:rsidRPr="00F879B0" w:rsidRDefault="00092F60" w:rsidP="00092F60">
      <w:proofErr w:type="gramStart"/>
      <w:r w:rsidRPr="00F879B0">
        <w:t>Joppi, R, Bertele, V &amp; Garattini, S 2013, 'Orphan drugs, orphan diseases.</w:t>
      </w:r>
      <w:proofErr w:type="gramEnd"/>
      <w:r w:rsidRPr="00F879B0">
        <w:t xml:space="preserve"> </w:t>
      </w:r>
      <w:proofErr w:type="gramStart"/>
      <w:r w:rsidRPr="00F879B0">
        <w:t xml:space="preserve">The first decade of orphan drug legislation in the EU', </w:t>
      </w:r>
      <w:r w:rsidRPr="00F879B0">
        <w:rPr>
          <w:i/>
          <w:iCs/>
        </w:rPr>
        <w:t>European Journal of Clinical Pharmacology</w:t>
      </w:r>
      <w:r w:rsidRPr="00F879B0">
        <w:t>, vol. 69, no. 4, pp. 1009-1024.</w:t>
      </w:r>
      <w:proofErr w:type="gramEnd"/>
    </w:p>
    <w:p w:rsidR="00092F60" w:rsidRPr="00F879B0" w:rsidRDefault="00092F60" w:rsidP="00092F60">
      <w:r w:rsidRPr="00F879B0">
        <w:t xml:space="preserve">Kanters, TA, De Sonneville-Koedoot, C, Redekop, WK &amp; Hakkaart, L 2013, 'Systematic review of available evidence on 11 high-priced inpatient orphan drugs', </w:t>
      </w:r>
      <w:r w:rsidRPr="00F879B0">
        <w:rPr>
          <w:i/>
          <w:iCs/>
        </w:rPr>
        <w:t>Orphanet Journal of Rare Diseases</w:t>
      </w:r>
      <w:r w:rsidRPr="00F879B0">
        <w:t>, vol. 8, no. 1.</w:t>
      </w:r>
    </w:p>
    <w:p w:rsidR="00092F60" w:rsidRPr="00F879B0" w:rsidRDefault="00092F60" w:rsidP="00092F60">
      <w:r w:rsidRPr="00F879B0">
        <w:t xml:space="preserve">Kelly, R, Arnold, L, Richards, S, Hill, A, Bomken, C, Hanley, J, Loughney, A, Beauchamp, J, Khursigara, G, Rother, RP, Chalmers, E, Fyfe, A, Fitzsimons, E, Nakamura, R, Gaya, A, Risitano, AM, Schubert, J, Norfolk, D, Simpson, N &amp; Hillmen, P 2010, 'The management of pregnancy in paroxysmal nocturnal haemoglobinuria on long term eculizumab', </w:t>
      </w:r>
      <w:r w:rsidRPr="00F879B0">
        <w:rPr>
          <w:i/>
          <w:iCs/>
        </w:rPr>
        <w:t>Br J Haematol</w:t>
      </w:r>
      <w:r w:rsidRPr="00F879B0">
        <w:t>, vol. 149, no. 3, May, pp. 446-450.</w:t>
      </w:r>
    </w:p>
    <w:p w:rsidR="00092F60" w:rsidRPr="00F879B0" w:rsidRDefault="00092F60" w:rsidP="00092F60">
      <w:r w:rsidRPr="00F879B0">
        <w:t xml:space="preserve">Kelly, R, Arnold, L, Richards, S, Hill, A, vanBijnen, S, Muus, P, Dorr, D, Brodsky, R, Khursigara, G, Rother, RP &amp; Hillmen, P 2008, 'Modification of the Eculizumab Dose to Successfully Manage Intravascular Breakthrough Hemolysis in Patients with Paroxysmal Nocturnal Hemoglobinuria', </w:t>
      </w:r>
      <w:r w:rsidRPr="00F879B0">
        <w:rPr>
          <w:i/>
          <w:iCs/>
        </w:rPr>
        <w:t>ASH Annual Meeting Abstracts</w:t>
      </w:r>
      <w:r w:rsidRPr="00F879B0">
        <w:t>, vol. 112, no. 11, November 16, 2008, pp. 3441-.</w:t>
      </w:r>
    </w:p>
    <w:p w:rsidR="00092F60" w:rsidRPr="00F879B0" w:rsidRDefault="00092F60" w:rsidP="00092F60">
      <w:r w:rsidRPr="00F879B0">
        <w:t xml:space="preserve">Kelly, R, Arnold, LM, Richards, SJ, Hill, A, Bomken, C, Hanley, J, Loughney, A, Beauchamp, J, Khursigara, G, Rother, RP, Chalmers, E, Gartnavel, AF, Fitzsimons, E, Nakamura, R, Gaya, A, Rotoli, B, Risitano, A, Schubert, J &amp; Hillmen, P 2009, 'SUCCESSFUL PREGNANCY OUTCOME IN PAROXYSMAL NOCTURNAL HAEMOGLOBINURIA ON LONG TERM ECULIZUMAB', </w:t>
      </w:r>
      <w:r w:rsidRPr="00F879B0">
        <w:rPr>
          <w:i/>
          <w:iCs/>
        </w:rPr>
        <w:t>Haematologica-the Hematology Journal</w:t>
      </w:r>
      <w:r w:rsidRPr="00F879B0">
        <w:t>, vol. 94, Jun, pp. 452-452.</w:t>
      </w:r>
    </w:p>
    <w:p w:rsidR="00092F60" w:rsidRPr="00F879B0" w:rsidRDefault="00092F60" w:rsidP="00092F60">
      <w:r w:rsidRPr="00F879B0">
        <w:t xml:space="preserve">Kelly, RJ, Arnold, LM, Richards, SJ, Hill, A, Van Bijnen, S, Muus, P, Dorr, D, Brodsky, R, Beauchamp, J, Khursigara, G, Rother, RP &amp; Hillmen, P 2009, 'Modification of the standard Eculizumab dose to successfully manage intravascular haemolysis breakthrough in patients with Paroxysmal nocturnal haemoglobinuria', </w:t>
      </w:r>
      <w:r w:rsidRPr="00F879B0">
        <w:rPr>
          <w:i/>
          <w:iCs/>
        </w:rPr>
        <w:t>Haematologica</w:t>
      </w:r>
      <w:r w:rsidRPr="00F879B0">
        <w:t>, vol. 94, pp. 239-240.</w:t>
      </w:r>
    </w:p>
    <w:p w:rsidR="00092F60" w:rsidRPr="00F879B0" w:rsidRDefault="00092F60" w:rsidP="00092F60">
      <w:r w:rsidRPr="00F879B0">
        <w:lastRenderedPageBreak/>
        <w:t xml:space="preserve">Munoz-Linares, C, Ojeda, E, Fores, R, Pastrana, M, Cabero, M, Morillo, D, Bautista, G, Banos, I, Monteserin, C, Bravo, P, Jaro, E, Cedena, T, Steegmann, JL, Villegas, A &amp; Cabrera, JR 2014, 'Paroxysmal nocturnal hemoglobinuria: a single Spanish center's experience over the last 40 yr', </w:t>
      </w:r>
      <w:r w:rsidRPr="00F879B0">
        <w:rPr>
          <w:i/>
          <w:iCs/>
        </w:rPr>
        <w:t>Eur J Haematol</w:t>
      </w:r>
      <w:r w:rsidRPr="00F879B0">
        <w:t>, Apr 23.</w:t>
      </w:r>
    </w:p>
    <w:p w:rsidR="00092F60" w:rsidRPr="00F879B0" w:rsidRDefault="00092F60" w:rsidP="00092F60">
      <w:r w:rsidRPr="00F879B0">
        <w:t xml:space="preserve">Sallerfors, B, Franzén, T, Jansson, L, Kuric, N, Olsson, P, Sjögren, P, Svanberg, T, Widgren, B &amp; Sjövall, H 2012, 'Eculizumab treatment in paroxysmal nocturnal hemoglobinuria (Structured abstract)', </w:t>
      </w:r>
      <w:r w:rsidRPr="00F879B0">
        <w:rPr>
          <w:i/>
          <w:iCs/>
        </w:rPr>
        <w:t>Health Technology Assessment Database</w:t>
      </w:r>
      <w:r w:rsidRPr="00F879B0">
        <w:t>, no. 4, &lt;http://onlinelibrary.wiley.com/o/cochrane/clhta/articles/HTA-32013000132/frame.html&gt;.</w:t>
      </w:r>
    </w:p>
    <w:p w:rsidR="00092F60" w:rsidRDefault="00092F60" w:rsidP="00092F60">
      <w:r w:rsidRPr="00F879B0">
        <w:t xml:space="preserve">Schubert, J, Hillmen, P, Roth, A, Young, NS, Elebute, MO, Szer, J, Gianfaldoni, G, Socie, G, Browne, P, Geller, R, Rother, RP &amp; Muus, P 2008, 'Eculizumab, a terminal complement inhibitor, improves anaemia in patients with paroxysmal nocturnal haemoglobinuria', </w:t>
      </w:r>
      <w:r w:rsidRPr="00F879B0">
        <w:rPr>
          <w:i/>
          <w:iCs/>
        </w:rPr>
        <w:t>Br J Haematol</w:t>
      </w:r>
      <w:r w:rsidRPr="00F879B0">
        <w:t>, vol. 142, no. 2, Jun, pp. 263-272.</w:t>
      </w:r>
      <w:r w:rsidR="006E2AFB">
        <w:t xml:space="preserve"> </w:t>
      </w:r>
    </w:p>
    <w:p w:rsidR="00092F60" w:rsidRPr="000226B9" w:rsidRDefault="00092F60" w:rsidP="00092F60">
      <w:pPr>
        <w:sectPr w:rsidR="00092F60" w:rsidRPr="000226B9" w:rsidSect="00107597">
          <w:pgSz w:w="11906" w:h="16838"/>
          <w:pgMar w:top="1440" w:right="1440" w:bottom="1440" w:left="1440" w:header="708" w:footer="708" w:gutter="0"/>
          <w:cols w:space="708"/>
          <w:docGrid w:linePitch="360"/>
        </w:sectPr>
      </w:pPr>
    </w:p>
    <w:p w:rsidR="00092F60" w:rsidRPr="003F3F2D" w:rsidRDefault="00092F60" w:rsidP="00DB4EE8">
      <w:pPr>
        <w:pStyle w:val="Heading1"/>
        <w:numPr>
          <w:ilvl w:val="0"/>
          <w:numId w:val="0"/>
        </w:numPr>
      </w:pPr>
      <w:bookmarkStart w:id="1100" w:name="_Ref404335918"/>
      <w:bookmarkStart w:id="1101" w:name="_Toc404937364"/>
      <w:bookmarkStart w:id="1102" w:name="_Toc415141785"/>
      <w:r w:rsidRPr="003F3F2D">
        <w:lastRenderedPageBreak/>
        <w:t xml:space="preserve">APPENDIX </w:t>
      </w:r>
      <w:r w:rsidR="00A72B26">
        <w:t>D</w:t>
      </w:r>
      <w:bookmarkEnd w:id="1048"/>
      <w:bookmarkEnd w:id="1100"/>
      <w:r w:rsidRPr="003F3F2D">
        <w:tab/>
        <w:t>critical appraisal checklists to determine risk of bias (ToR 1)</w:t>
      </w:r>
      <w:bookmarkEnd w:id="1101"/>
      <w:bookmarkEnd w:id="1102"/>
    </w:p>
    <w:p w:rsidR="00092F60" w:rsidRDefault="00092F60" w:rsidP="0096216D">
      <w:pPr>
        <w:pStyle w:val="Caption"/>
        <w:keepNext/>
        <w:tabs>
          <w:tab w:val="clear" w:pos="851"/>
          <w:tab w:val="left" w:pos="1276"/>
        </w:tabs>
        <w:ind w:left="1276" w:hanging="1276"/>
      </w:pPr>
      <w:bookmarkStart w:id="1103" w:name="_Toc404976353"/>
      <w:bookmarkStart w:id="1104" w:name="_Toc411510518"/>
      <w:bookmarkStart w:id="1105" w:name="_Toc415141948"/>
      <w:r>
        <w:t xml:space="preserve">Table </w:t>
      </w:r>
      <w:r w:rsidR="00A72B26">
        <w:rPr>
          <w:noProof/>
        </w:rPr>
        <w:t>151</w:t>
      </w:r>
      <w:r>
        <w:tab/>
        <w:t>Methodological checklist: systematic reviews (AMSTAR; Shea et al 2009)</w:t>
      </w:r>
      <w:bookmarkEnd w:id="1103"/>
      <w:bookmarkEnd w:id="1104"/>
      <w:bookmarkEnd w:id="110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15 Methodological checklist: systematic reviews (AMSTAR; Shea et al 2009)"/>
      </w:tblPr>
      <w:tblGrid>
        <w:gridCol w:w="7621"/>
        <w:gridCol w:w="1559"/>
      </w:tblGrid>
      <w:tr w:rsidR="00092F60" w:rsidRPr="00303A35" w:rsidTr="00CE0D5D">
        <w:trPr>
          <w:trHeight w:val="271"/>
          <w:tblHeader/>
        </w:trPr>
        <w:tc>
          <w:tcPr>
            <w:tcW w:w="7621" w:type="dxa"/>
          </w:tcPr>
          <w:p w:rsidR="00092F60" w:rsidRPr="00CE0D5D" w:rsidRDefault="00CE0D5D" w:rsidP="00CE0D5D">
            <w:pPr>
              <w:keepNext/>
              <w:keepLines/>
              <w:tabs>
                <w:tab w:val="left" w:pos="567"/>
              </w:tabs>
              <w:autoSpaceDE w:val="0"/>
              <w:autoSpaceDN w:val="0"/>
              <w:adjustRightInd w:val="0"/>
              <w:spacing w:before="200"/>
              <w:jc w:val="left"/>
              <w:outlineLvl w:val="0"/>
              <w:rPr>
                <w:rFonts w:ascii="Arial Narrow" w:eastAsia="SimSun" w:hAnsi="Arial Narrow" w:cs="Arial"/>
                <w:b/>
                <w:sz w:val="20"/>
                <w:szCs w:val="20"/>
                <w:lang w:eastAsia="en-AU"/>
              </w:rPr>
            </w:pPr>
            <w:r>
              <w:rPr>
                <w:rFonts w:ascii="Arial Narrow" w:eastAsia="SimSun" w:hAnsi="Arial Narrow" w:cs="Arial"/>
                <w:b/>
                <w:sz w:val="20"/>
                <w:szCs w:val="20"/>
                <w:lang w:eastAsia="en-AU"/>
              </w:rPr>
              <w:t>Methodology q</w:t>
            </w:r>
            <w:r w:rsidR="00A85853">
              <w:rPr>
                <w:rFonts w:ascii="Arial Narrow" w:eastAsia="SimSun" w:hAnsi="Arial Narrow" w:cs="Arial"/>
                <w:b/>
                <w:sz w:val="20"/>
                <w:szCs w:val="20"/>
                <w:lang w:eastAsia="en-AU"/>
              </w:rPr>
              <w:t>uestion</w:t>
            </w:r>
          </w:p>
        </w:tc>
        <w:tc>
          <w:tcPr>
            <w:tcW w:w="1559" w:type="dxa"/>
          </w:tcPr>
          <w:p w:rsidR="00092F60" w:rsidRPr="00CE0D5D" w:rsidRDefault="00CE0D5D" w:rsidP="00CE0D5D">
            <w:pPr>
              <w:keepNext/>
              <w:keepLines/>
              <w:tabs>
                <w:tab w:val="left" w:pos="567"/>
              </w:tabs>
              <w:spacing w:before="200" w:after="40"/>
              <w:jc w:val="left"/>
              <w:outlineLvl w:val="0"/>
              <w:rPr>
                <w:rFonts w:ascii="Arial Narrow" w:eastAsia="SimSun" w:hAnsi="Arial Narrow" w:cs="Arial"/>
                <w:b/>
                <w:sz w:val="20"/>
                <w:szCs w:val="20"/>
                <w:lang w:eastAsia="en-AU"/>
              </w:rPr>
            </w:pPr>
            <w:r w:rsidRPr="00CE0D5D">
              <w:rPr>
                <w:rFonts w:ascii="Arial Narrow" w:eastAsia="SimSun" w:hAnsi="Arial Narrow" w:cs="Arial"/>
                <w:b/>
                <w:sz w:val="20"/>
                <w:szCs w:val="20"/>
                <w:lang w:eastAsia="en-AU"/>
              </w:rPr>
              <w:t>Answer</w:t>
            </w:r>
          </w:p>
        </w:tc>
      </w:tr>
      <w:tr w:rsidR="00092F60" w:rsidRPr="00303A35" w:rsidTr="00092F60">
        <w:tc>
          <w:tcPr>
            <w:tcW w:w="7621" w:type="dxa"/>
          </w:tcPr>
          <w:p w:rsidR="00092F60" w:rsidRPr="00303A35" w:rsidRDefault="00092F60" w:rsidP="00E8561A">
            <w:pPr>
              <w:pStyle w:val="ListParagraph"/>
              <w:numPr>
                <w:ilvl w:val="0"/>
                <w:numId w:val="26"/>
              </w:numPr>
              <w:spacing w:before="40" w:after="40"/>
              <w:ind w:left="426" w:hanging="426"/>
              <w:rPr>
                <w:rFonts w:ascii="Arial Narrow" w:hAnsi="Arial Narrow"/>
                <w:b/>
                <w:sz w:val="20"/>
                <w:szCs w:val="20"/>
              </w:rPr>
            </w:pPr>
            <w:r w:rsidRPr="00303A35">
              <w:rPr>
                <w:rFonts w:ascii="Arial Narrow" w:hAnsi="Arial Narrow"/>
                <w:b/>
                <w:sz w:val="20"/>
                <w:szCs w:val="20"/>
              </w:rPr>
              <w:t xml:space="preserve">Was an ‘a priori’ design provided? </w:t>
            </w:r>
          </w:p>
          <w:p w:rsidR="00092F60" w:rsidRPr="00303A35" w:rsidRDefault="00092F60" w:rsidP="00092F60">
            <w:pPr>
              <w:spacing w:before="40" w:after="40"/>
              <w:rPr>
                <w:rFonts w:ascii="Arial Narrow" w:hAnsi="Arial Narrow"/>
                <w:sz w:val="20"/>
                <w:szCs w:val="20"/>
              </w:rPr>
            </w:pPr>
            <w:r w:rsidRPr="00303A35">
              <w:rPr>
                <w:rFonts w:ascii="Arial Narrow" w:hAnsi="Arial Narrow"/>
                <w:sz w:val="20"/>
                <w:szCs w:val="20"/>
              </w:rPr>
              <w:t xml:space="preserve">The research question and inclusion criteria should be established before the conduct of the review. </w:t>
            </w:r>
          </w:p>
          <w:p w:rsidR="00092F60" w:rsidRPr="00303A35" w:rsidRDefault="00092F60" w:rsidP="00092F60">
            <w:pPr>
              <w:spacing w:before="40" w:after="40"/>
              <w:rPr>
                <w:rFonts w:ascii="Arial Narrow" w:hAnsi="Arial Narrow"/>
                <w:i/>
                <w:sz w:val="20"/>
                <w:szCs w:val="20"/>
              </w:rPr>
            </w:pPr>
            <w:r w:rsidRPr="00303A35">
              <w:rPr>
                <w:rFonts w:ascii="Arial Narrow" w:hAnsi="Arial Narrow"/>
                <w:i/>
                <w:sz w:val="20"/>
                <w:szCs w:val="20"/>
              </w:rPr>
              <w:t>Note: Need to refer to a protocol, ethics approval, or pre-determined/a priori published research objective to score a “yes”</w:t>
            </w:r>
          </w:p>
        </w:tc>
        <w:tc>
          <w:tcPr>
            <w:tcW w:w="155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Yes</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 xml:space="preserve">No </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Can’t answer</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Not applicable</w:t>
            </w:r>
          </w:p>
        </w:tc>
      </w:tr>
      <w:tr w:rsidR="00092F60" w:rsidRPr="00303A35" w:rsidTr="00092F60">
        <w:tc>
          <w:tcPr>
            <w:tcW w:w="7621" w:type="dxa"/>
          </w:tcPr>
          <w:p w:rsidR="00092F60" w:rsidRPr="00303A35" w:rsidRDefault="00092F60" w:rsidP="00E8561A">
            <w:pPr>
              <w:pStyle w:val="ListParagraph"/>
              <w:numPr>
                <w:ilvl w:val="0"/>
                <w:numId w:val="26"/>
              </w:numPr>
              <w:spacing w:before="40" w:after="40"/>
              <w:ind w:left="426" w:hanging="426"/>
              <w:rPr>
                <w:rFonts w:ascii="Arial Narrow" w:hAnsi="Arial Narrow"/>
                <w:b/>
                <w:bCs/>
                <w:sz w:val="20"/>
                <w:szCs w:val="20"/>
              </w:rPr>
            </w:pPr>
            <w:r w:rsidRPr="00303A35">
              <w:rPr>
                <w:rFonts w:ascii="Arial Narrow" w:hAnsi="Arial Narrow"/>
                <w:b/>
                <w:bCs/>
                <w:sz w:val="20"/>
                <w:szCs w:val="20"/>
              </w:rPr>
              <w:t>Was there duplicate study selection and data extraction?</w:t>
            </w:r>
          </w:p>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 xml:space="preserve">There should be at least two independent data extractors and a consensus process for disagreements should in place. </w:t>
            </w:r>
          </w:p>
          <w:p w:rsidR="00092F60" w:rsidRPr="00303A35" w:rsidRDefault="00092F60" w:rsidP="00092F60">
            <w:pPr>
              <w:autoSpaceDE w:val="0"/>
              <w:autoSpaceDN w:val="0"/>
              <w:adjustRightInd w:val="0"/>
              <w:spacing w:before="40" w:after="40"/>
              <w:rPr>
                <w:rFonts w:ascii="Arial Narrow" w:hAnsi="Arial Narrow"/>
                <w:bCs/>
                <w:i/>
                <w:sz w:val="20"/>
                <w:szCs w:val="20"/>
              </w:rPr>
            </w:pPr>
            <w:r w:rsidRPr="00303A35">
              <w:rPr>
                <w:rFonts w:ascii="Arial Narrow" w:hAnsi="Arial Narrow"/>
                <w:bCs/>
                <w:i/>
                <w:sz w:val="20"/>
                <w:szCs w:val="20"/>
              </w:rPr>
              <w:t>Note: 2 people do study selection, 2 people do data extraction, consensus process or one person checks the other’s work.</w:t>
            </w:r>
          </w:p>
        </w:tc>
        <w:tc>
          <w:tcPr>
            <w:tcW w:w="155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Yes</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 xml:space="preserve">No </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Can’t answer</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Not applicable</w:t>
            </w:r>
          </w:p>
        </w:tc>
      </w:tr>
      <w:tr w:rsidR="00092F60" w:rsidRPr="00303A35" w:rsidTr="00092F60">
        <w:tc>
          <w:tcPr>
            <w:tcW w:w="7621" w:type="dxa"/>
          </w:tcPr>
          <w:p w:rsidR="00092F60" w:rsidRPr="00303A35" w:rsidRDefault="00092F60" w:rsidP="00E8561A">
            <w:pPr>
              <w:pStyle w:val="ListParagraph"/>
              <w:numPr>
                <w:ilvl w:val="0"/>
                <w:numId w:val="26"/>
              </w:numPr>
              <w:spacing w:before="40" w:after="40"/>
              <w:ind w:left="426" w:hanging="426"/>
              <w:rPr>
                <w:rFonts w:ascii="Arial Narrow" w:hAnsi="Arial Narrow"/>
                <w:b/>
                <w:bCs/>
                <w:sz w:val="20"/>
                <w:szCs w:val="20"/>
              </w:rPr>
            </w:pPr>
            <w:r w:rsidRPr="00303A35">
              <w:rPr>
                <w:rFonts w:ascii="Arial Narrow" w:hAnsi="Arial Narrow"/>
                <w:b/>
                <w:bCs/>
                <w:sz w:val="20"/>
                <w:szCs w:val="20"/>
              </w:rPr>
              <w:t>Was a comprehensive literature search performed?</w:t>
            </w:r>
          </w:p>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 xml:space="preserve">At least two electronic sources should be searched. The report must include years and databases used (e.g. Central, EMBASE, and Medline). Key words and/or MESH terms must be stated and where feasible the search strategy should be provided. All searches should be supplemented by consulting current contents, reviews, textbooks, specialised registers, or experts in the particular field of study, and by reviewing the references of the studies found. </w:t>
            </w:r>
          </w:p>
          <w:p w:rsidR="00092F60" w:rsidRPr="00303A35" w:rsidRDefault="00092F60" w:rsidP="00092F60">
            <w:pPr>
              <w:autoSpaceDE w:val="0"/>
              <w:autoSpaceDN w:val="0"/>
              <w:adjustRightInd w:val="0"/>
              <w:spacing w:before="40" w:after="40"/>
              <w:rPr>
                <w:rFonts w:ascii="Arial Narrow" w:hAnsi="Arial Narrow"/>
                <w:bCs/>
                <w:i/>
                <w:sz w:val="20"/>
                <w:szCs w:val="20"/>
              </w:rPr>
            </w:pPr>
            <w:r w:rsidRPr="00303A35">
              <w:rPr>
                <w:rFonts w:ascii="Arial Narrow" w:hAnsi="Arial Narrow"/>
                <w:bCs/>
                <w:i/>
                <w:sz w:val="20"/>
                <w:szCs w:val="20"/>
              </w:rPr>
              <w:t>Note: If at least 2 sources + one supplementary strategy used, select “Yes” (Cochrane register/Central counts as 2 sources; a grey literature search counts as supplementary)</w:t>
            </w:r>
          </w:p>
        </w:tc>
        <w:tc>
          <w:tcPr>
            <w:tcW w:w="155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Yes</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 xml:space="preserve">No </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Can’t answer</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Not applicable</w:t>
            </w:r>
          </w:p>
        </w:tc>
      </w:tr>
      <w:tr w:rsidR="00092F60" w:rsidRPr="00303A35" w:rsidTr="00092F60">
        <w:tc>
          <w:tcPr>
            <w:tcW w:w="7621" w:type="dxa"/>
          </w:tcPr>
          <w:p w:rsidR="00092F60" w:rsidRPr="00303A35" w:rsidRDefault="00092F60" w:rsidP="00E8561A">
            <w:pPr>
              <w:pStyle w:val="ListParagraph"/>
              <w:numPr>
                <w:ilvl w:val="0"/>
                <w:numId w:val="26"/>
              </w:numPr>
              <w:spacing w:before="40" w:after="40"/>
              <w:ind w:left="426" w:hanging="426"/>
              <w:rPr>
                <w:rFonts w:ascii="Arial Narrow" w:hAnsi="Arial Narrow"/>
                <w:b/>
                <w:bCs/>
                <w:sz w:val="20"/>
                <w:szCs w:val="20"/>
              </w:rPr>
            </w:pPr>
            <w:r w:rsidRPr="00303A35">
              <w:rPr>
                <w:rFonts w:ascii="Arial Narrow" w:hAnsi="Arial Narrow"/>
                <w:b/>
                <w:bCs/>
                <w:sz w:val="20"/>
                <w:szCs w:val="20"/>
              </w:rPr>
              <w:t xml:space="preserve">Was the status of publication (i.e. grey literature) used as an inclusion criterion? </w:t>
            </w:r>
          </w:p>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 xml:space="preserve">The authors should state that they searched for reports regardless of their publication type. The authors should state whether or not they excluded any reports (from the systematic review), based on their publication status, language etc. </w:t>
            </w:r>
          </w:p>
          <w:p w:rsidR="00092F60" w:rsidRPr="00303A35" w:rsidRDefault="00092F60" w:rsidP="00092F60">
            <w:pPr>
              <w:autoSpaceDE w:val="0"/>
              <w:autoSpaceDN w:val="0"/>
              <w:adjustRightInd w:val="0"/>
              <w:spacing w:before="40" w:after="40"/>
              <w:rPr>
                <w:rFonts w:ascii="Arial Narrow" w:hAnsi="Arial Narrow"/>
                <w:bCs/>
                <w:i/>
                <w:sz w:val="20"/>
                <w:szCs w:val="20"/>
              </w:rPr>
            </w:pPr>
            <w:r w:rsidRPr="00303A35">
              <w:rPr>
                <w:rFonts w:ascii="Arial Narrow" w:hAnsi="Arial Narrow"/>
                <w:bCs/>
                <w:i/>
                <w:sz w:val="20"/>
                <w:szCs w:val="20"/>
              </w:rPr>
              <w:t>Note: If review indicates that there was a search for “grey literature” or “unpublished literature</w:t>
            </w:r>
            <w:proofErr w:type="gramStart"/>
            <w:r w:rsidRPr="00303A35">
              <w:rPr>
                <w:rFonts w:ascii="Arial Narrow" w:hAnsi="Arial Narrow"/>
                <w:bCs/>
                <w:i/>
                <w:sz w:val="20"/>
                <w:szCs w:val="20"/>
              </w:rPr>
              <w:t>”,</w:t>
            </w:r>
            <w:proofErr w:type="gramEnd"/>
            <w:r w:rsidRPr="00303A35">
              <w:rPr>
                <w:rFonts w:ascii="Arial Narrow" w:hAnsi="Arial Narrow"/>
                <w:bCs/>
                <w:i/>
                <w:sz w:val="20"/>
                <w:szCs w:val="20"/>
              </w:rPr>
              <w:t xml:space="preserve"> indicate “yes”. SIGLE database, dissertations, conference proceedings, and trial registers are all considered grey for this purpose. If searching a source that contains both grey and non-grey, must specify that they were searching for grey/unpublished lit.</w:t>
            </w:r>
          </w:p>
        </w:tc>
        <w:tc>
          <w:tcPr>
            <w:tcW w:w="155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Yes</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 xml:space="preserve">No </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Can’t answer</w:t>
            </w:r>
          </w:p>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Not applicable</w:t>
            </w:r>
          </w:p>
        </w:tc>
      </w:tr>
      <w:tr w:rsidR="00092F60" w:rsidRPr="00303A35" w:rsidTr="00092F60">
        <w:tc>
          <w:tcPr>
            <w:tcW w:w="7621" w:type="dxa"/>
          </w:tcPr>
          <w:p w:rsidR="00092F60" w:rsidRPr="00303A35" w:rsidRDefault="00092F60" w:rsidP="00E8561A">
            <w:pPr>
              <w:pStyle w:val="ListParagraph"/>
              <w:numPr>
                <w:ilvl w:val="0"/>
                <w:numId w:val="26"/>
              </w:numPr>
              <w:spacing w:before="40" w:after="40"/>
              <w:ind w:left="426" w:hanging="426"/>
              <w:rPr>
                <w:rFonts w:ascii="Arial Narrow" w:hAnsi="Arial Narrow"/>
                <w:b/>
                <w:bCs/>
                <w:sz w:val="20"/>
                <w:szCs w:val="20"/>
              </w:rPr>
            </w:pPr>
            <w:r w:rsidRPr="00303A35">
              <w:rPr>
                <w:rFonts w:ascii="Arial Narrow" w:hAnsi="Arial Narrow"/>
                <w:b/>
                <w:bCs/>
                <w:sz w:val="20"/>
                <w:szCs w:val="20"/>
              </w:rPr>
              <w:t>Was a list of studies (included and excluded) provided?</w:t>
            </w:r>
          </w:p>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 xml:space="preserve">A list of included and excluded studies should be provided. </w:t>
            </w:r>
          </w:p>
          <w:p w:rsidR="00092F60" w:rsidRPr="00303A35" w:rsidRDefault="00092F60" w:rsidP="00092F60">
            <w:pPr>
              <w:autoSpaceDE w:val="0"/>
              <w:autoSpaceDN w:val="0"/>
              <w:adjustRightInd w:val="0"/>
              <w:spacing w:before="40" w:after="40"/>
              <w:rPr>
                <w:rFonts w:ascii="Arial Narrow" w:hAnsi="Arial Narrow"/>
                <w:bCs/>
                <w:i/>
                <w:sz w:val="20"/>
                <w:szCs w:val="20"/>
              </w:rPr>
            </w:pPr>
            <w:r w:rsidRPr="00303A35">
              <w:rPr>
                <w:rFonts w:ascii="Arial Narrow" w:hAnsi="Arial Narrow"/>
                <w:bCs/>
                <w:i/>
                <w:sz w:val="20"/>
                <w:szCs w:val="20"/>
              </w:rPr>
              <w:t xml:space="preserve">Note: Acceptable if the excluded studies are referenced. If there is an electronic link to the list but the link is dead, select “no”. </w:t>
            </w:r>
          </w:p>
        </w:tc>
        <w:tc>
          <w:tcPr>
            <w:tcW w:w="155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Yes</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 xml:space="preserve">No </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Can’t answer</w:t>
            </w:r>
          </w:p>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Not applicable</w:t>
            </w:r>
          </w:p>
        </w:tc>
      </w:tr>
      <w:tr w:rsidR="00092F60" w:rsidRPr="00303A35" w:rsidTr="00092F60">
        <w:tc>
          <w:tcPr>
            <w:tcW w:w="7621" w:type="dxa"/>
          </w:tcPr>
          <w:p w:rsidR="00092F60" w:rsidRPr="00303A35" w:rsidRDefault="00092F60" w:rsidP="00E8561A">
            <w:pPr>
              <w:pStyle w:val="ListParagraph"/>
              <w:numPr>
                <w:ilvl w:val="0"/>
                <w:numId w:val="26"/>
              </w:numPr>
              <w:spacing w:before="40" w:after="40"/>
              <w:ind w:left="426" w:hanging="426"/>
              <w:rPr>
                <w:rFonts w:ascii="Arial Narrow" w:hAnsi="Arial Narrow"/>
                <w:b/>
                <w:bCs/>
                <w:sz w:val="20"/>
                <w:szCs w:val="20"/>
              </w:rPr>
            </w:pPr>
            <w:r w:rsidRPr="00303A35">
              <w:rPr>
                <w:rFonts w:ascii="Arial Narrow" w:hAnsi="Arial Narrow"/>
                <w:b/>
                <w:bCs/>
                <w:sz w:val="20"/>
                <w:szCs w:val="20"/>
              </w:rPr>
              <w:t>Where the characteristics of the included studies provided?</w:t>
            </w:r>
          </w:p>
          <w:p w:rsidR="00092F60" w:rsidRPr="00303A35" w:rsidRDefault="00092F60" w:rsidP="00092F60">
            <w:pPr>
              <w:spacing w:before="40" w:after="40"/>
              <w:rPr>
                <w:rFonts w:ascii="Arial Narrow" w:hAnsi="Arial Narrow"/>
                <w:bCs/>
                <w:sz w:val="20"/>
                <w:szCs w:val="20"/>
              </w:rPr>
            </w:pPr>
            <w:r w:rsidRPr="00303A35">
              <w:rPr>
                <w:rFonts w:ascii="Arial Narrow" w:hAnsi="Arial Narrow"/>
                <w:bCs/>
                <w:sz w:val="20"/>
                <w:szCs w:val="20"/>
              </w:rPr>
              <w:t xml:space="preserve">In an aggregated form such as a table, data from original studies should be provided on the participants, interventions and outcomes. The ranges of characteristics in all the studies analysed e.g. age, race, sex, relevant socioeconomic data, disease status, duration, severity, or other diseases should be reported. </w:t>
            </w:r>
          </w:p>
          <w:p w:rsidR="00092F60" w:rsidRPr="00303A35" w:rsidRDefault="00092F60" w:rsidP="00092F60">
            <w:pPr>
              <w:spacing w:before="40" w:after="40"/>
              <w:rPr>
                <w:rFonts w:ascii="Arial Narrow" w:hAnsi="Arial Narrow"/>
                <w:bCs/>
                <w:i/>
                <w:sz w:val="20"/>
                <w:szCs w:val="20"/>
              </w:rPr>
            </w:pPr>
            <w:r w:rsidRPr="00303A35">
              <w:rPr>
                <w:rFonts w:ascii="Arial Narrow" w:hAnsi="Arial Narrow"/>
                <w:bCs/>
                <w:i/>
                <w:sz w:val="20"/>
                <w:szCs w:val="20"/>
              </w:rPr>
              <w:t>Note: Acceptable if not in table format as long as they are described as above.</w:t>
            </w:r>
          </w:p>
        </w:tc>
        <w:tc>
          <w:tcPr>
            <w:tcW w:w="155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Yes</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 xml:space="preserve">No </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Can’t answer</w:t>
            </w:r>
          </w:p>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Not applicable</w:t>
            </w:r>
          </w:p>
        </w:tc>
      </w:tr>
      <w:tr w:rsidR="00092F60" w:rsidRPr="00303A35" w:rsidTr="00092F60">
        <w:tc>
          <w:tcPr>
            <w:tcW w:w="7621" w:type="dxa"/>
          </w:tcPr>
          <w:p w:rsidR="00092F60" w:rsidRPr="00303A35" w:rsidRDefault="00092F60" w:rsidP="00E8561A">
            <w:pPr>
              <w:pStyle w:val="ListParagraph"/>
              <w:numPr>
                <w:ilvl w:val="0"/>
                <w:numId w:val="26"/>
              </w:numPr>
              <w:spacing w:before="40" w:after="40"/>
              <w:ind w:left="426" w:hanging="426"/>
              <w:rPr>
                <w:rFonts w:ascii="Arial Narrow" w:hAnsi="Arial Narrow"/>
                <w:b/>
                <w:bCs/>
                <w:sz w:val="20"/>
                <w:szCs w:val="20"/>
              </w:rPr>
            </w:pPr>
            <w:r w:rsidRPr="00303A35">
              <w:rPr>
                <w:rFonts w:ascii="Arial Narrow" w:hAnsi="Arial Narrow"/>
                <w:b/>
                <w:bCs/>
                <w:sz w:val="20"/>
                <w:szCs w:val="20"/>
              </w:rPr>
              <w:t>Was the scientific quality of the included studies assessed and documented?</w:t>
            </w:r>
          </w:p>
          <w:p w:rsidR="00092F60" w:rsidRPr="00303A35" w:rsidRDefault="00092F60" w:rsidP="00092F60">
            <w:pPr>
              <w:spacing w:before="40" w:after="40"/>
              <w:rPr>
                <w:rFonts w:ascii="Arial Narrow" w:hAnsi="Arial Narrow"/>
                <w:bCs/>
                <w:sz w:val="20"/>
                <w:szCs w:val="20"/>
              </w:rPr>
            </w:pPr>
            <w:r w:rsidRPr="00303A35">
              <w:rPr>
                <w:rFonts w:ascii="Arial Narrow" w:hAnsi="Arial Narrow"/>
                <w:bCs/>
                <w:sz w:val="20"/>
                <w:szCs w:val="20"/>
              </w:rPr>
              <w:t>‘A priori’ methods of assessment should be provided (e.g. for effectiveness studies if the author(s) chose to include only randomised, double-blind, placebo controlled studies, or allocation concealment as inclusion criteria); for other types of studies alternative items will be relevant.</w:t>
            </w:r>
          </w:p>
          <w:p w:rsidR="00092F60" w:rsidRPr="00303A35" w:rsidRDefault="00092F60" w:rsidP="00092F60">
            <w:pPr>
              <w:spacing w:before="40" w:after="40"/>
              <w:rPr>
                <w:rFonts w:ascii="Arial Narrow" w:hAnsi="Arial Narrow"/>
                <w:bCs/>
                <w:i/>
                <w:sz w:val="20"/>
                <w:szCs w:val="20"/>
              </w:rPr>
            </w:pPr>
            <w:r w:rsidRPr="00303A35">
              <w:rPr>
                <w:rFonts w:ascii="Arial Narrow" w:hAnsi="Arial Narrow"/>
                <w:bCs/>
                <w:i/>
                <w:sz w:val="20"/>
                <w:szCs w:val="20"/>
              </w:rPr>
              <w:lastRenderedPageBreak/>
              <w:t xml:space="preserve">Note: Can include use of a quality scoring tool or checklist, e.g. Jadad scale, risk of bias, sensitivity analysis, etc. or description of quality items, with some kind of result for EACH study (“low”, or “high” is fine, as long as it is clear which studies scored “low” and which </w:t>
            </w:r>
            <w:proofErr w:type="gramStart"/>
            <w:r w:rsidRPr="00303A35">
              <w:rPr>
                <w:rFonts w:ascii="Arial Narrow" w:hAnsi="Arial Narrow"/>
                <w:bCs/>
                <w:i/>
                <w:sz w:val="20"/>
                <w:szCs w:val="20"/>
              </w:rPr>
              <w:t>scored ”</w:t>
            </w:r>
            <w:proofErr w:type="gramEnd"/>
            <w:r w:rsidRPr="00303A35">
              <w:rPr>
                <w:rFonts w:ascii="Arial Narrow" w:hAnsi="Arial Narrow"/>
                <w:bCs/>
                <w:i/>
                <w:sz w:val="20"/>
                <w:szCs w:val="20"/>
              </w:rPr>
              <w:t>high”; a summary score/range for all studies is not acceptable).</w:t>
            </w:r>
          </w:p>
        </w:tc>
        <w:tc>
          <w:tcPr>
            <w:tcW w:w="155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lastRenderedPageBreak/>
              <w:t>Yes</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 xml:space="preserve">No </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Can’t answer</w:t>
            </w:r>
          </w:p>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Not applicable</w:t>
            </w:r>
          </w:p>
        </w:tc>
      </w:tr>
      <w:tr w:rsidR="00092F60" w:rsidRPr="00303A35" w:rsidTr="00092F60">
        <w:tc>
          <w:tcPr>
            <w:tcW w:w="7621" w:type="dxa"/>
          </w:tcPr>
          <w:p w:rsidR="00092F60" w:rsidRPr="00303A35" w:rsidRDefault="00092F60" w:rsidP="00E8561A">
            <w:pPr>
              <w:pStyle w:val="ListParagraph"/>
              <w:numPr>
                <w:ilvl w:val="0"/>
                <w:numId w:val="26"/>
              </w:numPr>
              <w:spacing w:before="40" w:after="40"/>
              <w:ind w:left="426" w:hanging="426"/>
              <w:rPr>
                <w:rFonts w:ascii="Arial Narrow" w:hAnsi="Arial Narrow"/>
                <w:b/>
                <w:bCs/>
                <w:sz w:val="20"/>
                <w:szCs w:val="20"/>
              </w:rPr>
            </w:pPr>
            <w:r w:rsidRPr="00303A35">
              <w:rPr>
                <w:rFonts w:ascii="Arial Narrow" w:hAnsi="Arial Narrow"/>
                <w:b/>
                <w:bCs/>
                <w:sz w:val="20"/>
                <w:szCs w:val="20"/>
              </w:rPr>
              <w:lastRenderedPageBreak/>
              <w:t>Was the scientific quality of the included studies used appropriately in formulating conclusions?</w:t>
            </w:r>
          </w:p>
          <w:p w:rsidR="00092F60" w:rsidRPr="00303A35" w:rsidRDefault="00092F60" w:rsidP="00092F60">
            <w:pPr>
              <w:spacing w:before="40" w:after="40"/>
              <w:rPr>
                <w:rFonts w:ascii="Arial Narrow" w:hAnsi="Arial Narrow"/>
                <w:bCs/>
                <w:sz w:val="20"/>
                <w:szCs w:val="20"/>
              </w:rPr>
            </w:pPr>
            <w:r w:rsidRPr="00303A35">
              <w:rPr>
                <w:rFonts w:ascii="Arial Narrow" w:hAnsi="Arial Narrow"/>
                <w:bCs/>
                <w:sz w:val="20"/>
                <w:szCs w:val="20"/>
              </w:rPr>
              <w:t xml:space="preserve">The results of the methodological rigour and scientific quality should be considered in the analysis and the conclusions of the review, and explicity stated in formulating recommendations. </w:t>
            </w:r>
          </w:p>
          <w:p w:rsidR="00092F60" w:rsidRPr="00303A35" w:rsidRDefault="00092F60" w:rsidP="00092F60">
            <w:pPr>
              <w:spacing w:before="40" w:after="40"/>
              <w:rPr>
                <w:rFonts w:ascii="Arial Narrow" w:hAnsi="Arial Narrow"/>
                <w:bCs/>
                <w:i/>
                <w:sz w:val="20"/>
                <w:szCs w:val="20"/>
              </w:rPr>
            </w:pPr>
            <w:r w:rsidRPr="00303A35">
              <w:rPr>
                <w:rFonts w:ascii="Arial Narrow" w:hAnsi="Arial Narrow"/>
                <w:bCs/>
                <w:i/>
                <w:sz w:val="20"/>
                <w:szCs w:val="20"/>
              </w:rPr>
              <w:t xml:space="preserve">Note: Might say something such as “the results should be interpreted with caution due to poor quality of included studies”. Cannot score “yes” for this question if scored “no” for question 7. </w:t>
            </w:r>
          </w:p>
        </w:tc>
        <w:tc>
          <w:tcPr>
            <w:tcW w:w="155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Yes</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 xml:space="preserve">No </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Can’t answer</w:t>
            </w:r>
          </w:p>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Not applicable</w:t>
            </w:r>
          </w:p>
        </w:tc>
      </w:tr>
      <w:tr w:rsidR="00092F60" w:rsidRPr="00303A35" w:rsidTr="00092F60">
        <w:tc>
          <w:tcPr>
            <w:tcW w:w="7621" w:type="dxa"/>
          </w:tcPr>
          <w:p w:rsidR="00092F60" w:rsidRPr="00303A35" w:rsidRDefault="00092F60" w:rsidP="00E8561A">
            <w:pPr>
              <w:pStyle w:val="ListParagraph"/>
              <w:numPr>
                <w:ilvl w:val="0"/>
                <w:numId w:val="26"/>
              </w:numPr>
              <w:spacing w:before="40" w:after="40"/>
              <w:ind w:left="426" w:hanging="426"/>
              <w:rPr>
                <w:rFonts w:ascii="Arial Narrow" w:hAnsi="Arial Narrow"/>
                <w:b/>
                <w:bCs/>
                <w:sz w:val="20"/>
                <w:szCs w:val="20"/>
              </w:rPr>
            </w:pPr>
            <w:r w:rsidRPr="00303A35">
              <w:rPr>
                <w:rFonts w:ascii="Arial Narrow" w:hAnsi="Arial Narrow"/>
                <w:b/>
                <w:bCs/>
                <w:sz w:val="20"/>
                <w:szCs w:val="20"/>
              </w:rPr>
              <w:t>Were the methods used to combine the findings of the studies appropriate?</w:t>
            </w:r>
          </w:p>
          <w:p w:rsidR="00092F60" w:rsidRPr="00303A35" w:rsidRDefault="00092F60" w:rsidP="00092F60">
            <w:pPr>
              <w:spacing w:before="40" w:after="40"/>
              <w:rPr>
                <w:rFonts w:ascii="Arial Narrow" w:hAnsi="Arial Narrow"/>
                <w:bCs/>
                <w:sz w:val="20"/>
                <w:szCs w:val="20"/>
              </w:rPr>
            </w:pPr>
            <w:r w:rsidRPr="00303A35">
              <w:rPr>
                <w:rFonts w:ascii="Arial Narrow" w:hAnsi="Arial Narrow"/>
                <w:bCs/>
                <w:sz w:val="20"/>
                <w:szCs w:val="20"/>
              </w:rPr>
              <w:t>For the pooled results, a test should be done to ensure the studies were combinable, to assess their heterogeneity (i.e. Chi-squared test for homogeneity, I</w:t>
            </w:r>
            <w:r w:rsidRPr="00303A35">
              <w:rPr>
                <w:rFonts w:ascii="Arial Narrow" w:hAnsi="Arial Narrow"/>
                <w:bCs/>
                <w:sz w:val="20"/>
                <w:szCs w:val="20"/>
                <w:vertAlign w:val="superscript"/>
              </w:rPr>
              <w:t>2</w:t>
            </w:r>
            <w:r w:rsidRPr="00303A35">
              <w:rPr>
                <w:rFonts w:ascii="Arial Narrow" w:hAnsi="Arial Narrow"/>
                <w:bCs/>
                <w:sz w:val="20"/>
                <w:szCs w:val="20"/>
              </w:rPr>
              <w:t>). If heterogeneity exists a random effects model should be used and/or the clinical appropriateness of combining should be taken into consideration (i.e. is it sensible to combine?).</w:t>
            </w:r>
          </w:p>
          <w:p w:rsidR="00092F60" w:rsidRPr="00303A35" w:rsidRDefault="00092F60" w:rsidP="00092F60">
            <w:pPr>
              <w:spacing w:before="40" w:after="40"/>
              <w:rPr>
                <w:rFonts w:ascii="Arial Narrow" w:hAnsi="Arial Narrow"/>
                <w:bCs/>
                <w:i/>
                <w:sz w:val="20"/>
                <w:szCs w:val="20"/>
              </w:rPr>
            </w:pPr>
            <w:r w:rsidRPr="00303A35">
              <w:rPr>
                <w:rFonts w:ascii="Arial Narrow" w:hAnsi="Arial Narrow"/>
                <w:bCs/>
                <w:i/>
                <w:sz w:val="20"/>
                <w:szCs w:val="20"/>
              </w:rPr>
              <w:t xml:space="preserve">Note: Indicate “yes” if they mention or describe heterogeneity, i.e. if they explain that they cannot pool because of heterogeneity/ variability between interventions. </w:t>
            </w:r>
          </w:p>
        </w:tc>
        <w:tc>
          <w:tcPr>
            <w:tcW w:w="155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Yes</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 xml:space="preserve">No </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Can’t answer</w:t>
            </w:r>
          </w:p>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Not applicable</w:t>
            </w:r>
          </w:p>
        </w:tc>
      </w:tr>
      <w:tr w:rsidR="00092F60" w:rsidRPr="00303A35" w:rsidTr="00092F60">
        <w:tc>
          <w:tcPr>
            <w:tcW w:w="7621" w:type="dxa"/>
          </w:tcPr>
          <w:p w:rsidR="00092F60" w:rsidRPr="00303A35" w:rsidRDefault="00092F60" w:rsidP="00E8561A">
            <w:pPr>
              <w:pStyle w:val="ListParagraph"/>
              <w:numPr>
                <w:ilvl w:val="0"/>
                <w:numId w:val="26"/>
              </w:numPr>
              <w:spacing w:before="40" w:after="40"/>
              <w:ind w:left="426" w:hanging="426"/>
              <w:rPr>
                <w:rFonts w:ascii="Arial Narrow" w:hAnsi="Arial Narrow"/>
                <w:b/>
                <w:bCs/>
                <w:sz w:val="20"/>
                <w:szCs w:val="20"/>
              </w:rPr>
            </w:pPr>
            <w:r w:rsidRPr="00303A35">
              <w:rPr>
                <w:rFonts w:ascii="Arial Narrow" w:hAnsi="Arial Narrow"/>
                <w:b/>
                <w:bCs/>
                <w:sz w:val="20"/>
                <w:szCs w:val="20"/>
              </w:rPr>
              <w:t>Was the likelihood of publication bias assessed?</w:t>
            </w:r>
          </w:p>
          <w:p w:rsidR="00092F60" w:rsidRPr="00303A35" w:rsidRDefault="00092F60" w:rsidP="00092F60">
            <w:pPr>
              <w:spacing w:before="40" w:after="40"/>
              <w:rPr>
                <w:rFonts w:ascii="Arial Narrow" w:hAnsi="Arial Narrow"/>
                <w:bCs/>
                <w:sz w:val="20"/>
                <w:szCs w:val="20"/>
              </w:rPr>
            </w:pPr>
            <w:r w:rsidRPr="00303A35">
              <w:rPr>
                <w:rFonts w:ascii="Arial Narrow" w:hAnsi="Arial Narrow"/>
                <w:bCs/>
                <w:sz w:val="20"/>
                <w:szCs w:val="20"/>
              </w:rPr>
              <w:t xml:space="preserve">An assessment of publication bias should include a combination of graphical aids (e.g. funnel plot, other available test (e.g. Egger regression test, Hedges-Olken). </w:t>
            </w:r>
          </w:p>
          <w:p w:rsidR="00092F60" w:rsidRPr="00303A35" w:rsidRDefault="00092F60" w:rsidP="00092F60">
            <w:pPr>
              <w:spacing w:before="40" w:after="40"/>
              <w:rPr>
                <w:rFonts w:ascii="Arial Narrow" w:hAnsi="Arial Narrow"/>
                <w:bCs/>
                <w:i/>
                <w:sz w:val="20"/>
                <w:szCs w:val="20"/>
              </w:rPr>
            </w:pPr>
            <w:r w:rsidRPr="00303A35">
              <w:rPr>
                <w:rFonts w:ascii="Arial Narrow" w:hAnsi="Arial Narrow"/>
                <w:bCs/>
                <w:i/>
                <w:sz w:val="20"/>
                <w:szCs w:val="20"/>
              </w:rPr>
              <w:t>Note: If no test values or funnel plot indicated, score “no”. Score “yes” if mentions that publication bias could not be assessed because there were fewer than 10 included studies.</w:t>
            </w:r>
          </w:p>
        </w:tc>
        <w:tc>
          <w:tcPr>
            <w:tcW w:w="155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Yes</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 xml:space="preserve">No </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Can’t answer</w:t>
            </w:r>
          </w:p>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Not applicable</w:t>
            </w:r>
          </w:p>
        </w:tc>
      </w:tr>
      <w:tr w:rsidR="00092F60" w:rsidRPr="00303A35" w:rsidTr="00092F60">
        <w:tc>
          <w:tcPr>
            <w:tcW w:w="7621" w:type="dxa"/>
          </w:tcPr>
          <w:p w:rsidR="00092F60" w:rsidRPr="00303A35" w:rsidRDefault="00092F60" w:rsidP="00E8561A">
            <w:pPr>
              <w:pStyle w:val="ListParagraph"/>
              <w:numPr>
                <w:ilvl w:val="0"/>
                <w:numId w:val="26"/>
              </w:numPr>
              <w:spacing w:before="40" w:after="40"/>
              <w:ind w:left="426" w:hanging="426"/>
              <w:rPr>
                <w:rFonts w:ascii="Arial Narrow" w:hAnsi="Arial Narrow"/>
                <w:b/>
                <w:bCs/>
                <w:sz w:val="20"/>
                <w:szCs w:val="20"/>
              </w:rPr>
            </w:pPr>
            <w:r w:rsidRPr="00303A35">
              <w:rPr>
                <w:rFonts w:ascii="Arial Narrow" w:hAnsi="Arial Narrow"/>
                <w:b/>
                <w:bCs/>
                <w:sz w:val="20"/>
                <w:szCs w:val="20"/>
              </w:rPr>
              <w:t>Was the conflict of interest included?</w:t>
            </w:r>
          </w:p>
          <w:p w:rsidR="00092F60" w:rsidRPr="00303A35" w:rsidRDefault="00092F60" w:rsidP="00092F60">
            <w:pPr>
              <w:spacing w:before="40" w:after="40"/>
              <w:rPr>
                <w:rFonts w:ascii="Arial Narrow" w:hAnsi="Arial Narrow"/>
                <w:bCs/>
                <w:sz w:val="20"/>
                <w:szCs w:val="20"/>
              </w:rPr>
            </w:pPr>
            <w:r w:rsidRPr="00303A35">
              <w:rPr>
                <w:rFonts w:ascii="Arial Narrow" w:hAnsi="Arial Narrow"/>
                <w:bCs/>
                <w:sz w:val="20"/>
                <w:szCs w:val="20"/>
              </w:rPr>
              <w:t xml:space="preserve">Potential sources of support should be clearly acknowledged in both the systematic review and the included studies. </w:t>
            </w:r>
          </w:p>
          <w:p w:rsidR="00092F60" w:rsidRPr="00303A35" w:rsidRDefault="00092F60" w:rsidP="00092F60">
            <w:pPr>
              <w:spacing w:before="40" w:after="40"/>
              <w:rPr>
                <w:rFonts w:ascii="Arial Narrow" w:hAnsi="Arial Narrow"/>
                <w:bCs/>
                <w:i/>
                <w:sz w:val="20"/>
                <w:szCs w:val="20"/>
              </w:rPr>
            </w:pPr>
            <w:r w:rsidRPr="00303A35">
              <w:rPr>
                <w:rFonts w:ascii="Arial Narrow" w:hAnsi="Arial Narrow"/>
                <w:bCs/>
                <w:i/>
                <w:sz w:val="20"/>
                <w:szCs w:val="20"/>
              </w:rPr>
              <w:t xml:space="preserve">Note: To get a “yes”, must indicate source of funding or support for the systematic review AND for each of the included studies. </w:t>
            </w:r>
          </w:p>
        </w:tc>
        <w:tc>
          <w:tcPr>
            <w:tcW w:w="155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Yes</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 xml:space="preserve">No </w:t>
            </w:r>
          </w:p>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Can’t answer</w:t>
            </w:r>
          </w:p>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Not applicable</w:t>
            </w:r>
          </w:p>
        </w:tc>
      </w:tr>
    </w:tbl>
    <w:p w:rsidR="00CE0D5D" w:rsidRDefault="00092F60" w:rsidP="00092F60">
      <w:pPr>
        <w:rPr>
          <w:rFonts w:ascii="Arial Narrow" w:hAnsi="Arial Narrow"/>
          <w:sz w:val="20"/>
          <w:szCs w:val="20"/>
        </w:rPr>
      </w:pPr>
      <w:r w:rsidRPr="00A07ED8">
        <w:rPr>
          <w:rFonts w:ascii="Arial Narrow" w:hAnsi="Arial Narrow"/>
          <w:sz w:val="20"/>
          <w:szCs w:val="20"/>
        </w:rPr>
        <w:t>Additional notes (in italics) made by Michelle Weir, Julia Worswick, and Carolyn Wayne based on conversations with Bev Shea and/or Jeremy Grimshaw in June and October 2008 and July and September 2010</w:t>
      </w:r>
      <w:r>
        <w:rPr>
          <w:rFonts w:ascii="Arial Narrow" w:hAnsi="Arial Narrow"/>
          <w:sz w:val="20"/>
          <w:szCs w:val="20"/>
        </w:rPr>
        <w:t xml:space="preserve">. Available from </w:t>
      </w:r>
      <w:r w:rsidRPr="00A62C97">
        <w:rPr>
          <w:rFonts w:ascii="Arial Narrow" w:hAnsi="Arial Narrow"/>
          <w:sz w:val="20"/>
          <w:szCs w:val="20"/>
        </w:rPr>
        <w:t>http://amstar.ca/docs/AMSTARguideline.pdf</w:t>
      </w:r>
      <w:r>
        <w:rPr>
          <w:rFonts w:ascii="Arial Narrow" w:hAnsi="Arial Narrow"/>
          <w:sz w:val="20"/>
          <w:szCs w:val="20"/>
        </w:rPr>
        <w:t xml:space="preserve"> </w:t>
      </w:r>
      <w:r w:rsidR="00CE0D5D">
        <w:rPr>
          <w:rFonts w:ascii="Arial Narrow" w:hAnsi="Arial Narrow"/>
          <w:sz w:val="20"/>
          <w:szCs w:val="20"/>
        </w:rPr>
        <w:br w:type="page"/>
      </w:r>
    </w:p>
    <w:p w:rsidR="00092F60" w:rsidRDefault="00092F60" w:rsidP="0096216D">
      <w:pPr>
        <w:pStyle w:val="Caption"/>
        <w:keepNext/>
        <w:tabs>
          <w:tab w:val="clear" w:pos="851"/>
          <w:tab w:val="left" w:pos="1276"/>
        </w:tabs>
        <w:ind w:left="1276" w:hanging="1276"/>
      </w:pPr>
      <w:bookmarkStart w:id="1106" w:name="_Toc404976354"/>
      <w:bookmarkStart w:id="1107" w:name="_Toc411510519"/>
      <w:bookmarkStart w:id="1108" w:name="_Toc415141949"/>
      <w:r>
        <w:lastRenderedPageBreak/>
        <w:t xml:space="preserve">Table </w:t>
      </w:r>
      <w:r w:rsidR="00A72B26">
        <w:rPr>
          <w:noProof/>
        </w:rPr>
        <w:t>152</w:t>
      </w:r>
      <w:r>
        <w:tab/>
        <w:t>Methodology checklist: randomised controlled trials (SIGN 50)</w:t>
      </w:r>
      <w:bookmarkEnd w:id="1106"/>
      <w:bookmarkEnd w:id="1107"/>
      <w:bookmarkEnd w:id="11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16 Methodology checklist: randomised controlled trials (SIGN 50)"/>
      </w:tblPr>
      <w:tblGrid>
        <w:gridCol w:w="6912"/>
        <w:gridCol w:w="1610"/>
      </w:tblGrid>
      <w:tr w:rsidR="00092F60" w:rsidRPr="00303A35" w:rsidTr="00CE0D5D">
        <w:trPr>
          <w:tblHeader/>
        </w:trPr>
        <w:tc>
          <w:tcPr>
            <w:tcW w:w="6912" w:type="dxa"/>
          </w:tcPr>
          <w:p w:rsidR="00092F60" w:rsidRPr="00303A35" w:rsidRDefault="00092F60" w:rsidP="00092F60">
            <w:pPr>
              <w:keepNext/>
              <w:keepLines/>
              <w:tabs>
                <w:tab w:val="left" w:pos="567"/>
              </w:tabs>
              <w:autoSpaceDE w:val="0"/>
              <w:autoSpaceDN w:val="0"/>
              <w:adjustRightInd w:val="0"/>
              <w:spacing w:before="480"/>
              <w:outlineLvl w:val="0"/>
              <w:rPr>
                <w:rFonts w:ascii="Arial Narrow" w:eastAsia="SimSun" w:hAnsi="Arial Narrow" w:cs="Arial"/>
                <w:sz w:val="20"/>
                <w:szCs w:val="20"/>
                <w:lang w:eastAsia="en-AU"/>
              </w:rPr>
            </w:pPr>
            <w:bookmarkStart w:id="1109" w:name="_Toc343272504"/>
            <w:r w:rsidRPr="00303A35">
              <w:rPr>
                <w:rFonts w:ascii="Arial Narrow" w:eastAsia="SimSun" w:hAnsi="Arial Narrow" w:cs="Arial"/>
                <w:b/>
                <w:sz w:val="20"/>
                <w:szCs w:val="20"/>
                <w:lang w:eastAsia="en-AU"/>
              </w:rPr>
              <w:t>Reference</w:t>
            </w:r>
            <w:r w:rsidRPr="00303A35">
              <w:rPr>
                <w:rFonts w:ascii="Arial Narrow" w:eastAsia="SimSun" w:hAnsi="Arial Narrow" w:cs="Arial"/>
                <w:sz w:val="20"/>
                <w:szCs w:val="20"/>
                <w:lang w:eastAsia="en-AU"/>
              </w:rPr>
              <w:t xml:space="preserve">: </w:t>
            </w:r>
          </w:p>
        </w:tc>
        <w:tc>
          <w:tcPr>
            <w:tcW w:w="1610" w:type="dxa"/>
            <w:vMerge w:val="restart"/>
          </w:tcPr>
          <w:p w:rsidR="00092F60" w:rsidRPr="00303A35" w:rsidRDefault="00092F60" w:rsidP="00092F60">
            <w:pPr>
              <w:keepNext/>
              <w:keepLines/>
              <w:tabs>
                <w:tab w:val="left" w:pos="567"/>
              </w:tabs>
              <w:spacing w:before="40" w:after="40"/>
              <w:outlineLvl w:val="0"/>
              <w:rPr>
                <w:rFonts w:ascii="Arial Narrow" w:hAnsi="Arial Narrow"/>
                <w:sz w:val="20"/>
                <w:szCs w:val="20"/>
              </w:rPr>
            </w:pPr>
            <w:r w:rsidRPr="00303A35">
              <w:rPr>
                <w:rFonts w:ascii="Arial Narrow" w:hAnsi="Arial Narrow"/>
                <w:sz w:val="20"/>
                <w:szCs w:val="20"/>
              </w:rPr>
              <w:t>In this study this criterion is:</w:t>
            </w:r>
          </w:p>
        </w:tc>
      </w:tr>
      <w:tr w:rsidR="00092F60" w:rsidRPr="00303A35" w:rsidTr="00CE0D5D">
        <w:trPr>
          <w:tblHeader/>
        </w:trPr>
        <w:tc>
          <w:tcPr>
            <w:tcW w:w="6912" w:type="dxa"/>
          </w:tcPr>
          <w:p w:rsidR="00092F60" w:rsidRPr="00303A35" w:rsidRDefault="00092F60" w:rsidP="00092F60">
            <w:pPr>
              <w:keepNext/>
              <w:keepLines/>
              <w:tabs>
                <w:tab w:val="left" w:pos="567"/>
              </w:tabs>
              <w:spacing w:before="40" w:after="40"/>
              <w:outlineLvl w:val="0"/>
              <w:rPr>
                <w:rFonts w:ascii="Arial Narrow" w:hAnsi="Arial Narrow"/>
                <w:b/>
                <w:i/>
                <w:sz w:val="20"/>
                <w:szCs w:val="20"/>
              </w:rPr>
            </w:pPr>
            <w:r w:rsidRPr="00303A35">
              <w:rPr>
                <w:rFonts w:ascii="Arial Narrow" w:hAnsi="Arial Narrow"/>
                <w:b/>
                <w:i/>
                <w:sz w:val="20"/>
                <w:szCs w:val="20"/>
              </w:rPr>
              <w:t>Internal validity</w:t>
            </w:r>
          </w:p>
        </w:tc>
        <w:tc>
          <w:tcPr>
            <w:tcW w:w="1610" w:type="dxa"/>
            <w:vMerge/>
          </w:tcPr>
          <w:p w:rsidR="00092F60" w:rsidRPr="00303A35" w:rsidRDefault="00092F60" w:rsidP="00092F60">
            <w:pPr>
              <w:spacing w:before="40" w:after="40"/>
              <w:rPr>
                <w:rFonts w:ascii="Arial Narrow" w:hAnsi="Arial Narrow"/>
                <w:sz w:val="20"/>
                <w:szCs w:val="20"/>
              </w:rPr>
            </w:pPr>
          </w:p>
        </w:tc>
      </w:tr>
      <w:tr w:rsidR="00092F60" w:rsidRPr="00303A35" w:rsidTr="00092F60">
        <w:tc>
          <w:tcPr>
            <w:tcW w:w="6912" w:type="dxa"/>
          </w:tcPr>
          <w:p w:rsidR="00092F60" w:rsidRPr="00303A35" w:rsidRDefault="00092F60" w:rsidP="00092F60">
            <w:pPr>
              <w:spacing w:before="40" w:after="40"/>
              <w:rPr>
                <w:rFonts w:ascii="Arial Narrow" w:hAnsi="Arial Narrow"/>
                <w:sz w:val="20"/>
                <w:szCs w:val="20"/>
              </w:rPr>
            </w:pPr>
            <w:r w:rsidRPr="00303A35">
              <w:rPr>
                <w:rFonts w:ascii="Arial Narrow" w:hAnsi="Arial Narrow"/>
                <w:sz w:val="20"/>
                <w:szCs w:val="20"/>
              </w:rPr>
              <w:t>The study addresses an appropriate and clearly focused question</w:t>
            </w:r>
          </w:p>
        </w:tc>
        <w:tc>
          <w:tcPr>
            <w:tcW w:w="1610" w:type="dxa"/>
          </w:tcPr>
          <w:p w:rsidR="00092F60" w:rsidRPr="00303A35" w:rsidRDefault="00092F60" w:rsidP="00092F60">
            <w:pPr>
              <w:spacing w:before="40" w:after="40"/>
              <w:rPr>
                <w:rFonts w:ascii="Arial Narrow" w:hAnsi="Arial Narrow"/>
                <w:sz w:val="20"/>
                <w:szCs w:val="20"/>
              </w:rPr>
            </w:pPr>
            <w:r w:rsidRPr="00303A35">
              <w:rPr>
                <w:rFonts w:ascii="Arial Narrow" w:hAnsi="Arial Narrow"/>
                <w:sz w:val="20"/>
                <w:szCs w:val="20"/>
              </w:rPr>
              <w:t xml:space="preserve">++, +, -, U </w:t>
            </w: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The assignment of subjects to treatment groups is randomized</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An adequate concealment method is used</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Subjects and investigators are kept ‘blind’ about treatment allocation</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The treatment and control groups are similar at the start of the trial</w:t>
            </w:r>
          </w:p>
        </w:tc>
        <w:tc>
          <w:tcPr>
            <w:tcW w:w="1610" w:type="dxa"/>
          </w:tcPr>
          <w:p w:rsidR="00092F60" w:rsidRPr="00303A35" w:rsidRDefault="00092F60" w:rsidP="00092F60">
            <w:pPr>
              <w:spacing w:before="40" w:after="40"/>
              <w:rPr>
                <w:rFonts w:ascii="Arial Narrow" w:hAnsi="Arial Narrow"/>
                <w:sz w:val="20"/>
                <w:szCs w:val="20"/>
              </w:rPr>
            </w:pPr>
            <w:r w:rsidRPr="00303A35">
              <w:rPr>
                <w:rFonts w:ascii="Arial Narrow" w:hAnsi="Arial Narrow"/>
                <w:sz w:val="20"/>
                <w:szCs w:val="20"/>
              </w:rPr>
              <w:t xml:space="preserve">++, +, -, U </w:t>
            </w: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The only difference between groups is the treatment under investigation</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All relevant outcomes are measured in a standard, valid and reliable way</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 xml:space="preserve">What percentage of the individuals or clusters recruited into each treatment arm of the study dropped out before the study was completed? </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All the subjects are analysed in the groups to which they were randomly allocated (often referred to as intention to treat)</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Where the study is carried out at more than one site, results are comparable for all sites</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 N/A</w:t>
            </w: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b/>
                <w:bCs/>
                <w:i/>
                <w:sz w:val="20"/>
                <w:szCs w:val="20"/>
              </w:rPr>
            </w:pPr>
            <w:r w:rsidRPr="00303A35">
              <w:rPr>
                <w:rFonts w:ascii="Arial Narrow" w:hAnsi="Arial Narrow"/>
                <w:b/>
                <w:bCs/>
                <w:i/>
                <w:sz w:val="20"/>
                <w:szCs w:val="20"/>
              </w:rPr>
              <w:t>Overall assessment of the study</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 xml:space="preserve">How well was the study done to minimise bias?  </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xml:space="preserve">++, +, - </w:t>
            </w: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If coded as +, or – what is the likely direction in which bias might affect the study results?</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 xml:space="preserve">Taking into account clinical considerations, your </w:t>
            </w:r>
            <w:proofErr w:type="gramStart"/>
            <w:r w:rsidRPr="00303A35">
              <w:rPr>
                <w:rFonts w:ascii="Arial Narrow" w:hAnsi="Arial Narrow"/>
                <w:bCs/>
                <w:sz w:val="20"/>
                <w:szCs w:val="20"/>
              </w:rPr>
              <w:t>evaluation of the methodology used, and the statistical power of the study, are</w:t>
            </w:r>
            <w:proofErr w:type="gramEnd"/>
            <w:r w:rsidRPr="00303A35">
              <w:rPr>
                <w:rFonts w:ascii="Arial Narrow" w:hAnsi="Arial Narrow"/>
                <w:bCs/>
                <w:sz w:val="20"/>
                <w:szCs w:val="20"/>
              </w:rPr>
              <w:t xml:space="preserve"> you certain that the overall effect is due to the study intervention?</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p>
        </w:tc>
      </w:tr>
      <w:tr w:rsidR="00092F60" w:rsidRPr="00303A35" w:rsidTr="00092F60">
        <w:tc>
          <w:tcPr>
            <w:tcW w:w="6912"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Are the results of this study directly applicable to the patient group targeted by this guideline?</w:t>
            </w:r>
          </w:p>
        </w:tc>
        <w:tc>
          <w:tcPr>
            <w:tcW w:w="1610" w:type="dxa"/>
          </w:tcPr>
          <w:p w:rsidR="00092F60" w:rsidRPr="00303A35" w:rsidRDefault="00092F60" w:rsidP="00092F60">
            <w:pPr>
              <w:autoSpaceDE w:val="0"/>
              <w:autoSpaceDN w:val="0"/>
              <w:adjustRightInd w:val="0"/>
              <w:spacing w:before="40" w:after="40"/>
              <w:rPr>
                <w:rFonts w:ascii="Arial Narrow" w:hAnsi="Arial Narrow"/>
                <w:bCs/>
                <w:sz w:val="20"/>
                <w:szCs w:val="20"/>
              </w:rPr>
            </w:pPr>
          </w:p>
        </w:tc>
      </w:tr>
      <w:tr w:rsidR="00092F60" w:rsidRPr="00303A35" w:rsidTr="00092F60">
        <w:tc>
          <w:tcPr>
            <w:tcW w:w="6912" w:type="dxa"/>
            <w:shd w:val="clear" w:color="auto" w:fill="auto"/>
          </w:tcPr>
          <w:p w:rsidR="00092F60" w:rsidRPr="00303A35" w:rsidRDefault="00092F60" w:rsidP="00092F60">
            <w:pPr>
              <w:spacing w:before="40" w:after="40"/>
              <w:rPr>
                <w:rFonts w:ascii="Arial Narrow" w:hAnsi="Arial Narrow"/>
                <w:sz w:val="20"/>
                <w:szCs w:val="20"/>
              </w:rPr>
            </w:pPr>
            <w:r w:rsidRPr="00303A35">
              <w:rPr>
                <w:rFonts w:ascii="Arial Narrow" w:hAnsi="Arial Narrow"/>
                <w:sz w:val="20"/>
                <w:szCs w:val="20"/>
              </w:rPr>
              <w:t>The study addresses an appropriate and clearly focused question</w:t>
            </w:r>
          </w:p>
        </w:tc>
        <w:tc>
          <w:tcPr>
            <w:tcW w:w="1610" w:type="dxa"/>
            <w:shd w:val="clear" w:color="auto" w:fill="auto"/>
          </w:tcPr>
          <w:p w:rsidR="00092F60" w:rsidRPr="00303A35" w:rsidRDefault="00092F60" w:rsidP="00092F60">
            <w:pPr>
              <w:spacing w:before="40" w:after="40"/>
              <w:rPr>
                <w:rFonts w:ascii="Arial Narrow" w:hAnsi="Arial Narrow"/>
                <w:sz w:val="20"/>
                <w:szCs w:val="20"/>
              </w:rPr>
            </w:pPr>
            <w:r w:rsidRPr="00303A35">
              <w:rPr>
                <w:rFonts w:ascii="Arial Narrow" w:hAnsi="Arial Narrow"/>
                <w:sz w:val="20"/>
                <w:szCs w:val="20"/>
              </w:rPr>
              <w:t xml:space="preserve">++, +, -, U </w:t>
            </w:r>
          </w:p>
        </w:tc>
      </w:tr>
      <w:tr w:rsidR="00092F60" w:rsidRPr="00303A35" w:rsidTr="00092F60">
        <w:tc>
          <w:tcPr>
            <w:tcW w:w="6912"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The assignment of subjects to treatment groups is randomised</w:t>
            </w:r>
          </w:p>
        </w:tc>
        <w:tc>
          <w:tcPr>
            <w:tcW w:w="1610"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6912"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An adequate concealment method is used</w:t>
            </w:r>
          </w:p>
        </w:tc>
        <w:tc>
          <w:tcPr>
            <w:tcW w:w="1610"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6912" w:type="dxa"/>
            <w:shd w:val="clear" w:color="auto" w:fill="auto"/>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Subjects and investigators are kept ‘blind’ about treatment allocation</w:t>
            </w:r>
          </w:p>
        </w:tc>
        <w:tc>
          <w:tcPr>
            <w:tcW w:w="1610"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bl>
    <w:p w:rsidR="00092F60" w:rsidRPr="00A07ED8" w:rsidRDefault="00092F60" w:rsidP="00092F60">
      <w:pPr>
        <w:rPr>
          <w:rFonts w:ascii="Arial Narrow" w:hAnsi="Arial Narrow"/>
          <w:sz w:val="20"/>
          <w:szCs w:val="20"/>
        </w:rPr>
      </w:pPr>
      <w:r w:rsidRPr="00B7451B">
        <w:rPr>
          <w:rFonts w:ascii="Arial Narrow" w:hAnsi="Arial Narrow"/>
          <w:sz w:val="20"/>
          <w:szCs w:val="20"/>
        </w:rPr>
        <w:t>++: well c</w:t>
      </w:r>
      <w:r w:rsidRPr="00A07ED8">
        <w:rPr>
          <w:rFonts w:ascii="Arial Narrow" w:hAnsi="Arial Narrow"/>
          <w:sz w:val="20"/>
          <w:szCs w:val="20"/>
        </w:rPr>
        <w:t>overed; +: adequately addressed; -: poorly addressed; U: unclear; N/A: not applicable</w:t>
      </w:r>
    </w:p>
    <w:p w:rsidR="00CE0D5D" w:rsidRDefault="00CE0D5D" w:rsidP="00092F60">
      <w:pPr>
        <w:spacing w:after="0" w:line="240" w:lineRule="auto"/>
        <w:rPr>
          <w:sz w:val="22"/>
          <w:szCs w:val="22"/>
        </w:rPr>
      </w:pPr>
      <w:r>
        <w:rPr>
          <w:sz w:val="22"/>
          <w:szCs w:val="22"/>
        </w:rPr>
        <w:br w:type="page"/>
      </w:r>
    </w:p>
    <w:p w:rsidR="00092F60" w:rsidRDefault="00092F60" w:rsidP="0096216D">
      <w:pPr>
        <w:pStyle w:val="Caption"/>
        <w:keepNext/>
        <w:tabs>
          <w:tab w:val="clear" w:pos="851"/>
          <w:tab w:val="left" w:pos="1276"/>
        </w:tabs>
        <w:ind w:left="1276" w:hanging="1276"/>
      </w:pPr>
      <w:bookmarkStart w:id="1110" w:name="_Toc404976355"/>
      <w:bookmarkStart w:id="1111" w:name="_Toc411510520"/>
      <w:bookmarkStart w:id="1112" w:name="_Toc415141950"/>
      <w:r>
        <w:lastRenderedPageBreak/>
        <w:t xml:space="preserve">Table </w:t>
      </w:r>
      <w:r w:rsidR="00A72B26">
        <w:rPr>
          <w:noProof/>
        </w:rPr>
        <w:t>153</w:t>
      </w:r>
      <w:r>
        <w:tab/>
        <w:t>Methodology checklist: cohort studies (SIGN 50)</w:t>
      </w:r>
      <w:bookmarkEnd w:id="1110"/>
      <w:bookmarkEnd w:id="1111"/>
      <w:bookmarkEnd w:id="11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17 Methodology checklist: cohort studies (SIGN 50)"/>
      </w:tblPr>
      <w:tblGrid>
        <w:gridCol w:w="7479"/>
        <w:gridCol w:w="1418"/>
      </w:tblGrid>
      <w:tr w:rsidR="00092F60" w:rsidRPr="00303A35" w:rsidTr="00CE0D5D">
        <w:trPr>
          <w:trHeight w:val="508"/>
          <w:tblHeader/>
        </w:trPr>
        <w:tc>
          <w:tcPr>
            <w:tcW w:w="7479" w:type="dxa"/>
          </w:tcPr>
          <w:p w:rsidR="00092F60" w:rsidRPr="00303A35" w:rsidRDefault="00092F60" w:rsidP="00092F60">
            <w:pPr>
              <w:keepNext/>
              <w:keepLines/>
              <w:tabs>
                <w:tab w:val="left" w:pos="567"/>
              </w:tabs>
              <w:autoSpaceDE w:val="0"/>
              <w:autoSpaceDN w:val="0"/>
              <w:adjustRightInd w:val="0"/>
              <w:spacing w:before="240"/>
              <w:outlineLvl w:val="0"/>
              <w:rPr>
                <w:rFonts w:ascii="Arial Narrow" w:eastAsia="SimSun" w:hAnsi="Arial Narrow" w:cs="Arial"/>
                <w:sz w:val="20"/>
                <w:szCs w:val="20"/>
                <w:lang w:eastAsia="en-AU"/>
              </w:rPr>
            </w:pPr>
            <w:r w:rsidRPr="00303A35">
              <w:rPr>
                <w:rFonts w:ascii="Arial Narrow" w:eastAsia="SimSun" w:hAnsi="Arial Narrow" w:cs="Arial"/>
                <w:b/>
                <w:sz w:val="20"/>
                <w:szCs w:val="20"/>
                <w:lang w:eastAsia="en-AU"/>
              </w:rPr>
              <w:t>Reference</w:t>
            </w:r>
            <w:r w:rsidRPr="00303A35">
              <w:rPr>
                <w:rFonts w:ascii="Arial Narrow" w:eastAsia="SimSun" w:hAnsi="Arial Narrow" w:cs="Arial"/>
                <w:sz w:val="20"/>
                <w:szCs w:val="20"/>
                <w:lang w:eastAsia="en-AU"/>
              </w:rPr>
              <w:t xml:space="preserve">: </w:t>
            </w:r>
          </w:p>
        </w:tc>
        <w:tc>
          <w:tcPr>
            <w:tcW w:w="1418" w:type="dxa"/>
            <w:vMerge w:val="restart"/>
          </w:tcPr>
          <w:p w:rsidR="00092F60" w:rsidRPr="00303A35" w:rsidRDefault="00092F60" w:rsidP="00092F60">
            <w:pPr>
              <w:keepNext/>
              <w:keepLines/>
              <w:tabs>
                <w:tab w:val="left" w:pos="567"/>
              </w:tabs>
              <w:spacing w:before="40" w:after="40"/>
              <w:outlineLvl w:val="0"/>
              <w:rPr>
                <w:rFonts w:ascii="Arial Narrow" w:hAnsi="Arial Narrow"/>
                <w:sz w:val="20"/>
                <w:szCs w:val="20"/>
              </w:rPr>
            </w:pPr>
            <w:r w:rsidRPr="00303A35">
              <w:rPr>
                <w:rFonts w:ascii="Arial Narrow" w:hAnsi="Arial Narrow"/>
                <w:sz w:val="20"/>
                <w:szCs w:val="20"/>
              </w:rPr>
              <w:t>In this study this criterion is:</w:t>
            </w:r>
          </w:p>
        </w:tc>
      </w:tr>
      <w:tr w:rsidR="00092F60" w:rsidRPr="00303A35" w:rsidTr="00CE0D5D">
        <w:trPr>
          <w:tblHeader/>
        </w:trPr>
        <w:tc>
          <w:tcPr>
            <w:tcW w:w="7479" w:type="dxa"/>
          </w:tcPr>
          <w:p w:rsidR="00092F60" w:rsidRPr="00303A35" w:rsidRDefault="00092F60" w:rsidP="00092F60">
            <w:pPr>
              <w:keepNext/>
              <w:keepLines/>
              <w:tabs>
                <w:tab w:val="left" w:pos="567"/>
              </w:tabs>
              <w:spacing w:before="40" w:after="40"/>
              <w:outlineLvl w:val="0"/>
              <w:rPr>
                <w:rFonts w:ascii="Arial Narrow" w:hAnsi="Arial Narrow"/>
                <w:b/>
                <w:i/>
                <w:sz w:val="20"/>
                <w:szCs w:val="20"/>
              </w:rPr>
            </w:pPr>
            <w:r w:rsidRPr="00303A35">
              <w:rPr>
                <w:rFonts w:ascii="Arial Narrow" w:hAnsi="Arial Narrow"/>
                <w:b/>
                <w:i/>
                <w:sz w:val="20"/>
                <w:szCs w:val="20"/>
              </w:rPr>
              <w:t>Internal validity</w:t>
            </w:r>
          </w:p>
        </w:tc>
        <w:tc>
          <w:tcPr>
            <w:tcW w:w="1418" w:type="dxa"/>
            <w:vMerge/>
          </w:tcPr>
          <w:p w:rsidR="00092F60" w:rsidRPr="00303A35" w:rsidRDefault="00092F60" w:rsidP="00092F60">
            <w:pPr>
              <w:spacing w:before="40" w:after="40"/>
              <w:rPr>
                <w:rFonts w:ascii="Arial Narrow" w:hAnsi="Arial Narrow"/>
                <w:sz w:val="20"/>
                <w:szCs w:val="20"/>
              </w:rPr>
            </w:pPr>
          </w:p>
        </w:tc>
      </w:tr>
      <w:tr w:rsidR="00092F60" w:rsidRPr="00303A35" w:rsidTr="00092F60">
        <w:tc>
          <w:tcPr>
            <w:tcW w:w="7479" w:type="dxa"/>
          </w:tcPr>
          <w:p w:rsidR="00092F60" w:rsidRPr="00303A35" w:rsidRDefault="00092F60" w:rsidP="00092F60">
            <w:pPr>
              <w:spacing w:before="40" w:after="40"/>
              <w:rPr>
                <w:rFonts w:ascii="Arial Narrow" w:hAnsi="Arial Narrow"/>
                <w:sz w:val="20"/>
                <w:szCs w:val="20"/>
              </w:rPr>
            </w:pPr>
            <w:r w:rsidRPr="00303A35">
              <w:rPr>
                <w:rFonts w:ascii="Arial Narrow" w:hAnsi="Arial Narrow"/>
                <w:sz w:val="20"/>
                <w:szCs w:val="20"/>
              </w:rPr>
              <w:t>The study addresses an appropriate and clearly focused question</w:t>
            </w:r>
          </w:p>
        </w:tc>
        <w:tc>
          <w:tcPr>
            <w:tcW w:w="1418" w:type="dxa"/>
          </w:tcPr>
          <w:p w:rsidR="00092F60" w:rsidRPr="00303A35" w:rsidRDefault="00092F60" w:rsidP="00092F60">
            <w:pPr>
              <w:spacing w:before="40" w:after="40"/>
              <w:rPr>
                <w:rFonts w:ascii="Arial Narrow" w:hAnsi="Arial Narrow"/>
                <w:sz w:val="20"/>
                <w:szCs w:val="20"/>
              </w:rPr>
            </w:pPr>
            <w:r w:rsidRPr="00303A35">
              <w:rPr>
                <w:rFonts w:ascii="Arial Narrow" w:hAnsi="Arial Narrow"/>
                <w:sz w:val="20"/>
                <w:szCs w:val="20"/>
              </w:rPr>
              <w:t xml:space="preserve">++, +, -, U </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The two groups being studied are selected from the source populations that are comparable in respects other than the factor under investigation</w:t>
            </w:r>
          </w:p>
        </w:tc>
        <w:tc>
          <w:tcPr>
            <w:tcW w:w="1418"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The study indicates how many of the people asked to take part did so, in each of the groups being studied</w:t>
            </w:r>
          </w:p>
        </w:tc>
        <w:tc>
          <w:tcPr>
            <w:tcW w:w="1418"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The likelihood that some eligible subjects might have the outcome at the time of enrolment is assessed and taken into account in the analysis</w:t>
            </w:r>
          </w:p>
        </w:tc>
        <w:tc>
          <w:tcPr>
            <w:tcW w:w="1418"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What percentage of individuals or clusters recruited into each arm of the study dropped out before the study was completed?</w:t>
            </w:r>
          </w:p>
        </w:tc>
        <w:tc>
          <w:tcPr>
            <w:tcW w:w="1418" w:type="dxa"/>
          </w:tcPr>
          <w:p w:rsidR="00092F60" w:rsidRPr="00303A35" w:rsidRDefault="00092F60" w:rsidP="00092F60">
            <w:pPr>
              <w:rPr>
                <w:sz w:val="20"/>
                <w:szCs w:val="20"/>
              </w:rPr>
            </w:pP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sz w:val="20"/>
                <w:szCs w:val="20"/>
              </w:rPr>
            </w:pPr>
            <w:r w:rsidRPr="00303A35">
              <w:rPr>
                <w:rFonts w:ascii="Arial Narrow" w:hAnsi="Arial Narrow"/>
                <w:sz w:val="20"/>
                <w:szCs w:val="20"/>
              </w:rPr>
              <w:t>Comparison is made between full participants and those lost to follow up, by exposure status</w:t>
            </w:r>
          </w:p>
        </w:tc>
        <w:tc>
          <w:tcPr>
            <w:tcW w:w="1418" w:type="dxa"/>
          </w:tcPr>
          <w:p w:rsidR="00092F60" w:rsidRPr="00303A35" w:rsidRDefault="00092F60" w:rsidP="00092F60">
            <w:pPr>
              <w:spacing w:before="40" w:after="40"/>
              <w:rPr>
                <w:rFonts w:ascii="Arial Narrow" w:hAnsi="Arial Narrow"/>
                <w:sz w:val="20"/>
                <w:szCs w:val="20"/>
              </w:rPr>
            </w:pPr>
            <w:r w:rsidRPr="00303A35">
              <w:rPr>
                <w:rFonts w:ascii="Arial Narrow" w:hAnsi="Arial Narrow"/>
                <w:sz w:val="20"/>
                <w:szCs w:val="20"/>
              </w:rPr>
              <w:t xml:space="preserve">++, +, -, U </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The outcomes are clearly defined</w:t>
            </w:r>
          </w:p>
        </w:tc>
        <w:tc>
          <w:tcPr>
            <w:tcW w:w="1418"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The assessment of outcome is made blind to exposure status</w:t>
            </w:r>
          </w:p>
        </w:tc>
        <w:tc>
          <w:tcPr>
            <w:tcW w:w="1418"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Where blinding was not possible, there is some recognition that knowledge of exposure status could have influenced the assessment of outcome</w:t>
            </w:r>
          </w:p>
        </w:tc>
        <w:tc>
          <w:tcPr>
            <w:tcW w:w="1418"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 N/A</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The measure of assessment of exposure is reliable</w:t>
            </w:r>
          </w:p>
        </w:tc>
        <w:tc>
          <w:tcPr>
            <w:tcW w:w="1418" w:type="dxa"/>
          </w:tcPr>
          <w:p w:rsidR="00092F60" w:rsidRPr="00303A35" w:rsidRDefault="00092F60" w:rsidP="00092F60">
            <w:pPr>
              <w:spacing w:before="40" w:after="40"/>
              <w:rPr>
                <w:rFonts w:ascii="Arial Narrow" w:hAnsi="Arial Narrow"/>
                <w:sz w:val="20"/>
                <w:szCs w:val="20"/>
              </w:rPr>
            </w:pPr>
            <w:r w:rsidRPr="00303A35">
              <w:rPr>
                <w:rFonts w:ascii="Arial Narrow" w:hAnsi="Arial Narrow"/>
                <w:sz w:val="20"/>
                <w:szCs w:val="20"/>
              </w:rPr>
              <w:t xml:space="preserve">++, +, -, U </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Evidence from other sources is used to demonstrate that the method of outcome assessment is valid and reliable</w:t>
            </w:r>
          </w:p>
        </w:tc>
        <w:tc>
          <w:tcPr>
            <w:tcW w:w="1418"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Exposure level or prognostic factor is assessed more than once</w:t>
            </w:r>
          </w:p>
        </w:tc>
        <w:tc>
          <w:tcPr>
            <w:tcW w:w="1418"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The main potential confounders are identified and taken into account in the design and analysis</w:t>
            </w:r>
          </w:p>
        </w:tc>
        <w:tc>
          <w:tcPr>
            <w:tcW w:w="1418" w:type="dxa"/>
          </w:tcPr>
          <w:p w:rsidR="00092F60" w:rsidRPr="00303A35" w:rsidRDefault="00092F60" w:rsidP="00092F60">
            <w:pPr>
              <w:spacing w:before="40" w:after="40"/>
              <w:rPr>
                <w:rFonts w:ascii="Arial Narrow" w:hAnsi="Arial Narrow"/>
                <w:sz w:val="20"/>
                <w:szCs w:val="20"/>
              </w:rPr>
            </w:pPr>
            <w:r w:rsidRPr="00303A35">
              <w:rPr>
                <w:rFonts w:ascii="Arial Narrow" w:hAnsi="Arial Narrow"/>
                <w:sz w:val="20"/>
                <w:szCs w:val="20"/>
              </w:rPr>
              <w:t xml:space="preserve">++, +, -, U </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Confidence intervals are provided</w:t>
            </w:r>
          </w:p>
        </w:tc>
        <w:tc>
          <w:tcPr>
            <w:tcW w:w="1418" w:type="dxa"/>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 U</w:t>
            </w:r>
          </w:p>
        </w:tc>
      </w:tr>
      <w:tr w:rsidR="00092F60" w:rsidRPr="00303A35" w:rsidTr="00092F60">
        <w:tc>
          <w:tcPr>
            <w:tcW w:w="7479" w:type="dxa"/>
          </w:tcPr>
          <w:p w:rsidR="00092F60" w:rsidRPr="00303A35" w:rsidRDefault="00092F60" w:rsidP="00092F60">
            <w:pPr>
              <w:autoSpaceDE w:val="0"/>
              <w:autoSpaceDN w:val="0"/>
              <w:adjustRightInd w:val="0"/>
              <w:spacing w:before="40" w:after="40"/>
              <w:rPr>
                <w:rFonts w:ascii="Arial Narrow" w:hAnsi="Arial Narrow"/>
                <w:b/>
                <w:bCs/>
                <w:i/>
                <w:sz w:val="20"/>
                <w:szCs w:val="20"/>
              </w:rPr>
            </w:pPr>
            <w:r w:rsidRPr="00303A35">
              <w:rPr>
                <w:rFonts w:ascii="Arial Narrow" w:hAnsi="Arial Narrow"/>
                <w:b/>
                <w:bCs/>
                <w:i/>
                <w:sz w:val="20"/>
                <w:szCs w:val="20"/>
              </w:rPr>
              <w:t>Overall assessment of the study</w:t>
            </w:r>
          </w:p>
        </w:tc>
        <w:tc>
          <w:tcPr>
            <w:tcW w:w="1418" w:type="dxa"/>
          </w:tcPr>
          <w:p w:rsidR="00092F60" w:rsidRPr="00303A35" w:rsidRDefault="00092F60" w:rsidP="00092F60">
            <w:pPr>
              <w:autoSpaceDE w:val="0"/>
              <w:autoSpaceDN w:val="0"/>
              <w:adjustRightInd w:val="0"/>
              <w:spacing w:before="40" w:after="40"/>
              <w:rPr>
                <w:rFonts w:ascii="Arial Narrow" w:hAnsi="Arial Narrow"/>
                <w:bCs/>
                <w:sz w:val="20"/>
                <w:szCs w:val="20"/>
              </w:rPr>
            </w:pPr>
          </w:p>
        </w:tc>
      </w:tr>
      <w:tr w:rsidR="00092F60" w:rsidRPr="00303A35" w:rsidTr="00092F60">
        <w:tc>
          <w:tcPr>
            <w:tcW w:w="7479"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How well was the study done to minimise the risk of bias or confounding, and to establish a causal relationship between exposure and effect?</w:t>
            </w:r>
          </w:p>
        </w:tc>
        <w:tc>
          <w:tcPr>
            <w:tcW w:w="1418"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sz w:val="20"/>
                <w:szCs w:val="20"/>
              </w:rPr>
              <w:t>++, +, -</w:t>
            </w:r>
          </w:p>
        </w:tc>
      </w:tr>
      <w:tr w:rsidR="00092F60" w:rsidRPr="00303A35" w:rsidTr="00092F60">
        <w:tc>
          <w:tcPr>
            <w:tcW w:w="7479"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If coded as +, or – what is the likely direction in which bias might affect the study results?</w:t>
            </w:r>
          </w:p>
        </w:tc>
        <w:tc>
          <w:tcPr>
            <w:tcW w:w="1418"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p>
        </w:tc>
      </w:tr>
      <w:tr w:rsidR="00092F60" w:rsidRPr="00303A35" w:rsidTr="00092F60">
        <w:tc>
          <w:tcPr>
            <w:tcW w:w="7479"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 xml:space="preserve">Taking into account clinical considerations, your </w:t>
            </w:r>
            <w:proofErr w:type="gramStart"/>
            <w:r w:rsidRPr="00303A35">
              <w:rPr>
                <w:rFonts w:ascii="Arial Narrow" w:hAnsi="Arial Narrow"/>
                <w:bCs/>
                <w:sz w:val="20"/>
                <w:szCs w:val="20"/>
              </w:rPr>
              <w:t>evaluation of the methodology used, and the statistical power of the study, are</w:t>
            </w:r>
            <w:proofErr w:type="gramEnd"/>
            <w:r w:rsidRPr="00303A35">
              <w:rPr>
                <w:rFonts w:ascii="Arial Narrow" w:hAnsi="Arial Narrow"/>
                <w:bCs/>
                <w:sz w:val="20"/>
                <w:szCs w:val="20"/>
              </w:rPr>
              <w:t xml:space="preserve"> you certain that the overall effect is due to the study intervention?</w:t>
            </w:r>
          </w:p>
        </w:tc>
        <w:tc>
          <w:tcPr>
            <w:tcW w:w="1418"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p>
        </w:tc>
      </w:tr>
      <w:tr w:rsidR="00092F60" w:rsidRPr="00303A35" w:rsidTr="00092F60">
        <w:tc>
          <w:tcPr>
            <w:tcW w:w="7479"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r w:rsidRPr="00303A35">
              <w:rPr>
                <w:rFonts w:ascii="Arial Narrow" w:hAnsi="Arial Narrow"/>
                <w:bCs/>
                <w:sz w:val="20"/>
                <w:szCs w:val="20"/>
              </w:rPr>
              <w:t>Are the results of this study directly applicable to the patient group targeted by this guideline?</w:t>
            </w:r>
          </w:p>
        </w:tc>
        <w:tc>
          <w:tcPr>
            <w:tcW w:w="1418" w:type="dxa"/>
            <w:shd w:val="clear" w:color="auto" w:fill="auto"/>
          </w:tcPr>
          <w:p w:rsidR="00092F60" w:rsidRPr="00303A35" w:rsidRDefault="00092F60" w:rsidP="00092F60">
            <w:pPr>
              <w:autoSpaceDE w:val="0"/>
              <w:autoSpaceDN w:val="0"/>
              <w:adjustRightInd w:val="0"/>
              <w:spacing w:before="40" w:after="40"/>
              <w:rPr>
                <w:rFonts w:ascii="Arial Narrow" w:hAnsi="Arial Narrow"/>
                <w:bCs/>
                <w:sz w:val="20"/>
                <w:szCs w:val="20"/>
              </w:rPr>
            </w:pPr>
          </w:p>
        </w:tc>
      </w:tr>
    </w:tbl>
    <w:bookmarkEnd w:id="1109"/>
    <w:p w:rsidR="00092F60" w:rsidRPr="00D53B7A" w:rsidRDefault="00092F60" w:rsidP="00092F60">
      <w:pPr>
        <w:rPr>
          <w:rFonts w:ascii="Arial Narrow" w:hAnsi="Arial Narrow"/>
          <w:sz w:val="20"/>
          <w:szCs w:val="20"/>
        </w:rPr>
      </w:pPr>
      <w:r w:rsidRPr="00D53B7A">
        <w:rPr>
          <w:rFonts w:ascii="Arial Narrow" w:hAnsi="Arial Narrow"/>
          <w:sz w:val="20"/>
          <w:szCs w:val="20"/>
        </w:rPr>
        <w:t>++: well covered; +: adequately addressed; -: poorly addressed; U: unclear; N/A: not applicable</w:t>
      </w:r>
    </w:p>
    <w:p w:rsidR="00092F60" w:rsidRPr="00D53B7A" w:rsidRDefault="00092F60" w:rsidP="00092F60">
      <w:pPr>
        <w:rPr>
          <w:rFonts w:ascii="Arial Narrow" w:hAnsi="Arial Narrow"/>
          <w:sz w:val="20"/>
          <w:szCs w:val="20"/>
        </w:rPr>
      </w:pPr>
      <w:r w:rsidRPr="00D53B7A">
        <w:rPr>
          <w:rFonts w:ascii="Arial Narrow" w:hAnsi="Arial Narrow"/>
          <w:sz w:val="20"/>
          <w:szCs w:val="20"/>
        </w:rPr>
        <w:t>Overall assessment of the study:   ++ All or most of the criteria have been fulfilled. When they have not been fulfilled the conclusions of the review are thought very unlikely to alter</w:t>
      </w:r>
      <w:proofErr w:type="gramStart"/>
      <w:r w:rsidRPr="00D53B7A">
        <w:rPr>
          <w:rFonts w:ascii="Arial Narrow" w:hAnsi="Arial Narrow"/>
          <w:sz w:val="20"/>
          <w:szCs w:val="20"/>
        </w:rPr>
        <w:t>;  +</w:t>
      </w:r>
      <w:proofErr w:type="gramEnd"/>
      <w:r w:rsidRPr="00D53B7A">
        <w:rPr>
          <w:rFonts w:ascii="Arial Narrow" w:hAnsi="Arial Narrow"/>
          <w:sz w:val="20"/>
          <w:szCs w:val="20"/>
        </w:rPr>
        <w:t xml:space="preserve"> Some of the criteria have been fulfilled. Those criteria that have not been fulfilled or not adequately described are thought unlikely to alter the conclusions; - Few or no criteria fulfilled. The conclusions of the study are thought likely or very likely to alter. </w:t>
      </w:r>
    </w:p>
    <w:p w:rsidR="00CE0D5D" w:rsidRDefault="00CE0D5D" w:rsidP="00092F60">
      <w:pPr>
        <w:rPr>
          <w:rFonts w:ascii="Arial Narrow" w:hAnsi="Arial Narrow"/>
          <w:sz w:val="16"/>
          <w:szCs w:val="16"/>
        </w:rPr>
      </w:pPr>
      <w:r>
        <w:rPr>
          <w:rFonts w:ascii="Arial Narrow" w:hAnsi="Arial Narrow"/>
          <w:sz w:val="16"/>
          <w:szCs w:val="16"/>
        </w:rPr>
        <w:br w:type="page"/>
      </w:r>
    </w:p>
    <w:p w:rsidR="00092F60" w:rsidRDefault="00092F60" w:rsidP="0096216D">
      <w:pPr>
        <w:pStyle w:val="Caption"/>
        <w:keepNext/>
        <w:tabs>
          <w:tab w:val="clear" w:pos="851"/>
          <w:tab w:val="left" w:pos="1276"/>
        </w:tabs>
        <w:ind w:left="1276" w:hanging="1276"/>
      </w:pPr>
      <w:bookmarkStart w:id="1113" w:name="_Toc404976356"/>
      <w:bookmarkStart w:id="1114" w:name="_Toc411510521"/>
      <w:bookmarkStart w:id="1115" w:name="_Toc415141951"/>
      <w:r>
        <w:lastRenderedPageBreak/>
        <w:t xml:space="preserve">Table </w:t>
      </w:r>
      <w:r w:rsidR="00A72B26">
        <w:rPr>
          <w:noProof/>
        </w:rPr>
        <w:t>154</w:t>
      </w:r>
      <w:r>
        <w:tab/>
        <w:t>Methodology checklist: case series (NHS CRD; Khan 2001)</w:t>
      </w:r>
      <w:bookmarkEnd w:id="1113"/>
      <w:bookmarkEnd w:id="1114"/>
      <w:bookmarkEnd w:id="1115"/>
    </w:p>
    <w:tbl>
      <w:tblPr>
        <w:tblStyle w:val="TableGrid"/>
        <w:tblW w:w="0" w:type="auto"/>
        <w:tblLook w:val="04A0" w:firstRow="1" w:lastRow="0" w:firstColumn="1" w:lastColumn="0" w:noHBand="0" w:noVBand="1"/>
        <w:tblCaption w:val="Table 118 Methodology checklist: case series (NHS CRD; Khan 2001)"/>
      </w:tblPr>
      <w:tblGrid>
        <w:gridCol w:w="6912"/>
        <w:gridCol w:w="1609"/>
      </w:tblGrid>
      <w:tr w:rsidR="00CE0D5D" w:rsidRPr="00486A04" w:rsidTr="00CE0D5D">
        <w:trPr>
          <w:tblHeader/>
        </w:trPr>
        <w:tc>
          <w:tcPr>
            <w:tcW w:w="6912" w:type="dxa"/>
            <w:tcBorders>
              <w:left w:val="single" w:sz="4" w:space="0" w:color="auto"/>
            </w:tcBorders>
          </w:tcPr>
          <w:p w:rsidR="00CE0D5D" w:rsidRPr="00CE0D5D" w:rsidRDefault="00CE0D5D" w:rsidP="00092F60">
            <w:pPr>
              <w:keepNext/>
              <w:keepLines/>
              <w:tabs>
                <w:tab w:val="left" w:pos="567"/>
              </w:tabs>
              <w:spacing w:before="40" w:after="40"/>
              <w:outlineLvl w:val="0"/>
              <w:rPr>
                <w:rFonts w:ascii="Arial Narrow" w:hAnsi="Arial Narrow"/>
                <w:b/>
                <w:bCs/>
                <w:sz w:val="22"/>
                <w:szCs w:val="22"/>
              </w:rPr>
            </w:pPr>
            <w:r w:rsidRPr="00CE0D5D">
              <w:rPr>
                <w:rFonts w:ascii="Arial Narrow" w:hAnsi="Arial Narrow"/>
                <w:b/>
                <w:bCs/>
                <w:sz w:val="22"/>
                <w:szCs w:val="22"/>
              </w:rPr>
              <w:t>Methodology question</w:t>
            </w:r>
          </w:p>
        </w:tc>
        <w:tc>
          <w:tcPr>
            <w:tcW w:w="1609" w:type="dxa"/>
          </w:tcPr>
          <w:p w:rsidR="00CE0D5D" w:rsidRPr="00CE0D5D" w:rsidRDefault="00CE0D5D" w:rsidP="00092F60">
            <w:pPr>
              <w:spacing w:before="40" w:after="40"/>
              <w:rPr>
                <w:rFonts w:ascii="Arial Narrow" w:hAnsi="Arial Narrow"/>
                <w:b/>
                <w:bCs/>
                <w:sz w:val="22"/>
                <w:szCs w:val="22"/>
              </w:rPr>
            </w:pPr>
            <w:r w:rsidRPr="00CE0D5D">
              <w:rPr>
                <w:rFonts w:ascii="Arial Narrow" w:hAnsi="Arial Narrow"/>
                <w:b/>
                <w:bCs/>
                <w:sz w:val="22"/>
                <w:szCs w:val="22"/>
              </w:rPr>
              <w:t>Answer</w:t>
            </w:r>
          </w:p>
        </w:tc>
      </w:tr>
      <w:tr w:rsidR="00092F60" w:rsidRPr="00486A04" w:rsidTr="00092F60">
        <w:tc>
          <w:tcPr>
            <w:tcW w:w="6912" w:type="dxa"/>
            <w:tcBorders>
              <w:left w:val="single" w:sz="4" w:space="0" w:color="auto"/>
            </w:tcBorders>
          </w:tcPr>
          <w:p w:rsidR="00092F60" w:rsidRPr="00B7451B" w:rsidRDefault="00092F60" w:rsidP="00092F60">
            <w:pPr>
              <w:keepNext/>
              <w:keepLines/>
              <w:tabs>
                <w:tab w:val="left" w:pos="567"/>
              </w:tabs>
              <w:spacing w:before="40" w:after="40"/>
              <w:outlineLvl w:val="0"/>
              <w:rPr>
                <w:rFonts w:ascii="Arial Narrow" w:hAnsi="Arial Narrow"/>
                <w:bCs/>
                <w:sz w:val="22"/>
                <w:szCs w:val="22"/>
              </w:rPr>
            </w:pPr>
            <w:r w:rsidRPr="00B7451B">
              <w:rPr>
                <w:rFonts w:ascii="Arial Narrow" w:hAnsi="Arial Narrow"/>
                <w:bCs/>
                <w:sz w:val="22"/>
                <w:szCs w:val="22"/>
              </w:rPr>
              <w:t>Is the study based on a representative sample selected from a relevant population?</w:t>
            </w:r>
          </w:p>
        </w:tc>
        <w:tc>
          <w:tcPr>
            <w:tcW w:w="1609" w:type="dxa"/>
          </w:tcPr>
          <w:p w:rsidR="00092F60" w:rsidRPr="00B7451B" w:rsidRDefault="00092F60" w:rsidP="00092F60">
            <w:pPr>
              <w:spacing w:before="40" w:after="40"/>
              <w:rPr>
                <w:rFonts w:ascii="Arial Narrow" w:hAnsi="Arial Narrow"/>
                <w:bCs/>
                <w:sz w:val="22"/>
                <w:szCs w:val="22"/>
              </w:rPr>
            </w:pPr>
          </w:p>
        </w:tc>
      </w:tr>
      <w:tr w:rsidR="00092F60" w:rsidRPr="00486A04" w:rsidTr="00092F60">
        <w:tc>
          <w:tcPr>
            <w:tcW w:w="6912" w:type="dxa"/>
            <w:tcBorders>
              <w:left w:val="single" w:sz="4" w:space="0" w:color="auto"/>
            </w:tcBorders>
          </w:tcPr>
          <w:p w:rsidR="00092F60" w:rsidRPr="00B7451B" w:rsidRDefault="00092F60" w:rsidP="00092F60">
            <w:pPr>
              <w:autoSpaceDE w:val="0"/>
              <w:autoSpaceDN w:val="0"/>
              <w:adjustRightInd w:val="0"/>
              <w:spacing w:before="40" w:after="40"/>
              <w:rPr>
                <w:rFonts w:ascii="Arial Narrow" w:hAnsi="Arial Narrow"/>
                <w:bCs/>
                <w:sz w:val="22"/>
                <w:szCs w:val="22"/>
              </w:rPr>
            </w:pPr>
            <w:r w:rsidRPr="00B7451B">
              <w:rPr>
                <w:rFonts w:ascii="Arial Narrow" w:hAnsi="Arial Narrow"/>
                <w:bCs/>
                <w:sz w:val="22"/>
                <w:szCs w:val="22"/>
              </w:rPr>
              <w:t>Are the criteria for inclusion explicit?</w:t>
            </w:r>
          </w:p>
        </w:tc>
        <w:tc>
          <w:tcPr>
            <w:tcW w:w="1609" w:type="dxa"/>
          </w:tcPr>
          <w:p w:rsidR="00092F60" w:rsidRPr="00B7451B" w:rsidRDefault="00092F60" w:rsidP="00092F60">
            <w:pPr>
              <w:spacing w:before="40" w:after="40"/>
              <w:rPr>
                <w:rFonts w:ascii="Arial Narrow" w:hAnsi="Arial Narrow"/>
                <w:bCs/>
                <w:sz w:val="22"/>
                <w:szCs w:val="22"/>
              </w:rPr>
            </w:pPr>
          </w:p>
        </w:tc>
      </w:tr>
      <w:tr w:rsidR="00092F60" w:rsidRPr="00486A04" w:rsidTr="00092F60">
        <w:tc>
          <w:tcPr>
            <w:tcW w:w="6912" w:type="dxa"/>
            <w:tcBorders>
              <w:left w:val="single" w:sz="4" w:space="0" w:color="auto"/>
            </w:tcBorders>
          </w:tcPr>
          <w:p w:rsidR="00092F60" w:rsidRPr="00B7451B" w:rsidRDefault="00092F60" w:rsidP="00092F60">
            <w:pPr>
              <w:autoSpaceDE w:val="0"/>
              <w:autoSpaceDN w:val="0"/>
              <w:adjustRightInd w:val="0"/>
              <w:spacing w:before="40" w:after="40"/>
              <w:rPr>
                <w:rFonts w:ascii="Arial Narrow" w:hAnsi="Arial Narrow"/>
                <w:bCs/>
                <w:sz w:val="22"/>
                <w:szCs w:val="22"/>
              </w:rPr>
            </w:pPr>
            <w:r w:rsidRPr="00B7451B">
              <w:rPr>
                <w:rFonts w:ascii="Arial Narrow" w:hAnsi="Arial Narrow"/>
                <w:bCs/>
                <w:sz w:val="22"/>
                <w:szCs w:val="22"/>
              </w:rPr>
              <w:t>Did all individuals enter the survey at a similar point in their disease progression?</w:t>
            </w:r>
          </w:p>
        </w:tc>
        <w:tc>
          <w:tcPr>
            <w:tcW w:w="1609" w:type="dxa"/>
          </w:tcPr>
          <w:p w:rsidR="00092F60" w:rsidRPr="00B7451B" w:rsidRDefault="00092F60" w:rsidP="00092F60">
            <w:pPr>
              <w:spacing w:before="40" w:after="40"/>
              <w:rPr>
                <w:rFonts w:ascii="Arial Narrow" w:hAnsi="Arial Narrow"/>
                <w:bCs/>
                <w:sz w:val="22"/>
                <w:szCs w:val="22"/>
              </w:rPr>
            </w:pPr>
          </w:p>
        </w:tc>
      </w:tr>
      <w:tr w:rsidR="00092F60" w:rsidRPr="00486A04" w:rsidTr="00092F60">
        <w:tc>
          <w:tcPr>
            <w:tcW w:w="6912" w:type="dxa"/>
            <w:tcBorders>
              <w:left w:val="single" w:sz="4" w:space="0" w:color="auto"/>
            </w:tcBorders>
          </w:tcPr>
          <w:p w:rsidR="00092F60" w:rsidRPr="00B7451B" w:rsidRDefault="00092F60" w:rsidP="00092F60">
            <w:pPr>
              <w:autoSpaceDE w:val="0"/>
              <w:autoSpaceDN w:val="0"/>
              <w:adjustRightInd w:val="0"/>
              <w:spacing w:before="40" w:after="40"/>
              <w:rPr>
                <w:rFonts w:ascii="Arial Narrow" w:hAnsi="Arial Narrow"/>
                <w:bCs/>
                <w:sz w:val="22"/>
                <w:szCs w:val="22"/>
              </w:rPr>
            </w:pPr>
            <w:r w:rsidRPr="00B7451B">
              <w:rPr>
                <w:rFonts w:ascii="Arial Narrow" w:hAnsi="Arial Narrow"/>
                <w:bCs/>
                <w:sz w:val="22"/>
                <w:szCs w:val="22"/>
              </w:rPr>
              <w:t>Was follow-up long enough for important events to occur?</w:t>
            </w:r>
          </w:p>
        </w:tc>
        <w:tc>
          <w:tcPr>
            <w:tcW w:w="1609" w:type="dxa"/>
          </w:tcPr>
          <w:p w:rsidR="00092F60" w:rsidRPr="00B7451B" w:rsidRDefault="00092F60" w:rsidP="00092F60">
            <w:pPr>
              <w:spacing w:before="40" w:after="40"/>
              <w:rPr>
                <w:rFonts w:ascii="Arial Narrow" w:hAnsi="Arial Narrow"/>
                <w:bCs/>
                <w:sz w:val="22"/>
                <w:szCs w:val="22"/>
              </w:rPr>
            </w:pPr>
          </w:p>
        </w:tc>
      </w:tr>
      <w:tr w:rsidR="00092F60" w:rsidRPr="00486A04" w:rsidTr="00092F60">
        <w:tc>
          <w:tcPr>
            <w:tcW w:w="6912" w:type="dxa"/>
            <w:tcBorders>
              <w:left w:val="single" w:sz="4" w:space="0" w:color="auto"/>
            </w:tcBorders>
          </w:tcPr>
          <w:p w:rsidR="00092F60" w:rsidRPr="00B7451B" w:rsidRDefault="00092F60" w:rsidP="00092F60">
            <w:pPr>
              <w:autoSpaceDE w:val="0"/>
              <w:autoSpaceDN w:val="0"/>
              <w:adjustRightInd w:val="0"/>
              <w:spacing w:before="40" w:after="40"/>
              <w:rPr>
                <w:rFonts w:ascii="Arial Narrow" w:hAnsi="Arial Narrow"/>
                <w:bCs/>
                <w:sz w:val="22"/>
                <w:szCs w:val="22"/>
              </w:rPr>
            </w:pPr>
            <w:r w:rsidRPr="00B7451B">
              <w:rPr>
                <w:rFonts w:ascii="Arial Narrow" w:hAnsi="Arial Narrow"/>
                <w:bCs/>
                <w:sz w:val="22"/>
                <w:szCs w:val="22"/>
              </w:rPr>
              <w:t>What percentage of the series was followed up?</w:t>
            </w:r>
          </w:p>
        </w:tc>
        <w:tc>
          <w:tcPr>
            <w:tcW w:w="1609" w:type="dxa"/>
          </w:tcPr>
          <w:p w:rsidR="00092F60" w:rsidRPr="00B7451B" w:rsidRDefault="00092F60" w:rsidP="00092F60">
            <w:pPr>
              <w:spacing w:before="40" w:after="40"/>
              <w:rPr>
                <w:rFonts w:ascii="Arial Narrow" w:hAnsi="Arial Narrow"/>
                <w:bCs/>
                <w:sz w:val="22"/>
                <w:szCs w:val="22"/>
              </w:rPr>
            </w:pPr>
          </w:p>
        </w:tc>
      </w:tr>
      <w:tr w:rsidR="00092F60" w:rsidRPr="00486A04" w:rsidTr="00092F60">
        <w:tc>
          <w:tcPr>
            <w:tcW w:w="6912" w:type="dxa"/>
            <w:tcBorders>
              <w:left w:val="single" w:sz="4" w:space="0" w:color="auto"/>
            </w:tcBorders>
          </w:tcPr>
          <w:p w:rsidR="00092F60" w:rsidRPr="00B7451B" w:rsidRDefault="00092F60" w:rsidP="00092F60">
            <w:pPr>
              <w:spacing w:before="40" w:after="40"/>
              <w:rPr>
                <w:rFonts w:ascii="Arial Narrow" w:hAnsi="Arial Narrow"/>
                <w:bCs/>
                <w:sz w:val="22"/>
                <w:szCs w:val="22"/>
              </w:rPr>
            </w:pPr>
            <w:r w:rsidRPr="00B7451B">
              <w:rPr>
                <w:rFonts w:ascii="Arial Narrow" w:hAnsi="Arial Narrow"/>
                <w:bCs/>
                <w:sz w:val="22"/>
                <w:szCs w:val="22"/>
              </w:rPr>
              <w:t>Were outcomes assessed using objective criteria or was blinding used?</w:t>
            </w:r>
          </w:p>
        </w:tc>
        <w:tc>
          <w:tcPr>
            <w:tcW w:w="1609" w:type="dxa"/>
          </w:tcPr>
          <w:p w:rsidR="00092F60" w:rsidRPr="00B7451B" w:rsidRDefault="00092F60" w:rsidP="00092F60">
            <w:pPr>
              <w:spacing w:before="40" w:after="40"/>
              <w:rPr>
                <w:rFonts w:ascii="Arial Narrow" w:hAnsi="Arial Narrow"/>
                <w:bCs/>
                <w:sz w:val="22"/>
                <w:szCs w:val="22"/>
              </w:rPr>
            </w:pPr>
          </w:p>
        </w:tc>
      </w:tr>
      <w:tr w:rsidR="00092F60" w:rsidRPr="00486A04" w:rsidTr="00092F60">
        <w:tc>
          <w:tcPr>
            <w:tcW w:w="6912" w:type="dxa"/>
            <w:tcBorders>
              <w:left w:val="single" w:sz="4" w:space="0" w:color="auto"/>
            </w:tcBorders>
          </w:tcPr>
          <w:p w:rsidR="00092F60" w:rsidRPr="00B7451B" w:rsidRDefault="00092F60" w:rsidP="00092F60">
            <w:pPr>
              <w:spacing w:before="40" w:after="40"/>
              <w:rPr>
                <w:rFonts w:ascii="Arial Narrow" w:hAnsi="Arial Narrow"/>
                <w:bCs/>
                <w:sz w:val="22"/>
                <w:szCs w:val="22"/>
              </w:rPr>
            </w:pPr>
            <w:r w:rsidRPr="00B7451B">
              <w:rPr>
                <w:rFonts w:ascii="Arial Narrow" w:hAnsi="Arial Narrow"/>
                <w:bCs/>
                <w:sz w:val="22"/>
                <w:szCs w:val="22"/>
              </w:rPr>
              <w:t xml:space="preserve">If comparisons of sub-series are being made, </w:t>
            </w:r>
            <w:proofErr w:type="gramStart"/>
            <w:r w:rsidRPr="00B7451B">
              <w:rPr>
                <w:rFonts w:ascii="Arial Narrow" w:hAnsi="Arial Narrow"/>
                <w:bCs/>
                <w:sz w:val="22"/>
                <w:szCs w:val="22"/>
              </w:rPr>
              <w:t>was</w:t>
            </w:r>
            <w:proofErr w:type="gramEnd"/>
            <w:r w:rsidRPr="00B7451B">
              <w:rPr>
                <w:rFonts w:ascii="Arial Narrow" w:hAnsi="Arial Narrow"/>
                <w:bCs/>
                <w:sz w:val="22"/>
                <w:szCs w:val="22"/>
              </w:rPr>
              <w:t xml:space="preserve"> there sufficient description of the series and the distribution of prognostic factors?</w:t>
            </w:r>
          </w:p>
        </w:tc>
        <w:tc>
          <w:tcPr>
            <w:tcW w:w="1609" w:type="dxa"/>
          </w:tcPr>
          <w:p w:rsidR="00092F60" w:rsidRPr="00B7451B" w:rsidRDefault="00092F60" w:rsidP="00092F60">
            <w:pPr>
              <w:spacing w:before="40" w:after="40"/>
              <w:rPr>
                <w:rFonts w:ascii="Arial Narrow" w:hAnsi="Arial Narrow"/>
                <w:bCs/>
                <w:sz w:val="22"/>
                <w:szCs w:val="22"/>
              </w:rPr>
            </w:pPr>
          </w:p>
        </w:tc>
      </w:tr>
      <w:tr w:rsidR="00092F60" w:rsidRPr="00486A04" w:rsidTr="00092F60">
        <w:tc>
          <w:tcPr>
            <w:tcW w:w="6912" w:type="dxa"/>
            <w:tcBorders>
              <w:left w:val="single" w:sz="4" w:space="0" w:color="auto"/>
            </w:tcBorders>
          </w:tcPr>
          <w:p w:rsidR="00092F60" w:rsidRPr="00B7451B" w:rsidRDefault="00092F60" w:rsidP="00092F60">
            <w:pPr>
              <w:spacing w:before="40" w:after="40"/>
              <w:rPr>
                <w:rFonts w:ascii="Arial Narrow" w:hAnsi="Arial Narrow"/>
                <w:bCs/>
                <w:sz w:val="22"/>
                <w:szCs w:val="22"/>
              </w:rPr>
            </w:pPr>
            <w:r w:rsidRPr="00B7451B">
              <w:rPr>
                <w:rFonts w:ascii="Arial Narrow" w:hAnsi="Arial Narrow"/>
                <w:bCs/>
                <w:sz w:val="22"/>
                <w:szCs w:val="22"/>
              </w:rPr>
              <w:t>Overall</w:t>
            </w:r>
          </w:p>
        </w:tc>
        <w:tc>
          <w:tcPr>
            <w:tcW w:w="1609" w:type="dxa"/>
          </w:tcPr>
          <w:p w:rsidR="00092F60" w:rsidRPr="00B7451B" w:rsidRDefault="00092F60" w:rsidP="00092F60">
            <w:pPr>
              <w:spacing w:before="40" w:after="40"/>
              <w:rPr>
                <w:rFonts w:ascii="Arial Narrow" w:hAnsi="Arial Narrow"/>
                <w:bCs/>
                <w:sz w:val="22"/>
                <w:szCs w:val="22"/>
              </w:rPr>
            </w:pPr>
          </w:p>
        </w:tc>
      </w:tr>
    </w:tbl>
    <w:p w:rsidR="00092F60" w:rsidRPr="00D53B7A" w:rsidRDefault="00092F60" w:rsidP="00092F60">
      <w:pPr>
        <w:rPr>
          <w:rFonts w:ascii="Arial Narrow" w:hAnsi="Arial Narrow"/>
          <w:sz w:val="20"/>
          <w:szCs w:val="20"/>
        </w:rPr>
      </w:pPr>
      <w:r w:rsidRPr="00D53B7A">
        <w:rPr>
          <w:rFonts w:ascii="Arial Narrow" w:hAnsi="Arial Narrow"/>
          <w:sz w:val="20"/>
          <w:szCs w:val="20"/>
        </w:rPr>
        <w:t>Note: amended to include the follow-up rate</w:t>
      </w:r>
    </w:p>
    <w:p w:rsidR="00092F60" w:rsidRDefault="00092F60" w:rsidP="00F24A4C">
      <w:pPr>
        <w:pStyle w:val="Heading1"/>
        <w:sectPr w:rsidR="00092F60" w:rsidSect="00107597">
          <w:pgSz w:w="11906" w:h="16838"/>
          <w:pgMar w:top="1440" w:right="1440" w:bottom="1440" w:left="1440" w:header="708" w:footer="708" w:gutter="0"/>
          <w:cols w:space="708"/>
          <w:docGrid w:linePitch="360"/>
        </w:sectPr>
      </w:pPr>
    </w:p>
    <w:p w:rsidR="00086025" w:rsidRPr="00DB0CFF" w:rsidRDefault="00791A76" w:rsidP="00DB4EE8">
      <w:pPr>
        <w:pStyle w:val="Heading1"/>
        <w:numPr>
          <w:ilvl w:val="0"/>
          <w:numId w:val="0"/>
        </w:numPr>
      </w:pPr>
      <w:bookmarkStart w:id="1116" w:name="_Ref405840779"/>
      <w:bookmarkStart w:id="1117" w:name="_Toc415141786"/>
      <w:r w:rsidRPr="003F3F2D">
        <w:lastRenderedPageBreak/>
        <w:t xml:space="preserve">Appendix </w:t>
      </w:r>
      <w:r w:rsidR="00A72B26">
        <w:t>E</w:t>
      </w:r>
      <w:bookmarkEnd w:id="523"/>
      <w:bookmarkEnd w:id="1116"/>
      <w:r w:rsidR="00E531E4" w:rsidRPr="003F3F2D">
        <w:tab/>
      </w:r>
      <w:r w:rsidR="00E525FD" w:rsidRPr="003F3F2D">
        <w:t>study profiles</w:t>
      </w:r>
      <w:r w:rsidR="000609C2" w:rsidRPr="00DB0CFF">
        <w:t xml:space="preserve"> (ToR 1)</w:t>
      </w:r>
      <w:bookmarkEnd w:id="1117"/>
    </w:p>
    <w:p w:rsidR="00B17A59" w:rsidRPr="00940098" w:rsidRDefault="00B17A59" w:rsidP="00D60032">
      <w:pPr>
        <w:pStyle w:val="Heading2"/>
        <w:numPr>
          <w:ilvl w:val="0"/>
          <w:numId w:val="0"/>
        </w:numPr>
      </w:pPr>
      <w:bookmarkStart w:id="1118" w:name="_Toc415141787"/>
      <w:r w:rsidRPr="00DB0CFF">
        <w:t>Medicines to treat Gaucher disease</w:t>
      </w:r>
      <w:bookmarkEnd w:id="1118"/>
      <w:r w:rsidRPr="00DB0CFF">
        <w:t xml:space="preserve"> </w:t>
      </w:r>
    </w:p>
    <w:p w:rsidR="00B17A59" w:rsidRDefault="00B17A59" w:rsidP="00E965BD">
      <w:pPr>
        <w:pStyle w:val="Heading3"/>
      </w:pPr>
      <w:r>
        <w:t>Imiglucerase</w:t>
      </w:r>
    </w:p>
    <w:p w:rsidR="00B17A59" w:rsidRDefault="00B17A59" w:rsidP="0096216D">
      <w:pPr>
        <w:pStyle w:val="Caption"/>
        <w:keepNext/>
        <w:tabs>
          <w:tab w:val="clear" w:pos="851"/>
          <w:tab w:val="left" w:pos="1276"/>
        </w:tabs>
        <w:ind w:left="1276" w:hanging="1276"/>
      </w:pPr>
      <w:bookmarkStart w:id="1119" w:name="_Toc404350305"/>
      <w:bookmarkStart w:id="1120" w:name="_Toc404976357"/>
      <w:bookmarkStart w:id="1121" w:name="_Toc411510522"/>
      <w:bookmarkStart w:id="1122" w:name="_Toc415141952"/>
      <w:r>
        <w:t xml:space="preserve">Table </w:t>
      </w:r>
      <w:r w:rsidR="00A72B26">
        <w:rPr>
          <w:noProof/>
        </w:rPr>
        <w:t>155</w:t>
      </w:r>
      <w:r>
        <w:tab/>
        <w:t>Study profiles for studies on alglucerase/imiglucerase vs standard therapy</w:t>
      </w:r>
      <w:bookmarkEnd w:id="1119"/>
      <w:bookmarkEnd w:id="1120"/>
      <w:bookmarkEnd w:id="1121"/>
      <w:bookmarkEnd w:id="1122"/>
      <w:r>
        <w:t xml:space="preserve"> </w:t>
      </w:r>
    </w:p>
    <w:tbl>
      <w:tblPr>
        <w:tblStyle w:val="TableGrid"/>
        <w:tblW w:w="14260" w:type="dxa"/>
        <w:tblLook w:val="04A0" w:firstRow="1" w:lastRow="0" w:firstColumn="1" w:lastColumn="0" w:noHBand="0" w:noVBand="1"/>
        <w:tblCaption w:val="Table 119 Study profiles for studies on alglucerase/imiglucerase vs standard therapy "/>
      </w:tblPr>
      <w:tblGrid>
        <w:gridCol w:w="1101"/>
        <w:gridCol w:w="1417"/>
        <w:gridCol w:w="3314"/>
        <w:gridCol w:w="2127"/>
        <w:gridCol w:w="2639"/>
        <w:gridCol w:w="1660"/>
        <w:gridCol w:w="891"/>
        <w:gridCol w:w="1111"/>
      </w:tblGrid>
      <w:tr w:rsidR="00B17A59" w:rsidRPr="00F1301E" w:rsidTr="00CE0D5D">
        <w:trPr>
          <w:tblHeader/>
        </w:trPr>
        <w:tc>
          <w:tcPr>
            <w:tcW w:w="1101" w:type="dxa"/>
          </w:tcPr>
          <w:p w:rsidR="00B17A59" w:rsidRPr="00B7451B" w:rsidRDefault="00B17A59" w:rsidP="00385BBF">
            <w:pPr>
              <w:pStyle w:val="TableHeading"/>
            </w:pPr>
            <w:r w:rsidRPr="00B7451B">
              <w:t>Author (Year) / Country</w:t>
            </w:r>
          </w:p>
        </w:tc>
        <w:tc>
          <w:tcPr>
            <w:tcW w:w="1417" w:type="dxa"/>
          </w:tcPr>
          <w:p w:rsidR="00B17A59" w:rsidRDefault="00B17A59" w:rsidP="00385BBF">
            <w:pPr>
              <w:pStyle w:val="TableHeading"/>
            </w:pPr>
            <w:r w:rsidRPr="00B7451B">
              <w:t>Study Design/ Level of Evidence/ Type of analysis/</w:t>
            </w:r>
          </w:p>
          <w:p w:rsidR="00B17A59" w:rsidRPr="00B7451B" w:rsidRDefault="00B17A59" w:rsidP="00385BBF">
            <w:pPr>
              <w:pStyle w:val="TableHeading"/>
            </w:pPr>
            <w:r>
              <w:t>Risk of bias</w:t>
            </w:r>
          </w:p>
        </w:tc>
        <w:tc>
          <w:tcPr>
            <w:tcW w:w="3314" w:type="dxa"/>
          </w:tcPr>
          <w:p w:rsidR="00B17A59" w:rsidRPr="00B7451B" w:rsidRDefault="00B17A59" w:rsidP="00385BBF">
            <w:pPr>
              <w:pStyle w:val="TableHeading"/>
            </w:pPr>
            <w:r w:rsidRPr="00B7451B">
              <w:t>Study sample characteristics</w:t>
            </w:r>
          </w:p>
        </w:tc>
        <w:tc>
          <w:tcPr>
            <w:tcW w:w="2127" w:type="dxa"/>
          </w:tcPr>
          <w:p w:rsidR="00B17A59" w:rsidRPr="00B7451B" w:rsidRDefault="00B17A59" w:rsidP="00385BBF">
            <w:pPr>
              <w:pStyle w:val="TableHeading"/>
            </w:pPr>
            <w:r>
              <w:t>Eligibility criteria</w:t>
            </w:r>
          </w:p>
        </w:tc>
        <w:tc>
          <w:tcPr>
            <w:tcW w:w="2639" w:type="dxa"/>
          </w:tcPr>
          <w:p w:rsidR="00B17A59" w:rsidRDefault="00B17A59" w:rsidP="00385BBF">
            <w:pPr>
              <w:pStyle w:val="TableHeading"/>
            </w:pPr>
            <w:r w:rsidRPr="00B7451B">
              <w:t>Intervention drug treatment details</w:t>
            </w:r>
          </w:p>
          <w:p w:rsidR="00B17A59" w:rsidRPr="00B7451B" w:rsidRDefault="00B17A59" w:rsidP="00385BBF">
            <w:pPr>
              <w:pStyle w:val="TableHeading"/>
            </w:pPr>
            <w:r>
              <w:t>Comparator drugs treatment details</w:t>
            </w:r>
          </w:p>
        </w:tc>
        <w:tc>
          <w:tcPr>
            <w:tcW w:w="1660" w:type="dxa"/>
            <w:tcBorders>
              <w:right w:val="single" w:sz="4" w:space="0" w:color="auto"/>
            </w:tcBorders>
          </w:tcPr>
          <w:p w:rsidR="00B17A59" w:rsidRPr="00B7451B" w:rsidRDefault="00B17A59" w:rsidP="00385BBF">
            <w:pPr>
              <w:pStyle w:val="TableHeading"/>
            </w:pPr>
            <w:r w:rsidRPr="00B7451B">
              <w:t>Outcomes reported (relevant to the review)</w:t>
            </w:r>
            <w:r>
              <w:t xml:space="preserve"> / measurement tools and scale</w:t>
            </w:r>
          </w:p>
        </w:tc>
        <w:tc>
          <w:tcPr>
            <w:tcW w:w="891" w:type="dxa"/>
            <w:tcBorders>
              <w:left w:val="single" w:sz="4" w:space="0" w:color="auto"/>
            </w:tcBorders>
          </w:tcPr>
          <w:p w:rsidR="00B17A59" w:rsidRPr="00B7451B" w:rsidRDefault="00B17A59" w:rsidP="00385BBF">
            <w:pPr>
              <w:pStyle w:val="TableHeading"/>
            </w:pPr>
            <w:r w:rsidRPr="00B7451B">
              <w:t>Duration of follow-up</w:t>
            </w:r>
          </w:p>
        </w:tc>
        <w:tc>
          <w:tcPr>
            <w:tcW w:w="1111" w:type="dxa"/>
          </w:tcPr>
          <w:p w:rsidR="00B17A59" w:rsidRPr="00B7451B" w:rsidRDefault="00B17A59" w:rsidP="00385BBF">
            <w:pPr>
              <w:pStyle w:val="TableHeading"/>
            </w:pPr>
            <w:r w:rsidRPr="00B7451B">
              <w:t>Comments</w:t>
            </w:r>
          </w:p>
        </w:tc>
      </w:tr>
      <w:tr w:rsidR="00B17A59" w:rsidRPr="00F1301E" w:rsidTr="00CE0D5D">
        <w:tc>
          <w:tcPr>
            <w:tcW w:w="1101" w:type="dxa"/>
          </w:tcPr>
          <w:p w:rsidR="00B17A59" w:rsidRDefault="00BC0D72" w:rsidP="00385BBF">
            <w:pPr>
              <w:pStyle w:val="TableText0"/>
            </w:pPr>
            <w:r>
              <w:rPr>
                <w:noProof/>
              </w:rPr>
              <w:t>(</w:t>
            </w:r>
            <w:r w:rsidR="00184B6F">
              <w:rPr>
                <w:noProof/>
              </w:rPr>
              <w:t>Schiffmann et al. 2002</w:t>
            </w:r>
            <w:r>
              <w:rPr>
                <w:noProof/>
              </w:rPr>
              <w:t>)</w:t>
            </w:r>
          </w:p>
          <w:p w:rsidR="00B17A59" w:rsidRPr="00B7451B" w:rsidRDefault="00B17A59" w:rsidP="00385BBF">
            <w:pPr>
              <w:pStyle w:val="TableText0"/>
            </w:pPr>
            <w:r>
              <w:t>United States</w:t>
            </w:r>
          </w:p>
        </w:tc>
        <w:tc>
          <w:tcPr>
            <w:tcW w:w="1417" w:type="dxa"/>
          </w:tcPr>
          <w:p w:rsidR="00B17A59" w:rsidRDefault="00B17A59" w:rsidP="00385BBF">
            <w:pPr>
              <w:pStyle w:val="TableText0"/>
            </w:pPr>
            <w:r>
              <w:t>RCT</w:t>
            </w:r>
          </w:p>
          <w:p w:rsidR="00B17A59" w:rsidRDefault="00B17A59" w:rsidP="00385BBF">
            <w:pPr>
              <w:pStyle w:val="TableText0"/>
            </w:pPr>
            <w:r>
              <w:t>Level II evidence</w:t>
            </w:r>
          </w:p>
          <w:p w:rsidR="00B17A59" w:rsidRDefault="00B17A59" w:rsidP="00385BBF">
            <w:pPr>
              <w:pStyle w:val="TableText0"/>
            </w:pPr>
            <w:r>
              <w:t>Superiority analysis</w:t>
            </w:r>
          </w:p>
          <w:p w:rsidR="00B17A59" w:rsidRDefault="00B17A59" w:rsidP="00385BBF">
            <w:pPr>
              <w:pStyle w:val="TableText0"/>
            </w:pPr>
            <w:r>
              <w:t>Low risk of bias</w:t>
            </w:r>
          </w:p>
          <w:p w:rsidR="00B17A59" w:rsidRDefault="00B17A59" w:rsidP="00385BBF">
            <w:pPr>
              <w:pStyle w:val="TableText0"/>
            </w:pPr>
            <w:r>
              <w:t>(amended from moderate risk of bias, after additional information provided by author)</w:t>
            </w:r>
          </w:p>
          <w:p w:rsidR="00B17A59" w:rsidRPr="00B7451B" w:rsidRDefault="00B17A59" w:rsidP="00385BBF">
            <w:pPr>
              <w:pStyle w:val="TableText0"/>
            </w:pPr>
          </w:p>
        </w:tc>
        <w:tc>
          <w:tcPr>
            <w:tcW w:w="3314" w:type="dxa"/>
          </w:tcPr>
          <w:p w:rsidR="00B17A59" w:rsidRDefault="00B17A59" w:rsidP="00385BBF">
            <w:pPr>
              <w:pStyle w:val="TableText0"/>
            </w:pPr>
            <w:r w:rsidRPr="00B7451B">
              <w:t>N</w:t>
            </w:r>
            <w:r w:rsidR="00652355" w:rsidRPr="00652355">
              <w:rPr>
                <w:spacing w:val="-20"/>
              </w:rPr>
              <w:t xml:space="preserve"> = </w:t>
            </w:r>
            <w:r>
              <w:t>29 adults with Type 1 Gaucher, who had had a splenectomy, and were naïve to ERT</w:t>
            </w:r>
          </w:p>
          <w:p w:rsidR="00B17A59" w:rsidRDefault="00B17A59" w:rsidP="00385BBF">
            <w:pPr>
              <w:pStyle w:val="TableText0"/>
            </w:pPr>
          </w:p>
          <w:p w:rsidR="00B17A59" w:rsidRPr="00E1555C" w:rsidRDefault="00B17A59" w:rsidP="00385BBF">
            <w:pPr>
              <w:pStyle w:val="TableText0"/>
              <w:rPr>
                <w:u w:val="single"/>
              </w:rPr>
            </w:pPr>
            <w:r w:rsidRPr="00E1555C">
              <w:rPr>
                <w:u w:val="single"/>
              </w:rPr>
              <w:t>Vitamin D</w:t>
            </w:r>
          </w:p>
          <w:p w:rsidR="00B17A59" w:rsidRDefault="00B17A59" w:rsidP="00385BBF">
            <w:pPr>
              <w:pStyle w:val="TableText0"/>
            </w:pPr>
            <w:r>
              <w:t>Mean age 38.3±10.2 years</w:t>
            </w:r>
          </w:p>
          <w:p w:rsidR="00B17A59" w:rsidRDefault="00B17A59" w:rsidP="00385BBF">
            <w:pPr>
              <w:pStyle w:val="TableText0"/>
            </w:pPr>
            <w:r>
              <w:t>Mean liver volume 3446±505 ml</w:t>
            </w:r>
          </w:p>
          <w:p w:rsidR="00B17A59" w:rsidRDefault="00B17A59" w:rsidP="00385BBF">
            <w:pPr>
              <w:pStyle w:val="TableText0"/>
            </w:pPr>
            <w:r>
              <w:t>Mean bone density 151.1±23.4 SEQCT, mg/cm</w:t>
            </w:r>
            <w:r>
              <w:rPr>
                <w:vertAlign w:val="superscript"/>
              </w:rPr>
              <w:t xml:space="preserve">3 </w:t>
            </w:r>
          </w:p>
          <w:p w:rsidR="00B17A59" w:rsidRPr="00E1555C" w:rsidRDefault="00B17A59" w:rsidP="00385BBF">
            <w:pPr>
              <w:pStyle w:val="TableText0"/>
            </w:pPr>
          </w:p>
          <w:p w:rsidR="00B17A59" w:rsidRPr="00E1555C" w:rsidRDefault="00B17A59" w:rsidP="00385BBF">
            <w:pPr>
              <w:pStyle w:val="TableText0"/>
              <w:rPr>
                <w:u w:val="single"/>
              </w:rPr>
            </w:pPr>
            <w:r w:rsidRPr="00E1555C">
              <w:rPr>
                <w:u w:val="single"/>
              </w:rPr>
              <w:t>Vitamin D</w:t>
            </w:r>
            <w:r>
              <w:rPr>
                <w:u w:val="single"/>
              </w:rPr>
              <w:t xml:space="preserve"> +ERT</w:t>
            </w:r>
          </w:p>
          <w:p w:rsidR="00B17A59" w:rsidRDefault="00B17A59" w:rsidP="00385BBF">
            <w:pPr>
              <w:pStyle w:val="TableText0"/>
            </w:pPr>
            <w:r>
              <w:t>Mean age 36.2±8.5 years</w:t>
            </w:r>
          </w:p>
          <w:p w:rsidR="00B17A59" w:rsidRDefault="00B17A59" w:rsidP="00385BBF">
            <w:pPr>
              <w:pStyle w:val="TableText0"/>
            </w:pPr>
            <w:r>
              <w:t>Mean liver volume 3716±1969 ml</w:t>
            </w:r>
          </w:p>
          <w:p w:rsidR="00B17A59" w:rsidRDefault="00B17A59" w:rsidP="00385BBF">
            <w:pPr>
              <w:pStyle w:val="TableText0"/>
            </w:pPr>
            <w:r>
              <w:t>Mean bone density 151.8±18.4 SEQCT, mg/cm</w:t>
            </w:r>
            <w:r>
              <w:rPr>
                <w:vertAlign w:val="superscript"/>
              </w:rPr>
              <w:t xml:space="preserve">3 </w:t>
            </w:r>
          </w:p>
          <w:p w:rsidR="00B17A59" w:rsidRDefault="00B17A59" w:rsidP="00385BBF">
            <w:pPr>
              <w:pStyle w:val="TableText0"/>
            </w:pPr>
          </w:p>
          <w:p w:rsidR="00B17A59" w:rsidRPr="00E1555C" w:rsidRDefault="00B17A59" w:rsidP="00385BBF">
            <w:pPr>
              <w:pStyle w:val="TableText0"/>
              <w:rPr>
                <w:u w:val="single"/>
              </w:rPr>
            </w:pPr>
            <w:r w:rsidRPr="00E1555C">
              <w:rPr>
                <w:u w:val="single"/>
              </w:rPr>
              <w:lastRenderedPageBreak/>
              <w:t>ERT alone</w:t>
            </w:r>
          </w:p>
          <w:p w:rsidR="00B17A59" w:rsidRDefault="00B17A59" w:rsidP="00385BBF">
            <w:pPr>
              <w:pStyle w:val="TableText0"/>
            </w:pPr>
            <w:r>
              <w:t>Mean age 34.8±6.3 years</w:t>
            </w:r>
          </w:p>
          <w:p w:rsidR="00B17A59" w:rsidRDefault="00B17A59" w:rsidP="00385BBF">
            <w:pPr>
              <w:pStyle w:val="TableText0"/>
            </w:pPr>
            <w:r>
              <w:t>Mean liver volume 3412±1016 ml</w:t>
            </w:r>
          </w:p>
          <w:p w:rsidR="00B17A59" w:rsidRDefault="00B17A59" w:rsidP="00385BBF">
            <w:pPr>
              <w:pStyle w:val="TableText0"/>
            </w:pPr>
            <w:r>
              <w:t>Mean bone density 150.1±19 SEQCT, mg/cm</w:t>
            </w:r>
            <w:r>
              <w:rPr>
                <w:vertAlign w:val="superscript"/>
              </w:rPr>
              <w:t xml:space="preserve">3 </w:t>
            </w:r>
          </w:p>
          <w:p w:rsidR="00B17A59" w:rsidRPr="00B7451B" w:rsidRDefault="00B17A59" w:rsidP="00385BBF">
            <w:pPr>
              <w:pStyle w:val="TableText0"/>
            </w:pPr>
          </w:p>
        </w:tc>
        <w:tc>
          <w:tcPr>
            <w:tcW w:w="2127" w:type="dxa"/>
          </w:tcPr>
          <w:p w:rsidR="00B17A59" w:rsidRPr="00240C71" w:rsidRDefault="00B17A59" w:rsidP="00385BBF">
            <w:pPr>
              <w:pStyle w:val="TableText0"/>
              <w:rPr>
                <w:u w:val="single"/>
              </w:rPr>
            </w:pPr>
            <w:r w:rsidRPr="00240C71">
              <w:rPr>
                <w:u w:val="single"/>
              </w:rPr>
              <w:lastRenderedPageBreak/>
              <w:t>Inclusion</w:t>
            </w:r>
          </w:p>
          <w:p w:rsidR="00B17A59" w:rsidRDefault="00B17A59" w:rsidP="00385BBF">
            <w:pPr>
              <w:pStyle w:val="TableText0"/>
            </w:pPr>
            <w:r>
              <w:t>Patients aged 18 to 60, who underwent complete splenectomy prior to 1993 (a year before initiation of study), naïve to ERT.</w:t>
            </w:r>
          </w:p>
          <w:p w:rsidR="00B17A59" w:rsidRPr="00240C71" w:rsidRDefault="00B17A59" w:rsidP="00385BBF">
            <w:pPr>
              <w:pStyle w:val="TableText0"/>
              <w:rPr>
                <w:u w:val="single"/>
              </w:rPr>
            </w:pPr>
            <w:r w:rsidRPr="00240C71">
              <w:rPr>
                <w:u w:val="single"/>
              </w:rPr>
              <w:t>Exclusion</w:t>
            </w:r>
          </w:p>
          <w:p w:rsidR="00B17A59" w:rsidRPr="00B7451B" w:rsidRDefault="00B17A59" w:rsidP="00385BBF">
            <w:pPr>
              <w:pStyle w:val="TableText0"/>
            </w:pPr>
            <w:r>
              <w:t xml:space="preserve">Patients who were bedridden or wheelchair-bound for ≥2 consecutive months. Patients who were oestrogen or testosterone deficient. Patients who took medications that modified calcium and bone metabolism. </w:t>
            </w:r>
          </w:p>
        </w:tc>
        <w:tc>
          <w:tcPr>
            <w:tcW w:w="2639" w:type="dxa"/>
          </w:tcPr>
          <w:p w:rsidR="00B17A59" w:rsidRPr="00240C71" w:rsidRDefault="00B17A59" w:rsidP="00385BBF">
            <w:pPr>
              <w:pStyle w:val="TableText0"/>
              <w:rPr>
                <w:u w:val="single"/>
              </w:rPr>
            </w:pPr>
            <w:r w:rsidRPr="00240C71">
              <w:rPr>
                <w:u w:val="single"/>
              </w:rPr>
              <w:t>Intervention</w:t>
            </w:r>
            <w:r>
              <w:rPr>
                <w:u w:val="single"/>
              </w:rPr>
              <w:t xml:space="preserve"> 1 (Group 2) (ERT + vitamin D)</w:t>
            </w:r>
          </w:p>
          <w:p w:rsidR="00B17A59" w:rsidRPr="00B7451B" w:rsidRDefault="00B17A59" w:rsidP="00385BBF">
            <w:pPr>
              <w:pStyle w:val="TableText0"/>
            </w:pPr>
            <w:r w:rsidRPr="00B7451B">
              <w:t>ITT n</w:t>
            </w:r>
            <w:r w:rsidR="00652355" w:rsidRPr="00652355">
              <w:rPr>
                <w:spacing w:val="-20"/>
              </w:rPr>
              <w:t xml:space="preserve"> = </w:t>
            </w:r>
            <w:r>
              <w:t>10</w:t>
            </w:r>
          </w:p>
          <w:p w:rsidR="00B17A59" w:rsidRPr="00B7451B" w:rsidRDefault="00B17A59" w:rsidP="00385BBF">
            <w:pPr>
              <w:pStyle w:val="TableText0"/>
            </w:pPr>
            <w:r w:rsidRPr="00B7451B">
              <w:t>LTF</w:t>
            </w:r>
            <w:r w:rsidR="00652355" w:rsidRPr="00652355">
              <w:rPr>
                <w:spacing w:val="-20"/>
              </w:rPr>
              <w:t xml:space="preserve"> = </w:t>
            </w:r>
            <w:r>
              <w:t>1/10</w:t>
            </w:r>
          </w:p>
          <w:p w:rsidR="00B17A59" w:rsidRDefault="00B17A59" w:rsidP="00385BBF">
            <w:pPr>
              <w:pStyle w:val="TableText0"/>
            </w:pPr>
            <w:r>
              <w:t>Alglucerase/imiglucerase at 60 IU/kg every 2 weeks for 6 months</w:t>
            </w:r>
          </w:p>
          <w:p w:rsidR="00B17A59" w:rsidRDefault="00B17A59" w:rsidP="00385BBF">
            <w:pPr>
              <w:pStyle w:val="TableText0"/>
            </w:pPr>
            <w:r>
              <w:t>Calcitriol (0.25 – 3.0 µg/day and dietary calcium content adjusted to 600 mg/day)</w:t>
            </w:r>
          </w:p>
          <w:p w:rsidR="00B17A59" w:rsidRPr="00240C71" w:rsidRDefault="00B17A59" w:rsidP="00385BBF">
            <w:pPr>
              <w:pStyle w:val="TableText0"/>
              <w:rPr>
                <w:u w:val="single"/>
              </w:rPr>
            </w:pPr>
            <w:r w:rsidRPr="00240C71">
              <w:rPr>
                <w:u w:val="single"/>
              </w:rPr>
              <w:t>Intervention</w:t>
            </w:r>
            <w:r>
              <w:rPr>
                <w:u w:val="single"/>
              </w:rPr>
              <w:t xml:space="preserve"> 2 (Group 3) (ERT alone)</w:t>
            </w:r>
          </w:p>
          <w:p w:rsidR="00B17A59" w:rsidRPr="00B7451B" w:rsidRDefault="00B17A59" w:rsidP="00385BBF">
            <w:pPr>
              <w:pStyle w:val="TableText0"/>
            </w:pPr>
            <w:r w:rsidRPr="00B7451B">
              <w:t>ITT n</w:t>
            </w:r>
            <w:r w:rsidR="00652355" w:rsidRPr="00652355">
              <w:rPr>
                <w:spacing w:val="-20"/>
              </w:rPr>
              <w:t xml:space="preserve"> = </w:t>
            </w:r>
            <w:r>
              <w:t>10</w:t>
            </w:r>
          </w:p>
          <w:p w:rsidR="00B17A59" w:rsidRPr="00B7451B" w:rsidRDefault="00B17A59" w:rsidP="00385BBF">
            <w:pPr>
              <w:pStyle w:val="TableText0"/>
            </w:pPr>
            <w:r w:rsidRPr="00B7451B">
              <w:t>LTF</w:t>
            </w:r>
            <w:r w:rsidR="00652355" w:rsidRPr="00652355">
              <w:rPr>
                <w:spacing w:val="-20"/>
              </w:rPr>
              <w:t xml:space="preserve"> = </w:t>
            </w:r>
            <w:r>
              <w:t>1/10</w:t>
            </w:r>
          </w:p>
          <w:p w:rsidR="00B17A59" w:rsidRDefault="00B17A59" w:rsidP="00385BBF">
            <w:pPr>
              <w:pStyle w:val="TableText0"/>
            </w:pPr>
            <w:r>
              <w:t xml:space="preserve">Alglucerase/imiglucerase at 60 IU/kg every 2 weeks for 6 </w:t>
            </w:r>
            <w:r>
              <w:lastRenderedPageBreak/>
              <w:t>months</w:t>
            </w:r>
          </w:p>
          <w:p w:rsidR="00B17A59" w:rsidRPr="00B7451B" w:rsidRDefault="00B17A59" w:rsidP="00385BBF">
            <w:pPr>
              <w:pStyle w:val="TableText0"/>
            </w:pPr>
            <w:r>
              <w:t>Diet of 1000 mg calcium/day.</w:t>
            </w:r>
          </w:p>
          <w:p w:rsidR="00B17A59" w:rsidRDefault="00B17A59" w:rsidP="00385BBF">
            <w:pPr>
              <w:pStyle w:val="TableText0"/>
              <w:rPr>
                <w:u w:val="single"/>
              </w:rPr>
            </w:pPr>
            <w:r w:rsidRPr="00240C71">
              <w:rPr>
                <w:u w:val="single"/>
              </w:rPr>
              <w:t>Comparator</w:t>
            </w:r>
            <w:r>
              <w:rPr>
                <w:u w:val="single"/>
              </w:rPr>
              <w:t xml:space="preserve"> (Group 1) (Vitamin D alone)</w:t>
            </w:r>
          </w:p>
          <w:p w:rsidR="00B17A59" w:rsidRPr="00B7451B" w:rsidRDefault="00B17A59" w:rsidP="00385BBF">
            <w:pPr>
              <w:pStyle w:val="TableText0"/>
            </w:pPr>
            <w:r w:rsidRPr="00B7451B">
              <w:t>ITT n</w:t>
            </w:r>
            <w:r w:rsidR="00652355" w:rsidRPr="00652355">
              <w:rPr>
                <w:spacing w:val="-20"/>
              </w:rPr>
              <w:t xml:space="preserve"> = </w:t>
            </w:r>
            <w:r>
              <w:t>9</w:t>
            </w:r>
          </w:p>
          <w:p w:rsidR="00B17A59" w:rsidRPr="00B7451B" w:rsidRDefault="00B17A59" w:rsidP="00385BBF">
            <w:pPr>
              <w:pStyle w:val="TableText0"/>
            </w:pPr>
            <w:r w:rsidRPr="00B7451B">
              <w:t>LTF</w:t>
            </w:r>
            <w:r w:rsidR="00652355" w:rsidRPr="00652355">
              <w:rPr>
                <w:spacing w:val="-20"/>
              </w:rPr>
              <w:t xml:space="preserve"> = </w:t>
            </w:r>
            <w:r>
              <w:t>2/9</w:t>
            </w:r>
          </w:p>
          <w:p w:rsidR="00B17A59" w:rsidRPr="000814B1" w:rsidRDefault="00B17A59" w:rsidP="00385BBF">
            <w:pPr>
              <w:pStyle w:val="TableText0"/>
            </w:pPr>
            <w:r>
              <w:t>Calcitriol (0.25 – 3.0 µg/day and dietary calcium content adjusted to 600 mg/day)</w:t>
            </w:r>
          </w:p>
        </w:tc>
        <w:tc>
          <w:tcPr>
            <w:tcW w:w="1660" w:type="dxa"/>
            <w:tcBorders>
              <w:right w:val="single" w:sz="4" w:space="0" w:color="auto"/>
            </w:tcBorders>
          </w:tcPr>
          <w:p w:rsidR="00B17A59" w:rsidRDefault="00B17A59" w:rsidP="00385BBF">
            <w:pPr>
              <w:pStyle w:val="TableText0"/>
            </w:pPr>
            <w:r>
              <w:lastRenderedPageBreak/>
              <w:t>Bone marrow fat fraction (surrogate for bone disease)</w:t>
            </w:r>
          </w:p>
          <w:p w:rsidR="00B17A59" w:rsidRDefault="00B17A59" w:rsidP="00385BBF">
            <w:pPr>
              <w:pStyle w:val="TableText0"/>
            </w:pPr>
            <w:r>
              <w:t>Haemoglobin</w:t>
            </w:r>
          </w:p>
          <w:p w:rsidR="00B17A59" w:rsidRDefault="00B17A59" w:rsidP="00385BBF">
            <w:pPr>
              <w:pStyle w:val="TableText0"/>
            </w:pPr>
            <w:r>
              <w:t>Platelets</w:t>
            </w:r>
          </w:p>
          <w:p w:rsidR="00B17A59" w:rsidRPr="00B7451B" w:rsidRDefault="00B17A59" w:rsidP="00385BBF">
            <w:pPr>
              <w:pStyle w:val="TableText0"/>
            </w:pPr>
            <w:r>
              <w:t>Liver volume</w:t>
            </w:r>
          </w:p>
        </w:tc>
        <w:tc>
          <w:tcPr>
            <w:tcW w:w="891" w:type="dxa"/>
            <w:tcBorders>
              <w:left w:val="single" w:sz="4" w:space="0" w:color="auto"/>
            </w:tcBorders>
          </w:tcPr>
          <w:p w:rsidR="00B17A59" w:rsidRPr="00B7451B" w:rsidRDefault="00B17A59" w:rsidP="00385BBF">
            <w:pPr>
              <w:pStyle w:val="TableText0"/>
            </w:pPr>
            <w:r>
              <w:t>6 months (until no ERT group started receiving ERT)</w:t>
            </w:r>
          </w:p>
        </w:tc>
        <w:tc>
          <w:tcPr>
            <w:tcW w:w="1111" w:type="dxa"/>
          </w:tcPr>
          <w:p w:rsidR="00B17A59" w:rsidRPr="00B7451B" w:rsidRDefault="00B17A59" w:rsidP="00385BBF">
            <w:pPr>
              <w:pStyle w:val="TableText0"/>
            </w:pPr>
            <w:r>
              <w:t xml:space="preserve">Author was contacted for additional data. </w:t>
            </w:r>
          </w:p>
        </w:tc>
      </w:tr>
    </w:tbl>
    <w:p w:rsidR="00B17A59" w:rsidRDefault="00C023C4" w:rsidP="00C023C4">
      <w:pPr>
        <w:pStyle w:val="TableNote"/>
      </w:pPr>
      <w:r>
        <w:lastRenderedPageBreak/>
        <w:t xml:space="preserve">ERT </w:t>
      </w:r>
      <w:r w:rsidR="00652355" w:rsidRPr="00652355">
        <w:rPr>
          <w:spacing w:val="-20"/>
        </w:rPr>
        <w:t xml:space="preserve"> = </w:t>
      </w:r>
      <w:r>
        <w:t xml:space="preserve"> enzyme replacement therapy; ITT </w:t>
      </w:r>
      <w:r w:rsidR="00652355" w:rsidRPr="00652355">
        <w:rPr>
          <w:spacing w:val="-20"/>
        </w:rPr>
        <w:t xml:space="preserve"> = </w:t>
      </w:r>
      <w:r>
        <w:t xml:space="preserve"> intention to treat; LTF </w:t>
      </w:r>
      <w:r w:rsidR="00652355" w:rsidRPr="00652355">
        <w:rPr>
          <w:spacing w:val="-20"/>
        </w:rPr>
        <w:t xml:space="preserve"> = </w:t>
      </w:r>
      <w:r>
        <w:t xml:space="preserve"> lost to follow-up; RCT </w:t>
      </w:r>
      <w:r w:rsidR="00652355" w:rsidRPr="00652355">
        <w:rPr>
          <w:spacing w:val="-20"/>
        </w:rPr>
        <w:t xml:space="preserve"> = </w:t>
      </w:r>
      <w:r>
        <w:t xml:space="preserve"> randomised controlled trial; SEQCT </w:t>
      </w:r>
      <w:r w:rsidR="00652355" w:rsidRPr="00652355">
        <w:rPr>
          <w:spacing w:val="-20"/>
        </w:rPr>
        <w:t xml:space="preserve"> = </w:t>
      </w:r>
      <w:r>
        <w:t xml:space="preserve"> </w:t>
      </w:r>
      <w:r w:rsidR="006A39A8">
        <w:t>single energy quantitative computed tomography</w:t>
      </w:r>
    </w:p>
    <w:p w:rsidR="00CE0D5D" w:rsidRDefault="00CE0D5D" w:rsidP="00331C22">
      <w:r>
        <w:br w:type="page"/>
      </w:r>
    </w:p>
    <w:p w:rsidR="00B17A59" w:rsidRDefault="00B17A59" w:rsidP="00E965BD">
      <w:pPr>
        <w:pStyle w:val="Heading3"/>
      </w:pPr>
      <w:r>
        <w:lastRenderedPageBreak/>
        <w:t>Velaglucerase</w:t>
      </w:r>
    </w:p>
    <w:p w:rsidR="00B17A59" w:rsidRDefault="00B17A59" w:rsidP="0096216D">
      <w:pPr>
        <w:pStyle w:val="Caption"/>
        <w:keepNext/>
        <w:tabs>
          <w:tab w:val="clear" w:pos="851"/>
          <w:tab w:val="left" w:pos="1276"/>
        </w:tabs>
        <w:ind w:left="1276" w:hanging="1276"/>
      </w:pPr>
      <w:bookmarkStart w:id="1123" w:name="_Toc404350306"/>
      <w:bookmarkStart w:id="1124" w:name="_Toc404976358"/>
      <w:bookmarkStart w:id="1125" w:name="_Toc411510523"/>
      <w:bookmarkStart w:id="1126" w:name="_Toc415141953"/>
      <w:r>
        <w:t xml:space="preserve">Table </w:t>
      </w:r>
      <w:r w:rsidR="00A72B26">
        <w:rPr>
          <w:noProof/>
        </w:rPr>
        <w:t>156</w:t>
      </w:r>
      <w:r>
        <w:tab/>
        <w:t>Study profiles for studies on velaglucerase alfa (compared to imiglucerase or extension studies subsequent to trial)</w:t>
      </w:r>
      <w:bookmarkEnd w:id="1123"/>
      <w:bookmarkEnd w:id="1124"/>
      <w:bookmarkEnd w:id="1125"/>
      <w:bookmarkEnd w:id="1126"/>
    </w:p>
    <w:tbl>
      <w:tblPr>
        <w:tblStyle w:val="TableGrid"/>
        <w:tblW w:w="14260" w:type="dxa"/>
        <w:tblLayout w:type="fixed"/>
        <w:tblLook w:val="04A0" w:firstRow="1" w:lastRow="0" w:firstColumn="1" w:lastColumn="0" w:noHBand="0" w:noVBand="1"/>
        <w:tblCaption w:val=" Study profiles for studies on velaglucerase alfa (compared to imiglucerase or extension studies subsequent to trial)"/>
      </w:tblPr>
      <w:tblGrid>
        <w:gridCol w:w="1074"/>
        <w:gridCol w:w="1636"/>
        <w:gridCol w:w="2218"/>
        <w:gridCol w:w="3685"/>
        <w:gridCol w:w="1560"/>
        <w:gridCol w:w="1842"/>
        <w:gridCol w:w="1134"/>
        <w:gridCol w:w="1111"/>
      </w:tblGrid>
      <w:tr w:rsidR="00B17A59" w:rsidRPr="00F1301E" w:rsidTr="00CE0D5D">
        <w:trPr>
          <w:tblHeader/>
        </w:trPr>
        <w:tc>
          <w:tcPr>
            <w:tcW w:w="1074" w:type="dxa"/>
          </w:tcPr>
          <w:p w:rsidR="00B17A59" w:rsidRPr="00B7451B" w:rsidRDefault="00B17A59" w:rsidP="00385BBF">
            <w:pPr>
              <w:pStyle w:val="TableHeading"/>
            </w:pPr>
            <w:r w:rsidRPr="00B7451B">
              <w:t>Author (Year) / Country</w:t>
            </w:r>
          </w:p>
        </w:tc>
        <w:tc>
          <w:tcPr>
            <w:tcW w:w="1636" w:type="dxa"/>
          </w:tcPr>
          <w:p w:rsidR="00B17A59" w:rsidRDefault="00B17A59" w:rsidP="00385BBF">
            <w:pPr>
              <w:pStyle w:val="TableHeading"/>
            </w:pPr>
            <w:r w:rsidRPr="00B7451B">
              <w:t>Study Design/ Level of Evidence/ Type of analysis/</w:t>
            </w:r>
          </w:p>
          <w:p w:rsidR="00B17A59" w:rsidRPr="00B7451B" w:rsidRDefault="00B17A59" w:rsidP="00385BBF">
            <w:pPr>
              <w:pStyle w:val="TableHeading"/>
            </w:pPr>
            <w:r>
              <w:t>Risk of bias</w:t>
            </w:r>
          </w:p>
        </w:tc>
        <w:tc>
          <w:tcPr>
            <w:tcW w:w="2218" w:type="dxa"/>
          </w:tcPr>
          <w:p w:rsidR="00B17A59" w:rsidRPr="00B7451B" w:rsidRDefault="00B17A59" w:rsidP="00385BBF">
            <w:pPr>
              <w:pStyle w:val="TableHeading"/>
            </w:pPr>
            <w:r w:rsidRPr="00B7451B">
              <w:t>Study sample characteristics</w:t>
            </w:r>
          </w:p>
        </w:tc>
        <w:tc>
          <w:tcPr>
            <w:tcW w:w="3685" w:type="dxa"/>
          </w:tcPr>
          <w:p w:rsidR="00B17A59" w:rsidRPr="00B7451B" w:rsidRDefault="00B17A59" w:rsidP="00385BBF">
            <w:pPr>
              <w:pStyle w:val="TableHeading"/>
            </w:pPr>
            <w:r>
              <w:t>Eligibility criteria</w:t>
            </w:r>
          </w:p>
        </w:tc>
        <w:tc>
          <w:tcPr>
            <w:tcW w:w="1560" w:type="dxa"/>
          </w:tcPr>
          <w:p w:rsidR="00B17A59" w:rsidRDefault="00B17A59" w:rsidP="00385BBF">
            <w:pPr>
              <w:pStyle w:val="TableHeading"/>
            </w:pPr>
            <w:r w:rsidRPr="00B7451B">
              <w:t>Intervention drug treatment details</w:t>
            </w:r>
          </w:p>
          <w:p w:rsidR="00B17A59" w:rsidRPr="00B7451B" w:rsidRDefault="00B17A59" w:rsidP="00385BBF">
            <w:pPr>
              <w:pStyle w:val="TableHeading"/>
            </w:pPr>
            <w:r>
              <w:t>Comparator drugs treatment details</w:t>
            </w:r>
          </w:p>
        </w:tc>
        <w:tc>
          <w:tcPr>
            <w:tcW w:w="1842" w:type="dxa"/>
            <w:tcBorders>
              <w:right w:val="single" w:sz="4" w:space="0" w:color="auto"/>
            </w:tcBorders>
          </w:tcPr>
          <w:p w:rsidR="00B17A59" w:rsidRPr="00B7451B" w:rsidRDefault="00B17A59" w:rsidP="00385BBF">
            <w:pPr>
              <w:pStyle w:val="TableHeading"/>
            </w:pPr>
            <w:r w:rsidRPr="00B7451B">
              <w:t>Outcomes reported (relevant to the review)</w:t>
            </w:r>
            <w:r>
              <w:t xml:space="preserve"> / measurement tools and scale</w:t>
            </w:r>
          </w:p>
        </w:tc>
        <w:tc>
          <w:tcPr>
            <w:tcW w:w="1134" w:type="dxa"/>
            <w:tcBorders>
              <w:left w:val="single" w:sz="4" w:space="0" w:color="auto"/>
            </w:tcBorders>
          </w:tcPr>
          <w:p w:rsidR="00B17A59" w:rsidRPr="00B7451B" w:rsidRDefault="00B17A59" w:rsidP="00385BBF">
            <w:pPr>
              <w:pStyle w:val="TableHeading"/>
            </w:pPr>
            <w:r w:rsidRPr="00B7451B">
              <w:t>Duration of follow-up</w:t>
            </w:r>
          </w:p>
        </w:tc>
        <w:tc>
          <w:tcPr>
            <w:tcW w:w="1111" w:type="dxa"/>
          </w:tcPr>
          <w:p w:rsidR="00B17A59" w:rsidRPr="00B7451B" w:rsidRDefault="00B17A59" w:rsidP="00385BBF">
            <w:pPr>
              <w:pStyle w:val="TableHeading"/>
            </w:pPr>
            <w:r w:rsidRPr="00B7451B">
              <w:t>Comments</w:t>
            </w:r>
          </w:p>
        </w:tc>
      </w:tr>
      <w:tr w:rsidR="00B17A59" w:rsidRPr="00F1301E" w:rsidTr="00CE0D5D">
        <w:tc>
          <w:tcPr>
            <w:tcW w:w="1074" w:type="dxa"/>
          </w:tcPr>
          <w:p w:rsidR="00D80975" w:rsidRDefault="00BD4A3A" w:rsidP="00385BBF">
            <w:pPr>
              <w:pStyle w:val="TableText0"/>
            </w:pPr>
            <w:r>
              <w:rPr>
                <w:noProof/>
              </w:rPr>
              <w:t>(</w:t>
            </w:r>
            <w:r w:rsidR="00184B6F">
              <w:rPr>
                <w:noProof/>
              </w:rPr>
              <w:t>Ben Turkia et al. 2013</w:t>
            </w:r>
            <w:r>
              <w:rPr>
                <w:noProof/>
              </w:rPr>
              <w:t>)</w:t>
            </w:r>
          </w:p>
          <w:p w:rsidR="00B17A59" w:rsidRPr="00B7451B" w:rsidRDefault="00B17A59" w:rsidP="00385BBF">
            <w:pPr>
              <w:pStyle w:val="TableText0"/>
            </w:pPr>
            <w:r>
              <w:t>Tunisia, Paraguay, USA, Israel, Spain, India, Argentina, UK, Russia</w:t>
            </w:r>
          </w:p>
        </w:tc>
        <w:tc>
          <w:tcPr>
            <w:tcW w:w="1636" w:type="dxa"/>
          </w:tcPr>
          <w:p w:rsidR="00B17A59" w:rsidRDefault="00B17A59" w:rsidP="00385BBF">
            <w:pPr>
              <w:pStyle w:val="TableText0"/>
            </w:pPr>
            <w:r>
              <w:t>RCT</w:t>
            </w:r>
          </w:p>
          <w:p w:rsidR="00B17A59" w:rsidRDefault="00B17A59" w:rsidP="00385BBF">
            <w:pPr>
              <w:pStyle w:val="TableText0"/>
            </w:pPr>
            <w:r>
              <w:t>Level II evidence</w:t>
            </w:r>
          </w:p>
          <w:p w:rsidR="00B17A59" w:rsidRDefault="00B17A59" w:rsidP="00385BBF">
            <w:pPr>
              <w:pStyle w:val="TableText0"/>
            </w:pPr>
            <w:r>
              <w:t>Non-inferiority</w:t>
            </w:r>
          </w:p>
          <w:p w:rsidR="00B17A59" w:rsidRPr="00B7451B" w:rsidRDefault="00B17A59" w:rsidP="00385BBF">
            <w:pPr>
              <w:pStyle w:val="TableText0"/>
            </w:pPr>
            <w:r>
              <w:t>Low risk of bias</w:t>
            </w:r>
          </w:p>
        </w:tc>
        <w:tc>
          <w:tcPr>
            <w:tcW w:w="2218" w:type="dxa"/>
          </w:tcPr>
          <w:p w:rsidR="00B17A59" w:rsidRDefault="00B17A59" w:rsidP="00385BBF">
            <w:pPr>
              <w:pStyle w:val="TableText0"/>
            </w:pPr>
            <w:r>
              <w:t>N</w:t>
            </w:r>
            <w:r w:rsidR="00652355" w:rsidRPr="00652355">
              <w:rPr>
                <w:spacing w:val="-20"/>
              </w:rPr>
              <w:t xml:space="preserve"> = </w:t>
            </w:r>
            <w:r>
              <w:t>34</w:t>
            </w:r>
          </w:p>
          <w:p w:rsidR="00B17A59" w:rsidRPr="00252E47" w:rsidRDefault="00B17A59" w:rsidP="00385BBF">
            <w:pPr>
              <w:pStyle w:val="TableText0"/>
              <w:rPr>
                <w:u w:val="single"/>
              </w:rPr>
            </w:pPr>
            <w:r w:rsidRPr="00252E47">
              <w:rPr>
                <w:u w:val="single"/>
              </w:rPr>
              <w:t>Intervention</w:t>
            </w:r>
          </w:p>
          <w:p w:rsidR="00B17A59" w:rsidRDefault="00B17A59" w:rsidP="00385BBF">
            <w:pPr>
              <w:pStyle w:val="TableText0"/>
            </w:pPr>
            <w:r>
              <w:t>N</w:t>
            </w:r>
            <w:r w:rsidR="00652355" w:rsidRPr="00652355">
              <w:rPr>
                <w:spacing w:val="-20"/>
              </w:rPr>
              <w:t xml:space="preserve"> = </w:t>
            </w:r>
            <w:r>
              <w:t>17</w:t>
            </w:r>
          </w:p>
          <w:p w:rsidR="00B17A59" w:rsidRDefault="00B17A59" w:rsidP="00385BBF">
            <w:pPr>
              <w:pStyle w:val="TableText0"/>
            </w:pPr>
            <w:r>
              <w:t xml:space="preserve">Median age (range) </w:t>
            </w:r>
            <w:r w:rsidR="00652355" w:rsidRPr="00652355">
              <w:rPr>
                <w:spacing w:val="-20"/>
              </w:rPr>
              <w:t xml:space="preserve"> = </w:t>
            </w:r>
            <w:r>
              <w:t xml:space="preserve"> 36 (7-60) years</w:t>
            </w:r>
          </w:p>
          <w:p w:rsidR="00B17A59" w:rsidRDefault="00B17A59" w:rsidP="00385BBF">
            <w:pPr>
              <w:pStyle w:val="TableText0"/>
            </w:pPr>
            <w:r>
              <w:t>8 (47%) male</w:t>
            </w:r>
          </w:p>
          <w:p w:rsidR="00B17A59" w:rsidRDefault="00B17A59" w:rsidP="00385BBF">
            <w:pPr>
              <w:pStyle w:val="TableText0"/>
            </w:pPr>
            <w:r>
              <w:t>59% previous splenectomy</w:t>
            </w:r>
          </w:p>
          <w:p w:rsidR="00B17A59" w:rsidRDefault="00B17A59" w:rsidP="00385BBF">
            <w:pPr>
              <w:pStyle w:val="TableText0"/>
            </w:pPr>
          </w:p>
          <w:p w:rsidR="00B17A59" w:rsidRDefault="00B17A59" w:rsidP="00385BBF">
            <w:pPr>
              <w:pStyle w:val="TableText0"/>
              <w:rPr>
                <w:u w:val="single"/>
              </w:rPr>
            </w:pPr>
            <w:r w:rsidRPr="00252E47">
              <w:rPr>
                <w:u w:val="single"/>
              </w:rPr>
              <w:t>Comparator</w:t>
            </w:r>
          </w:p>
          <w:p w:rsidR="00B17A59" w:rsidRPr="00252E47" w:rsidRDefault="00B17A59" w:rsidP="00385BBF">
            <w:pPr>
              <w:pStyle w:val="TableText0"/>
            </w:pPr>
            <w:r>
              <w:t>N</w:t>
            </w:r>
            <w:r w:rsidR="00652355" w:rsidRPr="00652355">
              <w:rPr>
                <w:spacing w:val="-20"/>
              </w:rPr>
              <w:t xml:space="preserve"> = </w:t>
            </w:r>
            <w:r>
              <w:t>17</w:t>
            </w:r>
          </w:p>
          <w:p w:rsidR="00B17A59" w:rsidRDefault="00B17A59" w:rsidP="00385BBF">
            <w:pPr>
              <w:pStyle w:val="TableText0"/>
            </w:pPr>
            <w:r>
              <w:t xml:space="preserve">Median age (range) </w:t>
            </w:r>
            <w:r w:rsidR="00652355" w:rsidRPr="00652355">
              <w:rPr>
                <w:spacing w:val="-20"/>
              </w:rPr>
              <w:t xml:space="preserve"> = </w:t>
            </w:r>
            <w:r>
              <w:t xml:space="preserve"> 27 (3 – 71) years</w:t>
            </w:r>
          </w:p>
          <w:p w:rsidR="00B17A59" w:rsidRDefault="00B17A59" w:rsidP="00385BBF">
            <w:pPr>
              <w:pStyle w:val="TableText0"/>
            </w:pPr>
            <w:r>
              <w:t>8 (47%) male</w:t>
            </w:r>
          </w:p>
          <w:p w:rsidR="00B17A59" w:rsidRDefault="00B17A59" w:rsidP="00385BBF">
            <w:pPr>
              <w:pStyle w:val="TableText0"/>
            </w:pPr>
            <w:r>
              <w:t>59% previous splenectomy</w:t>
            </w:r>
          </w:p>
          <w:p w:rsidR="00B17A59" w:rsidRPr="00252E47" w:rsidRDefault="00B17A59" w:rsidP="00385BBF">
            <w:pPr>
              <w:pStyle w:val="TableText0"/>
            </w:pPr>
          </w:p>
        </w:tc>
        <w:tc>
          <w:tcPr>
            <w:tcW w:w="3685" w:type="dxa"/>
          </w:tcPr>
          <w:p w:rsidR="00B17A59" w:rsidRPr="00F27ED0" w:rsidRDefault="00B17A59" w:rsidP="00385BBF">
            <w:pPr>
              <w:pStyle w:val="TableText0"/>
              <w:rPr>
                <w:u w:val="single"/>
              </w:rPr>
            </w:pPr>
            <w:r w:rsidRPr="00F27ED0">
              <w:rPr>
                <w:u w:val="single"/>
              </w:rPr>
              <w:t>Inclusion</w:t>
            </w:r>
          </w:p>
          <w:p w:rsidR="00B17A59" w:rsidRDefault="00B17A59" w:rsidP="00385BBF">
            <w:pPr>
              <w:pStyle w:val="TableText0"/>
            </w:pPr>
            <w:r>
              <w:t>Treatment naïve Type 1 Gaucher patients, ≥2 years old (all required to have anaemia), females of child-bearing age on contraception, judged sufficiently cooperative by investigator</w:t>
            </w:r>
          </w:p>
          <w:p w:rsidR="00B17A59" w:rsidRPr="00F27ED0" w:rsidRDefault="00B17A59" w:rsidP="00385BBF">
            <w:pPr>
              <w:pStyle w:val="TableText0"/>
              <w:rPr>
                <w:u w:val="single"/>
              </w:rPr>
            </w:pPr>
            <w:r w:rsidRPr="00F27ED0">
              <w:rPr>
                <w:u w:val="single"/>
              </w:rPr>
              <w:t>Exclusion</w:t>
            </w:r>
          </w:p>
          <w:p w:rsidR="00B17A59" w:rsidRPr="00B7451B" w:rsidRDefault="00B17A59" w:rsidP="00385BBF">
            <w:pPr>
              <w:pStyle w:val="TableText0"/>
            </w:pPr>
            <w:r>
              <w:t xml:space="preserve">Received treatment for </w:t>
            </w:r>
            <w:r w:rsidR="00E51493">
              <w:t>Gaucher disease</w:t>
            </w:r>
            <w:r>
              <w:t xml:space="preserve"> within 12 months, were antibody positive, had experienced an anaphylactic reaction, had been exposed to investigational drugs or devices within 30 days, had red blood cell growth factor or chronic systematic corticosteroids within 6 months, a positive test for HIV, or hepatitis B or C, or anaemia at screening due to folic acid, vitamin B12, or iron deficiency, or unable to comply with protocol.</w:t>
            </w:r>
          </w:p>
        </w:tc>
        <w:tc>
          <w:tcPr>
            <w:tcW w:w="1560" w:type="dxa"/>
          </w:tcPr>
          <w:p w:rsidR="00B17A59" w:rsidRDefault="00B17A59" w:rsidP="00385BBF">
            <w:pPr>
              <w:pStyle w:val="TableText0"/>
              <w:rPr>
                <w:u w:val="single"/>
              </w:rPr>
            </w:pPr>
            <w:r>
              <w:rPr>
                <w:u w:val="single"/>
              </w:rPr>
              <w:t>Intervention</w:t>
            </w:r>
          </w:p>
          <w:p w:rsidR="00B17A59" w:rsidRDefault="00B17A59" w:rsidP="00385BBF">
            <w:pPr>
              <w:pStyle w:val="TableText0"/>
            </w:pPr>
            <w:r>
              <w:t>Velaglucerase alfa</w:t>
            </w:r>
          </w:p>
          <w:p w:rsidR="00B17A59" w:rsidRPr="00F27ED0" w:rsidRDefault="00B17A59" w:rsidP="00385BBF">
            <w:pPr>
              <w:pStyle w:val="TableText0"/>
            </w:pPr>
            <w:r>
              <w:t xml:space="preserve">60-min intravenous infusion at dose 60 U/kg (based on baseline weight) every other week for 39 weeks </w:t>
            </w:r>
          </w:p>
          <w:p w:rsidR="00B17A59" w:rsidRDefault="00B17A59" w:rsidP="00385BBF">
            <w:pPr>
              <w:pStyle w:val="TableText0"/>
              <w:rPr>
                <w:u w:val="single"/>
              </w:rPr>
            </w:pPr>
            <w:r>
              <w:rPr>
                <w:u w:val="single"/>
              </w:rPr>
              <w:t xml:space="preserve">Comparator </w:t>
            </w:r>
          </w:p>
          <w:p w:rsidR="00B17A59" w:rsidRDefault="00B17A59" w:rsidP="00385BBF">
            <w:pPr>
              <w:pStyle w:val="TableText0"/>
            </w:pPr>
            <w:r>
              <w:t>Imiglucerase</w:t>
            </w:r>
          </w:p>
          <w:p w:rsidR="00B17A59" w:rsidRPr="00F27ED0" w:rsidRDefault="00B17A59" w:rsidP="00385BBF">
            <w:pPr>
              <w:pStyle w:val="TableText0"/>
            </w:pPr>
            <w:r>
              <w:t>Dosing as above</w:t>
            </w:r>
          </w:p>
        </w:tc>
        <w:tc>
          <w:tcPr>
            <w:tcW w:w="1842" w:type="dxa"/>
            <w:tcBorders>
              <w:right w:val="single" w:sz="4" w:space="0" w:color="auto"/>
            </w:tcBorders>
          </w:tcPr>
          <w:p w:rsidR="00B17A59" w:rsidRDefault="00B17A59" w:rsidP="00385BBF">
            <w:pPr>
              <w:pStyle w:val="TableText0"/>
            </w:pPr>
            <w:r>
              <w:t>Haemoglobin</w:t>
            </w:r>
          </w:p>
          <w:p w:rsidR="00B17A59" w:rsidRDefault="00B17A59" w:rsidP="00385BBF">
            <w:pPr>
              <w:pStyle w:val="TableText0"/>
            </w:pPr>
            <w:r>
              <w:t>Platelet counts</w:t>
            </w:r>
          </w:p>
          <w:p w:rsidR="00B17A59" w:rsidRDefault="00B17A59" w:rsidP="00385BBF">
            <w:pPr>
              <w:pStyle w:val="TableText0"/>
            </w:pPr>
            <w:r>
              <w:t>Spleen volume</w:t>
            </w:r>
          </w:p>
          <w:p w:rsidR="00B17A59" w:rsidRPr="00B7451B" w:rsidRDefault="00B17A59" w:rsidP="00385BBF">
            <w:pPr>
              <w:pStyle w:val="TableText0"/>
            </w:pPr>
            <w:r>
              <w:t>Safety</w:t>
            </w:r>
          </w:p>
        </w:tc>
        <w:tc>
          <w:tcPr>
            <w:tcW w:w="1134" w:type="dxa"/>
            <w:tcBorders>
              <w:left w:val="single" w:sz="4" w:space="0" w:color="auto"/>
            </w:tcBorders>
          </w:tcPr>
          <w:p w:rsidR="00B17A59" w:rsidRPr="00B7451B" w:rsidRDefault="00B17A59" w:rsidP="00385BBF">
            <w:pPr>
              <w:pStyle w:val="TableText0"/>
            </w:pPr>
            <w:r>
              <w:t>9 months</w:t>
            </w:r>
          </w:p>
        </w:tc>
        <w:tc>
          <w:tcPr>
            <w:tcW w:w="1111" w:type="dxa"/>
          </w:tcPr>
          <w:p w:rsidR="00B17A59" w:rsidRPr="00B7451B" w:rsidRDefault="00B17A59" w:rsidP="00385BBF">
            <w:pPr>
              <w:pStyle w:val="TableText0"/>
            </w:pPr>
          </w:p>
        </w:tc>
      </w:tr>
    </w:tbl>
    <w:p w:rsidR="00B17A59" w:rsidRDefault="00B17A59" w:rsidP="00E965BD"/>
    <w:p w:rsidR="00B17A59" w:rsidRPr="008E5786" w:rsidRDefault="00B17A59" w:rsidP="00E965BD">
      <w:pPr>
        <w:pStyle w:val="Heading3"/>
      </w:pPr>
      <w:r>
        <w:lastRenderedPageBreak/>
        <w:t>Miglustat</w:t>
      </w:r>
    </w:p>
    <w:p w:rsidR="00B17A59" w:rsidRDefault="00B17A59" w:rsidP="0096216D">
      <w:pPr>
        <w:pStyle w:val="Caption"/>
        <w:keepNext/>
        <w:tabs>
          <w:tab w:val="clear" w:pos="851"/>
          <w:tab w:val="left" w:pos="1276"/>
        </w:tabs>
        <w:ind w:left="1276" w:hanging="1276"/>
      </w:pPr>
      <w:bookmarkStart w:id="1127" w:name="_Toc404350307"/>
      <w:bookmarkStart w:id="1128" w:name="_Toc404976359"/>
      <w:bookmarkStart w:id="1129" w:name="_Toc411510524"/>
      <w:bookmarkStart w:id="1130" w:name="_Toc415141954"/>
      <w:r>
        <w:t xml:space="preserve">Table </w:t>
      </w:r>
      <w:r w:rsidR="00A72B26">
        <w:rPr>
          <w:noProof/>
        </w:rPr>
        <w:t>157</w:t>
      </w:r>
      <w:r>
        <w:tab/>
        <w:t>Study profiles for studies on miglustat (compared to imiglucerase or extension study)</w:t>
      </w:r>
      <w:bookmarkEnd w:id="1127"/>
      <w:bookmarkEnd w:id="1128"/>
      <w:bookmarkEnd w:id="1129"/>
      <w:bookmarkEnd w:id="1130"/>
    </w:p>
    <w:tbl>
      <w:tblPr>
        <w:tblStyle w:val="TableGrid"/>
        <w:tblW w:w="14260" w:type="dxa"/>
        <w:tblLook w:val="04A0" w:firstRow="1" w:lastRow="0" w:firstColumn="1" w:lastColumn="0" w:noHBand="0" w:noVBand="1"/>
        <w:tblCaption w:val="Table 121 Study profiles for studies on miglustat (compared to imiglucerase or extension study)"/>
      </w:tblPr>
      <w:tblGrid>
        <w:gridCol w:w="1073"/>
        <w:gridCol w:w="1633"/>
        <w:gridCol w:w="2222"/>
        <w:gridCol w:w="2268"/>
        <w:gridCol w:w="1843"/>
        <w:gridCol w:w="2409"/>
        <w:gridCol w:w="1084"/>
        <w:gridCol w:w="1728"/>
      </w:tblGrid>
      <w:tr w:rsidR="00B17A59" w:rsidRPr="00F1301E" w:rsidTr="00CE0D5D">
        <w:trPr>
          <w:tblHeader/>
        </w:trPr>
        <w:tc>
          <w:tcPr>
            <w:tcW w:w="1073" w:type="dxa"/>
          </w:tcPr>
          <w:p w:rsidR="00B17A59" w:rsidRPr="00B7451B" w:rsidRDefault="00B17A59" w:rsidP="00385BBF">
            <w:pPr>
              <w:pStyle w:val="TableHeading"/>
            </w:pPr>
            <w:r w:rsidRPr="00B7451B">
              <w:t>Author (Year) / Country</w:t>
            </w:r>
          </w:p>
        </w:tc>
        <w:tc>
          <w:tcPr>
            <w:tcW w:w="1633" w:type="dxa"/>
          </w:tcPr>
          <w:p w:rsidR="00B17A59" w:rsidRDefault="00B17A59" w:rsidP="00385BBF">
            <w:pPr>
              <w:pStyle w:val="TableHeading"/>
            </w:pPr>
            <w:r w:rsidRPr="00B7451B">
              <w:t>Study Design/ Level of Evidence/ Type of analysis/</w:t>
            </w:r>
          </w:p>
          <w:p w:rsidR="00B17A59" w:rsidRPr="00B7451B" w:rsidRDefault="00B17A59" w:rsidP="00385BBF">
            <w:pPr>
              <w:pStyle w:val="TableHeading"/>
            </w:pPr>
            <w:r>
              <w:t>Risk of bias</w:t>
            </w:r>
          </w:p>
        </w:tc>
        <w:tc>
          <w:tcPr>
            <w:tcW w:w="2222" w:type="dxa"/>
          </w:tcPr>
          <w:p w:rsidR="00B17A59" w:rsidRPr="00B7451B" w:rsidRDefault="00B17A59" w:rsidP="00385BBF">
            <w:pPr>
              <w:pStyle w:val="TableHeading"/>
            </w:pPr>
            <w:r w:rsidRPr="00B7451B">
              <w:t>Study sample characteristics</w:t>
            </w:r>
          </w:p>
        </w:tc>
        <w:tc>
          <w:tcPr>
            <w:tcW w:w="2268" w:type="dxa"/>
          </w:tcPr>
          <w:p w:rsidR="00B17A59" w:rsidRPr="00B7451B" w:rsidRDefault="00B17A59" w:rsidP="00385BBF">
            <w:pPr>
              <w:pStyle w:val="TableHeading"/>
            </w:pPr>
            <w:r>
              <w:t>Eligibility criteria</w:t>
            </w:r>
          </w:p>
        </w:tc>
        <w:tc>
          <w:tcPr>
            <w:tcW w:w="1843" w:type="dxa"/>
          </w:tcPr>
          <w:p w:rsidR="00B17A59" w:rsidRDefault="00B17A59" w:rsidP="00385BBF">
            <w:pPr>
              <w:pStyle w:val="TableHeading"/>
            </w:pPr>
            <w:r w:rsidRPr="00B7451B">
              <w:t>Intervention drug treatment details</w:t>
            </w:r>
          </w:p>
          <w:p w:rsidR="00B17A59" w:rsidRPr="00B7451B" w:rsidRDefault="00B17A59" w:rsidP="00385BBF">
            <w:pPr>
              <w:pStyle w:val="TableHeading"/>
            </w:pPr>
            <w:r>
              <w:t>Comparator drugs treatment details</w:t>
            </w:r>
          </w:p>
        </w:tc>
        <w:tc>
          <w:tcPr>
            <w:tcW w:w="2409" w:type="dxa"/>
            <w:tcBorders>
              <w:right w:val="single" w:sz="4" w:space="0" w:color="auto"/>
            </w:tcBorders>
          </w:tcPr>
          <w:p w:rsidR="00B17A59" w:rsidRPr="00B7451B" w:rsidRDefault="00B17A59" w:rsidP="00385BBF">
            <w:pPr>
              <w:pStyle w:val="TableHeading"/>
            </w:pPr>
            <w:r w:rsidRPr="00B7451B">
              <w:t>Outcomes reported (relevant to the review)</w:t>
            </w:r>
            <w:r>
              <w:t xml:space="preserve"> / measurement tools and scale</w:t>
            </w:r>
          </w:p>
        </w:tc>
        <w:tc>
          <w:tcPr>
            <w:tcW w:w="1084" w:type="dxa"/>
            <w:tcBorders>
              <w:left w:val="single" w:sz="4" w:space="0" w:color="auto"/>
            </w:tcBorders>
          </w:tcPr>
          <w:p w:rsidR="00B17A59" w:rsidRPr="00B7451B" w:rsidRDefault="00B17A59" w:rsidP="00385BBF">
            <w:pPr>
              <w:pStyle w:val="TableHeading"/>
            </w:pPr>
            <w:r w:rsidRPr="00B7451B">
              <w:t>Duration of follow-up</w:t>
            </w:r>
          </w:p>
        </w:tc>
        <w:tc>
          <w:tcPr>
            <w:tcW w:w="1728" w:type="dxa"/>
          </w:tcPr>
          <w:p w:rsidR="00B17A59" w:rsidRPr="00B7451B" w:rsidRDefault="00B17A59" w:rsidP="00385BBF">
            <w:pPr>
              <w:pStyle w:val="TableHeading"/>
            </w:pPr>
            <w:r w:rsidRPr="00B7451B">
              <w:t>Comments</w:t>
            </w:r>
          </w:p>
        </w:tc>
      </w:tr>
      <w:tr w:rsidR="00B17A59" w:rsidRPr="00F1301E" w:rsidTr="00CE0D5D">
        <w:tc>
          <w:tcPr>
            <w:tcW w:w="1073" w:type="dxa"/>
          </w:tcPr>
          <w:p w:rsidR="00B17A59" w:rsidRDefault="00A130D0" w:rsidP="00385BBF">
            <w:pPr>
              <w:pStyle w:val="TableText0"/>
            </w:pPr>
            <w:r>
              <w:rPr>
                <w:noProof/>
              </w:rPr>
              <w:t>(</w:t>
            </w:r>
            <w:r w:rsidR="00184B6F">
              <w:rPr>
                <w:noProof/>
              </w:rPr>
              <w:t>Elstein, D et al. 2007</w:t>
            </w:r>
            <w:r>
              <w:rPr>
                <w:noProof/>
              </w:rPr>
              <w:t>)</w:t>
            </w:r>
          </w:p>
          <w:p w:rsidR="00B17A59" w:rsidRPr="00B7451B" w:rsidRDefault="00B17A59" w:rsidP="00385BBF">
            <w:pPr>
              <w:pStyle w:val="TableText0"/>
            </w:pPr>
            <w:r>
              <w:t>Israel</w:t>
            </w:r>
          </w:p>
        </w:tc>
        <w:tc>
          <w:tcPr>
            <w:tcW w:w="1633" w:type="dxa"/>
          </w:tcPr>
          <w:p w:rsidR="00B17A59" w:rsidRDefault="00B17A59" w:rsidP="00385BBF">
            <w:pPr>
              <w:pStyle w:val="TableText0"/>
            </w:pPr>
            <w:r>
              <w:t>RCT</w:t>
            </w:r>
          </w:p>
          <w:p w:rsidR="00B17A59" w:rsidRDefault="00B17A59" w:rsidP="00385BBF">
            <w:pPr>
              <w:pStyle w:val="TableText0"/>
            </w:pPr>
            <w:r>
              <w:t>Level II evidence</w:t>
            </w:r>
          </w:p>
          <w:p w:rsidR="00B17A59" w:rsidRDefault="00B17A59" w:rsidP="00385BBF">
            <w:pPr>
              <w:pStyle w:val="TableText0"/>
            </w:pPr>
            <w:r>
              <w:t>Non-inferiority</w:t>
            </w:r>
          </w:p>
          <w:p w:rsidR="00B17A59" w:rsidRPr="00B7451B" w:rsidRDefault="00B17A59" w:rsidP="00385BBF">
            <w:pPr>
              <w:pStyle w:val="TableText0"/>
            </w:pPr>
            <w:r>
              <w:t>Moderate risk of bias (no blinding due to infusion and no infusion conditions, very small samples)</w:t>
            </w:r>
          </w:p>
        </w:tc>
        <w:tc>
          <w:tcPr>
            <w:tcW w:w="2222" w:type="dxa"/>
          </w:tcPr>
          <w:p w:rsidR="00B17A59" w:rsidRDefault="00B17A59" w:rsidP="00385BBF">
            <w:pPr>
              <w:pStyle w:val="TableText0"/>
            </w:pPr>
            <w:r>
              <w:t>N</w:t>
            </w:r>
            <w:r w:rsidR="00652355" w:rsidRPr="00652355">
              <w:rPr>
                <w:spacing w:val="-20"/>
              </w:rPr>
              <w:t xml:space="preserve"> = </w:t>
            </w:r>
            <w:r>
              <w:t xml:space="preserve">24 </w:t>
            </w:r>
          </w:p>
          <w:p w:rsidR="00B17A59" w:rsidRPr="00A405C6" w:rsidRDefault="00B17A59" w:rsidP="00385BBF">
            <w:pPr>
              <w:pStyle w:val="TableText0"/>
              <w:rPr>
                <w:u w:val="single"/>
              </w:rPr>
            </w:pPr>
            <w:r w:rsidRPr="00A405C6">
              <w:rPr>
                <w:u w:val="single"/>
              </w:rPr>
              <w:t>Intervention</w:t>
            </w:r>
          </w:p>
          <w:p w:rsidR="00B17A59" w:rsidRDefault="00B17A59" w:rsidP="00385BBF">
            <w:pPr>
              <w:pStyle w:val="TableText0"/>
            </w:pPr>
            <w:r>
              <w:t>5 (42%) male</w:t>
            </w:r>
          </w:p>
          <w:p w:rsidR="00B17A59" w:rsidRDefault="00B17A59" w:rsidP="00385BBF">
            <w:pPr>
              <w:pStyle w:val="TableText0"/>
            </w:pPr>
            <w:r>
              <w:t>11 (92%) Ashkenazi Jew</w:t>
            </w:r>
          </w:p>
          <w:p w:rsidR="00B17A59" w:rsidRDefault="00B17A59" w:rsidP="00385BBF">
            <w:pPr>
              <w:pStyle w:val="TableText0"/>
            </w:pPr>
            <w:r>
              <w:t xml:space="preserve">Mean age </w:t>
            </w:r>
            <w:r w:rsidR="00652355" w:rsidRPr="00652355">
              <w:rPr>
                <w:spacing w:val="-20"/>
              </w:rPr>
              <w:t xml:space="preserve"> = </w:t>
            </w:r>
            <w:r>
              <w:t xml:space="preserve"> 34.6±11.1 years</w:t>
            </w:r>
          </w:p>
          <w:p w:rsidR="00B17A59" w:rsidRDefault="00B17A59" w:rsidP="00385BBF">
            <w:pPr>
              <w:pStyle w:val="TableText0"/>
            </w:pPr>
            <w:r>
              <w:t xml:space="preserve">Mean severity scoring index </w:t>
            </w:r>
            <w:r w:rsidR="00652355" w:rsidRPr="00652355">
              <w:rPr>
                <w:spacing w:val="-20"/>
              </w:rPr>
              <w:t xml:space="preserve"> = </w:t>
            </w:r>
            <w:r>
              <w:t xml:space="preserve"> 9.17±4.78</w:t>
            </w:r>
          </w:p>
          <w:p w:rsidR="00B17A59" w:rsidRPr="00A405C6" w:rsidRDefault="00B17A59" w:rsidP="00385BBF">
            <w:pPr>
              <w:pStyle w:val="TableText0"/>
              <w:rPr>
                <w:u w:val="single"/>
              </w:rPr>
            </w:pPr>
            <w:r w:rsidRPr="00A405C6">
              <w:rPr>
                <w:u w:val="single"/>
              </w:rPr>
              <w:t>Comparator</w:t>
            </w:r>
          </w:p>
          <w:p w:rsidR="00B17A59" w:rsidRDefault="00B17A59" w:rsidP="00385BBF">
            <w:pPr>
              <w:pStyle w:val="TableText0"/>
            </w:pPr>
            <w:r>
              <w:t>6 (50%) male</w:t>
            </w:r>
          </w:p>
          <w:p w:rsidR="00B17A59" w:rsidRDefault="00B17A59" w:rsidP="00385BBF">
            <w:pPr>
              <w:pStyle w:val="TableText0"/>
            </w:pPr>
            <w:r>
              <w:t>12 (100%) Ashkenazi Jew</w:t>
            </w:r>
          </w:p>
          <w:p w:rsidR="00B17A59" w:rsidRDefault="00B17A59" w:rsidP="00385BBF">
            <w:pPr>
              <w:pStyle w:val="TableText0"/>
            </w:pPr>
            <w:r>
              <w:t xml:space="preserve">Mean age </w:t>
            </w:r>
            <w:r w:rsidR="00652355" w:rsidRPr="00652355">
              <w:rPr>
                <w:spacing w:val="-20"/>
              </w:rPr>
              <w:t xml:space="preserve"> = </w:t>
            </w:r>
            <w:r>
              <w:t xml:space="preserve"> 40.4±15.7 years</w:t>
            </w:r>
          </w:p>
          <w:p w:rsidR="00B17A59" w:rsidRPr="00B7451B" w:rsidRDefault="00B17A59" w:rsidP="00385BBF">
            <w:pPr>
              <w:pStyle w:val="TableText0"/>
            </w:pPr>
            <w:r>
              <w:t xml:space="preserve">Mean severity scoring index </w:t>
            </w:r>
            <w:r w:rsidR="00652355" w:rsidRPr="00652355">
              <w:rPr>
                <w:spacing w:val="-20"/>
              </w:rPr>
              <w:t xml:space="preserve"> = </w:t>
            </w:r>
            <w:r>
              <w:t xml:space="preserve"> 10.42±4.01</w:t>
            </w:r>
          </w:p>
        </w:tc>
        <w:tc>
          <w:tcPr>
            <w:tcW w:w="2268" w:type="dxa"/>
          </w:tcPr>
          <w:p w:rsidR="00B17A59" w:rsidRDefault="00B17A59" w:rsidP="00385BBF">
            <w:pPr>
              <w:pStyle w:val="TableText0"/>
              <w:rPr>
                <w:u w:val="single"/>
              </w:rPr>
            </w:pPr>
            <w:r>
              <w:rPr>
                <w:u w:val="single"/>
              </w:rPr>
              <w:t>Inclusion</w:t>
            </w:r>
          </w:p>
          <w:p w:rsidR="00B17A59" w:rsidRDefault="00B17A59" w:rsidP="00385BBF">
            <w:pPr>
              <w:pStyle w:val="TableText0"/>
            </w:pPr>
            <w:r>
              <w:t>Adults patients with Type 1 Gaucher disease receiving ERT with imiglucerase for &gt;2years. Constant dose &gt;6 months before enrolment.</w:t>
            </w:r>
          </w:p>
          <w:p w:rsidR="00B17A59" w:rsidRDefault="00B17A59" w:rsidP="00385BBF">
            <w:pPr>
              <w:pStyle w:val="TableText0"/>
              <w:rPr>
                <w:u w:val="single"/>
              </w:rPr>
            </w:pPr>
            <w:r>
              <w:rPr>
                <w:u w:val="single"/>
              </w:rPr>
              <w:t>Exclusion</w:t>
            </w:r>
          </w:p>
          <w:p w:rsidR="00B17A59" w:rsidRPr="00B877A0" w:rsidRDefault="00B17A59" w:rsidP="00385BBF">
            <w:pPr>
              <w:pStyle w:val="TableText0"/>
            </w:pPr>
            <w:r>
              <w:t>Inability to use adequate contraception, clinically significant diarrhoea over previous 6 months, positive HIV or hepatitis B surface antigen test; and/or a history of, or predisposition to cataracts.</w:t>
            </w:r>
          </w:p>
        </w:tc>
        <w:tc>
          <w:tcPr>
            <w:tcW w:w="1843" w:type="dxa"/>
          </w:tcPr>
          <w:p w:rsidR="00B17A59" w:rsidRDefault="00B17A59" w:rsidP="00385BBF">
            <w:pPr>
              <w:pStyle w:val="TableText0"/>
              <w:rPr>
                <w:u w:val="single"/>
              </w:rPr>
            </w:pPr>
            <w:r>
              <w:rPr>
                <w:u w:val="single"/>
              </w:rPr>
              <w:t>Intervention</w:t>
            </w:r>
          </w:p>
          <w:p w:rsidR="00B17A59" w:rsidRDefault="00B17A59" w:rsidP="00385BBF">
            <w:pPr>
              <w:pStyle w:val="TableText0"/>
            </w:pPr>
            <w:r>
              <w:t>PP, n</w:t>
            </w:r>
            <w:r w:rsidR="00652355" w:rsidRPr="00652355">
              <w:rPr>
                <w:spacing w:val="-20"/>
              </w:rPr>
              <w:t xml:space="preserve"> = </w:t>
            </w:r>
            <w:r>
              <w:t>10 (ITT</w:t>
            </w:r>
            <w:r w:rsidR="00652355" w:rsidRPr="00652355">
              <w:rPr>
                <w:spacing w:val="-20"/>
              </w:rPr>
              <w:t xml:space="preserve"> = </w:t>
            </w:r>
            <w:r>
              <w:t>12)</w:t>
            </w:r>
          </w:p>
          <w:p w:rsidR="00B17A59" w:rsidRDefault="00B17A59" w:rsidP="00385BBF">
            <w:pPr>
              <w:pStyle w:val="TableText0"/>
            </w:pPr>
            <w:r>
              <w:t>LTF</w:t>
            </w:r>
            <w:r w:rsidR="00652355" w:rsidRPr="00652355">
              <w:rPr>
                <w:spacing w:val="-20"/>
              </w:rPr>
              <w:t xml:space="preserve"> = </w:t>
            </w:r>
            <w:r>
              <w:t xml:space="preserve">2 </w:t>
            </w:r>
          </w:p>
          <w:p w:rsidR="00B17A59" w:rsidRDefault="00B17A59" w:rsidP="00385BBF">
            <w:pPr>
              <w:pStyle w:val="TableText0"/>
            </w:pPr>
            <w:r>
              <w:t>Miglustat, 100-mg x 3 daily (adjusted in cases of adverse events)</w:t>
            </w:r>
          </w:p>
          <w:p w:rsidR="00B17A59" w:rsidRDefault="00B17A59" w:rsidP="00385BBF">
            <w:pPr>
              <w:pStyle w:val="TableText0"/>
              <w:rPr>
                <w:u w:val="single"/>
              </w:rPr>
            </w:pPr>
            <w:r>
              <w:rPr>
                <w:u w:val="single"/>
              </w:rPr>
              <w:t>Comparator</w:t>
            </w:r>
          </w:p>
          <w:p w:rsidR="00B17A59" w:rsidRDefault="00B17A59" w:rsidP="00385BBF">
            <w:pPr>
              <w:pStyle w:val="TableText0"/>
            </w:pPr>
            <w:r>
              <w:t>ITT, n</w:t>
            </w:r>
            <w:r w:rsidR="00652355" w:rsidRPr="00652355">
              <w:rPr>
                <w:spacing w:val="-20"/>
              </w:rPr>
              <w:t xml:space="preserve"> = </w:t>
            </w:r>
            <w:r>
              <w:t>12</w:t>
            </w:r>
          </w:p>
          <w:p w:rsidR="00B17A59" w:rsidRDefault="00B17A59" w:rsidP="00385BBF">
            <w:pPr>
              <w:pStyle w:val="TableText0"/>
            </w:pPr>
            <w:r>
              <w:t>LTF</w:t>
            </w:r>
            <w:r w:rsidR="00652355" w:rsidRPr="00652355">
              <w:rPr>
                <w:spacing w:val="-20"/>
              </w:rPr>
              <w:t xml:space="preserve"> = </w:t>
            </w:r>
            <w:r>
              <w:t>1</w:t>
            </w:r>
          </w:p>
          <w:p w:rsidR="00B17A59" w:rsidRDefault="00B17A59" w:rsidP="00385BBF">
            <w:pPr>
              <w:pStyle w:val="TableText0"/>
            </w:pPr>
            <w:r>
              <w:t>Imiglucerase</w:t>
            </w:r>
          </w:p>
          <w:p w:rsidR="00B17A59" w:rsidRPr="005F1962" w:rsidRDefault="00B17A59" w:rsidP="00385BBF">
            <w:pPr>
              <w:pStyle w:val="TableText0"/>
            </w:pPr>
            <w:r>
              <w:t>30 units/kg body weight/ month in majority, 60 units/kg/month in 3</w:t>
            </w:r>
          </w:p>
        </w:tc>
        <w:tc>
          <w:tcPr>
            <w:tcW w:w="2409" w:type="dxa"/>
            <w:tcBorders>
              <w:right w:val="single" w:sz="4" w:space="0" w:color="auto"/>
            </w:tcBorders>
          </w:tcPr>
          <w:p w:rsidR="00B17A59" w:rsidRDefault="00B17A59" w:rsidP="00385BBF">
            <w:pPr>
              <w:pStyle w:val="TableText0"/>
            </w:pPr>
            <w:r>
              <w:t>Safety</w:t>
            </w:r>
          </w:p>
          <w:p w:rsidR="00B17A59" w:rsidRDefault="00B17A59" w:rsidP="00385BBF">
            <w:pPr>
              <w:pStyle w:val="TableText0"/>
            </w:pPr>
            <w:r>
              <w:t>Effectiveness:</w:t>
            </w:r>
          </w:p>
          <w:p w:rsidR="00B17A59" w:rsidRDefault="00B17A59" w:rsidP="00385BBF">
            <w:pPr>
              <w:pStyle w:val="TableText0"/>
            </w:pPr>
            <w:r>
              <w:t>Quality of life: SF-36, a modified Medical Outcomes Study Health Distress and 2 surveys assessing symptoms and treatment-related issues</w:t>
            </w:r>
          </w:p>
          <w:p w:rsidR="00B17A59" w:rsidRPr="00B7451B" w:rsidRDefault="00B17A59" w:rsidP="00385BBF">
            <w:pPr>
              <w:pStyle w:val="TableText0"/>
            </w:pPr>
            <w:r w:rsidRPr="006D652A">
              <w:t>Liver and spleen volumes were measured by computerised tomography (CT) scanning at baseline and after six months</w:t>
            </w:r>
          </w:p>
        </w:tc>
        <w:tc>
          <w:tcPr>
            <w:tcW w:w="1084" w:type="dxa"/>
            <w:tcBorders>
              <w:left w:val="single" w:sz="4" w:space="0" w:color="auto"/>
            </w:tcBorders>
          </w:tcPr>
          <w:p w:rsidR="00B17A59" w:rsidRPr="00B7451B" w:rsidRDefault="00B17A59" w:rsidP="00385BBF">
            <w:pPr>
              <w:pStyle w:val="TableText0"/>
            </w:pPr>
            <w:r>
              <w:t>6 months</w:t>
            </w:r>
          </w:p>
        </w:tc>
        <w:tc>
          <w:tcPr>
            <w:tcW w:w="1728" w:type="dxa"/>
          </w:tcPr>
          <w:p w:rsidR="00B17A59" w:rsidRDefault="00B17A59" w:rsidP="00385BBF">
            <w:pPr>
              <w:pStyle w:val="TableText0"/>
            </w:pPr>
            <w:r>
              <w:t>12 additional patients randomised to miglustat + imiglucerase, not included here</w:t>
            </w:r>
          </w:p>
          <w:p w:rsidR="00B17A59" w:rsidRDefault="00B17A59" w:rsidP="00385BBF">
            <w:pPr>
              <w:pStyle w:val="TableText0"/>
            </w:pPr>
            <w:r>
              <w:t xml:space="preserve">Outcome reporting bias – did not report items which were not significantly different between groups. </w:t>
            </w:r>
          </w:p>
          <w:p w:rsidR="00B17A59" w:rsidRDefault="00B17A59" w:rsidP="00385BBF">
            <w:pPr>
              <w:pStyle w:val="TableText0"/>
            </w:pPr>
            <w:r>
              <w:t xml:space="preserve">2 patients discontinued miglustat due to AEs. </w:t>
            </w:r>
          </w:p>
        </w:tc>
      </w:tr>
      <w:tr w:rsidR="00B17A59" w:rsidRPr="00F1301E" w:rsidTr="00CE0D5D">
        <w:tc>
          <w:tcPr>
            <w:tcW w:w="1073" w:type="dxa"/>
          </w:tcPr>
          <w:p w:rsidR="00B17A59" w:rsidRDefault="00A130D0" w:rsidP="00385BBF">
            <w:pPr>
              <w:pStyle w:val="TableText0"/>
            </w:pPr>
            <w:r>
              <w:rPr>
                <w:noProof/>
              </w:rPr>
              <w:t>(</w:t>
            </w:r>
            <w:r w:rsidR="00184B6F">
              <w:rPr>
                <w:noProof/>
              </w:rPr>
              <w:t>Elstein, D et al. 2007</w:t>
            </w:r>
            <w:r>
              <w:rPr>
                <w:noProof/>
              </w:rPr>
              <w:t>)</w:t>
            </w:r>
          </w:p>
          <w:p w:rsidR="00B17A59" w:rsidRPr="00B877A0" w:rsidRDefault="00B17A59" w:rsidP="00385BBF">
            <w:pPr>
              <w:pStyle w:val="TableText0"/>
            </w:pPr>
            <w:r>
              <w:t>Israel</w:t>
            </w:r>
          </w:p>
        </w:tc>
        <w:tc>
          <w:tcPr>
            <w:tcW w:w="1633" w:type="dxa"/>
          </w:tcPr>
          <w:p w:rsidR="00B17A59" w:rsidRDefault="00B17A59" w:rsidP="00385BBF">
            <w:pPr>
              <w:pStyle w:val="TableText0"/>
            </w:pPr>
            <w:r>
              <w:t>Extension study (case series)</w:t>
            </w:r>
          </w:p>
          <w:p w:rsidR="00B17A59" w:rsidRDefault="00B17A59" w:rsidP="00385BBF">
            <w:pPr>
              <w:pStyle w:val="TableText0"/>
            </w:pPr>
            <w:r>
              <w:t>Level IV evidence</w:t>
            </w:r>
          </w:p>
          <w:p w:rsidR="00B17A59" w:rsidRDefault="00B17A59" w:rsidP="00385BBF">
            <w:pPr>
              <w:pStyle w:val="TableText0"/>
            </w:pPr>
            <w:r>
              <w:t>High risk of bias</w:t>
            </w:r>
          </w:p>
        </w:tc>
        <w:tc>
          <w:tcPr>
            <w:tcW w:w="2222" w:type="dxa"/>
          </w:tcPr>
          <w:p w:rsidR="00B17A59" w:rsidRDefault="00B17A59" w:rsidP="00385BBF">
            <w:pPr>
              <w:pStyle w:val="TableText0"/>
            </w:pPr>
          </w:p>
        </w:tc>
        <w:tc>
          <w:tcPr>
            <w:tcW w:w="2268" w:type="dxa"/>
          </w:tcPr>
          <w:p w:rsidR="00B17A59" w:rsidRDefault="00B17A59" w:rsidP="00385BBF">
            <w:pPr>
              <w:pStyle w:val="TableText0"/>
              <w:rPr>
                <w:u w:val="single"/>
              </w:rPr>
            </w:pPr>
          </w:p>
        </w:tc>
        <w:tc>
          <w:tcPr>
            <w:tcW w:w="1843" w:type="dxa"/>
          </w:tcPr>
          <w:p w:rsidR="00B17A59" w:rsidRDefault="00B17A59" w:rsidP="00385BBF">
            <w:pPr>
              <w:pStyle w:val="TableText0"/>
              <w:rPr>
                <w:u w:val="single"/>
              </w:rPr>
            </w:pPr>
          </w:p>
        </w:tc>
        <w:tc>
          <w:tcPr>
            <w:tcW w:w="2409" w:type="dxa"/>
            <w:tcBorders>
              <w:right w:val="single" w:sz="4" w:space="0" w:color="auto"/>
            </w:tcBorders>
          </w:tcPr>
          <w:p w:rsidR="00CE0D5D" w:rsidRDefault="00B17A59" w:rsidP="00385BBF">
            <w:pPr>
              <w:pStyle w:val="TableText0"/>
            </w:pPr>
            <w:r>
              <w:t xml:space="preserve">Quality of life: SF-36, </w:t>
            </w:r>
            <w:r w:rsidR="00CE0D5D">
              <w:t>(as above)</w:t>
            </w:r>
            <w:r w:rsidR="00385BBF">
              <w:t xml:space="preserve"> </w:t>
            </w:r>
          </w:p>
          <w:p w:rsidR="00B17A59" w:rsidRDefault="00B17A59" w:rsidP="00385BBF">
            <w:pPr>
              <w:pStyle w:val="TableText0"/>
            </w:pPr>
            <w:r>
              <w:t>Organ volumes</w:t>
            </w:r>
          </w:p>
          <w:p w:rsidR="00B17A59" w:rsidRPr="00B7451B" w:rsidRDefault="00B17A59" w:rsidP="00385BBF">
            <w:pPr>
              <w:pStyle w:val="TableText0"/>
            </w:pPr>
            <w:r>
              <w:t>Chitotriosidase level</w:t>
            </w:r>
          </w:p>
        </w:tc>
        <w:tc>
          <w:tcPr>
            <w:tcW w:w="1084" w:type="dxa"/>
            <w:tcBorders>
              <w:left w:val="single" w:sz="4" w:space="0" w:color="auto"/>
            </w:tcBorders>
          </w:tcPr>
          <w:p w:rsidR="00B17A59" w:rsidRDefault="00B17A59" w:rsidP="00385BBF">
            <w:pPr>
              <w:pStyle w:val="TableText0"/>
            </w:pPr>
            <w:r>
              <w:t>additional 18 months (24 months from baseline)</w:t>
            </w:r>
          </w:p>
        </w:tc>
        <w:tc>
          <w:tcPr>
            <w:tcW w:w="1728" w:type="dxa"/>
          </w:tcPr>
          <w:p w:rsidR="00B17A59" w:rsidRDefault="00B17A59" w:rsidP="00385BBF">
            <w:pPr>
              <w:pStyle w:val="TableText0"/>
            </w:pPr>
          </w:p>
        </w:tc>
      </w:tr>
    </w:tbl>
    <w:p w:rsidR="00B17A59" w:rsidRDefault="00B17A59" w:rsidP="00CE0D5D">
      <w:pPr>
        <w:pStyle w:val="TableNote"/>
      </w:pPr>
      <w:r>
        <w:t xml:space="preserve">AEs </w:t>
      </w:r>
      <w:r w:rsidR="00652355" w:rsidRPr="00652355">
        <w:rPr>
          <w:spacing w:val="-20"/>
        </w:rPr>
        <w:t xml:space="preserve"> = </w:t>
      </w:r>
      <w:r>
        <w:t xml:space="preserve"> adverse events; </w:t>
      </w:r>
      <w:r w:rsidRPr="00E70BB5">
        <w:t xml:space="preserve">CI </w:t>
      </w:r>
      <w:r w:rsidR="00652355" w:rsidRPr="00652355">
        <w:rPr>
          <w:spacing w:val="-20"/>
        </w:rPr>
        <w:t xml:space="preserve"> = </w:t>
      </w:r>
      <w:r w:rsidRPr="00E70BB5">
        <w:t xml:space="preserve"> 95% confidence interval; HR </w:t>
      </w:r>
      <w:r w:rsidR="00652355" w:rsidRPr="00652355">
        <w:rPr>
          <w:spacing w:val="-20"/>
        </w:rPr>
        <w:t xml:space="preserve"> = </w:t>
      </w:r>
      <w:r w:rsidRPr="00E70BB5">
        <w:t xml:space="preserve"> hazard ratio; IQR </w:t>
      </w:r>
      <w:r w:rsidR="00652355" w:rsidRPr="00652355">
        <w:rPr>
          <w:spacing w:val="-20"/>
        </w:rPr>
        <w:t xml:space="preserve"> = </w:t>
      </w:r>
      <w:r w:rsidRPr="00E70BB5">
        <w:t xml:space="preserve"> inter-quartile range; ITT </w:t>
      </w:r>
      <w:r w:rsidR="00652355" w:rsidRPr="00652355">
        <w:rPr>
          <w:spacing w:val="-20"/>
        </w:rPr>
        <w:t xml:space="preserve"> = </w:t>
      </w:r>
      <w:r w:rsidRPr="00E70BB5">
        <w:t xml:space="preserve"> intention to treat; LTF </w:t>
      </w:r>
      <w:r w:rsidR="00652355" w:rsidRPr="00652355">
        <w:rPr>
          <w:spacing w:val="-20"/>
        </w:rPr>
        <w:t xml:space="preserve"> = </w:t>
      </w:r>
      <w:r w:rsidRPr="00E70BB5">
        <w:t xml:space="preserve"> loss to follow-up; OR </w:t>
      </w:r>
      <w:r w:rsidR="00652355" w:rsidRPr="00652355">
        <w:rPr>
          <w:spacing w:val="-20"/>
        </w:rPr>
        <w:t xml:space="preserve"> = </w:t>
      </w:r>
      <w:r w:rsidRPr="00E70BB5">
        <w:t xml:space="preserve"> odds ratio; </w:t>
      </w:r>
      <w:r>
        <w:t xml:space="preserve">RCT </w:t>
      </w:r>
      <w:r w:rsidR="00652355" w:rsidRPr="00652355">
        <w:rPr>
          <w:spacing w:val="-20"/>
        </w:rPr>
        <w:t xml:space="preserve"> = </w:t>
      </w:r>
      <w:r>
        <w:t xml:space="preserve"> randomised controlled trial; </w:t>
      </w:r>
      <w:r w:rsidRPr="00E70BB5">
        <w:t xml:space="preserve">RR </w:t>
      </w:r>
      <w:r w:rsidR="00652355" w:rsidRPr="00652355">
        <w:rPr>
          <w:spacing w:val="-20"/>
        </w:rPr>
        <w:t xml:space="preserve"> = </w:t>
      </w:r>
      <w:r w:rsidRPr="00E70BB5">
        <w:t xml:space="preserve"> relative risk; SD </w:t>
      </w:r>
      <w:r w:rsidR="00652355" w:rsidRPr="00652355">
        <w:rPr>
          <w:spacing w:val="-20"/>
        </w:rPr>
        <w:t xml:space="preserve"> = </w:t>
      </w:r>
      <w:r w:rsidRPr="00E70BB5">
        <w:t xml:space="preserve"> </w:t>
      </w:r>
      <w:r>
        <w:t>standard deviation</w:t>
      </w:r>
    </w:p>
    <w:p w:rsidR="00B17A59" w:rsidRPr="003F3F2D" w:rsidRDefault="00B17A59" w:rsidP="00D60032">
      <w:pPr>
        <w:pStyle w:val="Heading2"/>
        <w:numPr>
          <w:ilvl w:val="0"/>
          <w:numId w:val="0"/>
        </w:numPr>
      </w:pPr>
      <w:bookmarkStart w:id="1131" w:name="_Toc415141788"/>
      <w:r w:rsidRPr="003F3F2D">
        <w:lastRenderedPageBreak/>
        <w:t>Medicines to treat Fabry disease</w:t>
      </w:r>
      <w:bookmarkEnd w:id="1131"/>
    </w:p>
    <w:p w:rsidR="00DA0DA5" w:rsidRPr="00DA0DA5" w:rsidRDefault="00DA0DA5" w:rsidP="00FF35CB">
      <w:pPr>
        <w:pStyle w:val="Heading3"/>
      </w:pPr>
      <w:r w:rsidRPr="00DA0DA5">
        <w:t>Agalsidase alfa and agalsidase beta</w:t>
      </w:r>
    </w:p>
    <w:p w:rsidR="00B17A59" w:rsidRDefault="00FA1B03" w:rsidP="0096216D">
      <w:pPr>
        <w:pStyle w:val="Caption"/>
        <w:keepNext/>
        <w:tabs>
          <w:tab w:val="clear" w:pos="851"/>
          <w:tab w:val="left" w:pos="1276"/>
        </w:tabs>
      </w:pPr>
      <w:bookmarkStart w:id="1132" w:name="_Toc411510525"/>
      <w:bookmarkStart w:id="1133" w:name="_Toc415141955"/>
      <w:r>
        <w:t xml:space="preserve">Table </w:t>
      </w:r>
      <w:r w:rsidR="00A72B26">
        <w:rPr>
          <w:noProof/>
        </w:rPr>
        <w:t>158</w:t>
      </w:r>
      <w:r>
        <w:t xml:space="preserve"> </w:t>
      </w:r>
      <w:r w:rsidR="0096216D">
        <w:tab/>
      </w:r>
      <w:r>
        <w:t>Study Profiles for systematic reviews assessing agalsidase alfa and agalsidase beta</w:t>
      </w:r>
      <w:bookmarkEnd w:id="1132"/>
      <w:bookmarkEnd w:id="1133"/>
    </w:p>
    <w:tbl>
      <w:tblPr>
        <w:tblStyle w:val="TableGrid"/>
        <w:tblW w:w="14260" w:type="dxa"/>
        <w:tblLayout w:type="fixed"/>
        <w:tblLook w:val="04A0" w:firstRow="1" w:lastRow="0" w:firstColumn="1" w:lastColumn="0" w:noHBand="0" w:noVBand="1"/>
        <w:tblCaption w:val="Table 122  Study Profiles for systematic reviews assessing agalsidase alfa and agalsidase beta"/>
      </w:tblPr>
      <w:tblGrid>
        <w:gridCol w:w="1101"/>
        <w:gridCol w:w="1559"/>
        <w:gridCol w:w="1866"/>
        <w:gridCol w:w="2126"/>
        <w:gridCol w:w="2268"/>
        <w:gridCol w:w="3237"/>
        <w:gridCol w:w="992"/>
        <w:gridCol w:w="1111"/>
      </w:tblGrid>
      <w:tr w:rsidR="00FA1B03" w:rsidRPr="00FA1B03" w:rsidTr="00CE0D5D">
        <w:trPr>
          <w:tblHeader/>
        </w:trPr>
        <w:tc>
          <w:tcPr>
            <w:tcW w:w="1101" w:type="dxa"/>
          </w:tcPr>
          <w:p w:rsidR="00FA1B03" w:rsidRPr="0084450C" w:rsidRDefault="00FA1B03" w:rsidP="0084450C">
            <w:pPr>
              <w:pStyle w:val="TableHeading"/>
            </w:pPr>
            <w:r w:rsidRPr="0084450C">
              <w:t>Author (Year) / Country</w:t>
            </w:r>
          </w:p>
        </w:tc>
        <w:tc>
          <w:tcPr>
            <w:tcW w:w="1559" w:type="dxa"/>
          </w:tcPr>
          <w:p w:rsidR="00FA1B03" w:rsidRPr="0084450C" w:rsidRDefault="00FA1B03" w:rsidP="0084450C">
            <w:pPr>
              <w:pStyle w:val="TableHeading"/>
            </w:pPr>
            <w:r w:rsidRPr="0084450C">
              <w:t>Study Design/ Level of Evidence/ Type of analysis/</w:t>
            </w:r>
          </w:p>
          <w:p w:rsidR="00FA1B03" w:rsidRPr="0084450C" w:rsidRDefault="00FA1B03" w:rsidP="0084450C">
            <w:pPr>
              <w:pStyle w:val="TableHeading"/>
            </w:pPr>
            <w:r w:rsidRPr="0084450C">
              <w:t>Risk of bias</w:t>
            </w:r>
          </w:p>
        </w:tc>
        <w:tc>
          <w:tcPr>
            <w:tcW w:w="1866" w:type="dxa"/>
          </w:tcPr>
          <w:p w:rsidR="00FA1B03" w:rsidRPr="0084450C" w:rsidRDefault="00FA1B03" w:rsidP="0084450C">
            <w:pPr>
              <w:pStyle w:val="TableHeading"/>
            </w:pPr>
            <w:r w:rsidRPr="0084450C">
              <w:t>Study sample characteristics</w:t>
            </w:r>
          </w:p>
        </w:tc>
        <w:tc>
          <w:tcPr>
            <w:tcW w:w="2126" w:type="dxa"/>
          </w:tcPr>
          <w:p w:rsidR="00FA1B03" w:rsidRPr="0084450C" w:rsidRDefault="00FA1B03" w:rsidP="0084450C">
            <w:pPr>
              <w:pStyle w:val="TableHeading"/>
            </w:pPr>
            <w:r w:rsidRPr="0084450C">
              <w:t>Eligibility criteria</w:t>
            </w:r>
          </w:p>
        </w:tc>
        <w:tc>
          <w:tcPr>
            <w:tcW w:w="2268" w:type="dxa"/>
          </w:tcPr>
          <w:p w:rsidR="00FA1B03" w:rsidRPr="0084450C" w:rsidRDefault="00FA1B03" w:rsidP="0084450C">
            <w:pPr>
              <w:pStyle w:val="TableHeading"/>
            </w:pPr>
            <w:r w:rsidRPr="0084450C">
              <w:t>Intervention drug treatment details</w:t>
            </w:r>
          </w:p>
          <w:p w:rsidR="00FA1B03" w:rsidRPr="0084450C" w:rsidRDefault="00FA1B03" w:rsidP="0084450C">
            <w:pPr>
              <w:pStyle w:val="TableHeading"/>
            </w:pPr>
            <w:r w:rsidRPr="0084450C">
              <w:t>Comparator drugs treatment details</w:t>
            </w:r>
          </w:p>
        </w:tc>
        <w:tc>
          <w:tcPr>
            <w:tcW w:w="3237" w:type="dxa"/>
            <w:tcBorders>
              <w:right w:val="single" w:sz="4" w:space="0" w:color="auto"/>
            </w:tcBorders>
          </w:tcPr>
          <w:p w:rsidR="00FA1B03" w:rsidRPr="0084450C" w:rsidRDefault="00FA1B03" w:rsidP="0084450C">
            <w:pPr>
              <w:pStyle w:val="TableHeading"/>
            </w:pPr>
            <w:r w:rsidRPr="0084450C">
              <w:t>Outcomes reported (relevant to the review) / measurement tools and scale</w:t>
            </w:r>
          </w:p>
        </w:tc>
        <w:tc>
          <w:tcPr>
            <w:tcW w:w="992" w:type="dxa"/>
            <w:tcBorders>
              <w:left w:val="single" w:sz="4" w:space="0" w:color="auto"/>
            </w:tcBorders>
          </w:tcPr>
          <w:p w:rsidR="00FA1B03" w:rsidRPr="0084450C" w:rsidRDefault="00FA1B03" w:rsidP="0084450C">
            <w:pPr>
              <w:pStyle w:val="TableHeading"/>
            </w:pPr>
            <w:r w:rsidRPr="0084450C">
              <w:t>Duration of follow-up</w:t>
            </w:r>
          </w:p>
        </w:tc>
        <w:tc>
          <w:tcPr>
            <w:tcW w:w="1111" w:type="dxa"/>
          </w:tcPr>
          <w:p w:rsidR="00FA1B03" w:rsidRPr="0084450C" w:rsidRDefault="00FA1B03" w:rsidP="0084450C">
            <w:pPr>
              <w:pStyle w:val="TableHeading"/>
            </w:pPr>
            <w:r w:rsidRPr="0084450C">
              <w:t>Comments</w:t>
            </w:r>
          </w:p>
        </w:tc>
      </w:tr>
      <w:tr w:rsidR="00FA1B03" w:rsidRPr="00FA1B03" w:rsidTr="006D652A">
        <w:tc>
          <w:tcPr>
            <w:tcW w:w="1101" w:type="dxa"/>
          </w:tcPr>
          <w:p w:rsidR="00FA1B03" w:rsidRDefault="00E83918" w:rsidP="0084450C">
            <w:pPr>
              <w:pStyle w:val="TableText0"/>
            </w:pPr>
            <w:r>
              <w:rPr>
                <w:noProof/>
              </w:rPr>
              <w:t>(</w:t>
            </w:r>
            <w:r w:rsidR="00184B6F">
              <w:rPr>
                <w:noProof/>
              </w:rPr>
              <w:t>El Dib, R P, Nascimento &amp; Pastores 2013</w:t>
            </w:r>
            <w:r>
              <w:rPr>
                <w:noProof/>
              </w:rPr>
              <w:t>)</w:t>
            </w:r>
          </w:p>
          <w:p w:rsidR="00FA1B03" w:rsidRPr="00FA1B03" w:rsidRDefault="00FA1B03" w:rsidP="0084450C">
            <w:pPr>
              <w:pStyle w:val="TableText0"/>
            </w:pPr>
            <w:r w:rsidRPr="00FA1B03">
              <w:t>USA</w:t>
            </w:r>
          </w:p>
          <w:p w:rsidR="00FA1B03" w:rsidRPr="00FA1B03" w:rsidRDefault="00FA1B03" w:rsidP="0084450C">
            <w:pPr>
              <w:pStyle w:val="TableText0"/>
            </w:pPr>
          </w:p>
        </w:tc>
        <w:tc>
          <w:tcPr>
            <w:tcW w:w="1559" w:type="dxa"/>
          </w:tcPr>
          <w:p w:rsidR="00FA1B03" w:rsidRPr="00FA1B03" w:rsidRDefault="00FA1B03" w:rsidP="0084450C">
            <w:pPr>
              <w:pStyle w:val="TableText0"/>
            </w:pPr>
            <w:r w:rsidRPr="00FA1B03">
              <w:t>Level I:</w:t>
            </w:r>
          </w:p>
          <w:p w:rsidR="00FA1B03" w:rsidRPr="00FA1B03" w:rsidRDefault="00FA1B03" w:rsidP="0084450C">
            <w:pPr>
              <w:pStyle w:val="TableText0"/>
            </w:pPr>
            <w:r w:rsidRPr="00FA1B03">
              <w:t>Systematic review of randomised placebo controlled trials</w:t>
            </w:r>
          </w:p>
          <w:p w:rsidR="00FA1B03" w:rsidRPr="00FA1B03" w:rsidRDefault="00FA1B03" w:rsidP="0084450C">
            <w:pPr>
              <w:pStyle w:val="TableText0"/>
            </w:pPr>
          </w:p>
          <w:p w:rsidR="00FA1B03" w:rsidRPr="00FA1B03" w:rsidRDefault="00FA1B03" w:rsidP="0084450C">
            <w:pPr>
              <w:pStyle w:val="TableText0"/>
            </w:pPr>
            <w:r w:rsidRPr="00FA1B03">
              <w:t>Low risk of bias</w:t>
            </w:r>
          </w:p>
        </w:tc>
        <w:tc>
          <w:tcPr>
            <w:tcW w:w="1866" w:type="dxa"/>
          </w:tcPr>
          <w:p w:rsidR="00FA1B03" w:rsidRPr="00FA1B03" w:rsidRDefault="00FA1B03" w:rsidP="0084450C">
            <w:pPr>
              <w:pStyle w:val="TableText0"/>
            </w:pPr>
            <w:r w:rsidRPr="00FA1B03">
              <w:t>Fabry disease (Anderson-Fabry disease) - diagnosis by accepted criteria based on concentration of enzyme or by mutation analysis</w:t>
            </w:r>
          </w:p>
        </w:tc>
        <w:tc>
          <w:tcPr>
            <w:tcW w:w="2126" w:type="dxa"/>
          </w:tcPr>
          <w:p w:rsidR="00FA1B03" w:rsidRPr="00FA1B03" w:rsidRDefault="00FA1B03" w:rsidP="0084450C">
            <w:pPr>
              <w:pStyle w:val="TableText0"/>
            </w:pPr>
            <w:r w:rsidRPr="00FA1B03">
              <w:t xml:space="preserve"> Randomised or quasi-randomised controlled trials comparing ERT  (agalsidase alfa or beta) in any amount given for a period of at least one month with another ERT  or to standard therapy </w:t>
            </w:r>
          </w:p>
          <w:p w:rsidR="00FA1B03" w:rsidRPr="00FA1B03" w:rsidRDefault="00FA1B03" w:rsidP="0084450C">
            <w:pPr>
              <w:pStyle w:val="TableText0"/>
            </w:pPr>
          </w:p>
        </w:tc>
        <w:tc>
          <w:tcPr>
            <w:tcW w:w="2268" w:type="dxa"/>
          </w:tcPr>
          <w:p w:rsidR="00FA1B03" w:rsidRPr="00FA1B03" w:rsidRDefault="00E66055" w:rsidP="0084450C">
            <w:pPr>
              <w:pStyle w:val="TableText0"/>
            </w:pPr>
            <w:r w:rsidRPr="00FA1B03">
              <w:t>Agalsidase</w:t>
            </w:r>
            <w:r w:rsidR="00FA1B03" w:rsidRPr="00FA1B03">
              <w:t xml:space="preserve"> alfa   (0.2 mg/kg or unspecified dose every 2 weeks ) versus placebo</w:t>
            </w:r>
            <w:r w:rsidR="009F4A20">
              <w:t xml:space="preserve"> (delivered as per treatment group)</w:t>
            </w:r>
          </w:p>
          <w:p w:rsidR="00FA1B03" w:rsidRPr="00FA1B03" w:rsidRDefault="00FA1B03" w:rsidP="0084450C">
            <w:pPr>
              <w:pStyle w:val="TableText0"/>
            </w:pPr>
            <w:r w:rsidRPr="00FA1B03">
              <w:t>Agalsidase beta  (1 mg/kg every 2 weeks) versus placebo</w:t>
            </w:r>
            <w:r w:rsidR="009F4A20">
              <w:t xml:space="preserve"> (delivered as per treatment group)</w:t>
            </w:r>
          </w:p>
          <w:p w:rsidR="00FA1B03" w:rsidRPr="00FA1B03" w:rsidRDefault="00FA1B03" w:rsidP="0084450C">
            <w:pPr>
              <w:pStyle w:val="TableText0"/>
            </w:pPr>
            <w:r w:rsidRPr="00FA1B03">
              <w:t>Agalsidase alfa versus agalsidase beta (both at 0.2 mg/kg every 2 weeks)</w:t>
            </w:r>
          </w:p>
        </w:tc>
        <w:tc>
          <w:tcPr>
            <w:tcW w:w="3237" w:type="dxa"/>
            <w:tcBorders>
              <w:right w:val="single" w:sz="4" w:space="0" w:color="auto"/>
            </w:tcBorders>
          </w:tcPr>
          <w:p w:rsidR="00FA1B03" w:rsidRPr="006D652A" w:rsidRDefault="00FA1B03" w:rsidP="0084450C">
            <w:pPr>
              <w:pStyle w:val="TableText0"/>
            </w:pPr>
            <w:r w:rsidRPr="006D652A">
              <w:t>Primary</w:t>
            </w:r>
          </w:p>
          <w:p w:rsidR="00FA1B03" w:rsidRPr="00FA1B03" w:rsidRDefault="00FA1B03" w:rsidP="0084450C">
            <w:pPr>
              <w:pStyle w:val="TableText0"/>
            </w:pPr>
            <w:r w:rsidRPr="00FA1B03">
              <w:t>Death (n)</w:t>
            </w:r>
          </w:p>
          <w:p w:rsidR="00FA1B03" w:rsidRPr="00FA1B03" w:rsidRDefault="00FA1B03" w:rsidP="0084450C">
            <w:pPr>
              <w:pStyle w:val="TableText0"/>
            </w:pPr>
            <w:r w:rsidRPr="00FA1B03">
              <w:t>Changes in Gb3 levels (% change in concentration from baseline, histological score)</w:t>
            </w:r>
          </w:p>
          <w:p w:rsidR="00FA1B03" w:rsidRPr="00FA1B03" w:rsidRDefault="00FA1B03" w:rsidP="0084450C">
            <w:pPr>
              <w:pStyle w:val="TableText0"/>
            </w:pPr>
            <w:r w:rsidRPr="00FA1B03">
              <w:t>Pain (McGill Pain Questionnaire, The Brief Pain Inventory)</w:t>
            </w:r>
          </w:p>
          <w:p w:rsidR="00FA1B03" w:rsidRPr="006D652A" w:rsidRDefault="00FA1B03" w:rsidP="0084450C">
            <w:pPr>
              <w:pStyle w:val="TableText0"/>
            </w:pPr>
            <w:r w:rsidRPr="006D652A">
              <w:t>Secondary</w:t>
            </w:r>
          </w:p>
          <w:p w:rsidR="00FA1B03" w:rsidRPr="00FA1B03" w:rsidRDefault="00FA1B03" w:rsidP="0084450C">
            <w:pPr>
              <w:pStyle w:val="TableText0"/>
            </w:pPr>
            <w:r w:rsidRPr="00FA1B03">
              <w:t xml:space="preserve">Renal function (serum creatinine, creatinine and inulin clearance, proteinuria, glomeruli changes) </w:t>
            </w:r>
          </w:p>
          <w:p w:rsidR="00FA1B03" w:rsidRPr="00FA1B03" w:rsidRDefault="00FA1B03" w:rsidP="0084450C">
            <w:pPr>
              <w:pStyle w:val="TableText0"/>
            </w:pPr>
            <w:r w:rsidRPr="00FA1B03">
              <w:t>Cardiac function (echocardiograph, exercise tolerance)</w:t>
            </w:r>
          </w:p>
          <w:p w:rsidR="00FA1B03" w:rsidRPr="00FA1B03" w:rsidRDefault="00FA1B03" w:rsidP="0084450C">
            <w:pPr>
              <w:pStyle w:val="TableText0"/>
            </w:pPr>
            <w:r w:rsidRPr="00FA1B03">
              <w:t>Histologic analysis of endothelial Gb3 deposits (histological score)</w:t>
            </w:r>
          </w:p>
          <w:p w:rsidR="00FA1B03" w:rsidRPr="00FA1B03" w:rsidRDefault="00FA1B03" w:rsidP="0084450C">
            <w:pPr>
              <w:pStyle w:val="TableText0"/>
            </w:pPr>
            <w:r w:rsidRPr="00FA1B03">
              <w:t>GFR (ml/min, mg/24 hours)</w:t>
            </w:r>
          </w:p>
          <w:p w:rsidR="00FA1B03" w:rsidRPr="00FA1B03" w:rsidRDefault="00FA1B03" w:rsidP="0084450C">
            <w:pPr>
              <w:pStyle w:val="TableText0"/>
            </w:pPr>
            <w:r w:rsidRPr="00FA1B03">
              <w:t>Adverse events (n)</w:t>
            </w:r>
          </w:p>
          <w:p w:rsidR="00FA1B03" w:rsidRPr="00FA1B03" w:rsidRDefault="00FA1B03" w:rsidP="0084450C">
            <w:pPr>
              <w:pStyle w:val="TableText0"/>
            </w:pPr>
            <w:r w:rsidRPr="00FA1B03">
              <w:t>Quality of life (Short Form 36)</w:t>
            </w:r>
          </w:p>
        </w:tc>
        <w:tc>
          <w:tcPr>
            <w:tcW w:w="992" w:type="dxa"/>
            <w:tcBorders>
              <w:left w:val="single" w:sz="4" w:space="0" w:color="auto"/>
            </w:tcBorders>
          </w:tcPr>
          <w:p w:rsidR="00FA1B03" w:rsidRPr="00FA1B03" w:rsidRDefault="00FA1B03" w:rsidP="0084450C">
            <w:pPr>
              <w:pStyle w:val="TableText0"/>
            </w:pPr>
            <w:r w:rsidRPr="00FA1B03">
              <w:t>Up to 36 months</w:t>
            </w:r>
          </w:p>
        </w:tc>
        <w:tc>
          <w:tcPr>
            <w:tcW w:w="1111" w:type="dxa"/>
          </w:tcPr>
          <w:p w:rsidR="00FA1B03" w:rsidRPr="00FA1B03" w:rsidRDefault="00FA1B03" w:rsidP="0084450C">
            <w:pPr>
              <w:pStyle w:val="TableText0"/>
            </w:pPr>
          </w:p>
        </w:tc>
      </w:tr>
      <w:tr w:rsidR="00FA1B03" w:rsidRPr="00FA1B03" w:rsidTr="00385BBF">
        <w:trPr>
          <w:trHeight w:val="3676"/>
        </w:trPr>
        <w:tc>
          <w:tcPr>
            <w:tcW w:w="1101" w:type="dxa"/>
          </w:tcPr>
          <w:p w:rsidR="00FA1B03" w:rsidRDefault="00A130D0" w:rsidP="0084450C">
            <w:pPr>
              <w:pStyle w:val="TableText0"/>
            </w:pPr>
            <w:r>
              <w:rPr>
                <w:noProof/>
              </w:rPr>
              <w:lastRenderedPageBreak/>
              <w:t>(</w:t>
            </w:r>
            <w:r w:rsidR="00184B6F">
              <w:rPr>
                <w:noProof/>
              </w:rPr>
              <w:t>Schaefer, Tylki-Szymanska &amp; Hilz 2009</w:t>
            </w:r>
            <w:r>
              <w:rPr>
                <w:noProof/>
              </w:rPr>
              <w:t>)</w:t>
            </w:r>
          </w:p>
          <w:p w:rsidR="00FA1B03" w:rsidRPr="00FA1B03" w:rsidRDefault="00FA1B03" w:rsidP="0084450C">
            <w:pPr>
              <w:pStyle w:val="TableText0"/>
            </w:pPr>
            <w:r w:rsidRPr="00FA1B03">
              <w:t>Germany</w:t>
            </w:r>
          </w:p>
        </w:tc>
        <w:tc>
          <w:tcPr>
            <w:tcW w:w="1559" w:type="dxa"/>
          </w:tcPr>
          <w:p w:rsidR="00FA1B03" w:rsidRPr="00FA1B03" w:rsidRDefault="00FA1B03" w:rsidP="0084450C">
            <w:pPr>
              <w:pStyle w:val="TableText0"/>
            </w:pPr>
            <w:r w:rsidRPr="00FA1B03">
              <w:t>Level I:</w:t>
            </w:r>
          </w:p>
          <w:p w:rsidR="00FA1B03" w:rsidRPr="00FA1B03" w:rsidRDefault="00FA1B03" w:rsidP="0084450C">
            <w:pPr>
              <w:pStyle w:val="TableText0"/>
            </w:pPr>
            <w:r w:rsidRPr="00FA1B03">
              <w:t>Systematic review of randomised placebo controlled trials</w:t>
            </w:r>
          </w:p>
          <w:p w:rsidR="00FA1B03" w:rsidRPr="00FA1B03" w:rsidRDefault="00FA1B03" w:rsidP="0084450C">
            <w:pPr>
              <w:pStyle w:val="TableText0"/>
            </w:pPr>
          </w:p>
          <w:p w:rsidR="00FA1B03" w:rsidRPr="00FA1B03" w:rsidRDefault="00FA1B03" w:rsidP="0084450C">
            <w:pPr>
              <w:pStyle w:val="TableText0"/>
            </w:pPr>
            <w:r w:rsidRPr="00FA1B03">
              <w:t>Low risk of bias</w:t>
            </w:r>
          </w:p>
        </w:tc>
        <w:tc>
          <w:tcPr>
            <w:tcW w:w="1866" w:type="dxa"/>
          </w:tcPr>
          <w:p w:rsidR="00FA1B03" w:rsidRPr="00FA1B03" w:rsidRDefault="00FA1B03" w:rsidP="0084450C">
            <w:pPr>
              <w:pStyle w:val="TableText0"/>
            </w:pPr>
            <w:r w:rsidRPr="00FA1B03">
              <w:t>Fabry disease</w:t>
            </w:r>
          </w:p>
        </w:tc>
        <w:tc>
          <w:tcPr>
            <w:tcW w:w="2126" w:type="dxa"/>
          </w:tcPr>
          <w:p w:rsidR="00FA1B03" w:rsidRPr="00FA1B03" w:rsidRDefault="00FA1B03" w:rsidP="0084450C">
            <w:pPr>
              <w:pStyle w:val="TableText0"/>
              <w:rPr>
                <w:u w:val="single"/>
              </w:rPr>
            </w:pPr>
            <w:r w:rsidRPr="00FA1B03">
              <w:rPr>
                <w:u w:val="single"/>
              </w:rPr>
              <w:t>Inclusion</w:t>
            </w:r>
          </w:p>
          <w:p w:rsidR="00FA1B03" w:rsidRPr="00FA1B03" w:rsidRDefault="00FA1B03" w:rsidP="0084450C">
            <w:pPr>
              <w:pStyle w:val="TableText0"/>
            </w:pPr>
            <w:r w:rsidRPr="00FA1B03">
              <w:t>Prospectively designed clinical studies evaluating ERT with quantifiable endpoints – double blind or open-label</w:t>
            </w:r>
          </w:p>
          <w:p w:rsidR="00FA1B03" w:rsidRPr="00FA1B03" w:rsidRDefault="00FA1B03" w:rsidP="0084450C">
            <w:pPr>
              <w:pStyle w:val="TableText0"/>
              <w:rPr>
                <w:u w:val="single"/>
              </w:rPr>
            </w:pPr>
            <w:r w:rsidRPr="00FA1B03">
              <w:rPr>
                <w:u w:val="single"/>
              </w:rPr>
              <w:t>Exclusion</w:t>
            </w:r>
          </w:p>
          <w:p w:rsidR="00FA1B03" w:rsidRPr="00FA1B03" w:rsidRDefault="00FA1B03" w:rsidP="0084450C">
            <w:pPr>
              <w:pStyle w:val="TableText0"/>
            </w:pPr>
            <w:r w:rsidRPr="00FA1B03">
              <w:t xml:space="preserve">Review articles, case reports, case studies, letters to the editor, articles based on registry data, retrospective studies, </w:t>
            </w:r>
            <w:r w:rsidRPr="00FA1B03">
              <w:rPr>
                <w:i/>
              </w:rPr>
              <w:t>post hoc</w:t>
            </w:r>
            <w:r w:rsidRPr="00FA1B03">
              <w:t xml:space="preserve"> analysis</w:t>
            </w:r>
          </w:p>
        </w:tc>
        <w:tc>
          <w:tcPr>
            <w:tcW w:w="2268" w:type="dxa"/>
          </w:tcPr>
          <w:p w:rsidR="00FA1B03" w:rsidRPr="00FA1B03" w:rsidRDefault="00FA1B03" w:rsidP="0084450C">
            <w:pPr>
              <w:pStyle w:val="TableText0"/>
            </w:pPr>
            <w:r w:rsidRPr="00FA1B03">
              <w:t>Double blind RCTs only:</w:t>
            </w:r>
          </w:p>
          <w:p w:rsidR="00FA1B03" w:rsidRPr="00FA1B03" w:rsidRDefault="00E66055" w:rsidP="0084450C">
            <w:pPr>
              <w:pStyle w:val="TableText0"/>
            </w:pPr>
            <w:r w:rsidRPr="00FA1B03">
              <w:t>Agalsidase</w:t>
            </w:r>
            <w:r w:rsidR="00FA1B03" w:rsidRPr="00FA1B03">
              <w:t xml:space="preserve"> alfa   (0.2 mg/kg or unspecified dose every 2 weeks ) versus placebo</w:t>
            </w:r>
            <w:r w:rsidR="00FB0117">
              <w:t xml:space="preserve"> (delivery as per treatment group)</w:t>
            </w:r>
          </w:p>
          <w:p w:rsidR="00FA1B03" w:rsidRPr="00FA1B03" w:rsidRDefault="00FA1B03" w:rsidP="0084450C">
            <w:pPr>
              <w:pStyle w:val="TableText0"/>
            </w:pPr>
            <w:r w:rsidRPr="00FA1B03">
              <w:t>Agalsidase beta  (1 mg/kg every 2 weeks) versus placebo</w:t>
            </w:r>
            <w:r w:rsidR="00FB0117">
              <w:t xml:space="preserve"> (delivery as per treatment)</w:t>
            </w:r>
          </w:p>
          <w:p w:rsidR="00FA1B03" w:rsidRPr="00FA1B03" w:rsidRDefault="00FA1B03" w:rsidP="0084450C">
            <w:pPr>
              <w:pStyle w:val="TableText0"/>
            </w:pPr>
            <w:r w:rsidRPr="00FA1B03">
              <w:t>Agalsidase alfa versus agalsidase beta (both at 0.2 mg/kg every 2 weeks)</w:t>
            </w:r>
          </w:p>
        </w:tc>
        <w:tc>
          <w:tcPr>
            <w:tcW w:w="3237" w:type="dxa"/>
            <w:tcBorders>
              <w:right w:val="single" w:sz="4" w:space="0" w:color="auto"/>
            </w:tcBorders>
          </w:tcPr>
          <w:p w:rsidR="00FA1B03" w:rsidRPr="00FA1B03" w:rsidRDefault="00FA1B03" w:rsidP="0084450C">
            <w:pPr>
              <w:pStyle w:val="TableText0"/>
            </w:pPr>
            <w:r w:rsidRPr="00FA1B03">
              <w:t>Gb3 accumulation (plasma, kidney, urine, cardiac, skin Gb3 concentrations or histological scores)</w:t>
            </w:r>
          </w:p>
          <w:p w:rsidR="00FA1B03" w:rsidRPr="00FA1B03" w:rsidRDefault="00FA1B03" w:rsidP="0084450C">
            <w:pPr>
              <w:pStyle w:val="TableText0"/>
            </w:pPr>
            <w:r w:rsidRPr="00FA1B03">
              <w:t>Neuropathy and pain assessment  (McGill Pain Questionnaire, The Brief Pain Inventory, number of pain medications required)</w:t>
            </w:r>
          </w:p>
          <w:p w:rsidR="00FA1B03" w:rsidRPr="00FA1B03" w:rsidRDefault="00FA1B03" w:rsidP="0084450C">
            <w:pPr>
              <w:pStyle w:val="TableText0"/>
            </w:pPr>
            <w:r w:rsidRPr="00FA1B03">
              <w:t>Kidney function (GFR, proteinuria)</w:t>
            </w:r>
          </w:p>
          <w:p w:rsidR="00FA1B03" w:rsidRPr="00FA1B03" w:rsidRDefault="00FA1B03" w:rsidP="0084450C">
            <w:pPr>
              <w:pStyle w:val="TableText0"/>
            </w:pPr>
            <w:r w:rsidRPr="00FA1B03">
              <w:t>Cardiac function (echocardiograph, exercise tolerance)</w:t>
            </w:r>
          </w:p>
        </w:tc>
        <w:tc>
          <w:tcPr>
            <w:tcW w:w="992" w:type="dxa"/>
            <w:tcBorders>
              <w:left w:val="single" w:sz="4" w:space="0" w:color="auto"/>
            </w:tcBorders>
          </w:tcPr>
          <w:p w:rsidR="00FA1B03" w:rsidRPr="00FA1B03" w:rsidRDefault="00FA1B03" w:rsidP="0084450C">
            <w:pPr>
              <w:pStyle w:val="TableText0"/>
            </w:pPr>
            <w:r w:rsidRPr="00FA1B03">
              <w:t>Up to 36 months</w:t>
            </w:r>
          </w:p>
        </w:tc>
        <w:tc>
          <w:tcPr>
            <w:tcW w:w="1111" w:type="dxa"/>
          </w:tcPr>
          <w:p w:rsidR="00FA1B03" w:rsidRPr="00FA1B03" w:rsidRDefault="00FA1B03" w:rsidP="0084450C">
            <w:pPr>
              <w:pStyle w:val="TableText0"/>
            </w:pPr>
          </w:p>
        </w:tc>
      </w:tr>
    </w:tbl>
    <w:p w:rsidR="00FA1B03" w:rsidRPr="00382709" w:rsidRDefault="00E66055" w:rsidP="00382709">
      <w:pPr>
        <w:pStyle w:val="TableNote"/>
      </w:pPr>
      <w:r w:rsidRPr="00382709">
        <w:t xml:space="preserve">ERT </w:t>
      </w:r>
      <w:r w:rsidRPr="00652355">
        <w:rPr>
          <w:spacing w:val="-20"/>
        </w:rPr>
        <w:t xml:space="preserve">= </w:t>
      </w:r>
      <w:r w:rsidRPr="00382709">
        <w:t>enzyme</w:t>
      </w:r>
      <w:r w:rsidR="00FA1B03" w:rsidRPr="00382709">
        <w:t xml:space="preserve"> replacement therapy; </w:t>
      </w:r>
      <w:r w:rsidRPr="00382709">
        <w:t xml:space="preserve">Gb3 </w:t>
      </w:r>
      <w:r w:rsidRPr="00652355">
        <w:rPr>
          <w:spacing w:val="-20"/>
        </w:rPr>
        <w:t>=</w:t>
      </w:r>
      <w:r w:rsidR="00652355" w:rsidRPr="00652355">
        <w:rPr>
          <w:spacing w:val="-20"/>
        </w:rPr>
        <w:t xml:space="preserve"> </w:t>
      </w:r>
      <w:r w:rsidR="00FA1B03" w:rsidRPr="00382709">
        <w:t xml:space="preserve">  globotriaosylceramide; </w:t>
      </w:r>
      <w:r w:rsidRPr="00382709">
        <w:t xml:space="preserve">GFR </w:t>
      </w:r>
      <w:r w:rsidRPr="00652355">
        <w:rPr>
          <w:spacing w:val="-20"/>
        </w:rPr>
        <w:t xml:space="preserve">= </w:t>
      </w:r>
      <w:r w:rsidRPr="00382709">
        <w:t>glomerular</w:t>
      </w:r>
      <w:r w:rsidR="00FA1B03" w:rsidRPr="00382709">
        <w:t xml:space="preserve"> filtration rate</w:t>
      </w:r>
    </w:p>
    <w:p w:rsidR="00CE0D5D" w:rsidRDefault="00CE0D5D" w:rsidP="00E965BD">
      <w:pPr>
        <w:pStyle w:val="Heading3"/>
      </w:pPr>
      <w:r>
        <w:br w:type="page"/>
      </w:r>
    </w:p>
    <w:p w:rsidR="00B17A59" w:rsidRPr="003F3F2D" w:rsidRDefault="00B17A59" w:rsidP="00E965BD">
      <w:pPr>
        <w:pStyle w:val="Heading3"/>
      </w:pPr>
      <w:r w:rsidRPr="003F3F2D">
        <w:lastRenderedPageBreak/>
        <w:t>Alglucosidase alfa to treat Infantile Onset Pompe Disease</w:t>
      </w:r>
    </w:p>
    <w:p w:rsidR="00B17A59" w:rsidRPr="00B17A59" w:rsidRDefault="006D652A" w:rsidP="0096216D">
      <w:pPr>
        <w:pStyle w:val="Caption"/>
        <w:keepNext/>
        <w:tabs>
          <w:tab w:val="clear" w:pos="851"/>
          <w:tab w:val="left" w:pos="1276"/>
        </w:tabs>
      </w:pPr>
      <w:bookmarkStart w:id="1134" w:name="_Toc411510526"/>
      <w:bookmarkStart w:id="1135" w:name="_Toc415141956"/>
      <w:r>
        <w:t xml:space="preserve">Table </w:t>
      </w:r>
      <w:r w:rsidR="00A72B26">
        <w:rPr>
          <w:noProof/>
        </w:rPr>
        <w:t>159</w:t>
      </w:r>
      <w:r>
        <w:t xml:space="preserve"> </w:t>
      </w:r>
      <w:r>
        <w:tab/>
        <w:t>Study profiles for studies on alglucosidase alfa</w:t>
      </w:r>
      <w:bookmarkEnd w:id="1134"/>
      <w:bookmarkEnd w:id="1135"/>
    </w:p>
    <w:tbl>
      <w:tblPr>
        <w:tblStyle w:val="TableGrid"/>
        <w:tblW w:w="14260" w:type="dxa"/>
        <w:tblLook w:val="04A0" w:firstRow="1" w:lastRow="0" w:firstColumn="1" w:lastColumn="0" w:noHBand="0" w:noVBand="1"/>
        <w:tblCaption w:val="Table 123  Study profiles for studies on alglucosidase alfa"/>
      </w:tblPr>
      <w:tblGrid>
        <w:gridCol w:w="1242"/>
        <w:gridCol w:w="1418"/>
        <w:gridCol w:w="2693"/>
        <w:gridCol w:w="2794"/>
        <w:gridCol w:w="1685"/>
        <w:gridCol w:w="1762"/>
        <w:gridCol w:w="1176"/>
        <w:gridCol w:w="1490"/>
      </w:tblGrid>
      <w:tr w:rsidR="00AF1A6C" w:rsidRPr="00F1301E" w:rsidTr="006D652A">
        <w:trPr>
          <w:tblHeader/>
        </w:trPr>
        <w:tc>
          <w:tcPr>
            <w:tcW w:w="1242" w:type="dxa"/>
          </w:tcPr>
          <w:p w:rsidR="00AF1A6C" w:rsidRPr="00B7451B" w:rsidRDefault="00AF1A6C" w:rsidP="00385BBF">
            <w:pPr>
              <w:pStyle w:val="TableHeading"/>
            </w:pPr>
            <w:r w:rsidRPr="00B7451B">
              <w:t>Author (Year) / Country</w:t>
            </w:r>
          </w:p>
        </w:tc>
        <w:tc>
          <w:tcPr>
            <w:tcW w:w="1418" w:type="dxa"/>
          </w:tcPr>
          <w:p w:rsidR="00AF1A6C" w:rsidRDefault="00AF1A6C" w:rsidP="00385BBF">
            <w:pPr>
              <w:pStyle w:val="TableHeading"/>
            </w:pPr>
            <w:r w:rsidRPr="00B7451B">
              <w:t>Study Design/ Level of Evidence/ Type of analysis/</w:t>
            </w:r>
          </w:p>
          <w:p w:rsidR="00AF1A6C" w:rsidRPr="00B7451B" w:rsidRDefault="00AF1A6C" w:rsidP="00385BBF">
            <w:pPr>
              <w:pStyle w:val="TableHeading"/>
            </w:pPr>
            <w:r>
              <w:t>Risk of bias</w:t>
            </w:r>
          </w:p>
        </w:tc>
        <w:tc>
          <w:tcPr>
            <w:tcW w:w="2693" w:type="dxa"/>
          </w:tcPr>
          <w:p w:rsidR="00AF1A6C" w:rsidRPr="00B7451B" w:rsidRDefault="00AF1A6C" w:rsidP="00385BBF">
            <w:pPr>
              <w:pStyle w:val="TableHeading"/>
            </w:pPr>
            <w:r w:rsidRPr="00B7451B">
              <w:t>Study sample characteristics</w:t>
            </w:r>
          </w:p>
        </w:tc>
        <w:tc>
          <w:tcPr>
            <w:tcW w:w="2794" w:type="dxa"/>
          </w:tcPr>
          <w:p w:rsidR="00AF1A6C" w:rsidRPr="00B7451B" w:rsidRDefault="00AF1A6C" w:rsidP="00385BBF">
            <w:pPr>
              <w:pStyle w:val="TableHeading"/>
            </w:pPr>
            <w:r>
              <w:t>Eligibility criteria</w:t>
            </w:r>
          </w:p>
        </w:tc>
        <w:tc>
          <w:tcPr>
            <w:tcW w:w="1685" w:type="dxa"/>
          </w:tcPr>
          <w:p w:rsidR="00AF1A6C" w:rsidRDefault="00AF1A6C" w:rsidP="00385BBF">
            <w:pPr>
              <w:pStyle w:val="TableHeading"/>
            </w:pPr>
            <w:r w:rsidRPr="00B7451B">
              <w:t>Intervention drug treatment details</w:t>
            </w:r>
          </w:p>
          <w:p w:rsidR="00AF1A6C" w:rsidRPr="00B7451B" w:rsidRDefault="00AF1A6C" w:rsidP="00385BBF">
            <w:pPr>
              <w:pStyle w:val="TableHeading"/>
            </w:pPr>
            <w:r>
              <w:t>Comparator drugs treatment details</w:t>
            </w:r>
          </w:p>
        </w:tc>
        <w:tc>
          <w:tcPr>
            <w:tcW w:w="1762" w:type="dxa"/>
            <w:tcBorders>
              <w:right w:val="single" w:sz="4" w:space="0" w:color="auto"/>
            </w:tcBorders>
          </w:tcPr>
          <w:p w:rsidR="00AF1A6C" w:rsidRPr="00B7451B" w:rsidRDefault="00AF1A6C" w:rsidP="00385BBF">
            <w:pPr>
              <w:pStyle w:val="TableHeading"/>
            </w:pPr>
            <w:r w:rsidRPr="00B7451B">
              <w:t>Outcomes reported (relevant to the review)</w:t>
            </w:r>
            <w:r>
              <w:t xml:space="preserve"> / measurement tools and scale</w:t>
            </w:r>
          </w:p>
        </w:tc>
        <w:tc>
          <w:tcPr>
            <w:tcW w:w="1176" w:type="dxa"/>
            <w:tcBorders>
              <w:left w:val="single" w:sz="4" w:space="0" w:color="auto"/>
            </w:tcBorders>
          </w:tcPr>
          <w:p w:rsidR="00AF1A6C" w:rsidRPr="00B7451B" w:rsidRDefault="00AF1A6C" w:rsidP="00385BBF">
            <w:pPr>
              <w:pStyle w:val="TableHeading"/>
            </w:pPr>
            <w:r w:rsidRPr="00B7451B">
              <w:t>Duration of follow-up</w:t>
            </w:r>
          </w:p>
        </w:tc>
        <w:tc>
          <w:tcPr>
            <w:tcW w:w="1490" w:type="dxa"/>
          </w:tcPr>
          <w:p w:rsidR="00AF1A6C" w:rsidRPr="00B7451B" w:rsidRDefault="00AF1A6C" w:rsidP="00385BBF">
            <w:pPr>
              <w:pStyle w:val="TableHeading"/>
            </w:pPr>
            <w:r w:rsidRPr="00B7451B">
              <w:t>Comments</w:t>
            </w:r>
          </w:p>
        </w:tc>
      </w:tr>
      <w:tr w:rsidR="00AF1A6C" w:rsidRPr="00F1301E" w:rsidTr="006D652A">
        <w:tc>
          <w:tcPr>
            <w:tcW w:w="1242" w:type="dxa"/>
          </w:tcPr>
          <w:p w:rsidR="00AF1A6C" w:rsidRDefault="00A130D0" w:rsidP="00385BBF">
            <w:pPr>
              <w:pStyle w:val="TableText0"/>
            </w:pPr>
            <w:r>
              <w:rPr>
                <w:noProof/>
              </w:rPr>
              <w:t>(</w:t>
            </w:r>
            <w:r w:rsidR="00184B6F">
              <w:rPr>
                <w:noProof/>
              </w:rPr>
              <w:t>Kishnani, PS et al. 2007</w:t>
            </w:r>
            <w:r>
              <w:rPr>
                <w:noProof/>
              </w:rPr>
              <w:t>)</w:t>
            </w:r>
          </w:p>
          <w:p w:rsidR="00AF1A6C" w:rsidRDefault="00AF1A6C" w:rsidP="00385BBF">
            <w:pPr>
              <w:pStyle w:val="TableText0"/>
            </w:pPr>
            <w:r>
              <w:t>US, Europe, Taiwan, Israel</w:t>
            </w:r>
          </w:p>
        </w:tc>
        <w:tc>
          <w:tcPr>
            <w:tcW w:w="1418" w:type="dxa"/>
          </w:tcPr>
          <w:p w:rsidR="00AF1A6C" w:rsidRPr="00BB3DFF" w:rsidRDefault="00AF1A6C" w:rsidP="00385BBF">
            <w:pPr>
              <w:pStyle w:val="TableText0"/>
              <w:rPr>
                <w:vertAlign w:val="superscript"/>
              </w:rPr>
            </w:pPr>
            <w:r>
              <w:t>Historical control study</w:t>
            </w:r>
          </w:p>
          <w:p w:rsidR="00AF1A6C" w:rsidRDefault="00AF1A6C" w:rsidP="00385BBF">
            <w:pPr>
              <w:pStyle w:val="TableText0"/>
            </w:pPr>
            <w:r>
              <w:t>Open-label</w:t>
            </w:r>
          </w:p>
          <w:p w:rsidR="00AF1A6C" w:rsidRDefault="00AF1A6C" w:rsidP="00385BBF">
            <w:pPr>
              <w:pStyle w:val="TableText0"/>
            </w:pPr>
            <w:r>
              <w:t>Level: III-3</w:t>
            </w:r>
          </w:p>
          <w:p w:rsidR="00AF1A6C" w:rsidRDefault="00AF1A6C" w:rsidP="00385BBF">
            <w:pPr>
              <w:pStyle w:val="TableText0"/>
            </w:pPr>
            <w:r>
              <w:t>Quality: + (SIGN)</w:t>
            </w:r>
          </w:p>
        </w:tc>
        <w:tc>
          <w:tcPr>
            <w:tcW w:w="2693" w:type="dxa"/>
          </w:tcPr>
          <w:p w:rsidR="00AF1A6C" w:rsidRDefault="00AF1A6C" w:rsidP="00385BBF">
            <w:pPr>
              <w:pStyle w:val="TableText0"/>
            </w:pPr>
            <w:r>
              <w:rPr>
                <w:u w:val="single"/>
              </w:rPr>
              <w:t>Study population</w:t>
            </w:r>
          </w:p>
          <w:p w:rsidR="00AF1A6C" w:rsidRPr="002A2983" w:rsidRDefault="00AF1A6C" w:rsidP="00385BBF">
            <w:pPr>
              <w:pStyle w:val="TableText0"/>
            </w:pPr>
            <w:r>
              <w:t>N</w:t>
            </w:r>
            <w:r w:rsidR="00652355" w:rsidRPr="00652355">
              <w:rPr>
                <w:spacing w:val="-20"/>
              </w:rPr>
              <w:t xml:space="preserve"> = </w:t>
            </w:r>
            <w:r>
              <w:t>18</w:t>
            </w:r>
          </w:p>
          <w:p w:rsidR="00AF1A6C" w:rsidRDefault="00AF1A6C" w:rsidP="00385BBF">
            <w:pPr>
              <w:pStyle w:val="TableText0"/>
            </w:pPr>
            <w:r>
              <w:t>Male 61.1%</w:t>
            </w:r>
          </w:p>
          <w:p w:rsidR="00AF1A6C" w:rsidRDefault="00AF1A6C" w:rsidP="00385BBF">
            <w:pPr>
              <w:pStyle w:val="TableText0"/>
            </w:pPr>
            <w:r>
              <w:t xml:space="preserve">Race </w:t>
            </w:r>
            <w:r>
              <w:tab/>
              <w:t>White 38.9%</w:t>
            </w:r>
          </w:p>
          <w:p w:rsidR="00AF1A6C" w:rsidRDefault="00AF1A6C" w:rsidP="00385BBF">
            <w:pPr>
              <w:pStyle w:val="TableText0"/>
            </w:pPr>
            <w:r>
              <w:tab/>
              <w:t>Black 22.2%</w:t>
            </w:r>
          </w:p>
          <w:p w:rsidR="00AF1A6C" w:rsidRDefault="00AF1A6C" w:rsidP="00385BBF">
            <w:pPr>
              <w:pStyle w:val="TableText0"/>
            </w:pPr>
            <w:r>
              <w:tab/>
              <w:t>Hispanic 11.1%</w:t>
            </w:r>
          </w:p>
          <w:p w:rsidR="00AF1A6C" w:rsidRDefault="00AF1A6C" w:rsidP="00385BBF">
            <w:pPr>
              <w:pStyle w:val="TableText0"/>
            </w:pPr>
            <w:r>
              <w:tab/>
              <w:t>Asian 16.7%</w:t>
            </w:r>
          </w:p>
          <w:p w:rsidR="00AF1A6C" w:rsidRDefault="00AF1A6C" w:rsidP="00385BBF">
            <w:pPr>
              <w:pStyle w:val="TableText0"/>
            </w:pPr>
            <w:r>
              <w:t>Age</w:t>
            </w:r>
            <w:r>
              <w:rPr>
                <w:vertAlign w:val="superscript"/>
              </w:rPr>
              <w:t xml:space="preserve"> </w:t>
            </w:r>
            <w:r>
              <w:t>at first symptoms, months, mean (SD):1.6 (1.78); range: 0.0-5.5 months</w:t>
            </w:r>
          </w:p>
          <w:p w:rsidR="00AF1A6C" w:rsidRDefault="00AF1A6C" w:rsidP="00385BBF">
            <w:pPr>
              <w:pStyle w:val="TableText0"/>
            </w:pPr>
            <w:r>
              <w:t>Age at diagnosis, months, Mean (SD) 3.7 (2.17); range 0.2-6.8 months</w:t>
            </w:r>
          </w:p>
          <w:p w:rsidR="00AF1A6C" w:rsidRDefault="00AF1A6C" w:rsidP="00385BBF">
            <w:pPr>
              <w:pStyle w:val="TableText0"/>
            </w:pPr>
            <w:r>
              <w:t>Age at first infusion</w:t>
            </w:r>
            <w:r>
              <w:rPr>
                <w:vertAlign w:val="superscript"/>
              </w:rPr>
              <w:t>a</w:t>
            </w:r>
            <w:r>
              <w:t>, months, mean (SD): 4.6 (1.67); range 1.2-6.1 months</w:t>
            </w:r>
          </w:p>
          <w:p w:rsidR="00AF1A6C" w:rsidRDefault="00AF1A6C" w:rsidP="00385BBF">
            <w:pPr>
              <w:pStyle w:val="TableText0"/>
            </w:pPr>
            <w:r>
              <w:t>CRIM negative 3/18 (17%)</w:t>
            </w:r>
          </w:p>
          <w:p w:rsidR="00AF1A6C" w:rsidRDefault="00AF1A6C" w:rsidP="00385BBF">
            <w:pPr>
              <w:pStyle w:val="TableText0"/>
            </w:pPr>
            <w:r>
              <w:t>The proportion of patients receiving immunosuppressives was not reported</w:t>
            </w:r>
          </w:p>
          <w:p w:rsidR="00AF1A6C" w:rsidRPr="009824B5" w:rsidRDefault="00AF1A6C" w:rsidP="00385BBF">
            <w:pPr>
              <w:pStyle w:val="TableText0"/>
              <w:rPr>
                <w:vertAlign w:val="superscript"/>
              </w:rPr>
            </w:pPr>
            <w:r>
              <w:rPr>
                <w:u w:val="single"/>
              </w:rPr>
              <w:t>Historical control group</w:t>
            </w:r>
            <w:r>
              <w:rPr>
                <w:u w:val="single"/>
                <w:vertAlign w:val="superscript"/>
              </w:rPr>
              <w:t>b</w:t>
            </w:r>
          </w:p>
          <w:p w:rsidR="00AF1A6C" w:rsidRDefault="00AF1A6C" w:rsidP="00385BBF">
            <w:pPr>
              <w:pStyle w:val="TableText0"/>
            </w:pPr>
            <w:r>
              <w:lastRenderedPageBreak/>
              <w:t>N</w:t>
            </w:r>
            <w:r w:rsidR="00652355" w:rsidRPr="00652355">
              <w:rPr>
                <w:spacing w:val="-20"/>
              </w:rPr>
              <w:t xml:space="preserve"> = </w:t>
            </w:r>
            <w:r>
              <w:t>62</w:t>
            </w:r>
          </w:p>
          <w:p w:rsidR="00AF1A6C" w:rsidRDefault="00AF1A6C" w:rsidP="00385BBF">
            <w:pPr>
              <w:pStyle w:val="TableText0"/>
            </w:pPr>
            <w:r>
              <w:t>Male 45.2%</w:t>
            </w:r>
          </w:p>
          <w:p w:rsidR="00AF1A6C" w:rsidRDefault="00AF1A6C" w:rsidP="00385BBF">
            <w:pPr>
              <w:pStyle w:val="TableText0"/>
            </w:pPr>
            <w:r>
              <w:t>Race</w:t>
            </w:r>
            <w:r>
              <w:tab/>
              <w:t>White 50.0%</w:t>
            </w:r>
          </w:p>
          <w:p w:rsidR="00AF1A6C" w:rsidRDefault="00AF1A6C" w:rsidP="00385BBF">
            <w:pPr>
              <w:pStyle w:val="TableText0"/>
            </w:pPr>
            <w:r>
              <w:tab/>
              <w:t>Black 6.5%</w:t>
            </w:r>
          </w:p>
          <w:p w:rsidR="00AF1A6C" w:rsidRDefault="00AF1A6C" w:rsidP="00385BBF">
            <w:pPr>
              <w:pStyle w:val="TableText0"/>
            </w:pPr>
            <w:r>
              <w:tab/>
              <w:t>Hispanic 1.6%</w:t>
            </w:r>
          </w:p>
          <w:p w:rsidR="00AF1A6C" w:rsidRPr="00C34529" w:rsidRDefault="00AF1A6C" w:rsidP="00385BBF">
            <w:pPr>
              <w:pStyle w:val="TableText0"/>
            </w:pPr>
            <w:r>
              <w:tab/>
              <w:t>Asian 29.0%</w:t>
            </w:r>
          </w:p>
          <w:p w:rsidR="00AF1A6C" w:rsidRDefault="00AF1A6C" w:rsidP="00385BBF">
            <w:pPr>
              <w:pStyle w:val="TableText0"/>
            </w:pPr>
            <w:r>
              <w:t>Age at first symptoms, mean ± SD: 1.9 ± 1.79; range 0.0 to 5.9 months</w:t>
            </w:r>
          </w:p>
          <w:p w:rsidR="00AF1A6C" w:rsidRDefault="00AF1A6C" w:rsidP="00385BBF">
            <w:pPr>
              <w:pStyle w:val="TableText0"/>
            </w:pPr>
            <w:r>
              <w:t>Age at diagnosis</w:t>
            </w:r>
            <w:r>
              <w:rPr>
                <w:vertAlign w:val="superscript"/>
              </w:rPr>
              <w:t>c</w:t>
            </w:r>
            <w:r>
              <w:t>, mean ± SD: 3.6 ± 1.94; range -4.4 to 6.6 months</w:t>
            </w:r>
          </w:p>
          <w:p w:rsidR="00AF1A6C" w:rsidRDefault="00AF1A6C" w:rsidP="00385BBF">
            <w:pPr>
              <w:pStyle w:val="TableText0"/>
            </w:pPr>
            <w:r>
              <w:t>Age at death, median (95% CI): 7.5 (6.7-8.6); range 0.3 to 43.9 months</w:t>
            </w:r>
          </w:p>
          <w:p w:rsidR="00AF1A6C" w:rsidRPr="00B7451B" w:rsidRDefault="00AF1A6C" w:rsidP="00385BBF">
            <w:pPr>
              <w:pStyle w:val="TableText0"/>
            </w:pPr>
            <w:r>
              <w:t>CRIM status not reported</w:t>
            </w:r>
          </w:p>
        </w:tc>
        <w:tc>
          <w:tcPr>
            <w:tcW w:w="2794" w:type="dxa"/>
          </w:tcPr>
          <w:p w:rsidR="00AF1A6C" w:rsidRDefault="00AF1A6C" w:rsidP="00385BBF">
            <w:pPr>
              <w:pStyle w:val="TableText0"/>
              <w:rPr>
                <w:u w:val="single"/>
              </w:rPr>
            </w:pPr>
            <w:r w:rsidRPr="00240C71">
              <w:rPr>
                <w:u w:val="single"/>
              </w:rPr>
              <w:lastRenderedPageBreak/>
              <w:t>Inclusion</w:t>
            </w:r>
          </w:p>
          <w:p w:rsidR="00AF1A6C" w:rsidRPr="00C27BE3" w:rsidRDefault="00AF1A6C" w:rsidP="00385BBF">
            <w:pPr>
              <w:pStyle w:val="TableText0"/>
              <w:rPr>
                <w:i/>
              </w:rPr>
            </w:pPr>
            <w:r w:rsidRPr="00C27BE3">
              <w:rPr>
                <w:i/>
              </w:rPr>
              <w:t>Intervention group</w:t>
            </w:r>
          </w:p>
          <w:p w:rsidR="00AF1A6C" w:rsidRDefault="00AF1A6C" w:rsidP="00385BBF">
            <w:pPr>
              <w:pStyle w:val="TableText0"/>
            </w:pPr>
            <w:r>
              <w:t>Skin fibroblast GAA activity &lt;1% of normal mean</w:t>
            </w:r>
          </w:p>
          <w:p w:rsidR="00AF1A6C" w:rsidRDefault="00AF1A6C" w:rsidP="00385BBF">
            <w:pPr>
              <w:pStyle w:val="TableText0"/>
            </w:pPr>
            <w:r>
              <w:t>Hypertrophic cardiomyopathy (LVMI ≥65g/m</w:t>
            </w:r>
            <w:r>
              <w:rPr>
                <w:vertAlign w:val="superscript"/>
              </w:rPr>
              <w:t>2</w:t>
            </w:r>
            <w:r>
              <w:t>)</w:t>
            </w:r>
          </w:p>
          <w:p w:rsidR="00AF1A6C" w:rsidRDefault="00AF1A6C" w:rsidP="00385BBF">
            <w:pPr>
              <w:pStyle w:val="TableText0"/>
            </w:pPr>
            <w:r>
              <w:t>≤ 26 weeks of age</w:t>
            </w:r>
          </w:p>
          <w:p w:rsidR="00AF1A6C" w:rsidRDefault="00AF1A6C" w:rsidP="00385BBF">
            <w:pPr>
              <w:pStyle w:val="TableText0"/>
            </w:pPr>
            <w:r>
              <w:rPr>
                <w:i/>
              </w:rPr>
              <w:t>Historical control group</w:t>
            </w:r>
          </w:p>
          <w:p w:rsidR="00AF1A6C" w:rsidRDefault="00AF1A6C" w:rsidP="00385BBF">
            <w:pPr>
              <w:pStyle w:val="TableText0"/>
            </w:pPr>
            <w:r>
              <w:t xml:space="preserve">Untreated patients identified from retrospective chart review </w:t>
            </w:r>
            <w:r w:rsidR="00BD4A3A">
              <w:rPr>
                <w:noProof/>
              </w:rPr>
              <w:t>(</w:t>
            </w:r>
            <w:r w:rsidR="00184B6F">
              <w:rPr>
                <w:noProof/>
              </w:rPr>
              <w:t>Kishnani, PS, Hwu, et al. 2006</w:t>
            </w:r>
            <w:r w:rsidR="00BD4A3A">
              <w:rPr>
                <w:noProof/>
              </w:rPr>
              <w:t>)</w:t>
            </w:r>
          </w:p>
          <w:p w:rsidR="00AF1A6C" w:rsidRDefault="00AF1A6C" w:rsidP="00385BBF">
            <w:pPr>
              <w:pStyle w:val="TableText0"/>
            </w:pPr>
            <w:r>
              <w:t>Documented cardiomyopathy first identified ≤26 weeks of age</w:t>
            </w:r>
          </w:p>
          <w:p w:rsidR="00AF1A6C" w:rsidRDefault="00AF1A6C" w:rsidP="00385BBF">
            <w:pPr>
              <w:pStyle w:val="TableText0"/>
            </w:pPr>
            <w:r>
              <w:t>Confirmed diagnosis ≤26 weeks of age</w:t>
            </w:r>
          </w:p>
          <w:p w:rsidR="00AF1A6C" w:rsidRPr="00C27BE3" w:rsidRDefault="00AF1A6C" w:rsidP="00385BBF">
            <w:pPr>
              <w:pStyle w:val="TableText0"/>
            </w:pPr>
            <w:r>
              <w:t>First symptoms by ≤26 weeks of age</w:t>
            </w:r>
          </w:p>
          <w:p w:rsidR="00AF1A6C" w:rsidRDefault="00AF1A6C" w:rsidP="00385BBF">
            <w:pPr>
              <w:pStyle w:val="TableText0"/>
              <w:rPr>
                <w:u w:val="single"/>
              </w:rPr>
            </w:pPr>
            <w:r w:rsidRPr="00240C71">
              <w:rPr>
                <w:u w:val="single"/>
              </w:rPr>
              <w:t>Exclusion</w:t>
            </w:r>
          </w:p>
          <w:p w:rsidR="00AF1A6C" w:rsidRPr="00C27BE3" w:rsidRDefault="00AF1A6C" w:rsidP="00385BBF">
            <w:pPr>
              <w:pStyle w:val="TableText0"/>
              <w:rPr>
                <w:i/>
              </w:rPr>
            </w:pPr>
            <w:r w:rsidRPr="00C27BE3">
              <w:rPr>
                <w:i/>
              </w:rPr>
              <w:t>Intervention group</w:t>
            </w:r>
          </w:p>
          <w:p w:rsidR="00AF1A6C" w:rsidRDefault="00AF1A6C" w:rsidP="00385BBF">
            <w:pPr>
              <w:pStyle w:val="TableText0"/>
            </w:pPr>
            <w:r>
              <w:t>Respiratory insufficiency: O</w:t>
            </w:r>
            <w:r w:rsidRPr="00975ABE">
              <w:rPr>
                <w:vertAlign w:val="subscript"/>
              </w:rPr>
              <w:t>2</w:t>
            </w:r>
            <w:r w:rsidRPr="00E7427C">
              <w:t xml:space="preserve"> s</w:t>
            </w:r>
            <w:r>
              <w:t>a</w:t>
            </w:r>
            <w:r w:rsidRPr="00E7427C">
              <w:t>turation &lt;90% or CO</w:t>
            </w:r>
            <w:r w:rsidRPr="00975ABE">
              <w:rPr>
                <w:vertAlign w:val="subscript"/>
              </w:rPr>
              <w:t>2</w:t>
            </w:r>
            <w:r w:rsidRPr="00E7427C">
              <w:t xml:space="preserve"> partial pressure &gt;55mmHg (venous) or </w:t>
            </w:r>
            <w:r w:rsidRPr="00E7427C">
              <w:lastRenderedPageBreak/>
              <w:t>&gt;40mmHg (arterial) in room air</w:t>
            </w:r>
            <w:r>
              <w:t>, or any ventilator use.</w:t>
            </w:r>
          </w:p>
          <w:p w:rsidR="00AF1A6C" w:rsidRDefault="00AF1A6C" w:rsidP="00385BBF">
            <w:pPr>
              <w:pStyle w:val="TableText0"/>
            </w:pPr>
            <w:r>
              <w:t>Major congenital abnormality</w:t>
            </w:r>
          </w:p>
          <w:p w:rsidR="00AF1A6C" w:rsidRDefault="00AF1A6C" w:rsidP="00385BBF">
            <w:pPr>
              <w:pStyle w:val="TableText0"/>
            </w:pPr>
            <w:r>
              <w:t>Clinically significant intercurrent illness unrelated to Pompe disease</w:t>
            </w:r>
          </w:p>
          <w:p w:rsidR="00AF1A6C" w:rsidRDefault="00AF1A6C" w:rsidP="00385BBF">
            <w:pPr>
              <w:pStyle w:val="TableText0"/>
            </w:pPr>
            <w:r>
              <w:t>Any prior GAA treatment</w:t>
            </w:r>
          </w:p>
          <w:p w:rsidR="00AF1A6C" w:rsidRDefault="00AF1A6C" w:rsidP="00385BBF">
            <w:pPr>
              <w:pStyle w:val="TableText0"/>
              <w:rPr>
                <w:i/>
              </w:rPr>
            </w:pPr>
            <w:r>
              <w:rPr>
                <w:i/>
              </w:rPr>
              <w:t>Historical control group</w:t>
            </w:r>
          </w:p>
          <w:p w:rsidR="00AF1A6C" w:rsidRPr="00C27BE3" w:rsidRDefault="00AF1A6C" w:rsidP="00385BBF">
            <w:pPr>
              <w:pStyle w:val="TableText0"/>
            </w:pPr>
            <w:r w:rsidRPr="00C27BE3">
              <w:t>GAA activity level &gt;1% of the mean of the normal range</w:t>
            </w:r>
          </w:p>
          <w:p w:rsidR="00AF1A6C" w:rsidRDefault="00AF1A6C" w:rsidP="00385BBF">
            <w:pPr>
              <w:pStyle w:val="TableText0"/>
            </w:pPr>
            <w:r>
              <w:t>LVMI&lt;65g/m</w:t>
            </w:r>
            <w:r>
              <w:rPr>
                <w:vertAlign w:val="superscript"/>
              </w:rPr>
              <w:t>2</w:t>
            </w:r>
            <w:r>
              <w:t xml:space="preserve"> at the last visit prior to 26 weeks of age</w:t>
            </w:r>
          </w:p>
          <w:p w:rsidR="00AF1A6C" w:rsidRDefault="00AF1A6C" w:rsidP="00385BBF">
            <w:pPr>
              <w:pStyle w:val="TableText0"/>
            </w:pPr>
            <w:r>
              <w:t>Documented major congenital abnormality or clinically significant diseases</w:t>
            </w:r>
          </w:p>
          <w:p w:rsidR="00AF1A6C" w:rsidRPr="00240C71" w:rsidRDefault="00AF1A6C" w:rsidP="00385BBF">
            <w:pPr>
              <w:pStyle w:val="TableText0"/>
              <w:rPr>
                <w:u w:val="single"/>
              </w:rPr>
            </w:pPr>
            <w:r>
              <w:t>Any known ventilator use between 0 and 6 months of age, due to reasons other than procedure-related use</w:t>
            </w:r>
          </w:p>
        </w:tc>
        <w:tc>
          <w:tcPr>
            <w:tcW w:w="1685" w:type="dxa"/>
          </w:tcPr>
          <w:p w:rsidR="00AF1A6C" w:rsidRPr="00240C71" w:rsidRDefault="00AF1A6C" w:rsidP="00385BBF">
            <w:pPr>
              <w:pStyle w:val="TableText0"/>
              <w:rPr>
                <w:u w:val="single"/>
              </w:rPr>
            </w:pPr>
            <w:r w:rsidRPr="00240C71">
              <w:rPr>
                <w:u w:val="single"/>
              </w:rPr>
              <w:lastRenderedPageBreak/>
              <w:t>Intervention</w:t>
            </w:r>
          </w:p>
          <w:p w:rsidR="00AF1A6C" w:rsidRPr="00B7451B" w:rsidRDefault="00AF1A6C" w:rsidP="00385BBF">
            <w:pPr>
              <w:pStyle w:val="TableText0"/>
            </w:pPr>
            <w:r w:rsidRPr="00B7451B">
              <w:t>ITT n</w:t>
            </w:r>
            <w:r w:rsidR="00652355" w:rsidRPr="00652355">
              <w:rPr>
                <w:spacing w:val="-20"/>
              </w:rPr>
              <w:t xml:space="preserve"> = </w:t>
            </w:r>
            <w:r>
              <w:t xml:space="preserve">18 </w:t>
            </w:r>
          </w:p>
          <w:p w:rsidR="00AF1A6C" w:rsidRPr="00B7451B" w:rsidRDefault="00AF1A6C" w:rsidP="00385BBF">
            <w:pPr>
              <w:pStyle w:val="TableText0"/>
            </w:pPr>
            <w:r w:rsidRPr="00B7451B">
              <w:t>LTF</w:t>
            </w:r>
            <w:r w:rsidR="00652355" w:rsidRPr="00652355">
              <w:rPr>
                <w:spacing w:val="-20"/>
              </w:rPr>
              <w:t xml:space="preserve"> = </w:t>
            </w:r>
            <w:r>
              <w:t>0</w:t>
            </w:r>
          </w:p>
          <w:p w:rsidR="00AF1A6C" w:rsidRDefault="00AF1A6C" w:rsidP="00385BBF">
            <w:pPr>
              <w:pStyle w:val="TableText0"/>
            </w:pPr>
            <w:r>
              <w:t>Alglucosidase alfa (rhGAA)</w:t>
            </w:r>
          </w:p>
          <w:p w:rsidR="00AF1A6C" w:rsidRPr="00B7451B" w:rsidRDefault="00AF1A6C" w:rsidP="00385BBF">
            <w:pPr>
              <w:pStyle w:val="TableText0"/>
            </w:pPr>
            <w:r>
              <w:t xml:space="preserve">Randomly assigned to either </w:t>
            </w:r>
            <w:r w:rsidRPr="004733EC">
              <w:t>20mg/</w:t>
            </w:r>
            <w:proofErr w:type="gramStart"/>
            <w:r w:rsidRPr="004733EC">
              <w:t xml:space="preserve">kg </w:t>
            </w:r>
            <w:r w:rsidR="00FB0117">
              <w:t xml:space="preserve"> </w:t>
            </w:r>
            <w:r w:rsidRPr="004733EC">
              <w:t>(</w:t>
            </w:r>
            <w:proofErr w:type="gramEnd"/>
            <w:r w:rsidRPr="004733EC">
              <w:t>n</w:t>
            </w:r>
            <w:r w:rsidR="00652355" w:rsidRPr="00652355">
              <w:rPr>
                <w:spacing w:val="-20"/>
              </w:rPr>
              <w:t xml:space="preserve"> = </w:t>
            </w:r>
            <w:r w:rsidRPr="004733EC">
              <w:t>9)</w:t>
            </w:r>
            <w:r>
              <w:t xml:space="preserve"> or 40mg/kg (n</w:t>
            </w:r>
            <w:r w:rsidR="00652355" w:rsidRPr="00652355">
              <w:rPr>
                <w:spacing w:val="-20"/>
              </w:rPr>
              <w:t xml:space="preserve"> = </w:t>
            </w:r>
            <w:r>
              <w:t>9) every other week.</w:t>
            </w:r>
          </w:p>
          <w:p w:rsidR="00AF1A6C" w:rsidRDefault="00AF1A6C" w:rsidP="00385BBF">
            <w:pPr>
              <w:pStyle w:val="TableText0"/>
              <w:rPr>
                <w:u w:val="single"/>
              </w:rPr>
            </w:pPr>
            <w:r w:rsidRPr="00240C71">
              <w:rPr>
                <w:u w:val="single"/>
              </w:rPr>
              <w:t>Comparator</w:t>
            </w:r>
          </w:p>
          <w:p w:rsidR="00AF1A6C" w:rsidRPr="00B7451B" w:rsidRDefault="00AF1A6C" w:rsidP="00385BBF">
            <w:pPr>
              <w:pStyle w:val="TableText0"/>
            </w:pPr>
            <w:r w:rsidRPr="00B7451B">
              <w:t>ITT n</w:t>
            </w:r>
            <w:r w:rsidR="00652355" w:rsidRPr="00652355">
              <w:rPr>
                <w:spacing w:val="-20"/>
              </w:rPr>
              <w:t xml:space="preserve"> = </w:t>
            </w:r>
            <w:r>
              <w:t>62</w:t>
            </w:r>
          </w:p>
          <w:p w:rsidR="00AF1A6C" w:rsidRDefault="00AF1A6C" w:rsidP="00385BBF">
            <w:pPr>
              <w:pStyle w:val="TableText0"/>
            </w:pPr>
            <w:r w:rsidRPr="00B7451B">
              <w:t>LTF</w:t>
            </w:r>
            <w:r w:rsidR="00652355" w:rsidRPr="00652355">
              <w:rPr>
                <w:spacing w:val="-20"/>
              </w:rPr>
              <w:t xml:space="preserve"> = </w:t>
            </w:r>
            <w:r>
              <w:t>1 (date of death not recorded)</w:t>
            </w:r>
          </w:p>
          <w:p w:rsidR="00AF1A6C" w:rsidRPr="00B7451B" w:rsidRDefault="00AF1A6C" w:rsidP="00385BBF">
            <w:pPr>
              <w:pStyle w:val="TableText0"/>
            </w:pPr>
            <w:r>
              <w:t xml:space="preserve">Analysis set </w:t>
            </w:r>
            <w:r w:rsidR="00652355" w:rsidRPr="00652355">
              <w:rPr>
                <w:spacing w:val="-20"/>
              </w:rPr>
              <w:t xml:space="preserve"> = </w:t>
            </w:r>
            <w:r>
              <w:t xml:space="preserve"> 61</w:t>
            </w:r>
          </w:p>
          <w:p w:rsidR="00AF1A6C" w:rsidRPr="00B7451B" w:rsidRDefault="00AF1A6C" w:rsidP="00385BBF">
            <w:pPr>
              <w:pStyle w:val="TableText0"/>
            </w:pPr>
            <w:r>
              <w:t>Standard care</w:t>
            </w:r>
          </w:p>
          <w:p w:rsidR="00AF1A6C" w:rsidRPr="00240C71" w:rsidRDefault="00AF1A6C" w:rsidP="00385BBF">
            <w:pPr>
              <w:pStyle w:val="TableText0"/>
              <w:rPr>
                <w:u w:val="single"/>
              </w:rPr>
            </w:pPr>
          </w:p>
        </w:tc>
        <w:tc>
          <w:tcPr>
            <w:tcW w:w="1762" w:type="dxa"/>
            <w:tcBorders>
              <w:right w:val="single" w:sz="4" w:space="0" w:color="auto"/>
            </w:tcBorders>
          </w:tcPr>
          <w:p w:rsidR="00AF1A6C" w:rsidRPr="00F46B71" w:rsidRDefault="00AF1A6C" w:rsidP="00385BBF">
            <w:pPr>
              <w:pStyle w:val="TableText0"/>
              <w:rPr>
                <w:u w:val="single"/>
              </w:rPr>
            </w:pPr>
            <w:r>
              <w:rPr>
                <w:u w:val="single"/>
              </w:rPr>
              <w:t>Comparison with historical cohort</w:t>
            </w:r>
          </w:p>
          <w:p w:rsidR="00AF1A6C" w:rsidRDefault="00AF1A6C" w:rsidP="00385BBF">
            <w:pPr>
              <w:pStyle w:val="TableText0"/>
            </w:pPr>
            <w:r>
              <w:t xml:space="preserve">Survival at 18 months of age </w:t>
            </w:r>
          </w:p>
          <w:p w:rsidR="00AF1A6C" w:rsidRDefault="00AF1A6C" w:rsidP="00385BBF">
            <w:pPr>
              <w:pStyle w:val="TableText0"/>
            </w:pPr>
            <w:r>
              <w:t>Invasive ventilator-free survival at 18 months of age</w:t>
            </w:r>
          </w:p>
          <w:p w:rsidR="00AF1A6C" w:rsidRDefault="00AF1A6C" w:rsidP="00385BBF">
            <w:pPr>
              <w:pStyle w:val="TableText0"/>
            </w:pPr>
            <w:r>
              <w:t>Ventilator-free survival at 18 months of age</w:t>
            </w:r>
          </w:p>
          <w:p w:rsidR="00AF1A6C" w:rsidRPr="005246EC" w:rsidRDefault="00AF1A6C" w:rsidP="00385BBF">
            <w:pPr>
              <w:pStyle w:val="TableText0"/>
              <w:rPr>
                <w:vertAlign w:val="superscript"/>
              </w:rPr>
            </w:pPr>
            <w:r>
              <w:t>Analyses: Kaplan-Meier proportion and Cox proportional hazards analysis</w:t>
            </w:r>
            <w:r>
              <w:rPr>
                <w:vertAlign w:val="superscript"/>
              </w:rPr>
              <w:t>d</w:t>
            </w:r>
          </w:p>
          <w:p w:rsidR="00AF1A6C" w:rsidRPr="00B46B32" w:rsidRDefault="00AF1A6C" w:rsidP="00385BBF">
            <w:pPr>
              <w:pStyle w:val="TableText0"/>
            </w:pPr>
            <w:r>
              <w:rPr>
                <w:u w:val="single"/>
              </w:rPr>
              <w:t>Change from baseline</w:t>
            </w:r>
          </w:p>
          <w:p w:rsidR="00AF1A6C" w:rsidRDefault="00AF1A6C" w:rsidP="00385BBF">
            <w:pPr>
              <w:pStyle w:val="TableText0"/>
            </w:pPr>
            <w:r>
              <w:t>Cardiac response: left ventricular mass index, ejection fraction</w:t>
            </w:r>
          </w:p>
          <w:p w:rsidR="00AF1A6C" w:rsidRDefault="00AF1A6C" w:rsidP="00385BBF">
            <w:pPr>
              <w:pStyle w:val="TableText0"/>
            </w:pPr>
            <w:r>
              <w:t>Physical growth</w:t>
            </w:r>
          </w:p>
          <w:p w:rsidR="00AF1A6C" w:rsidRDefault="00AF1A6C" w:rsidP="00385BBF">
            <w:pPr>
              <w:pStyle w:val="TableText0"/>
            </w:pPr>
            <w:r>
              <w:t xml:space="preserve">Motor development: </w:t>
            </w:r>
            <w:r>
              <w:lastRenderedPageBreak/>
              <w:t>AIMS, Pompe PEDI</w:t>
            </w:r>
          </w:p>
          <w:p w:rsidR="00AF1A6C" w:rsidRDefault="00AF1A6C" w:rsidP="00385BBF">
            <w:pPr>
              <w:pStyle w:val="TableText0"/>
            </w:pPr>
            <w:r>
              <w:t>Cognitive function (modified Bayly Scales of Infant Development, second edition (BSID-II)</w:t>
            </w:r>
          </w:p>
          <w:p w:rsidR="00AF1A6C" w:rsidRDefault="00AF1A6C" w:rsidP="00385BBF">
            <w:pPr>
              <w:pStyle w:val="TableText0"/>
            </w:pPr>
            <w:r>
              <w:t>Muscle GAA activity and glycogen content</w:t>
            </w:r>
          </w:p>
          <w:p w:rsidR="00AF1A6C" w:rsidRDefault="00AF1A6C" w:rsidP="00385BBF">
            <w:pPr>
              <w:pStyle w:val="TableText0"/>
            </w:pPr>
            <w:r>
              <w:rPr>
                <w:u w:val="single"/>
              </w:rPr>
              <w:t>Safety</w:t>
            </w:r>
          </w:p>
          <w:p w:rsidR="00AF1A6C" w:rsidRDefault="00AF1A6C" w:rsidP="00385BBF">
            <w:pPr>
              <w:pStyle w:val="TableText0"/>
            </w:pPr>
            <w:r>
              <w:t>AEs</w:t>
            </w:r>
          </w:p>
          <w:p w:rsidR="00AF1A6C" w:rsidRDefault="00AF1A6C" w:rsidP="00385BBF">
            <w:pPr>
              <w:pStyle w:val="TableText0"/>
            </w:pPr>
            <w:r>
              <w:t>Infusion-associated reactions</w:t>
            </w:r>
          </w:p>
          <w:p w:rsidR="00AF1A6C" w:rsidRDefault="00AF1A6C" w:rsidP="00385BBF">
            <w:pPr>
              <w:pStyle w:val="TableText0"/>
            </w:pPr>
            <w:r>
              <w:t>Vital signs</w:t>
            </w:r>
          </w:p>
          <w:p w:rsidR="00AF1A6C" w:rsidRDefault="00AF1A6C" w:rsidP="00385BBF">
            <w:pPr>
              <w:pStyle w:val="TableText0"/>
            </w:pPr>
            <w:r>
              <w:t>Development of anti-rhGAA IgG antibodies</w:t>
            </w:r>
          </w:p>
        </w:tc>
        <w:tc>
          <w:tcPr>
            <w:tcW w:w="1176" w:type="dxa"/>
            <w:tcBorders>
              <w:left w:val="single" w:sz="4" w:space="0" w:color="auto"/>
            </w:tcBorders>
          </w:tcPr>
          <w:p w:rsidR="00AF1A6C" w:rsidRPr="00AF1D7D" w:rsidRDefault="00AF1A6C" w:rsidP="00385BBF">
            <w:pPr>
              <w:pStyle w:val="TableText0"/>
              <w:rPr>
                <w:u w:val="single"/>
              </w:rPr>
            </w:pPr>
            <w:r w:rsidRPr="00AF1D7D">
              <w:rPr>
                <w:u w:val="single"/>
              </w:rPr>
              <w:lastRenderedPageBreak/>
              <w:t>Intervention group</w:t>
            </w:r>
          </w:p>
          <w:p w:rsidR="00AF1A6C" w:rsidRDefault="00AF1A6C" w:rsidP="00385BBF">
            <w:pPr>
              <w:pStyle w:val="TableText0"/>
            </w:pPr>
            <w:r>
              <w:t>Efficacy outcomes: up to 18 months of age (3 patients did not reach were only aged 14.4, 15.9 and 17.9 at the end of the study)</w:t>
            </w:r>
          </w:p>
          <w:p w:rsidR="00AF1A6C" w:rsidRDefault="00AF1A6C" w:rsidP="00385BBF">
            <w:pPr>
              <w:pStyle w:val="TableText0"/>
            </w:pPr>
            <w:r>
              <w:t>Safety data were analysed for the duration of treatment (range 52-106 weeks)</w:t>
            </w:r>
          </w:p>
          <w:p w:rsidR="00AF1A6C" w:rsidRDefault="00AF1A6C" w:rsidP="00385BBF">
            <w:pPr>
              <w:pStyle w:val="TableText0"/>
            </w:pPr>
            <w:r>
              <w:rPr>
                <w:u w:val="single"/>
              </w:rPr>
              <w:t xml:space="preserve">Control </w:t>
            </w:r>
            <w:r>
              <w:rPr>
                <w:u w:val="single"/>
              </w:rPr>
              <w:lastRenderedPageBreak/>
              <w:t>group</w:t>
            </w:r>
          </w:p>
          <w:p w:rsidR="00AF1A6C" w:rsidRPr="00415699" w:rsidRDefault="00AF1A6C" w:rsidP="00385BBF">
            <w:pPr>
              <w:pStyle w:val="TableText0"/>
            </w:pPr>
            <w:r>
              <w:t>Median age at death: 7.5 months, range 0.3 to 43.9 months</w:t>
            </w:r>
          </w:p>
        </w:tc>
        <w:tc>
          <w:tcPr>
            <w:tcW w:w="1490" w:type="dxa"/>
          </w:tcPr>
          <w:p w:rsidR="00AF1A6C" w:rsidRDefault="00AF1A6C" w:rsidP="00385BBF">
            <w:pPr>
              <w:pStyle w:val="TableText0"/>
            </w:pPr>
            <w:r>
              <w:lastRenderedPageBreak/>
              <w:t xml:space="preserve">Patients diagnosed at 6 months of age and younger, with severe GAA deficiency and rapidly progressing infantile-onset Pompe disease </w:t>
            </w:r>
          </w:p>
          <w:p w:rsidR="00AF1A6C" w:rsidRPr="00B7451B" w:rsidRDefault="00AF1A6C" w:rsidP="00385BBF">
            <w:pPr>
              <w:pStyle w:val="TableText0"/>
            </w:pPr>
            <w:r>
              <w:t>No ventilator use at initiation of treatment</w:t>
            </w:r>
          </w:p>
        </w:tc>
      </w:tr>
      <w:tr w:rsidR="00AF1A6C" w:rsidRPr="00F1301E" w:rsidTr="006D652A">
        <w:tc>
          <w:tcPr>
            <w:tcW w:w="1242" w:type="dxa"/>
          </w:tcPr>
          <w:p w:rsidR="00AF1A6C" w:rsidRDefault="00510D02" w:rsidP="00385BBF">
            <w:pPr>
              <w:pStyle w:val="TableText0"/>
            </w:pPr>
            <w:r>
              <w:rPr>
                <w:noProof/>
              </w:rPr>
              <w:lastRenderedPageBreak/>
              <w:t>(</w:t>
            </w:r>
            <w:r w:rsidR="00184B6F">
              <w:rPr>
                <w:noProof/>
              </w:rPr>
              <w:t>Kishnani, P S et al. 2009</w:t>
            </w:r>
            <w:r>
              <w:rPr>
                <w:noProof/>
              </w:rPr>
              <w:t>)</w:t>
            </w:r>
          </w:p>
          <w:p w:rsidR="00AF1A6C" w:rsidRDefault="00AF1A6C" w:rsidP="00385BBF">
            <w:pPr>
              <w:pStyle w:val="TableText0"/>
            </w:pPr>
            <w:r>
              <w:t>Extension study of Kishnani 2007</w:t>
            </w:r>
          </w:p>
          <w:p w:rsidR="00AF1A6C" w:rsidRDefault="00AF1A6C" w:rsidP="00385BBF">
            <w:pPr>
              <w:pStyle w:val="TableText0"/>
            </w:pPr>
          </w:p>
        </w:tc>
        <w:tc>
          <w:tcPr>
            <w:tcW w:w="1418" w:type="dxa"/>
          </w:tcPr>
          <w:p w:rsidR="00AF1A6C" w:rsidRPr="00B46B32" w:rsidRDefault="00AF1A6C" w:rsidP="00385BBF">
            <w:pPr>
              <w:pStyle w:val="TableText0"/>
            </w:pPr>
            <w:r>
              <w:t>Historical control</w:t>
            </w:r>
          </w:p>
          <w:p w:rsidR="00AF1A6C" w:rsidRDefault="00AF1A6C" w:rsidP="00385BBF">
            <w:pPr>
              <w:pStyle w:val="TableText0"/>
            </w:pPr>
            <w:r w:rsidRPr="00B46B32">
              <w:t>Level I</w:t>
            </w:r>
            <w:r>
              <w:t>II-3</w:t>
            </w:r>
          </w:p>
          <w:p w:rsidR="00AF1A6C" w:rsidRDefault="00AF1A6C" w:rsidP="00385BBF">
            <w:pPr>
              <w:pStyle w:val="TableText0"/>
            </w:pPr>
            <w:r>
              <w:t>Quality: + (SIGN)</w:t>
            </w:r>
          </w:p>
        </w:tc>
        <w:tc>
          <w:tcPr>
            <w:tcW w:w="2693" w:type="dxa"/>
          </w:tcPr>
          <w:p w:rsidR="00AF1A6C" w:rsidRDefault="00AF1A6C" w:rsidP="00385BBF">
            <w:pPr>
              <w:pStyle w:val="TableText0"/>
            </w:pPr>
            <w:r>
              <w:t>As for Kishnani et al (2007)</w:t>
            </w:r>
          </w:p>
        </w:tc>
        <w:tc>
          <w:tcPr>
            <w:tcW w:w="2794" w:type="dxa"/>
          </w:tcPr>
          <w:p w:rsidR="00AF1A6C" w:rsidRPr="00240C71" w:rsidRDefault="00AF1A6C" w:rsidP="00385BBF">
            <w:pPr>
              <w:pStyle w:val="TableText0"/>
              <w:rPr>
                <w:u w:val="single"/>
              </w:rPr>
            </w:pPr>
            <w:r>
              <w:t>As for Kishnani et al (2007)</w:t>
            </w:r>
          </w:p>
        </w:tc>
        <w:tc>
          <w:tcPr>
            <w:tcW w:w="1685" w:type="dxa"/>
          </w:tcPr>
          <w:p w:rsidR="00AF1A6C" w:rsidRPr="00240C71" w:rsidRDefault="00AF1A6C" w:rsidP="00385BBF">
            <w:pPr>
              <w:pStyle w:val="TableText0"/>
              <w:rPr>
                <w:u w:val="single"/>
              </w:rPr>
            </w:pPr>
            <w:r w:rsidRPr="00240C71">
              <w:rPr>
                <w:u w:val="single"/>
              </w:rPr>
              <w:t>Intervention</w:t>
            </w:r>
          </w:p>
          <w:p w:rsidR="00AF1A6C" w:rsidRPr="00B7451B" w:rsidRDefault="00AF1A6C" w:rsidP="00385BBF">
            <w:pPr>
              <w:pStyle w:val="TableText0"/>
            </w:pPr>
            <w:r w:rsidRPr="00B7451B">
              <w:t>ITT n</w:t>
            </w:r>
            <w:r w:rsidR="00652355" w:rsidRPr="00652355">
              <w:rPr>
                <w:spacing w:val="-20"/>
              </w:rPr>
              <w:t xml:space="preserve"> = </w:t>
            </w:r>
            <w:r>
              <w:t>18</w:t>
            </w:r>
          </w:p>
          <w:p w:rsidR="00AF1A6C" w:rsidRPr="00B7451B" w:rsidRDefault="00AF1A6C" w:rsidP="00385BBF">
            <w:pPr>
              <w:pStyle w:val="TableText0"/>
            </w:pPr>
            <w:r w:rsidRPr="00FF5886">
              <w:t>LTF</w:t>
            </w:r>
            <w:r w:rsidR="00652355" w:rsidRPr="00652355">
              <w:rPr>
                <w:spacing w:val="-20"/>
              </w:rPr>
              <w:t xml:space="preserve"> = </w:t>
            </w:r>
            <w:r>
              <w:t>0</w:t>
            </w:r>
          </w:p>
          <w:p w:rsidR="00AF1A6C" w:rsidRDefault="00AF1A6C" w:rsidP="00385BBF">
            <w:pPr>
              <w:pStyle w:val="TableText0"/>
            </w:pPr>
            <w:r>
              <w:t>Alglucosidase alpha at dose to which they were initially assigned.</w:t>
            </w:r>
          </w:p>
          <w:p w:rsidR="00AF1A6C" w:rsidRDefault="00AF1A6C" w:rsidP="00385BBF">
            <w:pPr>
              <w:pStyle w:val="TableText0"/>
              <w:rPr>
                <w:u w:val="single"/>
              </w:rPr>
            </w:pPr>
            <w:r w:rsidRPr="00240C71">
              <w:rPr>
                <w:u w:val="single"/>
              </w:rPr>
              <w:t>Comparator</w:t>
            </w:r>
          </w:p>
          <w:p w:rsidR="00AF1A6C" w:rsidRPr="00B7451B" w:rsidRDefault="00AF1A6C" w:rsidP="00385BBF">
            <w:pPr>
              <w:pStyle w:val="TableText0"/>
            </w:pPr>
            <w:r w:rsidRPr="00B7451B">
              <w:lastRenderedPageBreak/>
              <w:t>ITT n</w:t>
            </w:r>
            <w:r w:rsidR="00652355" w:rsidRPr="00652355">
              <w:rPr>
                <w:spacing w:val="-20"/>
              </w:rPr>
              <w:t xml:space="preserve"> = </w:t>
            </w:r>
            <w:r>
              <w:t>62</w:t>
            </w:r>
          </w:p>
          <w:p w:rsidR="00AF1A6C" w:rsidRDefault="00AF1A6C" w:rsidP="00385BBF">
            <w:pPr>
              <w:pStyle w:val="TableText0"/>
            </w:pPr>
            <w:r w:rsidRPr="00B7451B">
              <w:t>LTF</w:t>
            </w:r>
            <w:r w:rsidR="00652355" w:rsidRPr="00652355">
              <w:rPr>
                <w:spacing w:val="-20"/>
              </w:rPr>
              <w:t xml:space="preserve"> = </w:t>
            </w:r>
            <w:r>
              <w:t>1</w:t>
            </w:r>
            <w:r>
              <w:rPr>
                <w:vertAlign w:val="superscript"/>
              </w:rPr>
              <w:t xml:space="preserve"> </w:t>
            </w:r>
            <w:r>
              <w:t>(date of death not recorded)</w:t>
            </w:r>
          </w:p>
          <w:p w:rsidR="00AF1A6C" w:rsidRPr="00B7451B" w:rsidRDefault="00AF1A6C" w:rsidP="00385BBF">
            <w:pPr>
              <w:pStyle w:val="TableText0"/>
            </w:pPr>
            <w:r>
              <w:t xml:space="preserve">Analysis set </w:t>
            </w:r>
            <w:r w:rsidR="00652355" w:rsidRPr="00652355">
              <w:rPr>
                <w:spacing w:val="-20"/>
              </w:rPr>
              <w:t xml:space="preserve"> = </w:t>
            </w:r>
            <w:r>
              <w:t xml:space="preserve"> 61</w:t>
            </w:r>
          </w:p>
          <w:p w:rsidR="00AF1A6C" w:rsidRPr="00B46B32" w:rsidRDefault="00AF1A6C" w:rsidP="00385BBF">
            <w:pPr>
              <w:pStyle w:val="TableText0"/>
            </w:pPr>
            <w:r>
              <w:t>Standard care</w:t>
            </w:r>
          </w:p>
        </w:tc>
        <w:tc>
          <w:tcPr>
            <w:tcW w:w="1762" w:type="dxa"/>
            <w:tcBorders>
              <w:right w:val="single" w:sz="4" w:space="0" w:color="auto"/>
            </w:tcBorders>
          </w:tcPr>
          <w:p w:rsidR="00AF1A6C" w:rsidRPr="00F46B71" w:rsidRDefault="00AF1A6C" w:rsidP="00385BBF">
            <w:pPr>
              <w:pStyle w:val="TableText0"/>
              <w:rPr>
                <w:u w:val="single"/>
              </w:rPr>
            </w:pPr>
            <w:r>
              <w:rPr>
                <w:u w:val="single"/>
              </w:rPr>
              <w:lastRenderedPageBreak/>
              <w:t>Comparison with historical cohort</w:t>
            </w:r>
          </w:p>
          <w:p w:rsidR="00AF1A6C" w:rsidRDefault="00AF1A6C" w:rsidP="00385BBF">
            <w:pPr>
              <w:pStyle w:val="TableText0"/>
            </w:pPr>
            <w:r>
              <w:t>Survival at 24 and 36 months of age</w:t>
            </w:r>
          </w:p>
          <w:p w:rsidR="00AF1A6C" w:rsidRDefault="00AF1A6C" w:rsidP="00385BBF">
            <w:pPr>
              <w:pStyle w:val="TableText0"/>
            </w:pPr>
            <w:r>
              <w:t>Invasive ventilator-free survival at 24 and 36 months of age</w:t>
            </w:r>
          </w:p>
          <w:p w:rsidR="00AF1A6C" w:rsidRDefault="00AF1A6C" w:rsidP="00385BBF">
            <w:pPr>
              <w:pStyle w:val="TableText0"/>
            </w:pPr>
            <w:r>
              <w:lastRenderedPageBreak/>
              <w:t>Ventilator-free survival at 24 and 36 months of age</w:t>
            </w:r>
          </w:p>
          <w:p w:rsidR="00AF1A6C" w:rsidRPr="005246EC" w:rsidRDefault="00AF1A6C" w:rsidP="00385BBF">
            <w:pPr>
              <w:pStyle w:val="TableText0"/>
              <w:rPr>
                <w:vertAlign w:val="superscript"/>
              </w:rPr>
            </w:pPr>
            <w:r>
              <w:t>Analyses: Kaplan-Meier proportion and Cox proportional hazards analysis</w:t>
            </w:r>
            <w:r>
              <w:rPr>
                <w:vertAlign w:val="superscript"/>
              </w:rPr>
              <w:t>d</w:t>
            </w:r>
          </w:p>
        </w:tc>
        <w:tc>
          <w:tcPr>
            <w:tcW w:w="1176" w:type="dxa"/>
            <w:tcBorders>
              <w:left w:val="single" w:sz="4" w:space="0" w:color="auto"/>
            </w:tcBorders>
          </w:tcPr>
          <w:p w:rsidR="00AF1A6C" w:rsidRPr="00A62F71" w:rsidRDefault="00AF1A6C" w:rsidP="00385BBF">
            <w:pPr>
              <w:pStyle w:val="TableText0"/>
              <w:rPr>
                <w:u w:val="single"/>
              </w:rPr>
            </w:pPr>
            <w:r>
              <w:rPr>
                <w:u w:val="single"/>
              </w:rPr>
              <w:lastRenderedPageBreak/>
              <w:t>Intervention group</w:t>
            </w:r>
          </w:p>
          <w:p w:rsidR="00AF1A6C" w:rsidRPr="00B02E2B" w:rsidRDefault="00AF1A6C" w:rsidP="00385BBF">
            <w:pPr>
              <w:pStyle w:val="TableText0"/>
              <w:rPr>
                <w:vertAlign w:val="superscript"/>
              </w:rPr>
            </w:pPr>
            <w:r>
              <w:t>Median duration of treatment: 121 weeks</w:t>
            </w:r>
            <w:r>
              <w:rPr>
                <w:vertAlign w:val="superscript"/>
              </w:rPr>
              <w:t>e</w:t>
            </w:r>
          </w:p>
          <w:p w:rsidR="00AF1A6C" w:rsidRDefault="00AF1A6C" w:rsidP="00385BBF">
            <w:pPr>
              <w:pStyle w:val="TableText0"/>
            </w:pPr>
            <w:r>
              <w:t>Range: 60-150 weeks</w:t>
            </w:r>
          </w:p>
          <w:p w:rsidR="00AF1A6C" w:rsidRDefault="00AF1A6C" w:rsidP="00385BBF">
            <w:pPr>
              <w:pStyle w:val="TableText0"/>
            </w:pPr>
            <w:r>
              <w:rPr>
                <w:u w:val="single"/>
              </w:rPr>
              <w:lastRenderedPageBreak/>
              <w:t>Control group</w:t>
            </w:r>
          </w:p>
          <w:p w:rsidR="00AF1A6C" w:rsidRDefault="00AF1A6C" w:rsidP="00385BBF">
            <w:pPr>
              <w:pStyle w:val="TableText0"/>
            </w:pPr>
            <w:r>
              <w:t>Median age at death: 7.5 months, range 0.3 to 43.9 months</w:t>
            </w:r>
          </w:p>
        </w:tc>
        <w:tc>
          <w:tcPr>
            <w:tcW w:w="1490" w:type="dxa"/>
          </w:tcPr>
          <w:p w:rsidR="00AF1A6C" w:rsidRPr="00B7451B" w:rsidRDefault="00AF1A6C" w:rsidP="00385BBF">
            <w:pPr>
              <w:pStyle w:val="TableText0"/>
            </w:pPr>
            <w:r>
              <w:lastRenderedPageBreak/>
              <w:t>Extension study of Kishnani et al (2007)</w:t>
            </w:r>
          </w:p>
        </w:tc>
      </w:tr>
      <w:tr w:rsidR="00AF1A6C" w:rsidRPr="00F1301E" w:rsidTr="006D652A">
        <w:tc>
          <w:tcPr>
            <w:tcW w:w="1242" w:type="dxa"/>
          </w:tcPr>
          <w:p w:rsidR="00AF1A6C" w:rsidRDefault="00510D02" w:rsidP="00385BBF">
            <w:pPr>
              <w:pStyle w:val="TableText0"/>
            </w:pPr>
            <w:r>
              <w:rPr>
                <w:noProof/>
              </w:rPr>
              <w:lastRenderedPageBreak/>
              <w:t>(</w:t>
            </w:r>
            <w:r w:rsidR="00184B6F">
              <w:rPr>
                <w:noProof/>
              </w:rPr>
              <w:t>Nicolino, M et al. 2009</w:t>
            </w:r>
            <w:r>
              <w:rPr>
                <w:noProof/>
              </w:rPr>
              <w:t>)</w:t>
            </w:r>
          </w:p>
          <w:p w:rsidR="00AF1A6C" w:rsidRDefault="00AF1A6C" w:rsidP="00385BBF">
            <w:pPr>
              <w:pStyle w:val="TableText0"/>
            </w:pPr>
            <w:r>
              <w:t>US, Europe, Israel</w:t>
            </w:r>
          </w:p>
        </w:tc>
        <w:tc>
          <w:tcPr>
            <w:tcW w:w="1418" w:type="dxa"/>
          </w:tcPr>
          <w:p w:rsidR="00AF1A6C" w:rsidRDefault="00AF1A6C" w:rsidP="00385BBF">
            <w:pPr>
              <w:pStyle w:val="TableText0"/>
            </w:pPr>
            <w:r>
              <w:t>Historical control</w:t>
            </w:r>
          </w:p>
          <w:p w:rsidR="00AF1A6C" w:rsidRDefault="00AF1A6C" w:rsidP="00385BBF">
            <w:pPr>
              <w:pStyle w:val="TableText0"/>
            </w:pPr>
            <w:r>
              <w:t>Level III-3</w:t>
            </w:r>
          </w:p>
          <w:p w:rsidR="00AF1A6C" w:rsidRDefault="00AF1A6C" w:rsidP="00385BBF">
            <w:pPr>
              <w:pStyle w:val="TableText0"/>
            </w:pPr>
            <w:r>
              <w:t>Quality: + (SIGN)</w:t>
            </w:r>
          </w:p>
        </w:tc>
        <w:tc>
          <w:tcPr>
            <w:tcW w:w="2693" w:type="dxa"/>
          </w:tcPr>
          <w:p w:rsidR="00AF1A6C" w:rsidRDefault="00AF1A6C" w:rsidP="00385BBF">
            <w:pPr>
              <w:pStyle w:val="TableText0"/>
            </w:pPr>
            <w:r>
              <w:rPr>
                <w:u w:val="single"/>
              </w:rPr>
              <w:t>Study population</w:t>
            </w:r>
          </w:p>
          <w:p w:rsidR="00AF1A6C" w:rsidRPr="006F4E12" w:rsidRDefault="00AF1A6C" w:rsidP="00385BBF">
            <w:pPr>
              <w:pStyle w:val="TableText0"/>
            </w:pPr>
            <w:r>
              <w:t>N</w:t>
            </w:r>
            <w:r w:rsidR="00652355" w:rsidRPr="00652355">
              <w:rPr>
                <w:spacing w:val="-20"/>
              </w:rPr>
              <w:t xml:space="preserve"> = </w:t>
            </w:r>
            <w:r>
              <w:t>21</w:t>
            </w:r>
          </w:p>
          <w:p w:rsidR="00AF1A6C" w:rsidRDefault="00AF1A6C" w:rsidP="00385BBF">
            <w:pPr>
              <w:pStyle w:val="TableText0"/>
            </w:pPr>
            <w:r>
              <w:t>Male 48%</w:t>
            </w:r>
          </w:p>
          <w:p w:rsidR="00AF1A6C" w:rsidRDefault="00AF1A6C" w:rsidP="00385BBF">
            <w:pPr>
              <w:pStyle w:val="TableText0"/>
            </w:pPr>
            <w:r>
              <w:t>Race</w:t>
            </w:r>
            <w:r>
              <w:tab/>
              <w:t>White 71%</w:t>
            </w:r>
          </w:p>
          <w:p w:rsidR="00AF1A6C" w:rsidRDefault="00AF1A6C" w:rsidP="00385BBF">
            <w:pPr>
              <w:pStyle w:val="TableText0"/>
            </w:pPr>
            <w:r>
              <w:tab/>
              <w:t>Black 10%</w:t>
            </w:r>
          </w:p>
          <w:p w:rsidR="00AF1A6C" w:rsidRDefault="00AF1A6C" w:rsidP="00385BBF">
            <w:pPr>
              <w:pStyle w:val="TableText0"/>
            </w:pPr>
            <w:r>
              <w:tab/>
              <w:t>Asian 14%</w:t>
            </w:r>
          </w:p>
          <w:p w:rsidR="00AF1A6C" w:rsidRDefault="00AF1A6C" w:rsidP="00385BBF">
            <w:pPr>
              <w:pStyle w:val="TableText0"/>
            </w:pPr>
            <w:r>
              <w:t>Age at first symptoms</w:t>
            </w:r>
            <w:r>
              <w:rPr>
                <w:vertAlign w:val="superscript"/>
              </w:rPr>
              <w:t>b</w:t>
            </w:r>
            <w:r>
              <w:t>, mean ± SD: 3.9 ±2.8 months; range 0.0 to 12.6 months</w:t>
            </w:r>
          </w:p>
          <w:p w:rsidR="00AF1A6C" w:rsidRDefault="00AF1A6C" w:rsidP="00385BBF">
            <w:pPr>
              <w:pStyle w:val="TableText0"/>
            </w:pPr>
            <w:r>
              <w:t>Age at diagnosis</w:t>
            </w:r>
            <w:r>
              <w:rPr>
                <w:vertAlign w:val="superscript"/>
              </w:rPr>
              <w:t>b</w:t>
            </w:r>
            <w:r>
              <w:t>, mean ± SD: 8.8 ±5.4 months; range 1.5 to 22.6 months</w:t>
            </w:r>
          </w:p>
          <w:p w:rsidR="00AF1A6C" w:rsidRDefault="00AF1A6C" w:rsidP="00385BBF">
            <w:pPr>
              <w:pStyle w:val="TableText0"/>
            </w:pPr>
            <w:r>
              <w:t>Age at first infusion</w:t>
            </w:r>
            <w:r>
              <w:rPr>
                <w:vertAlign w:val="superscript"/>
              </w:rPr>
              <w:t>b</w:t>
            </w:r>
            <w:r>
              <w:t>, mean ± SD: 15.7±11.0 months; range 3.7 to 43.1 months</w:t>
            </w:r>
          </w:p>
          <w:p w:rsidR="00AF1A6C" w:rsidRDefault="00AF1A6C" w:rsidP="00385BBF">
            <w:pPr>
              <w:pStyle w:val="TableText0"/>
            </w:pPr>
            <w:r>
              <w:t>Ventilator support at baseline:</w:t>
            </w:r>
          </w:p>
          <w:p w:rsidR="00AF1A6C" w:rsidRDefault="00AF1A6C" w:rsidP="00385BBF">
            <w:pPr>
              <w:pStyle w:val="TableText0"/>
            </w:pPr>
            <w:r>
              <w:t>Invasive</w:t>
            </w:r>
            <w:r>
              <w:tab/>
              <w:t>24%</w:t>
            </w:r>
          </w:p>
          <w:p w:rsidR="00AF1A6C" w:rsidRDefault="00AF1A6C" w:rsidP="00385BBF">
            <w:pPr>
              <w:pStyle w:val="TableText0"/>
            </w:pPr>
            <w:r>
              <w:t>Noninvasive</w:t>
            </w:r>
            <w:r>
              <w:tab/>
              <w:t>10%</w:t>
            </w:r>
          </w:p>
          <w:p w:rsidR="00AF1A6C" w:rsidRDefault="00AF1A6C" w:rsidP="00385BBF">
            <w:pPr>
              <w:pStyle w:val="TableText0"/>
            </w:pPr>
            <w:r>
              <w:lastRenderedPageBreak/>
              <w:t>No ventilator support 67%</w:t>
            </w:r>
          </w:p>
          <w:p w:rsidR="00AF1A6C" w:rsidRDefault="00AF1A6C" w:rsidP="00385BBF">
            <w:pPr>
              <w:pStyle w:val="TableText0"/>
            </w:pPr>
            <w:r>
              <w:t>CRIM negative 2/21 (9.5%)</w:t>
            </w:r>
          </w:p>
          <w:p w:rsidR="00AF1A6C" w:rsidRDefault="00AF1A6C" w:rsidP="00385BBF">
            <w:pPr>
              <w:pStyle w:val="TableText0"/>
            </w:pPr>
            <w:r>
              <w:t>The proportion of patients receiving immunosuppressives was not reported</w:t>
            </w:r>
          </w:p>
          <w:p w:rsidR="00AF1A6C" w:rsidRPr="00C94D83" w:rsidRDefault="00AF1A6C" w:rsidP="00385BBF">
            <w:pPr>
              <w:pStyle w:val="TableText0"/>
              <w:rPr>
                <w:vertAlign w:val="superscript"/>
              </w:rPr>
            </w:pPr>
            <w:r>
              <w:rPr>
                <w:u w:val="single"/>
              </w:rPr>
              <w:t>Historical control</w:t>
            </w:r>
            <w:r>
              <w:rPr>
                <w:u w:val="single"/>
                <w:vertAlign w:val="superscript"/>
              </w:rPr>
              <w:t>b</w:t>
            </w:r>
          </w:p>
          <w:p w:rsidR="00AF1A6C" w:rsidRDefault="00AF1A6C" w:rsidP="00385BBF">
            <w:pPr>
              <w:pStyle w:val="TableText0"/>
            </w:pPr>
            <w:r>
              <w:t>Male 42%</w:t>
            </w:r>
          </w:p>
          <w:p w:rsidR="00AF1A6C" w:rsidRDefault="00AF1A6C" w:rsidP="00385BBF">
            <w:pPr>
              <w:pStyle w:val="TableText0"/>
            </w:pPr>
            <w:r>
              <w:t>Race</w:t>
            </w:r>
            <w:r>
              <w:tab/>
              <w:t>White 47%</w:t>
            </w:r>
          </w:p>
          <w:p w:rsidR="00AF1A6C" w:rsidRDefault="00AF1A6C" w:rsidP="00385BBF">
            <w:pPr>
              <w:pStyle w:val="TableText0"/>
            </w:pPr>
            <w:r>
              <w:tab/>
              <w:t>Black 14%</w:t>
            </w:r>
          </w:p>
          <w:p w:rsidR="00AF1A6C" w:rsidRDefault="00AF1A6C" w:rsidP="00385BBF">
            <w:pPr>
              <w:pStyle w:val="TableText0"/>
            </w:pPr>
            <w:r>
              <w:tab/>
              <w:t>Asian 33%</w:t>
            </w:r>
          </w:p>
          <w:p w:rsidR="00AF1A6C" w:rsidRDefault="00AF1A6C" w:rsidP="00385BBF">
            <w:pPr>
              <w:pStyle w:val="TableText0"/>
            </w:pPr>
            <w:r>
              <w:t>Age at first symptoms</w:t>
            </w:r>
            <w:r>
              <w:rPr>
                <w:vertAlign w:val="superscript"/>
              </w:rPr>
              <w:t>b</w:t>
            </w:r>
            <w:r>
              <w:t>, mean ± SD: 3.1±2.75 months; range 0.0 to 12 months</w:t>
            </w:r>
          </w:p>
          <w:p w:rsidR="00AF1A6C" w:rsidRDefault="00AF1A6C" w:rsidP="00385BBF">
            <w:pPr>
              <w:pStyle w:val="TableText0"/>
            </w:pPr>
            <w:r>
              <w:t>Age at diagnosis</w:t>
            </w:r>
            <w:r>
              <w:rPr>
                <w:vertAlign w:val="superscript"/>
              </w:rPr>
              <w:t>b</w:t>
            </w:r>
            <w:r>
              <w:t>, mean ± SD: 5.8±3.81 months; range -5.1 to 22.7 months</w:t>
            </w:r>
          </w:p>
          <w:p w:rsidR="00AF1A6C" w:rsidRDefault="00AF1A6C" w:rsidP="00385BBF">
            <w:pPr>
              <w:pStyle w:val="TableText0"/>
            </w:pPr>
            <w:r>
              <w:t>Age at death</w:t>
            </w:r>
            <w:r>
              <w:rPr>
                <w:vertAlign w:val="superscript"/>
              </w:rPr>
              <w:t>b</w:t>
            </w:r>
            <w:r>
              <w:t>, median : 9.8 months; range 5.9 to 47.9 months</w:t>
            </w:r>
          </w:p>
          <w:p w:rsidR="00AF1A6C" w:rsidRPr="00433537" w:rsidRDefault="00AF1A6C" w:rsidP="00385BBF">
            <w:pPr>
              <w:pStyle w:val="TableText0"/>
            </w:pPr>
            <w:r>
              <w:t>CRIM status not reported</w:t>
            </w:r>
          </w:p>
        </w:tc>
        <w:tc>
          <w:tcPr>
            <w:tcW w:w="2794" w:type="dxa"/>
          </w:tcPr>
          <w:p w:rsidR="00AF1A6C" w:rsidRDefault="00AF1A6C" w:rsidP="00385BBF">
            <w:pPr>
              <w:pStyle w:val="TableText0"/>
              <w:rPr>
                <w:u w:val="single"/>
              </w:rPr>
            </w:pPr>
            <w:r w:rsidRPr="00240C71">
              <w:rPr>
                <w:u w:val="single"/>
              </w:rPr>
              <w:lastRenderedPageBreak/>
              <w:t>Inclusion</w:t>
            </w:r>
          </w:p>
          <w:p w:rsidR="00AF1A6C" w:rsidRPr="00687A64" w:rsidRDefault="00AF1A6C" w:rsidP="00385BBF">
            <w:pPr>
              <w:pStyle w:val="TableText0"/>
              <w:rPr>
                <w:i/>
              </w:rPr>
            </w:pPr>
            <w:r>
              <w:rPr>
                <w:i/>
              </w:rPr>
              <w:t>Intervention group</w:t>
            </w:r>
          </w:p>
          <w:p w:rsidR="00AF1A6C" w:rsidRDefault="00AF1A6C" w:rsidP="00385BBF">
            <w:pPr>
              <w:pStyle w:val="TableText0"/>
            </w:pPr>
            <w:r>
              <w:t>Documented onset of symptoms by 12 months of age</w:t>
            </w:r>
          </w:p>
          <w:p w:rsidR="00AF1A6C" w:rsidRDefault="00AF1A6C" w:rsidP="00385BBF">
            <w:pPr>
              <w:pStyle w:val="TableText0"/>
            </w:pPr>
            <w:r>
              <w:t xml:space="preserve">Skin fibroblast GAA </w:t>
            </w:r>
            <w:r w:rsidR="00E66055">
              <w:t>activity</w:t>
            </w:r>
            <w:r>
              <w:t xml:space="preserve"> ≤2% of the normal mean</w:t>
            </w:r>
          </w:p>
          <w:p w:rsidR="00AF1A6C" w:rsidRDefault="00AF1A6C" w:rsidP="00385BBF">
            <w:pPr>
              <w:pStyle w:val="TableText0"/>
            </w:pPr>
            <w:r>
              <w:t>Age 6-36 months at enrolment</w:t>
            </w:r>
          </w:p>
          <w:p w:rsidR="00AF1A6C" w:rsidRDefault="00AF1A6C" w:rsidP="00385BBF">
            <w:pPr>
              <w:pStyle w:val="TableText0"/>
            </w:pPr>
            <w:r>
              <w:t xml:space="preserve">Abnormal left ventricular mass indices (LVMI </w:t>
            </w:r>
            <w:r w:rsidRPr="00234732">
              <w:t>≥</w:t>
            </w:r>
            <w:r>
              <w:t>65g/m</w:t>
            </w:r>
            <w:r>
              <w:rPr>
                <w:vertAlign w:val="superscript"/>
              </w:rPr>
              <w:t>2</w:t>
            </w:r>
            <w:r>
              <w:t xml:space="preserve"> for patients aged </w:t>
            </w:r>
            <w:r w:rsidRPr="00234732">
              <w:t>≤</w:t>
            </w:r>
            <w:r>
              <w:t>12, or &gt;79g/m</w:t>
            </w:r>
            <w:r>
              <w:rPr>
                <w:vertAlign w:val="superscript"/>
              </w:rPr>
              <w:t>2</w:t>
            </w:r>
            <w:r>
              <w:t xml:space="preserve"> for patients aged &gt;12 months) </w:t>
            </w:r>
          </w:p>
          <w:p w:rsidR="00AF1A6C" w:rsidRDefault="00AF1A6C" w:rsidP="00385BBF">
            <w:pPr>
              <w:pStyle w:val="TableText0"/>
              <w:rPr>
                <w:i/>
              </w:rPr>
            </w:pPr>
            <w:r>
              <w:rPr>
                <w:i/>
              </w:rPr>
              <w:t>Historical control group</w:t>
            </w:r>
          </w:p>
          <w:p w:rsidR="00AF1A6C" w:rsidRDefault="00AF1A6C" w:rsidP="00385BBF">
            <w:pPr>
              <w:pStyle w:val="TableText0"/>
            </w:pPr>
            <w:r>
              <w:t xml:space="preserve">Untreated patients identified from retrospective chart review </w:t>
            </w:r>
            <w:r w:rsidR="00BD4A3A">
              <w:rPr>
                <w:noProof/>
              </w:rPr>
              <w:t>(</w:t>
            </w:r>
            <w:r w:rsidR="00184B6F">
              <w:rPr>
                <w:noProof/>
              </w:rPr>
              <w:t>Kishnani, PS, Hwu, et al. 2006</w:t>
            </w:r>
            <w:r w:rsidR="00BD4A3A">
              <w:rPr>
                <w:noProof/>
              </w:rPr>
              <w:t>)</w:t>
            </w:r>
          </w:p>
          <w:p w:rsidR="00AF1A6C" w:rsidRDefault="00AF1A6C" w:rsidP="00385BBF">
            <w:pPr>
              <w:pStyle w:val="TableText0"/>
            </w:pPr>
            <w:r>
              <w:t>Documented GAA enzyme deficiency or GAA mutation</w:t>
            </w:r>
          </w:p>
          <w:p w:rsidR="00AF1A6C" w:rsidRDefault="00AF1A6C" w:rsidP="00385BBF">
            <w:pPr>
              <w:pStyle w:val="TableText0"/>
            </w:pPr>
            <w:r>
              <w:t xml:space="preserve">Onset of signs or symptoms by 12 </w:t>
            </w:r>
            <w:r>
              <w:lastRenderedPageBreak/>
              <w:t>months of age</w:t>
            </w:r>
          </w:p>
          <w:p w:rsidR="00AF1A6C" w:rsidRPr="00687A64" w:rsidRDefault="00AF1A6C" w:rsidP="00385BBF">
            <w:pPr>
              <w:pStyle w:val="TableText0"/>
            </w:pPr>
            <w:r>
              <w:t>Screened with additional criteria to resemble the clinical characteristics of the treated population</w:t>
            </w:r>
          </w:p>
          <w:p w:rsidR="00AF1A6C" w:rsidRDefault="00AF1A6C" w:rsidP="00385BBF">
            <w:pPr>
              <w:pStyle w:val="TableText0"/>
              <w:rPr>
                <w:u w:val="single"/>
              </w:rPr>
            </w:pPr>
            <w:r w:rsidRPr="00240C71">
              <w:rPr>
                <w:u w:val="single"/>
              </w:rPr>
              <w:t>Exclusion</w:t>
            </w:r>
          </w:p>
          <w:p w:rsidR="00AF1A6C" w:rsidRPr="00687A64" w:rsidRDefault="00AF1A6C" w:rsidP="00385BBF">
            <w:pPr>
              <w:pStyle w:val="TableText0"/>
              <w:rPr>
                <w:i/>
              </w:rPr>
            </w:pPr>
            <w:r>
              <w:rPr>
                <w:i/>
              </w:rPr>
              <w:t>Intervention group</w:t>
            </w:r>
          </w:p>
          <w:p w:rsidR="00AF1A6C" w:rsidRDefault="00AF1A6C" w:rsidP="00385BBF">
            <w:pPr>
              <w:pStyle w:val="TableText0"/>
            </w:pPr>
            <w:r>
              <w:t>Clinical signs or symptoms of cardiac failure with ejection fraction &lt;40%</w:t>
            </w:r>
          </w:p>
          <w:p w:rsidR="00AF1A6C" w:rsidRDefault="00AF1A6C" w:rsidP="00385BBF">
            <w:pPr>
              <w:pStyle w:val="TableText0"/>
            </w:pPr>
            <w:r>
              <w:t>Major congenital anomaly</w:t>
            </w:r>
          </w:p>
          <w:p w:rsidR="00AF1A6C" w:rsidRDefault="00AF1A6C" w:rsidP="00385BBF">
            <w:pPr>
              <w:pStyle w:val="TableText0"/>
            </w:pPr>
            <w:r>
              <w:t>Intercurrent organic disease</w:t>
            </w:r>
          </w:p>
          <w:p w:rsidR="00AF1A6C" w:rsidRDefault="00AF1A6C" w:rsidP="00385BBF">
            <w:pPr>
              <w:pStyle w:val="TableText0"/>
            </w:pPr>
            <w:r>
              <w:t>Prior treatment with ERT</w:t>
            </w:r>
          </w:p>
          <w:p w:rsidR="00AF1A6C" w:rsidRDefault="00AF1A6C" w:rsidP="00385BBF">
            <w:pPr>
              <w:pStyle w:val="TableText0"/>
            </w:pPr>
            <w:r>
              <w:rPr>
                <w:i/>
              </w:rPr>
              <w:t>Historical Control group</w:t>
            </w:r>
          </w:p>
          <w:p w:rsidR="00AF1A6C" w:rsidRPr="00955A56" w:rsidRDefault="00AF1A6C" w:rsidP="00385BBF">
            <w:pPr>
              <w:pStyle w:val="TableText0"/>
            </w:pPr>
            <w:r>
              <w:t>As above</w:t>
            </w:r>
          </w:p>
        </w:tc>
        <w:tc>
          <w:tcPr>
            <w:tcW w:w="1685" w:type="dxa"/>
          </w:tcPr>
          <w:p w:rsidR="00AF1A6C" w:rsidRPr="00240C71" w:rsidRDefault="00AF1A6C" w:rsidP="00385BBF">
            <w:pPr>
              <w:pStyle w:val="TableText0"/>
              <w:rPr>
                <w:u w:val="single"/>
              </w:rPr>
            </w:pPr>
            <w:r w:rsidRPr="00240C71">
              <w:rPr>
                <w:u w:val="single"/>
              </w:rPr>
              <w:lastRenderedPageBreak/>
              <w:t>Intervention</w:t>
            </w:r>
          </w:p>
          <w:p w:rsidR="00AF1A6C" w:rsidRPr="00B7451B" w:rsidRDefault="00AF1A6C" w:rsidP="00385BBF">
            <w:pPr>
              <w:pStyle w:val="TableText0"/>
            </w:pPr>
            <w:r w:rsidRPr="00B7451B">
              <w:t>ITT n</w:t>
            </w:r>
            <w:r w:rsidR="00652355" w:rsidRPr="00652355">
              <w:rPr>
                <w:spacing w:val="-20"/>
              </w:rPr>
              <w:t xml:space="preserve"> = </w:t>
            </w:r>
            <w:r>
              <w:t>22</w:t>
            </w:r>
          </w:p>
          <w:p w:rsidR="00AF1A6C" w:rsidRPr="00B7451B" w:rsidRDefault="00AF1A6C" w:rsidP="00385BBF">
            <w:pPr>
              <w:pStyle w:val="TableText0"/>
            </w:pPr>
            <w:r w:rsidRPr="00B7451B">
              <w:t>LTF</w:t>
            </w:r>
            <w:r w:rsidR="00652355" w:rsidRPr="00652355">
              <w:rPr>
                <w:spacing w:val="-20"/>
              </w:rPr>
              <w:t xml:space="preserve"> = </w:t>
            </w:r>
            <w:r>
              <w:t>1 (died before beginning treatment)</w:t>
            </w:r>
          </w:p>
          <w:p w:rsidR="00AF1A6C" w:rsidRDefault="00E66055" w:rsidP="00385BBF">
            <w:pPr>
              <w:pStyle w:val="TableText0"/>
            </w:pPr>
            <w:r>
              <w:t>Alglucosidase</w:t>
            </w:r>
            <w:r w:rsidR="00AF1A6C">
              <w:t xml:space="preserve"> alfa biweekly </w:t>
            </w:r>
          </w:p>
          <w:p w:rsidR="00AF1A6C" w:rsidRDefault="00AF1A6C" w:rsidP="00385BBF">
            <w:pPr>
              <w:pStyle w:val="TableText0"/>
            </w:pPr>
            <w:r>
              <w:t>Initial dose: 20mg/kg every 2 weeks</w:t>
            </w:r>
          </w:p>
          <w:p w:rsidR="00AF1A6C" w:rsidRPr="00B7451B" w:rsidRDefault="00AF1A6C" w:rsidP="00385BBF">
            <w:pPr>
              <w:pStyle w:val="TableText0"/>
            </w:pPr>
            <w:r>
              <w:t xml:space="preserve">After at least 26 weeks of treatment, dose augmentation to 40mg/kg every 2 weeks was allowed if the patient’s clinical condition had significantly deteriorated relative </w:t>
            </w:r>
            <w:r>
              <w:lastRenderedPageBreak/>
              <w:t>to baseline</w:t>
            </w:r>
          </w:p>
          <w:p w:rsidR="00AF1A6C" w:rsidRPr="004816FC" w:rsidRDefault="00AF1A6C" w:rsidP="00385BBF">
            <w:pPr>
              <w:pStyle w:val="TableText0"/>
            </w:pPr>
            <w:r w:rsidRPr="00240C71">
              <w:rPr>
                <w:u w:val="single"/>
              </w:rPr>
              <w:t>Comparator</w:t>
            </w:r>
            <w:r>
              <w:t xml:space="preserve"> </w:t>
            </w:r>
          </w:p>
          <w:p w:rsidR="00AF1A6C" w:rsidRPr="00B7451B" w:rsidRDefault="00AF1A6C" w:rsidP="00385BBF">
            <w:pPr>
              <w:pStyle w:val="TableText0"/>
            </w:pPr>
            <w:r w:rsidRPr="00B7451B">
              <w:t>ITT n</w:t>
            </w:r>
            <w:r w:rsidR="00652355" w:rsidRPr="00652355">
              <w:rPr>
                <w:spacing w:val="-20"/>
              </w:rPr>
              <w:t xml:space="preserve"> = </w:t>
            </w:r>
            <w:r>
              <w:t>84</w:t>
            </w:r>
          </w:p>
          <w:p w:rsidR="00AF1A6C" w:rsidRPr="00B7451B" w:rsidRDefault="00AF1A6C" w:rsidP="00385BBF">
            <w:pPr>
              <w:pStyle w:val="TableText0"/>
            </w:pPr>
            <w:r w:rsidRPr="00B7451B">
              <w:t>LTF</w:t>
            </w:r>
            <w:r w:rsidR="00652355" w:rsidRPr="00652355">
              <w:rPr>
                <w:spacing w:val="-20"/>
              </w:rPr>
              <w:t xml:space="preserve"> = </w:t>
            </w:r>
            <w:r>
              <w:t>0</w:t>
            </w:r>
          </w:p>
          <w:p w:rsidR="00AF1A6C" w:rsidRDefault="00AF1A6C" w:rsidP="00385BBF">
            <w:pPr>
              <w:pStyle w:val="TableText0"/>
            </w:pPr>
            <w:r>
              <w:t>Standard care</w:t>
            </w:r>
          </w:p>
          <w:p w:rsidR="00AF1A6C" w:rsidRPr="004816FC" w:rsidRDefault="00AF1A6C" w:rsidP="00385BBF">
            <w:pPr>
              <w:pStyle w:val="TableText0"/>
            </w:pPr>
          </w:p>
        </w:tc>
        <w:tc>
          <w:tcPr>
            <w:tcW w:w="1762" w:type="dxa"/>
            <w:tcBorders>
              <w:right w:val="single" w:sz="4" w:space="0" w:color="auto"/>
            </w:tcBorders>
          </w:tcPr>
          <w:p w:rsidR="00AF1A6C" w:rsidRPr="00F46B71" w:rsidRDefault="00AF1A6C" w:rsidP="00385BBF">
            <w:pPr>
              <w:pStyle w:val="TableText0"/>
              <w:rPr>
                <w:u w:val="single"/>
              </w:rPr>
            </w:pPr>
            <w:r>
              <w:rPr>
                <w:u w:val="single"/>
              </w:rPr>
              <w:lastRenderedPageBreak/>
              <w:t>Comparison with historical cohort</w:t>
            </w:r>
          </w:p>
          <w:p w:rsidR="00AF1A6C" w:rsidRDefault="00AF1A6C" w:rsidP="00385BBF">
            <w:pPr>
              <w:pStyle w:val="TableText0"/>
            </w:pPr>
            <w:r>
              <w:t>Survival over the course of treatment</w:t>
            </w:r>
          </w:p>
          <w:p w:rsidR="00AF1A6C" w:rsidRDefault="00AF1A6C" w:rsidP="00385BBF">
            <w:pPr>
              <w:pStyle w:val="TableText0"/>
            </w:pPr>
            <w:r>
              <w:t>Invasive ventilator-free survival</w:t>
            </w:r>
          </w:p>
          <w:p w:rsidR="00AF1A6C" w:rsidRDefault="00AF1A6C" w:rsidP="00385BBF">
            <w:pPr>
              <w:pStyle w:val="TableText0"/>
            </w:pPr>
            <w:r>
              <w:t>Ventilator-free survival</w:t>
            </w:r>
          </w:p>
          <w:p w:rsidR="00AF1A6C" w:rsidRPr="005246EC" w:rsidRDefault="00AF1A6C" w:rsidP="00385BBF">
            <w:pPr>
              <w:pStyle w:val="TableText0"/>
              <w:rPr>
                <w:vertAlign w:val="superscript"/>
              </w:rPr>
            </w:pPr>
            <w:r>
              <w:t>Analyses: Kaplan-Meier time-to-event and Cox proportional hazards analysis</w:t>
            </w:r>
            <w:r>
              <w:rPr>
                <w:vertAlign w:val="superscript"/>
              </w:rPr>
              <w:t>d</w:t>
            </w:r>
          </w:p>
          <w:p w:rsidR="00AF1A6C" w:rsidRPr="00C45484" w:rsidRDefault="00AF1A6C" w:rsidP="00385BBF">
            <w:pPr>
              <w:pStyle w:val="TableText0"/>
              <w:rPr>
                <w:u w:val="single"/>
              </w:rPr>
            </w:pPr>
            <w:r>
              <w:rPr>
                <w:u w:val="single"/>
              </w:rPr>
              <w:t>Change from baselineU</w:t>
            </w:r>
          </w:p>
          <w:p w:rsidR="00AF1A6C" w:rsidRDefault="00AF1A6C" w:rsidP="00385BBF">
            <w:pPr>
              <w:pStyle w:val="TableText0"/>
            </w:pPr>
            <w:r>
              <w:t>LVMI</w:t>
            </w:r>
          </w:p>
          <w:p w:rsidR="00AF1A6C" w:rsidRDefault="00AF1A6C" w:rsidP="00385BBF">
            <w:pPr>
              <w:pStyle w:val="TableText0"/>
            </w:pPr>
            <w:r>
              <w:t>Cardiac shortening fraction</w:t>
            </w:r>
          </w:p>
          <w:p w:rsidR="00AF1A6C" w:rsidRDefault="00AF1A6C" w:rsidP="00385BBF">
            <w:pPr>
              <w:pStyle w:val="TableText0"/>
            </w:pPr>
            <w:r>
              <w:t>Growth</w:t>
            </w:r>
          </w:p>
          <w:p w:rsidR="00AF1A6C" w:rsidRDefault="00AF1A6C" w:rsidP="00385BBF">
            <w:pPr>
              <w:pStyle w:val="TableText0"/>
            </w:pPr>
            <w:r>
              <w:t xml:space="preserve">Motor development </w:t>
            </w:r>
            <w:r>
              <w:lastRenderedPageBreak/>
              <w:t>and functional independence (AIMS, PDMS-2, Pompe PEDI)</w:t>
            </w:r>
          </w:p>
          <w:p w:rsidR="00AF1A6C" w:rsidRDefault="00AF1A6C" w:rsidP="00385BBF">
            <w:pPr>
              <w:pStyle w:val="TableText0"/>
            </w:pPr>
            <w:r>
              <w:t>GAA activity</w:t>
            </w:r>
          </w:p>
          <w:p w:rsidR="00AF1A6C" w:rsidRDefault="00AF1A6C" w:rsidP="00385BBF">
            <w:pPr>
              <w:pStyle w:val="TableText0"/>
            </w:pPr>
            <w:r>
              <w:t>Glycogen content in quadriceps muscle tissue</w:t>
            </w:r>
          </w:p>
          <w:p w:rsidR="00AF1A6C" w:rsidRDefault="00AF1A6C" w:rsidP="00385BBF">
            <w:pPr>
              <w:pStyle w:val="TableText0"/>
            </w:pPr>
            <w:r>
              <w:rPr>
                <w:u w:val="single"/>
              </w:rPr>
              <w:t>Safety</w:t>
            </w:r>
          </w:p>
          <w:p w:rsidR="00AF1A6C" w:rsidRDefault="00AF1A6C" w:rsidP="00385BBF">
            <w:pPr>
              <w:pStyle w:val="TableText0"/>
            </w:pPr>
            <w:r>
              <w:t>AEs, including infusion-associated reactions</w:t>
            </w:r>
          </w:p>
          <w:p w:rsidR="00AF1A6C" w:rsidRDefault="00AF1A6C" w:rsidP="00385BBF">
            <w:pPr>
              <w:pStyle w:val="TableText0"/>
            </w:pPr>
            <w:r>
              <w:t>Vital signs</w:t>
            </w:r>
          </w:p>
          <w:p w:rsidR="00AF1A6C" w:rsidRPr="00C704ED" w:rsidRDefault="00AF1A6C" w:rsidP="00385BBF">
            <w:pPr>
              <w:pStyle w:val="TableText0"/>
            </w:pPr>
            <w:r>
              <w:t>Anti-rhGAA IgG antibody formation</w:t>
            </w:r>
          </w:p>
        </w:tc>
        <w:tc>
          <w:tcPr>
            <w:tcW w:w="1176" w:type="dxa"/>
            <w:tcBorders>
              <w:left w:val="single" w:sz="4" w:space="0" w:color="auto"/>
            </w:tcBorders>
          </w:tcPr>
          <w:p w:rsidR="00AF1A6C" w:rsidRPr="00A62F71" w:rsidRDefault="00AF1A6C" w:rsidP="00385BBF">
            <w:pPr>
              <w:pStyle w:val="TableText0"/>
              <w:rPr>
                <w:u w:val="single"/>
              </w:rPr>
            </w:pPr>
            <w:r w:rsidRPr="00A62F71">
              <w:rPr>
                <w:u w:val="single"/>
              </w:rPr>
              <w:lastRenderedPageBreak/>
              <w:t>Intervention group</w:t>
            </w:r>
          </w:p>
          <w:p w:rsidR="00AF1A6C" w:rsidRDefault="00AF1A6C" w:rsidP="00385BBF">
            <w:pPr>
              <w:pStyle w:val="TableText0"/>
            </w:pPr>
            <w:r>
              <w:t>Median duration of treatment: 120 weeks Range: 0.6-168 weeks</w:t>
            </w:r>
          </w:p>
          <w:p w:rsidR="00AF1A6C" w:rsidRDefault="00AF1A6C" w:rsidP="00385BBF">
            <w:pPr>
              <w:pStyle w:val="TableText0"/>
            </w:pPr>
            <w:r>
              <w:rPr>
                <w:u w:val="single"/>
              </w:rPr>
              <w:t>Control group</w:t>
            </w:r>
          </w:p>
          <w:p w:rsidR="00AF1A6C" w:rsidRPr="002E0769" w:rsidRDefault="00AF1A6C" w:rsidP="00385BBF">
            <w:pPr>
              <w:pStyle w:val="TableText0"/>
            </w:pPr>
            <w:r>
              <w:t>Median age at death 9.8 months, range 8.6 to 10.8 months</w:t>
            </w:r>
          </w:p>
        </w:tc>
        <w:tc>
          <w:tcPr>
            <w:tcW w:w="1490" w:type="dxa"/>
          </w:tcPr>
          <w:p w:rsidR="00AF1A6C" w:rsidRDefault="00E66055" w:rsidP="00385BBF">
            <w:pPr>
              <w:pStyle w:val="TableText0"/>
            </w:pPr>
            <w:r>
              <w:t>Heterogeneous</w:t>
            </w:r>
            <w:r w:rsidR="00AF1A6C">
              <w:t xml:space="preserve"> population of Pompe patients with onset of symptoms in infancy and evidence of cardiomyopathy who were at variable stages of disease progression when treatment initiated </w:t>
            </w:r>
          </w:p>
          <w:p w:rsidR="00AF1A6C" w:rsidRDefault="00AF1A6C" w:rsidP="00385BBF">
            <w:pPr>
              <w:pStyle w:val="TableText0"/>
            </w:pPr>
            <w:r>
              <w:t>Some patients were receiving ventilator support at baseline</w:t>
            </w:r>
          </w:p>
          <w:p w:rsidR="00AF1A6C" w:rsidRDefault="00AF1A6C" w:rsidP="00385BBF">
            <w:pPr>
              <w:pStyle w:val="TableText0"/>
            </w:pPr>
          </w:p>
        </w:tc>
      </w:tr>
      <w:tr w:rsidR="00AF1A6C" w:rsidRPr="00F1301E" w:rsidTr="006D652A">
        <w:tc>
          <w:tcPr>
            <w:tcW w:w="1242" w:type="dxa"/>
          </w:tcPr>
          <w:p w:rsidR="00AF1A6C" w:rsidRDefault="00A130D0" w:rsidP="00385BBF">
            <w:pPr>
              <w:pStyle w:val="TableText0"/>
            </w:pPr>
            <w:r>
              <w:rPr>
                <w:noProof/>
              </w:rPr>
              <w:lastRenderedPageBreak/>
              <w:t>(</w:t>
            </w:r>
            <w:r w:rsidR="00184B6F">
              <w:rPr>
                <w:noProof/>
              </w:rPr>
              <w:t>Chen et al. 2009</w:t>
            </w:r>
            <w:r>
              <w:rPr>
                <w:noProof/>
              </w:rPr>
              <w:t>)</w:t>
            </w:r>
          </w:p>
          <w:p w:rsidR="00AF1A6C" w:rsidRPr="00202417" w:rsidRDefault="00AF1A6C" w:rsidP="00385BBF">
            <w:pPr>
              <w:pStyle w:val="TableText0"/>
            </w:pPr>
            <w:r>
              <w:t>Taiwan</w:t>
            </w:r>
          </w:p>
        </w:tc>
        <w:tc>
          <w:tcPr>
            <w:tcW w:w="1418" w:type="dxa"/>
          </w:tcPr>
          <w:p w:rsidR="00AF1A6C" w:rsidRDefault="00AF1A6C" w:rsidP="00385BBF">
            <w:pPr>
              <w:pStyle w:val="TableText0"/>
            </w:pPr>
            <w:r>
              <w:t>Historic control study</w:t>
            </w:r>
          </w:p>
          <w:p w:rsidR="00AF1A6C" w:rsidRDefault="00AF1A6C" w:rsidP="00385BBF">
            <w:pPr>
              <w:pStyle w:val="TableText0"/>
            </w:pPr>
            <w:r>
              <w:t>Level: III-3</w:t>
            </w:r>
          </w:p>
          <w:p w:rsidR="00AF1A6C" w:rsidRDefault="00AF1A6C" w:rsidP="00385BBF">
            <w:pPr>
              <w:pStyle w:val="TableText0"/>
            </w:pPr>
            <w:r>
              <w:t>Quality: - (SIGN)</w:t>
            </w:r>
          </w:p>
        </w:tc>
        <w:tc>
          <w:tcPr>
            <w:tcW w:w="2693" w:type="dxa"/>
          </w:tcPr>
          <w:p w:rsidR="00AF1A6C" w:rsidRDefault="00AF1A6C" w:rsidP="00385BBF">
            <w:pPr>
              <w:pStyle w:val="TableText0"/>
              <w:rPr>
                <w:u w:val="single"/>
              </w:rPr>
            </w:pPr>
            <w:r>
              <w:rPr>
                <w:u w:val="single"/>
              </w:rPr>
              <w:t>Study popula</w:t>
            </w:r>
            <w:r w:rsidRPr="00896F51">
              <w:rPr>
                <w:u w:val="single"/>
              </w:rPr>
              <w:t>tion</w:t>
            </w:r>
          </w:p>
          <w:p w:rsidR="00AF1A6C" w:rsidRPr="008432A7" w:rsidRDefault="00AF1A6C" w:rsidP="00385BBF">
            <w:pPr>
              <w:pStyle w:val="TableText0"/>
            </w:pPr>
            <w:r>
              <w:t>N</w:t>
            </w:r>
            <w:r w:rsidR="00652355" w:rsidRPr="00652355">
              <w:rPr>
                <w:spacing w:val="-20"/>
              </w:rPr>
              <w:t xml:space="preserve"> = </w:t>
            </w:r>
            <w:r>
              <w:t>14</w:t>
            </w:r>
          </w:p>
          <w:p w:rsidR="00AF1A6C" w:rsidRDefault="00AF1A6C" w:rsidP="00385BBF">
            <w:pPr>
              <w:pStyle w:val="TableText0"/>
            </w:pPr>
            <w:r>
              <w:t>3 groups in treated patients: newborn screening (N</w:t>
            </w:r>
            <w:r w:rsidR="00652355" w:rsidRPr="00652355">
              <w:rPr>
                <w:spacing w:val="-20"/>
              </w:rPr>
              <w:t xml:space="preserve"> = </w:t>
            </w:r>
            <w:r>
              <w:t>5), Clin-E:started ERT &lt;5months age (N</w:t>
            </w:r>
            <w:r w:rsidR="00652355" w:rsidRPr="00652355">
              <w:rPr>
                <w:spacing w:val="-20"/>
              </w:rPr>
              <w:t xml:space="preserve"> = </w:t>
            </w:r>
            <w:r>
              <w:t>4); Clin-L: ≥5 months (N</w:t>
            </w:r>
            <w:r w:rsidR="00652355" w:rsidRPr="00652355">
              <w:rPr>
                <w:spacing w:val="-20"/>
              </w:rPr>
              <w:t xml:space="preserve"> = </w:t>
            </w:r>
            <w:r>
              <w:t>5)</w:t>
            </w:r>
          </w:p>
          <w:p w:rsidR="00AF1A6C" w:rsidRDefault="00AF1A6C" w:rsidP="00385BBF">
            <w:pPr>
              <w:pStyle w:val="TableText0"/>
            </w:pPr>
            <w:r>
              <w:t xml:space="preserve">Age at diagnosis, mean ± SD: 2.6 </w:t>
            </w:r>
            <w:r>
              <w:lastRenderedPageBreak/>
              <w:t>± 1.9 months; range 9 days to 6.2 months</w:t>
            </w:r>
          </w:p>
          <w:p w:rsidR="00AF1A6C" w:rsidRDefault="00AF1A6C" w:rsidP="00385BBF">
            <w:pPr>
              <w:pStyle w:val="TableText0"/>
            </w:pPr>
            <w:r>
              <w:tab/>
              <w:t>NBS 18.0 ± 8.7 days</w:t>
            </w:r>
          </w:p>
          <w:p w:rsidR="00AF1A6C" w:rsidRDefault="00AF1A6C" w:rsidP="00385BBF">
            <w:pPr>
              <w:pStyle w:val="TableText0"/>
            </w:pPr>
            <w:r>
              <w:tab/>
              <w:t>Clin-E 2.9 ± 1.0 months</w:t>
            </w:r>
          </w:p>
          <w:p w:rsidR="00AF1A6C" w:rsidRDefault="00AF1A6C" w:rsidP="00385BBF">
            <w:pPr>
              <w:pStyle w:val="TableText0"/>
            </w:pPr>
            <w:r>
              <w:tab/>
              <w:t>Clin L 4.2 ± 1.4 months</w:t>
            </w:r>
          </w:p>
          <w:p w:rsidR="00AF1A6C" w:rsidRDefault="00AF1A6C" w:rsidP="00385BBF">
            <w:pPr>
              <w:pStyle w:val="TableText0"/>
            </w:pPr>
            <w:r>
              <w:t>Age at first ERT, mean ± SD: 3.3 ± 2.3 months</w:t>
            </w:r>
          </w:p>
          <w:p w:rsidR="00AF1A6C" w:rsidRDefault="00AF1A6C" w:rsidP="00385BBF">
            <w:pPr>
              <w:pStyle w:val="TableText0"/>
            </w:pPr>
            <w:r>
              <w:tab/>
              <w:t>NBS 23.6 ±9.0 days</w:t>
            </w:r>
          </w:p>
          <w:p w:rsidR="00AF1A6C" w:rsidRDefault="00AF1A6C" w:rsidP="00385BBF">
            <w:pPr>
              <w:pStyle w:val="TableText0"/>
            </w:pPr>
            <w:r>
              <w:tab/>
              <w:t>Clin-E 3.1 ± 1.1 months</w:t>
            </w:r>
          </w:p>
          <w:p w:rsidR="00AF1A6C" w:rsidRDefault="00AF1A6C" w:rsidP="00385BBF">
            <w:pPr>
              <w:pStyle w:val="TableText0"/>
            </w:pPr>
            <w:r>
              <w:tab/>
              <w:t>Clin L 5.9 ± 0.4 months</w:t>
            </w:r>
          </w:p>
          <w:p w:rsidR="00AF1A6C" w:rsidRDefault="00AF1A6C" w:rsidP="00385BBF">
            <w:pPr>
              <w:pStyle w:val="TableText0"/>
            </w:pPr>
            <w:r>
              <w:t>Cardiomegaly 100%</w:t>
            </w:r>
          </w:p>
          <w:p w:rsidR="00AF1A6C" w:rsidRDefault="00AF1A6C" w:rsidP="00385BBF">
            <w:pPr>
              <w:pStyle w:val="TableText0"/>
            </w:pPr>
            <w:r>
              <w:t>Hepatomegaly 36%</w:t>
            </w:r>
          </w:p>
          <w:p w:rsidR="00AF1A6C" w:rsidRDefault="00AF1A6C" w:rsidP="00385BBF">
            <w:pPr>
              <w:pStyle w:val="TableText0"/>
              <w:rPr>
                <w:u w:val="single"/>
              </w:rPr>
            </w:pPr>
            <w:r>
              <w:rPr>
                <w:u w:val="single"/>
              </w:rPr>
              <w:t>Historical control groupU</w:t>
            </w:r>
          </w:p>
          <w:p w:rsidR="00AF1A6C" w:rsidRDefault="00AF1A6C" w:rsidP="00385BBF">
            <w:pPr>
              <w:pStyle w:val="TableText0"/>
            </w:pPr>
            <w:r w:rsidRPr="00D62A86">
              <w:t>N</w:t>
            </w:r>
            <w:r w:rsidR="00652355" w:rsidRPr="00652355">
              <w:rPr>
                <w:spacing w:val="-20"/>
              </w:rPr>
              <w:t xml:space="preserve"> = </w:t>
            </w:r>
            <w:r w:rsidRPr="00D62A86">
              <w:t>26</w:t>
            </w:r>
          </w:p>
          <w:p w:rsidR="00AF1A6C" w:rsidRPr="00D62A86" w:rsidRDefault="00AF1A6C" w:rsidP="00385BBF">
            <w:pPr>
              <w:pStyle w:val="TableText0"/>
            </w:pPr>
            <w:r w:rsidRPr="00D62A86">
              <w:t>No details provided</w:t>
            </w:r>
          </w:p>
        </w:tc>
        <w:tc>
          <w:tcPr>
            <w:tcW w:w="2794" w:type="dxa"/>
          </w:tcPr>
          <w:p w:rsidR="00AF1A6C" w:rsidRDefault="00AF1A6C" w:rsidP="00385BBF">
            <w:pPr>
              <w:pStyle w:val="TableText0"/>
              <w:rPr>
                <w:u w:val="single"/>
              </w:rPr>
            </w:pPr>
            <w:r w:rsidRPr="00240C71">
              <w:rPr>
                <w:u w:val="single"/>
              </w:rPr>
              <w:lastRenderedPageBreak/>
              <w:t>Inclusion</w:t>
            </w:r>
          </w:p>
          <w:p w:rsidR="00AF1A6C" w:rsidRPr="00D62A86" w:rsidRDefault="00AF1A6C" w:rsidP="00385BBF">
            <w:pPr>
              <w:pStyle w:val="TableText0"/>
              <w:rPr>
                <w:i/>
              </w:rPr>
            </w:pPr>
            <w:r>
              <w:rPr>
                <w:i/>
              </w:rPr>
              <w:t>Intervention group</w:t>
            </w:r>
          </w:p>
          <w:p w:rsidR="00AF1A6C" w:rsidRDefault="00AF1A6C" w:rsidP="00385BBF">
            <w:pPr>
              <w:pStyle w:val="TableText0"/>
            </w:pPr>
            <w:r>
              <w:t>GAA activity &lt;5% normal mean in mononuclear blood cells</w:t>
            </w:r>
          </w:p>
          <w:p w:rsidR="00AF1A6C" w:rsidRDefault="00AF1A6C" w:rsidP="00385BBF">
            <w:pPr>
              <w:pStyle w:val="TableText0"/>
            </w:pPr>
            <w:r>
              <w:t>Born after or survived to December 2002 (when ERT available)</w:t>
            </w:r>
          </w:p>
          <w:p w:rsidR="00AF1A6C" w:rsidRDefault="00AF1A6C" w:rsidP="00385BBF">
            <w:pPr>
              <w:pStyle w:val="TableText0"/>
            </w:pPr>
            <w:r>
              <w:rPr>
                <w:i/>
              </w:rPr>
              <w:lastRenderedPageBreak/>
              <w:t>Historical control group</w:t>
            </w:r>
          </w:p>
          <w:p w:rsidR="00AF1A6C" w:rsidRDefault="00AF1A6C" w:rsidP="00385BBF">
            <w:pPr>
              <w:pStyle w:val="TableText0"/>
            </w:pPr>
            <w:r>
              <w:t>GAA activity &lt;5% normal mean in mononuclear blood cells</w:t>
            </w:r>
          </w:p>
          <w:p w:rsidR="00AF1A6C" w:rsidRPr="00D62A86" w:rsidRDefault="00AF1A6C" w:rsidP="00385BBF">
            <w:pPr>
              <w:pStyle w:val="TableText0"/>
            </w:pPr>
            <w:r>
              <w:t xml:space="preserve">Born before June 2002 and died before ERT available </w:t>
            </w:r>
          </w:p>
          <w:p w:rsidR="00AF1A6C" w:rsidRPr="00240C71" w:rsidRDefault="00AF1A6C" w:rsidP="00385BBF">
            <w:pPr>
              <w:pStyle w:val="TableText0"/>
              <w:rPr>
                <w:u w:val="single"/>
              </w:rPr>
            </w:pPr>
            <w:r w:rsidRPr="00240C71">
              <w:rPr>
                <w:u w:val="single"/>
              </w:rPr>
              <w:t>Exclusion</w:t>
            </w:r>
          </w:p>
          <w:p w:rsidR="00AF1A6C" w:rsidRPr="00B7451B" w:rsidRDefault="00AF1A6C" w:rsidP="00385BBF">
            <w:pPr>
              <w:pStyle w:val="TableText0"/>
            </w:pPr>
            <w:r>
              <w:t>None</w:t>
            </w:r>
          </w:p>
        </w:tc>
        <w:tc>
          <w:tcPr>
            <w:tcW w:w="1685" w:type="dxa"/>
          </w:tcPr>
          <w:p w:rsidR="00AF1A6C" w:rsidRPr="00240C71" w:rsidRDefault="00AF1A6C" w:rsidP="00385BBF">
            <w:pPr>
              <w:pStyle w:val="TableText0"/>
              <w:rPr>
                <w:u w:val="single"/>
              </w:rPr>
            </w:pPr>
            <w:r w:rsidRPr="00240C71">
              <w:rPr>
                <w:u w:val="single"/>
              </w:rPr>
              <w:lastRenderedPageBreak/>
              <w:t>Intervention</w:t>
            </w:r>
          </w:p>
          <w:p w:rsidR="00AF1A6C" w:rsidRPr="00B7451B" w:rsidRDefault="00AF1A6C" w:rsidP="00385BBF">
            <w:pPr>
              <w:pStyle w:val="TableText0"/>
            </w:pPr>
            <w:r w:rsidRPr="00B7451B">
              <w:t>ITT n</w:t>
            </w:r>
            <w:r w:rsidR="00652355" w:rsidRPr="00652355">
              <w:rPr>
                <w:spacing w:val="-20"/>
              </w:rPr>
              <w:t xml:space="preserve"> = </w:t>
            </w:r>
            <w:r>
              <w:t>14</w:t>
            </w:r>
          </w:p>
          <w:p w:rsidR="00AF1A6C" w:rsidRPr="00B7451B" w:rsidRDefault="00AF1A6C" w:rsidP="00385BBF">
            <w:pPr>
              <w:pStyle w:val="TableText0"/>
            </w:pPr>
            <w:r w:rsidRPr="00B7451B">
              <w:t>LTF</w:t>
            </w:r>
            <w:r w:rsidR="00652355" w:rsidRPr="00652355">
              <w:rPr>
                <w:spacing w:val="-20"/>
              </w:rPr>
              <w:t xml:space="preserve"> = </w:t>
            </w:r>
            <w:r>
              <w:t>0</w:t>
            </w:r>
          </w:p>
          <w:p w:rsidR="00AF1A6C" w:rsidRPr="00B7451B" w:rsidRDefault="00AF1A6C" w:rsidP="00385BBF">
            <w:pPr>
              <w:pStyle w:val="TableText0"/>
            </w:pPr>
            <w:r>
              <w:t>Alglucosidase alfa 20mg/kg every other week</w:t>
            </w:r>
          </w:p>
          <w:p w:rsidR="00AF1A6C" w:rsidRDefault="00AF1A6C" w:rsidP="00385BBF">
            <w:pPr>
              <w:pStyle w:val="TableText0"/>
              <w:rPr>
                <w:u w:val="single"/>
              </w:rPr>
            </w:pPr>
            <w:r w:rsidRPr="00240C71">
              <w:rPr>
                <w:u w:val="single"/>
              </w:rPr>
              <w:lastRenderedPageBreak/>
              <w:t>Comparator</w:t>
            </w:r>
          </w:p>
          <w:p w:rsidR="00AF1A6C" w:rsidRPr="00B7451B" w:rsidRDefault="00AF1A6C" w:rsidP="00385BBF">
            <w:pPr>
              <w:pStyle w:val="TableText0"/>
            </w:pPr>
            <w:r w:rsidRPr="00B7451B">
              <w:t>ITT n</w:t>
            </w:r>
            <w:r w:rsidR="00652355" w:rsidRPr="00652355">
              <w:rPr>
                <w:spacing w:val="-20"/>
              </w:rPr>
              <w:t xml:space="preserve"> = </w:t>
            </w:r>
            <w:r>
              <w:t xml:space="preserve">26 </w:t>
            </w:r>
          </w:p>
          <w:p w:rsidR="00AF1A6C" w:rsidRPr="00B7451B" w:rsidRDefault="00AF1A6C" w:rsidP="00385BBF">
            <w:pPr>
              <w:pStyle w:val="TableText0"/>
            </w:pPr>
            <w:r w:rsidRPr="00B7451B">
              <w:t>LTF</w:t>
            </w:r>
            <w:r w:rsidR="00652355" w:rsidRPr="00652355">
              <w:rPr>
                <w:spacing w:val="-20"/>
              </w:rPr>
              <w:t xml:space="preserve"> = </w:t>
            </w:r>
            <w:r>
              <w:t>0</w:t>
            </w:r>
          </w:p>
          <w:p w:rsidR="00AF1A6C" w:rsidRPr="00B7451B" w:rsidRDefault="00AF1A6C" w:rsidP="00385BBF">
            <w:pPr>
              <w:pStyle w:val="TableText0"/>
            </w:pPr>
            <w:r>
              <w:t>Standard care</w:t>
            </w:r>
          </w:p>
          <w:p w:rsidR="00AF1A6C" w:rsidRPr="00240C71" w:rsidRDefault="00AF1A6C" w:rsidP="00385BBF">
            <w:pPr>
              <w:pStyle w:val="TableText0"/>
              <w:rPr>
                <w:u w:val="single"/>
              </w:rPr>
            </w:pPr>
          </w:p>
        </w:tc>
        <w:tc>
          <w:tcPr>
            <w:tcW w:w="1762" w:type="dxa"/>
            <w:tcBorders>
              <w:right w:val="single" w:sz="4" w:space="0" w:color="auto"/>
            </w:tcBorders>
          </w:tcPr>
          <w:p w:rsidR="00AF1A6C" w:rsidRPr="00AF1D7D" w:rsidRDefault="00AF1A6C" w:rsidP="00385BBF">
            <w:pPr>
              <w:pStyle w:val="TableText0"/>
              <w:rPr>
                <w:u w:val="single"/>
              </w:rPr>
            </w:pPr>
            <w:r>
              <w:rPr>
                <w:u w:val="single"/>
              </w:rPr>
              <w:lastRenderedPageBreak/>
              <w:t>Comparison with historical cohort</w:t>
            </w:r>
          </w:p>
          <w:p w:rsidR="00AF1A6C" w:rsidRDefault="00AF1A6C" w:rsidP="00385BBF">
            <w:pPr>
              <w:pStyle w:val="TableText0"/>
            </w:pPr>
            <w:r>
              <w:t>Survival</w:t>
            </w:r>
          </w:p>
          <w:p w:rsidR="00AF1A6C" w:rsidRDefault="00AF1A6C" w:rsidP="00385BBF">
            <w:pPr>
              <w:pStyle w:val="TableText0"/>
            </w:pPr>
            <w:r>
              <w:t>Survival free of long-term ventilator dependence</w:t>
            </w:r>
          </w:p>
          <w:p w:rsidR="00AF1A6C" w:rsidRDefault="00AF1A6C" w:rsidP="00385BBF">
            <w:pPr>
              <w:pStyle w:val="TableText0"/>
            </w:pPr>
            <w:r>
              <w:t xml:space="preserve">Kaplan-Meier time to </w:t>
            </w:r>
            <w:r>
              <w:lastRenderedPageBreak/>
              <w:t>event analysis</w:t>
            </w:r>
          </w:p>
          <w:p w:rsidR="00AF1A6C" w:rsidRDefault="00AF1A6C" w:rsidP="00385BBF">
            <w:pPr>
              <w:pStyle w:val="TableText0"/>
            </w:pPr>
            <w:r>
              <w:t>Log-rank test for differences in survival distributions</w:t>
            </w:r>
          </w:p>
          <w:p w:rsidR="00AF1A6C" w:rsidRPr="00AF1D7D" w:rsidRDefault="00AF1A6C" w:rsidP="00385BBF">
            <w:pPr>
              <w:pStyle w:val="TableText0"/>
            </w:pPr>
            <w:r>
              <w:rPr>
                <w:u w:val="single"/>
              </w:rPr>
              <w:t>Change from baseline</w:t>
            </w:r>
          </w:p>
          <w:p w:rsidR="00AF1A6C" w:rsidRDefault="00AF1A6C" w:rsidP="00385BBF">
            <w:pPr>
              <w:pStyle w:val="TableText0"/>
            </w:pPr>
            <w:r>
              <w:t>Left ventricular ejection fraction</w:t>
            </w:r>
          </w:p>
          <w:p w:rsidR="00AF1A6C" w:rsidRDefault="00AF1A6C" w:rsidP="00385BBF">
            <w:pPr>
              <w:pStyle w:val="TableText0"/>
            </w:pPr>
            <w:r>
              <w:t>LVMI</w:t>
            </w:r>
          </w:p>
          <w:p w:rsidR="00AF1A6C" w:rsidRPr="00202417" w:rsidRDefault="00E66055" w:rsidP="00385BBF">
            <w:pPr>
              <w:pStyle w:val="TableText0"/>
            </w:pPr>
            <w:r>
              <w:t>Arrhythmias</w:t>
            </w:r>
          </w:p>
        </w:tc>
        <w:tc>
          <w:tcPr>
            <w:tcW w:w="1176" w:type="dxa"/>
            <w:tcBorders>
              <w:left w:val="single" w:sz="4" w:space="0" w:color="auto"/>
            </w:tcBorders>
          </w:tcPr>
          <w:p w:rsidR="00AF1A6C" w:rsidRDefault="00AF1A6C" w:rsidP="00385BBF">
            <w:pPr>
              <w:pStyle w:val="TableText0"/>
            </w:pPr>
            <w:r>
              <w:rPr>
                <w:u w:val="single"/>
              </w:rPr>
              <w:lastRenderedPageBreak/>
              <w:t>Intervention group</w:t>
            </w:r>
          </w:p>
          <w:p w:rsidR="00AF1A6C" w:rsidRDefault="00AF1A6C" w:rsidP="00385BBF">
            <w:pPr>
              <w:pStyle w:val="TableText0"/>
            </w:pPr>
            <w:r>
              <w:t>Duration of treatment, mean ±SD: 2.0 ±1.7 years</w:t>
            </w:r>
          </w:p>
          <w:p w:rsidR="00AF1A6C" w:rsidRDefault="00AF1A6C" w:rsidP="00385BBF">
            <w:pPr>
              <w:pStyle w:val="TableText0"/>
            </w:pPr>
            <w:r>
              <w:lastRenderedPageBreak/>
              <w:t>Median 1.6 years, range 0.26 to 5.2 years</w:t>
            </w:r>
          </w:p>
          <w:p w:rsidR="00AF1A6C" w:rsidRDefault="00AF1A6C" w:rsidP="00385BBF">
            <w:pPr>
              <w:pStyle w:val="TableText0"/>
            </w:pPr>
            <w:r>
              <w:rPr>
                <w:u w:val="single"/>
              </w:rPr>
              <w:t>Control group</w:t>
            </w:r>
          </w:p>
          <w:p w:rsidR="00AF1A6C" w:rsidRPr="000F352D" w:rsidRDefault="00AF1A6C" w:rsidP="00385BBF">
            <w:pPr>
              <w:pStyle w:val="TableText0"/>
            </w:pPr>
            <w:r>
              <w:t>Not reported</w:t>
            </w:r>
          </w:p>
        </w:tc>
        <w:tc>
          <w:tcPr>
            <w:tcW w:w="1490" w:type="dxa"/>
          </w:tcPr>
          <w:p w:rsidR="00AF1A6C" w:rsidRDefault="00AF1A6C" w:rsidP="00385BBF">
            <w:pPr>
              <w:pStyle w:val="TableText0"/>
            </w:pPr>
            <w:r>
              <w:lastRenderedPageBreak/>
              <w:t>Historical controls born before June 2002</w:t>
            </w:r>
          </w:p>
          <w:p w:rsidR="00AF1A6C" w:rsidRDefault="00AF1A6C" w:rsidP="00385BBF">
            <w:pPr>
              <w:pStyle w:val="TableText0"/>
            </w:pPr>
            <w:r>
              <w:t xml:space="preserve">Treated patients born after or survived to </w:t>
            </w:r>
            <w:r>
              <w:lastRenderedPageBreak/>
              <w:t>December 2002</w:t>
            </w:r>
          </w:p>
          <w:p w:rsidR="00AF1A6C" w:rsidRDefault="00AF1A6C" w:rsidP="00385BBF">
            <w:pPr>
              <w:pStyle w:val="TableText0"/>
            </w:pPr>
            <w:r>
              <w:t>Very poorly reported</w:t>
            </w:r>
          </w:p>
        </w:tc>
      </w:tr>
      <w:tr w:rsidR="00AF1A6C" w:rsidRPr="00F1301E" w:rsidTr="00865A5F">
        <w:trPr>
          <w:trHeight w:val="521"/>
        </w:trPr>
        <w:tc>
          <w:tcPr>
            <w:tcW w:w="1242" w:type="dxa"/>
          </w:tcPr>
          <w:p w:rsidR="00AF1A6C" w:rsidRDefault="00A130D0" w:rsidP="00385BBF">
            <w:pPr>
              <w:pStyle w:val="TableText0"/>
            </w:pPr>
            <w:r>
              <w:rPr>
                <w:noProof/>
              </w:rPr>
              <w:lastRenderedPageBreak/>
              <w:t>(</w:t>
            </w:r>
            <w:r w:rsidR="00184B6F">
              <w:rPr>
                <w:noProof/>
              </w:rPr>
              <w:t>Chien et al. 2009</w:t>
            </w:r>
            <w:r>
              <w:rPr>
                <w:noProof/>
              </w:rPr>
              <w:t>)</w:t>
            </w:r>
          </w:p>
          <w:p w:rsidR="00AF1A6C" w:rsidRPr="00202417" w:rsidRDefault="00AF1A6C" w:rsidP="00385BBF">
            <w:pPr>
              <w:pStyle w:val="TableText0"/>
            </w:pPr>
            <w:r>
              <w:t>Taiwan</w:t>
            </w:r>
          </w:p>
        </w:tc>
        <w:tc>
          <w:tcPr>
            <w:tcW w:w="1418" w:type="dxa"/>
          </w:tcPr>
          <w:p w:rsidR="00AF1A6C" w:rsidRDefault="00AF1A6C" w:rsidP="00385BBF">
            <w:pPr>
              <w:pStyle w:val="TableText0"/>
            </w:pPr>
            <w:r>
              <w:t>Historical control</w:t>
            </w:r>
          </w:p>
          <w:p w:rsidR="00AF1A6C" w:rsidRDefault="00AF1A6C" w:rsidP="00385BBF">
            <w:pPr>
              <w:pStyle w:val="TableText0"/>
            </w:pPr>
            <w:r>
              <w:t>Level: III-3</w:t>
            </w:r>
          </w:p>
          <w:p w:rsidR="00AF1A6C" w:rsidRDefault="00AF1A6C" w:rsidP="00385BBF">
            <w:pPr>
              <w:pStyle w:val="TableText0"/>
            </w:pPr>
            <w:r>
              <w:t>Quality: - (SIGN)</w:t>
            </w:r>
          </w:p>
        </w:tc>
        <w:tc>
          <w:tcPr>
            <w:tcW w:w="2693" w:type="dxa"/>
          </w:tcPr>
          <w:p w:rsidR="00AF1A6C" w:rsidRPr="000F352D" w:rsidRDefault="00AF1A6C" w:rsidP="00385BBF">
            <w:pPr>
              <w:pStyle w:val="TableText0"/>
            </w:pPr>
            <w:r>
              <w:rPr>
                <w:u w:val="single"/>
              </w:rPr>
              <w:t>Study population</w:t>
            </w:r>
          </w:p>
          <w:p w:rsidR="00AF1A6C" w:rsidRDefault="00AF1A6C" w:rsidP="00385BBF">
            <w:pPr>
              <w:pStyle w:val="TableText0"/>
            </w:pPr>
            <w:r>
              <w:t>N</w:t>
            </w:r>
            <w:r w:rsidR="00652355" w:rsidRPr="00652355">
              <w:rPr>
                <w:spacing w:val="-20"/>
              </w:rPr>
              <w:t xml:space="preserve"> = </w:t>
            </w:r>
            <w:r>
              <w:t>6</w:t>
            </w:r>
          </w:p>
          <w:p w:rsidR="00AF1A6C" w:rsidRDefault="00AF1A6C" w:rsidP="00385BBF">
            <w:pPr>
              <w:pStyle w:val="TableText0"/>
            </w:pPr>
            <w:r>
              <w:t>Age at diagnosis: median 20.5 days, range 7 to 40</w:t>
            </w:r>
          </w:p>
          <w:p w:rsidR="00AF1A6C" w:rsidRDefault="00AF1A6C" w:rsidP="00385BBF">
            <w:pPr>
              <w:pStyle w:val="TableText0"/>
            </w:pPr>
            <w:r>
              <w:t>Age at first infusion: median 27.5 days, range 12 days to 14 months</w:t>
            </w:r>
          </w:p>
          <w:p w:rsidR="00AF1A6C" w:rsidRDefault="00AF1A6C" w:rsidP="00385BBF">
            <w:pPr>
              <w:pStyle w:val="TableText0"/>
            </w:pPr>
            <w:r>
              <w:t>GAA activity in fibroblasts, mean ± SD: 0.20 ±0.25 nmol/mg/hr (normal &gt;60nmol/mg/hr)</w:t>
            </w:r>
          </w:p>
          <w:p w:rsidR="00AF1A6C" w:rsidRDefault="00AF1A6C" w:rsidP="00385BBF">
            <w:pPr>
              <w:pStyle w:val="TableText0"/>
            </w:pPr>
            <w:r>
              <w:lastRenderedPageBreak/>
              <w:t>CRIM positive 100%</w:t>
            </w:r>
          </w:p>
          <w:p w:rsidR="00AF1A6C" w:rsidRDefault="00AF1A6C" w:rsidP="00385BBF">
            <w:pPr>
              <w:pStyle w:val="TableText0"/>
            </w:pPr>
            <w:r w:rsidRPr="009D02C9">
              <w:rPr>
                <w:u w:val="single"/>
              </w:rPr>
              <w:t>Historical control</w:t>
            </w:r>
            <w:r>
              <w:rPr>
                <w:u w:val="single"/>
              </w:rPr>
              <w:t xml:space="preserve"> group</w:t>
            </w:r>
          </w:p>
          <w:p w:rsidR="00AF1A6C" w:rsidRDefault="00AF1A6C" w:rsidP="00385BBF">
            <w:pPr>
              <w:pStyle w:val="TableText0"/>
            </w:pPr>
            <w:r>
              <w:t>N</w:t>
            </w:r>
            <w:r w:rsidR="00652355" w:rsidRPr="00652355">
              <w:rPr>
                <w:spacing w:val="-20"/>
              </w:rPr>
              <w:t xml:space="preserve"> = </w:t>
            </w:r>
            <w:r>
              <w:t>11</w:t>
            </w:r>
          </w:p>
          <w:p w:rsidR="00AF1A6C" w:rsidRPr="007766E3" w:rsidRDefault="00AF1A6C" w:rsidP="00385BBF">
            <w:pPr>
              <w:pStyle w:val="TableText0"/>
            </w:pPr>
            <w:r w:rsidRPr="007766E3">
              <w:t>No details provided</w:t>
            </w:r>
          </w:p>
        </w:tc>
        <w:tc>
          <w:tcPr>
            <w:tcW w:w="2794" w:type="dxa"/>
          </w:tcPr>
          <w:p w:rsidR="00AF1A6C" w:rsidRPr="00240C71" w:rsidRDefault="00AF1A6C" w:rsidP="00385BBF">
            <w:pPr>
              <w:pStyle w:val="TableText0"/>
              <w:rPr>
                <w:u w:val="single"/>
              </w:rPr>
            </w:pPr>
            <w:r w:rsidRPr="00240C71">
              <w:rPr>
                <w:u w:val="single"/>
              </w:rPr>
              <w:lastRenderedPageBreak/>
              <w:t>Inclusion</w:t>
            </w:r>
          </w:p>
          <w:p w:rsidR="00AF1A6C" w:rsidRPr="00620444" w:rsidRDefault="00AF1A6C" w:rsidP="00385BBF">
            <w:pPr>
              <w:pStyle w:val="TableText0"/>
              <w:rPr>
                <w:i/>
              </w:rPr>
            </w:pPr>
            <w:r>
              <w:rPr>
                <w:i/>
              </w:rPr>
              <w:t>Intervention group</w:t>
            </w:r>
          </w:p>
          <w:p w:rsidR="00AF1A6C" w:rsidRDefault="00AF1A6C" w:rsidP="00385BBF">
            <w:pPr>
              <w:pStyle w:val="TableText0"/>
            </w:pPr>
            <w:r>
              <w:t>Provisional diagnosis from newborn screening dried blood spot specimen</w:t>
            </w:r>
          </w:p>
          <w:p w:rsidR="00AF1A6C" w:rsidRDefault="00AF1A6C" w:rsidP="00385BBF">
            <w:pPr>
              <w:pStyle w:val="TableText0"/>
            </w:pPr>
            <w:r>
              <w:t>Confirmed diagnosis by GAA activity in whole blood.</w:t>
            </w:r>
          </w:p>
          <w:p w:rsidR="00AF1A6C" w:rsidRDefault="00AF1A6C" w:rsidP="00385BBF">
            <w:pPr>
              <w:pStyle w:val="TableText0"/>
              <w:rPr>
                <w:i/>
              </w:rPr>
            </w:pPr>
            <w:r>
              <w:rPr>
                <w:i/>
              </w:rPr>
              <w:t>Historical control group</w:t>
            </w:r>
          </w:p>
          <w:p w:rsidR="00AF1A6C" w:rsidRDefault="00AF1A6C" w:rsidP="00385BBF">
            <w:pPr>
              <w:pStyle w:val="TableText0"/>
            </w:pPr>
            <w:r>
              <w:t xml:space="preserve">Patients who were treated at the same centre who died before the </w:t>
            </w:r>
            <w:r>
              <w:lastRenderedPageBreak/>
              <w:t>availability of ERT (these patients were included in the retrospective chart review conducted by Kishnani et al (2006))</w:t>
            </w:r>
          </w:p>
          <w:p w:rsidR="00AF1A6C" w:rsidRDefault="00AF1A6C" w:rsidP="00385BBF">
            <w:pPr>
              <w:pStyle w:val="TableText0"/>
            </w:pPr>
            <w:r>
              <w:t>Documented GAA enzyme deficiency or GAA mutation</w:t>
            </w:r>
          </w:p>
          <w:p w:rsidR="00AF1A6C" w:rsidRPr="00B7451B" w:rsidRDefault="00AF1A6C" w:rsidP="00385BBF">
            <w:pPr>
              <w:pStyle w:val="TableText0"/>
            </w:pPr>
            <w:r>
              <w:t>Onset of signs or symptoms by 12 months of age</w:t>
            </w:r>
          </w:p>
        </w:tc>
        <w:tc>
          <w:tcPr>
            <w:tcW w:w="1685" w:type="dxa"/>
          </w:tcPr>
          <w:p w:rsidR="00AF1A6C" w:rsidRPr="00240C71" w:rsidRDefault="00AF1A6C" w:rsidP="00385BBF">
            <w:pPr>
              <w:pStyle w:val="TableText0"/>
              <w:rPr>
                <w:u w:val="single"/>
              </w:rPr>
            </w:pPr>
            <w:r w:rsidRPr="00240C71">
              <w:rPr>
                <w:u w:val="single"/>
              </w:rPr>
              <w:lastRenderedPageBreak/>
              <w:t>Intervention</w:t>
            </w:r>
          </w:p>
          <w:p w:rsidR="00AF1A6C" w:rsidRPr="00B7451B" w:rsidRDefault="00AF1A6C" w:rsidP="00385BBF">
            <w:pPr>
              <w:pStyle w:val="TableText0"/>
            </w:pPr>
            <w:r w:rsidRPr="00B7451B">
              <w:t>ITT n</w:t>
            </w:r>
            <w:r w:rsidR="00652355" w:rsidRPr="00652355">
              <w:rPr>
                <w:spacing w:val="-20"/>
              </w:rPr>
              <w:t xml:space="preserve"> = </w:t>
            </w:r>
            <w:r>
              <w:t>6</w:t>
            </w:r>
          </w:p>
          <w:p w:rsidR="00AF1A6C" w:rsidRPr="00B7451B" w:rsidRDefault="00AF1A6C" w:rsidP="00385BBF">
            <w:pPr>
              <w:pStyle w:val="TableText0"/>
            </w:pPr>
            <w:r w:rsidRPr="00B7451B">
              <w:t>LTF</w:t>
            </w:r>
            <w:r w:rsidR="00652355" w:rsidRPr="00652355">
              <w:rPr>
                <w:spacing w:val="-20"/>
              </w:rPr>
              <w:t xml:space="preserve"> = </w:t>
            </w:r>
            <w:r>
              <w:t>0</w:t>
            </w:r>
          </w:p>
          <w:p w:rsidR="00AF1A6C" w:rsidRDefault="00AF1A6C" w:rsidP="00385BBF">
            <w:pPr>
              <w:pStyle w:val="TableText0"/>
            </w:pPr>
            <w:r>
              <w:t>Alglucosidase alfa 20mg/kg every other week</w:t>
            </w:r>
          </w:p>
          <w:p w:rsidR="00AF1A6C" w:rsidRPr="00B7451B" w:rsidRDefault="00AF1A6C" w:rsidP="00385BBF">
            <w:pPr>
              <w:pStyle w:val="TableText0"/>
            </w:pPr>
            <w:r>
              <w:t xml:space="preserve">Patients with cardiomyopathy at diagnosis commenced </w:t>
            </w:r>
            <w:r>
              <w:lastRenderedPageBreak/>
              <w:t>treatment within 7 days of diagnosis (N</w:t>
            </w:r>
            <w:r w:rsidR="00652355" w:rsidRPr="00652355">
              <w:rPr>
                <w:spacing w:val="-20"/>
              </w:rPr>
              <w:t xml:space="preserve"> = </w:t>
            </w:r>
            <w:r>
              <w:t>5); asymptomatic patients commenced when Pompe-associated symptoms appeared (N</w:t>
            </w:r>
            <w:r w:rsidR="00652355" w:rsidRPr="00652355">
              <w:rPr>
                <w:spacing w:val="-20"/>
              </w:rPr>
              <w:t xml:space="preserve"> = </w:t>
            </w:r>
            <w:r>
              <w:t>1)</w:t>
            </w:r>
          </w:p>
          <w:p w:rsidR="00AF1A6C" w:rsidRPr="001F4286" w:rsidRDefault="00AF1A6C" w:rsidP="00385BBF">
            <w:pPr>
              <w:pStyle w:val="TableText0"/>
              <w:rPr>
                <w:u w:val="single"/>
              </w:rPr>
            </w:pPr>
            <w:r w:rsidRPr="001F4286">
              <w:rPr>
                <w:u w:val="single"/>
              </w:rPr>
              <w:t>Historical comparator</w:t>
            </w:r>
          </w:p>
          <w:p w:rsidR="00AF1A6C" w:rsidRDefault="00AF1A6C" w:rsidP="00385BBF">
            <w:pPr>
              <w:pStyle w:val="TableText0"/>
            </w:pPr>
            <w:r>
              <w:t>ITT, n</w:t>
            </w:r>
            <w:r w:rsidR="00652355" w:rsidRPr="00652355">
              <w:rPr>
                <w:spacing w:val="-20"/>
              </w:rPr>
              <w:t xml:space="preserve"> = </w:t>
            </w:r>
            <w:r>
              <w:t>11</w:t>
            </w:r>
          </w:p>
          <w:p w:rsidR="00AF1A6C" w:rsidRPr="00240C71" w:rsidRDefault="00AF1A6C" w:rsidP="00865A5F">
            <w:pPr>
              <w:pStyle w:val="TableText0"/>
              <w:rPr>
                <w:u w:val="single"/>
              </w:rPr>
            </w:pPr>
            <w:r>
              <w:t>Standard care</w:t>
            </w:r>
          </w:p>
        </w:tc>
        <w:tc>
          <w:tcPr>
            <w:tcW w:w="1762" w:type="dxa"/>
            <w:tcBorders>
              <w:right w:val="single" w:sz="4" w:space="0" w:color="auto"/>
            </w:tcBorders>
          </w:tcPr>
          <w:p w:rsidR="00AF1A6C" w:rsidRPr="001D787B" w:rsidRDefault="00AF1A6C" w:rsidP="00385BBF">
            <w:pPr>
              <w:pStyle w:val="TableText0"/>
            </w:pPr>
            <w:r>
              <w:rPr>
                <w:u w:val="single"/>
              </w:rPr>
              <w:lastRenderedPageBreak/>
              <w:t>Comparison with historical cohort</w:t>
            </w:r>
          </w:p>
          <w:p w:rsidR="00AF1A6C" w:rsidRDefault="00AF1A6C" w:rsidP="00385BBF">
            <w:pPr>
              <w:pStyle w:val="TableText0"/>
            </w:pPr>
            <w:r>
              <w:t>Survival</w:t>
            </w:r>
          </w:p>
          <w:p w:rsidR="00AF1A6C" w:rsidRDefault="00AF1A6C" w:rsidP="00385BBF">
            <w:pPr>
              <w:pStyle w:val="TableText0"/>
            </w:pPr>
            <w:r>
              <w:t>Survival free of ventilation</w:t>
            </w:r>
          </w:p>
          <w:p w:rsidR="00AF1A6C" w:rsidRDefault="00AF1A6C" w:rsidP="00385BBF">
            <w:pPr>
              <w:pStyle w:val="TableText0"/>
            </w:pPr>
            <w:r>
              <w:t>Independent walking</w:t>
            </w:r>
          </w:p>
          <w:p w:rsidR="00AF1A6C" w:rsidRDefault="00AF1A6C" w:rsidP="00385BBF">
            <w:pPr>
              <w:pStyle w:val="TableText0"/>
            </w:pPr>
            <w:r>
              <w:t>Time to walking</w:t>
            </w:r>
          </w:p>
          <w:p w:rsidR="00AF1A6C" w:rsidRDefault="00E66055" w:rsidP="00385BBF">
            <w:pPr>
              <w:pStyle w:val="TableText0"/>
            </w:pPr>
            <w:r>
              <w:t>Analysis</w:t>
            </w:r>
            <w:r w:rsidR="00AF1A6C">
              <w:t>: Kaplan-Meier analysis</w:t>
            </w:r>
          </w:p>
          <w:p w:rsidR="00AF1A6C" w:rsidRPr="007766E3" w:rsidRDefault="00AF1A6C" w:rsidP="00385BBF">
            <w:pPr>
              <w:pStyle w:val="TableText0"/>
              <w:rPr>
                <w:u w:val="single"/>
              </w:rPr>
            </w:pPr>
            <w:r>
              <w:rPr>
                <w:u w:val="single"/>
              </w:rPr>
              <w:lastRenderedPageBreak/>
              <w:t>Change from baseline</w:t>
            </w:r>
          </w:p>
          <w:p w:rsidR="00AF1A6C" w:rsidRDefault="00AF1A6C" w:rsidP="00385BBF">
            <w:pPr>
              <w:pStyle w:val="TableText0"/>
            </w:pPr>
            <w:r>
              <w:t>Cardiac parameters</w:t>
            </w:r>
          </w:p>
          <w:p w:rsidR="00AF1A6C" w:rsidRDefault="00AF1A6C" w:rsidP="00385BBF">
            <w:pPr>
              <w:pStyle w:val="TableText0"/>
            </w:pPr>
            <w:r>
              <w:t>Motor and cognitive development</w:t>
            </w:r>
          </w:p>
          <w:p w:rsidR="00AF1A6C" w:rsidRDefault="00AF1A6C" w:rsidP="00385BBF">
            <w:pPr>
              <w:pStyle w:val="TableText0"/>
            </w:pPr>
            <w:r>
              <w:t>Muscle histology</w:t>
            </w:r>
          </w:p>
        </w:tc>
        <w:tc>
          <w:tcPr>
            <w:tcW w:w="1176" w:type="dxa"/>
            <w:tcBorders>
              <w:left w:val="single" w:sz="4" w:space="0" w:color="auto"/>
            </w:tcBorders>
          </w:tcPr>
          <w:p w:rsidR="00AF1A6C" w:rsidRDefault="00AF1A6C" w:rsidP="00385BBF">
            <w:pPr>
              <w:pStyle w:val="TableText0"/>
            </w:pPr>
            <w:r>
              <w:lastRenderedPageBreak/>
              <w:t>To 15-40 months of age</w:t>
            </w:r>
          </w:p>
          <w:p w:rsidR="00AF1A6C" w:rsidRDefault="00AF1A6C" w:rsidP="00385BBF">
            <w:pPr>
              <w:pStyle w:val="TableText0"/>
            </w:pPr>
            <w:r>
              <w:t>Duration of treatment 14 to 33 months</w:t>
            </w:r>
          </w:p>
        </w:tc>
        <w:tc>
          <w:tcPr>
            <w:tcW w:w="1490" w:type="dxa"/>
          </w:tcPr>
          <w:p w:rsidR="00AF1A6C" w:rsidRDefault="00AF1A6C" w:rsidP="00385BBF">
            <w:pPr>
              <w:pStyle w:val="TableText0"/>
            </w:pPr>
          </w:p>
        </w:tc>
      </w:tr>
      <w:tr w:rsidR="00AF1A6C" w:rsidRPr="00F1301E" w:rsidTr="006D652A">
        <w:tc>
          <w:tcPr>
            <w:tcW w:w="1242" w:type="dxa"/>
          </w:tcPr>
          <w:p w:rsidR="00AF1A6C" w:rsidRPr="008931ED" w:rsidRDefault="00AF1A6C" w:rsidP="00385BBF">
            <w:pPr>
              <w:pStyle w:val="TableText0"/>
            </w:pPr>
            <w:r>
              <w:lastRenderedPageBreak/>
              <w:t>Long-term outcomes</w:t>
            </w:r>
          </w:p>
        </w:tc>
        <w:tc>
          <w:tcPr>
            <w:tcW w:w="1418" w:type="dxa"/>
          </w:tcPr>
          <w:p w:rsidR="00AF1A6C" w:rsidRDefault="00AF1A6C" w:rsidP="00385BBF">
            <w:pPr>
              <w:pStyle w:val="TableText0"/>
            </w:pPr>
          </w:p>
        </w:tc>
        <w:tc>
          <w:tcPr>
            <w:tcW w:w="2693" w:type="dxa"/>
          </w:tcPr>
          <w:p w:rsidR="00AF1A6C" w:rsidRDefault="00AF1A6C" w:rsidP="00385BBF">
            <w:pPr>
              <w:pStyle w:val="TableText0"/>
              <w:rPr>
                <w:u w:val="single"/>
              </w:rPr>
            </w:pPr>
          </w:p>
        </w:tc>
        <w:tc>
          <w:tcPr>
            <w:tcW w:w="2794" w:type="dxa"/>
          </w:tcPr>
          <w:p w:rsidR="00AF1A6C" w:rsidRPr="00240C71" w:rsidRDefault="00AF1A6C" w:rsidP="00385BBF">
            <w:pPr>
              <w:pStyle w:val="TableText0"/>
              <w:rPr>
                <w:u w:val="single"/>
              </w:rPr>
            </w:pPr>
          </w:p>
        </w:tc>
        <w:tc>
          <w:tcPr>
            <w:tcW w:w="1685" w:type="dxa"/>
          </w:tcPr>
          <w:p w:rsidR="00AF1A6C" w:rsidRPr="00240C71" w:rsidRDefault="00AF1A6C" w:rsidP="00385BBF">
            <w:pPr>
              <w:pStyle w:val="TableText0"/>
              <w:rPr>
                <w:u w:val="single"/>
              </w:rPr>
            </w:pPr>
          </w:p>
        </w:tc>
        <w:tc>
          <w:tcPr>
            <w:tcW w:w="1762" w:type="dxa"/>
            <w:tcBorders>
              <w:right w:val="single" w:sz="4" w:space="0" w:color="auto"/>
            </w:tcBorders>
          </w:tcPr>
          <w:p w:rsidR="00AF1A6C" w:rsidRDefault="00AF1A6C" w:rsidP="00385BBF">
            <w:pPr>
              <w:pStyle w:val="TableText0"/>
              <w:rPr>
                <w:u w:val="single"/>
              </w:rPr>
            </w:pPr>
          </w:p>
        </w:tc>
        <w:tc>
          <w:tcPr>
            <w:tcW w:w="1176" w:type="dxa"/>
            <w:tcBorders>
              <w:left w:val="single" w:sz="4" w:space="0" w:color="auto"/>
            </w:tcBorders>
          </w:tcPr>
          <w:p w:rsidR="00AF1A6C" w:rsidRDefault="00AF1A6C" w:rsidP="00385BBF">
            <w:pPr>
              <w:pStyle w:val="TableText0"/>
            </w:pPr>
          </w:p>
        </w:tc>
        <w:tc>
          <w:tcPr>
            <w:tcW w:w="1490" w:type="dxa"/>
          </w:tcPr>
          <w:p w:rsidR="00AF1A6C" w:rsidRDefault="00AF1A6C" w:rsidP="00385BBF">
            <w:pPr>
              <w:pStyle w:val="TableText0"/>
            </w:pPr>
          </w:p>
        </w:tc>
      </w:tr>
      <w:tr w:rsidR="00AF1A6C" w:rsidRPr="00F1301E" w:rsidTr="006D652A">
        <w:tc>
          <w:tcPr>
            <w:tcW w:w="1242" w:type="dxa"/>
          </w:tcPr>
          <w:p w:rsidR="00AF1A6C" w:rsidRDefault="00A130D0" w:rsidP="00385BBF">
            <w:pPr>
              <w:pStyle w:val="TableText0"/>
            </w:pPr>
            <w:r>
              <w:rPr>
                <w:noProof/>
              </w:rPr>
              <w:t>(</w:t>
            </w:r>
            <w:r w:rsidR="00184B6F">
              <w:rPr>
                <w:noProof/>
              </w:rPr>
              <w:t>Prater et al. 2012</w:t>
            </w:r>
            <w:r>
              <w:rPr>
                <w:noProof/>
              </w:rPr>
              <w:t>)</w:t>
            </w:r>
          </w:p>
          <w:p w:rsidR="00AF1A6C" w:rsidRDefault="00AF1A6C" w:rsidP="00385BBF">
            <w:pPr>
              <w:pStyle w:val="TableText0"/>
            </w:pPr>
            <w:r>
              <w:t>US, Europe, Taiwan, Israel</w:t>
            </w:r>
          </w:p>
        </w:tc>
        <w:tc>
          <w:tcPr>
            <w:tcW w:w="1418" w:type="dxa"/>
          </w:tcPr>
          <w:p w:rsidR="00AF1A6C" w:rsidRDefault="00AF1A6C" w:rsidP="00385BBF">
            <w:pPr>
              <w:pStyle w:val="TableText0"/>
            </w:pPr>
            <w:r>
              <w:t>Case series</w:t>
            </w:r>
          </w:p>
          <w:p w:rsidR="00AF1A6C" w:rsidRDefault="00AF1A6C" w:rsidP="00385BBF">
            <w:pPr>
              <w:pStyle w:val="TableText0"/>
            </w:pPr>
            <w:r>
              <w:t>Level: IV</w:t>
            </w:r>
          </w:p>
          <w:p w:rsidR="00AF1A6C" w:rsidRDefault="00AF1A6C" w:rsidP="00385BBF">
            <w:pPr>
              <w:pStyle w:val="TableText0"/>
            </w:pPr>
            <w:r>
              <w:t>Quality: Moderate (NHS CRD)</w:t>
            </w:r>
          </w:p>
        </w:tc>
        <w:tc>
          <w:tcPr>
            <w:tcW w:w="2693" w:type="dxa"/>
          </w:tcPr>
          <w:p w:rsidR="00AF1A6C" w:rsidRDefault="00AF1A6C" w:rsidP="00385BBF">
            <w:pPr>
              <w:pStyle w:val="TableText0"/>
            </w:pPr>
            <w:r w:rsidRPr="00601489">
              <w:t>N</w:t>
            </w:r>
            <w:r w:rsidR="00652355" w:rsidRPr="00652355">
              <w:rPr>
                <w:spacing w:val="-20"/>
              </w:rPr>
              <w:t xml:space="preserve"> = </w:t>
            </w:r>
            <w:r w:rsidRPr="00601489">
              <w:t>11</w:t>
            </w:r>
          </w:p>
          <w:p w:rsidR="00AF1A6C" w:rsidRDefault="00AF1A6C" w:rsidP="00385BBF">
            <w:pPr>
              <w:pStyle w:val="TableText0"/>
            </w:pPr>
            <w:r>
              <w:t>CRIM positive 100%</w:t>
            </w:r>
          </w:p>
          <w:p w:rsidR="00AF1A6C" w:rsidRDefault="00AF1A6C" w:rsidP="00385BBF">
            <w:pPr>
              <w:pStyle w:val="TableText0"/>
            </w:pPr>
            <w:r>
              <w:t>Age at diagnosis</w:t>
            </w:r>
            <w:r>
              <w:rPr>
                <w:vertAlign w:val="superscript"/>
              </w:rPr>
              <w:t>b</w:t>
            </w:r>
            <w:r>
              <w:t xml:space="preserve">, median (range): 3.2 months (-0.5 to 5.5 months) </w:t>
            </w:r>
          </w:p>
          <w:p w:rsidR="00AF1A6C" w:rsidRDefault="00AF1A6C" w:rsidP="00385BBF">
            <w:pPr>
              <w:pStyle w:val="TableText0"/>
            </w:pPr>
            <w:r>
              <w:t>Age at treatment initiation, median (range): 4.9 months (0.2 to 6.0 months)</w:t>
            </w:r>
          </w:p>
          <w:p w:rsidR="00AF1A6C" w:rsidRPr="00601489" w:rsidRDefault="00AF1A6C" w:rsidP="00385BBF">
            <w:pPr>
              <w:pStyle w:val="TableText0"/>
            </w:pPr>
            <w:r>
              <w:t>Age at study database lock, median (range): 8.0 years (5.4-12.0 years)</w:t>
            </w:r>
          </w:p>
        </w:tc>
        <w:tc>
          <w:tcPr>
            <w:tcW w:w="2794" w:type="dxa"/>
          </w:tcPr>
          <w:p w:rsidR="00AF1A6C" w:rsidRDefault="00AF1A6C" w:rsidP="00385BBF">
            <w:pPr>
              <w:pStyle w:val="TableText0"/>
              <w:rPr>
                <w:u w:val="single"/>
              </w:rPr>
            </w:pPr>
            <w:r w:rsidRPr="00601489">
              <w:rPr>
                <w:u w:val="single"/>
              </w:rPr>
              <w:t>Inclusion</w:t>
            </w:r>
          </w:p>
          <w:p w:rsidR="00AF1A6C" w:rsidRDefault="00AF1A6C" w:rsidP="00385BBF">
            <w:pPr>
              <w:pStyle w:val="TableText0"/>
            </w:pPr>
            <w:r>
              <w:t>Onset of symptoms</w:t>
            </w:r>
            <w:r w:rsidRPr="00601489">
              <w:t>≤</w:t>
            </w:r>
            <w:r>
              <w:t>6 months of corrected gestational age</w:t>
            </w:r>
          </w:p>
          <w:p w:rsidR="00AF1A6C" w:rsidRDefault="00AF1A6C" w:rsidP="00385BBF">
            <w:pPr>
              <w:pStyle w:val="TableText0"/>
            </w:pPr>
            <w:r>
              <w:t>GAA activity in skin fibroblast or muscle biopsy &lt;1% of the control mean value</w:t>
            </w:r>
          </w:p>
          <w:p w:rsidR="00AF1A6C" w:rsidRDefault="00AF1A6C" w:rsidP="00385BBF">
            <w:pPr>
              <w:pStyle w:val="TableText0"/>
            </w:pPr>
            <w:r>
              <w:t>Presence of cardiomyopathy (LVMI &gt;64g/m</w:t>
            </w:r>
            <w:r>
              <w:rPr>
                <w:vertAlign w:val="superscript"/>
              </w:rPr>
              <w:t>2</w:t>
            </w:r>
          </w:p>
          <w:p w:rsidR="00AF1A6C" w:rsidRDefault="00AF1A6C" w:rsidP="00385BBF">
            <w:pPr>
              <w:pStyle w:val="TableText0"/>
            </w:pPr>
            <w:r>
              <w:t>Absence of ventilator support before the start of ERT</w:t>
            </w:r>
          </w:p>
          <w:p w:rsidR="00AF1A6C" w:rsidRDefault="00AF1A6C" w:rsidP="00385BBF">
            <w:pPr>
              <w:pStyle w:val="TableText0"/>
            </w:pPr>
            <w:r>
              <w:t xml:space="preserve">Age at ERT initiation </w:t>
            </w:r>
            <w:r w:rsidRPr="00601489">
              <w:t>≤</w:t>
            </w:r>
            <w:r>
              <w:t xml:space="preserve">6months by </w:t>
            </w:r>
            <w:r>
              <w:lastRenderedPageBreak/>
              <w:t>corrected gestational age</w:t>
            </w:r>
          </w:p>
          <w:p w:rsidR="00AF1A6C" w:rsidRPr="00601489" w:rsidRDefault="00AF1A6C" w:rsidP="00385BBF">
            <w:pPr>
              <w:pStyle w:val="TableText0"/>
            </w:pPr>
            <w:r>
              <w:t xml:space="preserve">Survival to age </w:t>
            </w:r>
            <w:r w:rsidRPr="00601489">
              <w:t>≥</w:t>
            </w:r>
            <w:r>
              <w:t>5 years at the most recent assessment</w:t>
            </w:r>
          </w:p>
        </w:tc>
        <w:tc>
          <w:tcPr>
            <w:tcW w:w="1685" w:type="dxa"/>
          </w:tcPr>
          <w:p w:rsidR="00AF1A6C" w:rsidRPr="001B5DE9" w:rsidRDefault="00AF1A6C" w:rsidP="00385BBF">
            <w:pPr>
              <w:pStyle w:val="TableText0"/>
              <w:rPr>
                <w:u w:val="single"/>
              </w:rPr>
            </w:pPr>
            <w:r w:rsidRPr="001B5DE9">
              <w:rPr>
                <w:u w:val="single"/>
              </w:rPr>
              <w:lastRenderedPageBreak/>
              <w:t>Intervention</w:t>
            </w:r>
          </w:p>
          <w:p w:rsidR="00AF1A6C" w:rsidRPr="001B5DE9" w:rsidRDefault="00AF1A6C" w:rsidP="00385BBF">
            <w:pPr>
              <w:pStyle w:val="TableText0"/>
            </w:pPr>
            <w:r>
              <w:t>Alglucosidase alfa by infusion at cumulative doses of 20-40mg/kg</w:t>
            </w:r>
          </w:p>
        </w:tc>
        <w:tc>
          <w:tcPr>
            <w:tcW w:w="1762" w:type="dxa"/>
            <w:tcBorders>
              <w:right w:val="single" w:sz="4" w:space="0" w:color="auto"/>
            </w:tcBorders>
          </w:tcPr>
          <w:p w:rsidR="00AF1A6C" w:rsidRPr="001D5437" w:rsidRDefault="00AF1A6C" w:rsidP="00385BBF">
            <w:pPr>
              <w:pStyle w:val="TableText0"/>
            </w:pPr>
            <w:r w:rsidRPr="001D5437">
              <w:t>Invasive ventilator-free survival</w:t>
            </w:r>
          </w:p>
          <w:p w:rsidR="00AF1A6C" w:rsidRDefault="00AF1A6C" w:rsidP="00385BBF">
            <w:pPr>
              <w:pStyle w:val="TableText0"/>
            </w:pPr>
            <w:r>
              <w:t>Cardiac status</w:t>
            </w:r>
          </w:p>
          <w:p w:rsidR="00AF1A6C" w:rsidRDefault="00AF1A6C" w:rsidP="00385BBF">
            <w:pPr>
              <w:pStyle w:val="TableText0"/>
            </w:pPr>
            <w:r>
              <w:t>Musculoskeletal, gross motor, ambulation and bone density assessments</w:t>
            </w:r>
          </w:p>
          <w:p w:rsidR="00AF1A6C" w:rsidRDefault="00AF1A6C" w:rsidP="00385BBF">
            <w:pPr>
              <w:pStyle w:val="TableText0"/>
            </w:pPr>
            <w:r>
              <w:t>Physical growth</w:t>
            </w:r>
          </w:p>
          <w:p w:rsidR="00AF1A6C" w:rsidRDefault="00AF1A6C" w:rsidP="00385BBF">
            <w:pPr>
              <w:pStyle w:val="TableText0"/>
            </w:pPr>
            <w:r>
              <w:t>Speech and hearing</w:t>
            </w:r>
          </w:p>
          <w:p w:rsidR="00AF1A6C" w:rsidRPr="001D5437" w:rsidRDefault="00AF1A6C" w:rsidP="00385BBF">
            <w:pPr>
              <w:pStyle w:val="TableText0"/>
            </w:pPr>
            <w:r>
              <w:t xml:space="preserve">Swallowing, gastrointestinal and </w:t>
            </w:r>
            <w:r>
              <w:lastRenderedPageBreak/>
              <w:t>nutrition outcomes</w:t>
            </w:r>
          </w:p>
        </w:tc>
        <w:tc>
          <w:tcPr>
            <w:tcW w:w="1176" w:type="dxa"/>
            <w:tcBorders>
              <w:left w:val="single" w:sz="4" w:space="0" w:color="auto"/>
            </w:tcBorders>
          </w:tcPr>
          <w:p w:rsidR="00AF1A6C" w:rsidRDefault="00AF1A6C" w:rsidP="00385BBF">
            <w:pPr>
              <w:pStyle w:val="TableText0"/>
            </w:pPr>
            <w:r>
              <w:lastRenderedPageBreak/>
              <w:t>NA</w:t>
            </w:r>
          </w:p>
        </w:tc>
        <w:tc>
          <w:tcPr>
            <w:tcW w:w="1490" w:type="dxa"/>
          </w:tcPr>
          <w:p w:rsidR="00AF1A6C" w:rsidRDefault="00AF1A6C" w:rsidP="00385BBF">
            <w:pPr>
              <w:pStyle w:val="TableText0"/>
            </w:pPr>
            <w:r>
              <w:t>Non-comparative</w:t>
            </w:r>
          </w:p>
        </w:tc>
      </w:tr>
    </w:tbl>
    <w:p w:rsidR="00AF1A6C" w:rsidRDefault="00AF1A6C" w:rsidP="00385BBF">
      <w:pPr>
        <w:pStyle w:val="TableNote"/>
      </w:pPr>
      <w:r>
        <w:lastRenderedPageBreak/>
        <w:t xml:space="preserve">AE </w:t>
      </w:r>
      <w:r w:rsidR="00652355" w:rsidRPr="00652355">
        <w:rPr>
          <w:spacing w:val="-20"/>
        </w:rPr>
        <w:t xml:space="preserve"> = </w:t>
      </w:r>
      <w:r>
        <w:t xml:space="preserve"> adverse event; AIMS </w:t>
      </w:r>
      <w:r w:rsidR="00652355" w:rsidRPr="00652355">
        <w:rPr>
          <w:spacing w:val="-20"/>
        </w:rPr>
        <w:t xml:space="preserve"> = </w:t>
      </w:r>
      <w:r>
        <w:t xml:space="preserve"> Alberta Infant Motor Scale; anti-rhGAA </w:t>
      </w:r>
      <w:r w:rsidR="00652355" w:rsidRPr="00652355">
        <w:rPr>
          <w:spacing w:val="-20"/>
        </w:rPr>
        <w:t xml:space="preserve"> = </w:t>
      </w:r>
      <w:r>
        <w:t xml:space="preserve"> anti-recombinant human acid alfa-glucosidase; BSID-II </w:t>
      </w:r>
      <w:r w:rsidR="00385BBF">
        <w:t>=</w:t>
      </w:r>
      <w:r>
        <w:t xml:space="preserve"> Bayley Scales of Infant Development, second edition; </w:t>
      </w:r>
      <w:r w:rsidRPr="00E70BB5">
        <w:t xml:space="preserve">CI </w:t>
      </w:r>
      <w:r w:rsidR="00652355" w:rsidRPr="00652355">
        <w:rPr>
          <w:spacing w:val="-20"/>
        </w:rPr>
        <w:t xml:space="preserve"> = </w:t>
      </w:r>
      <w:r w:rsidRPr="00E70BB5">
        <w:t xml:space="preserve"> 95% confidence interval; </w:t>
      </w:r>
      <w:r>
        <w:t xml:space="preserve">CRIM </w:t>
      </w:r>
      <w:r w:rsidR="00652355" w:rsidRPr="00652355">
        <w:rPr>
          <w:spacing w:val="-20"/>
        </w:rPr>
        <w:t xml:space="preserve"> = </w:t>
      </w:r>
      <w:r>
        <w:t xml:space="preserve"> cross-reactive immunological material; ERT </w:t>
      </w:r>
      <w:r w:rsidR="00652355" w:rsidRPr="00652355">
        <w:rPr>
          <w:spacing w:val="-20"/>
        </w:rPr>
        <w:t xml:space="preserve"> = </w:t>
      </w:r>
      <w:r>
        <w:t xml:space="preserve"> enzyme replacement therapy; GAA </w:t>
      </w:r>
      <w:r w:rsidR="00652355" w:rsidRPr="00652355">
        <w:rPr>
          <w:spacing w:val="-20"/>
        </w:rPr>
        <w:t xml:space="preserve"> = </w:t>
      </w:r>
      <w:r>
        <w:t xml:space="preserve"> acid alfa-</w:t>
      </w:r>
      <w:r w:rsidR="00E66055">
        <w:t>glucosidase</w:t>
      </w:r>
      <w:r>
        <w:t xml:space="preserve">;  </w:t>
      </w:r>
      <w:r w:rsidRPr="00E70BB5">
        <w:t xml:space="preserve">HR </w:t>
      </w:r>
      <w:r w:rsidR="00652355" w:rsidRPr="00652355">
        <w:rPr>
          <w:spacing w:val="-20"/>
        </w:rPr>
        <w:t xml:space="preserve"> = </w:t>
      </w:r>
      <w:r w:rsidRPr="00E70BB5">
        <w:t xml:space="preserve"> hazard ratio; </w:t>
      </w:r>
      <w:r>
        <w:t xml:space="preserve">IgG </w:t>
      </w:r>
      <w:r w:rsidR="00652355" w:rsidRPr="00652355">
        <w:rPr>
          <w:spacing w:val="-20"/>
        </w:rPr>
        <w:t xml:space="preserve"> = </w:t>
      </w:r>
      <w:r>
        <w:t xml:space="preserve"> immunoglobulin G; </w:t>
      </w:r>
      <w:r w:rsidRPr="00E70BB5">
        <w:t xml:space="preserve">IQR </w:t>
      </w:r>
      <w:r w:rsidR="00652355" w:rsidRPr="00652355">
        <w:rPr>
          <w:spacing w:val="-20"/>
        </w:rPr>
        <w:t xml:space="preserve"> = </w:t>
      </w:r>
      <w:r w:rsidRPr="00E70BB5">
        <w:t xml:space="preserve"> inter-quartile range; ITT </w:t>
      </w:r>
      <w:r w:rsidR="00652355" w:rsidRPr="00652355">
        <w:rPr>
          <w:spacing w:val="-20"/>
        </w:rPr>
        <w:t xml:space="preserve"> = </w:t>
      </w:r>
      <w:r w:rsidRPr="00E70BB5">
        <w:t xml:space="preserve"> intention to treat; LTF </w:t>
      </w:r>
      <w:r w:rsidR="00652355" w:rsidRPr="00652355">
        <w:rPr>
          <w:spacing w:val="-20"/>
        </w:rPr>
        <w:t xml:space="preserve"> = </w:t>
      </w:r>
      <w:r w:rsidRPr="00E70BB5">
        <w:t xml:space="preserve"> loss to follow-up; </w:t>
      </w:r>
      <w:r>
        <w:t xml:space="preserve">LVMI </w:t>
      </w:r>
      <w:r w:rsidR="00652355" w:rsidRPr="00652355">
        <w:rPr>
          <w:spacing w:val="-20"/>
        </w:rPr>
        <w:t xml:space="preserve"> = </w:t>
      </w:r>
      <w:r>
        <w:t xml:space="preserve"> left ventricular mass index; MDI </w:t>
      </w:r>
      <w:r w:rsidR="00652355" w:rsidRPr="00652355">
        <w:rPr>
          <w:spacing w:val="-20"/>
        </w:rPr>
        <w:t xml:space="preserve"> = </w:t>
      </w:r>
      <w:r>
        <w:t xml:space="preserve"> Mental Development Index; S CRD </w:t>
      </w:r>
      <w:r w:rsidR="00652355" w:rsidRPr="00652355">
        <w:rPr>
          <w:spacing w:val="-20"/>
        </w:rPr>
        <w:t xml:space="preserve"> = </w:t>
      </w:r>
      <w:r>
        <w:t xml:space="preserve"> National Health Centre for Reviews and Dissemination checklist; </w:t>
      </w:r>
      <w:r w:rsidRPr="00E70BB5">
        <w:t xml:space="preserve">OR </w:t>
      </w:r>
      <w:r w:rsidR="00652355" w:rsidRPr="00652355">
        <w:rPr>
          <w:spacing w:val="-20"/>
        </w:rPr>
        <w:t xml:space="preserve"> = </w:t>
      </w:r>
      <w:r w:rsidRPr="00E70BB5">
        <w:t xml:space="preserve"> odds ratio; </w:t>
      </w:r>
      <w:r>
        <w:t xml:space="preserve">PDMS-2 </w:t>
      </w:r>
      <w:r w:rsidR="00652355" w:rsidRPr="00652355">
        <w:rPr>
          <w:spacing w:val="-20"/>
        </w:rPr>
        <w:t xml:space="preserve"> = </w:t>
      </w:r>
      <w:r>
        <w:t xml:space="preserve"> Peabody Development Motor Scale, version 2; PEDI </w:t>
      </w:r>
      <w:r w:rsidR="00652355" w:rsidRPr="00652355">
        <w:rPr>
          <w:spacing w:val="-20"/>
        </w:rPr>
        <w:t xml:space="preserve"> = </w:t>
      </w:r>
      <w:r>
        <w:t xml:space="preserve"> Paediatric Evaluation of Disability Inventory; </w:t>
      </w:r>
      <w:r w:rsidRPr="00E70BB5">
        <w:t xml:space="preserve">RR </w:t>
      </w:r>
      <w:r w:rsidR="00652355" w:rsidRPr="00652355">
        <w:rPr>
          <w:spacing w:val="-20"/>
        </w:rPr>
        <w:t xml:space="preserve"> = </w:t>
      </w:r>
      <w:r w:rsidRPr="00E70BB5">
        <w:t xml:space="preserve"> relative risk; SD </w:t>
      </w:r>
      <w:r w:rsidR="00652355" w:rsidRPr="00652355">
        <w:rPr>
          <w:spacing w:val="-20"/>
        </w:rPr>
        <w:t xml:space="preserve"> = </w:t>
      </w:r>
      <w:r w:rsidRPr="00E70BB5">
        <w:t xml:space="preserve"> </w:t>
      </w:r>
      <w:r>
        <w:t>standard deviation;</w:t>
      </w:r>
      <w:r w:rsidRPr="004E07F5">
        <w:t xml:space="preserve"> </w:t>
      </w:r>
      <w:r>
        <w:t xml:space="preserve">SIGN </w:t>
      </w:r>
      <w:r w:rsidR="00652355" w:rsidRPr="00652355">
        <w:rPr>
          <w:spacing w:val="-20"/>
        </w:rPr>
        <w:t xml:space="preserve"> = </w:t>
      </w:r>
      <w:r>
        <w:t xml:space="preserve"> Scottish Intercollegiate Guidelines Network</w:t>
      </w:r>
    </w:p>
    <w:p w:rsidR="00AF1A6C" w:rsidRPr="00BB3DFF" w:rsidRDefault="00AF1A6C" w:rsidP="00385BBF">
      <w:pPr>
        <w:pStyle w:val="TableNote"/>
      </w:pPr>
      <w:r>
        <w:rPr>
          <w:vertAlign w:val="superscript"/>
        </w:rPr>
        <w:t>a</w:t>
      </w:r>
      <w:r>
        <w:t xml:space="preserve"> Untreated historical control group identified by applying the study inclusion and exclusion criteria to a group of 168 patients with infantile-onset Pompe disease identified through a retrospective chart review</w:t>
      </w:r>
      <w:r w:rsidR="00BD4A3A">
        <w:rPr>
          <w:noProof/>
        </w:rPr>
        <w:t>(</w:t>
      </w:r>
      <w:r w:rsidR="00184B6F">
        <w:rPr>
          <w:noProof/>
        </w:rPr>
        <w:t>Kishnani, PS, Hwu, et al. 2006</w:t>
      </w:r>
      <w:r w:rsidR="00BD4A3A">
        <w:rPr>
          <w:noProof/>
        </w:rPr>
        <w:t>)</w:t>
      </w:r>
      <w:r>
        <w:t>. The historical cohort of 168 patients came from nine countries, with birth dates ranging from before 1985 to 2002.</w:t>
      </w:r>
    </w:p>
    <w:p w:rsidR="00AF1A6C" w:rsidRDefault="00AF1A6C" w:rsidP="00385BBF">
      <w:pPr>
        <w:pStyle w:val="TableNote"/>
      </w:pPr>
      <w:proofErr w:type="gramStart"/>
      <w:r>
        <w:rPr>
          <w:vertAlign w:val="superscript"/>
        </w:rPr>
        <w:t>b</w:t>
      </w:r>
      <w:proofErr w:type="gramEnd"/>
      <w:r>
        <w:rPr>
          <w:vertAlign w:val="superscript"/>
        </w:rPr>
        <w:t xml:space="preserve"> </w:t>
      </w:r>
      <w:r>
        <w:t>Ages were corrected for gestational age at birth</w:t>
      </w:r>
    </w:p>
    <w:p w:rsidR="00AF1A6C" w:rsidRDefault="00AF1A6C" w:rsidP="00385BBF">
      <w:pPr>
        <w:pStyle w:val="TableNote"/>
      </w:pPr>
      <w:proofErr w:type="gramStart"/>
      <w:r>
        <w:rPr>
          <w:vertAlign w:val="superscript"/>
        </w:rPr>
        <w:t>c</w:t>
      </w:r>
      <w:proofErr w:type="gramEnd"/>
      <w:r>
        <w:t xml:space="preserve"> Negative values are indicative of prenatal diagnosis</w:t>
      </w:r>
    </w:p>
    <w:p w:rsidR="00AF1A6C" w:rsidRPr="00EE2646" w:rsidRDefault="00AF1A6C" w:rsidP="00385BBF">
      <w:pPr>
        <w:pStyle w:val="TableNote"/>
      </w:pPr>
      <w:proofErr w:type="gramStart"/>
      <w:r w:rsidRPr="00EE2646">
        <w:rPr>
          <w:vertAlign w:val="superscript"/>
        </w:rPr>
        <w:t>d</w:t>
      </w:r>
      <w:proofErr w:type="gramEnd"/>
      <w:r w:rsidRPr="00EE2646">
        <w:t xml:space="preserve"> Cox proportional hazards analysis with model terms of age at diagnosis, age at symptom onset, and treatment as a time-varying covariate.</w:t>
      </w:r>
    </w:p>
    <w:p w:rsidR="00B17A59" w:rsidRPr="00B17A59" w:rsidRDefault="00AF1A6C" w:rsidP="00865A5F">
      <w:pPr>
        <w:pStyle w:val="TableNote"/>
      </w:pPr>
      <w:proofErr w:type="gramStart"/>
      <w:r w:rsidRPr="00EE2646">
        <w:rPr>
          <w:vertAlign w:val="superscript"/>
        </w:rPr>
        <w:t>e</w:t>
      </w:r>
      <w:proofErr w:type="gramEnd"/>
      <w:r w:rsidRPr="00EE2646">
        <w:t xml:space="preserve"> Source: </w:t>
      </w:r>
      <w:r w:rsidR="00BD4A3A">
        <w:rPr>
          <w:noProof/>
        </w:rPr>
        <w:t>(</w:t>
      </w:r>
      <w:r w:rsidR="00184B6F">
        <w:rPr>
          <w:noProof/>
        </w:rPr>
        <w:t>Kishnani, PS, Hwu, et al. 2006</w:t>
      </w:r>
      <w:r w:rsidR="00BD4A3A">
        <w:rPr>
          <w:noProof/>
        </w:rPr>
        <w:t>)</w:t>
      </w:r>
    </w:p>
    <w:p w:rsidR="00CE0D5D" w:rsidRDefault="00CE0D5D" w:rsidP="00D60032">
      <w:pPr>
        <w:pStyle w:val="Heading2"/>
        <w:numPr>
          <w:ilvl w:val="0"/>
          <w:numId w:val="0"/>
        </w:numPr>
      </w:pPr>
      <w:r>
        <w:br w:type="page"/>
      </w:r>
    </w:p>
    <w:p w:rsidR="00103085" w:rsidRDefault="00103085" w:rsidP="00D60032">
      <w:pPr>
        <w:pStyle w:val="Heading2"/>
        <w:numPr>
          <w:ilvl w:val="0"/>
          <w:numId w:val="0"/>
        </w:numPr>
      </w:pPr>
      <w:bookmarkStart w:id="1136" w:name="_Toc415141789"/>
      <w:r>
        <w:lastRenderedPageBreak/>
        <w:t>Alglucosidase alfa to treat Juvenile Onset Pompe disease</w:t>
      </w:r>
      <w:bookmarkEnd w:id="1136"/>
    </w:p>
    <w:p w:rsidR="00103085" w:rsidRDefault="00103085" w:rsidP="00103085">
      <w:pPr>
        <w:pStyle w:val="Caption"/>
        <w:keepNext/>
      </w:pPr>
      <w:bookmarkStart w:id="1137" w:name="_Ref411245920"/>
      <w:bookmarkStart w:id="1138" w:name="_Toc411510527"/>
      <w:bookmarkStart w:id="1139" w:name="_Toc415141957"/>
      <w:r>
        <w:t xml:space="preserve">Table </w:t>
      </w:r>
      <w:r w:rsidR="00A72B26">
        <w:rPr>
          <w:noProof/>
        </w:rPr>
        <w:t>160</w:t>
      </w:r>
      <w:bookmarkEnd w:id="1137"/>
      <w:r>
        <w:t xml:space="preserve"> </w:t>
      </w:r>
      <w:r w:rsidR="00F71730">
        <w:tab/>
      </w:r>
      <w:r>
        <w:t>Study profiles alglucosidase alfa to treat juvenile onset Pompe disease</w:t>
      </w:r>
      <w:bookmarkEnd w:id="1138"/>
      <w:bookmarkEnd w:id="1139"/>
    </w:p>
    <w:tbl>
      <w:tblPr>
        <w:tblStyle w:val="TableGrid"/>
        <w:tblW w:w="14260" w:type="dxa"/>
        <w:tblLook w:val="04A0" w:firstRow="1" w:lastRow="0" w:firstColumn="1" w:lastColumn="0" w:noHBand="0" w:noVBand="1"/>
        <w:tblCaption w:val="Table 123  Study profiles for studies on alglucosidase alfa"/>
      </w:tblPr>
      <w:tblGrid>
        <w:gridCol w:w="1242"/>
        <w:gridCol w:w="1418"/>
        <w:gridCol w:w="2693"/>
        <w:gridCol w:w="2794"/>
        <w:gridCol w:w="1600"/>
        <w:gridCol w:w="1847"/>
        <w:gridCol w:w="1272"/>
        <w:gridCol w:w="1394"/>
      </w:tblGrid>
      <w:tr w:rsidR="00103085" w:rsidRPr="00423400" w:rsidTr="00103085">
        <w:trPr>
          <w:tblHeader/>
        </w:trPr>
        <w:tc>
          <w:tcPr>
            <w:tcW w:w="1242" w:type="dxa"/>
          </w:tcPr>
          <w:p w:rsidR="00103085" w:rsidRPr="00423400" w:rsidRDefault="00103085" w:rsidP="00103085">
            <w:pPr>
              <w:pStyle w:val="TableHeading"/>
            </w:pPr>
            <w:r w:rsidRPr="00423400">
              <w:t>Author (Year) / Country</w:t>
            </w:r>
          </w:p>
        </w:tc>
        <w:tc>
          <w:tcPr>
            <w:tcW w:w="1418" w:type="dxa"/>
          </w:tcPr>
          <w:p w:rsidR="00103085" w:rsidRPr="00423400" w:rsidRDefault="00103085" w:rsidP="00103085">
            <w:pPr>
              <w:pStyle w:val="TableHeading"/>
            </w:pPr>
            <w:r w:rsidRPr="00423400">
              <w:t>Study Design/ Level of Evidence/ Type of analysis/</w:t>
            </w:r>
          </w:p>
          <w:p w:rsidR="00103085" w:rsidRPr="00423400" w:rsidRDefault="00103085" w:rsidP="00103085">
            <w:pPr>
              <w:pStyle w:val="TableHeading"/>
            </w:pPr>
            <w:r w:rsidRPr="00423400">
              <w:t>Risk of bias</w:t>
            </w:r>
          </w:p>
        </w:tc>
        <w:tc>
          <w:tcPr>
            <w:tcW w:w="2693" w:type="dxa"/>
          </w:tcPr>
          <w:p w:rsidR="00103085" w:rsidRPr="00423400" w:rsidRDefault="00103085" w:rsidP="00103085">
            <w:pPr>
              <w:pStyle w:val="TableHeading"/>
            </w:pPr>
            <w:r w:rsidRPr="00423400">
              <w:t>Study sample characteristics</w:t>
            </w:r>
          </w:p>
        </w:tc>
        <w:tc>
          <w:tcPr>
            <w:tcW w:w="2794" w:type="dxa"/>
          </w:tcPr>
          <w:p w:rsidR="00103085" w:rsidRPr="00423400" w:rsidRDefault="00103085" w:rsidP="00103085">
            <w:pPr>
              <w:pStyle w:val="TableHeading"/>
            </w:pPr>
            <w:r w:rsidRPr="00423400">
              <w:t>Eligibility criteria</w:t>
            </w:r>
          </w:p>
        </w:tc>
        <w:tc>
          <w:tcPr>
            <w:tcW w:w="1600" w:type="dxa"/>
          </w:tcPr>
          <w:p w:rsidR="00103085" w:rsidRPr="00423400" w:rsidRDefault="00103085" w:rsidP="00103085">
            <w:pPr>
              <w:pStyle w:val="TableHeading"/>
            </w:pPr>
            <w:r w:rsidRPr="00423400">
              <w:t>Intervention drug treatment details</w:t>
            </w:r>
          </w:p>
          <w:p w:rsidR="00103085" w:rsidRPr="00423400" w:rsidRDefault="00103085" w:rsidP="00103085">
            <w:pPr>
              <w:pStyle w:val="TableHeading"/>
            </w:pPr>
            <w:r w:rsidRPr="00423400">
              <w:t>Comparator drugs treatment details</w:t>
            </w:r>
          </w:p>
        </w:tc>
        <w:tc>
          <w:tcPr>
            <w:tcW w:w="1847" w:type="dxa"/>
            <w:tcBorders>
              <w:right w:val="single" w:sz="4" w:space="0" w:color="auto"/>
            </w:tcBorders>
          </w:tcPr>
          <w:p w:rsidR="00103085" w:rsidRPr="00423400" w:rsidRDefault="00103085" w:rsidP="00103085">
            <w:pPr>
              <w:pStyle w:val="TableHeading"/>
            </w:pPr>
            <w:r w:rsidRPr="00423400">
              <w:t>Outcomes reported (relevant to the review) / measurement tools and scale</w:t>
            </w:r>
          </w:p>
        </w:tc>
        <w:tc>
          <w:tcPr>
            <w:tcW w:w="1272" w:type="dxa"/>
            <w:tcBorders>
              <w:left w:val="single" w:sz="4" w:space="0" w:color="auto"/>
            </w:tcBorders>
          </w:tcPr>
          <w:p w:rsidR="00103085" w:rsidRPr="00423400" w:rsidRDefault="00103085" w:rsidP="00103085">
            <w:pPr>
              <w:pStyle w:val="TableHeading"/>
            </w:pPr>
            <w:r w:rsidRPr="00423400">
              <w:t>Duration of follow-up</w:t>
            </w:r>
          </w:p>
        </w:tc>
        <w:tc>
          <w:tcPr>
            <w:tcW w:w="1394" w:type="dxa"/>
          </w:tcPr>
          <w:p w:rsidR="00103085" w:rsidRPr="00423400" w:rsidRDefault="00103085" w:rsidP="00103085">
            <w:pPr>
              <w:pStyle w:val="TableHeading"/>
            </w:pPr>
            <w:r w:rsidRPr="00423400">
              <w:t>Comments</w:t>
            </w:r>
          </w:p>
        </w:tc>
      </w:tr>
      <w:tr w:rsidR="00103085" w:rsidRPr="00423400" w:rsidTr="00103085">
        <w:tc>
          <w:tcPr>
            <w:tcW w:w="1242" w:type="dxa"/>
          </w:tcPr>
          <w:p w:rsidR="00103085" w:rsidRDefault="00103085" w:rsidP="00103085">
            <w:pPr>
              <w:pStyle w:val="Tabletext1"/>
              <w:rPr>
                <w:lang w:val="en-GB" w:eastAsia="en-US"/>
              </w:rPr>
            </w:pPr>
            <w:r>
              <w:rPr>
                <w:noProof/>
                <w:lang w:val="en-GB" w:eastAsia="en-US"/>
              </w:rPr>
              <w:t>(</w:t>
            </w:r>
            <w:r w:rsidR="00184B6F">
              <w:rPr>
                <w:noProof/>
                <w:lang w:val="en-GB" w:eastAsia="en-US"/>
              </w:rPr>
              <w:t>Bembi et al. 2010</w:t>
            </w:r>
            <w:r>
              <w:rPr>
                <w:noProof/>
                <w:lang w:val="en-GB" w:eastAsia="en-US"/>
              </w:rPr>
              <w:t>)</w:t>
            </w:r>
          </w:p>
          <w:p w:rsidR="00103085" w:rsidRDefault="00103085" w:rsidP="00103085">
            <w:pPr>
              <w:pStyle w:val="Tabletext1"/>
              <w:rPr>
                <w:lang w:val="en-GB" w:eastAsia="en-US"/>
              </w:rPr>
            </w:pPr>
            <w:r>
              <w:rPr>
                <w:lang w:val="en-GB" w:eastAsia="en-US"/>
              </w:rPr>
              <w:t>Italy</w:t>
            </w:r>
          </w:p>
          <w:p w:rsidR="00103085" w:rsidRPr="00423400" w:rsidRDefault="00103085" w:rsidP="00103085">
            <w:pPr>
              <w:pStyle w:val="Tabletext1"/>
              <w:rPr>
                <w:lang w:val="en-GB" w:eastAsia="en-US"/>
              </w:rPr>
            </w:pPr>
          </w:p>
        </w:tc>
        <w:tc>
          <w:tcPr>
            <w:tcW w:w="1418" w:type="dxa"/>
          </w:tcPr>
          <w:p w:rsidR="00103085" w:rsidRPr="00423400" w:rsidRDefault="00103085" w:rsidP="00103085">
            <w:pPr>
              <w:pStyle w:val="Tabletext1"/>
              <w:rPr>
                <w:lang w:val="en-GB" w:eastAsia="en-US"/>
              </w:rPr>
            </w:pPr>
            <w:r>
              <w:rPr>
                <w:lang w:val="en-GB" w:eastAsia="en-US"/>
              </w:rPr>
              <w:t>Multicentre observational case series</w:t>
            </w:r>
          </w:p>
          <w:p w:rsidR="00103085" w:rsidRPr="00423400" w:rsidRDefault="00103085" w:rsidP="00103085">
            <w:pPr>
              <w:pStyle w:val="Tabletext1"/>
              <w:rPr>
                <w:lang w:val="en-GB" w:eastAsia="en-US"/>
              </w:rPr>
            </w:pPr>
            <w:r w:rsidRPr="00423400">
              <w:rPr>
                <w:lang w:val="en-GB" w:eastAsia="en-US"/>
              </w:rPr>
              <w:t xml:space="preserve">Level: </w:t>
            </w:r>
            <w:r>
              <w:rPr>
                <w:lang w:val="en-GB" w:eastAsia="en-US"/>
              </w:rPr>
              <w:t>IV</w:t>
            </w:r>
          </w:p>
          <w:p w:rsidR="00103085" w:rsidRPr="00423400" w:rsidRDefault="00103085" w:rsidP="00103085">
            <w:pPr>
              <w:pStyle w:val="Tabletext1"/>
              <w:rPr>
                <w:lang w:val="en-GB" w:eastAsia="en-US"/>
              </w:rPr>
            </w:pPr>
            <w:r w:rsidRPr="00423400">
              <w:rPr>
                <w:lang w:val="en-GB" w:eastAsia="en-US"/>
              </w:rPr>
              <w:t xml:space="preserve">Quality: </w:t>
            </w:r>
            <w:r>
              <w:rPr>
                <w:lang w:val="en-GB" w:eastAsia="en-US"/>
              </w:rPr>
              <w:t>high</w:t>
            </w:r>
            <w:r w:rsidRPr="00423400">
              <w:rPr>
                <w:lang w:val="en-GB" w:eastAsia="en-US"/>
              </w:rPr>
              <w:t xml:space="preserve"> (</w:t>
            </w:r>
            <w:r>
              <w:rPr>
                <w:lang w:val="en-GB" w:eastAsia="en-US"/>
              </w:rPr>
              <w:t>NHS CRD; KHAN 2001</w:t>
            </w:r>
            <w:r w:rsidRPr="00423400">
              <w:rPr>
                <w:lang w:val="en-GB" w:eastAsia="en-US"/>
              </w:rPr>
              <w:t>)</w:t>
            </w:r>
          </w:p>
        </w:tc>
        <w:tc>
          <w:tcPr>
            <w:tcW w:w="2693" w:type="dxa"/>
          </w:tcPr>
          <w:p w:rsidR="00103085" w:rsidRPr="00423400" w:rsidRDefault="00103085" w:rsidP="00103085">
            <w:pPr>
              <w:pStyle w:val="Tabletext1"/>
              <w:rPr>
                <w:lang w:val="en-GB" w:eastAsia="en-US"/>
              </w:rPr>
            </w:pPr>
            <w:r w:rsidRPr="00423400">
              <w:rPr>
                <w:u w:val="single"/>
                <w:lang w:val="en-GB" w:eastAsia="en-US"/>
              </w:rPr>
              <w:t>Study population</w:t>
            </w:r>
          </w:p>
          <w:p w:rsidR="00103085" w:rsidRPr="00846C95" w:rsidRDefault="00103085" w:rsidP="00103085">
            <w:pPr>
              <w:pStyle w:val="Tabletext1"/>
              <w:rPr>
                <w:lang w:val="en-GB" w:eastAsia="en-US"/>
              </w:rPr>
            </w:pPr>
            <w:r w:rsidRPr="00846C95">
              <w:rPr>
                <w:lang w:val="en-GB" w:eastAsia="en-US"/>
              </w:rPr>
              <w:t xml:space="preserve">Juvenile </w:t>
            </w:r>
          </w:p>
          <w:p w:rsidR="00103085" w:rsidRPr="00423400" w:rsidRDefault="00103085" w:rsidP="00103085">
            <w:pPr>
              <w:pStyle w:val="Tabletext1"/>
              <w:rPr>
                <w:lang w:val="en-GB" w:eastAsia="en-US"/>
              </w:rPr>
            </w:pPr>
            <w:r w:rsidRPr="00423400">
              <w:rPr>
                <w:lang w:val="en-GB" w:eastAsia="en-US"/>
              </w:rPr>
              <w:t>N</w:t>
            </w:r>
            <w:r w:rsidRPr="00423400">
              <w:rPr>
                <w:spacing w:val="-20"/>
                <w:lang w:val="en-GB" w:eastAsia="en-US"/>
              </w:rPr>
              <w:t xml:space="preserve"> = </w:t>
            </w:r>
            <w:r>
              <w:rPr>
                <w:lang w:val="en-GB" w:eastAsia="en-US"/>
              </w:rPr>
              <w:t>7</w:t>
            </w:r>
          </w:p>
          <w:p w:rsidR="00103085" w:rsidRPr="00423400" w:rsidRDefault="00103085" w:rsidP="00103085">
            <w:pPr>
              <w:pStyle w:val="Tabletext1"/>
              <w:rPr>
                <w:lang w:val="en-GB" w:eastAsia="en-US"/>
              </w:rPr>
            </w:pPr>
            <w:r w:rsidRPr="00423400">
              <w:rPr>
                <w:lang w:val="en-GB" w:eastAsia="en-US"/>
              </w:rPr>
              <w:t xml:space="preserve">Male </w:t>
            </w:r>
            <w:r>
              <w:rPr>
                <w:lang w:val="en-GB" w:eastAsia="en-US"/>
              </w:rPr>
              <w:t>71.4</w:t>
            </w:r>
            <w:r w:rsidRPr="00423400">
              <w:rPr>
                <w:lang w:val="en-GB" w:eastAsia="en-US"/>
              </w:rPr>
              <w:t>%</w:t>
            </w:r>
          </w:p>
          <w:p w:rsidR="00103085" w:rsidRDefault="00103085" w:rsidP="00103085">
            <w:pPr>
              <w:pStyle w:val="Tabletext1"/>
              <w:rPr>
                <w:lang w:val="en-GB" w:eastAsia="en-US"/>
              </w:rPr>
            </w:pPr>
            <w:r w:rsidRPr="00423400">
              <w:rPr>
                <w:lang w:val="en-GB" w:eastAsia="en-US"/>
              </w:rPr>
              <w:t>Age</w:t>
            </w:r>
            <w:r w:rsidRPr="00423400">
              <w:rPr>
                <w:vertAlign w:val="superscript"/>
                <w:lang w:val="en-GB" w:eastAsia="en-US"/>
              </w:rPr>
              <w:t xml:space="preserve"> </w:t>
            </w:r>
            <w:r w:rsidRPr="00423400">
              <w:rPr>
                <w:lang w:val="en-GB" w:eastAsia="en-US"/>
              </w:rPr>
              <w:t xml:space="preserve">at first symptoms, </w:t>
            </w:r>
            <w:r>
              <w:rPr>
                <w:lang w:val="en-GB" w:eastAsia="en-US"/>
              </w:rPr>
              <w:t>years</w:t>
            </w:r>
            <w:r w:rsidRPr="00423400">
              <w:rPr>
                <w:lang w:val="en-GB" w:eastAsia="en-US"/>
              </w:rPr>
              <w:t>, mean (SD):</w:t>
            </w:r>
            <w:r>
              <w:rPr>
                <w:lang w:val="en-GB" w:eastAsia="en-US"/>
              </w:rPr>
              <w:t>2.5</w:t>
            </w:r>
            <w:r w:rsidRPr="00423400">
              <w:rPr>
                <w:lang w:val="en-GB" w:eastAsia="en-US"/>
              </w:rPr>
              <w:t xml:space="preserve"> (1.</w:t>
            </w:r>
            <w:r>
              <w:rPr>
                <w:lang w:val="en-GB" w:eastAsia="en-US"/>
              </w:rPr>
              <w:t>3)</w:t>
            </w:r>
          </w:p>
          <w:p w:rsidR="00103085" w:rsidRPr="00423400" w:rsidRDefault="00103085" w:rsidP="00103085">
            <w:pPr>
              <w:pStyle w:val="Tabletext1"/>
              <w:rPr>
                <w:lang w:val="en-GB" w:eastAsia="en-US"/>
              </w:rPr>
            </w:pPr>
            <w:r w:rsidRPr="00423400">
              <w:rPr>
                <w:lang w:val="en-GB" w:eastAsia="en-US"/>
              </w:rPr>
              <w:t xml:space="preserve">Age at diagnosis, </w:t>
            </w:r>
            <w:r>
              <w:rPr>
                <w:lang w:val="en-GB" w:eastAsia="en-US"/>
              </w:rPr>
              <w:t>year</w:t>
            </w:r>
            <w:r w:rsidRPr="00423400">
              <w:rPr>
                <w:lang w:val="en-GB" w:eastAsia="en-US"/>
              </w:rPr>
              <w:t xml:space="preserve">s, </w:t>
            </w:r>
            <w:r>
              <w:rPr>
                <w:lang w:val="en-GB" w:eastAsia="en-US"/>
              </w:rPr>
              <w:t>m</w:t>
            </w:r>
            <w:r w:rsidRPr="00423400">
              <w:rPr>
                <w:lang w:val="en-GB" w:eastAsia="en-US"/>
              </w:rPr>
              <w:t>ean (SD)</w:t>
            </w:r>
            <w:r>
              <w:rPr>
                <w:lang w:val="en-GB" w:eastAsia="en-US"/>
              </w:rPr>
              <w:t>:</w:t>
            </w:r>
            <w:r w:rsidRPr="00423400">
              <w:rPr>
                <w:lang w:val="en-GB" w:eastAsia="en-US"/>
              </w:rPr>
              <w:t xml:space="preserve"> </w:t>
            </w:r>
            <w:r>
              <w:rPr>
                <w:lang w:val="en-GB" w:eastAsia="en-US"/>
              </w:rPr>
              <w:t>2.8</w:t>
            </w:r>
            <w:r w:rsidRPr="00423400">
              <w:rPr>
                <w:lang w:val="en-GB" w:eastAsia="en-US"/>
              </w:rPr>
              <w:t xml:space="preserve"> (</w:t>
            </w:r>
            <w:r>
              <w:rPr>
                <w:lang w:val="en-GB" w:eastAsia="en-US"/>
              </w:rPr>
              <w:t>1.4)</w:t>
            </w:r>
          </w:p>
          <w:p w:rsidR="00103085" w:rsidRDefault="00103085" w:rsidP="00103085">
            <w:pPr>
              <w:pStyle w:val="Tabletext1"/>
              <w:rPr>
                <w:lang w:val="en-GB" w:eastAsia="en-US"/>
              </w:rPr>
            </w:pPr>
            <w:r w:rsidRPr="00423400">
              <w:rPr>
                <w:lang w:val="en-GB" w:eastAsia="en-US"/>
              </w:rPr>
              <w:t xml:space="preserve">Age at </w:t>
            </w:r>
            <w:r>
              <w:rPr>
                <w:lang w:val="en-GB" w:eastAsia="en-US"/>
              </w:rPr>
              <w:t>starting ERT, years</w:t>
            </w:r>
            <w:r w:rsidRPr="00423400">
              <w:rPr>
                <w:lang w:val="en-GB" w:eastAsia="en-US"/>
              </w:rPr>
              <w:t xml:space="preserve">, mean (SD): </w:t>
            </w:r>
            <w:r>
              <w:rPr>
                <w:lang w:val="en-GB" w:eastAsia="en-US"/>
              </w:rPr>
              <w:t>12.0</w:t>
            </w:r>
            <w:r w:rsidRPr="00423400">
              <w:rPr>
                <w:lang w:val="en-GB" w:eastAsia="en-US"/>
              </w:rPr>
              <w:t xml:space="preserve"> (</w:t>
            </w:r>
            <w:r>
              <w:rPr>
                <w:lang w:val="en-GB" w:eastAsia="en-US"/>
              </w:rPr>
              <w:t>3.3)</w:t>
            </w:r>
          </w:p>
          <w:p w:rsidR="006B5B63" w:rsidRDefault="006B5B63" w:rsidP="00103085">
            <w:pPr>
              <w:pStyle w:val="Tabletext1"/>
              <w:rPr>
                <w:lang w:val="en-GB" w:eastAsia="en-US"/>
              </w:rPr>
            </w:pPr>
          </w:p>
          <w:p w:rsidR="00103085" w:rsidRPr="00846C95" w:rsidRDefault="00103085" w:rsidP="00103085">
            <w:pPr>
              <w:pStyle w:val="Tabletext1"/>
              <w:rPr>
                <w:lang w:val="en-GB" w:eastAsia="en-US"/>
              </w:rPr>
            </w:pPr>
            <w:r w:rsidRPr="00846C95">
              <w:rPr>
                <w:lang w:val="en-GB" w:eastAsia="en-US"/>
              </w:rPr>
              <w:t>Adult</w:t>
            </w:r>
          </w:p>
          <w:p w:rsidR="00103085" w:rsidRPr="00423400" w:rsidRDefault="00103085" w:rsidP="00103085">
            <w:pPr>
              <w:pStyle w:val="Tabletext1"/>
              <w:rPr>
                <w:lang w:val="en-GB" w:eastAsia="en-US"/>
              </w:rPr>
            </w:pPr>
            <w:r w:rsidRPr="00423400">
              <w:rPr>
                <w:lang w:val="en-GB" w:eastAsia="en-US"/>
              </w:rPr>
              <w:t>N</w:t>
            </w:r>
            <w:r w:rsidRPr="00423400">
              <w:rPr>
                <w:spacing w:val="-20"/>
                <w:lang w:val="en-GB" w:eastAsia="en-US"/>
              </w:rPr>
              <w:t xml:space="preserve"> = </w:t>
            </w:r>
            <w:r>
              <w:rPr>
                <w:lang w:val="en-GB" w:eastAsia="en-US"/>
              </w:rPr>
              <w:t>17</w:t>
            </w:r>
          </w:p>
          <w:p w:rsidR="00103085" w:rsidRPr="00423400" w:rsidRDefault="00103085" w:rsidP="00103085">
            <w:pPr>
              <w:pStyle w:val="Tabletext1"/>
              <w:rPr>
                <w:lang w:val="en-GB" w:eastAsia="en-US"/>
              </w:rPr>
            </w:pPr>
            <w:r w:rsidRPr="00423400">
              <w:rPr>
                <w:lang w:val="en-GB" w:eastAsia="en-US"/>
              </w:rPr>
              <w:t xml:space="preserve">Male </w:t>
            </w:r>
            <w:r>
              <w:rPr>
                <w:lang w:val="en-GB" w:eastAsia="en-US"/>
              </w:rPr>
              <w:t>52.9</w:t>
            </w:r>
            <w:r w:rsidRPr="00423400">
              <w:rPr>
                <w:lang w:val="en-GB" w:eastAsia="en-US"/>
              </w:rPr>
              <w:t>%</w:t>
            </w:r>
          </w:p>
          <w:p w:rsidR="00103085" w:rsidRDefault="00103085" w:rsidP="00103085">
            <w:pPr>
              <w:pStyle w:val="Tabletext1"/>
              <w:rPr>
                <w:lang w:val="en-GB" w:eastAsia="en-US"/>
              </w:rPr>
            </w:pPr>
            <w:r w:rsidRPr="00423400">
              <w:rPr>
                <w:lang w:val="en-GB" w:eastAsia="en-US"/>
              </w:rPr>
              <w:t>Age</w:t>
            </w:r>
            <w:r w:rsidRPr="00423400">
              <w:rPr>
                <w:vertAlign w:val="superscript"/>
                <w:lang w:val="en-GB" w:eastAsia="en-US"/>
              </w:rPr>
              <w:t xml:space="preserve"> </w:t>
            </w:r>
            <w:r w:rsidRPr="00423400">
              <w:rPr>
                <w:lang w:val="en-GB" w:eastAsia="en-US"/>
              </w:rPr>
              <w:t xml:space="preserve">at first symptoms, </w:t>
            </w:r>
            <w:r>
              <w:rPr>
                <w:lang w:val="en-GB" w:eastAsia="en-US"/>
              </w:rPr>
              <w:t>years</w:t>
            </w:r>
            <w:r w:rsidRPr="00423400">
              <w:rPr>
                <w:lang w:val="en-GB" w:eastAsia="en-US"/>
              </w:rPr>
              <w:t>, mean (SD):</w:t>
            </w:r>
            <w:r>
              <w:rPr>
                <w:lang w:val="en-GB" w:eastAsia="en-US"/>
              </w:rPr>
              <w:t>26.6</w:t>
            </w:r>
            <w:r w:rsidRPr="00423400">
              <w:rPr>
                <w:lang w:val="en-GB" w:eastAsia="en-US"/>
              </w:rPr>
              <w:t xml:space="preserve"> (</w:t>
            </w:r>
            <w:r>
              <w:rPr>
                <w:lang w:val="en-GB" w:eastAsia="en-US"/>
              </w:rPr>
              <w:t>12.8)</w:t>
            </w:r>
          </w:p>
          <w:p w:rsidR="00103085" w:rsidRPr="00423400" w:rsidRDefault="00103085" w:rsidP="00103085">
            <w:pPr>
              <w:pStyle w:val="Tabletext1"/>
              <w:rPr>
                <w:lang w:val="en-GB" w:eastAsia="en-US"/>
              </w:rPr>
            </w:pPr>
            <w:r w:rsidRPr="00423400">
              <w:rPr>
                <w:lang w:val="en-GB" w:eastAsia="en-US"/>
              </w:rPr>
              <w:t xml:space="preserve">Age at diagnosis, </w:t>
            </w:r>
            <w:r>
              <w:rPr>
                <w:lang w:val="en-GB" w:eastAsia="en-US"/>
              </w:rPr>
              <w:t>year</w:t>
            </w:r>
            <w:r w:rsidRPr="00423400">
              <w:rPr>
                <w:lang w:val="en-GB" w:eastAsia="en-US"/>
              </w:rPr>
              <w:t xml:space="preserve">s, </w:t>
            </w:r>
            <w:r>
              <w:rPr>
                <w:lang w:val="en-GB" w:eastAsia="en-US"/>
              </w:rPr>
              <w:t>m</w:t>
            </w:r>
            <w:r w:rsidRPr="00423400">
              <w:rPr>
                <w:lang w:val="en-GB" w:eastAsia="en-US"/>
              </w:rPr>
              <w:t>ean (SD)</w:t>
            </w:r>
            <w:r>
              <w:rPr>
                <w:lang w:val="en-GB" w:eastAsia="en-US"/>
              </w:rPr>
              <w:t>:</w:t>
            </w:r>
            <w:r w:rsidRPr="00423400">
              <w:rPr>
                <w:lang w:val="en-GB" w:eastAsia="en-US"/>
              </w:rPr>
              <w:t xml:space="preserve"> </w:t>
            </w:r>
            <w:r>
              <w:rPr>
                <w:lang w:val="en-GB" w:eastAsia="en-US"/>
              </w:rPr>
              <w:t>34.5</w:t>
            </w:r>
            <w:r w:rsidRPr="00423400">
              <w:rPr>
                <w:lang w:val="en-GB" w:eastAsia="en-US"/>
              </w:rPr>
              <w:t xml:space="preserve"> (</w:t>
            </w:r>
            <w:r>
              <w:rPr>
                <w:lang w:val="en-GB" w:eastAsia="en-US"/>
              </w:rPr>
              <w:t>14.9)</w:t>
            </w:r>
          </w:p>
          <w:p w:rsidR="00103085" w:rsidRDefault="00103085" w:rsidP="00103085">
            <w:pPr>
              <w:pStyle w:val="Tabletext1"/>
              <w:rPr>
                <w:lang w:val="en-GB" w:eastAsia="en-US"/>
              </w:rPr>
            </w:pPr>
            <w:r w:rsidRPr="00423400">
              <w:rPr>
                <w:lang w:val="en-GB" w:eastAsia="en-US"/>
              </w:rPr>
              <w:t xml:space="preserve">Age at </w:t>
            </w:r>
            <w:r>
              <w:rPr>
                <w:lang w:val="en-GB" w:eastAsia="en-US"/>
              </w:rPr>
              <w:t>starting ERT, years</w:t>
            </w:r>
            <w:r w:rsidRPr="00423400">
              <w:rPr>
                <w:lang w:val="en-GB" w:eastAsia="en-US"/>
              </w:rPr>
              <w:t xml:space="preserve">, mean (SD): </w:t>
            </w:r>
            <w:r>
              <w:rPr>
                <w:lang w:val="en-GB" w:eastAsia="en-US"/>
              </w:rPr>
              <w:t>47.6</w:t>
            </w:r>
            <w:r w:rsidRPr="00423400">
              <w:rPr>
                <w:lang w:val="en-GB" w:eastAsia="en-US"/>
              </w:rPr>
              <w:t xml:space="preserve"> (</w:t>
            </w:r>
            <w:r>
              <w:rPr>
                <w:lang w:val="en-GB" w:eastAsia="en-US"/>
              </w:rPr>
              <w:t>10.7)</w:t>
            </w:r>
          </w:p>
          <w:p w:rsidR="00103085" w:rsidRPr="00423400" w:rsidRDefault="00103085" w:rsidP="00103085">
            <w:pPr>
              <w:pStyle w:val="Tabletext1"/>
              <w:rPr>
                <w:lang w:val="en-GB" w:eastAsia="en-US"/>
              </w:rPr>
            </w:pPr>
          </w:p>
        </w:tc>
        <w:tc>
          <w:tcPr>
            <w:tcW w:w="2794" w:type="dxa"/>
          </w:tcPr>
          <w:p w:rsidR="00103085" w:rsidRPr="00423400" w:rsidRDefault="00103085" w:rsidP="00103085">
            <w:pPr>
              <w:pStyle w:val="Tabletext1"/>
              <w:rPr>
                <w:u w:val="single"/>
                <w:lang w:val="en-GB" w:eastAsia="en-US"/>
              </w:rPr>
            </w:pPr>
            <w:r w:rsidRPr="00423400">
              <w:rPr>
                <w:u w:val="single"/>
                <w:lang w:val="en-GB" w:eastAsia="en-US"/>
              </w:rPr>
              <w:t>Inclusion</w:t>
            </w:r>
          </w:p>
          <w:p w:rsidR="00103085" w:rsidRDefault="00103085" w:rsidP="00103085">
            <w:pPr>
              <w:pStyle w:val="Tabletext1"/>
              <w:rPr>
                <w:lang w:val="en-GB" w:eastAsia="en-US"/>
              </w:rPr>
            </w:pPr>
            <w:r>
              <w:rPr>
                <w:lang w:val="en-GB" w:eastAsia="en-US"/>
              </w:rPr>
              <w:t>Age: 7 – 65 years</w:t>
            </w:r>
          </w:p>
          <w:p w:rsidR="00103085" w:rsidRDefault="00103085" w:rsidP="00103085">
            <w:pPr>
              <w:pStyle w:val="Tabletext1"/>
              <w:rPr>
                <w:lang w:val="en-GB" w:eastAsia="en-US"/>
              </w:rPr>
            </w:pPr>
            <w:r>
              <w:rPr>
                <w:lang w:val="en-GB" w:eastAsia="en-US"/>
              </w:rPr>
              <w:t xml:space="preserve">Muscle weakness or respiratory functional impairment: </w:t>
            </w:r>
          </w:p>
          <w:p w:rsidR="00103085" w:rsidRDefault="00103085" w:rsidP="00103085">
            <w:pPr>
              <w:pStyle w:val="Tabletext1"/>
              <w:rPr>
                <w:lang w:val="en-GB" w:eastAsia="en-US"/>
              </w:rPr>
            </w:pPr>
            <w:r>
              <w:rPr>
                <w:lang w:val="en-GB" w:eastAsia="en-US"/>
              </w:rPr>
              <w:t>Walton scale</w:t>
            </w:r>
            <w:r>
              <w:rPr>
                <w:vertAlign w:val="superscript"/>
                <w:lang w:val="en-GB" w:eastAsia="en-US"/>
              </w:rPr>
              <w:t>a</w:t>
            </w:r>
            <w:r>
              <w:rPr>
                <w:lang w:val="en-GB" w:eastAsia="en-US"/>
              </w:rPr>
              <w:t xml:space="preserve"> ≥ 1</w:t>
            </w:r>
          </w:p>
          <w:p w:rsidR="00103085" w:rsidRPr="00423400" w:rsidRDefault="00103085" w:rsidP="00103085">
            <w:pPr>
              <w:pStyle w:val="Tabletext1"/>
              <w:rPr>
                <w:lang w:val="en-GB" w:eastAsia="en-US"/>
              </w:rPr>
            </w:pPr>
            <w:r>
              <w:rPr>
                <w:lang w:val="en-GB" w:eastAsia="en-US"/>
              </w:rPr>
              <w:t>Decreased vital capacity ≤ 80%</w:t>
            </w:r>
          </w:p>
          <w:p w:rsidR="00103085" w:rsidRPr="00423400" w:rsidRDefault="00103085" w:rsidP="00103085">
            <w:pPr>
              <w:pStyle w:val="Tabletext1"/>
              <w:rPr>
                <w:lang w:val="en-GB" w:eastAsia="en-US"/>
              </w:rPr>
            </w:pPr>
            <w:r>
              <w:rPr>
                <w:lang w:val="en-GB" w:eastAsia="en-US"/>
              </w:rPr>
              <w:t>GAA deficiency:  blood lymphocytes, fibroblasts, muscle biopsy</w:t>
            </w:r>
          </w:p>
          <w:p w:rsidR="00103085" w:rsidRDefault="00103085" w:rsidP="00103085">
            <w:pPr>
              <w:pStyle w:val="Tabletext1"/>
              <w:rPr>
                <w:lang w:val="en-GB" w:eastAsia="en-US"/>
              </w:rPr>
            </w:pPr>
            <w:r>
              <w:rPr>
                <w:lang w:val="en-GB" w:eastAsia="en-US"/>
              </w:rPr>
              <w:t>Juvenile onset defined as onset of first symptoms at ≤ 16 years</w:t>
            </w:r>
          </w:p>
          <w:p w:rsidR="00103085" w:rsidRPr="00423400" w:rsidRDefault="00103085" w:rsidP="00103085">
            <w:pPr>
              <w:pStyle w:val="Tabletext1"/>
              <w:rPr>
                <w:lang w:val="en-GB" w:eastAsia="en-US"/>
              </w:rPr>
            </w:pPr>
            <w:r>
              <w:rPr>
                <w:lang w:val="en-GB" w:eastAsia="en-US"/>
              </w:rPr>
              <w:t>Adult onset defined as onset of first symptoms at  &gt; 16 years</w:t>
            </w:r>
          </w:p>
          <w:p w:rsidR="00103085" w:rsidRPr="00423400" w:rsidRDefault="00103085" w:rsidP="00103085">
            <w:pPr>
              <w:pStyle w:val="Tabletext1"/>
              <w:rPr>
                <w:u w:val="single"/>
                <w:lang w:val="en-GB" w:eastAsia="en-US"/>
              </w:rPr>
            </w:pPr>
            <w:r w:rsidRPr="00423400">
              <w:rPr>
                <w:u w:val="single"/>
                <w:lang w:val="en-GB" w:eastAsia="en-US"/>
              </w:rPr>
              <w:t>Exclusion</w:t>
            </w:r>
          </w:p>
          <w:p w:rsidR="00103085" w:rsidRPr="00423400" w:rsidRDefault="00103085" w:rsidP="00103085">
            <w:pPr>
              <w:pStyle w:val="Tabletext1"/>
              <w:rPr>
                <w:lang w:val="en-GB" w:eastAsia="en-US"/>
              </w:rPr>
            </w:pPr>
            <w:r>
              <w:rPr>
                <w:lang w:val="en-GB" w:eastAsia="en-US"/>
              </w:rPr>
              <w:t>Age ≥ 65 years</w:t>
            </w:r>
          </w:p>
          <w:p w:rsidR="00103085" w:rsidRDefault="00103085" w:rsidP="00103085">
            <w:pPr>
              <w:pStyle w:val="Tabletext1"/>
              <w:rPr>
                <w:lang w:val="en-GB" w:eastAsia="en-US"/>
              </w:rPr>
            </w:pPr>
            <w:r>
              <w:rPr>
                <w:lang w:val="en-GB" w:eastAsia="en-US"/>
              </w:rPr>
              <w:t>Co-morbidities that may influence the outcome measures</w:t>
            </w:r>
          </w:p>
          <w:p w:rsidR="00103085" w:rsidRPr="00423400" w:rsidRDefault="00103085" w:rsidP="00103085">
            <w:pPr>
              <w:pStyle w:val="Tabletext1"/>
              <w:rPr>
                <w:lang w:val="en-GB" w:eastAsia="en-US"/>
              </w:rPr>
            </w:pPr>
            <w:r>
              <w:rPr>
                <w:lang w:val="en-GB" w:eastAsia="en-US"/>
              </w:rPr>
              <w:t>Conditions that could determine adverse immunological reactions</w:t>
            </w:r>
          </w:p>
          <w:p w:rsidR="00103085" w:rsidRPr="00423400" w:rsidRDefault="00103085" w:rsidP="00103085">
            <w:pPr>
              <w:pStyle w:val="Tabletext1"/>
              <w:rPr>
                <w:u w:val="single"/>
                <w:lang w:val="en-GB" w:eastAsia="en-US"/>
              </w:rPr>
            </w:pPr>
          </w:p>
        </w:tc>
        <w:tc>
          <w:tcPr>
            <w:tcW w:w="1600" w:type="dxa"/>
          </w:tcPr>
          <w:p w:rsidR="00103085" w:rsidRPr="0041756F" w:rsidRDefault="00103085" w:rsidP="00103085">
            <w:pPr>
              <w:pStyle w:val="Tabletext1"/>
              <w:rPr>
                <w:u w:val="single"/>
                <w:lang w:val="en-GB" w:eastAsia="en-US"/>
              </w:rPr>
            </w:pPr>
            <w:r w:rsidRPr="00423400">
              <w:rPr>
                <w:u w:val="single"/>
                <w:lang w:val="en-GB" w:eastAsia="en-US"/>
              </w:rPr>
              <w:t>Intervention</w:t>
            </w:r>
          </w:p>
          <w:p w:rsidR="00103085" w:rsidRPr="00423400" w:rsidRDefault="00103085" w:rsidP="00103085">
            <w:pPr>
              <w:pStyle w:val="Tabletext1"/>
              <w:rPr>
                <w:lang w:val="en-GB" w:eastAsia="en-US"/>
              </w:rPr>
            </w:pPr>
            <w:r w:rsidRPr="00423400">
              <w:rPr>
                <w:lang w:val="en-GB" w:eastAsia="en-US"/>
              </w:rPr>
              <w:t>Alglucosidase alfa (rhGAA)</w:t>
            </w:r>
            <w:r>
              <w:rPr>
                <w:lang w:val="en-GB" w:eastAsia="en-US"/>
              </w:rPr>
              <w:t xml:space="preserve"> biweekly infusion (20 mg/kg) for at least 36 months</w:t>
            </w:r>
          </w:p>
          <w:p w:rsidR="00103085" w:rsidRPr="00423400" w:rsidRDefault="00103085" w:rsidP="00103085">
            <w:pPr>
              <w:pStyle w:val="Tabletext1"/>
              <w:rPr>
                <w:u w:val="single"/>
                <w:lang w:val="en-GB" w:eastAsia="en-US"/>
              </w:rPr>
            </w:pPr>
          </w:p>
        </w:tc>
        <w:tc>
          <w:tcPr>
            <w:tcW w:w="1847" w:type="dxa"/>
            <w:tcBorders>
              <w:right w:val="single" w:sz="4" w:space="0" w:color="auto"/>
            </w:tcBorders>
          </w:tcPr>
          <w:p w:rsidR="00103085" w:rsidRPr="00423400" w:rsidRDefault="00103085" w:rsidP="00103085">
            <w:pPr>
              <w:pStyle w:val="Tabletext1"/>
              <w:rPr>
                <w:lang w:val="en-GB" w:eastAsia="en-US"/>
              </w:rPr>
            </w:pPr>
            <w:r w:rsidRPr="00423400">
              <w:rPr>
                <w:u w:val="single"/>
                <w:lang w:val="en-GB" w:eastAsia="en-US"/>
              </w:rPr>
              <w:t>Change from baseline</w:t>
            </w:r>
          </w:p>
          <w:p w:rsidR="00103085" w:rsidRDefault="00103085" w:rsidP="00103085">
            <w:pPr>
              <w:pStyle w:val="Tabletext1"/>
              <w:rPr>
                <w:lang w:val="en-GB" w:eastAsia="en-US"/>
              </w:rPr>
            </w:pPr>
            <w:r w:rsidRPr="0041756F">
              <w:rPr>
                <w:lang w:val="en-GB" w:eastAsia="en-US"/>
              </w:rPr>
              <w:t>6MWT</w:t>
            </w:r>
            <w:r>
              <w:rPr>
                <w:lang w:val="en-GB" w:eastAsia="en-US"/>
              </w:rPr>
              <w:t xml:space="preserve"> (Walton score</w:t>
            </w:r>
            <w:r>
              <w:rPr>
                <w:vertAlign w:val="superscript"/>
                <w:lang w:val="en-GB" w:eastAsia="en-US"/>
              </w:rPr>
              <w:t>a</w:t>
            </w:r>
            <w:r>
              <w:rPr>
                <w:lang w:val="en-GB" w:eastAsia="en-US"/>
              </w:rPr>
              <w:t>)</w:t>
            </w:r>
          </w:p>
          <w:p w:rsidR="00103085" w:rsidRDefault="00103085" w:rsidP="00103085">
            <w:pPr>
              <w:pStyle w:val="Tabletext1"/>
              <w:rPr>
                <w:lang w:val="en-GB" w:eastAsia="en-US"/>
              </w:rPr>
            </w:pPr>
            <w:r>
              <w:rPr>
                <w:lang w:val="en-GB" w:eastAsia="en-US"/>
              </w:rPr>
              <w:t>Respiratory parameters:</w:t>
            </w:r>
          </w:p>
          <w:p w:rsidR="00103085" w:rsidRDefault="00103085" w:rsidP="00103085">
            <w:pPr>
              <w:pStyle w:val="Tabletext1"/>
              <w:rPr>
                <w:lang w:val="en-GB" w:eastAsia="en-US"/>
              </w:rPr>
            </w:pPr>
            <w:r>
              <w:rPr>
                <w:lang w:val="en-GB" w:eastAsia="en-US"/>
              </w:rPr>
              <w:t>Daily ventilator support</w:t>
            </w:r>
          </w:p>
          <w:p w:rsidR="00103085" w:rsidRPr="00BE712F" w:rsidRDefault="00103085" w:rsidP="00103085">
            <w:pPr>
              <w:pStyle w:val="Tabletext1"/>
              <w:rPr>
                <w:vertAlign w:val="superscript"/>
                <w:lang w:val="en-GB" w:eastAsia="en-US"/>
              </w:rPr>
            </w:pPr>
            <w:r>
              <w:rPr>
                <w:lang w:val="en-GB" w:eastAsia="en-US"/>
              </w:rPr>
              <w:t>pCO</w:t>
            </w:r>
            <w:r>
              <w:rPr>
                <w:vertAlign w:val="subscript"/>
                <w:lang w:val="en-GB" w:eastAsia="en-US"/>
              </w:rPr>
              <w:t xml:space="preserve">2 </w:t>
            </w:r>
            <w:r>
              <w:rPr>
                <w:lang w:val="en-GB" w:eastAsia="en-US"/>
              </w:rPr>
              <w:t>(mmHg)</w:t>
            </w:r>
            <w:r>
              <w:rPr>
                <w:vertAlign w:val="superscript"/>
                <w:lang w:val="en-GB" w:eastAsia="en-US"/>
              </w:rPr>
              <w:t>b</w:t>
            </w:r>
          </w:p>
          <w:p w:rsidR="00103085" w:rsidRDefault="00103085" w:rsidP="00103085">
            <w:pPr>
              <w:pStyle w:val="Tabletext1"/>
              <w:rPr>
                <w:lang w:val="en-GB" w:eastAsia="en-US"/>
              </w:rPr>
            </w:pPr>
            <w:r>
              <w:rPr>
                <w:lang w:val="en-GB" w:eastAsia="en-US"/>
              </w:rPr>
              <w:t>VC (%)</w:t>
            </w:r>
          </w:p>
          <w:p w:rsidR="00103085" w:rsidRPr="0041756F" w:rsidRDefault="00103085" w:rsidP="00103085">
            <w:pPr>
              <w:pStyle w:val="Tabletext1"/>
              <w:rPr>
                <w:lang w:val="en-GB" w:eastAsia="en-US"/>
              </w:rPr>
            </w:pPr>
            <w:r>
              <w:rPr>
                <w:lang w:val="en-GB" w:eastAsia="en-US"/>
              </w:rPr>
              <w:t>FEVI (%)</w:t>
            </w:r>
          </w:p>
          <w:p w:rsidR="00103085" w:rsidRPr="00423400" w:rsidRDefault="00103085" w:rsidP="00103085">
            <w:pPr>
              <w:pStyle w:val="Tabletext1"/>
              <w:rPr>
                <w:lang w:val="en-GB" w:eastAsia="en-US"/>
              </w:rPr>
            </w:pPr>
          </w:p>
        </w:tc>
        <w:tc>
          <w:tcPr>
            <w:tcW w:w="1272" w:type="dxa"/>
            <w:tcBorders>
              <w:left w:val="single" w:sz="4" w:space="0" w:color="auto"/>
            </w:tcBorders>
          </w:tcPr>
          <w:p w:rsidR="00103085" w:rsidRDefault="00103085" w:rsidP="00103085">
            <w:pPr>
              <w:pStyle w:val="Tabletext1"/>
              <w:rPr>
                <w:lang w:val="en-GB" w:eastAsia="en-US"/>
              </w:rPr>
            </w:pPr>
            <w:r>
              <w:rPr>
                <w:lang w:val="en-GB" w:eastAsia="en-US"/>
              </w:rPr>
              <w:t>Data was collected at time-points:</w:t>
            </w:r>
          </w:p>
          <w:p w:rsidR="00103085" w:rsidRDefault="00103085" w:rsidP="00103085">
            <w:pPr>
              <w:pStyle w:val="Tabletext1"/>
              <w:rPr>
                <w:lang w:val="en-GB" w:eastAsia="en-US"/>
              </w:rPr>
            </w:pPr>
            <w:r>
              <w:rPr>
                <w:lang w:val="en-GB" w:eastAsia="en-US"/>
              </w:rPr>
              <w:t>Baseline (T0)</w:t>
            </w:r>
          </w:p>
          <w:p w:rsidR="00103085" w:rsidRDefault="00103085" w:rsidP="00103085">
            <w:pPr>
              <w:pStyle w:val="Tabletext1"/>
              <w:rPr>
                <w:lang w:val="en-GB" w:eastAsia="en-US"/>
              </w:rPr>
            </w:pPr>
            <w:r>
              <w:rPr>
                <w:lang w:val="en-GB" w:eastAsia="en-US"/>
              </w:rPr>
              <w:t>12 months</w:t>
            </w:r>
          </w:p>
          <w:p w:rsidR="00103085" w:rsidRDefault="00103085" w:rsidP="00103085">
            <w:pPr>
              <w:pStyle w:val="Tabletext1"/>
              <w:rPr>
                <w:lang w:val="en-GB" w:eastAsia="en-US"/>
              </w:rPr>
            </w:pPr>
            <w:r>
              <w:rPr>
                <w:lang w:val="en-GB" w:eastAsia="en-US"/>
              </w:rPr>
              <w:t>24 months</w:t>
            </w:r>
          </w:p>
          <w:p w:rsidR="00103085" w:rsidRPr="00423400" w:rsidRDefault="00103085" w:rsidP="00103085">
            <w:pPr>
              <w:pStyle w:val="Tabletext1"/>
              <w:rPr>
                <w:lang w:val="en-GB" w:eastAsia="en-US"/>
              </w:rPr>
            </w:pPr>
            <w:r>
              <w:rPr>
                <w:lang w:val="en-GB" w:eastAsia="en-US"/>
              </w:rPr>
              <w:t>36 months</w:t>
            </w:r>
          </w:p>
        </w:tc>
        <w:tc>
          <w:tcPr>
            <w:tcW w:w="1394" w:type="dxa"/>
          </w:tcPr>
          <w:p w:rsidR="00103085" w:rsidRPr="00423400" w:rsidRDefault="00103085" w:rsidP="00103085">
            <w:pPr>
              <w:pStyle w:val="Tabletext1"/>
              <w:rPr>
                <w:lang w:val="en-GB" w:eastAsia="en-US"/>
              </w:rPr>
            </w:pPr>
            <w:r>
              <w:rPr>
                <w:lang w:val="en-GB" w:eastAsia="en-US"/>
              </w:rPr>
              <w:t>Data was synthesised separately for juvenile and adult patients</w:t>
            </w:r>
          </w:p>
        </w:tc>
      </w:tr>
      <w:tr w:rsidR="00103085" w:rsidRPr="00423400" w:rsidTr="00103085">
        <w:tc>
          <w:tcPr>
            <w:tcW w:w="1242" w:type="dxa"/>
          </w:tcPr>
          <w:p w:rsidR="00103085" w:rsidRDefault="00103085" w:rsidP="00103085">
            <w:pPr>
              <w:pStyle w:val="Tabletext1"/>
              <w:rPr>
                <w:lang w:val="en-GB" w:eastAsia="en-US"/>
              </w:rPr>
            </w:pPr>
            <w:r>
              <w:rPr>
                <w:noProof/>
                <w:lang w:val="en-GB" w:eastAsia="en-US"/>
              </w:rPr>
              <w:t>(</w:t>
            </w:r>
            <w:r w:rsidR="00184B6F">
              <w:rPr>
                <w:noProof/>
                <w:lang w:val="en-GB" w:eastAsia="en-US"/>
              </w:rPr>
              <w:t>van Capelle et al. 2010</w:t>
            </w:r>
            <w:r>
              <w:rPr>
                <w:noProof/>
                <w:lang w:val="en-GB" w:eastAsia="en-US"/>
              </w:rPr>
              <w:t>)</w:t>
            </w:r>
          </w:p>
          <w:p w:rsidR="00103085" w:rsidRPr="00423400" w:rsidRDefault="00103085" w:rsidP="00103085">
            <w:pPr>
              <w:pStyle w:val="Tabletext1"/>
              <w:rPr>
                <w:lang w:val="en-GB" w:eastAsia="en-US"/>
              </w:rPr>
            </w:pPr>
            <w:r>
              <w:rPr>
                <w:lang w:val="en-GB" w:eastAsia="en-US"/>
              </w:rPr>
              <w:t>Netherlands</w:t>
            </w:r>
          </w:p>
        </w:tc>
        <w:tc>
          <w:tcPr>
            <w:tcW w:w="1418" w:type="dxa"/>
          </w:tcPr>
          <w:p w:rsidR="00103085" w:rsidRPr="00423400" w:rsidRDefault="00103085" w:rsidP="00103085">
            <w:pPr>
              <w:pStyle w:val="Tabletext1"/>
              <w:rPr>
                <w:lang w:val="en-GB" w:eastAsia="en-US"/>
              </w:rPr>
            </w:pPr>
            <w:r>
              <w:rPr>
                <w:lang w:val="en-GB" w:eastAsia="en-US"/>
              </w:rPr>
              <w:t>C</w:t>
            </w:r>
            <w:r w:rsidR="006B5B63">
              <w:rPr>
                <w:lang w:val="en-GB" w:eastAsia="en-US"/>
              </w:rPr>
              <w:t>ase reports</w:t>
            </w:r>
          </w:p>
          <w:p w:rsidR="00103085" w:rsidRPr="00423400" w:rsidRDefault="00103085" w:rsidP="00103085">
            <w:pPr>
              <w:pStyle w:val="Tabletext1"/>
              <w:rPr>
                <w:lang w:val="en-GB" w:eastAsia="en-US"/>
              </w:rPr>
            </w:pPr>
            <w:r w:rsidRPr="00423400">
              <w:rPr>
                <w:lang w:val="en-GB" w:eastAsia="en-US"/>
              </w:rPr>
              <w:t xml:space="preserve">Quality: </w:t>
            </w:r>
            <w:r>
              <w:rPr>
                <w:lang w:val="en-GB" w:eastAsia="en-US"/>
              </w:rPr>
              <w:t>NA</w:t>
            </w:r>
          </w:p>
        </w:tc>
        <w:tc>
          <w:tcPr>
            <w:tcW w:w="2693" w:type="dxa"/>
          </w:tcPr>
          <w:p w:rsidR="00103085" w:rsidRPr="00423400" w:rsidRDefault="00103085" w:rsidP="00103085">
            <w:pPr>
              <w:pStyle w:val="Tabletext1"/>
              <w:rPr>
                <w:lang w:val="en-GB" w:eastAsia="en-US"/>
              </w:rPr>
            </w:pPr>
            <w:r w:rsidRPr="00423400">
              <w:rPr>
                <w:u w:val="single"/>
                <w:lang w:val="en-GB" w:eastAsia="en-US"/>
              </w:rPr>
              <w:t>Study population</w:t>
            </w:r>
          </w:p>
          <w:p w:rsidR="00103085" w:rsidRPr="00423400" w:rsidRDefault="00103085" w:rsidP="00103085">
            <w:pPr>
              <w:pStyle w:val="Tabletext1"/>
              <w:rPr>
                <w:lang w:val="en-GB" w:eastAsia="en-US"/>
              </w:rPr>
            </w:pPr>
            <w:r w:rsidRPr="00423400">
              <w:rPr>
                <w:lang w:val="en-GB" w:eastAsia="en-US"/>
              </w:rPr>
              <w:t>N</w:t>
            </w:r>
            <w:r w:rsidRPr="00423400">
              <w:rPr>
                <w:spacing w:val="-20"/>
                <w:lang w:val="en-GB" w:eastAsia="en-US"/>
              </w:rPr>
              <w:t xml:space="preserve"> =</w:t>
            </w:r>
            <w:r>
              <w:rPr>
                <w:spacing w:val="-20"/>
                <w:lang w:val="en-GB" w:eastAsia="en-US"/>
              </w:rPr>
              <w:t xml:space="preserve"> </w:t>
            </w:r>
            <w:r w:rsidR="00A97231">
              <w:rPr>
                <w:lang w:val="en-GB" w:eastAsia="en-US"/>
              </w:rPr>
              <w:t xml:space="preserve">3 JOPD (2 additional patients had infantile onset Pompe </w:t>
            </w:r>
            <w:r w:rsidR="00A97231">
              <w:rPr>
                <w:lang w:val="en-GB" w:eastAsia="en-US"/>
              </w:rPr>
              <w:lastRenderedPageBreak/>
              <w:t>disease)</w:t>
            </w:r>
          </w:p>
          <w:p w:rsidR="00A97231" w:rsidRDefault="00A97231" w:rsidP="00103085">
            <w:pPr>
              <w:pStyle w:val="Tabletext1"/>
              <w:rPr>
                <w:lang w:val="en-GB" w:eastAsia="en-US"/>
              </w:rPr>
            </w:pPr>
          </w:p>
          <w:p w:rsidR="00103085" w:rsidRDefault="00103085" w:rsidP="00103085">
            <w:pPr>
              <w:pStyle w:val="Tabletext1"/>
              <w:rPr>
                <w:lang w:val="en-GB" w:eastAsia="en-US"/>
              </w:rPr>
            </w:pPr>
            <w:r w:rsidRPr="0009619A">
              <w:rPr>
                <w:lang w:val="en-GB" w:eastAsia="en-US"/>
              </w:rPr>
              <w:t>Patient 1</w:t>
            </w:r>
            <w:r>
              <w:rPr>
                <w:lang w:val="en-GB" w:eastAsia="en-US"/>
              </w:rPr>
              <w:t>:</w:t>
            </w:r>
          </w:p>
          <w:p w:rsidR="00103085" w:rsidRDefault="00A97231" w:rsidP="00103085">
            <w:pPr>
              <w:pStyle w:val="Tabletext1"/>
              <w:rPr>
                <w:lang w:val="en-GB" w:eastAsia="en-US"/>
              </w:rPr>
            </w:pPr>
            <w:r>
              <w:rPr>
                <w:lang w:val="en-GB" w:eastAsia="en-US"/>
              </w:rPr>
              <w:t>Age at diagnosis (y)</w:t>
            </w:r>
            <w:r>
              <w:rPr>
                <w:lang w:val="en-GB" w:eastAsia="en-US"/>
              </w:rPr>
              <w:tab/>
              <w:t>3.5</w:t>
            </w:r>
          </w:p>
          <w:p w:rsidR="00103085" w:rsidRDefault="00103085" w:rsidP="00103085">
            <w:pPr>
              <w:pStyle w:val="Tabletext1"/>
              <w:rPr>
                <w:lang w:val="en-GB" w:eastAsia="en-US"/>
              </w:rPr>
            </w:pPr>
            <w:r>
              <w:rPr>
                <w:lang w:val="en-GB" w:eastAsia="en-US"/>
              </w:rPr>
              <w:t>Age at first symptoms (y)</w:t>
            </w:r>
            <w:r>
              <w:rPr>
                <w:lang w:val="en-GB" w:eastAsia="en-US"/>
              </w:rPr>
              <w:tab/>
              <w:t>2.7</w:t>
            </w:r>
          </w:p>
          <w:p w:rsidR="00103085" w:rsidRPr="00423400" w:rsidRDefault="00103085" w:rsidP="00103085">
            <w:pPr>
              <w:pStyle w:val="Tabletext1"/>
              <w:rPr>
                <w:lang w:val="en-GB" w:eastAsia="en-US"/>
              </w:rPr>
            </w:pPr>
            <w:r>
              <w:rPr>
                <w:lang w:val="en-GB" w:eastAsia="en-US"/>
              </w:rPr>
              <w:t>Age at start therapy (y)</w:t>
            </w:r>
            <w:r>
              <w:rPr>
                <w:lang w:val="en-GB" w:eastAsia="en-US"/>
              </w:rPr>
              <w:tab/>
              <w:t>5.9</w:t>
            </w:r>
          </w:p>
          <w:p w:rsidR="00A97231" w:rsidRDefault="00A97231" w:rsidP="00103085">
            <w:pPr>
              <w:pStyle w:val="Tabletext1"/>
              <w:rPr>
                <w:lang w:val="en-GB" w:eastAsia="en-US"/>
              </w:rPr>
            </w:pPr>
          </w:p>
          <w:p w:rsidR="00103085" w:rsidRDefault="00103085" w:rsidP="00103085">
            <w:pPr>
              <w:pStyle w:val="Tabletext1"/>
              <w:rPr>
                <w:lang w:val="en-GB" w:eastAsia="en-US"/>
              </w:rPr>
            </w:pPr>
            <w:r w:rsidRPr="0009619A">
              <w:rPr>
                <w:lang w:val="en-GB" w:eastAsia="en-US"/>
              </w:rPr>
              <w:t>Patient 2</w:t>
            </w:r>
            <w:r>
              <w:rPr>
                <w:lang w:val="en-GB" w:eastAsia="en-US"/>
              </w:rPr>
              <w:t>:</w:t>
            </w:r>
          </w:p>
          <w:p w:rsidR="00103085" w:rsidRDefault="00103085" w:rsidP="00103085">
            <w:pPr>
              <w:pStyle w:val="Tabletext1"/>
              <w:rPr>
                <w:lang w:val="en-GB" w:eastAsia="en-US"/>
              </w:rPr>
            </w:pPr>
            <w:r>
              <w:rPr>
                <w:lang w:val="en-GB" w:eastAsia="en-US"/>
              </w:rPr>
              <w:t>Age at diagnosis (y)</w:t>
            </w:r>
            <w:r w:rsidR="00A97231">
              <w:rPr>
                <w:lang w:val="en-GB" w:eastAsia="en-US"/>
              </w:rPr>
              <w:t xml:space="preserve">  </w:t>
            </w:r>
            <w:r>
              <w:rPr>
                <w:lang w:val="en-GB" w:eastAsia="en-US"/>
              </w:rPr>
              <w:t>11.6</w:t>
            </w:r>
            <w:r>
              <w:rPr>
                <w:lang w:val="en-GB" w:eastAsia="en-US"/>
              </w:rPr>
              <w:tab/>
            </w:r>
          </w:p>
          <w:p w:rsidR="00103085" w:rsidRDefault="00A97231" w:rsidP="00103085">
            <w:pPr>
              <w:pStyle w:val="Tabletext1"/>
              <w:rPr>
                <w:lang w:val="en-GB" w:eastAsia="en-US"/>
              </w:rPr>
            </w:pPr>
            <w:r>
              <w:rPr>
                <w:lang w:val="en-GB" w:eastAsia="en-US"/>
              </w:rPr>
              <w:t xml:space="preserve">Age at first symptoms (y)  </w:t>
            </w:r>
            <w:r w:rsidR="00103085">
              <w:rPr>
                <w:lang w:val="en-GB" w:eastAsia="en-US"/>
              </w:rPr>
              <w:t>6.5</w:t>
            </w:r>
          </w:p>
          <w:p w:rsidR="00103085" w:rsidRDefault="00103085" w:rsidP="00103085">
            <w:pPr>
              <w:pStyle w:val="Tabletext1"/>
              <w:rPr>
                <w:lang w:val="en-GB" w:eastAsia="en-US"/>
              </w:rPr>
            </w:pPr>
            <w:r>
              <w:rPr>
                <w:lang w:val="en-GB" w:eastAsia="en-US"/>
              </w:rPr>
              <w:t xml:space="preserve">Age at start therapy (y) </w:t>
            </w:r>
            <w:r w:rsidR="00A97231">
              <w:rPr>
                <w:lang w:val="en-GB" w:eastAsia="en-US"/>
              </w:rPr>
              <w:t xml:space="preserve"> </w:t>
            </w:r>
            <w:r>
              <w:rPr>
                <w:lang w:val="en-GB" w:eastAsia="en-US"/>
              </w:rPr>
              <w:t>12.7</w:t>
            </w:r>
          </w:p>
          <w:p w:rsidR="00A97231" w:rsidRDefault="00A97231" w:rsidP="00103085">
            <w:pPr>
              <w:pStyle w:val="Tabletext1"/>
              <w:rPr>
                <w:lang w:val="en-GB" w:eastAsia="en-US"/>
              </w:rPr>
            </w:pPr>
          </w:p>
          <w:p w:rsidR="00103085" w:rsidRDefault="00103085" w:rsidP="00103085">
            <w:pPr>
              <w:pStyle w:val="Tabletext1"/>
              <w:rPr>
                <w:lang w:val="en-GB" w:eastAsia="en-US"/>
              </w:rPr>
            </w:pPr>
            <w:r w:rsidRPr="0009619A">
              <w:rPr>
                <w:lang w:val="en-GB" w:eastAsia="en-US"/>
              </w:rPr>
              <w:t>Patient 4</w:t>
            </w:r>
            <w:r>
              <w:rPr>
                <w:lang w:val="en-GB" w:eastAsia="en-US"/>
              </w:rPr>
              <w:t>:</w:t>
            </w:r>
          </w:p>
          <w:p w:rsidR="00103085" w:rsidRDefault="00A97231" w:rsidP="00103085">
            <w:pPr>
              <w:pStyle w:val="Tabletext1"/>
              <w:rPr>
                <w:lang w:val="en-GB" w:eastAsia="en-US"/>
              </w:rPr>
            </w:pPr>
            <w:r>
              <w:rPr>
                <w:lang w:val="en-GB" w:eastAsia="en-US"/>
              </w:rPr>
              <w:t>Age at diagnosis (y)  3</w:t>
            </w:r>
          </w:p>
          <w:p w:rsidR="00103085" w:rsidRDefault="00A97231" w:rsidP="00103085">
            <w:pPr>
              <w:pStyle w:val="Tabletext1"/>
              <w:rPr>
                <w:lang w:val="en-GB" w:eastAsia="en-US"/>
              </w:rPr>
            </w:pPr>
            <w:r>
              <w:rPr>
                <w:lang w:val="en-GB" w:eastAsia="en-US"/>
              </w:rPr>
              <w:t xml:space="preserve">Age at first symptoms (y)  </w:t>
            </w:r>
            <w:r w:rsidR="00103085">
              <w:rPr>
                <w:lang w:val="en-GB" w:eastAsia="en-US"/>
              </w:rPr>
              <w:t>2.5</w:t>
            </w:r>
          </w:p>
          <w:p w:rsidR="00103085" w:rsidRPr="00423400" w:rsidRDefault="00103085" w:rsidP="00103085">
            <w:pPr>
              <w:pStyle w:val="Tabletext1"/>
              <w:rPr>
                <w:lang w:val="en-GB" w:eastAsia="en-US"/>
              </w:rPr>
            </w:pPr>
            <w:r>
              <w:rPr>
                <w:lang w:val="en-GB" w:eastAsia="en-US"/>
              </w:rPr>
              <w:t xml:space="preserve">Age at start therapy (y) </w:t>
            </w:r>
            <w:r w:rsidR="00A97231">
              <w:rPr>
                <w:lang w:val="en-GB" w:eastAsia="en-US"/>
              </w:rPr>
              <w:t xml:space="preserve"> </w:t>
            </w:r>
            <w:r>
              <w:rPr>
                <w:lang w:val="en-GB" w:eastAsia="en-US"/>
              </w:rPr>
              <w:t>12.9</w:t>
            </w:r>
          </w:p>
          <w:p w:rsidR="00103085" w:rsidRPr="00423400" w:rsidRDefault="00103085" w:rsidP="00103085">
            <w:pPr>
              <w:pStyle w:val="Tabletext1"/>
              <w:rPr>
                <w:lang w:val="en-GB" w:eastAsia="en-US"/>
              </w:rPr>
            </w:pPr>
          </w:p>
        </w:tc>
        <w:tc>
          <w:tcPr>
            <w:tcW w:w="2794" w:type="dxa"/>
          </w:tcPr>
          <w:p w:rsidR="00103085" w:rsidRPr="00423400" w:rsidRDefault="00103085" w:rsidP="00103085">
            <w:pPr>
              <w:pStyle w:val="Tabletext1"/>
              <w:rPr>
                <w:u w:val="single"/>
                <w:lang w:val="en-GB" w:eastAsia="en-US"/>
              </w:rPr>
            </w:pPr>
            <w:r w:rsidRPr="00423400">
              <w:rPr>
                <w:u w:val="single"/>
                <w:lang w:val="en-GB" w:eastAsia="en-US"/>
              </w:rPr>
              <w:lastRenderedPageBreak/>
              <w:t>Inclusion</w:t>
            </w:r>
          </w:p>
          <w:p w:rsidR="00103085" w:rsidRDefault="00103085" w:rsidP="00103085">
            <w:pPr>
              <w:pStyle w:val="Tabletext1"/>
              <w:rPr>
                <w:lang w:val="en-GB" w:eastAsia="en-US"/>
              </w:rPr>
            </w:pPr>
            <w:r w:rsidRPr="007B3226">
              <w:rPr>
                <w:lang w:val="en-GB" w:eastAsia="en-US"/>
              </w:rPr>
              <w:t>Confirmed diagnosis</w:t>
            </w:r>
            <w:r>
              <w:rPr>
                <w:lang w:val="en-GB" w:eastAsia="en-US"/>
              </w:rPr>
              <w:t xml:space="preserve"> of Pompe disease documented by deficient </w:t>
            </w:r>
            <w:r>
              <w:rPr>
                <w:lang w:val="en-GB" w:eastAsia="en-US"/>
              </w:rPr>
              <w:lastRenderedPageBreak/>
              <w:t>alfa-glucosidase activity in fibroblasts and/or DNA analysis</w:t>
            </w:r>
          </w:p>
          <w:p w:rsidR="00103085" w:rsidRDefault="00103085" w:rsidP="00103085">
            <w:pPr>
              <w:pStyle w:val="Tabletext1"/>
              <w:rPr>
                <w:lang w:val="en-GB" w:eastAsia="en-US"/>
              </w:rPr>
            </w:pPr>
            <w:r>
              <w:rPr>
                <w:lang w:val="en-GB" w:eastAsia="en-US"/>
              </w:rPr>
              <w:t>Aged between 5 and 18 years</w:t>
            </w:r>
          </w:p>
          <w:p w:rsidR="00103085" w:rsidRDefault="00103085" w:rsidP="00103085">
            <w:pPr>
              <w:pStyle w:val="Tabletext1"/>
              <w:rPr>
                <w:lang w:val="en-GB" w:eastAsia="en-US"/>
              </w:rPr>
            </w:pPr>
            <w:r>
              <w:rPr>
                <w:lang w:val="en-GB" w:eastAsia="en-US"/>
              </w:rPr>
              <w:t>Demonstrable muscle weakness by manual muscle testing</w:t>
            </w:r>
          </w:p>
          <w:p w:rsidR="00103085" w:rsidRDefault="00103085" w:rsidP="00103085">
            <w:pPr>
              <w:pStyle w:val="Tabletext1"/>
              <w:rPr>
                <w:lang w:val="en-GB" w:eastAsia="en-US"/>
              </w:rPr>
            </w:pPr>
            <w:r>
              <w:rPr>
                <w:lang w:val="en-GB" w:eastAsia="en-US"/>
              </w:rPr>
              <w:t xml:space="preserve">Able to provide 3 </w:t>
            </w:r>
            <w:r w:rsidR="00E66055">
              <w:rPr>
                <w:lang w:val="en-GB" w:eastAsia="en-US"/>
              </w:rPr>
              <w:t>reproducible</w:t>
            </w:r>
            <w:r>
              <w:rPr>
                <w:lang w:val="en-GB" w:eastAsia="en-US"/>
              </w:rPr>
              <w:t xml:space="preserve"> FVC measurements in sitting position (within 5% of one another)</w:t>
            </w:r>
          </w:p>
          <w:p w:rsidR="00103085" w:rsidRPr="007B3226" w:rsidRDefault="00103085" w:rsidP="00103085">
            <w:pPr>
              <w:pStyle w:val="Tabletext1"/>
              <w:rPr>
                <w:lang w:val="en-GB" w:eastAsia="en-US"/>
              </w:rPr>
            </w:pPr>
            <w:r>
              <w:rPr>
                <w:lang w:val="en-GB" w:eastAsia="en-US"/>
              </w:rPr>
              <w:t>Able to walk 10 m</w:t>
            </w:r>
          </w:p>
          <w:p w:rsidR="00103085" w:rsidRPr="00423400" w:rsidRDefault="00103085" w:rsidP="00103085">
            <w:pPr>
              <w:pStyle w:val="Tabletext1"/>
              <w:rPr>
                <w:u w:val="single"/>
                <w:lang w:val="en-GB" w:eastAsia="en-US"/>
              </w:rPr>
            </w:pPr>
            <w:r w:rsidRPr="00423400">
              <w:rPr>
                <w:u w:val="single"/>
                <w:lang w:val="en-GB" w:eastAsia="en-US"/>
              </w:rPr>
              <w:t>Exclusion</w:t>
            </w:r>
          </w:p>
          <w:p w:rsidR="00103085" w:rsidRPr="007B3226" w:rsidRDefault="00103085" w:rsidP="00103085">
            <w:pPr>
              <w:pStyle w:val="Tabletext1"/>
              <w:rPr>
                <w:lang w:val="en-GB" w:eastAsia="en-US"/>
              </w:rPr>
            </w:pPr>
            <w:r w:rsidRPr="007B3226">
              <w:rPr>
                <w:lang w:val="en-GB" w:eastAsia="en-US"/>
              </w:rPr>
              <w:t>Patients requiring invasive ventilation or non-invasive ventilation whilst awake or in an upright position.</w:t>
            </w:r>
            <w:r>
              <w:rPr>
                <w:lang w:val="en-GB" w:eastAsia="en-US"/>
              </w:rPr>
              <w:t xml:space="preserve"> Patients had not previously received ERT.</w:t>
            </w:r>
          </w:p>
        </w:tc>
        <w:tc>
          <w:tcPr>
            <w:tcW w:w="1600" w:type="dxa"/>
          </w:tcPr>
          <w:p w:rsidR="00103085" w:rsidRPr="00423400" w:rsidRDefault="00103085" w:rsidP="00103085">
            <w:pPr>
              <w:pStyle w:val="Tabletext1"/>
              <w:rPr>
                <w:u w:val="single"/>
                <w:lang w:val="en-GB" w:eastAsia="en-US"/>
              </w:rPr>
            </w:pPr>
            <w:r w:rsidRPr="00423400">
              <w:rPr>
                <w:u w:val="single"/>
                <w:lang w:val="en-GB" w:eastAsia="en-US"/>
              </w:rPr>
              <w:lastRenderedPageBreak/>
              <w:t>Intervention</w:t>
            </w:r>
          </w:p>
          <w:p w:rsidR="00103085" w:rsidRPr="00423400" w:rsidRDefault="00E66055" w:rsidP="00103085">
            <w:pPr>
              <w:pStyle w:val="Tabletext1"/>
              <w:rPr>
                <w:lang w:val="en-GB" w:eastAsia="en-US"/>
              </w:rPr>
            </w:pPr>
            <w:r w:rsidRPr="00423400">
              <w:rPr>
                <w:lang w:val="en-GB" w:eastAsia="en-US"/>
              </w:rPr>
              <w:t>Alglucosidase</w:t>
            </w:r>
            <w:r w:rsidR="00103085" w:rsidRPr="00423400">
              <w:rPr>
                <w:lang w:val="en-GB" w:eastAsia="en-US"/>
              </w:rPr>
              <w:t xml:space="preserve"> alfa biweekly </w:t>
            </w:r>
          </w:p>
          <w:p w:rsidR="00103085" w:rsidRPr="00423400" w:rsidRDefault="00103085" w:rsidP="00103085">
            <w:pPr>
              <w:pStyle w:val="Tabletext1"/>
              <w:rPr>
                <w:lang w:val="en-GB" w:eastAsia="en-US"/>
              </w:rPr>
            </w:pPr>
            <w:r>
              <w:rPr>
                <w:lang w:val="en-GB" w:eastAsia="en-US"/>
              </w:rPr>
              <w:lastRenderedPageBreak/>
              <w:t>20mg/kg</w:t>
            </w:r>
          </w:p>
          <w:p w:rsidR="00103085" w:rsidRPr="00423400" w:rsidRDefault="00103085" w:rsidP="00103085">
            <w:pPr>
              <w:pStyle w:val="Tabletext1"/>
              <w:rPr>
                <w:lang w:val="en-GB" w:eastAsia="en-US"/>
              </w:rPr>
            </w:pPr>
          </w:p>
        </w:tc>
        <w:tc>
          <w:tcPr>
            <w:tcW w:w="1847" w:type="dxa"/>
            <w:tcBorders>
              <w:right w:val="single" w:sz="4" w:space="0" w:color="auto"/>
            </w:tcBorders>
          </w:tcPr>
          <w:p w:rsidR="00103085" w:rsidRPr="0009619A" w:rsidRDefault="00103085" w:rsidP="00103085">
            <w:pPr>
              <w:pStyle w:val="Tabletext1"/>
              <w:rPr>
                <w:lang w:val="en-GB" w:eastAsia="en-US"/>
              </w:rPr>
            </w:pPr>
            <w:r w:rsidRPr="0009619A">
              <w:rPr>
                <w:lang w:val="en-GB" w:eastAsia="en-US"/>
              </w:rPr>
              <w:lastRenderedPageBreak/>
              <w:t>For individual patients</w:t>
            </w:r>
            <w:r>
              <w:rPr>
                <w:lang w:val="en-GB" w:eastAsia="en-US"/>
              </w:rPr>
              <w:t>:</w:t>
            </w:r>
          </w:p>
          <w:p w:rsidR="00103085" w:rsidRPr="0009619A" w:rsidRDefault="00103085" w:rsidP="00103085">
            <w:pPr>
              <w:pStyle w:val="Tabletext1"/>
              <w:rPr>
                <w:lang w:val="en-GB" w:eastAsia="en-US"/>
              </w:rPr>
            </w:pPr>
            <w:r w:rsidRPr="0009619A">
              <w:rPr>
                <w:lang w:val="en-GB" w:eastAsia="en-US"/>
              </w:rPr>
              <w:t xml:space="preserve">Hand-held </w:t>
            </w:r>
            <w:r w:rsidRPr="0009619A">
              <w:rPr>
                <w:lang w:val="en-GB" w:eastAsia="en-US"/>
              </w:rPr>
              <w:lastRenderedPageBreak/>
              <w:t>dynamometry</w:t>
            </w:r>
          </w:p>
          <w:p w:rsidR="00103085" w:rsidRPr="0009619A" w:rsidRDefault="00103085" w:rsidP="00103085">
            <w:pPr>
              <w:pStyle w:val="Tabletext1"/>
              <w:rPr>
                <w:lang w:val="en-GB" w:eastAsia="en-US"/>
              </w:rPr>
            </w:pPr>
            <w:r w:rsidRPr="0009619A">
              <w:rPr>
                <w:lang w:val="en-GB" w:eastAsia="en-US"/>
              </w:rPr>
              <w:t>(HHD)</w:t>
            </w:r>
          </w:p>
          <w:p w:rsidR="00103085" w:rsidRPr="0009619A" w:rsidRDefault="00103085" w:rsidP="00103085">
            <w:pPr>
              <w:pStyle w:val="Tabletext1"/>
              <w:rPr>
                <w:lang w:val="en-GB" w:eastAsia="en-US"/>
              </w:rPr>
            </w:pPr>
            <w:r w:rsidRPr="0009619A">
              <w:rPr>
                <w:lang w:val="en-GB" w:eastAsia="en-US"/>
              </w:rPr>
              <w:t>Manual muscle testing (MMT)</w:t>
            </w:r>
          </w:p>
          <w:p w:rsidR="00103085" w:rsidRPr="0009619A" w:rsidRDefault="00103085" w:rsidP="00103085">
            <w:pPr>
              <w:pStyle w:val="Tabletext1"/>
              <w:rPr>
                <w:lang w:val="en-GB" w:eastAsia="en-US"/>
              </w:rPr>
            </w:pPr>
            <w:r w:rsidRPr="0009619A">
              <w:rPr>
                <w:lang w:val="en-GB" w:eastAsia="en-US"/>
              </w:rPr>
              <w:t>6MWT</w:t>
            </w:r>
          </w:p>
          <w:p w:rsidR="00103085" w:rsidRPr="00423400" w:rsidRDefault="00103085" w:rsidP="00103085">
            <w:pPr>
              <w:pStyle w:val="Tabletext1"/>
              <w:rPr>
                <w:lang w:val="en-GB" w:eastAsia="en-US"/>
              </w:rPr>
            </w:pPr>
            <w:r w:rsidRPr="0009619A">
              <w:rPr>
                <w:lang w:val="en-GB" w:eastAsia="en-US"/>
              </w:rPr>
              <w:t>Quick motor function test (QMFT)</w:t>
            </w:r>
          </w:p>
        </w:tc>
        <w:tc>
          <w:tcPr>
            <w:tcW w:w="1272" w:type="dxa"/>
            <w:tcBorders>
              <w:left w:val="single" w:sz="4" w:space="0" w:color="auto"/>
            </w:tcBorders>
          </w:tcPr>
          <w:p w:rsidR="00103085" w:rsidRPr="00501FE4" w:rsidRDefault="00103085" w:rsidP="00103085">
            <w:pPr>
              <w:pStyle w:val="Tabletext1"/>
              <w:rPr>
                <w:lang w:val="en-GB" w:eastAsia="en-US"/>
              </w:rPr>
            </w:pPr>
            <w:r w:rsidRPr="00501FE4">
              <w:rPr>
                <w:lang w:val="en-GB" w:eastAsia="en-US"/>
              </w:rPr>
              <w:lastRenderedPageBreak/>
              <w:t>3 years</w:t>
            </w:r>
          </w:p>
        </w:tc>
        <w:tc>
          <w:tcPr>
            <w:tcW w:w="1394" w:type="dxa"/>
          </w:tcPr>
          <w:p w:rsidR="00103085" w:rsidRPr="00423400" w:rsidRDefault="00103085" w:rsidP="00103085">
            <w:pPr>
              <w:pStyle w:val="Tabletext1"/>
              <w:rPr>
                <w:lang w:val="en-GB" w:eastAsia="en-US"/>
              </w:rPr>
            </w:pPr>
            <w:r>
              <w:rPr>
                <w:lang w:val="en-GB" w:eastAsia="en-US"/>
              </w:rPr>
              <w:t xml:space="preserve">2 out of the 5 included patients had symptom onset </w:t>
            </w:r>
            <w:r>
              <w:rPr>
                <w:lang w:val="en-GB" w:eastAsia="en-US"/>
              </w:rPr>
              <w:lastRenderedPageBreak/>
              <w:t>before 2 years of age and therefore were not classified as juvenile onset patients for this review.</w:t>
            </w:r>
          </w:p>
        </w:tc>
      </w:tr>
      <w:tr w:rsidR="00103085" w:rsidRPr="00423400" w:rsidTr="00103085">
        <w:tc>
          <w:tcPr>
            <w:tcW w:w="1242" w:type="dxa"/>
          </w:tcPr>
          <w:p w:rsidR="00103085" w:rsidRDefault="00103085" w:rsidP="00103085">
            <w:pPr>
              <w:pStyle w:val="Tabletext1"/>
              <w:rPr>
                <w:lang w:val="en-GB" w:eastAsia="en-US"/>
              </w:rPr>
            </w:pPr>
            <w:r>
              <w:rPr>
                <w:noProof/>
                <w:lang w:val="en-GB" w:eastAsia="en-US"/>
              </w:rPr>
              <w:lastRenderedPageBreak/>
              <w:t>(</w:t>
            </w:r>
            <w:r w:rsidR="00184B6F">
              <w:rPr>
                <w:noProof/>
                <w:lang w:val="en-GB" w:eastAsia="en-US"/>
              </w:rPr>
              <w:t>Winkel, LPF et al. 2004</w:t>
            </w:r>
            <w:r>
              <w:rPr>
                <w:noProof/>
                <w:lang w:val="en-GB" w:eastAsia="en-US"/>
              </w:rPr>
              <w:t>)</w:t>
            </w:r>
          </w:p>
          <w:p w:rsidR="00103085" w:rsidRDefault="00103085" w:rsidP="00103085">
            <w:pPr>
              <w:pStyle w:val="Tabletext1"/>
              <w:rPr>
                <w:lang w:val="en-GB" w:eastAsia="en-US"/>
              </w:rPr>
            </w:pPr>
            <w:r>
              <w:rPr>
                <w:lang w:val="en-GB" w:eastAsia="en-US"/>
              </w:rPr>
              <w:t>Netherlands</w:t>
            </w:r>
          </w:p>
        </w:tc>
        <w:tc>
          <w:tcPr>
            <w:tcW w:w="1418" w:type="dxa"/>
          </w:tcPr>
          <w:p w:rsidR="00103085" w:rsidRDefault="00103085" w:rsidP="00103085">
            <w:pPr>
              <w:pStyle w:val="Tabletext1"/>
              <w:rPr>
                <w:lang w:val="en-GB" w:eastAsia="en-US"/>
              </w:rPr>
            </w:pPr>
            <w:r>
              <w:rPr>
                <w:lang w:val="en-GB" w:eastAsia="en-US"/>
              </w:rPr>
              <w:t>Case reports</w:t>
            </w:r>
          </w:p>
          <w:p w:rsidR="00103085" w:rsidRDefault="00103085" w:rsidP="00103085">
            <w:pPr>
              <w:pStyle w:val="Tabletext1"/>
              <w:rPr>
                <w:lang w:val="en-GB" w:eastAsia="en-US"/>
              </w:rPr>
            </w:pPr>
            <w:r>
              <w:rPr>
                <w:lang w:val="en-GB" w:eastAsia="en-US"/>
              </w:rPr>
              <w:t>Quality:NA</w:t>
            </w:r>
          </w:p>
        </w:tc>
        <w:tc>
          <w:tcPr>
            <w:tcW w:w="2693" w:type="dxa"/>
          </w:tcPr>
          <w:p w:rsidR="00103085" w:rsidRPr="00423400" w:rsidRDefault="00103085" w:rsidP="00103085">
            <w:pPr>
              <w:pStyle w:val="Tabletext1"/>
              <w:rPr>
                <w:lang w:val="en-GB" w:eastAsia="en-US"/>
              </w:rPr>
            </w:pPr>
            <w:r w:rsidRPr="00423400">
              <w:rPr>
                <w:u w:val="single"/>
                <w:lang w:val="en-GB" w:eastAsia="en-US"/>
              </w:rPr>
              <w:t>Study population</w:t>
            </w:r>
          </w:p>
          <w:p w:rsidR="00103085" w:rsidRDefault="00103085" w:rsidP="00103085">
            <w:pPr>
              <w:pStyle w:val="Tabletext1"/>
              <w:rPr>
                <w:lang w:val="en-GB" w:eastAsia="en-US"/>
              </w:rPr>
            </w:pPr>
            <w:r w:rsidRPr="00423400">
              <w:rPr>
                <w:lang w:val="en-GB" w:eastAsia="en-US"/>
              </w:rPr>
              <w:t>N</w:t>
            </w:r>
            <w:r w:rsidRPr="00423400">
              <w:rPr>
                <w:spacing w:val="-20"/>
                <w:lang w:val="en-GB" w:eastAsia="en-US"/>
              </w:rPr>
              <w:t xml:space="preserve"> =</w:t>
            </w:r>
            <w:r>
              <w:rPr>
                <w:spacing w:val="-20"/>
                <w:lang w:val="en-GB" w:eastAsia="en-US"/>
              </w:rPr>
              <w:t xml:space="preserve"> </w:t>
            </w:r>
            <w:r w:rsidR="00A97231">
              <w:rPr>
                <w:lang w:val="en-GB" w:eastAsia="en-US"/>
              </w:rPr>
              <w:t>2</w:t>
            </w:r>
            <w:r>
              <w:rPr>
                <w:lang w:val="en-GB" w:eastAsia="en-US"/>
              </w:rPr>
              <w:t xml:space="preserve"> JOPD</w:t>
            </w:r>
            <w:r w:rsidR="00A97231">
              <w:rPr>
                <w:lang w:val="en-GB" w:eastAsia="en-US"/>
              </w:rPr>
              <w:t xml:space="preserve"> (1 additional patient had infantile onset Pompe disease)</w:t>
            </w:r>
          </w:p>
          <w:p w:rsidR="00A97231" w:rsidRPr="00423400" w:rsidRDefault="00A97231" w:rsidP="00103085">
            <w:pPr>
              <w:pStyle w:val="Tabletext1"/>
              <w:rPr>
                <w:lang w:val="en-GB" w:eastAsia="en-US"/>
              </w:rPr>
            </w:pPr>
          </w:p>
          <w:p w:rsidR="00103085" w:rsidRDefault="00103085" w:rsidP="00103085">
            <w:pPr>
              <w:pStyle w:val="Tabletext1"/>
              <w:rPr>
                <w:lang w:val="en-GB" w:eastAsia="en-US"/>
              </w:rPr>
            </w:pPr>
            <w:r w:rsidRPr="0009619A">
              <w:rPr>
                <w:lang w:val="en-GB" w:eastAsia="en-US"/>
              </w:rPr>
              <w:t>Patient 1</w:t>
            </w:r>
            <w:r>
              <w:rPr>
                <w:lang w:val="en-GB" w:eastAsia="en-US"/>
              </w:rPr>
              <w:t>:</w:t>
            </w:r>
          </w:p>
          <w:p w:rsidR="00103085" w:rsidRDefault="00A97231" w:rsidP="00103085">
            <w:pPr>
              <w:pStyle w:val="Tabletext1"/>
              <w:rPr>
                <w:lang w:val="en-GB" w:eastAsia="en-US"/>
              </w:rPr>
            </w:pPr>
            <w:r>
              <w:rPr>
                <w:lang w:val="en-GB" w:eastAsia="en-US"/>
              </w:rPr>
              <w:t>Age at diagnosis (y)</w:t>
            </w:r>
            <w:r>
              <w:rPr>
                <w:lang w:val="en-GB" w:eastAsia="en-US"/>
              </w:rPr>
              <w:tab/>
              <w:t>11</w:t>
            </w:r>
          </w:p>
          <w:p w:rsidR="00103085" w:rsidRDefault="00103085" w:rsidP="00103085">
            <w:pPr>
              <w:pStyle w:val="Tabletext1"/>
              <w:rPr>
                <w:lang w:val="en-GB" w:eastAsia="en-US"/>
              </w:rPr>
            </w:pPr>
            <w:r>
              <w:rPr>
                <w:lang w:val="en-GB" w:eastAsia="en-US"/>
              </w:rPr>
              <w:t>Age at first symptoms (y)</w:t>
            </w:r>
            <w:r>
              <w:rPr>
                <w:lang w:val="en-GB" w:eastAsia="en-US"/>
              </w:rPr>
              <w:tab/>
              <w:t>10</w:t>
            </w:r>
          </w:p>
          <w:p w:rsidR="00103085" w:rsidRPr="00423400" w:rsidRDefault="00103085" w:rsidP="00103085">
            <w:pPr>
              <w:pStyle w:val="Tabletext1"/>
              <w:rPr>
                <w:lang w:val="en-GB" w:eastAsia="en-US"/>
              </w:rPr>
            </w:pPr>
            <w:r>
              <w:rPr>
                <w:lang w:val="en-GB" w:eastAsia="en-US"/>
              </w:rPr>
              <w:t>Age at start therapy (y)</w:t>
            </w:r>
            <w:r>
              <w:rPr>
                <w:lang w:val="en-GB" w:eastAsia="en-US"/>
              </w:rPr>
              <w:tab/>
              <w:t>16</w:t>
            </w:r>
          </w:p>
          <w:p w:rsidR="00A97231" w:rsidRDefault="00A97231" w:rsidP="00103085">
            <w:pPr>
              <w:pStyle w:val="Tabletext1"/>
              <w:rPr>
                <w:lang w:val="en-GB" w:eastAsia="en-US"/>
              </w:rPr>
            </w:pPr>
          </w:p>
          <w:p w:rsidR="00103085" w:rsidRDefault="00103085" w:rsidP="00103085">
            <w:pPr>
              <w:pStyle w:val="Tabletext1"/>
              <w:rPr>
                <w:lang w:val="en-GB" w:eastAsia="en-US"/>
              </w:rPr>
            </w:pPr>
            <w:r w:rsidRPr="0009619A">
              <w:rPr>
                <w:lang w:val="en-GB" w:eastAsia="en-US"/>
              </w:rPr>
              <w:lastRenderedPageBreak/>
              <w:t>Patient 2</w:t>
            </w:r>
            <w:r>
              <w:rPr>
                <w:lang w:val="en-GB" w:eastAsia="en-US"/>
              </w:rPr>
              <w:t>:</w:t>
            </w:r>
          </w:p>
          <w:p w:rsidR="00103085" w:rsidRDefault="00A97231" w:rsidP="00103085">
            <w:pPr>
              <w:pStyle w:val="Tabletext1"/>
              <w:rPr>
                <w:lang w:val="en-GB" w:eastAsia="en-US"/>
              </w:rPr>
            </w:pPr>
            <w:r>
              <w:rPr>
                <w:lang w:val="en-GB" w:eastAsia="en-US"/>
              </w:rPr>
              <w:t>Age at diagnosis (y)</w:t>
            </w:r>
            <w:r>
              <w:rPr>
                <w:lang w:val="en-GB" w:eastAsia="en-US"/>
              </w:rPr>
              <w:tab/>
              <w:t>10</w:t>
            </w:r>
          </w:p>
          <w:p w:rsidR="00103085" w:rsidRDefault="00103085" w:rsidP="00103085">
            <w:pPr>
              <w:pStyle w:val="Tabletext1"/>
              <w:rPr>
                <w:lang w:val="en-GB" w:eastAsia="en-US"/>
              </w:rPr>
            </w:pPr>
            <w:r>
              <w:rPr>
                <w:lang w:val="en-GB" w:eastAsia="en-US"/>
              </w:rPr>
              <w:t>Age at first symptoms (y)</w:t>
            </w:r>
            <w:r>
              <w:rPr>
                <w:lang w:val="en-GB" w:eastAsia="en-US"/>
              </w:rPr>
              <w:tab/>
              <w:t>7</w:t>
            </w:r>
          </w:p>
          <w:p w:rsidR="00103085" w:rsidRPr="00A97231" w:rsidRDefault="00103085" w:rsidP="00A97231">
            <w:pPr>
              <w:pStyle w:val="Tabletext1"/>
              <w:rPr>
                <w:lang w:val="en-GB" w:eastAsia="en-US"/>
              </w:rPr>
            </w:pPr>
            <w:r>
              <w:rPr>
                <w:lang w:val="en-GB" w:eastAsia="en-US"/>
              </w:rPr>
              <w:t xml:space="preserve">Age at start therapy (y) </w:t>
            </w:r>
            <w:r>
              <w:rPr>
                <w:lang w:val="en-GB" w:eastAsia="en-US"/>
              </w:rPr>
              <w:tab/>
              <w:t>32</w:t>
            </w:r>
          </w:p>
        </w:tc>
        <w:tc>
          <w:tcPr>
            <w:tcW w:w="2794" w:type="dxa"/>
          </w:tcPr>
          <w:p w:rsidR="00103085" w:rsidRDefault="00103085" w:rsidP="00103085">
            <w:pPr>
              <w:pStyle w:val="Tabletext1"/>
              <w:rPr>
                <w:u w:val="single"/>
                <w:lang w:val="en-GB" w:eastAsia="en-US"/>
              </w:rPr>
            </w:pPr>
            <w:r>
              <w:rPr>
                <w:u w:val="single"/>
                <w:lang w:val="en-GB" w:eastAsia="en-US"/>
              </w:rPr>
              <w:lastRenderedPageBreak/>
              <w:t>Inclusion</w:t>
            </w:r>
          </w:p>
          <w:p w:rsidR="00103085" w:rsidRDefault="00103085" w:rsidP="00103085">
            <w:pPr>
              <w:pStyle w:val="Tabletext1"/>
              <w:rPr>
                <w:lang w:val="en-GB" w:eastAsia="en-US"/>
              </w:rPr>
            </w:pPr>
            <w:r>
              <w:rPr>
                <w:lang w:val="en-GB" w:eastAsia="en-US"/>
              </w:rPr>
              <w:t xml:space="preserve">Clinical and laboratory findings </w:t>
            </w:r>
            <w:r w:rsidR="00E66055">
              <w:rPr>
                <w:lang w:val="en-GB" w:eastAsia="en-US"/>
              </w:rPr>
              <w:t>consistent</w:t>
            </w:r>
            <w:r>
              <w:rPr>
                <w:lang w:val="en-GB" w:eastAsia="en-US"/>
              </w:rPr>
              <w:t xml:space="preserve"> with late-onset Pompe disease</w:t>
            </w:r>
          </w:p>
          <w:p w:rsidR="00103085" w:rsidRDefault="00103085" w:rsidP="00103085">
            <w:pPr>
              <w:pStyle w:val="Tabletext1"/>
              <w:rPr>
                <w:lang w:val="en-GB" w:eastAsia="en-US"/>
              </w:rPr>
            </w:pPr>
            <w:r>
              <w:rPr>
                <w:lang w:val="en-GB" w:eastAsia="en-US"/>
              </w:rPr>
              <w:t xml:space="preserve">Diagnosis before the age of 15 and confirmed by acid gAA deficiency and </w:t>
            </w:r>
            <w:r w:rsidR="00E66055">
              <w:rPr>
                <w:lang w:val="en-GB" w:eastAsia="en-US"/>
              </w:rPr>
              <w:t>lysosomal</w:t>
            </w:r>
            <w:r>
              <w:rPr>
                <w:lang w:val="en-GB" w:eastAsia="en-US"/>
              </w:rPr>
              <w:t xml:space="preserve"> glycogen storage in open muscle tissue</w:t>
            </w:r>
          </w:p>
          <w:p w:rsidR="00103085" w:rsidRDefault="00103085" w:rsidP="00103085">
            <w:pPr>
              <w:pStyle w:val="Tabletext1"/>
              <w:rPr>
                <w:lang w:val="en-GB" w:eastAsia="en-US"/>
              </w:rPr>
            </w:pPr>
            <w:r>
              <w:rPr>
                <w:lang w:val="en-GB" w:eastAsia="en-US"/>
              </w:rPr>
              <w:t>Age &gt; 4 years, &lt; 35 years at inclusion</w:t>
            </w:r>
          </w:p>
          <w:p w:rsidR="00103085" w:rsidRDefault="00103085" w:rsidP="00103085">
            <w:pPr>
              <w:pStyle w:val="Tabletext1"/>
              <w:rPr>
                <w:u w:val="single"/>
                <w:lang w:val="en-GB" w:eastAsia="en-US"/>
              </w:rPr>
            </w:pPr>
            <w:r>
              <w:rPr>
                <w:u w:val="single"/>
                <w:lang w:val="en-GB" w:eastAsia="en-US"/>
              </w:rPr>
              <w:t>Exclusion</w:t>
            </w:r>
          </w:p>
          <w:p w:rsidR="00103085" w:rsidRPr="009A6789" w:rsidRDefault="00103085" w:rsidP="00103085">
            <w:pPr>
              <w:pStyle w:val="Tabletext1"/>
              <w:rPr>
                <w:lang w:val="en-GB" w:eastAsia="en-US"/>
              </w:rPr>
            </w:pPr>
            <w:r>
              <w:rPr>
                <w:lang w:val="en-GB" w:eastAsia="en-US"/>
              </w:rPr>
              <w:lastRenderedPageBreak/>
              <w:t>Developmental delays not explained by Pompe disease, allergies and other conditions that potentially could interfere with outcome evaluation</w:t>
            </w:r>
          </w:p>
        </w:tc>
        <w:tc>
          <w:tcPr>
            <w:tcW w:w="1600" w:type="dxa"/>
          </w:tcPr>
          <w:p w:rsidR="00103085" w:rsidRPr="00423400" w:rsidRDefault="00E66055" w:rsidP="00103085">
            <w:pPr>
              <w:pStyle w:val="Tabletext1"/>
              <w:rPr>
                <w:u w:val="single"/>
                <w:lang w:val="en-GB" w:eastAsia="en-US"/>
              </w:rPr>
            </w:pPr>
            <w:r w:rsidRPr="00423400">
              <w:rPr>
                <w:lang w:val="en-GB" w:eastAsia="en-US"/>
              </w:rPr>
              <w:lastRenderedPageBreak/>
              <w:t>Alglucosidase</w:t>
            </w:r>
            <w:r w:rsidR="00103085" w:rsidRPr="00423400">
              <w:rPr>
                <w:lang w:val="en-GB" w:eastAsia="en-US"/>
              </w:rPr>
              <w:t xml:space="preserve"> alfa </w:t>
            </w:r>
            <w:r w:rsidR="00103085">
              <w:rPr>
                <w:lang w:val="en-GB" w:eastAsia="en-US"/>
              </w:rPr>
              <w:t>Initially rabbit milk source 20 mg/kg/week</w:t>
            </w:r>
          </w:p>
        </w:tc>
        <w:tc>
          <w:tcPr>
            <w:tcW w:w="1847" w:type="dxa"/>
            <w:tcBorders>
              <w:right w:val="single" w:sz="4" w:space="0" w:color="auto"/>
            </w:tcBorders>
          </w:tcPr>
          <w:p w:rsidR="00103085" w:rsidRDefault="00103085" w:rsidP="00103085">
            <w:pPr>
              <w:pStyle w:val="Tabletext1"/>
              <w:rPr>
                <w:lang w:val="en-GB" w:eastAsia="en-US"/>
              </w:rPr>
            </w:pPr>
            <w:r>
              <w:rPr>
                <w:lang w:val="en-GB" w:eastAsia="en-US"/>
              </w:rPr>
              <w:t>Pulmonary function (EVC/FEV1)</w:t>
            </w:r>
          </w:p>
          <w:p w:rsidR="00103085" w:rsidRDefault="00103085" w:rsidP="00103085">
            <w:pPr>
              <w:pStyle w:val="Tabletext1"/>
              <w:rPr>
                <w:lang w:val="en-GB" w:eastAsia="en-US"/>
              </w:rPr>
            </w:pPr>
            <w:r>
              <w:rPr>
                <w:lang w:val="en-GB" w:eastAsia="en-US"/>
              </w:rPr>
              <w:t>Muscle strength (HHD)</w:t>
            </w:r>
          </w:p>
          <w:p w:rsidR="00103085" w:rsidRDefault="00103085" w:rsidP="00103085">
            <w:pPr>
              <w:pStyle w:val="Tabletext1"/>
              <w:rPr>
                <w:lang w:val="en-GB" w:eastAsia="en-US"/>
              </w:rPr>
            </w:pPr>
            <w:r>
              <w:rPr>
                <w:lang w:val="en-GB" w:eastAsia="en-US"/>
              </w:rPr>
              <w:t>Muscle Function (GMFM)</w:t>
            </w:r>
          </w:p>
          <w:p w:rsidR="00103085" w:rsidRDefault="00103085" w:rsidP="00103085">
            <w:pPr>
              <w:pStyle w:val="Tabletext1"/>
              <w:rPr>
                <w:lang w:val="en-GB" w:eastAsia="en-US"/>
              </w:rPr>
            </w:pPr>
            <w:r>
              <w:rPr>
                <w:lang w:val="en-GB" w:eastAsia="en-US"/>
              </w:rPr>
              <w:t>Disability (PEDI)</w:t>
            </w:r>
          </w:p>
          <w:p w:rsidR="00103085" w:rsidRDefault="00103085" w:rsidP="00103085">
            <w:pPr>
              <w:pStyle w:val="Tabletext1"/>
              <w:rPr>
                <w:lang w:val="en-GB" w:eastAsia="en-US"/>
              </w:rPr>
            </w:pPr>
          </w:p>
          <w:p w:rsidR="00103085" w:rsidRPr="0009619A" w:rsidRDefault="00103085" w:rsidP="00103085">
            <w:pPr>
              <w:pStyle w:val="Tabletext1"/>
              <w:rPr>
                <w:lang w:val="en-GB" w:eastAsia="en-US"/>
              </w:rPr>
            </w:pPr>
          </w:p>
        </w:tc>
        <w:tc>
          <w:tcPr>
            <w:tcW w:w="1272" w:type="dxa"/>
            <w:tcBorders>
              <w:left w:val="single" w:sz="4" w:space="0" w:color="auto"/>
            </w:tcBorders>
          </w:tcPr>
          <w:p w:rsidR="00103085" w:rsidRDefault="00103085" w:rsidP="00103085">
            <w:pPr>
              <w:pStyle w:val="Tabletext1"/>
              <w:rPr>
                <w:lang w:val="en-GB" w:eastAsia="en-US"/>
              </w:rPr>
            </w:pPr>
            <w:r>
              <w:rPr>
                <w:lang w:val="en-GB" w:eastAsia="en-US"/>
              </w:rPr>
              <w:t>3 years</w:t>
            </w:r>
          </w:p>
        </w:tc>
        <w:tc>
          <w:tcPr>
            <w:tcW w:w="1394" w:type="dxa"/>
          </w:tcPr>
          <w:p w:rsidR="00103085" w:rsidRDefault="00103085" w:rsidP="00103085">
            <w:pPr>
              <w:pStyle w:val="Tabletext1"/>
              <w:rPr>
                <w:lang w:val="en-GB" w:eastAsia="en-US"/>
              </w:rPr>
            </w:pPr>
            <w:r>
              <w:rPr>
                <w:lang w:val="en-GB" w:eastAsia="en-US"/>
              </w:rPr>
              <w:t>1 out of the 3 included patients was an infantile onset patient (patient 3)</w:t>
            </w:r>
          </w:p>
        </w:tc>
      </w:tr>
      <w:tr w:rsidR="00103085" w:rsidRPr="00423400" w:rsidTr="00103085">
        <w:tc>
          <w:tcPr>
            <w:tcW w:w="1242" w:type="dxa"/>
          </w:tcPr>
          <w:p w:rsidR="00103085" w:rsidRDefault="00103085" w:rsidP="00103085">
            <w:pPr>
              <w:pStyle w:val="Tabletext1"/>
              <w:rPr>
                <w:lang w:val="en-GB" w:eastAsia="en-US"/>
              </w:rPr>
            </w:pPr>
            <w:r>
              <w:rPr>
                <w:noProof/>
                <w:lang w:val="en-GB" w:eastAsia="en-US"/>
              </w:rPr>
              <w:lastRenderedPageBreak/>
              <w:t>(</w:t>
            </w:r>
            <w:r w:rsidR="00184B6F">
              <w:rPr>
                <w:noProof/>
                <w:lang w:val="en-GB" w:eastAsia="en-US"/>
              </w:rPr>
              <w:t>van Capelle et al. 2008</w:t>
            </w:r>
            <w:r>
              <w:rPr>
                <w:noProof/>
                <w:lang w:val="en-GB" w:eastAsia="en-US"/>
              </w:rPr>
              <w:t>)</w:t>
            </w:r>
          </w:p>
          <w:p w:rsidR="00103085" w:rsidRDefault="00103085" w:rsidP="00103085">
            <w:pPr>
              <w:pStyle w:val="Tabletext1"/>
              <w:rPr>
                <w:lang w:val="en-GB" w:eastAsia="en-US"/>
              </w:rPr>
            </w:pPr>
            <w:r>
              <w:rPr>
                <w:lang w:val="en-GB" w:eastAsia="en-US"/>
              </w:rPr>
              <w:t>Netherlands</w:t>
            </w:r>
          </w:p>
          <w:p w:rsidR="00103085" w:rsidRDefault="00103085" w:rsidP="00103085">
            <w:pPr>
              <w:pStyle w:val="Tabletext1"/>
              <w:rPr>
                <w:lang w:val="en-GB" w:eastAsia="en-US"/>
              </w:rPr>
            </w:pPr>
          </w:p>
          <w:p w:rsidR="00103085" w:rsidRPr="00423400" w:rsidRDefault="00103085" w:rsidP="00103085">
            <w:pPr>
              <w:pStyle w:val="Tabletext1"/>
              <w:rPr>
                <w:lang w:val="en-GB" w:eastAsia="en-US"/>
              </w:rPr>
            </w:pPr>
            <w:r>
              <w:rPr>
                <w:lang w:val="en-GB" w:eastAsia="en-US"/>
              </w:rPr>
              <w:t>Extension of Winkel et al 2004</w:t>
            </w:r>
          </w:p>
        </w:tc>
        <w:tc>
          <w:tcPr>
            <w:tcW w:w="1418" w:type="dxa"/>
          </w:tcPr>
          <w:p w:rsidR="00103085" w:rsidRPr="00423400" w:rsidRDefault="00103085" w:rsidP="00103085">
            <w:pPr>
              <w:pStyle w:val="Tabletext1"/>
              <w:rPr>
                <w:lang w:val="en-GB" w:eastAsia="en-US"/>
              </w:rPr>
            </w:pPr>
            <w:r>
              <w:rPr>
                <w:lang w:val="en-GB" w:eastAsia="en-US"/>
              </w:rPr>
              <w:t>Case reports</w:t>
            </w:r>
          </w:p>
          <w:p w:rsidR="00103085" w:rsidRPr="00423400" w:rsidRDefault="00103085" w:rsidP="00103085">
            <w:pPr>
              <w:pStyle w:val="Tabletext1"/>
              <w:rPr>
                <w:lang w:val="en-GB" w:eastAsia="en-US"/>
              </w:rPr>
            </w:pPr>
            <w:r w:rsidRPr="00423400">
              <w:rPr>
                <w:lang w:val="en-GB" w:eastAsia="en-US"/>
              </w:rPr>
              <w:t xml:space="preserve">Quality: </w:t>
            </w:r>
            <w:r>
              <w:rPr>
                <w:lang w:val="en-GB" w:eastAsia="en-US"/>
              </w:rPr>
              <w:t>NA</w:t>
            </w:r>
          </w:p>
        </w:tc>
        <w:tc>
          <w:tcPr>
            <w:tcW w:w="2693" w:type="dxa"/>
          </w:tcPr>
          <w:p w:rsidR="00103085" w:rsidRPr="00423400" w:rsidRDefault="00103085" w:rsidP="00103085">
            <w:pPr>
              <w:pStyle w:val="Tabletext1"/>
              <w:rPr>
                <w:lang w:val="en-GB" w:eastAsia="en-US"/>
              </w:rPr>
            </w:pPr>
            <w:r w:rsidRPr="00423400">
              <w:rPr>
                <w:u w:val="single"/>
                <w:lang w:val="en-GB" w:eastAsia="en-US"/>
              </w:rPr>
              <w:t>Study population</w:t>
            </w:r>
          </w:p>
          <w:p w:rsidR="00103085" w:rsidRPr="00423400" w:rsidRDefault="00103085" w:rsidP="00103085">
            <w:pPr>
              <w:pStyle w:val="Tabletext1"/>
              <w:rPr>
                <w:lang w:val="en-GB" w:eastAsia="en-US"/>
              </w:rPr>
            </w:pPr>
            <w:r w:rsidRPr="00423400">
              <w:rPr>
                <w:lang w:val="en-GB" w:eastAsia="en-US"/>
              </w:rPr>
              <w:t>N</w:t>
            </w:r>
            <w:r w:rsidRPr="00423400">
              <w:rPr>
                <w:spacing w:val="-20"/>
                <w:lang w:val="en-GB" w:eastAsia="en-US"/>
              </w:rPr>
              <w:t xml:space="preserve"> =</w:t>
            </w:r>
            <w:r>
              <w:rPr>
                <w:spacing w:val="-20"/>
                <w:lang w:val="en-GB" w:eastAsia="en-US"/>
              </w:rPr>
              <w:t xml:space="preserve"> </w:t>
            </w:r>
            <w:r w:rsidR="00A97231">
              <w:rPr>
                <w:lang w:val="en-GB" w:eastAsia="en-US"/>
              </w:rPr>
              <w:t>2</w:t>
            </w:r>
            <w:r>
              <w:rPr>
                <w:lang w:val="en-GB" w:eastAsia="en-US"/>
              </w:rPr>
              <w:t xml:space="preserve"> JOPD</w:t>
            </w:r>
          </w:p>
          <w:p w:rsidR="006E2AFB" w:rsidRPr="00423400" w:rsidRDefault="00103085" w:rsidP="006E2AFB">
            <w:pPr>
              <w:pStyle w:val="Tabletext1"/>
              <w:rPr>
                <w:lang w:val="en-GB" w:eastAsia="en-US"/>
              </w:rPr>
            </w:pPr>
            <w:r w:rsidRPr="009A6789">
              <w:rPr>
                <w:lang w:val="en-GB" w:eastAsia="en-US"/>
              </w:rPr>
              <w:t>As above</w:t>
            </w:r>
          </w:p>
        </w:tc>
        <w:tc>
          <w:tcPr>
            <w:tcW w:w="2794" w:type="dxa"/>
          </w:tcPr>
          <w:p w:rsidR="00103085" w:rsidRPr="00423400" w:rsidRDefault="00103085" w:rsidP="00103085">
            <w:pPr>
              <w:pStyle w:val="Tabletext1"/>
              <w:rPr>
                <w:u w:val="single"/>
                <w:lang w:val="en-GB" w:eastAsia="en-US"/>
              </w:rPr>
            </w:pPr>
            <w:r w:rsidRPr="00423400">
              <w:rPr>
                <w:u w:val="single"/>
                <w:lang w:val="en-GB" w:eastAsia="en-US"/>
              </w:rPr>
              <w:t>Inclusion</w:t>
            </w:r>
          </w:p>
          <w:p w:rsidR="00103085" w:rsidRPr="007B3226" w:rsidRDefault="00103085" w:rsidP="00103085">
            <w:pPr>
              <w:pStyle w:val="Tabletext1"/>
              <w:rPr>
                <w:lang w:val="en-GB" w:eastAsia="en-US"/>
              </w:rPr>
            </w:pPr>
            <w:r>
              <w:rPr>
                <w:lang w:val="en-GB" w:eastAsia="en-US"/>
              </w:rPr>
              <w:t>As above</w:t>
            </w:r>
          </w:p>
          <w:p w:rsidR="00103085" w:rsidRPr="00423400" w:rsidRDefault="00103085" w:rsidP="00103085">
            <w:pPr>
              <w:pStyle w:val="Tabletext1"/>
              <w:rPr>
                <w:u w:val="single"/>
                <w:lang w:val="en-GB" w:eastAsia="en-US"/>
              </w:rPr>
            </w:pPr>
            <w:r w:rsidRPr="00423400">
              <w:rPr>
                <w:u w:val="single"/>
                <w:lang w:val="en-GB" w:eastAsia="en-US"/>
              </w:rPr>
              <w:t>Exclusion</w:t>
            </w:r>
          </w:p>
          <w:p w:rsidR="00103085" w:rsidRPr="007B3226" w:rsidRDefault="00103085" w:rsidP="00103085">
            <w:pPr>
              <w:pStyle w:val="Tabletext1"/>
              <w:rPr>
                <w:lang w:val="en-GB" w:eastAsia="en-US"/>
              </w:rPr>
            </w:pPr>
            <w:r>
              <w:rPr>
                <w:lang w:val="en-GB" w:eastAsia="en-US"/>
              </w:rPr>
              <w:t>As above</w:t>
            </w:r>
          </w:p>
        </w:tc>
        <w:tc>
          <w:tcPr>
            <w:tcW w:w="1600" w:type="dxa"/>
          </w:tcPr>
          <w:p w:rsidR="00103085" w:rsidRPr="00423400" w:rsidRDefault="00103085" w:rsidP="00103085">
            <w:pPr>
              <w:pStyle w:val="Tabletext1"/>
              <w:rPr>
                <w:u w:val="single"/>
                <w:lang w:val="en-GB" w:eastAsia="en-US"/>
              </w:rPr>
            </w:pPr>
            <w:r w:rsidRPr="00423400">
              <w:rPr>
                <w:u w:val="single"/>
                <w:lang w:val="en-GB" w:eastAsia="en-US"/>
              </w:rPr>
              <w:t>Intervention</w:t>
            </w:r>
          </w:p>
          <w:p w:rsidR="00103085" w:rsidRPr="00423400" w:rsidRDefault="00E66055" w:rsidP="00103085">
            <w:pPr>
              <w:pStyle w:val="Tabletext1"/>
              <w:rPr>
                <w:lang w:val="en-GB" w:eastAsia="en-US"/>
              </w:rPr>
            </w:pPr>
            <w:r w:rsidRPr="00423400">
              <w:rPr>
                <w:lang w:val="en-GB" w:eastAsia="en-US"/>
              </w:rPr>
              <w:t>Alglucosidase</w:t>
            </w:r>
            <w:r w:rsidR="00103085" w:rsidRPr="00423400">
              <w:rPr>
                <w:lang w:val="en-GB" w:eastAsia="en-US"/>
              </w:rPr>
              <w:t xml:space="preserve"> alfa </w:t>
            </w:r>
            <w:r w:rsidR="00103085">
              <w:rPr>
                <w:lang w:val="en-GB" w:eastAsia="en-US"/>
              </w:rPr>
              <w:t>Initially rabbit milk source 20mg/kg/week, then transitioning to hamster ovary</w:t>
            </w:r>
            <w:r w:rsidR="00103085" w:rsidRPr="00423400">
              <w:rPr>
                <w:lang w:val="en-GB" w:eastAsia="en-US"/>
              </w:rPr>
              <w:t xml:space="preserve"> </w:t>
            </w:r>
            <w:r w:rsidR="00103085">
              <w:rPr>
                <w:lang w:val="en-GB" w:eastAsia="en-US"/>
              </w:rPr>
              <w:t xml:space="preserve">source at 10mg/kg/week (weeks 1-12), then </w:t>
            </w:r>
          </w:p>
          <w:p w:rsidR="00103085" w:rsidRPr="00423400" w:rsidRDefault="00103085" w:rsidP="00103085">
            <w:pPr>
              <w:pStyle w:val="Tabletext1"/>
              <w:rPr>
                <w:lang w:val="en-GB" w:eastAsia="en-US"/>
              </w:rPr>
            </w:pPr>
            <w:r>
              <w:rPr>
                <w:lang w:val="en-GB" w:eastAsia="en-US"/>
              </w:rPr>
              <w:t>20mg/kg biweekly (weeks 13-26), then 30-40 mg/kg biweekly thereafter.</w:t>
            </w:r>
          </w:p>
          <w:p w:rsidR="00103085" w:rsidRPr="00423400" w:rsidRDefault="00103085" w:rsidP="00103085">
            <w:pPr>
              <w:pStyle w:val="Tabletext1"/>
              <w:rPr>
                <w:lang w:val="en-GB" w:eastAsia="en-US"/>
              </w:rPr>
            </w:pPr>
          </w:p>
        </w:tc>
        <w:tc>
          <w:tcPr>
            <w:tcW w:w="1847" w:type="dxa"/>
            <w:tcBorders>
              <w:right w:val="single" w:sz="4" w:space="0" w:color="auto"/>
            </w:tcBorders>
          </w:tcPr>
          <w:p w:rsidR="00103085" w:rsidRDefault="00103085" w:rsidP="00103085">
            <w:pPr>
              <w:pStyle w:val="Tabletext1"/>
              <w:rPr>
                <w:lang w:val="en-GB" w:eastAsia="en-US"/>
              </w:rPr>
            </w:pPr>
            <w:r>
              <w:rPr>
                <w:lang w:val="en-GB" w:eastAsia="en-US"/>
              </w:rPr>
              <w:t>Ventilation hours</w:t>
            </w:r>
          </w:p>
          <w:p w:rsidR="00103085" w:rsidRDefault="00103085" w:rsidP="00103085">
            <w:pPr>
              <w:pStyle w:val="Tabletext1"/>
              <w:rPr>
                <w:lang w:val="en-GB" w:eastAsia="en-US"/>
              </w:rPr>
            </w:pPr>
            <w:r>
              <w:rPr>
                <w:lang w:val="en-GB" w:eastAsia="en-US"/>
              </w:rPr>
              <w:t>HHD</w:t>
            </w:r>
          </w:p>
          <w:p w:rsidR="00103085" w:rsidRDefault="00103085" w:rsidP="00103085">
            <w:pPr>
              <w:pStyle w:val="Tabletext1"/>
              <w:rPr>
                <w:lang w:val="en-GB" w:eastAsia="en-US"/>
              </w:rPr>
            </w:pPr>
            <w:r>
              <w:rPr>
                <w:lang w:val="en-GB" w:eastAsia="en-US"/>
              </w:rPr>
              <w:t>GMFM</w:t>
            </w:r>
          </w:p>
          <w:p w:rsidR="00103085" w:rsidRDefault="00103085" w:rsidP="00103085">
            <w:pPr>
              <w:pStyle w:val="Tabletext1"/>
              <w:rPr>
                <w:lang w:val="en-GB" w:eastAsia="en-US"/>
              </w:rPr>
            </w:pPr>
            <w:r>
              <w:rPr>
                <w:lang w:val="en-GB" w:eastAsia="en-US"/>
              </w:rPr>
              <w:t>FSS</w:t>
            </w:r>
          </w:p>
          <w:p w:rsidR="00103085" w:rsidRPr="00423400" w:rsidRDefault="00103085" w:rsidP="00103085">
            <w:pPr>
              <w:pStyle w:val="Tabletext1"/>
              <w:rPr>
                <w:lang w:val="en-GB" w:eastAsia="en-US"/>
              </w:rPr>
            </w:pPr>
          </w:p>
        </w:tc>
        <w:tc>
          <w:tcPr>
            <w:tcW w:w="1272" w:type="dxa"/>
            <w:tcBorders>
              <w:left w:val="single" w:sz="4" w:space="0" w:color="auto"/>
            </w:tcBorders>
          </w:tcPr>
          <w:p w:rsidR="00103085" w:rsidRPr="00501FE4" w:rsidRDefault="00103085" w:rsidP="00103085">
            <w:pPr>
              <w:pStyle w:val="Tabletext1"/>
              <w:rPr>
                <w:lang w:val="en-GB" w:eastAsia="en-US"/>
              </w:rPr>
            </w:pPr>
            <w:r>
              <w:rPr>
                <w:lang w:val="en-GB" w:eastAsia="en-US"/>
              </w:rPr>
              <w:t>8</w:t>
            </w:r>
            <w:r w:rsidRPr="00501FE4">
              <w:rPr>
                <w:lang w:val="en-GB" w:eastAsia="en-US"/>
              </w:rPr>
              <w:t xml:space="preserve"> years</w:t>
            </w:r>
          </w:p>
        </w:tc>
        <w:tc>
          <w:tcPr>
            <w:tcW w:w="1394" w:type="dxa"/>
          </w:tcPr>
          <w:p w:rsidR="00103085" w:rsidRDefault="00E66055" w:rsidP="00103085">
            <w:pPr>
              <w:pStyle w:val="Tabletext1"/>
              <w:rPr>
                <w:lang w:val="en-GB" w:eastAsia="en-US"/>
              </w:rPr>
            </w:pPr>
            <w:r>
              <w:rPr>
                <w:lang w:val="en-GB" w:eastAsia="en-US"/>
              </w:rPr>
              <w:t>Extension</w:t>
            </w:r>
            <w:r w:rsidR="00103085">
              <w:rPr>
                <w:lang w:val="en-GB" w:eastAsia="en-US"/>
              </w:rPr>
              <w:t xml:space="preserve"> to van Capelle 2004</w:t>
            </w:r>
          </w:p>
          <w:p w:rsidR="00103085" w:rsidRPr="00423400" w:rsidRDefault="00103085" w:rsidP="00103085">
            <w:pPr>
              <w:pStyle w:val="Tabletext1"/>
              <w:rPr>
                <w:lang w:val="en-GB" w:eastAsia="en-US"/>
              </w:rPr>
            </w:pPr>
            <w:r>
              <w:rPr>
                <w:lang w:val="en-GB" w:eastAsia="en-US"/>
              </w:rPr>
              <w:t>1 out of the 3 included patients was an infantile onset patient (patient 3)</w:t>
            </w:r>
          </w:p>
        </w:tc>
      </w:tr>
      <w:tr w:rsidR="00103085" w:rsidRPr="00423400" w:rsidTr="00103085">
        <w:trPr>
          <w:trHeight w:val="521"/>
        </w:trPr>
        <w:tc>
          <w:tcPr>
            <w:tcW w:w="1242" w:type="dxa"/>
          </w:tcPr>
          <w:p w:rsidR="00103085" w:rsidRDefault="00103085" w:rsidP="00103085">
            <w:pPr>
              <w:pStyle w:val="Tabletext1"/>
              <w:rPr>
                <w:lang w:val="en-GB" w:eastAsia="en-US"/>
              </w:rPr>
            </w:pPr>
            <w:r>
              <w:rPr>
                <w:noProof/>
                <w:lang w:val="en-GB" w:eastAsia="en-US"/>
              </w:rPr>
              <w:t>(</w:t>
            </w:r>
            <w:r w:rsidR="00184B6F">
              <w:rPr>
                <w:noProof/>
                <w:lang w:val="en-GB" w:eastAsia="en-US"/>
              </w:rPr>
              <w:t>Bernstein et al. 2010</w:t>
            </w:r>
            <w:r>
              <w:rPr>
                <w:noProof/>
                <w:lang w:val="en-GB" w:eastAsia="en-US"/>
              </w:rPr>
              <w:t>)</w:t>
            </w:r>
          </w:p>
          <w:p w:rsidR="00103085" w:rsidRPr="00423400" w:rsidRDefault="00103085" w:rsidP="00103085">
            <w:pPr>
              <w:pStyle w:val="Tabletext1"/>
              <w:rPr>
                <w:lang w:val="en-GB" w:eastAsia="en-US"/>
              </w:rPr>
            </w:pPr>
            <w:r>
              <w:rPr>
                <w:lang w:val="en-GB" w:eastAsia="en-US"/>
              </w:rPr>
              <w:t>United States</w:t>
            </w:r>
          </w:p>
        </w:tc>
        <w:tc>
          <w:tcPr>
            <w:tcW w:w="1418" w:type="dxa"/>
          </w:tcPr>
          <w:p w:rsidR="00103085" w:rsidRDefault="00103085" w:rsidP="00103085">
            <w:pPr>
              <w:pStyle w:val="Tabletext1"/>
              <w:rPr>
                <w:lang w:val="en-GB" w:eastAsia="en-US"/>
              </w:rPr>
            </w:pPr>
            <w:r>
              <w:rPr>
                <w:lang w:val="en-GB" w:eastAsia="en-US"/>
              </w:rPr>
              <w:t>Case reports</w:t>
            </w:r>
          </w:p>
          <w:p w:rsidR="00103085" w:rsidRPr="00423400" w:rsidRDefault="00103085" w:rsidP="00103085">
            <w:pPr>
              <w:pStyle w:val="Tabletext1"/>
              <w:rPr>
                <w:lang w:val="en-GB" w:eastAsia="en-US"/>
              </w:rPr>
            </w:pPr>
            <w:r>
              <w:rPr>
                <w:lang w:val="en-GB" w:eastAsia="en-US"/>
              </w:rPr>
              <w:t>Quality: NA</w:t>
            </w:r>
          </w:p>
        </w:tc>
        <w:tc>
          <w:tcPr>
            <w:tcW w:w="2693" w:type="dxa"/>
          </w:tcPr>
          <w:p w:rsidR="00103085" w:rsidRPr="00423400" w:rsidRDefault="00103085" w:rsidP="00103085">
            <w:pPr>
              <w:pStyle w:val="Tabletext1"/>
              <w:rPr>
                <w:lang w:val="en-GB" w:eastAsia="en-US"/>
              </w:rPr>
            </w:pPr>
            <w:r w:rsidRPr="00423400">
              <w:rPr>
                <w:u w:val="single"/>
                <w:lang w:val="en-GB" w:eastAsia="en-US"/>
              </w:rPr>
              <w:t>Study population</w:t>
            </w:r>
          </w:p>
          <w:p w:rsidR="00103085" w:rsidRPr="00423400" w:rsidRDefault="00103085" w:rsidP="00103085">
            <w:pPr>
              <w:pStyle w:val="Tabletext1"/>
              <w:rPr>
                <w:lang w:val="en-GB" w:eastAsia="en-US"/>
              </w:rPr>
            </w:pPr>
            <w:r w:rsidRPr="00423400">
              <w:rPr>
                <w:lang w:val="en-GB" w:eastAsia="en-US"/>
              </w:rPr>
              <w:t>N</w:t>
            </w:r>
            <w:r w:rsidRPr="00423400">
              <w:rPr>
                <w:spacing w:val="-20"/>
                <w:lang w:val="en-GB" w:eastAsia="en-US"/>
              </w:rPr>
              <w:t xml:space="preserve"> =</w:t>
            </w:r>
            <w:r>
              <w:rPr>
                <w:spacing w:val="-20"/>
                <w:lang w:val="en-GB" w:eastAsia="en-US"/>
              </w:rPr>
              <w:t xml:space="preserve"> </w:t>
            </w:r>
            <w:r>
              <w:rPr>
                <w:lang w:val="en-GB" w:eastAsia="en-US"/>
              </w:rPr>
              <w:t>3 JOPD</w:t>
            </w:r>
          </w:p>
          <w:p w:rsidR="006B5B63" w:rsidRDefault="006B5B63" w:rsidP="00103085">
            <w:pPr>
              <w:pStyle w:val="Tabletext1"/>
              <w:rPr>
                <w:lang w:val="en-GB" w:eastAsia="en-US"/>
              </w:rPr>
            </w:pPr>
          </w:p>
          <w:p w:rsidR="00103085" w:rsidRDefault="00103085" w:rsidP="00103085">
            <w:pPr>
              <w:pStyle w:val="Tabletext1"/>
              <w:rPr>
                <w:lang w:val="en-GB" w:eastAsia="en-US"/>
              </w:rPr>
            </w:pPr>
            <w:r w:rsidRPr="0009619A">
              <w:rPr>
                <w:lang w:val="en-GB" w:eastAsia="en-US"/>
              </w:rPr>
              <w:t>Patient 1</w:t>
            </w:r>
            <w:r>
              <w:rPr>
                <w:lang w:val="en-GB" w:eastAsia="en-US"/>
              </w:rPr>
              <w:t>:</w:t>
            </w:r>
          </w:p>
          <w:p w:rsidR="00103085" w:rsidRDefault="006B5B63" w:rsidP="00103085">
            <w:pPr>
              <w:pStyle w:val="Tabletext1"/>
              <w:rPr>
                <w:lang w:val="en-GB" w:eastAsia="en-US"/>
              </w:rPr>
            </w:pPr>
            <w:r>
              <w:rPr>
                <w:lang w:val="en-GB" w:eastAsia="en-US"/>
              </w:rPr>
              <w:t>Age at diagnosis (y)</w:t>
            </w:r>
            <w:r>
              <w:rPr>
                <w:lang w:val="en-GB" w:eastAsia="en-US"/>
              </w:rPr>
              <w:tab/>
              <w:t>23</w:t>
            </w:r>
          </w:p>
          <w:p w:rsidR="00103085" w:rsidRDefault="00103085" w:rsidP="00103085">
            <w:pPr>
              <w:pStyle w:val="Tabletext1"/>
              <w:rPr>
                <w:lang w:val="en-GB" w:eastAsia="en-US"/>
              </w:rPr>
            </w:pPr>
            <w:r>
              <w:rPr>
                <w:lang w:val="en-GB" w:eastAsia="en-US"/>
              </w:rPr>
              <w:t>Age at first symptoms (y)</w:t>
            </w:r>
            <w:r>
              <w:rPr>
                <w:lang w:val="en-GB" w:eastAsia="en-US"/>
              </w:rPr>
              <w:tab/>
              <w:t>9</w:t>
            </w:r>
          </w:p>
          <w:p w:rsidR="00103085" w:rsidRPr="00423400" w:rsidRDefault="00103085" w:rsidP="00103085">
            <w:pPr>
              <w:pStyle w:val="Tabletext1"/>
              <w:rPr>
                <w:lang w:val="en-GB" w:eastAsia="en-US"/>
              </w:rPr>
            </w:pPr>
            <w:r>
              <w:rPr>
                <w:lang w:val="en-GB" w:eastAsia="en-US"/>
              </w:rPr>
              <w:t>Age at start therapy (y)</w:t>
            </w:r>
            <w:r>
              <w:rPr>
                <w:lang w:val="en-GB" w:eastAsia="en-US"/>
              </w:rPr>
              <w:tab/>
              <w:t>52</w:t>
            </w:r>
          </w:p>
          <w:p w:rsidR="006B5B63" w:rsidRDefault="006B5B63" w:rsidP="00103085">
            <w:pPr>
              <w:pStyle w:val="Tabletext1"/>
              <w:rPr>
                <w:lang w:val="en-GB" w:eastAsia="en-US"/>
              </w:rPr>
            </w:pPr>
          </w:p>
          <w:p w:rsidR="00103085" w:rsidRDefault="00103085" w:rsidP="00103085">
            <w:pPr>
              <w:pStyle w:val="Tabletext1"/>
              <w:rPr>
                <w:lang w:val="en-GB" w:eastAsia="en-US"/>
              </w:rPr>
            </w:pPr>
            <w:r w:rsidRPr="0009619A">
              <w:rPr>
                <w:lang w:val="en-GB" w:eastAsia="en-US"/>
              </w:rPr>
              <w:t>Patient 2</w:t>
            </w:r>
            <w:r>
              <w:rPr>
                <w:lang w:val="en-GB" w:eastAsia="en-US"/>
              </w:rPr>
              <w:t>:</w:t>
            </w:r>
          </w:p>
          <w:p w:rsidR="00103085" w:rsidRDefault="00103085" w:rsidP="00103085">
            <w:pPr>
              <w:pStyle w:val="Tabletext1"/>
              <w:rPr>
                <w:lang w:val="en-GB" w:eastAsia="en-US"/>
              </w:rPr>
            </w:pPr>
            <w:r>
              <w:rPr>
                <w:lang w:val="en-GB" w:eastAsia="en-US"/>
              </w:rPr>
              <w:lastRenderedPageBreak/>
              <w:t>Age at diagnosis (y)</w:t>
            </w:r>
            <w:r>
              <w:rPr>
                <w:lang w:val="en-GB" w:eastAsia="en-US"/>
              </w:rPr>
              <w:tab/>
              <w:t>13</w:t>
            </w:r>
          </w:p>
          <w:p w:rsidR="00103085" w:rsidRDefault="00103085" w:rsidP="00103085">
            <w:pPr>
              <w:pStyle w:val="Tabletext1"/>
              <w:rPr>
                <w:lang w:val="en-GB" w:eastAsia="en-US"/>
              </w:rPr>
            </w:pPr>
            <w:r>
              <w:rPr>
                <w:lang w:val="en-GB" w:eastAsia="en-US"/>
              </w:rPr>
              <w:t>Age at first symptoms (y)</w:t>
            </w:r>
            <w:r>
              <w:rPr>
                <w:lang w:val="en-GB" w:eastAsia="en-US"/>
              </w:rPr>
              <w:tab/>
              <w:t>10</w:t>
            </w:r>
          </w:p>
          <w:p w:rsidR="00103085" w:rsidRDefault="00103085" w:rsidP="00103085">
            <w:pPr>
              <w:pStyle w:val="Tabletext1"/>
              <w:rPr>
                <w:lang w:val="en-GB" w:eastAsia="en-US"/>
              </w:rPr>
            </w:pPr>
            <w:r>
              <w:rPr>
                <w:lang w:val="en-GB" w:eastAsia="en-US"/>
              </w:rPr>
              <w:t xml:space="preserve">Age at start therapy (y) </w:t>
            </w:r>
            <w:r>
              <w:rPr>
                <w:lang w:val="en-GB" w:eastAsia="en-US"/>
              </w:rPr>
              <w:tab/>
              <w:t>34</w:t>
            </w:r>
          </w:p>
          <w:p w:rsidR="006B5B63" w:rsidRDefault="006B5B63" w:rsidP="00103085">
            <w:pPr>
              <w:pStyle w:val="Tabletext1"/>
              <w:rPr>
                <w:lang w:val="en-GB" w:eastAsia="en-US"/>
              </w:rPr>
            </w:pPr>
          </w:p>
          <w:p w:rsidR="00103085" w:rsidRDefault="00103085" w:rsidP="00103085">
            <w:pPr>
              <w:pStyle w:val="Tabletext1"/>
              <w:rPr>
                <w:lang w:val="en-GB" w:eastAsia="en-US"/>
              </w:rPr>
            </w:pPr>
            <w:r w:rsidRPr="0009619A">
              <w:rPr>
                <w:lang w:val="en-GB" w:eastAsia="en-US"/>
              </w:rPr>
              <w:t>Patient 3</w:t>
            </w:r>
            <w:r>
              <w:rPr>
                <w:lang w:val="en-GB" w:eastAsia="en-US"/>
              </w:rPr>
              <w:t>:</w:t>
            </w:r>
          </w:p>
          <w:p w:rsidR="00103085" w:rsidRDefault="00103085" w:rsidP="00103085">
            <w:pPr>
              <w:pStyle w:val="Tabletext1"/>
              <w:rPr>
                <w:lang w:val="en-GB" w:eastAsia="en-US"/>
              </w:rPr>
            </w:pPr>
            <w:r>
              <w:rPr>
                <w:lang w:val="en-GB" w:eastAsia="en-US"/>
              </w:rPr>
              <w:t>Age at diagnosis (y)</w:t>
            </w:r>
            <w:r>
              <w:rPr>
                <w:lang w:val="en-GB" w:eastAsia="en-US"/>
              </w:rPr>
              <w:tab/>
              <w:t>16</w:t>
            </w:r>
          </w:p>
          <w:p w:rsidR="00103085" w:rsidRDefault="00103085" w:rsidP="00103085">
            <w:pPr>
              <w:pStyle w:val="Tabletext1"/>
              <w:rPr>
                <w:lang w:val="en-GB" w:eastAsia="en-US"/>
              </w:rPr>
            </w:pPr>
            <w:r>
              <w:rPr>
                <w:lang w:val="en-GB" w:eastAsia="en-US"/>
              </w:rPr>
              <w:t>Age at first symptoms (y)</w:t>
            </w:r>
            <w:r>
              <w:rPr>
                <w:lang w:val="en-GB" w:eastAsia="en-US"/>
              </w:rPr>
              <w:tab/>
              <w:t>&lt; 3</w:t>
            </w:r>
          </w:p>
          <w:p w:rsidR="00103085" w:rsidRDefault="00103085" w:rsidP="00103085">
            <w:pPr>
              <w:pStyle w:val="Tabletext1"/>
              <w:rPr>
                <w:lang w:val="en-GB" w:eastAsia="en-US"/>
              </w:rPr>
            </w:pPr>
            <w:r>
              <w:rPr>
                <w:lang w:val="en-GB" w:eastAsia="en-US"/>
              </w:rPr>
              <w:t xml:space="preserve">Age at start therapy (y) </w:t>
            </w:r>
            <w:r>
              <w:rPr>
                <w:lang w:val="en-GB" w:eastAsia="en-US"/>
              </w:rPr>
              <w:tab/>
              <w:t>16</w:t>
            </w:r>
          </w:p>
          <w:p w:rsidR="00103085" w:rsidRPr="00423400" w:rsidRDefault="00103085" w:rsidP="00103085">
            <w:pPr>
              <w:pStyle w:val="Tabletext1"/>
              <w:rPr>
                <w:lang w:val="en-GB" w:eastAsia="en-US"/>
              </w:rPr>
            </w:pPr>
          </w:p>
        </w:tc>
        <w:tc>
          <w:tcPr>
            <w:tcW w:w="2794" w:type="dxa"/>
          </w:tcPr>
          <w:p w:rsidR="00103085" w:rsidRPr="00423400" w:rsidRDefault="00103085" w:rsidP="00103085">
            <w:pPr>
              <w:pStyle w:val="Tabletext1"/>
              <w:rPr>
                <w:lang w:val="en-GB" w:eastAsia="en-US"/>
              </w:rPr>
            </w:pPr>
            <w:r>
              <w:rPr>
                <w:lang w:val="en-GB" w:eastAsia="en-US"/>
              </w:rPr>
              <w:lastRenderedPageBreak/>
              <w:t>NR</w:t>
            </w:r>
          </w:p>
        </w:tc>
        <w:tc>
          <w:tcPr>
            <w:tcW w:w="1600" w:type="dxa"/>
          </w:tcPr>
          <w:p w:rsidR="00103085" w:rsidRPr="00EE6154" w:rsidRDefault="00103085" w:rsidP="00103085">
            <w:pPr>
              <w:pStyle w:val="Tabletext1"/>
              <w:rPr>
                <w:lang w:val="en-GB" w:eastAsia="en-US"/>
              </w:rPr>
            </w:pPr>
            <w:r w:rsidRPr="00EE6154">
              <w:rPr>
                <w:lang w:val="en-GB" w:eastAsia="en-US"/>
              </w:rPr>
              <w:t>Alglucosidase alfa infusions at 20 mg/kg bi weekly</w:t>
            </w:r>
          </w:p>
        </w:tc>
        <w:tc>
          <w:tcPr>
            <w:tcW w:w="1847" w:type="dxa"/>
            <w:tcBorders>
              <w:right w:val="single" w:sz="4" w:space="0" w:color="auto"/>
            </w:tcBorders>
          </w:tcPr>
          <w:p w:rsidR="00103085" w:rsidRDefault="00103085" w:rsidP="00103085">
            <w:pPr>
              <w:pStyle w:val="Tabletext1"/>
              <w:rPr>
                <w:lang w:val="en-GB" w:eastAsia="en-US"/>
              </w:rPr>
            </w:pPr>
            <w:r>
              <w:rPr>
                <w:lang w:val="en-GB" w:eastAsia="en-US"/>
              </w:rPr>
              <w:t>Time to resolution of gastrointestinal symptoms after start of ERT</w:t>
            </w:r>
          </w:p>
          <w:p w:rsidR="00103085" w:rsidRPr="00423400" w:rsidRDefault="00103085" w:rsidP="00103085">
            <w:pPr>
              <w:pStyle w:val="Tabletext1"/>
              <w:rPr>
                <w:lang w:val="en-GB" w:eastAsia="en-US"/>
              </w:rPr>
            </w:pPr>
          </w:p>
        </w:tc>
        <w:tc>
          <w:tcPr>
            <w:tcW w:w="1272" w:type="dxa"/>
            <w:tcBorders>
              <w:left w:val="single" w:sz="4" w:space="0" w:color="auto"/>
            </w:tcBorders>
          </w:tcPr>
          <w:p w:rsidR="00103085" w:rsidRPr="00423400" w:rsidRDefault="00103085" w:rsidP="00103085">
            <w:pPr>
              <w:pStyle w:val="Tabletext1"/>
              <w:rPr>
                <w:lang w:val="en-GB" w:eastAsia="en-US"/>
              </w:rPr>
            </w:pPr>
            <w:r>
              <w:rPr>
                <w:lang w:val="en-GB" w:eastAsia="en-US"/>
              </w:rPr>
              <w:t>6 months to 2 years</w:t>
            </w:r>
          </w:p>
        </w:tc>
        <w:tc>
          <w:tcPr>
            <w:tcW w:w="1394" w:type="dxa"/>
          </w:tcPr>
          <w:p w:rsidR="00103085" w:rsidRPr="00423400" w:rsidRDefault="00103085" w:rsidP="00103085">
            <w:pPr>
              <w:pStyle w:val="Tabletext1"/>
              <w:rPr>
                <w:lang w:val="en-GB" w:eastAsia="en-US"/>
              </w:rPr>
            </w:pPr>
          </w:p>
        </w:tc>
      </w:tr>
      <w:tr w:rsidR="00103085" w:rsidRPr="00423400" w:rsidTr="00103085">
        <w:trPr>
          <w:trHeight w:val="521"/>
        </w:trPr>
        <w:tc>
          <w:tcPr>
            <w:tcW w:w="1242" w:type="dxa"/>
          </w:tcPr>
          <w:p w:rsidR="00103085" w:rsidRDefault="00103085" w:rsidP="00103085">
            <w:pPr>
              <w:pStyle w:val="Tabletext1"/>
              <w:rPr>
                <w:lang w:val="en-GB" w:eastAsia="en-US"/>
              </w:rPr>
            </w:pPr>
            <w:r>
              <w:rPr>
                <w:noProof/>
                <w:lang w:val="en-GB" w:eastAsia="en-US"/>
              </w:rPr>
              <w:lastRenderedPageBreak/>
              <w:t>(</w:t>
            </w:r>
            <w:r w:rsidR="00184B6F">
              <w:rPr>
                <w:noProof/>
                <w:lang w:val="en-GB" w:eastAsia="en-US"/>
              </w:rPr>
              <w:t>Kobayashi et al. 2010</w:t>
            </w:r>
            <w:r>
              <w:rPr>
                <w:noProof/>
                <w:lang w:val="en-GB" w:eastAsia="en-US"/>
              </w:rPr>
              <w:t>)</w:t>
            </w:r>
          </w:p>
          <w:p w:rsidR="00103085" w:rsidRDefault="00103085" w:rsidP="00103085">
            <w:pPr>
              <w:pStyle w:val="Tabletext1"/>
              <w:rPr>
                <w:lang w:val="en-GB" w:eastAsia="en-US"/>
              </w:rPr>
            </w:pPr>
            <w:r>
              <w:rPr>
                <w:lang w:val="en-GB" w:eastAsia="en-US"/>
              </w:rPr>
              <w:t>Japan</w:t>
            </w:r>
          </w:p>
        </w:tc>
        <w:tc>
          <w:tcPr>
            <w:tcW w:w="1418" w:type="dxa"/>
          </w:tcPr>
          <w:p w:rsidR="00103085" w:rsidRDefault="00103085" w:rsidP="00103085">
            <w:pPr>
              <w:pStyle w:val="Tabletext1"/>
              <w:rPr>
                <w:lang w:val="en-GB" w:eastAsia="en-US"/>
              </w:rPr>
            </w:pPr>
            <w:r>
              <w:rPr>
                <w:lang w:val="en-GB" w:eastAsia="en-US"/>
              </w:rPr>
              <w:t>Case reports</w:t>
            </w:r>
          </w:p>
          <w:p w:rsidR="00103085" w:rsidRDefault="00103085" w:rsidP="00103085">
            <w:pPr>
              <w:pStyle w:val="Tabletext1"/>
              <w:rPr>
                <w:lang w:val="en-GB" w:eastAsia="en-US"/>
              </w:rPr>
            </w:pPr>
          </w:p>
        </w:tc>
        <w:tc>
          <w:tcPr>
            <w:tcW w:w="2693" w:type="dxa"/>
          </w:tcPr>
          <w:p w:rsidR="00103085" w:rsidRDefault="00103085" w:rsidP="00103085">
            <w:pPr>
              <w:pStyle w:val="Tabletext1"/>
              <w:rPr>
                <w:lang w:val="en-GB" w:eastAsia="en-US"/>
              </w:rPr>
            </w:pPr>
            <w:r w:rsidRPr="00423400">
              <w:rPr>
                <w:lang w:val="en-GB" w:eastAsia="en-US"/>
              </w:rPr>
              <w:t>N</w:t>
            </w:r>
            <w:r w:rsidRPr="00423400">
              <w:rPr>
                <w:spacing w:val="-20"/>
                <w:lang w:val="en-GB" w:eastAsia="en-US"/>
              </w:rPr>
              <w:t xml:space="preserve"> =</w:t>
            </w:r>
            <w:r>
              <w:rPr>
                <w:spacing w:val="-20"/>
                <w:lang w:val="en-GB" w:eastAsia="en-US"/>
              </w:rPr>
              <w:t xml:space="preserve"> </w:t>
            </w:r>
            <w:r>
              <w:rPr>
                <w:lang w:val="en-GB" w:eastAsia="en-US"/>
              </w:rPr>
              <w:t>4 JOPD</w:t>
            </w:r>
          </w:p>
          <w:p w:rsidR="006B5B63" w:rsidRPr="00423400" w:rsidRDefault="006B5B63" w:rsidP="00103085">
            <w:pPr>
              <w:pStyle w:val="Tabletext1"/>
              <w:rPr>
                <w:lang w:val="en-GB" w:eastAsia="en-US"/>
              </w:rPr>
            </w:pPr>
          </w:p>
          <w:p w:rsidR="00103085" w:rsidRDefault="00103085" w:rsidP="00103085">
            <w:pPr>
              <w:pStyle w:val="Tabletext1"/>
              <w:rPr>
                <w:lang w:val="en-GB" w:eastAsia="en-US"/>
              </w:rPr>
            </w:pPr>
            <w:r w:rsidRPr="0009619A">
              <w:rPr>
                <w:lang w:val="en-GB" w:eastAsia="en-US"/>
              </w:rPr>
              <w:t>Patient 1</w:t>
            </w:r>
            <w:r>
              <w:rPr>
                <w:lang w:val="en-GB" w:eastAsia="en-US"/>
              </w:rPr>
              <w:t>:</w:t>
            </w:r>
          </w:p>
          <w:p w:rsidR="00103085" w:rsidRDefault="00103085" w:rsidP="00103085">
            <w:pPr>
              <w:pStyle w:val="Tabletext1"/>
              <w:rPr>
                <w:lang w:val="en-GB" w:eastAsia="en-US"/>
              </w:rPr>
            </w:pPr>
            <w:r>
              <w:rPr>
                <w:lang w:val="en-GB" w:eastAsia="en-US"/>
              </w:rPr>
              <w:t>Age at onset (y)</w:t>
            </w:r>
            <w:r>
              <w:rPr>
                <w:lang w:val="en-GB" w:eastAsia="en-US"/>
              </w:rPr>
              <w:tab/>
              <w:t>4</w:t>
            </w:r>
            <w:r>
              <w:rPr>
                <w:lang w:val="en-GB" w:eastAsia="en-US"/>
              </w:rPr>
              <w:tab/>
            </w:r>
          </w:p>
          <w:p w:rsidR="00103085" w:rsidRDefault="00103085" w:rsidP="00103085">
            <w:pPr>
              <w:pStyle w:val="Tabletext1"/>
              <w:rPr>
                <w:lang w:val="en-GB" w:eastAsia="en-US"/>
              </w:rPr>
            </w:pPr>
            <w:r>
              <w:rPr>
                <w:lang w:val="en-GB" w:eastAsia="en-US"/>
              </w:rPr>
              <w:t>Age at start therapy (y)</w:t>
            </w:r>
            <w:r>
              <w:rPr>
                <w:lang w:val="en-GB" w:eastAsia="en-US"/>
              </w:rPr>
              <w:tab/>
              <w:t>28</w:t>
            </w:r>
          </w:p>
          <w:p w:rsidR="006B5B63" w:rsidRPr="00423400" w:rsidRDefault="006B5B63" w:rsidP="00103085">
            <w:pPr>
              <w:pStyle w:val="Tabletext1"/>
              <w:rPr>
                <w:lang w:val="en-GB" w:eastAsia="en-US"/>
              </w:rPr>
            </w:pPr>
          </w:p>
          <w:p w:rsidR="00103085" w:rsidRDefault="00103085" w:rsidP="00103085">
            <w:pPr>
              <w:pStyle w:val="Tabletext1"/>
              <w:rPr>
                <w:lang w:val="en-GB" w:eastAsia="en-US"/>
              </w:rPr>
            </w:pPr>
            <w:r w:rsidRPr="0009619A">
              <w:rPr>
                <w:lang w:val="en-GB" w:eastAsia="en-US"/>
              </w:rPr>
              <w:t>Patient 2</w:t>
            </w:r>
            <w:r>
              <w:rPr>
                <w:lang w:val="en-GB" w:eastAsia="en-US"/>
              </w:rPr>
              <w:t>:</w:t>
            </w:r>
          </w:p>
          <w:p w:rsidR="00103085" w:rsidRDefault="00103085" w:rsidP="00103085">
            <w:pPr>
              <w:pStyle w:val="Tabletext1"/>
              <w:rPr>
                <w:lang w:val="en-GB" w:eastAsia="en-US"/>
              </w:rPr>
            </w:pPr>
            <w:r>
              <w:rPr>
                <w:lang w:val="en-GB" w:eastAsia="en-US"/>
              </w:rPr>
              <w:t>Age at onset (y)</w:t>
            </w:r>
            <w:r>
              <w:rPr>
                <w:lang w:val="en-GB" w:eastAsia="en-US"/>
              </w:rPr>
              <w:tab/>
              <w:t>4</w:t>
            </w:r>
            <w:r>
              <w:rPr>
                <w:lang w:val="en-GB" w:eastAsia="en-US"/>
              </w:rPr>
              <w:tab/>
            </w:r>
          </w:p>
          <w:p w:rsidR="00103085" w:rsidRDefault="00103085" w:rsidP="00103085">
            <w:pPr>
              <w:pStyle w:val="Tabletext1"/>
              <w:rPr>
                <w:lang w:val="en-GB" w:eastAsia="en-US"/>
              </w:rPr>
            </w:pPr>
            <w:r>
              <w:rPr>
                <w:lang w:val="en-GB" w:eastAsia="en-US"/>
              </w:rPr>
              <w:t xml:space="preserve">Age at start therapy (y) </w:t>
            </w:r>
            <w:r>
              <w:rPr>
                <w:lang w:val="en-GB" w:eastAsia="en-US"/>
              </w:rPr>
              <w:tab/>
              <w:t>17</w:t>
            </w:r>
          </w:p>
          <w:p w:rsidR="006B5B63" w:rsidRDefault="006B5B63" w:rsidP="00103085">
            <w:pPr>
              <w:pStyle w:val="Tabletext1"/>
              <w:rPr>
                <w:lang w:val="en-GB" w:eastAsia="en-US"/>
              </w:rPr>
            </w:pPr>
          </w:p>
          <w:p w:rsidR="00103085" w:rsidRDefault="00103085" w:rsidP="00103085">
            <w:pPr>
              <w:pStyle w:val="Tabletext1"/>
              <w:rPr>
                <w:lang w:val="en-GB" w:eastAsia="en-US"/>
              </w:rPr>
            </w:pPr>
            <w:r w:rsidRPr="0009619A">
              <w:rPr>
                <w:lang w:val="en-GB" w:eastAsia="en-US"/>
              </w:rPr>
              <w:t>Patient 3</w:t>
            </w:r>
            <w:r>
              <w:rPr>
                <w:lang w:val="en-GB" w:eastAsia="en-US"/>
              </w:rPr>
              <w:t>:</w:t>
            </w:r>
          </w:p>
          <w:p w:rsidR="00103085" w:rsidRDefault="00103085" w:rsidP="00103085">
            <w:pPr>
              <w:pStyle w:val="Tabletext1"/>
              <w:rPr>
                <w:lang w:val="en-GB" w:eastAsia="en-US"/>
              </w:rPr>
            </w:pPr>
            <w:r>
              <w:rPr>
                <w:lang w:val="en-GB" w:eastAsia="en-US"/>
              </w:rPr>
              <w:t xml:space="preserve">Age at </w:t>
            </w:r>
            <w:r w:rsidR="00E66055">
              <w:rPr>
                <w:lang w:val="en-GB" w:eastAsia="en-US"/>
              </w:rPr>
              <w:t>onset</w:t>
            </w:r>
            <w:r>
              <w:rPr>
                <w:lang w:val="en-GB" w:eastAsia="en-US"/>
              </w:rPr>
              <w:t xml:space="preserve"> (y)</w:t>
            </w:r>
            <w:r>
              <w:rPr>
                <w:lang w:val="en-GB" w:eastAsia="en-US"/>
              </w:rPr>
              <w:tab/>
              <w:t>13</w:t>
            </w:r>
            <w:r>
              <w:rPr>
                <w:lang w:val="en-GB" w:eastAsia="en-US"/>
              </w:rPr>
              <w:tab/>
            </w:r>
          </w:p>
          <w:p w:rsidR="00103085" w:rsidRDefault="00103085" w:rsidP="00103085">
            <w:pPr>
              <w:pStyle w:val="Tabletext1"/>
              <w:rPr>
                <w:lang w:val="en-GB" w:eastAsia="en-US"/>
              </w:rPr>
            </w:pPr>
            <w:r>
              <w:rPr>
                <w:lang w:val="en-GB" w:eastAsia="en-US"/>
              </w:rPr>
              <w:t xml:space="preserve">Age at start therapy (y) </w:t>
            </w:r>
            <w:r>
              <w:rPr>
                <w:lang w:val="en-GB" w:eastAsia="en-US"/>
              </w:rPr>
              <w:tab/>
              <w:t>23</w:t>
            </w:r>
          </w:p>
          <w:p w:rsidR="006B5B63" w:rsidRDefault="006B5B63" w:rsidP="00103085">
            <w:pPr>
              <w:pStyle w:val="Tabletext1"/>
              <w:rPr>
                <w:lang w:val="en-GB" w:eastAsia="en-US"/>
              </w:rPr>
            </w:pPr>
          </w:p>
          <w:p w:rsidR="00103085" w:rsidRDefault="00103085" w:rsidP="00103085">
            <w:pPr>
              <w:pStyle w:val="Tabletext1"/>
              <w:rPr>
                <w:lang w:val="en-GB" w:eastAsia="en-US"/>
              </w:rPr>
            </w:pPr>
            <w:r w:rsidRPr="0009619A">
              <w:rPr>
                <w:lang w:val="en-GB" w:eastAsia="en-US"/>
              </w:rPr>
              <w:t xml:space="preserve">Patient </w:t>
            </w:r>
            <w:r>
              <w:rPr>
                <w:lang w:val="en-GB" w:eastAsia="en-US"/>
              </w:rPr>
              <w:t>4:</w:t>
            </w:r>
          </w:p>
          <w:p w:rsidR="00103085" w:rsidRDefault="00103085" w:rsidP="00103085">
            <w:pPr>
              <w:pStyle w:val="Tabletext1"/>
              <w:rPr>
                <w:lang w:val="en-GB" w:eastAsia="en-US"/>
              </w:rPr>
            </w:pPr>
            <w:r>
              <w:rPr>
                <w:lang w:val="en-GB" w:eastAsia="en-US"/>
              </w:rPr>
              <w:t>Age at onset (y)</w:t>
            </w:r>
            <w:r>
              <w:rPr>
                <w:lang w:val="en-GB" w:eastAsia="en-US"/>
              </w:rPr>
              <w:tab/>
              <w:t>13</w:t>
            </w:r>
            <w:r>
              <w:rPr>
                <w:lang w:val="en-GB" w:eastAsia="en-US"/>
              </w:rPr>
              <w:tab/>
            </w:r>
          </w:p>
          <w:p w:rsidR="00103085" w:rsidRPr="001C3DDA" w:rsidRDefault="00103085" w:rsidP="00103085">
            <w:pPr>
              <w:pStyle w:val="Tabletext1"/>
              <w:rPr>
                <w:lang w:val="en-GB" w:eastAsia="en-US"/>
              </w:rPr>
            </w:pPr>
            <w:r>
              <w:rPr>
                <w:lang w:val="en-GB" w:eastAsia="en-US"/>
              </w:rPr>
              <w:t xml:space="preserve">Age at start therapy (y) </w:t>
            </w:r>
            <w:r>
              <w:rPr>
                <w:lang w:val="en-GB" w:eastAsia="en-US"/>
              </w:rPr>
              <w:tab/>
              <w:t>44</w:t>
            </w:r>
          </w:p>
        </w:tc>
        <w:tc>
          <w:tcPr>
            <w:tcW w:w="2794" w:type="dxa"/>
          </w:tcPr>
          <w:p w:rsidR="00103085" w:rsidRDefault="00103085" w:rsidP="00103085">
            <w:pPr>
              <w:pStyle w:val="Tabletext1"/>
              <w:rPr>
                <w:lang w:val="en-GB" w:eastAsia="en-US"/>
              </w:rPr>
            </w:pPr>
            <w:r>
              <w:rPr>
                <w:lang w:val="en-GB" w:eastAsia="en-US"/>
              </w:rPr>
              <w:t>NR</w:t>
            </w:r>
          </w:p>
        </w:tc>
        <w:tc>
          <w:tcPr>
            <w:tcW w:w="1600" w:type="dxa"/>
          </w:tcPr>
          <w:p w:rsidR="00103085" w:rsidRPr="00EE6154" w:rsidRDefault="00103085" w:rsidP="00103085">
            <w:pPr>
              <w:pStyle w:val="Tabletext1"/>
              <w:rPr>
                <w:lang w:val="en-GB" w:eastAsia="en-US"/>
              </w:rPr>
            </w:pPr>
            <w:r>
              <w:rPr>
                <w:lang w:val="en-GB" w:eastAsia="en-US"/>
              </w:rPr>
              <w:t>Chinese hamster Recombinant gAA at 20 mg/kg biweekly</w:t>
            </w:r>
          </w:p>
        </w:tc>
        <w:tc>
          <w:tcPr>
            <w:tcW w:w="1847" w:type="dxa"/>
            <w:tcBorders>
              <w:right w:val="single" w:sz="4" w:space="0" w:color="auto"/>
            </w:tcBorders>
          </w:tcPr>
          <w:p w:rsidR="00103085" w:rsidRDefault="00103085" w:rsidP="00103085">
            <w:pPr>
              <w:pStyle w:val="Tabletext1"/>
              <w:rPr>
                <w:lang w:val="en-GB" w:eastAsia="en-US"/>
              </w:rPr>
            </w:pPr>
            <w:r>
              <w:rPr>
                <w:lang w:val="en-GB" w:eastAsia="en-US"/>
              </w:rPr>
              <w:t>Pulmonary function at baseline and 12 months</w:t>
            </w:r>
          </w:p>
          <w:p w:rsidR="00103085" w:rsidRDefault="00103085" w:rsidP="00103085">
            <w:pPr>
              <w:pStyle w:val="Tabletext1"/>
              <w:rPr>
                <w:lang w:val="en-GB" w:eastAsia="en-US"/>
              </w:rPr>
            </w:pPr>
            <w:r>
              <w:rPr>
                <w:lang w:val="en-GB" w:eastAsia="en-US"/>
              </w:rPr>
              <w:t>Survival</w:t>
            </w:r>
          </w:p>
        </w:tc>
        <w:tc>
          <w:tcPr>
            <w:tcW w:w="1272" w:type="dxa"/>
            <w:tcBorders>
              <w:left w:val="single" w:sz="4" w:space="0" w:color="auto"/>
            </w:tcBorders>
          </w:tcPr>
          <w:p w:rsidR="00103085" w:rsidRDefault="00103085" w:rsidP="00103085">
            <w:pPr>
              <w:pStyle w:val="Tabletext1"/>
              <w:rPr>
                <w:lang w:val="en-GB" w:eastAsia="en-US"/>
              </w:rPr>
            </w:pPr>
            <w:r>
              <w:rPr>
                <w:lang w:val="en-GB" w:eastAsia="en-US"/>
              </w:rPr>
              <w:t>12 months</w:t>
            </w:r>
          </w:p>
        </w:tc>
        <w:tc>
          <w:tcPr>
            <w:tcW w:w="1394" w:type="dxa"/>
          </w:tcPr>
          <w:p w:rsidR="00103085" w:rsidRPr="00423400" w:rsidRDefault="00103085" w:rsidP="00103085">
            <w:pPr>
              <w:pStyle w:val="Tabletext1"/>
              <w:rPr>
                <w:lang w:val="en-GB" w:eastAsia="en-US"/>
              </w:rPr>
            </w:pPr>
          </w:p>
        </w:tc>
      </w:tr>
      <w:tr w:rsidR="00103085" w:rsidRPr="00423400" w:rsidTr="00103085">
        <w:trPr>
          <w:trHeight w:val="521"/>
        </w:trPr>
        <w:tc>
          <w:tcPr>
            <w:tcW w:w="1242" w:type="dxa"/>
          </w:tcPr>
          <w:p w:rsidR="00103085" w:rsidRDefault="00103085" w:rsidP="00103085">
            <w:pPr>
              <w:pStyle w:val="Tabletext1"/>
              <w:rPr>
                <w:lang w:val="en-GB" w:eastAsia="en-US"/>
              </w:rPr>
            </w:pPr>
            <w:r>
              <w:rPr>
                <w:noProof/>
                <w:lang w:val="en-GB" w:eastAsia="en-US"/>
              </w:rPr>
              <w:lastRenderedPageBreak/>
              <w:t>(</w:t>
            </w:r>
            <w:r w:rsidR="00184B6F">
              <w:rPr>
                <w:noProof/>
                <w:lang w:val="en-GB" w:eastAsia="en-US"/>
              </w:rPr>
              <w:t>Sugai et al. 2010</w:t>
            </w:r>
            <w:r>
              <w:rPr>
                <w:noProof/>
                <w:lang w:val="en-GB" w:eastAsia="en-US"/>
              </w:rPr>
              <w:t>)</w:t>
            </w:r>
          </w:p>
          <w:p w:rsidR="00103085" w:rsidRDefault="00103085" w:rsidP="00103085">
            <w:pPr>
              <w:pStyle w:val="Tabletext1"/>
              <w:rPr>
                <w:lang w:val="en-GB" w:eastAsia="en-US"/>
              </w:rPr>
            </w:pPr>
            <w:r>
              <w:rPr>
                <w:lang w:val="en-GB" w:eastAsia="en-US"/>
              </w:rPr>
              <w:t>Japan</w:t>
            </w:r>
          </w:p>
        </w:tc>
        <w:tc>
          <w:tcPr>
            <w:tcW w:w="1418" w:type="dxa"/>
          </w:tcPr>
          <w:p w:rsidR="00103085" w:rsidRDefault="00103085" w:rsidP="00103085">
            <w:pPr>
              <w:pStyle w:val="Tabletext1"/>
              <w:rPr>
                <w:lang w:val="en-GB" w:eastAsia="en-US"/>
              </w:rPr>
            </w:pPr>
            <w:r>
              <w:rPr>
                <w:lang w:val="en-GB" w:eastAsia="en-US"/>
              </w:rPr>
              <w:t>Case report</w:t>
            </w:r>
          </w:p>
        </w:tc>
        <w:tc>
          <w:tcPr>
            <w:tcW w:w="2693" w:type="dxa"/>
          </w:tcPr>
          <w:p w:rsidR="00957381" w:rsidRDefault="00957381" w:rsidP="00103085">
            <w:pPr>
              <w:pStyle w:val="Tabletext1"/>
              <w:rPr>
                <w:lang w:val="en-GB" w:eastAsia="en-US"/>
              </w:rPr>
            </w:pPr>
            <w:r>
              <w:rPr>
                <w:lang w:val="en-GB" w:eastAsia="en-US"/>
              </w:rPr>
              <w:t>N=1</w:t>
            </w:r>
          </w:p>
          <w:p w:rsidR="00103085" w:rsidRDefault="00103085" w:rsidP="00103085">
            <w:pPr>
              <w:pStyle w:val="Tabletext1"/>
              <w:rPr>
                <w:lang w:val="en-GB" w:eastAsia="en-US"/>
              </w:rPr>
            </w:pPr>
            <w:r w:rsidRPr="00EE24D9">
              <w:rPr>
                <w:lang w:val="en-GB" w:eastAsia="en-US"/>
              </w:rPr>
              <w:t>Single female patient aged 26 years, onset of disease at 15 year</w:t>
            </w:r>
            <w:r>
              <w:rPr>
                <w:lang w:val="en-GB" w:eastAsia="en-US"/>
              </w:rPr>
              <w:t>s</w:t>
            </w:r>
          </w:p>
          <w:p w:rsidR="00103085" w:rsidRPr="00EE24D9" w:rsidRDefault="00103085" w:rsidP="00103085">
            <w:pPr>
              <w:pStyle w:val="Tabletext1"/>
              <w:rPr>
                <w:lang w:val="en-GB" w:eastAsia="en-US"/>
              </w:rPr>
            </w:pPr>
            <w:r>
              <w:rPr>
                <w:lang w:val="en-GB" w:eastAsia="en-US"/>
              </w:rPr>
              <w:t>Patient on invasive ventilation</w:t>
            </w:r>
          </w:p>
        </w:tc>
        <w:tc>
          <w:tcPr>
            <w:tcW w:w="2794" w:type="dxa"/>
          </w:tcPr>
          <w:p w:rsidR="00103085" w:rsidRDefault="00103085" w:rsidP="00103085">
            <w:pPr>
              <w:pStyle w:val="Tabletext1"/>
              <w:rPr>
                <w:lang w:val="en-GB" w:eastAsia="en-US"/>
              </w:rPr>
            </w:pPr>
          </w:p>
        </w:tc>
        <w:tc>
          <w:tcPr>
            <w:tcW w:w="1600" w:type="dxa"/>
          </w:tcPr>
          <w:p w:rsidR="00103085" w:rsidRPr="00EE6154" w:rsidRDefault="00E66055" w:rsidP="00103085">
            <w:pPr>
              <w:pStyle w:val="Tabletext1"/>
              <w:rPr>
                <w:lang w:val="en-GB" w:eastAsia="en-US"/>
              </w:rPr>
            </w:pPr>
            <w:r>
              <w:rPr>
                <w:lang w:val="en-GB" w:eastAsia="en-US"/>
              </w:rPr>
              <w:t>Myozyme</w:t>
            </w:r>
            <w:r w:rsidR="00103085">
              <w:rPr>
                <w:lang w:val="en-GB" w:eastAsia="en-US"/>
              </w:rPr>
              <w:t xml:space="preserve"> administered intravenously at 20mg/kg of body weight every other week</w:t>
            </w:r>
          </w:p>
        </w:tc>
        <w:tc>
          <w:tcPr>
            <w:tcW w:w="1847" w:type="dxa"/>
            <w:tcBorders>
              <w:right w:val="single" w:sz="4" w:space="0" w:color="auto"/>
            </w:tcBorders>
          </w:tcPr>
          <w:p w:rsidR="00103085" w:rsidRDefault="00103085" w:rsidP="00103085">
            <w:pPr>
              <w:pStyle w:val="Tabletext1"/>
              <w:rPr>
                <w:lang w:val="en-GB" w:eastAsia="en-US"/>
              </w:rPr>
            </w:pPr>
            <w:r>
              <w:rPr>
                <w:lang w:val="en-GB" w:eastAsia="en-US"/>
              </w:rPr>
              <w:t>Muscle weight measured by muscle volume analyser in kg</w:t>
            </w:r>
          </w:p>
          <w:p w:rsidR="00103085" w:rsidRDefault="00103085" w:rsidP="00103085">
            <w:pPr>
              <w:pStyle w:val="Tabletext1"/>
              <w:rPr>
                <w:lang w:val="en-GB" w:eastAsia="en-US"/>
              </w:rPr>
            </w:pPr>
            <w:r>
              <w:rPr>
                <w:lang w:val="en-GB" w:eastAsia="en-US"/>
              </w:rPr>
              <w:t>Muscle strength measured by conventional handheld dynamometer in Newtons</w:t>
            </w:r>
          </w:p>
        </w:tc>
        <w:tc>
          <w:tcPr>
            <w:tcW w:w="1272" w:type="dxa"/>
            <w:tcBorders>
              <w:left w:val="single" w:sz="4" w:space="0" w:color="auto"/>
            </w:tcBorders>
          </w:tcPr>
          <w:p w:rsidR="00103085" w:rsidRDefault="00103085" w:rsidP="00103085">
            <w:pPr>
              <w:pStyle w:val="Tabletext1"/>
              <w:rPr>
                <w:lang w:val="en-GB" w:eastAsia="en-US"/>
              </w:rPr>
            </w:pPr>
            <w:r>
              <w:rPr>
                <w:lang w:val="en-GB" w:eastAsia="en-US"/>
              </w:rPr>
              <w:t>13 months</w:t>
            </w:r>
          </w:p>
        </w:tc>
        <w:tc>
          <w:tcPr>
            <w:tcW w:w="1394" w:type="dxa"/>
          </w:tcPr>
          <w:p w:rsidR="00103085" w:rsidRPr="00423400" w:rsidRDefault="00103085" w:rsidP="00103085">
            <w:pPr>
              <w:pStyle w:val="Tabletext1"/>
              <w:rPr>
                <w:lang w:val="en-GB" w:eastAsia="en-US"/>
              </w:rPr>
            </w:pPr>
          </w:p>
        </w:tc>
      </w:tr>
      <w:tr w:rsidR="00103085" w:rsidRPr="00423400" w:rsidTr="00103085">
        <w:trPr>
          <w:trHeight w:val="521"/>
        </w:trPr>
        <w:tc>
          <w:tcPr>
            <w:tcW w:w="1242" w:type="dxa"/>
          </w:tcPr>
          <w:p w:rsidR="00103085" w:rsidRDefault="00103085" w:rsidP="00103085">
            <w:pPr>
              <w:pStyle w:val="Tabletext1"/>
              <w:rPr>
                <w:lang w:val="en-GB" w:eastAsia="en-US"/>
              </w:rPr>
            </w:pPr>
            <w:r>
              <w:rPr>
                <w:noProof/>
                <w:lang w:val="en-GB" w:eastAsia="en-US"/>
              </w:rPr>
              <w:t>(</w:t>
            </w:r>
            <w:r w:rsidR="00184B6F">
              <w:rPr>
                <w:noProof/>
                <w:lang w:val="en-GB" w:eastAsia="en-US"/>
              </w:rPr>
              <w:t>Deroma et al. 2014</w:t>
            </w:r>
            <w:r>
              <w:rPr>
                <w:noProof/>
                <w:lang w:val="en-GB" w:eastAsia="en-US"/>
              </w:rPr>
              <w:t>)</w:t>
            </w:r>
          </w:p>
          <w:p w:rsidR="00103085" w:rsidRDefault="00103085" w:rsidP="00103085">
            <w:pPr>
              <w:pStyle w:val="Tabletext1"/>
              <w:rPr>
                <w:lang w:val="en-GB" w:eastAsia="en-US"/>
              </w:rPr>
            </w:pPr>
            <w:r>
              <w:rPr>
                <w:lang w:val="en-GB" w:eastAsia="en-US"/>
              </w:rPr>
              <w:t>Italy</w:t>
            </w:r>
          </w:p>
        </w:tc>
        <w:tc>
          <w:tcPr>
            <w:tcW w:w="1418" w:type="dxa"/>
          </w:tcPr>
          <w:p w:rsidR="00103085" w:rsidRDefault="00103085" w:rsidP="00103085">
            <w:pPr>
              <w:pStyle w:val="Tabletext1"/>
              <w:rPr>
                <w:lang w:val="en-GB" w:eastAsia="en-US"/>
              </w:rPr>
            </w:pPr>
            <w:r>
              <w:rPr>
                <w:lang w:val="en-GB" w:eastAsia="en-US"/>
              </w:rPr>
              <w:t>Case series</w:t>
            </w:r>
          </w:p>
        </w:tc>
        <w:tc>
          <w:tcPr>
            <w:tcW w:w="2693" w:type="dxa"/>
          </w:tcPr>
          <w:p w:rsidR="00957381" w:rsidRDefault="00957381" w:rsidP="00103085">
            <w:pPr>
              <w:pStyle w:val="Tabletext1"/>
              <w:rPr>
                <w:lang w:val="en-GB" w:eastAsia="en-US"/>
              </w:rPr>
            </w:pPr>
            <w:r>
              <w:rPr>
                <w:lang w:val="en-GB" w:eastAsia="en-US"/>
              </w:rPr>
              <w:t>N=5</w:t>
            </w:r>
          </w:p>
          <w:p w:rsidR="00103085" w:rsidRDefault="00103085" w:rsidP="00103085">
            <w:pPr>
              <w:pStyle w:val="Tabletext1"/>
              <w:rPr>
                <w:lang w:val="en-GB" w:eastAsia="en-US"/>
              </w:rPr>
            </w:pPr>
            <w:r>
              <w:rPr>
                <w:lang w:val="en-GB" w:eastAsia="en-US"/>
              </w:rPr>
              <w:t>Five children, three males, four asymptomatic and disease discovered incidentally</w:t>
            </w:r>
          </w:p>
          <w:p w:rsidR="00103085" w:rsidRDefault="00103085" w:rsidP="00103085">
            <w:pPr>
              <w:pStyle w:val="Tabletext1"/>
              <w:rPr>
                <w:lang w:val="en-GB" w:eastAsia="en-US"/>
              </w:rPr>
            </w:pPr>
            <w:r>
              <w:rPr>
                <w:lang w:val="en-GB" w:eastAsia="en-US"/>
              </w:rPr>
              <w:t>Study also included three with infantile onset</w:t>
            </w:r>
          </w:p>
          <w:p w:rsidR="004F190D" w:rsidRDefault="004F190D" w:rsidP="004F190D">
            <w:pPr>
              <w:pStyle w:val="Tabletext1"/>
              <w:rPr>
                <w:lang w:val="en-GB" w:eastAsia="en-US"/>
              </w:rPr>
            </w:pPr>
            <w:r>
              <w:rPr>
                <w:lang w:val="en-GB" w:eastAsia="en-US"/>
              </w:rPr>
              <w:t>Patient 3:</w:t>
            </w:r>
          </w:p>
          <w:p w:rsidR="004F190D" w:rsidRDefault="004F190D" w:rsidP="004F190D">
            <w:pPr>
              <w:pStyle w:val="Tabletext1"/>
              <w:rPr>
                <w:lang w:val="en-GB" w:eastAsia="en-US"/>
              </w:rPr>
            </w:pPr>
            <w:r>
              <w:rPr>
                <w:lang w:val="en-GB" w:eastAsia="en-US"/>
              </w:rPr>
              <w:t>Age at onset (y): 2</w:t>
            </w:r>
          </w:p>
          <w:p w:rsidR="004F190D" w:rsidRDefault="004F190D" w:rsidP="004F190D">
            <w:pPr>
              <w:pStyle w:val="Tabletext1"/>
              <w:rPr>
                <w:lang w:val="en-GB" w:eastAsia="en-US"/>
              </w:rPr>
            </w:pPr>
            <w:r>
              <w:rPr>
                <w:lang w:val="en-GB" w:eastAsia="en-US"/>
              </w:rPr>
              <w:t>Age at start therapy (y): 12.3</w:t>
            </w:r>
          </w:p>
          <w:p w:rsidR="004F190D" w:rsidRDefault="004F190D" w:rsidP="004F190D">
            <w:pPr>
              <w:pStyle w:val="Tabletext1"/>
              <w:rPr>
                <w:lang w:val="en-GB" w:eastAsia="en-US"/>
              </w:rPr>
            </w:pPr>
          </w:p>
          <w:p w:rsidR="004F190D" w:rsidRDefault="004F190D" w:rsidP="004F190D">
            <w:pPr>
              <w:pStyle w:val="Tabletext1"/>
              <w:rPr>
                <w:lang w:val="en-GB" w:eastAsia="en-US"/>
              </w:rPr>
            </w:pPr>
            <w:r>
              <w:rPr>
                <w:lang w:val="en-GB" w:eastAsia="en-US"/>
              </w:rPr>
              <w:t xml:space="preserve">Patient 4: </w:t>
            </w:r>
          </w:p>
          <w:p w:rsidR="004F190D" w:rsidRDefault="004F190D" w:rsidP="004F190D">
            <w:pPr>
              <w:pStyle w:val="Tabletext1"/>
              <w:rPr>
                <w:lang w:val="en-GB" w:eastAsia="en-US"/>
              </w:rPr>
            </w:pPr>
            <w:r>
              <w:rPr>
                <w:lang w:val="en-GB" w:eastAsia="en-US"/>
              </w:rPr>
              <w:t>Age at onset (y): 4.5</w:t>
            </w:r>
          </w:p>
          <w:p w:rsidR="004F190D" w:rsidRDefault="004F190D" w:rsidP="004F190D">
            <w:pPr>
              <w:pStyle w:val="Tabletext1"/>
              <w:rPr>
                <w:lang w:val="en-GB" w:eastAsia="en-US"/>
              </w:rPr>
            </w:pPr>
            <w:r>
              <w:rPr>
                <w:lang w:val="en-GB" w:eastAsia="en-US"/>
              </w:rPr>
              <w:t>Age at start therapy (y): 11.9</w:t>
            </w:r>
          </w:p>
          <w:p w:rsidR="004F190D" w:rsidRDefault="004F190D" w:rsidP="004F190D">
            <w:pPr>
              <w:pStyle w:val="Tabletext1"/>
              <w:rPr>
                <w:lang w:val="en-GB" w:eastAsia="en-US"/>
              </w:rPr>
            </w:pPr>
          </w:p>
          <w:p w:rsidR="004F190D" w:rsidRDefault="004F190D" w:rsidP="004F190D">
            <w:pPr>
              <w:pStyle w:val="Tabletext1"/>
              <w:rPr>
                <w:lang w:val="en-GB" w:eastAsia="en-US"/>
              </w:rPr>
            </w:pPr>
            <w:r>
              <w:rPr>
                <w:lang w:val="en-GB" w:eastAsia="en-US"/>
              </w:rPr>
              <w:t>Patient 5:</w:t>
            </w:r>
          </w:p>
          <w:p w:rsidR="004F190D" w:rsidRDefault="004F190D" w:rsidP="004F190D">
            <w:pPr>
              <w:pStyle w:val="Tabletext1"/>
              <w:rPr>
                <w:lang w:val="en-GB" w:eastAsia="en-US"/>
              </w:rPr>
            </w:pPr>
            <w:r>
              <w:rPr>
                <w:lang w:val="en-GB" w:eastAsia="en-US"/>
              </w:rPr>
              <w:t>Age at onset (y): 2.6</w:t>
            </w:r>
          </w:p>
          <w:p w:rsidR="004F190D" w:rsidRDefault="004F190D" w:rsidP="004F190D">
            <w:pPr>
              <w:pStyle w:val="Tabletext1"/>
              <w:rPr>
                <w:lang w:val="en-GB" w:eastAsia="en-US"/>
              </w:rPr>
            </w:pPr>
            <w:r>
              <w:rPr>
                <w:lang w:val="en-GB" w:eastAsia="en-US"/>
              </w:rPr>
              <w:t>Age at start therapy (y): 10.3</w:t>
            </w:r>
          </w:p>
          <w:p w:rsidR="004F190D" w:rsidRDefault="004F190D" w:rsidP="004F190D">
            <w:pPr>
              <w:pStyle w:val="Tabletext1"/>
              <w:rPr>
                <w:lang w:val="en-GB" w:eastAsia="en-US"/>
              </w:rPr>
            </w:pPr>
          </w:p>
          <w:p w:rsidR="004F190D" w:rsidRDefault="004F190D" w:rsidP="004F190D">
            <w:pPr>
              <w:pStyle w:val="Tabletext1"/>
              <w:rPr>
                <w:lang w:val="en-GB" w:eastAsia="en-US"/>
              </w:rPr>
            </w:pPr>
            <w:r>
              <w:rPr>
                <w:lang w:val="en-GB" w:eastAsia="en-US"/>
              </w:rPr>
              <w:t>Patient 6:</w:t>
            </w:r>
          </w:p>
          <w:p w:rsidR="004F190D" w:rsidRDefault="004F190D" w:rsidP="004F190D">
            <w:pPr>
              <w:pStyle w:val="Tabletext1"/>
              <w:rPr>
                <w:lang w:val="en-GB" w:eastAsia="en-US"/>
              </w:rPr>
            </w:pPr>
            <w:r>
              <w:rPr>
                <w:lang w:val="en-GB" w:eastAsia="en-US"/>
              </w:rPr>
              <w:t>Age at onset (y): 9</w:t>
            </w:r>
          </w:p>
          <w:p w:rsidR="004F190D" w:rsidRDefault="004F190D" w:rsidP="004F190D">
            <w:pPr>
              <w:pStyle w:val="Tabletext1"/>
              <w:rPr>
                <w:lang w:val="en-GB" w:eastAsia="en-US"/>
              </w:rPr>
            </w:pPr>
            <w:r>
              <w:rPr>
                <w:lang w:val="en-GB" w:eastAsia="en-US"/>
              </w:rPr>
              <w:lastRenderedPageBreak/>
              <w:t>Age at start therapy (y): 11.6</w:t>
            </w:r>
          </w:p>
          <w:p w:rsidR="004F190D" w:rsidRDefault="004F190D" w:rsidP="004F190D">
            <w:pPr>
              <w:pStyle w:val="Tabletext1"/>
              <w:rPr>
                <w:lang w:val="en-GB" w:eastAsia="en-US"/>
              </w:rPr>
            </w:pPr>
          </w:p>
          <w:p w:rsidR="004F190D" w:rsidRDefault="004F190D" w:rsidP="004F190D">
            <w:pPr>
              <w:pStyle w:val="Tabletext1"/>
              <w:rPr>
                <w:lang w:val="en-GB" w:eastAsia="en-US"/>
              </w:rPr>
            </w:pPr>
            <w:r>
              <w:rPr>
                <w:lang w:val="en-GB" w:eastAsia="en-US"/>
              </w:rPr>
              <w:t>Patient 7:</w:t>
            </w:r>
          </w:p>
          <w:p w:rsidR="004F190D" w:rsidRDefault="004F190D" w:rsidP="004F190D">
            <w:pPr>
              <w:pStyle w:val="Tabletext1"/>
              <w:rPr>
                <w:lang w:val="en-GB" w:eastAsia="en-US"/>
              </w:rPr>
            </w:pPr>
            <w:r>
              <w:rPr>
                <w:lang w:val="en-GB" w:eastAsia="en-US"/>
              </w:rPr>
              <w:t>Age at onset (y): 8</w:t>
            </w:r>
          </w:p>
          <w:p w:rsidR="004F190D" w:rsidRPr="00EE24D9" w:rsidRDefault="004F190D" w:rsidP="004F190D">
            <w:pPr>
              <w:pStyle w:val="Tabletext1"/>
              <w:rPr>
                <w:lang w:val="en-GB" w:eastAsia="en-US"/>
              </w:rPr>
            </w:pPr>
            <w:r>
              <w:rPr>
                <w:lang w:val="en-GB" w:eastAsia="en-US"/>
              </w:rPr>
              <w:t>Age at start therapy (y): 9.6</w:t>
            </w:r>
          </w:p>
        </w:tc>
        <w:tc>
          <w:tcPr>
            <w:tcW w:w="2794" w:type="dxa"/>
          </w:tcPr>
          <w:p w:rsidR="00103085" w:rsidRDefault="00103085" w:rsidP="00103085">
            <w:pPr>
              <w:pStyle w:val="Tabletext1"/>
              <w:rPr>
                <w:lang w:val="en-GB" w:eastAsia="en-US"/>
              </w:rPr>
            </w:pPr>
          </w:p>
        </w:tc>
        <w:tc>
          <w:tcPr>
            <w:tcW w:w="1600" w:type="dxa"/>
          </w:tcPr>
          <w:p w:rsidR="00103085" w:rsidRDefault="00103085" w:rsidP="00103085">
            <w:pPr>
              <w:pStyle w:val="Tabletext1"/>
              <w:rPr>
                <w:lang w:val="en-GB" w:eastAsia="en-US"/>
              </w:rPr>
            </w:pPr>
            <w:r>
              <w:rPr>
                <w:lang w:val="en-GB" w:eastAsia="en-US"/>
              </w:rPr>
              <w:t>Started therapy between 1 year and 7 months and 10 years and 4 months after onset; biweekly infusions of 20mg/kg recombinant alpha-glucosidase</w:t>
            </w:r>
          </w:p>
        </w:tc>
        <w:tc>
          <w:tcPr>
            <w:tcW w:w="1847" w:type="dxa"/>
            <w:tcBorders>
              <w:right w:val="single" w:sz="4" w:space="0" w:color="auto"/>
            </w:tcBorders>
          </w:tcPr>
          <w:p w:rsidR="00103085" w:rsidRDefault="00103085" w:rsidP="00103085">
            <w:pPr>
              <w:pStyle w:val="Tabletext1"/>
              <w:rPr>
                <w:lang w:val="en-GB" w:eastAsia="en-US"/>
              </w:rPr>
            </w:pPr>
            <w:r>
              <w:rPr>
                <w:lang w:val="en-GB" w:eastAsia="en-US"/>
              </w:rPr>
              <w:t>FVC (% of predicted)</w:t>
            </w:r>
          </w:p>
          <w:p w:rsidR="00103085" w:rsidRDefault="00103085" w:rsidP="00103085">
            <w:pPr>
              <w:pStyle w:val="Tabletext1"/>
              <w:rPr>
                <w:lang w:val="en-GB" w:eastAsia="en-US"/>
              </w:rPr>
            </w:pPr>
            <w:r>
              <w:rPr>
                <w:lang w:val="en-GB" w:eastAsia="en-US"/>
              </w:rPr>
              <w:t>6MWT (metres walked)</w:t>
            </w:r>
          </w:p>
          <w:p w:rsidR="00103085" w:rsidRDefault="00103085" w:rsidP="00103085">
            <w:pPr>
              <w:pStyle w:val="Tabletext1"/>
              <w:rPr>
                <w:lang w:val="en-GB" w:eastAsia="en-US"/>
              </w:rPr>
            </w:pPr>
            <w:r>
              <w:rPr>
                <w:lang w:val="en-GB" w:eastAsia="en-US"/>
              </w:rPr>
              <w:t>Global motor disability (modified Walton Scale)</w:t>
            </w:r>
          </w:p>
          <w:p w:rsidR="00103085" w:rsidRDefault="00103085" w:rsidP="00103085">
            <w:pPr>
              <w:pStyle w:val="Tabletext1"/>
              <w:rPr>
                <w:lang w:val="en-GB" w:eastAsia="en-US"/>
              </w:rPr>
            </w:pPr>
          </w:p>
        </w:tc>
        <w:tc>
          <w:tcPr>
            <w:tcW w:w="1272" w:type="dxa"/>
            <w:tcBorders>
              <w:left w:val="single" w:sz="4" w:space="0" w:color="auto"/>
            </w:tcBorders>
          </w:tcPr>
          <w:p w:rsidR="00103085" w:rsidRDefault="00103085" w:rsidP="00103085">
            <w:pPr>
              <w:pStyle w:val="Tabletext1"/>
              <w:rPr>
                <w:lang w:val="en-GB" w:eastAsia="en-US"/>
              </w:rPr>
            </w:pPr>
            <w:r>
              <w:rPr>
                <w:lang w:val="en-GB" w:eastAsia="en-US"/>
              </w:rPr>
              <w:t>Four to five years</w:t>
            </w:r>
          </w:p>
        </w:tc>
        <w:tc>
          <w:tcPr>
            <w:tcW w:w="1394" w:type="dxa"/>
          </w:tcPr>
          <w:p w:rsidR="00103085" w:rsidRPr="00423400" w:rsidRDefault="00103085" w:rsidP="00103085">
            <w:pPr>
              <w:pStyle w:val="Tabletext1"/>
              <w:rPr>
                <w:lang w:val="en-GB" w:eastAsia="en-US"/>
              </w:rPr>
            </w:pPr>
          </w:p>
        </w:tc>
      </w:tr>
      <w:tr w:rsidR="00103085" w:rsidRPr="00423400" w:rsidTr="00103085">
        <w:trPr>
          <w:trHeight w:val="521"/>
        </w:trPr>
        <w:tc>
          <w:tcPr>
            <w:tcW w:w="1242" w:type="dxa"/>
          </w:tcPr>
          <w:p w:rsidR="00103085" w:rsidRDefault="00103085" w:rsidP="00103085">
            <w:pPr>
              <w:pStyle w:val="Tabletext1"/>
              <w:rPr>
                <w:lang w:val="en-GB" w:eastAsia="en-US"/>
              </w:rPr>
            </w:pPr>
            <w:r>
              <w:rPr>
                <w:noProof/>
                <w:lang w:val="en-GB" w:eastAsia="en-US"/>
              </w:rPr>
              <w:lastRenderedPageBreak/>
              <w:t>(</w:t>
            </w:r>
            <w:r w:rsidR="00184B6F">
              <w:rPr>
                <w:noProof/>
                <w:lang w:val="en-GB" w:eastAsia="en-US"/>
              </w:rPr>
              <w:t>Orlikowski et al. 2011</w:t>
            </w:r>
            <w:r>
              <w:rPr>
                <w:noProof/>
                <w:lang w:val="en-GB" w:eastAsia="en-US"/>
              </w:rPr>
              <w:t>)</w:t>
            </w:r>
          </w:p>
          <w:p w:rsidR="00103085" w:rsidRDefault="00103085" w:rsidP="00103085">
            <w:pPr>
              <w:pStyle w:val="Tabletext1"/>
              <w:rPr>
                <w:lang w:val="en-GB" w:eastAsia="en-US"/>
              </w:rPr>
            </w:pPr>
            <w:r>
              <w:rPr>
                <w:lang w:val="en-GB" w:eastAsia="en-US"/>
              </w:rPr>
              <w:t>France</w:t>
            </w:r>
          </w:p>
        </w:tc>
        <w:tc>
          <w:tcPr>
            <w:tcW w:w="1418" w:type="dxa"/>
          </w:tcPr>
          <w:p w:rsidR="00103085" w:rsidRDefault="00103085" w:rsidP="00103085">
            <w:pPr>
              <w:pStyle w:val="Tabletext1"/>
              <w:rPr>
                <w:lang w:val="en-GB" w:eastAsia="en-US"/>
              </w:rPr>
            </w:pPr>
            <w:r>
              <w:rPr>
                <w:lang w:val="en-GB" w:eastAsia="en-US"/>
              </w:rPr>
              <w:t>Case reports</w:t>
            </w:r>
          </w:p>
        </w:tc>
        <w:tc>
          <w:tcPr>
            <w:tcW w:w="2693" w:type="dxa"/>
          </w:tcPr>
          <w:p w:rsidR="00100A8C" w:rsidRDefault="00100A8C" w:rsidP="00103085">
            <w:pPr>
              <w:pStyle w:val="Tabletext1"/>
              <w:rPr>
                <w:lang w:val="en-GB" w:eastAsia="en-US"/>
              </w:rPr>
            </w:pPr>
            <w:r>
              <w:rPr>
                <w:lang w:val="en-GB" w:eastAsia="en-US"/>
              </w:rPr>
              <w:t>N=2</w:t>
            </w:r>
          </w:p>
          <w:p w:rsidR="00103085" w:rsidRDefault="00103085" w:rsidP="00103085">
            <w:pPr>
              <w:pStyle w:val="Tabletext1"/>
              <w:rPr>
                <w:lang w:val="en-GB" w:eastAsia="en-US"/>
              </w:rPr>
            </w:pPr>
            <w:r>
              <w:rPr>
                <w:lang w:val="en-GB" w:eastAsia="en-US"/>
              </w:rPr>
              <w:t>Two juvenile onset patients included in case series of five patients; aged 14 (patient 5) and 16 years (patient 1) at onset; very severe disease</w:t>
            </w:r>
          </w:p>
          <w:p w:rsidR="004F190D" w:rsidRDefault="004F190D" w:rsidP="00103085">
            <w:pPr>
              <w:pStyle w:val="Tabletext1"/>
              <w:rPr>
                <w:lang w:val="en-GB" w:eastAsia="en-US"/>
              </w:rPr>
            </w:pPr>
          </w:p>
          <w:p w:rsidR="004F190D" w:rsidRDefault="004F190D" w:rsidP="00103085">
            <w:pPr>
              <w:pStyle w:val="Tabletext1"/>
              <w:rPr>
                <w:lang w:val="en-GB" w:eastAsia="en-US"/>
              </w:rPr>
            </w:pPr>
          </w:p>
        </w:tc>
        <w:tc>
          <w:tcPr>
            <w:tcW w:w="2794" w:type="dxa"/>
          </w:tcPr>
          <w:p w:rsidR="00103085" w:rsidRDefault="00103085" w:rsidP="00103085">
            <w:pPr>
              <w:pStyle w:val="Tabletext1"/>
              <w:rPr>
                <w:lang w:val="en-GB" w:eastAsia="en-US"/>
              </w:rPr>
            </w:pPr>
            <w:r>
              <w:rPr>
                <w:lang w:val="en-GB" w:eastAsia="en-US"/>
              </w:rPr>
              <w:t>Pompe disease defined by documented deficit in endogenous acid alpha-glucosidase, symptomatic diaphragmatic dysfunction and inability to walk unassisted.</w:t>
            </w:r>
          </w:p>
        </w:tc>
        <w:tc>
          <w:tcPr>
            <w:tcW w:w="1600" w:type="dxa"/>
          </w:tcPr>
          <w:p w:rsidR="00103085" w:rsidRDefault="00103085" w:rsidP="00103085">
            <w:pPr>
              <w:pStyle w:val="Tabletext1"/>
              <w:rPr>
                <w:lang w:val="en-GB" w:eastAsia="en-US"/>
              </w:rPr>
            </w:pPr>
            <w:r>
              <w:rPr>
                <w:lang w:val="en-GB" w:eastAsia="en-US"/>
              </w:rPr>
              <w:t xml:space="preserve">Intravenous infusions of </w:t>
            </w:r>
            <w:r w:rsidR="00E66055">
              <w:rPr>
                <w:lang w:val="en-GB" w:eastAsia="en-US"/>
              </w:rPr>
              <w:t>alglucosidase</w:t>
            </w:r>
            <w:r>
              <w:rPr>
                <w:lang w:val="en-GB" w:eastAsia="en-US"/>
              </w:rPr>
              <w:t xml:space="preserve"> alfa at dose of 20mg/kg given every other week for 52 weeks</w:t>
            </w:r>
          </w:p>
        </w:tc>
        <w:tc>
          <w:tcPr>
            <w:tcW w:w="1847" w:type="dxa"/>
            <w:tcBorders>
              <w:right w:val="single" w:sz="4" w:space="0" w:color="auto"/>
            </w:tcBorders>
          </w:tcPr>
          <w:p w:rsidR="00103085" w:rsidRDefault="00103085" w:rsidP="00103085">
            <w:pPr>
              <w:pStyle w:val="Tabletext1"/>
              <w:rPr>
                <w:lang w:val="en-GB" w:eastAsia="en-US"/>
              </w:rPr>
            </w:pPr>
            <w:r>
              <w:rPr>
                <w:lang w:val="en-GB" w:eastAsia="en-US"/>
              </w:rPr>
              <w:t>Respiratory function measured by slow vital capacity, maximal inspiratory pressure and maximal expiratory pressure, time to hypercapnia.</w:t>
            </w:r>
          </w:p>
          <w:p w:rsidR="00103085" w:rsidRDefault="00103085" w:rsidP="00103085">
            <w:pPr>
              <w:pStyle w:val="Tabletext1"/>
              <w:rPr>
                <w:lang w:val="en-GB" w:eastAsia="en-US"/>
              </w:rPr>
            </w:pPr>
            <w:r>
              <w:rPr>
                <w:lang w:val="en-GB" w:eastAsia="en-US"/>
              </w:rPr>
              <w:t>Muscle function by motor function measure scale.</w:t>
            </w:r>
          </w:p>
          <w:p w:rsidR="00103085" w:rsidRDefault="00103085" w:rsidP="00103085">
            <w:pPr>
              <w:pStyle w:val="Tabletext1"/>
              <w:rPr>
                <w:lang w:val="en-GB" w:eastAsia="en-US"/>
              </w:rPr>
            </w:pPr>
            <w:r>
              <w:rPr>
                <w:lang w:val="en-GB" w:eastAsia="en-US"/>
              </w:rPr>
              <w:t>Quality of life measured by SF-36.</w:t>
            </w:r>
          </w:p>
          <w:p w:rsidR="00103085" w:rsidRDefault="00103085" w:rsidP="00103085">
            <w:pPr>
              <w:pStyle w:val="Tabletext1"/>
              <w:rPr>
                <w:lang w:val="en-GB" w:eastAsia="en-US"/>
              </w:rPr>
            </w:pPr>
            <w:r>
              <w:rPr>
                <w:lang w:val="en-GB" w:eastAsia="en-US"/>
              </w:rPr>
              <w:t>Fatigue by fatigue severity scale.</w:t>
            </w:r>
          </w:p>
        </w:tc>
        <w:tc>
          <w:tcPr>
            <w:tcW w:w="1272" w:type="dxa"/>
            <w:tcBorders>
              <w:left w:val="single" w:sz="4" w:space="0" w:color="auto"/>
            </w:tcBorders>
          </w:tcPr>
          <w:p w:rsidR="00103085" w:rsidRDefault="00103085" w:rsidP="00103085">
            <w:pPr>
              <w:pStyle w:val="Tabletext1"/>
              <w:rPr>
                <w:lang w:val="en-GB" w:eastAsia="en-US"/>
              </w:rPr>
            </w:pPr>
            <w:r>
              <w:rPr>
                <w:lang w:val="en-GB" w:eastAsia="en-US"/>
              </w:rPr>
              <w:t>52 weeks</w:t>
            </w:r>
          </w:p>
        </w:tc>
        <w:tc>
          <w:tcPr>
            <w:tcW w:w="1394" w:type="dxa"/>
          </w:tcPr>
          <w:p w:rsidR="00103085" w:rsidRPr="00423400" w:rsidRDefault="00103085" w:rsidP="00103085">
            <w:pPr>
              <w:pStyle w:val="Tabletext1"/>
              <w:rPr>
                <w:lang w:val="en-GB" w:eastAsia="en-US"/>
              </w:rPr>
            </w:pPr>
          </w:p>
        </w:tc>
      </w:tr>
      <w:tr w:rsidR="00103085" w:rsidRPr="00423400" w:rsidTr="00103085">
        <w:trPr>
          <w:trHeight w:val="521"/>
        </w:trPr>
        <w:tc>
          <w:tcPr>
            <w:tcW w:w="1242" w:type="dxa"/>
          </w:tcPr>
          <w:p w:rsidR="00103085" w:rsidRPr="00C2368C" w:rsidRDefault="00103085" w:rsidP="00103085">
            <w:pPr>
              <w:pStyle w:val="Tabletext1"/>
              <w:rPr>
                <w:lang w:val="en-GB" w:eastAsia="en-US"/>
              </w:rPr>
            </w:pPr>
            <w:r w:rsidRPr="00C2368C">
              <w:rPr>
                <w:noProof/>
                <w:lang w:val="en-GB" w:eastAsia="en-US"/>
              </w:rPr>
              <w:t>(</w:t>
            </w:r>
            <w:r w:rsidR="00184B6F" w:rsidRPr="00C2368C">
              <w:rPr>
                <w:noProof/>
                <w:lang w:val="en-GB" w:eastAsia="en-US"/>
              </w:rPr>
              <w:t>Korpela et al. 2009</w:t>
            </w:r>
            <w:r w:rsidRPr="00C2368C">
              <w:rPr>
                <w:noProof/>
                <w:lang w:val="en-GB" w:eastAsia="en-US"/>
              </w:rPr>
              <w:t>)</w:t>
            </w:r>
          </w:p>
          <w:p w:rsidR="00103085" w:rsidRPr="00333402" w:rsidRDefault="00103085" w:rsidP="00103085">
            <w:pPr>
              <w:pStyle w:val="Tabletext1"/>
              <w:rPr>
                <w:highlight w:val="yellow"/>
                <w:lang w:val="en-GB" w:eastAsia="en-US"/>
              </w:rPr>
            </w:pPr>
            <w:r w:rsidRPr="00C2368C">
              <w:rPr>
                <w:lang w:val="en-GB" w:eastAsia="en-US"/>
              </w:rPr>
              <w:t>Finland</w:t>
            </w:r>
          </w:p>
        </w:tc>
        <w:tc>
          <w:tcPr>
            <w:tcW w:w="1418" w:type="dxa"/>
          </w:tcPr>
          <w:p w:rsidR="00103085" w:rsidRPr="00C2368C" w:rsidRDefault="00103085" w:rsidP="00103085">
            <w:pPr>
              <w:pStyle w:val="Tabletext1"/>
              <w:rPr>
                <w:lang w:val="en-GB" w:eastAsia="en-US"/>
              </w:rPr>
            </w:pPr>
            <w:r w:rsidRPr="00C2368C">
              <w:rPr>
                <w:lang w:val="en-GB" w:eastAsia="en-US"/>
              </w:rPr>
              <w:t>Case report</w:t>
            </w:r>
          </w:p>
          <w:p w:rsidR="00103085" w:rsidRPr="00C2368C" w:rsidRDefault="00103085" w:rsidP="00103085">
            <w:pPr>
              <w:pStyle w:val="Tabletext1"/>
              <w:rPr>
                <w:lang w:val="en-GB" w:eastAsia="en-US"/>
              </w:rPr>
            </w:pPr>
            <w:r w:rsidRPr="00C2368C">
              <w:rPr>
                <w:lang w:val="en-GB" w:eastAsia="en-US"/>
              </w:rPr>
              <w:t>Quality: NA</w:t>
            </w:r>
          </w:p>
        </w:tc>
        <w:tc>
          <w:tcPr>
            <w:tcW w:w="2693" w:type="dxa"/>
          </w:tcPr>
          <w:p w:rsidR="00103085" w:rsidRPr="00C2368C" w:rsidRDefault="00103085" w:rsidP="00103085">
            <w:pPr>
              <w:pStyle w:val="Tabletext1"/>
              <w:rPr>
                <w:lang w:val="en-GB" w:eastAsia="en-US"/>
              </w:rPr>
            </w:pPr>
            <w:r w:rsidRPr="00C2368C">
              <w:rPr>
                <w:lang w:val="en-GB" w:eastAsia="en-US"/>
              </w:rPr>
              <w:t>N=1</w:t>
            </w:r>
          </w:p>
          <w:p w:rsidR="00103085" w:rsidRPr="00C2368C" w:rsidRDefault="00103085" w:rsidP="00103085">
            <w:pPr>
              <w:pStyle w:val="Tabletext1"/>
              <w:rPr>
                <w:lang w:val="en-GB" w:eastAsia="en-US"/>
              </w:rPr>
            </w:pPr>
            <w:r w:rsidRPr="00C2368C">
              <w:rPr>
                <w:lang w:val="en-GB" w:eastAsia="en-US"/>
              </w:rPr>
              <w:t>A juvenile onset Pompe patient diagnosed by genetic analysis</w:t>
            </w:r>
          </w:p>
          <w:p w:rsidR="00103085" w:rsidRDefault="00103085" w:rsidP="00103085">
            <w:pPr>
              <w:pStyle w:val="Tabletext1"/>
              <w:rPr>
                <w:lang w:val="en-GB" w:eastAsia="en-US"/>
              </w:rPr>
            </w:pPr>
            <w:r w:rsidRPr="00C2368C">
              <w:rPr>
                <w:lang w:val="en-GB" w:eastAsia="en-US"/>
              </w:rPr>
              <w:t>Age of symptom onset: 15 years</w:t>
            </w:r>
          </w:p>
          <w:p w:rsidR="006B5B63" w:rsidRPr="00C2368C" w:rsidRDefault="006B5B63" w:rsidP="00103085">
            <w:pPr>
              <w:pStyle w:val="Tabletext1"/>
              <w:rPr>
                <w:lang w:val="en-GB" w:eastAsia="en-US"/>
              </w:rPr>
            </w:pPr>
            <w:r>
              <w:rPr>
                <w:lang w:val="en-GB" w:eastAsia="en-US"/>
              </w:rPr>
              <w:t>Age at treatment onset: 20 years</w:t>
            </w:r>
          </w:p>
        </w:tc>
        <w:tc>
          <w:tcPr>
            <w:tcW w:w="2794" w:type="dxa"/>
          </w:tcPr>
          <w:p w:rsidR="00103085" w:rsidRPr="00C2368C" w:rsidRDefault="00103085" w:rsidP="00103085">
            <w:pPr>
              <w:pStyle w:val="Tabletext1"/>
              <w:rPr>
                <w:lang w:val="en-GB" w:eastAsia="en-US"/>
              </w:rPr>
            </w:pPr>
            <w:r w:rsidRPr="00C2368C">
              <w:rPr>
                <w:lang w:val="en-GB" w:eastAsia="en-US"/>
              </w:rPr>
              <w:t>NA</w:t>
            </w:r>
          </w:p>
        </w:tc>
        <w:tc>
          <w:tcPr>
            <w:tcW w:w="1600" w:type="dxa"/>
          </w:tcPr>
          <w:p w:rsidR="00103085" w:rsidRPr="00C2368C" w:rsidRDefault="00103085" w:rsidP="00103085">
            <w:pPr>
              <w:pStyle w:val="Tabletext1"/>
              <w:rPr>
                <w:lang w:val="en-GB" w:eastAsia="en-US"/>
              </w:rPr>
            </w:pPr>
            <w:r w:rsidRPr="00C2368C">
              <w:rPr>
                <w:lang w:val="en-GB" w:eastAsia="en-US"/>
              </w:rPr>
              <w:t>Alglucosidase-alfa at 20 mg/kg biweekly</w:t>
            </w:r>
          </w:p>
        </w:tc>
        <w:tc>
          <w:tcPr>
            <w:tcW w:w="1847" w:type="dxa"/>
            <w:tcBorders>
              <w:right w:val="single" w:sz="4" w:space="0" w:color="auto"/>
            </w:tcBorders>
          </w:tcPr>
          <w:p w:rsidR="00103085" w:rsidRPr="00C2368C" w:rsidRDefault="00103085" w:rsidP="00103085">
            <w:pPr>
              <w:pStyle w:val="Tabletext1"/>
              <w:rPr>
                <w:lang w:val="en-GB" w:eastAsia="en-US"/>
              </w:rPr>
            </w:pPr>
            <w:r w:rsidRPr="00C2368C">
              <w:rPr>
                <w:lang w:val="en-GB" w:eastAsia="en-US"/>
              </w:rPr>
              <w:t>Pulmonary function</w:t>
            </w:r>
          </w:p>
          <w:p w:rsidR="00103085" w:rsidRPr="00C2368C" w:rsidRDefault="00103085" w:rsidP="00103085">
            <w:pPr>
              <w:pStyle w:val="Tabletext1"/>
              <w:rPr>
                <w:lang w:val="en-GB" w:eastAsia="en-US"/>
              </w:rPr>
            </w:pPr>
            <w:r w:rsidRPr="00C2368C">
              <w:rPr>
                <w:lang w:val="en-GB" w:eastAsia="en-US"/>
              </w:rPr>
              <w:t>FVC (%), FEV1, VC, MEF, PEF</w:t>
            </w:r>
          </w:p>
          <w:p w:rsidR="00103085" w:rsidRPr="00C2368C" w:rsidRDefault="00103085" w:rsidP="00103085">
            <w:pPr>
              <w:pStyle w:val="Tabletext1"/>
              <w:rPr>
                <w:lang w:val="en-GB" w:eastAsia="en-US"/>
              </w:rPr>
            </w:pPr>
            <w:r w:rsidRPr="00C2368C">
              <w:rPr>
                <w:lang w:val="en-GB" w:eastAsia="en-US"/>
              </w:rPr>
              <w:t>Muscle strength</w:t>
            </w:r>
          </w:p>
          <w:p w:rsidR="00103085" w:rsidRPr="00C2368C" w:rsidRDefault="00103085" w:rsidP="00103085">
            <w:pPr>
              <w:pStyle w:val="Tabletext1"/>
              <w:rPr>
                <w:lang w:val="en-GB" w:eastAsia="en-US"/>
              </w:rPr>
            </w:pPr>
            <w:r w:rsidRPr="00C2368C">
              <w:rPr>
                <w:lang w:val="en-GB" w:eastAsia="en-US"/>
              </w:rPr>
              <w:t>Grip test</w:t>
            </w:r>
          </w:p>
          <w:p w:rsidR="00103085" w:rsidRPr="00C2368C" w:rsidRDefault="00103085" w:rsidP="00103085">
            <w:pPr>
              <w:pStyle w:val="Tabletext1"/>
              <w:rPr>
                <w:lang w:val="en-GB" w:eastAsia="en-US"/>
              </w:rPr>
            </w:pPr>
            <w:r w:rsidRPr="00C2368C">
              <w:rPr>
                <w:lang w:val="en-GB" w:eastAsia="en-US"/>
              </w:rPr>
              <w:t>Muscle function</w:t>
            </w:r>
          </w:p>
          <w:p w:rsidR="00103085" w:rsidRPr="00C2368C" w:rsidRDefault="00103085" w:rsidP="00103085">
            <w:pPr>
              <w:pStyle w:val="Tabletext1"/>
              <w:rPr>
                <w:lang w:val="en-GB" w:eastAsia="en-US"/>
              </w:rPr>
            </w:pPr>
            <w:r w:rsidRPr="00C2368C">
              <w:rPr>
                <w:lang w:val="en-GB" w:eastAsia="en-US"/>
              </w:rPr>
              <w:t>6MWT</w:t>
            </w:r>
          </w:p>
        </w:tc>
        <w:tc>
          <w:tcPr>
            <w:tcW w:w="1272" w:type="dxa"/>
            <w:tcBorders>
              <w:left w:val="single" w:sz="4" w:space="0" w:color="auto"/>
            </w:tcBorders>
          </w:tcPr>
          <w:p w:rsidR="00103085" w:rsidRDefault="00103085" w:rsidP="00103085">
            <w:pPr>
              <w:pStyle w:val="Tabletext1"/>
              <w:rPr>
                <w:lang w:val="en-GB" w:eastAsia="en-US"/>
              </w:rPr>
            </w:pPr>
            <w:r w:rsidRPr="00C2368C">
              <w:rPr>
                <w:lang w:val="en-GB" w:eastAsia="en-US"/>
              </w:rPr>
              <w:t>12 months</w:t>
            </w:r>
          </w:p>
        </w:tc>
        <w:tc>
          <w:tcPr>
            <w:tcW w:w="1394" w:type="dxa"/>
          </w:tcPr>
          <w:p w:rsidR="00103085" w:rsidRPr="00423400" w:rsidRDefault="00103085" w:rsidP="00103085">
            <w:pPr>
              <w:pStyle w:val="Tabletext1"/>
              <w:rPr>
                <w:lang w:val="en-GB" w:eastAsia="en-US"/>
              </w:rPr>
            </w:pPr>
          </w:p>
        </w:tc>
      </w:tr>
      <w:tr w:rsidR="00103085" w:rsidRPr="00423400" w:rsidTr="00103085">
        <w:trPr>
          <w:trHeight w:val="521"/>
        </w:trPr>
        <w:tc>
          <w:tcPr>
            <w:tcW w:w="1242" w:type="dxa"/>
          </w:tcPr>
          <w:p w:rsidR="00103085" w:rsidRPr="00C2368C" w:rsidRDefault="00103085" w:rsidP="00103085">
            <w:pPr>
              <w:pStyle w:val="Tabletext1"/>
              <w:rPr>
                <w:lang w:val="en-GB" w:eastAsia="en-US"/>
              </w:rPr>
            </w:pPr>
            <w:r w:rsidRPr="00C2368C">
              <w:rPr>
                <w:noProof/>
                <w:lang w:val="en-GB" w:eastAsia="en-US"/>
              </w:rPr>
              <w:t>(</w:t>
            </w:r>
            <w:r w:rsidR="00184B6F" w:rsidRPr="00C2368C">
              <w:rPr>
                <w:noProof/>
                <w:lang w:val="en-GB" w:eastAsia="en-US"/>
              </w:rPr>
              <w:t>Merk et al. 2009</w:t>
            </w:r>
            <w:r w:rsidRPr="00C2368C">
              <w:rPr>
                <w:noProof/>
                <w:lang w:val="en-GB" w:eastAsia="en-US"/>
              </w:rPr>
              <w:t>)</w:t>
            </w:r>
          </w:p>
          <w:p w:rsidR="00103085" w:rsidRPr="00333402" w:rsidRDefault="00103085" w:rsidP="00103085">
            <w:pPr>
              <w:pStyle w:val="Tabletext1"/>
              <w:rPr>
                <w:highlight w:val="yellow"/>
                <w:lang w:val="en-GB" w:eastAsia="en-US"/>
              </w:rPr>
            </w:pPr>
            <w:r w:rsidRPr="00C2368C">
              <w:rPr>
                <w:lang w:val="en-GB" w:eastAsia="en-US"/>
              </w:rPr>
              <w:lastRenderedPageBreak/>
              <w:t>Germany</w:t>
            </w:r>
          </w:p>
        </w:tc>
        <w:tc>
          <w:tcPr>
            <w:tcW w:w="1418" w:type="dxa"/>
          </w:tcPr>
          <w:p w:rsidR="00103085" w:rsidRPr="00C2368C" w:rsidRDefault="00103085" w:rsidP="00103085">
            <w:pPr>
              <w:pStyle w:val="Tabletext1"/>
              <w:rPr>
                <w:lang w:val="en-GB" w:eastAsia="en-US"/>
              </w:rPr>
            </w:pPr>
            <w:r w:rsidRPr="00C2368C">
              <w:rPr>
                <w:lang w:val="en-GB" w:eastAsia="en-US"/>
              </w:rPr>
              <w:lastRenderedPageBreak/>
              <w:t>Case report</w:t>
            </w:r>
          </w:p>
          <w:p w:rsidR="00103085" w:rsidRPr="00333402" w:rsidRDefault="00103085" w:rsidP="00103085">
            <w:pPr>
              <w:pStyle w:val="Tabletext1"/>
              <w:rPr>
                <w:highlight w:val="yellow"/>
                <w:lang w:val="en-GB" w:eastAsia="en-US"/>
              </w:rPr>
            </w:pPr>
            <w:r w:rsidRPr="00C2368C">
              <w:rPr>
                <w:lang w:val="en-GB" w:eastAsia="en-US"/>
              </w:rPr>
              <w:t>Quality: NA</w:t>
            </w:r>
          </w:p>
        </w:tc>
        <w:tc>
          <w:tcPr>
            <w:tcW w:w="2693" w:type="dxa"/>
          </w:tcPr>
          <w:p w:rsidR="00103085" w:rsidRPr="00C2368C" w:rsidRDefault="00103085" w:rsidP="00103085">
            <w:pPr>
              <w:pStyle w:val="Tabletext1"/>
              <w:rPr>
                <w:lang w:val="en-GB" w:eastAsia="en-US"/>
              </w:rPr>
            </w:pPr>
            <w:r w:rsidRPr="00C2368C">
              <w:rPr>
                <w:lang w:val="en-GB" w:eastAsia="en-US"/>
              </w:rPr>
              <w:t>N=1</w:t>
            </w:r>
          </w:p>
          <w:p w:rsidR="00103085" w:rsidRDefault="00103085" w:rsidP="00103085">
            <w:pPr>
              <w:pStyle w:val="Tabletext1"/>
              <w:rPr>
                <w:lang w:val="en-GB" w:eastAsia="en-US"/>
              </w:rPr>
            </w:pPr>
            <w:r w:rsidRPr="00C2368C">
              <w:rPr>
                <w:lang w:val="en-GB" w:eastAsia="en-US"/>
              </w:rPr>
              <w:t xml:space="preserve">Case study included 4 late-onset </w:t>
            </w:r>
            <w:r w:rsidRPr="00C2368C">
              <w:rPr>
                <w:lang w:val="en-GB" w:eastAsia="en-US"/>
              </w:rPr>
              <w:lastRenderedPageBreak/>
              <w:t xml:space="preserve">Pompe patients (one of whom </w:t>
            </w:r>
            <w:r>
              <w:rPr>
                <w:lang w:val="en-GB" w:eastAsia="en-US"/>
              </w:rPr>
              <w:t>was a juvenile onset patient) who received ERT for a minimum of 6 months</w:t>
            </w:r>
          </w:p>
          <w:p w:rsidR="00103085" w:rsidRDefault="00103085" w:rsidP="00103085">
            <w:pPr>
              <w:pStyle w:val="Tabletext1"/>
              <w:rPr>
                <w:lang w:val="en-GB" w:eastAsia="en-US"/>
              </w:rPr>
            </w:pPr>
            <w:r>
              <w:rPr>
                <w:lang w:val="en-GB" w:eastAsia="en-US"/>
              </w:rPr>
              <w:t>Age of symptom onset (y): 15</w:t>
            </w:r>
          </w:p>
          <w:p w:rsidR="00103085" w:rsidRDefault="00103085" w:rsidP="00103085">
            <w:pPr>
              <w:pStyle w:val="Tabletext1"/>
              <w:rPr>
                <w:lang w:val="en-GB" w:eastAsia="en-US"/>
              </w:rPr>
            </w:pPr>
            <w:r>
              <w:rPr>
                <w:lang w:val="en-GB" w:eastAsia="en-US"/>
              </w:rPr>
              <w:t>Age at diagnosis (y): 29</w:t>
            </w:r>
          </w:p>
          <w:p w:rsidR="00103085" w:rsidRDefault="006B5B63" w:rsidP="00103085">
            <w:pPr>
              <w:pStyle w:val="Tabletext1"/>
              <w:rPr>
                <w:lang w:val="en-GB" w:eastAsia="en-US"/>
              </w:rPr>
            </w:pPr>
            <w:r>
              <w:rPr>
                <w:lang w:val="en-GB" w:eastAsia="en-US"/>
              </w:rPr>
              <w:t>Age at treatment onset</w:t>
            </w:r>
            <w:r w:rsidR="00103085">
              <w:rPr>
                <w:lang w:val="en-GB" w:eastAsia="en-US"/>
              </w:rPr>
              <w:t xml:space="preserve"> (y): 41</w:t>
            </w:r>
          </w:p>
          <w:p w:rsidR="00103085" w:rsidRDefault="00103085" w:rsidP="00103085">
            <w:pPr>
              <w:pStyle w:val="Tabletext1"/>
              <w:rPr>
                <w:lang w:val="en-GB" w:eastAsia="en-US"/>
              </w:rPr>
            </w:pPr>
          </w:p>
        </w:tc>
        <w:tc>
          <w:tcPr>
            <w:tcW w:w="2794" w:type="dxa"/>
          </w:tcPr>
          <w:p w:rsidR="00103085" w:rsidRDefault="00103085" w:rsidP="00103085">
            <w:pPr>
              <w:pStyle w:val="Tabletext1"/>
              <w:rPr>
                <w:lang w:val="en-GB" w:eastAsia="en-US"/>
              </w:rPr>
            </w:pPr>
            <w:r>
              <w:rPr>
                <w:lang w:val="en-GB" w:eastAsia="en-US"/>
              </w:rPr>
              <w:lastRenderedPageBreak/>
              <w:t>NA</w:t>
            </w:r>
          </w:p>
        </w:tc>
        <w:tc>
          <w:tcPr>
            <w:tcW w:w="1600" w:type="dxa"/>
          </w:tcPr>
          <w:p w:rsidR="00103085" w:rsidRDefault="00103085" w:rsidP="00103085">
            <w:pPr>
              <w:pStyle w:val="Tabletext1"/>
              <w:rPr>
                <w:lang w:val="en-GB" w:eastAsia="en-US"/>
              </w:rPr>
            </w:pPr>
            <w:r>
              <w:rPr>
                <w:lang w:val="en-GB" w:eastAsia="en-US"/>
              </w:rPr>
              <w:t>Myozyme at 20 mg/kg biweekly</w:t>
            </w:r>
          </w:p>
        </w:tc>
        <w:tc>
          <w:tcPr>
            <w:tcW w:w="1847" w:type="dxa"/>
            <w:tcBorders>
              <w:right w:val="single" w:sz="4" w:space="0" w:color="auto"/>
            </w:tcBorders>
          </w:tcPr>
          <w:p w:rsidR="00103085" w:rsidRDefault="00103085" w:rsidP="00103085">
            <w:pPr>
              <w:pStyle w:val="Tabletext1"/>
              <w:rPr>
                <w:lang w:val="en-GB" w:eastAsia="en-US"/>
              </w:rPr>
            </w:pPr>
            <w:r>
              <w:rPr>
                <w:lang w:val="en-GB" w:eastAsia="en-US"/>
              </w:rPr>
              <w:t>FEV1 (ml)</w:t>
            </w:r>
          </w:p>
          <w:p w:rsidR="00103085" w:rsidRDefault="00103085" w:rsidP="00103085">
            <w:pPr>
              <w:pStyle w:val="Tabletext1"/>
              <w:rPr>
                <w:lang w:val="en-GB" w:eastAsia="en-US"/>
              </w:rPr>
            </w:pPr>
            <w:r>
              <w:rPr>
                <w:lang w:val="en-GB" w:eastAsia="en-US"/>
              </w:rPr>
              <w:t>Pi</w:t>
            </w:r>
            <w:r>
              <w:rPr>
                <w:vertAlign w:val="subscript"/>
                <w:lang w:val="en-GB" w:eastAsia="en-US"/>
              </w:rPr>
              <w:t xml:space="preserve">max </w:t>
            </w:r>
            <w:r>
              <w:rPr>
                <w:lang w:val="en-GB" w:eastAsia="en-US"/>
              </w:rPr>
              <w:t>(%)</w:t>
            </w:r>
          </w:p>
          <w:p w:rsidR="00103085" w:rsidRPr="009F5580" w:rsidRDefault="00103085" w:rsidP="00103085">
            <w:pPr>
              <w:pStyle w:val="Tabletext1"/>
              <w:rPr>
                <w:lang w:val="en-GB" w:eastAsia="en-US"/>
              </w:rPr>
            </w:pPr>
            <w:r>
              <w:rPr>
                <w:lang w:val="en-GB" w:eastAsia="en-US"/>
              </w:rPr>
              <w:lastRenderedPageBreak/>
              <w:t>6MWT</w:t>
            </w:r>
          </w:p>
        </w:tc>
        <w:tc>
          <w:tcPr>
            <w:tcW w:w="1272" w:type="dxa"/>
            <w:tcBorders>
              <w:left w:val="single" w:sz="4" w:space="0" w:color="auto"/>
            </w:tcBorders>
          </w:tcPr>
          <w:p w:rsidR="00103085" w:rsidRDefault="00103085" w:rsidP="00103085">
            <w:pPr>
              <w:pStyle w:val="Tabletext1"/>
              <w:rPr>
                <w:lang w:val="en-GB" w:eastAsia="en-US"/>
              </w:rPr>
            </w:pPr>
            <w:r>
              <w:rPr>
                <w:lang w:val="en-GB" w:eastAsia="en-US"/>
              </w:rPr>
              <w:lastRenderedPageBreak/>
              <w:t>6 months</w:t>
            </w:r>
          </w:p>
        </w:tc>
        <w:tc>
          <w:tcPr>
            <w:tcW w:w="1394" w:type="dxa"/>
          </w:tcPr>
          <w:p w:rsidR="00103085" w:rsidRPr="00423400" w:rsidRDefault="00103085" w:rsidP="00103085">
            <w:pPr>
              <w:pStyle w:val="Tabletext1"/>
              <w:rPr>
                <w:lang w:val="en-GB" w:eastAsia="en-US"/>
              </w:rPr>
            </w:pPr>
          </w:p>
        </w:tc>
      </w:tr>
      <w:tr w:rsidR="00103085" w:rsidRPr="00423400" w:rsidTr="00103085">
        <w:trPr>
          <w:trHeight w:val="521"/>
        </w:trPr>
        <w:tc>
          <w:tcPr>
            <w:tcW w:w="1242" w:type="dxa"/>
          </w:tcPr>
          <w:p w:rsidR="00103085" w:rsidRPr="00C2368C" w:rsidRDefault="00103085" w:rsidP="00103085">
            <w:pPr>
              <w:pStyle w:val="Tabletext1"/>
              <w:rPr>
                <w:lang w:val="en-GB" w:eastAsia="en-US"/>
              </w:rPr>
            </w:pPr>
            <w:r w:rsidRPr="00C2368C">
              <w:rPr>
                <w:noProof/>
                <w:lang w:val="en-GB" w:eastAsia="en-US"/>
              </w:rPr>
              <w:lastRenderedPageBreak/>
              <w:t>(</w:t>
            </w:r>
            <w:r w:rsidR="00184B6F" w:rsidRPr="00C2368C">
              <w:rPr>
                <w:noProof/>
                <w:lang w:val="en-GB" w:eastAsia="en-US"/>
              </w:rPr>
              <w:t>Ishigaki et al. 2012</w:t>
            </w:r>
            <w:r w:rsidRPr="00C2368C">
              <w:rPr>
                <w:noProof/>
                <w:lang w:val="en-GB" w:eastAsia="en-US"/>
              </w:rPr>
              <w:t>)</w:t>
            </w:r>
          </w:p>
          <w:p w:rsidR="00103085" w:rsidRDefault="00103085" w:rsidP="00103085">
            <w:pPr>
              <w:pStyle w:val="Tabletext1"/>
              <w:rPr>
                <w:lang w:val="en-GB" w:eastAsia="en-US"/>
              </w:rPr>
            </w:pPr>
            <w:r w:rsidRPr="00C2368C">
              <w:rPr>
                <w:lang w:val="en-GB" w:eastAsia="en-US"/>
              </w:rPr>
              <w:t>Japan</w:t>
            </w:r>
          </w:p>
        </w:tc>
        <w:tc>
          <w:tcPr>
            <w:tcW w:w="1418" w:type="dxa"/>
          </w:tcPr>
          <w:p w:rsidR="00103085" w:rsidRPr="00C2368C" w:rsidRDefault="00103085" w:rsidP="00103085">
            <w:pPr>
              <w:pStyle w:val="Tabletext1"/>
              <w:rPr>
                <w:lang w:val="en-GB" w:eastAsia="en-US"/>
              </w:rPr>
            </w:pPr>
            <w:r w:rsidRPr="00C2368C">
              <w:rPr>
                <w:lang w:val="en-GB" w:eastAsia="en-US"/>
              </w:rPr>
              <w:t>Case report</w:t>
            </w:r>
          </w:p>
          <w:p w:rsidR="00103085" w:rsidRDefault="00103085" w:rsidP="00103085">
            <w:pPr>
              <w:pStyle w:val="Tabletext1"/>
              <w:rPr>
                <w:lang w:val="en-GB" w:eastAsia="en-US"/>
              </w:rPr>
            </w:pPr>
            <w:r w:rsidRPr="00C2368C">
              <w:rPr>
                <w:lang w:val="en-GB" w:eastAsia="en-US"/>
              </w:rPr>
              <w:t>Quality; NA</w:t>
            </w:r>
          </w:p>
        </w:tc>
        <w:tc>
          <w:tcPr>
            <w:tcW w:w="2693" w:type="dxa"/>
          </w:tcPr>
          <w:p w:rsidR="00103085" w:rsidRDefault="00103085" w:rsidP="00103085">
            <w:pPr>
              <w:pStyle w:val="Tabletext1"/>
              <w:rPr>
                <w:lang w:val="en-GB" w:eastAsia="en-US"/>
              </w:rPr>
            </w:pPr>
            <w:r>
              <w:rPr>
                <w:lang w:val="en-GB" w:eastAsia="en-US"/>
              </w:rPr>
              <w:t>N=1</w:t>
            </w:r>
          </w:p>
          <w:p w:rsidR="00103085" w:rsidRDefault="00103085" w:rsidP="00103085">
            <w:pPr>
              <w:pStyle w:val="Tabletext1"/>
              <w:rPr>
                <w:lang w:val="en-GB" w:eastAsia="en-US"/>
              </w:rPr>
            </w:pPr>
            <w:r>
              <w:rPr>
                <w:lang w:val="en-GB" w:eastAsia="en-US"/>
              </w:rPr>
              <w:t>A boy who underwent diagnosis and treatment for JOPD</w:t>
            </w:r>
          </w:p>
          <w:p w:rsidR="00103085" w:rsidRDefault="00103085" w:rsidP="00103085">
            <w:pPr>
              <w:pStyle w:val="Tabletext1"/>
              <w:rPr>
                <w:lang w:val="en-GB" w:eastAsia="en-US"/>
              </w:rPr>
            </w:pPr>
            <w:r>
              <w:rPr>
                <w:lang w:val="en-GB" w:eastAsia="en-US"/>
              </w:rPr>
              <w:t>Age of symptom onset (y): 2</w:t>
            </w:r>
          </w:p>
          <w:p w:rsidR="00103085" w:rsidRDefault="00103085" w:rsidP="00103085">
            <w:pPr>
              <w:pStyle w:val="Tabletext1"/>
              <w:rPr>
                <w:lang w:val="en-GB" w:eastAsia="en-US"/>
              </w:rPr>
            </w:pPr>
            <w:r>
              <w:rPr>
                <w:lang w:val="en-GB" w:eastAsia="en-US"/>
              </w:rPr>
              <w:t>Age at diagnosis (y): 5</w:t>
            </w:r>
          </w:p>
          <w:p w:rsidR="00103085" w:rsidRDefault="00103085" w:rsidP="00103085">
            <w:pPr>
              <w:pStyle w:val="Tabletext1"/>
              <w:rPr>
                <w:lang w:val="en-GB" w:eastAsia="en-US"/>
              </w:rPr>
            </w:pPr>
            <w:r>
              <w:rPr>
                <w:lang w:val="en-GB" w:eastAsia="en-US"/>
              </w:rPr>
              <w:t>Start of treatment (y): 10</w:t>
            </w:r>
          </w:p>
          <w:p w:rsidR="00103085" w:rsidRDefault="00103085" w:rsidP="00103085">
            <w:pPr>
              <w:pStyle w:val="Tabletext1"/>
              <w:rPr>
                <w:lang w:val="en-GB" w:eastAsia="en-US"/>
              </w:rPr>
            </w:pPr>
          </w:p>
        </w:tc>
        <w:tc>
          <w:tcPr>
            <w:tcW w:w="2794" w:type="dxa"/>
          </w:tcPr>
          <w:p w:rsidR="00103085" w:rsidRDefault="00103085" w:rsidP="00103085">
            <w:pPr>
              <w:pStyle w:val="Tabletext1"/>
              <w:rPr>
                <w:lang w:val="en-GB" w:eastAsia="en-US"/>
              </w:rPr>
            </w:pPr>
            <w:r>
              <w:rPr>
                <w:lang w:val="en-GB" w:eastAsia="en-US"/>
              </w:rPr>
              <w:t>NA</w:t>
            </w:r>
          </w:p>
        </w:tc>
        <w:tc>
          <w:tcPr>
            <w:tcW w:w="1600" w:type="dxa"/>
          </w:tcPr>
          <w:p w:rsidR="00103085" w:rsidRDefault="00103085" w:rsidP="00103085">
            <w:pPr>
              <w:pStyle w:val="Tabletext1"/>
              <w:rPr>
                <w:lang w:val="en-GB" w:eastAsia="en-US"/>
              </w:rPr>
            </w:pPr>
            <w:r>
              <w:rPr>
                <w:lang w:val="en-GB" w:eastAsia="en-US"/>
              </w:rPr>
              <w:t>Alglucosidase alfa at 20 mg/lg biweekly</w:t>
            </w:r>
          </w:p>
        </w:tc>
        <w:tc>
          <w:tcPr>
            <w:tcW w:w="1847" w:type="dxa"/>
            <w:tcBorders>
              <w:right w:val="single" w:sz="4" w:space="0" w:color="auto"/>
            </w:tcBorders>
          </w:tcPr>
          <w:p w:rsidR="00103085" w:rsidRDefault="00103085" w:rsidP="00103085">
            <w:pPr>
              <w:pStyle w:val="Tabletext1"/>
              <w:rPr>
                <w:lang w:val="en-GB" w:eastAsia="en-US"/>
              </w:rPr>
            </w:pPr>
            <w:r>
              <w:rPr>
                <w:lang w:val="en-GB" w:eastAsia="en-US"/>
              </w:rPr>
              <w:t>Respiratory function</w:t>
            </w:r>
          </w:p>
          <w:p w:rsidR="00103085" w:rsidRDefault="00103085" w:rsidP="00103085">
            <w:pPr>
              <w:pStyle w:val="Tabletext1"/>
              <w:rPr>
                <w:vertAlign w:val="subscript"/>
                <w:lang w:val="en-GB" w:eastAsia="en-US"/>
              </w:rPr>
            </w:pPr>
            <w:r>
              <w:rPr>
                <w:lang w:val="en-GB" w:eastAsia="en-US"/>
              </w:rPr>
              <w:t>SpO</w:t>
            </w:r>
            <w:r>
              <w:rPr>
                <w:vertAlign w:val="subscript"/>
                <w:lang w:val="en-GB" w:eastAsia="en-US"/>
              </w:rPr>
              <w:t>2</w:t>
            </w:r>
          </w:p>
          <w:p w:rsidR="00103085" w:rsidRPr="00A666DB" w:rsidRDefault="00103085" w:rsidP="00103085">
            <w:pPr>
              <w:pStyle w:val="Tabletext1"/>
              <w:rPr>
                <w:lang w:val="en-GB" w:eastAsia="en-US"/>
              </w:rPr>
            </w:pPr>
            <w:r w:rsidRPr="00A666DB">
              <w:rPr>
                <w:lang w:val="en-GB" w:eastAsia="en-US"/>
              </w:rPr>
              <w:t>VC (%)</w:t>
            </w:r>
          </w:p>
          <w:p w:rsidR="00103085" w:rsidRDefault="00103085" w:rsidP="00103085">
            <w:pPr>
              <w:pStyle w:val="Tabletext1"/>
              <w:rPr>
                <w:lang w:val="en-GB" w:eastAsia="en-US"/>
              </w:rPr>
            </w:pPr>
            <w:r>
              <w:rPr>
                <w:lang w:val="en-GB" w:eastAsia="en-US"/>
              </w:rPr>
              <w:t>Motor function</w:t>
            </w:r>
          </w:p>
          <w:p w:rsidR="00103085" w:rsidRDefault="00103085" w:rsidP="00103085">
            <w:pPr>
              <w:pStyle w:val="Tabletext1"/>
              <w:rPr>
                <w:lang w:val="en-GB" w:eastAsia="en-US"/>
              </w:rPr>
            </w:pPr>
            <w:r>
              <w:rPr>
                <w:lang w:val="en-GB" w:eastAsia="en-US"/>
              </w:rPr>
              <w:t>Grip power</w:t>
            </w:r>
          </w:p>
          <w:p w:rsidR="00103085" w:rsidRDefault="00103085" w:rsidP="00103085">
            <w:pPr>
              <w:pStyle w:val="Tabletext1"/>
              <w:rPr>
                <w:lang w:val="en-GB" w:eastAsia="en-US"/>
              </w:rPr>
            </w:pPr>
            <w:r>
              <w:rPr>
                <w:lang w:val="en-GB" w:eastAsia="en-US"/>
              </w:rPr>
              <w:t>MMT</w:t>
            </w:r>
          </w:p>
          <w:p w:rsidR="00103085" w:rsidRDefault="00103085" w:rsidP="00103085">
            <w:pPr>
              <w:pStyle w:val="Tabletext1"/>
              <w:rPr>
                <w:lang w:val="en-GB" w:eastAsia="en-US"/>
              </w:rPr>
            </w:pPr>
            <w:r>
              <w:rPr>
                <w:lang w:val="en-GB" w:eastAsia="en-US"/>
              </w:rPr>
              <w:t xml:space="preserve">Time required to change position (rolling sitting, modified Gower’s </w:t>
            </w:r>
            <w:r w:rsidR="00E66055">
              <w:rPr>
                <w:lang w:val="en-GB" w:eastAsia="en-US"/>
              </w:rPr>
              <w:t>manoeuvre</w:t>
            </w:r>
            <w:r>
              <w:rPr>
                <w:lang w:val="en-GB" w:eastAsia="en-US"/>
              </w:rPr>
              <w:t>, climbing stairs)</w:t>
            </w:r>
          </w:p>
          <w:p w:rsidR="00103085" w:rsidRDefault="00103085" w:rsidP="00103085">
            <w:pPr>
              <w:pStyle w:val="Tabletext1"/>
              <w:rPr>
                <w:lang w:val="en-GB" w:eastAsia="en-US"/>
              </w:rPr>
            </w:pPr>
            <w:r>
              <w:rPr>
                <w:lang w:val="en-GB" w:eastAsia="en-US"/>
              </w:rPr>
              <w:t>6MWT</w:t>
            </w:r>
          </w:p>
          <w:p w:rsidR="00103085" w:rsidRDefault="00103085" w:rsidP="00103085">
            <w:pPr>
              <w:pStyle w:val="Tabletext1"/>
              <w:rPr>
                <w:lang w:val="en-GB" w:eastAsia="en-US"/>
              </w:rPr>
            </w:pPr>
            <w:r>
              <w:rPr>
                <w:lang w:val="en-GB" w:eastAsia="en-US"/>
              </w:rPr>
              <w:t>Cardiac function</w:t>
            </w:r>
          </w:p>
          <w:p w:rsidR="00103085" w:rsidRPr="00F4606C" w:rsidRDefault="00103085" w:rsidP="00103085">
            <w:pPr>
              <w:pStyle w:val="Tabletext1"/>
              <w:rPr>
                <w:lang w:val="en-GB" w:eastAsia="en-US"/>
              </w:rPr>
            </w:pPr>
            <w:r>
              <w:rPr>
                <w:lang w:val="en-GB" w:eastAsia="en-US"/>
              </w:rPr>
              <w:t xml:space="preserve">Echography </w:t>
            </w:r>
          </w:p>
        </w:tc>
        <w:tc>
          <w:tcPr>
            <w:tcW w:w="1272" w:type="dxa"/>
            <w:tcBorders>
              <w:left w:val="single" w:sz="4" w:space="0" w:color="auto"/>
            </w:tcBorders>
          </w:tcPr>
          <w:p w:rsidR="00103085" w:rsidRDefault="00103085" w:rsidP="00103085">
            <w:pPr>
              <w:pStyle w:val="Tabletext1"/>
              <w:rPr>
                <w:lang w:val="en-GB" w:eastAsia="en-US"/>
              </w:rPr>
            </w:pPr>
            <w:r>
              <w:rPr>
                <w:lang w:val="en-GB" w:eastAsia="en-US"/>
              </w:rPr>
              <w:t>24 months</w:t>
            </w:r>
          </w:p>
        </w:tc>
        <w:tc>
          <w:tcPr>
            <w:tcW w:w="1394" w:type="dxa"/>
          </w:tcPr>
          <w:p w:rsidR="00103085" w:rsidRPr="00423400" w:rsidRDefault="00103085" w:rsidP="00103085">
            <w:pPr>
              <w:pStyle w:val="Tabletext1"/>
              <w:rPr>
                <w:lang w:val="en-GB" w:eastAsia="en-US"/>
              </w:rPr>
            </w:pPr>
          </w:p>
        </w:tc>
      </w:tr>
      <w:tr w:rsidR="00103085" w:rsidRPr="00423400" w:rsidTr="00103085">
        <w:trPr>
          <w:trHeight w:val="521"/>
        </w:trPr>
        <w:tc>
          <w:tcPr>
            <w:tcW w:w="1242" w:type="dxa"/>
          </w:tcPr>
          <w:p w:rsidR="00103085" w:rsidRDefault="00103085" w:rsidP="00103085">
            <w:pPr>
              <w:pStyle w:val="Tabletext1"/>
              <w:rPr>
                <w:lang w:val="en-GB" w:eastAsia="en-US"/>
              </w:rPr>
            </w:pPr>
            <w:r w:rsidRPr="00C2368C">
              <w:rPr>
                <w:noProof/>
                <w:lang w:val="en-GB" w:eastAsia="en-US"/>
              </w:rPr>
              <w:t>(</w:t>
            </w:r>
            <w:r w:rsidR="00184B6F" w:rsidRPr="00C2368C">
              <w:rPr>
                <w:noProof/>
                <w:lang w:val="en-GB" w:eastAsia="en-US"/>
              </w:rPr>
              <w:t>Furusawa et al. 2014</w:t>
            </w:r>
            <w:r w:rsidRPr="00C2368C">
              <w:rPr>
                <w:noProof/>
                <w:lang w:val="en-GB" w:eastAsia="en-US"/>
              </w:rPr>
              <w:t>)</w:t>
            </w:r>
          </w:p>
          <w:p w:rsidR="00103085" w:rsidRDefault="00103085" w:rsidP="00103085">
            <w:pPr>
              <w:pStyle w:val="Tabletext1"/>
              <w:rPr>
                <w:lang w:val="en-GB" w:eastAsia="en-US"/>
              </w:rPr>
            </w:pPr>
            <w:r>
              <w:rPr>
                <w:lang w:val="en-GB" w:eastAsia="en-US"/>
              </w:rPr>
              <w:t>Japan</w:t>
            </w:r>
          </w:p>
        </w:tc>
        <w:tc>
          <w:tcPr>
            <w:tcW w:w="1418" w:type="dxa"/>
          </w:tcPr>
          <w:p w:rsidR="00103085" w:rsidRPr="00C2368C" w:rsidRDefault="00103085" w:rsidP="00103085">
            <w:pPr>
              <w:pStyle w:val="Tabletext1"/>
              <w:rPr>
                <w:lang w:val="en-GB" w:eastAsia="en-US"/>
              </w:rPr>
            </w:pPr>
            <w:r w:rsidRPr="00C2368C">
              <w:rPr>
                <w:lang w:val="en-GB" w:eastAsia="en-US"/>
              </w:rPr>
              <w:t>Case report</w:t>
            </w:r>
          </w:p>
          <w:p w:rsidR="00103085" w:rsidRDefault="00103085" w:rsidP="00103085">
            <w:pPr>
              <w:pStyle w:val="Tabletext1"/>
              <w:rPr>
                <w:lang w:val="en-GB" w:eastAsia="en-US"/>
              </w:rPr>
            </w:pPr>
            <w:r w:rsidRPr="00C2368C">
              <w:rPr>
                <w:lang w:val="en-GB" w:eastAsia="en-US"/>
              </w:rPr>
              <w:t>Quality; NA</w:t>
            </w:r>
          </w:p>
        </w:tc>
        <w:tc>
          <w:tcPr>
            <w:tcW w:w="2693" w:type="dxa"/>
          </w:tcPr>
          <w:p w:rsidR="00103085" w:rsidRDefault="00103085" w:rsidP="00103085">
            <w:pPr>
              <w:pStyle w:val="Tabletext1"/>
              <w:rPr>
                <w:lang w:val="en-GB" w:eastAsia="en-US"/>
              </w:rPr>
            </w:pPr>
            <w:r>
              <w:rPr>
                <w:lang w:val="en-GB" w:eastAsia="en-US"/>
              </w:rPr>
              <w:t>N=1</w:t>
            </w:r>
          </w:p>
          <w:p w:rsidR="00103085" w:rsidRDefault="00103085" w:rsidP="00103085">
            <w:pPr>
              <w:pStyle w:val="Tabletext1"/>
              <w:rPr>
                <w:lang w:val="en-GB" w:eastAsia="en-US"/>
              </w:rPr>
            </w:pPr>
            <w:r>
              <w:rPr>
                <w:lang w:val="en-GB" w:eastAsia="en-US"/>
              </w:rPr>
              <w:t>A female patient with JOPD</w:t>
            </w:r>
          </w:p>
          <w:p w:rsidR="00103085" w:rsidRDefault="00103085" w:rsidP="00103085">
            <w:pPr>
              <w:pStyle w:val="Tabletext1"/>
              <w:rPr>
                <w:lang w:val="en-GB" w:eastAsia="en-US"/>
              </w:rPr>
            </w:pPr>
            <w:r>
              <w:rPr>
                <w:lang w:val="en-GB" w:eastAsia="en-US"/>
              </w:rPr>
              <w:t>Age of symptom onset (y): 15</w:t>
            </w:r>
          </w:p>
          <w:p w:rsidR="00103085" w:rsidRDefault="00103085" w:rsidP="00103085">
            <w:pPr>
              <w:pStyle w:val="Tabletext1"/>
              <w:rPr>
                <w:lang w:val="en-GB" w:eastAsia="en-US"/>
              </w:rPr>
            </w:pPr>
            <w:r>
              <w:rPr>
                <w:lang w:val="en-GB" w:eastAsia="en-US"/>
              </w:rPr>
              <w:t>Age at diagnosis (y): 21</w:t>
            </w:r>
          </w:p>
          <w:p w:rsidR="00103085" w:rsidRDefault="00103085" w:rsidP="00103085">
            <w:pPr>
              <w:pStyle w:val="Tabletext1"/>
              <w:rPr>
                <w:lang w:val="en-GB" w:eastAsia="en-US"/>
              </w:rPr>
            </w:pPr>
            <w:r>
              <w:rPr>
                <w:lang w:val="en-GB" w:eastAsia="en-US"/>
              </w:rPr>
              <w:t>Start of treatment (y): 37</w:t>
            </w:r>
          </w:p>
        </w:tc>
        <w:tc>
          <w:tcPr>
            <w:tcW w:w="2794" w:type="dxa"/>
          </w:tcPr>
          <w:p w:rsidR="00103085" w:rsidRDefault="00103085" w:rsidP="00103085">
            <w:pPr>
              <w:pStyle w:val="Tabletext1"/>
              <w:rPr>
                <w:lang w:val="en-GB" w:eastAsia="en-US"/>
              </w:rPr>
            </w:pPr>
            <w:r>
              <w:rPr>
                <w:lang w:val="en-GB" w:eastAsia="en-US"/>
              </w:rPr>
              <w:t>NA</w:t>
            </w:r>
          </w:p>
        </w:tc>
        <w:tc>
          <w:tcPr>
            <w:tcW w:w="1600" w:type="dxa"/>
          </w:tcPr>
          <w:p w:rsidR="00103085" w:rsidRDefault="00103085" w:rsidP="00103085">
            <w:pPr>
              <w:pStyle w:val="Tabletext1"/>
              <w:rPr>
                <w:lang w:val="en-GB" w:eastAsia="en-US"/>
              </w:rPr>
            </w:pPr>
            <w:r>
              <w:rPr>
                <w:lang w:val="en-GB" w:eastAsia="en-US"/>
              </w:rPr>
              <w:t>ERT (not described)</w:t>
            </w:r>
          </w:p>
        </w:tc>
        <w:tc>
          <w:tcPr>
            <w:tcW w:w="1847" w:type="dxa"/>
            <w:tcBorders>
              <w:right w:val="single" w:sz="4" w:space="0" w:color="auto"/>
            </w:tcBorders>
          </w:tcPr>
          <w:p w:rsidR="00103085" w:rsidRDefault="00103085" w:rsidP="00103085">
            <w:pPr>
              <w:pStyle w:val="Tabletext1"/>
              <w:rPr>
                <w:lang w:val="en-GB" w:eastAsia="en-US"/>
              </w:rPr>
            </w:pPr>
            <w:r>
              <w:rPr>
                <w:lang w:val="en-GB" w:eastAsia="en-US"/>
              </w:rPr>
              <w:t>Respiratory function</w:t>
            </w:r>
          </w:p>
          <w:p w:rsidR="00103085" w:rsidRDefault="00103085" w:rsidP="00103085">
            <w:pPr>
              <w:pStyle w:val="Tabletext1"/>
              <w:rPr>
                <w:lang w:val="en-GB" w:eastAsia="en-US"/>
              </w:rPr>
            </w:pPr>
            <w:r>
              <w:rPr>
                <w:lang w:val="en-GB" w:eastAsia="en-US"/>
              </w:rPr>
              <w:t>%VC</w:t>
            </w:r>
          </w:p>
          <w:p w:rsidR="00103085" w:rsidRDefault="00103085" w:rsidP="00103085">
            <w:pPr>
              <w:pStyle w:val="Tabletext1"/>
              <w:rPr>
                <w:lang w:val="en-GB" w:eastAsia="en-US"/>
              </w:rPr>
            </w:pPr>
            <w:r>
              <w:rPr>
                <w:lang w:val="en-GB" w:eastAsia="en-US"/>
              </w:rPr>
              <w:t>Muscle strength</w:t>
            </w:r>
          </w:p>
          <w:p w:rsidR="00103085" w:rsidRDefault="00103085" w:rsidP="00103085">
            <w:pPr>
              <w:pStyle w:val="Tabletext1"/>
              <w:rPr>
                <w:lang w:val="en-GB" w:eastAsia="en-US"/>
              </w:rPr>
            </w:pPr>
            <w:r>
              <w:rPr>
                <w:lang w:val="en-GB" w:eastAsia="en-US"/>
              </w:rPr>
              <w:t>Pinch power (N)</w:t>
            </w:r>
          </w:p>
          <w:p w:rsidR="00103085" w:rsidRDefault="00103085" w:rsidP="00103085">
            <w:pPr>
              <w:pStyle w:val="Tabletext1"/>
              <w:rPr>
                <w:lang w:val="en-GB" w:eastAsia="en-US"/>
              </w:rPr>
            </w:pPr>
          </w:p>
        </w:tc>
        <w:tc>
          <w:tcPr>
            <w:tcW w:w="1272" w:type="dxa"/>
            <w:tcBorders>
              <w:left w:val="single" w:sz="4" w:space="0" w:color="auto"/>
            </w:tcBorders>
          </w:tcPr>
          <w:p w:rsidR="00103085" w:rsidRDefault="00103085" w:rsidP="00103085">
            <w:pPr>
              <w:pStyle w:val="Tabletext1"/>
              <w:rPr>
                <w:lang w:val="en-GB" w:eastAsia="en-US"/>
              </w:rPr>
            </w:pPr>
            <w:r>
              <w:rPr>
                <w:lang w:val="en-GB" w:eastAsia="en-US"/>
              </w:rPr>
              <w:t>4 years</w:t>
            </w:r>
          </w:p>
        </w:tc>
        <w:tc>
          <w:tcPr>
            <w:tcW w:w="1394" w:type="dxa"/>
          </w:tcPr>
          <w:p w:rsidR="00103085" w:rsidRPr="00423400" w:rsidRDefault="00103085" w:rsidP="00103085">
            <w:pPr>
              <w:pStyle w:val="Tabletext1"/>
              <w:rPr>
                <w:lang w:val="en-GB" w:eastAsia="en-US"/>
              </w:rPr>
            </w:pPr>
          </w:p>
        </w:tc>
      </w:tr>
      <w:tr w:rsidR="00103085" w:rsidRPr="00423400" w:rsidTr="00103085">
        <w:trPr>
          <w:trHeight w:val="521"/>
        </w:trPr>
        <w:tc>
          <w:tcPr>
            <w:tcW w:w="1242" w:type="dxa"/>
          </w:tcPr>
          <w:p w:rsidR="00103085" w:rsidRDefault="00103085" w:rsidP="00103085">
            <w:pPr>
              <w:pStyle w:val="Tabletext1"/>
              <w:rPr>
                <w:lang w:val="en-GB" w:eastAsia="en-US"/>
              </w:rPr>
            </w:pPr>
            <w:r w:rsidRPr="00C2368C">
              <w:rPr>
                <w:noProof/>
                <w:lang w:val="en-GB" w:eastAsia="en-US"/>
              </w:rPr>
              <w:lastRenderedPageBreak/>
              <w:t>(</w:t>
            </w:r>
            <w:r w:rsidR="00184B6F" w:rsidRPr="00C2368C">
              <w:rPr>
                <w:noProof/>
                <w:lang w:val="en-GB" w:eastAsia="en-US"/>
              </w:rPr>
              <w:t>Fecarotta et al. 2013</w:t>
            </w:r>
            <w:r w:rsidRPr="00C2368C">
              <w:rPr>
                <w:noProof/>
                <w:lang w:val="en-GB" w:eastAsia="en-US"/>
              </w:rPr>
              <w:t>)</w:t>
            </w:r>
          </w:p>
          <w:p w:rsidR="00103085" w:rsidRDefault="00103085" w:rsidP="00103085">
            <w:pPr>
              <w:pStyle w:val="Tabletext1"/>
              <w:rPr>
                <w:lang w:val="en-GB" w:eastAsia="en-US"/>
              </w:rPr>
            </w:pPr>
            <w:r>
              <w:rPr>
                <w:lang w:val="en-GB" w:eastAsia="en-US"/>
              </w:rPr>
              <w:t>Italy</w:t>
            </w:r>
          </w:p>
        </w:tc>
        <w:tc>
          <w:tcPr>
            <w:tcW w:w="1418" w:type="dxa"/>
          </w:tcPr>
          <w:p w:rsidR="00103085" w:rsidRPr="00C2368C" w:rsidRDefault="00103085" w:rsidP="00103085">
            <w:pPr>
              <w:pStyle w:val="Tabletext1"/>
              <w:rPr>
                <w:lang w:val="en-GB" w:eastAsia="en-US"/>
              </w:rPr>
            </w:pPr>
            <w:r w:rsidRPr="00C2368C">
              <w:rPr>
                <w:lang w:val="en-GB" w:eastAsia="en-US"/>
              </w:rPr>
              <w:t>Case report</w:t>
            </w:r>
          </w:p>
          <w:p w:rsidR="00103085" w:rsidRDefault="00103085" w:rsidP="00103085">
            <w:pPr>
              <w:pStyle w:val="Tabletext1"/>
              <w:rPr>
                <w:lang w:val="en-GB" w:eastAsia="en-US"/>
              </w:rPr>
            </w:pPr>
            <w:r w:rsidRPr="00C2368C">
              <w:rPr>
                <w:lang w:val="en-GB" w:eastAsia="en-US"/>
              </w:rPr>
              <w:t>Quality; NA</w:t>
            </w:r>
          </w:p>
        </w:tc>
        <w:tc>
          <w:tcPr>
            <w:tcW w:w="2693" w:type="dxa"/>
          </w:tcPr>
          <w:p w:rsidR="00103085" w:rsidRDefault="00103085" w:rsidP="00103085">
            <w:pPr>
              <w:pStyle w:val="Tabletext1"/>
              <w:rPr>
                <w:lang w:val="en-GB" w:eastAsia="en-US"/>
              </w:rPr>
            </w:pPr>
            <w:r>
              <w:rPr>
                <w:lang w:val="en-GB" w:eastAsia="en-US"/>
              </w:rPr>
              <w:t>N=1</w:t>
            </w:r>
          </w:p>
          <w:p w:rsidR="00103085" w:rsidRDefault="00103085" w:rsidP="00103085">
            <w:pPr>
              <w:pStyle w:val="Tabletext1"/>
              <w:rPr>
                <w:lang w:val="en-GB" w:eastAsia="en-US"/>
              </w:rPr>
            </w:pPr>
            <w:r>
              <w:rPr>
                <w:lang w:val="en-GB" w:eastAsia="en-US"/>
              </w:rPr>
              <w:t>A boy who underwent diagnosis and treatment for JOPD</w:t>
            </w:r>
          </w:p>
          <w:p w:rsidR="00103085" w:rsidRDefault="00103085" w:rsidP="00103085">
            <w:pPr>
              <w:pStyle w:val="Tabletext1"/>
              <w:rPr>
                <w:lang w:val="en-GB" w:eastAsia="en-US"/>
              </w:rPr>
            </w:pPr>
            <w:r>
              <w:rPr>
                <w:lang w:val="en-GB" w:eastAsia="en-US"/>
              </w:rPr>
              <w:t>Age at symptom onset (y): 2</w:t>
            </w:r>
          </w:p>
          <w:p w:rsidR="00103085" w:rsidRDefault="00103085" w:rsidP="00103085">
            <w:pPr>
              <w:pStyle w:val="Tabletext1"/>
              <w:rPr>
                <w:lang w:val="en-GB" w:eastAsia="en-US"/>
              </w:rPr>
            </w:pPr>
            <w:r>
              <w:rPr>
                <w:lang w:val="en-GB" w:eastAsia="en-US"/>
              </w:rPr>
              <w:t>Age at diagnosis (y): 2.3</w:t>
            </w:r>
          </w:p>
          <w:p w:rsidR="00103085" w:rsidRDefault="00103085" w:rsidP="00103085">
            <w:pPr>
              <w:pStyle w:val="Tabletext1"/>
              <w:rPr>
                <w:lang w:val="en-GB" w:eastAsia="en-US"/>
              </w:rPr>
            </w:pPr>
            <w:r>
              <w:rPr>
                <w:lang w:val="en-GB" w:eastAsia="en-US"/>
              </w:rPr>
              <w:t>Start of treatment (y): 2.3</w:t>
            </w:r>
          </w:p>
          <w:p w:rsidR="00103085" w:rsidRDefault="00103085" w:rsidP="00103085">
            <w:pPr>
              <w:pStyle w:val="Tabletext1"/>
              <w:rPr>
                <w:lang w:val="en-GB" w:eastAsia="en-US"/>
              </w:rPr>
            </w:pPr>
          </w:p>
        </w:tc>
        <w:tc>
          <w:tcPr>
            <w:tcW w:w="2794" w:type="dxa"/>
          </w:tcPr>
          <w:p w:rsidR="00103085" w:rsidRDefault="00103085" w:rsidP="00103085">
            <w:pPr>
              <w:pStyle w:val="Tabletext1"/>
              <w:rPr>
                <w:lang w:val="en-GB" w:eastAsia="en-US"/>
              </w:rPr>
            </w:pPr>
            <w:r>
              <w:rPr>
                <w:lang w:val="en-GB" w:eastAsia="en-US"/>
              </w:rPr>
              <w:t>NA</w:t>
            </w:r>
          </w:p>
        </w:tc>
        <w:tc>
          <w:tcPr>
            <w:tcW w:w="1600" w:type="dxa"/>
          </w:tcPr>
          <w:p w:rsidR="00103085" w:rsidRDefault="00103085" w:rsidP="00103085">
            <w:pPr>
              <w:pStyle w:val="Tabletext1"/>
              <w:rPr>
                <w:lang w:val="en-GB" w:eastAsia="en-US"/>
              </w:rPr>
            </w:pPr>
            <w:r>
              <w:rPr>
                <w:lang w:val="en-GB" w:eastAsia="en-US"/>
              </w:rPr>
              <w:t>Alglucosidase alfa at 20 mg/kg biweekly</w:t>
            </w:r>
          </w:p>
        </w:tc>
        <w:tc>
          <w:tcPr>
            <w:tcW w:w="1847" w:type="dxa"/>
            <w:tcBorders>
              <w:right w:val="single" w:sz="4" w:space="0" w:color="auto"/>
            </w:tcBorders>
          </w:tcPr>
          <w:p w:rsidR="00103085" w:rsidRDefault="00103085" w:rsidP="00103085">
            <w:pPr>
              <w:pStyle w:val="Tabletext1"/>
              <w:rPr>
                <w:lang w:val="en-GB" w:eastAsia="en-US"/>
              </w:rPr>
            </w:pPr>
            <w:r>
              <w:rPr>
                <w:lang w:val="en-GB" w:eastAsia="en-US"/>
              </w:rPr>
              <w:t>Swallowing function (DSS, adapted by Gates et al, 2006)</w:t>
            </w:r>
          </w:p>
        </w:tc>
        <w:tc>
          <w:tcPr>
            <w:tcW w:w="1272" w:type="dxa"/>
            <w:tcBorders>
              <w:left w:val="single" w:sz="4" w:space="0" w:color="auto"/>
            </w:tcBorders>
          </w:tcPr>
          <w:p w:rsidR="00103085" w:rsidRDefault="00103085" w:rsidP="00103085">
            <w:pPr>
              <w:pStyle w:val="Tabletext1"/>
              <w:rPr>
                <w:lang w:val="en-GB" w:eastAsia="en-US"/>
              </w:rPr>
            </w:pPr>
            <w:r>
              <w:rPr>
                <w:lang w:val="en-GB" w:eastAsia="en-US"/>
              </w:rPr>
              <w:t>36 months</w:t>
            </w:r>
          </w:p>
        </w:tc>
        <w:tc>
          <w:tcPr>
            <w:tcW w:w="1394" w:type="dxa"/>
          </w:tcPr>
          <w:p w:rsidR="00103085" w:rsidRPr="00423400" w:rsidRDefault="00103085" w:rsidP="00103085">
            <w:pPr>
              <w:pStyle w:val="Tabletext1"/>
              <w:rPr>
                <w:lang w:val="en-GB" w:eastAsia="en-US"/>
              </w:rPr>
            </w:pPr>
          </w:p>
        </w:tc>
      </w:tr>
      <w:tr w:rsidR="00103085" w:rsidRPr="00423400" w:rsidTr="00103085">
        <w:trPr>
          <w:trHeight w:val="521"/>
        </w:trPr>
        <w:tc>
          <w:tcPr>
            <w:tcW w:w="1242" w:type="dxa"/>
          </w:tcPr>
          <w:p w:rsidR="00103085" w:rsidRPr="00C2368C" w:rsidRDefault="00103085" w:rsidP="00103085">
            <w:pPr>
              <w:pStyle w:val="Tabletext1"/>
              <w:rPr>
                <w:lang w:val="en-GB" w:eastAsia="en-US"/>
              </w:rPr>
            </w:pPr>
            <w:r w:rsidRPr="00C2368C">
              <w:rPr>
                <w:noProof/>
                <w:lang w:val="en-GB" w:eastAsia="en-US"/>
              </w:rPr>
              <w:t>(</w:t>
            </w:r>
            <w:r w:rsidR="00184B6F" w:rsidRPr="00C2368C">
              <w:rPr>
                <w:noProof/>
                <w:lang w:val="en-GB" w:eastAsia="en-US"/>
              </w:rPr>
              <w:t>Papadimas et al. 2011</w:t>
            </w:r>
            <w:r w:rsidRPr="00C2368C">
              <w:rPr>
                <w:noProof/>
                <w:lang w:val="en-GB" w:eastAsia="en-US"/>
              </w:rPr>
              <w:t>)</w:t>
            </w:r>
          </w:p>
          <w:p w:rsidR="00103085" w:rsidRPr="00AF3007" w:rsidRDefault="00103085" w:rsidP="00103085">
            <w:pPr>
              <w:pStyle w:val="Tabletext1"/>
              <w:rPr>
                <w:highlight w:val="yellow"/>
                <w:lang w:val="en-GB" w:eastAsia="en-US"/>
              </w:rPr>
            </w:pPr>
            <w:r w:rsidRPr="00C2368C">
              <w:rPr>
                <w:lang w:val="en-GB" w:eastAsia="en-US"/>
              </w:rPr>
              <w:t>Greece</w:t>
            </w:r>
          </w:p>
        </w:tc>
        <w:tc>
          <w:tcPr>
            <w:tcW w:w="1418" w:type="dxa"/>
          </w:tcPr>
          <w:p w:rsidR="00103085" w:rsidRPr="00AF3007" w:rsidRDefault="00103085" w:rsidP="00103085">
            <w:pPr>
              <w:pStyle w:val="Tabletext1"/>
              <w:rPr>
                <w:highlight w:val="yellow"/>
                <w:lang w:val="en-GB" w:eastAsia="en-US"/>
              </w:rPr>
            </w:pPr>
            <w:r w:rsidRPr="00C2368C">
              <w:rPr>
                <w:lang w:val="en-GB" w:eastAsia="en-US"/>
              </w:rPr>
              <w:t>Case reports</w:t>
            </w:r>
          </w:p>
        </w:tc>
        <w:tc>
          <w:tcPr>
            <w:tcW w:w="2693" w:type="dxa"/>
          </w:tcPr>
          <w:p w:rsidR="00103085" w:rsidRDefault="00103085" w:rsidP="00103085">
            <w:pPr>
              <w:pStyle w:val="Tabletext1"/>
              <w:rPr>
                <w:lang w:val="en-GB" w:eastAsia="en-US"/>
              </w:rPr>
            </w:pPr>
            <w:r>
              <w:rPr>
                <w:lang w:val="en-GB" w:eastAsia="en-US"/>
              </w:rPr>
              <w:t>N=2</w:t>
            </w:r>
          </w:p>
          <w:p w:rsidR="00103085" w:rsidRDefault="00103085" w:rsidP="00103085">
            <w:pPr>
              <w:pStyle w:val="Tabletext1"/>
              <w:rPr>
                <w:lang w:val="en-GB" w:eastAsia="en-US"/>
              </w:rPr>
            </w:pPr>
            <w:r>
              <w:rPr>
                <w:lang w:val="en-GB" w:eastAsia="en-US"/>
              </w:rPr>
              <w:t>Greek patients with late-onset Pompe disease</w:t>
            </w:r>
          </w:p>
          <w:p w:rsidR="006B5B63" w:rsidRDefault="006B5B63" w:rsidP="00103085">
            <w:pPr>
              <w:pStyle w:val="Tabletext1"/>
              <w:rPr>
                <w:lang w:val="en-GB" w:eastAsia="en-US"/>
              </w:rPr>
            </w:pPr>
          </w:p>
          <w:p w:rsidR="00103085" w:rsidRPr="00F41E11" w:rsidRDefault="00103085" w:rsidP="00103085">
            <w:pPr>
              <w:pStyle w:val="Tabletext1"/>
              <w:rPr>
                <w:lang w:val="en-GB" w:eastAsia="en-US"/>
              </w:rPr>
            </w:pPr>
            <w:r w:rsidRPr="00F41E11">
              <w:rPr>
                <w:lang w:val="en-GB" w:eastAsia="en-US"/>
              </w:rPr>
              <w:t>Patient 1</w:t>
            </w:r>
          </w:p>
          <w:p w:rsidR="00103085" w:rsidRDefault="00103085" w:rsidP="00103085">
            <w:pPr>
              <w:pStyle w:val="Tabletext1"/>
              <w:rPr>
                <w:lang w:val="en-GB" w:eastAsia="en-US"/>
              </w:rPr>
            </w:pPr>
            <w:r>
              <w:rPr>
                <w:lang w:val="en-GB" w:eastAsia="en-US"/>
              </w:rPr>
              <w:t>Age at symptom onset (y): 17</w:t>
            </w:r>
          </w:p>
          <w:p w:rsidR="00103085" w:rsidRDefault="00103085" w:rsidP="00103085">
            <w:pPr>
              <w:pStyle w:val="Tabletext1"/>
              <w:rPr>
                <w:lang w:val="en-GB" w:eastAsia="en-US"/>
              </w:rPr>
            </w:pPr>
            <w:r>
              <w:rPr>
                <w:lang w:val="en-GB" w:eastAsia="en-US"/>
              </w:rPr>
              <w:t>Age at diagnosis (y): 19</w:t>
            </w:r>
          </w:p>
          <w:p w:rsidR="00103085" w:rsidRDefault="00103085" w:rsidP="00103085">
            <w:pPr>
              <w:pStyle w:val="Tabletext1"/>
              <w:rPr>
                <w:lang w:val="en-GB" w:eastAsia="en-US"/>
              </w:rPr>
            </w:pPr>
            <w:r>
              <w:rPr>
                <w:lang w:val="en-GB" w:eastAsia="en-US"/>
              </w:rPr>
              <w:t>Start of treatment (y): 40</w:t>
            </w:r>
          </w:p>
          <w:p w:rsidR="006B5B63" w:rsidRDefault="006B5B63" w:rsidP="00103085">
            <w:pPr>
              <w:pStyle w:val="Tabletext1"/>
              <w:rPr>
                <w:lang w:val="en-GB" w:eastAsia="en-US"/>
              </w:rPr>
            </w:pPr>
          </w:p>
          <w:p w:rsidR="00103085" w:rsidRPr="00F41E11" w:rsidRDefault="00103085" w:rsidP="00103085">
            <w:pPr>
              <w:pStyle w:val="Tabletext1"/>
              <w:rPr>
                <w:lang w:val="en-GB" w:eastAsia="en-US"/>
              </w:rPr>
            </w:pPr>
            <w:r w:rsidRPr="00F41E11">
              <w:rPr>
                <w:lang w:val="en-GB" w:eastAsia="en-US"/>
              </w:rPr>
              <w:t>Patient 2</w:t>
            </w:r>
          </w:p>
          <w:p w:rsidR="00103085" w:rsidRDefault="00103085" w:rsidP="00103085">
            <w:pPr>
              <w:pStyle w:val="Tabletext1"/>
              <w:rPr>
                <w:lang w:val="en-GB" w:eastAsia="en-US"/>
              </w:rPr>
            </w:pPr>
            <w:r>
              <w:rPr>
                <w:lang w:val="en-GB" w:eastAsia="en-US"/>
              </w:rPr>
              <w:t>Age at symptom onset (y): 11</w:t>
            </w:r>
          </w:p>
          <w:p w:rsidR="00103085" w:rsidRDefault="00103085" w:rsidP="00103085">
            <w:pPr>
              <w:pStyle w:val="Tabletext1"/>
              <w:rPr>
                <w:lang w:val="en-GB" w:eastAsia="en-US"/>
              </w:rPr>
            </w:pPr>
            <w:r>
              <w:rPr>
                <w:lang w:val="en-GB" w:eastAsia="en-US"/>
              </w:rPr>
              <w:t>Age at diagnosis (y): 16</w:t>
            </w:r>
          </w:p>
          <w:p w:rsidR="00103085" w:rsidRDefault="00103085" w:rsidP="00103085">
            <w:pPr>
              <w:pStyle w:val="Tabletext1"/>
              <w:rPr>
                <w:lang w:val="en-GB" w:eastAsia="en-US"/>
              </w:rPr>
            </w:pPr>
            <w:r>
              <w:rPr>
                <w:lang w:val="en-GB" w:eastAsia="en-US"/>
              </w:rPr>
              <w:t>Start of treatment (y): 37</w:t>
            </w:r>
          </w:p>
        </w:tc>
        <w:tc>
          <w:tcPr>
            <w:tcW w:w="2794" w:type="dxa"/>
          </w:tcPr>
          <w:p w:rsidR="00103085" w:rsidRDefault="00103085" w:rsidP="00103085">
            <w:pPr>
              <w:pStyle w:val="Tabletext1"/>
              <w:rPr>
                <w:lang w:val="en-GB" w:eastAsia="en-US"/>
              </w:rPr>
            </w:pPr>
            <w:r>
              <w:rPr>
                <w:lang w:val="en-GB" w:eastAsia="en-US"/>
              </w:rPr>
              <w:t>NA</w:t>
            </w:r>
          </w:p>
        </w:tc>
        <w:tc>
          <w:tcPr>
            <w:tcW w:w="1600" w:type="dxa"/>
          </w:tcPr>
          <w:p w:rsidR="00103085" w:rsidRDefault="00103085" w:rsidP="00103085">
            <w:pPr>
              <w:pStyle w:val="Tabletext1"/>
              <w:rPr>
                <w:lang w:val="en-GB" w:eastAsia="en-US"/>
              </w:rPr>
            </w:pPr>
            <w:r>
              <w:rPr>
                <w:lang w:val="en-GB" w:eastAsia="en-US"/>
              </w:rPr>
              <w:t>Alglucosidase alfa at 20 mg/kg biweekly</w:t>
            </w:r>
          </w:p>
        </w:tc>
        <w:tc>
          <w:tcPr>
            <w:tcW w:w="1847" w:type="dxa"/>
            <w:tcBorders>
              <w:right w:val="single" w:sz="4" w:space="0" w:color="auto"/>
            </w:tcBorders>
          </w:tcPr>
          <w:p w:rsidR="00103085" w:rsidRDefault="00103085" w:rsidP="00103085">
            <w:pPr>
              <w:pStyle w:val="Tabletext1"/>
              <w:rPr>
                <w:lang w:val="en-GB" w:eastAsia="en-US"/>
              </w:rPr>
            </w:pPr>
            <w:r>
              <w:rPr>
                <w:lang w:val="en-GB" w:eastAsia="en-US"/>
              </w:rPr>
              <w:t>Respiratory function</w:t>
            </w:r>
          </w:p>
          <w:p w:rsidR="00103085" w:rsidRDefault="00103085" w:rsidP="00103085">
            <w:pPr>
              <w:pStyle w:val="Tabletext1"/>
              <w:rPr>
                <w:lang w:val="en-GB" w:eastAsia="en-US"/>
              </w:rPr>
            </w:pPr>
            <w:r>
              <w:rPr>
                <w:lang w:val="en-GB" w:eastAsia="en-US"/>
              </w:rPr>
              <w:t>VC (%)</w:t>
            </w:r>
          </w:p>
          <w:p w:rsidR="00103085" w:rsidRDefault="00103085" w:rsidP="00103085">
            <w:pPr>
              <w:pStyle w:val="Tabletext1"/>
              <w:rPr>
                <w:lang w:val="en-GB" w:eastAsia="en-US"/>
              </w:rPr>
            </w:pPr>
            <w:r>
              <w:rPr>
                <w:lang w:val="en-GB" w:eastAsia="en-US"/>
              </w:rPr>
              <w:t>FEV1 (%)</w:t>
            </w:r>
          </w:p>
          <w:p w:rsidR="00103085" w:rsidRDefault="00103085" w:rsidP="00103085">
            <w:pPr>
              <w:pStyle w:val="Tabletext1"/>
              <w:rPr>
                <w:lang w:val="en-GB" w:eastAsia="en-US"/>
              </w:rPr>
            </w:pPr>
            <w:r>
              <w:rPr>
                <w:lang w:val="en-GB" w:eastAsia="en-US"/>
              </w:rPr>
              <w:t>Fatigue (FSS)</w:t>
            </w:r>
          </w:p>
        </w:tc>
        <w:tc>
          <w:tcPr>
            <w:tcW w:w="1272" w:type="dxa"/>
            <w:tcBorders>
              <w:left w:val="single" w:sz="4" w:space="0" w:color="auto"/>
            </w:tcBorders>
          </w:tcPr>
          <w:p w:rsidR="00103085" w:rsidRDefault="00103085" w:rsidP="00103085">
            <w:pPr>
              <w:pStyle w:val="Tabletext1"/>
              <w:rPr>
                <w:lang w:val="en-GB" w:eastAsia="en-US"/>
              </w:rPr>
            </w:pPr>
            <w:r>
              <w:rPr>
                <w:lang w:val="en-GB" w:eastAsia="en-US"/>
              </w:rPr>
              <w:t>3 years</w:t>
            </w:r>
          </w:p>
        </w:tc>
        <w:tc>
          <w:tcPr>
            <w:tcW w:w="1394" w:type="dxa"/>
          </w:tcPr>
          <w:p w:rsidR="00103085" w:rsidRPr="00423400" w:rsidRDefault="00103085" w:rsidP="00103085">
            <w:pPr>
              <w:pStyle w:val="Tabletext1"/>
              <w:rPr>
                <w:lang w:val="en-GB" w:eastAsia="en-US"/>
              </w:rPr>
            </w:pPr>
            <w:r>
              <w:rPr>
                <w:lang w:val="en-GB" w:eastAsia="en-US"/>
              </w:rPr>
              <w:t>Respiratory function and Fatigue not measured in patient 1 due to patient’s disabilities.</w:t>
            </w:r>
          </w:p>
        </w:tc>
      </w:tr>
    </w:tbl>
    <w:p w:rsidR="00103085" w:rsidRPr="00103085" w:rsidRDefault="00103085" w:rsidP="00103085">
      <w:pPr>
        <w:rPr>
          <w:lang w:eastAsia="en-AU"/>
        </w:rPr>
      </w:pPr>
    </w:p>
    <w:p w:rsidR="00E57B1B" w:rsidRDefault="00B17A59" w:rsidP="00D60032">
      <w:pPr>
        <w:pStyle w:val="Heading2"/>
        <w:numPr>
          <w:ilvl w:val="0"/>
          <w:numId w:val="0"/>
        </w:numPr>
      </w:pPr>
      <w:bookmarkStart w:id="1140" w:name="_Toc415141790"/>
      <w:r w:rsidRPr="003F3F2D">
        <w:lastRenderedPageBreak/>
        <w:t>Medicines to treat MPS I, II, VI</w:t>
      </w:r>
      <w:bookmarkEnd w:id="1140"/>
    </w:p>
    <w:p w:rsidR="00FF35CB" w:rsidRPr="00FF35CB" w:rsidRDefault="00FF35CB" w:rsidP="00FF35CB">
      <w:pPr>
        <w:pStyle w:val="Heading3"/>
        <w:rPr>
          <w:lang w:eastAsia="en-AU"/>
        </w:rPr>
      </w:pPr>
      <w:r>
        <w:rPr>
          <w:lang w:eastAsia="en-AU"/>
        </w:rPr>
        <w:t>Laronidase</w:t>
      </w:r>
    </w:p>
    <w:p w:rsidR="00E57B1B" w:rsidRPr="00E57B1B" w:rsidRDefault="00E57B1B" w:rsidP="0096216D">
      <w:pPr>
        <w:pStyle w:val="Caption"/>
        <w:keepNext/>
        <w:tabs>
          <w:tab w:val="clear" w:pos="851"/>
          <w:tab w:val="left" w:pos="1276"/>
        </w:tabs>
        <w:rPr>
          <w:lang w:eastAsia="en-AU"/>
        </w:rPr>
      </w:pPr>
      <w:bookmarkStart w:id="1141" w:name="_Toc411510528"/>
      <w:bookmarkStart w:id="1142" w:name="_Toc415141958"/>
      <w:r w:rsidRPr="00303A35">
        <w:t xml:space="preserve">Table </w:t>
      </w:r>
      <w:r w:rsidR="00A72B26">
        <w:rPr>
          <w:noProof/>
        </w:rPr>
        <w:t>161</w:t>
      </w:r>
      <w:r w:rsidRPr="00303A35">
        <w:t xml:space="preserve"> </w:t>
      </w:r>
      <w:r w:rsidR="0096216D">
        <w:tab/>
      </w:r>
      <w:r w:rsidRPr="00303A35">
        <w:t>Study profiles</w:t>
      </w:r>
      <w:r>
        <w:t xml:space="preserve"> for studies on </w:t>
      </w:r>
      <w:r w:rsidR="00E66055">
        <w:t>laronidase</w:t>
      </w:r>
      <w:r>
        <w:t xml:space="preserve"> for MPS I</w:t>
      </w:r>
      <w:bookmarkEnd w:id="1141"/>
      <w:bookmarkEnd w:id="1142"/>
    </w:p>
    <w:tbl>
      <w:tblPr>
        <w:tblStyle w:val="TableGrid"/>
        <w:tblW w:w="14260" w:type="dxa"/>
        <w:tblLook w:val="04A0" w:firstRow="1" w:lastRow="0" w:firstColumn="1" w:lastColumn="0" w:noHBand="0" w:noVBand="1"/>
        <w:tblCaption w:val="Table 124  Study profiles for studies on laronisdase for MPS I"/>
      </w:tblPr>
      <w:tblGrid>
        <w:gridCol w:w="959"/>
        <w:gridCol w:w="1559"/>
        <w:gridCol w:w="3119"/>
        <w:gridCol w:w="2858"/>
        <w:gridCol w:w="1574"/>
        <w:gridCol w:w="1794"/>
        <w:gridCol w:w="958"/>
        <w:gridCol w:w="1439"/>
      </w:tblGrid>
      <w:tr w:rsidR="00B17A59" w:rsidRPr="00F1301E" w:rsidTr="00331C22">
        <w:trPr>
          <w:tblHeader/>
        </w:trPr>
        <w:tc>
          <w:tcPr>
            <w:tcW w:w="959" w:type="dxa"/>
          </w:tcPr>
          <w:p w:rsidR="00B17A59" w:rsidRPr="0084450C" w:rsidRDefault="00B17A59" w:rsidP="0084450C">
            <w:pPr>
              <w:pStyle w:val="TableHeading"/>
            </w:pPr>
            <w:r w:rsidRPr="0084450C">
              <w:t>Author (Year) / Country</w:t>
            </w:r>
          </w:p>
        </w:tc>
        <w:tc>
          <w:tcPr>
            <w:tcW w:w="1559" w:type="dxa"/>
          </w:tcPr>
          <w:p w:rsidR="00B17A59" w:rsidRPr="0084450C" w:rsidRDefault="00B17A59" w:rsidP="0084450C">
            <w:pPr>
              <w:pStyle w:val="TableHeading"/>
            </w:pPr>
            <w:r w:rsidRPr="0084450C">
              <w:t>Study Design/ Level of Evidence/ Type of analysis/</w:t>
            </w:r>
          </w:p>
          <w:p w:rsidR="00B17A59" w:rsidRPr="0084450C" w:rsidRDefault="00B17A59" w:rsidP="0084450C">
            <w:pPr>
              <w:pStyle w:val="TableHeading"/>
            </w:pPr>
            <w:r w:rsidRPr="0084450C">
              <w:t>Risk of bias</w:t>
            </w:r>
          </w:p>
        </w:tc>
        <w:tc>
          <w:tcPr>
            <w:tcW w:w="3119" w:type="dxa"/>
          </w:tcPr>
          <w:p w:rsidR="00B17A59" w:rsidRPr="0084450C" w:rsidRDefault="00B17A59" w:rsidP="0084450C">
            <w:pPr>
              <w:pStyle w:val="TableHeading"/>
            </w:pPr>
            <w:r w:rsidRPr="0084450C">
              <w:t>Study sample characteristics</w:t>
            </w:r>
          </w:p>
        </w:tc>
        <w:tc>
          <w:tcPr>
            <w:tcW w:w="2858" w:type="dxa"/>
          </w:tcPr>
          <w:p w:rsidR="00B17A59" w:rsidRPr="0084450C" w:rsidRDefault="00B17A59" w:rsidP="0084450C">
            <w:pPr>
              <w:pStyle w:val="TableHeading"/>
            </w:pPr>
            <w:r w:rsidRPr="0084450C">
              <w:t>Eligibility criteria</w:t>
            </w:r>
          </w:p>
        </w:tc>
        <w:tc>
          <w:tcPr>
            <w:tcW w:w="1574" w:type="dxa"/>
          </w:tcPr>
          <w:p w:rsidR="00B17A59" w:rsidRPr="0084450C" w:rsidRDefault="00B17A59" w:rsidP="0084450C">
            <w:pPr>
              <w:pStyle w:val="TableHeading"/>
            </w:pPr>
            <w:r w:rsidRPr="0084450C">
              <w:t>Intervention drug treatment details</w:t>
            </w:r>
          </w:p>
          <w:p w:rsidR="00B17A59" w:rsidRPr="0084450C" w:rsidRDefault="00B17A59" w:rsidP="0084450C">
            <w:pPr>
              <w:pStyle w:val="TableHeading"/>
            </w:pPr>
            <w:r w:rsidRPr="0084450C">
              <w:t>Comparator drugs treatment details</w:t>
            </w:r>
          </w:p>
        </w:tc>
        <w:tc>
          <w:tcPr>
            <w:tcW w:w="1794" w:type="dxa"/>
            <w:tcBorders>
              <w:right w:val="single" w:sz="4" w:space="0" w:color="auto"/>
            </w:tcBorders>
          </w:tcPr>
          <w:p w:rsidR="00B17A59" w:rsidRPr="0084450C" w:rsidRDefault="00B17A59" w:rsidP="0084450C">
            <w:pPr>
              <w:pStyle w:val="TableHeading"/>
            </w:pPr>
            <w:r w:rsidRPr="0084450C">
              <w:t>Outcomes reported (relevant to the review) / measurement tools and scale</w:t>
            </w:r>
          </w:p>
        </w:tc>
        <w:tc>
          <w:tcPr>
            <w:tcW w:w="958" w:type="dxa"/>
            <w:tcBorders>
              <w:left w:val="single" w:sz="4" w:space="0" w:color="auto"/>
            </w:tcBorders>
          </w:tcPr>
          <w:p w:rsidR="00B17A59" w:rsidRPr="0084450C" w:rsidRDefault="00B17A59" w:rsidP="0084450C">
            <w:pPr>
              <w:pStyle w:val="TableHeading"/>
            </w:pPr>
            <w:r w:rsidRPr="0084450C">
              <w:t>Duration of follow-up</w:t>
            </w:r>
          </w:p>
        </w:tc>
        <w:tc>
          <w:tcPr>
            <w:tcW w:w="1439" w:type="dxa"/>
          </w:tcPr>
          <w:p w:rsidR="00B17A59" w:rsidRPr="0084450C" w:rsidRDefault="00B17A59" w:rsidP="0084450C">
            <w:pPr>
              <w:pStyle w:val="TableHeading"/>
            </w:pPr>
            <w:r w:rsidRPr="0084450C">
              <w:t>Comments</w:t>
            </w:r>
          </w:p>
        </w:tc>
      </w:tr>
      <w:tr w:rsidR="00B17A59" w:rsidRPr="00F1301E" w:rsidTr="00FF35CB">
        <w:tc>
          <w:tcPr>
            <w:tcW w:w="959" w:type="dxa"/>
          </w:tcPr>
          <w:p w:rsidR="00B17A59" w:rsidRPr="0084450C" w:rsidRDefault="00B05798" w:rsidP="00E965BD">
            <w:pPr>
              <w:pStyle w:val="TableText0"/>
            </w:pPr>
            <w:r>
              <w:rPr>
                <w:noProof/>
              </w:rPr>
              <w:t>(</w:t>
            </w:r>
            <w:r w:rsidR="00184B6F">
              <w:rPr>
                <w:noProof/>
              </w:rPr>
              <w:t>Wraith, J. E. et al. 2004</w:t>
            </w:r>
            <w:r>
              <w:rPr>
                <w:noProof/>
              </w:rPr>
              <w:t>)</w:t>
            </w:r>
          </w:p>
          <w:p w:rsidR="00B17A59" w:rsidRPr="0084450C" w:rsidRDefault="00B17A59" w:rsidP="00E965BD">
            <w:pPr>
              <w:pStyle w:val="TableText0"/>
            </w:pPr>
            <w:r w:rsidRPr="0084450C">
              <w:t>UK, Canada, US</w:t>
            </w:r>
          </w:p>
        </w:tc>
        <w:tc>
          <w:tcPr>
            <w:tcW w:w="1559" w:type="dxa"/>
          </w:tcPr>
          <w:p w:rsidR="00B17A59" w:rsidRPr="0084450C" w:rsidRDefault="00B17A59" w:rsidP="00E965BD">
            <w:pPr>
              <w:pStyle w:val="TableText0"/>
            </w:pPr>
            <w:r w:rsidRPr="0084450C">
              <w:t>RCT</w:t>
            </w:r>
          </w:p>
          <w:p w:rsidR="00B17A59" w:rsidRPr="0084450C" w:rsidRDefault="00B17A59" w:rsidP="00E965BD">
            <w:pPr>
              <w:pStyle w:val="TableText0"/>
            </w:pPr>
            <w:r w:rsidRPr="0084450C">
              <w:t>Level II evidence</w:t>
            </w:r>
          </w:p>
          <w:p w:rsidR="00B17A59" w:rsidRPr="0084450C" w:rsidRDefault="00B17A59" w:rsidP="00E965BD">
            <w:pPr>
              <w:pStyle w:val="TableText0"/>
            </w:pPr>
            <w:r w:rsidRPr="0084450C">
              <w:t>Superiority analysis</w:t>
            </w:r>
          </w:p>
          <w:p w:rsidR="00B17A59" w:rsidRPr="0084450C" w:rsidRDefault="00B17A59" w:rsidP="00E965BD">
            <w:pPr>
              <w:pStyle w:val="TableText0"/>
            </w:pPr>
            <w:r w:rsidRPr="0084450C">
              <w:t>Low risk of bias</w:t>
            </w:r>
          </w:p>
          <w:p w:rsidR="00B17A59" w:rsidRPr="00B7451B" w:rsidRDefault="00B17A59" w:rsidP="00E965BD">
            <w:pPr>
              <w:pStyle w:val="TableText0"/>
            </w:pPr>
          </w:p>
        </w:tc>
        <w:tc>
          <w:tcPr>
            <w:tcW w:w="3119" w:type="dxa"/>
          </w:tcPr>
          <w:p w:rsidR="00B17A59" w:rsidRPr="0084450C" w:rsidRDefault="00B17A59" w:rsidP="00E965BD">
            <w:pPr>
              <w:pStyle w:val="TableText0"/>
            </w:pPr>
            <w:r w:rsidRPr="0084450C">
              <w:t>N</w:t>
            </w:r>
            <w:r w:rsidR="00652355" w:rsidRPr="00652355">
              <w:rPr>
                <w:spacing w:val="-20"/>
              </w:rPr>
              <w:t xml:space="preserve"> = </w:t>
            </w:r>
            <w:r w:rsidRPr="0084450C">
              <w:t>45 patients with MPS I</w:t>
            </w:r>
          </w:p>
          <w:p w:rsidR="00B17A59" w:rsidRPr="0084450C" w:rsidRDefault="00B17A59" w:rsidP="00E965BD">
            <w:pPr>
              <w:pStyle w:val="TableText0"/>
              <w:rPr>
                <w:u w:val="single"/>
              </w:rPr>
            </w:pPr>
            <w:r w:rsidRPr="0084450C">
              <w:rPr>
                <w:u w:val="single"/>
              </w:rPr>
              <w:t>Intervention</w:t>
            </w:r>
          </w:p>
          <w:p w:rsidR="00B17A59" w:rsidRPr="0084450C" w:rsidRDefault="00B17A59" w:rsidP="00E965BD">
            <w:pPr>
              <w:pStyle w:val="TableText0"/>
            </w:pPr>
            <w:r w:rsidRPr="0084450C">
              <w:t xml:space="preserve">Male:female, n </w:t>
            </w:r>
            <w:r w:rsidR="00652355" w:rsidRPr="00652355">
              <w:rPr>
                <w:spacing w:val="-20"/>
              </w:rPr>
              <w:t xml:space="preserve"> = </w:t>
            </w:r>
            <w:r w:rsidRPr="0084450C">
              <w:t xml:space="preserve"> 11:11</w:t>
            </w:r>
          </w:p>
          <w:p w:rsidR="00B17A59" w:rsidRPr="0084450C" w:rsidRDefault="00B17A59" w:rsidP="00E965BD">
            <w:pPr>
              <w:pStyle w:val="TableText0"/>
            </w:pPr>
            <w:r w:rsidRPr="0084450C">
              <w:t xml:space="preserve">Mean age </w:t>
            </w:r>
            <w:r w:rsidR="00652355" w:rsidRPr="00652355">
              <w:rPr>
                <w:spacing w:val="-20"/>
              </w:rPr>
              <w:t xml:space="preserve"> = </w:t>
            </w:r>
            <w:r w:rsidRPr="0084450C">
              <w:t xml:space="preserve"> 15.6 years (range 7 – 43)</w:t>
            </w:r>
          </w:p>
          <w:p w:rsidR="00B17A59" w:rsidRPr="0084450C" w:rsidRDefault="00B17A59" w:rsidP="00E965BD">
            <w:pPr>
              <w:pStyle w:val="TableText0"/>
            </w:pPr>
            <w:r w:rsidRPr="0084450C">
              <w:t xml:space="preserve">Mean weight </w:t>
            </w:r>
            <w:r w:rsidR="00652355" w:rsidRPr="00652355">
              <w:rPr>
                <w:spacing w:val="-20"/>
              </w:rPr>
              <w:t xml:space="preserve"> = </w:t>
            </w:r>
            <w:r w:rsidRPr="0084450C">
              <w:t xml:space="preserve"> 35.3 kg</w:t>
            </w:r>
          </w:p>
          <w:p w:rsidR="00B17A59" w:rsidRPr="0084450C" w:rsidRDefault="00B17A59" w:rsidP="00E965BD">
            <w:pPr>
              <w:pStyle w:val="TableText0"/>
            </w:pPr>
            <w:r w:rsidRPr="0084450C">
              <w:t>16 White (73%)</w:t>
            </w:r>
          </w:p>
          <w:p w:rsidR="00B17A59" w:rsidRPr="0084450C" w:rsidRDefault="00B17A59" w:rsidP="00E965BD">
            <w:pPr>
              <w:pStyle w:val="TableText0"/>
            </w:pPr>
            <w:r w:rsidRPr="0084450C">
              <w:t>0/22 Hurler</w:t>
            </w:r>
          </w:p>
          <w:p w:rsidR="00B17A59" w:rsidRPr="0084450C" w:rsidRDefault="00B17A59" w:rsidP="00E965BD">
            <w:pPr>
              <w:pStyle w:val="TableText0"/>
            </w:pPr>
            <w:r w:rsidRPr="0084450C">
              <w:t>18/22 Hurler-Scheie (82%)</w:t>
            </w:r>
          </w:p>
          <w:p w:rsidR="00B17A59" w:rsidRPr="0084450C" w:rsidRDefault="00B17A59" w:rsidP="00E965BD">
            <w:pPr>
              <w:pStyle w:val="TableText0"/>
            </w:pPr>
            <w:r w:rsidRPr="0084450C">
              <w:t>4/22 Scheie (18%)</w:t>
            </w:r>
          </w:p>
          <w:p w:rsidR="00B17A59" w:rsidRPr="0084450C" w:rsidRDefault="00B17A59" w:rsidP="00E965BD">
            <w:pPr>
              <w:pStyle w:val="TableText0"/>
              <w:rPr>
                <w:u w:val="single"/>
              </w:rPr>
            </w:pPr>
            <w:r w:rsidRPr="0084450C">
              <w:rPr>
                <w:u w:val="single"/>
              </w:rPr>
              <w:t>Comparator</w:t>
            </w:r>
          </w:p>
          <w:p w:rsidR="00B17A59" w:rsidRPr="0084450C" w:rsidRDefault="00B17A59" w:rsidP="00E965BD">
            <w:pPr>
              <w:pStyle w:val="TableText0"/>
            </w:pPr>
            <w:r w:rsidRPr="0084450C">
              <w:t xml:space="preserve">Male:female, n </w:t>
            </w:r>
            <w:r w:rsidR="00652355" w:rsidRPr="00652355">
              <w:rPr>
                <w:spacing w:val="-20"/>
              </w:rPr>
              <w:t xml:space="preserve"> = </w:t>
            </w:r>
            <w:r w:rsidRPr="0084450C">
              <w:t xml:space="preserve"> 11:12</w:t>
            </w:r>
          </w:p>
          <w:p w:rsidR="00B17A59" w:rsidRPr="0084450C" w:rsidRDefault="00B17A59" w:rsidP="00E965BD">
            <w:pPr>
              <w:pStyle w:val="TableText0"/>
            </w:pPr>
            <w:r w:rsidRPr="0084450C">
              <w:t xml:space="preserve">Mean age </w:t>
            </w:r>
            <w:r w:rsidR="00652355" w:rsidRPr="00652355">
              <w:rPr>
                <w:spacing w:val="-20"/>
              </w:rPr>
              <w:t xml:space="preserve"> = </w:t>
            </w:r>
            <w:r w:rsidRPr="0084450C">
              <w:t xml:space="preserve"> 15.4 years (range 6 – 39)</w:t>
            </w:r>
          </w:p>
          <w:p w:rsidR="00B17A59" w:rsidRPr="0084450C" w:rsidRDefault="00B17A59" w:rsidP="00E965BD">
            <w:pPr>
              <w:pStyle w:val="TableText0"/>
            </w:pPr>
            <w:r w:rsidRPr="0084450C">
              <w:t xml:space="preserve">Mean weight </w:t>
            </w:r>
            <w:r w:rsidR="00652355" w:rsidRPr="00652355">
              <w:rPr>
                <w:spacing w:val="-20"/>
              </w:rPr>
              <w:t xml:space="preserve"> = </w:t>
            </w:r>
            <w:r w:rsidRPr="0084450C">
              <w:t xml:space="preserve"> 40.3 kg</w:t>
            </w:r>
          </w:p>
          <w:p w:rsidR="00B17A59" w:rsidRPr="0084450C" w:rsidRDefault="00B17A59" w:rsidP="00E965BD">
            <w:pPr>
              <w:pStyle w:val="TableText0"/>
            </w:pPr>
            <w:r w:rsidRPr="0084450C">
              <w:t>21 white (91%)</w:t>
            </w:r>
          </w:p>
          <w:p w:rsidR="00B17A59" w:rsidRPr="0084450C" w:rsidRDefault="00B17A59" w:rsidP="00E965BD">
            <w:pPr>
              <w:pStyle w:val="TableText0"/>
            </w:pPr>
            <w:r w:rsidRPr="0084450C">
              <w:t>1/23 Hurler (4%)</w:t>
            </w:r>
          </w:p>
          <w:p w:rsidR="00B17A59" w:rsidRPr="0084450C" w:rsidRDefault="00B17A59" w:rsidP="00E965BD">
            <w:pPr>
              <w:pStyle w:val="TableText0"/>
            </w:pPr>
            <w:r w:rsidRPr="0084450C">
              <w:t>19/23 Hurler-Scheie (83%)</w:t>
            </w:r>
          </w:p>
          <w:p w:rsidR="00B17A59" w:rsidRPr="0084450C" w:rsidRDefault="00B17A59" w:rsidP="00E965BD">
            <w:pPr>
              <w:pStyle w:val="TableText0"/>
            </w:pPr>
            <w:r w:rsidRPr="0084450C">
              <w:t>3/23 Scheie (13%)</w:t>
            </w:r>
          </w:p>
        </w:tc>
        <w:tc>
          <w:tcPr>
            <w:tcW w:w="2858" w:type="dxa"/>
          </w:tcPr>
          <w:p w:rsidR="00B17A59" w:rsidRPr="0084450C" w:rsidRDefault="00B17A59" w:rsidP="00E965BD">
            <w:pPr>
              <w:pStyle w:val="TableText0"/>
              <w:rPr>
                <w:u w:val="single"/>
              </w:rPr>
            </w:pPr>
            <w:r w:rsidRPr="0084450C">
              <w:rPr>
                <w:u w:val="single"/>
              </w:rPr>
              <w:t>Inclusion</w:t>
            </w:r>
          </w:p>
          <w:p w:rsidR="00B17A59" w:rsidRPr="0084450C" w:rsidRDefault="00B17A59" w:rsidP="00E965BD">
            <w:pPr>
              <w:pStyle w:val="TableText0"/>
            </w:pPr>
            <w:r w:rsidRPr="0084450C">
              <w:t xml:space="preserve">At least 5 years old, have MPS I, confirmed by clinical disease and fibroblast or leukocyte activity. Able to perform a forced vital capacity manoeuvre ≤80% of normal. Able to stand independently and walk a minimum of 5 metres in 6 minutes. </w:t>
            </w:r>
          </w:p>
          <w:p w:rsidR="00B17A59" w:rsidRPr="0084450C" w:rsidRDefault="00B17A59" w:rsidP="00E965BD">
            <w:pPr>
              <w:pStyle w:val="TableText0"/>
              <w:rPr>
                <w:u w:val="single"/>
              </w:rPr>
            </w:pPr>
            <w:r w:rsidRPr="0084450C">
              <w:rPr>
                <w:u w:val="single"/>
              </w:rPr>
              <w:t>Exclusion</w:t>
            </w:r>
          </w:p>
          <w:p w:rsidR="00B17A59" w:rsidRPr="0084450C" w:rsidRDefault="00B17A59" w:rsidP="00E57B1B">
            <w:pPr>
              <w:pStyle w:val="TableText0"/>
            </w:pPr>
            <w:r w:rsidRPr="0084450C">
              <w:t xml:space="preserve">Prior tracheostomy or bone marrow transplant, pregnancy or lactation, administration of any investigational drug in previous 30 days, medical condition or other that would influence compliance, or known hypersensitivity to laronidase or components of laronidase or placebo. </w:t>
            </w:r>
          </w:p>
        </w:tc>
        <w:tc>
          <w:tcPr>
            <w:tcW w:w="1574" w:type="dxa"/>
          </w:tcPr>
          <w:p w:rsidR="00B17A59" w:rsidRPr="0084450C" w:rsidRDefault="00B17A59" w:rsidP="00E965BD">
            <w:pPr>
              <w:pStyle w:val="TableText0"/>
              <w:rPr>
                <w:u w:val="single"/>
              </w:rPr>
            </w:pPr>
            <w:r w:rsidRPr="0084450C">
              <w:rPr>
                <w:u w:val="single"/>
              </w:rPr>
              <w:t>Intervention</w:t>
            </w:r>
          </w:p>
          <w:p w:rsidR="00B17A59" w:rsidRPr="0084450C" w:rsidRDefault="00B17A59" w:rsidP="00E965BD">
            <w:pPr>
              <w:pStyle w:val="TableText0"/>
            </w:pPr>
            <w:r w:rsidRPr="0084450C">
              <w:t>ITT n</w:t>
            </w:r>
            <w:r w:rsidR="00652355" w:rsidRPr="00652355">
              <w:rPr>
                <w:spacing w:val="-20"/>
              </w:rPr>
              <w:t xml:space="preserve"> = </w:t>
            </w:r>
            <w:r w:rsidRPr="0084450C">
              <w:t>22</w:t>
            </w:r>
          </w:p>
          <w:p w:rsidR="00B17A59" w:rsidRPr="0084450C" w:rsidRDefault="00B17A59" w:rsidP="00E965BD">
            <w:pPr>
              <w:pStyle w:val="TableText0"/>
            </w:pPr>
            <w:r w:rsidRPr="0084450C">
              <w:t>LTF</w:t>
            </w:r>
            <w:r w:rsidR="00652355" w:rsidRPr="00652355">
              <w:rPr>
                <w:spacing w:val="-20"/>
              </w:rPr>
              <w:t xml:space="preserve"> = </w:t>
            </w:r>
            <w:r w:rsidRPr="0084450C">
              <w:t>0/22</w:t>
            </w:r>
          </w:p>
          <w:p w:rsidR="00B17A59" w:rsidRPr="0084450C" w:rsidRDefault="00B17A59" w:rsidP="00E965BD">
            <w:pPr>
              <w:pStyle w:val="TableText0"/>
            </w:pPr>
            <w:r w:rsidRPr="0084450C">
              <w:t>Laronidase 100 U/kg (0.58 mg/kg) intravenously weekly for 26 weeks</w:t>
            </w:r>
          </w:p>
          <w:p w:rsidR="00B17A59" w:rsidRPr="0084450C" w:rsidRDefault="00B17A59" w:rsidP="00E965BD">
            <w:pPr>
              <w:pStyle w:val="TableText0"/>
              <w:rPr>
                <w:u w:val="single"/>
              </w:rPr>
            </w:pPr>
            <w:r w:rsidRPr="0084450C">
              <w:rPr>
                <w:u w:val="single"/>
              </w:rPr>
              <w:t>Comparator</w:t>
            </w:r>
          </w:p>
          <w:p w:rsidR="00B17A59" w:rsidRPr="0084450C" w:rsidRDefault="00B17A59" w:rsidP="00E965BD">
            <w:pPr>
              <w:pStyle w:val="TableText0"/>
            </w:pPr>
            <w:r w:rsidRPr="0084450C">
              <w:t>ITT n</w:t>
            </w:r>
            <w:r w:rsidR="00652355" w:rsidRPr="00652355">
              <w:rPr>
                <w:spacing w:val="-20"/>
              </w:rPr>
              <w:t xml:space="preserve"> = </w:t>
            </w:r>
            <w:r w:rsidRPr="0084450C">
              <w:t>23</w:t>
            </w:r>
          </w:p>
          <w:p w:rsidR="00B17A59" w:rsidRPr="0084450C" w:rsidRDefault="00B17A59" w:rsidP="00E965BD">
            <w:pPr>
              <w:pStyle w:val="TableText0"/>
            </w:pPr>
            <w:r w:rsidRPr="0084450C">
              <w:t>LTF</w:t>
            </w:r>
            <w:r w:rsidR="00652355" w:rsidRPr="00652355">
              <w:rPr>
                <w:spacing w:val="-20"/>
              </w:rPr>
              <w:t xml:space="preserve"> = </w:t>
            </w:r>
            <w:r w:rsidRPr="0084450C">
              <w:t>0/23</w:t>
            </w:r>
          </w:p>
          <w:p w:rsidR="00B17A59" w:rsidRPr="0084450C" w:rsidRDefault="00B17A59" w:rsidP="00E965BD">
            <w:pPr>
              <w:pStyle w:val="TableText0"/>
            </w:pPr>
            <w:r w:rsidRPr="0084450C">
              <w:t>Placebo intravenously weekly for 26 weeks</w:t>
            </w:r>
          </w:p>
          <w:p w:rsidR="00B17A59" w:rsidRPr="0084450C" w:rsidRDefault="00B17A59" w:rsidP="00E965BD">
            <w:pPr>
              <w:pStyle w:val="TableText0"/>
            </w:pPr>
            <w:r w:rsidRPr="0084450C">
              <w:t>Drug, dosage, duration</w:t>
            </w:r>
          </w:p>
          <w:p w:rsidR="00B17A59" w:rsidRPr="00240C71" w:rsidRDefault="00B17A59" w:rsidP="00E965BD">
            <w:pPr>
              <w:pStyle w:val="TableText0"/>
              <w:rPr>
                <w:u w:val="single"/>
              </w:rPr>
            </w:pPr>
          </w:p>
        </w:tc>
        <w:tc>
          <w:tcPr>
            <w:tcW w:w="1794" w:type="dxa"/>
            <w:tcBorders>
              <w:right w:val="single" w:sz="4" w:space="0" w:color="auto"/>
            </w:tcBorders>
          </w:tcPr>
          <w:p w:rsidR="00B17A59" w:rsidRPr="0084450C" w:rsidRDefault="00B17A59" w:rsidP="00E965BD">
            <w:pPr>
              <w:pStyle w:val="TableText0"/>
            </w:pPr>
            <w:r w:rsidRPr="0084450C">
              <w:t>Forced vital capacity (FVC)</w:t>
            </w:r>
          </w:p>
          <w:p w:rsidR="00B17A59" w:rsidRPr="0084450C" w:rsidRDefault="00B17A59" w:rsidP="00E965BD">
            <w:pPr>
              <w:pStyle w:val="TableText0"/>
            </w:pPr>
            <w:r w:rsidRPr="0084450C">
              <w:t xml:space="preserve">6-minute walk test </w:t>
            </w:r>
          </w:p>
        </w:tc>
        <w:tc>
          <w:tcPr>
            <w:tcW w:w="958" w:type="dxa"/>
            <w:tcBorders>
              <w:left w:val="single" w:sz="4" w:space="0" w:color="auto"/>
            </w:tcBorders>
          </w:tcPr>
          <w:p w:rsidR="00B17A59" w:rsidRPr="0084450C" w:rsidRDefault="00B17A59" w:rsidP="00E965BD">
            <w:pPr>
              <w:pStyle w:val="TableText0"/>
            </w:pPr>
            <w:r w:rsidRPr="0084450C">
              <w:t>26 weeks</w:t>
            </w:r>
          </w:p>
        </w:tc>
        <w:tc>
          <w:tcPr>
            <w:tcW w:w="1439" w:type="dxa"/>
          </w:tcPr>
          <w:p w:rsidR="00B17A59" w:rsidRPr="00B7451B" w:rsidRDefault="00B17A59" w:rsidP="00E965BD">
            <w:pPr>
              <w:pStyle w:val="TableText0"/>
            </w:pPr>
          </w:p>
        </w:tc>
      </w:tr>
    </w:tbl>
    <w:p w:rsidR="00791DC0" w:rsidRPr="00762B1D" w:rsidRDefault="00791DC0" w:rsidP="00791DC0">
      <w:pPr>
        <w:keepNext/>
        <w:spacing w:after="0" w:line="240" w:lineRule="auto"/>
        <w:jc w:val="left"/>
        <w:rPr>
          <w:rFonts w:ascii="Arial" w:hAnsi="Arial"/>
          <w:sz w:val="16"/>
          <w:szCs w:val="16"/>
        </w:rPr>
      </w:pPr>
      <w:r w:rsidRPr="00762B1D">
        <w:rPr>
          <w:rFonts w:ascii="Arial" w:hAnsi="Arial"/>
          <w:sz w:val="16"/>
          <w:szCs w:val="16"/>
        </w:rPr>
        <w:t xml:space="preserve"> FVC </w:t>
      </w:r>
      <w:r w:rsidR="00652355" w:rsidRPr="00652355">
        <w:rPr>
          <w:rFonts w:ascii="Arial" w:hAnsi="Arial"/>
          <w:spacing w:val="-20"/>
          <w:sz w:val="16"/>
          <w:szCs w:val="16"/>
        </w:rPr>
        <w:t xml:space="preserve"> = </w:t>
      </w:r>
      <w:r w:rsidRPr="00762B1D">
        <w:rPr>
          <w:rFonts w:ascii="Arial" w:hAnsi="Arial"/>
          <w:sz w:val="16"/>
          <w:szCs w:val="16"/>
        </w:rPr>
        <w:t xml:space="preserve"> forced vital capacity; ITT </w:t>
      </w:r>
      <w:r w:rsidR="00652355" w:rsidRPr="00652355">
        <w:rPr>
          <w:rFonts w:ascii="Arial" w:hAnsi="Arial"/>
          <w:spacing w:val="-20"/>
          <w:sz w:val="16"/>
          <w:szCs w:val="16"/>
        </w:rPr>
        <w:t xml:space="preserve"> = </w:t>
      </w:r>
      <w:r w:rsidRPr="00762B1D">
        <w:rPr>
          <w:rFonts w:ascii="Arial" w:hAnsi="Arial"/>
          <w:sz w:val="16"/>
          <w:szCs w:val="16"/>
        </w:rPr>
        <w:t xml:space="preserve"> intention to treat; L</w:t>
      </w:r>
      <w:r>
        <w:rPr>
          <w:rFonts w:ascii="Arial" w:hAnsi="Arial"/>
          <w:sz w:val="16"/>
          <w:szCs w:val="16"/>
        </w:rPr>
        <w:t>TF</w:t>
      </w:r>
      <w:r w:rsidRPr="00762B1D">
        <w:rPr>
          <w:rFonts w:ascii="Arial" w:hAnsi="Arial"/>
          <w:sz w:val="16"/>
          <w:szCs w:val="16"/>
        </w:rPr>
        <w:t xml:space="preserve"> </w:t>
      </w:r>
      <w:r w:rsidR="00652355" w:rsidRPr="00652355">
        <w:rPr>
          <w:rFonts w:ascii="Arial" w:hAnsi="Arial"/>
          <w:spacing w:val="-20"/>
          <w:sz w:val="16"/>
          <w:szCs w:val="16"/>
        </w:rPr>
        <w:t xml:space="preserve"> = </w:t>
      </w:r>
      <w:r w:rsidRPr="00762B1D">
        <w:rPr>
          <w:rFonts w:ascii="Arial" w:hAnsi="Arial"/>
          <w:sz w:val="16"/>
          <w:szCs w:val="16"/>
        </w:rPr>
        <w:t xml:space="preserve">; RCT </w:t>
      </w:r>
      <w:r w:rsidR="00652355" w:rsidRPr="00652355">
        <w:rPr>
          <w:rFonts w:ascii="Arial" w:hAnsi="Arial"/>
          <w:spacing w:val="-20"/>
          <w:sz w:val="16"/>
          <w:szCs w:val="16"/>
        </w:rPr>
        <w:t xml:space="preserve"> = </w:t>
      </w:r>
      <w:r w:rsidRPr="00762B1D">
        <w:rPr>
          <w:rFonts w:ascii="Arial" w:hAnsi="Arial"/>
          <w:sz w:val="16"/>
          <w:szCs w:val="16"/>
        </w:rPr>
        <w:t xml:space="preserve"> randomised controlled trial; MPS I </w:t>
      </w:r>
      <w:r w:rsidR="00652355" w:rsidRPr="00652355">
        <w:rPr>
          <w:rFonts w:ascii="Arial" w:hAnsi="Arial"/>
          <w:spacing w:val="-20"/>
          <w:sz w:val="16"/>
          <w:szCs w:val="16"/>
        </w:rPr>
        <w:t xml:space="preserve"> = </w:t>
      </w:r>
      <w:r w:rsidRPr="00762B1D">
        <w:rPr>
          <w:rFonts w:ascii="Arial" w:hAnsi="Arial"/>
          <w:sz w:val="16"/>
          <w:szCs w:val="16"/>
        </w:rPr>
        <w:t xml:space="preserve"> mucopolysaccharidosis I</w:t>
      </w:r>
    </w:p>
    <w:p w:rsidR="00B17A59" w:rsidRPr="003F3F2D" w:rsidRDefault="00FF35CB" w:rsidP="00FF35CB">
      <w:pPr>
        <w:pStyle w:val="Heading3"/>
      </w:pPr>
      <w:r>
        <w:lastRenderedPageBreak/>
        <w:t>Idursulfase</w:t>
      </w:r>
    </w:p>
    <w:p w:rsidR="00A4010A" w:rsidRDefault="00E57B1B" w:rsidP="00CF4929">
      <w:pPr>
        <w:pStyle w:val="Caption"/>
        <w:keepNext/>
        <w:tabs>
          <w:tab w:val="clear" w:pos="851"/>
          <w:tab w:val="left" w:pos="1276"/>
        </w:tabs>
        <w:ind w:left="1276" w:hanging="1276"/>
      </w:pPr>
      <w:bookmarkStart w:id="1143" w:name="_Toc411510529"/>
      <w:bookmarkStart w:id="1144" w:name="_Toc415141959"/>
      <w:r>
        <w:t xml:space="preserve">Table </w:t>
      </w:r>
      <w:r w:rsidR="00A72B26">
        <w:rPr>
          <w:noProof/>
        </w:rPr>
        <w:t>162</w:t>
      </w:r>
      <w:r>
        <w:tab/>
        <w:t>Study profiles for studies on idursulfase for MPS II</w:t>
      </w:r>
      <w:bookmarkEnd w:id="1143"/>
      <w:bookmarkEnd w:id="1144"/>
    </w:p>
    <w:tbl>
      <w:tblPr>
        <w:tblStyle w:val="TableGrid"/>
        <w:tblW w:w="14260" w:type="dxa"/>
        <w:tblLayout w:type="fixed"/>
        <w:tblLook w:val="04A0" w:firstRow="1" w:lastRow="0" w:firstColumn="1" w:lastColumn="0" w:noHBand="0" w:noVBand="1"/>
        <w:tblCaption w:val="Table 125 Study profiles for studies on idursulfase for MPS II"/>
      </w:tblPr>
      <w:tblGrid>
        <w:gridCol w:w="959"/>
        <w:gridCol w:w="1440"/>
        <w:gridCol w:w="3686"/>
        <w:gridCol w:w="2977"/>
        <w:gridCol w:w="1842"/>
        <w:gridCol w:w="1537"/>
        <w:gridCol w:w="992"/>
        <w:gridCol w:w="827"/>
      </w:tblGrid>
      <w:tr w:rsidR="00E57B1B" w:rsidRPr="00E57B1B" w:rsidTr="00331C22">
        <w:trPr>
          <w:trHeight w:val="1735"/>
          <w:tblHeader/>
        </w:trPr>
        <w:tc>
          <w:tcPr>
            <w:tcW w:w="959" w:type="dxa"/>
          </w:tcPr>
          <w:p w:rsidR="00E57B1B" w:rsidRPr="00E57B1B" w:rsidRDefault="00E57B1B" w:rsidP="00865A5F">
            <w:pPr>
              <w:pStyle w:val="TableHeading"/>
            </w:pPr>
            <w:r w:rsidRPr="00E57B1B">
              <w:t>Author (Year) / Country</w:t>
            </w:r>
          </w:p>
        </w:tc>
        <w:tc>
          <w:tcPr>
            <w:tcW w:w="1440" w:type="dxa"/>
          </w:tcPr>
          <w:p w:rsidR="00E57B1B" w:rsidRPr="00E57B1B" w:rsidRDefault="00E57B1B" w:rsidP="00865A5F">
            <w:pPr>
              <w:pStyle w:val="TableHeading"/>
            </w:pPr>
            <w:r w:rsidRPr="00E57B1B">
              <w:t>Study Design/ Level of Evidence/ Type of analysis/</w:t>
            </w:r>
          </w:p>
          <w:p w:rsidR="00E57B1B" w:rsidRPr="00E57B1B" w:rsidRDefault="00E57B1B" w:rsidP="00865A5F">
            <w:pPr>
              <w:pStyle w:val="TableHeading"/>
            </w:pPr>
            <w:r w:rsidRPr="00E57B1B">
              <w:t>Risk of bias</w:t>
            </w:r>
          </w:p>
        </w:tc>
        <w:tc>
          <w:tcPr>
            <w:tcW w:w="3686" w:type="dxa"/>
          </w:tcPr>
          <w:p w:rsidR="00E57B1B" w:rsidRPr="00E57B1B" w:rsidRDefault="00E57B1B" w:rsidP="00865A5F">
            <w:pPr>
              <w:pStyle w:val="TableHeading"/>
            </w:pPr>
            <w:r w:rsidRPr="00E57B1B">
              <w:t>Study sample characteristics</w:t>
            </w:r>
          </w:p>
        </w:tc>
        <w:tc>
          <w:tcPr>
            <w:tcW w:w="2977" w:type="dxa"/>
          </w:tcPr>
          <w:p w:rsidR="00E57B1B" w:rsidRPr="00E57B1B" w:rsidRDefault="00E57B1B" w:rsidP="00865A5F">
            <w:pPr>
              <w:pStyle w:val="TableHeading"/>
            </w:pPr>
            <w:r w:rsidRPr="00E57B1B">
              <w:t>Eligibility criteria</w:t>
            </w:r>
          </w:p>
        </w:tc>
        <w:tc>
          <w:tcPr>
            <w:tcW w:w="1842" w:type="dxa"/>
          </w:tcPr>
          <w:p w:rsidR="00E57B1B" w:rsidRPr="00E57B1B" w:rsidRDefault="00E57B1B" w:rsidP="00865A5F">
            <w:pPr>
              <w:pStyle w:val="TableHeading"/>
            </w:pPr>
            <w:r w:rsidRPr="00E57B1B">
              <w:t>Intervention drug treatment details</w:t>
            </w:r>
          </w:p>
          <w:p w:rsidR="00E57B1B" w:rsidRPr="00E57B1B" w:rsidRDefault="00E57B1B" w:rsidP="00865A5F">
            <w:pPr>
              <w:pStyle w:val="TableHeading"/>
            </w:pPr>
            <w:r w:rsidRPr="00E57B1B">
              <w:t>Comparator drugs treatment details</w:t>
            </w:r>
          </w:p>
        </w:tc>
        <w:tc>
          <w:tcPr>
            <w:tcW w:w="1537" w:type="dxa"/>
            <w:tcBorders>
              <w:right w:val="single" w:sz="4" w:space="0" w:color="auto"/>
            </w:tcBorders>
          </w:tcPr>
          <w:p w:rsidR="00E57B1B" w:rsidRPr="00E57B1B" w:rsidRDefault="00E57B1B" w:rsidP="00865A5F">
            <w:pPr>
              <w:pStyle w:val="TableHeading"/>
            </w:pPr>
            <w:r w:rsidRPr="00E57B1B">
              <w:t>Outcomes reported (relevant to the review) / measurement tools and scale</w:t>
            </w:r>
          </w:p>
        </w:tc>
        <w:tc>
          <w:tcPr>
            <w:tcW w:w="992" w:type="dxa"/>
            <w:tcBorders>
              <w:left w:val="single" w:sz="4" w:space="0" w:color="auto"/>
            </w:tcBorders>
          </w:tcPr>
          <w:p w:rsidR="00E57B1B" w:rsidRPr="00E57B1B" w:rsidRDefault="00E57B1B" w:rsidP="00865A5F">
            <w:pPr>
              <w:pStyle w:val="TableHeading"/>
            </w:pPr>
            <w:r w:rsidRPr="00E57B1B">
              <w:t>Duration of follow-up</w:t>
            </w:r>
          </w:p>
        </w:tc>
        <w:tc>
          <w:tcPr>
            <w:tcW w:w="827" w:type="dxa"/>
          </w:tcPr>
          <w:p w:rsidR="00E57B1B" w:rsidRPr="00E57B1B" w:rsidRDefault="00E57B1B" w:rsidP="00865A5F">
            <w:pPr>
              <w:pStyle w:val="TableHeading"/>
            </w:pPr>
            <w:r w:rsidRPr="00E57B1B">
              <w:t>Comments</w:t>
            </w:r>
          </w:p>
        </w:tc>
      </w:tr>
      <w:tr w:rsidR="00E57B1B" w:rsidRPr="00E57B1B" w:rsidTr="00865A5F">
        <w:tc>
          <w:tcPr>
            <w:tcW w:w="959" w:type="dxa"/>
          </w:tcPr>
          <w:p w:rsidR="00E57B1B" w:rsidRPr="00E57B1B" w:rsidRDefault="00E57B1B" w:rsidP="00865A5F">
            <w:pPr>
              <w:pStyle w:val="TableText0"/>
              <w:rPr>
                <w:rFonts w:ascii="Arial" w:hAnsi="Arial"/>
                <w:sz w:val="18"/>
              </w:rPr>
            </w:pPr>
            <w:r w:rsidRPr="00E57B1B">
              <w:rPr>
                <w:rFonts w:ascii="Arial" w:hAnsi="Arial"/>
                <w:sz w:val="18"/>
              </w:rPr>
              <w:t>Meunzer</w:t>
            </w:r>
          </w:p>
          <w:p w:rsidR="00E57B1B" w:rsidRPr="00E57B1B" w:rsidRDefault="00E57B1B" w:rsidP="00865A5F">
            <w:pPr>
              <w:pStyle w:val="TableText0"/>
              <w:rPr>
                <w:rFonts w:ascii="Arial" w:hAnsi="Arial"/>
                <w:sz w:val="18"/>
              </w:rPr>
            </w:pPr>
            <w:r w:rsidRPr="00E57B1B">
              <w:rPr>
                <w:rFonts w:ascii="Arial" w:hAnsi="Arial"/>
                <w:sz w:val="18"/>
              </w:rPr>
              <w:t>2006</w:t>
            </w:r>
          </w:p>
          <w:p w:rsidR="00E57B1B" w:rsidRPr="00E57B1B" w:rsidRDefault="00E57B1B" w:rsidP="00865A5F">
            <w:pPr>
              <w:pStyle w:val="TableText0"/>
              <w:rPr>
                <w:rFonts w:ascii="Arial" w:hAnsi="Arial"/>
                <w:sz w:val="18"/>
              </w:rPr>
            </w:pPr>
            <w:r w:rsidRPr="00E57B1B">
              <w:rPr>
                <w:rFonts w:ascii="Arial" w:hAnsi="Arial"/>
                <w:sz w:val="18"/>
              </w:rPr>
              <w:t>USA, UK, Germany, Brazil</w:t>
            </w:r>
          </w:p>
          <w:p w:rsidR="00E57B1B" w:rsidRPr="00E57B1B" w:rsidRDefault="00E57B1B" w:rsidP="00865A5F">
            <w:pPr>
              <w:pStyle w:val="TableText0"/>
            </w:pPr>
          </w:p>
        </w:tc>
        <w:tc>
          <w:tcPr>
            <w:tcW w:w="1440" w:type="dxa"/>
          </w:tcPr>
          <w:p w:rsidR="00E57B1B" w:rsidRPr="00E57B1B" w:rsidRDefault="00E57B1B" w:rsidP="00865A5F">
            <w:pPr>
              <w:pStyle w:val="TableText0"/>
              <w:rPr>
                <w:rFonts w:ascii="Arial" w:hAnsi="Arial"/>
                <w:sz w:val="18"/>
              </w:rPr>
            </w:pPr>
            <w:r w:rsidRPr="00E57B1B">
              <w:rPr>
                <w:rFonts w:ascii="Arial" w:hAnsi="Arial"/>
                <w:sz w:val="18"/>
              </w:rPr>
              <w:t xml:space="preserve">RCT </w:t>
            </w:r>
          </w:p>
          <w:p w:rsidR="00E57B1B" w:rsidRPr="00E57B1B" w:rsidRDefault="00E57B1B" w:rsidP="00865A5F">
            <w:pPr>
              <w:pStyle w:val="TableText0"/>
              <w:rPr>
                <w:rFonts w:ascii="Arial" w:hAnsi="Arial"/>
                <w:sz w:val="18"/>
              </w:rPr>
            </w:pPr>
            <w:r w:rsidRPr="00E57B1B">
              <w:rPr>
                <w:rFonts w:ascii="Arial" w:hAnsi="Arial"/>
                <w:sz w:val="18"/>
              </w:rPr>
              <w:t>Level II evidence</w:t>
            </w:r>
          </w:p>
          <w:p w:rsidR="00E57B1B" w:rsidRDefault="00E57B1B" w:rsidP="00865A5F">
            <w:pPr>
              <w:pStyle w:val="TableText0"/>
              <w:rPr>
                <w:rFonts w:ascii="Arial" w:hAnsi="Arial"/>
                <w:sz w:val="18"/>
              </w:rPr>
            </w:pPr>
            <w:r w:rsidRPr="00E57B1B">
              <w:rPr>
                <w:rFonts w:ascii="Arial" w:hAnsi="Arial"/>
                <w:sz w:val="18"/>
              </w:rPr>
              <w:t>Double-blind study followed by open-label extension trial</w:t>
            </w:r>
          </w:p>
          <w:p w:rsidR="00157C57" w:rsidRPr="00E57B1B" w:rsidRDefault="00157C57" w:rsidP="00865A5F">
            <w:pPr>
              <w:pStyle w:val="TableText0"/>
            </w:pPr>
            <w:r>
              <w:rPr>
                <w:rFonts w:ascii="Arial" w:hAnsi="Arial"/>
                <w:sz w:val="18"/>
              </w:rPr>
              <w:t>Moderate risk of bias</w:t>
            </w:r>
          </w:p>
        </w:tc>
        <w:tc>
          <w:tcPr>
            <w:tcW w:w="3686" w:type="dxa"/>
          </w:tcPr>
          <w:p w:rsidR="00E57B1B" w:rsidRPr="00E57B1B" w:rsidRDefault="00E57B1B" w:rsidP="00865A5F">
            <w:pPr>
              <w:pStyle w:val="TableText0"/>
              <w:rPr>
                <w:rFonts w:ascii="Arial" w:hAnsi="Arial"/>
                <w:sz w:val="18"/>
              </w:rPr>
            </w:pPr>
            <w:r w:rsidRPr="00E57B1B">
              <w:rPr>
                <w:rFonts w:ascii="Arial" w:hAnsi="Arial"/>
                <w:sz w:val="18"/>
              </w:rPr>
              <w:t>N</w:t>
            </w:r>
            <w:r w:rsidR="00652355" w:rsidRPr="00652355">
              <w:rPr>
                <w:rFonts w:ascii="Arial" w:hAnsi="Arial"/>
                <w:spacing w:val="-20"/>
                <w:sz w:val="18"/>
              </w:rPr>
              <w:t xml:space="preserve"> = </w:t>
            </w:r>
            <w:r w:rsidRPr="00E57B1B">
              <w:rPr>
                <w:rFonts w:ascii="Arial" w:hAnsi="Arial"/>
                <w:sz w:val="18"/>
              </w:rPr>
              <w:t>96 patients with MPS II</w:t>
            </w:r>
          </w:p>
          <w:p w:rsidR="00E57B1B" w:rsidRPr="00E57B1B" w:rsidRDefault="00E57B1B" w:rsidP="00865A5F">
            <w:pPr>
              <w:pStyle w:val="TableText0"/>
              <w:rPr>
                <w:rFonts w:ascii="Arial" w:hAnsi="Arial"/>
                <w:sz w:val="18"/>
                <w:u w:val="single"/>
              </w:rPr>
            </w:pPr>
            <w:r w:rsidRPr="00E57B1B">
              <w:rPr>
                <w:rFonts w:ascii="Arial" w:hAnsi="Arial"/>
                <w:sz w:val="18"/>
                <w:u w:val="single"/>
              </w:rPr>
              <w:t>Intervention – weekly (n</w:t>
            </w:r>
            <w:r w:rsidR="00652355" w:rsidRPr="00652355">
              <w:rPr>
                <w:rFonts w:ascii="Arial" w:hAnsi="Arial"/>
                <w:spacing w:val="-20"/>
                <w:sz w:val="18"/>
                <w:u w:val="single"/>
              </w:rPr>
              <w:t xml:space="preserve"> = </w:t>
            </w:r>
            <w:r w:rsidRPr="00E57B1B">
              <w:rPr>
                <w:rFonts w:ascii="Arial" w:hAnsi="Arial"/>
                <w:sz w:val="18"/>
                <w:u w:val="single"/>
              </w:rPr>
              <w:t xml:space="preserve">32) </w:t>
            </w:r>
          </w:p>
          <w:p w:rsidR="00E57B1B" w:rsidRPr="00E57B1B" w:rsidRDefault="00E57B1B" w:rsidP="00865A5F">
            <w:pPr>
              <w:pStyle w:val="TableText0"/>
              <w:rPr>
                <w:rFonts w:ascii="Arial" w:hAnsi="Arial"/>
                <w:sz w:val="18"/>
              </w:rPr>
            </w:pPr>
            <w:r w:rsidRPr="00E57B1B">
              <w:rPr>
                <w:rFonts w:ascii="Arial" w:hAnsi="Arial"/>
                <w:sz w:val="18"/>
              </w:rPr>
              <w:t xml:space="preserve">Mean age </w:t>
            </w:r>
            <w:r w:rsidR="00652355" w:rsidRPr="00652355">
              <w:rPr>
                <w:rFonts w:ascii="Arial" w:hAnsi="Arial"/>
                <w:spacing w:val="-20"/>
                <w:sz w:val="18"/>
              </w:rPr>
              <w:t xml:space="preserve"> = </w:t>
            </w:r>
            <w:r w:rsidRPr="00E57B1B">
              <w:rPr>
                <w:rFonts w:ascii="Arial" w:hAnsi="Arial"/>
                <w:sz w:val="18"/>
              </w:rPr>
              <w:t xml:space="preserve"> 15.1 years (range 6.3 – 26.0)</w:t>
            </w:r>
          </w:p>
          <w:p w:rsidR="00E57B1B" w:rsidRPr="00E57B1B" w:rsidRDefault="00E57B1B" w:rsidP="00865A5F">
            <w:pPr>
              <w:pStyle w:val="TableText0"/>
              <w:rPr>
                <w:rFonts w:ascii="Arial" w:hAnsi="Arial"/>
                <w:sz w:val="18"/>
              </w:rPr>
            </w:pPr>
            <w:r w:rsidRPr="00E57B1B">
              <w:rPr>
                <w:rFonts w:ascii="Arial" w:hAnsi="Arial"/>
                <w:sz w:val="18"/>
              </w:rPr>
              <w:t xml:space="preserve">Mean height </w:t>
            </w:r>
            <w:r w:rsidR="00652355" w:rsidRPr="00652355">
              <w:rPr>
                <w:rFonts w:ascii="Arial" w:hAnsi="Arial"/>
                <w:spacing w:val="-20"/>
                <w:sz w:val="18"/>
              </w:rPr>
              <w:t xml:space="preserve"> = </w:t>
            </w:r>
            <w:r w:rsidRPr="00E57B1B">
              <w:rPr>
                <w:rFonts w:ascii="Arial" w:hAnsi="Arial"/>
                <w:sz w:val="18"/>
              </w:rPr>
              <w:t xml:space="preserve"> 128.5 ± 2.6 cm</w:t>
            </w:r>
          </w:p>
          <w:p w:rsidR="00E57B1B" w:rsidRPr="00E57B1B" w:rsidRDefault="00E57B1B" w:rsidP="00865A5F">
            <w:pPr>
              <w:pStyle w:val="TableText0"/>
              <w:rPr>
                <w:rFonts w:ascii="Arial" w:hAnsi="Arial"/>
                <w:sz w:val="18"/>
              </w:rPr>
            </w:pPr>
            <w:r w:rsidRPr="00E57B1B">
              <w:rPr>
                <w:rFonts w:ascii="Arial" w:hAnsi="Arial"/>
                <w:sz w:val="18"/>
              </w:rPr>
              <w:t xml:space="preserve">Mean weight </w:t>
            </w:r>
            <w:r w:rsidR="00652355" w:rsidRPr="00652355">
              <w:rPr>
                <w:rFonts w:ascii="Arial" w:hAnsi="Arial"/>
                <w:spacing w:val="-20"/>
                <w:sz w:val="18"/>
              </w:rPr>
              <w:t xml:space="preserve"> = </w:t>
            </w:r>
            <w:r w:rsidRPr="00E57B1B">
              <w:rPr>
                <w:rFonts w:ascii="Arial" w:hAnsi="Arial"/>
                <w:sz w:val="18"/>
              </w:rPr>
              <w:t xml:space="preserve"> 37.8 ± 2.3 kg</w:t>
            </w:r>
          </w:p>
          <w:p w:rsidR="00E57B1B" w:rsidRPr="00E57B1B" w:rsidRDefault="00E57B1B" w:rsidP="00865A5F">
            <w:pPr>
              <w:pStyle w:val="TableText0"/>
              <w:rPr>
                <w:rFonts w:ascii="Arial" w:hAnsi="Arial"/>
                <w:sz w:val="18"/>
              </w:rPr>
            </w:pPr>
            <w:r w:rsidRPr="00E57B1B">
              <w:rPr>
                <w:rFonts w:ascii="Arial" w:hAnsi="Arial"/>
                <w:sz w:val="18"/>
              </w:rPr>
              <w:t>28 White (87.5%)</w:t>
            </w:r>
          </w:p>
          <w:p w:rsidR="00E57B1B" w:rsidRPr="00E57B1B" w:rsidRDefault="00E57B1B" w:rsidP="00865A5F">
            <w:pPr>
              <w:pStyle w:val="TableText0"/>
              <w:rPr>
                <w:rFonts w:ascii="Arial" w:hAnsi="Arial"/>
                <w:sz w:val="18"/>
              </w:rPr>
            </w:pPr>
            <w:r w:rsidRPr="00E57B1B">
              <w:rPr>
                <w:rFonts w:ascii="Arial" w:hAnsi="Arial"/>
                <w:sz w:val="18"/>
              </w:rPr>
              <w:t xml:space="preserve">Age at diagnosis </w:t>
            </w:r>
            <w:r w:rsidR="00652355" w:rsidRPr="00652355">
              <w:rPr>
                <w:rFonts w:ascii="Arial" w:hAnsi="Arial"/>
                <w:spacing w:val="-20"/>
                <w:sz w:val="18"/>
              </w:rPr>
              <w:t xml:space="preserve"> = </w:t>
            </w:r>
            <w:r w:rsidRPr="00E57B1B">
              <w:rPr>
                <w:rFonts w:ascii="Arial" w:hAnsi="Arial"/>
                <w:sz w:val="18"/>
              </w:rPr>
              <w:t xml:space="preserve"> 62.1 ± 9 mo</w:t>
            </w:r>
          </w:p>
          <w:p w:rsidR="00E57B1B" w:rsidRPr="00E57B1B" w:rsidRDefault="00E57B1B" w:rsidP="00865A5F">
            <w:pPr>
              <w:pStyle w:val="TableText0"/>
              <w:rPr>
                <w:rFonts w:ascii="Arial" w:hAnsi="Arial"/>
                <w:sz w:val="18"/>
                <w:u w:val="single"/>
              </w:rPr>
            </w:pPr>
            <w:r w:rsidRPr="00E57B1B">
              <w:rPr>
                <w:rFonts w:ascii="Arial" w:hAnsi="Arial"/>
                <w:sz w:val="18"/>
                <w:u w:val="single"/>
              </w:rPr>
              <w:t>Intervention – EOW (n</w:t>
            </w:r>
            <w:r w:rsidR="00652355" w:rsidRPr="00652355">
              <w:rPr>
                <w:rFonts w:ascii="Arial" w:hAnsi="Arial"/>
                <w:spacing w:val="-20"/>
                <w:sz w:val="18"/>
                <w:u w:val="single"/>
              </w:rPr>
              <w:t xml:space="preserve"> = </w:t>
            </w:r>
            <w:r w:rsidRPr="00E57B1B">
              <w:rPr>
                <w:rFonts w:ascii="Arial" w:hAnsi="Arial"/>
                <w:sz w:val="18"/>
                <w:u w:val="single"/>
              </w:rPr>
              <w:t>32)</w:t>
            </w:r>
          </w:p>
          <w:p w:rsidR="00E57B1B" w:rsidRPr="00E57B1B" w:rsidRDefault="00E57B1B" w:rsidP="00865A5F">
            <w:pPr>
              <w:pStyle w:val="TableText0"/>
              <w:rPr>
                <w:rFonts w:ascii="Arial" w:hAnsi="Arial"/>
                <w:sz w:val="18"/>
              </w:rPr>
            </w:pPr>
            <w:r w:rsidRPr="00E57B1B">
              <w:rPr>
                <w:rFonts w:ascii="Arial" w:hAnsi="Arial"/>
                <w:sz w:val="18"/>
              </w:rPr>
              <w:t xml:space="preserve">Mean age </w:t>
            </w:r>
            <w:r w:rsidR="00652355" w:rsidRPr="00652355">
              <w:rPr>
                <w:rFonts w:ascii="Arial" w:hAnsi="Arial"/>
                <w:spacing w:val="-20"/>
                <w:sz w:val="18"/>
              </w:rPr>
              <w:t xml:space="preserve"> = </w:t>
            </w:r>
            <w:r w:rsidRPr="00E57B1B">
              <w:rPr>
                <w:rFonts w:ascii="Arial" w:hAnsi="Arial"/>
                <w:sz w:val="18"/>
              </w:rPr>
              <w:t xml:space="preserve"> 14.4 years (range 5.4 – 30.9)</w:t>
            </w:r>
          </w:p>
          <w:p w:rsidR="00E57B1B" w:rsidRPr="00E57B1B" w:rsidRDefault="00E57B1B" w:rsidP="00865A5F">
            <w:pPr>
              <w:pStyle w:val="TableText0"/>
              <w:rPr>
                <w:rFonts w:ascii="Arial" w:hAnsi="Arial"/>
                <w:sz w:val="18"/>
              </w:rPr>
            </w:pPr>
            <w:r w:rsidRPr="00E57B1B">
              <w:rPr>
                <w:rFonts w:ascii="Arial" w:hAnsi="Arial"/>
                <w:sz w:val="18"/>
              </w:rPr>
              <w:t xml:space="preserve">Mean height </w:t>
            </w:r>
            <w:r w:rsidR="00652355" w:rsidRPr="00652355">
              <w:rPr>
                <w:rFonts w:ascii="Arial" w:hAnsi="Arial"/>
                <w:spacing w:val="-20"/>
                <w:sz w:val="18"/>
              </w:rPr>
              <w:t xml:space="preserve"> = </w:t>
            </w:r>
            <w:r w:rsidRPr="00E57B1B">
              <w:rPr>
                <w:rFonts w:ascii="Arial" w:hAnsi="Arial"/>
                <w:sz w:val="18"/>
              </w:rPr>
              <w:t xml:space="preserve"> 128.0 ± 2.6 cm</w:t>
            </w:r>
          </w:p>
          <w:p w:rsidR="00E57B1B" w:rsidRPr="00E57B1B" w:rsidRDefault="00E57B1B" w:rsidP="00865A5F">
            <w:pPr>
              <w:pStyle w:val="TableText0"/>
              <w:rPr>
                <w:rFonts w:ascii="Arial" w:hAnsi="Arial"/>
                <w:sz w:val="18"/>
              </w:rPr>
            </w:pPr>
            <w:r w:rsidRPr="00E57B1B">
              <w:rPr>
                <w:rFonts w:ascii="Arial" w:hAnsi="Arial"/>
                <w:sz w:val="18"/>
              </w:rPr>
              <w:t xml:space="preserve">Mean weight </w:t>
            </w:r>
            <w:r w:rsidR="00652355" w:rsidRPr="00652355">
              <w:rPr>
                <w:rFonts w:ascii="Arial" w:hAnsi="Arial"/>
                <w:spacing w:val="-20"/>
                <w:sz w:val="18"/>
              </w:rPr>
              <w:t xml:space="preserve"> = </w:t>
            </w:r>
            <w:r w:rsidRPr="00E57B1B">
              <w:rPr>
                <w:rFonts w:ascii="Arial" w:hAnsi="Arial"/>
                <w:sz w:val="18"/>
              </w:rPr>
              <w:t xml:space="preserve"> 36.7 ± 2.3 kg</w:t>
            </w:r>
          </w:p>
          <w:p w:rsidR="00E57B1B" w:rsidRPr="00E57B1B" w:rsidRDefault="00E57B1B" w:rsidP="00865A5F">
            <w:pPr>
              <w:pStyle w:val="TableText0"/>
              <w:rPr>
                <w:rFonts w:ascii="Arial" w:hAnsi="Arial"/>
                <w:sz w:val="18"/>
              </w:rPr>
            </w:pPr>
            <w:r w:rsidRPr="00E57B1B">
              <w:rPr>
                <w:rFonts w:ascii="Arial" w:hAnsi="Arial"/>
                <w:sz w:val="18"/>
              </w:rPr>
              <w:t>27 White (84%)</w:t>
            </w:r>
          </w:p>
          <w:p w:rsidR="00E57B1B" w:rsidRPr="00E57B1B" w:rsidRDefault="00E57B1B" w:rsidP="00865A5F">
            <w:pPr>
              <w:pStyle w:val="TableText0"/>
              <w:rPr>
                <w:rFonts w:ascii="Arial" w:hAnsi="Arial"/>
                <w:sz w:val="18"/>
              </w:rPr>
            </w:pPr>
            <w:r w:rsidRPr="00E57B1B">
              <w:rPr>
                <w:rFonts w:ascii="Arial" w:hAnsi="Arial"/>
                <w:sz w:val="18"/>
              </w:rPr>
              <w:t xml:space="preserve">Age at diagnosis </w:t>
            </w:r>
            <w:r w:rsidR="00652355" w:rsidRPr="00652355">
              <w:rPr>
                <w:rFonts w:ascii="Arial" w:hAnsi="Arial"/>
                <w:spacing w:val="-20"/>
                <w:sz w:val="18"/>
              </w:rPr>
              <w:t xml:space="preserve"> = </w:t>
            </w:r>
            <w:r w:rsidRPr="00E57B1B">
              <w:rPr>
                <w:rFonts w:ascii="Arial" w:hAnsi="Arial"/>
                <w:sz w:val="18"/>
              </w:rPr>
              <w:t xml:space="preserve"> 52.3 ± 6.9 mo</w:t>
            </w:r>
          </w:p>
          <w:p w:rsidR="00E57B1B" w:rsidRPr="00E57B1B" w:rsidRDefault="00E57B1B" w:rsidP="00865A5F">
            <w:pPr>
              <w:pStyle w:val="TableText0"/>
              <w:rPr>
                <w:rFonts w:ascii="Arial" w:hAnsi="Arial"/>
                <w:sz w:val="18"/>
                <w:u w:val="single"/>
              </w:rPr>
            </w:pPr>
            <w:r w:rsidRPr="00E57B1B">
              <w:rPr>
                <w:rFonts w:ascii="Arial" w:hAnsi="Arial"/>
                <w:sz w:val="18"/>
                <w:u w:val="single"/>
              </w:rPr>
              <w:t>Comparator – placebo (n</w:t>
            </w:r>
            <w:r w:rsidR="00652355" w:rsidRPr="00652355">
              <w:rPr>
                <w:rFonts w:ascii="Arial" w:hAnsi="Arial"/>
                <w:spacing w:val="-20"/>
                <w:sz w:val="18"/>
                <w:u w:val="single"/>
              </w:rPr>
              <w:t xml:space="preserve"> = </w:t>
            </w:r>
            <w:r w:rsidRPr="00E57B1B">
              <w:rPr>
                <w:rFonts w:ascii="Arial" w:hAnsi="Arial"/>
                <w:sz w:val="18"/>
                <w:u w:val="single"/>
              </w:rPr>
              <w:t>32)</w:t>
            </w:r>
          </w:p>
          <w:p w:rsidR="00E57B1B" w:rsidRPr="00E57B1B" w:rsidRDefault="00E57B1B" w:rsidP="00865A5F">
            <w:pPr>
              <w:pStyle w:val="TableText0"/>
              <w:rPr>
                <w:rFonts w:ascii="Arial" w:hAnsi="Arial"/>
                <w:sz w:val="18"/>
              </w:rPr>
            </w:pPr>
            <w:r w:rsidRPr="00E57B1B">
              <w:rPr>
                <w:rFonts w:ascii="Arial" w:hAnsi="Arial"/>
                <w:sz w:val="18"/>
              </w:rPr>
              <w:t xml:space="preserve">Mean age </w:t>
            </w:r>
            <w:r w:rsidR="00652355" w:rsidRPr="00652355">
              <w:rPr>
                <w:rFonts w:ascii="Arial" w:hAnsi="Arial"/>
                <w:spacing w:val="-20"/>
                <w:sz w:val="18"/>
              </w:rPr>
              <w:t xml:space="preserve"> = </w:t>
            </w:r>
            <w:r w:rsidRPr="00E57B1B">
              <w:rPr>
                <w:rFonts w:ascii="Arial" w:hAnsi="Arial"/>
                <w:sz w:val="18"/>
              </w:rPr>
              <w:t xml:space="preserve"> 13.1 years (range 5.0 – 29.0)</w:t>
            </w:r>
          </w:p>
          <w:p w:rsidR="00E57B1B" w:rsidRPr="00E57B1B" w:rsidRDefault="00E57B1B" w:rsidP="00865A5F">
            <w:pPr>
              <w:pStyle w:val="TableText0"/>
              <w:rPr>
                <w:rFonts w:ascii="Arial" w:hAnsi="Arial"/>
                <w:sz w:val="18"/>
              </w:rPr>
            </w:pPr>
            <w:r w:rsidRPr="00E57B1B">
              <w:rPr>
                <w:rFonts w:ascii="Arial" w:hAnsi="Arial"/>
                <w:sz w:val="18"/>
              </w:rPr>
              <w:t xml:space="preserve">Mean height </w:t>
            </w:r>
            <w:r w:rsidR="00652355" w:rsidRPr="00652355">
              <w:rPr>
                <w:rFonts w:ascii="Arial" w:hAnsi="Arial"/>
                <w:spacing w:val="-20"/>
                <w:sz w:val="18"/>
              </w:rPr>
              <w:t xml:space="preserve"> = </w:t>
            </w:r>
            <w:r w:rsidRPr="00E57B1B">
              <w:rPr>
                <w:rFonts w:ascii="Arial" w:hAnsi="Arial"/>
                <w:sz w:val="18"/>
              </w:rPr>
              <w:t xml:space="preserve"> 124.2 ± 2.3 cm</w:t>
            </w:r>
          </w:p>
          <w:p w:rsidR="00E57B1B" w:rsidRPr="00E57B1B" w:rsidRDefault="00E57B1B" w:rsidP="00865A5F">
            <w:pPr>
              <w:pStyle w:val="TableText0"/>
              <w:rPr>
                <w:rFonts w:ascii="Arial" w:hAnsi="Arial"/>
                <w:sz w:val="18"/>
              </w:rPr>
            </w:pPr>
            <w:r w:rsidRPr="00E57B1B">
              <w:rPr>
                <w:rFonts w:ascii="Arial" w:hAnsi="Arial"/>
                <w:sz w:val="18"/>
              </w:rPr>
              <w:t xml:space="preserve">Mean weight </w:t>
            </w:r>
            <w:r w:rsidR="00652355" w:rsidRPr="00652355">
              <w:rPr>
                <w:rFonts w:ascii="Arial" w:hAnsi="Arial"/>
                <w:spacing w:val="-20"/>
                <w:sz w:val="18"/>
              </w:rPr>
              <w:t xml:space="preserve"> = </w:t>
            </w:r>
            <w:r w:rsidRPr="00E57B1B">
              <w:rPr>
                <w:rFonts w:ascii="Arial" w:hAnsi="Arial"/>
                <w:sz w:val="18"/>
              </w:rPr>
              <w:t xml:space="preserve"> 33.6 ± 2.3 kg</w:t>
            </w:r>
          </w:p>
          <w:p w:rsidR="00E57B1B" w:rsidRPr="00E57B1B" w:rsidRDefault="00E57B1B" w:rsidP="00865A5F">
            <w:pPr>
              <w:pStyle w:val="TableText0"/>
              <w:rPr>
                <w:rFonts w:ascii="Arial" w:hAnsi="Arial"/>
                <w:sz w:val="18"/>
              </w:rPr>
            </w:pPr>
            <w:r w:rsidRPr="00E57B1B">
              <w:rPr>
                <w:rFonts w:ascii="Arial" w:hAnsi="Arial"/>
                <w:sz w:val="18"/>
              </w:rPr>
              <w:t>24 White (75%)</w:t>
            </w:r>
          </w:p>
          <w:p w:rsidR="00E57B1B" w:rsidRPr="00E57B1B" w:rsidRDefault="00E57B1B" w:rsidP="00865A5F">
            <w:pPr>
              <w:pStyle w:val="TableText0"/>
            </w:pPr>
            <w:r w:rsidRPr="00E57B1B">
              <w:rPr>
                <w:rFonts w:ascii="Arial" w:hAnsi="Arial"/>
                <w:sz w:val="18"/>
              </w:rPr>
              <w:t xml:space="preserve">Age at diagnosis </w:t>
            </w:r>
            <w:r w:rsidR="00652355" w:rsidRPr="00652355">
              <w:rPr>
                <w:rFonts w:ascii="Arial" w:hAnsi="Arial"/>
                <w:spacing w:val="-20"/>
                <w:sz w:val="18"/>
              </w:rPr>
              <w:t xml:space="preserve"> = </w:t>
            </w:r>
            <w:r w:rsidRPr="00E57B1B">
              <w:rPr>
                <w:rFonts w:ascii="Arial" w:hAnsi="Arial"/>
                <w:sz w:val="18"/>
              </w:rPr>
              <w:t xml:space="preserve"> 57.1 ± 9.4 mo</w:t>
            </w:r>
          </w:p>
        </w:tc>
        <w:tc>
          <w:tcPr>
            <w:tcW w:w="2977" w:type="dxa"/>
          </w:tcPr>
          <w:p w:rsidR="00E57B1B" w:rsidRPr="00E57B1B" w:rsidRDefault="00E57B1B" w:rsidP="00865A5F">
            <w:pPr>
              <w:pStyle w:val="TableText0"/>
              <w:rPr>
                <w:rFonts w:ascii="Arial" w:hAnsi="Arial"/>
                <w:sz w:val="18"/>
                <w:u w:val="single"/>
              </w:rPr>
            </w:pPr>
            <w:r w:rsidRPr="00E57B1B">
              <w:rPr>
                <w:u w:val="single"/>
              </w:rPr>
              <w:t xml:space="preserve"> </w:t>
            </w:r>
            <w:r w:rsidRPr="00E57B1B">
              <w:rPr>
                <w:rFonts w:ascii="Arial" w:hAnsi="Arial"/>
                <w:sz w:val="18"/>
                <w:u w:val="single"/>
              </w:rPr>
              <w:t>Inclusion</w:t>
            </w:r>
          </w:p>
          <w:p w:rsidR="00E57B1B" w:rsidRPr="00E57B1B" w:rsidRDefault="00E57B1B" w:rsidP="00865A5F">
            <w:pPr>
              <w:pStyle w:val="TableText0"/>
              <w:rPr>
                <w:rFonts w:ascii="Arial" w:hAnsi="Arial"/>
                <w:sz w:val="18"/>
              </w:rPr>
            </w:pPr>
            <w:r w:rsidRPr="00E57B1B">
              <w:rPr>
                <w:rFonts w:ascii="Arial" w:hAnsi="Arial"/>
                <w:sz w:val="18"/>
              </w:rPr>
              <w:t>MPS II diagnosis based on both clinical criteria (hepatosplenomegaly, radiographic evidence of dysostosis multiplex, valvular heart disease or obstructive airway disease) and biochemical criteria (deficiency of I2S enzyme activity of ≤10% of lower limit of normal range in plasma, fibroblasts or leukocytes and normal enzyme activity of another sulfatase)</w:t>
            </w:r>
          </w:p>
          <w:p w:rsidR="00E57B1B" w:rsidRPr="00E57B1B" w:rsidRDefault="00E57B1B" w:rsidP="00865A5F">
            <w:pPr>
              <w:pStyle w:val="TableText0"/>
              <w:rPr>
                <w:rFonts w:ascii="Arial" w:hAnsi="Arial"/>
                <w:sz w:val="18"/>
              </w:rPr>
            </w:pPr>
            <w:r w:rsidRPr="00E57B1B">
              <w:rPr>
                <w:rFonts w:ascii="Arial" w:hAnsi="Arial"/>
                <w:sz w:val="18"/>
              </w:rPr>
              <w:t>Able to reproducibly perform pulmonary function testing</w:t>
            </w:r>
          </w:p>
          <w:p w:rsidR="00E57B1B" w:rsidRPr="00E57B1B" w:rsidRDefault="00E57B1B" w:rsidP="00865A5F">
            <w:pPr>
              <w:pStyle w:val="TableText0"/>
              <w:rPr>
                <w:rFonts w:ascii="Arial" w:hAnsi="Arial"/>
                <w:sz w:val="18"/>
              </w:rPr>
            </w:pPr>
            <w:r w:rsidRPr="00E57B1B">
              <w:rPr>
                <w:rFonts w:ascii="Arial" w:hAnsi="Arial"/>
                <w:sz w:val="18"/>
              </w:rPr>
              <w:t>Abnormal FVC of &lt; 80% of predicted</w:t>
            </w:r>
          </w:p>
          <w:p w:rsidR="00E57B1B" w:rsidRPr="00E57B1B" w:rsidRDefault="00E57B1B" w:rsidP="00865A5F">
            <w:pPr>
              <w:pStyle w:val="TableText0"/>
              <w:rPr>
                <w:rFonts w:ascii="Arial" w:hAnsi="Arial"/>
                <w:sz w:val="18"/>
                <w:u w:val="single"/>
              </w:rPr>
            </w:pPr>
            <w:r w:rsidRPr="00E57B1B">
              <w:rPr>
                <w:rFonts w:ascii="Arial" w:hAnsi="Arial"/>
                <w:sz w:val="18"/>
                <w:u w:val="single"/>
              </w:rPr>
              <w:t>Exclusion</w:t>
            </w:r>
          </w:p>
          <w:p w:rsidR="00E57B1B" w:rsidRPr="00E57B1B" w:rsidRDefault="00E57B1B" w:rsidP="00865A5F">
            <w:pPr>
              <w:pStyle w:val="TableText0"/>
              <w:rPr>
                <w:rFonts w:ascii="Arial" w:hAnsi="Arial"/>
                <w:sz w:val="18"/>
              </w:rPr>
            </w:pPr>
            <w:r w:rsidRPr="00E57B1B">
              <w:rPr>
                <w:rFonts w:ascii="Arial" w:hAnsi="Arial"/>
                <w:sz w:val="18"/>
              </w:rPr>
              <w:t>Previous tracheostomy</w:t>
            </w:r>
          </w:p>
          <w:p w:rsidR="00E57B1B" w:rsidRPr="00E57B1B" w:rsidRDefault="00E57B1B" w:rsidP="00865A5F">
            <w:pPr>
              <w:pStyle w:val="TableText0"/>
            </w:pPr>
            <w:r w:rsidRPr="00E57B1B">
              <w:rPr>
                <w:rFonts w:ascii="Arial" w:hAnsi="Arial"/>
                <w:sz w:val="18"/>
              </w:rPr>
              <w:t>Previous bone marrow</w:t>
            </w:r>
            <w:r w:rsidRPr="00E57B1B">
              <w:t xml:space="preserve"> </w:t>
            </w:r>
            <w:r w:rsidRPr="00E57B1B">
              <w:rPr>
                <w:rFonts w:ascii="Arial" w:hAnsi="Arial"/>
                <w:sz w:val="18"/>
              </w:rPr>
              <w:t>or cord blood transplant</w:t>
            </w:r>
          </w:p>
        </w:tc>
        <w:tc>
          <w:tcPr>
            <w:tcW w:w="1842" w:type="dxa"/>
          </w:tcPr>
          <w:p w:rsidR="00E57B1B" w:rsidRPr="00E57B1B" w:rsidRDefault="00E57B1B" w:rsidP="00865A5F">
            <w:pPr>
              <w:pStyle w:val="TableText0"/>
              <w:rPr>
                <w:rFonts w:ascii="Arial" w:hAnsi="Arial"/>
                <w:sz w:val="18"/>
                <w:u w:val="single"/>
              </w:rPr>
            </w:pPr>
            <w:r w:rsidRPr="00E57B1B">
              <w:rPr>
                <w:rFonts w:ascii="Arial" w:hAnsi="Arial"/>
                <w:sz w:val="18"/>
                <w:u w:val="single"/>
              </w:rPr>
              <w:t>Intervention</w:t>
            </w:r>
          </w:p>
          <w:p w:rsidR="00E57B1B" w:rsidRPr="00E57B1B" w:rsidRDefault="00E57B1B" w:rsidP="00865A5F">
            <w:pPr>
              <w:pStyle w:val="TableText0"/>
              <w:rPr>
                <w:rFonts w:ascii="Arial" w:hAnsi="Arial"/>
                <w:sz w:val="18"/>
              </w:rPr>
            </w:pPr>
            <w:r w:rsidRPr="00E57B1B">
              <w:rPr>
                <w:rFonts w:ascii="Arial" w:hAnsi="Arial"/>
                <w:sz w:val="18"/>
              </w:rPr>
              <w:t xml:space="preserve">Idursulfase 0.5 mg/kg weekly or </w:t>
            </w:r>
          </w:p>
          <w:p w:rsidR="00E57B1B" w:rsidRPr="00E57B1B" w:rsidRDefault="00E57B1B" w:rsidP="00865A5F">
            <w:pPr>
              <w:pStyle w:val="TableText0"/>
              <w:rPr>
                <w:rFonts w:ascii="Arial" w:hAnsi="Arial"/>
                <w:sz w:val="18"/>
              </w:rPr>
            </w:pPr>
            <w:r w:rsidRPr="00E57B1B">
              <w:rPr>
                <w:rFonts w:ascii="Arial" w:hAnsi="Arial"/>
                <w:sz w:val="18"/>
              </w:rPr>
              <w:t>Idursulfase 0.5 mg/kg EOW and placebo on alternate weeks</w:t>
            </w:r>
          </w:p>
          <w:p w:rsidR="00E57B1B" w:rsidRPr="00E57B1B" w:rsidRDefault="00E57B1B" w:rsidP="00865A5F">
            <w:pPr>
              <w:pStyle w:val="TableText0"/>
              <w:rPr>
                <w:rFonts w:ascii="Arial" w:hAnsi="Arial"/>
                <w:sz w:val="18"/>
                <w:u w:val="single"/>
              </w:rPr>
            </w:pPr>
            <w:r w:rsidRPr="00E57B1B">
              <w:rPr>
                <w:rFonts w:ascii="Arial" w:hAnsi="Arial"/>
                <w:sz w:val="18"/>
                <w:u w:val="single"/>
              </w:rPr>
              <w:t>Comparator</w:t>
            </w:r>
          </w:p>
          <w:p w:rsidR="00E57B1B" w:rsidRPr="00E57B1B" w:rsidRDefault="00E57B1B" w:rsidP="00865A5F">
            <w:pPr>
              <w:pStyle w:val="TableText0"/>
            </w:pPr>
            <w:r w:rsidRPr="00E57B1B">
              <w:rPr>
                <w:rFonts w:ascii="Arial" w:hAnsi="Arial"/>
                <w:sz w:val="18"/>
              </w:rPr>
              <w:t>Placebo weekly</w:t>
            </w:r>
          </w:p>
        </w:tc>
        <w:tc>
          <w:tcPr>
            <w:tcW w:w="1537" w:type="dxa"/>
            <w:tcBorders>
              <w:right w:val="single" w:sz="4" w:space="0" w:color="auto"/>
            </w:tcBorders>
          </w:tcPr>
          <w:p w:rsidR="00E57B1B" w:rsidRPr="00E57B1B" w:rsidRDefault="00E57B1B" w:rsidP="00865A5F">
            <w:pPr>
              <w:pStyle w:val="TableText0"/>
              <w:rPr>
                <w:rFonts w:ascii="Arial" w:hAnsi="Arial"/>
                <w:sz w:val="18"/>
                <w:u w:val="single"/>
              </w:rPr>
            </w:pPr>
            <w:r w:rsidRPr="00E57B1B">
              <w:rPr>
                <w:rFonts w:ascii="Arial" w:hAnsi="Arial"/>
                <w:sz w:val="18"/>
                <w:u w:val="single"/>
              </w:rPr>
              <w:t>Primary</w:t>
            </w:r>
          </w:p>
          <w:p w:rsidR="00E57B1B" w:rsidRPr="00E57B1B" w:rsidRDefault="00E57B1B" w:rsidP="00865A5F">
            <w:pPr>
              <w:pStyle w:val="TableText0"/>
              <w:rPr>
                <w:rFonts w:ascii="Arial" w:hAnsi="Arial"/>
                <w:sz w:val="18"/>
              </w:rPr>
            </w:pPr>
            <w:r w:rsidRPr="00E57B1B">
              <w:rPr>
                <w:rFonts w:ascii="Arial" w:hAnsi="Arial"/>
                <w:sz w:val="18"/>
              </w:rPr>
              <w:t>Two-component composite score</w:t>
            </w:r>
            <w:r w:rsidRPr="00E66055">
              <w:rPr>
                <w:rFonts w:ascii="Arial" w:hAnsi="Arial"/>
                <w:sz w:val="18"/>
                <w:vertAlign w:val="superscript"/>
              </w:rPr>
              <w:t>a</w:t>
            </w:r>
            <w:r w:rsidRPr="00E57B1B">
              <w:rPr>
                <w:rFonts w:ascii="Arial" w:hAnsi="Arial"/>
                <w:sz w:val="18"/>
              </w:rPr>
              <w:t xml:space="preserve"> (ITT analysis)</w:t>
            </w:r>
          </w:p>
          <w:p w:rsidR="00E57B1B" w:rsidRPr="00E57B1B" w:rsidRDefault="00E57B1B" w:rsidP="00865A5F">
            <w:pPr>
              <w:pStyle w:val="TableText0"/>
              <w:rPr>
                <w:rFonts w:ascii="Arial" w:hAnsi="Arial"/>
                <w:sz w:val="18"/>
              </w:rPr>
            </w:pPr>
            <w:r w:rsidRPr="00E57B1B">
              <w:rPr>
                <w:rFonts w:ascii="Arial" w:hAnsi="Arial"/>
                <w:sz w:val="18"/>
              </w:rPr>
              <w:t>6MWT (m)</w:t>
            </w:r>
          </w:p>
          <w:p w:rsidR="00E57B1B" w:rsidRPr="00E57B1B" w:rsidRDefault="00E57B1B" w:rsidP="00865A5F">
            <w:pPr>
              <w:pStyle w:val="TableText0"/>
              <w:rPr>
                <w:rFonts w:ascii="Arial" w:hAnsi="Arial"/>
                <w:sz w:val="18"/>
              </w:rPr>
            </w:pPr>
            <w:r w:rsidRPr="00E57B1B">
              <w:rPr>
                <w:rFonts w:ascii="Arial" w:hAnsi="Arial"/>
                <w:sz w:val="18"/>
              </w:rPr>
              <w:t>FVC (L, % predicted)</w:t>
            </w:r>
          </w:p>
          <w:p w:rsidR="00E57B1B" w:rsidRPr="00E57B1B" w:rsidRDefault="00E57B1B" w:rsidP="00865A5F">
            <w:pPr>
              <w:pStyle w:val="TableText0"/>
              <w:rPr>
                <w:rFonts w:ascii="Arial" w:hAnsi="Arial"/>
                <w:sz w:val="18"/>
              </w:rPr>
            </w:pPr>
            <w:r w:rsidRPr="00E57B1B">
              <w:rPr>
                <w:rFonts w:ascii="Arial" w:hAnsi="Arial"/>
                <w:sz w:val="18"/>
              </w:rPr>
              <w:t>Liver and spleen volumes (ml)</w:t>
            </w:r>
          </w:p>
          <w:p w:rsidR="00E57B1B" w:rsidRPr="00E57B1B" w:rsidRDefault="00E57B1B" w:rsidP="00865A5F">
            <w:pPr>
              <w:pStyle w:val="TableText0"/>
              <w:rPr>
                <w:rFonts w:ascii="Arial" w:hAnsi="Arial"/>
                <w:sz w:val="18"/>
              </w:rPr>
            </w:pPr>
            <w:r w:rsidRPr="00E57B1B">
              <w:rPr>
                <w:rFonts w:ascii="Arial" w:hAnsi="Arial"/>
                <w:sz w:val="18"/>
              </w:rPr>
              <w:t>Urine GAG level (µg/mg creatinine)</w:t>
            </w:r>
          </w:p>
          <w:p w:rsidR="00E57B1B" w:rsidRPr="00E57B1B" w:rsidRDefault="00E57B1B" w:rsidP="00865A5F">
            <w:pPr>
              <w:pStyle w:val="TableText0"/>
              <w:rPr>
                <w:rFonts w:ascii="Arial" w:hAnsi="Arial"/>
                <w:sz w:val="18"/>
              </w:rPr>
            </w:pPr>
            <w:r w:rsidRPr="00E57B1B">
              <w:rPr>
                <w:rFonts w:ascii="Arial" w:hAnsi="Arial"/>
                <w:sz w:val="18"/>
              </w:rPr>
              <w:t>Joint mobility (goniometry)</w:t>
            </w:r>
          </w:p>
          <w:p w:rsidR="00E57B1B" w:rsidRPr="00E57B1B" w:rsidRDefault="00E57B1B" w:rsidP="00865A5F">
            <w:pPr>
              <w:pStyle w:val="TableText0"/>
              <w:rPr>
                <w:rFonts w:ascii="Arial" w:hAnsi="Arial"/>
                <w:sz w:val="18"/>
                <w:u w:val="single"/>
              </w:rPr>
            </w:pPr>
            <w:r w:rsidRPr="00E57B1B">
              <w:rPr>
                <w:rFonts w:ascii="Arial" w:hAnsi="Arial"/>
                <w:sz w:val="18"/>
                <w:u w:val="single"/>
              </w:rPr>
              <w:t>Safety</w:t>
            </w:r>
          </w:p>
          <w:p w:rsidR="00E57B1B" w:rsidRPr="00E57B1B" w:rsidRDefault="00E57B1B" w:rsidP="00865A5F">
            <w:pPr>
              <w:pStyle w:val="TableText0"/>
              <w:rPr>
                <w:rFonts w:ascii="Arial" w:hAnsi="Arial"/>
                <w:sz w:val="18"/>
              </w:rPr>
            </w:pPr>
            <w:r w:rsidRPr="00E57B1B">
              <w:rPr>
                <w:rFonts w:ascii="Arial" w:hAnsi="Arial"/>
                <w:sz w:val="18"/>
              </w:rPr>
              <w:t>Adverse events (n)</w:t>
            </w:r>
          </w:p>
          <w:p w:rsidR="00E57B1B" w:rsidRPr="00E57B1B" w:rsidRDefault="00E57B1B" w:rsidP="00865A5F">
            <w:pPr>
              <w:pStyle w:val="TableText0"/>
              <w:rPr>
                <w:rFonts w:ascii="Arial" w:hAnsi="Arial"/>
                <w:sz w:val="18"/>
              </w:rPr>
            </w:pPr>
            <w:r w:rsidRPr="00E57B1B">
              <w:rPr>
                <w:rFonts w:ascii="Arial" w:hAnsi="Arial"/>
                <w:sz w:val="18"/>
              </w:rPr>
              <w:t>Antibodies (% patients)</w:t>
            </w:r>
          </w:p>
          <w:p w:rsidR="00E57B1B" w:rsidRPr="00E57B1B" w:rsidRDefault="00E57B1B" w:rsidP="00865A5F">
            <w:pPr>
              <w:pStyle w:val="TableText0"/>
            </w:pPr>
          </w:p>
        </w:tc>
        <w:tc>
          <w:tcPr>
            <w:tcW w:w="992" w:type="dxa"/>
            <w:tcBorders>
              <w:left w:val="single" w:sz="4" w:space="0" w:color="auto"/>
            </w:tcBorders>
          </w:tcPr>
          <w:p w:rsidR="00E57B1B" w:rsidRPr="00E57B1B" w:rsidRDefault="00E57B1B" w:rsidP="00865A5F">
            <w:pPr>
              <w:pStyle w:val="TableText0"/>
              <w:rPr>
                <w:rFonts w:ascii="Arial" w:hAnsi="Arial"/>
                <w:sz w:val="18"/>
              </w:rPr>
            </w:pPr>
            <w:r w:rsidRPr="00E57B1B">
              <w:rPr>
                <w:rFonts w:ascii="Arial" w:hAnsi="Arial"/>
                <w:sz w:val="18"/>
              </w:rPr>
              <w:t>Double-blind phase: 18 weeks</w:t>
            </w:r>
          </w:p>
          <w:p w:rsidR="00E57B1B" w:rsidRPr="00E57B1B" w:rsidRDefault="00E57B1B" w:rsidP="00865A5F">
            <w:pPr>
              <w:pStyle w:val="TableText0"/>
            </w:pPr>
            <w:r w:rsidRPr="00E57B1B">
              <w:rPr>
                <w:rFonts w:ascii="Arial" w:hAnsi="Arial"/>
                <w:sz w:val="18"/>
              </w:rPr>
              <w:t>Open-label phase: 53 weeks</w:t>
            </w:r>
          </w:p>
        </w:tc>
        <w:tc>
          <w:tcPr>
            <w:tcW w:w="827" w:type="dxa"/>
          </w:tcPr>
          <w:p w:rsidR="00E57B1B" w:rsidRPr="00E57B1B" w:rsidRDefault="00E57B1B" w:rsidP="00865A5F">
            <w:pPr>
              <w:pStyle w:val="TableText0"/>
            </w:pPr>
          </w:p>
        </w:tc>
      </w:tr>
    </w:tbl>
    <w:p w:rsidR="00E57B1B" w:rsidRPr="00762B1D" w:rsidRDefault="00E57B1B" w:rsidP="00FF35CB">
      <w:pPr>
        <w:pStyle w:val="TableNote"/>
      </w:pPr>
      <w:r w:rsidRPr="00762B1D">
        <w:t xml:space="preserve">6MWT </w:t>
      </w:r>
      <w:r w:rsidR="00652355" w:rsidRPr="00652355">
        <w:rPr>
          <w:spacing w:val="-20"/>
        </w:rPr>
        <w:t xml:space="preserve"> = </w:t>
      </w:r>
      <w:r w:rsidRPr="00762B1D">
        <w:t xml:space="preserve"> 6 minute walk test; EOW – every other week; FVC </w:t>
      </w:r>
      <w:r w:rsidR="00652355" w:rsidRPr="00652355">
        <w:rPr>
          <w:spacing w:val="-20"/>
        </w:rPr>
        <w:t xml:space="preserve"> = </w:t>
      </w:r>
      <w:r w:rsidRPr="00762B1D">
        <w:t xml:space="preserve"> forced vital capacity; ITT </w:t>
      </w:r>
      <w:r w:rsidR="00652355" w:rsidRPr="00652355">
        <w:rPr>
          <w:spacing w:val="-20"/>
        </w:rPr>
        <w:t xml:space="preserve"> = </w:t>
      </w:r>
      <w:r w:rsidRPr="00762B1D">
        <w:t xml:space="preserve"> intention to treat; L </w:t>
      </w:r>
      <w:r w:rsidR="00652355" w:rsidRPr="00652355">
        <w:rPr>
          <w:spacing w:val="-20"/>
        </w:rPr>
        <w:t xml:space="preserve"> = </w:t>
      </w:r>
      <w:r w:rsidRPr="00762B1D">
        <w:t xml:space="preserve"> litres; m </w:t>
      </w:r>
      <w:r w:rsidR="00652355" w:rsidRPr="00652355">
        <w:rPr>
          <w:spacing w:val="-20"/>
        </w:rPr>
        <w:t xml:space="preserve"> = </w:t>
      </w:r>
      <w:r w:rsidRPr="00762B1D">
        <w:t xml:space="preserve"> metres; ml </w:t>
      </w:r>
      <w:r w:rsidR="00652355" w:rsidRPr="00652355">
        <w:rPr>
          <w:spacing w:val="-20"/>
        </w:rPr>
        <w:t xml:space="preserve"> = </w:t>
      </w:r>
      <w:r w:rsidRPr="00762B1D">
        <w:t xml:space="preserve"> millilitres; mo </w:t>
      </w:r>
      <w:r w:rsidR="00652355" w:rsidRPr="00652355">
        <w:rPr>
          <w:spacing w:val="-20"/>
        </w:rPr>
        <w:t xml:space="preserve"> = </w:t>
      </w:r>
      <w:r w:rsidRPr="00762B1D">
        <w:t xml:space="preserve"> months; RCT </w:t>
      </w:r>
      <w:r w:rsidR="00652355" w:rsidRPr="00652355">
        <w:rPr>
          <w:spacing w:val="-20"/>
        </w:rPr>
        <w:t xml:space="preserve"> = </w:t>
      </w:r>
      <w:r w:rsidRPr="00762B1D">
        <w:t xml:space="preserve"> randomised controlled trial; MPS VI </w:t>
      </w:r>
      <w:r w:rsidR="00652355" w:rsidRPr="00652355">
        <w:rPr>
          <w:spacing w:val="-20"/>
        </w:rPr>
        <w:t xml:space="preserve"> = </w:t>
      </w:r>
      <w:r w:rsidRPr="00762B1D">
        <w:t xml:space="preserve"> mucopolysaccharidosis VI</w:t>
      </w:r>
    </w:p>
    <w:p w:rsidR="00E57B1B" w:rsidRPr="00762B1D" w:rsidRDefault="00E57B1B" w:rsidP="00FF35CB">
      <w:pPr>
        <w:pStyle w:val="TableNote"/>
      </w:pPr>
      <w:proofErr w:type="gramStart"/>
      <w:r w:rsidRPr="00762B1D">
        <w:rPr>
          <w:vertAlign w:val="superscript"/>
        </w:rPr>
        <w:lastRenderedPageBreak/>
        <w:t>a</w:t>
      </w:r>
      <w:r w:rsidRPr="00762B1D">
        <w:t>The</w:t>
      </w:r>
      <w:proofErr w:type="gramEnd"/>
      <w:r w:rsidRPr="00762B1D">
        <w:t xml:space="preserve"> two-component composite score for each patient was calculated by summing the ranks of the two individual components according to the procedure described by O’Brien, 1984.</w:t>
      </w:r>
    </w:p>
    <w:p w:rsidR="00A4010A" w:rsidRPr="003F3F2D" w:rsidRDefault="00FF35CB" w:rsidP="00FF35CB">
      <w:pPr>
        <w:pStyle w:val="Heading3"/>
      </w:pPr>
      <w:r>
        <w:t>Galsulfase</w:t>
      </w:r>
    </w:p>
    <w:p w:rsidR="00A4010A" w:rsidRDefault="00762B1D" w:rsidP="00CF4929">
      <w:pPr>
        <w:pStyle w:val="Caption"/>
        <w:keepNext/>
        <w:tabs>
          <w:tab w:val="clear" w:pos="851"/>
          <w:tab w:val="left" w:pos="1276"/>
        </w:tabs>
        <w:ind w:left="1276" w:hanging="1276"/>
      </w:pPr>
      <w:bookmarkStart w:id="1145" w:name="_Toc411510530"/>
      <w:bookmarkStart w:id="1146" w:name="_Toc415141960"/>
      <w:r>
        <w:t xml:space="preserve">Table </w:t>
      </w:r>
      <w:r w:rsidR="00A72B26">
        <w:rPr>
          <w:noProof/>
        </w:rPr>
        <w:t>163</w:t>
      </w:r>
      <w:r>
        <w:tab/>
        <w:t>Study profiles for studies on galsulfase for MPS VI</w:t>
      </w:r>
      <w:bookmarkEnd w:id="1145"/>
      <w:bookmarkEnd w:id="1146"/>
    </w:p>
    <w:tbl>
      <w:tblPr>
        <w:tblStyle w:val="TableGrid"/>
        <w:tblW w:w="14260" w:type="dxa"/>
        <w:tblLook w:val="04A0" w:firstRow="1" w:lastRow="0" w:firstColumn="1" w:lastColumn="0" w:noHBand="0" w:noVBand="1"/>
        <w:tblCaption w:val="Table 126 Study profiles for studies on galsulfase for MPS VI"/>
      </w:tblPr>
      <w:tblGrid>
        <w:gridCol w:w="1229"/>
        <w:gridCol w:w="1551"/>
        <w:gridCol w:w="3052"/>
        <w:gridCol w:w="2356"/>
        <w:gridCol w:w="1993"/>
        <w:gridCol w:w="1729"/>
        <w:gridCol w:w="1201"/>
        <w:gridCol w:w="1149"/>
      </w:tblGrid>
      <w:tr w:rsidR="00762B1D" w:rsidRPr="00762B1D" w:rsidTr="00CE0D5D">
        <w:trPr>
          <w:tblHeader/>
        </w:trPr>
        <w:tc>
          <w:tcPr>
            <w:tcW w:w="1229" w:type="dxa"/>
          </w:tcPr>
          <w:p w:rsidR="00762B1D" w:rsidRPr="00762B1D" w:rsidRDefault="00762B1D" w:rsidP="00865A5F">
            <w:pPr>
              <w:pStyle w:val="TableHeading"/>
            </w:pPr>
            <w:r w:rsidRPr="00762B1D">
              <w:t>Author (Year) / Country</w:t>
            </w:r>
          </w:p>
        </w:tc>
        <w:tc>
          <w:tcPr>
            <w:tcW w:w="1551" w:type="dxa"/>
          </w:tcPr>
          <w:p w:rsidR="00762B1D" w:rsidRPr="00762B1D" w:rsidRDefault="00762B1D" w:rsidP="00865A5F">
            <w:pPr>
              <w:pStyle w:val="TableHeading"/>
            </w:pPr>
            <w:r w:rsidRPr="00762B1D">
              <w:t>Study Design/ Level of Evidence/ Type of analysis/</w:t>
            </w:r>
          </w:p>
          <w:p w:rsidR="00762B1D" w:rsidRPr="00762B1D" w:rsidRDefault="00762B1D" w:rsidP="00865A5F">
            <w:pPr>
              <w:pStyle w:val="TableHeading"/>
            </w:pPr>
            <w:r w:rsidRPr="00762B1D">
              <w:t>Risk of bias</w:t>
            </w:r>
          </w:p>
        </w:tc>
        <w:tc>
          <w:tcPr>
            <w:tcW w:w="3052" w:type="dxa"/>
          </w:tcPr>
          <w:p w:rsidR="00762B1D" w:rsidRPr="00762B1D" w:rsidRDefault="00762B1D" w:rsidP="00865A5F">
            <w:pPr>
              <w:pStyle w:val="TableHeading"/>
            </w:pPr>
            <w:r w:rsidRPr="00762B1D">
              <w:t>Study sample characteristics</w:t>
            </w:r>
          </w:p>
        </w:tc>
        <w:tc>
          <w:tcPr>
            <w:tcW w:w="2356" w:type="dxa"/>
          </w:tcPr>
          <w:p w:rsidR="00762B1D" w:rsidRPr="00762B1D" w:rsidRDefault="00762B1D" w:rsidP="00865A5F">
            <w:pPr>
              <w:pStyle w:val="TableHeading"/>
            </w:pPr>
            <w:r w:rsidRPr="00762B1D">
              <w:t>Eligibility criteria</w:t>
            </w:r>
          </w:p>
        </w:tc>
        <w:tc>
          <w:tcPr>
            <w:tcW w:w="1993" w:type="dxa"/>
          </w:tcPr>
          <w:p w:rsidR="00762B1D" w:rsidRPr="00762B1D" w:rsidRDefault="00762B1D" w:rsidP="00865A5F">
            <w:pPr>
              <w:pStyle w:val="TableHeading"/>
            </w:pPr>
            <w:r w:rsidRPr="00762B1D">
              <w:t>Intervention drug treatment details</w:t>
            </w:r>
          </w:p>
          <w:p w:rsidR="00762B1D" w:rsidRPr="00762B1D" w:rsidRDefault="00762B1D" w:rsidP="00865A5F">
            <w:pPr>
              <w:pStyle w:val="TableHeading"/>
            </w:pPr>
            <w:r w:rsidRPr="00762B1D">
              <w:t>Comparator drugs treatment details</w:t>
            </w:r>
          </w:p>
        </w:tc>
        <w:tc>
          <w:tcPr>
            <w:tcW w:w="1729" w:type="dxa"/>
            <w:tcBorders>
              <w:right w:val="single" w:sz="4" w:space="0" w:color="auto"/>
            </w:tcBorders>
          </w:tcPr>
          <w:p w:rsidR="00762B1D" w:rsidRPr="00762B1D" w:rsidRDefault="00762B1D" w:rsidP="00865A5F">
            <w:pPr>
              <w:pStyle w:val="TableHeading"/>
            </w:pPr>
            <w:r w:rsidRPr="00762B1D">
              <w:t>Outcomes reported (relevant to the review) / measurement tools and scale</w:t>
            </w:r>
          </w:p>
        </w:tc>
        <w:tc>
          <w:tcPr>
            <w:tcW w:w="1201" w:type="dxa"/>
            <w:tcBorders>
              <w:left w:val="single" w:sz="4" w:space="0" w:color="auto"/>
            </w:tcBorders>
          </w:tcPr>
          <w:p w:rsidR="00762B1D" w:rsidRPr="00762B1D" w:rsidRDefault="00762B1D" w:rsidP="00865A5F">
            <w:pPr>
              <w:pStyle w:val="TableHeading"/>
            </w:pPr>
            <w:r w:rsidRPr="00762B1D">
              <w:t>Duration of follow-up</w:t>
            </w:r>
          </w:p>
        </w:tc>
        <w:tc>
          <w:tcPr>
            <w:tcW w:w="1149" w:type="dxa"/>
          </w:tcPr>
          <w:p w:rsidR="00762B1D" w:rsidRPr="00762B1D" w:rsidRDefault="00762B1D" w:rsidP="00865A5F">
            <w:pPr>
              <w:pStyle w:val="TableHeading"/>
            </w:pPr>
            <w:r w:rsidRPr="00762B1D">
              <w:t>Comments</w:t>
            </w:r>
          </w:p>
        </w:tc>
      </w:tr>
      <w:tr w:rsidR="00762B1D" w:rsidRPr="00762B1D" w:rsidTr="000D7507">
        <w:tc>
          <w:tcPr>
            <w:tcW w:w="1229" w:type="dxa"/>
          </w:tcPr>
          <w:p w:rsidR="00762B1D" w:rsidRPr="00762B1D" w:rsidRDefault="00762B1D" w:rsidP="00865A5F">
            <w:pPr>
              <w:pStyle w:val="TableText0"/>
              <w:rPr>
                <w:rFonts w:ascii="Arial" w:hAnsi="Arial"/>
                <w:sz w:val="18"/>
              </w:rPr>
            </w:pPr>
            <w:r w:rsidRPr="00762B1D">
              <w:rPr>
                <w:rFonts w:ascii="Arial" w:hAnsi="Arial"/>
                <w:sz w:val="18"/>
              </w:rPr>
              <w:t>Harmatz</w:t>
            </w:r>
          </w:p>
          <w:p w:rsidR="00762B1D" w:rsidRPr="00762B1D" w:rsidRDefault="00762B1D" w:rsidP="00865A5F">
            <w:pPr>
              <w:pStyle w:val="TableText0"/>
              <w:rPr>
                <w:rFonts w:ascii="Arial" w:hAnsi="Arial"/>
                <w:sz w:val="18"/>
              </w:rPr>
            </w:pPr>
            <w:r w:rsidRPr="00762B1D">
              <w:rPr>
                <w:rFonts w:ascii="Arial" w:hAnsi="Arial"/>
                <w:sz w:val="18"/>
              </w:rPr>
              <w:t>2006</w:t>
            </w:r>
          </w:p>
          <w:p w:rsidR="00762B1D" w:rsidRPr="00762B1D" w:rsidRDefault="00762B1D" w:rsidP="00865A5F">
            <w:pPr>
              <w:pStyle w:val="TableText0"/>
              <w:rPr>
                <w:rFonts w:ascii="Arial" w:hAnsi="Arial"/>
                <w:sz w:val="18"/>
              </w:rPr>
            </w:pPr>
            <w:r w:rsidRPr="00762B1D">
              <w:rPr>
                <w:rFonts w:ascii="Arial" w:hAnsi="Arial"/>
                <w:sz w:val="18"/>
              </w:rPr>
              <w:t>USA, Brazil, France, Portugal, UK, Germany</w:t>
            </w:r>
          </w:p>
          <w:p w:rsidR="00762B1D" w:rsidRPr="00762B1D" w:rsidRDefault="00762B1D" w:rsidP="00865A5F">
            <w:pPr>
              <w:pStyle w:val="TableText0"/>
            </w:pPr>
          </w:p>
        </w:tc>
        <w:tc>
          <w:tcPr>
            <w:tcW w:w="1551" w:type="dxa"/>
          </w:tcPr>
          <w:p w:rsidR="00762B1D" w:rsidRPr="00762B1D" w:rsidRDefault="00762B1D" w:rsidP="00865A5F">
            <w:pPr>
              <w:pStyle w:val="TableText0"/>
              <w:rPr>
                <w:rFonts w:ascii="Arial" w:hAnsi="Arial"/>
                <w:sz w:val="18"/>
              </w:rPr>
            </w:pPr>
            <w:r w:rsidRPr="00762B1D">
              <w:rPr>
                <w:rFonts w:ascii="Arial" w:hAnsi="Arial"/>
                <w:sz w:val="18"/>
              </w:rPr>
              <w:t>RCT</w:t>
            </w:r>
          </w:p>
          <w:p w:rsidR="00762B1D" w:rsidRPr="00762B1D" w:rsidRDefault="00762B1D" w:rsidP="00865A5F">
            <w:pPr>
              <w:pStyle w:val="TableText0"/>
              <w:rPr>
                <w:rFonts w:ascii="Arial" w:hAnsi="Arial"/>
                <w:sz w:val="18"/>
              </w:rPr>
            </w:pPr>
            <w:r w:rsidRPr="00762B1D">
              <w:rPr>
                <w:rFonts w:ascii="Arial" w:hAnsi="Arial"/>
                <w:sz w:val="18"/>
              </w:rPr>
              <w:t>Level II evidence</w:t>
            </w:r>
          </w:p>
          <w:p w:rsidR="00762B1D" w:rsidRDefault="00762B1D" w:rsidP="00865A5F">
            <w:pPr>
              <w:pStyle w:val="TableText0"/>
              <w:rPr>
                <w:rFonts w:ascii="Arial" w:hAnsi="Arial"/>
                <w:sz w:val="18"/>
              </w:rPr>
            </w:pPr>
            <w:r w:rsidRPr="00762B1D">
              <w:rPr>
                <w:rFonts w:ascii="Arial" w:hAnsi="Arial"/>
                <w:sz w:val="18"/>
              </w:rPr>
              <w:t>Double-blind, multi-centre trial, followed by an open-label extension trial</w:t>
            </w:r>
          </w:p>
          <w:p w:rsidR="00157C57" w:rsidRPr="00762B1D" w:rsidRDefault="00157C57" w:rsidP="00865A5F">
            <w:pPr>
              <w:pStyle w:val="TableText0"/>
              <w:rPr>
                <w:rFonts w:ascii="Arial" w:hAnsi="Arial"/>
                <w:sz w:val="18"/>
              </w:rPr>
            </w:pPr>
            <w:r>
              <w:rPr>
                <w:rFonts w:ascii="Arial" w:hAnsi="Arial"/>
                <w:sz w:val="18"/>
              </w:rPr>
              <w:t>High risk of bias</w:t>
            </w:r>
          </w:p>
          <w:p w:rsidR="00762B1D" w:rsidRPr="00762B1D" w:rsidRDefault="00762B1D" w:rsidP="00865A5F">
            <w:pPr>
              <w:pStyle w:val="TableText0"/>
            </w:pPr>
          </w:p>
        </w:tc>
        <w:tc>
          <w:tcPr>
            <w:tcW w:w="3052" w:type="dxa"/>
          </w:tcPr>
          <w:p w:rsidR="00762B1D" w:rsidRPr="00762B1D" w:rsidRDefault="00762B1D" w:rsidP="00865A5F">
            <w:pPr>
              <w:pStyle w:val="TableText0"/>
              <w:rPr>
                <w:rFonts w:ascii="Arial" w:hAnsi="Arial"/>
                <w:sz w:val="18"/>
              </w:rPr>
            </w:pPr>
            <w:r w:rsidRPr="00762B1D">
              <w:rPr>
                <w:rFonts w:ascii="Arial" w:hAnsi="Arial"/>
                <w:sz w:val="18"/>
              </w:rPr>
              <w:t xml:space="preserve">N </w:t>
            </w:r>
            <w:r w:rsidR="00652355" w:rsidRPr="00652355">
              <w:rPr>
                <w:rFonts w:ascii="Arial" w:hAnsi="Arial"/>
                <w:spacing w:val="-20"/>
                <w:sz w:val="18"/>
              </w:rPr>
              <w:t xml:space="preserve"> = </w:t>
            </w:r>
            <w:r w:rsidRPr="00762B1D">
              <w:rPr>
                <w:rFonts w:ascii="Arial" w:hAnsi="Arial"/>
                <w:sz w:val="18"/>
              </w:rPr>
              <w:t xml:space="preserve"> 29 patients with MPS VI</w:t>
            </w:r>
          </w:p>
          <w:p w:rsidR="00762B1D" w:rsidRPr="00762B1D" w:rsidRDefault="00762B1D" w:rsidP="00865A5F">
            <w:pPr>
              <w:pStyle w:val="TableText0"/>
              <w:rPr>
                <w:rFonts w:ascii="Arial" w:hAnsi="Arial"/>
                <w:sz w:val="18"/>
                <w:u w:val="single"/>
              </w:rPr>
            </w:pPr>
            <w:r w:rsidRPr="00762B1D">
              <w:rPr>
                <w:rFonts w:ascii="Arial" w:hAnsi="Arial"/>
                <w:sz w:val="18"/>
                <w:u w:val="single"/>
              </w:rPr>
              <w:t>Intervention (n</w:t>
            </w:r>
            <w:r w:rsidR="00652355" w:rsidRPr="00652355">
              <w:rPr>
                <w:rFonts w:ascii="Arial" w:hAnsi="Arial"/>
                <w:spacing w:val="-20"/>
                <w:sz w:val="18"/>
                <w:u w:val="single"/>
              </w:rPr>
              <w:t xml:space="preserve"> = </w:t>
            </w:r>
            <w:r w:rsidRPr="00762B1D">
              <w:rPr>
                <w:rFonts w:ascii="Arial" w:hAnsi="Arial"/>
                <w:sz w:val="18"/>
                <w:u w:val="single"/>
              </w:rPr>
              <w:t>19)</w:t>
            </w:r>
          </w:p>
          <w:p w:rsidR="00762B1D" w:rsidRPr="00762B1D" w:rsidRDefault="00762B1D" w:rsidP="00865A5F">
            <w:pPr>
              <w:pStyle w:val="TableText0"/>
              <w:rPr>
                <w:rFonts w:ascii="Arial" w:hAnsi="Arial"/>
                <w:sz w:val="18"/>
              </w:rPr>
            </w:pPr>
            <w:r w:rsidRPr="00762B1D">
              <w:rPr>
                <w:rFonts w:ascii="Arial" w:hAnsi="Arial"/>
                <w:sz w:val="18"/>
              </w:rPr>
              <w:t>Female n</w:t>
            </w:r>
            <w:r w:rsidR="00652355" w:rsidRPr="00652355">
              <w:rPr>
                <w:rFonts w:ascii="Arial" w:hAnsi="Arial"/>
                <w:spacing w:val="-20"/>
                <w:sz w:val="18"/>
              </w:rPr>
              <w:t xml:space="preserve"> = </w:t>
            </w:r>
            <w:r w:rsidRPr="00762B1D">
              <w:rPr>
                <w:rFonts w:ascii="Arial" w:hAnsi="Arial"/>
                <w:sz w:val="18"/>
              </w:rPr>
              <w:t>12 (63%)</w:t>
            </w:r>
          </w:p>
          <w:p w:rsidR="00762B1D" w:rsidRPr="00762B1D" w:rsidRDefault="00762B1D" w:rsidP="00865A5F">
            <w:pPr>
              <w:pStyle w:val="TableText0"/>
              <w:rPr>
                <w:rFonts w:ascii="Arial" w:hAnsi="Arial"/>
                <w:sz w:val="18"/>
              </w:rPr>
            </w:pPr>
            <w:r w:rsidRPr="00762B1D">
              <w:rPr>
                <w:rFonts w:ascii="Arial" w:hAnsi="Arial"/>
                <w:sz w:val="18"/>
              </w:rPr>
              <w:t xml:space="preserve">Mean age (SD) </w:t>
            </w:r>
            <w:r w:rsidR="00652355" w:rsidRPr="00652355">
              <w:rPr>
                <w:rFonts w:ascii="Arial" w:hAnsi="Arial"/>
                <w:spacing w:val="-20"/>
                <w:sz w:val="18"/>
              </w:rPr>
              <w:t xml:space="preserve"> = </w:t>
            </w:r>
            <w:r w:rsidRPr="00762B1D">
              <w:rPr>
                <w:rFonts w:ascii="Arial" w:hAnsi="Arial"/>
                <w:sz w:val="18"/>
              </w:rPr>
              <w:t xml:space="preserve"> 13.7 (6.47) years</w:t>
            </w:r>
          </w:p>
          <w:p w:rsidR="00762B1D" w:rsidRPr="00762B1D" w:rsidRDefault="00762B1D" w:rsidP="00865A5F">
            <w:pPr>
              <w:pStyle w:val="TableText0"/>
              <w:rPr>
                <w:rFonts w:ascii="Arial" w:hAnsi="Arial"/>
                <w:sz w:val="18"/>
              </w:rPr>
            </w:pPr>
            <w:r w:rsidRPr="00762B1D">
              <w:rPr>
                <w:rFonts w:ascii="Arial" w:hAnsi="Arial"/>
                <w:sz w:val="18"/>
              </w:rPr>
              <w:t>White n</w:t>
            </w:r>
            <w:r w:rsidR="00652355" w:rsidRPr="00652355">
              <w:rPr>
                <w:rFonts w:ascii="Arial" w:hAnsi="Arial"/>
                <w:spacing w:val="-20"/>
                <w:sz w:val="18"/>
              </w:rPr>
              <w:t xml:space="preserve"> = </w:t>
            </w:r>
            <w:r w:rsidRPr="00762B1D">
              <w:rPr>
                <w:rFonts w:ascii="Arial" w:hAnsi="Arial"/>
                <w:sz w:val="18"/>
              </w:rPr>
              <w:t>16 (84%)</w:t>
            </w:r>
          </w:p>
          <w:p w:rsidR="00762B1D" w:rsidRPr="00762B1D" w:rsidRDefault="00762B1D" w:rsidP="00865A5F">
            <w:pPr>
              <w:pStyle w:val="TableText0"/>
              <w:rPr>
                <w:rFonts w:ascii="Arial" w:hAnsi="Arial"/>
                <w:sz w:val="18"/>
              </w:rPr>
            </w:pPr>
            <w:r w:rsidRPr="00762B1D">
              <w:rPr>
                <w:rFonts w:ascii="Arial" w:hAnsi="Arial"/>
                <w:sz w:val="18"/>
              </w:rPr>
              <w:t xml:space="preserve">Mean height (SD) </w:t>
            </w:r>
            <w:r w:rsidR="00652355" w:rsidRPr="00652355">
              <w:rPr>
                <w:rFonts w:ascii="Arial" w:hAnsi="Arial"/>
                <w:spacing w:val="-20"/>
                <w:sz w:val="18"/>
              </w:rPr>
              <w:t xml:space="preserve"> = </w:t>
            </w:r>
            <w:r w:rsidRPr="00762B1D">
              <w:rPr>
                <w:rFonts w:ascii="Arial" w:hAnsi="Arial"/>
                <w:sz w:val="18"/>
              </w:rPr>
              <w:t xml:space="preserve"> 104.4 (12.87) cm</w:t>
            </w:r>
          </w:p>
          <w:p w:rsidR="00762B1D" w:rsidRPr="00762B1D" w:rsidRDefault="00762B1D" w:rsidP="00865A5F">
            <w:pPr>
              <w:pStyle w:val="TableText0"/>
              <w:rPr>
                <w:rFonts w:ascii="Arial" w:hAnsi="Arial"/>
                <w:sz w:val="18"/>
              </w:rPr>
            </w:pPr>
            <w:r w:rsidRPr="00762B1D">
              <w:rPr>
                <w:rFonts w:ascii="Arial" w:hAnsi="Arial"/>
                <w:sz w:val="18"/>
              </w:rPr>
              <w:t xml:space="preserve">Mean weight (SD) </w:t>
            </w:r>
            <w:r w:rsidR="00652355" w:rsidRPr="00652355">
              <w:rPr>
                <w:rFonts w:ascii="Arial" w:hAnsi="Arial"/>
                <w:spacing w:val="-20"/>
                <w:sz w:val="18"/>
              </w:rPr>
              <w:t xml:space="preserve"> = </w:t>
            </w:r>
            <w:r w:rsidRPr="00762B1D">
              <w:rPr>
                <w:rFonts w:ascii="Arial" w:hAnsi="Arial"/>
                <w:sz w:val="18"/>
              </w:rPr>
              <w:t xml:space="preserve"> 24.6 (9.14) kg</w:t>
            </w:r>
          </w:p>
          <w:p w:rsidR="00762B1D" w:rsidRPr="00762B1D" w:rsidRDefault="00762B1D" w:rsidP="00865A5F">
            <w:pPr>
              <w:pStyle w:val="TableText0"/>
              <w:rPr>
                <w:rFonts w:ascii="Arial" w:hAnsi="Arial"/>
                <w:sz w:val="18"/>
                <w:u w:val="single"/>
              </w:rPr>
            </w:pPr>
            <w:r w:rsidRPr="00762B1D">
              <w:rPr>
                <w:rFonts w:ascii="Arial" w:hAnsi="Arial"/>
                <w:sz w:val="18"/>
                <w:u w:val="single"/>
              </w:rPr>
              <w:t>Comparator (n</w:t>
            </w:r>
            <w:r w:rsidR="00652355" w:rsidRPr="00652355">
              <w:rPr>
                <w:rFonts w:ascii="Arial" w:hAnsi="Arial"/>
                <w:spacing w:val="-20"/>
                <w:sz w:val="18"/>
                <w:u w:val="single"/>
              </w:rPr>
              <w:t xml:space="preserve"> = </w:t>
            </w:r>
            <w:r w:rsidRPr="00762B1D">
              <w:rPr>
                <w:rFonts w:ascii="Arial" w:hAnsi="Arial"/>
                <w:sz w:val="18"/>
                <w:u w:val="single"/>
              </w:rPr>
              <w:t>19)</w:t>
            </w:r>
          </w:p>
          <w:p w:rsidR="00762B1D" w:rsidRPr="00762B1D" w:rsidRDefault="00762B1D" w:rsidP="00865A5F">
            <w:pPr>
              <w:pStyle w:val="TableText0"/>
              <w:rPr>
                <w:rFonts w:ascii="Arial" w:hAnsi="Arial"/>
                <w:sz w:val="18"/>
              </w:rPr>
            </w:pPr>
            <w:r w:rsidRPr="00762B1D">
              <w:rPr>
                <w:rFonts w:ascii="Arial" w:hAnsi="Arial"/>
                <w:sz w:val="18"/>
              </w:rPr>
              <w:t>Female n</w:t>
            </w:r>
            <w:r w:rsidR="00652355" w:rsidRPr="00652355">
              <w:rPr>
                <w:rFonts w:ascii="Arial" w:hAnsi="Arial"/>
                <w:spacing w:val="-20"/>
                <w:sz w:val="18"/>
              </w:rPr>
              <w:t xml:space="preserve"> = </w:t>
            </w:r>
            <w:r w:rsidRPr="00762B1D">
              <w:rPr>
                <w:rFonts w:ascii="Arial" w:hAnsi="Arial"/>
                <w:sz w:val="18"/>
              </w:rPr>
              <w:t>14 (70%)</w:t>
            </w:r>
          </w:p>
          <w:p w:rsidR="00762B1D" w:rsidRPr="00762B1D" w:rsidRDefault="00762B1D" w:rsidP="00865A5F">
            <w:pPr>
              <w:pStyle w:val="TableText0"/>
              <w:rPr>
                <w:rFonts w:ascii="Arial" w:hAnsi="Arial"/>
                <w:sz w:val="18"/>
              </w:rPr>
            </w:pPr>
            <w:r w:rsidRPr="00762B1D">
              <w:rPr>
                <w:rFonts w:ascii="Arial" w:hAnsi="Arial"/>
                <w:sz w:val="18"/>
              </w:rPr>
              <w:t xml:space="preserve">Mean age (SD) </w:t>
            </w:r>
            <w:r w:rsidR="00652355" w:rsidRPr="00652355">
              <w:rPr>
                <w:rFonts w:ascii="Arial" w:hAnsi="Arial"/>
                <w:spacing w:val="-20"/>
                <w:sz w:val="18"/>
              </w:rPr>
              <w:t xml:space="preserve"> = </w:t>
            </w:r>
            <w:r w:rsidRPr="00762B1D">
              <w:rPr>
                <w:rFonts w:ascii="Arial" w:hAnsi="Arial"/>
                <w:sz w:val="18"/>
              </w:rPr>
              <w:t xml:space="preserve"> 10.7 (4.35) years</w:t>
            </w:r>
          </w:p>
          <w:p w:rsidR="00762B1D" w:rsidRPr="00762B1D" w:rsidRDefault="00762B1D" w:rsidP="00865A5F">
            <w:pPr>
              <w:pStyle w:val="TableText0"/>
              <w:rPr>
                <w:rFonts w:ascii="Arial" w:hAnsi="Arial"/>
                <w:sz w:val="18"/>
              </w:rPr>
            </w:pPr>
            <w:r w:rsidRPr="00762B1D">
              <w:rPr>
                <w:rFonts w:ascii="Arial" w:hAnsi="Arial"/>
                <w:sz w:val="18"/>
              </w:rPr>
              <w:t>White n</w:t>
            </w:r>
            <w:r w:rsidR="00652355" w:rsidRPr="00652355">
              <w:rPr>
                <w:rFonts w:ascii="Arial" w:hAnsi="Arial"/>
                <w:spacing w:val="-20"/>
                <w:sz w:val="18"/>
              </w:rPr>
              <w:t xml:space="preserve"> = </w:t>
            </w:r>
            <w:r w:rsidRPr="00762B1D">
              <w:rPr>
                <w:rFonts w:ascii="Arial" w:hAnsi="Arial"/>
                <w:sz w:val="18"/>
              </w:rPr>
              <w:t>15 (75%)</w:t>
            </w:r>
          </w:p>
          <w:p w:rsidR="00762B1D" w:rsidRPr="00762B1D" w:rsidRDefault="00762B1D" w:rsidP="00865A5F">
            <w:pPr>
              <w:pStyle w:val="TableText0"/>
              <w:rPr>
                <w:rFonts w:ascii="Arial" w:hAnsi="Arial"/>
                <w:sz w:val="18"/>
              </w:rPr>
            </w:pPr>
            <w:r w:rsidRPr="00762B1D">
              <w:rPr>
                <w:rFonts w:ascii="Arial" w:hAnsi="Arial"/>
                <w:sz w:val="18"/>
              </w:rPr>
              <w:t xml:space="preserve">Mean height (SD) </w:t>
            </w:r>
            <w:r w:rsidR="00652355" w:rsidRPr="00652355">
              <w:rPr>
                <w:rFonts w:ascii="Arial" w:hAnsi="Arial"/>
                <w:spacing w:val="-20"/>
                <w:sz w:val="18"/>
              </w:rPr>
              <w:t xml:space="preserve"> = </w:t>
            </w:r>
            <w:r w:rsidRPr="00762B1D">
              <w:rPr>
                <w:rFonts w:ascii="Arial" w:hAnsi="Arial"/>
                <w:sz w:val="18"/>
              </w:rPr>
              <w:t xml:space="preserve"> 100.3 (13.54) cm</w:t>
            </w:r>
          </w:p>
          <w:p w:rsidR="00762B1D" w:rsidRPr="00762B1D" w:rsidRDefault="00762B1D" w:rsidP="00865A5F">
            <w:pPr>
              <w:pStyle w:val="TableText0"/>
              <w:rPr>
                <w:rFonts w:ascii="Arial" w:hAnsi="Arial"/>
                <w:sz w:val="18"/>
              </w:rPr>
            </w:pPr>
            <w:r w:rsidRPr="00762B1D">
              <w:rPr>
                <w:rFonts w:ascii="Arial" w:hAnsi="Arial"/>
                <w:sz w:val="18"/>
              </w:rPr>
              <w:t xml:space="preserve">Mean weight (SD) </w:t>
            </w:r>
            <w:r w:rsidR="00652355" w:rsidRPr="00652355">
              <w:rPr>
                <w:rFonts w:ascii="Arial" w:hAnsi="Arial"/>
                <w:spacing w:val="-20"/>
                <w:sz w:val="18"/>
              </w:rPr>
              <w:t xml:space="preserve"> = </w:t>
            </w:r>
            <w:r w:rsidRPr="00762B1D">
              <w:rPr>
                <w:rFonts w:ascii="Arial" w:hAnsi="Arial"/>
                <w:sz w:val="18"/>
              </w:rPr>
              <w:t xml:space="preserve"> 20.8 (7.85) kg</w:t>
            </w:r>
          </w:p>
        </w:tc>
        <w:tc>
          <w:tcPr>
            <w:tcW w:w="2356" w:type="dxa"/>
          </w:tcPr>
          <w:p w:rsidR="00762B1D" w:rsidRPr="00762B1D" w:rsidRDefault="00762B1D" w:rsidP="00865A5F">
            <w:pPr>
              <w:pStyle w:val="TableText0"/>
              <w:rPr>
                <w:rFonts w:ascii="Arial" w:hAnsi="Arial"/>
                <w:sz w:val="18"/>
                <w:u w:val="single"/>
              </w:rPr>
            </w:pPr>
            <w:r w:rsidRPr="00762B1D">
              <w:rPr>
                <w:rFonts w:ascii="Arial" w:hAnsi="Arial"/>
                <w:sz w:val="18"/>
                <w:u w:val="single"/>
              </w:rPr>
              <w:t>Inclusion</w:t>
            </w:r>
          </w:p>
          <w:p w:rsidR="00762B1D" w:rsidRPr="00762B1D" w:rsidRDefault="00762B1D" w:rsidP="00865A5F">
            <w:pPr>
              <w:pStyle w:val="TableText0"/>
              <w:rPr>
                <w:rFonts w:ascii="Arial" w:hAnsi="Arial"/>
                <w:sz w:val="18"/>
              </w:rPr>
            </w:pPr>
            <w:r w:rsidRPr="00762B1D">
              <w:rPr>
                <w:rFonts w:ascii="Arial" w:hAnsi="Arial"/>
                <w:sz w:val="18"/>
              </w:rPr>
              <w:t>At least  7 years of age</w:t>
            </w:r>
          </w:p>
          <w:p w:rsidR="00762B1D" w:rsidRPr="00762B1D" w:rsidRDefault="00762B1D" w:rsidP="00865A5F">
            <w:pPr>
              <w:pStyle w:val="TableText0"/>
              <w:rPr>
                <w:rFonts w:ascii="Arial" w:hAnsi="Arial"/>
                <w:sz w:val="18"/>
              </w:rPr>
            </w:pPr>
            <w:r w:rsidRPr="00762B1D">
              <w:rPr>
                <w:rFonts w:ascii="Arial" w:hAnsi="Arial"/>
                <w:sz w:val="18"/>
              </w:rPr>
              <w:t>Biochemical or genetic proof supporting MPS VI diagnosis</w:t>
            </w:r>
          </w:p>
          <w:p w:rsidR="00762B1D" w:rsidRPr="00762B1D" w:rsidRDefault="00762B1D" w:rsidP="00865A5F">
            <w:pPr>
              <w:pStyle w:val="TableText0"/>
              <w:rPr>
                <w:rFonts w:ascii="Arial" w:hAnsi="Arial"/>
                <w:sz w:val="18"/>
              </w:rPr>
            </w:pPr>
            <w:r w:rsidRPr="00762B1D">
              <w:rPr>
                <w:rFonts w:ascii="Arial" w:hAnsi="Arial"/>
                <w:sz w:val="18"/>
              </w:rPr>
              <w:t>Able to walk unaided for ≥ 5 m and ≤ 270 m in the first 6 minutes, or ≤ 400 m total in 12 minutes, in a 12MWT</w:t>
            </w:r>
          </w:p>
          <w:p w:rsidR="00762B1D" w:rsidRPr="00762B1D" w:rsidRDefault="00762B1D" w:rsidP="00865A5F">
            <w:pPr>
              <w:pStyle w:val="TableText0"/>
              <w:rPr>
                <w:rFonts w:ascii="Arial" w:hAnsi="Arial"/>
                <w:sz w:val="18"/>
                <w:u w:val="single"/>
              </w:rPr>
            </w:pPr>
            <w:r w:rsidRPr="00762B1D">
              <w:rPr>
                <w:rFonts w:ascii="Arial" w:hAnsi="Arial"/>
                <w:sz w:val="18"/>
                <w:u w:val="single"/>
              </w:rPr>
              <w:t>Exclusion</w:t>
            </w:r>
          </w:p>
          <w:p w:rsidR="00762B1D" w:rsidRPr="00762B1D" w:rsidRDefault="00762B1D" w:rsidP="00865A5F">
            <w:pPr>
              <w:pStyle w:val="TableText0"/>
              <w:rPr>
                <w:rFonts w:ascii="Arial" w:hAnsi="Arial"/>
                <w:sz w:val="18"/>
              </w:rPr>
            </w:pPr>
            <w:r w:rsidRPr="00762B1D">
              <w:rPr>
                <w:rFonts w:ascii="Arial" w:hAnsi="Arial"/>
                <w:sz w:val="18"/>
              </w:rPr>
              <w:t>Significant spinal cord compression</w:t>
            </w:r>
          </w:p>
          <w:p w:rsidR="00762B1D" w:rsidRPr="00762B1D" w:rsidRDefault="00762B1D" w:rsidP="00865A5F">
            <w:pPr>
              <w:pStyle w:val="TableText0"/>
              <w:rPr>
                <w:rFonts w:ascii="Arial" w:hAnsi="Arial"/>
                <w:sz w:val="18"/>
              </w:rPr>
            </w:pPr>
            <w:r w:rsidRPr="00762B1D">
              <w:rPr>
                <w:rFonts w:ascii="Arial" w:hAnsi="Arial"/>
                <w:sz w:val="18"/>
              </w:rPr>
              <w:t>Medical condition or other extenuating circumstance that could interfere with study compliance</w:t>
            </w:r>
          </w:p>
        </w:tc>
        <w:tc>
          <w:tcPr>
            <w:tcW w:w="1993" w:type="dxa"/>
          </w:tcPr>
          <w:p w:rsidR="00762B1D" w:rsidRPr="00762B1D" w:rsidRDefault="00762B1D" w:rsidP="00865A5F">
            <w:pPr>
              <w:pStyle w:val="TableText0"/>
              <w:rPr>
                <w:rFonts w:ascii="Arial" w:hAnsi="Arial"/>
                <w:sz w:val="18"/>
                <w:u w:val="single"/>
              </w:rPr>
            </w:pPr>
            <w:r w:rsidRPr="00762B1D">
              <w:rPr>
                <w:rFonts w:ascii="Arial" w:hAnsi="Arial"/>
                <w:sz w:val="18"/>
                <w:u w:val="single"/>
              </w:rPr>
              <w:t>Intervention</w:t>
            </w:r>
          </w:p>
          <w:p w:rsidR="00762B1D" w:rsidRPr="00762B1D" w:rsidRDefault="00762B1D" w:rsidP="00865A5F">
            <w:pPr>
              <w:pStyle w:val="TableText0"/>
              <w:rPr>
                <w:rFonts w:ascii="Arial" w:hAnsi="Arial"/>
                <w:sz w:val="18"/>
              </w:rPr>
            </w:pPr>
            <w:r w:rsidRPr="00762B1D">
              <w:rPr>
                <w:rFonts w:ascii="Arial" w:hAnsi="Arial"/>
                <w:sz w:val="18"/>
              </w:rPr>
              <w:t>Galsulfase at 1mg/kg</w:t>
            </w:r>
          </w:p>
          <w:p w:rsidR="00762B1D" w:rsidRPr="00762B1D" w:rsidRDefault="00762B1D" w:rsidP="00865A5F">
            <w:pPr>
              <w:pStyle w:val="TableText0"/>
              <w:rPr>
                <w:rFonts w:ascii="Arial" w:hAnsi="Arial"/>
                <w:sz w:val="18"/>
              </w:rPr>
            </w:pPr>
            <w:r w:rsidRPr="00762B1D">
              <w:rPr>
                <w:rFonts w:ascii="Arial" w:hAnsi="Arial"/>
                <w:sz w:val="18"/>
              </w:rPr>
              <w:t>Delivered diluted in 250 ml sterile 9% saline over 4 hours, weekly</w:t>
            </w:r>
          </w:p>
          <w:p w:rsidR="00762B1D" w:rsidRPr="00762B1D" w:rsidRDefault="00762B1D" w:rsidP="00865A5F">
            <w:pPr>
              <w:pStyle w:val="TableText0"/>
              <w:rPr>
                <w:rFonts w:ascii="Arial" w:hAnsi="Arial"/>
                <w:sz w:val="18"/>
                <w:u w:val="single"/>
              </w:rPr>
            </w:pPr>
            <w:r w:rsidRPr="00762B1D">
              <w:rPr>
                <w:rFonts w:ascii="Arial" w:hAnsi="Arial"/>
                <w:sz w:val="18"/>
                <w:u w:val="single"/>
              </w:rPr>
              <w:t>Comparator</w:t>
            </w:r>
          </w:p>
          <w:p w:rsidR="00762B1D" w:rsidRPr="00762B1D" w:rsidRDefault="00762B1D" w:rsidP="00865A5F">
            <w:pPr>
              <w:pStyle w:val="TableText0"/>
              <w:rPr>
                <w:rFonts w:ascii="Arial" w:hAnsi="Arial"/>
                <w:sz w:val="18"/>
              </w:rPr>
            </w:pPr>
            <w:r w:rsidRPr="00762B1D">
              <w:rPr>
                <w:rFonts w:ascii="Arial" w:hAnsi="Arial"/>
                <w:sz w:val="18"/>
              </w:rPr>
              <w:t>Placebo solution</w:t>
            </w:r>
          </w:p>
          <w:p w:rsidR="00762B1D" w:rsidRPr="00762B1D" w:rsidRDefault="00762B1D" w:rsidP="00865A5F">
            <w:pPr>
              <w:pStyle w:val="TableText0"/>
              <w:rPr>
                <w:rFonts w:ascii="Arial" w:hAnsi="Arial"/>
                <w:sz w:val="18"/>
              </w:rPr>
            </w:pPr>
            <w:r w:rsidRPr="00762B1D">
              <w:rPr>
                <w:rFonts w:ascii="Arial" w:hAnsi="Arial"/>
                <w:sz w:val="18"/>
              </w:rPr>
              <w:t>Delivered as for intervention</w:t>
            </w:r>
          </w:p>
          <w:p w:rsidR="00762B1D" w:rsidRPr="00762B1D" w:rsidRDefault="00762B1D" w:rsidP="00865A5F">
            <w:pPr>
              <w:pStyle w:val="TableText0"/>
              <w:rPr>
                <w:rFonts w:ascii="Arial" w:hAnsi="Arial"/>
                <w:sz w:val="18"/>
              </w:rPr>
            </w:pPr>
          </w:p>
        </w:tc>
        <w:tc>
          <w:tcPr>
            <w:tcW w:w="1729" w:type="dxa"/>
            <w:tcBorders>
              <w:right w:val="single" w:sz="4" w:space="0" w:color="auto"/>
            </w:tcBorders>
          </w:tcPr>
          <w:p w:rsidR="00762B1D" w:rsidRPr="00762B1D" w:rsidRDefault="00762B1D" w:rsidP="00865A5F">
            <w:pPr>
              <w:pStyle w:val="TableText0"/>
              <w:rPr>
                <w:rFonts w:ascii="Arial" w:hAnsi="Arial"/>
                <w:sz w:val="18"/>
                <w:u w:val="single"/>
              </w:rPr>
            </w:pPr>
            <w:r w:rsidRPr="00762B1D">
              <w:rPr>
                <w:rFonts w:ascii="Arial" w:hAnsi="Arial"/>
                <w:sz w:val="18"/>
                <w:u w:val="single"/>
              </w:rPr>
              <w:t>Primary</w:t>
            </w:r>
          </w:p>
          <w:p w:rsidR="00762B1D" w:rsidRPr="00762B1D" w:rsidRDefault="00762B1D" w:rsidP="00865A5F">
            <w:pPr>
              <w:pStyle w:val="TableText0"/>
              <w:rPr>
                <w:rFonts w:ascii="Arial" w:hAnsi="Arial"/>
                <w:sz w:val="18"/>
              </w:rPr>
            </w:pPr>
            <w:r w:rsidRPr="00762B1D">
              <w:rPr>
                <w:rFonts w:ascii="Arial" w:hAnsi="Arial"/>
                <w:sz w:val="18"/>
              </w:rPr>
              <w:t>Endurance (12MWT)</w:t>
            </w:r>
          </w:p>
          <w:p w:rsidR="00762B1D" w:rsidRPr="00762B1D" w:rsidRDefault="00762B1D" w:rsidP="00865A5F">
            <w:pPr>
              <w:pStyle w:val="TableText0"/>
              <w:rPr>
                <w:rFonts w:ascii="Arial" w:hAnsi="Arial"/>
                <w:sz w:val="18"/>
                <w:u w:val="single"/>
              </w:rPr>
            </w:pPr>
            <w:r w:rsidRPr="00762B1D">
              <w:rPr>
                <w:rFonts w:ascii="Arial" w:hAnsi="Arial"/>
                <w:sz w:val="18"/>
                <w:u w:val="single"/>
              </w:rPr>
              <w:t>Secondary</w:t>
            </w:r>
          </w:p>
          <w:p w:rsidR="00762B1D" w:rsidRPr="00762B1D" w:rsidRDefault="00762B1D" w:rsidP="00865A5F">
            <w:pPr>
              <w:pStyle w:val="TableText0"/>
              <w:rPr>
                <w:rFonts w:ascii="Arial" w:hAnsi="Arial"/>
                <w:sz w:val="18"/>
              </w:rPr>
            </w:pPr>
            <w:r w:rsidRPr="00762B1D">
              <w:rPr>
                <w:rFonts w:ascii="Arial" w:hAnsi="Arial"/>
                <w:sz w:val="18"/>
              </w:rPr>
              <w:t>3MSC (n)</w:t>
            </w:r>
          </w:p>
          <w:p w:rsidR="00762B1D" w:rsidRPr="00762B1D" w:rsidRDefault="00762B1D" w:rsidP="00865A5F">
            <w:pPr>
              <w:pStyle w:val="TableText0"/>
              <w:rPr>
                <w:rFonts w:ascii="Arial" w:hAnsi="Arial"/>
                <w:sz w:val="18"/>
              </w:rPr>
            </w:pPr>
            <w:r w:rsidRPr="00762B1D">
              <w:rPr>
                <w:rFonts w:ascii="Arial" w:hAnsi="Arial"/>
                <w:sz w:val="18"/>
              </w:rPr>
              <w:t>Urine GAG level (µg/mg)</w:t>
            </w:r>
          </w:p>
          <w:p w:rsidR="00762B1D" w:rsidRPr="00762B1D" w:rsidRDefault="00762B1D" w:rsidP="00865A5F">
            <w:pPr>
              <w:pStyle w:val="TableText0"/>
              <w:rPr>
                <w:rFonts w:ascii="Arial" w:hAnsi="Arial"/>
                <w:sz w:val="18"/>
                <w:u w:val="single"/>
              </w:rPr>
            </w:pPr>
            <w:r w:rsidRPr="00762B1D">
              <w:rPr>
                <w:rFonts w:ascii="Arial" w:hAnsi="Arial"/>
                <w:sz w:val="18"/>
                <w:u w:val="single"/>
              </w:rPr>
              <w:t>Safety</w:t>
            </w:r>
          </w:p>
          <w:p w:rsidR="00762B1D" w:rsidRPr="00762B1D" w:rsidRDefault="00762B1D" w:rsidP="00865A5F">
            <w:pPr>
              <w:pStyle w:val="TableText0"/>
              <w:rPr>
                <w:rFonts w:ascii="Arial" w:hAnsi="Arial"/>
                <w:sz w:val="18"/>
              </w:rPr>
            </w:pPr>
            <w:r w:rsidRPr="00762B1D">
              <w:rPr>
                <w:rFonts w:ascii="Arial" w:hAnsi="Arial"/>
                <w:sz w:val="18"/>
              </w:rPr>
              <w:t>Adverse events (n)</w:t>
            </w:r>
          </w:p>
        </w:tc>
        <w:tc>
          <w:tcPr>
            <w:tcW w:w="1201" w:type="dxa"/>
            <w:tcBorders>
              <w:left w:val="single" w:sz="4" w:space="0" w:color="auto"/>
            </w:tcBorders>
          </w:tcPr>
          <w:p w:rsidR="00762B1D" w:rsidRPr="00762B1D" w:rsidRDefault="00762B1D" w:rsidP="00865A5F">
            <w:pPr>
              <w:pStyle w:val="TableText0"/>
              <w:rPr>
                <w:rFonts w:ascii="Arial" w:hAnsi="Arial"/>
                <w:sz w:val="18"/>
              </w:rPr>
            </w:pPr>
            <w:r w:rsidRPr="00762B1D">
              <w:rPr>
                <w:rFonts w:ascii="Arial" w:hAnsi="Arial"/>
                <w:sz w:val="18"/>
              </w:rPr>
              <w:t>Double-blind phase - 24 weeks</w:t>
            </w:r>
          </w:p>
          <w:p w:rsidR="00762B1D" w:rsidRPr="00762B1D" w:rsidRDefault="00762B1D" w:rsidP="00865A5F">
            <w:pPr>
              <w:pStyle w:val="TableText0"/>
              <w:rPr>
                <w:rFonts w:ascii="Arial" w:hAnsi="Arial"/>
                <w:sz w:val="18"/>
              </w:rPr>
            </w:pPr>
            <w:r w:rsidRPr="00762B1D">
              <w:rPr>
                <w:rFonts w:ascii="Arial" w:hAnsi="Arial"/>
                <w:sz w:val="18"/>
              </w:rPr>
              <w:t>Open-label phase -48 weeks</w:t>
            </w:r>
          </w:p>
        </w:tc>
        <w:tc>
          <w:tcPr>
            <w:tcW w:w="1149" w:type="dxa"/>
          </w:tcPr>
          <w:p w:rsidR="00762B1D" w:rsidRPr="00762B1D" w:rsidRDefault="00762B1D" w:rsidP="00865A5F">
            <w:pPr>
              <w:pStyle w:val="TableText0"/>
              <w:rPr>
                <w:rFonts w:ascii="Arial" w:hAnsi="Arial"/>
                <w:sz w:val="18"/>
              </w:rPr>
            </w:pPr>
          </w:p>
        </w:tc>
      </w:tr>
    </w:tbl>
    <w:p w:rsidR="00762B1D" w:rsidRPr="00762B1D" w:rsidRDefault="00762B1D" w:rsidP="00CE0D5D">
      <w:pPr>
        <w:pStyle w:val="TableNote"/>
      </w:pPr>
      <w:r w:rsidRPr="00762B1D">
        <w:t xml:space="preserve">3MSC </w:t>
      </w:r>
      <w:r w:rsidR="00652355" w:rsidRPr="00652355">
        <w:rPr>
          <w:spacing w:val="-20"/>
        </w:rPr>
        <w:t xml:space="preserve"> = </w:t>
      </w:r>
      <w:r w:rsidRPr="00762B1D">
        <w:t xml:space="preserve"> 3 minutes stair climb; 12MWT </w:t>
      </w:r>
      <w:r w:rsidR="00652355" w:rsidRPr="00652355">
        <w:rPr>
          <w:spacing w:val="-20"/>
        </w:rPr>
        <w:t xml:space="preserve"> = </w:t>
      </w:r>
      <w:r w:rsidRPr="00762B1D">
        <w:t xml:space="preserve"> 12 minute walk test; GAG </w:t>
      </w:r>
      <w:r w:rsidR="00652355" w:rsidRPr="00652355">
        <w:rPr>
          <w:spacing w:val="-20"/>
        </w:rPr>
        <w:t xml:space="preserve"> = </w:t>
      </w:r>
      <w:r w:rsidRPr="00762B1D">
        <w:t xml:space="preserve"> glycosaminoglycan; RCT </w:t>
      </w:r>
      <w:r w:rsidR="00652355" w:rsidRPr="00652355">
        <w:rPr>
          <w:spacing w:val="-20"/>
        </w:rPr>
        <w:t xml:space="preserve"> = </w:t>
      </w:r>
      <w:r w:rsidRPr="00762B1D">
        <w:t xml:space="preserve"> randomised controlled trial; MPS VI </w:t>
      </w:r>
      <w:r w:rsidR="00652355" w:rsidRPr="00652355">
        <w:rPr>
          <w:spacing w:val="-20"/>
        </w:rPr>
        <w:t xml:space="preserve"> = </w:t>
      </w:r>
      <w:r w:rsidRPr="00762B1D">
        <w:t xml:space="preserve"> mucopolysaccharidosis VI; SD </w:t>
      </w:r>
      <w:r w:rsidR="00652355" w:rsidRPr="00652355">
        <w:rPr>
          <w:spacing w:val="-20"/>
        </w:rPr>
        <w:t xml:space="preserve"> = </w:t>
      </w:r>
      <w:r w:rsidRPr="00762B1D">
        <w:t xml:space="preserve"> standard deviation</w:t>
      </w:r>
    </w:p>
    <w:p w:rsidR="00A4010A" w:rsidRDefault="00A4010A" w:rsidP="00E965BD"/>
    <w:p w:rsidR="00260845" w:rsidRPr="00DB4EE8" w:rsidRDefault="00B17A59" w:rsidP="00D60032">
      <w:pPr>
        <w:pStyle w:val="Heading2"/>
        <w:numPr>
          <w:ilvl w:val="0"/>
          <w:numId w:val="0"/>
        </w:numPr>
      </w:pPr>
      <w:bookmarkStart w:id="1147" w:name="_Toc415141791"/>
      <w:r w:rsidRPr="003F3F2D">
        <w:lastRenderedPageBreak/>
        <w:t>Eculizumab to treat P</w:t>
      </w:r>
      <w:r w:rsidR="009E5DAF" w:rsidRPr="003F3F2D">
        <w:t xml:space="preserve">aroxysmal </w:t>
      </w:r>
      <w:r w:rsidRPr="00DB0CFF">
        <w:t>N</w:t>
      </w:r>
      <w:r w:rsidR="009E5DAF" w:rsidRPr="00DB0CFF">
        <w:t xml:space="preserve">octurnal </w:t>
      </w:r>
      <w:r w:rsidRPr="00DB0CFF">
        <w:t>H</w:t>
      </w:r>
      <w:r w:rsidR="009E5DAF" w:rsidRPr="00940098">
        <w:t>aematuria</w:t>
      </w:r>
      <w:bookmarkEnd w:id="1147"/>
    </w:p>
    <w:p w:rsidR="00A4010A" w:rsidRDefault="00A4010A" w:rsidP="0096216D">
      <w:pPr>
        <w:pStyle w:val="Caption"/>
        <w:keepNext/>
        <w:tabs>
          <w:tab w:val="clear" w:pos="851"/>
          <w:tab w:val="left" w:pos="1276"/>
        </w:tabs>
        <w:ind w:left="1276" w:hanging="1276"/>
      </w:pPr>
      <w:bookmarkStart w:id="1148" w:name="_Toc404350308"/>
      <w:bookmarkStart w:id="1149" w:name="_Toc404976360"/>
      <w:bookmarkStart w:id="1150" w:name="_Toc411510531"/>
      <w:bookmarkStart w:id="1151" w:name="_Toc415141961"/>
      <w:r>
        <w:t xml:space="preserve">Table </w:t>
      </w:r>
      <w:r w:rsidR="00A72B26">
        <w:rPr>
          <w:noProof/>
        </w:rPr>
        <w:t>164</w:t>
      </w:r>
      <w:r>
        <w:tab/>
        <w:t>Study profile</w:t>
      </w:r>
      <w:r w:rsidR="00FF35CB">
        <w:t>s</w:t>
      </w:r>
      <w:r>
        <w:t xml:space="preserve"> for included studies on eculizumab</w:t>
      </w:r>
      <w:bookmarkEnd w:id="1148"/>
      <w:bookmarkEnd w:id="1149"/>
      <w:bookmarkEnd w:id="1150"/>
      <w:bookmarkEnd w:id="1151"/>
    </w:p>
    <w:tbl>
      <w:tblPr>
        <w:tblStyle w:val="TableGrid"/>
        <w:tblW w:w="14260" w:type="dxa"/>
        <w:tblLayout w:type="fixed"/>
        <w:tblLook w:val="04A0" w:firstRow="1" w:lastRow="0" w:firstColumn="1" w:lastColumn="0" w:noHBand="0" w:noVBand="1"/>
        <w:tblCaption w:val="Table 127 Study profile for included studies on eculizumab"/>
      </w:tblPr>
      <w:tblGrid>
        <w:gridCol w:w="1290"/>
        <w:gridCol w:w="1393"/>
        <w:gridCol w:w="3365"/>
        <w:gridCol w:w="1880"/>
        <w:gridCol w:w="2126"/>
        <w:gridCol w:w="1701"/>
        <w:gridCol w:w="1072"/>
        <w:gridCol w:w="1433"/>
      </w:tblGrid>
      <w:tr w:rsidR="00A4010A" w:rsidRPr="00F1301E" w:rsidTr="008D2975">
        <w:trPr>
          <w:tblHeader/>
        </w:trPr>
        <w:tc>
          <w:tcPr>
            <w:tcW w:w="1290" w:type="dxa"/>
          </w:tcPr>
          <w:p w:rsidR="00A4010A" w:rsidRPr="0084450C" w:rsidRDefault="00A4010A" w:rsidP="0084450C">
            <w:pPr>
              <w:pStyle w:val="TableHeading"/>
            </w:pPr>
            <w:r w:rsidRPr="0084450C">
              <w:t>Author (Year) / Country</w:t>
            </w:r>
          </w:p>
        </w:tc>
        <w:tc>
          <w:tcPr>
            <w:tcW w:w="1393" w:type="dxa"/>
          </w:tcPr>
          <w:p w:rsidR="00A4010A" w:rsidRPr="0084450C" w:rsidRDefault="00A4010A" w:rsidP="0084450C">
            <w:pPr>
              <w:pStyle w:val="TableHeading"/>
            </w:pPr>
            <w:r w:rsidRPr="0084450C">
              <w:t>Study Design/ Level of Evidence/ Type of analysis/</w:t>
            </w:r>
          </w:p>
          <w:p w:rsidR="00A4010A" w:rsidRPr="0084450C" w:rsidRDefault="00A4010A" w:rsidP="0084450C">
            <w:pPr>
              <w:pStyle w:val="TableHeading"/>
            </w:pPr>
            <w:r w:rsidRPr="0084450C">
              <w:t>Risk of bias</w:t>
            </w:r>
          </w:p>
        </w:tc>
        <w:tc>
          <w:tcPr>
            <w:tcW w:w="3365" w:type="dxa"/>
          </w:tcPr>
          <w:p w:rsidR="00A4010A" w:rsidRPr="0084450C" w:rsidRDefault="00A4010A" w:rsidP="0084450C">
            <w:pPr>
              <w:pStyle w:val="TableHeading"/>
            </w:pPr>
            <w:r w:rsidRPr="0084450C">
              <w:t>Study sample characteristics</w:t>
            </w:r>
          </w:p>
        </w:tc>
        <w:tc>
          <w:tcPr>
            <w:tcW w:w="1880" w:type="dxa"/>
          </w:tcPr>
          <w:p w:rsidR="00A4010A" w:rsidRPr="0084450C" w:rsidRDefault="00A4010A" w:rsidP="0084450C">
            <w:pPr>
              <w:pStyle w:val="TableHeading"/>
            </w:pPr>
            <w:r w:rsidRPr="0084450C">
              <w:t>Eligibility criteria</w:t>
            </w:r>
          </w:p>
        </w:tc>
        <w:tc>
          <w:tcPr>
            <w:tcW w:w="2126" w:type="dxa"/>
          </w:tcPr>
          <w:p w:rsidR="00A4010A" w:rsidRPr="0084450C" w:rsidRDefault="00A4010A" w:rsidP="0084450C">
            <w:pPr>
              <w:pStyle w:val="TableHeading"/>
            </w:pPr>
            <w:r w:rsidRPr="0084450C">
              <w:t>Intervention drug treatment details</w:t>
            </w:r>
          </w:p>
          <w:p w:rsidR="00A4010A" w:rsidRPr="0084450C" w:rsidRDefault="00A4010A" w:rsidP="0084450C">
            <w:pPr>
              <w:pStyle w:val="TableHeading"/>
            </w:pPr>
            <w:r w:rsidRPr="0084450C">
              <w:t>Comparator drugs treatment details</w:t>
            </w:r>
          </w:p>
        </w:tc>
        <w:tc>
          <w:tcPr>
            <w:tcW w:w="1701" w:type="dxa"/>
            <w:tcBorders>
              <w:right w:val="single" w:sz="4" w:space="0" w:color="auto"/>
            </w:tcBorders>
          </w:tcPr>
          <w:p w:rsidR="00A4010A" w:rsidRPr="0084450C" w:rsidRDefault="00A4010A" w:rsidP="0084450C">
            <w:pPr>
              <w:pStyle w:val="TableHeading"/>
            </w:pPr>
            <w:r w:rsidRPr="0084450C">
              <w:t>Outcomes reported (relevant to the review) / measurement tools and scale</w:t>
            </w:r>
          </w:p>
        </w:tc>
        <w:tc>
          <w:tcPr>
            <w:tcW w:w="1072" w:type="dxa"/>
            <w:tcBorders>
              <w:left w:val="single" w:sz="4" w:space="0" w:color="auto"/>
            </w:tcBorders>
          </w:tcPr>
          <w:p w:rsidR="00A4010A" w:rsidRPr="0084450C" w:rsidRDefault="00A4010A" w:rsidP="0084450C">
            <w:pPr>
              <w:pStyle w:val="TableHeading"/>
            </w:pPr>
            <w:r w:rsidRPr="0084450C">
              <w:t>Duration of follow-up</w:t>
            </w:r>
          </w:p>
        </w:tc>
        <w:tc>
          <w:tcPr>
            <w:tcW w:w="1433" w:type="dxa"/>
          </w:tcPr>
          <w:p w:rsidR="00A4010A" w:rsidRPr="0084450C" w:rsidRDefault="00A4010A" w:rsidP="0084450C">
            <w:pPr>
              <w:pStyle w:val="TableHeading"/>
            </w:pPr>
            <w:r w:rsidRPr="0084450C">
              <w:t>Comments</w:t>
            </w:r>
          </w:p>
        </w:tc>
      </w:tr>
      <w:tr w:rsidR="00A4010A" w:rsidRPr="00F1301E" w:rsidTr="008D2975">
        <w:tc>
          <w:tcPr>
            <w:tcW w:w="1290" w:type="dxa"/>
          </w:tcPr>
          <w:p w:rsidR="00A4010A" w:rsidRPr="0084450C" w:rsidRDefault="00A4010A" w:rsidP="0084450C">
            <w:pPr>
              <w:pStyle w:val="TableHeading"/>
            </w:pPr>
            <w:r w:rsidRPr="0084450C">
              <w:t>Main studies</w:t>
            </w:r>
          </w:p>
        </w:tc>
        <w:tc>
          <w:tcPr>
            <w:tcW w:w="1393" w:type="dxa"/>
          </w:tcPr>
          <w:p w:rsidR="00A4010A" w:rsidRDefault="00A4010A" w:rsidP="00E965BD">
            <w:pPr>
              <w:pStyle w:val="TableHeading"/>
            </w:pPr>
          </w:p>
        </w:tc>
        <w:tc>
          <w:tcPr>
            <w:tcW w:w="3365" w:type="dxa"/>
          </w:tcPr>
          <w:p w:rsidR="00A4010A" w:rsidRPr="00070DB3" w:rsidRDefault="00A4010A" w:rsidP="00E965BD">
            <w:pPr>
              <w:pStyle w:val="TableHeading"/>
            </w:pPr>
          </w:p>
        </w:tc>
        <w:tc>
          <w:tcPr>
            <w:tcW w:w="1880" w:type="dxa"/>
          </w:tcPr>
          <w:p w:rsidR="00A4010A" w:rsidRDefault="00A4010A" w:rsidP="00E965BD">
            <w:pPr>
              <w:pStyle w:val="TableHeading"/>
              <w:rPr>
                <w:u w:val="single"/>
              </w:rPr>
            </w:pPr>
          </w:p>
        </w:tc>
        <w:tc>
          <w:tcPr>
            <w:tcW w:w="2126" w:type="dxa"/>
          </w:tcPr>
          <w:p w:rsidR="00A4010A" w:rsidRDefault="00A4010A" w:rsidP="00E965BD">
            <w:pPr>
              <w:pStyle w:val="TableHeading"/>
            </w:pPr>
          </w:p>
        </w:tc>
        <w:tc>
          <w:tcPr>
            <w:tcW w:w="1701" w:type="dxa"/>
            <w:tcBorders>
              <w:right w:val="single" w:sz="4" w:space="0" w:color="auto"/>
            </w:tcBorders>
          </w:tcPr>
          <w:p w:rsidR="00A4010A" w:rsidRDefault="00A4010A" w:rsidP="00E965BD">
            <w:pPr>
              <w:pStyle w:val="TableHeading"/>
              <w:rPr>
                <w:u w:val="single"/>
              </w:rPr>
            </w:pPr>
          </w:p>
        </w:tc>
        <w:tc>
          <w:tcPr>
            <w:tcW w:w="1072" w:type="dxa"/>
            <w:tcBorders>
              <w:left w:val="single" w:sz="4" w:space="0" w:color="auto"/>
            </w:tcBorders>
          </w:tcPr>
          <w:p w:rsidR="00A4010A" w:rsidRDefault="00A4010A" w:rsidP="00E965BD">
            <w:pPr>
              <w:pStyle w:val="TableHeading"/>
            </w:pPr>
          </w:p>
        </w:tc>
        <w:tc>
          <w:tcPr>
            <w:tcW w:w="1433" w:type="dxa"/>
          </w:tcPr>
          <w:p w:rsidR="00A4010A" w:rsidRDefault="00A4010A" w:rsidP="00E965BD">
            <w:pPr>
              <w:pStyle w:val="TableHeading"/>
            </w:pPr>
          </w:p>
        </w:tc>
      </w:tr>
      <w:tr w:rsidR="00A4010A" w:rsidRPr="00F1301E" w:rsidTr="008D2975">
        <w:tc>
          <w:tcPr>
            <w:tcW w:w="1290" w:type="dxa"/>
          </w:tcPr>
          <w:p w:rsidR="00A4010A" w:rsidRPr="0084450C" w:rsidRDefault="00A130D0" w:rsidP="00E965BD">
            <w:pPr>
              <w:pStyle w:val="TableText0"/>
            </w:pPr>
            <w:r>
              <w:rPr>
                <w:noProof/>
              </w:rPr>
              <w:t>(</w:t>
            </w:r>
            <w:r w:rsidR="00184B6F">
              <w:rPr>
                <w:noProof/>
              </w:rPr>
              <w:t>Hillmen et al. 2006</w:t>
            </w:r>
            <w:r>
              <w:rPr>
                <w:noProof/>
              </w:rPr>
              <w:t>)</w:t>
            </w:r>
          </w:p>
          <w:p w:rsidR="00A4010A" w:rsidRPr="0084450C" w:rsidRDefault="00A4010A" w:rsidP="00E965BD">
            <w:pPr>
              <w:pStyle w:val="TableText0"/>
            </w:pPr>
            <w:r w:rsidRPr="0084450C">
              <w:t>US, Canada, Europe and Australia</w:t>
            </w:r>
          </w:p>
          <w:p w:rsidR="00A4010A" w:rsidRPr="0084450C" w:rsidRDefault="00A4010A" w:rsidP="00E965BD">
            <w:pPr>
              <w:pStyle w:val="TableText0"/>
            </w:pPr>
            <w:r w:rsidRPr="0084450C">
              <w:t>TRIUMPH</w:t>
            </w:r>
          </w:p>
          <w:p w:rsidR="00A4010A" w:rsidRPr="00B7451B" w:rsidRDefault="00A4010A" w:rsidP="00E965BD">
            <w:pPr>
              <w:pStyle w:val="TableText0"/>
            </w:pPr>
          </w:p>
        </w:tc>
        <w:tc>
          <w:tcPr>
            <w:tcW w:w="1393" w:type="dxa"/>
          </w:tcPr>
          <w:p w:rsidR="00A4010A" w:rsidRPr="0084450C" w:rsidRDefault="00A4010A" w:rsidP="00E965BD">
            <w:pPr>
              <w:pStyle w:val="TableText0"/>
            </w:pPr>
            <w:r w:rsidRPr="0084450C">
              <w:t>Randomised, double-blind, placebo-controlled trial</w:t>
            </w:r>
          </w:p>
          <w:p w:rsidR="00A4010A" w:rsidRPr="0084450C" w:rsidRDefault="00A4010A" w:rsidP="00E965BD">
            <w:pPr>
              <w:pStyle w:val="TableText0"/>
            </w:pPr>
            <w:r w:rsidRPr="0084450C">
              <w:t>Type of analysis: superiority</w:t>
            </w:r>
          </w:p>
          <w:p w:rsidR="00A4010A" w:rsidRPr="0084450C" w:rsidRDefault="00A4010A" w:rsidP="00E965BD">
            <w:pPr>
              <w:pStyle w:val="TableText0"/>
            </w:pPr>
          </w:p>
          <w:p w:rsidR="00A4010A" w:rsidRPr="0084450C" w:rsidRDefault="00A4010A" w:rsidP="00E965BD">
            <w:pPr>
              <w:pStyle w:val="TableText0"/>
            </w:pPr>
            <w:r w:rsidRPr="0084450C">
              <w:t>Level: II</w:t>
            </w:r>
          </w:p>
          <w:p w:rsidR="00A4010A" w:rsidRPr="0084450C" w:rsidRDefault="00A4010A" w:rsidP="00E965BD">
            <w:pPr>
              <w:pStyle w:val="TableText0"/>
            </w:pPr>
            <w:r w:rsidRPr="0084450C">
              <w:t>Quality: ++ (SIGN)</w:t>
            </w:r>
          </w:p>
        </w:tc>
        <w:tc>
          <w:tcPr>
            <w:tcW w:w="3365" w:type="dxa"/>
          </w:tcPr>
          <w:p w:rsidR="00A4010A" w:rsidRPr="0084450C" w:rsidRDefault="00A4010A" w:rsidP="00E965BD">
            <w:pPr>
              <w:pStyle w:val="TableText0"/>
            </w:pPr>
            <w:r w:rsidRPr="0084450C">
              <w:t>N</w:t>
            </w:r>
            <w:r w:rsidR="00652355" w:rsidRPr="00652355">
              <w:rPr>
                <w:spacing w:val="-20"/>
              </w:rPr>
              <w:t xml:space="preserve"> = </w:t>
            </w:r>
            <w:r w:rsidRPr="0084450C">
              <w:t xml:space="preserve"> 87 (34 sites)</w:t>
            </w:r>
          </w:p>
          <w:p w:rsidR="00A4010A" w:rsidRPr="0084450C" w:rsidRDefault="00A4010A" w:rsidP="00E965BD">
            <w:pPr>
              <w:pStyle w:val="TableText0"/>
            </w:pPr>
            <w:r w:rsidRPr="0084450C">
              <w:t>Randomisation ratio 1:1</w:t>
            </w:r>
          </w:p>
          <w:p w:rsidR="00A4010A" w:rsidRPr="0084450C" w:rsidRDefault="00A4010A" w:rsidP="00E965BD">
            <w:pPr>
              <w:pStyle w:val="TableText0"/>
            </w:pPr>
            <w:r w:rsidRPr="0084450C">
              <w:rPr>
                <w:u w:val="single"/>
              </w:rPr>
              <w:t>Eculizumab</w:t>
            </w:r>
            <w:r w:rsidRPr="0084450C">
              <w:t xml:space="preserve"> N</w:t>
            </w:r>
            <w:r w:rsidR="00652355" w:rsidRPr="00652355">
              <w:rPr>
                <w:spacing w:val="-20"/>
              </w:rPr>
              <w:t xml:space="preserve"> = </w:t>
            </w:r>
            <w:r w:rsidRPr="0084450C">
              <w:t>43</w:t>
            </w:r>
          </w:p>
          <w:p w:rsidR="00A4010A" w:rsidRPr="0084450C" w:rsidRDefault="00A4010A" w:rsidP="00E965BD">
            <w:pPr>
              <w:pStyle w:val="TableText0"/>
            </w:pPr>
            <w:r w:rsidRPr="0084450C">
              <w:t>Male: 20 (47%)</w:t>
            </w:r>
          </w:p>
          <w:p w:rsidR="00A4010A" w:rsidRPr="0084450C" w:rsidRDefault="00A4010A" w:rsidP="00E965BD">
            <w:pPr>
              <w:pStyle w:val="TableText0"/>
            </w:pPr>
            <w:r w:rsidRPr="0084450C">
              <w:t>Age, median (range):41 (20-85) yrs</w:t>
            </w:r>
          </w:p>
          <w:p w:rsidR="00A4010A" w:rsidRPr="0084450C" w:rsidRDefault="00A4010A" w:rsidP="00E965BD">
            <w:pPr>
              <w:pStyle w:val="TableText0"/>
              <w:rPr>
                <w:vertAlign w:val="superscript"/>
              </w:rPr>
            </w:pPr>
            <w:r w:rsidRPr="0084450C">
              <w:t>Caucasian: 37 (86.0%)</w:t>
            </w:r>
            <w:r w:rsidRPr="0084450C">
              <w:rPr>
                <w:vertAlign w:val="superscript"/>
              </w:rPr>
              <w:t>a</w:t>
            </w:r>
          </w:p>
          <w:p w:rsidR="00A4010A" w:rsidRPr="0084450C" w:rsidRDefault="00A4010A" w:rsidP="00E965BD">
            <w:pPr>
              <w:pStyle w:val="TableText0"/>
            </w:pPr>
            <w:r w:rsidRPr="0084450C">
              <w:t>Disease duration, median (range): 4.3 (0.9-29.8) yrs</w:t>
            </w:r>
          </w:p>
          <w:p w:rsidR="00A4010A" w:rsidRPr="0084450C" w:rsidRDefault="00A4010A" w:rsidP="00E965BD">
            <w:pPr>
              <w:pStyle w:val="TableText0"/>
              <w:rPr>
                <w:vertAlign w:val="superscript"/>
              </w:rPr>
            </w:pPr>
            <w:r w:rsidRPr="0084450C">
              <w:t>Median GPI-deficient granulocyte clone: 81.0%</w:t>
            </w:r>
            <w:r w:rsidRPr="0084450C">
              <w:rPr>
                <w:vertAlign w:val="superscript"/>
              </w:rPr>
              <w:t>b</w:t>
            </w:r>
          </w:p>
          <w:p w:rsidR="00A4010A" w:rsidRPr="0084450C" w:rsidRDefault="00A4010A" w:rsidP="00E965BD">
            <w:pPr>
              <w:pStyle w:val="TableText0"/>
            </w:pPr>
            <w:r w:rsidRPr="0084450C">
              <w:t>History of AA: 6 (14%)</w:t>
            </w:r>
          </w:p>
          <w:p w:rsidR="00A4010A" w:rsidRPr="0084450C" w:rsidRDefault="00A4010A" w:rsidP="00E965BD">
            <w:pPr>
              <w:pStyle w:val="TableText0"/>
            </w:pPr>
            <w:r w:rsidRPr="0084450C">
              <w:t>History of MDS: 2 (5%)</w:t>
            </w:r>
          </w:p>
          <w:p w:rsidR="00A4010A" w:rsidRPr="0084450C" w:rsidRDefault="00A4010A" w:rsidP="00E965BD">
            <w:pPr>
              <w:pStyle w:val="TableText0"/>
            </w:pPr>
            <w:r w:rsidRPr="0084450C">
              <w:t>History of thrombosis: 9 (21%)</w:t>
            </w:r>
          </w:p>
          <w:p w:rsidR="00A4010A" w:rsidRPr="0084450C" w:rsidRDefault="00A4010A" w:rsidP="00E965BD">
            <w:pPr>
              <w:pStyle w:val="TableText0"/>
            </w:pPr>
            <w:r w:rsidRPr="0084450C">
              <w:t>Use of anticoagulants: 21 (49%)</w:t>
            </w:r>
          </w:p>
          <w:p w:rsidR="00A4010A" w:rsidRPr="0084450C" w:rsidRDefault="00A4010A" w:rsidP="00E965BD">
            <w:pPr>
              <w:pStyle w:val="TableText0"/>
            </w:pPr>
          </w:p>
          <w:p w:rsidR="00A4010A" w:rsidRPr="0084450C" w:rsidRDefault="00A4010A" w:rsidP="00E965BD">
            <w:pPr>
              <w:pStyle w:val="TableText0"/>
              <w:rPr>
                <w:u w:val="single"/>
              </w:rPr>
            </w:pPr>
            <w:r w:rsidRPr="0084450C">
              <w:rPr>
                <w:u w:val="single"/>
              </w:rPr>
              <w:t>Placebo</w:t>
            </w:r>
            <w:r w:rsidRPr="0084450C">
              <w:t xml:space="preserve"> N</w:t>
            </w:r>
            <w:r w:rsidR="00652355" w:rsidRPr="00652355">
              <w:rPr>
                <w:spacing w:val="-20"/>
              </w:rPr>
              <w:t xml:space="preserve"> = </w:t>
            </w:r>
            <w:r w:rsidRPr="0084450C">
              <w:t>44</w:t>
            </w:r>
          </w:p>
          <w:p w:rsidR="00A4010A" w:rsidRPr="0084450C" w:rsidRDefault="00A4010A" w:rsidP="00E965BD">
            <w:pPr>
              <w:pStyle w:val="TableText0"/>
            </w:pPr>
            <w:r w:rsidRPr="0084450C">
              <w:t>Male</w:t>
            </w:r>
            <w:proofErr w:type="gramStart"/>
            <w:r w:rsidRPr="0084450C">
              <w:t>:15</w:t>
            </w:r>
            <w:proofErr w:type="gramEnd"/>
            <w:r w:rsidRPr="0084450C">
              <w:t xml:space="preserve"> (34%)</w:t>
            </w:r>
          </w:p>
          <w:p w:rsidR="00A4010A" w:rsidRPr="0084450C" w:rsidRDefault="00A4010A" w:rsidP="00E965BD">
            <w:pPr>
              <w:pStyle w:val="TableText0"/>
            </w:pPr>
            <w:r w:rsidRPr="0084450C">
              <w:t>Age, median (range):35 (18-78) yrs</w:t>
            </w:r>
          </w:p>
          <w:p w:rsidR="00A4010A" w:rsidRPr="0084450C" w:rsidRDefault="00A4010A" w:rsidP="00E965BD">
            <w:pPr>
              <w:pStyle w:val="TableText0"/>
              <w:rPr>
                <w:vertAlign w:val="superscript"/>
              </w:rPr>
            </w:pPr>
            <w:r w:rsidRPr="0084450C">
              <w:lastRenderedPageBreak/>
              <w:t>Caucasian: 41 (93.2%)</w:t>
            </w:r>
            <w:r w:rsidRPr="0084450C">
              <w:rPr>
                <w:vertAlign w:val="superscript"/>
              </w:rPr>
              <w:t>a</w:t>
            </w:r>
          </w:p>
          <w:p w:rsidR="00A4010A" w:rsidRPr="0084450C" w:rsidRDefault="00A4010A" w:rsidP="00E965BD">
            <w:pPr>
              <w:pStyle w:val="TableText0"/>
            </w:pPr>
            <w:r w:rsidRPr="0084450C">
              <w:t>Disease duration, median (range): 9.2 (0.5-38.5) yrs</w:t>
            </w:r>
          </w:p>
          <w:p w:rsidR="00A4010A" w:rsidRPr="0084450C" w:rsidRDefault="00A4010A" w:rsidP="00E965BD">
            <w:pPr>
              <w:pStyle w:val="TableText0"/>
              <w:rPr>
                <w:vertAlign w:val="superscript"/>
              </w:rPr>
            </w:pPr>
            <w:r w:rsidRPr="0084450C">
              <w:t>Median GPI-deficient granulocyte clone: 82.7%</w:t>
            </w:r>
            <w:r w:rsidRPr="0084450C">
              <w:rPr>
                <w:vertAlign w:val="superscript"/>
              </w:rPr>
              <w:t>b</w:t>
            </w:r>
          </w:p>
          <w:p w:rsidR="00A4010A" w:rsidRPr="0084450C" w:rsidRDefault="00A4010A" w:rsidP="00E965BD">
            <w:pPr>
              <w:pStyle w:val="TableText0"/>
            </w:pPr>
            <w:r w:rsidRPr="0084450C">
              <w:t>History of AA: 12 (27%)</w:t>
            </w:r>
          </w:p>
          <w:p w:rsidR="00A4010A" w:rsidRPr="0084450C" w:rsidRDefault="00A4010A" w:rsidP="00E965BD">
            <w:pPr>
              <w:pStyle w:val="TableText0"/>
            </w:pPr>
            <w:r w:rsidRPr="0084450C">
              <w:t>History of MDS: 0 (0%)</w:t>
            </w:r>
          </w:p>
          <w:p w:rsidR="00A4010A" w:rsidRPr="0084450C" w:rsidRDefault="00A4010A" w:rsidP="00E965BD">
            <w:pPr>
              <w:pStyle w:val="TableText0"/>
            </w:pPr>
            <w:r w:rsidRPr="0084450C">
              <w:t>History of thrombosis: 8 (18%)</w:t>
            </w:r>
          </w:p>
          <w:p w:rsidR="00A4010A" w:rsidRPr="0084450C" w:rsidRDefault="00A4010A" w:rsidP="00E965BD">
            <w:pPr>
              <w:pStyle w:val="TableText0"/>
            </w:pPr>
            <w:r w:rsidRPr="0084450C">
              <w:t>Use of anticoagulants: 11 (25%)</w:t>
            </w:r>
          </w:p>
          <w:p w:rsidR="00A4010A" w:rsidRPr="0084450C" w:rsidRDefault="00A4010A" w:rsidP="00E965BD">
            <w:pPr>
              <w:pStyle w:val="TableText0"/>
            </w:pPr>
          </w:p>
          <w:p w:rsidR="00A4010A" w:rsidRPr="00A213C3" w:rsidRDefault="00A4010A" w:rsidP="00E965BD">
            <w:pPr>
              <w:pStyle w:val="TableText0"/>
            </w:pPr>
          </w:p>
        </w:tc>
        <w:tc>
          <w:tcPr>
            <w:tcW w:w="1880" w:type="dxa"/>
          </w:tcPr>
          <w:p w:rsidR="00A4010A" w:rsidRPr="0084450C" w:rsidRDefault="00A4010A" w:rsidP="00E965BD">
            <w:pPr>
              <w:pStyle w:val="TableText0"/>
              <w:rPr>
                <w:u w:val="single"/>
              </w:rPr>
            </w:pPr>
            <w:r w:rsidRPr="0084450C">
              <w:rPr>
                <w:u w:val="single"/>
              </w:rPr>
              <w:lastRenderedPageBreak/>
              <w:t>Inclusion</w:t>
            </w:r>
          </w:p>
          <w:p w:rsidR="00A4010A" w:rsidRPr="0084450C" w:rsidRDefault="00A4010A" w:rsidP="00E965BD">
            <w:pPr>
              <w:pStyle w:val="TableText0"/>
            </w:pPr>
            <w:r w:rsidRPr="0084450C">
              <w:t>≥18 years</w:t>
            </w:r>
          </w:p>
          <w:p w:rsidR="00A4010A" w:rsidRPr="0084450C" w:rsidRDefault="00A4010A" w:rsidP="00E965BD">
            <w:pPr>
              <w:pStyle w:val="TableText0"/>
            </w:pPr>
            <w:r w:rsidRPr="0084450C">
              <w:t>≥4 transfusions during previous 12 months</w:t>
            </w:r>
          </w:p>
          <w:p w:rsidR="00A4010A" w:rsidRPr="0084450C" w:rsidRDefault="00A4010A" w:rsidP="00E965BD">
            <w:pPr>
              <w:pStyle w:val="TableText0"/>
            </w:pPr>
            <w:r w:rsidRPr="0084450C">
              <w:t>≤1 transfusion in 13 weeks pre-randomisation</w:t>
            </w:r>
          </w:p>
          <w:p w:rsidR="00A4010A" w:rsidRPr="0084450C" w:rsidRDefault="00A4010A" w:rsidP="00E965BD">
            <w:pPr>
              <w:pStyle w:val="TableText0"/>
            </w:pPr>
            <w:r w:rsidRPr="0084450C">
              <w:t>PNH type III RBC proportion of ≥10%</w:t>
            </w:r>
          </w:p>
          <w:p w:rsidR="00A4010A" w:rsidRPr="0084450C" w:rsidRDefault="00A4010A" w:rsidP="00E965BD">
            <w:pPr>
              <w:pStyle w:val="TableText0"/>
            </w:pPr>
            <w:r w:rsidRPr="0084450C">
              <w:t>LDH ≥1.5 x ULN</w:t>
            </w:r>
          </w:p>
          <w:p w:rsidR="00A4010A" w:rsidRPr="0084450C" w:rsidRDefault="00A4010A" w:rsidP="00E965BD">
            <w:pPr>
              <w:pStyle w:val="TableText0"/>
            </w:pPr>
            <w:r w:rsidRPr="0084450C">
              <w:t>Platelet count ≥100,000/mm</w:t>
            </w:r>
            <w:r w:rsidRPr="0084450C">
              <w:rPr>
                <w:vertAlign w:val="superscript"/>
              </w:rPr>
              <w:t>3</w:t>
            </w:r>
          </w:p>
          <w:p w:rsidR="00A4010A" w:rsidRPr="0084450C" w:rsidRDefault="00A4010A" w:rsidP="00E965BD">
            <w:pPr>
              <w:pStyle w:val="TableText0"/>
              <w:rPr>
                <w:i/>
              </w:rPr>
            </w:pPr>
            <w:r w:rsidRPr="0084450C">
              <w:t xml:space="preserve">Vaccinated against </w:t>
            </w:r>
            <w:r w:rsidRPr="0084450C">
              <w:rPr>
                <w:i/>
              </w:rPr>
              <w:t>N. meningitides.</w:t>
            </w:r>
          </w:p>
          <w:p w:rsidR="00A4010A" w:rsidRPr="0084450C" w:rsidRDefault="00A4010A" w:rsidP="00E965BD">
            <w:pPr>
              <w:pStyle w:val="TableText0"/>
              <w:rPr>
                <w:u w:val="single"/>
              </w:rPr>
            </w:pPr>
            <w:r w:rsidRPr="0084450C">
              <w:rPr>
                <w:u w:val="single"/>
              </w:rPr>
              <w:t>Exclusion</w:t>
            </w:r>
          </w:p>
          <w:p w:rsidR="00A4010A" w:rsidRPr="0084450C" w:rsidRDefault="00A4010A" w:rsidP="00E965BD">
            <w:pPr>
              <w:pStyle w:val="TableText0"/>
            </w:pPr>
            <w:r w:rsidRPr="0084450C">
              <w:t>Mean haemoglobin level &gt;10.5g/dL before transfusion during the previous 12 months</w:t>
            </w:r>
          </w:p>
          <w:p w:rsidR="00A4010A" w:rsidRPr="0084450C" w:rsidRDefault="00A4010A" w:rsidP="00E965BD">
            <w:pPr>
              <w:pStyle w:val="TableText0"/>
            </w:pPr>
            <w:r w:rsidRPr="0084450C">
              <w:lastRenderedPageBreak/>
              <w:t>Complement deficiency</w:t>
            </w:r>
          </w:p>
          <w:p w:rsidR="00A4010A" w:rsidRPr="0084450C" w:rsidRDefault="00A4010A" w:rsidP="00E965BD">
            <w:pPr>
              <w:pStyle w:val="TableText0"/>
            </w:pPr>
            <w:r w:rsidRPr="0084450C">
              <w:t>Active bacterial infection</w:t>
            </w:r>
          </w:p>
          <w:p w:rsidR="00A4010A" w:rsidRPr="0084450C" w:rsidRDefault="00A4010A" w:rsidP="00E965BD">
            <w:pPr>
              <w:pStyle w:val="TableText0"/>
            </w:pPr>
            <w:r w:rsidRPr="0084450C">
              <w:t>History of meningococcal disease</w:t>
            </w:r>
          </w:p>
          <w:p w:rsidR="00A4010A" w:rsidRPr="0084450C" w:rsidRDefault="00A4010A" w:rsidP="00E965BD">
            <w:pPr>
              <w:pStyle w:val="TableText0"/>
            </w:pPr>
            <w:r w:rsidRPr="0084450C">
              <w:t>Undergone bone marrow transplantation</w:t>
            </w:r>
          </w:p>
          <w:p w:rsidR="00A4010A" w:rsidRPr="0084450C" w:rsidRDefault="00A4010A" w:rsidP="00E965BD">
            <w:pPr>
              <w:pStyle w:val="TableText0"/>
            </w:pPr>
            <w:r w:rsidRPr="0084450C">
              <w:t>No transfusion during 13 week pre-randomisation period</w:t>
            </w:r>
          </w:p>
          <w:p w:rsidR="00A4010A" w:rsidRPr="0084450C" w:rsidRDefault="00A4010A" w:rsidP="00E965BD">
            <w:pPr>
              <w:pStyle w:val="TableText0"/>
            </w:pPr>
          </w:p>
          <w:p w:rsidR="00A4010A" w:rsidRPr="00A213C3" w:rsidRDefault="00A4010A" w:rsidP="00E965BD">
            <w:pPr>
              <w:pStyle w:val="TableText0"/>
            </w:pPr>
          </w:p>
        </w:tc>
        <w:tc>
          <w:tcPr>
            <w:tcW w:w="2126" w:type="dxa"/>
          </w:tcPr>
          <w:p w:rsidR="00A4010A" w:rsidRPr="0084450C" w:rsidRDefault="00A4010A" w:rsidP="00E965BD">
            <w:pPr>
              <w:pStyle w:val="TableText0"/>
            </w:pPr>
            <w:r w:rsidRPr="0084450C">
              <w:lastRenderedPageBreak/>
              <w:t>Eculizumab:</w:t>
            </w:r>
          </w:p>
          <w:p w:rsidR="00A4010A" w:rsidRPr="0084450C" w:rsidRDefault="00A4010A" w:rsidP="00E965BD">
            <w:pPr>
              <w:pStyle w:val="TableText0"/>
            </w:pPr>
            <w:r w:rsidRPr="0084450C">
              <w:t>ITT n</w:t>
            </w:r>
            <w:r w:rsidR="00652355" w:rsidRPr="00652355">
              <w:rPr>
                <w:spacing w:val="-20"/>
              </w:rPr>
              <w:t xml:space="preserve"> = </w:t>
            </w:r>
            <w:r w:rsidRPr="0084450C">
              <w:t>43</w:t>
            </w:r>
          </w:p>
          <w:p w:rsidR="00A4010A" w:rsidRPr="0084450C" w:rsidRDefault="00A4010A" w:rsidP="00E965BD">
            <w:pPr>
              <w:pStyle w:val="TableText0"/>
            </w:pPr>
            <w:proofErr w:type="gramStart"/>
            <w:r w:rsidRPr="0084450C">
              <w:t xml:space="preserve">LTF </w:t>
            </w:r>
            <w:r w:rsidR="00652355" w:rsidRPr="00652355">
              <w:rPr>
                <w:spacing w:val="-20"/>
              </w:rPr>
              <w:t xml:space="preserve"> =</w:t>
            </w:r>
            <w:proofErr w:type="gramEnd"/>
            <w:r w:rsidR="00652355" w:rsidRPr="00652355">
              <w:rPr>
                <w:spacing w:val="-20"/>
              </w:rPr>
              <w:t xml:space="preserve"> </w:t>
            </w:r>
            <w:r w:rsidRPr="0084450C">
              <w:t xml:space="preserve"> 2 (4.7%)</w:t>
            </w:r>
          </w:p>
          <w:p w:rsidR="00A4010A" w:rsidRPr="0084450C" w:rsidRDefault="00A4010A" w:rsidP="00E965BD">
            <w:pPr>
              <w:pStyle w:val="TableText0"/>
            </w:pPr>
            <w:r w:rsidRPr="0084450C">
              <w:t>1 pregnancy, 1 unwilling to travel</w:t>
            </w:r>
          </w:p>
          <w:p w:rsidR="00A4010A" w:rsidRPr="0084450C" w:rsidRDefault="00A4010A" w:rsidP="00E965BD">
            <w:pPr>
              <w:pStyle w:val="TableText0"/>
            </w:pPr>
            <w:r w:rsidRPr="0084450C">
              <w:t>Both included in analysis (not stated how missing data handled)</w:t>
            </w:r>
          </w:p>
          <w:p w:rsidR="00A4010A" w:rsidRPr="0084450C" w:rsidRDefault="00A4010A" w:rsidP="00E965BD">
            <w:pPr>
              <w:pStyle w:val="TableText0"/>
            </w:pPr>
          </w:p>
          <w:p w:rsidR="00A4010A" w:rsidRPr="0084450C" w:rsidRDefault="00A4010A" w:rsidP="00E965BD">
            <w:pPr>
              <w:pStyle w:val="TableText0"/>
            </w:pPr>
            <w:r w:rsidRPr="0084450C">
              <w:t>600mg per week (±2 days) for 4 weeks,</w:t>
            </w:r>
          </w:p>
          <w:p w:rsidR="00A4010A" w:rsidRPr="0084450C" w:rsidRDefault="00A4010A" w:rsidP="00E965BD">
            <w:pPr>
              <w:pStyle w:val="TableText0"/>
            </w:pPr>
            <w:r w:rsidRPr="0084450C">
              <w:t>900mg at week 5,</w:t>
            </w:r>
          </w:p>
          <w:p w:rsidR="00A4010A" w:rsidRPr="0084450C" w:rsidRDefault="00A4010A" w:rsidP="00E965BD">
            <w:pPr>
              <w:pStyle w:val="TableText0"/>
            </w:pPr>
            <w:r w:rsidRPr="0084450C">
              <w:t>then 900mg every 2 weeks (±2 days) through week 26</w:t>
            </w:r>
          </w:p>
          <w:p w:rsidR="00A4010A" w:rsidRPr="0084450C" w:rsidRDefault="00A4010A" w:rsidP="00E965BD">
            <w:pPr>
              <w:pStyle w:val="TableText0"/>
            </w:pPr>
          </w:p>
          <w:p w:rsidR="00A4010A" w:rsidRPr="0084450C" w:rsidRDefault="00A4010A" w:rsidP="00E965BD">
            <w:pPr>
              <w:pStyle w:val="TableText0"/>
            </w:pPr>
            <w:r w:rsidRPr="0084450C">
              <w:t>Placebo:</w:t>
            </w:r>
          </w:p>
          <w:p w:rsidR="00A4010A" w:rsidRPr="0084450C" w:rsidRDefault="00A4010A" w:rsidP="00E965BD">
            <w:pPr>
              <w:pStyle w:val="TableText0"/>
            </w:pPr>
            <w:r w:rsidRPr="0084450C">
              <w:t>ITT n</w:t>
            </w:r>
            <w:r w:rsidR="00652355" w:rsidRPr="00652355">
              <w:rPr>
                <w:spacing w:val="-20"/>
              </w:rPr>
              <w:t xml:space="preserve"> = </w:t>
            </w:r>
            <w:r w:rsidRPr="0084450C">
              <w:t>44</w:t>
            </w:r>
          </w:p>
          <w:p w:rsidR="00865A5F" w:rsidRDefault="00A4010A" w:rsidP="00E965BD">
            <w:pPr>
              <w:pStyle w:val="TableText0"/>
            </w:pPr>
            <w:r w:rsidRPr="0084450C">
              <w:t xml:space="preserve">LTF </w:t>
            </w:r>
            <w:r w:rsidR="00652355" w:rsidRPr="00652355">
              <w:rPr>
                <w:spacing w:val="-20"/>
              </w:rPr>
              <w:t xml:space="preserve"> = </w:t>
            </w:r>
            <w:r w:rsidRPr="0084450C">
              <w:t xml:space="preserve"> 0</w:t>
            </w:r>
          </w:p>
          <w:p w:rsidR="00A4010A" w:rsidRPr="0084450C" w:rsidRDefault="00A4010A" w:rsidP="00E965BD">
            <w:pPr>
              <w:pStyle w:val="TableText0"/>
            </w:pPr>
            <w:r w:rsidRPr="0084450C">
              <w:lastRenderedPageBreak/>
              <w:t>10 patients discontinued due to perceived lack of efficacy</w:t>
            </w:r>
          </w:p>
          <w:p w:rsidR="00A4010A" w:rsidRPr="0084450C" w:rsidRDefault="00A4010A" w:rsidP="00E965BD">
            <w:pPr>
              <w:pStyle w:val="TableText0"/>
            </w:pPr>
            <w:r w:rsidRPr="0084450C">
              <w:t>Placebo infusion</w:t>
            </w:r>
          </w:p>
          <w:p w:rsidR="00A4010A" w:rsidRPr="0084450C" w:rsidRDefault="00A4010A" w:rsidP="00E965BD">
            <w:pPr>
              <w:pStyle w:val="TableText0"/>
            </w:pPr>
            <w:r w:rsidRPr="0084450C">
              <w:t>600mg per week for 4 weeks,</w:t>
            </w:r>
          </w:p>
          <w:p w:rsidR="00A4010A" w:rsidRPr="0084450C" w:rsidRDefault="00A4010A" w:rsidP="00E965BD">
            <w:pPr>
              <w:pStyle w:val="TableText0"/>
            </w:pPr>
            <w:r w:rsidRPr="0084450C">
              <w:t>900mg at week 5,</w:t>
            </w:r>
          </w:p>
          <w:p w:rsidR="00A4010A" w:rsidRPr="0084450C" w:rsidRDefault="00A4010A" w:rsidP="00E965BD">
            <w:pPr>
              <w:pStyle w:val="TableText0"/>
              <w:rPr>
                <w:u w:val="single"/>
              </w:rPr>
            </w:pPr>
            <w:r w:rsidRPr="0084450C">
              <w:t>Then 900mg every 2 weeks through week 26</w:t>
            </w:r>
          </w:p>
        </w:tc>
        <w:tc>
          <w:tcPr>
            <w:tcW w:w="1701" w:type="dxa"/>
            <w:tcBorders>
              <w:right w:val="single" w:sz="4" w:space="0" w:color="auto"/>
            </w:tcBorders>
          </w:tcPr>
          <w:p w:rsidR="00A4010A" w:rsidRPr="0084450C" w:rsidRDefault="00A4010A" w:rsidP="00E965BD">
            <w:pPr>
              <w:pStyle w:val="TableText0"/>
            </w:pPr>
            <w:r w:rsidRPr="0084450C">
              <w:rPr>
                <w:u w:val="single"/>
              </w:rPr>
              <w:lastRenderedPageBreak/>
              <w:t>Primary</w:t>
            </w:r>
          </w:p>
          <w:p w:rsidR="00A4010A" w:rsidRPr="0084450C" w:rsidRDefault="00A4010A" w:rsidP="00E965BD">
            <w:pPr>
              <w:pStyle w:val="TableText0"/>
            </w:pPr>
            <w:r w:rsidRPr="0084450C">
              <w:t>ITT analysis</w:t>
            </w:r>
          </w:p>
          <w:p w:rsidR="00A4010A" w:rsidRPr="0084450C" w:rsidRDefault="00A4010A" w:rsidP="00E965BD">
            <w:pPr>
              <w:pStyle w:val="TableText0"/>
            </w:pPr>
            <w:r w:rsidRPr="0084450C">
              <w:t>Number of packed red cells transfused during the 26-week treatment period</w:t>
            </w:r>
          </w:p>
          <w:p w:rsidR="00A4010A" w:rsidRPr="0084450C" w:rsidRDefault="00A4010A" w:rsidP="00E965BD">
            <w:pPr>
              <w:pStyle w:val="TableText0"/>
              <w:rPr>
                <w:u w:val="single"/>
              </w:rPr>
            </w:pPr>
            <w:r w:rsidRPr="0084450C">
              <w:rPr>
                <w:u w:val="single"/>
              </w:rPr>
              <w:t>Secondary</w:t>
            </w:r>
          </w:p>
          <w:p w:rsidR="00A4010A" w:rsidRPr="0084450C" w:rsidRDefault="00A4010A" w:rsidP="00E965BD">
            <w:pPr>
              <w:pStyle w:val="TableText0"/>
            </w:pPr>
            <w:r w:rsidRPr="0084450C">
              <w:t>Transfusion independence</w:t>
            </w:r>
          </w:p>
          <w:p w:rsidR="00A4010A" w:rsidRPr="0084450C" w:rsidRDefault="00A4010A" w:rsidP="00E965BD">
            <w:pPr>
              <w:pStyle w:val="TableText0"/>
              <w:rPr>
                <w:vertAlign w:val="superscript"/>
              </w:rPr>
            </w:pPr>
            <w:r w:rsidRPr="0084450C">
              <w:t>Change in level of fatigue (FACIT-Fatigue instrument)</w:t>
            </w:r>
            <w:r w:rsidRPr="0084450C">
              <w:rPr>
                <w:vertAlign w:val="superscript"/>
              </w:rPr>
              <w:t>c</w:t>
            </w:r>
          </w:p>
          <w:p w:rsidR="00A4010A" w:rsidRPr="0084450C" w:rsidRDefault="00A4010A" w:rsidP="00E965BD">
            <w:pPr>
              <w:pStyle w:val="TableText0"/>
            </w:pPr>
            <w:r w:rsidRPr="0084450C">
              <w:rPr>
                <w:u w:val="single"/>
              </w:rPr>
              <w:t>Exploratory</w:t>
            </w:r>
          </w:p>
          <w:p w:rsidR="00A4010A" w:rsidRPr="0084450C" w:rsidRDefault="00A4010A" w:rsidP="00E965BD">
            <w:pPr>
              <w:pStyle w:val="TableText0"/>
            </w:pPr>
            <w:r w:rsidRPr="0084450C">
              <w:t>Quality of life (EORTC QLQ-C30, scale 0-100)</w:t>
            </w:r>
          </w:p>
          <w:p w:rsidR="00A4010A" w:rsidRPr="0084450C" w:rsidRDefault="00A4010A" w:rsidP="00E965BD">
            <w:pPr>
              <w:pStyle w:val="TableText0"/>
            </w:pPr>
            <w:r w:rsidRPr="0084450C">
              <w:rPr>
                <w:u w:val="single"/>
              </w:rPr>
              <w:t>Safety</w:t>
            </w:r>
          </w:p>
          <w:p w:rsidR="00A4010A" w:rsidRPr="0084450C" w:rsidRDefault="00A4010A" w:rsidP="00E965BD">
            <w:pPr>
              <w:pStyle w:val="TableText0"/>
            </w:pPr>
            <w:r w:rsidRPr="0084450C">
              <w:t>Adverse events</w:t>
            </w:r>
          </w:p>
        </w:tc>
        <w:tc>
          <w:tcPr>
            <w:tcW w:w="1072" w:type="dxa"/>
            <w:tcBorders>
              <w:left w:val="single" w:sz="4" w:space="0" w:color="auto"/>
            </w:tcBorders>
          </w:tcPr>
          <w:p w:rsidR="00A4010A" w:rsidRPr="0084450C" w:rsidRDefault="00A4010A" w:rsidP="00E965BD">
            <w:pPr>
              <w:pStyle w:val="TableText0"/>
            </w:pPr>
            <w:r w:rsidRPr="0084450C">
              <w:t>26 weeks</w:t>
            </w:r>
          </w:p>
        </w:tc>
        <w:tc>
          <w:tcPr>
            <w:tcW w:w="1433" w:type="dxa"/>
          </w:tcPr>
          <w:p w:rsidR="00A4010A" w:rsidRPr="0084450C" w:rsidRDefault="00A4010A" w:rsidP="00E965BD">
            <w:pPr>
              <w:pStyle w:val="TableText0"/>
            </w:pPr>
            <w:r w:rsidRPr="0084450C">
              <w:t>Randomisation stratified according to number of packed RBSs transfused during the past year.</w:t>
            </w:r>
          </w:p>
          <w:p w:rsidR="00A4010A" w:rsidRPr="0084450C" w:rsidRDefault="00A4010A" w:rsidP="00E965BD">
            <w:pPr>
              <w:pStyle w:val="TableText0"/>
            </w:pPr>
            <w:r w:rsidRPr="0084450C">
              <w:t>Disease duration, history of AA and use of anticoagulants appear to differ between randomised groups.</w:t>
            </w:r>
          </w:p>
          <w:p w:rsidR="00A4010A" w:rsidRDefault="00A4010A" w:rsidP="00E965BD">
            <w:pPr>
              <w:pStyle w:val="TableText0"/>
            </w:pPr>
          </w:p>
        </w:tc>
      </w:tr>
      <w:tr w:rsidR="00A4010A" w:rsidRPr="00F1301E" w:rsidTr="008D2975">
        <w:tc>
          <w:tcPr>
            <w:tcW w:w="1290" w:type="dxa"/>
          </w:tcPr>
          <w:p w:rsidR="00A4010A" w:rsidRPr="0084450C" w:rsidRDefault="00A130D0" w:rsidP="00E965BD">
            <w:pPr>
              <w:pStyle w:val="TableText0"/>
            </w:pPr>
            <w:r>
              <w:rPr>
                <w:noProof/>
              </w:rPr>
              <w:lastRenderedPageBreak/>
              <w:t>(</w:t>
            </w:r>
            <w:r w:rsidR="00184B6F">
              <w:rPr>
                <w:noProof/>
              </w:rPr>
              <w:t>Brodsky et al. 2008</w:t>
            </w:r>
            <w:r>
              <w:rPr>
                <w:noProof/>
              </w:rPr>
              <w:t>)</w:t>
            </w:r>
          </w:p>
          <w:p w:rsidR="00A4010A" w:rsidRPr="0084450C" w:rsidRDefault="00A4010A" w:rsidP="00E965BD">
            <w:pPr>
              <w:pStyle w:val="TableText0"/>
            </w:pPr>
            <w:r w:rsidRPr="0084450C">
              <w:t>US, Europe, Australia, Canada</w:t>
            </w:r>
          </w:p>
          <w:p w:rsidR="00A4010A" w:rsidRPr="0084450C" w:rsidRDefault="00A4010A" w:rsidP="00E965BD">
            <w:pPr>
              <w:pStyle w:val="TableText0"/>
            </w:pPr>
            <w:r w:rsidRPr="0084450C">
              <w:t>SHEPHERD</w:t>
            </w:r>
          </w:p>
        </w:tc>
        <w:tc>
          <w:tcPr>
            <w:tcW w:w="1393" w:type="dxa"/>
          </w:tcPr>
          <w:p w:rsidR="00A4010A" w:rsidRPr="0084450C" w:rsidRDefault="00A4010A" w:rsidP="00E965BD">
            <w:pPr>
              <w:pStyle w:val="TableText0"/>
            </w:pPr>
            <w:r w:rsidRPr="0084450C">
              <w:t>Open-label case series: before-and-after treatment</w:t>
            </w:r>
          </w:p>
          <w:p w:rsidR="00A4010A" w:rsidRPr="0084450C" w:rsidRDefault="00A4010A" w:rsidP="00E965BD">
            <w:pPr>
              <w:pStyle w:val="TableText0"/>
            </w:pPr>
          </w:p>
          <w:p w:rsidR="00A4010A" w:rsidRPr="0084450C" w:rsidRDefault="00A4010A" w:rsidP="00E965BD">
            <w:pPr>
              <w:pStyle w:val="TableText0"/>
            </w:pPr>
            <w:r w:rsidRPr="0084450C">
              <w:t xml:space="preserve">Level: IV </w:t>
            </w:r>
          </w:p>
          <w:p w:rsidR="00A4010A" w:rsidRPr="0084450C" w:rsidRDefault="00A4010A" w:rsidP="00E965BD">
            <w:pPr>
              <w:pStyle w:val="TableText0"/>
            </w:pPr>
            <w:r w:rsidRPr="0084450C">
              <w:t>Quality: Moderate (NHS CRD)</w:t>
            </w:r>
          </w:p>
        </w:tc>
        <w:tc>
          <w:tcPr>
            <w:tcW w:w="3365" w:type="dxa"/>
          </w:tcPr>
          <w:p w:rsidR="00A4010A" w:rsidRPr="0084450C" w:rsidRDefault="00A4010A" w:rsidP="00E965BD">
            <w:pPr>
              <w:pStyle w:val="TableText0"/>
            </w:pPr>
            <w:r w:rsidRPr="0084450C">
              <w:t>N</w:t>
            </w:r>
            <w:r w:rsidR="00652355" w:rsidRPr="00652355">
              <w:rPr>
                <w:spacing w:val="-20"/>
              </w:rPr>
              <w:t xml:space="preserve"> = </w:t>
            </w:r>
            <w:r w:rsidRPr="0084450C">
              <w:t>97</w:t>
            </w:r>
          </w:p>
          <w:p w:rsidR="00A4010A" w:rsidRPr="0084450C" w:rsidRDefault="00A4010A" w:rsidP="00E965BD">
            <w:pPr>
              <w:pStyle w:val="TableText0"/>
            </w:pPr>
          </w:p>
          <w:p w:rsidR="00A4010A" w:rsidRPr="0084450C" w:rsidRDefault="00A4010A" w:rsidP="00E965BD">
            <w:pPr>
              <w:pStyle w:val="TableText0"/>
            </w:pPr>
            <w:r w:rsidRPr="0084450C">
              <w:t>Male 49.5%</w:t>
            </w:r>
          </w:p>
          <w:p w:rsidR="00A4010A" w:rsidRPr="0084450C" w:rsidRDefault="00A4010A" w:rsidP="00E965BD">
            <w:pPr>
              <w:pStyle w:val="TableText0"/>
            </w:pPr>
            <w:r w:rsidRPr="0084450C">
              <w:t>Age, median 41 years (range 18-78)</w:t>
            </w:r>
          </w:p>
          <w:p w:rsidR="00A4010A" w:rsidRPr="0084450C" w:rsidRDefault="00A4010A" w:rsidP="00E965BD">
            <w:pPr>
              <w:pStyle w:val="TableText0"/>
            </w:pPr>
            <w:r w:rsidRPr="0084450C">
              <w:t>Race, 90.7% Caucasian</w:t>
            </w:r>
          </w:p>
          <w:p w:rsidR="00A4010A" w:rsidRPr="0084450C" w:rsidRDefault="00A4010A" w:rsidP="00E965BD">
            <w:pPr>
              <w:pStyle w:val="TableText0"/>
            </w:pPr>
            <w:r w:rsidRPr="0084450C">
              <w:t>Duration of PNH, median 4.9 years (range 0.1-31.4)</w:t>
            </w:r>
          </w:p>
          <w:p w:rsidR="00A4010A" w:rsidRPr="0084450C" w:rsidRDefault="00A4010A" w:rsidP="00E965BD">
            <w:pPr>
              <w:pStyle w:val="TableText0"/>
            </w:pPr>
            <w:r w:rsidRPr="0084450C">
              <w:t>Platelet count, median (range): 136 (23-355) x 10</w:t>
            </w:r>
            <w:r w:rsidRPr="0084450C">
              <w:rPr>
                <w:vertAlign w:val="superscript"/>
              </w:rPr>
              <w:t>9</w:t>
            </w:r>
            <w:r w:rsidRPr="0084450C">
              <w:t>/L</w:t>
            </w:r>
          </w:p>
          <w:p w:rsidR="00A4010A" w:rsidRPr="0084450C" w:rsidRDefault="00A4010A" w:rsidP="00E965BD">
            <w:pPr>
              <w:pStyle w:val="TableText0"/>
            </w:pPr>
            <w:r w:rsidRPr="0084450C">
              <w:t xml:space="preserve">PNH type III RBC clone, median 33.5% </w:t>
            </w:r>
            <w:r w:rsidRPr="0084450C">
              <w:lastRenderedPageBreak/>
              <w:t>(range 7.7-98.8)</w:t>
            </w:r>
          </w:p>
          <w:p w:rsidR="00A4010A" w:rsidRPr="0084450C" w:rsidRDefault="00A4010A" w:rsidP="00E965BD">
            <w:pPr>
              <w:pStyle w:val="TableText0"/>
            </w:pPr>
            <w:r w:rsidRPr="0084450C">
              <w:t>Pre-study transfusion requirements, median 8.0 (range 0-66) units in 12 months before study</w:t>
            </w:r>
          </w:p>
          <w:p w:rsidR="00A4010A" w:rsidRPr="0084450C" w:rsidRDefault="00A4010A" w:rsidP="00E965BD">
            <w:pPr>
              <w:pStyle w:val="TableText0"/>
            </w:pPr>
            <w:r w:rsidRPr="0084450C">
              <w:t>LDH levels, median 2051 (range 537-5245) U/L</w:t>
            </w:r>
          </w:p>
          <w:p w:rsidR="00A4010A" w:rsidRPr="0084450C" w:rsidRDefault="00A4010A" w:rsidP="00E965BD">
            <w:pPr>
              <w:pStyle w:val="TableText0"/>
            </w:pPr>
            <w:r w:rsidRPr="0084450C">
              <w:t>History of thrombosis: 42 (43%)</w:t>
            </w:r>
          </w:p>
        </w:tc>
        <w:tc>
          <w:tcPr>
            <w:tcW w:w="1880" w:type="dxa"/>
          </w:tcPr>
          <w:p w:rsidR="00A4010A" w:rsidRPr="0084450C" w:rsidRDefault="00A4010A" w:rsidP="00E965BD">
            <w:pPr>
              <w:pStyle w:val="TableText0"/>
            </w:pPr>
            <w:r w:rsidRPr="0084450C">
              <w:rPr>
                <w:u w:val="single"/>
              </w:rPr>
              <w:lastRenderedPageBreak/>
              <w:t>Inclusion</w:t>
            </w:r>
          </w:p>
          <w:p w:rsidR="00A4010A" w:rsidRPr="0084450C" w:rsidRDefault="00A4010A" w:rsidP="00E965BD">
            <w:pPr>
              <w:pStyle w:val="TableText0"/>
            </w:pPr>
            <w:r w:rsidRPr="0084450C">
              <w:t>≥18 years</w:t>
            </w:r>
          </w:p>
          <w:p w:rsidR="00A4010A" w:rsidRPr="0084450C" w:rsidRDefault="00A4010A" w:rsidP="00E965BD">
            <w:pPr>
              <w:pStyle w:val="TableText0"/>
            </w:pPr>
            <w:r w:rsidRPr="0084450C">
              <w:t>≥1 transfusion in the past 2 years</w:t>
            </w:r>
          </w:p>
          <w:p w:rsidR="00A4010A" w:rsidRPr="0084450C" w:rsidRDefault="00A4010A" w:rsidP="00E965BD">
            <w:pPr>
              <w:pStyle w:val="TableText0"/>
            </w:pPr>
            <w:r w:rsidRPr="0084450C">
              <w:t>Diagnosis of PNH made more than 6 months prior</w:t>
            </w:r>
          </w:p>
          <w:p w:rsidR="00A4010A" w:rsidRPr="0084450C" w:rsidRDefault="00A4010A" w:rsidP="00E965BD">
            <w:pPr>
              <w:pStyle w:val="TableText0"/>
            </w:pPr>
            <w:r w:rsidRPr="0084450C">
              <w:t>PNH type III RBC proportion of ≥10%</w:t>
            </w:r>
          </w:p>
          <w:p w:rsidR="00A4010A" w:rsidRPr="0084450C" w:rsidRDefault="00A4010A" w:rsidP="00E965BD">
            <w:pPr>
              <w:pStyle w:val="TableText0"/>
            </w:pPr>
            <w:r w:rsidRPr="0084450C">
              <w:t xml:space="preserve">LDH at least 1.5 x </w:t>
            </w:r>
            <w:r w:rsidRPr="0084450C">
              <w:lastRenderedPageBreak/>
              <w:t>ULN</w:t>
            </w:r>
          </w:p>
          <w:p w:rsidR="00A4010A" w:rsidRPr="0084450C" w:rsidRDefault="00A4010A" w:rsidP="00E965BD">
            <w:pPr>
              <w:pStyle w:val="TableText0"/>
            </w:pPr>
            <w:r w:rsidRPr="0084450C">
              <w:t>Platelet count ≥30x10</w:t>
            </w:r>
            <w:r w:rsidRPr="0084450C">
              <w:rPr>
                <w:vertAlign w:val="superscript"/>
              </w:rPr>
              <w:t>9</w:t>
            </w:r>
            <w:r w:rsidRPr="0084450C">
              <w:t>/L</w:t>
            </w:r>
          </w:p>
          <w:p w:rsidR="00A4010A" w:rsidRPr="0084450C" w:rsidRDefault="00A4010A" w:rsidP="00E965BD">
            <w:pPr>
              <w:pStyle w:val="TableText0"/>
            </w:pPr>
            <w:r w:rsidRPr="0084450C">
              <w:t xml:space="preserve">Vaccinated against </w:t>
            </w:r>
            <w:r w:rsidRPr="0084450C">
              <w:rPr>
                <w:i/>
              </w:rPr>
              <w:t>N. meningitides</w:t>
            </w:r>
            <w:r w:rsidRPr="0084450C">
              <w:t>.</w:t>
            </w:r>
          </w:p>
          <w:p w:rsidR="00A4010A" w:rsidRPr="0084450C" w:rsidRDefault="00A4010A" w:rsidP="00E965BD">
            <w:pPr>
              <w:pStyle w:val="TableText0"/>
            </w:pPr>
            <w:r w:rsidRPr="0084450C">
              <w:rPr>
                <w:u w:val="single"/>
              </w:rPr>
              <w:t>Exclusion</w:t>
            </w:r>
          </w:p>
          <w:p w:rsidR="00A4010A" w:rsidRPr="0084450C" w:rsidRDefault="00A4010A" w:rsidP="00E965BD">
            <w:pPr>
              <w:pStyle w:val="TableText0"/>
            </w:pPr>
            <w:r w:rsidRPr="0084450C">
              <w:t>Absolute neutrophil count &lt;0.5x10</w:t>
            </w:r>
            <w:r w:rsidRPr="0084450C">
              <w:rPr>
                <w:vertAlign w:val="superscript"/>
              </w:rPr>
              <w:t>9</w:t>
            </w:r>
            <w:r w:rsidRPr="0084450C">
              <w:t>/L</w:t>
            </w:r>
          </w:p>
          <w:p w:rsidR="00A4010A" w:rsidRPr="0084450C" w:rsidRDefault="00A4010A" w:rsidP="00E965BD">
            <w:pPr>
              <w:pStyle w:val="TableText0"/>
            </w:pPr>
            <w:r w:rsidRPr="0084450C">
              <w:t>Complement deficiency</w:t>
            </w:r>
          </w:p>
          <w:p w:rsidR="00A4010A" w:rsidRPr="0084450C" w:rsidRDefault="00A4010A" w:rsidP="00E965BD">
            <w:pPr>
              <w:pStyle w:val="TableText0"/>
            </w:pPr>
            <w:r w:rsidRPr="0084450C">
              <w:t xml:space="preserve">Active bacterial </w:t>
            </w:r>
          </w:p>
          <w:p w:rsidR="00A4010A" w:rsidRPr="0084450C" w:rsidRDefault="00A4010A" w:rsidP="00E965BD">
            <w:pPr>
              <w:pStyle w:val="TableText0"/>
            </w:pPr>
            <w:r w:rsidRPr="0084450C">
              <w:t>Prior meningococcal disease</w:t>
            </w:r>
          </w:p>
          <w:p w:rsidR="00A4010A" w:rsidRPr="0084450C" w:rsidRDefault="00A4010A" w:rsidP="00E965BD">
            <w:pPr>
              <w:pStyle w:val="TableText0"/>
            </w:pPr>
            <w:r w:rsidRPr="0084450C">
              <w:t>Prior bone marrow transplantation</w:t>
            </w:r>
          </w:p>
          <w:p w:rsidR="00A4010A" w:rsidRPr="001E6673" w:rsidRDefault="00A4010A" w:rsidP="00E965BD">
            <w:pPr>
              <w:pStyle w:val="TableText0"/>
            </w:pPr>
          </w:p>
        </w:tc>
        <w:tc>
          <w:tcPr>
            <w:tcW w:w="2126" w:type="dxa"/>
          </w:tcPr>
          <w:p w:rsidR="00A4010A" w:rsidRPr="0084450C" w:rsidRDefault="00A4010A" w:rsidP="00E965BD">
            <w:pPr>
              <w:pStyle w:val="TableText0"/>
            </w:pPr>
            <w:r w:rsidRPr="0084450C">
              <w:lastRenderedPageBreak/>
              <w:t>ITT n</w:t>
            </w:r>
            <w:r w:rsidR="00652355" w:rsidRPr="00652355">
              <w:rPr>
                <w:spacing w:val="-20"/>
              </w:rPr>
              <w:t xml:space="preserve"> = </w:t>
            </w:r>
            <w:r w:rsidRPr="0084450C">
              <w:t xml:space="preserve"> 97</w:t>
            </w:r>
          </w:p>
          <w:p w:rsidR="00A4010A" w:rsidRPr="0084450C" w:rsidRDefault="00A4010A" w:rsidP="00E965BD">
            <w:pPr>
              <w:pStyle w:val="TableText0"/>
            </w:pPr>
            <w:r w:rsidRPr="0084450C">
              <w:t>LTF</w:t>
            </w:r>
            <w:r w:rsidR="00652355" w:rsidRPr="00652355">
              <w:rPr>
                <w:spacing w:val="-20"/>
              </w:rPr>
              <w:t xml:space="preserve"> = </w:t>
            </w:r>
            <w:r w:rsidRPr="0084450C">
              <w:t xml:space="preserve"> 1 (AE unrelated to study drug)</w:t>
            </w:r>
          </w:p>
          <w:p w:rsidR="00A4010A" w:rsidRPr="0084450C" w:rsidRDefault="00A4010A" w:rsidP="00E965BD">
            <w:pPr>
              <w:pStyle w:val="TableText0"/>
            </w:pPr>
          </w:p>
          <w:p w:rsidR="00A4010A" w:rsidRPr="0084450C" w:rsidRDefault="00A4010A" w:rsidP="00E965BD">
            <w:pPr>
              <w:pStyle w:val="TableText0"/>
            </w:pPr>
            <w:r w:rsidRPr="0084450C">
              <w:t>Eculizumab infusion</w:t>
            </w:r>
          </w:p>
          <w:p w:rsidR="00A4010A" w:rsidRPr="0084450C" w:rsidRDefault="00A4010A" w:rsidP="00E965BD">
            <w:pPr>
              <w:pStyle w:val="TableText0"/>
            </w:pPr>
          </w:p>
          <w:p w:rsidR="00A4010A" w:rsidRPr="0084450C" w:rsidRDefault="00A4010A" w:rsidP="00E965BD">
            <w:pPr>
              <w:pStyle w:val="TableText0"/>
            </w:pPr>
            <w:r w:rsidRPr="0084450C">
              <w:t>600mg every 7 (±2) days for 4 weeks,</w:t>
            </w:r>
          </w:p>
          <w:p w:rsidR="00A4010A" w:rsidRPr="0084450C" w:rsidRDefault="00A4010A" w:rsidP="00E965BD">
            <w:pPr>
              <w:pStyle w:val="TableText0"/>
            </w:pPr>
            <w:r w:rsidRPr="0084450C">
              <w:t>900mg 7 (±2) days later,</w:t>
            </w:r>
          </w:p>
          <w:p w:rsidR="00A4010A" w:rsidRPr="0084450C" w:rsidRDefault="00A4010A" w:rsidP="00E965BD">
            <w:pPr>
              <w:pStyle w:val="TableText0"/>
              <w:rPr>
                <w:u w:val="single"/>
              </w:rPr>
            </w:pPr>
            <w:r w:rsidRPr="0084450C">
              <w:t xml:space="preserve">then 900mg every 14 (±2) </w:t>
            </w:r>
            <w:r w:rsidRPr="0084450C">
              <w:lastRenderedPageBreak/>
              <w:t>days for a total of 52 weeks</w:t>
            </w:r>
          </w:p>
        </w:tc>
        <w:tc>
          <w:tcPr>
            <w:tcW w:w="1701" w:type="dxa"/>
            <w:tcBorders>
              <w:right w:val="single" w:sz="4" w:space="0" w:color="auto"/>
            </w:tcBorders>
          </w:tcPr>
          <w:p w:rsidR="00A4010A" w:rsidRPr="0084450C" w:rsidRDefault="00A4010A" w:rsidP="00E965BD">
            <w:pPr>
              <w:pStyle w:val="TableText0"/>
            </w:pPr>
            <w:r w:rsidRPr="0084450C">
              <w:rPr>
                <w:u w:val="single"/>
              </w:rPr>
              <w:lastRenderedPageBreak/>
              <w:t>Secondary</w:t>
            </w:r>
          </w:p>
          <w:p w:rsidR="00A4010A" w:rsidRPr="0084450C" w:rsidRDefault="00A4010A" w:rsidP="00E965BD">
            <w:pPr>
              <w:pStyle w:val="TableText0"/>
              <w:rPr>
                <w:vertAlign w:val="superscript"/>
              </w:rPr>
            </w:pPr>
            <w:r w:rsidRPr="0084450C">
              <w:t>Change in level of fatigue (FACIT-Fatigue instrument)</w:t>
            </w:r>
            <w:r w:rsidRPr="0084450C">
              <w:rPr>
                <w:vertAlign w:val="superscript"/>
              </w:rPr>
              <w:t>c</w:t>
            </w:r>
          </w:p>
          <w:p w:rsidR="00A4010A" w:rsidRPr="0084450C" w:rsidRDefault="00A4010A" w:rsidP="00E965BD">
            <w:pPr>
              <w:pStyle w:val="TableText0"/>
            </w:pPr>
            <w:r w:rsidRPr="0084450C">
              <w:rPr>
                <w:u w:val="single"/>
              </w:rPr>
              <w:t>Additional</w:t>
            </w:r>
          </w:p>
          <w:p w:rsidR="00A4010A" w:rsidRPr="0084450C" w:rsidRDefault="00A4010A" w:rsidP="00E965BD">
            <w:pPr>
              <w:pStyle w:val="TableText0"/>
            </w:pPr>
            <w:r w:rsidRPr="0084450C">
              <w:t>Quality of life (EORTC QLQ-C30)</w:t>
            </w:r>
          </w:p>
          <w:p w:rsidR="00A4010A" w:rsidRPr="0084450C" w:rsidRDefault="00A4010A" w:rsidP="00E965BD">
            <w:pPr>
              <w:pStyle w:val="TableText0"/>
            </w:pPr>
            <w:r w:rsidRPr="0084450C">
              <w:t>Thrombosis</w:t>
            </w:r>
          </w:p>
          <w:p w:rsidR="00A4010A" w:rsidRPr="0084450C" w:rsidRDefault="00A4010A" w:rsidP="00E965BD">
            <w:pPr>
              <w:pStyle w:val="TableText0"/>
            </w:pPr>
            <w:r w:rsidRPr="0084450C">
              <w:t xml:space="preserve">Transfusion requirements (ITT </w:t>
            </w:r>
            <w:r w:rsidRPr="0084450C">
              <w:lastRenderedPageBreak/>
              <w:t>analysis)</w:t>
            </w:r>
          </w:p>
          <w:p w:rsidR="00A4010A" w:rsidRPr="0084450C" w:rsidRDefault="00A4010A" w:rsidP="00E965BD">
            <w:pPr>
              <w:pStyle w:val="TableText0"/>
            </w:pPr>
          </w:p>
          <w:p w:rsidR="00A4010A" w:rsidRPr="0084450C" w:rsidRDefault="00A4010A" w:rsidP="00E965BD">
            <w:pPr>
              <w:pStyle w:val="TableText0"/>
            </w:pPr>
            <w:r w:rsidRPr="0084450C">
              <w:t>Safety: AEs, clinical laboratory results, ECG data, and vital signs</w:t>
            </w:r>
          </w:p>
        </w:tc>
        <w:tc>
          <w:tcPr>
            <w:tcW w:w="1072" w:type="dxa"/>
            <w:tcBorders>
              <w:left w:val="single" w:sz="4" w:space="0" w:color="auto"/>
            </w:tcBorders>
          </w:tcPr>
          <w:p w:rsidR="00A4010A" w:rsidRPr="0084450C" w:rsidRDefault="00A4010A" w:rsidP="00E965BD">
            <w:pPr>
              <w:pStyle w:val="TableText0"/>
            </w:pPr>
            <w:r w:rsidRPr="0084450C">
              <w:lastRenderedPageBreak/>
              <w:t>52 weeks</w:t>
            </w:r>
          </w:p>
        </w:tc>
        <w:tc>
          <w:tcPr>
            <w:tcW w:w="1433" w:type="dxa"/>
          </w:tcPr>
          <w:p w:rsidR="00A4010A" w:rsidRPr="0084450C" w:rsidRDefault="00A4010A" w:rsidP="00E965BD">
            <w:pPr>
              <w:pStyle w:val="TableText0"/>
            </w:pPr>
            <w:r w:rsidRPr="0084450C">
              <w:t>Generally broader inclusion criteria compared to TRIUMPH, especially in regard to baseline platelet counts and transfusion requirements</w:t>
            </w:r>
          </w:p>
        </w:tc>
      </w:tr>
      <w:tr w:rsidR="00A4010A" w:rsidRPr="00F1301E" w:rsidTr="008D2975">
        <w:tc>
          <w:tcPr>
            <w:tcW w:w="1290" w:type="dxa"/>
          </w:tcPr>
          <w:p w:rsidR="00A4010A" w:rsidRPr="0084450C" w:rsidRDefault="00A130D0" w:rsidP="00E965BD">
            <w:pPr>
              <w:pStyle w:val="TableText0"/>
            </w:pPr>
            <w:r>
              <w:rPr>
                <w:noProof/>
              </w:rPr>
              <w:lastRenderedPageBreak/>
              <w:t>(</w:t>
            </w:r>
            <w:r w:rsidR="00184B6F">
              <w:rPr>
                <w:noProof/>
              </w:rPr>
              <w:t>Hillmen et al. 2004</w:t>
            </w:r>
            <w:r>
              <w:rPr>
                <w:noProof/>
              </w:rPr>
              <w:t>)</w:t>
            </w:r>
          </w:p>
          <w:p w:rsidR="00A4010A" w:rsidRPr="0084450C" w:rsidRDefault="00A4010A" w:rsidP="00E965BD">
            <w:pPr>
              <w:pStyle w:val="TableText0"/>
            </w:pPr>
            <w:r w:rsidRPr="0084450C">
              <w:t>UK</w:t>
            </w:r>
          </w:p>
        </w:tc>
        <w:tc>
          <w:tcPr>
            <w:tcW w:w="1393" w:type="dxa"/>
          </w:tcPr>
          <w:p w:rsidR="00A4010A" w:rsidRPr="0084450C" w:rsidRDefault="00A4010A" w:rsidP="00E965BD">
            <w:pPr>
              <w:pStyle w:val="TableText0"/>
            </w:pPr>
            <w:r w:rsidRPr="0084450C">
              <w:t>Open-label case series: before-and-after treatment</w:t>
            </w:r>
          </w:p>
          <w:p w:rsidR="00A4010A" w:rsidRPr="0084450C" w:rsidRDefault="00A4010A" w:rsidP="00E965BD">
            <w:pPr>
              <w:pStyle w:val="TableText0"/>
            </w:pPr>
            <w:r w:rsidRPr="0084450C">
              <w:t>Level: IV</w:t>
            </w:r>
          </w:p>
          <w:p w:rsidR="00A4010A" w:rsidRPr="0084450C" w:rsidRDefault="00A4010A" w:rsidP="00E965BD">
            <w:pPr>
              <w:pStyle w:val="TableText0"/>
            </w:pPr>
            <w:r w:rsidRPr="0084450C">
              <w:t>Quality: mod-high (NHS CRD)</w:t>
            </w:r>
          </w:p>
        </w:tc>
        <w:tc>
          <w:tcPr>
            <w:tcW w:w="3365" w:type="dxa"/>
          </w:tcPr>
          <w:p w:rsidR="00A4010A" w:rsidRPr="0084450C" w:rsidRDefault="00A4010A" w:rsidP="00E965BD">
            <w:pPr>
              <w:pStyle w:val="TableText0"/>
            </w:pPr>
            <w:r w:rsidRPr="0084450C">
              <w:t>N</w:t>
            </w:r>
            <w:r w:rsidR="00652355" w:rsidRPr="00652355">
              <w:rPr>
                <w:spacing w:val="-20"/>
              </w:rPr>
              <w:t xml:space="preserve"> = </w:t>
            </w:r>
            <w:r w:rsidRPr="0084450C">
              <w:t xml:space="preserve"> 11</w:t>
            </w:r>
          </w:p>
          <w:p w:rsidR="00A4010A" w:rsidRPr="0084450C" w:rsidRDefault="00A4010A" w:rsidP="00E965BD">
            <w:pPr>
              <w:pStyle w:val="TableText0"/>
            </w:pPr>
            <w:r w:rsidRPr="0084450C">
              <w:t>Male 55%</w:t>
            </w:r>
          </w:p>
          <w:p w:rsidR="00A4010A" w:rsidRPr="0084450C" w:rsidRDefault="00A4010A" w:rsidP="00E965BD">
            <w:pPr>
              <w:pStyle w:val="TableText0"/>
            </w:pPr>
            <w:r w:rsidRPr="0084450C">
              <w:t>Age, median (range): 48 (21-67) yrs</w:t>
            </w:r>
          </w:p>
          <w:p w:rsidR="00A4010A" w:rsidRPr="0084450C" w:rsidRDefault="00A4010A" w:rsidP="00E965BD">
            <w:pPr>
              <w:pStyle w:val="TableText0"/>
            </w:pPr>
            <w:r w:rsidRPr="0084450C">
              <w:t>Duration PNH, median (range): 8.6 (1.7-37.4) years</w:t>
            </w:r>
          </w:p>
          <w:p w:rsidR="00A4010A" w:rsidRPr="0084450C" w:rsidRDefault="00A4010A" w:rsidP="00E965BD">
            <w:pPr>
              <w:pStyle w:val="TableText0"/>
            </w:pPr>
            <w:r w:rsidRPr="0084450C">
              <w:t>Baseline platelet count &lt;150,000/m</w:t>
            </w:r>
            <w:r w:rsidRPr="0084450C">
              <w:rPr>
                <w:vertAlign w:val="superscript"/>
              </w:rPr>
              <w:t>3</w:t>
            </w:r>
            <w:r w:rsidRPr="0084450C">
              <w:t>: 45%</w:t>
            </w:r>
          </w:p>
          <w:p w:rsidR="00A4010A" w:rsidRPr="0084450C" w:rsidRDefault="00A4010A" w:rsidP="00E965BD">
            <w:pPr>
              <w:pStyle w:val="TableText0"/>
            </w:pPr>
            <w:r w:rsidRPr="0084450C">
              <w:t xml:space="preserve">History of AA: 73% </w:t>
            </w:r>
          </w:p>
          <w:p w:rsidR="00A4010A" w:rsidRPr="0084450C" w:rsidRDefault="00A4010A" w:rsidP="00E965BD">
            <w:pPr>
              <w:pStyle w:val="TableText0"/>
            </w:pPr>
            <w:r w:rsidRPr="0084450C">
              <w:t>Receiving cyclosporine: 18%</w:t>
            </w:r>
          </w:p>
          <w:p w:rsidR="00A4010A" w:rsidRPr="0084450C" w:rsidRDefault="00A4010A" w:rsidP="00E965BD">
            <w:pPr>
              <w:pStyle w:val="TableText0"/>
            </w:pPr>
            <w:r w:rsidRPr="0084450C">
              <w:lastRenderedPageBreak/>
              <w:t>Receiving warfarin: 55%</w:t>
            </w:r>
          </w:p>
          <w:p w:rsidR="00A4010A" w:rsidRPr="0084450C" w:rsidRDefault="00A4010A" w:rsidP="00E965BD">
            <w:pPr>
              <w:pStyle w:val="TableText0"/>
            </w:pPr>
            <w:r w:rsidRPr="0084450C">
              <w:t>History of thrombosis prior to treatment: 18%</w:t>
            </w:r>
          </w:p>
          <w:p w:rsidR="00A4010A" w:rsidRPr="0084450C" w:rsidRDefault="00A4010A" w:rsidP="00E965BD">
            <w:pPr>
              <w:pStyle w:val="TableText0"/>
            </w:pPr>
            <w:r w:rsidRPr="0084450C">
              <w:t>PNH granulocyte clone size, median (range): 97.0% ( 47.8-99.8)</w:t>
            </w:r>
            <w:r w:rsidRPr="0084450C">
              <w:rPr>
                <w:vertAlign w:val="superscript"/>
              </w:rPr>
              <w:t>d</w:t>
            </w:r>
          </w:p>
        </w:tc>
        <w:tc>
          <w:tcPr>
            <w:tcW w:w="1880" w:type="dxa"/>
          </w:tcPr>
          <w:p w:rsidR="00A4010A" w:rsidRPr="0084450C" w:rsidRDefault="00A4010A" w:rsidP="00E965BD">
            <w:pPr>
              <w:pStyle w:val="TableText0"/>
            </w:pPr>
            <w:r w:rsidRPr="0084450C">
              <w:rPr>
                <w:u w:val="single"/>
              </w:rPr>
              <w:lastRenderedPageBreak/>
              <w:t>Inclusion</w:t>
            </w:r>
          </w:p>
          <w:p w:rsidR="00A4010A" w:rsidRPr="0084450C" w:rsidRDefault="00A4010A" w:rsidP="00E965BD">
            <w:pPr>
              <w:pStyle w:val="TableText0"/>
            </w:pPr>
            <w:r w:rsidRPr="0084450C">
              <w:t>≥18 years of age</w:t>
            </w:r>
          </w:p>
          <w:p w:rsidR="00A4010A" w:rsidRPr="0084450C" w:rsidRDefault="00A4010A" w:rsidP="00E965BD">
            <w:pPr>
              <w:pStyle w:val="TableText0"/>
            </w:pPr>
            <w:r w:rsidRPr="0084450C">
              <w:t>Diagnosis of PNH at least 6 months earlier</w:t>
            </w:r>
          </w:p>
          <w:p w:rsidR="00A4010A" w:rsidRPr="0084450C" w:rsidRDefault="00A4010A" w:rsidP="00E965BD">
            <w:pPr>
              <w:pStyle w:val="TableText0"/>
            </w:pPr>
            <w:r w:rsidRPr="0084450C">
              <w:t>Detectable GPI-deficient haemopoietic clone</w:t>
            </w:r>
          </w:p>
          <w:p w:rsidR="00A4010A" w:rsidRPr="0084450C" w:rsidRDefault="00A4010A" w:rsidP="00E965BD">
            <w:pPr>
              <w:pStyle w:val="TableText0"/>
            </w:pPr>
            <w:r w:rsidRPr="0084450C">
              <w:t xml:space="preserve">At least 4 red-cell </w:t>
            </w:r>
            <w:r w:rsidRPr="0084450C">
              <w:lastRenderedPageBreak/>
              <w:t>transfusion in preceding 12 months</w:t>
            </w:r>
          </w:p>
          <w:p w:rsidR="00A4010A" w:rsidRPr="0084450C" w:rsidRDefault="00A4010A" w:rsidP="00E965BD">
            <w:pPr>
              <w:pStyle w:val="TableText0"/>
            </w:pPr>
            <w:r w:rsidRPr="0084450C">
              <w:t xml:space="preserve">Negative throat culture for </w:t>
            </w:r>
            <w:r w:rsidRPr="0084450C">
              <w:rPr>
                <w:i/>
              </w:rPr>
              <w:t>Neisseria men</w:t>
            </w:r>
            <w:r w:rsidR="00E66055">
              <w:rPr>
                <w:i/>
              </w:rPr>
              <w:t>in</w:t>
            </w:r>
            <w:r w:rsidRPr="0084450C">
              <w:rPr>
                <w:i/>
              </w:rPr>
              <w:t>gitides and N. gonorrhoeae</w:t>
            </w:r>
          </w:p>
          <w:p w:rsidR="00A4010A" w:rsidRPr="0084450C" w:rsidRDefault="00E66055" w:rsidP="00E965BD">
            <w:pPr>
              <w:pStyle w:val="TableText0"/>
            </w:pPr>
            <w:r w:rsidRPr="0084450C">
              <w:t>Vaccinated</w:t>
            </w:r>
            <w:r w:rsidR="00A4010A" w:rsidRPr="0084450C">
              <w:t xml:space="preserve"> against </w:t>
            </w:r>
            <w:r w:rsidR="00A4010A" w:rsidRPr="0084450C">
              <w:rPr>
                <w:i/>
              </w:rPr>
              <w:t>N. meningitides</w:t>
            </w:r>
          </w:p>
          <w:p w:rsidR="00A4010A" w:rsidRPr="0084450C" w:rsidRDefault="00A4010A" w:rsidP="00E965BD">
            <w:pPr>
              <w:pStyle w:val="TableText0"/>
              <w:rPr>
                <w:u w:val="single"/>
              </w:rPr>
            </w:pPr>
          </w:p>
          <w:p w:rsidR="00A4010A" w:rsidRPr="001651B3" w:rsidRDefault="00A4010A" w:rsidP="00E965BD">
            <w:pPr>
              <w:pStyle w:val="TableText0"/>
            </w:pPr>
          </w:p>
        </w:tc>
        <w:tc>
          <w:tcPr>
            <w:tcW w:w="2126" w:type="dxa"/>
          </w:tcPr>
          <w:p w:rsidR="00A4010A" w:rsidRPr="0084450C" w:rsidRDefault="00A4010A" w:rsidP="00E965BD">
            <w:pPr>
              <w:pStyle w:val="TableText0"/>
            </w:pPr>
            <w:r w:rsidRPr="0084450C">
              <w:lastRenderedPageBreak/>
              <w:t>ITT n</w:t>
            </w:r>
            <w:r w:rsidR="00652355" w:rsidRPr="00652355">
              <w:rPr>
                <w:spacing w:val="-20"/>
              </w:rPr>
              <w:t xml:space="preserve"> = </w:t>
            </w:r>
            <w:r w:rsidRPr="0084450C">
              <w:t>11</w:t>
            </w:r>
          </w:p>
          <w:p w:rsidR="00A4010A" w:rsidRPr="0084450C" w:rsidRDefault="00A4010A" w:rsidP="00E965BD">
            <w:pPr>
              <w:pStyle w:val="TableText0"/>
            </w:pPr>
            <w:r w:rsidRPr="0084450C">
              <w:t xml:space="preserve">LTF </w:t>
            </w:r>
            <w:r w:rsidR="00652355" w:rsidRPr="00652355">
              <w:rPr>
                <w:spacing w:val="-20"/>
              </w:rPr>
              <w:t xml:space="preserve"> = </w:t>
            </w:r>
            <w:r w:rsidRPr="0084450C">
              <w:t xml:space="preserve"> 0</w:t>
            </w:r>
          </w:p>
          <w:p w:rsidR="00A4010A" w:rsidRPr="0084450C" w:rsidRDefault="00A4010A" w:rsidP="00E965BD">
            <w:pPr>
              <w:pStyle w:val="TableText0"/>
            </w:pPr>
          </w:p>
          <w:p w:rsidR="00A4010A" w:rsidRPr="0084450C" w:rsidRDefault="00A4010A" w:rsidP="00E965BD">
            <w:pPr>
              <w:pStyle w:val="TableText0"/>
            </w:pPr>
            <w:r w:rsidRPr="0084450C">
              <w:t>Eculizumab infusion</w:t>
            </w:r>
          </w:p>
          <w:p w:rsidR="00A4010A" w:rsidRPr="0084450C" w:rsidRDefault="00A4010A" w:rsidP="00E965BD">
            <w:pPr>
              <w:pStyle w:val="TableText0"/>
            </w:pPr>
          </w:p>
          <w:p w:rsidR="00A4010A" w:rsidRPr="0084450C" w:rsidRDefault="00A4010A" w:rsidP="00E965BD">
            <w:pPr>
              <w:pStyle w:val="TableText0"/>
            </w:pPr>
            <w:r w:rsidRPr="0084450C">
              <w:t>600mg per week for 4 weeks,</w:t>
            </w:r>
          </w:p>
          <w:p w:rsidR="00A4010A" w:rsidRPr="0084450C" w:rsidRDefault="00A4010A" w:rsidP="00E965BD">
            <w:pPr>
              <w:pStyle w:val="TableText0"/>
            </w:pPr>
            <w:r w:rsidRPr="0084450C">
              <w:t>900mg at week 5,</w:t>
            </w:r>
          </w:p>
          <w:p w:rsidR="00A4010A" w:rsidRPr="0084450C" w:rsidRDefault="00A4010A" w:rsidP="00E965BD">
            <w:pPr>
              <w:pStyle w:val="TableText0"/>
              <w:rPr>
                <w:u w:val="single"/>
              </w:rPr>
            </w:pPr>
            <w:r w:rsidRPr="0084450C">
              <w:lastRenderedPageBreak/>
              <w:t>Then 900mg every 2 weeks through week 12</w:t>
            </w:r>
          </w:p>
        </w:tc>
        <w:tc>
          <w:tcPr>
            <w:tcW w:w="1701" w:type="dxa"/>
            <w:tcBorders>
              <w:right w:val="single" w:sz="4" w:space="0" w:color="auto"/>
            </w:tcBorders>
          </w:tcPr>
          <w:p w:rsidR="00A4010A" w:rsidRPr="0084450C" w:rsidRDefault="00A4010A" w:rsidP="00E965BD">
            <w:pPr>
              <w:pStyle w:val="TableText0"/>
            </w:pPr>
            <w:r w:rsidRPr="0084450C">
              <w:lastRenderedPageBreak/>
              <w:t>Rate of transfusion with packed red cells</w:t>
            </w:r>
          </w:p>
          <w:p w:rsidR="00A4010A" w:rsidRPr="0084450C" w:rsidRDefault="00A4010A" w:rsidP="00E965BD">
            <w:pPr>
              <w:pStyle w:val="TableText0"/>
            </w:pPr>
            <w:r w:rsidRPr="0084450C">
              <w:t>QoL EORTC QLQ-C30</w:t>
            </w:r>
          </w:p>
          <w:p w:rsidR="00A4010A" w:rsidRPr="0084450C" w:rsidRDefault="00A4010A" w:rsidP="00E965BD">
            <w:pPr>
              <w:pStyle w:val="TableText0"/>
            </w:pPr>
          </w:p>
          <w:p w:rsidR="00A4010A" w:rsidRPr="0084450C" w:rsidRDefault="00A4010A" w:rsidP="00E965BD">
            <w:pPr>
              <w:pStyle w:val="TableText0"/>
            </w:pPr>
            <w:r w:rsidRPr="0084450C">
              <w:t>Safety: deaths, AEs</w:t>
            </w:r>
          </w:p>
        </w:tc>
        <w:tc>
          <w:tcPr>
            <w:tcW w:w="1072" w:type="dxa"/>
            <w:tcBorders>
              <w:left w:val="single" w:sz="4" w:space="0" w:color="auto"/>
            </w:tcBorders>
          </w:tcPr>
          <w:p w:rsidR="00A4010A" w:rsidRPr="0084450C" w:rsidRDefault="00A4010A" w:rsidP="00E965BD">
            <w:pPr>
              <w:pStyle w:val="TableText0"/>
            </w:pPr>
            <w:r w:rsidRPr="0084450C">
              <w:t>12 weeks</w:t>
            </w:r>
          </w:p>
        </w:tc>
        <w:tc>
          <w:tcPr>
            <w:tcW w:w="1433" w:type="dxa"/>
          </w:tcPr>
          <w:p w:rsidR="00A4010A" w:rsidRPr="0084450C" w:rsidRDefault="00A4010A" w:rsidP="00E965BD">
            <w:pPr>
              <w:pStyle w:val="TableText0"/>
            </w:pPr>
            <w:r w:rsidRPr="0084450C">
              <w:t>Phase 2 pilot study</w:t>
            </w:r>
          </w:p>
        </w:tc>
      </w:tr>
      <w:tr w:rsidR="00A4010A" w:rsidRPr="00F1301E" w:rsidTr="008D2975">
        <w:tc>
          <w:tcPr>
            <w:tcW w:w="1290" w:type="dxa"/>
          </w:tcPr>
          <w:p w:rsidR="00A4010A" w:rsidRPr="0084450C" w:rsidRDefault="00A130D0" w:rsidP="00E965BD">
            <w:pPr>
              <w:pStyle w:val="TableText0"/>
            </w:pPr>
            <w:r>
              <w:rPr>
                <w:noProof/>
              </w:rPr>
              <w:lastRenderedPageBreak/>
              <w:t>(</w:t>
            </w:r>
            <w:r w:rsidR="00184B6F">
              <w:rPr>
                <w:noProof/>
              </w:rPr>
              <w:t>Hill et al. 2005</w:t>
            </w:r>
            <w:r>
              <w:rPr>
                <w:noProof/>
              </w:rPr>
              <w:t>)</w:t>
            </w:r>
          </w:p>
          <w:p w:rsidR="00A4010A" w:rsidRPr="0084450C" w:rsidRDefault="00A4010A" w:rsidP="00E965BD">
            <w:pPr>
              <w:pStyle w:val="TableText0"/>
            </w:pPr>
            <w:r w:rsidRPr="0084450C">
              <w:t>UK</w:t>
            </w:r>
          </w:p>
          <w:p w:rsidR="00A4010A" w:rsidRPr="0084450C" w:rsidRDefault="00A4010A" w:rsidP="00E965BD">
            <w:pPr>
              <w:pStyle w:val="TableText0"/>
            </w:pPr>
            <w:r w:rsidRPr="0084450C">
              <w:t>Extension study of Hillmen 2004</w:t>
            </w:r>
          </w:p>
        </w:tc>
        <w:tc>
          <w:tcPr>
            <w:tcW w:w="1393" w:type="dxa"/>
          </w:tcPr>
          <w:p w:rsidR="00A4010A" w:rsidRPr="0084450C" w:rsidRDefault="00A4010A" w:rsidP="00E965BD">
            <w:pPr>
              <w:pStyle w:val="TableText0"/>
            </w:pPr>
            <w:r w:rsidRPr="0084450C">
              <w:t>Open-label case series: before-and-after treatment</w:t>
            </w:r>
          </w:p>
          <w:p w:rsidR="00A4010A" w:rsidRPr="0084450C" w:rsidRDefault="00A4010A" w:rsidP="00E965BD">
            <w:pPr>
              <w:pStyle w:val="TableText0"/>
            </w:pPr>
          </w:p>
          <w:p w:rsidR="00A4010A" w:rsidRPr="0084450C" w:rsidRDefault="00A4010A" w:rsidP="00E965BD">
            <w:pPr>
              <w:pStyle w:val="TableText0"/>
            </w:pPr>
            <w:r w:rsidRPr="0084450C">
              <w:t>Level: IV</w:t>
            </w:r>
          </w:p>
          <w:p w:rsidR="00A4010A" w:rsidRPr="0084450C" w:rsidRDefault="00A4010A" w:rsidP="00E965BD">
            <w:pPr>
              <w:pStyle w:val="TableText0"/>
            </w:pPr>
            <w:r w:rsidRPr="0084450C">
              <w:t>Quality: mod-high (NHS CRD)</w:t>
            </w:r>
          </w:p>
        </w:tc>
        <w:tc>
          <w:tcPr>
            <w:tcW w:w="3365" w:type="dxa"/>
          </w:tcPr>
          <w:p w:rsidR="00A4010A" w:rsidRPr="0084450C" w:rsidRDefault="00A4010A" w:rsidP="00E965BD">
            <w:pPr>
              <w:pStyle w:val="TableText0"/>
            </w:pPr>
            <w:r w:rsidRPr="0084450C">
              <w:t>N</w:t>
            </w:r>
            <w:r w:rsidR="00652355" w:rsidRPr="00652355">
              <w:rPr>
                <w:spacing w:val="-20"/>
              </w:rPr>
              <w:t xml:space="preserve"> = </w:t>
            </w:r>
            <w:r w:rsidRPr="0084450C">
              <w:t>11</w:t>
            </w:r>
          </w:p>
          <w:p w:rsidR="00A4010A" w:rsidRPr="0084450C" w:rsidRDefault="00A4010A" w:rsidP="00E965BD">
            <w:pPr>
              <w:pStyle w:val="TableText0"/>
            </w:pPr>
            <w:r w:rsidRPr="0084450C">
              <w:t>As for Hillmen et al (2004)</w:t>
            </w:r>
          </w:p>
        </w:tc>
        <w:tc>
          <w:tcPr>
            <w:tcW w:w="1880" w:type="dxa"/>
          </w:tcPr>
          <w:p w:rsidR="00A4010A" w:rsidRPr="0084450C" w:rsidRDefault="00A4010A" w:rsidP="00E965BD">
            <w:pPr>
              <w:pStyle w:val="TableText0"/>
              <w:rPr>
                <w:u w:val="single"/>
              </w:rPr>
            </w:pPr>
            <w:r w:rsidRPr="0084450C">
              <w:t>As for Hillmen et al (2004)</w:t>
            </w:r>
          </w:p>
        </w:tc>
        <w:tc>
          <w:tcPr>
            <w:tcW w:w="2126" w:type="dxa"/>
          </w:tcPr>
          <w:p w:rsidR="00A4010A" w:rsidRPr="0084450C" w:rsidRDefault="00A4010A" w:rsidP="00E965BD">
            <w:pPr>
              <w:pStyle w:val="TableText0"/>
            </w:pPr>
            <w:r w:rsidRPr="0084450C">
              <w:t>ITT n</w:t>
            </w:r>
            <w:r w:rsidR="00652355" w:rsidRPr="00652355">
              <w:rPr>
                <w:spacing w:val="-20"/>
              </w:rPr>
              <w:t xml:space="preserve"> = </w:t>
            </w:r>
            <w:r w:rsidRPr="0084450C">
              <w:t>11</w:t>
            </w:r>
          </w:p>
          <w:p w:rsidR="00A4010A" w:rsidRPr="0084450C" w:rsidRDefault="00A4010A" w:rsidP="00E965BD">
            <w:pPr>
              <w:pStyle w:val="TableText0"/>
            </w:pPr>
            <w:r w:rsidRPr="0084450C">
              <w:t xml:space="preserve">LTF </w:t>
            </w:r>
            <w:r w:rsidR="00652355" w:rsidRPr="00652355">
              <w:rPr>
                <w:spacing w:val="-20"/>
              </w:rPr>
              <w:t xml:space="preserve"> = </w:t>
            </w:r>
            <w:r w:rsidRPr="0084450C">
              <w:t xml:space="preserve"> 0</w:t>
            </w:r>
          </w:p>
          <w:p w:rsidR="00A4010A" w:rsidRPr="0084450C" w:rsidRDefault="00A4010A" w:rsidP="00E965BD">
            <w:pPr>
              <w:pStyle w:val="TableText0"/>
            </w:pPr>
          </w:p>
          <w:p w:rsidR="00A4010A" w:rsidRPr="0084450C" w:rsidRDefault="00A4010A" w:rsidP="00E965BD">
            <w:pPr>
              <w:pStyle w:val="TableText0"/>
            </w:pPr>
            <w:r w:rsidRPr="0084450C">
              <w:t>Eculizumab infusion</w:t>
            </w:r>
          </w:p>
          <w:p w:rsidR="00A4010A" w:rsidRPr="0084450C" w:rsidRDefault="00A4010A" w:rsidP="00E965BD">
            <w:pPr>
              <w:pStyle w:val="TableText0"/>
            </w:pPr>
            <w:r w:rsidRPr="0084450C">
              <w:t>900mg IV every 14 days</w:t>
            </w:r>
          </w:p>
          <w:p w:rsidR="00A4010A" w:rsidRPr="0084450C" w:rsidRDefault="00A4010A" w:rsidP="00E965BD">
            <w:pPr>
              <w:pStyle w:val="TableText0"/>
              <w:rPr>
                <w:u w:val="single"/>
              </w:rPr>
            </w:pPr>
            <w:r w:rsidRPr="0084450C">
              <w:t>2 patients had interval reduced to 12 days to maintain eculizumab serum levels ≥ 35ug/mL</w:t>
            </w:r>
          </w:p>
        </w:tc>
        <w:tc>
          <w:tcPr>
            <w:tcW w:w="1701" w:type="dxa"/>
            <w:tcBorders>
              <w:right w:val="single" w:sz="4" w:space="0" w:color="auto"/>
            </w:tcBorders>
          </w:tcPr>
          <w:p w:rsidR="00A4010A" w:rsidRPr="0084450C" w:rsidRDefault="00A4010A" w:rsidP="00E965BD">
            <w:pPr>
              <w:pStyle w:val="TableText0"/>
            </w:pPr>
            <w:r w:rsidRPr="0084450C">
              <w:t>Rate of transfusion with packed red cells</w:t>
            </w:r>
          </w:p>
          <w:p w:rsidR="00A4010A" w:rsidRPr="0084450C" w:rsidRDefault="00A4010A" w:rsidP="00E965BD">
            <w:pPr>
              <w:pStyle w:val="TableText0"/>
            </w:pPr>
            <w:r w:rsidRPr="0084450C">
              <w:t>QoL EORTC QLQ-C30</w:t>
            </w:r>
          </w:p>
          <w:p w:rsidR="00A4010A" w:rsidRPr="0084450C" w:rsidRDefault="00A4010A" w:rsidP="00E965BD">
            <w:pPr>
              <w:pStyle w:val="TableText0"/>
            </w:pPr>
          </w:p>
          <w:p w:rsidR="00A4010A" w:rsidRPr="0084450C" w:rsidRDefault="00A4010A" w:rsidP="00E965BD">
            <w:pPr>
              <w:pStyle w:val="TableText0"/>
            </w:pPr>
            <w:r w:rsidRPr="0084450C">
              <w:t>Safety: deaths, AEs</w:t>
            </w:r>
          </w:p>
        </w:tc>
        <w:tc>
          <w:tcPr>
            <w:tcW w:w="1072" w:type="dxa"/>
            <w:tcBorders>
              <w:left w:val="single" w:sz="4" w:space="0" w:color="auto"/>
            </w:tcBorders>
          </w:tcPr>
          <w:p w:rsidR="00A4010A" w:rsidRPr="0084450C" w:rsidRDefault="00A4010A" w:rsidP="00E965BD">
            <w:pPr>
              <w:pStyle w:val="TableText0"/>
            </w:pPr>
            <w:r w:rsidRPr="0084450C">
              <w:t>52-week extension study</w:t>
            </w:r>
          </w:p>
        </w:tc>
        <w:tc>
          <w:tcPr>
            <w:tcW w:w="1433" w:type="dxa"/>
          </w:tcPr>
          <w:p w:rsidR="00A4010A" w:rsidRDefault="00A4010A" w:rsidP="00E965BD">
            <w:pPr>
              <w:pStyle w:val="TableText0"/>
            </w:pPr>
          </w:p>
        </w:tc>
      </w:tr>
      <w:tr w:rsidR="00A4010A" w:rsidRPr="00F1301E" w:rsidTr="008D2975">
        <w:tc>
          <w:tcPr>
            <w:tcW w:w="1290" w:type="dxa"/>
          </w:tcPr>
          <w:p w:rsidR="00A4010A" w:rsidRPr="0084450C" w:rsidRDefault="00A4010A" w:rsidP="0084450C">
            <w:pPr>
              <w:pStyle w:val="TableHeading"/>
            </w:pPr>
            <w:r w:rsidRPr="0084450C">
              <w:t>Combined extension study</w:t>
            </w:r>
          </w:p>
        </w:tc>
        <w:tc>
          <w:tcPr>
            <w:tcW w:w="1393" w:type="dxa"/>
          </w:tcPr>
          <w:p w:rsidR="00A4010A" w:rsidRDefault="00A4010A" w:rsidP="00E965BD">
            <w:pPr>
              <w:pStyle w:val="TableHeading"/>
            </w:pPr>
          </w:p>
        </w:tc>
        <w:tc>
          <w:tcPr>
            <w:tcW w:w="3365" w:type="dxa"/>
          </w:tcPr>
          <w:p w:rsidR="00A4010A" w:rsidRDefault="00A4010A" w:rsidP="00E965BD">
            <w:pPr>
              <w:pStyle w:val="TableHeading"/>
            </w:pPr>
          </w:p>
        </w:tc>
        <w:tc>
          <w:tcPr>
            <w:tcW w:w="1880" w:type="dxa"/>
          </w:tcPr>
          <w:p w:rsidR="00A4010A" w:rsidRDefault="00A4010A" w:rsidP="00E965BD">
            <w:pPr>
              <w:pStyle w:val="TableHeading"/>
            </w:pPr>
          </w:p>
        </w:tc>
        <w:tc>
          <w:tcPr>
            <w:tcW w:w="2126" w:type="dxa"/>
          </w:tcPr>
          <w:p w:rsidR="00A4010A" w:rsidRDefault="00A4010A" w:rsidP="00E965BD">
            <w:pPr>
              <w:pStyle w:val="TableHeading"/>
            </w:pPr>
          </w:p>
        </w:tc>
        <w:tc>
          <w:tcPr>
            <w:tcW w:w="1701" w:type="dxa"/>
            <w:tcBorders>
              <w:right w:val="single" w:sz="4" w:space="0" w:color="auto"/>
            </w:tcBorders>
          </w:tcPr>
          <w:p w:rsidR="00A4010A" w:rsidRPr="00137C5B" w:rsidRDefault="00A4010A" w:rsidP="00E965BD">
            <w:pPr>
              <w:pStyle w:val="TableHeading"/>
            </w:pPr>
          </w:p>
        </w:tc>
        <w:tc>
          <w:tcPr>
            <w:tcW w:w="1072" w:type="dxa"/>
            <w:tcBorders>
              <w:left w:val="single" w:sz="4" w:space="0" w:color="auto"/>
            </w:tcBorders>
          </w:tcPr>
          <w:p w:rsidR="00A4010A" w:rsidRDefault="00A4010A" w:rsidP="00E965BD">
            <w:pPr>
              <w:pStyle w:val="TableHeading"/>
            </w:pPr>
          </w:p>
        </w:tc>
        <w:tc>
          <w:tcPr>
            <w:tcW w:w="1433" w:type="dxa"/>
          </w:tcPr>
          <w:p w:rsidR="00A4010A" w:rsidRDefault="00A4010A" w:rsidP="00E965BD">
            <w:pPr>
              <w:pStyle w:val="TableHeading"/>
            </w:pPr>
          </w:p>
        </w:tc>
      </w:tr>
      <w:tr w:rsidR="00A4010A" w:rsidRPr="00F1301E" w:rsidTr="008D2975">
        <w:tc>
          <w:tcPr>
            <w:tcW w:w="1290" w:type="dxa"/>
          </w:tcPr>
          <w:p w:rsidR="00A4010A" w:rsidRPr="0084450C" w:rsidRDefault="00A130D0" w:rsidP="00E965BD">
            <w:pPr>
              <w:pStyle w:val="TableText0"/>
            </w:pPr>
            <w:r>
              <w:rPr>
                <w:noProof/>
              </w:rPr>
              <w:t>(</w:t>
            </w:r>
            <w:r w:rsidR="00184B6F">
              <w:rPr>
                <w:noProof/>
              </w:rPr>
              <w:t>Hillmen et al. 2007</w:t>
            </w:r>
            <w:r>
              <w:rPr>
                <w:noProof/>
              </w:rPr>
              <w:t>)</w:t>
            </w:r>
          </w:p>
          <w:p w:rsidR="00A4010A" w:rsidRPr="0084450C" w:rsidRDefault="00A4010A" w:rsidP="00E965BD">
            <w:pPr>
              <w:pStyle w:val="TableText0"/>
            </w:pPr>
            <w:r w:rsidRPr="0084450C">
              <w:t xml:space="preserve">US, Europe, </w:t>
            </w:r>
            <w:r w:rsidRPr="0084450C">
              <w:lastRenderedPageBreak/>
              <w:t>Australia, Canada</w:t>
            </w:r>
          </w:p>
        </w:tc>
        <w:tc>
          <w:tcPr>
            <w:tcW w:w="1393" w:type="dxa"/>
          </w:tcPr>
          <w:p w:rsidR="00A4010A" w:rsidRPr="0084450C" w:rsidRDefault="00A4010A" w:rsidP="00E965BD">
            <w:pPr>
              <w:pStyle w:val="TableText0"/>
            </w:pPr>
            <w:r w:rsidRPr="0084450C">
              <w:lastRenderedPageBreak/>
              <w:t>Open-label case series</w:t>
            </w:r>
          </w:p>
          <w:p w:rsidR="00A4010A" w:rsidRPr="0084450C" w:rsidRDefault="00A4010A" w:rsidP="00E965BD">
            <w:pPr>
              <w:pStyle w:val="TableText0"/>
            </w:pPr>
            <w:r w:rsidRPr="0084450C">
              <w:t>Common 104-</w:t>
            </w:r>
            <w:r w:rsidRPr="0084450C">
              <w:lastRenderedPageBreak/>
              <w:t>week extension study of Hillmen 2004, TRIUMPH and SHEPHERD</w:t>
            </w:r>
          </w:p>
          <w:p w:rsidR="00A4010A" w:rsidRPr="0084450C" w:rsidRDefault="00A4010A" w:rsidP="00E965BD">
            <w:pPr>
              <w:pStyle w:val="TableText0"/>
            </w:pPr>
          </w:p>
          <w:p w:rsidR="00A4010A" w:rsidRPr="0084450C" w:rsidRDefault="00A4010A" w:rsidP="00E965BD">
            <w:pPr>
              <w:pStyle w:val="TableText0"/>
            </w:pPr>
            <w:r w:rsidRPr="0084450C">
              <w:t>Level: IV</w:t>
            </w:r>
          </w:p>
          <w:p w:rsidR="00A4010A" w:rsidRPr="0084450C" w:rsidRDefault="00A4010A" w:rsidP="00E965BD">
            <w:pPr>
              <w:pStyle w:val="TableText0"/>
            </w:pPr>
            <w:r w:rsidRPr="0084450C">
              <w:t>Quality: moderate (NHS CRD)</w:t>
            </w:r>
          </w:p>
        </w:tc>
        <w:tc>
          <w:tcPr>
            <w:tcW w:w="3365" w:type="dxa"/>
          </w:tcPr>
          <w:p w:rsidR="00A4010A" w:rsidRPr="0084450C" w:rsidRDefault="00A4010A" w:rsidP="00E965BD">
            <w:pPr>
              <w:pStyle w:val="TableText0"/>
              <w:rPr>
                <w:vertAlign w:val="superscript"/>
              </w:rPr>
            </w:pPr>
            <w:r w:rsidRPr="0084450C">
              <w:lastRenderedPageBreak/>
              <w:t>N</w:t>
            </w:r>
            <w:r w:rsidR="00652355" w:rsidRPr="00652355">
              <w:rPr>
                <w:spacing w:val="-20"/>
              </w:rPr>
              <w:t xml:space="preserve"> = </w:t>
            </w:r>
            <w:r w:rsidRPr="0084450C">
              <w:t>195</w:t>
            </w:r>
            <w:r w:rsidRPr="0084450C">
              <w:rPr>
                <w:vertAlign w:val="superscript"/>
              </w:rPr>
              <w:t>e</w:t>
            </w:r>
          </w:p>
          <w:p w:rsidR="00A4010A" w:rsidRPr="0084450C" w:rsidRDefault="00A4010A" w:rsidP="00E965BD">
            <w:pPr>
              <w:pStyle w:val="TableText0"/>
            </w:pPr>
            <w:r w:rsidRPr="0084450C">
              <w:t>187 in extension study</w:t>
            </w:r>
          </w:p>
          <w:p w:rsidR="00A4010A" w:rsidRPr="0084450C" w:rsidRDefault="00A4010A" w:rsidP="00E965BD">
            <w:pPr>
              <w:pStyle w:val="TableText0"/>
            </w:pPr>
          </w:p>
          <w:p w:rsidR="00A4010A" w:rsidRPr="0084450C" w:rsidRDefault="00A4010A" w:rsidP="00E965BD">
            <w:pPr>
              <w:pStyle w:val="TableText0"/>
            </w:pPr>
            <w:r w:rsidRPr="0084450C">
              <w:t>Base Gender: male 89 (45.6%)</w:t>
            </w:r>
          </w:p>
          <w:p w:rsidR="00A4010A" w:rsidRPr="0084450C" w:rsidRDefault="00A4010A" w:rsidP="00E965BD">
            <w:pPr>
              <w:pStyle w:val="TableText0"/>
            </w:pPr>
            <w:r w:rsidRPr="0084450C">
              <w:t>History of AA or MDS 59 (30.3%)</w:t>
            </w:r>
          </w:p>
          <w:p w:rsidR="00A4010A" w:rsidRPr="0084450C" w:rsidRDefault="00A4010A" w:rsidP="00E965BD">
            <w:pPr>
              <w:pStyle w:val="TableText0"/>
            </w:pPr>
            <w:r w:rsidRPr="0084450C">
              <w:t>History of previous thrombosis 62 (31.8%)</w:t>
            </w:r>
          </w:p>
          <w:p w:rsidR="00A4010A" w:rsidRPr="0084450C" w:rsidRDefault="00A4010A" w:rsidP="00E965BD">
            <w:pPr>
              <w:pStyle w:val="TableText0"/>
            </w:pPr>
            <w:r w:rsidRPr="0084450C">
              <w:t>Use of antithrombotic agents: 109 (56%)</w:t>
            </w:r>
          </w:p>
          <w:p w:rsidR="00A4010A" w:rsidRPr="0084450C" w:rsidRDefault="00A4010A" w:rsidP="00E965BD">
            <w:pPr>
              <w:pStyle w:val="TableText0"/>
            </w:pPr>
            <w:r w:rsidRPr="0084450C">
              <w:t>Use of cyclosporine 13 (6.7%)</w:t>
            </w:r>
          </w:p>
          <w:p w:rsidR="00A4010A" w:rsidRPr="0084450C" w:rsidRDefault="00A4010A" w:rsidP="00E965BD">
            <w:pPr>
              <w:pStyle w:val="TableText0"/>
            </w:pPr>
            <w:r w:rsidRPr="0084450C">
              <w:t>Use of NSAID 17 (8.7%)</w:t>
            </w:r>
          </w:p>
          <w:p w:rsidR="00A4010A" w:rsidRPr="0084450C" w:rsidRDefault="00A4010A" w:rsidP="00E965BD">
            <w:pPr>
              <w:pStyle w:val="TableText0"/>
            </w:pPr>
            <w:r w:rsidRPr="0084450C">
              <w:t>Age, median (range): 39 (18-85) years</w:t>
            </w:r>
          </w:p>
          <w:p w:rsidR="00A4010A" w:rsidRPr="0084450C" w:rsidRDefault="00A4010A" w:rsidP="00E965BD">
            <w:pPr>
              <w:pStyle w:val="TableText0"/>
            </w:pPr>
            <w:r w:rsidRPr="0084450C">
              <w:t>Disease duration, median (range): 5.5 (0.12-38.5) years</w:t>
            </w:r>
          </w:p>
          <w:p w:rsidR="00A4010A" w:rsidRPr="0084450C" w:rsidRDefault="00A4010A" w:rsidP="00E965BD">
            <w:pPr>
              <w:pStyle w:val="TableText0"/>
            </w:pPr>
            <w:r w:rsidRPr="0084450C">
              <w:t>PNH type III RBC proportions, median (range): 32.3% (2.4-98.8)</w:t>
            </w:r>
          </w:p>
          <w:p w:rsidR="00A4010A" w:rsidRPr="0084450C" w:rsidRDefault="00A4010A" w:rsidP="00E965BD">
            <w:pPr>
              <w:pStyle w:val="TableText0"/>
            </w:pPr>
            <w:r w:rsidRPr="0084450C">
              <w:t>Reticulocyte count (x 10</w:t>
            </w:r>
            <w:r w:rsidRPr="0084450C">
              <w:rPr>
                <w:vertAlign w:val="superscript"/>
              </w:rPr>
              <w:t>12</w:t>
            </w:r>
            <w:r w:rsidRPr="0084450C">
              <w:t>/L), median (range): 0.164 (0.036-0.757)</w:t>
            </w:r>
          </w:p>
          <w:p w:rsidR="00A4010A" w:rsidRPr="0084450C" w:rsidRDefault="00A4010A" w:rsidP="00E965BD">
            <w:pPr>
              <w:pStyle w:val="TableText0"/>
            </w:pPr>
            <w:r w:rsidRPr="0084450C">
              <w:t>LDH (U/L), median (range): 2139 (499-10,300)</w:t>
            </w:r>
          </w:p>
          <w:p w:rsidR="00A4010A" w:rsidRPr="0084450C" w:rsidRDefault="00A4010A" w:rsidP="00E965BD">
            <w:pPr>
              <w:pStyle w:val="TableText0"/>
            </w:pPr>
            <w:r w:rsidRPr="0084450C">
              <w:t>Platelet count, median (range): 149 (23-547)</w:t>
            </w:r>
          </w:p>
        </w:tc>
        <w:tc>
          <w:tcPr>
            <w:tcW w:w="1880" w:type="dxa"/>
          </w:tcPr>
          <w:p w:rsidR="00A4010A" w:rsidRPr="0084450C" w:rsidRDefault="00A4010A" w:rsidP="00E965BD">
            <w:pPr>
              <w:pStyle w:val="TableText0"/>
            </w:pPr>
            <w:r w:rsidRPr="0084450C">
              <w:lastRenderedPageBreak/>
              <w:t xml:space="preserve">Participation in one of three parent studies: Hill et al (2004), </w:t>
            </w:r>
            <w:r w:rsidRPr="0084450C">
              <w:lastRenderedPageBreak/>
              <w:t>Hillmen et al (2006), or Brodsky et al (2008)</w:t>
            </w:r>
          </w:p>
        </w:tc>
        <w:tc>
          <w:tcPr>
            <w:tcW w:w="2126" w:type="dxa"/>
          </w:tcPr>
          <w:p w:rsidR="00A4010A" w:rsidRPr="0084450C" w:rsidRDefault="00A4010A" w:rsidP="00E965BD">
            <w:pPr>
              <w:pStyle w:val="TableText0"/>
            </w:pPr>
            <w:r w:rsidRPr="0084450C">
              <w:lastRenderedPageBreak/>
              <w:t>ITT</w:t>
            </w:r>
            <w:r w:rsidR="00652355" w:rsidRPr="00652355">
              <w:rPr>
                <w:spacing w:val="-20"/>
              </w:rPr>
              <w:t xml:space="preserve"> = </w:t>
            </w:r>
            <w:r w:rsidRPr="0084450C">
              <w:t>195</w:t>
            </w:r>
          </w:p>
          <w:p w:rsidR="00A4010A" w:rsidRPr="0084450C" w:rsidRDefault="00A4010A" w:rsidP="00E965BD">
            <w:pPr>
              <w:pStyle w:val="TableText0"/>
            </w:pPr>
            <w:proofErr w:type="gramStart"/>
            <w:r w:rsidRPr="0084450C">
              <w:t xml:space="preserve">LTF </w:t>
            </w:r>
            <w:r w:rsidR="00652355" w:rsidRPr="00652355">
              <w:rPr>
                <w:spacing w:val="-20"/>
              </w:rPr>
              <w:t xml:space="preserve"> =</w:t>
            </w:r>
            <w:proofErr w:type="gramEnd"/>
            <w:r w:rsidR="00652355" w:rsidRPr="00652355">
              <w:rPr>
                <w:spacing w:val="-20"/>
              </w:rPr>
              <w:t xml:space="preserve"> </w:t>
            </w:r>
            <w:r w:rsidRPr="0084450C">
              <w:t xml:space="preserve"> 8 (4.1%)</w:t>
            </w:r>
          </w:p>
          <w:p w:rsidR="00A4010A" w:rsidRPr="0084450C" w:rsidRDefault="00A4010A" w:rsidP="00E965BD">
            <w:pPr>
              <w:pStyle w:val="TableText0"/>
            </w:pPr>
            <w:r w:rsidRPr="0084450C">
              <w:lastRenderedPageBreak/>
              <w:t>(195 enrolled in parent studies)</w:t>
            </w:r>
          </w:p>
          <w:p w:rsidR="00A4010A" w:rsidRPr="0084450C" w:rsidRDefault="00A4010A" w:rsidP="00E965BD">
            <w:pPr>
              <w:pStyle w:val="TableText0"/>
            </w:pPr>
          </w:p>
          <w:p w:rsidR="00A4010A" w:rsidRPr="0084450C" w:rsidRDefault="00A4010A" w:rsidP="00E965BD">
            <w:pPr>
              <w:pStyle w:val="TableText0"/>
            </w:pPr>
            <w:r w:rsidRPr="0084450C">
              <w:t xml:space="preserve">Eculizumab infusion </w:t>
            </w:r>
          </w:p>
          <w:p w:rsidR="00A4010A" w:rsidRPr="0084450C" w:rsidRDefault="00A4010A" w:rsidP="00E965BD">
            <w:pPr>
              <w:pStyle w:val="TableText0"/>
            </w:pPr>
            <w:r w:rsidRPr="0084450C">
              <w:t>Ongoing treatment: 900mg every 14 (±2) days, up to week 102.</w:t>
            </w:r>
          </w:p>
          <w:p w:rsidR="00A4010A" w:rsidRPr="0084450C" w:rsidRDefault="00A4010A" w:rsidP="00E965BD">
            <w:pPr>
              <w:pStyle w:val="TableText0"/>
            </w:pPr>
            <w:r w:rsidRPr="0084450C">
              <w:t>Patients previously in placebo arm: 600mg per week for 4 weeks,</w:t>
            </w:r>
          </w:p>
          <w:p w:rsidR="00A4010A" w:rsidRPr="0084450C" w:rsidRDefault="00A4010A" w:rsidP="00E965BD">
            <w:pPr>
              <w:pStyle w:val="TableText0"/>
            </w:pPr>
            <w:r w:rsidRPr="0084450C">
              <w:t>900mg at week 5, then 900mg every 2 weeks.</w:t>
            </w:r>
          </w:p>
        </w:tc>
        <w:tc>
          <w:tcPr>
            <w:tcW w:w="1701" w:type="dxa"/>
            <w:tcBorders>
              <w:right w:val="single" w:sz="4" w:space="0" w:color="auto"/>
            </w:tcBorders>
          </w:tcPr>
          <w:p w:rsidR="00A4010A" w:rsidRPr="0084450C" w:rsidRDefault="00A4010A" w:rsidP="00E965BD">
            <w:pPr>
              <w:pStyle w:val="TableText0"/>
            </w:pPr>
            <w:r w:rsidRPr="0084450C">
              <w:lastRenderedPageBreak/>
              <w:t>Number of thromboembolic events</w:t>
            </w:r>
          </w:p>
          <w:p w:rsidR="00A4010A" w:rsidRPr="0084450C" w:rsidRDefault="00A4010A" w:rsidP="00E965BD">
            <w:pPr>
              <w:pStyle w:val="TableText0"/>
            </w:pPr>
            <w:r w:rsidRPr="0084450C">
              <w:lastRenderedPageBreak/>
              <w:t>Incidence of TE events</w:t>
            </w:r>
          </w:p>
          <w:p w:rsidR="00A4010A" w:rsidRPr="0084450C" w:rsidRDefault="00A4010A" w:rsidP="00E965BD">
            <w:pPr>
              <w:pStyle w:val="TableText0"/>
            </w:pPr>
          </w:p>
          <w:p w:rsidR="00A4010A" w:rsidRPr="0084450C" w:rsidRDefault="00A4010A" w:rsidP="00E965BD">
            <w:pPr>
              <w:pStyle w:val="TableText0"/>
            </w:pPr>
            <w:r w:rsidRPr="0084450C">
              <w:t>TE was defined by the same major adverse vascular event (MAVE) criteria in all parent studies</w:t>
            </w:r>
          </w:p>
        </w:tc>
        <w:tc>
          <w:tcPr>
            <w:tcW w:w="1072" w:type="dxa"/>
            <w:tcBorders>
              <w:left w:val="single" w:sz="4" w:space="0" w:color="auto"/>
            </w:tcBorders>
          </w:tcPr>
          <w:p w:rsidR="00A4010A" w:rsidRPr="0084450C" w:rsidRDefault="00A4010A" w:rsidP="00E965BD">
            <w:pPr>
              <w:pStyle w:val="TableText0"/>
            </w:pPr>
            <w:r w:rsidRPr="0084450C">
              <w:lastRenderedPageBreak/>
              <w:t xml:space="preserve">Total patient years on </w:t>
            </w:r>
            <w:r w:rsidRPr="0084450C">
              <w:lastRenderedPageBreak/>
              <w:t xml:space="preserve">eculizumab </w:t>
            </w:r>
            <w:proofErr w:type="gramStart"/>
            <w:r w:rsidRPr="0084450C">
              <w:t xml:space="preserve">treatment </w:t>
            </w:r>
            <w:r w:rsidR="00652355" w:rsidRPr="00652355">
              <w:rPr>
                <w:spacing w:val="-20"/>
              </w:rPr>
              <w:t xml:space="preserve"> =</w:t>
            </w:r>
            <w:proofErr w:type="gramEnd"/>
            <w:r w:rsidR="00652355" w:rsidRPr="00652355">
              <w:rPr>
                <w:spacing w:val="-20"/>
              </w:rPr>
              <w:t xml:space="preserve"> </w:t>
            </w:r>
            <w:r w:rsidRPr="0084450C">
              <w:t xml:space="preserve"> 281.0 years (195 patients).</w:t>
            </w:r>
          </w:p>
          <w:p w:rsidR="00A4010A" w:rsidRPr="00B7451B" w:rsidRDefault="00A4010A" w:rsidP="00E965BD">
            <w:pPr>
              <w:pStyle w:val="TableText0"/>
            </w:pPr>
          </w:p>
        </w:tc>
        <w:tc>
          <w:tcPr>
            <w:tcW w:w="1433" w:type="dxa"/>
          </w:tcPr>
          <w:p w:rsidR="00A4010A" w:rsidRPr="0084450C" w:rsidRDefault="00A4010A" w:rsidP="00E965BD">
            <w:pPr>
              <w:pStyle w:val="TableText0"/>
            </w:pPr>
            <w:r w:rsidRPr="0084450C">
              <w:lastRenderedPageBreak/>
              <w:t xml:space="preserve">Does not provide details of type and </w:t>
            </w:r>
            <w:r w:rsidRPr="0084450C">
              <w:lastRenderedPageBreak/>
              <w:t>severity of TE events during treatment.</w:t>
            </w:r>
          </w:p>
        </w:tc>
      </w:tr>
      <w:tr w:rsidR="00A4010A" w:rsidRPr="00F1301E" w:rsidTr="008D2975">
        <w:tc>
          <w:tcPr>
            <w:tcW w:w="1290" w:type="dxa"/>
          </w:tcPr>
          <w:p w:rsidR="00A4010A" w:rsidRPr="0084450C" w:rsidRDefault="00A130D0" w:rsidP="00E965BD">
            <w:pPr>
              <w:pStyle w:val="TableText0"/>
            </w:pPr>
            <w:r>
              <w:rPr>
                <w:noProof/>
              </w:rPr>
              <w:lastRenderedPageBreak/>
              <w:t>(</w:t>
            </w:r>
            <w:r w:rsidR="00184B6F">
              <w:rPr>
                <w:noProof/>
              </w:rPr>
              <w:t>Hillmen et al. 2010</w:t>
            </w:r>
            <w:r>
              <w:rPr>
                <w:noProof/>
              </w:rPr>
              <w:t>)</w:t>
            </w:r>
          </w:p>
          <w:p w:rsidR="00A4010A" w:rsidRPr="0084450C" w:rsidRDefault="00A4010A" w:rsidP="00E965BD">
            <w:pPr>
              <w:pStyle w:val="TableText0"/>
            </w:pPr>
            <w:r w:rsidRPr="0084450C">
              <w:t>US, Europe, Australia, Canada</w:t>
            </w:r>
          </w:p>
        </w:tc>
        <w:tc>
          <w:tcPr>
            <w:tcW w:w="1393" w:type="dxa"/>
          </w:tcPr>
          <w:p w:rsidR="00A4010A" w:rsidRPr="0084450C" w:rsidRDefault="00A4010A" w:rsidP="00E965BD">
            <w:pPr>
              <w:pStyle w:val="TableText0"/>
            </w:pPr>
            <w:r w:rsidRPr="0084450C">
              <w:t>Open-label case series</w:t>
            </w:r>
          </w:p>
          <w:p w:rsidR="00A4010A" w:rsidRPr="0084450C" w:rsidRDefault="00A4010A" w:rsidP="00E965BD">
            <w:pPr>
              <w:pStyle w:val="TableText0"/>
            </w:pPr>
          </w:p>
          <w:p w:rsidR="00A4010A" w:rsidRPr="0084450C" w:rsidRDefault="00A4010A" w:rsidP="00E965BD">
            <w:pPr>
              <w:pStyle w:val="TableText0"/>
            </w:pPr>
            <w:r w:rsidRPr="0084450C">
              <w:t xml:space="preserve">Common 104-week extension study of Hillmen </w:t>
            </w:r>
            <w:r w:rsidRPr="0084450C">
              <w:lastRenderedPageBreak/>
              <w:t>2004, TRIUMPH and SHEPHERD</w:t>
            </w:r>
          </w:p>
          <w:p w:rsidR="00A4010A" w:rsidRPr="0084450C" w:rsidRDefault="00A4010A" w:rsidP="00E965BD">
            <w:pPr>
              <w:pStyle w:val="TableText0"/>
            </w:pPr>
          </w:p>
          <w:p w:rsidR="00A4010A" w:rsidRPr="0084450C" w:rsidRDefault="00A4010A" w:rsidP="00E965BD">
            <w:pPr>
              <w:pStyle w:val="TableText0"/>
            </w:pPr>
            <w:r w:rsidRPr="0084450C">
              <w:t>Level: IV</w:t>
            </w:r>
          </w:p>
          <w:p w:rsidR="00A4010A" w:rsidRPr="0084450C" w:rsidRDefault="00A4010A" w:rsidP="00E965BD">
            <w:pPr>
              <w:pStyle w:val="TableText0"/>
            </w:pPr>
            <w:r w:rsidRPr="0084450C">
              <w:t>Quality: Moderate (NHS CRD)</w:t>
            </w:r>
          </w:p>
        </w:tc>
        <w:tc>
          <w:tcPr>
            <w:tcW w:w="3365" w:type="dxa"/>
          </w:tcPr>
          <w:p w:rsidR="00A4010A" w:rsidRPr="0084450C" w:rsidRDefault="00A4010A" w:rsidP="00E965BD">
            <w:pPr>
              <w:pStyle w:val="TableText0"/>
            </w:pPr>
            <w:r w:rsidRPr="0084450C">
              <w:lastRenderedPageBreak/>
              <w:t>N</w:t>
            </w:r>
            <w:r w:rsidR="00652355" w:rsidRPr="00652355">
              <w:rPr>
                <w:spacing w:val="-20"/>
              </w:rPr>
              <w:t xml:space="preserve"> = </w:t>
            </w:r>
            <w:r w:rsidRPr="0084450C">
              <w:t>195</w:t>
            </w:r>
          </w:p>
          <w:p w:rsidR="00A4010A" w:rsidRPr="0084450C" w:rsidRDefault="00A4010A" w:rsidP="00E965BD">
            <w:pPr>
              <w:pStyle w:val="TableText0"/>
            </w:pPr>
            <w:r w:rsidRPr="0084450C">
              <w:t>187 (96%) in extension study</w:t>
            </w:r>
          </w:p>
          <w:p w:rsidR="00A4010A" w:rsidRPr="0084450C" w:rsidRDefault="00A4010A" w:rsidP="00E965BD">
            <w:pPr>
              <w:pStyle w:val="TableText0"/>
            </w:pPr>
            <w:r w:rsidRPr="0084450C">
              <w:t>As for Hillmen et al (2007)</w:t>
            </w:r>
          </w:p>
        </w:tc>
        <w:tc>
          <w:tcPr>
            <w:tcW w:w="1880" w:type="dxa"/>
          </w:tcPr>
          <w:p w:rsidR="00A4010A" w:rsidRPr="0084450C" w:rsidRDefault="00A4010A" w:rsidP="00E965BD">
            <w:pPr>
              <w:pStyle w:val="TableText0"/>
              <w:rPr>
                <w:u w:val="single"/>
              </w:rPr>
            </w:pPr>
            <w:r w:rsidRPr="0084450C">
              <w:t>Participation in one of three parent studies: Hill et al (2004), Hillmen et al (2006), or Brodsky et al (2008)</w:t>
            </w:r>
          </w:p>
        </w:tc>
        <w:tc>
          <w:tcPr>
            <w:tcW w:w="2126" w:type="dxa"/>
          </w:tcPr>
          <w:p w:rsidR="00A4010A" w:rsidRPr="0084450C" w:rsidRDefault="00A4010A" w:rsidP="00E965BD">
            <w:pPr>
              <w:pStyle w:val="TableText0"/>
            </w:pPr>
            <w:r w:rsidRPr="0084450C">
              <w:t>ITT n</w:t>
            </w:r>
            <w:r w:rsidR="00652355" w:rsidRPr="00652355">
              <w:rPr>
                <w:spacing w:val="-20"/>
              </w:rPr>
              <w:t xml:space="preserve"> = </w:t>
            </w:r>
            <w:r w:rsidRPr="0084450C">
              <w:t>195</w:t>
            </w:r>
          </w:p>
          <w:p w:rsidR="00A4010A" w:rsidRPr="0084450C" w:rsidRDefault="00A4010A" w:rsidP="00E965BD">
            <w:pPr>
              <w:pStyle w:val="TableText0"/>
            </w:pPr>
            <w:r w:rsidRPr="0084450C">
              <w:t xml:space="preserve">LTF </w:t>
            </w:r>
            <w:r w:rsidR="00652355" w:rsidRPr="00652355">
              <w:rPr>
                <w:spacing w:val="-20"/>
              </w:rPr>
              <w:t xml:space="preserve"> = </w:t>
            </w:r>
            <w:r w:rsidRPr="0084450C">
              <w:t>8</w:t>
            </w:r>
          </w:p>
          <w:p w:rsidR="00A4010A" w:rsidRPr="0084450C" w:rsidRDefault="00A4010A" w:rsidP="00E965BD">
            <w:pPr>
              <w:pStyle w:val="TableText0"/>
            </w:pPr>
            <w:r w:rsidRPr="0084450C">
              <w:t>Only 189 included in results</w:t>
            </w:r>
          </w:p>
          <w:p w:rsidR="00A4010A" w:rsidRPr="0084450C" w:rsidRDefault="00A4010A" w:rsidP="00E965BD">
            <w:pPr>
              <w:pStyle w:val="TableText0"/>
            </w:pPr>
          </w:p>
          <w:p w:rsidR="00A4010A" w:rsidRPr="0084450C" w:rsidRDefault="00A4010A" w:rsidP="00E965BD">
            <w:pPr>
              <w:pStyle w:val="TableText0"/>
            </w:pPr>
            <w:r w:rsidRPr="0084450C">
              <w:t xml:space="preserve">Eculizumab infusion as in </w:t>
            </w:r>
            <w:r w:rsidRPr="0084450C">
              <w:lastRenderedPageBreak/>
              <w:t>Hillmen et al 2007</w:t>
            </w:r>
          </w:p>
          <w:p w:rsidR="00A4010A" w:rsidRPr="00240C71" w:rsidRDefault="00A4010A" w:rsidP="00E965BD">
            <w:pPr>
              <w:pStyle w:val="TableText0"/>
              <w:rPr>
                <w:u w:val="single"/>
              </w:rPr>
            </w:pPr>
          </w:p>
        </w:tc>
        <w:tc>
          <w:tcPr>
            <w:tcW w:w="1701" w:type="dxa"/>
            <w:tcBorders>
              <w:right w:val="single" w:sz="4" w:space="0" w:color="auto"/>
            </w:tcBorders>
          </w:tcPr>
          <w:p w:rsidR="00A4010A" w:rsidRPr="0084450C" w:rsidRDefault="00A4010A" w:rsidP="00E965BD">
            <w:pPr>
              <w:pStyle w:val="TableText0"/>
            </w:pPr>
            <w:r w:rsidRPr="0084450C">
              <w:lastRenderedPageBreak/>
              <w:t>Renal function:</w:t>
            </w:r>
          </w:p>
          <w:p w:rsidR="00A4010A" w:rsidRPr="0084450C" w:rsidRDefault="00A4010A" w:rsidP="00E965BD">
            <w:pPr>
              <w:pStyle w:val="TableText0"/>
            </w:pPr>
            <w:r w:rsidRPr="0084450C">
              <w:t>Serum creatinine</w:t>
            </w:r>
          </w:p>
          <w:p w:rsidR="00A4010A" w:rsidRPr="0084450C" w:rsidRDefault="00A4010A" w:rsidP="00E965BD">
            <w:pPr>
              <w:pStyle w:val="TableText0"/>
            </w:pPr>
            <w:r w:rsidRPr="0084450C">
              <w:t>Urinary protein</w:t>
            </w:r>
          </w:p>
          <w:p w:rsidR="00A4010A" w:rsidRPr="0084450C" w:rsidRDefault="00A4010A" w:rsidP="00E965BD">
            <w:pPr>
              <w:pStyle w:val="TableText0"/>
            </w:pPr>
            <w:r w:rsidRPr="0084450C">
              <w:t>GFR</w:t>
            </w:r>
          </w:p>
          <w:p w:rsidR="00A4010A" w:rsidRPr="0084450C" w:rsidRDefault="00A4010A" w:rsidP="00E965BD">
            <w:pPr>
              <w:pStyle w:val="TableText0"/>
            </w:pPr>
            <w:r w:rsidRPr="0084450C">
              <w:t xml:space="preserve">GFR estimated using the </w:t>
            </w:r>
            <w:r w:rsidRPr="0084450C">
              <w:lastRenderedPageBreak/>
              <w:t>modification of diet in renal disease study formula equation.</w:t>
            </w:r>
          </w:p>
          <w:p w:rsidR="00A4010A" w:rsidRPr="0084450C" w:rsidRDefault="00A4010A" w:rsidP="00E965BD">
            <w:pPr>
              <w:pStyle w:val="TableText0"/>
              <w:rPr>
                <w:u w:val="single"/>
              </w:rPr>
            </w:pPr>
            <w:r w:rsidRPr="0084450C">
              <w:rPr>
                <w:u w:val="single"/>
              </w:rPr>
              <w:t>Efficacy</w:t>
            </w:r>
          </w:p>
          <w:p w:rsidR="00A4010A" w:rsidRPr="0084450C" w:rsidRDefault="00A4010A" w:rsidP="00E965BD">
            <w:pPr>
              <w:pStyle w:val="TableText0"/>
            </w:pPr>
            <w:r w:rsidRPr="0084450C">
              <w:t>Change in renal function defined as a categorical documented change in chronic kidney disease (CKD) stage level or fulfilling the criteria of no CKD</w:t>
            </w:r>
          </w:p>
          <w:p w:rsidR="00A4010A" w:rsidRPr="0084450C" w:rsidRDefault="00A4010A" w:rsidP="00E965BD">
            <w:pPr>
              <w:pStyle w:val="TableText0"/>
              <w:rPr>
                <w:vertAlign w:val="superscript"/>
              </w:rPr>
            </w:pPr>
            <w:r w:rsidRPr="0084450C">
              <w:t>CKD stages were defined using the Kidney Disease Outcomes Quality Initiative</w:t>
            </w:r>
            <w:r w:rsidRPr="0084450C">
              <w:rPr>
                <w:vertAlign w:val="superscript"/>
              </w:rPr>
              <w:t>f</w:t>
            </w:r>
          </w:p>
        </w:tc>
        <w:tc>
          <w:tcPr>
            <w:tcW w:w="1072" w:type="dxa"/>
            <w:tcBorders>
              <w:left w:val="single" w:sz="4" w:space="0" w:color="auto"/>
            </w:tcBorders>
          </w:tcPr>
          <w:p w:rsidR="00A4010A" w:rsidRPr="0084450C" w:rsidRDefault="00A4010A" w:rsidP="00E965BD">
            <w:pPr>
              <w:pStyle w:val="TableText0"/>
            </w:pPr>
            <w:r w:rsidRPr="0084450C">
              <w:lastRenderedPageBreak/>
              <w:t>18 months</w:t>
            </w:r>
          </w:p>
        </w:tc>
        <w:tc>
          <w:tcPr>
            <w:tcW w:w="1433" w:type="dxa"/>
          </w:tcPr>
          <w:p w:rsidR="00A4010A" w:rsidRDefault="00A4010A" w:rsidP="00E965BD">
            <w:pPr>
              <w:pStyle w:val="TableText0"/>
            </w:pPr>
          </w:p>
        </w:tc>
      </w:tr>
      <w:tr w:rsidR="00A4010A" w:rsidRPr="00F1301E" w:rsidTr="008D2975">
        <w:tc>
          <w:tcPr>
            <w:tcW w:w="1290" w:type="dxa"/>
          </w:tcPr>
          <w:p w:rsidR="00A4010A" w:rsidRPr="0084450C" w:rsidRDefault="00A130D0" w:rsidP="00E965BD">
            <w:pPr>
              <w:pStyle w:val="TableText0"/>
            </w:pPr>
            <w:r>
              <w:rPr>
                <w:noProof/>
              </w:rPr>
              <w:lastRenderedPageBreak/>
              <w:t>(</w:t>
            </w:r>
            <w:r w:rsidR="00184B6F">
              <w:rPr>
                <w:noProof/>
              </w:rPr>
              <w:t>Hillmen et al. 2013</w:t>
            </w:r>
            <w:r>
              <w:rPr>
                <w:noProof/>
              </w:rPr>
              <w:t>)</w:t>
            </w:r>
          </w:p>
          <w:p w:rsidR="00A4010A" w:rsidRPr="0084450C" w:rsidRDefault="00A4010A" w:rsidP="00E965BD">
            <w:pPr>
              <w:pStyle w:val="TableText0"/>
            </w:pPr>
            <w:r w:rsidRPr="0084450C">
              <w:t>US, Europe, Australia, Canada</w:t>
            </w:r>
          </w:p>
        </w:tc>
        <w:tc>
          <w:tcPr>
            <w:tcW w:w="1393" w:type="dxa"/>
          </w:tcPr>
          <w:p w:rsidR="00A4010A" w:rsidRPr="0084450C" w:rsidRDefault="00A4010A" w:rsidP="00E965BD">
            <w:pPr>
              <w:pStyle w:val="TableText0"/>
            </w:pPr>
            <w:r w:rsidRPr="0084450C">
              <w:t>Open-label case series</w:t>
            </w:r>
          </w:p>
          <w:p w:rsidR="00A4010A" w:rsidRPr="0084450C" w:rsidRDefault="00A4010A" w:rsidP="00E965BD">
            <w:pPr>
              <w:pStyle w:val="TableText0"/>
            </w:pPr>
          </w:p>
          <w:p w:rsidR="00A4010A" w:rsidRPr="0084450C" w:rsidRDefault="00A4010A" w:rsidP="00E965BD">
            <w:pPr>
              <w:pStyle w:val="TableText0"/>
            </w:pPr>
            <w:r w:rsidRPr="0084450C">
              <w:t xml:space="preserve">Common 104-week extension study of Hillmen 2004, </w:t>
            </w:r>
            <w:r w:rsidRPr="0084450C">
              <w:lastRenderedPageBreak/>
              <w:t>TRIUMPH and SHEPHERD</w:t>
            </w:r>
          </w:p>
          <w:p w:rsidR="00A4010A" w:rsidRPr="0084450C" w:rsidRDefault="00A4010A" w:rsidP="00E965BD">
            <w:pPr>
              <w:pStyle w:val="TableText0"/>
            </w:pPr>
          </w:p>
          <w:p w:rsidR="00A4010A" w:rsidRPr="0084450C" w:rsidRDefault="00A4010A" w:rsidP="00E965BD">
            <w:pPr>
              <w:pStyle w:val="TableText0"/>
            </w:pPr>
            <w:r w:rsidRPr="0084450C">
              <w:t>Level: IV</w:t>
            </w:r>
          </w:p>
          <w:p w:rsidR="00A4010A" w:rsidRPr="0084450C" w:rsidRDefault="00A4010A" w:rsidP="00E965BD">
            <w:pPr>
              <w:pStyle w:val="TableText0"/>
            </w:pPr>
            <w:r w:rsidRPr="0084450C">
              <w:t>Quality: Moderate (NHS CRD)</w:t>
            </w:r>
          </w:p>
        </w:tc>
        <w:tc>
          <w:tcPr>
            <w:tcW w:w="3365" w:type="dxa"/>
          </w:tcPr>
          <w:p w:rsidR="00A4010A" w:rsidRPr="0084450C" w:rsidRDefault="00A4010A" w:rsidP="00E965BD">
            <w:pPr>
              <w:pStyle w:val="TableText0"/>
            </w:pPr>
            <w:r w:rsidRPr="0084450C">
              <w:lastRenderedPageBreak/>
              <w:t>N</w:t>
            </w:r>
            <w:r w:rsidR="00652355" w:rsidRPr="00652355">
              <w:rPr>
                <w:spacing w:val="-20"/>
              </w:rPr>
              <w:t xml:space="preserve"> = </w:t>
            </w:r>
            <w:r w:rsidRPr="0084450C">
              <w:t>195</w:t>
            </w:r>
          </w:p>
          <w:p w:rsidR="00A4010A" w:rsidRPr="0084450C" w:rsidRDefault="00A4010A" w:rsidP="00E965BD">
            <w:pPr>
              <w:pStyle w:val="TableText0"/>
            </w:pPr>
            <w:r w:rsidRPr="0084450C">
              <w:t>187 (96%) in extension study</w:t>
            </w:r>
          </w:p>
          <w:p w:rsidR="00A4010A" w:rsidRPr="0084450C" w:rsidRDefault="00A4010A" w:rsidP="00E965BD">
            <w:pPr>
              <w:pStyle w:val="TableText0"/>
            </w:pPr>
            <w:r w:rsidRPr="0084450C">
              <w:t>As for Hillmen et al (2007)</w:t>
            </w:r>
          </w:p>
        </w:tc>
        <w:tc>
          <w:tcPr>
            <w:tcW w:w="1880" w:type="dxa"/>
          </w:tcPr>
          <w:p w:rsidR="00A4010A" w:rsidRPr="0084450C" w:rsidRDefault="00A4010A" w:rsidP="00E965BD">
            <w:pPr>
              <w:pStyle w:val="TableText0"/>
              <w:rPr>
                <w:u w:val="single"/>
              </w:rPr>
            </w:pPr>
            <w:r w:rsidRPr="0084450C">
              <w:t>Participation in one of three parent studies: Hill et al (2004), Hillmen et al (2006), or Brodsky et al (2008)</w:t>
            </w:r>
          </w:p>
        </w:tc>
        <w:tc>
          <w:tcPr>
            <w:tcW w:w="2126" w:type="dxa"/>
          </w:tcPr>
          <w:p w:rsidR="00A4010A" w:rsidRPr="0084450C" w:rsidRDefault="00A4010A" w:rsidP="00E965BD">
            <w:pPr>
              <w:pStyle w:val="TableText0"/>
            </w:pPr>
            <w:r w:rsidRPr="0084450C">
              <w:t>ITT</w:t>
            </w:r>
            <w:r w:rsidR="00652355" w:rsidRPr="00652355">
              <w:rPr>
                <w:spacing w:val="-20"/>
              </w:rPr>
              <w:t xml:space="preserve"> = </w:t>
            </w:r>
            <w:r w:rsidRPr="0084450C">
              <w:t>195</w:t>
            </w:r>
          </w:p>
          <w:p w:rsidR="00A4010A" w:rsidRPr="0084450C" w:rsidRDefault="00A4010A" w:rsidP="00E965BD">
            <w:pPr>
              <w:pStyle w:val="TableText0"/>
            </w:pPr>
            <w:r w:rsidRPr="0084450C">
              <w:t xml:space="preserve">LTF </w:t>
            </w:r>
            <w:r w:rsidR="00652355" w:rsidRPr="00652355">
              <w:rPr>
                <w:spacing w:val="-20"/>
              </w:rPr>
              <w:t xml:space="preserve"> = </w:t>
            </w:r>
            <w:r w:rsidRPr="0084450C">
              <w:t xml:space="preserve"> 19</w:t>
            </w:r>
          </w:p>
          <w:p w:rsidR="00A4010A" w:rsidRPr="0084450C" w:rsidRDefault="00A4010A" w:rsidP="00E965BD">
            <w:pPr>
              <w:pStyle w:val="TableText0"/>
            </w:pPr>
            <w:r w:rsidRPr="0084450C">
              <w:t>19 (9.7%) patients discontinued treatment:</w:t>
            </w:r>
          </w:p>
          <w:p w:rsidR="00A4010A" w:rsidRPr="0084450C" w:rsidRDefault="00A4010A" w:rsidP="00E965BD">
            <w:pPr>
              <w:pStyle w:val="TableText0"/>
            </w:pPr>
            <w:r w:rsidRPr="0084450C">
              <w:t>9 due to AE</w:t>
            </w:r>
          </w:p>
          <w:p w:rsidR="00A4010A" w:rsidRPr="0084450C" w:rsidRDefault="00A4010A" w:rsidP="00E965BD">
            <w:pPr>
              <w:pStyle w:val="TableText0"/>
            </w:pPr>
            <w:r w:rsidRPr="0084450C">
              <w:t>7 withdrew consent</w:t>
            </w:r>
          </w:p>
          <w:p w:rsidR="00A4010A" w:rsidRPr="0084450C" w:rsidRDefault="00A4010A" w:rsidP="00E965BD">
            <w:pPr>
              <w:pStyle w:val="TableText0"/>
            </w:pPr>
            <w:r w:rsidRPr="0084450C">
              <w:t xml:space="preserve">2 on decision of the </w:t>
            </w:r>
            <w:r w:rsidRPr="0084450C">
              <w:lastRenderedPageBreak/>
              <w:t>investigator</w:t>
            </w:r>
          </w:p>
          <w:p w:rsidR="00A4010A" w:rsidRPr="0084450C" w:rsidRDefault="00A4010A" w:rsidP="00E965BD">
            <w:pPr>
              <w:pStyle w:val="TableText0"/>
            </w:pPr>
            <w:r w:rsidRPr="0084450C">
              <w:t>1 noncompliant with protocol.</w:t>
            </w:r>
          </w:p>
          <w:p w:rsidR="00A4010A" w:rsidRPr="0084450C" w:rsidRDefault="00A4010A" w:rsidP="00E965BD">
            <w:pPr>
              <w:pStyle w:val="TableText0"/>
            </w:pPr>
          </w:p>
          <w:p w:rsidR="00A4010A" w:rsidRPr="0084450C" w:rsidRDefault="00A4010A" w:rsidP="00E965BD">
            <w:pPr>
              <w:pStyle w:val="TableText0"/>
            </w:pPr>
            <w:r w:rsidRPr="0084450C">
              <w:t>8 occurred during a parent study</w:t>
            </w:r>
          </w:p>
          <w:p w:rsidR="00A4010A" w:rsidRPr="0084450C" w:rsidRDefault="00A4010A" w:rsidP="00E965BD">
            <w:pPr>
              <w:pStyle w:val="TableText0"/>
            </w:pPr>
            <w:r w:rsidRPr="0084450C">
              <w:t>11 extension study</w:t>
            </w:r>
          </w:p>
          <w:p w:rsidR="008D2975" w:rsidRDefault="008D2975" w:rsidP="00E965BD">
            <w:pPr>
              <w:pStyle w:val="TableText0"/>
            </w:pPr>
          </w:p>
          <w:p w:rsidR="00A4010A" w:rsidRPr="0084450C" w:rsidRDefault="008D2975" w:rsidP="00E965BD">
            <w:pPr>
              <w:pStyle w:val="TableText0"/>
            </w:pPr>
            <w:r>
              <w:t>E</w:t>
            </w:r>
            <w:r w:rsidR="00A4010A" w:rsidRPr="0084450C">
              <w:t xml:space="preserve">culizumab </w:t>
            </w:r>
          </w:p>
          <w:p w:rsidR="00A4010A" w:rsidRPr="0084450C" w:rsidRDefault="00A4010A" w:rsidP="00E965BD">
            <w:pPr>
              <w:pStyle w:val="TableText0"/>
              <w:rPr>
                <w:u w:val="single"/>
              </w:rPr>
            </w:pPr>
            <w:r w:rsidRPr="0084450C">
              <w:t>600mg infusion per week for 4 weeks, followed 1 week later by a single 900mg dose, and then a maintenance dose of 900mg every 14 (±2) days.</w:t>
            </w:r>
          </w:p>
        </w:tc>
        <w:tc>
          <w:tcPr>
            <w:tcW w:w="1701" w:type="dxa"/>
            <w:tcBorders>
              <w:right w:val="single" w:sz="4" w:space="0" w:color="auto"/>
            </w:tcBorders>
          </w:tcPr>
          <w:p w:rsidR="00A4010A" w:rsidRPr="0084450C" w:rsidRDefault="00A4010A" w:rsidP="00E965BD">
            <w:pPr>
              <w:pStyle w:val="TableText0"/>
            </w:pPr>
            <w:r w:rsidRPr="0084450C">
              <w:lastRenderedPageBreak/>
              <w:t>Rate of TEs</w:t>
            </w:r>
          </w:p>
          <w:p w:rsidR="00A4010A" w:rsidRPr="0084450C" w:rsidRDefault="00A4010A" w:rsidP="00E965BD">
            <w:pPr>
              <w:pStyle w:val="TableText0"/>
            </w:pPr>
            <w:r w:rsidRPr="0084450C">
              <w:t>Transfusion requirements (number of units of transfused packed RBC administered</w:t>
            </w:r>
          </w:p>
          <w:p w:rsidR="00A4010A" w:rsidRPr="0084450C" w:rsidRDefault="00A4010A" w:rsidP="00E965BD">
            <w:pPr>
              <w:pStyle w:val="TableText0"/>
            </w:pPr>
            <w:r w:rsidRPr="0084450C">
              <w:t xml:space="preserve">Transfusion </w:t>
            </w:r>
            <w:r w:rsidRPr="0084450C">
              <w:lastRenderedPageBreak/>
              <w:t>independence (not requiring a transfusion during the previous 6 months)</w:t>
            </w:r>
          </w:p>
          <w:p w:rsidR="00A4010A" w:rsidRPr="0084450C" w:rsidRDefault="00A4010A" w:rsidP="00E965BD">
            <w:pPr>
              <w:pStyle w:val="TableText0"/>
            </w:pPr>
            <w:r w:rsidRPr="0084450C">
              <w:t>Renal function (CKD stage)</w:t>
            </w:r>
          </w:p>
          <w:p w:rsidR="00A4010A" w:rsidRPr="0084450C" w:rsidRDefault="00A4010A" w:rsidP="00E965BD">
            <w:pPr>
              <w:pStyle w:val="TableText0"/>
            </w:pPr>
          </w:p>
          <w:p w:rsidR="00A4010A" w:rsidRPr="0084450C" w:rsidRDefault="00A4010A" w:rsidP="00E965BD">
            <w:pPr>
              <w:pStyle w:val="TableText0"/>
            </w:pPr>
            <w:r w:rsidRPr="0084450C">
              <w:rPr>
                <w:u w:val="single"/>
              </w:rPr>
              <w:t>Safety</w:t>
            </w:r>
          </w:p>
          <w:p w:rsidR="00A4010A" w:rsidRPr="0084450C" w:rsidRDefault="00A4010A" w:rsidP="00E965BD">
            <w:pPr>
              <w:pStyle w:val="TableText0"/>
            </w:pPr>
            <w:r w:rsidRPr="0084450C">
              <w:t>AEs (coded using MEDRA version 6.1)</w:t>
            </w:r>
          </w:p>
          <w:p w:rsidR="00A4010A" w:rsidRPr="0084450C" w:rsidRDefault="00A4010A" w:rsidP="00E965BD">
            <w:pPr>
              <w:pStyle w:val="TableText0"/>
            </w:pPr>
            <w:r w:rsidRPr="0084450C">
              <w:t>Clinical laboratory tests</w:t>
            </w:r>
          </w:p>
          <w:p w:rsidR="00A4010A" w:rsidRPr="0084450C" w:rsidRDefault="00A4010A" w:rsidP="00E965BD">
            <w:pPr>
              <w:pStyle w:val="TableText0"/>
            </w:pPr>
            <w:r w:rsidRPr="0084450C">
              <w:t>Vital signs</w:t>
            </w:r>
          </w:p>
        </w:tc>
        <w:tc>
          <w:tcPr>
            <w:tcW w:w="1072" w:type="dxa"/>
            <w:tcBorders>
              <w:left w:val="single" w:sz="4" w:space="0" w:color="auto"/>
            </w:tcBorders>
          </w:tcPr>
          <w:p w:rsidR="00A4010A" w:rsidRPr="0084450C" w:rsidRDefault="00A4010A" w:rsidP="00E965BD">
            <w:pPr>
              <w:pStyle w:val="TableText0"/>
            </w:pPr>
            <w:r w:rsidRPr="0084450C">
              <w:lastRenderedPageBreak/>
              <w:t>36 months cut-off for safety and efficacy assessment</w:t>
            </w:r>
          </w:p>
          <w:p w:rsidR="00A4010A" w:rsidRPr="0084450C" w:rsidRDefault="00A4010A" w:rsidP="00E965BD">
            <w:pPr>
              <w:pStyle w:val="TableText0"/>
            </w:pPr>
            <w:r w:rsidRPr="0084450C">
              <w:t xml:space="preserve">Overall </w:t>
            </w:r>
            <w:r w:rsidRPr="0084450C">
              <w:lastRenderedPageBreak/>
              <w:t>median treatment duration 30.3 months Range: 10.0-66.1 months</w:t>
            </w:r>
          </w:p>
          <w:p w:rsidR="00A4010A" w:rsidRPr="0084450C" w:rsidRDefault="00A4010A" w:rsidP="00E965BD">
            <w:pPr>
              <w:pStyle w:val="TableText0"/>
            </w:pPr>
            <w:r w:rsidRPr="0084450C">
              <w:t>Interquartile range: 26.2-33.1 months</w:t>
            </w:r>
          </w:p>
        </w:tc>
        <w:tc>
          <w:tcPr>
            <w:tcW w:w="1433" w:type="dxa"/>
          </w:tcPr>
          <w:p w:rsidR="00A4010A" w:rsidRDefault="00A4010A" w:rsidP="00E965BD">
            <w:pPr>
              <w:pStyle w:val="TableText0"/>
            </w:pPr>
          </w:p>
        </w:tc>
      </w:tr>
      <w:tr w:rsidR="00A4010A" w:rsidRPr="00F1301E" w:rsidTr="008D2975">
        <w:tc>
          <w:tcPr>
            <w:tcW w:w="1290" w:type="dxa"/>
          </w:tcPr>
          <w:p w:rsidR="00A4010A" w:rsidRPr="0084450C" w:rsidRDefault="00A4010A" w:rsidP="0084450C">
            <w:pPr>
              <w:pStyle w:val="TableHeading"/>
            </w:pPr>
            <w:r w:rsidRPr="0084450C">
              <w:lastRenderedPageBreak/>
              <w:t>Other studies</w:t>
            </w:r>
          </w:p>
        </w:tc>
        <w:tc>
          <w:tcPr>
            <w:tcW w:w="1393" w:type="dxa"/>
          </w:tcPr>
          <w:p w:rsidR="00A4010A" w:rsidRDefault="00A4010A" w:rsidP="00792257">
            <w:pPr>
              <w:spacing w:after="0"/>
              <w:jc w:val="left"/>
              <w:rPr>
                <w:rFonts w:ascii="Arial Narrow" w:hAnsi="Arial Narrow"/>
                <w:sz w:val="22"/>
                <w:szCs w:val="22"/>
              </w:rPr>
            </w:pPr>
          </w:p>
        </w:tc>
        <w:tc>
          <w:tcPr>
            <w:tcW w:w="3365" w:type="dxa"/>
          </w:tcPr>
          <w:p w:rsidR="00A4010A" w:rsidRDefault="00A4010A" w:rsidP="00792257">
            <w:pPr>
              <w:spacing w:after="0"/>
              <w:jc w:val="left"/>
              <w:rPr>
                <w:rFonts w:ascii="Arial Narrow" w:hAnsi="Arial Narrow"/>
                <w:sz w:val="22"/>
                <w:szCs w:val="22"/>
              </w:rPr>
            </w:pPr>
          </w:p>
        </w:tc>
        <w:tc>
          <w:tcPr>
            <w:tcW w:w="1880" w:type="dxa"/>
          </w:tcPr>
          <w:p w:rsidR="00A4010A" w:rsidRPr="00240C71" w:rsidRDefault="00A4010A" w:rsidP="00792257">
            <w:pPr>
              <w:jc w:val="left"/>
              <w:rPr>
                <w:rFonts w:ascii="Arial Narrow" w:hAnsi="Arial Narrow"/>
                <w:sz w:val="22"/>
                <w:szCs w:val="22"/>
                <w:u w:val="single"/>
              </w:rPr>
            </w:pPr>
          </w:p>
        </w:tc>
        <w:tc>
          <w:tcPr>
            <w:tcW w:w="2126" w:type="dxa"/>
          </w:tcPr>
          <w:p w:rsidR="00A4010A" w:rsidRDefault="00A4010A" w:rsidP="00792257">
            <w:pPr>
              <w:spacing w:after="0"/>
              <w:jc w:val="left"/>
              <w:rPr>
                <w:rFonts w:ascii="Arial Narrow" w:hAnsi="Arial Narrow"/>
                <w:sz w:val="22"/>
                <w:szCs w:val="22"/>
              </w:rPr>
            </w:pPr>
          </w:p>
        </w:tc>
        <w:tc>
          <w:tcPr>
            <w:tcW w:w="1701" w:type="dxa"/>
            <w:tcBorders>
              <w:right w:val="single" w:sz="4" w:space="0" w:color="auto"/>
            </w:tcBorders>
          </w:tcPr>
          <w:p w:rsidR="00A4010A" w:rsidRDefault="00A4010A" w:rsidP="00792257">
            <w:pPr>
              <w:spacing w:after="0"/>
              <w:jc w:val="left"/>
              <w:rPr>
                <w:rFonts w:ascii="Arial Narrow" w:hAnsi="Arial Narrow"/>
                <w:sz w:val="22"/>
                <w:szCs w:val="22"/>
              </w:rPr>
            </w:pPr>
          </w:p>
        </w:tc>
        <w:tc>
          <w:tcPr>
            <w:tcW w:w="1072" w:type="dxa"/>
            <w:tcBorders>
              <w:left w:val="single" w:sz="4" w:space="0" w:color="auto"/>
            </w:tcBorders>
          </w:tcPr>
          <w:p w:rsidR="00A4010A" w:rsidRDefault="00A4010A" w:rsidP="00E965BD">
            <w:pPr>
              <w:spacing w:after="0"/>
              <w:jc w:val="left"/>
              <w:rPr>
                <w:rFonts w:ascii="Arial Narrow" w:hAnsi="Arial Narrow"/>
                <w:sz w:val="22"/>
                <w:szCs w:val="22"/>
              </w:rPr>
            </w:pPr>
          </w:p>
        </w:tc>
        <w:tc>
          <w:tcPr>
            <w:tcW w:w="1433" w:type="dxa"/>
          </w:tcPr>
          <w:p w:rsidR="00A4010A" w:rsidRDefault="00A4010A" w:rsidP="00792257">
            <w:pPr>
              <w:spacing w:after="0"/>
              <w:jc w:val="left"/>
              <w:rPr>
                <w:rFonts w:ascii="Arial Narrow" w:hAnsi="Arial Narrow"/>
                <w:sz w:val="22"/>
                <w:szCs w:val="22"/>
              </w:rPr>
            </w:pPr>
          </w:p>
        </w:tc>
      </w:tr>
      <w:tr w:rsidR="00A4010A" w:rsidRPr="00F1301E" w:rsidTr="008D2975">
        <w:tc>
          <w:tcPr>
            <w:tcW w:w="1290" w:type="dxa"/>
          </w:tcPr>
          <w:p w:rsidR="00A4010A" w:rsidRPr="0084450C" w:rsidRDefault="00A130D0" w:rsidP="00E965BD">
            <w:pPr>
              <w:pStyle w:val="TableText0"/>
            </w:pPr>
            <w:r>
              <w:rPr>
                <w:noProof/>
              </w:rPr>
              <w:t>(</w:t>
            </w:r>
            <w:r w:rsidR="00184B6F">
              <w:rPr>
                <w:noProof/>
              </w:rPr>
              <w:t>Kelly, RJ et al. 2011</w:t>
            </w:r>
            <w:r>
              <w:rPr>
                <w:noProof/>
              </w:rPr>
              <w:t>)</w:t>
            </w:r>
          </w:p>
          <w:p w:rsidR="00A4010A" w:rsidRPr="0084450C" w:rsidRDefault="00A4010A" w:rsidP="00E965BD">
            <w:pPr>
              <w:pStyle w:val="TableText0"/>
            </w:pPr>
            <w:r w:rsidRPr="0084450C">
              <w:t>UK</w:t>
            </w:r>
          </w:p>
        </w:tc>
        <w:tc>
          <w:tcPr>
            <w:tcW w:w="1393" w:type="dxa"/>
          </w:tcPr>
          <w:p w:rsidR="00A4010A" w:rsidRPr="0084450C" w:rsidRDefault="00A4010A" w:rsidP="00E965BD">
            <w:pPr>
              <w:pStyle w:val="TableText0"/>
            </w:pPr>
            <w:r w:rsidRPr="0084450C">
              <w:t>Historic control study</w:t>
            </w:r>
          </w:p>
          <w:p w:rsidR="00A4010A" w:rsidRPr="0084450C" w:rsidRDefault="00A4010A" w:rsidP="00E965BD">
            <w:pPr>
              <w:pStyle w:val="TableText0"/>
            </w:pPr>
            <w:r w:rsidRPr="0084450C">
              <w:t>Level: III-3</w:t>
            </w:r>
          </w:p>
          <w:p w:rsidR="00A4010A" w:rsidRPr="0084450C" w:rsidRDefault="00A4010A" w:rsidP="00E965BD">
            <w:pPr>
              <w:pStyle w:val="TableText0"/>
            </w:pPr>
            <w:r w:rsidRPr="0084450C">
              <w:t>Quality: - (SIGN)</w:t>
            </w:r>
          </w:p>
          <w:p w:rsidR="00A4010A" w:rsidRDefault="00A4010A" w:rsidP="00E965BD">
            <w:pPr>
              <w:pStyle w:val="TableText0"/>
            </w:pPr>
          </w:p>
        </w:tc>
        <w:tc>
          <w:tcPr>
            <w:tcW w:w="3365" w:type="dxa"/>
          </w:tcPr>
          <w:p w:rsidR="00A4010A" w:rsidRPr="0084450C" w:rsidRDefault="00A4010A" w:rsidP="00E965BD">
            <w:pPr>
              <w:pStyle w:val="TableText0"/>
            </w:pPr>
            <w:r w:rsidRPr="0084450C">
              <w:t>Eculizumab N</w:t>
            </w:r>
            <w:r w:rsidR="00652355" w:rsidRPr="00652355">
              <w:rPr>
                <w:spacing w:val="-20"/>
              </w:rPr>
              <w:t xml:space="preserve"> = </w:t>
            </w:r>
            <w:r w:rsidRPr="0084450C">
              <w:t>79</w:t>
            </w:r>
            <w:r w:rsidRPr="0084450C">
              <w:rPr>
                <w:vertAlign w:val="superscript"/>
              </w:rPr>
              <w:t>c</w:t>
            </w:r>
          </w:p>
          <w:p w:rsidR="00A4010A" w:rsidRPr="0084450C" w:rsidRDefault="00A4010A" w:rsidP="00E965BD">
            <w:pPr>
              <w:pStyle w:val="TableText0"/>
            </w:pPr>
            <w:r w:rsidRPr="0084450C">
              <w:t>Recruited 2002-2010</w:t>
            </w:r>
          </w:p>
          <w:p w:rsidR="00A4010A" w:rsidRPr="0084450C" w:rsidRDefault="00A4010A" w:rsidP="00E965BD">
            <w:pPr>
              <w:pStyle w:val="TableText0"/>
            </w:pPr>
            <w:r w:rsidRPr="0084450C">
              <w:t>“Historic controls” N</w:t>
            </w:r>
            <w:r w:rsidR="00652355" w:rsidRPr="00652355">
              <w:rPr>
                <w:spacing w:val="-20"/>
              </w:rPr>
              <w:t xml:space="preserve"> = </w:t>
            </w:r>
            <w:r w:rsidRPr="0084450C">
              <w:t>30 (cared for in the 7 years prior to the availability of eculizumab)</w:t>
            </w:r>
          </w:p>
          <w:p w:rsidR="00A4010A" w:rsidRPr="0084450C" w:rsidRDefault="00A4010A" w:rsidP="00E965BD">
            <w:pPr>
              <w:pStyle w:val="TableText0"/>
            </w:pPr>
            <w:r w:rsidRPr="0084450C">
              <w:rPr>
                <w:u w:val="single"/>
              </w:rPr>
              <w:t>Eculizumab treated patients</w:t>
            </w:r>
            <w:r w:rsidRPr="0084450C">
              <w:t>:</w:t>
            </w:r>
          </w:p>
          <w:p w:rsidR="00A4010A" w:rsidRPr="0084450C" w:rsidRDefault="00A4010A" w:rsidP="00E965BD">
            <w:pPr>
              <w:pStyle w:val="TableText0"/>
            </w:pPr>
            <w:r w:rsidRPr="0084450C">
              <w:t>At diagnosis:</w:t>
            </w:r>
          </w:p>
          <w:p w:rsidR="00A4010A" w:rsidRPr="0084450C" w:rsidRDefault="00A4010A" w:rsidP="00E965BD">
            <w:pPr>
              <w:pStyle w:val="TableText0"/>
            </w:pPr>
            <w:r w:rsidRPr="0084450C">
              <w:t>Male 40 (51%)</w:t>
            </w:r>
          </w:p>
          <w:p w:rsidR="00A4010A" w:rsidRPr="0084450C" w:rsidRDefault="00A4010A" w:rsidP="00E965BD">
            <w:pPr>
              <w:pStyle w:val="TableText0"/>
            </w:pPr>
            <w:r w:rsidRPr="0084450C">
              <w:lastRenderedPageBreak/>
              <w:t>Age at diagnosis, median (range): 37 (12-79) years</w:t>
            </w:r>
          </w:p>
          <w:p w:rsidR="00A4010A" w:rsidRPr="0084450C" w:rsidRDefault="00A4010A" w:rsidP="00E965BD">
            <w:pPr>
              <w:pStyle w:val="TableText0"/>
            </w:pPr>
            <w:r w:rsidRPr="0084450C">
              <w:t>History of AA/MDS: 24 (30%)</w:t>
            </w:r>
          </w:p>
          <w:p w:rsidR="00A4010A" w:rsidRPr="0084450C" w:rsidRDefault="00A4010A" w:rsidP="00E965BD">
            <w:pPr>
              <w:pStyle w:val="TableText0"/>
            </w:pPr>
            <w:r w:rsidRPr="0084450C">
              <w:t>History of thrombosis: 4 (5%)</w:t>
            </w:r>
          </w:p>
          <w:p w:rsidR="00A4010A" w:rsidRPr="0084450C" w:rsidRDefault="00A4010A" w:rsidP="00E965BD">
            <w:pPr>
              <w:pStyle w:val="TableText0"/>
            </w:pPr>
            <w:r w:rsidRPr="0084450C">
              <w:t>Haemoglobinuria: 50 (63%)</w:t>
            </w:r>
          </w:p>
          <w:p w:rsidR="00A4010A" w:rsidRPr="0084450C" w:rsidRDefault="00A4010A" w:rsidP="00E965BD">
            <w:pPr>
              <w:pStyle w:val="TableText0"/>
            </w:pPr>
            <w:r w:rsidRPr="0084450C">
              <w:t>Anaemia: 69/73 (95%)</w:t>
            </w:r>
          </w:p>
          <w:p w:rsidR="00A4010A" w:rsidRPr="0084450C" w:rsidRDefault="00A4010A" w:rsidP="00E965BD">
            <w:pPr>
              <w:pStyle w:val="TableText0"/>
            </w:pPr>
            <w:r w:rsidRPr="0084450C">
              <w:t>LDH, IU/L, median (range): 2872 (587-10,300) (normal value 430IU/L)</w:t>
            </w:r>
          </w:p>
          <w:p w:rsidR="00A4010A" w:rsidRPr="0084450C" w:rsidRDefault="00A4010A" w:rsidP="00E965BD">
            <w:pPr>
              <w:pStyle w:val="TableText0"/>
            </w:pPr>
          </w:p>
          <w:p w:rsidR="00A4010A" w:rsidRPr="0084450C" w:rsidRDefault="00A4010A" w:rsidP="00E965BD">
            <w:pPr>
              <w:pStyle w:val="TableText0"/>
            </w:pPr>
            <w:r w:rsidRPr="0084450C">
              <w:t>At start of eculizumab:</w:t>
            </w:r>
          </w:p>
          <w:p w:rsidR="00A4010A" w:rsidRPr="0084450C" w:rsidRDefault="00A4010A" w:rsidP="00E965BD">
            <w:pPr>
              <w:pStyle w:val="TableText0"/>
            </w:pPr>
            <w:r w:rsidRPr="0084450C">
              <w:t>Age, years, median (range): 46 (14-84)</w:t>
            </w:r>
          </w:p>
          <w:p w:rsidR="00A4010A" w:rsidRPr="0084450C" w:rsidRDefault="00A4010A" w:rsidP="00E965BD">
            <w:pPr>
              <w:pStyle w:val="TableText0"/>
            </w:pPr>
            <w:r w:rsidRPr="0084450C">
              <w:t>LDH, IU/L, median (range):2872 (587-10,300)</w:t>
            </w:r>
          </w:p>
          <w:p w:rsidR="00A4010A" w:rsidRPr="0084450C" w:rsidRDefault="00A4010A" w:rsidP="00E965BD">
            <w:pPr>
              <w:pStyle w:val="TableText0"/>
            </w:pPr>
            <w:r w:rsidRPr="0084450C">
              <w:t>PNH clone size, %, median (range):</w:t>
            </w:r>
          </w:p>
          <w:p w:rsidR="00A4010A" w:rsidRPr="0084450C" w:rsidRDefault="00A4010A" w:rsidP="00E965BD">
            <w:pPr>
              <w:pStyle w:val="TableText0"/>
            </w:pPr>
            <w:r w:rsidRPr="0084450C">
              <w:t>Type III RBC: 25.0 (2.4-79.6)</w:t>
            </w:r>
          </w:p>
          <w:p w:rsidR="00A4010A" w:rsidRPr="0084450C" w:rsidRDefault="00A4010A" w:rsidP="00E965BD">
            <w:pPr>
              <w:pStyle w:val="TableText0"/>
            </w:pPr>
            <w:r w:rsidRPr="0084450C">
              <w:t>Granulocyte: 96.4 (41.8-100)</w:t>
            </w:r>
          </w:p>
          <w:p w:rsidR="00A4010A" w:rsidRPr="0084450C" w:rsidRDefault="00A4010A" w:rsidP="00E965BD">
            <w:pPr>
              <w:pStyle w:val="TableText0"/>
            </w:pPr>
            <w:r w:rsidRPr="0084450C">
              <w:t>Receiving anticoagulation: 46 (58%)</w:t>
            </w:r>
          </w:p>
          <w:p w:rsidR="00A4010A" w:rsidRPr="0084450C" w:rsidRDefault="00A4010A" w:rsidP="00E965BD">
            <w:pPr>
              <w:pStyle w:val="TableText0"/>
            </w:pPr>
            <w:r w:rsidRPr="0084450C">
              <w:t>No transfusion support</w:t>
            </w:r>
            <w:r w:rsidRPr="0084450C">
              <w:rPr>
                <w:vertAlign w:val="superscript"/>
              </w:rPr>
              <w:t>g</w:t>
            </w:r>
            <w:r w:rsidRPr="0084450C">
              <w:t>: 4 (5%)</w:t>
            </w:r>
          </w:p>
          <w:p w:rsidR="00865A5F" w:rsidRDefault="00865A5F" w:rsidP="00E965BD">
            <w:pPr>
              <w:pStyle w:val="TableText0"/>
              <w:rPr>
                <w:b/>
              </w:rPr>
            </w:pPr>
          </w:p>
          <w:p w:rsidR="00A4010A" w:rsidRPr="0084450C" w:rsidRDefault="00A4010A" w:rsidP="00E965BD">
            <w:pPr>
              <w:pStyle w:val="TableText0"/>
            </w:pPr>
            <w:r w:rsidRPr="0084450C">
              <w:rPr>
                <w:b/>
              </w:rPr>
              <w:t>No information on controls</w:t>
            </w:r>
          </w:p>
        </w:tc>
        <w:tc>
          <w:tcPr>
            <w:tcW w:w="1880" w:type="dxa"/>
          </w:tcPr>
          <w:p w:rsidR="00A4010A" w:rsidRPr="0084450C" w:rsidRDefault="00A4010A" w:rsidP="00E965BD">
            <w:pPr>
              <w:pStyle w:val="TableText0"/>
            </w:pPr>
            <w:r w:rsidRPr="0084450C">
              <w:rPr>
                <w:u w:val="single"/>
              </w:rPr>
              <w:lastRenderedPageBreak/>
              <w:t>Inclusion</w:t>
            </w:r>
          </w:p>
          <w:p w:rsidR="00A4010A" w:rsidRPr="0084450C" w:rsidRDefault="00A4010A" w:rsidP="00E965BD">
            <w:pPr>
              <w:pStyle w:val="TableText0"/>
            </w:pPr>
            <w:r w:rsidRPr="0084450C">
              <w:t>Either:</w:t>
            </w:r>
          </w:p>
          <w:p w:rsidR="00A4010A" w:rsidRPr="0084450C" w:rsidRDefault="00A4010A" w:rsidP="00E965BD">
            <w:pPr>
              <w:pStyle w:val="TableText0"/>
            </w:pPr>
            <w:r w:rsidRPr="0084450C">
              <w:t>Transfusion dependent haemolysis (≥4 transfusions in 12 months), or</w:t>
            </w:r>
          </w:p>
          <w:p w:rsidR="00A4010A" w:rsidRPr="0084450C" w:rsidRDefault="00A4010A" w:rsidP="00E965BD">
            <w:pPr>
              <w:pStyle w:val="TableText0"/>
            </w:pPr>
            <w:r w:rsidRPr="0084450C">
              <w:t>A significant PNH-</w:t>
            </w:r>
            <w:r w:rsidRPr="0084450C">
              <w:lastRenderedPageBreak/>
              <w:t>related complication regardless of transfusion history, or</w:t>
            </w:r>
          </w:p>
          <w:p w:rsidR="00A4010A" w:rsidRPr="0084450C" w:rsidRDefault="00A4010A" w:rsidP="00E965BD">
            <w:pPr>
              <w:pStyle w:val="TableText0"/>
            </w:pPr>
            <w:r w:rsidRPr="0084450C">
              <w:t>Profound symptoms</w:t>
            </w:r>
          </w:p>
          <w:p w:rsidR="00A4010A" w:rsidRPr="0084450C" w:rsidRDefault="00A4010A" w:rsidP="00E965BD">
            <w:pPr>
              <w:pStyle w:val="TableText0"/>
            </w:pPr>
            <w:r w:rsidRPr="0084450C">
              <w:t>Vaccinated with tetravalent meningococcal vaccine</w:t>
            </w:r>
          </w:p>
        </w:tc>
        <w:tc>
          <w:tcPr>
            <w:tcW w:w="2126" w:type="dxa"/>
          </w:tcPr>
          <w:p w:rsidR="00A4010A" w:rsidRPr="0084450C" w:rsidRDefault="00A4010A" w:rsidP="00E965BD">
            <w:pPr>
              <w:pStyle w:val="TableText0"/>
            </w:pPr>
            <w:r w:rsidRPr="0084450C">
              <w:lastRenderedPageBreak/>
              <w:t>N</w:t>
            </w:r>
            <w:r w:rsidR="00652355" w:rsidRPr="00652355">
              <w:rPr>
                <w:spacing w:val="-20"/>
              </w:rPr>
              <w:t xml:space="preserve"> = </w:t>
            </w:r>
            <w:r w:rsidRPr="0084450C">
              <w:t xml:space="preserve">79 </w:t>
            </w:r>
          </w:p>
          <w:p w:rsidR="00A4010A" w:rsidRPr="0084450C" w:rsidRDefault="00A4010A" w:rsidP="00E965BD">
            <w:pPr>
              <w:pStyle w:val="TableText0"/>
            </w:pPr>
            <w:r w:rsidRPr="0084450C">
              <w:t xml:space="preserve">Eculizumab </w:t>
            </w:r>
          </w:p>
          <w:p w:rsidR="00A4010A" w:rsidRPr="0084450C" w:rsidRDefault="00A4010A" w:rsidP="00E965BD">
            <w:pPr>
              <w:pStyle w:val="TableText0"/>
            </w:pPr>
            <w:r w:rsidRPr="0084450C">
              <w:t xml:space="preserve">600mg IV infusion each week for 4 doses, followed by a 900mg infusion after a further week. Then 900mg dose </w:t>
            </w:r>
            <w:r w:rsidRPr="0084450C">
              <w:lastRenderedPageBreak/>
              <w:t>every 14 (±2) days</w:t>
            </w:r>
          </w:p>
          <w:p w:rsidR="00A4010A" w:rsidRPr="0084450C" w:rsidRDefault="00A4010A" w:rsidP="00E965BD">
            <w:pPr>
              <w:pStyle w:val="TableText0"/>
            </w:pPr>
            <w:r w:rsidRPr="0084450C">
              <w:t>After the initial 2-5 doses, therapy was administered at the patient’s home</w:t>
            </w:r>
          </w:p>
          <w:p w:rsidR="00A4010A" w:rsidRPr="0084450C" w:rsidRDefault="00A4010A" w:rsidP="00E965BD">
            <w:pPr>
              <w:pStyle w:val="TableText0"/>
            </w:pPr>
            <w:r w:rsidRPr="0084450C">
              <w:t>Control</w:t>
            </w:r>
          </w:p>
          <w:p w:rsidR="00A4010A" w:rsidRPr="0084450C" w:rsidRDefault="00A4010A" w:rsidP="00E965BD">
            <w:pPr>
              <w:pStyle w:val="TableText0"/>
            </w:pPr>
            <w:r w:rsidRPr="0084450C">
              <w:t>N</w:t>
            </w:r>
            <w:r w:rsidR="00652355" w:rsidRPr="00652355">
              <w:rPr>
                <w:spacing w:val="-20"/>
              </w:rPr>
              <w:t xml:space="preserve"> = </w:t>
            </w:r>
            <w:r w:rsidRPr="0084450C">
              <w:t xml:space="preserve"> 30 patients who were under care prior to eculizumab availability</w:t>
            </w:r>
          </w:p>
          <w:p w:rsidR="00A4010A" w:rsidRPr="0084450C" w:rsidRDefault="00A4010A" w:rsidP="00E965BD">
            <w:pPr>
              <w:pStyle w:val="TableText0"/>
            </w:pPr>
          </w:p>
          <w:p w:rsidR="00A4010A" w:rsidRPr="0084450C" w:rsidRDefault="00A4010A" w:rsidP="00E965BD">
            <w:pPr>
              <w:pStyle w:val="TableText0"/>
            </w:pPr>
            <w:r w:rsidRPr="0084450C">
              <w:rPr>
                <w:b/>
              </w:rPr>
              <w:t>No information on controls.</w:t>
            </w:r>
            <w:r w:rsidRPr="0084450C">
              <w:t xml:space="preserve"> </w:t>
            </w:r>
          </w:p>
          <w:p w:rsidR="00A4010A" w:rsidRPr="0084450C" w:rsidRDefault="00A4010A" w:rsidP="00E965BD">
            <w:pPr>
              <w:pStyle w:val="TableText0"/>
            </w:pPr>
          </w:p>
          <w:p w:rsidR="00A4010A" w:rsidRPr="0084450C" w:rsidRDefault="00A4010A" w:rsidP="00E965BD">
            <w:pPr>
              <w:pStyle w:val="TableText0"/>
              <w:rPr>
                <w:u w:val="single"/>
              </w:rPr>
            </w:pPr>
            <w:r w:rsidRPr="0084450C">
              <w:t>(N</w:t>
            </w:r>
            <w:r w:rsidR="00652355" w:rsidRPr="00652355">
              <w:rPr>
                <w:spacing w:val="-20"/>
              </w:rPr>
              <w:t xml:space="preserve"> = </w:t>
            </w:r>
            <w:r w:rsidRPr="0084450C">
              <w:t xml:space="preserve"> 79 age- and sex-matched normal controls)</w:t>
            </w:r>
          </w:p>
        </w:tc>
        <w:tc>
          <w:tcPr>
            <w:tcW w:w="1701" w:type="dxa"/>
            <w:tcBorders>
              <w:right w:val="single" w:sz="4" w:space="0" w:color="auto"/>
            </w:tcBorders>
          </w:tcPr>
          <w:p w:rsidR="00A4010A" w:rsidRPr="0084450C" w:rsidRDefault="00A4010A" w:rsidP="00E965BD">
            <w:pPr>
              <w:pStyle w:val="TableText0"/>
            </w:pPr>
            <w:r w:rsidRPr="0084450C">
              <w:lastRenderedPageBreak/>
              <w:t xml:space="preserve">Survival </w:t>
            </w:r>
          </w:p>
          <w:p w:rsidR="00A4010A" w:rsidRPr="0084450C" w:rsidRDefault="00A4010A" w:rsidP="00E965BD">
            <w:pPr>
              <w:pStyle w:val="TableText0"/>
            </w:pPr>
            <w:r w:rsidRPr="0084450C">
              <w:t>Thrombotic events</w:t>
            </w:r>
          </w:p>
          <w:p w:rsidR="00A4010A" w:rsidRPr="0084450C" w:rsidRDefault="00A4010A" w:rsidP="00E965BD">
            <w:pPr>
              <w:pStyle w:val="TableText0"/>
            </w:pPr>
            <w:r w:rsidRPr="0084450C">
              <w:t>Transfusion independence</w:t>
            </w:r>
          </w:p>
          <w:p w:rsidR="00A4010A" w:rsidRPr="0084450C" w:rsidRDefault="00A4010A" w:rsidP="00E965BD">
            <w:pPr>
              <w:pStyle w:val="TableText0"/>
            </w:pPr>
            <w:r w:rsidRPr="0084450C">
              <w:t>Transfusion requirements</w:t>
            </w:r>
          </w:p>
          <w:p w:rsidR="00A4010A" w:rsidRPr="00B7451B" w:rsidRDefault="00A4010A" w:rsidP="00E965BD">
            <w:pPr>
              <w:pStyle w:val="TableText0"/>
            </w:pPr>
          </w:p>
        </w:tc>
        <w:tc>
          <w:tcPr>
            <w:tcW w:w="1072" w:type="dxa"/>
            <w:tcBorders>
              <w:left w:val="single" w:sz="4" w:space="0" w:color="auto"/>
            </w:tcBorders>
          </w:tcPr>
          <w:p w:rsidR="00A4010A" w:rsidRPr="0084450C" w:rsidRDefault="00A4010A" w:rsidP="00E965BD">
            <w:pPr>
              <w:pStyle w:val="TableText0"/>
            </w:pPr>
            <w:r w:rsidRPr="0084450C">
              <w:t>Mean duration of eculizumab treatment 39 months, range 1-98 months</w:t>
            </w:r>
          </w:p>
        </w:tc>
        <w:tc>
          <w:tcPr>
            <w:tcW w:w="1433" w:type="dxa"/>
          </w:tcPr>
          <w:p w:rsidR="00A4010A" w:rsidRDefault="00A4010A" w:rsidP="00E965BD">
            <w:pPr>
              <w:pStyle w:val="TableText0"/>
            </w:pPr>
          </w:p>
        </w:tc>
      </w:tr>
      <w:tr w:rsidR="00A4010A" w:rsidRPr="00F1301E" w:rsidTr="008D2975">
        <w:tc>
          <w:tcPr>
            <w:tcW w:w="1290" w:type="dxa"/>
          </w:tcPr>
          <w:p w:rsidR="00A4010A" w:rsidRPr="0084450C" w:rsidRDefault="00A130D0" w:rsidP="00E965BD">
            <w:pPr>
              <w:pStyle w:val="TableText0"/>
            </w:pPr>
            <w:r>
              <w:rPr>
                <w:noProof/>
              </w:rPr>
              <w:lastRenderedPageBreak/>
              <w:t>(</w:t>
            </w:r>
            <w:r w:rsidR="00184B6F">
              <w:rPr>
                <w:noProof/>
              </w:rPr>
              <w:t>Socie et al. 2012</w:t>
            </w:r>
            <w:r>
              <w:rPr>
                <w:noProof/>
              </w:rPr>
              <w:t>)</w:t>
            </w:r>
          </w:p>
          <w:p w:rsidR="00A4010A" w:rsidRPr="0084450C" w:rsidRDefault="00A4010A" w:rsidP="00E965BD">
            <w:pPr>
              <w:pStyle w:val="TableText0"/>
            </w:pPr>
            <w:r w:rsidRPr="0084450C">
              <w:t xml:space="preserve">Data from international </w:t>
            </w:r>
            <w:r w:rsidRPr="0084450C">
              <w:lastRenderedPageBreak/>
              <w:t>PNH registry</w:t>
            </w:r>
          </w:p>
        </w:tc>
        <w:tc>
          <w:tcPr>
            <w:tcW w:w="1393" w:type="dxa"/>
          </w:tcPr>
          <w:p w:rsidR="00A4010A" w:rsidRPr="0084450C" w:rsidRDefault="00A4010A" w:rsidP="00E965BD">
            <w:pPr>
              <w:pStyle w:val="TableText0"/>
            </w:pPr>
            <w:r w:rsidRPr="0084450C">
              <w:lastRenderedPageBreak/>
              <w:t>Abstract only</w:t>
            </w:r>
          </w:p>
        </w:tc>
        <w:tc>
          <w:tcPr>
            <w:tcW w:w="3365" w:type="dxa"/>
          </w:tcPr>
          <w:p w:rsidR="00A4010A" w:rsidRPr="0084450C" w:rsidRDefault="00A4010A" w:rsidP="00E965BD">
            <w:pPr>
              <w:pStyle w:val="TableText0"/>
            </w:pPr>
            <w:r w:rsidRPr="0084450C">
              <w:t>N</w:t>
            </w:r>
            <w:r w:rsidR="00652355" w:rsidRPr="00652355">
              <w:rPr>
                <w:spacing w:val="-20"/>
              </w:rPr>
              <w:t xml:space="preserve"> = </w:t>
            </w:r>
            <w:r w:rsidRPr="0084450C">
              <w:t>1047</w:t>
            </w:r>
          </w:p>
          <w:p w:rsidR="00A4010A" w:rsidRPr="0084450C" w:rsidRDefault="00A4010A" w:rsidP="00E965BD">
            <w:pPr>
              <w:pStyle w:val="TableText0"/>
            </w:pPr>
            <w:r w:rsidRPr="0084450C">
              <w:t>Mean age 45 years</w:t>
            </w:r>
          </w:p>
          <w:p w:rsidR="00A4010A" w:rsidRPr="0084450C" w:rsidRDefault="00A4010A" w:rsidP="00E965BD">
            <w:pPr>
              <w:pStyle w:val="TableText0"/>
            </w:pPr>
            <w:r w:rsidRPr="0084450C">
              <w:t>Female 51.3%</w:t>
            </w:r>
          </w:p>
          <w:p w:rsidR="00A4010A" w:rsidRPr="0084450C" w:rsidRDefault="00A4010A" w:rsidP="00E965BD">
            <w:pPr>
              <w:pStyle w:val="TableText0"/>
            </w:pPr>
            <w:r w:rsidRPr="0084450C">
              <w:t>Caucasian 82.9%</w:t>
            </w:r>
          </w:p>
          <w:p w:rsidR="00A4010A" w:rsidRPr="0084450C" w:rsidRDefault="00A4010A" w:rsidP="00E965BD">
            <w:pPr>
              <w:pStyle w:val="TableText0"/>
            </w:pPr>
            <w:r w:rsidRPr="0084450C">
              <w:lastRenderedPageBreak/>
              <w:t>Receiving anti-coagulants 28%</w:t>
            </w:r>
          </w:p>
          <w:p w:rsidR="00A4010A" w:rsidRPr="0084450C" w:rsidRDefault="00A4010A" w:rsidP="00E965BD">
            <w:pPr>
              <w:pStyle w:val="TableText0"/>
            </w:pPr>
            <w:r w:rsidRPr="0084450C">
              <w:t>Eculizumab 51%</w:t>
            </w:r>
          </w:p>
        </w:tc>
        <w:tc>
          <w:tcPr>
            <w:tcW w:w="1880" w:type="dxa"/>
          </w:tcPr>
          <w:p w:rsidR="00A4010A" w:rsidRPr="0084450C" w:rsidRDefault="00A4010A" w:rsidP="00E965BD">
            <w:pPr>
              <w:pStyle w:val="TableText0"/>
            </w:pPr>
            <w:r w:rsidRPr="0084450C">
              <w:rPr>
                <w:u w:val="single"/>
              </w:rPr>
              <w:lastRenderedPageBreak/>
              <w:t>Exclusion</w:t>
            </w:r>
          </w:p>
          <w:p w:rsidR="00A4010A" w:rsidRPr="0084450C" w:rsidRDefault="00A4010A" w:rsidP="00E965BD">
            <w:pPr>
              <w:pStyle w:val="TableText0"/>
            </w:pPr>
            <w:r w:rsidRPr="0084450C">
              <w:t xml:space="preserve">Missing key demographic data or dates of eculizumab </w:t>
            </w:r>
            <w:r w:rsidRPr="0084450C">
              <w:lastRenderedPageBreak/>
              <w:t>use</w:t>
            </w:r>
          </w:p>
          <w:p w:rsidR="00A4010A" w:rsidRPr="0084450C" w:rsidRDefault="00A4010A" w:rsidP="00E965BD">
            <w:pPr>
              <w:pStyle w:val="TableText0"/>
            </w:pPr>
            <w:r w:rsidRPr="0084450C">
              <w:t>No follow-up information</w:t>
            </w:r>
          </w:p>
        </w:tc>
        <w:tc>
          <w:tcPr>
            <w:tcW w:w="2126" w:type="dxa"/>
          </w:tcPr>
          <w:p w:rsidR="00A4010A" w:rsidRPr="0084450C" w:rsidRDefault="00A4010A" w:rsidP="00E965BD">
            <w:pPr>
              <w:pStyle w:val="TableText0"/>
            </w:pPr>
            <w:r w:rsidRPr="0084450C">
              <w:rPr>
                <w:u w:val="single"/>
              </w:rPr>
              <w:lastRenderedPageBreak/>
              <w:t>Intervention</w:t>
            </w:r>
          </w:p>
          <w:p w:rsidR="00A4010A" w:rsidRPr="0084450C" w:rsidRDefault="00A4010A" w:rsidP="00E965BD">
            <w:pPr>
              <w:pStyle w:val="TableText0"/>
            </w:pPr>
            <w:r w:rsidRPr="0084450C">
              <w:t xml:space="preserve">Eculizumab </w:t>
            </w:r>
          </w:p>
          <w:p w:rsidR="00A4010A" w:rsidRPr="0084450C" w:rsidRDefault="00A4010A" w:rsidP="00E965BD">
            <w:pPr>
              <w:pStyle w:val="TableText0"/>
            </w:pPr>
          </w:p>
          <w:p w:rsidR="00A4010A" w:rsidRPr="0084450C" w:rsidRDefault="00A4010A" w:rsidP="00E965BD">
            <w:pPr>
              <w:pStyle w:val="TableText0"/>
              <w:rPr>
                <w:u w:val="single"/>
              </w:rPr>
            </w:pPr>
            <w:r w:rsidRPr="0084450C">
              <w:rPr>
                <w:u w:val="single"/>
              </w:rPr>
              <w:t>Control</w:t>
            </w:r>
          </w:p>
          <w:p w:rsidR="00A4010A" w:rsidRPr="0084450C" w:rsidRDefault="00A4010A" w:rsidP="00E965BD">
            <w:pPr>
              <w:pStyle w:val="TableText0"/>
            </w:pPr>
            <w:r w:rsidRPr="0084450C">
              <w:lastRenderedPageBreak/>
              <w:t xml:space="preserve">No eculizumab </w:t>
            </w:r>
          </w:p>
        </w:tc>
        <w:tc>
          <w:tcPr>
            <w:tcW w:w="1701" w:type="dxa"/>
            <w:tcBorders>
              <w:right w:val="single" w:sz="4" w:space="0" w:color="auto"/>
            </w:tcBorders>
          </w:tcPr>
          <w:p w:rsidR="00A4010A" w:rsidRPr="0084450C" w:rsidRDefault="00A4010A" w:rsidP="00E965BD">
            <w:pPr>
              <w:pStyle w:val="TableText0"/>
            </w:pPr>
            <w:r w:rsidRPr="0084450C">
              <w:lastRenderedPageBreak/>
              <w:t>Cumulative incidence of mortality at 1 and 2 years</w:t>
            </w:r>
          </w:p>
        </w:tc>
        <w:tc>
          <w:tcPr>
            <w:tcW w:w="1072" w:type="dxa"/>
            <w:tcBorders>
              <w:left w:val="single" w:sz="4" w:space="0" w:color="auto"/>
            </w:tcBorders>
          </w:tcPr>
          <w:p w:rsidR="00A4010A" w:rsidRPr="0084450C" w:rsidRDefault="00A4010A" w:rsidP="00E965BD">
            <w:pPr>
              <w:pStyle w:val="TableText0"/>
            </w:pPr>
            <w:r w:rsidRPr="0084450C">
              <w:t>Mean ± SD follow-up 22.5 ± 18.4 months</w:t>
            </w:r>
          </w:p>
        </w:tc>
        <w:tc>
          <w:tcPr>
            <w:tcW w:w="1433" w:type="dxa"/>
          </w:tcPr>
          <w:p w:rsidR="00A4010A" w:rsidRDefault="00A4010A" w:rsidP="00E965BD">
            <w:pPr>
              <w:pStyle w:val="TableText0"/>
            </w:pPr>
          </w:p>
        </w:tc>
      </w:tr>
    </w:tbl>
    <w:p w:rsidR="00382709" w:rsidRDefault="00382709" w:rsidP="00382709">
      <w:pPr>
        <w:pStyle w:val="TableNote"/>
      </w:pPr>
      <w:r>
        <w:lastRenderedPageBreak/>
        <w:t xml:space="preserve">AA </w:t>
      </w:r>
      <w:r w:rsidR="00652355" w:rsidRPr="00652355">
        <w:rPr>
          <w:spacing w:val="-20"/>
        </w:rPr>
        <w:t xml:space="preserve"> = </w:t>
      </w:r>
      <w:r>
        <w:t xml:space="preserve"> aplastic anaemia; AE </w:t>
      </w:r>
      <w:r w:rsidR="00652355" w:rsidRPr="00652355">
        <w:rPr>
          <w:spacing w:val="-20"/>
        </w:rPr>
        <w:t xml:space="preserve"> = </w:t>
      </w:r>
      <w:r>
        <w:t xml:space="preserve"> adverse event; CKD </w:t>
      </w:r>
      <w:r w:rsidR="00652355" w:rsidRPr="00652355">
        <w:rPr>
          <w:spacing w:val="-20"/>
        </w:rPr>
        <w:t xml:space="preserve"> = </w:t>
      </w:r>
      <w:r>
        <w:t xml:space="preserve"> chronic kidney disease; ECG </w:t>
      </w:r>
      <w:r w:rsidR="00652355" w:rsidRPr="00652355">
        <w:rPr>
          <w:spacing w:val="-20"/>
        </w:rPr>
        <w:t xml:space="preserve"> = </w:t>
      </w:r>
      <w:r>
        <w:t xml:space="preserve"> electrocardiogram; EORTC QLQ-C30 </w:t>
      </w:r>
      <w:r w:rsidR="00652355" w:rsidRPr="00652355">
        <w:rPr>
          <w:spacing w:val="-20"/>
        </w:rPr>
        <w:t xml:space="preserve"> = </w:t>
      </w:r>
      <w:r>
        <w:t xml:space="preserve"> European Organisation for Treatment and Research of Cancer Quality of Life Questionnaire instrument; FACIT-F </w:t>
      </w:r>
      <w:r w:rsidR="00652355" w:rsidRPr="00652355">
        <w:rPr>
          <w:spacing w:val="-20"/>
        </w:rPr>
        <w:t xml:space="preserve"> = </w:t>
      </w:r>
      <w:r>
        <w:t xml:space="preserve"> Functional Assessment of Chronic Illness Therapy-Fatigue; GFR </w:t>
      </w:r>
      <w:r w:rsidR="00652355" w:rsidRPr="00652355">
        <w:rPr>
          <w:spacing w:val="-20"/>
        </w:rPr>
        <w:t xml:space="preserve"> = </w:t>
      </w:r>
      <w:r>
        <w:t xml:space="preserve"> glomerular filtration rate; GPI </w:t>
      </w:r>
      <w:r w:rsidR="00652355" w:rsidRPr="00652355">
        <w:rPr>
          <w:spacing w:val="-20"/>
        </w:rPr>
        <w:t xml:space="preserve"> = </w:t>
      </w:r>
      <w:r>
        <w:t xml:space="preserve"> glycosylphosphatidylinositol; IU/L </w:t>
      </w:r>
      <w:r w:rsidR="00652355" w:rsidRPr="00652355">
        <w:rPr>
          <w:spacing w:val="-20"/>
        </w:rPr>
        <w:t xml:space="preserve"> = </w:t>
      </w:r>
      <w:r>
        <w:t xml:space="preserve"> international units per litre; LDH </w:t>
      </w:r>
      <w:r w:rsidR="00652355" w:rsidRPr="00652355">
        <w:rPr>
          <w:spacing w:val="-20"/>
        </w:rPr>
        <w:t xml:space="preserve"> = </w:t>
      </w:r>
      <w:r>
        <w:t xml:space="preserve"> lactate dehydrogenase; MAVE </w:t>
      </w:r>
      <w:r w:rsidR="00652355" w:rsidRPr="00652355">
        <w:rPr>
          <w:spacing w:val="-20"/>
        </w:rPr>
        <w:t xml:space="preserve"> = </w:t>
      </w:r>
      <w:r>
        <w:t xml:space="preserve"> major adverse vascular event; MDS </w:t>
      </w:r>
      <w:r w:rsidR="00652355" w:rsidRPr="00652355">
        <w:rPr>
          <w:spacing w:val="-20"/>
        </w:rPr>
        <w:t xml:space="preserve"> = </w:t>
      </w:r>
      <w:r>
        <w:t xml:space="preserve"> myelodysplasia; N SAID </w:t>
      </w:r>
      <w:r w:rsidR="00652355" w:rsidRPr="00652355">
        <w:rPr>
          <w:spacing w:val="-20"/>
        </w:rPr>
        <w:t xml:space="preserve"> = </w:t>
      </w:r>
      <w:r>
        <w:t xml:space="preserve"> non-steroidal anti-inflammatory drug; PNH </w:t>
      </w:r>
      <w:r w:rsidR="00652355" w:rsidRPr="00652355">
        <w:rPr>
          <w:spacing w:val="-20"/>
        </w:rPr>
        <w:t xml:space="preserve"> = </w:t>
      </w:r>
      <w:r>
        <w:t xml:space="preserve"> paroxysmal nocturnal </w:t>
      </w:r>
      <w:r w:rsidR="00E66055">
        <w:t>haemoglobinuria</w:t>
      </w:r>
      <w:r>
        <w:t xml:space="preserve">; QoL </w:t>
      </w:r>
      <w:r w:rsidR="00652355" w:rsidRPr="00652355">
        <w:rPr>
          <w:spacing w:val="-20"/>
        </w:rPr>
        <w:t xml:space="preserve"> = </w:t>
      </w:r>
      <w:r>
        <w:t xml:space="preserve"> quality of life; RBC </w:t>
      </w:r>
      <w:r w:rsidR="00652355" w:rsidRPr="00652355">
        <w:rPr>
          <w:spacing w:val="-20"/>
        </w:rPr>
        <w:t xml:space="preserve"> = </w:t>
      </w:r>
      <w:r>
        <w:t xml:space="preserve"> red blood cell; SD </w:t>
      </w:r>
      <w:r w:rsidR="00652355" w:rsidRPr="00652355">
        <w:rPr>
          <w:spacing w:val="-20"/>
        </w:rPr>
        <w:t xml:space="preserve"> = </w:t>
      </w:r>
      <w:r>
        <w:t xml:space="preserve"> standard deviation; SHEPHERD </w:t>
      </w:r>
      <w:r w:rsidR="00652355" w:rsidRPr="00652355">
        <w:rPr>
          <w:spacing w:val="-20"/>
        </w:rPr>
        <w:t xml:space="preserve"> = </w:t>
      </w:r>
      <w:r>
        <w:t xml:space="preserve"> Safety and Efficacy of the Terminal Complement Inhibitor Eculizumab in Patients with </w:t>
      </w:r>
      <w:r w:rsidR="00E66055">
        <w:t>Paroxysmal</w:t>
      </w:r>
      <w:r>
        <w:t xml:space="preserve"> Nocturnal </w:t>
      </w:r>
      <w:r w:rsidR="00E66055">
        <w:t>Haemoglobinuria</w:t>
      </w:r>
      <w:r>
        <w:t xml:space="preserve">; TE </w:t>
      </w:r>
      <w:r w:rsidR="00652355" w:rsidRPr="00652355">
        <w:rPr>
          <w:spacing w:val="-20"/>
        </w:rPr>
        <w:t xml:space="preserve"> = </w:t>
      </w:r>
      <w:r>
        <w:t xml:space="preserve"> thrombotic event; TRIUMPH </w:t>
      </w:r>
      <w:r w:rsidR="00652355" w:rsidRPr="00652355">
        <w:rPr>
          <w:spacing w:val="-20"/>
        </w:rPr>
        <w:t xml:space="preserve"> = </w:t>
      </w:r>
      <w:r>
        <w:t xml:space="preserve"> Transfusion Reduction Efficacy and Safety Clinical Investigation, a Randomised, </w:t>
      </w:r>
      <w:r w:rsidR="00E66055">
        <w:t>Multicentre</w:t>
      </w:r>
      <w:r>
        <w:t xml:space="preserve">, Double-Blind, Placebo-Controlled, Using Eculizumab in </w:t>
      </w:r>
      <w:r w:rsidR="00E66055">
        <w:t>Paroxysmal</w:t>
      </w:r>
      <w:r>
        <w:t xml:space="preserve"> Nocturnal </w:t>
      </w:r>
      <w:r w:rsidR="00E66055">
        <w:t>Haemoglobinuria</w:t>
      </w:r>
      <w:r>
        <w:t xml:space="preserve">; U/L </w:t>
      </w:r>
      <w:r w:rsidR="00652355" w:rsidRPr="00652355">
        <w:rPr>
          <w:spacing w:val="-20"/>
        </w:rPr>
        <w:t xml:space="preserve"> = </w:t>
      </w:r>
      <w:r>
        <w:t xml:space="preserve"> units per litre</w:t>
      </w:r>
    </w:p>
    <w:p w:rsidR="00992456" w:rsidRDefault="00992456" w:rsidP="00260845"/>
    <w:p w:rsidR="00260845" w:rsidRPr="005A761E" w:rsidRDefault="00260845" w:rsidP="00CF4929">
      <w:pPr>
        <w:pStyle w:val="Caption"/>
        <w:keepNext/>
        <w:tabs>
          <w:tab w:val="clear" w:pos="851"/>
          <w:tab w:val="left" w:pos="1276"/>
        </w:tabs>
        <w:ind w:left="1276" w:hanging="1276"/>
      </w:pPr>
      <w:bookmarkStart w:id="1152" w:name="_Ref402860296"/>
      <w:bookmarkStart w:id="1153" w:name="_Toc404350309"/>
      <w:bookmarkStart w:id="1154" w:name="_Toc404976361"/>
      <w:bookmarkStart w:id="1155" w:name="_Toc411510532"/>
      <w:bookmarkStart w:id="1156" w:name="_Toc415141962"/>
      <w:r>
        <w:lastRenderedPageBreak/>
        <w:t xml:space="preserve">Table </w:t>
      </w:r>
      <w:r w:rsidR="00A72B26">
        <w:rPr>
          <w:noProof/>
        </w:rPr>
        <w:t>165</w:t>
      </w:r>
      <w:bookmarkEnd w:id="1152"/>
      <w:r>
        <w:tab/>
      </w:r>
      <w:r w:rsidR="0096216D">
        <w:tab/>
      </w:r>
      <w:r w:rsidRPr="005A761E">
        <w:t>Demographic and baseline characteris</w:t>
      </w:r>
      <w:r w:rsidR="00792257">
        <w:t>ti</w:t>
      </w:r>
      <w:r w:rsidRPr="005A761E">
        <w:t>cs for patients in the TRIUMPH trial</w:t>
      </w:r>
      <w:bookmarkEnd w:id="1153"/>
      <w:bookmarkEnd w:id="1154"/>
      <w:bookmarkEnd w:id="1155"/>
      <w:bookmarkEnd w:id="1156"/>
    </w:p>
    <w:tbl>
      <w:tblPr>
        <w:tblStyle w:val="TableGrid"/>
        <w:tblW w:w="5000" w:type="pct"/>
        <w:tblLook w:val="04A0" w:firstRow="1" w:lastRow="0" w:firstColumn="1" w:lastColumn="0" w:noHBand="0" w:noVBand="1"/>
        <w:tblCaption w:val="Table 128  Demographic and baseline characteristics for patients in the TRIUMPH trial"/>
      </w:tblPr>
      <w:tblGrid>
        <w:gridCol w:w="7663"/>
        <w:gridCol w:w="3257"/>
        <w:gridCol w:w="3254"/>
      </w:tblGrid>
      <w:tr w:rsidR="00260845" w:rsidRPr="00E3505A" w:rsidTr="00CE0D5D">
        <w:trPr>
          <w:tblHeader/>
        </w:trPr>
        <w:tc>
          <w:tcPr>
            <w:tcW w:w="2703" w:type="pct"/>
          </w:tcPr>
          <w:p w:rsidR="00260845" w:rsidRPr="00E3505A" w:rsidRDefault="00260845" w:rsidP="00E965BD">
            <w:pPr>
              <w:pStyle w:val="TableHeading"/>
            </w:pPr>
          </w:p>
        </w:tc>
        <w:tc>
          <w:tcPr>
            <w:tcW w:w="1149" w:type="pct"/>
          </w:tcPr>
          <w:p w:rsidR="00260845" w:rsidRPr="0084450C" w:rsidRDefault="00260845" w:rsidP="0084450C">
            <w:pPr>
              <w:pStyle w:val="TableHeading"/>
            </w:pPr>
            <w:r w:rsidRPr="0084450C">
              <w:t>Eculizumab (n</w:t>
            </w:r>
            <w:r w:rsidR="00652355" w:rsidRPr="00652355">
              <w:rPr>
                <w:spacing w:val="-20"/>
              </w:rPr>
              <w:t xml:space="preserve"> = </w:t>
            </w:r>
            <w:r w:rsidRPr="0084450C">
              <w:t>43)</w:t>
            </w:r>
          </w:p>
        </w:tc>
        <w:tc>
          <w:tcPr>
            <w:tcW w:w="1148" w:type="pct"/>
          </w:tcPr>
          <w:p w:rsidR="00260845" w:rsidRPr="0084450C" w:rsidRDefault="00260845" w:rsidP="0084450C">
            <w:pPr>
              <w:pStyle w:val="TableHeading"/>
            </w:pPr>
            <w:r w:rsidRPr="0084450C">
              <w:t>Placebo (n</w:t>
            </w:r>
            <w:r w:rsidR="00652355" w:rsidRPr="00652355">
              <w:rPr>
                <w:spacing w:val="-20"/>
              </w:rPr>
              <w:t xml:space="preserve"> = </w:t>
            </w:r>
            <w:r w:rsidRPr="0084450C">
              <w:t>44)</w:t>
            </w:r>
          </w:p>
        </w:tc>
      </w:tr>
      <w:tr w:rsidR="00260845" w:rsidRPr="00E3505A" w:rsidTr="00F30153">
        <w:tc>
          <w:tcPr>
            <w:tcW w:w="2703" w:type="pct"/>
          </w:tcPr>
          <w:p w:rsidR="00260845" w:rsidRPr="0084450C" w:rsidRDefault="00260845" w:rsidP="00E965BD">
            <w:pPr>
              <w:pStyle w:val="TableText0"/>
            </w:pPr>
            <w:r w:rsidRPr="0084450C">
              <w:t>Gender, n (%)</w:t>
            </w:r>
          </w:p>
          <w:p w:rsidR="00260845" w:rsidRPr="0084450C" w:rsidRDefault="00260845" w:rsidP="00E965BD">
            <w:pPr>
              <w:pStyle w:val="TableText0"/>
            </w:pPr>
            <w:r w:rsidRPr="0084450C">
              <w:t>Male</w:t>
            </w:r>
          </w:p>
          <w:p w:rsidR="00260845" w:rsidRPr="0084450C" w:rsidRDefault="00260845" w:rsidP="00E965BD">
            <w:pPr>
              <w:pStyle w:val="TableText0"/>
            </w:pPr>
            <w:r w:rsidRPr="0084450C">
              <w:t>Female</w:t>
            </w:r>
          </w:p>
        </w:tc>
        <w:tc>
          <w:tcPr>
            <w:tcW w:w="1149" w:type="pct"/>
          </w:tcPr>
          <w:p w:rsidR="00260845" w:rsidRPr="0084450C" w:rsidRDefault="00260845" w:rsidP="00E965BD">
            <w:pPr>
              <w:pStyle w:val="TableText0"/>
            </w:pPr>
          </w:p>
          <w:p w:rsidR="00260845" w:rsidRPr="0084450C" w:rsidRDefault="00260845" w:rsidP="00E965BD">
            <w:pPr>
              <w:pStyle w:val="TableText0"/>
            </w:pPr>
            <w:r w:rsidRPr="0084450C">
              <w:t>20 (46.5)</w:t>
            </w:r>
          </w:p>
          <w:p w:rsidR="00260845" w:rsidRPr="0084450C" w:rsidRDefault="00260845" w:rsidP="00E965BD">
            <w:pPr>
              <w:pStyle w:val="TableText0"/>
            </w:pPr>
            <w:r w:rsidRPr="0084450C">
              <w:t>23 (53.5)</w:t>
            </w:r>
          </w:p>
        </w:tc>
        <w:tc>
          <w:tcPr>
            <w:tcW w:w="1148" w:type="pct"/>
          </w:tcPr>
          <w:p w:rsidR="00260845" w:rsidRPr="0084450C" w:rsidRDefault="00260845" w:rsidP="00E965BD">
            <w:pPr>
              <w:pStyle w:val="TableText0"/>
            </w:pPr>
          </w:p>
          <w:p w:rsidR="00260845" w:rsidRPr="0084450C" w:rsidRDefault="00260845" w:rsidP="00E965BD">
            <w:pPr>
              <w:pStyle w:val="TableText0"/>
            </w:pPr>
            <w:r w:rsidRPr="0084450C">
              <w:t>15 (34.1)</w:t>
            </w:r>
          </w:p>
          <w:p w:rsidR="00260845" w:rsidRPr="0084450C" w:rsidRDefault="00260845" w:rsidP="00E965BD">
            <w:pPr>
              <w:pStyle w:val="TableText0"/>
            </w:pPr>
            <w:r w:rsidRPr="0084450C">
              <w:t>29 (65.9)</w:t>
            </w:r>
          </w:p>
        </w:tc>
      </w:tr>
      <w:tr w:rsidR="00260845" w:rsidRPr="00E3505A" w:rsidTr="00F30153">
        <w:tc>
          <w:tcPr>
            <w:tcW w:w="2703" w:type="pct"/>
          </w:tcPr>
          <w:p w:rsidR="00260845" w:rsidRPr="0084450C" w:rsidRDefault="00260845" w:rsidP="00E965BD">
            <w:pPr>
              <w:pStyle w:val="TableText0"/>
            </w:pPr>
            <w:r w:rsidRPr="0084450C">
              <w:t>Age (years), median (range)</w:t>
            </w:r>
          </w:p>
        </w:tc>
        <w:tc>
          <w:tcPr>
            <w:tcW w:w="1149" w:type="pct"/>
          </w:tcPr>
          <w:p w:rsidR="00260845" w:rsidRPr="0084450C" w:rsidRDefault="00260845" w:rsidP="00E965BD">
            <w:pPr>
              <w:pStyle w:val="TableText0"/>
            </w:pPr>
            <w:r w:rsidRPr="0084450C">
              <w:t>41 (20-85)</w:t>
            </w:r>
          </w:p>
        </w:tc>
        <w:tc>
          <w:tcPr>
            <w:tcW w:w="1148" w:type="pct"/>
          </w:tcPr>
          <w:p w:rsidR="00260845" w:rsidRPr="0084450C" w:rsidRDefault="00260845" w:rsidP="00E965BD">
            <w:pPr>
              <w:pStyle w:val="TableText0"/>
            </w:pPr>
            <w:r w:rsidRPr="0084450C">
              <w:t>35 (18-78)</w:t>
            </w:r>
          </w:p>
        </w:tc>
      </w:tr>
      <w:tr w:rsidR="00260845" w:rsidRPr="00E3505A" w:rsidTr="00F30153">
        <w:tc>
          <w:tcPr>
            <w:tcW w:w="2703" w:type="pct"/>
          </w:tcPr>
          <w:p w:rsidR="00260845" w:rsidRPr="0084450C" w:rsidRDefault="00260845" w:rsidP="00E965BD">
            <w:pPr>
              <w:pStyle w:val="TableText0"/>
            </w:pPr>
            <w:r w:rsidRPr="0084450C">
              <w:t>Race, n (%)</w:t>
            </w:r>
          </w:p>
          <w:p w:rsidR="00260845" w:rsidRPr="0084450C" w:rsidRDefault="00260845" w:rsidP="00E965BD">
            <w:pPr>
              <w:pStyle w:val="TableText0"/>
            </w:pPr>
            <w:r w:rsidRPr="0084450C">
              <w:t>White</w:t>
            </w:r>
          </w:p>
          <w:p w:rsidR="00260845" w:rsidRPr="0084450C" w:rsidRDefault="00260845" w:rsidP="00E965BD">
            <w:pPr>
              <w:pStyle w:val="TableText0"/>
            </w:pPr>
            <w:r w:rsidRPr="0084450C">
              <w:t>Other</w:t>
            </w:r>
          </w:p>
          <w:p w:rsidR="00260845" w:rsidRPr="0084450C" w:rsidRDefault="00260845" w:rsidP="00E965BD">
            <w:pPr>
              <w:pStyle w:val="TableText0"/>
            </w:pPr>
            <w:r w:rsidRPr="0084450C">
              <w:t>Not reported</w:t>
            </w:r>
          </w:p>
        </w:tc>
        <w:tc>
          <w:tcPr>
            <w:tcW w:w="1149" w:type="pct"/>
          </w:tcPr>
          <w:p w:rsidR="00260845" w:rsidRPr="0084450C" w:rsidRDefault="00260845" w:rsidP="00E965BD">
            <w:pPr>
              <w:pStyle w:val="TableText0"/>
            </w:pPr>
          </w:p>
          <w:p w:rsidR="00260845" w:rsidRPr="0084450C" w:rsidRDefault="00260845" w:rsidP="00E965BD">
            <w:pPr>
              <w:pStyle w:val="TableText0"/>
            </w:pPr>
            <w:r w:rsidRPr="0084450C">
              <w:t>37 (86.0)</w:t>
            </w:r>
          </w:p>
          <w:p w:rsidR="00260845" w:rsidRPr="0084450C" w:rsidRDefault="00260845" w:rsidP="00E965BD">
            <w:pPr>
              <w:pStyle w:val="TableText0"/>
            </w:pPr>
            <w:r w:rsidRPr="0084450C">
              <w:t>5 (11.6)</w:t>
            </w:r>
          </w:p>
          <w:p w:rsidR="00260845" w:rsidRPr="0084450C" w:rsidRDefault="00260845" w:rsidP="00E965BD">
            <w:pPr>
              <w:pStyle w:val="TableText0"/>
            </w:pPr>
            <w:r w:rsidRPr="0084450C">
              <w:t>1 (2.3)</w:t>
            </w:r>
          </w:p>
        </w:tc>
        <w:tc>
          <w:tcPr>
            <w:tcW w:w="1148" w:type="pct"/>
          </w:tcPr>
          <w:p w:rsidR="00260845" w:rsidRPr="0084450C" w:rsidRDefault="00260845" w:rsidP="00E965BD">
            <w:pPr>
              <w:pStyle w:val="TableText0"/>
            </w:pPr>
          </w:p>
          <w:p w:rsidR="00260845" w:rsidRPr="0084450C" w:rsidRDefault="00260845" w:rsidP="00E965BD">
            <w:pPr>
              <w:pStyle w:val="TableText0"/>
            </w:pPr>
            <w:r w:rsidRPr="0084450C">
              <w:t>41 (93.2)</w:t>
            </w:r>
          </w:p>
          <w:p w:rsidR="00260845" w:rsidRPr="0084450C" w:rsidRDefault="00260845" w:rsidP="00E965BD">
            <w:pPr>
              <w:pStyle w:val="TableText0"/>
            </w:pPr>
            <w:r w:rsidRPr="0084450C">
              <w:t>2 (4.6)</w:t>
            </w:r>
          </w:p>
          <w:p w:rsidR="00260845" w:rsidRPr="0084450C" w:rsidRDefault="00260845" w:rsidP="00E965BD">
            <w:pPr>
              <w:pStyle w:val="TableText0"/>
            </w:pPr>
            <w:r w:rsidRPr="0084450C">
              <w:t>1 (2.3)</w:t>
            </w:r>
          </w:p>
        </w:tc>
      </w:tr>
      <w:tr w:rsidR="00260845" w:rsidRPr="00E3505A" w:rsidTr="00F30153">
        <w:tc>
          <w:tcPr>
            <w:tcW w:w="2703" w:type="pct"/>
            <w:tcBorders>
              <w:bottom w:val="single" w:sz="4" w:space="0" w:color="000000"/>
            </w:tcBorders>
          </w:tcPr>
          <w:p w:rsidR="00260845" w:rsidRPr="0084450C" w:rsidRDefault="00260845" w:rsidP="00E965BD">
            <w:pPr>
              <w:pStyle w:val="TableText0"/>
            </w:pPr>
            <w:r w:rsidRPr="0084450C">
              <w:t>Disease duration (years), median (range)</w:t>
            </w:r>
          </w:p>
        </w:tc>
        <w:tc>
          <w:tcPr>
            <w:tcW w:w="1149" w:type="pct"/>
            <w:tcBorders>
              <w:bottom w:val="single" w:sz="4" w:space="0" w:color="000000"/>
            </w:tcBorders>
          </w:tcPr>
          <w:p w:rsidR="00260845" w:rsidRPr="0084450C" w:rsidRDefault="00260845" w:rsidP="00E965BD">
            <w:pPr>
              <w:pStyle w:val="TableText0"/>
            </w:pPr>
            <w:r w:rsidRPr="0084450C">
              <w:t>4.3 (0.9-29.8)</w:t>
            </w:r>
          </w:p>
        </w:tc>
        <w:tc>
          <w:tcPr>
            <w:tcW w:w="1148" w:type="pct"/>
            <w:tcBorders>
              <w:bottom w:val="single" w:sz="4" w:space="0" w:color="000000"/>
            </w:tcBorders>
          </w:tcPr>
          <w:p w:rsidR="00260845" w:rsidRPr="0084450C" w:rsidRDefault="00260845" w:rsidP="00E965BD">
            <w:pPr>
              <w:pStyle w:val="TableText0"/>
            </w:pPr>
            <w:r w:rsidRPr="0084450C">
              <w:t>9.2 (0.5-38.5)</w:t>
            </w:r>
          </w:p>
        </w:tc>
      </w:tr>
      <w:tr w:rsidR="00260845" w:rsidRPr="00E3505A" w:rsidTr="00F30153">
        <w:tc>
          <w:tcPr>
            <w:tcW w:w="2703" w:type="pct"/>
            <w:tcBorders>
              <w:bottom w:val="nil"/>
            </w:tcBorders>
          </w:tcPr>
          <w:p w:rsidR="00260845" w:rsidRPr="0084450C" w:rsidRDefault="00260845" w:rsidP="00E965BD">
            <w:pPr>
              <w:pStyle w:val="TableText0"/>
            </w:pPr>
            <w:r w:rsidRPr="0084450C">
              <w:t xml:space="preserve">Transfusion history, units of PRBCs transfused in prior 12 months </w:t>
            </w:r>
          </w:p>
        </w:tc>
        <w:tc>
          <w:tcPr>
            <w:tcW w:w="1149" w:type="pct"/>
            <w:tcBorders>
              <w:bottom w:val="nil"/>
            </w:tcBorders>
          </w:tcPr>
          <w:p w:rsidR="00260845" w:rsidRPr="00E3505A" w:rsidRDefault="00260845" w:rsidP="00E965BD">
            <w:pPr>
              <w:pStyle w:val="TableText0"/>
            </w:pPr>
          </w:p>
        </w:tc>
        <w:tc>
          <w:tcPr>
            <w:tcW w:w="1148" w:type="pct"/>
            <w:tcBorders>
              <w:bottom w:val="nil"/>
            </w:tcBorders>
          </w:tcPr>
          <w:p w:rsidR="00260845" w:rsidRPr="00E3505A" w:rsidRDefault="00260845" w:rsidP="00E965BD">
            <w:pPr>
              <w:pStyle w:val="TableText0"/>
            </w:pPr>
          </w:p>
        </w:tc>
      </w:tr>
      <w:tr w:rsidR="00260845" w:rsidRPr="00E3505A" w:rsidTr="00F30153">
        <w:tc>
          <w:tcPr>
            <w:tcW w:w="2703" w:type="pct"/>
            <w:tcBorders>
              <w:top w:val="nil"/>
            </w:tcBorders>
          </w:tcPr>
          <w:p w:rsidR="00260845" w:rsidRPr="0084450C" w:rsidRDefault="00260845" w:rsidP="00E965BD">
            <w:pPr>
              <w:pStyle w:val="TableText0"/>
            </w:pPr>
            <w:r w:rsidRPr="0084450C">
              <w:t>Mean (g/dL) (SD)</w:t>
            </w:r>
          </w:p>
          <w:p w:rsidR="00260845" w:rsidRPr="0084450C" w:rsidRDefault="00260845" w:rsidP="00E965BD">
            <w:pPr>
              <w:pStyle w:val="TableText0"/>
            </w:pPr>
            <w:r w:rsidRPr="0084450C">
              <w:t>Median (range)</w:t>
            </w:r>
          </w:p>
        </w:tc>
        <w:tc>
          <w:tcPr>
            <w:tcW w:w="1149" w:type="pct"/>
            <w:tcBorders>
              <w:top w:val="nil"/>
            </w:tcBorders>
          </w:tcPr>
          <w:p w:rsidR="00260845" w:rsidRPr="0084450C" w:rsidRDefault="00260845" w:rsidP="00E965BD">
            <w:pPr>
              <w:pStyle w:val="TableText0"/>
            </w:pPr>
            <w:r w:rsidRPr="0084450C">
              <w:t>19.2 (8.41)</w:t>
            </w:r>
          </w:p>
          <w:p w:rsidR="00260845" w:rsidRPr="0084450C" w:rsidRDefault="00260845" w:rsidP="00E965BD">
            <w:pPr>
              <w:pStyle w:val="TableText0"/>
            </w:pPr>
            <w:r w:rsidRPr="0084450C">
              <w:t>18 (7-36)</w:t>
            </w:r>
          </w:p>
        </w:tc>
        <w:tc>
          <w:tcPr>
            <w:tcW w:w="1148" w:type="pct"/>
            <w:tcBorders>
              <w:top w:val="nil"/>
            </w:tcBorders>
          </w:tcPr>
          <w:p w:rsidR="00260845" w:rsidRPr="0084450C" w:rsidRDefault="00260845" w:rsidP="00E965BD">
            <w:pPr>
              <w:pStyle w:val="TableText0"/>
            </w:pPr>
            <w:r w:rsidRPr="0084450C">
              <w:t>19.9 (9.28)</w:t>
            </w:r>
          </w:p>
          <w:p w:rsidR="00260845" w:rsidRPr="0084450C" w:rsidRDefault="00260845" w:rsidP="00E965BD">
            <w:pPr>
              <w:pStyle w:val="TableText0"/>
            </w:pPr>
            <w:r w:rsidRPr="0084450C">
              <w:t>17 (7-44)</w:t>
            </w:r>
          </w:p>
        </w:tc>
      </w:tr>
      <w:tr w:rsidR="00260845" w:rsidRPr="00E3505A" w:rsidTr="00F30153">
        <w:tc>
          <w:tcPr>
            <w:tcW w:w="2703" w:type="pct"/>
            <w:tcBorders>
              <w:top w:val="nil"/>
            </w:tcBorders>
          </w:tcPr>
          <w:p w:rsidR="00260845" w:rsidRPr="0084450C" w:rsidRDefault="00260845" w:rsidP="00E965BD">
            <w:pPr>
              <w:pStyle w:val="TableText0"/>
              <w:rPr>
                <w:vertAlign w:val="superscript"/>
              </w:rPr>
            </w:pPr>
            <w:r w:rsidRPr="0084450C">
              <w:t>Categorised, n (%)</w:t>
            </w:r>
            <w:r w:rsidRPr="0084450C">
              <w:rPr>
                <w:vertAlign w:val="superscript"/>
              </w:rPr>
              <w:t>b</w:t>
            </w:r>
          </w:p>
          <w:p w:rsidR="00260845" w:rsidRPr="0084450C" w:rsidRDefault="00260845" w:rsidP="00E965BD">
            <w:pPr>
              <w:pStyle w:val="TableText0"/>
            </w:pPr>
            <w:r w:rsidRPr="0084450C">
              <w:t>4-14 units</w:t>
            </w:r>
          </w:p>
          <w:p w:rsidR="00260845" w:rsidRPr="0084450C" w:rsidRDefault="00260845" w:rsidP="00E965BD">
            <w:pPr>
              <w:pStyle w:val="TableText0"/>
            </w:pPr>
            <w:r w:rsidRPr="0084450C">
              <w:t>15-25 units</w:t>
            </w:r>
          </w:p>
          <w:p w:rsidR="00260845" w:rsidRPr="0084450C" w:rsidRDefault="00260845" w:rsidP="00E965BD">
            <w:pPr>
              <w:pStyle w:val="TableText0"/>
            </w:pPr>
            <w:r w:rsidRPr="0084450C">
              <w:t>&gt;25 units</w:t>
            </w:r>
          </w:p>
        </w:tc>
        <w:tc>
          <w:tcPr>
            <w:tcW w:w="1149" w:type="pct"/>
            <w:tcBorders>
              <w:top w:val="nil"/>
            </w:tcBorders>
          </w:tcPr>
          <w:p w:rsidR="00260845" w:rsidRPr="0084450C" w:rsidRDefault="00260845" w:rsidP="00E965BD">
            <w:pPr>
              <w:pStyle w:val="TableText0"/>
            </w:pPr>
          </w:p>
          <w:p w:rsidR="00260845" w:rsidRPr="0084450C" w:rsidRDefault="00260845" w:rsidP="00E965BD">
            <w:pPr>
              <w:pStyle w:val="TableText0"/>
            </w:pPr>
            <w:r w:rsidRPr="0084450C">
              <w:t>15 (25)</w:t>
            </w:r>
          </w:p>
          <w:p w:rsidR="00260845" w:rsidRPr="0084450C" w:rsidRDefault="00260845" w:rsidP="00E965BD">
            <w:pPr>
              <w:pStyle w:val="TableText0"/>
            </w:pPr>
            <w:r w:rsidRPr="0084450C">
              <w:t>17 (40)</w:t>
            </w:r>
          </w:p>
          <w:p w:rsidR="00260845" w:rsidRPr="0084450C" w:rsidRDefault="00260845" w:rsidP="00E965BD">
            <w:pPr>
              <w:pStyle w:val="TableText0"/>
            </w:pPr>
            <w:r w:rsidRPr="0084450C">
              <w:t>11 (26)</w:t>
            </w:r>
          </w:p>
        </w:tc>
        <w:tc>
          <w:tcPr>
            <w:tcW w:w="1148" w:type="pct"/>
            <w:tcBorders>
              <w:top w:val="nil"/>
            </w:tcBorders>
          </w:tcPr>
          <w:p w:rsidR="00260845" w:rsidRPr="0084450C" w:rsidRDefault="00260845" w:rsidP="00E965BD">
            <w:pPr>
              <w:pStyle w:val="TableText0"/>
            </w:pPr>
          </w:p>
          <w:p w:rsidR="00260845" w:rsidRPr="0084450C" w:rsidRDefault="00260845" w:rsidP="00E965BD">
            <w:pPr>
              <w:pStyle w:val="TableText0"/>
            </w:pPr>
            <w:r w:rsidRPr="0084450C">
              <w:t>15 (34)</w:t>
            </w:r>
          </w:p>
          <w:p w:rsidR="00260845" w:rsidRPr="0084450C" w:rsidRDefault="00260845" w:rsidP="00E965BD">
            <w:pPr>
              <w:pStyle w:val="TableText0"/>
            </w:pPr>
            <w:r w:rsidRPr="0084450C">
              <w:t>18 (41)</w:t>
            </w:r>
          </w:p>
          <w:p w:rsidR="00260845" w:rsidRPr="0084450C" w:rsidRDefault="00260845" w:rsidP="00E965BD">
            <w:pPr>
              <w:pStyle w:val="TableText0"/>
            </w:pPr>
            <w:r w:rsidRPr="0084450C">
              <w:t>11 (25)</w:t>
            </w:r>
          </w:p>
        </w:tc>
      </w:tr>
      <w:tr w:rsidR="00260845" w:rsidRPr="00E3505A" w:rsidTr="00F30153">
        <w:tc>
          <w:tcPr>
            <w:tcW w:w="2703" w:type="pct"/>
          </w:tcPr>
          <w:p w:rsidR="00260845" w:rsidRPr="0084450C" w:rsidRDefault="00260845" w:rsidP="00E965BD">
            <w:pPr>
              <w:pStyle w:val="TableText0"/>
            </w:pPr>
            <w:r w:rsidRPr="0084450C">
              <w:t>Thrombosis history, n (%)</w:t>
            </w:r>
          </w:p>
          <w:p w:rsidR="00260845" w:rsidRPr="0084450C" w:rsidRDefault="00260845" w:rsidP="00E965BD">
            <w:pPr>
              <w:pStyle w:val="TableText0"/>
            </w:pPr>
            <w:r w:rsidRPr="0084450C">
              <w:t>Any thrombosis event</w:t>
            </w:r>
          </w:p>
          <w:p w:rsidR="00260845" w:rsidRPr="0084450C" w:rsidRDefault="00260845" w:rsidP="00E965BD">
            <w:pPr>
              <w:pStyle w:val="TableText0"/>
            </w:pPr>
            <w:r w:rsidRPr="0084450C">
              <w:t>Cerebrovascular accident</w:t>
            </w:r>
          </w:p>
          <w:p w:rsidR="00260845" w:rsidRPr="0084450C" w:rsidRDefault="00260845" w:rsidP="00E965BD">
            <w:pPr>
              <w:pStyle w:val="TableText0"/>
            </w:pPr>
            <w:r w:rsidRPr="0084450C">
              <w:t>Mesenteric vein thrombosis</w:t>
            </w:r>
          </w:p>
          <w:p w:rsidR="00260845" w:rsidRPr="0084450C" w:rsidRDefault="00260845" w:rsidP="00E965BD">
            <w:pPr>
              <w:pStyle w:val="TableText0"/>
            </w:pPr>
            <w:r w:rsidRPr="0084450C">
              <w:t>Thrombophlebitis/deep vein thrombosis</w:t>
            </w:r>
          </w:p>
        </w:tc>
        <w:tc>
          <w:tcPr>
            <w:tcW w:w="1149" w:type="pct"/>
          </w:tcPr>
          <w:p w:rsidR="00260845" w:rsidRPr="0084450C" w:rsidRDefault="00260845" w:rsidP="00E965BD">
            <w:pPr>
              <w:pStyle w:val="TableText0"/>
            </w:pPr>
          </w:p>
          <w:p w:rsidR="00260845" w:rsidRPr="0084450C" w:rsidRDefault="00260845" w:rsidP="00E965BD">
            <w:pPr>
              <w:pStyle w:val="TableText0"/>
            </w:pPr>
            <w:r w:rsidRPr="0084450C">
              <w:t>9(20.9)</w:t>
            </w:r>
          </w:p>
          <w:p w:rsidR="00260845" w:rsidRPr="0084450C" w:rsidRDefault="00260845" w:rsidP="00E965BD">
            <w:pPr>
              <w:pStyle w:val="TableText0"/>
            </w:pPr>
            <w:r w:rsidRPr="0084450C">
              <w:t>1 (2.3)</w:t>
            </w:r>
          </w:p>
          <w:p w:rsidR="00260845" w:rsidRPr="0084450C" w:rsidRDefault="00260845" w:rsidP="00E965BD">
            <w:pPr>
              <w:pStyle w:val="TableText0"/>
            </w:pPr>
            <w:r w:rsidRPr="0084450C">
              <w:t>0 (0.0)</w:t>
            </w:r>
          </w:p>
          <w:p w:rsidR="00260845" w:rsidRPr="0084450C" w:rsidRDefault="00260845" w:rsidP="00E965BD">
            <w:pPr>
              <w:pStyle w:val="TableText0"/>
            </w:pPr>
            <w:r w:rsidRPr="0084450C">
              <w:t>4 (9.3)</w:t>
            </w:r>
          </w:p>
        </w:tc>
        <w:tc>
          <w:tcPr>
            <w:tcW w:w="1148" w:type="pct"/>
          </w:tcPr>
          <w:p w:rsidR="00260845" w:rsidRPr="0084450C" w:rsidRDefault="00260845" w:rsidP="00E965BD">
            <w:pPr>
              <w:pStyle w:val="TableText0"/>
            </w:pPr>
          </w:p>
          <w:p w:rsidR="00260845" w:rsidRPr="0084450C" w:rsidRDefault="00260845" w:rsidP="00E965BD">
            <w:pPr>
              <w:pStyle w:val="TableText0"/>
            </w:pPr>
            <w:r w:rsidRPr="0084450C">
              <w:t>8 (18.2)</w:t>
            </w:r>
          </w:p>
          <w:p w:rsidR="00260845" w:rsidRPr="0084450C" w:rsidRDefault="00260845" w:rsidP="00E965BD">
            <w:pPr>
              <w:pStyle w:val="TableText0"/>
            </w:pPr>
            <w:r w:rsidRPr="0084450C">
              <w:t>0 (0.0)</w:t>
            </w:r>
          </w:p>
          <w:p w:rsidR="00260845" w:rsidRPr="0084450C" w:rsidRDefault="00260845" w:rsidP="00E965BD">
            <w:pPr>
              <w:pStyle w:val="TableText0"/>
            </w:pPr>
            <w:r w:rsidRPr="0084450C">
              <w:t>2 (4.5)</w:t>
            </w:r>
          </w:p>
          <w:p w:rsidR="00260845" w:rsidRPr="0084450C" w:rsidRDefault="00260845" w:rsidP="00E965BD">
            <w:pPr>
              <w:pStyle w:val="TableText0"/>
            </w:pPr>
            <w:r w:rsidRPr="0084450C">
              <w:t>6 (13.6)</w:t>
            </w:r>
          </w:p>
        </w:tc>
      </w:tr>
      <w:tr w:rsidR="00260845" w:rsidRPr="00E3505A" w:rsidTr="00F30153">
        <w:tc>
          <w:tcPr>
            <w:tcW w:w="2703" w:type="pct"/>
          </w:tcPr>
          <w:p w:rsidR="00260845" w:rsidRPr="0084450C" w:rsidRDefault="00260845" w:rsidP="00E965BD">
            <w:pPr>
              <w:pStyle w:val="TableText0"/>
            </w:pPr>
            <w:r w:rsidRPr="0084450C">
              <w:t>Concomitant antithrombotic agents, n (%)</w:t>
            </w:r>
          </w:p>
        </w:tc>
        <w:tc>
          <w:tcPr>
            <w:tcW w:w="1149" w:type="pct"/>
          </w:tcPr>
          <w:p w:rsidR="00260845" w:rsidRPr="0084450C" w:rsidRDefault="00260845" w:rsidP="00E965BD">
            <w:pPr>
              <w:pStyle w:val="TableText0"/>
            </w:pPr>
            <w:r w:rsidRPr="0084450C">
              <w:t>24 (56)</w:t>
            </w:r>
          </w:p>
        </w:tc>
        <w:tc>
          <w:tcPr>
            <w:tcW w:w="1148" w:type="pct"/>
          </w:tcPr>
          <w:p w:rsidR="00260845" w:rsidRPr="0084450C" w:rsidRDefault="00260845" w:rsidP="00E965BD">
            <w:pPr>
              <w:pStyle w:val="TableText0"/>
            </w:pPr>
            <w:r w:rsidRPr="0084450C">
              <w:t>20 (45)</w:t>
            </w:r>
          </w:p>
        </w:tc>
      </w:tr>
      <w:tr w:rsidR="00260845" w:rsidRPr="00E3505A" w:rsidTr="00F30153">
        <w:tc>
          <w:tcPr>
            <w:tcW w:w="2703" w:type="pct"/>
          </w:tcPr>
          <w:p w:rsidR="00260845" w:rsidRPr="0084450C" w:rsidRDefault="00260845" w:rsidP="00E965BD">
            <w:pPr>
              <w:pStyle w:val="TableText0"/>
            </w:pPr>
            <w:r w:rsidRPr="0084450C">
              <w:t>Use of anticoagulant agents (coumarins or heparins), n (%)</w:t>
            </w:r>
          </w:p>
        </w:tc>
        <w:tc>
          <w:tcPr>
            <w:tcW w:w="1149" w:type="pct"/>
          </w:tcPr>
          <w:p w:rsidR="00260845" w:rsidRPr="0084450C" w:rsidRDefault="00260845" w:rsidP="00E965BD">
            <w:pPr>
              <w:pStyle w:val="TableText0"/>
            </w:pPr>
            <w:r w:rsidRPr="0084450C">
              <w:t>21 (49)</w:t>
            </w:r>
          </w:p>
        </w:tc>
        <w:tc>
          <w:tcPr>
            <w:tcW w:w="1148" w:type="pct"/>
          </w:tcPr>
          <w:p w:rsidR="00260845" w:rsidRPr="0084450C" w:rsidRDefault="00260845" w:rsidP="00E965BD">
            <w:pPr>
              <w:pStyle w:val="TableText0"/>
            </w:pPr>
            <w:r w:rsidRPr="0084450C">
              <w:t>11 (25)</w:t>
            </w:r>
          </w:p>
        </w:tc>
      </w:tr>
      <w:tr w:rsidR="00260845" w:rsidRPr="00E3505A" w:rsidTr="00F30153">
        <w:tc>
          <w:tcPr>
            <w:tcW w:w="2703" w:type="pct"/>
          </w:tcPr>
          <w:p w:rsidR="00260845" w:rsidRPr="0084450C" w:rsidRDefault="00260845" w:rsidP="00E965BD">
            <w:pPr>
              <w:pStyle w:val="TableText0"/>
            </w:pPr>
            <w:r w:rsidRPr="0084450C">
              <w:t>Use of corticosteroids or androgenic steroids, n (%)</w:t>
            </w:r>
          </w:p>
        </w:tc>
        <w:tc>
          <w:tcPr>
            <w:tcW w:w="1149" w:type="pct"/>
          </w:tcPr>
          <w:p w:rsidR="00260845" w:rsidRPr="0084450C" w:rsidRDefault="00260845" w:rsidP="00E965BD">
            <w:pPr>
              <w:pStyle w:val="TableText0"/>
            </w:pPr>
            <w:r w:rsidRPr="0084450C">
              <w:t>12 (28)</w:t>
            </w:r>
          </w:p>
        </w:tc>
        <w:tc>
          <w:tcPr>
            <w:tcW w:w="1148" w:type="pct"/>
          </w:tcPr>
          <w:p w:rsidR="00260845" w:rsidRPr="0084450C" w:rsidRDefault="00260845" w:rsidP="00E965BD">
            <w:pPr>
              <w:pStyle w:val="TableText0"/>
            </w:pPr>
            <w:r w:rsidRPr="0084450C">
              <w:t>12 (27)</w:t>
            </w:r>
          </w:p>
        </w:tc>
      </w:tr>
      <w:tr w:rsidR="00260845" w:rsidRPr="00E3505A" w:rsidTr="00F30153">
        <w:tc>
          <w:tcPr>
            <w:tcW w:w="2703" w:type="pct"/>
          </w:tcPr>
          <w:p w:rsidR="00260845" w:rsidRPr="0084450C" w:rsidRDefault="00260845" w:rsidP="00E965BD">
            <w:pPr>
              <w:pStyle w:val="TableText0"/>
            </w:pPr>
            <w:r w:rsidRPr="0084450C">
              <w:lastRenderedPageBreak/>
              <w:t>Haemoglobin set value (g/dL), mean (SD)</w:t>
            </w:r>
          </w:p>
        </w:tc>
        <w:tc>
          <w:tcPr>
            <w:tcW w:w="1149" w:type="pct"/>
          </w:tcPr>
          <w:p w:rsidR="00260845" w:rsidRPr="0084450C" w:rsidRDefault="00260845" w:rsidP="00E965BD">
            <w:pPr>
              <w:pStyle w:val="TableText0"/>
            </w:pPr>
            <w:r w:rsidRPr="0084450C">
              <w:t>7.8 (0.79)</w:t>
            </w:r>
          </w:p>
        </w:tc>
        <w:tc>
          <w:tcPr>
            <w:tcW w:w="1148" w:type="pct"/>
          </w:tcPr>
          <w:p w:rsidR="00260845" w:rsidRPr="0084450C" w:rsidRDefault="00260845" w:rsidP="00E965BD">
            <w:pPr>
              <w:pStyle w:val="TableText0"/>
            </w:pPr>
            <w:r w:rsidRPr="0084450C">
              <w:t>7.7 (0.75)</w:t>
            </w:r>
          </w:p>
        </w:tc>
      </w:tr>
      <w:tr w:rsidR="00260845" w:rsidRPr="00E3505A" w:rsidTr="00F30153">
        <w:tc>
          <w:tcPr>
            <w:tcW w:w="2703" w:type="pct"/>
          </w:tcPr>
          <w:p w:rsidR="00260845" w:rsidRPr="0084450C" w:rsidRDefault="00260845" w:rsidP="00E965BD">
            <w:pPr>
              <w:pStyle w:val="TableText0"/>
            </w:pPr>
            <w:r w:rsidRPr="0084450C">
              <w:t>Aplastic anaemia, n (%)</w:t>
            </w:r>
          </w:p>
          <w:p w:rsidR="00260845" w:rsidRPr="0084450C" w:rsidRDefault="00260845" w:rsidP="00E965BD">
            <w:pPr>
              <w:pStyle w:val="TableText0"/>
            </w:pPr>
            <w:r w:rsidRPr="0084450C">
              <w:t>Yes</w:t>
            </w:r>
          </w:p>
          <w:p w:rsidR="00260845" w:rsidRPr="0084450C" w:rsidRDefault="00260845" w:rsidP="00E965BD">
            <w:pPr>
              <w:pStyle w:val="TableText0"/>
            </w:pPr>
            <w:r w:rsidRPr="0084450C">
              <w:t>No</w:t>
            </w:r>
          </w:p>
        </w:tc>
        <w:tc>
          <w:tcPr>
            <w:tcW w:w="1149" w:type="pct"/>
          </w:tcPr>
          <w:p w:rsidR="00260845" w:rsidRPr="0084450C" w:rsidRDefault="00260845" w:rsidP="00E965BD">
            <w:pPr>
              <w:pStyle w:val="TableText0"/>
            </w:pPr>
          </w:p>
          <w:p w:rsidR="00260845" w:rsidRPr="0084450C" w:rsidRDefault="00260845" w:rsidP="00E965BD">
            <w:pPr>
              <w:pStyle w:val="TableText0"/>
            </w:pPr>
            <w:r w:rsidRPr="0084450C">
              <w:t>6 (14.0)</w:t>
            </w:r>
          </w:p>
          <w:p w:rsidR="00260845" w:rsidRPr="0084450C" w:rsidRDefault="00260845" w:rsidP="00E965BD">
            <w:pPr>
              <w:pStyle w:val="TableText0"/>
            </w:pPr>
            <w:r w:rsidRPr="0084450C">
              <w:t>37 (86.0)</w:t>
            </w:r>
          </w:p>
        </w:tc>
        <w:tc>
          <w:tcPr>
            <w:tcW w:w="1148" w:type="pct"/>
          </w:tcPr>
          <w:p w:rsidR="00260845" w:rsidRPr="0084450C" w:rsidRDefault="00260845" w:rsidP="00E965BD">
            <w:pPr>
              <w:pStyle w:val="TableText0"/>
            </w:pPr>
          </w:p>
          <w:p w:rsidR="00260845" w:rsidRPr="0084450C" w:rsidRDefault="00260845" w:rsidP="00E965BD">
            <w:pPr>
              <w:pStyle w:val="TableText0"/>
            </w:pPr>
            <w:r w:rsidRPr="0084450C">
              <w:t>12 (27.3)</w:t>
            </w:r>
          </w:p>
          <w:p w:rsidR="00260845" w:rsidRPr="0084450C" w:rsidRDefault="00260845" w:rsidP="00E965BD">
            <w:pPr>
              <w:pStyle w:val="TableText0"/>
            </w:pPr>
            <w:r w:rsidRPr="0084450C">
              <w:t>32 (72.7)</w:t>
            </w:r>
          </w:p>
        </w:tc>
      </w:tr>
      <w:tr w:rsidR="00260845" w:rsidRPr="00E3505A" w:rsidTr="00F30153">
        <w:tc>
          <w:tcPr>
            <w:tcW w:w="2703" w:type="pct"/>
          </w:tcPr>
          <w:p w:rsidR="00260845" w:rsidRPr="0084450C" w:rsidRDefault="00260845" w:rsidP="00E965BD">
            <w:pPr>
              <w:pStyle w:val="TableText0"/>
            </w:pPr>
            <w:r w:rsidRPr="0084450C">
              <w:t>Myelodysplastic syndrome, n (%)</w:t>
            </w:r>
          </w:p>
          <w:p w:rsidR="00260845" w:rsidRPr="0084450C" w:rsidRDefault="00260845" w:rsidP="00E965BD">
            <w:pPr>
              <w:pStyle w:val="TableText0"/>
            </w:pPr>
            <w:r w:rsidRPr="0084450C">
              <w:t>Yes</w:t>
            </w:r>
          </w:p>
          <w:p w:rsidR="00260845" w:rsidRPr="0084450C" w:rsidRDefault="00260845" w:rsidP="00E965BD">
            <w:pPr>
              <w:pStyle w:val="TableText0"/>
            </w:pPr>
            <w:r w:rsidRPr="0084450C">
              <w:t>No</w:t>
            </w:r>
          </w:p>
        </w:tc>
        <w:tc>
          <w:tcPr>
            <w:tcW w:w="1149" w:type="pct"/>
          </w:tcPr>
          <w:p w:rsidR="00260845" w:rsidRPr="0084450C" w:rsidRDefault="00260845" w:rsidP="00E965BD">
            <w:pPr>
              <w:pStyle w:val="TableText0"/>
            </w:pPr>
          </w:p>
          <w:p w:rsidR="00260845" w:rsidRPr="0084450C" w:rsidRDefault="00260845" w:rsidP="00E965BD">
            <w:pPr>
              <w:pStyle w:val="TableText0"/>
            </w:pPr>
            <w:r w:rsidRPr="0084450C">
              <w:t>2 (4.7)</w:t>
            </w:r>
          </w:p>
          <w:p w:rsidR="00260845" w:rsidRPr="0084450C" w:rsidRDefault="00260845" w:rsidP="00E965BD">
            <w:pPr>
              <w:pStyle w:val="TableText0"/>
            </w:pPr>
            <w:r w:rsidRPr="0084450C">
              <w:t>41 (95.3)</w:t>
            </w:r>
          </w:p>
        </w:tc>
        <w:tc>
          <w:tcPr>
            <w:tcW w:w="1148" w:type="pct"/>
          </w:tcPr>
          <w:p w:rsidR="00260845" w:rsidRPr="0084450C" w:rsidRDefault="00260845" w:rsidP="00E965BD">
            <w:pPr>
              <w:pStyle w:val="TableText0"/>
            </w:pPr>
          </w:p>
          <w:p w:rsidR="00260845" w:rsidRPr="0084450C" w:rsidRDefault="00260845" w:rsidP="00E965BD">
            <w:pPr>
              <w:pStyle w:val="TableText0"/>
            </w:pPr>
            <w:r w:rsidRPr="0084450C">
              <w:t>0 (0.0)</w:t>
            </w:r>
          </w:p>
          <w:p w:rsidR="00260845" w:rsidRPr="0084450C" w:rsidRDefault="00260845" w:rsidP="00E965BD">
            <w:pPr>
              <w:pStyle w:val="TableText0"/>
            </w:pPr>
            <w:r w:rsidRPr="0084450C">
              <w:t>44 (1000</w:t>
            </w:r>
          </w:p>
        </w:tc>
      </w:tr>
      <w:tr w:rsidR="00260845" w:rsidRPr="00E3505A" w:rsidTr="00F30153">
        <w:tc>
          <w:tcPr>
            <w:tcW w:w="2703" w:type="pct"/>
          </w:tcPr>
          <w:p w:rsidR="00260845" w:rsidRPr="0084450C" w:rsidRDefault="00260845" w:rsidP="00E965BD">
            <w:pPr>
              <w:pStyle w:val="TableText0"/>
            </w:pPr>
            <w:r w:rsidRPr="0084450C">
              <w:t>Baseline PNH type III RBCs (%)</w:t>
            </w:r>
          </w:p>
          <w:p w:rsidR="00260845" w:rsidRPr="0084450C" w:rsidRDefault="00260845" w:rsidP="00E965BD">
            <w:pPr>
              <w:pStyle w:val="TableText0"/>
            </w:pPr>
            <w:r w:rsidRPr="0084450C">
              <w:t>Mean (SD)</w:t>
            </w:r>
          </w:p>
          <w:p w:rsidR="00260845" w:rsidRPr="0084450C" w:rsidRDefault="00260845" w:rsidP="00E965BD">
            <w:pPr>
              <w:pStyle w:val="TableText0"/>
            </w:pPr>
            <w:r w:rsidRPr="0084450C">
              <w:t>Median (range)</w:t>
            </w:r>
          </w:p>
        </w:tc>
        <w:tc>
          <w:tcPr>
            <w:tcW w:w="1149" w:type="pct"/>
          </w:tcPr>
          <w:p w:rsidR="00260845" w:rsidRPr="0084450C" w:rsidRDefault="00260845" w:rsidP="00E965BD">
            <w:pPr>
              <w:pStyle w:val="TableText0"/>
            </w:pPr>
          </w:p>
          <w:p w:rsidR="00260845" w:rsidRPr="0084450C" w:rsidRDefault="00260845" w:rsidP="00E965BD">
            <w:pPr>
              <w:pStyle w:val="TableText0"/>
            </w:pPr>
            <w:r w:rsidRPr="0084450C">
              <w:t>28.0 (133)</w:t>
            </w:r>
          </w:p>
          <w:p w:rsidR="00260845" w:rsidRPr="0084450C" w:rsidRDefault="00260845" w:rsidP="00E965BD">
            <w:pPr>
              <w:pStyle w:val="TableText0"/>
            </w:pPr>
            <w:r w:rsidRPr="0084450C">
              <w:t>25.6 92.4-54.0)</w:t>
            </w:r>
          </w:p>
        </w:tc>
        <w:tc>
          <w:tcPr>
            <w:tcW w:w="1148" w:type="pct"/>
          </w:tcPr>
          <w:p w:rsidR="00260845" w:rsidRPr="0084450C" w:rsidRDefault="00260845" w:rsidP="00E965BD">
            <w:pPr>
              <w:pStyle w:val="TableText0"/>
            </w:pPr>
          </w:p>
          <w:p w:rsidR="00260845" w:rsidRPr="0084450C" w:rsidRDefault="00260845" w:rsidP="00E965BD">
            <w:pPr>
              <w:pStyle w:val="TableText0"/>
            </w:pPr>
            <w:r w:rsidRPr="0084450C">
              <w:t>35.1 (18.2)</w:t>
            </w:r>
          </w:p>
          <w:p w:rsidR="00260845" w:rsidRPr="0084450C" w:rsidRDefault="00260845" w:rsidP="00E965BD">
            <w:pPr>
              <w:pStyle w:val="TableText0"/>
            </w:pPr>
            <w:r w:rsidRPr="0084450C">
              <w:t>34.4 (6.6-88.0)</w:t>
            </w:r>
          </w:p>
        </w:tc>
      </w:tr>
      <w:tr w:rsidR="00260845" w:rsidRPr="00E3505A" w:rsidTr="00F30153">
        <w:tc>
          <w:tcPr>
            <w:tcW w:w="2703" w:type="pct"/>
          </w:tcPr>
          <w:p w:rsidR="00260845" w:rsidRPr="0084450C" w:rsidRDefault="00260845" w:rsidP="00E965BD">
            <w:pPr>
              <w:pStyle w:val="TableText0"/>
            </w:pPr>
            <w:r w:rsidRPr="0084450C">
              <w:t>Baseline GPI-deficient granulocytes, median (%)</w:t>
            </w:r>
          </w:p>
        </w:tc>
        <w:tc>
          <w:tcPr>
            <w:tcW w:w="1149" w:type="pct"/>
          </w:tcPr>
          <w:p w:rsidR="00260845" w:rsidRPr="0084450C" w:rsidRDefault="00260845" w:rsidP="00E965BD">
            <w:pPr>
              <w:pStyle w:val="TableText0"/>
            </w:pPr>
            <w:r w:rsidRPr="0084450C">
              <w:t>81.0%</w:t>
            </w:r>
          </w:p>
        </w:tc>
        <w:tc>
          <w:tcPr>
            <w:tcW w:w="1148" w:type="pct"/>
          </w:tcPr>
          <w:p w:rsidR="00260845" w:rsidRPr="0084450C" w:rsidRDefault="00260845" w:rsidP="00E965BD">
            <w:pPr>
              <w:pStyle w:val="TableText0"/>
            </w:pPr>
            <w:r w:rsidRPr="0084450C">
              <w:t>82.7%</w:t>
            </w:r>
          </w:p>
        </w:tc>
      </w:tr>
      <w:tr w:rsidR="00260845" w:rsidRPr="00E3505A" w:rsidTr="00F30153">
        <w:tc>
          <w:tcPr>
            <w:tcW w:w="2703" w:type="pct"/>
          </w:tcPr>
          <w:p w:rsidR="00260845" w:rsidRPr="0084450C" w:rsidRDefault="00260845" w:rsidP="00E965BD">
            <w:pPr>
              <w:pStyle w:val="TableText0"/>
            </w:pPr>
            <w:r w:rsidRPr="0084450C">
              <w:t>Baseline free haemoglobin (mg/dL), median (range)</w:t>
            </w:r>
          </w:p>
        </w:tc>
        <w:tc>
          <w:tcPr>
            <w:tcW w:w="1149" w:type="pct"/>
          </w:tcPr>
          <w:p w:rsidR="00260845" w:rsidRPr="0084450C" w:rsidRDefault="00260845" w:rsidP="00E965BD">
            <w:pPr>
              <w:pStyle w:val="TableText0"/>
            </w:pPr>
            <w:r w:rsidRPr="0084450C">
              <w:t>40.5 (7.5-764.0)</w:t>
            </w:r>
          </w:p>
        </w:tc>
        <w:tc>
          <w:tcPr>
            <w:tcW w:w="1148" w:type="pct"/>
          </w:tcPr>
          <w:p w:rsidR="00260845" w:rsidRPr="0084450C" w:rsidRDefault="00260845" w:rsidP="00E965BD">
            <w:pPr>
              <w:pStyle w:val="TableText0"/>
            </w:pPr>
            <w:r w:rsidRPr="0084450C">
              <w:t>46.2 (11.2-502.0)</w:t>
            </w:r>
          </w:p>
        </w:tc>
      </w:tr>
      <w:tr w:rsidR="00260845" w:rsidRPr="00E3505A" w:rsidTr="00F30153">
        <w:tc>
          <w:tcPr>
            <w:tcW w:w="2703" w:type="pct"/>
          </w:tcPr>
          <w:p w:rsidR="00260845" w:rsidRPr="0084450C" w:rsidRDefault="00260845" w:rsidP="00E965BD">
            <w:pPr>
              <w:pStyle w:val="TableText0"/>
            </w:pPr>
            <w:r w:rsidRPr="0084450C">
              <w:t>Baseline LDH (U/L), mean (SD)</w:t>
            </w:r>
          </w:p>
        </w:tc>
        <w:tc>
          <w:tcPr>
            <w:tcW w:w="1149" w:type="pct"/>
          </w:tcPr>
          <w:p w:rsidR="00260845" w:rsidRPr="0084450C" w:rsidRDefault="00260845" w:rsidP="00E965BD">
            <w:pPr>
              <w:pStyle w:val="TableText0"/>
            </w:pPr>
            <w:r w:rsidRPr="0084450C">
              <w:t>2,200 (1,034)</w:t>
            </w:r>
          </w:p>
        </w:tc>
        <w:tc>
          <w:tcPr>
            <w:tcW w:w="1148" w:type="pct"/>
          </w:tcPr>
          <w:p w:rsidR="00260845" w:rsidRPr="0084450C" w:rsidRDefault="00260845" w:rsidP="00E965BD">
            <w:pPr>
              <w:pStyle w:val="TableText0"/>
            </w:pPr>
            <w:r w:rsidRPr="0084450C">
              <w:t>2,258 (1,027)</w:t>
            </w:r>
          </w:p>
        </w:tc>
      </w:tr>
      <w:tr w:rsidR="00260845" w:rsidRPr="00E3505A" w:rsidTr="00F30153">
        <w:tc>
          <w:tcPr>
            <w:tcW w:w="2703" w:type="pct"/>
          </w:tcPr>
          <w:p w:rsidR="00260845" w:rsidRPr="0084450C" w:rsidRDefault="00260845" w:rsidP="00E965BD">
            <w:pPr>
              <w:pStyle w:val="TableText0"/>
            </w:pPr>
            <w:r w:rsidRPr="0084450C">
              <w:t>FACIT-F score</w:t>
            </w:r>
            <w:r w:rsidRPr="0084450C">
              <w:rPr>
                <w:vertAlign w:val="superscript"/>
              </w:rPr>
              <w:t>a</w:t>
            </w:r>
            <w:r w:rsidRPr="0084450C">
              <w:t>, mean (SD)</w:t>
            </w:r>
          </w:p>
        </w:tc>
        <w:tc>
          <w:tcPr>
            <w:tcW w:w="1149" w:type="pct"/>
          </w:tcPr>
          <w:p w:rsidR="00260845" w:rsidRPr="0084450C" w:rsidRDefault="00260845" w:rsidP="00E965BD">
            <w:pPr>
              <w:pStyle w:val="TableText0"/>
            </w:pPr>
            <w:r w:rsidRPr="0084450C">
              <w:t>36.7 (10.5)</w:t>
            </w:r>
          </w:p>
        </w:tc>
        <w:tc>
          <w:tcPr>
            <w:tcW w:w="1148" w:type="pct"/>
          </w:tcPr>
          <w:p w:rsidR="00260845" w:rsidRPr="0084450C" w:rsidRDefault="00260845" w:rsidP="00E965BD">
            <w:pPr>
              <w:pStyle w:val="TableText0"/>
            </w:pPr>
            <w:r w:rsidRPr="0084450C">
              <w:t>34.3 (12.0)</w:t>
            </w:r>
          </w:p>
        </w:tc>
      </w:tr>
      <w:tr w:rsidR="00260845" w:rsidRPr="00E3505A" w:rsidTr="00F30153">
        <w:tc>
          <w:tcPr>
            <w:tcW w:w="2703" w:type="pct"/>
          </w:tcPr>
          <w:p w:rsidR="00260845" w:rsidRPr="0084450C" w:rsidRDefault="00260845" w:rsidP="00E965BD">
            <w:pPr>
              <w:pStyle w:val="TableText0"/>
            </w:pPr>
            <w:r w:rsidRPr="0084450C">
              <w:t>Platelet count (x10</w:t>
            </w:r>
            <w:r w:rsidRPr="0084450C">
              <w:rPr>
                <w:vertAlign w:val="superscript"/>
              </w:rPr>
              <w:t>9</w:t>
            </w:r>
            <w:r w:rsidRPr="0084450C">
              <w:t>/L), mean (SD)</w:t>
            </w:r>
          </w:p>
        </w:tc>
        <w:tc>
          <w:tcPr>
            <w:tcW w:w="1149" w:type="pct"/>
          </w:tcPr>
          <w:p w:rsidR="00260845" w:rsidRPr="0084450C" w:rsidRDefault="00260845" w:rsidP="00E965BD">
            <w:pPr>
              <w:pStyle w:val="TableText0"/>
            </w:pPr>
            <w:r w:rsidRPr="0084450C">
              <w:t>188.8 (83.3)</w:t>
            </w:r>
          </w:p>
        </w:tc>
        <w:tc>
          <w:tcPr>
            <w:tcW w:w="1148" w:type="pct"/>
          </w:tcPr>
          <w:p w:rsidR="00260845" w:rsidRPr="0084450C" w:rsidRDefault="00260845" w:rsidP="00E965BD">
            <w:pPr>
              <w:pStyle w:val="TableText0"/>
            </w:pPr>
            <w:r w:rsidRPr="0084450C">
              <w:t>166.0 (94.2)</w:t>
            </w:r>
          </w:p>
        </w:tc>
      </w:tr>
      <w:tr w:rsidR="00260845" w:rsidRPr="00E3505A" w:rsidTr="00F30153">
        <w:tc>
          <w:tcPr>
            <w:tcW w:w="2703" w:type="pct"/>
          </w:tcPr>
          <w:p w:rsidR="00260845" w:rsidRPr="0084450C" w:rsidRDefault="00260845" w:rsidP="00E965BD">
            <w:pPr>
              <w:pStyle w:val="TableText0"/>
            </w:pPr>
            <w:r w:rsidRPr="0084450C">
              <w:t>Haemoglobin (g/dL), mean (SD)</w:t>
            </w:r>
          </w:p>
        </w:tc>
        <w:tc>
          <w:tcPr>
            <w:tcW w:w="1149" w:type="pct"/>
          </w:tcPr>
          <w:p w:rsidR="00260845" w:rsidRPr="0084450C" w:rsidRDefault="00260845" w:rsidP="00E965BD">
            <w:pPr>
              <w:pStyle w:val="TableText0"/>
            </w:pPr>
            <w:r w:rsidRPr="0084450C">
              <w:t>10.0 (1.2)</w:t>
            </w:r>
          </w:p>
        </w:tc>
        <w:tc>
          <w:tcPr>
            <w:tcW w:w="1148" w:type="pct"/>
          </w:tcPr>
          <w:p w:rsidR="00260845" w:rsidRPr="0084450C" w:rsidRDefault="00260845" w:rsidP="00E965BD">
            <w:pPr>
              <w:pStyle w:val="TableText0"/>
            </w:pPr>
            <w:r w:rsidRPr="0084450C">
              <w:t>9.7 (1.2)</w:t>
            </w:r>
          </w:p>
        </w:tc>
      </w:tr>
    </w:tbl>
    <w:p w:rsidR="00260845" w:rsidRDefault="00260845" w:rsidP="00E965BD">
      <w:pPr>
        <w:pStyle w:val="TableNote"/>
      </w:pPr>
      <w:r w:rsidRPr="00792257">
        <w:t>Source: Hillmen et al (2006) and Dmytrijuk et al (2008)</w:t>
      </w:r>
    </w:p>
    <w:p w:rsidR="00382709" w:rsidRPr="00792257" w:rsidRDefault="00382709" w:rsidP="00382709">
      <w:pPr>
        <w:pStyle w:val="TableNote"/>
      </w:pPr>
      <w:r>
        <w:t xml:space="preserve">FACIT-F </w:t>
      </w:r>
      <w:r w:rsidR="00652355" w:rsidRPr="00652355">
        <w:rPr>
          <w:spacing w:val="-20"/>
        </w:rPr>
        <w:t xml:space="preserve"> = </w:t>
      </w:r>
      <w:r>
        <w:t xml:space="preserve"> Functional Assessment of Chronic Illness Therapy-Fatigue; LDH </w:t>
      </w:r>
      <w:r w:rsidR="00652355" w:rsidRPr="00652355">
        <w:rPr>
          <w:spacing w:val="-20"/>
        </w:rPr>
        <w:t xml:space="preserve"> = </w:t>
      </w:r>
      <w:r>
        <w:t xml:space="preserve"> lactate dehydrogenase; SD </w:t>
      </w:r>
      <w:r w:rsidR="00652355" w:rsidRPr="00652355">
        <w:rPr>
          <w:spacing w:val="-20"/>
        </w:rPr>
        <w:t xml:space="preserve"> = </w:t>
      </w:r>
      <w:r>
        <w:t xml:space="preserve"> standard deviation; TRIUMPH </w:t>
      </w:r>
      <w:r w:rsidR="00652355" w:rsidRPr="00652355">
        <w:rPr>
          <w:spacing w:val="-20"/>
        </w:rPr>
        <w:t xml:space="preserve"> = </w:t>
      </w:r>
      <w:r>
        <w:t xml:space="preserve"> Transfusion Reduction Efficacy and Safety Clinical Investigation, a Randomised, </w:t>
      </w:r>
      <w:r w:rsidR="00E66055">
        <w:t>Multicentre</w:t>
      </w:r>
      <w:r>
        <w:t xml:space="preserve">, Double-Blind, Placebo-Controlled, Using Eculizumab in </w:t>
      </w:r>
      <w:r w:rsidR="00E66055">
        <w:t>Paroxysmal</w:t>
      </w:r>
      <w:r>
        <w:t xml:space="preserve"> Nocturnal </w:t>
      </w:r>
      <w:r w:rsidR="00E66055">
        <w:t>Haemoglobinuria</w:t>
      </w:r>
      <w:r>
        <w:t xml:space="preserve">; MI U/L </w:t>
      </w:r>
      <w:r w:rsidR="00652355" w:rsidRPr="00652355">
        <w:rPr>
          <w:spacing w:val="-20"/>
        </w:rPr>
        <w:t xml:space="preserve"> = </w:t>
      </w:r>
      <w:r>
        <w:t xml:space="preserve"> units per litre</w:t>
      </w:r>
    </w:p>
    <w:p w:rsidR="00260845" w:rsidRPr="00792257" w:rsidRDefault="00260845" w:rsidP="00E965BD">
      <w:pPr>
        <w:pStyle w:val="TableNote"/>
      </w:pPr>
      <w:proofErr w:type="gramStart"/>
      <w:r w:rsidRPr="00E965BD">
        <w:t>a</w:t>
      </w:r>
      <w:proofErr w:type="gramEnd"/>
      <w:r w:rsidRPr="00792257">
        <w:t xml:space="preserve"> The FACIT-Fatigue tool was administered prior to transfusion</w:t>
      </w:r>
    </w:p>
    <w:p w:rsidR="006E2AFB" w:rsidRDefault="00260845" w:rsidP="006E2AFB">
      <w:pPr>
        <w:pStyle w:val="TableNote"/>
      </w:pPr>
      <w:proofErr w:type="gramStart"/>
      <w:r w:rsidRPr="00E965BD">
        <w:t>b</w:t>
      </w:r>
      <w:proofErr w:type="gramEnd"/>
      <w:r w:rsidRPr="00792257">
        <w:t xml:space="preserve"> Source: </w:t>
      </w:r>
      <w:r w:rsidR="00A130D0">
        <w:rPr>
          <w:noProof/>
        </w:rPr>
        <w:t>(</w:t>
      </w:r>
      <w:r w:rsidR="00184B6F">
        <w:rPr>
          <w:noProof/>
        </w:rPr>
        <w:t>Schubert et al. 2008</w:t>
      </w:r>
      <w:r w:rsidR="00A130D0">
        <w:rPr>
          <w:noProof/>
        </w:rPr>
        <w:t>)</w:t>
      </w:r>
      <w:r w:rsidR="006E2AFB">
        <w:t xml:space="preserve"> </w:t>
      </w:r>
      <w:r w:rsidR="006E2AFB">
        <w:br w:type="page"/>
      </w:r>
    </w:p>
    <w:p w:rsidR="00260845" w:rsidRPr="00471A7B" w:rsidRDefault="00260845" w:rsidP="0096216D">
      <w:pPr>
        <w:pStyle w:val="Caption"/>
        <w:keepNext/>
        <w:tabs>
          <w:tab w:val="clear" w:pos="851"/>
          <w:tab w:val="left" w:pos="1276"/>
        </w:tabs>
        <w:ind w:left="1134" w:hanging="1134"/>
      </w:pPr>
      <w:bookmarkStart w:id="1157" w:name="_Ref402860339"/>
      <w:bookmarkStart w:id="1158" w:name="_Toc404350310"/>
      <w:bookmarkStart w:id="1159" w:name="_Toc404976362"/>
      <w:bookmarkStart w:id="1160" w:name="_Toc411510533"/>
      <w:bookmarkStart w:id="1161" w:name="_Toc415141963"/>
      <w:r>
        <w:lastRenderedPageBreak/>
        <w:t xml:space="preserve">Table </w:t>
      </w:r>
      <w:r w:rsidR="00A72B26">
        <w:rPr>
          <w:noProof/>
        </w:rPr>
        <w:t>166</w:t>
      </w:r>
      <w:bookmarkEnd w:id="1157"/>
      <w:r>
        <w:tab/>
      </w:r>
      <w:r w:rsidR="0096216D">
        <w:tab/>
      </w:r>
      <w:r w:rsidRPr="00471A7B">
        <w:t xml:space="preserve">Kidney disease outcomes quality initiative </w:t>
      </w:r>
      <w:r w:rsidR="00303A35">
        <w:t>(</w:t>
      </w:r>
      <w:r w:rsidRPr="00471A7B">
        <w:t>CKD stages</w:t>
      </w:r>
      <w:bookmarkEnd w:id="1158"/>
      <w:bookmarkEnd w:id="1159"/>
      <w:r w:rsidR="00303A35">
        <w:t>)</w:t>
      </w:r>
      <w:bookmarkEnd w:id="1160"/>
      <w:bookmarkEnd w:id="1161"/>
    </w:p>
    <w:tbl>
      <w:tblPr>
        <w:tblStyle w:val="TableGrid"/>
        <w:tblW w:w="0" w:type="auto"/>
        <w:tblLook w:val="04A0" w:firstRow="1" w:lastRow="0" w:firstColumn="1" w:lastColumn="0" w:noHBand="0" w:noVBand="1"/>
        <w:tblCaption w:val="Table 129  Kidney disease outcomes quality initiative (CKD stages)"/>
      </w:tblPr>
      <w:tblGrid>
        <w:gridCol w:w="2943"/>
        <w:gridCol w:w="11057"/>
      </w:tblGrid>
      <w:tr w:rsidR="00260845" w:rsidTr="00CE0D5D">
        <w:trPr>
          <w:tblHeader/>
        </w:trPr>
        <w:tc>
          <w:tcPr>
            <w:tcW w:w="2943" w:type="dxa"/>
          </w:tcPr>
          <w:p w:rsidR="00260845" w:rsidRPr="0084450C" w:rsidRDefault="00260845" w:rsidP="0084450C">
            <w:pPr>
              <w:pStyle w:val="TableHeading"/>
            </w:pPr>
            <w:r w:rsidRPr="0084450C">
              <w:t>Stage</w:t>
            </w:r>
          </w:p>
        </w:tc>
        <w:tc>
          <w:tcPr>
            <w:tcW w:w="11057" w:type="dxa"/>
          </w:tcPr>
          <w:p w:rsidR="00260845" w:rsidRPr="0084450C" w:rsidRDefault="00260845" w:rsidP="0084450C">
            <w:pPr>
              <w:pStyle w:val="TableHeading"/>
            </w:pPr>
            <w:r w:rsidRPr="0084450C">
              <w:t>Criteria</w:t>
            </w:r>
          </w:p>
        </w:tc>
      </w:tr>
      <w:tr w:rsidR="00260845" w:rsidTr="00E965BD">
        <w:tc>
          <w:tcPr>
            <w:tcW w:w="2943" w:type="dxa"/>
          </w:tcPr>
          <w:p w:rsidR="00260845" w:rsidRPr="0084450C" w:rsidRDefault="00260845" w:rsidP="00E965BD">
            <w:pPr>
              <w:pStyle w:val="TableText0"/>
            </w:pPr>
            <w:r w:rsidRPr="0084450C">
              <w:t>Stage 1</w:t>
            </w:r>
          </w:p>
        </w:tc>
        <w:tc>
          <w:tcPr>
            <w:tcW w:w="11057" w:type="dxa"/>
          </w:tcPr>
          <w:p w:rsidR="00260845" w:rsidRPr="0084450C" w:rsidRDefault="00260845" w:rsidP="00E965BD">
            <w:pPr>
              <w:pStyle w:val="TableText0"/>
            </w:pPr>
            <w:r w:rsidRPr="0084450C">
              <w:t>GFR &gt;90 mL/min/1.73m</w:t>
            </w:r>
            <w:r w:rsidRPr="0084450C">
              <w:rPr>
                <w:vertAlign w:val="superscript"/>
              </w:rPr>
              <w:t>2</w:t>
            </w:r>
          </w:p>
          <w:p w:rsidR="00260845" w:rsidRPr="0084450C" w:rsidRDefault="00260845" w:rsidP="00E965BD">
            <w:pPr>
              <w:pStyle w:val="TableText0"/>
            </w:pPr>
            <w:r w:rsidRPr="0084450C">
              <w:t>And evidence of kidney damage, which may include spot urinalysis with proteinuria or by abnormal imaging findings</w:t>
            </w:r>
          </w:p>
        </w:tc>
      </w:tr>
      <w:tr w:rsidR="00260845" w:rsidTr="00E965BD">
        <w:tc>
          <w:tcPr>
            <w:tcW w:w="2943" w:type="dxa"/>
          </w:tcPr>
          <w:p w:rsidR="00260845" w:rsidRPr="0084450C" w:rsidRDefault="00260845" w:rsidP="00E965BD">
            <w:pPr>
              <w:pStyle w:val="TableText0"/>
            </w:pPr>
            <w:r w:rsidRPr="0084450C">
              <w:t>Stage 2</w:t>
            </w:r>
          </w:p>
        </w:tc>
        <w:tc>
          <w:tcPr>
            <w:tcW w:w="11057" w:type="dxa"/>
          </w:tcPr>
          <w:p w:rsidR="00260845" w:rsidRPr="0084450C" w:rsidRDefault="00260845" w:rsidP="00E965BD">
            <w:pPr>
              <w:pStyle w:val="TableText0"/>
            </w:pPr>
            <w:r w:rsidRPr="0084450C">
              <w:t>GFR 60-90 mL/min/1.73m</w:t>
            </w:r>
            <w:r w:rsidRPr="0084450C">
              <w:rPr>
                <w:vertAlign w:val="superscript"/>
              </w:rPr>
              <w:t>2</w:t>
            </w:r>
          </w:p>
          <w:p w:rsidR="00260845" w:rsidRPr="0084450C" w:rsidRDefault="00260845" w:rsidP="00E965BD">
            <w:pPr>
              <w:pStyle w:val="TableText0"/>
            </w:pPr>
            <w:r w:rsidRPr="0084450C">
              <w:t>And evidence of kidney damage, which may include spot urinalysis with proteinuria or by abnormal imaging findings</w:t>
            </w:r>
          </w:p>
        </w:tc>
      </w:tr>
      <w:tr w:rsidR="00260845" w:rsidTr="00E965BD">
        <w:tc>
          <w:tcPr>
            <w:tcW w:w="2943" w:type="dxa"/>
          </w:tcPr>
          <w:p w:rsidR="00260845" w:rsidRPr="0084450C" w:rsidRDefault="00260845" w:rsidP="00E965BD">
            <w:pPr>
              <w:pStyle w:val="TableText0"/>
            </w:pPr>
            <w:r w:rsidRPr="0084450C">
              <w:t>Stage 3</w:t>
            </w:r>
          </w:p>
        </w:tc>
        <w:tc>
          <w:tcPr>
            <w:tcW w:w="11057" w:type="dxa"/>
          </w:tcPr>
          <w:p w:rsidR="00260845" w:rsidRPr="0084450C" w:rsidRDefault="00260845" w:rsidP="00E965BD">
            <w:pPr>
              <w:pStyle w:val="TableText0"/>
            </w:pPr>
            <w:r w:rsidRPr="0084450C">
              <w:t>GFR 30-60 mL/min/1.73m</w:t>
            </w:r>
            <w:r w:rsidRPr="0084450C">
              <w:rPr>
                <w:vertAlign w:val="superscript"/>
              </w:rPr>
              <w:t>2</w:t>
            </w:r>
          </w:p>
        </w:tc>
      </w:tr>
      <w:tr w:rsidR="00260845" w:rsidTr="00E965BD">
        <w:tc>
          <w:tcPr>
            <w:tcW w:w="2943" w:type="dxa"/>
          </w:tcPr>
          <w:p w:rsidR="00260845" w:rsidRPr="0084450C" w:rsidRDefault="00260845" w:rsidP="00E965BD">
            <w:pPr>
              <w:pStyle w:val="TableText0"/>
            </w:pPr>
            <w:r w:rsidRPr="0084450C">
              <w:t>Stage 4</w:t>
            </w:r>
          </w:p>
        </w:tc>
        <w:tc>
          <w:tcPr>
            <w:tcW w:w="11057" w:type="dxa"/>
          </w:tcPr>
          <w:p w:rsidR="00260845" w:rsidRPr="0084450C" w:rsidRDefault="00260845" w:rsidP="00E965BD">
            <w:pPr>
              <w:pStyle w:val="TableText0"/>
            </w:pPr>
            <w:r w:rsidRPr="0084450C">
              <w:t>GFR 15-30 mL/min/1.73m</w:t>
            </w:r>
            <w:r w:rsidRPr="0084450C">
              <w:rPr>
                <w:vertAlign w:val="superscript"/>
              </w:rPr>
              <w:t>2</w:t>
            </w:r>
          </w:p>
        </w:tc>
      </w:tr>
      <w:tr w:rsidR="00260845" w:rsidTr="00E965BD">
        <w:tc>
          <w:tcPr>
            <w:tcW w:w="2943" w:type="dxa"/>
          </w:tcPr>
          <w:p w:rsidR="00260845" w:rsidRPr="0084450C" w:rsidRDefault="00260845" w:rsidP="00E965BD">
            <w:pPr>
              <w:pStyle w:val="TableText0"/>
            </w:pPr>
            <w:r w:rsidRPr="0084450C">
              <w:t>Stage 5</w:t>
            </w:r>
          </w:p>
        </w:tc>
        <w:tc>
          <w:tcPr>
            <w:tcW w:w="11057" w:type="dxa"/>
          </w:tcPr>
          <w:p w:rsidR="00260845" w:rsidRPr="0084450C" w:rsidRDefault="00260845" w:rsidP="00E965BD">
            <w:pPr>
              <w:pStyle w:val="TableText0"/>
            </w:pPr>
            <w:r w:rsidRPr="0084450C">
              <w:t>GFR &lt;15 mL/min/1.73m</w:t>
            </w:r>
            <w:r w:rsidRPr="0084450C">
              <w:rPr>
                <w:vertAlign w:val="superscript"/>
              </w:rPr>
              <w:t>2</w:t>
            </w:r>
          </w:p>
        </w:tc>
      </w:tr>
    </w:tbl>
    <w:p w:rsidR="00260845" w:rsidRDefault="00260845" w:rsidP="00E965BD">
      <w:pPr>
        <w:pStyle w:val="TableNote"/>
      </w:pPr>
      <w:r>
        <w:t xml:space="preserve">Source: Extracted from </w:t>
      </w:r>
      <w:r w:rsidR="00A130D0">
        <w:rPr>
          <w:noProof/>
        </w:rPr>
        <w:t>(</w:t>
      </w:r>
      <w:r w:rsidR="00184B6F">
        <w:rPr>
          <w:noProof/>
        </w:rPr>
        <w:t>Hillmen et al. 2010</w:t>
      </w:r>
      <w:r w:rsidR="00A130D0">
        <w:rPr>
          <w:noProof/>
        </w:rPr>
        <w:t>)</w:t>
      </w:r>
    </w:p>
    <w:p w:rsidR="00260845" w:rsidRDefault="00E66055" w:rsidP="00815F25">
      <w:pPr>
        <w:pStyle w:val="TableNote"/>
      </w:pPr>
      <w:r>
        <w:t xml:space="preserve">CKD </w:t>
      </w:r>
      <w:r w:rsidRPr="00652355">
        <w:rPr>
          <w:spacing w:val="-20"/>
        </w:rPr>
        <w:t xml:space="preserve">= </w:t>
      </w:r>
      <w:r>
        <w:t>chronic</w:t>
      </w:r>
      <w:r w:rsidR="00815F25">
        <w:t xml:space="preserve"> kidney disease; </w:t>
      </w:r>
      <w:r>
        <w:t xml:space="preserve">GFR </w:t>
      </w:r>
      <w:r w:rsidRPr="00652355">
        <w:rPr>
          <w:spacing w:val="-20"/>
        </w:rPr>
        <w:t xml:space="preserve">= </w:t>
      </w:r>
      <w:r>
        <w:t>glomerular</w:t>
      </w:r>
      <w:r w:rsidR="00815F25">
        <w:t xml:space="preserve"> filtration rate</w:t>
      </w:r>
    </w:p>
    <w:p w:rsidR="00260845" w:rsidRPr="00260845" w:rsidRDefault="00260845" w:rsidP="00260845"/>
    <w:p w:rsidR="00EA2754" w:rsidRDefault="00086025" w:rsidP="0096216D">
      <w:pPr>
        <w:pStyle w:val="Caption"/>
        <w:keepNext/>
        <w:tabs>
          <w:tab w:val="clear" w:pos="851"/>
          <w:tab w:val="left" w:pos="1276"/>
        </w:tabs>
        <w:ind w:left="1134" w:hanging="1134"/>
      </w:pPr>
      <w:bookmarkStart w:id="1162" w:name="_Toc404350311"/>
      <w:bookmarkStart w:id="1163" w:name="_Toc404976363"/>
      <w:bookmarkStart w:id="1164" w:name="_Toc411510534"/>
      <w:bookmarkStart w:id="1165" w:name="_Toc415141964"/>
      <w:r>
        <w:t xml:space="preserve">Table </w:t>
      </w:r>
      <w:r w:rsidR="00A72B26">
        <w:rPr>
          <w:noProof/>
        </w:rPr>
        <w:t>167</w:t>
      </w:r>
      <w:r>
        <w:tab/>
      </w:r>
      <w:r w:rsidR="0096216D">
        <w:tab/>
      </w:r>
      <w:r w:rsidR="00634A73">
        <w:t>Body of e</w:t>
      </w:r>
      <w:r>
        <w:t xml:space="preserve">vidence </w:t>
      </w:r>
      <w:r w:rsidR="0071270D">
        <w:t>profile</w:t>
      </w:r>
      <w:r>
        <w:t>s</w:t>
      </w:r>
      <w:r w:rsidR="00791A76">
        <w:t xml:space="preserve"> </w:t>
      </w:r>
      <w:r w:rsidR="006804C9">
        <w:t>(</w:t>
      </w:r>
      <w:r w:rsidR="00303767">
        <w:t xml:space="preserve">modified </w:t>
      </w:r>
      <w:r w:rsidR="0071270D">
        <w:t>GRADE output</w:t>
      </w:r>
      <w:r w:rsidR="00791A76">
        <w:t>)</w:t>
      </w:r>
      <w:bookmarkEnd w:id="1162"/>
      <w:bookmarkEnd w:id="1163"/>
      <w:bookmarkEnd w:id="1164"/>
      <w:bookmarkEnd w:id="1165"/>
    </w:p>
    <w:p w:rsidR="00EA2754" w:rsidRPr="00634A73" w:rsidRDefault="00B13D96" w:rsidP="00634A73">
      <w:pPr>
        <w:pStyle w:val="NormalWeb"/>
        <w:jc w:val="left"/>
        <w:rPr>
          <w:rFonts w:ascii="Arial Narrow" w:hAnsi="Arial Narrow" w:cs="Arial"/>
          <w:color w:val="000000"/>
          <w:sz w:val="22"/>
          <w:szCs w:val="22"/>
        </w:rPr>
      </w:pPr>
      <w:r w:rsidRPr="00634A73">
        <w:rPr>
          <w:rFonts w:ascii="Arial Narrow" w:hAnsi="Arial Narrow" w:cs="Arial"/>
          <w:b/>
          <w:bCs/>
          <w:color w:val="000000"/>
          <w:sz w:val="22"/>
          <w:szCs w:val="22"/>
        </w:rPr>
        <w:t xml:space="preserve">Author(s): </w:t>
      </w:r>
      <w:r w:rsidRPr="00634A73">
        <w:rPr>
          <w:rFonts w:ascii="Arial Narrow" w:hAnsi="Arial Narrow" w:cs="Arial"/>
          <w:color w:val="000000"/>
          <w:sz w:val="22"/>
          <w:szCs w:val="22"/>
        </w:rPr>
        <w:br/>
      </w:r>
      <w:r w:rsidRPr="00634A73">
        <w:rPr>
          <w:rFonts w:ascii="Arial Narrow" w:hAnsi="Arial Narrow" w:cs="Arial"/>
          <w:b/>
          <w:bCs/>
          <w:color w:val="000000"/>
          <w:sz w:val="22"/>
          <w:szCs w:val="22"/>
        </w:rPr>
        <w:t xml:space="preserve">Date: </w:t>
      </w:r>
      <w:r w:rsidRPr="00634A73">
        <w:rPr>
          <w:rFonts w:ascii="Arial Narrow" w:hAnsi="Arial Narrow" w:cs="Arial"/>
          <w:color w:val="000000"/>
          <w:sz w:val="22"/>
          <w:szCs w:val="22"/>
        </w:rPr>
        <w:br/>
      </w:r>
      <w:r w:rsidRPr="00634A73">
        <w:rPr>
          <w:rFonts w:ascii="Arial Narrow" w:hAnsi="Arial Narrow" w:cs="Arial"/>
          <w:b/>
          <w:bCs/>
          <w:color w:val="000000"/>
          <w:sz w:val="22"/>
          <w:szCs w:val="22"/>
        </w:rPr>
        <w:t xml:space="preserve">Question: </w:t>
      </w:r>
      <w:r w:rsidRPr="00634A73">
        <w:rPr>
          <w:rFonts w:ascii="Arial Narrow" w:hAnsi="Arial Narrow" w:cs="Arial"/>
          <w:color w:val="000000"/>
          <w:sz w:val="22"/>
          <w:szCs w:val="22"/>
        </w:rPr>
        <w:br/>
      </w:r>
      <w:r w:rsidR="00634A73">
        <w:rPr>
          <w:rFonts w:ascii="Arial Narrow" w:hAnsi="Arial Narrow" w:cs="Arial"/>
          <w:b/>
          <w:bCs/>
          <w:color w:val="000000"/>
          <w:sz w:val="22"/>
          <w:szCs w:val="22"/>
        </w:rPr>
        <w:t>Countries/</w:t>
      </w:r>
      <w:r w:rsidRPr="00634A73">
        <w:rPr>
          <w:rFonts w:ascii="Arial Narrow" w:hAnsi="Arial Narrow" w:cs="Arial"/>
          <w:b/>
          <w:bCs/>
          <w:color w:val="000000"/>
          <w:sz w:val="22"/>
          <w:szCs w:val="22"/>
        </w:rPr>
        <w:t xml:space="preserve">Settings: </w:t>
      </w:r>
      <w:r w:rsidRPr="00634A73">
        <w:rPr>
          <w:rFonts w:ascii="Arial Narrow" w:hAnsi="Arial Narrow" w:cs="Arial"/>
          <w:color w:val="000000"/>
          <w:sz w:val="22"/>
          <w:szCs w:val="22"/>
        </w:rPr>
        <w:br/>
      </w:r>
      <w:r w:rsidRPr="00634A73">
        <w:rPr>
          <w:rFonts w:ascii="Arial Narrow" w:hAnsi="Arial Narrow" w:cs="Arial"/>
          <w:b/>
          <w:bCs/>
          <w:color w:val="000000"/>
          <w:sz w:val="22"/>
          <w:szCs w:val="22"/>
        </w:rPr>
        <w:t xml:space="preserve">Bibliography: </w:t>
      </w:r>
    </w:p>
    <w:tbl>
      <w:tblPr>
        <w:tblW w:w="5000" w:type="pct"/>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889"/>
        <w:gridCol w:w="827"/>
        <w:gridCol w:w="709"/>
        <w:gridCol w:w="1276"/>
        <w:gridCol w:w="850"/>
        <w:gridCol w:w="1134"/>
        <w:gridCol w:w="1134"/>
        <w:gridCol w:w="1134"/>
        <w:gridCol w:w="1276"/>
        <w:gridCol w:w="992"/>
        <w:gridCol w:w="1276"/>
        <w:gridCol w:w="1418"/>
        <w:gridCol w:w="1073"/>
      </w:tblGrid>
      <w:tr w:rsidR="00110AAA" w:rsidRPr="00486A04" w:rsidTr="00926901">
        <w:trPr>
          <w:trHeight w:val="410"/>
        </w:trPr>
        <w:tc>
          <w:tcPr>
            <w:tcW w:w="6819" w:type="dxa"/>
            <w:gridSpan w:val="7"/>
            <w:vMerge w:val="restart"/>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rsidP="00926901">
            <w:pPr>
              <w:spacing w:after="40" w:line="240" w:lineRule="auto"/>
              <w:jc w:val="center"/>
              <w:rPr>
                <w:rFonts w:ascii="Arial Narrow" w:hAnsi="Arial Narrow" w:cs="Arial"/>
                <w:b/>
                <w:bCs/>
                <w:sz w:val="22"/>
                <w:szCs w:val="22"/>
              </w:rPr>
            </w:pPr>
            <w:r w:rsidRPr="00634A73">
              <w:rPr>
                <w:rFonts w:ascii="Arial Narrow" w:hAnsi="Arial Narrow" w:cs="Arial"/>
                <w:b/>
                <w:bCs/>
                <w:sz w:val="22"/>
                <w:szCs w:val="22"/>
              </w:rPr>
              <w:t>Quality assessment</w:t>
            </w:r>
          </w:p>
        </w:tc>
        <w:tc>
          <w:tcPr>
            <w:tcW w:w="2410" w:type="dxa"/>
            <w:gridSpan w:val="2"/>
            <w:vMerge w:val="restart"/>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rsidP="00926901">
            <w:pPr>
              <w:spacing w:after="40" w:line="240" w:lineRule="auto"/>
              <w:jc w:val="center"/>
              <w:rPr>
                <w:rFonts w:ascii="Arial Narrow" w:hAnsi="Arial Narrow" w:cs="Arial"/>
                <w:b/>
                <w:bCs/>
                <w:sz w:val="22"/>
                <w:szCs w:val="22"/>
              </w:rPr>
            </w:pPr>
            <w:r w:rsidRPr="00634A73">
              <w:rPr>
                <w:rFonts w:ascii="Arial Narrow" w:hAnsi="Arial Narrow" w:cs="Arial"/>
                <w:b/>
                <w:bCs/>
                <w:sz w:val="22"/>
                <w:szCs w:val="22"/>
              </w:rPr>
              <w:t>No of patients</w:t>
            </w:r>
          </w:p>
        </w:tc>
        <w:tc>
          <w:tcPr>
            <w:tcW w:w="2268" w:type="dxa"/>
            <w:gridSpan w:val="2"/>
            <w:vMerge w:val="restart"/>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rsidP="00926901">
            <w:pPr>
              <w:spacing w:after="40" w:line="240" w:lineRule="auto"/>
              <w:jc w:val="center"/>
              <w:rPr>
                <w:rFonts w:ascii="Arial Narrow" w:hAnsi="Arial Narrow" w:cs="Arial"/>
                <w:b/>
                <w:bCs/>
                <w:sz w:val="22"/>
                <w:szCs w:val="22"/>
              </w:rPr>
            </w:pPr>
            <w:r w:rsidRPr="00634A73">
              <w:rPr>
                <w:rFonts w:ascii="Arial Narrow" w:hAnsi="Arial Narrow" w:cs="Arial"/>
                <w:b/>
                <w:bCs/>
                <w:sz w:val="22"/>
                <w:szCs w:val="22"/>
              </w:rPr>
              <w:t>Effect</w:t>
            </w:r>
          </w:p>
        </w:tc>
        <w:tc>
          <w:tcPr>
            <w:tcW w:w="1418" w:type="dxa"/>
            <w:vMerge w:val="restart"/>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CF22E3" w:rsidRDefault="00B13D96">
            <w:pPr>
              <w:keepNext/>
              <w:keepLines/>
              <w:tabs>
                <w:tab w:val="left" w:pos="567"/>
              </w:tabs>
              <w:spacing w:before="480"/>
              <w:jc w:val="center"/>
              <w:outlineLvl w:val="0"/>
              <w:rPr>
                <w:rFonts w:ascii="Arial Narrow" w:hAnsi="Arial Narrow" w:cs="Arial"/>
                <w:b/>
                <w:bCs/>
                <w:sz w:val="22"/>
                <w:szCs w:val="22"/>
                <w:vertAlign w:val="superscript"/>
              </w:rPr>
            </w:pPr>
            <w:r w:rsidRPr="00634A73">
              <w:rPr>
                <w:rFonts w:ascii="Arial Narrow" w:hAnsi="Arial Narrow" w:cs="Arial"/>
                <w:b/>
                <w:bCs/>
                <w:sz w:val="22"/>
                <w:szCs w:val="22"/>
              </w:rPr>
              <w:t>Quality</w:t>
            </w:r>
          </w:p>
        </w:tc>
        <w:tc>
          <w:tcPr>
            <w:tcW w:w="1073" w:type="dxa"/>
            <w:vMerge w:val="restart"/>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pPr>
              <w:jc w:val="center"/>
              <w:rPr>
                <w:rFonts w:ascii="Arial Narrow" w:hAnsi="Arial Narrow" w:cs="Arial"/>
                <w:b/>
                <w:bCs/>
                <w:sz w:val="22"/>
                <w:szCs w:val="22"/>
              </w:rPr>
            </w:pPr>
            <w:r w:rsidRPr="00634A73">
              <w:rPr>
                <w:rFonts w:ascii="Arial Narrow" w:hAnsi="Arial Narrow" w:cs="Arial"/>
                <w:b/>
                <w:bCs/>
                <w:sz w:val="22"/>
                <w:szCs w:val="22"/>
              </w:rPr>
              <w:t>Importance</w:t>
            </w:r>
          </w:p>
        </w:tc>
      </w:tr>
      <w:tr w:rsidR="00110AAA" w:rsidRPr="00486A04" w:rsidTr="00926901">
        <w:trPr>
          <w:trHeight w:val="410"/>
        </w:trPr>
        <w:tc>
          <w:tcPr>
            <w:tcW w:w="6819" w:type="dxa"/>
            <w:gridSpan w:val="7"/>
            <w:vMerge/>
            <w:tcBorders>
              <w:top w:val="single" w:sz="6" w:space="0" w:color="000000"/>
              <w:left w:val="single" w:sz="6" w:space="0" w:color="000000"/>
              <w:bottom w:val="single" w:sz="6" w:space="0" w:color="000000"/>
              <w:right w:val="single" w:sz="6" w:space="0" w:color="000000"/>
            </w:tcBorders>
            <w:shd w:val="clear" w:color="auto" w:fill="8DB3E2" w:themeFill="text2" w:themeFillTint="66"/>
            <w:vAlign w:val="center"/>
            <w:hideMark/>
          </w:tcPr>
          <w:p w:rsidR="0071270D" w:rsidRPr="00634A73" w:rsidRDefault="0071270D">
            <w:pPr>
              <w:rPr>
                <w:rFonts w:ascii="Arial Narrow" w:hAnsi="Arial Narrow" w:cs="Arial"/>
                <w:b/>
                <w:bCs/>
                <w:sz w:val="22"/>
                <w:szCs w:val="22"/>
              </w:rPr>
            </w:pPr>
          </w:p>
        </w:tc>
        <w:tc>
          <w:tcPr>
            <w:tcW w:w="2410" w:type="dxa"/>
            <w:gridSpan w:val="2"/>
            <w:vMerge/>
            <w:tcBorders>
              <w:top w:val="single" w:sz="6" w:space="0" w:color="000000"/>
              <w:left w:val="single" w:sz="6" w:space="0" w:color="000000"/>
              <w:bottom w:val="single" w:sz="6" w:space="0" w:color="000000"/>
              <w:right w:val="single" w:sz="6" w:space="0" w:color="000000"/>
            </w:tcBorders>
            <w:shd w:val="clear" w:color="auto" w:fill="8DB3E2" w:themeFill="text2" w:themeFillTint="66"/>
            <w:vAlign w:val="center"/>
            <w:hideMark/>
          </w:tcPr>
          <w:p w:rsidR="0071270D" w:rsidRPr="00634A73" w:rsidRDefault="0071270D">
            <w:pPr>
              <w:rPr>
                <w:rFonts w:ascii="Arial Narrow" w:hAnsi="Arial Narrow" w:cs="Arial"/>
                <w:b/>
                <w:bCs/>
                <w:sz w:val="22"/>
                <w:szCs w:val="22"/>
              </w:rPr>
            </w:pPr>
          </w:p>
        </w:tc>
        <w:tc>
          <w:tcPr>
            <w:tcW w:w="2268" w:type="dxa"/>
            <w:gridSpan w:val="2"/>
            <w:vMerge/>
            <w:tcBorders>
              <w:top w:val="single" w:sz="6" w:space="0" w:color="000000"/>
              <w:left w:val="single" w:sz="6" w:space="0" w:color="000000"/>
              <w:bottom w:val="single" w:sz="6" w:space="0" w:color="000000"/>
              <w:right w:val="single" w:sz="6" w:space="0" w:color="000000"/>
            </w:tcBorders>
            <w:shd w:val="clear" w:color="auto" w:fill="8DB3E2" w:themeFill="text2" w:themeFillTint="66"/>
            <w:vAlign w:val="center"/>
            <w:hideMark/>
          </w:tcPr>
          <w:p w:rsidR="0071270D" w:rsidRPr="00634A73" w:rsidRDefault="0071270D">
            <w:pPr>
              <w:rPr>
                <w:rFonts w:ascii="Arial Narrow" w:hAnsi="Arial Narrow" w:cs="Arial"/>
                <w:b/>
                <w:bCs/>
                <w:sz w:val="22"/>
                <w:szCs w:val="22"/>
              </w:rPr>
            </w:pPr>
          </w:p>
        </w:tc>
        <w:tc>
          <w:tcPr>
            <w:tcW w:w="1418" w:type="dxa"/>
            <w:vMerge/>
            <w:tcBorders>
              <w:top w:val="single" w:sz="6" w:space="0" w:color="000000"/>
              <w:left w:val="single" w:sz="6" w:space="0" w:color="000000"/>
              <w:bottom w:val="single" w:sz="6" w:space="0" w:color="000000"/>
              <w:right w:val="single" w:sz="6" w:space="0" w:color="000000"/>
            </w:tcBorders>
            <w:shd w:val="clear" w:color="auto" w:fill="8DB3E2" w:themeFill="text2" w:themeFillTint="66"/>
            <w:vAlign w:val="center"/>
            <w:hideMark/>
          </w:tcPr>
          <w:p w:rsidR="0071270D" w:rsidRPr="00634A73" w:rsidRDefault="0071270D">
            <w:pPr>
              <w:rPr>
                <w:rFonts w:ascii="Arial Narrow" w:hAnsi="Arial Narrow" w:cs="Arial"/>
                <w:b/>
                <w:bCs/>
                <w:sz w:val="22"/>
                <w:szCs w:val="22"/>
              </w:rPr>
            </w:pPr>
          </w:p>
        </w:tc>
        <w:tc>
          <w:tcPr>
            <w:tcW w:w="1073" w:type="dxa"/>
            <w:vMerge/>
            <w:tcBorders>
              <w:top w:val="single" w:sz="6" w:space="0" w:color="000000"/>
              <w:left w:val="single" w:sz="6" w:space="0" w:color="000000"/>
              <w:bottom w:val="single" w:sz="6" w:space="0" w:color="000000"/>
              <w:right w:val="single" w:sz="6" w:space="0" w:color="000000"/>
            </w:tcBorders>
            <w:shd w:val="clear" w:color="auto" w:fill="8DB3E2" w:themeFill="text2" w:themeFillTint="66"/>
            <w:vAlign w:val="center"/>
            <w:hideMark/>
          </w:tcPr>
          <w:p w:rsidR="0071270D" w:rsidRPr="00634A73" w:rsidRDefault="0071270D">
            <w:pPr>
              <w:rPr>
                <w:rFonts w:ascii="Arial Narrow" w:hAnsi="Arial Narrow" w:cs="Arial"/>
                <w:b/>
                <w:bCs/>
                <w:sz w:val="22"/>
                <w:szCs w:val="22"/>
              </w:rPr>
            </w:pPr>
          </w:p>
        </w:tc>
      </w:tr>
      <w:tr w:rsidR="00817922" w:rsidRPr="00486A04" w:rsidTr="00926901">
        <w:tc>
          <w:tcPr>
            <w:tcW w:w="88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pPr>
              <w:jc w:val="center"/>
              <w:rPr>
                <w:rFonts w:ascii="Arial Narrow" w:hAnsi="Arial Narrow" w:cs="Arial"/>
                <w:b/>
                <w:bCs/>
                <w:sz w:val="22"/>
                <w:szCs w:val="22"/>
              </w:rPr>
            </w:pPr>
            <w:r w:rsidRPr="00634A73">
              <w:rPr>
                <w:rFonts w:ascii="Arial Narrow" w:hAnsi="Arial Narrow" w:cs="Arial"/>
                <w:b/>
                <w:bCs/>
                <w:sz w:val="22"/>
                <w:szCs w:val="22"/>
              </w:rPr>
              <w:t>No of studies</w:t>
            </w:r>
          </w:p>
        </w:tc>
        <w:tc>
          <w:tcPr>
            <w:tcW w:w="827"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pPr>
              <w:jc w:val="center"/>
              <w:rPr>
                <w:rFonts w:ascii="Arial Narrow" w:hAnsi="Arial Narrow" w:cs="Arial"/>
                <w:b/>
                <w:bCs/>
                <w:sz w:val="22"/>
                <w:szCs w:val="22"/>
              </w:rPr>
            </w:pPr>
            <w:r w:rsidRPr="00634A73">
              <w:rPr>
                <w:rFonts w:ascii="Arial Narrow" w:hAnsi="Arial Narrow" w:cs="Arial"/>
                <w:b/>
                <w:bCs/>
                <w:sz w:val="22"/>
                <w:szCs w:val="22"/>
              </w:rPr>
              <w:t>Design/ Level of evidence</w:t>
            </w:r>
          </w:p>
        </w:tc>
        <w:tc>
          <w:tcPr>
            <w:tcW w:w="709"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pPr>
              <w:jc w:val="center"/>
              <w:rPr>
                <w:rFonts w:ascii="Arial Narrow" w:hAnsi="Arial Narrow" w:cs="Arial"/>
                <w:b/>
                <w:bCs/>
                <w:sz w:val="22"/>
                <w:szCs w:val="22"/>
              </w:rPr>
            </w:pPr>
            <w:r w:rsidRPr="00634A73">
              <w:rPr>
                <w:rFonts w:ascii="Arial Narrow" w:hAnsi="Arial Narrow" w:cs="Arial"/>
                <w:b/>
                <w:bCs/>
                <w:sz w:val="22"/>
                <w:szCs w:val="22"/>
              </w:rPr>
              <w:t>Risk of bias</w:t>
            </w:r>
          </w:p>
        </w:tc>
        <w:tc>
          <w:tcPr>
            <w:tcW w:w="1276"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pPr>
              <w:jc w:val="center"/>
              <w:rPr>
                <w:rFonts w:ascii="Arial Narrow" w:hAnsi="Arial Narrow" w:cs="Arial"/>
                <w:b/>
                <w:bCs/>
                <w:sz w:val="22"/>
                <w:szCs w:val="22"/>
              </w:rPr>
            </w:pPr>
            <w:r w:rsidRPr="00634A73">
              <w:rPr>
                <w:rFonts w:ascii="Arial Narrow" w:hAnsi="Arial Narrow" w:cs="Arial"/>
                <w:b/>
                <w:bCs/>
                <w:sz w:val="22"/>
                <w:szCs w:val="22"/>
              </w:rPr>
              <w:t>Inconsistency</w:t>
            </w:r>
          </w:p>
        </w:tc>
        <w:tc>
          <w:tcPr>
            <w:tcW w:w="850"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pPr>
              <w:jc w:val="center"/>
              <w:rPr>
                <w:rFonts w:ascii="Arial Narrow" w:hAnsi="Arial Narrow" w:cs="Arial"/>
                <w:b/>
                <w:bCs/>
                <w:sz w:val="22"/>
                <w:szCs w:val="22"/>
              </w:rPr>
            </w:pPr>
            <w:r w:rsidRPr="00634A73">
              <w:rPr>
                <w:rFonts w:ascii="Arial Narrow" w:hAnsi="Arial Narrow" w:cs="Arial"/>
                <w:b/>
                <w:bCs/>
                <w:sz w:val="22"/>
                <w:szCs w:val="22"/>
              </w:rPr>
              <w:t>Indirect</w:t>
            </w:r>
            <w:r w:rsidR="00634A73">
              <w:rPr>
                <w:rFonts w:ascii="Arial Narrow" w:hAnsi="Arial Narrow" w:cs="Arial"/>
                <w:b/>
                <w:bCs/>
                <w:sz w:val="22"/>
                <w:szCs w:val="22"/>
              </w:rPr>
              <w:t>-</w:t>
            </w:r>
            <w:r w:rsidRPr="00634A73">
              <w:rPr>
                <w:rFonts w:ascii="Arial Narrow" w:hAnsi="Arial Narrow" w:cs="Arial"/>
                <w:b/>
                <w:bCs/>
                <w:sz w:val="22"/>
                <w:szCs w:val="22"/>
              </w:rPr>
              <w:t>ness</w:t>
            </w:r>
          </w:p>
        </w:tc>
        <w:tc>
          <w:tcPr>
            <w:tcW w:w="1134"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pPr>
              <w:jc w:val="center"/>
              <w:rPr>
                <w:rFonts w:ascii="Arial Narrow" w:hAnsi="Arial Narrow" w:cs="Arial"/>
                <w:b/>
                <w:bCs/>
                <w:sz w:val="22"/>
                <w:szCs w:val="22"/>
              </w:rPr>
            </w:pPr>
            <w:r w:rsidRPr="00634A73">
              <w:rPr>
                <w:rFonts w:ascii="Arial Narrow" w:hAnsi="Arial Narrow" w:cs="Arial"/>
                <w:b/>
                <w:bCs/>
                <w:sz w:val="22"/>
                <w:szCs w:val="22"/>
              </w:rPr>
              <w:t>Imprecision</w:t>
            </w:r>
          </w:p>
        </w:tc>
        <w:tc>
          <w:tcPr>
            <w:tcW w:w="1134"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pPr>
              <w:jc w:val="center"/>
              <w:rPr>
                <w:rFonts w:ascii="Arial Narrow" w:hAnsi="Arial Narrow" w:cs="Arial"/>
                <w:b/>
                <w:bCs/>
                <w:sz w:val="22"/>
                <w:szCs w:val="22"/>
              </w:rPr>
            </w:pPr>
            <w:r w:rsidRPr="00634A73">
              <w:rPr>
                <w:rFonts w:ascii="Arial Narrow" w:hAnsi="Arial Narrow" w:cs="Arial"/>
                <w:b/>
                <w:bCs/>
                <w:sz w:val="22"/>
                <w:szCs w:val="22"/>
              </w:rPr>
              <w:t>Other consider</w:t>
            </w:r>
            <w:r w:rsidR="00634A73">
              <w:rPr>
                <w:rFonts w:ascii="Arial Narrow" w:hAnsi="Arial Narrow" w:cs="Arial"/>
                <w:b/>
                <w:bCs/>
                <w:sz w:val="22"/>
                <w:szCs w:val="22"/>
              </w:rPr>
              <w:t>-</w:t>
            </w:r>
            <w:r w:rsidRPr="00634A73">
              <w:rPr>
                <w:rFonts w:ascii="Arial Narrow" w:hAnsi="Arial Narrow" w:cs="Arial"/>
                <w:b/>
                <w:bCs/>
                <w:sz w:val="22"/>
                <w:szCs w:val="22"/>
              </w:rPr>
              <w:t>ations</w:t>
            </w:r>
          </w:p>
        </w:tc>
        <w:tc>
          <w:tcPr>
            <w:tcW w:w="1134"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pPr>
              <w:jc w:val="center"/>
              <w:rPr>
                <w:rFonts w:ascii="Arial Narrow" w:hAnsi="Arial Narrow" w:cs="Arial"/>
                <w:b/>
                <w:bCs/>
                <w:sz w:val="22"/>
                <w:szCs w:val="22"/>
              </w:rPr>
            </w:pPr>
            <w:r w:rsidRPr="00634A73">
              <w:rPr>
                <w:rFonts w:ascii="Arial Narrow" w:hAnsi="Arial Narrow" w:cs="Arial"/>
                <w:b/>
                <w:bCs/>
                <w:sz w:val="22"/>
                <w:szCs w:val="22"/>
              </w:rPr>
              <w:t xml:space="preserve">Intervention </w:t>
            </w:r>
          </w:p>
        </w:tc>
        <w:tc>
          <w:tcPr>
            <w:tcW w:w="1276"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pPr>
              <w:jc w:val="center"/>
              <w:rPr>
                <w:rFonts w:ascii="Arial Narrow" w:hAnsi="Arial Narrow" w:cs="Arial"/>
                <w:b/>
                <w:bCs/>
                <w:sz w:val="22"/>
                <w:szCs w:val="22"/>
              </w:rPr>
            </w:pPr>
            <w:r w:rsidRPr="00634A73">
              <w:rPr>
                <w:rFonts w:ascii="Arial Narrow" w:hAnsi="Arial Narrow" w:cs="Arial"/>
                <w:b/>
                <w:bCs/>
                <w:sz w:val="22"/>
                <w:szCs w:val="22"/>
              </w:rPr>
              <w:t>Comparator</w:t>
            </w:r>
          </w:p>
        </w:tc>
        <w:tc>
          <w:tcPr>
            <w:tcW w:w="992"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pPr>
              <w:jc w:val="center"/>
              <w:rPr>
                <w:rFonts w:ascii="Arial Narrow" w:hAnsi="Arial Narrow" w:cs="Arial"/>
                <w:b/>
                <w:bCs/>
                <w:sz w:val="22"/>
                <w:szCs w:val="22"/>
              </w:rPr>
            </w:pPr>
            <w:r w:rsidRPr="00634A73">
              <w:rPr>
                <w:rFonts w:ascii="Arial Narrow" w:hAnsi="Arial Narrow" w:cs="Arial"/>
                <w:b/>
                <w:bCs/>
                <w:sz w:val="22"/>
                <w:szCs w:val="22"/>
              </w:rPr>
              <w:t>Relative</w:t>
            </w:r>
            <w:r w:rsidRPr="00634A73">
              <w:rPr>
                <w:rFonts w:ascii="Arial Narrow" w:hAnsi="Arial Narrow" w:cs="Arial"/>
                <w:b/>
                <w:bCs/>
                <w:sz w:val="22"/>
                <w:szCs w:val="22"/>
              </w:rPr>
              <w:br/>
              <w:t>(95% CI)</w:t>
            </w:r>
          </w:p>
        </w:tc>
        <w:tc>
          <w:tcPr>
            <w:tcW w:w="1276" w:type="dxa"/>
            <w:tcBorders>
              <w:top w:val="single" w:sz="6" w:space="0" w:color="000000"/>
              <w:left w:val="single" w:sz="6" w:space="0" w:color="000000"/>
              <w:bottom w:val="single" w:sz="6" w:space="0" w:color="000000"/>
              <w:right w:val="single" w:sz="6" w:space="0" w:color="000000"/>
            </w:tcBorders>
            <w:shd w:val="clear" w:color="auto" w:fill="8DB3E2" w:themeFill="text2" w:themeFillTint="66"/>
            <w:tcMar>
              <w:top w:w="15" w:type="dxa"/>
              <w:left w:w="15" w:type="dxa"/>
              <w:bottom w:w="15" w:type="dxa"/>
              <w:right w:w="15" w:type="dxa"/>
            </w:tcMar>
            <w:vAlign w:val="center"/>
            <w:hideMark/>
          </w:tcPr>
          <w:p w:rsidR="0071270D" w:rsidRPr="00634A73" w:rsidRDefault="00B13D96">
            <w:pPr>
              <w:jc w:val="center"/>
              <w:rPr>
                <w:rFonts w:ascii="Arial Narrow" w:hAnsi="Arial Narrow" w:cs="Arial"/>
                <w:b/>
                <w:bCs/>
                <w:sz w:val="22"/>
                <w:szCs w:val="22"/>
              </w:rPr>
            </w:pPr>
            <w:r w:rsidRPr="00634A73">
              <w:rPr>
                <w:rFonts w:ascii="Arial Narrow" w:hAnsi="Arial Narrow" w:cs="Arial"/>
                <w:b/>
                <w:bCs/>
                <w:sz w:val="22"/>
                <w:szCs w:val="22"/>
              </w:rPr>
              <w:t>Absolute</w:t>
            </w:r>
          </w:p>
        </w:tc>
        <w:tc>
          <w:tcPr>
            <w:tcW w:w="1418" w:type="dxa"/>
            <w:vMerge/>
            <w:tcBorders>
              <w:top w:val="single" w:sz="6" w:space="0" w:color="000000"/>
              <w:left w:val="single" w:sz="6" w:space="0" w:color="000000"/>
              <w:bottom w:val="single" w:sz="6" w:space="0" w:color="000000"/>
              <w:right w:val="single" w:sz="6" w:space="0" w:color="000000"/>
            </w:tcBorders>
            <w:shd w:val="clear" w:color="auto" w:fill="8DB3E2" w:themeFill="text2" w:themeFillTint="66"/>
            <w:vAlign w:val="center"/>
            <w:hideMark/>
          </w:tcPr>
          <w:p w:rsidR="0071270D" w:rsidRPr="00634A73" w:rsidRDefault="0071270D">
            <w:pPr>
              <w:rPr>
                <w:rFonts w:ascii="Arial Narrow" w:hAnsi="Arial Narrow" w:cs="Arial"/>
                <w:b/>
                <w:bCs/>
                <w:sz w:val="22"/>
                <w:szCs w:val="22"/>
              </w:rPr>
            </w:pPr>
          </w:p>
        </w:tc>
        <w:tc>
          <w:tcPr>
            <w:tcW w:w="1073" w:type="dxa"/>
            <w:vMerge/>
            <w:tcBorders>
              <w:top w:val="single" w:sz="6" w:space="0" w:color="000000"/>
              <w:left w:val="single" w:sz="6" w:space="0" w:color="000000"/>
              <w:bottom w:val="single" w:sz="6" w:space="0" w:color="000000"/>
              <w:right w:val="single" w:sz="6" w:space="0" w:color="000000"/>
            </w:tcBorders>
            <w:shd w:val="clear" w:color="auto" w:fill="8DB3E2" w:themeFill="text2" w:themeFillTint="66"/>
            <w:vAlign w:val="center"/>
            <w:hideMark/>
          </w:tcPr>
          <w:p w:rsidR="0071270D" w:rsidRPr="00634A73" w:rsidRDefault="0071270D">
            <w:pPr>
              <w:rPr>
                <w:rFonts w:ascii="Arial Narrow" w:hAnsi="Arial Narrow" w:cs="Arial"/>
                <w:b/>
                <w:bCs/>
                <w:sz w:val="22"/>
                <w:szCs w:val="22"/>
              </w:rPr>
            </w:pPr>
          </w:p>
        </w:tc>
      </w:tr>
      <w:tr w:rsidR="0071270D" w:rsidRPr="00486A04" w:rsidTr="00634A73">
        <w:tc>
          <w:tcPr>
            <w:tcW w:w="13988" w:type="dxa"/>
            <w:gridSpan w:val="13"/>
            <w:tcBorders>
              <w:top w:val="single" w:sz="6" w:space="0" w:color="000000"/>
              <w:left w:val="single" w:sz="6" w:space="0" w:color="000000"/>
              <w:bottom w:val="single" w:sz="6" w:space="0" w:color="000000"/>
              <w:right w:val="single" w:sz="6" w:space="0" w:color="000000"/>
            </w:tcBorders>
            <w:shd w:val="clear" w:color="auto" w:fill="DDDDDD"/>
            <w:tcMar>
              <w:top w:w="15" w:type="dxa"/>
              <w:left w:w="15" w:type="dxa"/>
              <w:bottom w:w="15" w:type="dxa"/>
              <w:right w:w="15" w:type="dxa"/>
            </w:tcMar>
            <w:vAlign w:val="center"/>
            <w:hideMark/>
          </w:tcPr>
          <w:p w:rsidR="0071270D" w:rsidRPr="00634A73" w:rsidRDefault="00B13D96" w:rsidP="0071270D">
            <w:pPr>
              <w:rPr>
                <w:rFonts w:ascii="Arial Narrow" w:hAnsi="Arial Narrow" w:cs="Arial"/>
                <w:b/>
                <w:bCs/>
                <w:sz w:val="22"/>
                <w:szCs w:val="22"/>
              </w:rPr>
            </w:pPr>
            <w:r w:rsidRPr="00634A73">
              <w:rPr>
                <w:rFonts w:ascii="Arial Narrow" w:hAnsi="Arial Narrow" w:cs="Arial"/>
                <w:b/>
                <w:bCs/>
                <w:sz w:val="22"/>
                <w:szCs w:val="22"/>
              </w:rPr>
              <w:t xml:space="preserve">Health outcome (follow-up mean XX; assessed with: </w:t>
            </w:r>
            <w:r w:rsidR="00AB4AF9">
              <w:rPr>
                <w:rFonts w:ascii="Arial Narrow" w:hAnsi="Arial Narrow" w:cs="Arial"/>
                <w:b/>
                <w:bCs/>
                <w:sz w:val="22"/>
                <w:szCs w:val="22"/>
              </w:rPr>
              <w:t xml:space="preserve">XX </w:t>
            </w:r>
            <w:r w:rsidRPr="00634A73">
              <w:rPr>
                <w:rFonts w:ascii="Arial Narrow" w:hAnsi="Arial Narrow" w:cs="Arial"/>
                <w:b/>
                <w:bCs/>
                <w:sz w:val="22"/>
                <w:szCs w:val="22"/>
              </w:rPr>
              <w:t>tool)</w:t>
            </w:r>
          </w:p>
        </w:tc>
      </w:tr>
      <w:tr w:rsidR="00303767" w:rsidRPr="00486A04" w:rsidTr="00634A73">
        <w:tc>
          <w:tcPr>
            <w:tcW w:w="889"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1270D" w:rsidRPr="00634A73" w:rsidRDefault="0071270D">
            <w:pPr>
              <w:rPr>
                <w:rFonts w:ascii="Arial Narrow" w:hAnsi="Arial Narrow" w:cs="Arial"/>
                <w:sz w:val="22"/>
                <w:szCs w:val="22"/>
              </w:rPr>
            </w:pPr>
          </w:p>
        </w:tc>
        <w:tc>
          <w:tcPr>
            <w:tcW w:w="827"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1270D" w:rsidRPr="00634A73" w:rsidRDefault="0071270D">
            <w:pPr>
              <w:rPr>
                <w:rFonts w:ascii="Arial Narrow" w:hAnsi="Arial Narrow" w:cs="Arial"/>
                <w:sz w:val="22"/>
                <w:szCs w:val="22"/>
              </w:rPr>
            </w:pPr>
          </w:p>
        </w:tc>
        <w:tc>
          <w:tcPr>
            <w:tcW w:w="709"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1270D" w:rsidRPr="00634A73" w:rsidRDefault="0071270D">
            <w:pPr>
              <w:rPr>
                <w:rFonts w:ascii="Arial Narrow" w:hAnsi="Arial Narrow" w:cs="Arial"/>
                <w:sz w:val="22"/>
                <w:szCs w:val="22"/>
              </w:rPr>
            </w:pPr>
          </w:p>
        </w:tc>
        <w:tc>
          <w:tcPr>
            <w:tcW w:w="127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1270D" w:rsidRPr="00634A73" w:rsidRDefault="0071270D">
            <w:pPr>
              <w:rPr>
                <w:rFonts w:ascii="Arial Narrow" w:hAnsi="Arial Narrow" w:cs="Arial"/>
                <w:sz w:val="22"/>
                <w:szCs w:val="22"/>
              </w:rPr>
            </w:pPr>
          </w:p>
        </w:tc>
        <w:tc>
          <w:tcPr>
            <w:tcW w:w="85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1270D" w:rsidRPr="00634A73" w:rsidRDefault="0071270D">
            <w:pPr>
              <w:rPr>
                <w:rFonts w:ascii="Arial Narrow" w:hAnsi="Arial Narrow" w:cs="Arial"/>
                <w:sz w:val="22"/>
                <w:szCs w:val="22"/>
              </w:rPr>
            </w:pPr>
          </w:p>
        </w:tc>
        <w:tc>
          <w:tcPr>
            <w:tcW w:w="113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1270D" w:rsidRPr="00634A73" w:rsidRDefault="0071270D">
            <w:pPr>
              <w:rPr>
                <w:rFonts w:ascii="Arial Narrow" w:hAnsi="Arial Narrow" w:cs="Arial"/>
                <w:sz w:val="22"/>
                <w:szCs w:val="22"/>
              </w:rPr>
            </w:pPr>
          </w:p>
        </w:tc>
        <w:tc>
          <w:tcPr>
            <w:tcW w:w="1134"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1270D" w:rsidRPr="00634A73" w:rsidRDefault="0071270D">
            <w:pPr>
              <w:rPr>
                <w:rFonts w:ascii="Arial Narrow" w:hAnsi="Arial Narrow" w:cs="Arial"/>
                <w:sz w:val="22"/>
                <w:szCs w:val="22"/>
              </w:rPr>
            </w:pP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1270D" w:rsidRPr="00634A73" w:rsidRDefault="00B13D96" w:rsidP="0071270D">
            <w:pPr>
              <w:jc w:val="center"/>
              <w:rPr>
                <w:rFonts w:ascii="Arial Narrow" w:hAnsi="Arial Narrow" w:cs="Arial"/>
                <w:sz w:val="22"/>
                <w:szCs w:val="22"/>
              </w:rPr>
            </w:pPr>
            <w:proofErr w:type="gramStart"/>
            <w:r w:rsidRPr="00634A73">
              <w:rPr>
                <w:rFonts w:ascii="Arial Narrow" w:hAnsi="Arial Narrow" w:cs="Arial"/>
                <w:sz w:val="22"/>
                <w:szCs w:val="22"/>
              </w:rPr>
              <w:t>x/X</w:t>
            </w:r>
            <w:proofErr w:type="gramEnd"/>
            <w:r w:rsidRPr="00634A73">
              <w:rPr>
                <w:rFonts w:ascii="Arial Narrow" w:hAnsi="Arial Narrow" w:cs="Arial"/>
                <w:sz w:val="22"/>
                <w:szCs w:val="22"/>
              </w:rPr>
              <w:br/>
              <w:t>(X%)</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1270D" w:rsidRPr="00634A73" w:rsidRDefault="00B13D96" w:rsidP="0071270D">
            <w:pPr>
              <w:jc w:val="center"/>
              <w:rPr>
                <w:rFonts w:ascii="Arial Narrow" w:hAnsi="Arial Narrow" w:cs="Arial"/>
                <w:sz w:val="22"/>
                <w:szCs w:val="22"/>
              </w:rPr>
            </w:pPr>
            <w:proofErr w:type="gramStart"/>
            <w:r w:rsidRPr="00634A73">
              <w:rPr>
                <w:rFonts w:ascii="Arial Narrow" w:hAnsi="Arial Narrow" w:cs="Arial"/>
                <w:sz w:val="22"/>
                <w:szCs w:val="22"/>
              </w:rPr>
              <w:t>x/X</w:t>
            </w:r>
            <w:proofErr w:type="gramEnd"/>
            <w:r w:rsidRPr="00634A73">
              <w:rPr>
                <w:rFonts w:ascii="Arial Narrow" w:hAnsi="Arial Narrow" w:cs="Arial"/>
                <w:sz w:val="22"/>
                <w:szCs w:val="22"/>
              </w:rPr>
              <w:t xml:space="preserve"> </w:t>
            </w:r>
            <w:r w:rsidRPr="00634A73">
              <w:rPr>
                <w:rFonts w:ascii="Arial Narrow" w:hAnsi="Arial Narrow" w:cs="Arial"/>
                <w:sz w:val="22"/>
                <w:szCs w:val="22"/>
              </w:rPr>
              <w:br/>
              <w:t>(X%)</w:t>
            </w:r>
          </w:p>
        </w:tc>
        <w:tc>
          <w:tcPr>
            <w:tcW w:w="992"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B4AF9" w:rsidRDefault="00B13D96" w:rsidP="00110AAA">
            <w:pPr>
              <w:jc w:val="center"/>
              <w:rPr>
                <w:rFonts w:ascii="Arial Narrow" w:hAnsi="Arial Narrow" w:cs="Arial"/>
                <w:sz w:val="22"/>
                <w:szCs w:val="22"/>
              </w:rPr>
            </w:pPr>
            <w:r w:rsidRPr="00634A73">
              <w:rPr>
                <w:rFonts w:ascii="Arial Narrow" w:hAnsi="Arial Narrow" w:cs="Arial"/>
                <w:sz w:val="22"/>
                <w:szCs w:val="22"/>
              </w:rPr>
              <w:t xml:space="preserve">RR X </w:t>
            </w:r>
          </w:p>
          <w:p w:rsidR="0071270D" w:rsidRPr="00634A73" w:rsidRDefault="00B13D96" w:rsidP="00110AAA">
            <w:pPr>
              <w:jc w:val="center"/>
              <w:rPr>
                <w:rFonts w:ascii="Arial Narrow" w:hAnsi="Arial Narrow" w:cs="Arial"/>
                <w:sz w:val="22"/>
                <w:szCs w:val="22"/>
              </w:rPr>
            </w:pPr>
            <w:r w:rsidRPr="00634A73">
              <w:rPr>
                <w:rFonts w:ascii="Arial Narrow" w:hAnsi="Arial Narrow" w:cs="Arial"/>
                <w:sz w:val="22"/>
                <w:szCs w:val="22"/>
              </w:rPr>
              <w:t>(X  to X)</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1270D" w:rsidRPr="00634A73" w:rsidRDefault="00B13D96">
            <w:pPr>
              <w:jc w:val="center"/>
              <w:rPr>
                <w:rFonts w:ascii="Arial Narrow" w:hAnsi="Arial Narrow" w:cs="Arial"/>
                <w:sz w:val="22"/>
                <w:szCs w:val="22"/>
              </w:rPr>
            </w:pPr>
            <w:r w:rsidRPr="00634A73">
              <w:rPr>
                <w:rFonts w:ascii="Arial Narrow" w:hAnsi="Arial Narrow" w:cs="Arial"/>
                <w:sz w:val="22"/>
                <w:szCs w:val="22"/>
              </w:rPr>
              <w:t>X</w:t>
            </w:r>
          </w:p>
        </w:tc>
        <w:tc>
          <w:tcPr>
            <w:tcW w:w="1418"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1270D" w:rsidRPr="00634A73" w:rsidRDefault="00634A73">
            <w:pPr>
              <w:jc w:val="center"/>
              <w:rPr>
                <w:rFonts w:ascii="Arial Narrow" w:hAnsi="Arial Narrow" w:cs="Arial"/>
                <w:sz w:val="22"/>
                <w:szCs w:val="22"/>
              </w:rPr>
            </w:pPr>
            <w:r w:rsidRPr="006F0559">
              <w:rPr>
                <w:rFonts w:ascii="Cambria Math" w:hAnsi="Cambria Math" w:cs="Cambria Math"/>
                <w:sz w:val="22"/>
                <w:szCs w:val="22"/>
              </w:rPr>
              <w:t>⊕⊕⊕⊝</w:t>
            </w:r>
            <w:r w:rsidR="00B13D96" w:rsidRPr="00634A73">
              <w:rPr>
                <w:rFonts w:ascii="Arial Narrow" w:hAnsi="Arial Narrow" w:cs="Arial"/>
                <w:sz w:val="22"/>
                <w:szCs w:val="22"/>
              </w:rPr>
              <w:br/>
              <w:t>LOW/</w:t>
            </w:r>
            <w:r>
              <w:rPr>
                <w:rFonts w:ascii="Arial Narrow" w:hAnsi="Arial Narrow" w:cs="Arial"/>
                <w:sz w:val="22"/>
                <w:szCs w:val="22"/>
              </w:rPr>
              <w:t xml:space="preserve"> </w:t>
            </w:r>
            <w:r w:rsidR="00B13D96" w:rsidRPr="00634A73">
              <w:rPr>
                <w:rFonts w:ascii="Arial Narrow" w:hAnsi="Arial Narrow" w:cs="Arial"/>
                <w:sz w:val="22"/>
                <w:szCs w:val="22"/>
              </w:rPr>
              <w:t>MODERATE /HIGH</w:t>
            </w:r>
          </w:p>
        </w:tc>
        <w:tc>
          <w:tcPr>
            <w:tcW w:w="1073"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1270D" w:rsidRPr="00634A73" w:rsidRDefault="0071270D">
            <w:pPr>
              <w:rPr>
                <w:rFonts w:ascii="Arial Narrow" w:eastAsiaTheme="minorEastAsia" w:hAnsi="Arial Narrow" w:cstheme="minorBidi"/>
                <w:sz w:val="22"/>
                <w:szCs w:val="22"/>
                <w:lang w:eastAsia="en-AU"/>
              </w:rPr>
            </w:pPr>
          </w:p>
        </w:tc>
      </w:tr>
      <w:tr w:rsidR="00303767" w:rsidRPr="00486A04" w:rsidTr="00634A73">
        <w:tc>
          <w:tcPr>
            <w:tcW w:w="889"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827"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1134"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71270D" w:rsidRPr="00634A73" w:rsidRDefault="00B13D96">
            <w:pPr>
              <w:pStyle w:val="NormalWeb"/>
              <w:jc w:val="center"/>
              <w:rPr>
                <w:rFonts w:ascii="Arial Narrow" w:hAnsi="Arial Narrow" w:cs="Arial"/>
                <w:sz w:val="22"/>
                <w:szCs w:val="22"/>
              </w:rPr>
            </w:pPr>
            <w:r w:rsidRPr="00634A73">
              <w:rPr>
                <w:rFonts w:ascii="Arial Narrow" w:hAnsi="Arial Narrow" w:cs="Arial"/>
                <w:sz w:val="22"/>
                <w:szCs w:val="22"/>
              </w:rPr>
              <w:t> </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1270D" w:rsidRPr="00634A73" w:rsidRDefault="00B13D96">
            <w:pPr>
              <w:pStyle w:val="NormalWeb"/>
              <w:jc w:val="center"/>
              <w:rPr>
                <w:rFonts w:ascii="Arial Narrow" w:hAnsi="Arial Narrow" w:cs="Arial"/>
                <w:sz w:val="22"/>
                <w:szCs w:val="22"/>
              </w:rPr>
            </w:pPr>
            <w:r w:rsidRPr="00634A73">
              <w:rPr>
                <w:rFonts w:ascii="Arial Narrow" w:hAnsi="Arial Narrow" w:cs="Arial"/>
                <w:sz w:val="22"/>
                <w:szCs w:val="22"/>
              </w:rPr>
              <w:t>X%</w:t>
            </w:r>
          </w:p>
          <w:p w:rsidR="00110AAA" w:rsidRPr="00634A73" w:rsidRDefault="00B13D96" w:rsidP="00110AAA">
            <w:pPr>
              <w:pStyle w:val="NormalWeb"/>
              <w:jc w:val="center"/>
              <w:rPr>
                <w:rFonts w:ascii="Arial Narrow" w:hAnsi="Arial Narrow" w:cs="Arial"/>
                <w:sz w:val="22"/>
                <w:szCs w:val="22"/>
              </w:rPr>
            </w:pPr>
            <w:r w:rsidRPr="00634A73">
              <w:rPr>
                <w:rFonts w:ascii="Arial Narrow" w:hAnsi="Arial Narrow" w:cs="Arial"/>
                <w:sz w:val="22"/>
                <w:szCs w:val="22"/>
              </w:rPr>
              <w:t>(range reported if unable to meta-analyse)</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1270D" w:rsidRPr="00634A73" w:rsidRDefault="00B13D96">
            <w:pPr>
              <w:pStyle w:val="NormalWeb"/>
              <w:jc w:val="center"/>
              <w:rPr>
                <w:rFonts w:ascii="Arial Narrow" w:hAnsi="Arial Narrow" w:cs="Arial"/>
                <w:sz w:val="22"/>
                <w:szCs w:val="22"/>
              </w:rPr>
            </w:pPr>
            <w:r w:rsidRPr="00634A73">
              <w:rPr>
                <w:rFonts w:ascii="Arial Narrow" w:hAnsi="Arial Narrow" w:cs="Arial"/>
                <w:sz w:val="22"/>
                <w:szCs w:val="22"/>
              </w:rPr>
              <w:t>X</w:t>
            </w:r>
          </w:p>
          <w:p w:rsidR="00110AAA" w:rsidRPr="00634A73" w:rsidRDefault="00B13D96">
            <w:pPr>
              <w:pStyle w:val="NormalWeb"/>
              <w:jc w:val="center"/>
              <w:rPr>
                <w:rFonts w:ascii="Arial Narrow" w:hAnsi="Arial Narrow" w:cs="Arial"/>
                <w:sz w:val="22"/>
                <w:szCs w:val="22"/>
              </w:rPr>
            </w:pPr>
            <w:r w:rsidRPr="00634A73">
              <w:rPr>
                <w:rFonts w:ascii="Arial Narrow" w:hAnsi="Arial Narrow" w:cs="Arial"/>
                <w:sz w:val="22"/>
                <w:szCs w:val="22"/>
              </w:rPr>
              <w:t>(range reported if unable to meta-analyse)</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1073"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eastAsiaTheme="minorEastAsia" w:hAnsi="Arial Narrow" w:cstheme="minorBidi"/>
                <w:sz w:val="22"/>
                <w:szCs w:val="22"/>
                <w:lang w:eastAsia="en-AU"/>
              </w:rPr>
            </w:pPr>
          </w:p>
        </w:tc>
      </w:tr>
      <w:tr w:rsidR="00303767" w:rsidRPr="00486A04" w:rsidTr="00634A73">
        <w:tc>
          <w:tcPr>
            <w:tcW w:w="889"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827"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1134" w:type="dxa"/>
            <w:tcBorders>
              <w:top w:val="single" w:sz="2" w:space="0" w:color="000000"/>
              <w:left w:val="single" w:sz="2" w:space="0" w:color="000000"/>
              <w:bottom w:val="single" w:sz="2" w:space="0" w:color="000000"/>
              <w:right w:val="single" w:sz="2" w:space="0" w:color="000000"/>
            </w:tcBorders>
            <w:tcMar>
              <w:top w:w="15" w:type="dxa"/>
              <w:left w:w="15" w:type="dxa"/>
              <w:bottom w:w="15" w:type="dxa"/>
              <w:right w:w="15" w:type="dxa"/>
            </w:tcMar>
            <w:vAlign w:val="center"/>
            <w:hideMark/>
          </w:tcPr>
          <w:p w:rsidR="0071270D" w:rsidRPr="00634A73" w:rsidRDefault="00B13D96">
            <w:pPr>
              <w:pStyle w:val="NormalWeb"/>
              <w:jc w:val="center"/>
              <w:rPr>
                <w:rFonts w:ascii="Arial Narrow" w:hAnsi="Arial Narrow" w:cs="Arial"/>
                <w:sz w:val="22"/>
                <w:szCs w:val="22"/>
              </w:rPr>
            </w:pPr>
            <w:r w:rsidRPr="00634A73">
              <w:rPr>
                <w:rFonts w:ascii="Arial Narrow" w:hAnsi="Arial Narrow" w:cs="Arial"/>
                <w:sz w:val="22"/>
                <w:szCs w:val="22"/>
              </w:rPr>
              <w:t> </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1270D" w:rsidRPr="00634A73" w:rsidRDefault="00B13D96">
            <w:pPr>
              <w:pStyle w:val="NormalWeb"/>
              <w:jc w:val="center"/>
              <w:rPr>
                <w:rFonts w:ascii="Arial Narrow" w:hAnsi="Arial Narrow" w:cs="Arial"/>
                <w:sz w:val="22"/>
                <w:szCs w:val="22"/>
              </w:rPr>
            </w:pPr>
            <w:r w:rsidRPr="00634A73">
              <w:rPr>
                <w:rFonts w:ascii="Arial Narrow" w:hAnsi="Arial Narrow" w:cs="Arial"/>
                <w:sz w:val="22"/>
                <w:szCs w:val="22"/>
              </w:rPr>
              <w:t>X%</w:t>
            </w: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1270D" w:rsidRPr="00634A73" w:rsidRDefault="00B13D96">
            <w:pPr>
              <w:pStyle w:val="NormalWeb"/>
              <w:jc w:val="center"/>
              <w:rPr>
                <w:rFonts w:ascii="Arial Narrow" w:hAnsi="Arial Narrow" w:cs="Arial"/>
                <w:sz w:val="22"/>
                <w:szCs w:val="22"/>
              </w:rPr>
            </w:pPr>
            <w:r w:rsidRPr="00634A73">
              <w:rPr>
                <w:rFonts w:ascii="Arial Narrow" w:hAnsi="Arial Narrow" w:cs="Arial"/>
                <w:sz w:val="22"/>
                <w:szCs w:val="22"/>
              </w:rPr>
              <w:t>X</w:t>
            </w:r>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hAnsi="Arial Narrow" w:cs="Arial"/>
                <w:sz w:val="22"/>
                <w:szCs w:val="22"/>
              </w:rPr>
            </w:pPr>
          </w:p>
        </w:tc>
        <w:tc>
          <w:tcPr>
            <w:tcW w:w="1073" w:type="dxa"/>
            <w:vMerge/>
            <w:tcBorders>
              <w:top w:val="single" w:sz="6" w:space="0" w:color="000000"/>
              <w:left w:val="single" w:sz="6" w:space="0" w:color="000000"/>
              <w:bottom w:val="single" w:sz="6" w:space="0" w:color="000000"/>
              <w:right w:val="single" w:sz="6" w:space="0" w:color="000000"/>
            </w:tcBorders>
            <w:vAlign w:val="center"/>
            <w:hideMark/>
          </w:tcPr>
          <w:p w:rsidR="0071270D" w:rsidRPr="00634A73" w:rsidRDefault="0071270D">
            <w:pPr>
              <w:rPr>
                <w:rFonts w:ascii="Arial Narrow" w:eastAsiaTheme="minorEastAsia" w:hAnsi="Arial Narrow" w:cstheme="minorBidi"/>
                <w:sz w:val="22"/>
                <w:szCs w:val="22"/>
                <w:lang w:eastAsia="en-AU"/>
              </w:rPr>
            </w:pPr>
          </w:p>
        </w:tc>
      </w:tr>
    </w:tbl>
    <w:p w:rsidR="002264C2" w:rsidRPr="00E70BB5" w:rsidRDefault="00E70BB5" w:rsidP="0071270D">
      <w:pPr>
        <w:rPr>
          <w:rFonts w:ascii="Arial Narrow" w:hAnsi="Arial Narrow"/>
          <w:sz w:val="20"/>
          <w:szCs w:val="20"/>
        </w:rPr>
      </w:pPr>
      <w:r w:rsidRPr="00E70BB5">
        <w:rPr>
          <w:rFonts w:ascii="Arial Narrow" w:hAnsi="Arial Narrow" w:cs="Arial"/>
          <w:color w:val="000000"/>
          <w:sz w:val="20"/>
          <w:szCs w:val="20"/>
        </w:rPr>
        <w:t>CI</w:t>
      </w:r>
      <w:r w:rsidR="00652355" w:rsidRPr="00652355">
        <w:rPr>
          <w:rFonts w:ascii="Arial Narrow" w:hAnsi="Arial Narrow" w:cs="Arial"/>
          <w:color w:val="000000"/>
          <w:spacing w:val="-20"/>
          <w:sz w:val="20"/>
          <w:szCs w:val="20"/>
        </w:rPr>
        <w:t xml:space="preserve"> = </w:t>
      </w:r>
      <w:r w:rsidRPr="00E70BB5">
        <w:rPr>
          <w:rFonts w:ascii="Arial Narrow" w:hAnsi="Arial Narrow" w:cs="Arial"/>
          <w:color w:val="000000"/>
          <w:sz w:val="20"/>
          <w:szCs w:val="20"/>
        </w:rPr>
        <w:t>confidence interval</w:t>
      </w:r>
      <w:r w:rsidR="00316467">
        <w:rPr>
          <w:rFonts w:ascii="Arial Narrow" w:hAnsi="Arial Narrow" w:cs="Arial"/>
          <w:color w:val="000000"/>
          <w:sz w:val="20"/>
          <w:szCs w:val="20"/>
        </w:rPr>
        <w:t xml:space="preserve">; </w:t>
      </w:r>
      <w:proofErr w:type="gramStart"/>
      <w:r w:rsidR="00316467">
        <w:rPr>
          <w:rFonts w:ascii="Arial Narrow" w:hAnsi="Arial Narrow" w:cs="Arial"/>
          <w:color w:val="000000"/>
          <w:sz w:val="20"/>
          <w:szCs w:val="20"/>
        </w:rPr>
        <w:t xml:space="preserve">RR </w:t>
      </w:r>
      <w:r w:rsidR="00652355" w:rsidRPr="00652355">
        <w:rPr>
          <w:rFonts w:ascii="Arial Narrow" w:hAnsi="Arial Narrow" w:cs="Arial"/>
          <w:color w:val="000000"/>
          <w:spacing w:val="-20"/>
          <w:sz w:val="20"/>
          <w:szCs w:val="20"/>
        </w:rPr>
        <w:t xml:space="preserve"> =</w:t>
      </w:r>
      <w:proofErr w:type="gramEnd"/>
      <w:r w:rsidR="00652355" w:rsidRPr="00652355">
        <w:rPr>
          <w:rFonts w:ascii="Arial Narrow" w:hAnsi="Arial Narrow" w:cs="Arial"/>
          <w:color w:val="000000"/>
          <w:spacing w:val="-20"/>
          <w:sz w:val="20"/>
          <w:szCs w:val="20"/>
        </w:rPr>
        <w:t xml:space="preserve"> </w:t>
      </w:r>
      <w:r w:rsidR="00316467">
        <w:rPr>
          <w:rFonts w:ascii="Arial Narrow" w:hAnsi="Arial Narrow" w:cs="Arial"/>
          <w:color w:val="000000"/>
          <w:sz w:val="20"/>
          <w:szCs w:val="20"/>
        </w:rPr>
        <w:t xml:space="preserve"> relative risk</w:t>
      </w:r>
    </w:p>
    <w:tbl>
      <w:tblPr>
        <w:tblW w:w="5000" w:type="pct"/>
        <w:tblLook w:val="04A0" w:firstRow="1" w:lastRow="0" w:firstColumn="1" w:lastColumn="0" w:noHBand="0" w:noVBand="1"/>
      </w:tblPr>
      <w:tblGrid>
        <w:gridCol w:w="13988"/>
      </w:tblGrid>
      <w:tr w:rsidR="00AB4AF9" w:rsidRPr="00486A04" w:rsidTr="00957B34">
        <w:tc>
          <w:tcPr>
            <w:tcW w:w="0" w:type="auto"/>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AB4AF9" w:rsidRPr="00634A73" w:rsidRDefault="00AB4AF9" w:rsidP="00957B34">
            <w:pPr>
              <w:jc w:val="left"/>
              <w:rPr>
                <w:rFonts w:ascii="Arial Narrow" w:hAnsi="Arial Narrow" w:cs="Arial"/>
                <w:sz w:val="22"/>
                <w:szCs w:val="22"/>
              </w:rPr>
            </w:pPr>
            <w:r w:rsidRPr="00634A73">
              <w:rPr>
                <w:rFonts w:ascii="Arial Narrow" w:hAnsi="Arial Narrow" w:cs="Arial"/>
                <w:sz w:val="22"/>
                <w:szCs w:val="22"/>
              </w:rPr>
              <w:t>GRADE Working Group grades of evidence</w:t>
            </w:r>
            <w:r w:rsidRPr="00634A73">
              <w:rPr>
                <w:rFonts w:ascii="Arial Narrow" w:hAnsi="Arial Narrow" w:cs="Arial"/>
                <w:sz w:val="22"/>
                <w:szCs w:val="22"/>
              </w:rPr>
              <w:br/>
            </w:r>
            <w:r w:rsidRPr="00634A73">
              <w:rPr>
                <w:rFonts w:ascii="Arial Narrow" w:hAnsi="Arial Narrow" w:cs="Arial"/>
                <w:b/>
                <w:bCs/>
                <w:sz w:val="22"/>
                <w:szCs w:val="22"/>
              </w:rPr>
              <w:t>High quality:</w:t>
            </w:r>
            <w:r w:rsidRPr="00634A73">
              <w:rPr>
                <w:rFonts w:ascii="Arial Narrow" w:hAnsi="Arial Narrow" w:cs="Arial"/>
                <w:sz w:val="22"/>
                <w:szCs w:val="22"/>
              </w:rPr>
              <w:t xml:space="preserve"> Further research is very unlikely to change our confidence in the estimate of effect. </w:t>
            </w:r>
            <w:r w:rsidRPr="00634A73">
              <w:rPr>
                <w:rFonts w:ascii="Arial Narrow" w:hAnsi="Arial Narrow" w:cs="Arial"/>
                <w:sz w:val="22"/>
                <w:szCs w:val="22"/>
              </w:rPr>
              <w:br/>
            </w:r>
            <w:r w:rsidRPr="00634A73">
              <w:rPr>
                <w:rFonts w:ascii="Arial Narrow" w:hAnsi="Arial Narrow" w:cs="Arial"/>
                <w:b/>
                <w:bCs/>
                <w:sz w:val="22"/>
                <w:szCs w:val="22"/>
              </w:rPr>
              <w:t>Moderate quality:</w:t>
            </w:r>
            <w:r w:rsidRPr="00634A73">
              <w:rPr>
                <w:rFonts w:ascii="Arial Narrow" w:hAnsi="Arial Narrow" w:cs="Arial"/>
                <w:sz w:val="22"/>
                <w:szCs w:val="22"/>
              </w:rPr>
              <w:t xml:space="preserve"> Further research is likely to have an important impact on our confidence in the estimate of effect and may change the estimate.</w:t>
            </w:r>
            <w:r w:rsidRPr="00634A73">
              <w:rPr>
                <w:rFonts w:ascii="Arial Narrow" w:hAnsi="Arial Narrow" w:cs="Arial"/>
                <w:sz w:val="22"/>
                <w:szCs w:val="22"/>
              </w:rPr>
              <w:br/>
            </w:r>
            <w:r w:rsidRPr="00634A73">
              <w:rPr>
                <w:rFonts w:ascii="Arial Narrow" w:hAnsi="Arial Narrow" w:cs="Arial"/>
                <w:b/>
                <w:bCs/>
                <w:sz w:val="22"/>
                <w:szCs w:val="22"/>
              </w:rPr>
              <w:t>Low quality:</w:t>
            </w:r>
            <w:r w:rsidRPr="00634A73">
              <w:rPr>
                <w:rFonts w:ascii="Arial Narrow" w:hAnsi="Arial Narrow" w:cs="Arial"/>
                <w:sz w:val="22"/>
                <w:szCs w:val="22"/>
              </w:rPr>
              <w:t xml:space="preserve"> Further research is very likely to have an important impact on our confidence in the estimate of effect and is likely to change the estimate.</w:t>
            </w:r>
            <w:r w:rsidRPr="00634A73">
              <w:rPr>
                <w:rFonts w:ascii="Arial Narrow" w:hAnsi="Arial Narrow" w:cs="Arial"/>
                <w:sz w:val="22"/>
                <w:szCs w:val="22"/>
              </w:rPr>
              <w:br/>
            </w:r>
            <w:r w:rsidRPr="00634A73">
              <w:rPr>
                <w:rFonts w:ascii="Arial Narrow" w:hAnsi="Arial Narrow" w:cs="Arial"/>
                <w:b/>
                <w:bCs/>
                <w:sz w:val="22"/>
                <w:szCs w:val="22"/>
              </w:rPr>
              <w:t>Very low quality:</w:t>
            </w:r>
            <w:r w:rsidRPr="00634A73">
              <w:rPr>
                <w:rFonts w:ascii="Arial Narrow" w:hAnsi="Arial Narrow" w:cs="Arial"/>
                <w:sz w:val="22"/>
                <w:szCs w:val="22"/>
              </w:rPr>
              <w:t xml:space="preserve"> We are very uncertain about the estimate.</w:t>
            </w:r>
          </w:p>
        </w:tc>
      </w:tr>
    </w:tbl>
    <w:p w:rsidR="0071270D" w:rsidRPr="00634A73" w:rsidRDefault="0071270D" w:rsidP="00791A76">
      <w:pPr>
        <w:widowControl w:val="0"/>
        <w:autoSpaceDE w:val="0"/>
        <w:autoSpaceDN w:val="0"/>
        <w:adjustRightInd w:val="0"/>
        <w:spacing w:line="240" w:lineRule="exact"/>
        <w:ind w:left="221" w:right="-20"/>
        <w:rPr>
          <w:rFonts w:ascii="Arial Narrow" w:hAnsi="Arial Narrow"/>
          <w:bCs/>
          <w:sz w:val="20"/>
          <w:szCs w:val="20"/>
        </w:rPr>
      </w:pPr>
    </w:p>
    <w:p w:rsidR="0071270D" w:rsidRDefault="00926901" w:rsidP="00926901">
      <w:pPr>
        <w:widowControl w:val="0"/>
        <w:autoSpaceDE w:val="0"/>
        <w:autoSpaceDN w:val="0"/>
        <w:adjustRightInd w:val="0"/>
        <w:spacing w:line="240" w:lineRule="exact"/>
        <w:ind w:left="221" w:right="-20"/>
        <w:rPr>
          <w:bCs/>
        </w:rPr>
      </w:pPr>
      <w:r>
        <w:rPr>
          <w:bCs/>
        </w:rPr>
        <w:br w:type="page"/>
      </w:r>
    </w:p>
    <w:p w:rsidR="00EA2754" w:rsidRDefault="00086025" w:rsidP="0096216D">
      <w:pPr>
        <w:pStyle w:val="Caption"/>
        <w:keepNext/>
        <w:tabs>
          <w:tab w:val="clear" w:pos="851"/>
          <w:tab w:val="left" w:pos="1276"/>
        </w:tabs>
        <w:ind w:left="1134" w:hanging="1134"/>
      </w:pPr>
      <w:bookmarkStart w:id="1166" w:name="_Toc404350312"/>
      <w:bookmarkStart w:id="1167" w:name="_Toc404976364"/>
      <w:bookmarkStart w:id="1168" w:name="_Toc411510535"/>
      <w:bookmarkStart w:id="1169" w:name="_Toc415141965"/>
      <w:r>
        <w:lastRenderedPageBreak/>
        <w:t xml:space="preserve">Table </w:t>
      </w:r>
      <w:r w:rsidR="00A72B26">
        <w:rPr>
          <w:noProof/>
        </w:rPr>
        <w:t>168</w:t>
      </w:r>
      <w:r>
        <w:tab/>
      </w:r>
      <w:r w:rsidR="00F262D1">
        <w:t>Summary of findings t</w:t>
      </w:r>
      <w:r w:rsidR="009866B0">
        <w:t>able</w:t>
      </w:r>
      <w:r>
        <w:t xml:space="preserve"> (modified </w:t>
      </w:r>
      <w:r w:rsidR="00052971">
        <w:t>GRADE</w:t>
      </w:r>
      <w:r>
        <w:t xml:space="preserve"> output)</w:t>
      </w:r>
      <w:bookmarkEnd w:id="1166"/>
      <w:bookmarkEnd w:id="1167"/>
      <w:bookmarkEnd w:id="1168"/>
      <w:bookmarkEnd w:id="1169"/>
    </w:p>
    <w:tbl>
      <w:tblPr>
        <w:tblW w:w="5000" w:type="pct"/>
        <w:tblLook w:val="04A0" w:firstRow="1" w:lastRow="0" w:firstColumn="1" w:lastColumn="0" w:noHBand="0" w:noVBand="1"/>
      </w:tblPr>
      <w:tblGrid>
        <w:gridCol w:w="1448"/>
        <w:gridCol w:w="1896"/>
        <w:gridCol w:w="2700"/>
        <w:gridCol w:w="1707"/>
        <w:gridCol w:w="2225"/>
        <w:gridCol w:w="2546"/>
        <w:gridCol w:w="1526"/>
      </w:tblGrid>
      <w:tr w:rsidR="009866B0" w:rsidRPr="00486A04" w:rsidTr="00634A73">
        <w:tc>
          <w:tcPr>
            <w:tcW w:w="0" w:type="auto"/>
            <w:gridSpan w:val="7"/>
            <w:tcBorders>
              <w:top w:val="single" w:sz="12" w:space="0" w:color="000000"/>
              <w:left w:val="nil"/>
              <w:bottom w:val="single" w:sz="12" w:space="0" w:color="000000"/>
              <w:right w:val="nil"/>
            </w:tcBorders>
            <w:tcMar>
              <w:top w:w="45" w:type="dxa"/>
              <w:left w:w="45" w:type="dxa"/>
              <w:bottom w:w="45" w:type="dxa"/>
              <w:right w:w="45" w:type="dxa"/>
            </w:tcMar>
            <w:vAlign w:val="center"/>
            <w:hideMark/>
          </w:tcPr>
          <w:p w:rsidR="00EA2754" w:rsidRPr="00634A73" w:rsidRDefault="00B13D96" w:rsidP="00634A73">
            <w:pPr>
              <w:jc w:val="left"/>
              <w:rPr>
                <w:rFonts w:ascii="Arial Narrow" w:hAnsi="Arial Narrow" w:cs="Arial"/>
                <w:sz w:val="22"/>
                <w:szCs w:val="22"/>
              </w:rPr>
            </w:pPr>
            <w:r w:rsidRPr="00634A73">
              <w:rPr>
                <w:rFonts w:ascii="Arial Narrow" w:hAnsi="Arial Narrow" w:cs="Arial"/>
                <w:b/>
                <w:bCs/>
                <w:sz w:val="22"/>
                <w:szCs w:val="22"/>
              </w:rPr>
              <w:t>Patient or population:</w:t>
            </w:r>
            <w:r w:rsidRPr="00634A73">
              <w:rPr>
                <w:rFonts w:ascii="Arial Narrow" w:hAnsi="Arial Narrow" w:cs="Arial"/>
                <w:sz w:val="22"/>
                <w:szCs w:val="22"/>
              </w:rPr>
              <w:t xml:space="preserve"> </w:t>
            </w:r>
            <w:r w:rsidRPr="00634A73">
              <w:rPr>
                <w:rFonts w:ascii="Arial Narrow" w:hAnsi="Arial Narrow" w:cs="Arial"/>
                <w:sz w:val="22"/>
                <w:szCs w:val="22"/>
              </w:rPr>
              <w:br/>
            </w:r>
            <w:r w:rsidRPr="00634A73">
              <w:rPr>
                <w:rFonts w:ascii="Arial Narrow" w:hAnsi="Arial Narrow" w:cs="Arial"/>
                <w:b/>
                <w:bCs/>
                <w:sz w:val="22"/>
                <w:szCs w:val="22"/>
              </w:rPr>
              <w:t>Settings:</w:t>
            </w:r>
            <w:r w:rsidRPr="00634A73">
              <w:rPr>
                <w:rFonts w:ascii="Arial Narrow" w:hAnsi="Arial Narrow" w:cs="Arial"/>
                <w:sz w:val="22"/>
                <w:szCs w:val="22"/>
              </w:rPr>
              <w:t xml:space="preserve"> </w:t>
            </w:r>
            <w:r w:rsidRPr="00634A73">
              <w:rPr>
                <w:rFonts w:ascii="Arial Narrow" w:hAnsi="Arial Narrow" w:cs="Arial"/>
                <w:sz w:val="22"/>
                <w:szCs w:val="22"/>
              </w:rPr>
              <w:br/>
            </w:r>
            <w:r w:rsidRPr="00634A73">
              <w:rPr>
                <w:rFonts w:ascii="Arial Narrow" w:hAnsi="Arial Narrow" w:cs="Arial"/>
                <w:b/>
                <w:bCs/>
                <w:sz w:val="22"/>
                <w:szCs w:val="22"/>
              </w:rPr>
              <w:t>Intervention:</w:t>
            </w:r>
            <w:r w:rsidRPr="00634A73">
              <w:rPr>
                <w:rFonts w:ascii="Arial Narrow" w:hAnsi="Arial Narrow" w:cs="Arial"/>
                <w:sz w:val="22"/>
                <w:szCs w:val="22"/>
              </w:rPr>
              <w:t xml:space="preserve"> </w:t>
            </w:r>
            <w:r w:rsidRPr="00634A73">
              <w:rPr>
                <w:rFonts w:ascii="Arial Narrow" w:hAnsi="Arial Narrow" w:cs="Arial"/>
                <w:sz w:val="22"/>
                <w:szCs w:val="22"/>
              </w:rPr>
              <w:br/>
            </w:r>
            <w:r w:rsidRPr="00634A73">
              <w:rPr>
                <w:rFonts w:ascii="Arial Narrow" w:hAnsi="Arial Narrow" w:cs="Arial"/>
                <w:b/>
                <w:bCs/>
                <w:sz w:val="22"/>
                <w:szCs w:val="22"/>
              </w:rPr>
              <w:t xml:space="preserve">Comparison: </w:t>
            </w:r>
          </w:p>
        </w:tc>
      </w:tr>
      <w:tr w:rsidR="009866B0" w:rsidRPr="00486A04" w:rsidTr="00926901">
        <w:tc>
          <w:tcPr>
            <w:tcW w:w="0" w:type="auto"/>
            <w:vMerge w:val="restart"/>
            <w:tcBorders>
              <w:top w:val="single" w:sz="12" w:space="0" w:color="000000"/>
              <w:left w:val="nil"/>
              <w:bottom w:val="nil"/>
              <w:right w:val="nil"/>
            </w:tcBorders>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left"/>
              <w:rPr>
                <w:rFonts w:ascii="Arial Narrow" w:hAnsi="Arial Narrow" w:cs="Arial"/>
                <w:sz w:val="22"/>
                <w:szCs w:val="22"/>
              </w:rPr>
            </w:pPr>
            <w:r w:rsidRPr="00634A73">
              <w:rPr>
                <w:rFonts w:ascii="Arial Narrow" w:hAnsi="Arial Narrow" w:cs="Arial"/>
                <w:b/>
                <w:bCs/>
                <w:sz w:val="22"/>
                <w:szCs w:val="22"/>
              </w:rPr>
              <w:t>Outcomes</w:t>
            </w:r>
          </w:p>
        </w:tc>
        <w:tc>
          <w:tcPr>
            <w:tcW w:w="0" w:type="auto"/>
            <w:gridSpan w:val="2"/>
            <w:tcBorders>
              <w:top w:val="single" w:sz="12" w:space="0" w:color="000000"/>
              <w:left w:val="nil"/>
              <w:bottom w:val="nil"/>
              <w:right w:val="nil"/>
            </w:tcBorders>
            <w:shd w:val="clear" w:color="auto" w:fill="D3D3D3"/>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Illustrative comparative risks* (95% CI)</w:t>
            </w:r>
          </w:p>
        </w:tc>
        <w:tc>
          <w:tcPr>
            <w:tcW w:w="0" w:type="auto"/>
            <w:vMerge w:val="restart"/>
            <w:tcBorders>
              <w:top w:val="single" w:sz="12" w:space="0" w:color="000000"/>
              <w:left w:val="nil"/>
              <w:bottom w:val="nil"/>
              <w:right w:val="nil"/>
            </w:tcBorders>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left"/>
              <w:rPr>
                <w:rFonts w:ascii="Arial Narrow" w:hAnsi="Arial Narrow" w:cs="Arial"/>
                <w:sz w:val="22"/>
                <w:szCs w:val="22"/>
              </w:rPr>
            </w:pPr>
            <w:r w:rsidRPr="00634A73">
              <w:rPr>
                <w:rFonts w:ascii="Arial Narrow" w:hAnsi="Arial Narrow" w:cs="Arial"/>
                <w:b/>
                <w:bCs/>
                <w:sz w:val="22"/>
                <w:szCs w:val="22"/>
              </w:rPr>
              <w:t>Relative effect</w:t>
            </w:r>
            <w:r w:rsidRPr="00634A73">
              <w:rPr>
                <w:rFonts w:ascii="Arial Narrow" w:hAnsi="Arial Narrow" w:cs="Arial"/>
                <w:b/>
                <w:bCs/>
                <w:sz w:val="22"/>
                <w:szCs w:val="22"/>
              </w:rPr>
              <w:br/>
              <w:t>(95% CI)</w:t>
            </w:r>
          </w:p>
        </w:tc>
        <w:tc>
          <w:tcPr>
            <w:tcW w:w="0" w:type="auto"/>
            <w:vMerge w:val="restart"/>
            <w:tcBorders>
              <w:top w:val="single" w:sz="12" w:space="0" w:color="000000"/>
              <w:left w:val="nil"/>
              <w:bottom w:val="nil"/>
              <w:right w:val="nil"/>
            </w:tcBorders>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left"/>
              <w:rPr>
                <w:rFonts w:ascii="Arial Narrow" w:hAnsi="Arial Narrow" w:cs="Arial"/>
                <w:sz w:val="22"/>
                <w:szCs w:val="22"/>
              </w:rPr>
            </w:pPr>
            <w:r w:rsidRPr="00634A73">
              <w:rPr>
                <w:rFonts w:ascii="Arial Narrow" w:hAnsi="Arial Narrow" w:cs="Arial"/>
                <w:b/>
                <w:bCs/>
                <w:sz w:val="22"/>
                <w:szCs w:val="22"/>
              </w:rPr>
              <w:t>No of Participants</w:t>
            </w:r>
            <w:r w:rsidRPr="00634A73">
              <w:rPr>
                <w:rFonts w:ascii="Arial Narrow" w:hAnsi="Arial Narrow" w:cs="Arial"/>
                <w:b/>
                <w:bCs/>
                <w:sz w:val="22"/>
                <w:szCs w:val="22"/>
              </w:rPr>
              <w:br/>
              <w:t>(studies)</w:t>
            </w:r>
          </w:p>
        </w:tc>
        <w:tc>
          <w:tcPr>
            <w:tcW w:w="0" w:type="auto"/>
            <w:vMerge w:val="restart"/>
            <w:tcBorders>
              <w:top w:val="single" w:sz="12" w:space="0" w:color="000000"/>
              <w:left w:val="nil"/>
              <w:bottom w:val="nil"/>
              <w:right w:val="nil"/>
            </w:tcBorders>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left"/>
              <w:rPr>
                <w:rFonts w:ascii="Arial Narrow" w:hAnsi="Arial Narrow" w:cs="Arial"/>
                <w:sz w:val="22"/>
                <w:szCs w:val="22"/>
              </w:rPr>
            </w:pPr>
            <w:r w:rsidRPr="00634A73">
              <w:rPr>
                <w:rFonts w:ascii="Arial Narrow" w:hAnsi="Arial Narrow" w:cs="Arial"/>
                <w:b/>
                <w:bCs/>
                <w:sz w:val="22"/>
                <w:szCs w:val="22"/>
              </w:rPr>
              <w:t>Quality of the evidence</w:t>
            </w:r>
            <w:r w:rsidRPr="00634A73">
              <w:rPr>
                <w:rFonts w:ascii="Arial Narrow" w:hAnsi="Arial Narrow" w:cs="Arial"/>
                <w:b/>
                <w:bCs/>
                <w:sz w:val="22"/>
                <w:szCs w:val="22"/>
              </w:rPr>
              <w:br/>
              <w:t>(GRADE)</w:t>
            </w:r>
          </w:p>
        </w:tc>
        <w:tc>
          <w:tcPr>
            <w:tcW w:w="0" w:type="auto"/>
            <w:vMerge w:val="restart"/>
            <w:tcBorders>
              <w:top w:val="single" w:sz="12" w:space="0" w:color="000000"/>
              <w:left w:val="nil"/>
              <w:bottom w:val="nil"/>
              <w:right w:val="nil"/>
            </w:tcBorders>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left"/>
              <w:rPr>
                <w:rFonts w:ascii="Arial Narrow" w:hAnsi="Arial Narrow" w:cs="Arial"/>
                <w:sz w:val="22"/>
                <w:szCs w:val="22"/>
              </w:rPr>
            </w:pPr>
            <w:r w:rsidRPr="00634A73">
              <w:rPr>
                <w:rFonts w:ascii="Arial Narrow" w:hAnsi="Arial Narrow" w:cs="Arial"/>
                <w:b/>
                <w:bCs/>
                <w:sz w:val="22"/>
                <w:szCs w:val="22"/>
              </w:rPr>
              <w:t>Comments</w:t>
            </w:r>
          </w:p>
        </w:tc>
      </w:tr>
      <w:tr w:rsidR="009866B0" w:rsidRPr="00486A04" w:rsidTr="00926901">
        <w:tc>
          <w:tcPr>
            <w:tcW w:w="0" w:type="auto"/>
            <w:vMerge/>
            <w:tcBorders>
              <w:top w:val="single" w:sz="12" w:space="0" w:color="000000"/>
              <w:left w:val="nil"/>
              <w:bottom w:val="nil"/>
              <w:right w:val="nil"/>
            </w:tcBorders>
            <w:shd w:val="clear" w:color="auto" w:fill="8DB3E2" w:themeFill="text2" w:themeFillTint="66"/>
            <w:vAlign w:val="center"/>
            <w:hideMark/>
          </w:tcPr>
          <w:p w:rsidR="009866B0" w:rsidRPr="00634A73" w:rsidRDefault="009866B0">
            <w:pPr>
              <w:rPr>
                <w:rFonts w:ascii="Arial Narrow" w:hAnsi="Arial Narrow" w:cs="Arial"/>
                <w:sz w:val="22"/>
                <w:szCs w:val="22"/>
                <w:lang w:eastAsia="en-AU"/>
              </w:rPr>
            </w:pPr>
          </w:p>
        </w:tc>
        <w:tc>
          <w:tcPr>
            <w:tcW w:w="0" w:type="auto"/>
            <w:shd w:val="clear" w:color="auto" w:fill="D3D3D3"/>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sz w:val="22"/>
                <w:szCs w:val="22"/>
              </w:rPr>
              <w:t>Assumed risk</w:t>
            </w:r>
          </w:p>
        </w:tc>
        <w:tc>
          <w:tcPr>
            <w:tcW w:w="0" w:type="auto"/>
            <w:shd w:val="clear" w:color="auto" w:fill="D3D3D3"/>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sz w:val="22"/>
                <w:szCs w:val="22"/>
              </w:rPr>
              <w:t>Corresponding risk</w:t>
            </w:r>
          </w:p>
        </w:tc>
        <w:tc>
          <w:tcPr>
            <w:tcW w:w="0" w:type="auto"/>
            <w:vMerge/>
            <w:tcBorders>
              <w:top w:val="single" w:sz="12" w:space="0" w:color="000000"/>
              <w:left w:val="nil"/>
              <w:bottom w:val="nil"/>
              <w:right w:val="nil"/>
            </w:tcBorders>
            <w:shd w:val="clear" w:color="auto" w:fill="8DB3E2" w:themeFill="text2" w:themeFillTint="66"/>
            <w:vAlign w:val="center"/>
            <w:hideMark/>
          </w:tcPr>
          <w:p w:rsidR="009866B0" w:rsidRPr="00634A73" w:rsidRDefault="009866B0">
            <w:pPr>
              <w:rPr>
                <w:rFonts w:ascii="Arial Narrow" w:hAnsi="Arial Narrow" w:cs="Arial"/>
                <w:sz w:val="22"/>
                <w:szCs w:val="22"/>
                <w:lang w:eastAsia="en-AU"/>
              </w:rPr>
            </w:pPr>
          </w:p>
        </w:tc>
        <w:tc>
          <w:tcPr>
            <w:tcW w:w="0" w:type="auto"/>
            <w:vMerge/>
            <w:tcBorders>
              <w:top w:val="single" w:sz="12" w:space="0" w:color="000000"/>
              <w:left w:val="nil"/>
              <w:bottom w:val="nil"/>
              <w:right w:val="nil"/>
            </w:tcBorders>
            <w:shd w:val="clear" w:color="auto" w:fill="8DB3E2" w:themeFill="text2" w:themeFillTint="66"/>
            <w:vAlign w:val="center"/>
            <w:hideMark/>
          </w:tcPr>
          <w:p w:rsidR="009866B0" w:rsidRPr="00634A73" w:rsidRDefault="009866B0">
            <w:pPr>
              <w:rPr>
                <w:rFonts w:ascii="Arial Narrow" w:hAnsi="Arial Narrow" w:cs="Arial"/>
                <w:sz w:val="22"/>
                <w:szCs w:val="22"/>
                <w:lang w:eastAsia="en-AU"/>
              </w:rPr>
            </w:pPr>
          </w:p>
        </w:tc>
        <w:tc>
          <w:tcPr>
            <w:tcW w:w="0" w:type="auto"/>
            <w:vMerge/>
            <w:tcBorders>
              <w:top w:val="single" w:sz="12" w:space="0" w:color="000000"/>
              <w:left w:val="nil"/>
              <w:bottom w:val="nil"/>
              <w:right w:val="nil"/>
            </w:tcBorders>
            <w:shd w:val="clear" w:color="auto" w:fill="8DB3E2" w:themeFill="text2" w:themeFillTint="66"/>
            <w:vAlign w:val="center"/>
            <w:hideMark/>
          </w:tcPr>
          <w:p w:rsidR="009866B0" w:rsidRPr="00634A73" w:rsidRDefault="009866B0">
            <w:pPr>
              <w:rPr>
                <w:rFonts w:ascii="Arial Narrow" w:hAnsi="Arial Narrow" w:cs="Arial"/>
                <w:sz w:val="22"/>
                <w:szCs w:val="22"/>
                <w:lang w:eastAsia="en-AU"/>
              </w:rPr>
            </w:pPr>
          </w:p>
        </w:tc>
        <w:tc>
          <w:tcPr>
            <w:tcW w:w="0" w:type="auto"/>
            <w:vMerge/>
            <w:tcBorders>
              <w:top w:val="single" w:sz="12" w:space="0" w:color="000000"/>
              <w:left w:val="nil"/>
              <w:bottom w:val="nil"/>
              <w:right w:val="nil"/>
            </w:tcBorders>
            <w:shd w:val="clear" w:color="auto" w:fill="8DB3E2" w:themeFill="text2" w:themeFillTint="66"/>
            <w:vAlign w:val="center"/>
            <w:hideMark/>
          </w:tcPr>
          <w:p w:rsidR="009866B0" w:rsidRPr="00634A73" w:rsidRDefault="009866B0">
            <w:pPr>
              <w:rPr>
                <w:rFonts w:ascii="Arial Narrow" w:hAnsi="Arial Narrow" w:cs="Arial"/>
                <w:sz w:val="22"/>
                <w:szCs w:val="22"/>
                <w:lang w:eastAsia="en-AU"/>
              </w:rPr>
            </w:pPr>
          </w:p>
        </w:tc>
      </w:tr>
      <w:tr w:rsidR="009866B0" w:rsidRPr="00486A04" w:rsidTr="00926901">
        <w:tc>
          <w:tcPr>
            <w:tcW w:w="0" w:type="auto"/>
            <w:tcBorders>
              <w:top w:val="nil"/>
              <w:left w:val="nil"/>
              <w:bottom w:val="single" w:sz="12" w:space="0" w:color="000000"/>
              <w:right w:val="nil"/>
            </w:tcBorders>
            <w:shd w:val="clear" w:color="auto" w:fill="8DB3E2" w:themeFill="text2" w:themeFillTint="66"/>
            <w:tcMar>
              <w:top w:w="15" w:type="dxa"/>
              <w:left w:w="15" w:type="dxa"/>
              <w:bottom w:w="15" w:type="dxa"/>
              <w:right w:w="15" w:type="dxa"/>
            </w:tcMar>
            <w:vAlign w:val="center"/>
            <w:hideMark/>
          </w:tcPr>
          <w:p w:rsidR="009866B0" w:rsidRPr="00634A73" w:rsidRDefault="009866B0">
            <w:pPr>
              <w:rPr>
                <w:rFonts w:ascii="Arial Narrow" w:eastAsiaTheme="minorEastAsia" w:hAnsi="Arial Narrow" w:cstheme="minorBidi"/>
                <w:sz w:val="22"/>
                <w:szCs w:val="22"/>
                <w:lang w:eastAsia="en-AU"/>
              </w:rPr>
            </w:pPr>
          </w:p>
        </w:tc>
        <w:tc>
          <w:tcPr>
            <w:tcW w:w="0" w:type="auto"/>
            <w:tcBorders>
              <w:top w:val="nil"/>
              <w:left w:val="nil"/>
              <w:bottom w:val="single" w:sz="12" w:space="0" w:color="000000"/>
              <w:right w:val="nil"/>
            </w:tcBorders>
            <w:shd w:val="clear" w:color="auto" w:fill="D3D3D3"/>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b/>
                <w:bCs/>
                <w:sz w:val="22"/>
                <w:szCs w:val="22"/>
              </w:rPr>
            </w:pPr>
            <w:r w:rsidRPr="00634A73">
              <w:rPr>
                <w:rFonts w:ascii="Arial Narrow" w:hAnsi="Arial Narrow" w:cs="Arial"/>
                <w:b/>
                <w:bCs/>
                <w:sz w:val="22"/>
                <w:szCs w:val="22"/>
              </w:rPr>
              <w:br/>
            </w:r>
          </w:p>
        </w:tc>
        <w:tc>
          <w:tcPr>
            <w:tcW w:w="0" w:type="auto"/>
            <w:tcBorders>
              <w:top w:val="nil"/>
              <w:left w:val="nil"/>
              <w:bottom w:val="single" w:sz="12" w:space="0" w:color="000000"/>
              <w:right w:val="nil"/>
            </w:tcBorders>
            <w:shd w:val="clear" w:color="auto" w:fill="D3D3D3"/>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b/>
                <w:bCs/>
                <w:sz w:val="22"/>
                <w:szCs w:val="22"/>
              </w:rPr>
            </w:pPr>
            <w:r w:rsidRPr="00634A73">
              <w:rPr>
                <w:rFonts w:ascii="Arial Narrow" w:hAnsi="Arial Narrow" w:cs="Arial"/>
                <w:b/>
                <w:bCs/>
                <w:sz w:val="22"/>
                <w:szCs w:val="22"/>
              </w:rPr>
              <w:br/>
            </w:r>
          </w:p>
        </w:tc>
        <w:tc>
          <w:tcPr>
            <w:tcW w:w="0" w:type="auto"/>
            <w:tcBorders>
              <w:top w:val="nil"/>
              <w:left w:val="nil"/>
              <w:bottom w:val="single" w:sz="12" w:space="0" w:color="000000"/>
              <w:right w:val="nil"/>
            </w:tcBorders>
            <w:shd w:val="clear" w:color="auto" w:fill="8DB3E2" w:themeFill="text2" w:themeFillTint="66"/>
            <w:tcMar>
              <w:top w:w="15" w:type="dxa"/>
              <w:left w:w="15" w:type="dxa"/>
              <w:bottom w:w="15" w:type="dxa"/>
              <w:right w:w="15" w:type="dxa"/>
            </w:tcMar>
            <w:vAlign w:val="center"/>
            <w:hideMark/>
          </w:tcPr>
          <w:p w:rsidR="009866B0" w:rsidRPr="00634A73" w:rsidRDefault="009866B0">
            <w:pPr>
              <w:rPr>
                <w:rFonts w:ascii="Arial Narrow" w:eastAsiaTheme="minorEastAsia" w:hAnsi="Arial Narrow" w:cstheme="minorBidi"/>
                <w:sz w:val="22"/>
                <w:szCs w:val="22"/>
                <w:lang w:eastAsia="en-AU"/>
              </w:rPr>
            </w:pPr>
          </w:p>
        </w:tc>
        <w:tc>
          <w:tcPr>
            <w:tcW w:w="0" w:type="auto"/>
            <w:tcBorders>
              <w:top w:val="nil"/>
              <w:left w:val="nil"/>
              <w:bottom w:val="single" w:sz="12" w:space="0" w:color="000000"/>
              <w:right w:val="nil"/>
            </w:tcBorders>
            <w:shd w:val="clear" w:color="auto" w:fill="8DB3E2" w:themeFill="text2" w:themeFillTint="66"/>
            <w:tcMar>
              <w:top w:w="15" w:type="dxa"/>
              <w:left w:w="15" w:type="dxa"/>
              <w:bottom w:w="15" w:type="dxa"/>
              <w:right w:w="15" w:type="dxa"/>
            </w:tcMar>
            <w:vAlign w:val="center"/>
            <w:hideMark/>
          </w:tcPr>
          <w:p w:rsidR="009866B0" w:rsidRPr="00634A73" w:rsidRDefault="009866B0">
            <w:pPr>
              <w:rPr>
                <w:rFonts w:ascii="Arial Narrow" w:eastAsiaTheme="minorEastAsia" w:hAnsi="Arial Narrow" w:cstheme="minorBidi"/>
                <w:sz w:val="22"/>
                <w:szCs w:val="22"/>
                <w:lang w:eastAsia="en-AU"/>
              </w:rPr>
            </w:pPr>
          </w:p>
        </w:tc>
        <w:tc>
          <w:tcPr>
            <w:tcW w:w="0" w:type="auto"/>
            <w:tcBorders>
              <w:top w:val="nil"/>
              <w:left w:val="nil"/>
              <w:bottom w:val="single" w:sz="12" w:space="0" w:color="000000"/>
              <w:right w:val="nil"/>
            </w:tcBorders>
            <w:shd w:val="clear" w:color="auto" w:fill="8DB3E2" w:themeFill="text2" w:themeFillTint="66"/>
            <w:tcMar>
              <w:top w:w="15" w:type="dxa"/>
              <w:left w:w="15" w:type="dxa"/>
              <w:bottom w:w="15" w:type="dxa"/>
              <w:right w:w="15" w:type="dxa"/>
            </w:tcMar>
            <w:vAlign w:val="center"/>
            <w:hideMark/>
          </w:tcPr>
          <w:p w:rsidR="009866B0" w:rsidRPr="00634A73" w:rsidRDefault="009866B0">
            <w:pPr>
              <w:rPr>
                <w:rFonts w:ascii="Arial Narrow" w:eastAsiaTheme="minorEastAsia" w:hAnsi="Arial Narrow" w:cstheme="minorBidi"/>
                <w:sz w:val="22"/>
                <w:szCs w:val="22"/>
                <w:lang w:eastAsia="en-AU"/>
              </w:rPr>
            </w:pPr>
          </w:p>
        </w:tc>
        <w:tc>
          <w:tcPr>
            <w:tcW w:w="0" w:type="auto"/>
            <w:tcBorders>
              <w:top w:val="nil"/>
              <w:left w:val="nil"/>
              <w:bottom w:val="single" w:sz="12" w:space="0" w:color="000000"/>
              <w:right w:val="nil"/>
            </w:tcBorders>
            <w:shd w:val="clear" w:color="auto" w:fill="8DB3E2" w:themeFill="text2" w:themeFillTint="66"/>
            <w:tcMar>
              <w:top w:w="15" w:type="dxa"/>
              <w:left w:w="15" w:type="dxa"/>
              <w:bottom w:w="15" w:type="dxa"/>
              <w:right w:w="15" w:type="dxa"/>
            </w:tcMar>
            <w:vAlign w:val="center"/>
            <w:hideMark/>
          </w:tcPr>
          <w:p w:rsidR="009866B0" w:rsidRPr="00634A73" w:rsidRDefault="009866B0">
            <w:pPr>
              <w:rPr>
                <w:rFonts w:ascii="Arial Narrow" w:eastAsiaTheme="minorEastAsia" w:hAnsi="Arial Narrow" w:cstheme="minorBidi"/>
                <w:sz w:val="22"/>
                <w:szCs w:val="22"/>
                <w:lang w:eastAsia="en-AU"/>
              </w:rPr>
            </w:pPr>
          </w:p>
        </w:tc>
      </w:tr>
      <w:tr w:rsidR="009866B0" w:rsidRPr="00486A04" w:rsidTr="00634A73">
        <w:tc>
          <w:tcPr>
            <w:tcW w:w="0" w:type="auto"/>
            <w:tcBorders>
              <w:top w:val="single" w:sz="6" w:space="0" w:color="000000"/>
              <w:left w:val="nil"/>
              <w:bottom w:val="single" w:sz="6" w:space="0" w:color="000000"/>
              <w:right w:val="nil"/>
            </w:tcBorders>
            <w:tcMar>
              <w:top w:w="15" w:type="dxa"/>
              <w:left w:w="15" w:type="dxa"/>
              <w:bottom w:w="15" w:type="dxa"/>
              <w:right w:w="15" w:type="dxa"/>
            </w:tcMar>
            <w:hideMark/>
          </w:tcPr>
          <w:p w:rsidR="009866B0" w:rsidRPr="00634A73" w:rsidRDefault="009866B0">
            <w:pPr>
              <w:rPr>
                <w:rFonts w:ascii="Arial Narrow" w:eastAsiaTheme="minorEastAsia" w:hAnsi="Arial Narrow" w:cstheme="minorBidi"/>
                <w:sz w:val="22"/>
                <w:szCs w:val="22"/>
                <w:lang w:eastAsia="en-AU"/>
              </w:rPr>
            </w:pPr>
          </w:p>
        </w:tc>
        <w:tc>
          <w:tcPr>
            <w:tcW w:w="0" w:type="auto"/>
            <w:tcBorders>
              <w:top w:val="nil"/>
              <w:left w:val="nil"/>
              <w:bottom w:val="single" w:sz="6" w:space="0" w:color="000000"/>
              <w:right w:val="nil"/>
            </w:tcBorders>
            <w:shd w:val="clear" w:color="auto" w:fill="D3D3D3"/>
            <w:tcMar>
              <w:top w:w="15" w:type="dxa"/>
              <w:left w:w="15" w:type="dxa"/>
              <w:bottom w:w="15" w:type="dxa"/>
              <w:right w:w="15" w:type="dxa"/>
            </w:tcMar>
            <w:hideMark/>
          </w:tcPr>
          <w:p w:rsidR="00EA2754" w:rsidRPr="00634A73" w:rsidRDefault="00EA2754" w:rsidP="00634A73">
            <w:pPr>
              <w:jc w:val="center"/>
              <w:rPr>
                <w:rFonts w:ascii="Arial Narrow" w:eastAsiaTheme="minorEastAsia" w:hAnsi="Arial Narrow" w:cstheme="minorBidi"/>
                <w:sz w:val="22"/>
                <w:szCs w:val="22"/>
                <w:lang w:eastAsia="en-AU"/>
              </w:rPr>
            </w:pPr>
          </w:p>
        </w:tc>
        <w:tc>
          <w:tcPr>
            <w:tcW w:w="0" w:type="auto"/>
            <w:tcBorders>
              <w:top w:val="single" w:sz="6" w:space="0" w:color="000000"/>
              <w:left w:val="nil"/>
              <w:bottom w:val="single" w:sz="6" w:space="0" w:color="000000"/>
              <w:right w:val="nil"/>
            </w:tcBorders>
            <w:shd w:val="clear" w:color="auto" w:fill="D3D3D3"/>
            <w:tcMar>
              <w:top w:w="15" w:type="dxa"/>
              <w:left w:w="15" w:type="dxa"/>
              <w:bottom w:w="15" w:type="dxa"/>
              <w:right w:w="15" w:type="dxa"/>
            </w:tcMar>
            <w:hideMark/>
          </w:tcPr>
          <w:p w:rsidR="00EA2754" w:rsidRPr="00634A73" w:rsidRDefault="00EA2754" w:rsidP="00634A73">
            <w:pPr>
              <w:jc w:val="center"/>
              <w:rPr>
                <w:rFonts w:ascii="Arial Narrow" w:eastAsiaTheme="minorEastAsia" w:hAnsi="Arial Narrow" w:cstheme="minorBidi"/>
                <w:sz w:val="22"/>
                <w:szCs w:val="22"/>
                <w:lang w:eastAsia="en-AU"/>
              </w:rPr>
            </w:pPr>
          </w:p>
        </w:tc>
        <w:tc>
          <w:tcPr>
            <w:tcW w:w="0" w:type="auto"/>
            <w:tcBorders>
              <w:top w:val="single" w:sz="6" w:space="0" w:color="000000"/>
              <w:left w:val="nil"/>
              <w:bottom w:val="single" w:sz="6" w:space="0" w:color="000000"/>
              <w:right w:val="nil"/>
            </w:tcBorders>
            <w:tcMar>
              <w:top w:w="15" w:type="dxa"/>
              <w:left w:w="15" w:type="dxa"/>
              <w:bottom w:w="15" w:type="dxa"/>
              <w:right w:w="15" w:type="dxa"/>
            </w:tcMar>
            <w:hideMark/>
          </w:tcPr>
          <w:p w:rsidR="009866B0" w:rsidRPr="00634A73" w:rsidRDefault="009866B0">
            <w:pPr>
              <w:rPr>
                <w:rFonts w:ascii="Arial Narrow" w:eastAsiaTheme="minorEastAsia" w:hAnsi="Arial Narrow" w:cstheme="minorBidi"/>
                <w:sz w:val="22"/>
                <w:szCs w:val="22"/>
                <w:lang w:eastAsia="en-AU"/>
              </w:rPr>
            </w:pPr>
          </w:p>
        </w:tc>
        <w:tc>
          <w:tcPr>
            <w:tcW w:w="0" w:type="auto"/>
            <w:tcBorders>
              <w:top w:val="single" w:sz="6" w:space="0" w:color="000000"/>
              <w:left w:val="nil"/>
              <w:bottom w:val="single" w:sz="6" w:space="0" w:color="000000"/>
              <w:right w:val="nil"/>
            </w:tcBorders>
            <w:tcMar>
              <w:top w:w="15" w:type="dxa"/>
              <w:left w:w="15" w:type="dxa"/>
              <w:bottom w:w="15" w:type="dxa"/>
              <w:right w:w="15" w:type="dxa"/>
            </w:tcMar>
            <w:hideMark/>
          </w:tcPr>
          <w:p w:rsidR="009866B0" w:rsidRPr="00634A73" w:rsidRDefault="00B13D96">
            <w:pPr>
              <w:pStyle w:val="NormalWeb"/>
              <w:spacing w:after="240" w:afterAutospacing="0"/>
              <w:rPr>
                <w:rFonts w:ascii="Arial Narrow" w:hAnsi="Arial Narrow" w:cs="Arial"/>
                <w:sz w:val="22"/>
                <w:szCs w:val="22"/>
              </w:rPr>
            </w:pPr>
            <w:r w:rsidRPr="00634A73">
              <w:rPr>
                <w:rFonts w:ascii="Arial Narrow" w:hAnsi="Arial Narrow" w:cs="Arial"/>
                <w:sz w:val="22"/>
                <w:szCs w:val="22"/>
              </w:rPr>
              <w:br/>
            </w:r>
          </w:p>
        </w:tc>
        <w:tc>
          <w:tcPr>
            <w:tcW w:w="0" w:type="auto"/>
            <w:tcBorders>
              <w:top w:val="single" w:sz="6" w:space="0" w:color="000000"/>
              <w:left w:val="nil"/>
              <w:bottom w:val="single" w:sz="6" w:space="0" w:color="000000"/>
              <w:right w:val="nil"/>
            </w:tcBorders>
            <w:tcMar>
              <w:top w:w="15" w:type="dxa"/>
              <w:left w:w="15" w:type="dxa"/>
              <w:bottom w:w="15" w:type="dxa"/>
              <w:right w:w="15" w:type="dxa"/>
            </w:tcMar>
            <w:hideMark/>
          </w:tcPr>
          <w:p w:rsidR="009866B0" w:rsidRPr="00634A73" w:rsidRDefault="009866B0">
            <w:pPr>
              <w:rPr>
                <w:rFonts w:ascii="Arial Narrow" w:eastAsiaTheme="minorEastAsia" w:hAnsi="Arial Narrow" w:cstheme="minorBidi"/>
                <w:sz w:val="22"/>
                <w:szCs w:val="22"/>
                <w:lang w:eastAsia="en-AU"/>
              </w:rPr>
            </w:pPr>
          </w:p>
        </w:tc>
        <w:tc>
          <w:tcPr>
            <w:tcW w:w="0" w:type="auto"/>
            <w:tcBorders>
              <w:top w:val="single" w:sz="6" w:space="0" w:color="000000"/>
              <w:left w:val="nil"/>
              <w:bottom w:val="single" w:sz="6" w:space="0" w:color="000000"/>
              <w:right w:val="nil"/>
            </w:tcBorders>
            <w:tcMar>
              <w:top w:w="15" w:type="dxa"/>
              <w:left w:w="15" w:type="dxa"/>
              <w:bottom w:w="15" w:type="dxa"/>
              <w:right w:w="15" w:type="dxa"/>
            </w:tcMar>
            <w:hideMark/>
          </w:tcPr>
          <w:p w:rsidR="009866B0" w:rsidRPr="00634A73" w:rsidRDefault="009866B0">
            <w:pPr>
              <w:rPr>
                <w:rFonts w:ascii="Arial Narrow" w:eastAsiaTheme="minorEastAsia" w:hAnsi="Arial Narrow" w:cstheme="minorBidi"/>
                <w:sz w:val="22"/>
                <w:szCs w:val="22"/>
                <w:lang w:eastAsia="en-AU"/>
              </w:rPr>
            </w:pPr>
          </w:p>
        </w:tc>
      </w:tr>
      <w:tr w:rsidR="009866B0" w:rsidRPr="00486A04" w:rsidTr="00634A73">
        <w:tc>
          <w:tcPr>
            <w:tcW w:w="0" w:type="auto"/>
            <w:gridSpan w:val="7"/>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EA2754" w:rsidRPr="00634A73" w:rsidRDefault="00B13D96" w:rsidP="00634A73">
            <w:pPr>
              <w:jc w:val="left"/>
              <w:rPr>
                <w:rFonts w:ascii="Arial Narrow" w:hAnsi="Arial Narrow" w:cs="Arial"/>
                <w:sz w:val="22"/>
                <w:szCs w:val="22"/>
              </w:rPr>
            </w:pPr>
            <w:r w:rsidRPr="00634A73">
              <w:rPr>
                <w:rFonts w:ascii="Arial Narrow" w:hAnsi="Arial Narrow" w:cs="Arial"/>
                <w:sz w:val="22"/>
                <w:szCs w:val="22"/>
              </w:rPr>
              <w:t xml:space="preserve">*The basis for the </w:t>
            </w:r>
            <w:r w:rsidRPr="00634A73">
              <w:rPr>
                <w:rFonts w:ascii="Arial Narrow" w:hAnsi="Arial Narrow" w:cs="Arial"/>
                <w:b/>
                <w:bCs/>
                <w:sz w:val="22"/>
                <w:szCs w:val="22"/>
              </w:rPr>
              <w:t>assumed risk</w:t>
            </w:r>
            <w:r w:rsidRPr="00634A73">
              <w:rPr>
                <w:rFonts w:ascii="Arial Narrow" w:hAnsi="Arial Narrow" w:cs="Arial"/>
                <w:sz w:val="22"/>
                <w:szCs w:val="22"/>
              </w:rPr>
              <w:t xml:space="preserve"> (e.g. the median control group risk across studies) is provided in footnotes. The </w:t>
            </w:r>
            <w:r w:rsidRPr="00634A73">
              <w:rPr>
                <w:rFonts w:ascii="Arial Narrow" w:hAnsi="Arial Narrow" w:cs="Arial"/>
                <w:b/>
                <w:bCs/>
                <w:sz w:val="22"/>
                <w:szCs w:val="22"/>
              </w:rPr>
              <w:t>corresponding risk</w:t>
            </w:r>
            <w:r w:rsidRPr="00634A73">
              <w:rPr>
                <w:rFonts w:ascii="Arial Narrow" w:hAnsi="Arial Narrow" w:cs="Arial"/>
                <w:sz w:val="22"/>
                <w:szCs w:val="22"/>
              </w:rPr>
              <w:t xml:space="preserve"> (and its 95% confidence interval) is based on the assumed risk in the comparison group and the </w:t>
            </w:r>
            <w:r w:rsidRPr="00634A73">
              <w:rPr>
                <w:rFonts w:ascii="Arial Narrow" w:hAnsi="Arial Narrow" w:cs="Arial"/>
                <w:b/>
                <w:bCs/>
                <w:sz w:val="22"/>
                <w:szCs w:val="22"/>
              </w:rPr>
              <w:t>relative effect</w:t>
            </w:r>
            <w:r w:rsidRPr="00634A73">
              <w:rPr>
                <w:rFonts w:ascii="Arial Narrow" w:hAnsi="Arial Narrow" w:cs="Arial"/>
                <w:sz w:val="22"/>
                <w:szCs w:val="22"/>
              </w:rPr>
              <w:t xml:space="preserve"> of the intervention (and its 95% CI).</w:t>
            </w:r>
            <w:r w:rsidRPr="00634A73">
              <w:rPr>
                <w:rFonts w:ascii="Arial Narrow" w:hAnsi="Arial Narrow" w:cs="Arial"/>
                <w:sz w:val="22"/>
                <w:szCs w:val="22"/>
              </w:rPr>
              <w:br/>
            </w:r>
            <w:r w:rsidRPr="00634A73">
              <w:rPr>
                <w:rFonts w:ascii="Arial Narrow" w:hAnsi="Arial Narrow" w:cs="Arial"/>
                <w:sz w:val="22"/>
                <w:szCs w:val="22"/>
              </w:rPr>
              <w:br/>
            </w:r>
            <w:r w:rsidRPr="00634A73">
              <w:rPr>
                <w:rFonts w:ascii="Arial Narrow" w:hAnsi="Arial Narrow" w:cs="Arial"/>
                <w:b/>
                <w:bCs/>
                <w:sz w:val="22"/>
                <w:szCs w:val="22"/>
              </w:rPr>
              <w:t>CI:</w:t>
            </w:r>
            <w:r w:rsidRPr="00634A73">
              <w:rPr>
                <w:rFonts w:ascii="Arial Narrow" w:hAnsi="Arial Narrow" w:cs="Arial"/>
                <w:sz w:val="22"/>
                <w:szCs w:val="22"/>
              </w:rPr>
              <w:t xml:space="preserve"> Confidence interval; </w:t>
            </w:r>
          </w:p>
        </w:tc>
      </w:tr>
      <w:tr w:rsidR="009866B0" w:rsidRPr="00486A04" w:rsidTr="00634A73">
        <w:tc>
          <w:tcPr>
            <w:tcW w:w="0" w:type="auto"/>
            <w:gridSpan w:val="7"/>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EA2754" w:rsidRPr="00634A73" w:rsidRDefault="00B13D96" w:rsidP="00634A73">
            <w:pPr>
              <w:jc w:val="left"/>
              <w:rPr>
                <w:rFonts w:ascii="Arial Narrow" w:hAnsi="Arial Narrow" w:cs="Arial"/>
                <w:sz w:val="22"/>
                <w:szCs w:val="22"/>
              </w:rPr>
            </w:pPr>
            <w:r w:rsidRPr="00634A73">
              <w:rPr>
                <w:rFonts w:ascii="Arial Narrow" w:hAnsi="Arial Narrow" w:cs="Arial"/>
                <w:sz w:val="22"/>
                <w:szCs w:val="22"/>
              </w:rPr>
              <w:t>GRADE Working Group grades of evidence</w:t>
            </w:r>
            <w:r w:rsidRPr="00634A73">
              <w:rPr>
                <w:rFonts w:ascii="Arial Narrow" w:hAnsi="Arial Narrow" w:cs="Arial"/>
                <w:sz w:val="22"/>
                <w:szCs w:val="22"/>
              </w:rPr>
              <w:br/>
            </w:r>
            <w:r w:rsidRPr="00634A73">
              <w:rPr>
                <w:rFonts w:ascii="Arial Narrow" w:hAnsi="Arial Narrow" w:cs="Arial"/>
                <w:b/>
                <w:bCs/>
                <w:sz w:val="22"/>
                <w:szCs w:val="22"/>
              </w:rPr>
              <w:t>High quality:</w:t>
            </w:r>
            <w:r w:rsidRPr="00634A73">
              <w:rPr>
                <w:rFonts w:ascii="Arial Narrow" w:hAnsi="Arial Narrow" w:cs="Arial"/>
                <w:sz w:val="22"/>
                <w:szCs w:val="22"/>
              </w:rPr>
              <w:t xml:space="preserve"> Further research is very unlikely to change our confidence in the estimate of effect. </w:t>
            </w:r>
            <w:r w:rsidRPr="00634A73">
              <w:rPr>
                <w:rFonts w:ascii="Arial Narrow" w:hAnsi="Arial Narrow" w:cs="Arial"/>
                <w:sz w:val="22"/>
                <w:szCs w:val="22"/>
              </w:rPr>
              <w:br/>
            </w:r>
            <w:r w:rsidRPr="00634A73">
              <w:rPr>
                <w:rFonts w:ascii="Arial Narrow" w:hAnsi="Arial Narrow" w:cs="Arial"/>
                <w:b/>
                <w:bCs/>
                <w:sz w:val="22"/>
                <w:szCs w:val="22"/>
              </w:rPr>
              <w:t>Moderate quality:</w:t>
            </w:r>
            <w:r w:rsidRPr="00634A73">
              <w:rPr>
                <w:rFonts w:ascii="Arial Narrow" w:hAnsi="Arial Narrow" w:cs="Arial"/>
                <w:sz w:val="22"/>
                <w:szCs w:val="22"/>
              </w:rPr>
              <w:t xml:space="preserve"> Further research is likely to have an important impact on our confidence in the estimate of effect and may change the estimate.</w:t>
            </w:r>
            <w:r w:rsidRPr="00634A73">
              <w:rPr>
                <w:rFonts w:ascii="Arial Narrow" w:hAnsi="Arial Narrow" w:cs="Arial"/>
                <w:sz w:val="22"/>
                <w:szCs w:val="22"/>
              </w:rPr>
              <w:br/>
            </w:r>
            <w:r w:rsidRPr="00634A73">
              <w:rPr>
                <w:rFonts w:ascii="Arial Narrow" w:hAnsi="Arial Narrow" w:cs="Arial"/>
                <w:b/>
                <w:bCs/>
                <w:sz w:val="22"/>
                <w:szCs w:val="22"/>
              </w:rPr>
              <w:t>Low quality:</w:t>
            </w:r>
            <w:r w:rsidRPr="00634A73">
              <w:rPr>
                <w:rFonts w:ascii="Arial Narrow" w:hAnsi="Arial Narrow" w:cs="Arial"/>
                <w:sz w:val="22"/>
                <w:szCs w:val="22"/>
              </w:rPr>
              <w:t xml:space="preserve"> Further research is very likely to have an important impact on our confidence in the estimate of effect and is likely to change the estimate.</w:t>
            </w:r>
            <w:r w:rsidRPr="00634A73">
              <w:rPr>
                <w:rFonts w:ascii="Arial Narrow" w:hAnsi="Arial Narrow" w:cs="Arial"/>
                <w:sz w:val="22"/>
                <w:szCs w:val="22"/>
              </w:rPr>
              <w:br/>
            </w:r>
            <w:r w:rsidRPr="00634A73">
              <w:rPr>
                <w:rFonts w:ascii="Arial Narrow" w:hAnsi="Arial Narrow" w:cs="Arial"/>
                <w:b/>
                <w:bCs/>
                <w:sz w:val="22"/>
                <w:szCs w:val="22"/>
              </w:rPr>
              <w:t>Very low quality:</w:t>
            </w:r>
            <w:r w:rsidRPr="00634A73">
              <w:rPr>
                <w:rFonts w:ascii="Arial Narrow" w:hAnsi="Arial Narrow" w:cs="Arial"/>
                <w:sz w:val="22"/>
                <w:szCs w:val="22"/>
              </w:rPr>
              <w:t xml:space="preserve"> We are very uncertain about the estimate.</w:t>
            </w:r>
          </w:p>
        </w:tc>
      </w:tr>
      <w:tr w:rsidR="00D63BC4" w:rsidRPr="00486A04" w:rsidTr="00634A73">
        <w:tc>
          <w:tcPr>
            <w:tcW w:w="0" w:type="auto"/>
            <w:gridSpan w:val="7"/>
            <w:tcBorders>
              <w:top w:val="single" w:sz="12" w:space="0" w:color="000000"/>
              <w:bottom w:val="single" w:sz="12" w:space="0" w:color="000000"/>
            </w:tcBorders>
            <w:tcMar>
              <w:top w:w="15" w:type="dxa"/>
              <w:left w:w="15" w:type="dxa"/>
              <w:bottom w:w="15" w:type="dxa"/>
              <w:right w:w="15" w:type="dxa"/>
            </w:tcMar>
            <w:vAlign w:val="center"/>
            <w:hideMark/>
          </w:tcPr>
          <w:p w:rsidR="00D63BC4" w:rsidRDefault="00B13D96">
            <w:pPr>
              <w:rPr>
                <w:rFonts w:ascii="Arial Narrow" w:hAnsi="Arial Narrow" w:cs="Arial"/>
                <w:b/>
                <w:sz w:val="22"/>
                <w:szCs w:val="22"/>
              </w:rPr>
            </w:pPr>
            <w:r w:rsidRPr="00634A73">
              <w:rPr>
                <w:rFonts w:ascii="Arial Narrow" w:hAnsi="Arial Narrow" w:cs="Arial"/>
                <w:b/>
                <w:sz w:val="22"/>
                <w:szCs w:val="22"/>
              </w:rPr>
              <w:t> Evidence Statement</w:t>
            </w:r>
          </w:p>
          <w:p w:rsidR="00D63BC4" w:rsidRPr="00634A73" w:rsidRDefault="00D63BC4">
            <w:pPr>
              <w:rPr>
                <w:rFonts w:ascii="Arial Narrow" w:eastAsiaTheme="minorEastAsia" w:hAnsi="Arial Narrow" w:cstheme="minorBidi"/>
                <w:sz w:val="22"/>
                <w:szCs w:val="22"/>
                <w:lang w:eastAsia="en-AU"/>
              </w:rPr>
            </w:pPr>
          </w:p>
        </w:tc>
      </w:tr>
    </w:tbl>
    <w:p w:rsidR="00926901" w:rsidRDefault="00926901" w:rsidP="00791A76">
      <w:pPr>
        <w:widowControl w:val="0"/>
        <w:autoSpaceDE w:val="0"/>
        <w:autoSpaceDN w:val="0"/>
        <w:adjustRightInd w:val="0"/>
        <w:spacing w:line="240" w:lineRule="exact"/>
        <w:ind w:left="221" w:right="-20"/>
        <w:rPr>
          <w:bCs/>
        </w:rPr>
      </w:pPr>
      <w:r>
        <w:rPr>
          <w:bCs/>
        </w:rPr>
        <w:br w:type="page"/>
      </w:r>
    </w:p>
    <w:p w:rsidR="00EA2754" w:rsidRDefault="00086025" w:rsidP="0096216D">
      <w:pPr>
        <w:pStyle w:val="Caption"/>
        <w:keepNext/>
        <w:tabs>
          <w:tab w:val="clear" w:pos="851"/>
          <w:tab w:val="left" w:pos="1276"/>
        </w:tabs>
        <w:ind w:left="1134" w:hanging="1134"/>
      </w:pPr>
      <w:bookmarkStart w:id="1170" w:name="_Toc404350313"/>
      <w:bookmarkStart w:id="1171" w:name="_Toc404976365"/>
      <w:bookmarkStart w:id="1172" w:name="_Toc411510536"/>
      <w:bookmarkStart w:id="1173" w:name="_Toc415141966"/>
      <w:r>
        <w:lastRenderedPageBreak/>
        <w:t xml:space="preserve">Table </w:t>
      </w:r>
      <w:r w:rsidR="00A72B26">
        <w:rPr>
          <w:noProof/>
        </w:rPr>
        <w:t>169</w:t>
      </w:r>
      <w:r>
        <w:tab/>
      </w:r>
      <w:r w:rsidR="0096216D">
        <w:tab/>
      </w:r>
      <w:r w:rsidR="00F262D1">
        <w:t>Overview of systematic r</w:t>
      </w:r>
      <w:r w:rsidR="009866B0">
        <w:t>eviews</w:t>
      </w:r>
      <w:r>
        <w:t xml:space="preserve"> (modified </w:t>
      </w:r>
      <w:r w:rsidR="00052971">
        <w:t>GRADE</w:t>
      </w:r>
      <w:r>
        <w:t xml:space="preserve"> output)</w:t>
      </w:r>
      <w:bookmarkEnd w:id="1170"/>
      <w:bookmarkEnd w:id="1171"/>
      <w:bookmarkEnd w:id="1172"/>
      <w:bookmarkEnd w:id="1173"/>
    </w:p>
    <w:tbl>
      <w:tblPr>
        <w:tblW w:w="5000" w:type="pct"/>
        <w:tblLook w:val="04A0" w:firstRow="1" w:lastRow="0" w:firstColumn="1" w:lastColumn="0" w:noHBand="0" w:noVBand="1"/>
      </w:tblPr>
      <w:tblGrid>
        <w:gridCol w:w="913"/>
        <w:gridCol w:w="3423"/>
        <w:gridCol w:w="1582"/>
        <w:gridCol w:w="1681"/>
        <w:gridCol w:w="1453"/>
        <w:gridCol w:w="1455"/>
        <w:gridCol w:w="1977"/>
        <w:gridCol w:w="1564"/>
      </w:tblGrid>
      <w:tr w:rsidR="009866B0" w:rsidRPr="00486A04" w:rsidTr="009866B0">
        <w:tc>
          <w:tcPr>
            <w:tcW w:w="0" w:type="auto"/>
            <w:gridSpan w:val="8"/>
            <w:tcBorders>
              <w:top w:val="single" w:sz="12" w:space="0" w:color="000000"/>
              <w:left w:val="nil"/>
              <w:bottom w:val="single" w:sz="12" w:space="0" w:color="000000"/>
              <w:right w:val="nil"/>
            </w:tcBorders>
            <w:tcMar>
              <w:top w:w="45" w:type="dxa"/>
              <w:left w:w="45" w:type="dxa"/>
              <w:bottom w:w="45" w:type="dxa"/>
              <w:right w:w="45" w:type="dxa"/>
            </w:tcMar>
            <w:vAlign w:val="center"/>
            <w:hideMark/>
          </w:tcPr>
          <w:p w:rsidR="009866B0" w:rsidRPr="00634A73" w:rsidRDefault="00B13D96">
            <w:pPr>
              <w:pStyle w:val="NormalWeb"/>
              <w:keepNext/>
              <w:keepLines/>
              <w:tabs>
                <w:tab w:val="left" w:pos="567"/>
              </w:tabs>
              <w:outlineLvl w:val="0"/>
              <w:rPr>
                <w:rFonts w:ascii="Arial Narrow" w:hAnsi="Arial Narrow" w:cs="Arial"/>
                <w:b/>
                <w:bCs/>
                <w:sz w:val="22"/>
                <w:szCs w:val="22"/>
              </w:rPr>
            </w:pPr>
            <w:r w:rsidRPr="00634A73">
              <w:rPr>
                <w:rFonts w:ascii="Arial Narrow" w:hAnsi="Arial Narrow" w:cs="Arial"/>
                <w:b/>
                <w:bCs/>
                <w:sz w:val="22"/>
                <w:szCs w:val="22"/>
              </w:rPr>
              <w:t>Interventions for [Condition] in [Population]</w:t>
            </w:r>
          </w:p>
        </w:tc>
      </w:tr>
      <w:tr w:rsidR="00303767" w:rsidRPr="00486A04" w:rsidTr="00926901">
        <w:tc>
          <w:tcPr>
            <w:tcW w:w="0" w:type="auto"/>
            <w:vMerge w:val="restart"/>
            <w:tcBorders>
              <w:top w:val="single" w:sz="12" w:space="0" w:color="000000"/>
              <w:left w:val="nil"/>
              <w:bottom w:val="nil"/>
              <w:right w:val="nil"/>
            </w:tcBorders>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left"/>
              <w:rPr>
                <w:rFonts w:ascii="Arial Narrow" w:hAnsi="Arial Narrow" w:cs="Arial"/>
                <w:sz w:val="22"/>
                <w:szCs w:val="22"/>
              </w:rPr>
            </w:pPr>
            <w:r w:rsidRPr="00634A73">
              <w:rPr>
                <w:rFonts w:ascii="Arial Narrow" w:hAnsi="Arial Narrow" w:cs="Arial"/>
                <w:b/>
                <w:bCs/>
                <w:sz w:val="22"/>
                <w:szCs w:val="22"/>
              </w:rPr>
              <w:t>Outcomes</w:t>
            </w:r>
          </w:p>
        </w:tc>
        <w:tc>
          <w:tcPr>
            <w:tcW w:w="0" w:type="auto"/>
            <w:vMerge w:val="restart"/>
            <w:tcBorders>
              <w:top w:val="single" w:sz="12" w:space="0" w:color="000000"/>
              <w:left w:val="nil"/>
              <w:bottom w:val="nil"/>
              <w:right w:val="nil"/>
            </w:tcBorders>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left"/>
              <w:rPr>
                <w:rFonts w:ascii="Arial Narrow" w:hAnsi="Arial Narrow" w:cs="Arial"/>
                <w:sz w:val="22"/>
                <w:szCs w:val="22"/>
              </w:rPr>
            </w:pPr>
            <w:r w:rsidRPr="00634A73">
              <w:rPr>
                <w:rFonts w:ascii="Arial Narrow" w:hAnsi="Arial Narrow" w:cs="Arial"/>
                <w:b/>
                <w:bCs/>
                <w:sz w:val="22"/>
                <w:szCs w:val="22"/>
              </w:rPr>
              <w:t>Intervention and Comparison intervention</w:t>
            </w:r>
          </w:p>
        </w:tc>
        <w:tc>
          <w:tcPr>
            <w:tcW w:w="0" w:type="auto"/>
            <w:gridSpan w:val="2"/>
            <w:tcBorders>
              <w:top w:val="single" w:sz="12" w:space="0" w:color="000000"/>
              <w:left w:val="nil"/>
              <w:bottom w:val="nil"/>
              <w:right w:val="nil"/>
            </w:tcBorders>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Illustrative comparative risks* (95% CI)</w:t>
            </w:r>
          </w:p>
        </w:tc>
        <w:tc>
          <w:tcPr>
            <w:tcW w:w="517" w:type="pct"/>
            <w:vMerge w:val="restart"/>
            <w:tcBorders>
              <w:top w:val="single" w:sz="12" w:space="0" w:color="000000"/>
              <w:left w:val="nil"/>
              <w:bottom w:val="nil"/>
              <w:right w:val="nil"/>
            </w:tcBorders>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Relative effect</w:t>
            </w:r>
            <w:r w:rsidRPr="00634A73">
              <w:rPr>
                <w:rFonts w:ascii="Arial Narrow" w:hAnsi="Arial Narrow" w:cs="Arial"/>
                <w:b/>
                <w:bCs/>
                <w:sz w:val="22"/>
                <w:szCs w:val="22"/>
              </w:rPr>
              <w:br/>
              <w:t>(95% CI)</w:t>
            </w:r>
          </w:p>
        </w:tc>
        <w:tc>
          <w:tcPr>
            <w:tcW w:w="518" w:type="pct"/>
            <w:vMerge w:val="restart"/>
            <w:tcBorders>
              <w:top w:val="single" w:sz="12" w:space="0" w:color="000000"/>
              <w:left w:val="nil"/>
              <w:bottom w:val="nil"/>
              <w:right w:val="nil"/>
            </w:tcBorders>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No of Participants</w:t>
            </w:r>
            <w:r w:rsidRPr="00634A73">
              <w:rPr>
                <w:rFonts w:ascii="Arial Narrow" w:hAnsi="Arial Narrow" w:cs="Arial"/>
                <w:b/>
                <w:bCs/>
                <w:sz w:val="22"/>
                <w:szCs w:val="22"/>
              </w:rPr>
              <w:br/>
              <w:t>(studies)</w:t>
            </w:r>
          </w:p>
        </w:tc>
        <w:tc>
          <w:tcPr>
            <w:tcW w:w="0" w:type="auto"/>
            <w:vMerge w:val="restart"/>
            <w:tcBorders>
              <w:top w:val="single" w:sz="12" w:space="0" w:color="000000"/>
              <w:left w:val="nil"/>
              <w:bottom w:val="nil"/>
              <w:right w:val="nil"/>
            </w:tcBorders>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Quality of the evidence</w:t>
            </w:r>
            <w:r w:rsidRPr="00634A73">
              <w:rPr>
                <w:rFonts w:ascii="Arial Narrow" w:hAnsi="Arial Narrow" w:cs="Arial"/>
                <w:b/>
                <w:bCs/>
                <w:sz w:val="22"/>
                <w:szCs w:val="22"/>
              </w:rPr>
              <w:br/>
              <w:t>(GRADE)</w:t>
            </w:r>
          </w:p>
        </w:tc>
        <w:tc>
          <w:tcPr>
            <w:tcW w:w="0" w:type="auto"/>
            <w:vMerge w:val="restart"/>
            <w:tcBorders>
              <w:top w:val="single" w:sz="12" w:space="0" w:color="000000"/>
              <w:left w:val="nil"/>
              <w:bottom w:val="nil"/>
              <w:right w:val="nil"/>
            </w:tcBorders>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left"/>
              <w:rPr>
                <w:rFonts w:ascii="Arial Narrow" w:hAnsi="Arial Narrow" w:cs="Arial"/>
                <w:b/>
                <w:bCs/>
                <w:sz w:val="22"/>
                <w:szCs w:val="22"/>
              </w:rPr>
            </w:pPr>
            <w:r w:rsidRPr="00634A73">
              <w:rPr>
                <w:rFonts w:ascii="Arial Narrow" w:hAnsi="Arial Narrow" w:cs="Arial"/>
                <w:b/>
                <w:bCs/>
                <w:sz w:val="22"/>
                <w:szCs w:val="22"/>
              </w:rPr>
              <w:t>Comments</w:t>
            </w:r>
          </w:p>
          <w:p w:rsidR="00EA2754" w:rsidRPr="00634A73" w:rsidRDefault="00B13D96" w:rsidP="00634A73">
            <w:pPr>
              <w:pStyle w:val="NormalWeb"/>
              <w:jc w:val="left"/>
              <w:rPr>
                <w:rFonts w:ascii="Arial Narrow" w:hAnsi="Arial Narrow" w:cs="Arial"/>
                <w:sz w:val="22"/>
                <w:szCs w:val="22"/>
              </w:rPr>
            </w:pPr>
            <w:r w:rsidRPr="00634A73">
              <w:rPr>
                <w:rFonts w:ascii="Arial Narrow" w:hAnsi="Arial Narrow" w:cs="Arial"/>
                <w:b/>
                <w:bCs/>
                <w:sz w:val="22"/>
                <w:szCs w:val="22"/>
              </w:rPr>
              <w:t>(</w:t>
            </w:r>
            <w:r w:rsidR="00E66055" w:rsidRPr="00634A73">
              <w:rPr>
                <w:rFonts w:ascii="Arial Narrow" w:hAnsi="Arial Narrow" w:cs="Arial"/>
                <w:b/>
                <w:bCs/>
                <w:sz w:val="22"/>
                <w:szCs w:val="22"/>
              </w:rPr>
              <w:t>e.g.</w:t>
            </w:r>
            <w:r w:rsidRPr="00634A73">
              <w:rPr>
                <w:rFonts w:ascii="Arial Narrow" w:hAnsi="Arial Narrow" w:cs="Arial"/>
                <w:b/>
                <w:bCs/>
                <w:sz w:val="22"/>
                <w:szCs w:val="22"/>
              </w:rPr>
              <w:t xml:space="preserve"> quality of SR)</w:t>
            </w:r>
          </w:p>
        </w:tc>
      </w:tr>
      <w:tr w:rsidR="00303767" w:rsidRPr="00486A04" w:rsidTr="00926901">
        <w:tc>
          <w:tcPr>
            <w:tcW w:w="0" w:type="auto"/>
            <w:vMerge/>
            <w:tcBorders>
              <w:top w:val="single" w:sz="12" w:space="0" w:color="000000"/>
              <w:left w:val="nil"/>
              <w:bottom w:val="nil"/>
              <w:right w:val="nil"/>
            </w:tcBorders>
            <w:vAlign w:val="center"/>
            <w:hideMark/>
          </w:tcPr>
          <w:p w:rsidR="00EA2754" w:rsidRPr="00634A73" w:rsidRDefault="00EA2754" w:rsidP="00634A73">
            <w:pPr>
              <w:jc w:val="left"/>
              <w:rPr>
                <w:rFonts w:ascii="Arial Narrow" w:hAnsi="Arial Narrow" w:cs="Arial"/>
                <w:sz w:val="22"/>
                <w:szCs w:val="22"/>
                <w:lang w:eastAsia="en-AU"/>
              </w:rPr>
            </w:pPr>
          </w:p>
        </w:tc>
        <w:tc>
          <w:tcPr>
            <w:tcW w:w="0" w:type="auto"/>
            <w:vMerge/>
            <w:tcBorders>
              <w:top w:val="single" w:sz="12" w:space="0" w:color="000000"/>
              <w:left w:val="nil"/>
              <w:bottom w:val="nil"/>
              <w:right w:val="nil"/>
            </w:tcBorders>
            <w:vAlign w:val="center"/>
            <w:hideMark/>
          </w:tcPr>
          <w:p w:rsidR="00EA2754" w:rsidRPr="00634A73" w:rsidRDefault="00EA2754" w:rsidP="00634A73">
            <w:pPr>
              <w:jc w:val="left"/>
              <w:rPr>
                <w:rFonts w:ascii="Arial Narrow" w:hAnsi="Arial Narrow" w:cs="Arial"/>
                <w:sz w:val="22"/>
                <w:szCs w:val="22"/>
                <w:lang w:eastAsia="en-AU"/>
              </w:rPr>
            </w:pPr>
          </w:p>
        </w:tc>
        <w:tc>
          <w:tcPr>
            <w:tcW w:w="0" w:type="auto"/>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sz w:val="22"/>
                <w:szCs w:val="22"/>
              </w:rPr>
              <w:t>Assumed risk</w:t>
            </w:r>
          </w:p>
        </w:tc>
        <w:tc>
          <w:tcPr>
            <w:tcW w:w="0" w:type="auto"/>
            <w:shd w:val="clear" w:color="auto" w:fill="8DB3E2" w:themeFill="text2" w:themeFillTint="66"/>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sz w:val="22"/>
                <w:szCs w:val="22"/>
              </w:rPr>
              <w:t>Corresponding risk</w:t>
            </w:r>
          </w:p>
        </w:tc>
        <w:tc>
          <w:tcPr>
            <w:tcW w:w="517" w:type="pct"/>
            <w:vMerge/>
            <w:tcBorders>
              <w:top w:val="single" w:sz="12" w:space="0" w:color="000000"/>
              <w:left w:val="nil"/>
              <w:bottom w:val="nil"/>
              <w:right w:val="nil"/>
            </w:tcBorders>
            <w:vAlign w:val="center"/>
            <w:hideMark/>
          </w:tcPr>
          <w:p w:rsidR="00EA2754" w:rsidRPr="00634A73" w:rsidRDefault="00EA2754" w:rsidP="00634A73">
            <w:pPr>
              <w:jc w:val="center"/>
              <w:rPr>
                <w:rFonts w:ascii="Arial Narrow" w:hAnsi="Arial Narrow" w:cs="Arial"/>
                <w:sz w:val="22"/>
                <w:szCs w:val="22"/>
                <w:lang w:eastAsia="en-AU"/>
              </w:rPr>
            </w:pPr>
          </w:p>
        </w:tc>
        <w:tc>
          <w:tcPr>
            <w:tcW w:w="518" w:type="pct"/>
            <w:vMerge/>
            <w:tcBorders>
              <w:top w:val="single" w:sz="12" w:space="0" w:color="000000"/>
              <w:left w:val="nil"/>
              <w:bottom w:val="nil"/>
              <w:right w:val="nil"/>
            </w:tcBorders>
            <w:vAlign w:val="center"/>
            <w:hideMark/>
          </w:tcPr>
          <w:p w:rsidR="00EA2754" w:rsidRPr="00634A73" w:rsidRDefault="00EA2754" w:rsidP="00634A73">
            <w:pPr>
              <w:jc w:val="center"/>
              <w:rPr>
                <w:rFonts w:ascii="Arial Narrow" w:hAnsi="Arial Narrow" w:cs="Arial"/>
                <w:sz w:val="22"/>
                <w:szCs w:val="22"/>
                <w:lang w:eastAsia="en-AU"/>
              </w:rPr>
            </w:pPr>
          </w:p>
        </w:tc>
        <w:tc>
          <w:tcPr>
            <w:tcW w:w="0" w:type="auto"/>
            <w:vMerge/>
            <w:tcBorders>
              <w:top w:val="single" w:sz="12" w:space="0" w:color="000000"/>
              <w:left w:val="nil"/>
              <w:bottom w:val="nil"/>
              <w:right w:val="nil"/>
            </w:tcBorders>
            <w:vAlign w:val="center"/>
            <w:hideMark/>
          </w:tcPr>
          <w:p w:rsidR="00EA2754" w:rsidRPr="00634A73" w:rsidRDefault="00EA2754" w:rsidP="00634A73">
            <w:pPr>
              <w:jc w:val="center"/>
              <w:rPr>
                <w:rFonts w:ascii="Arial Narrow" w:hAnsi="Arial Narrow" w:cs="Arial"/>
                <w:sz w:val="22"/>
                <w:szCs w:val="22"/>
                <w:lang w:eastAsia="en-AU"/>
              </w:rPr>
            </w:pPr>
          </w:p>
        </w:tc>
        <w:tc>
          <w:tcPr>
            <w:tcW w:w="0" w:type="auto"/>
            <w:vMerge/>
            <w:tcBorders>
              <w:top w:val="single" w:sz="12" w:space="0" w:color="000000"/>
              <w:left w:val="nil"/>
              <w:bottom w:val="nil"/>
              <w:right w:val="nil"/>
            </w:tcBorders>
            <w:vAlign w:val="center"/>
            <w:hideMark/>
          </w:tcPr>
          <w:p w:rsidR="00EA2754" w:rsidRPr="00634A73" w:rsidRDefault="00EA2754" w:rsidP="00634A73">
            <w:pPr>
              <w:jc w:val="left"/>
              <w:rPr>
                <w:rFonts w:ascii="Arial Narrow" w:hAnsi="Arial Narrow" w:cs="Arial"/>
                <w:sz w:val="22"/>
                <w:szCs w:val="22"/>
                <w:lang w:eastAsia="en-AU"/>
              </w:rPr>
            </w:pPr>
          </w:p>
        </w:tc>
      </w:tr>
      <w:tr w:rsidR="00303767" w:rsidRPr="00486A04" w:rsidTr="0038530F">
        <w:tc>
          <w:tcPr>
            <w:tcW w:w="0" w:type="auto"/>
            <w:tcBorders>
              <w:top w:val="nil"/>
              <w:left w:val="nil"/>
              <w:bottom w:val="single" w:sz="12" w:space="0" w:color="000000"/>
              <w:right w:val="nil"/>
            </w:tcBorders>
            <w:shd w:val="clear" w:color="auto" w:fill="FFFFFF"/>
            <w:tcMar>
              <w:top w:w="15" w:type="dxa"/>
              <w:left w:w="15" w:type="dxa"/>
              <w:bottom w:w="15" w:type="dxa"/>
              <w:right w:w="15" w:type="dxa"/>
            </w:tcMar>
            <w:vAlign w:val="center"/>
            <w:hideMark/>
          </w:tcPr>
          <w:p w:rsidR="00EA2754" w:rsidRPr="00634A73" w:rsidRDefault="00EA2754" w:rsidP="00634A73">
            <w:pPr>
              <w:jc w:val="left"/>
              <w:rPr>
                <w:rFonts w:ascii="Arial Narrow" w:eastAsiaTheme="minorEastAsia" w:hAnsi="Arial Narrow" w:cstheme="minorBidi"/>
                <w:sz w:val="22"/>
                <w:szCs w:val="22"/>
                <w:lang w:eastAsia="en-AU"/>
              </w:rPr>
            </w:pPr>
          </w:p>
        </w:tc>
        <w:tc>
          <w:tcPr>
            <w:tcW w:w="0" w:type="auto"/>
            <w:tcBorders>
              <w:top w:val="nil"/>
              <w:left w:val="nil"/>
              <w:bottom w:val="single" w:sz="12" w:space="0" w:color="000000"/>
              <w:right w:val="nil"/>
            </w:tcBorders>
            <w:shd w:val="clear" w:color="auto" w:fill="FFFFFF"/>
            <w:tcMar>
              <w:top w:w="15" w:type="dxa"/>
              <w:left w:w="15" w:type="dxa"/>
              <w:bottom w:w="15" w:type="dxa"/>
              <w:right w:w="15" w:type="dxa"/>
            </w:tcMar>
            <w:vAlign w:val="center"/>
            <w:hideMark/>
          </w:tcPr>
          <w:p w:rsidR="00EA2754" w:rsidRPr="00634A73" w:rsidRDefault="00EA2754" w:rsidP="00634A73">
            <w:pPr>
              <w:jc w:val="left"/>
              <w:rPr>
                <w:rFonts w:ascii="Arial Narrow" w:eastAsiaTheme="minorEastAsia" w:hAnsi="Arial Narrow" w:cstheme="minorBidi"/>
                <w:sz w:val="22"/>
                <w:szCs w:val="22"/>
                <w:lang w:eastAsia="en-AU"/>
              </w:rPr>
            </w:pPr>
          </w:p>
        </w:tc>
        <w:tc>
          <w:tcPr>
            <w:tcW w:w="0" w:type="auto"/>
            <w:tcBorders>
              <w:top w:val="nil"/>
              <w:left w:val="nil"/>
              <w:bottom w:val="single" w:sz="12" w:space="0" w:color="000000"/>
              <w:right w:val="nil"/>
            </w:tcBorders>
            <w:shd w:val="clear" w:color="auto" w:fill="FFFFFF"/>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b/>
                <w:bCs/>
                <w:sz w:val="22"/>
                <w:szCs w:val="22"/>
              </w:rPr>
            </w:pPr>
            <w:r w:rsidRPr="00634A73">
              <w:rPr>
                <w:rFonts w:ascii="Arial Narrow" w:hAnsi="Arial Narrow" w:cs="Arial"/>
                <w:b/>
                <w:bCs/>
                <w:sz w:val="22"/>
                <w:szCs w:val="22"/>
              </w:rPr>
              <w:t>With comparator</w:t>
            </w:r>
          </w:p>
        </w:tc>
        <w:tc>
          <w:tcPr>
            <w:tcW w:w="0" w:type="auto"/>
            <w:tcBorders>
              <w:top w:val="nil"/>
              <w:left w:val="nil"/>
              <w:bottom w:val="single" w:sz="12" w:space="0" w:color="000000"/>
              <w:right w:val="nil"/>
            </w:tcBorders>
            <w:shd w:val="clear" w:color="auto" w:fill="FFFFFF"/>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b/>
                <w:bCs/>
                <w:sz w:val="22"/>
                <w:szCs w:val="22"/>
              </w:rPr>
            </w:pPr>
            <w:r w:rsidRPr="00634A73">
              <w:rPr>
                <w:rFonts w:ascii="Arial Narrow" w:hAnsi="Arial Narrow" w:cs="Arial"/>
                <w:b/>
                <w:bCs/>
                <w:sz w:val="22"/>
                <w:szCs w:val="22"/>
              </w:rPr>
              <w:t>With intervention</w:t>
            </w:r>
          </w:p>
        </w:tc>
        <w:tc>
          <w:tcPr>
            <w:tcW w:w="517" w:type="pct"/>
            <w:tcBorders>
              <w:top w:val="nil"/>
              <w:left w:val="nil"/>
              <w:bottom w:val="single" w:sz="12" w:space="0" w:color="000000"/>
              <w:right w:val="nil"/>
            </w:tcBorders>
            <w:shd w:val="clear" w:color="auto" w:fill="FFFFFF"/>
            <w:tcMar>
              <w:top w:w="15" w:type="dxa"/>
              <w:left w:w="15" w:type="dxa"/>
              <w:bottom w:w="15" w:type="dxa"/>
              <w:right w:w="15" w:type="dxa"/>
            </w:tcMar>
            <w:vAlign w:val="center"/>
            <w:hideMark/>
          </w:tcPr>
          <w:p w:rsidR="00EA2754" w:rsidRPr="00634A73" w:rsidRDefault="00EA2754" w:rsidP="00634A73">
            <w:pPr>
              <w:jc w:val="center"/>
              <w:rPr>
                <w:rFonts w:ascii="Arial Narrow" w:eastAsiaTheme="minorEastAsia" w:hAnsi="Arial Narrow" w:cstheme="minorBidi"/>
                <w:sz w:val="22"/>
                <w:szCs w:val="22"/>
                <w:lang w:eastAsia="en-AU"/>
              </w:rPr>
            </w:pPr>
          </w:p>
        </w:tc>
        <w:tc>
          <w:tcPr>
            <w:tcW w:w="518" w:type="pct"/>
            <w:tcBorders>
              <w:top w:val="nil"/>
              <w:left w:val="nil"/>
              <w:bottom w:val="single" w:sz="12" w:space="0" w:color="000000"/>
              <w:right w:val="nil"/>
            </w:tcBorders>
            <w:shd w:val="clear" w:color="auto" w:fill="FFFFFF"/>
            <w:tcMar>
              <w:top w:w="15" w:type="dxa"/>
              <w:left w:w="15" w:type="dxa"/>
              <w:bottom w:w="15" w:type="dxa"/>
              <w:right w:w="15" w:type="dxa"/>
            </w:tcMar>
            <w:vAlign w:val="center"/>
            <w:hideMark/>
          </w:tcPr>
          <w:p w:rsidR="00EA2754" w:rsidRPr="00634A73" w:rsidRDefault="00EA2754" w:rsidP="00634A73">
            <w:pPr>
              <w:jc w:val="center"/>
              <w:rPr>
                <w:rFonts w:ascii="Arial Narrow" w:eastAsiaTheme="minorEastAsia" w:hAnsi="Arial Narrow" w:cstheme="minorBidi"/>
                <w:sz w:val="22"/>
                <w:szCs w:val="22"/>
                <w:lang w:eastAsia="en-AU"/>
              </w:rPr>
            </w:pPr>
          </w:p>
        </w:tc>
        <w:tc>
          <w:tcPr>
            <w:tcW w:w="0" w:type="auto"/>
            <w:tcBorders>
              <w:top w:val="nil"/>
              <w:left w:val="nil"/>
              <w:bottom w:val="single" w:sz="12" w:space="0" w:color="000000"/>
              <w:right w:val="nil"/>
            </w:tcBorders>
            <w:shd w:val="clear" w:color="auto" w:fill="FFFFFF"/>
            <w:tcMar>
              <w:top w:w="15" w:type="dxa"/>
              <w:left w:w="15" w:type="dxa"/>
              <w:bottom w:w="15" w:type="dxa"/>
              <w:right w:w="15" w:type="dxa"/>
            </w:tcMar>
            <w:vAlign w:val="center"/>
            <w:hideMark/>
          </w:tcPr>
          <w:p w:rsidR="00EA2754" w:rsidRPr="00634A73" w:rsidRDefault="00EA2754" w:rsidP="00634A73">
            <w:pPr>
              <w:jc w:val="center"/>
              <w:rPr>
                <w:rFonts w:ascii="Arial Narrow" w:eastAsiaTheme="minorEastAsia" w:hAnsi="Arial Narrow" w:cstheme="minorBidi"/>
                <w:sz w:val="22"/>
                <w:szCs w:val="22"/>
                <w:lang w:eastAsia="en-AU"/>
              </w:rPr>
            </w:pPr>
          </w:p>
        </w:tc>
        <w:tc>
          <w:tcPr>
            <w:tcW w:w="0" w:type="auto"/>
            <w:tcBorders>
              <w:top w:val="nil"/>
              <w:left w:val="nil"/>
              <w:bottom w:val="single" w:sz="12" w:space="0" w:color="000000"/>
              <w:right w:val="nil"/>
            </w:tcBorders>
            <w:shd w:val="clear" w:color="auto" w:fill="FFFFFF"/>
            <w:tcMar>
              <w:top w:w="15" w:type="dxa"/>
              <w:left w:w="15" w:type="dxa"/>
              <w:bottom w:w="15" w:type="dxa"/>
              <w:right w:w="15" w:type="dxa"/>
            </w:tcMar>
            <w:vAlign w:val="center"/>
            <w:hideMark/>
          </w:tcPr>
          <w:p w:rsidR="00EA2754" w:rsidRPr="00634A73" w:rsidRDefault="00EA2754" w:rsidP="00634A73">
            <w:pPr>
              <w:jc w:val="left"/>
              <w:rPr>
                <w:rFonts w:ascii="Arial Narrow" w:eastAsiaTheme="minorEastAsia" w:hAnsi="Arial Narrow" w:cstheme="minorBidi"/>
                <w:sz w:val="22"/>
                <w:szCs w:val="22"/>
                <w:lang w:eastAsia="en-AU"/>
              </w:rPr>
            </w:pPr>
          </w:p>
        </w:tc>
      </w:tr>
      <w:tr w:rsidR="009866B0" w:rsidRPr="00486A04" w:rsidTr="009866B0">
        <w:tc>
          <w:tcPr>
            <w:tcW w:w="0" w:type="auto"/>
            <w:gridSpan w:val="8"/>
            <w:tcBorders>
              <w:top w:val="nil"/>
              <w:left w:val="nil"/>
              <w:bottom w:val="single" w:sz="6" w:space="0" w:color="000000"/>
              <w:right w:val="nil"/>
            </w:tcBorders>
            <w:shd w:val="clear" w:color="auto" w:fill="D3D3D3"/>
            <w:tcMar>
              <w:top w:w="15" w:type="dxa"/>
              <w:left w:w="15" w:type="dxa"/>
              <w:bottom w:w="15" w:type="dxa"/>
              <w:right w:w="15" w:type="dxa"/>
            </w:tcMar>
            <w:vAlign w:val="center"/>
            <w:hideMark/>
          </w:tcPr>
          <w:p w:rsidR="00EA2754" w:rsidRPr="00634A73" w:rsidRDefault="00B13D96" w:rsidP="00634A73">
            <w:pPr>
              <w:pStyle w:val="NormalWeb"/>
              <w:jc w:val="left"/>
              <w:rPr>
                <w:rFonts w:ascii="Arial Narrow" w:hAnsi="Arial Narrow" w:cs="Arial"/>
                <w:b/>
                <w:bCs/>
                <w:sz w:val="22"/>
                <w:szCs w:val="22"/>
              </w:rPr>
            </w:pPr>
            <w:r w:rsidRPr="00634A73">
              <w:rPr>
                <w:rFonts w:ascii="Arial Narrow" w:hAnsi="Arial Narrow" w:cs="Arial"/>
                <w:b/>
                <w:bCs/>
                <w:sz w:val="22"/>
                <w:szCs w:val="22"/>
              </w:rPr>
              <w:t>Health Outcome</w:t>
            </w:r>
          </w:p>
        </w:tc>
      </w:tr>
      <w:tr w:rsidR="00303767" w:rsidRPr="00486A04" w:rsidTr="009866B0">
        <w:tc>
          <w:tcPr>
            <w:tcW w:w="0" w:type="auto"/>
            <w:vMerge w:val="restart"/>
            <w:tcBorders>
              <w:top w:val="single" w:sz="6" w:space="0" w:color="000000"/>
              <w:left w:val="nil"/>
              <w:bottom w:val="single" w:sz="6" w:space="0" w:color="000000"/>
              <w:right w:val="nil"/>
            </w:tcBorders>
            <w:tcMar>
              <w:top w:w="15" w:type="dxa"/>
              <w:left w:w="15" w:type="dxa"/>
              <w:bottom w:w="15" w:type="dxa"/>
              <w:right w:w="15" w:type="dxa"/>
            </w:tcMar>
            <w:hideMark/>
          </w:tcPr>
          <w:p w:rsidR="009866B0" w:rsidRPr="00634A73" w:rsidRDefault="009866B0">
            <w:pPr>
              <w:rPr>
                <w:rFonts w:ascii="Arial Narrow" w:eastAsiaTheme="minorEastAsia" w:hAnsi="Arial Narrow" w:cstheme="minorBidi"/>
                <w:sz w:val="22"/>
                <w:szCs w:val="22"/>
                <w:lang w:eastAsia="en-AU"/>
              </w:rPr>
            </w:pPr>
          </w:p>
        </w:tc>
        <w:tc>
          <w:tcPr>
            <w:tcW w:w="0" w:type="auto"/>
            <w:vMerge w:val="restart"/>
            <w:tcBorders>
              <w:top w:val="single" w:sz="6" w:space="0" w:color="000000"/>
              <w:left w:val="nil"/>
              <w:bottom w:val="single" w:sz="6" w:space="0" w:color="000000"/>
              <w:right w:val="nil"/>
            </w:tcBorders>
            <w:tcMar>
              <w:top w:w="15" w:type="dxa"/>
              <w:left w:w="15" w:type="dxa"/>
              <w:bottom w:w="15" w:type="dxa"/>
              <w:right w:w="15" w:type="dxa"/>
            </w:tcMar>
            <w:hideMark/>
          </w:tcPr>
          <w:p w:rsidR="009866B0" w:rsidRPr="00634A73" w:rsidRDefault="009866B0">
            <w:pPr>
              <w:pStyle w:val="NormalWeb"/>
              <w:rPr>
                <w:rFonts w:ascii="Arial Narrow" w:hAnsi="Arial Narrow" w:cs="Arial"/>
                <w:sz w:val="22"/>
                <w:szCs w:val="22"/>
              </w:rPr>
            </w:pPr>
          </w:p>
        </w:tc>
        <w:tc>
          <w:tcPr>
            <w:tcW w:w="0" w:type="auto"/>
            <w:gridSpan w:val="2"/>
            <w:tcBorders>
              <w:top w:val="single" w:sz="6" w:space="0" w:color="000000"/>
              <w:left w:val="nil"/>
              <w:bottom w:val="single" w:sz="6" w:space="0" w:color="000000"/>
              <w:right w:val="nil"/>
            </w:tcBorders>
            <w:shd w:val="clear" w:color="auto" w:fill="D3D3D3"/>
            <w:tcMar>
              <w:top w:w="45" w:type="dxa"/>
              <w:left w:w="45" w:type="dxa"/>
              <w:bottom w:w="45" w:type="dxa"/>
              <w:right w:w="45" w:type="dxa"/>
            </w:tcMar>
            <w:vAlign w:val="cente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Study population</w:t>
            </w:r>
          </w:p>
        </w:tc>
        <w:tc>
          <w:tcPr>
            <w:tcW w:w="0" w:type="auto"/>
            <w:vMerge w:val="restart"/>
            <w:tcBorders>
              <w:top w:val="single" w:sz="6" w:space="0" w:color="000000"/>
              <w:left w:val="nil"/>
              <w:bottom w:val="single" w:sz="6" w:space="0" w:color="000000"/>
              <w:right w:val="nil"/>
            </w:tcBorders>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 xml:space="preserve">RR X </w:t>
            </w:r>
            <w:r w:rsidRPr="00634A73">
              <w:rPr>
                <w:rFonts w:ascii="Arial Narrow" w:hAnsi="Arial Narrow" w:cs="Arial"/>
                <w:sz w:val="22"/>
                <w:szCs w:val="22"/>
              </w:rPr>
              <w:br/>
              <w:t>(X to X)</w:t>
            </w:r>
          </w:p>
        </w:tc>
        <w:tc>
          <w:tcPr>
            <w:tcW w:w="0" w:type="auto"/>
            <w:vMerge w:val="restart"/>
            <w:tcBorders>
              <w:top w:val="single" w:sz="6" w:space="0" w:color="000000"/>
              <w:left w:val="nil"/>
              <w:bottom w:val="single" w:sz="6" w:space="0" w:color="000000"/>
              <w:right w:val="nil"/>
            </w:tcBorders>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sz w:val="22"/>
                <w:szCs w:val="22"/>
              </w:rPr>
              <w:t>XX</w:t>
            </w:r>
            <w:r w:rsidRPr="00634A73">
              <w:rPr>
                <w:rFonts w:ascii="Arial Narrow" w:hAnsi="Arial Narrow" w:cs="Arial"/>
                <w:sz w:val="22"/>
                <w:szCs w:val="22"/>
              </w:rPr>
              <w:br/>
              <w:t>(X studies)</w:t>
            </w:r>
          </w:p>
        </w:tc>
        <w:tc>
          <w:tcPr>
            <w:tcW w:w="0" w:type="auto"/>
            <w:vMerge w:val="restart"/>
            <w:tcBorders>
              <w:top w:val="single" w:sz="6" w:space="0" w:color="000000"/>
              <w:left w:val="nil"/>
              <w:bottom w:val="single" w:sz="6" w:space="0" w:color="000000"/>
              <w:right w:val="nil"/>
            </w:tcBorders>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Cambria Math" w:hAnsi="Cambria Math" w:cs="Cambria Math"/>
                <w:sz w:val="22"/>
                <w:szCs w:val="22"/>
              </w:rPr>
              <w:t>⊕⊕⊕⊝</w:t>
            </w:r>
            <w:r w:rsidRPr="00634A73">
              <w:rPr>
                <w:rFonts w:ascii="Arial Narrow" w:hAnsi="Arial Narrow" w:cs="Arial"/>
                <w:sz w:val="22"/>
                <w:szCs w:val="22"/>
              </w:rPr>
              <w:br/>
            </w:r>
            <w:r w:rsidRPr="00634A73">
              <w:rPr>
                <w:rFonts w:ascii="Arial Narrow" w:hAnsi="Arial Narrow" w:cs="Arial"/>
                <w:b/>
                <w:bCs/>
                <w:sz w:val="22"/>
                <w:szCs w:val="22"/>
              </w:rPr>
              <w:t>low/moderate/high</w:t>
            </w:r>
          </w:p>
        </w:tc>
        <w:tc>
          <w:tcPr>
            <w:tcW w:w="0" w:type="auto"/>
            <w:vMerge w:val="restart"/>
            <w:tcBorders>
              <w:top w:val="single" w:sz="6" w:space="0" w:color="000000"/>
              <w:left w:val="nil"/>
              <w:bottom w:val="single" w:sz="6" w:space="0" w:color="000000"/>
              <w:right w:val="nil"/>
            </w:tcBorders>
            <w:tcMar>
              <w:top w:w="15" w:type="dxa"/>
              <w:left w:w="15" w:type="dxa"/>
              <w:bottom w:w="15" w:type="dxa"/>
              <w:right w:w="15" w:type="dxa"/>
            </w:tcMar>
            <w:hideMark/>
          </w:tcPr>
          <w:p w:rsidR="00EA2754" w:rsidRPr="00634A73" w:rsidRDefault="00EA2754" w:rsidP="00634A73">
            <w:pPr>
              <w:jc w:val="left"/>
              <w:rPr>
                <w:rFonts w:ascii="Arial Narrow" w:eastAsiaTheme="minorEastAsia" w:hAnsi="Arial Narrow" w:cstheme="minorBidi"/>
                <w:sz w:val="22"/>
                <w:szCs w:val="22"/>
                <w:lang w:eastAsia="en-AU"/>
              </w:rPr>
            </w:pPr>
          </w:p>
        </w:tc>
      </w:tr>
      <w:tr w:rsidR="00303767" w:rsidRPr="00486A04" w:rsidTr="009866B0">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eastAsiaTheme="minorEastAsia" w:hAnsi="Arial Narrow" w:cstheme="minorBidi"/>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hAnsi="Arial Narrow" w:cs="Arial"/>
                <w:sz w:val="22"/>
                <w:szCs w:val="22"/>
                <w:lang w:eastAsia="en-AU"/>
              </w:rPr>
            </w:pPr>
          </w:p>
        </w:tc>
        <w:tc>
          <w:tcPr>
            <w:tcW w:w="0" w:type="auto"/>
            <w:tcBorders>
              <w:top w:val="nil"/>
              <w:left w:val="nil"/>
              <w:bottom w:val="single" w:sz="6" w:space="0" w:color="000000"/>
              <w:right w:val="single" w:sz="2" w:space="0" w:color="000000"/>
            </w:tcBorders>
            <w:shd w:val="clear" w:color="auto" w:fill="FFFFFF"/>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X per 100</w:t>
            </w:r>
          </w:p>
        </w:tc>
        <w:tc>
          <w:tcPr>
            <w:tcW w:w="0" w:type="auto"/>
            <w:tcBorders>
              <w:top w:val="single" w:sz="6" w:space="0" w:color="000000"/>
              <w:left w:val="nil"/>
              <w:bottom w:val="single" w:sz="6" w:space="0" w:color="000000"/>
              <w:right w:val="single" w:sz="2" w:space="0" w:color="000000"/>
            </w:tcBorders>
            <w:shd w:val="clear" w:color="auto" w:fill="FFFFFF"/>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X per 100</w:t>
            </w:r>
            <w:r w:rsidRPr="00634A73">
              <w:rPr>
                <w:rFonts w:ascii="Arial Narrow" w:hAnsi="Arial Narrow" w:cs="Arial"/>
                <w:sz w:val="22"/>
                <w:szCs w:val="22"/>
              </w:rPr>
              <w:br/>
              <w:t>(X to X)</w:t>
            </w:r>
          </w:p>
        </w:tc>
        <w:tc>
          <w:tcPr>
            <w:tcW w:w="0" w:type="auto"/>
            <w:vMerge/>
            <w:tcBorders>
              <w:top w:val="single" w:sz="6" w:space="0" w:color="000000"/>
              <w:left w:val="nil"/>
              <w:bottom w:val="single" w:sz="6" w:space="0" w:color="000000"/>
              <w:right w:val="nil"/>
            </w:tcBorders>
            <w:vAlign w:val="center"/>
            <w:hideMark/>
          </w:tcPr>
          <w:p w:rsidR="00EA2754" w:rsidRPr="00634A73" w:rsidRDefault="00EA2754" w:rsidP="00634A73">
            <w:pPr>
              <w:jc w:val="left"/>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EA2754" w:rsidRPr="00634A73" w:rsidRDefault="00EA2754" w:rsidP="00634A73">
            <w:pPr>
              <w:jc w:val="left"/>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EA2754" w:rsidRPr="00634A73" w:rsidRDefault="00EA2754" w:rsidP="00634A73">
            <w:pPr>
              <w:jc w:val="left"/>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EA2754" w:rsidRPr="00634A73" w:rsidRDefault="00EA2754" w:rsidP="00634A73">
            <w:pPr>
              <w:jc w:val="left"/>
              <w:rPr>
                <w:rFonts w:ascii="Arial Narrow" w:eastAsiaTheme="minorEastAsia" w:hAnsi="Arial Narrow" w:cstheme="minorBidi"/>
                <w:sz w:val="22"/>
                <w:szCs w:val="22"/>
                <w:lang w:eastAsia="en-AU"/>
              </w:rPr>
            </w:pPr>
          </w:p>
        </w:tc>
      </w:tr>
      <w:tr w:rsidR="00303767" w:rsidRPr="00486A04" w:rsidTr="009866B0">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eastAsiaTheme="minorEastAsia" w:hAnsi="Arial Narrow" w:cstheme="minorBidi"/>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hAnsi="Arial Narrow" w:cs="Arial"/>
                <w:sz w:val="22"/>
                <w:szCs w:val="22"/>
                <w:lang w:eastAsia="en-AU"/>
              </w:rPr>
            </w:pPr>
          </w:p>
        </w:tc>
        <w:tc>
          <w:tcPr>
            <w:tcW w:w="0" w:type="auto"/>
            <w:gridSpan w:val="2"/>
            <w:tcBorders>
              <w:top w:val="single" w:sz="6" w:space="0" w:color="000000"/>
              <w:left w:val="nil"/>
              <w:bottom w:val="single" w:sz="6" w:space="0" w:color="000000"/>
              <w:right w:val="nil"/>
            </w:tcBorders>
            <w:shd w:val="clear" w:color="auto" w:fill="D3D3D3"/>
            <w:tcMar>
              <w:top w:w="45" w:type="dxa"/>
              <w:left w:w="45" w:type="dxa"/>
              <w:bottom w:w="45" w:type="dxa"/>
              <w:right w:w="45" w:type="dxa"/>
            </w:tcMar>
            <w:vAlign w:val="cente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Moderate</w:t>
            </w:r>
          </w:p>
        </w:tc>
        <w:tc>
          <w:tcPr>
            <w:tcW w:w="0" w:type="auto"/>
            <w:vMerge/>
            <w:tcBorders>
              <w:top w:val="single" w:sz="6" w:space="0" w:color="000000"/>
              <w:left w:val="nil"/>
              <w:bottom w:val="single" w:sz="6" w:space="0" w:color="000000"/>
              <w:right w:val="nil"/>
            </w:tcBorders>
            <w:vAlign w:val="center"/>
            <w:hideMark/>
          </w:tcPr>
          <w:p w:rsidR="00EA2754" w:rsidRPr="00634A73" w:rsidRDefault="00EA2754" w:rsidP="00634A73">
            <w:pPr>
              <w:jc w:val="left"/>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EA2754" w:rsidRPr="00634A73" w:rsidRDefault="00EA2754" w:rsidP="00634A73">
            <w:pPr>
              <w:jc w:val="left"/>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EA2754" w:rsidRPr="00634A73" w:rsidRDefault="00EA2754" w:rsidP="00634A73">
            <w:pPr>
              <w:jc w:val="left"/>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EA2754" w:rsidRPr="00634A73" w:rsidRDefault="00EA2754" w:rsidP="00634A73">
            <w:pPr>
              <w:jc w:val="left"/>
              <w:rPr>
                <w:rFonts w:ascii="Arial Narrow" w:eastAsiaTheme="minorEastAsia" w:hAnsi="Arial Narrow" w:cstheme="minorBidi"/>
                <w:sz w:val="22"/>
                <w:szCs w:val="22"/>
                <w:lang w:eastAsia="en-AU"/>
              </w:rPr>
            </w:pPr>
          </w:p>
        </w:tc>
      </w:tr>
      <w:tr w:rsidR="00303767" w:rsidRPr="00486A04" w:rsidTr="009866B0">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eastAsiaTheme="minorEastAsia" w:hAnsi="Arial Narrow" w:cstheme="minorBidi"/>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hAnsi="Arial Narrow" w:cs="Arial"/>
                <w:sz w:val="22"/>
                <w:szCs w:val="22"/>
                <w:lang w:eastAsia="en-AU"/>
              </w:rPr>
            </w:pPr>
          </w:p>
        </w:tc>
        <w:tc>
          <w:tcPr>
            <w:tcW w:w="0" w:type="auto"/>
            <w:tcBorders>
              <w:top w:val="nil"/>
              <w:left w:val="nil"/>
              <w:bottom w:val="single" w:sz="6" w:space="0" w:color="000000"/>
              <w:right w:val="single" w:sz="2" w:space="0" w:color="000000"/>
            </w:tcBorders>
            <w:shd w:val="clear" w:color="auto" w:fill="FFFFFF"/>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X per 100</w:t>
            </w:r>
          </w:p>
        </w:tc>
        <w:tc>
          <w:tcPr>
            <w:tcW w:w="0" w:type="auto"/>
            <w:tcBorders>
              <w:top w:val="single" w:sz="6" w:space="0" w:color="000000"/>
              <w:left w:val="nil"/>
              <w:bottom w:val="single" w:sz="6" w:space="0" w:color="000000"/>
              <w:right w:val="single" w:sz="2" w:space="0" w:color="000000"/>
            </w:tcBorders>
            <w:shd w:val="clear" w:color="auto" w:fill="FFFFFF"/>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X per 100</w:t>
            </w:r>
            <w:r w:rsidRPr="00634A73">
              <w:rPr>
                <w:rFonts w:ascii="Arial Narrow" w:hAnsi="Arial Narrow" w:cs="Arial"/>
                <w:sz w:val="22"/>
                <w:szCs w:val="22"/>
              </w:rPr>
              <w:br/>
              <w:t>(X to X)</w:t>
            </w:r>
          </w:p>
        </w:tc>
        <w:tc>
          <w:tcPr>
            <w:tcW w:w="0" w:type="auto"/>
            <w:vMerge/>
            <w:tcBorders>
              <w:top w:val="single" w:sz="6" w:space="0" w:color="000000"/>
              <w:left w:val="nil"/>
              <w:bottom w:val="single" w:sz="6" w:space="0" w:color="000000"/>
              <w:right w:val="nil"/>
            </w:tcBorders>
            <w:vAlign w:val="center"/>
            <w:hideMark/>
          </w:tcPr>
          <w:p w:rsidR="00EA2754" w:rsidRPr="00634A73" w:rsidRDefault="00EA2754" w:rsidP="00634A73">
            <w:pPr>
              <w:jc w:val="left"/>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EA2754" w:rsidRPr="00634A73" w:rsidRDefault="00EA2754" w:rsidP="00634A73">
            <w:pPr>
              <w:jc w:val="left"/>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EA2754" w:rsidRPr="00634A73" w:rsidRDefault="00EA2754" w:rsidP="00634A73">
            <w:pPr>
              <w:jc w:val="left"/>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EA2754" w:rsidRPr="00634A73" w:rsidRDefault="00EA2754" w:rsidP="00634A73">
            <w:pPr>
              <w:jc w:val="left"/>
              <w:rPr>
                <w:rFonts w:ascii="Arial Narrow" w:eastAsiaTheme="minorEastAsia" w:hAnsi="Arial Narrow" w:cstheme="minorBidi"/>
                <w:sz w:val="22"/>
                <w:szCs w:val="22"/>
                <w:lang w:eastAsia="en-AU"/>
              </w:rPr>
            </w:pPr>
          </w:p>
        </w:tc>
      </w:tr>
      <w:tr w:rsidR="00303767" w:rsidRPr="00486A04" w:rsidTr="009866B0">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eastAsiaTheme="minorEastAsia" w:hAnsi="Arial Narrow" w:cstheme="minorBidi"/>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hAnsi="Arial Narrow" w:cs="Arial"/>
                <w:sz w:val="22"/>
                <w:szCs w:val="22"/>
                <w:lang w:eastAsia="en-AU"/>
              </w:rPr>
            </w:pPr>
          </w:p>
        </w:tc>
        <w:tc>
          <w:tcPr>
            <w:tcW w:w="0" w:type="auto"/>
            <w:gridSpan w:val="2"/>
            <w:tcBorders>
              <w:top w:val="single" w:sz="6" w:space="0" w:color="000000"/>
              <w:left w:val="nil"/>
              <w:bottom w:val="single" w:sz="6" w:space="0" w:color="000000"/>
              <w:right w:val="nil"/>
            </w:tcBorders>
            <w:shd w:val="clear" w:color="auto" w:fill="D3D3D3"/>
            <w:tcMar>
              <w:top w:w="45" w:type="dxa"/>
              <w:left w:w="45" w:type="dxa"/>
              <w:bottom w:w="45" w:type="dxa"/>
              <w:right w:w="45" w:type="dxa"/>
            </w:tcMar>
            <w:vAlign w:val="cente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High</w:t>
            </w: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eastAsiaTheme="minorEastAsia" w:hAnsi="Arial Narrow" w:cstheme="minorBidi"/>
                <w:sz w:val="22"/>
                <w:szCs w:val="22"/>
                <w:lang w:eastAsia="en-AU"/>
              </w:rPr>
            </w:pPr>
          </w:p>
        </w:tc>
      </w:tr>
      <w:tr w:rsidR="00303767" w:rsidRPr="00486A04" w:rsidTr="009866B0">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eastAsiaTheme="minorEastAsia" w:hAnsi="Arial Narrow" w:cstheme="minorBidi"/>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hAnsi="Arial Narrow" w:cs="Arial"/>
                <w:sz w:val="22"/>
                <w:szCs w:val="22"/>
                <w:lang w:eastAsia="en-AU"/>
              </w:rPr>
            </w:pPr>
          </w:p>
        </w:tc>
        <w:tc>
          <w:tcPr>
            <w:tcW w:w="0" w:type="auto"/>
            <w:tcBorders>
              <w:top w:val="nil"/>
              <w:left w:val="nil"/>
              <w:bottom w:val="single" w:sz="6" w:space="0" w:color="000000"/>
              <w:right w:val="single" w:sz="2" w:space="0" w:color="000000"/>
            </w:tcBorders>
            <w:shd w:val="clear" w:color="auto" w:fill="FFFFFF"/>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X per 100</w:t>
            </w:r>
          </w:p>
        </w:tc>
        <w:tc>
          <w:tcPr>
            <w:tcW w:w="0" w:type="auto"/>
            <w:tcBorders>
              <w:top w:val="single" w:sz="6" w:space="0" w:color="000000"/>
              <w:left w:val="nil"/>
              <w:bottom w:val="single" w:sz="6" w:space="0" w:color="000000"/>
              <w:right w:val="single" w:sz="6" w:space="0" w:color="000000"/>
            </w:tcBorders>
            <w:shd w:val="clear" w:color="auto" w:fill="FFFFFF"/>
            <w:tcMar>
              <w:top w:w="15" w:type="dxa"/>
              <w:left w:w="15" w:type="dxa"/>
              <w:bottom w:w="15" w:type="dxa"/>
              <w:right w:w="15" w:type="dxa"/>
            </w:tcMar>
            <w:hideMark/>
          </w:tcPr>
          <w:p w:rsidR="00EA2754" w:rsidRPr="00634A73" w:rsidRDefault="00B13D96" w:rsidP="00634A73">
            <w:pPr>
              <w:pStyle w:val="NormalWeb"/>
              <w:jc w:val="center"/>
              <w:rPr>
                <w:rFonts w:ascii="Arial Narrow" w:hAnsi="Arial Narrow" w:cs="Arial"/>
                <w:sz w:val="22"/>
                <w:szCs w:val="22"/>
              </w:rPr>
            </w:pPr>
            <w:r w:rsidRPr="00634A73">
              <w:rPr>
                <w:rFonts w:ascii="Arial Narrow" w:hAnsi="Arial Narrow" w:cs="Arial"/>
                <w:b/>
                <w:bCs/>
                <w:sz w:val="22"/>
                <w:szCs w:val="22"/>
              </w:rPr>
              <w:t>X per 100</w:t>
            </w:r>
            <w:r w:rsidRPr="00634A73">
              <w:rPr>
                <w:rFonts w:ascii="Arial Narrow" w:hAnsi="Arial Narrow" w:cs="Arial"/>
                <w:sz w:val="22"/>
                <w:szCs w:val="22"/>
              </w:rPr>
              <w:br/>
              <w:t>(X to X)</w:t>
            </w: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hAnsi="Arial Narrow" w:cs="Arial"/>
                <w:sz w:val="22"/>
                <w:szCs w:val="22"/>
                <w:lang w:eastAsia="en-AU"/>
              </w:rPr>
            </w:pPr>
          </w:p>
        </w:tc>
        <w:tc>
          <w:tcPr>
            <w:tcW w:w="0" w:type="auto"/>
            <w:vMerge/>
            <w:tcBorders>
              <w:top w:val="single" w:sz="6" w:space="0" w:color="000000"/>
              <w:left w:val="nil"/>
              <w:bottom w:val="single" w:sz="6" w:space="0" w:color="000000"/>
              <w:right w:val="nil"/>
            </w:tcBorders>
            <w:vAlign w:val="center"/>
            <w:hideMark/>
          </w:tcPr>
          <w:p w:rsidR="009866B0" w:rsidRPr="00634A73" w:rsidRDefault="009866B0">
            <w:pPr>
              <w:rPr>
                <w:rFonts w:ascii="Arial Narrow" w:eastAsiaTheme="minorEastAsia" w:hAnsi="Arial Narrow" w:cstheme="minorBidi"/>
                <w:sz w:val="22"/>
                <w:szCs w:val="22"/>
                <w:lang w:eastAsia="en-AU"/>
              </w:rPr>
            </w:pPr>
          </w:p>
        </w:tc>
      </w:tr>
    </w:tbl>
    <w:p w:rsidR="00316467" w:rsidRPr="00316467" w:rsidRDefault="00316467">
      <w:pPr>
        <w:rPr>
          <w:rFonts w:ascii="Arial Narrow" w:hAnsi="Arial Narrow"/>
          <w:sz w:val="20"/>
          <w:szCs w:val="20"/>
        </w:rPr>
      </w:pPr>
      <w:proofErr w:type="gramStart"/>
      <w:r w:rsidRPr="00316467">
        <w:rPr>
          <w:rFonts w:ascii="Arial Narrow" w:hAnsi="Arial Narrow"/>
          <w:sz w:val="20"/>
          <w:szCs w:val="20"/>
        </w:rPr>
        <w:t xml:space="preserve">CI </w:t>
      </w:r>
      <w:r w:rsidR="00652355" w:rsidRPr="00652355">
        <w:rPr>
          <w:rFonts w:ascii="Arial Narrow" w:hAnsi="Arial Narrow"/>
          <w:spacing w:val="-20"/>
          <w:sz w:val="20"/>
          <w:szCs w:val="20"/>
        </w:rPr>
        <w:t xml:space="preserve"> =</w:t>
      </w:r>
      <w:proofErr w:type="gramEnd"/>
      <w:r w:rsidR="00652355" w:rsidRPr="00652355">
        <w:rPr>
          <w:rFonts w:ascii="Arial Narrow" w:hAnsi="Arial Narrow"/>
          <w:spacing w:val="-20"/>
          <w:sz w:val="20"/>
          <w:szCs w:val="20"/>
        </w:rPr>
        <w:t xml:space="preserve"> </w:t>
      </w:r>
      <w:r w:rsidRPr="00316467">
        <w:rPr>
          <w:rFonts w:ascii="Arial Narrow" w:hAnsi="Arial Narrow"/>
          <w:sz w:val="20"/>
          <w:szCs w:val="20"/>
        </w:rPr>
        <w:t xml:space="preserve"> confidence interval; RR </w:t>
      </w:r>
      <w:r w:rsidR="00652355" w:rsidRPr="00652355">
        <w:rPr>
          <w:rFonts w:ascii="Arial Narrow" w:hAnsi="Arial Narrow"/>
          <w:spacing w:val="-20"/>
          <w:sz w:val="20"/>
          <w:szCs w:val="20"/>
        </w:rPr>
        <w:t xml:space="preserve"> = </w:t>
      </w:r>
      <w:r w:rsidRPr="00316467">
        <w:rPr>
          <w:rFonts w:ascii="Arial Narrow" w:hAnsi="Arial Narrow"/>
          <w:sz w:val="20"/>
          <w:szCs w:val="20"/>
        </w:rPr>
        <w:t xml:space="preserve"> relative risk; SR </w:t>
      </w:r>
      <w:r w:rsidR="00652355" w:rsidRPr="00652355">
        <w:rPr>
          <w:rFonts w:ascii="Arial Narrow" w:hAnsi="Arial Narrow"/>
          <w:spacing w:val="-20"/>
          <w:sz w:val="20"/>
          <w:szCs w:val="20"/>
        </w:rPr>
        <w:t xml:space="preserve"> = </w:t>
      </w:r>
      <w:r w:rsidRPr="00316467">
        <w:rPr>
          <w:rFonts w:ascii="Arial Narrow" w:hAnsi="Arial Narrow"/>
          <w:sz w:val="20"/>
          <w:szCs w:val="20"/>
        </w:rPr>
        <w:t xml:space="preserve"> systematic review</w:t>
      </w:r>
    </w:p>
    <w:tbl>
      <w:tblPr>
        <w:tblW w:w="5021" w:type="pct"/>
        <w:tblInd w:w="-30" w:type="dxa"/>
        <w:tblLook w:val="04A0" w:firstRow="1" w:lastRow="0" w:firstColumn="1" w:lastColumn="0" w:noHBand="0" w:noVBand="1"/>
      </w:tblPr>
      <w:tblGrid>
        <w:gridCol w:w="14047"/>
      </w:tblGrid>
      <w:tr w:rsidR="00303767" w:rsidRPr="00486A04" w:rsidTr="00316467">
        <w:tc>
          <w:tcPr>
            <w:tcW w:w="0" w:type="auto"/>
            <w:tcBorders>
              <w:top w:val="single" w:sz="12" w:space="0" w:color="000000"/>
              <w:left w:val="nil"/>
              <w:bottom w:val="single" w:sz="12" w:space="0" w:color="000000"/>
              <w:right w:val="nil"/>
            </w:tcBorders>
            <w:tcMar>
              <w:top w:w="15" w:type="dxa"/>
              <w:left w:w="15" w:type="dxa"/>
              <w:bottom w:w="15" w:type="dxa"/>
              <w:right w:w="15" w:type="dxa"/>
            </w:tcMar>
            <w:vAlign w:val="center"/>
            <w:hideMark/>
          </w:tcPr>
          <w:p w:rsidR="00303767" w:rsidRPr="00634A73" w:rsidRDefault="00B13D96" w:rsidP="00BB329D">
            <w:pPr>
              <w:jc w:val="left"/>
              <w:rPr>
                <w:rFonts w:ascii="Arial Narrow" w:hAnsi="Arial Narrow" w:cs="Arial"/>
                <w:sz w:val="22"/>
                <w:szCs w:val="22"/>
              </w:rPr>
            </w:pPr>
            <w:r w:rsidRPr="00634A73">
              <w:rPr>
                <w:rFonts w:ascii="Arial Narrow" w:hAnsi="Arial Narrow" w:cs="Arial"/>
                <w:sz w:val="22"/>
                <w:szCs w:val="22"/>
              </w:rPr>
              <w:t>GRADE Working Group grades of evidence</w:t>
            </w:r>
            <w:r w:rsidRPr="00634A73">
              <w:rPr>
                <w:rFonts w:ascii="Arial Narrow" w:hAnsi="Arial Narrow" w:cs="Arial"/>
                <w:sz w:val="22"/>
                <w:szCs w:val="22"/>
              </w:rPr>
              <w:br/>
            </w:r>
            <w:r w:rsidRPr="00634A73">
              <w:rPr>
                <w:rFonts w:ascii="Arial Narrow" w:hAnsi="Arial Narrow" w:cs="Arial"/>
                <w:b/>
                <w:bCs/>
                <w:sz w:val="22"/>
                <w:szCs w:val="22"/>
              </w:rPr>
              <w:t>High quality:</w:t>
            </w:r>
            <w:r w:rsidRPr="00634A73">
              <w:rPr>
                <w:rFonts w:ascii="Arial Narrow" w:hAnsi="Arial Narrow" w:cs="Arial"/>
                <w:sz w:val="22"/>
                <w:szCs w:val="22"/>
              </w:rPr>
              <w:t xml:space="preserve"> Further research is very unlikely to change our confidence in the estimate of effect. </w:t>
            </w:r>
            <w:r w:rsidRPr="00634A73">
              <w:rPr>
                <w:rFonts w:ascii="Arial Narrow" w:hAnsi="Arial Narrow" w:cs="Arial"/>
                <w:sz w:val="22"/>
                <w:szCs w:val="22"/>
              </w:rPr>
              <w:br/>
            </w:r>
            <w:r w:rsidRPr="00634A73">
              <w:rPr>
                <w:rFonts w:ascii="Arial Narrow" w:hAnsi="Arial Narrow" w:cs="Arial"/>
                <w:b/>
                <w:bCs/>
                <w:sz w:val="22"/>
                <w:szCs w:val="22"/>
              </w:rPr>
              <w:t>Moderate quality:</w:t>
            </w:r>
            <w:r w:rsidRPr="00634A73">
              <w:rPr>
                <w:rFonts w:ascii="Arial Narrow" w:hAnsi="Arial Narrow" w:cs="Arial"/>
                <w:sz w:val="22"/>
                <w:szCs w:val="22"/>
              </w:rPr>
              <w:t xml:space="preserve"> Further research is likely to have an important impact on our confidence in the estimate of effect and may change the estimate.</w:t>
            </w:r>
            <w:r w:rsidRPr="00634A73">
              <w:rPr>
                <w:rFonts w:ascii="Arial Narrow" w:hAnsi="Arial Narrow" w:cs="Arial"/>
                <w:sz w:val="22"/>
                <w:szCs w:val="22"/>
              </w:rPr>
              <w:br/>
            </w:r>
            <w:r w:rsidRPr="00634A73">
              <w:rPr>
                <w:rFonts w:ascii="Arial Narrow" w:hAnsi="Arial Narrow" w:cs="Arial"/>
                <w:b/>
                <w:bCs/>
                <w:sz w:val="22"/>
                <w:szCs w:val="22"/>
              </w:rPr>
              <w:t>Low quality:</w:t>
            </w:r>
            <w:r w:rsidRPr="00634A73">
              <w:rPr>
                <w:rFonts w:ascii="Arial Narrow" w:hAnsi="Arial Narrow" w:cs="Arial"/>
                <w:sz w:val="22"/>
                <w:szCs w:val="22"/>
              </w:rPr>
              <w:t xml:space="preserve"> Further research is very likely to have an important impact on our confidence in the estimate of effect and is likely to change the estimate.</w:t>
            </w:r>
            <w:r w:rsidRPr="00634A73">
              <w:rPr>
                <w:rFonts w:ascii="Arial Narrow" w:hAnsi="Arial Narrow" w:cs="Arial"/>
                <w:sz w:val="22"/>
                <w:szCs w:val="22"/>
              </w:rPr>
              <w:br/>
            </w:r>
            <w:r w:rsidRPr="00634A73">
              <w:rPr>
                <w:rFonts w:ascii="Arial Narrow" w:hAnsi="Arial Narrow" w:cs="Arial"/>
                <w:b/>
                <w:bCs/>
                <w:sz w:val="22"/>
                <w:szCs w:val="22"/>
              </w:rPr>
              <w:t>Very low quality:</w:t>
            </w:r>
            <w:r w:rsidRPr="00634A73">
              <w:rPr>
                <w:rFonts w:ascii="Arial Narrow" w:hAnsi="Arial Narrow" w:cs="Arial"/>
                <w:sz w:val="22"/>
                <w:szCs w:val="22"/>
              </w:rPr>
              <w:t xml:space="preserve"> We are very uncertain about the estimate.</w:t>
            </w:r>
          </w:p>
        </w:tc>
      </w:tr>
      <w:tr w:rsidR="00303767" w:rsidRPr="00486A04" w:rsidTr="00316467">
        <w:tc>
          <w:tcPr>
            <w:tcW w:w="0" w:type="auto"/>
            <w:tcBorders>
              <w:top w:val="single" w:sz="12" w:space="0" w:color="000000"/>
              <w:bottom w:val="single" w:sz="12" w:space="0" w:color="000000"/>
            </w:tcBorders>
            <w:tcMar>
              <w:top w:w="15" w:type="dxa"/>
              <w:left w:w="15" w:type="dxa"/>
              <w:bottom w:w="15" w:type="dxa"/>
              <w:right w:w="15" w:type="dxa"/>
            </w:tcMar>
            <w:vAlign w:val="center"/>
            <w:hideMark/>
          </w:tcPr>
          <w:p w:rsidR="00303767" w:rsidRPr="00634A73" w:rsidRDefault="00B13D96" w:rsidP="00926901">
            <w:pPr>
              <w:rPr>
                <w:rFonts w:ascii="Arial Narrow" w:eastAsiaTheme="minorEastAsia" w:hAnsi="Arial Narrow" w:cstheme="minorBidi"/>
                <w:sz w:val="22"/>
                <w:szCs w:val="22"/>
                <w:lang w:eastAsia="en-AU"/>
              </w:rPr>
            </w:pPr>
            <w:r w:rsidRPr="00634A73">
              <w:rPr>
                <w:rFonts w:ascii="Arial Narrow" w:hAnsi="Arial Narrow" w:cs="Arial"/>
                <w:b/>
                <w:sz w:val="22"/>
                <w:szCs w:val="22"/>
              </w:rPr>
              <w:t> Evidence Statement</w:t>
            </w:r>
          </w:p>
        </w:tc>
      </w:tr>
    </w:tbl>
    <w:p w:rsidR="009866B0" w:rsidRDefault="009866B0" w:rsidP="00791A76">
      <w:pPr>
        <w:widowControl w:val="0"/>
        <w:autoSpaceDE w:val="0"/>
        <w:autoSpaceDN w:val="0"/>
        <w:adjustRightInd w:val="0"/>
        <w:spacing w:line="240" w:lineRule="exact"/>
        <w:ind w:left="221" w:right="-20"/>
        <w:rPr>
          <w:bCs/>
        </w:rPr>
      </w:pPr>
    </w:p>
    <w:p w:rsidR="00791A76" w:rsidRPr="00791A76" w:rsidRDefault="00791A76" w:rsidP="00791A76">
      <w:pPr>
        <w:rPr>
          <w:lang w:eastAsia="en-AU"/>
        </w:rPr>
        <w:sectPr w:rsidR="00791A76" w:rsidRPr="00791A76" w:rsidSect="00791A76">
          <w:headerReference w:type="default" r:id="rId33"/>
          <w:footerReference w:type="default" r:id="rId34"/>
          <w:pgSz w:w="16838" w:h="11906" w:orient="landscape"/>
          <w:pgMar w:top="1440" w:right="1440" w:bottom="1440" w:left="1440" w:header="708" w:footer="708" w:gutter="0"/>
          <w:cols w:space="708"/>
          <w:docGrid w:linePitch="360"/>
        </w:sectPr>
      </w:pPr>
    </w:p>
    <w:p w:rsidR="005C7ECA" w:rsidRPr="003F3F2D" w:rsidRDefault="005C7ECA" w:rsidP="00DB4EE8">
      <w:pPr>
        <w:pStyle w:val="Heading1"/>
        <w:numPr>
          <w:ilvl w:val="0"/>
          <w:numId w:val="0"/>
        </w:numPr>
      </w:pPr>
      <w:bookmarkStart w:id="1174" w:name="_Ref343017221"/>
      <w:bookmarkStart w:id="1175" w:name="_Ref340001138"/>
      <w:bookmarkStart w:id="1176" w:name="_Ref353737135"/>
      <w:bookmarkStart w:id="1177" w:name="_Toc415141792"/>
      <w:bookmarkStart w:id="1178" w:name="_Ref335987070"/>
      <w:r w:rsidRPr="003F3F2D">
        <w:lastRenderedPageBreak/>
        <w:t xml:space="preserve">APPENDIX </w:t>
      </w:r>
      <w:r w:rsidR="00A72B26">
        <w:t>F</w:t>
      </w:r>
      <w:bookmarkEnd w:id="1174"/>
      <w:bookmarkEnd w:id="1175"/>
      <w:bookmarkEnd w:id="1176"/>
      <w:r w:rsidR="00E531E4" w:rsidRPr="003F3F2D">
        <w:tab/>
      </w:r>
      <w:r w:rsidR="00C371E2" w:rsidRPr="003F3F2D">
        <w:t xml:space="preserve">Horizon scanning sources </w:t>
      </w:r>
      <w:r w:rsidR="00BD2FCB" w:rsidRPr="003F3F2D">
        <w:t>(ToR 2)</w:t>
      </w:r>
      <w:bookmarkEnd w:id="1177"/>
    </w:p>
    <w:p w:rsidR="00BD2FCB" w:rsidRPr="00BD2FCB" w:rsidRDefault="00BF6303" w:rsidP="00BF6303">
      <w:pPr>
        <w:pStyle w:val="Caption"/>
        <w:tabs>
          <w:tab w:val="clear" w:pos="851"/>
          <w:tab w:val="left" w:pos="1276"/>
        </w:tabs>
      </w:pPr>
      <w:bookmarkStart w:id="1179" w:name="_Toc411510537"/>
      <w:bookmarkStart w:id="1180" w:name="_Toc415141967"/>
      <w:r>
        <w:t xml:space="preserve">Table </w:t>
      </w:r>
      <w:r w:rsidR="00A72B26">
        <w:rPr>
          <w:noProof/>
        </w:rPr>
        <w:t>170</w:t>
      </w:r>
      <w:r>
        <w:tab/>
        <w:t>Horizon scanning sources used to address ToR 2</w:t>
      </w:r>
      <w:bookmarkEnd w:id="1179"/>
      <w:bookmarkEnd w:id="1180"/>
    </w:p>
    <w:tbl>
      <w:tblPr>
        <w:tblStyle w:val="TableGrid"/>
        <w:tblW w:w="8905" w:type="dxa"/>
        <w:tblLayout w:type="fixed"/>
        <w:tblLook w:val="04A0" w:firstRow="1" w:lastRow="0" w:firstColumn="1" w:lastColumn="0" w:noHBand="0" w:noVBand="1"/>
        <w:tblCaption w:val="Table 133 Horizon scanning sources used to address ToR 2"/>
      </w:tblPr>
      <w:tblGrid>
        <w:gridCol w:w="3085"/>
        <w:gridCol w:w="5820"/>
      </w:tblGrid>
      <w:tr w:rsidR="000C754D" w:rsidRPr="00BD2FCB" w:rsidTr="00DA3CB3">
        <w:trPr>
          <w:tblHeader/>
        </w:trPr>
        <w:tc>
          <w:tcPr>
            <w:tcW w:w="3085" w:type="dxa"/>
            <w:tcBorders>
              <w:right w:val="nil"/>
            </w:tcBorders>
          </w:tcPr>
          <w:p w:rsidR="000C754D" w:rsidRPr="0084450C" w:rsidRDefault="000C754D" w:rsidP="0084450C">
            <w:pPr>
              <w:pStyle w:val="TableHeading"/>
            </w:pPr>
            <w:bookmarkStart w:id="1181" w:name="_Toc353536901"/>
            <w:r w:rsidRPr="0084450C">
              <w:t xml:space="preserve">Early assessment &amp; alert systems </w:t>
            </w:r>
          </w:p>
        </w:tc>
        <w:tc>
          <w:tcPr>
            <w:tcW w:w="5820" w:type="dxa"/>
            <w:tcBorders>
              <w:left w:val="nil"/>
            </w:tcBorders>
          </w:tcPr>
          <w:p w:rsidR="000C754D" w:rsidRPr="0084450C" w:rsidRDefault="00EC7AB1" w:rsidP="0084450C">
            <w:pPr>
              <w:pStyle w:val="TableHeading"/>
              <w:rPr>
                <w:bCs/>
                <w:caps/>
                <w:color w:val="002060"/>
              </w:rPr>
            </w:pPr>
            <w:r w:rsidRPr="0084450C">
              <w:rPr>
                <w:bCs/>
                <w:caps/>
                <w:color w:val="FFFFFF" w:themeColor="background1"/>
              </w:rPr>
              <w:t>-</w:t>
            </w:r>
          </w:p>
        </w:tc>
      </w:tr>
      <w:tr w:rsidR="00C371E2" w:rsidRPr="00BD2FCB" w:rsidTr="00DA3CB3">
        <w:tc>
          <w:tcPr>
            <w:tcW w:w="3085" w:type="dxa"/>
          </w:tcPr>
          <w:p w:rsidR="002B3A4E" w:rsidRPr="0084450C" w:rsidRDefault="00C371E2" w:rsidP="00E965BD">
            <w:pPr>
              <w:pStyle w:val="TableText0"/>
            </w:pPr>
            <w:r w:rsidRPr="0084450C">
              <w:t>National Horizon Scanning Centre</w:t>
            </w:r>
          </w:p>
        </w:tc>
        <w:tc>
          <w:tcPr>
            <w:tcW w:w="5820" w:type="dxa"/>
          </w:tcPr>
          <w:p w:rsidR="002B3A4E" w:rsidRPr="0084450C" w:rsidRDefault="00C371E2" w:rsidP="00E965BD">
            <w:pPr>
              <w:pStyle w:val="TableText0"/>
              <w:rPr>
                <w:rFonts w:cs="HelveticaLTStd-Roman"/>
              </w:rPr>
            </w:pPr>
            <w:r w:rsidRPr="00A62C97">
              <w:rPr>
                <w:rFonts w:cs="HelveticaLTStd-Roman"/>
              </w:rPr>
              <w:t>http://www.birmingham.ac.uk/research/activity/mds/domains/health-pop/healthcare-evaluation-and-methodology/nihr-horizon-scanning-centre/index.aspx</w:t>
            </w:r>
          </w:p>
        </w:tc>
      </w:tr>
      <w:tr w:rsidR="00C371E2" w:rsidRPr="00BD2FCB" w:rsidTr="00DA3CB3">
        <w:tc>
          <w:tcPr>
            <w:tcW w:w="3085" w:type="dxa"/>
          </w:tcPr>
          <w:p w:rsidR="002B3A4E" w:rsidRPr="0084450C" w:rsidRDefault="00C371E2" w:rsidP="00E965BD">
            <w:pPr>
              <w:pStyle w:val="TableText0"/>
            </w:pPr>
            <w:r w:rsidRPr="0084450C">
              <w:t>EuroScan</w:t>
            </w:r>
          </w:p>
        </w:tc>
        <w:tc>
          <w:tcPr>
            <w:tcW w:w="5820" w:type="dxa"/>
          </w:tcPr>
          <w:p w:rsidR="002B3A4E" w:rsidRPr="0084450C" w:rsidRDefault="00C371E2" w:rsidP="00E965BD">
            <w:pPr>
              <w:pStyle w:val="TableText0"/>
            </w:pPr>
            <w:r w:rsidRPr="00A62C97">
              <w:rPr>
                <w:rFonts w:cs="HelveticaLTStd-Roman"/>
              </w:rPr>
              <w:t>http://euroscan.org.uk/</w:t>
            </w:r>
          </w:p>
        </w:tc>
      </w:tr>
      <w:tr w:rsidR="00EC7AB1" w:rsidRPr="00BD2FCB" w:rsidTr="00DA3CB3">
        <w:tc>
          <w:tcPr>
            <w:tcW w:w="3085" w:type="dxa"/>
            <w:tcBorders>
              <w:right w:val="nil"/>
            </w:tcBorders>
          </w:tcPr>
          <w:p w:rsidR="00EC7AB1" w:rsidRPr="0084450C" w:rsidRDefault="00EC7AB1" w:rsidP="0084450C">
            <w:pPr>
              <w:pStyle w:val="TableHeading"/>
            </w:pPr>
            <w:r w:rsidRPr="0084450C">
              <w:t>Health organisations</w:t>
            </w:r>
          </w:p>
        </w:tc>
        <w:tc>
          <w:tcPr>
            <w:tcW w:w="5820" w:type="dxa"/>
            <w:tcBorders>
              <w:left w:val="nil"/>
            </w:tcBorders>
          </w:tcPr>
          <w:p w:rsidR="00EC7AB1" w:rsidRPr="0084450C" w:rsidRDefault="00EC7AB1" w:rsidP="0084450C">
            <w:pPr>
              <w:pStyle w:val="TableHeading"/>
            </w:pPr>
            <w:r w:rsidRPr="0084450C">
              <w:rPr>
                <w:b w:val="0"/>
                <w:color w:val="FFFFFF" w:themeColor="background1"/>
              </w:rPr>
              <w:t>-</w:t>
            </w:r>
          </w:p>
        </w:tc>
      </w:tr>
      <w:tr w:rsidR="00C371E2" w:rsidRPr="00BD2FCB" w:rsidTr="00DA3CB3">
        <w:tc>
          <w:tcPr>
            <w:tcW w:w="3085" w:type="dxa"/>
          </w:tcPr>
          <w:p w:rsidR="002B3A4E" w:rsidRPr="0084450C" w:rsidRDefault="00C371E2" w:rsidP="00E965BD">
            <w:pPr>
              <w:pStyle w:val="TableText0"/>
            </w:pPr>
            <w:r w:rsidRPr="0084450C">
              <w:t>N</w:t>
            </w:r>
            <w:r w:rsidR="00155A52" w:rsidRPr="0084450C">
              <w:t xml:space="preserve">ational </w:t>
            </w:r>
            <w:r w:rsidRPr="0084450C">
              <w:t>H</w:t>
            </w:r>
            <w:r w:rsidR="00155A52" w:rsidRPr="0084450C">
              <w:t xml:space="preserve">ealth </w:t>
            </w:r>
            <w:r w:rsidRPr="0084450C">
              <w:t>S</w:t>
            </w:r>
            <w:r w:rsidR="00155A52" w:rsidRPr="0084450C">
              <w:t>ervice</w:t>
            </w:r>
          </w:p>
        </w:tc>
        <w:tc>
          <w:tcPr>
            <w:tcW w:w="5820" w:type="dxa"/>
          </w:tcPr>
          <w:p w:rsidR="002B3A4E" w:rsidRPr="0084450C" w:rsidRDefault="00C371E2" w:rsidP="00E965BD">
            <w:pPr>
              <w:pStyle w:val="TableText0"/>
              <w:rPr>
                <w:rFonts w:cs="HelveticaLTStd-Roman"/>
              </w:rPr>
            </w:pPr>
            <w:r w:rsidRPr="00A62C97">
              <w:rPr>
                <w:rFonts w:cs="HelveticaLTStd-Roman"/>
              </w:rPr>
              <w:t>http://www.nhs.uk/news/pages/newsarticles.aspx?TopicId</w:t>
            </w:r>
            <w:r w:rsidR="00652355" w:rsidRPr="00A62C97">
              <w:rPr>
                <w:rFonts w:cs="HelveticaLTStd-Roman"/>
                <w:spacing w:val="-20"/>
              </w:rPr>
              <w:t xml:space="preserve"> = </w:t>
            </w:r>
            <w:r w:rsidRPr="00A62C97">
              <w:rPr>
                <w:rFonts w:cs="HelveticaLTStd-Roman"/>
              </w:rPr>
              <w:t>Medication</w:t>
            </w:r>
          </w:p>
        </w:tc>
      </w:tr>
      <w:tr w:rsidR="00EC7AB1" w:rsidRPr="00BD2FCB" w:rsidTr="00DA3CB3">
        <w:tc>
          <w:tcPr>
            <w:tcW w:w="3085" w:type="dxa"/>
            <w:tcBorders>
              <w:right w:val="nil"/>
            </w:tcBorders>
          </w:tcPr>
          <w:p w:rsidR="00EC7AB1" w:rsidRPr="0084450C" w:rsidRDefault="00EC7AB1" w:rsidP="0084450C">
            <w:pPr>
              <w:pStyle w:val="TableHeading"/>
            </w:pPr>
            <w:r w:rsidRPr="0084450C">
              <w:t>HTA / independent research organisations</w:t>
            </w:r>
          </w:p>
        </w:tc>
        <w:tc>
          <w:tcPr>
            <w:tcW w:w="5820" w:type="dxa"/>
            <w:tcBorders>
              <w:left w:val="nil"/>
            </w:tcBorders>
          </w:tcPr>
          <w:p w:rsidR="00EC7AB1" w:rsidRPr="0084450C" w:rsidRDefault="00EC7AB1" w:rsidP="0084450C">
            <w:pPr>
              <w:pStyle w:val="TableHeading"/>
            </w:pPr>
            <w:r w:rsidRPr="0084450C">
              <w:rPr>
                <w:color w:val="FFFFFF" w:themeColor="background1"/>
              </w:rPr>
              <w:t>-</w:t>
            </w:r>
          </w:p>
        </w:tc>
      </w:tr>
      <w:tr w:rsidR="00C371E2" w:rsidRPr="00BD2FCB" w:rsidTr="00DA3CB3">
        <w:tc>
          <w:tcPr>
            <w:tcW w:w="3085" w:type="dxa"/>
          </w:tcPr>
          <w:p w:rsidR="002B3A4E" w:rsidRPr="0084450C" w:rsidRDefault="00C371E2" w:rsidP="00E965BD">
            <w:pPr>
              <w:pStyle w:val="TableText0"/>
            </w:pPr>
            <w:r w:rsidRPr="0084450C">
              <w:t>Canadian Agency for Drugs and Technologies in Health (CADTH)</w:t>
            </w:r>
          </w:p>
          <w:p w:rsidR="002B3A4E" w:rsidRPr="0084450C" w:rsidRDefault="00C371E2" w:rsidP="00E965BD">
            <w:pPr>
              <w:pStyle w:val="TableText0"/>
            </w:pPr>
            <w:r w:rsidRPr="0084450C">
              <w:t>CADTH Health Technology Update &amp; CADTH Issues in Emerging Technology</w:t>
            </w:r>
          </w:p>
        </w:tc>
        <w:tc>
          <w:tcPr>
            <w:tcW w:w="5820" w:type="dxa"/>
          </w:tcPr>
          <w:p w:rsidR="002B3A4E" w:rsidRPr="0084450C" w:rsidRDefault="00C371E2" w:rsidP="00E965BD">
            <w:pPr>
              <w:pStyle w:val="TableText0"/>
              <w:rPr>
                <w:rStyle w:val="Hyperlink"/>
                <w:rFonts w:cs="HelveticaLTStd-Roman"/>
              </w:rPr>
            </w:pPr>
            <w:r w:rsidRPr="00A62C97">
              <w:rPr>
                <w:rFonts w:cs="HelveticaLTStd-Roman"/>
              </w:rPr>
              <w:t>http://www.cadth.ca/en/products/health-technology-assessment?&amp;type</w:t>
            </w:r>
            <w:r w:rsidR="00652355" w:rsidRPr="00A62C97">
              <w:rPr>
                <w:rFonts w:cs="HelveticaLTStd-Roman"/>
                <w:spacing w:val="-20"/>
              </w:rPr>
              <w:t xml:space="preserve"> = </w:t>
            </w:r>
            <w:r w:rsidRPr="00A62C97">
              <w:rPr>
                <w:rFonts w:cs="HelveticaLTStd-Roman"/>
              </w:rPr>
              <w:t>22</w:t>
            </w:r>
          </w:p>
          <w:p w:rsidR="002B3A4E" w:rsidRPr="0084450C" w:rsidRDefault="00C371E2" w:rsidP="00E965BD">
            <w:pPr>
              <w:pStyle w:val="TableText0"/>
              <w:rPr>
                <w:rStyle w:val="Hyperlink"/>
                <w:rFonts w:cs="HelveticaLTStd-Roman"/>
              </w:rPr>
            </w:pPr>
            <w:r w:rsidRPr="00A62C97">
              <w:rPr>
                <w:rFonts w:cs="HelveticaLTStd-Roman"/>
              </w:rPr>
              <w:t>http://www.cadth.ca/en/products/environmental-scanning</w:t>
            </w:r>
          </w:p>
          <w:p w:rsidR="002B3A4E" w:rsidRPr="0084450C" w:rsidRDefault="00C371E2" w:rsidP="00E965BD">
            <w:pPr>
              <w:pStyle w:val="TableText0"/>
            </w:pPr>
            <w:r w:rsidRPr="00A62C97">
              <w:t>http://www.cadth.ca/en/products/environmental-scanning/health-technology-update</w:t>
            </w:r>
          </w:p>
          <w:p w:rsidR="002B3A4E" w:rsidRPr="0084450C" w:rsidRDefault="00C371E2" w:rsidP="00E965BD">
            <w:pPr>
              <w:pStyle w:val="TableText0"/>
              <w:rPr>
                <w:rFonts w:cs="HelveticaLTStd-Roman"/>
              </w:rPr>
            </w:pPr>
            <w:r w:rsidRPr="00A62C97">
              <w:t>http://www.cadth.ca/en/products/environmental-scanning/issues-in-emerging-health-technologies</w:t>
            </w:r>
          </w:p>
        </w:tc>
      </w:tr>
      <w:tr w:rsidR="00FC243C" w:rsidRPr="00BD2FCB" w:rsidTr="00DA3CB3">
        <w:tc>
          <w:tcPr>
            <w:tcW w:w="3085" w:type="dxa"/>
          </w:tcPr>
          <w:p w:rsidR="00FC243C" w:rsidRPr="0084450C" w:rsidRDefault="006654C9" w:rsidP="00E965BD">
            <w:pPr>
              <w:pStyle w:val="TableText0"/>
            </w:pPr>
            <w:r w:rsidRPr="0084450C">
              <w:t>National Institutes for Health (Product Development Pipeline)</w:t>
            </w:r>
          </w:p>
        </w:tc>
        <w:tc>
          <w:tcPr>
            <w:tcW w:w="5820" w:type="dxa"/>
          </w:tcPr>
          <w:p w:rsidR="00FC243C" w:rsidRPr="0084450C" w:rsidRDefault="006654C9" w:rsidP="00E965BD">
            <w:pPr>
              <w:pStyle w:val="TableText0"/>
            </w:pPr>
            <w:r w:rsidRPr="0084450C">
              <w:rPr>
                <w:rStyle w:val="Hyperlink"/>
                <w:rFonts w:cs="HelveticaLTStd-Roman"/>
              </w:rPr>
              <w:t>http://www.ott.nih.gov/service/product-development-pipeline</w:t>
            </w:r>
          </w:p>
        </w:tc>
      </w:tr>
      <w:tr w:rsidR="00C371E2" w:rsidRPr="00BD2FCB" w:rsidTr="00DA3CB3">
        <w:tc>
          <w:tcPr>
            <w:tcW w:w="3085" w:type="dxa"/>
          </w:tcPr>
          <w:p w:rsidR="002B3A4E" w:rsidRPr="0084450C" w:rsidRDefault="00C371E2" w:rsidP="00E965BD">
            <w:pPr>
              <w:pStyle w:val="TableText0"/>
            </w:pPr>
            <w:r w:rsidRPr="0084450C">
              <w:t>National Institute for Health &amp; Clinical Excellence (NICE)</w:t>
            </w:r>
          </w:p>
        </w:tc>
        <w:tc>
          <w:tcPr>
            <w:tcW w:w="5820" w:type="dxa"/>
          </w:tcPr>
          <w:p w:rsidR="002B3A4E" w:rsidRPr="0084450C" w:rsidRDefault="00C371E2" w:rsidP="00E965BD">
            <w:pPr>
              <w:pStyle w:val="TableText0"/>
            </w:pPr>
            <w:r w:rsidRPr="00A62C97">
              <w:rPr>
                <w:rFonts w:cs="HelveticaLTStd-Roman"/>
              </w:rPr>
              <w:t>http://www.evidence.nhs.uk/about-evidence-services/content-and-sources/medicines-information</w:t>
            </w:r>
          </w:p>
        </w:tc>
      </w:tr>
      <w:tr w:rsidR="00C371E2" w:rsidRPr="00BD2FCB" w:rsidTr="00DA3CB3">
        <w:tc>
          <w:tcPr>
            <w:tcW w:w="3085" w:type="dxa"/>
          </w:tcPr>
          <w:p w:rsidR="002B3A4E" w:rsidRPr="0084450C" w:rsidRDefault="00C371E2" w:rsidP="00E965BD">
            <w:pPr>
              <w:pStyle w:val="TableText0"/>
            </w:pPr>
            <w:r w:rsidRPr="0084450C">
              <w:t>INAHTA database – new additions</w:t>
            </w:r>
          </w:p>
        </w:tc>
        <w:tc>
          <w:tcPr>
            <w:tcW w:w="5820" w:type="dxa"/>
          </w:tcPr>
          <w:p w:rsidR="002B3A4E" w:rsidRPr="0084450C" w:rsidRDefault="00C371E2" w:rsidP="00E965BD">
            <w:pPr>
              <w:pStyle w:val="TableText0"/>
            </w:pPr>
            <w:r w:rsidRPr="00A62C97">
              <w:t>http://www.inahta.org/hta-tools-resources/database/</w:t>
            </w:r>
          </w:p>
        </w:tc>
      </w:tr>
      <w:tr w:rsidR="00C371E2" w:rsidRPr="00BD2FCB" w:rsidTr="00DA3CB3">
        <w:tc>
          <w:tcPr>
            <w:tcW w:w="3085" w:type="dxa"/>
          </w:tcPr>
          <w:p w:rsidR="002B3A4E" w:rsidRPr="0084450C" w:rsidRDefault="00C371E2" w:rsidP="00E965BD">
            <w:pPr>
              <w:pStyle w:val="TableText0"/>
            </w:pPr>
            <w:r w:rsidRPr="0084450C">
              <w:t>National Coordinating Centre for Health Technology Assessment</w:t>
            </w:r>
          </w:p>
        </w:tc>
        <w:tc>
          <w:tcPr>
            <w:tcW w:w="5820" w:type="dxa"/>
          </w:tcPr>
          <w:p w:rsidR="002B3A4E" w:rsidRPr="0084450C" w:rsidRDefault="00C371E2" w:rsidP="00E965BD">
            <w:pPr>
              <w:pStyle w:val="TableText0"/>
            </w:pPr>
            <w:r w:rsidRPr="00A62C97">
              <w:t>http://www.ncchta.org</w:t>
            </w:r>
          </w:p>
        </w:tc>
      </w:tr>
      <w:tr w:rsidR="00C371E2" w:rsidRPr="00BD2FCB" w:rsidTr="00DA3CB3">
        <w:tc>
          <w:tcPr>
            <w:tcW w:w="3085" w:type="dxa"/>
          </w:tcPr>
          <w:p w:rsidR="002B3A4E" w:rsidRPr="0084450C" w:rsidRDefault="00C371E2" w:rsidP="00E965BD">
            <w:pPr>
              <w:pStyle w:val="TableText0"/>
            </w:pPr>
            <w:r w:rsidRPr="0084450C">
              <w:t>Blue Cross and Blue Shield Associations Technology Evaluation Center</w:t>
            </w:r>
            <w:r w:rsidR="000B703C" w:rsidRPr="0084450C">
              <w:t xml:space="preserve"> - </w:t>
            </w:r>
            <w:r w:rsidRPr="0084450C">
              <w:t xml:space="preserve">TEC assessments </w:t>
            </w:r>
            <w:r w:rsidR="00A571CB" w:rsidRPr="0084450C">
              <w:t>(</w:t>
            </w:r>
            <w:r w:rsidRPr="0084450C">
              <w:t xml:space="preserve">and </w:t>
            </w:r>
            <w:r w:rsidR="00A571CB" w:rsidRPr="0084450C">
              <w:t>I</w:t>
            </w:r>
            <w:r w:rsidRPr="0084450C">
              <w:t>n press</w:t>
            </w:r>
            <w:r w:rsidR="00A571CB" w:rsidRPr="0084450C">
              <w:t>)</w:t>
            </w:r>
          </w:p>
        </w:tc>
        <w:tc>
          <w:tcPr>
            <w:tcW w:w="5820" w:type="dxa"/>
          </w:tcPr>
          <w:p w:rsidR="002B3A4E" w:rsidRPr="0084450C" w:rsidRDefault="00C371E2" w:rsidP="00E965BD">
            <w:pPr>
              <w:pStyle w:val="TableText0"/>
              <w:rPr>
                <w:rStyle w:val="Hyperlink"/>
              </w:rPr>
            </w:pPr>
            <w:r w:rsidRPr="00A62C97">
              <w:t>http://www.bcbs.com/blueresources/tec/</w:t>
            </w:r>
          </w:p>
          <w:p w:rsidR="002B3A4E" w:rsidRPr="0084450C" w:rsidRDefault="00C371E2" w:rsidP="00E965BD">
            <w:pPr>
              <w:pStyle w:val="TableText0"/>
            </w:pPr>
            <w:r w:rsidRPr="00A62C97">
              <w:t>http://www.ahrq.gov/research/findings/evidence-based-reports/index.html</w:t>
            </w:r>
          </w:p>
        </w:tc>
      </w:tr>
      <w:tr w:rsidR="00C371E2" w:rsidRPr="00BD2FCB" w:rsidTr="00DA3CB3">
        <w:tc>
          <w:tcPr>
            <w:tcW w:w="3085" w:type="dxa"/>
          </w:tcPr>
          <w:p w:rsidR="002B3A4E" w:rsidRPr="0084450C" w:rsidRDefault="00C371E2" w:rsidP="00E965BD">
            <w:pPr>
              <w:pStyle w:val="TableText0"/>
            </w:pPr>
            <w:r w:rsidRPr="0084450C">
              <w:t>ECRI Institute Health Technology Trends</w:t>
            </w:r>
          </w:p>
          <w:p w:rsidR="002B3A4E" w:rsidRPr="0084450C" w:rsidRDefault="00C371E2" w:rsidP="00E965BD">
            <w:pPr>
              <w:pStyle w:val="TableText0"/>
            </w:pPr>
            <w:r w:rsidRPr="0084450C">
              <w:t>ECRI Institute Health Technology Forecast database</w:t>
            </w:r>
          </w:p>
          <w:p w:rsidR="002B3A4E" w:rsidRPr="0084450C" w:rsidRDefault="00C371E2" w:rsidP="00E965BD">
            <w:pPr>
              <w:pStyle w:val="TableText0"/>
            </w:pPr>
            <w:r w:rsidRPr="0084450C">
              <w:t>ECRI Institute Hotline Responses</w:t>
            </w:r>
          </w:p>
        </w:tc>
        <w:tc>
          <w:tcPr>
            <w:tcW w:w="5820" w:type="dxa"/>
          </w:tcPr>
          <w:p w:rsidR="002B3A4E" w:rsidRPr="0084450C" w:rsidRDefault="00C371E2" w:rsidP="00E965BD">
            <w:pPr>
              <w:pStyle w:val="TableText0"/>
              <w:rPr>
                <w:rStyle w:val="Hyperlink"/>
                <w:rFonts w:cs="Arial"/>
              </w:rPr>
            </w:pPr>
            <w:r w:rsidRPr="00A62C97">
              <w:rPr>
                <w:rFonts w:cs="Arial"/>
              </w:rPr>
              <w:t>https://www.ecri.org/Products/Pages/Health_Technology_Forecast.aspx</w:t>
            </w:r>
          </w:p>
          <w:p w:rsidR="002B3A4E" w:rsidRPr="0084450C" w:rsidRDefault="00C371E2" w:rsidP="00E965BD">
            <w:pPr>
              <w:pStyle w:val="TableText0"/>
              <w:rPr>
                <w:rStyle w:val="Hyperlink"/>
                <w:rFonts w:cs="Arial"/>
              </w:rPr>
            </w:pPr>
            <w:r w:rsidRPr="00A62C97">
              <w:rPr>
                <w:rFonts w:cs="Arial"/>
              </w:rPr>
              <w:t>https://www.ecri.org/Products/Pages/Health_Technology_Forecast.aspx</w:t>
            </w:r>
          </w:p>
          <w:p w:rsidR="002B3A4E" w:rsidRPr="0084450C" w:rsidRDefault="00C371E2" w:rsidP="00E965BD">
            <w:pPr>
              <w:pStyle w:val="TableText0"/>
            </w:pPr>
            <w:r w:rsidRPr="00A62C97">
              <w:rPr>
                <w:rFonts w:cs="Arial"/>
              </w:rPr>
              <w:t>https://www.ecri.org/Products/Pages/Health_Technology_Hotline_Responses.aspx</w:t>
            </w:r>
          </w:p>
        </w:tc>
      </w:tr>
    </w:tbl>
    <w:p w:rsidR="00382709" w:rsidRDefault="00E66055" w:rsidP="00382709">
      <w:pPr>
        <w:pStyle w:val="TableNote"/>
      </w:pPr>
      <w:r>
        <w:t xml:space="preserve">ECRI </w:t>
      </w:r>
      <w:r w:rsidRPr="00652355">
        <w:rPr>
          <w:spacing w:val="-20"/>
        </w:rPr>
        <w:t xml:space="preserve">= </w:t>
      </w:r>
      <w:r>
        <w:t>Emergency</w:t>
      </w:r>
      <w:r w:rsidR="00382709">
        <w:t xml:space="preserve"> Care research </w:t>
      </w:r>
      <w:r>
        <w:t>Institute</w:t>
      </w:r>
    </w:p>
    <w:p w:rsidR="00EC7AB1" w:rsidRDefault="00EC7AB1"/>
    <w:tbl>
      <w:tblPr>
        <w:tblStyle w:val="TableGrid"/>
        <w:tblW w:w="8905" w:type="dxa"/>
        <w:tblLayout w:type="fixed"/>
        <w:tblLook w:val="04A0" w:firstRow="1" w:lastRow="0" w:firstColumn="1" w:lastColumn="0" w:noHBand="0" w:noVBand="1"/>
        <w:tblCaption w:val="Horizon Scanning sources"/>
      </w:tblPr>
      <w:tblGrid>
        <w:gridCol w:w="2838"/>
        <w:gridCol w:w="6067"/>
      </w:tblGrid>
      <w:tr w:rsidR="00EC7AB1" w:rsidRPr="00BD2FCB" w:rsidTr="00DA3CB3">
        <w:trPr>
          <w:tblHeader/>
        </w:trPr>
        <w:tc>
          <w:tcPr>
            <w:tcW w:w="2838" w:type="dxa"/>
            <w:tcBorders>
              <w:right w:val="nil"/>
            </w:tcBorders>
          </w:tcPr>
          <w:p w:rsidR="00EC7AB1" w:rsidRPr="0084450C" w:rsidRDefault="00EC7AB1" w:rsidP="0084450C">
            <w:pPr>
              <w:pStyle w:val="TableHeading"/>
            </w:pPr>
            <w:r w:rsidRPr="0084450C">
              <w:lastRenderedPageBreak/>
              <w:t>Marketing authorisation agencies</w:t>
            </w:r>
          </w:p>
        </w:tc>
        <w:tc>
          <w:tcPr>
            <w:tcW w:w="6067" w:type="dxa"/>
            <w:tcBorders>
              <w:left w:val="nil"/>
            </w:tcBorders>
          </w:tcPr>
          <w:p w:rsidR="00EC7AB1" w:rsidRPr="0084450C" w:rsidRDefault="00EC7AB1" w:rsidP="0084450C">
            <w:pPr>
              <w:pStyle w:val="TableHeading"/>
            </w:pPr>
            <w:r w:rsidRPr="0084450C">
              <w:rPr>
                <w:color w:val="FFFFFF" w:themeColor="background1"/>
              </w:rPr>
              <w:t>-</w:t>
            </w:r>
          </w:p>
        </w:tc>
      </w:tr>
      <w:tr w:rsidR="00C371E2" w:rsidRPr="00BD2FCB" w:rsidTr="00DA3CB3">
        <w:tc>
          <w:tcPr>
            <w:tcW w:w="2838" w:type="dxa"/>
          </w:tcPr>
          <w:p w:rsidR="002B3A4E" w:rsidRPr="0084450C" w:rsidRDefault="00C371E2" w:rsidP="00E965BD">
            <w:pPr>
              <w:pStyle w:val="TableText0"/>
            </w:pPr>
            <w:r w:rsidRPr="0084450C">
              <w:t>Australian Therapeutic Goods Administration</w:t>
            </w:r>
          </w:p>
        </w:tc>
        <w:tc>
          <w:tcPr>
            <w:tcW w:w="6067" w:type="dxa"/>
          </w:tcPr>
          <w:p w:rsidR="002B3A4E" w:rsidRPr="0084450C" w:rsidRDefault="00C371E2" w:rsidP="00E965BD">
            <w:pPr>
              <w:pStyle w:val="TableText0"/>
            </w:pPr>
            <w:r w:rsidRPr="00A62C97">
              <w:t>http://www.tga.gov.au/</w:t>
            </w:r>
          </w:p>
        </w:tc>
      </w:tr>
      <w:tr w:rsidR="00C371E2" w:rsidRPr="00BD2FCB" w:rsidTr="00DA3CB3">
        <w:tc>
          <w:tcPr>
            <w:tcW w:w="2838" w:type="dxa"/>
          </w:tcPr>
          <w:p w:rsidR="002B3A4E" w:rsidRPr="0084450C" w:rsidRDefault="00C371E2" w:rsidP="00E965BD">
            <w:pPr>
              <w:pStyle w:val="TableText0"/>
            </w:pPr>
            <w:r w:rsidRPr="0084450C">
              <w:t xml:space="preserve">US Food and Drug </w:t>
            </w:r>
            <w:r w:rsidR="000B703C" w:rsidRPr="0084450C">
              <w:t xml:space="preserve">Administration </w:t>
            </w:r>
            <w:r w:rsidRPr="0084450C">
              <w:t>(FDA)</w:t>
            </w:r>
          </w:p>
          <w:p w:rsidR="002B3A4E" w:rsidRPr="0084450C" w:rsidRDefault="004766C1" w:rsidP="00E965BD">
            <w:pPr>
              <w:pStyle w:val="TableText0"/>
            </w:pPr>
            <w:r w:rsidRPr="0084450C">
              <w:t>FDA Office of Orphan Drugs Development</w:t>
            </w:r>
          </w:p>
        </w:tc>
        <w:tc>
          <w:tcPr>
            <w:tcW w:w="6067" w:type="dxa"/>
          </w:tcPr>
          <w:p w:rsidR="002B3A4E" w:rsidRPr="0084450C" w:rsidRDefault="00C371E2" w:rsidP="00E965BD">
            <w:pPr>
              <w:pStyle w:val="TableText0"/>
            </w:pPr>
            <w:r w:rsidRPr="00A62C97">
              <w:rPr>
                <w:rFonts w:cs="HelveticaLTStd-Roman"/>
              </w:rPr>
              <w:t>http://www.fda.gov/default.htm</w:t>
            </w:r>
          </w:p>
          <w:p w:rsidR="002B3A4E" w:rsidRPr="0084450C" w:rsidRDefault="00E971D5" w:rsidP="00E965BD">
            <w:pPr>
              <w:pStyle w:val="TableText0"/>
              <w:rPr>
                <w:bCs/>
                <w:color w:val="002060"/>
              </w:rPr>
            </w:pPr>
            <w:r w:rsidRPr="00A62C97">
              <w:t>http://www.fda.gov/AboutFDA/CentersOffices/OfficeofMedicalProductsandTobacco/OfficeofScienceandHealthCoordination/ucm2018190.htm</w:t>
            </w:r>
            <w:r w:rsidRPr="0084450C">
              <w:t xml:space="preserve"> </w:t>
            </w:r>
          </w:p>
        </w:tc>
      </w:tr>
      <w:tr w:rsidR="00C371E2" w:rsidRPr="00BD2FCB" w:rsidTr="00DA3CB3">
        <w:tc>
          <w:tcPr>
            <w:tcW w:w="2838" w:type="dxa"/>
          </w:tcPr>
          <w:p w:rsidR="002B3A4E" w:rsidRPr="0084450C" w:rsidRDefault="00C371E2" w:rsidP="00E965BD">
            <w:pPr>
              <w:pStyle w:val="TableText0"/>
            </w:pPr>
            <w:r w:rsidRPr="0084450C">
              <w:t>European Medicines Agency (EMA)</w:t>
            </w:r>
          </w:p>
        </w:tc>
        <w:tc>
          <w:tcPr>
            <w:tcW w:w="6067" w:type="dxa"/>
          </w:tcPr>
          <w:p w:rsidR="002B3A4E" w:rsidRPr="0084450C" w:rsidRDefault="00C371E2" w:rsidP="00E965BD">
            <w:pPr>
              <w:pStyle w:val="TableText0"/>
              <w:rPr>
                <w:rFonts w:cs="HelveticaLTStd-Roman"/>
              </w:rPr>
            </w:pPr>
            <w:r w:rsidRPr="00A62C97">
              <w:rPr>
                <w:rFonts w:cs="HelveticaLTStd-Roman"/>
              </w:rPr>
              <w:t>http://www.ema.europa.eu/ema/</w:t>
            </w:r>
          </w:p>
          <w:p w:rsidR="002B3A4E" w:rsidRPr="0084450C" w:rsidRDefault="00C371E2" w:rsidP="00E965BD">
            <w:pPr>
              <w:pStyle w:val="TableText0"/>
            </w:pPr>
            <w:r w:rsidRPr="00A62C97">
              <w:rPr>
                <w:rFonts w:cs="HelveticaLTStd-Roman"/>
              </w:rPr>
              <w:t>http://www.ema.europa.eu/ema/index.jsp?curl</w:t>
            </w:r>
            <w:r w:rsidR="00652355" w:rsidRPr="00A62C97">
              <w:rPr>
                <w:rFonts w:cs="HelveticaLTStd-Roman"/>
                <w:spacing w:val="-20"/>
              </w:rPr>
              <w:t xml:space="preserve"> = </w:t>
            </w:r>
            <w:r w:rsidRPr="00A62C97">
              <w:rPr>
                <w:rFonts w:cs="HelveticaLTStd-Roman"/>
              </w:rPr>
              <w:t>pages/medicines/landing/epar_search.jsp&amp;mid</w:t>
            </w:r>
            <w:r w:rsidR="00652355" w:rsidRPr="00A62C97">
              <w:rPr>
                <w:rFonts w:cs="HelveticaLTStd-Roman"/>
                <w:spacing w:val="-20"/>
              </w:rPr>
              <w:t xml:space="preserve"> = </w:t>
            </w:r>
            <w:r w:rsidRPr="00A62C97">
              <w:rPr>
                <w:rFonts w:cs="HelveticaLTStd-Roman"/>
              </w:rPr>
              <w:t>WC0b01ac058001d124</w:t>
            </w:r>
          </w:p>
        </w:tc>
      </w:tr>
      <w:tr w:rsidR="00EC7AB1" w:rsidRPr="00BD2FCB" w:rsidTr="00DA3CB3">
        <w:tc>
          <w:tcPr>
            <w:tcW w:w="2838" w:type="dxa"/>
            <w:tcBorders>
              <w:right w:val="nil"/>
            </w:tcBorders>
          </w:tcPr>
          <w:p w:rsidR="00EC7AB1" w:rsidRPr="0084450C" w:rsidRDefault="00EC7AB1" w:rsidP="0084450C">
            <w:pPr>
              <w:pStyle w:val="TableHeading"/>
            </w:pPr>
            <w:r w:rsidRPr="0084450C">
              <w:t>News</w:t>
            </w:r>
          </w:p>
        </w:tc>
        <w:tc>
          <w:tcPr>
            <w:tcW w:w="6067" w:type="dxa"/>
            <w:tcBorders>
              <w:left w:val="nil"/>
            </w:tcBorders>
          </w:tcPr>
          <w:p w:rsidR="00EC7AB1" w:rsidRPr="0084450C" w:rsidRDefault="00EC7AB1" w:rsidP="0084450C">
            <w:pPr>
              <w:pStyle w:val="TableHeading"/>
            </w:pPr>
            <w:r w:rsidRPr="0084450C">
              <w:rPr>
                <w:color w:val="FFFFFF" w:themeColor="background1"/>
              </w:rPr>
              <w:t>-</w:t>
            </w:r>
          </w:p>
        </w:tc>
      </w:tr>
      <w:tr w:rsidR="00C371E2" w:rsidRPr="00BD2FCB" w:rsidTr="00DA3CB3">
        <w:tc>
          <w:tcPr>
            <w:tcW w:w="2838" w:type="dxa"/>
          </w:tcPr>
          <w:p w:rsidR="002B3A4E" w:rsidRPr="0084450C" w:rsidRDefault="00C371E2" w:rsidP="00E965BD">
            <w:pPr>
              <w:pStyle w:val="TableText0"/>
            </w:pPr>
            <w:r w:rsidRPr="0084450C">
              <w:t>PharmaTimes</w:t>
            </w:r>
          </w:p>
        </w:tc>
        <w:tc>
          <w:tcPr>
            <w:tcW w:w="6067" w:type="dxa"/>
          </w:tcPr>
          <w:p w:rsidR="002B3A4E" w:rsidRPr="0084450C" w:rsidRDefault="00C371E2" w:rsidP="00E965BD">
            <w:pPr>
              <w:pStyle w:val="TableText0"/>
              <w:rPr>
                <w:rFonts w:cs="HelveticaLTStd-Roman"/>
              </w:rPr>
            </w:pPr>
            <w:r w:rsidRPr="00A62C97">
              <w:rPr>
                <w:rFonts w:cs="HelveticaLTStd-Roman"/>
              </w:rPr>
              <w:t>http://www.pharmatimes.com/</w:t>
            </w:r>
          </w:p>
        </w:tc>
      </w:tr>
      <w:tr w:rsidR="00C371E2" w:rsidRPr="00BD2FCB" w:rsidTr="00DA3CB3">
        <w:tc>
          <w:tcPr>
            <w:tcW w:w="2838" w:type="dxa"/>
          </w:tcPr>
          <w:p w:rsidR="002B3A4E" w:rsidRPr="0084450C" w:rsidRDefault="00C371E2" w:rsidP="00E965BD">
            <w:pPr>
              <w:pStyle w:val="TableText0"/>
            </w:pPr>
            <w:r w:rsidRPr="0084450C">
              <w:t>Pharmalive</w:t>
            </w:r>
          </w:p>
        </w:tc>
        <w:tc>
          <w:tcPr>
            <w:tcW w:w="6067" w:type="dxa"/>
          </w:tcPr>
          <w:p w:rsidR="002B3A4E" w:rsidRPr="0084450C" w:rsidRDefault="00C371E2" w:rsidP="00E965BD">
            <w:pPr>
              <w:pStyle w:val="TableText0"/>
              <w:rPr>
                <w:rFonts w:cs="HelveticaLTStd-Roman"/>
              </w:rPr>
            </w:pPr>
            <w:r w:rsidRPr="00A62C97">
              <w:rPr>
                <w:rFonts w:cs="HelveticaLTStd-Roman"/>
              </w:rPr>
              <w:t>https://www.outcomes-marketing.com/</w:t>
            </w:r>
            <w:r w:rsidRPr="0084450C">
              <w:rPr>
                <w:rFonts w:cs="HelveticaLTStd-Roman"/>
              </w:rPr>
              <w:t xml:space="preserve"> (Outcomes Marketing website has a link to Pharmalive)</w:t>
            </w:r>
          </w:p>
          <w:p w:rsidR="002B3A4E" w:rsidRPr="0084450C" w:rsidRDefault="00C371E2" w:rsidP="00E965BD">
            <w:pPr>
              <w:pStyle w:val="TableText0"/>
              <w:rPr>
                <w:rFonts w:cs="HelveticaLTStd-Roman"/>
              </w:rPr>
            </w:pPr>
            <w:r w:rsidRPr="00A62C97">
              <w:t>http://www.pmlive.com/</w:t>
            </w:r>
            <w:r w:rsidRPr="0084450C">
              <w:t xml:space="preserve">, the online branch of </w:t>
            </w:r>
            <w:r w:rsidRPr="0084450C">
              <w:rPr>
                <w:rFonts w:cs="HelveticaLTStd-Roman"/>
              </w:rPr>
              <w:t>“</w:t>
            </w:r>
            <w:r w:rsidRPr="0084450C">
              <w:t>PMGroup Worldwide Limited”, a multi-channel media group in the pharmaceutical industry</w:t>
            </w:r>
          </w:p>
        </w:tc>
      </w:tr>
      <w:tr w:rsidR="00C371E2" w:rsidRPr="00BD2FCB" w:rsidTr="00DA3CB3">
        <w:tc>
          <w:tcPr>
            <w:tcW w:w="2838" w:type="dxa"/>
          </w:tcPr>
          <w:p w:rsidR="002B3A4E" w:rsidRPr="0084450C" w:rsidRDefault="00C371E2" w:rsidP="00E965BD">
            <w:pPr>
              <w:pStyle w:val="TableText0"/>
            </w:pPr>
            <w:r w:rsidRPr="0084450C">
              <w:t>News Medical</w:t>
            </w:r>
          </w:p>
        </w:tc>
        <w:tc>
          <w:tcPr>
            <w:tcW w:w="6067" w:type="dxa"/>
          </w:tcPr>
          <w:p w:rsidR="002B3A4E" w:rsidRPr="0084450C" w:rsidRDefault="00C371E2" w:rsidP="00E965BD">
            <w:pPr>
              <w:pStyle w:val="TableText0"/>
            </w:pPr>
            <w:r w:rsidRPr="00A62C97">
              <w:t>http://www.news-medical.net/</w:t>
            </w:r>
          </w:p>
        </w:tc>
      </w:tr>
      <w:tr w:rsidR="00C371E2" w:rsidRPr="00BD2FCB" w:rsidTr="00DA3CB3">
        <w:tc>
          <w:tcPr>
            <w:tcW w:w="2838" w:type="dxa"/>
          </w:tcPr>
          <w:p w:rsidR="002B3A4E" w:rsidRPr="0084450C" w:rsidRDefault="00C371E2" w:rsidP="00E965BD">
            <w:pPr>
              <w:pStyle w:val="TableText0"/>
            </w:pPr>
            <w:r w:rsidRPr="0084450C">
              <w:t>AlphaGalileo</w:t>
            </w:r>
          </w:p>
        </w:tc>
        <w:tc>
          <w:tcPr>
            <w:tcW w:w="6067" w:type="dxa"/>
          </w:tcPr>
          <w:p w:rsidR="002B3A4E" w:rsidRPr="0084450C" w:rsidRDefault="00C371E2" w:rsidP="00E965BD">
            <w:pPr>
              <w:pStyle w:val="TableText0"/>
            </w:pPr>
            <w:r w:rsidRPr="00A62C97">
              <w:t>http://www.alphagalileo.org/</w:t>
            </w:r>
          </w:p>
        </w:tc>
      </w:tr>
      <w:tr w:rsidR="00C371E2" w:rsidRPr="00BD2FCB" w:rsidTr="00DA3CB3">
        <w:tc>
          <w:tcPr>
            <w:tcW w:w="2838" w:type="dxa"/>
          </w:tcPr>
          <w:p w:rsidR="002B3A4E" w:rsidRPr="0084450C" w:rsidRDefault="00C371E2" w:rsidP="00792257">
            <w:pPr>
              <w:pStyle w:val="TableText0"/>
            </w:pPr>
            <w:r w:rsidRPr="0084450C">
              <w:t xml:space="preserve">ASHP Pharmacists Advancing </w:t>
            </w:r>
            <w:r w:rsidR="00EC7AB1" w:rsidRPr="0084450C">
              <w:t>Healthcare News</w:t>
            </w:r>
          </w:p>
        </w:tc>
        <w:tc>
          <w:tcPr>
            <w:tcW w:w="6067" w:type="dxa"/>
          </w:tcPr>
          <w:p w:rsidR="002B3A4E" w:rsidRPr="0084450C" w:rsidRDefault="00155A52" w:rsidP="00E965BD">
            <w:pPr>
              <w:pStyle w:val="TableText0"/>
            </w:pPr>
            <w:r w:rsidRPr="00A62C97">
              <w:t>http://www.ashp.org/menu/News</w:t>
            </w:r>
            <w:r w:rsidRPr="0084450C">
              <w:t xml:space="preserve"> </w:t>
            </w:r>
          </w:p>
        </w:tc>
      </w:tr>
      <w:tr w:rsidR="00C371E2" w:rsidRPr="00BD2FCB" w:rsidTr="00DA3CB3">
        <w:tc>
          <w:tcPr>
            <w:tcW w:w="2838" w:type="dxa"/>
          </w:tcPr>
          <w:p w:rsidR="002B3A4E" w:rsidRPr="0084450C" w:rsidRDefault="00C371E2" w:rsidP="00E965BD">
            <w:pPr>
              <w:pStyle w:val="TableText0"/>
            </w:pPr>
            <w:r w:rsidRPr="0084450C">
              <w:t>AHA Emerging Science Series</w:t>
            </w:r>
          </w:p>
        </w:tc>
        <w:tc>
          <w:tcPr>
            <w:tcW w:w="6067" w:type="dxa"/>
          </w:tcPr>
          <w:p w:rsidR="002B3A4E" w:rsidRPr="0084450C" w:rsidRDefault="00C371E2" w:rsidP="00E965BD">
            <w:pPr>
              <w:pStyle w:val="TableText0"/>
            </w:pPr>
            <w:r w:rsidRPr="00A62C97">
              <w:t>http://my.americanheart.org/professional/Sessions/AdditionalMeetings/EmergingScienceSeries/New-Emerging-Science-Series_UCM_424613_Article.jsp</w:t>
            </w:r>
          </w:p>
        </w:tc>
      </w:tr>
      <w:tr w:rsidR="00C371E2" w:rsidRPr="00BD2FCB" w:rsidTr="00DA3CB3">
        <w:tc>
          <w:tcPr>
            <w:tcW w:w="2838" w:type="dxa"/>
          </w:tcPr>
          <w:p w:rsidR="002B3A4E" w:rsidRPr="0084450C" w:rsidRDefault="00C371E2" w:rsidP="00E965BD">
            <w:pPr>
              <w:pStyle w:val="TableText0"/>
            </w:pPr>
            <w:r w:rsidRPr="0084450C">
              <w:t>Healio</w:t>
            </w:r>
          </w:p>
        </w:tc>
        <w:tc>
          <w:tcPr>
            <w:tcW w:w="6067" w:type="dxa"/>
          </w:tcPr>
          <w:p w:rsidR="002B3A4E" w:rsidRPr="0084450C" w:rsidRDefault="00C371E2" w:rsidP="00E965BD">
            <w:pPr>
              <w:pStyle w:val="TableText0"/>
            </w:pPr>
            <w:r w:rsidRPr="00A62C97">
              <w:rPr>
                <w:rFonts w:cs="Arial"/>
              </w:rPr>
              <w:t>http://www.healio.com/</w:t>
            </w:r>
          </w:p>
        </w:tc>
      </w:tr>
      <w:tr w:rsidR="00C371E2" w:rsidRPr="00BD2FCB" w:rsidTr="00DA3CB3">
        <w:tc>
          <w:tcPr>
            <w:tcW w:w="2838" w:type="dxa"/>
          </w:tcPr>
          <w:p w:rsidR="002B3A4E" w:rsidRPr="0084450C" w:rsidRDefault="00C371E2" w:rsidP="00E965BD">
            <w:pPr>
              <w:pStyle w:val="TableText0"/>
            </w:pPr>
            <w:r w:rsidRPr="0084450C">
              <w:t xml:space="preserve">EurekAlert! </w:t>
            </w:r>
          </w:p>
        </w:tc>
        <w:tc>
          <w:tcPr>
            <w:tcW w:w="6067" w:type="dxa"/>
          </w:tcPr>
          <w:p w:rsidR="002B3A4E" w:rsidRPr="0084450C" w:rsidRDefault="00C371E2" w:rsidP="00E965BD">
            <w:pPr>
              <w:pStyle w:val="TableText0"/>
              <w:rPr>
                <w:rFonts w:cs="Arial"/>
                <w:color w:val="000000"/>
              </w:rPr>
            </w:pPr>
            <w:r w:rsidRPr="00A62C97">
              <w:rPr>
                <w:rFonts w:cs="Arial"/>
              </w:rPr>
              <w:t>http://www.eurekalert.org/</w:t>
            </w:r>
          </w:p>
        </w:tc>
      </w:tr>
      <w:tr w:rsidR="00C371E2" w:rsidRPr="00BD2FCB" w:rsidTr="00DA3CB3">
        <w:tc>
          <w:tcPr>
            <w:tcW w:w="2838" w:type="dxa"/>
          </w:tcPr>
          <w:p w:rsidR="002B3A4E" w:rsidRPr="0084450C" w:rsidRDefault="00C371E2" w:rsidP="00E965BD">
            <w:pPr>
              <w:pStyle w:val="TableText0"/>
            </w:pPr>
            <w:r w:rsidRPr="0084450C">
              <w:t xml:space="preserve">Fierce Markets Network </w:t>
            </w:r>
          </w:p>
        </w:tc>
        <w:tc>
          <w:tcPr>
            <w:tcW w:w="6067" w:type="dxa"/>
          </w:tcPr>
          <w:p w:rsidR="002B3A4E" w:rsidRPr="0084450C" w:rsidRDefault="00C371E2" w:rsidP="00E965BD">
            <w:pPr>
              <w:pStyle w:val="TableText0"/>
              <w:rPr>
                <w:rFonts w:cs="Arial"/>
                <w:color w:val="000000"/>
              </w:rPr>
            </w:pPr>
            <w:r w:rsidRPr="00A62C97">
              <w:rPr>
                <w:rFonts w:cs="Arial"/>
              </w:rPr>
              <w:t>http://www.fiercehealthcare.com/</w:t>
            </w:r>
          </w:p>
        </w:tc>
      </w:tr>
      <w:tr w:rsidR="00C371E2" w:rsidRPr="00BD2FCB" w:rsidTr="00DA3CB3">
        <w:tc>
          <w:tcPr>
            <w:tcW w:w="2838" w:type="dxa"/>
          </w:tcPr>
          <w:p w:rsidR="002B3A4E" w:rsidRPr="0084450C" w:rsidRDefault="00C371E2" w:rsidP="00E965BD">
            <w:pPr>
              <w:pStyle w:val="TableText0"/>
            </w:pPr>
            <w:r w:rsidRPr="0084450C">
              <w:t xml:space="preserve">MDLinx </w:t>
            </w:r>
          </w:p>
        </w:tc>
        <w:tc>
          <w:tcPr>
            <w:tcW w:w="6067" w:type="dxa"/>
          </w:tcPr>
          <w:p w:rsidR="002B3A4E" w:rsidRPr="0084450C" w:rsidRDefault="00C371E2" w:rsidP="00E965BD">
            <w:pPr>
              <w:pStyle w:val="TableText0"/>
              <w:rPr>
                <w:rFonts w:cs="Arial"/>
                <w:color w:val="000000"/>
              </w:rPr>
            </w:pPr>
            <w:r w:rsidRPr="00A62C97">
              <w:rPr>
                <w:rFonts w:cs="Arial"/>
              </w:rPr>
              <w:t>http://www.mdlinx.com/</w:t>
            </w:r>
          </w:p>
        </w:tc>
      </w:tr>
      <w:tr w:rsidR="00C371E2" w:rsidRPr="00BD2FCB" w:rsidTr="00DA3CB3">
        <w:tc>
          <w:tcPr>
            <w:tcW w:w="2838" w:type="dxa"/>
          </w:tcPr>
          <w:p w:rsidR="002B3A4E" w:rsidRPr="0084450C" w:rsidRDefault="00C371E2" w:rsidP="00E965BD">
            <w:pPr>
              <w:pStyle w:val="TableText0"/>
            </w:pPr>
            <w:r w:rsidRPr="0084450C">
              <w:t>Medpage Today</w:t>
            </w:r>
          </w:p>
        </w:tc>
        <w:tc>
          <w:tcPr>
            <w:tcW w:w="6067" w:type="dxa"/>
            <w:tcBorders>
              <w:bottom w:val="single" w:sz="4" w:space="0" w:color="000000"/>
            </w:tcBorders>
          </w:tcPr>
          <w:p w:rsidR="002B3A4E" w:rsidRPr="0084450C" w:rsidRDefault="00C371E2" w:rsidP="00E965BD">
            <w:pPr>
              <w:pStyle w:val="TableText0"/>
            </w:pPr>
            <w:r w:rsidRPr="00A62C97">
              <w:t>http://www.medpagetoday.com/</w:t>
            </w:r>
          </w:p>
        </w:tc>
      </w:tr>
      <w:tr w:rsidR="00C371E2" w:rsidRPr="00BD2FCB" w:rsidTr="00DA3CB3">
        <w:tc>
          <w:tcPr>
            <w:tcW w:w="2838" w:type="dxa"/>
            <w:tcBorders>
              <w:right w:val="nil"/>
            </w:tcBorders>
          </w:tcPr>
          <w:p w:rsidR="002B3A4E" w:rsidRPr="0084450C" w:rsidRDefault="00C371E2" w:rsidP="0084450C">
            <w:pPr>
              <w:pStyle w:val="TableHeading"/>
            </w:pPr>
            <w:r w:rsidRPr="0084450C">
              <w:t>Search engines</w:t>
            </w:r>
          </w:p>
        </w:tc>
        <w:tc>
          <w:tcPr>
            <w:tcW w:w="6067" w:type="dxa"/>
            <w:tcBorders>
              <w:left w:val="nil"/>
            </w:tcBorders>
          </w:tcPr>
          <w:p w:rsidR="002B3A4E" w:rsidRPr="0084450C" w:rsidRDefault="00EC7AB1" w:rsidP="0084450C">
            <w:pPr>
              <w:pStyle w:val="TableHeading"/>
            </w:pPr>
            <w:r w:rsidRPr="0084450C">
              <w:rPr>
                <w:color w:val="FFFFFF" w:themeColor="background1"/>
              </w:rPr>
              <w:t>-</w:t>
            </w:r>
          </w:p>
        </w:tc>
      </w:tr>
      <w:tr w:rsidR="00C371E2" w:rsidRPr="00BD2FCB" w:rsidTr="00DA3CB3">
        <w:tc>
          <w:tcPr>
            <w:tcW w:w="2838" w:type="dxa"/>
          </w:tcPr>
          <w:p w:rsidR="002B3A4E" w:rsidRPr="0084450C" w:rsidRDefault="00C371E2" w:rsidP="00E965BD">
            <w:pPr>
              <w:pStyle w:val="TableText0"/>
            </w:pPr>
            <w:r w:rsidRPr="0084450C">
              <w:t>Google</w:t>
            </w:r>
          </w:p>
          <w:p w:rsidR="002B3A4E" w:rsidRPr="0084450C" w:rsidRDefault="00C371E2" w:rsidP="00E965BD">
            <w:pPr>
              <w:pStyle w:val="TableText0"/>
            </w:pPr>
            <w:r w:rsidRPr="0084450C">
              <w:t>Advanced search – first 50 results</w:t>
            </w:r>
          </w:p>
        </w:tc>
        <w:tc>
          <w:tcPr>
            <w:tcW w:w="6067" w:type="dxa"/>
          </w:tcPr>
          <w:p w:rsidR="002B3A4E" w:rsidRPr="0084450C" w:rsidRDefault="00C371E2" w:rsidP="00E965BD">
            <w:pPr>
              <w:pStyle w:val="TableText0"/>
            </w:pPr>
            <w:r w:rsidRPr="00A62C97">
              <w:t>http://www.google.com/advanced_search</w:t>
            </w:r>
          </w:p>
        </w:tc>
      </w:tr>
      <w:tr w:rsidR="00C371E2" w:rsidRPr="00BD2FCB" w:rsidTr="00DA3CB3">
        <w:tc>
          <w:tcPr>
            <w:tcW w:w="2838" w:type="dxa"/>
          </w:tcPr>
          <w:p w:rsidR="002B3A4E" w:rsidRPr="0084450C" w:rsidRDefault="00C371E2" w:rsidP="00E965BD">
            <w:pPr>
              <w:pStyle w:val="TableText0"/>
            </w:pPr>
            <w:r w:rsidRPr="0084450C">
              <w:t>Google Scholar – first 50 results</w:t>
            </w:r>
          </w:p>
        </w:tc>
        <w:tc>
          <w:tcPr>
            <w:tcW w:w="6067" w:type="dxa"/>
          </w:tcPr>
          <w:p w:rsidR="002B3A4E" w:rsidRPr="0084450C" w:rsidRDefault="00C371E2" w:rsidP="00E965BD">
            <w:pPr>
              <w:pStyle w:val="TableText0"/>
            </w:pPr>
            <w:r w:rsidRPr="00A62C97">
              <w:t>http://scholar.google.com.au/</w:t>
            </w:r>
          </w:p>
        </w:tc>
      </w:tr>
      <w:tr w:rsidR="00DA3CB3" w:rsidRPr="00BD2FCB" w:rsidTr="00DA3CB3">
        <w:tc>
          <w:tcPr>
            <w:tcW w:w="2838" w:type="dxa"/>
            <w:tcBorders>
              <w:right w:val="nil"/>
            </w:tcBorders>
          </w:tcPr>
          <w:p w:rsidR="00DA3CB3" w:rsidRPr="0084450C" w:rsidRDefault="00DA3CB3" w:rsidP="00E965BD">
            <w:pPr>
              <w:pStyle w:val="TableText0"/>
            </w:pPr>
            <w:r w:rsidRPr="0084450C">
              <w:t>Other</w:t>
            </w:r>
          </w:p>
        </w:tc>
        <w:tc>
          <w:tcPr>
            <w:tcW w:w="6067" w:type="dxa"/>
            <w:tcBorders>
              <w:left w:val="nil"/>
            </w:tcBorders>
          </w:tcPr>
          <w:p w:rsidR="00DA3CB3" w:rsidRDefault="00DA3CB3" w:rsidP="00E965BD">
            <w:pPr>
              <w:pStyle w:val="TableText0"/>
            </w:pPr>
          </w:p>
        </w:tc>
      </w:tr>
      <w:tr w:rsidR="000A1D51" w:rsidRPr="00492110" w:rsidTr="00DA3CB3">
        <w:tc>
          <w:tcPr>
            <w:tcW w:w="2838" w:type="dxa"/>
          </w:tcPr>
          <w:p w:rsidR="000A1D51" w:rsidRPr="0084450C" w:rsidRDefault="00103D9B" w:rsidP="00E965BD">
            <w:pPr>
              <w:pStyle w:val="TableText0"/>
            </w:pPr>
            <w:r w:rsidRPr="0084450C">
              <w:t>Current Controlled Trials metaRegister</w:t>
            </w:r>
            <w:r w:rsidR="0075038C" w:rsidRPr="0084450C">
              <w:t xml:space="preserve"> (US </w:t>
            </w:r>
            <w:r w:rsidR="00EC7AB1" w:rsidRPr="0084450C">
              <w:t>and</w:t>
            </w:r>
            <w:r w:rsidR="0075038C" w:rsidRPr="0084450C">
              <w:t xml:space="preserve"> UK </w:t>
            </w:r>
            <w:r w:rsidR="00EC7AB1" w:rsidRPr="0084450C">
              <w:t xml:space="preserve">clinical </w:t>
            </w:r>
            <w:r w:rsidR="0075038C" w:rsidRPr="0084450C">
              <w:t>trial registers)</w:t>
            </w:r>
          </w:p>
        </w:tc>
        <w:tc>
          <w:tcPr>
            <w:tcW w:w="6067" w:type="dxa"/>
          </w:tcPr>
          <w:p w:rsidR="000A1D51" w:rsidRPr="0084450C" w:rsidRDefault="00103D9B" w:rsidP="00E965BD">
            <w:pPr>
              <w:pStyle w:val="TableText0"/>
              <w:rPr>
                <w:rStyle w:val="Hyperlink"/>
              </w:rPr>
            </w:pPr>
            <w:r w:rsidRPr="0084450C">
              <w:rPr>
                <w:rStyle w:val="Hyperlink"/>
              </w:rPr>
              <w:t>http://controlled-trials.com/</w:t>
            </w:r>
          </w:p>
        </w:tc>
      </w:tr>
      <w:tr w:rsidR="000A1D51" w:rsidRPr="0007302C" w:rsidTr="00DA3CB3">
        <w:tc>
          <w:tcPr>
            <w:tcW w:w="2838" w:type="dxa"/>
          </w:tcPr>
          <w:p w:rsidR="000A1D51" w:rsidRPr="0084450C" w:rsidRDefault="0075038C" w:rsidP="00E965BD">
            <w:pPr>
              <w:pStyle w:val="TableText0"/>
            </w:pPr>
            <w:r w:rsidRPr="0084450C">
              <w:t>Australian Clinical Trials</w:t>
            </w:r>
            <w:r w:rsidR="00EC7AB1" w:rsidRPr="0084450C">
              <w:t xml:space="preserve"> Register</w:t>
            </w:r>
          </w:p>
        </w:tc>
        <w:tc>
          <w:tcPr>
            <w:tcW w:w="6067" w:type="dxa"/>
          </w:tcPr>
          <w:p w:rsidR="000A1D51" w:rsidRPr="0084450C" w:rsidRDefault="0075038C" w:rsidP="00E965BD">
            <w:pPr>
              <w:pStyle w:val="TableText0"/>
              <w:rPr>
                <w:rStyle w:val="Hyperlink"/>
              </w:rPr>
            </w:pPr>
            <w:r w:rsidRPr="00A62C97">
              <w:t>http://www.australianclinicaltrials.gov.au/trials</w:t>
            </w:r>
          </w:p>
        </w:tc>
      </w:tr>
      <w:tr w:rsidR="0007302C" w:rsidRPr="0007302C" w:rsidTr="00DA3CB3">
        <w:tc>
          <w:tcPr>
            <w:tcW w:w="2838" w:type="dxa"/>
          </w:tcPr>
          <w:p w:rsidR="0007302C" w:rsidRPr="0084450C" w:rsidRDefault="006654C9" w:rsidP="00E965BD">
            <w:pPr>
              <w:pStyle w:val="TableText0"/>
            </w:pPr>
            <w:r w:rsidRPr="0084450C">
              <w:t>Orphanet</w:t>
            </w:r>
          </w:p>
        </w:tc>
        <w:tc>
          <w:tcPr>
            <w:tcW w:w="6067" w:type="dxa"/>
          </w:tcPr>
          <w:p w:rsidR="002B3A4E" w:rsidRPr="0084450C" w:rsidRDefault="00A4010A" w:rsidP="00E965BD">
            <w:pPr>
              <w:pStyle w:val="TableText0"/>
            </w:pPr>
            <w:r w:rsidRPr="00A62C97">
              <w:t>http://www.orphanet.org</w:t>
            </w:r>
          </w:p>
        </w:tc>
      </w:tr>
      <w:tr w:rsidR="0007302C" w:rsidRPr="0007302C" w:rsidTr="00DA3CB3">
        <w:tc>
          <w:tcPr>
            <w:tcW w:w="2838" w:type="dxa"/>
          </w:tcPr>
          <w:p w:rsidR="0007302C" w:rsidRPr="0084450C" w:rsidRDefault="006654C9" w:rsidP="00E965BD">
            <w:pPr>
              <w:pStyle w:val="TableText0"/>
            </w:pPr>
            <w:r w:rsidRPr="0084450C">
              <w:t>Eurordis</w:t>
            </w:r>
          </w:p>
        </w:tc>
        <w:tc>
          <w:tcPr>
            <w:tcW w:w="6067" w:type="dxa"/>
          </w:tcPr>
          <w:p w:rsidR="002B3A4E" w:rsidRPr="0084450C" w:rsidRDefault="006654C9" w:rsidP="00E965BD">
            <w:pPr>
              <w:pStyle w:val="TableText0"/>
            </w:pPr>
            <w:r w:rsidRPr="0084450C">
              <w:rPr>
                <w:rStyle w:val="Hyperlink"/>
                <w:rFonts w:cs="Arial"/>
              </w:rPr>
              <w:t>www.eurordis.org</w:t>
            </w:r>
          </w:p>
        </w:tc>
      </w:tr>
      <w:tr w:rsidR="00C371E2" w:rsidRPr="00BD2FCB" w:rsidTr="00DA3CB3">
        <w:tc>
          <w:tcPr>
            <w:tcW w:w="2838" w:type="dxa"/>
          </w:tcPr>
          <w:p w:rsidR="002B3A4E" w:rsidRPr="0084450C" w:rsidRDefault="00C371E2" w:rsidP="00E965BD">
            <w:pPr>
              <w:pStyle w:val="TableText0"/>
            </w:pPr>
            <w:r w:rsidRPr="0084450C">
              <w:t>Innovative Health Technologies</w:t>
            </w:r>
          </w:p>
        </w:tc>
        <w:tc>
          <w:tcPr>
            <w:tcW w:w="6067" w:type="dxa"/>
          </w:tcPr>
          <w:p w:rsidR="002B3A4E" w:rsidRPr="0084450C" w:rsidRDefault="00C371E2" w:rsidP="00E965BD">
            <w:pPr>
              <w:pStyle w:val="TableText0"/>
            </w:pPr>
            <w:r w:rsidRPr="00A62C97">
              <w:t>http://www.york.ac.uk/res/iht/introduction.htm</w:t>
            </w:r>
          </w:p>
        </w:tc>
      </w:tr>
      <w:tr w:rsidR="00C371E2" w:rsidRPr="00BD2FCB" w:rsidTr="00DA3CB3">
        <w:tc>
          <w:tcPr>
            <w:tcW w:w="2838" w:type="dxa"/>
          </w:tcPr>
          <w:p w:rsidR="002B3A4E" w:rsidRPr="0084450C" w:rsidRDefault="00C371E2" w:rsidP="00E965BD">
            <w:pPr>
              <w:pStyle w:val="TableText0"/>
            </w:pPr>
            <w:r w:rsidRPr="0084450C">
              <w:t>F1000Poster</w:t>
            </w:r>
          </w:p>
        </w:tc>
        <w:tc>
          <w:tcPr>
            <w:tcW w:w="6067" w:type="dxa"/>
          </w:tcPr>
          <w:p w:rsidR="002B3A4E" w:rsidRPr="0084450C" w:rsidRDefault="00C371E2" w:rsidP="00E965BD">
            <w:pPr>
              <w:pStyle w:val="TableText0"/>
            </w:pPr>
            <w:r w:rsidRPr="00A62C97">
              <w:rPr>
                <w:rFonts w:cs="Arial"/>
              </w:rPr>
              <w:t>http://f1000.com/posters</w:t>
            </w:r>
          </w:p>
        </w:tc>
      </w:tr>
    </w:tbl>
    <w:p w:rsidR="00382709" w:rsidRDefault="00E66055" w:rsidP="00382709">
      <w:pPr>
        <w:pStyle w:val="TableNote"/>
      </w:pPr>
      <w:r>
        <w:t xml:space="preserve">AHA </w:t>
      </w:r>
      <w:r w:rsidRPr="00652355">
        <w:rPr>
          <w:spacing w:val="-20"/>
        </w:rPr>
        <w:t xml:space="preserve">= </w:t>
      </w:r>
      <w:r>
        <w:t>American</w:t>
      </w:r>
      <w:r w:rsidR="00382709">
        <w:t xml:space="preserve"> Heart Association; </w:t>
      </w:r>
      <w:r>
        <w:t xml:space="preserve">ASHP </w:t>
      </w:r>
      <w:r w:rsidRPr="00652355">
        <w:rPr>
          <w:spacing w:val="-20"/>
        </w:rPr>
        <w:t xml:space="preserve">= </w:t>
      </w:r>
      <w:r>
        <w:t>American</w:t>
      </w:r>
      <w:r w:rsidR="00382709">
        <w:t xml:space="preserve"> Society of Health-System </w:t>
      </w:r>
      <w:r>
        <w:t>Pharmacists</w:t>
      </w:r>
    </w:p>
    <w:p w:rsidR="00382709" w:rsidRDefault="00382709" w:rsidP="00382709">
      <w:pPr>
        <w:pStyle w:val="TableNote"/>
      </w:pPr>
    </w:p>
    <w:p w:rsidR="00BF6303" w:rsidRDefault="00BF6303" w:rsidP="00382709">
      <w:pPr>
        <w:pStyle w:val="TableNote"/>
      </w:pPr>
    </w:p>
    <w:p w:rsidR="006B303D" w:rsidRDefault="006B303D" w:rsidP="00E873BE">
      <w:pPr>
        <w:pStyle w:val="Headings4"/>
      </w:pPr>
      <w:r>
        <w:lastRenderedPageBreak/>
        <w:t>Impact summaries</w:t>
      </w:r>
    </w:p>
    <w:tbl>
      <w:tblPr>
        <w:tblStyle w:val="TableGrid"/>
        <w:tblpPr w:leftFromText="180" w:rightFromText="180" w:vertAnchor="text" w:tblpY="1"/>
        <w:tblOverlap w:val="never"/>
        <w:tblW w:w="8613" w:type="dxa"/>
        <w:tblLook w:val="04A0" w:firstRow="1" w:lastRow="0" w:firstColumn="1" w:lastColumn="0" w:noHBand="0" w:noVBand="1"/>
        <w:tblCaption w:val="Impact summary for inovelon"/>
      </w:tblPr>
      <w:tblGrid>
        <w:gridCol w:w="8613"/>
      </w:tblGrid>
      <w:tr w:rsidR="006B303D" w:rsidTr="005F6E8D">
        <w:trPr>
          <w:tblHeader/>
        </w:trPr>
        <w:tc>
          <w:tcPr>
            <w:tcW w:w="8613" w:type="dxa"/>
          </w:tcPr>
          <w:p w:rsidR="006B303D" w:rsidRDefault="006B303D" w:rsidP="000F0902">
            <w:pPr>
              <w:pStyle w:val="TableText0"/>
            </w:pPr>
            <w:r>
              <w:t>Proprietary product name: Inovelon</w:t>
            </w:r>
          </w:p>
        </w:tc>
      </w:tr>
      <w:tr w:rsidR="006B303D" w:rsidTr="000F0902">
        <w:tc>
          <w:tcPr>
            <w:tcW w:w="8613" w:type="dxa"/>
          </w:tcPr>
          <w:p w:rsidR="006B303D" w:rsidRDefault="006B303D" w:rsidP="000F0902">
            <w:pPr>
              <w:pStyle w:val="TableText0"/>
            </w:pPr>
            <w:r>
              <w:t>Active / functional agent: rufinamide</w:t>
            </w:r>
          </w:p>
        </w:tc>
      </w:tr>
      <w:tr w:rsidR="006B303D" w:rsidTr="000F0902">
        <w:tc>
          <w:tcPr>
            <w:tcW w:w="8613" w:type="dxa"/>
          </w:tcPr>
          <w:p w:rsidR="006B303D" w:rsidRDefault="006B303D" w:rsidP="000F0902">
            <w:pPr>
              <w:pStyle w:val="TableText0"/>
            </w:pPr>
            <w:r>
              <w:t>Purpose and target group: patients with Lennox-Gestaut (LG) epilepsy</w:t>
            </w:r>
          </w:p>
        </w:tc>
      </w:tr>
      <w:tr w:rsidR="00E44E71" w:rsidTr="00E44E71">
        <w:trPr>
          <w:trHeight w:val="2765"/>
        </w:trPr>
        <w:tc>
          <w:tcPr>
            <w:tcW w:w="8613" w:type="dxa"/>
          </w:tcPr>
          <w:p w:rsidR="00E44E71" w:rsidRDefault="00E44E71" w:rsidP="000F0902">
            <w:pPr>
              <w:pStyle w:val="TableText0"/>
            </w:pPr>
            <w:r>
              <w:t>Stage of development</w:t>
            </w:r>
          </w:p>
          <w:p w:rsidR="00E44E71" w:rsidRPr="00750CF7" w:rsidRDefault="00E44E71" w:rsidP="00E44E71">
            <w:pPr>
              <w:pStyle w:val="TableText0"/>
              <w:rPr>
                <w:rFonts w:asciiTheme="minorHAnsi" w:hAnsiTheme="minorHAnsi"/>
                <w:vertAlign w:val="superscript"/>
              </w:rPr>
            </w:pPr>
            <w:r w:rsidRPr="002D6508">
              <w:rPr>
                <w:rFonts w:asciiTheme="minorHAnsi" w:hAnsiTheme="minorHAnsi"/>
              </w:rPr>
              <w:sym w:font="Wingdings" w:char="F0A8"/>
            </w:r>
            <w:r w:rsidRPr="002D6508">
              <w:rPr>
                <w:rFonts w:asciiTheme="minorHAnsi" w:hAnsiTheme="minorHAnsi"/>
              </w:rPr>
              <w:tab/>
              <w:t>Yet to emerge</w:t>
            </w:r>
            <w:r>
              <w:rPr>
                <w:rFonts w:asciiTheme="minorHAnsi" w:hAnsiTheme="minorHAnsi"/>
                <w:vertAlign w:val="superscript"/>
              </w:rPr>
              <w:t>a</w:t>
            </w:r>
            <w:r>
              <w:rPr>
                <w:rFonts w:asciiTheme="minorHAnsi" w:hAnsiTheme="minorHAnsi"/>
                <w:vertAlign w:val="superscript"/>
              </w:rPr>
              <w:tab/>
            </w:r>
            <w:r>
              <w:rPr>
                <w:rFonts w:asciiTheme="minorHAnsi" w:hAnsiTheme="minorHAnsi"/>
                <w:vertAlign w:val="superscript"/>
              </w:rPr>
              <w:tab/>
            </w:r>
          </w:p>
          <w:p w:rsidR="00E44E71" w:rsidRPr="00750CF7" w:rsidRDefault="00E44E71" w:rsidP="00E44E71">
            <w:pPr>
              <w:pStyle w:val="TableText0"/>
              <w:rPr>
                <w:rFonts w:asciiTheme="minorHAnsi" w:hAnsiTheme="minorHAnsi"/>
                <w:vertAlign w:val="superscript"/>
              </w:rPr>
            </w:pPr>
            <w:r w:rsidRPr="002D6508">
              <w:rPr>
                <w:rFonts w:asciiTheme="minorHAnsi" w:hAnsiTheme="minorHAnsi"/>
              </w:rPr>
              <w:sym w:font="Wingdings" w:char="F0A8"/>
            </w:r>
            <w:r w:rsidRPr="002D6508">
              <w:rPr>
                <w:rFonts w:asciiTheme="minorHAnsi" w:hAnsiTheme="minorHAnsi"/>
              </w:rPr>
              <w:tab/>
            </w:r>
            <w:r>
              <w:rPr>
                <w:rFonts w:asciiTheme="minorHAnsi" w:hAnsiTheme="minorHAnsi"/>
              </w:rPr>
              <w:t>Phase I trials</w:t>
            </w:r>
            <w:r>
              <w:rPr>
                <w:rFonts w:asciiTheme="minorHAnsi" w:hAnsiTheme="minorHAnsi"/>
                <w:vertAlign w:val="superscript"/>
              </w:rPr>
              <w:t>b</w:t>
            </w:r>
          </w:p>
          <w:p w:rsidR="00E44E71" w:rsidRPr="00750CF7" w:rsidRDefault="00E44E71" w:rsidP="00E44E71">
            <w:pPr>
              <w:pStyle w:val="TableText0"/>
              <w:rPr>
                <w:rFonts w:asciiTheme="minorHAnsi" w:hAnsiTheme="minorHAnsi"/>
                <w:szCs w:val="24"/>
                <w:vertAlign w:val="superscript"/>
              </w:rPr>
            </w:pPr>
            <w:r w:rsidRPr="002D6508">
              <w:rPr>
                <w:rFonts w:asciiTheme="minorHAnsi" w:hAnsiTheme="minorHAnsi"/>
              </w:rPr>
              <w:sym w:font="Wingdings" w:char="F0A8"/>
            </w:r>
            <w:r w:rsidRPr="002D6508">
              <w:rPr>
                <w:rFonts w:asciiTheme="minorHAnsi" w:hAnsiTheme="minorHAnsi"/>
              </w:rPr>
              <w:tab/>
            </w:r>
            <w:r>
              <w:rPr>
                <w:rFonts w:asciiTheme="minorHAnsi" w:hAnsiTheme="minorHAnsi"/>
              </w:rPr>
              <w:t>Phase 2 trials</w:t>
            </w:r>
            <w:r>
              <w:rPr>
                <w:rFonts w:asciiTheme="minorHAnsi" w:hAnsiTheme="minorHAnsi"/>
                <w:vertAlign w:val="superscript"/>
              </w:rPr>
              <w:t>c</w:t>
            </w:r>
            <w:r w:rsidR="001852F3">
              <w:rPr>
                <w:rFonts w:asciiTheme="minorHAnsi" w:hAnsiTheme="minorHAnsi"/>
                <w:vertAlign w:val="superscript"/>
              </w:rPr>
              <w:t xml:space="preserve"> </w:t>
            </w:r>
          </w:p>
          <w:p w:rsidR="00E44E71" w:rsidRPr="002D6508" w:rsidRDefault="00E44E71" w:rsidP="000F0902">
            <w:pPr>
              <w:pStyle w:val="TableText0"/>
              <w:rPr>
                <w:rFonts w:asciiTheme="minorHAnsi" w:hAnsiTheme="minorHAnsi"/>
              </w:rPr>
            </w:pPr>
            <w:r w:rsidRPr="002D6508">
              <w:rPr>
                <w:rFonts w:asciiTheme="minorHAnsi" w:hAnsiTheme="minorHAnsi"/>
              </w:rPr>
              <w:sym w:font="Wingdings" w:char="F0A8"/>
            </w:r>
            <w:r w:rsidRPr="002D6508">
              <w:rPr>
                <w:rFonts w:asciiTheme="minorHAnsi" w:hAnsiTheme="minorHAnsi"/>
              </w:rPr>
              <w:tab/>
            </w:r>
            <w:r>
              <w:rPr>
                <w:rFonts w:asciiTheme="minorHAnsi" w:hAnsiTheme="minorHAnsi"/>
              </w:rPr>
              <w:t>Phase 3 trials</w:t>
            </w:r>
            <w:r>
              <w:rPr>
                <w:rFonts w:asciiTheme="minorHAnsi" w:hAnsiTheme="minorHAnsi"/>
                <w:vertAlign w:val="superscript"/>
              </w:rPr>
              <w:t>d</w:t>
            </w:r>
          </w:p>
          <w:p w:rsidR="00E44E71" w:rsidRPr="002D6508" w:rsidRDefault="00E44E71" w:rsidP="000F0902">
            <w:pPr>
              <w:pStyle w:val="TableText0"/>
              <w:rPr>
                <w:rFonts w:asciiTheme="minorHAnsi" w:hAnsiTheme="minorHAnsi"/>
              </w:rPr>
            </w:pPr>
            <w:r w:rsidRPr="002D6508">
              <w:rPr>
                <w:rFonts w:asciiTheme="minorHAnsi" w:hAnsiTheme="minorHAnsi"/>
              </w:rPr>
              <w:sym w:font="Wingdings" w:char="F0A8"/>
            </w:r>
            <w:r>
              <w:rPr>
                <w:rFonts w:asciiTheme="minorHAnsi" w:hAnsiTheme="minorHAnsi"/>
              </w:rPr>
              <w:tab/>
              <w:t>Phase 4 trials</w:t>
            </w:r>
            <w:r>
              <w:rPr>
                <w:rFonts w:asciiTheme="minorHAnsi" w:hAnsiTheme="minorHAnsi"/>
                <w:vertAlign w:val="superscript"/>
              </w:rPr>
              <w:t>e</w:t>
            </w:r>
          </w:p>
          <w:p w:rsidR="00E44E71" w:rsidRPr="002D6508" w:rsidRDefault="00E44E71" w:rsidP="000F0902">
            <w:pPr>
              <w:pStyle w:val="TableText0"/>
              <w:rPr>
                <w:rFonts w:asciiTheme="minorHAnsi" w:hAnsiTheme="minorHAnsi"/>
              </w:rPr>
            </w:pPr>
            <w:r w:rsidRPr="002D6508">
              <w:rPr>
                <w:rFonts w:asciiTheme="minorHAnsi" w:hAnsiTheme="minorHAnsi"/>
              </w:rPr>
              <w:sym w:font="Wingdings" w:char="F0A8"/>
            </w:r>
            <w:r w:rsidRPr="002D6508">
              <w:rPr>
                <w:rFonts w:asciiTheme="minorHAnsi" w:hAnsiTheme="minorHAnsi"/>
              </w:rPr>
              <w:tab/>
            </w:r>
            <w:r>
              <w:rPr>
                <w:rFonts w:asciiTheme="minorHAnsi" w:hAnsiTheme="minorHAnsi"/>
              </w:rPr>
              <w:t>Established</w:t>
            </w:r>
            <w:r>
              <w:rPr>
                <w:rFonts w:asciiTheme="minorHAnsi" w:hAnsiTheme="minorHAnsi"/>
                <w:vertAlign w:val="superscript"/>
              </w:rPr>
              <w:t>f</w:t>
            </w:r>
          </w:p>
          <w:p w:rsidR="00E44E71" w:rsidRDefault="00E44E71" w:rsidP="00A979FB">
            <w:pPr>
              <w:pStyle w:val="TableText0"/>
            </w:pPr>
            <w:r w:rsidRPr="002D6508">
              <w:rPr>
                <w:rFonts w:asciiTheme="minorHAnsi" w:hAnsiTheme="minorHAnsi"/>
                <w:szCs w:val="24"/>
              </w:rPr>
              <w:sym w:font="Wingdings" w:char="F0A8"/>
            </w:r>
            <w:r w:rsidRPr="002D6508">
              <w:rPr>
                <w:rFonts w:asciiTheme="minorHAnsi" w:hAnsiTheme="minorHAnsi"/>
                <w:szCs w:val="24"/>
              </w:rPr>
              <w:tab/>
              <w:t>Established but</w:t>
            </w:r>
            <w:r>
              <w:rPr>
                <w:rFonts w:asciiTheme="minorHAnsi" w:hAnsiTheme="minorHAnsi"/>
              </w:rPr>
              <w:t xml:space="preserve"> changed indication</w:t>
            </w:r>
            <w:r>
              <w:rPr>
                <w:rFonts w:asciiTheme="minorHAnsi" w:hAnsiTheme="minorHAnsi"/>
                <w:szCs w:val="24"/>
                <w:vertAlign w:val="superscript"/>
              </w:rPr>
              <w:t>g</w:t>
            </w:r>
          </w:p>
        </w:tc>
      </w:tr>
      <w:tr w:rsidR="006B303D" w:rsidTr="000F0902">
        <w:tc>
          <w:tcPr>
            <w:tcW w:w="8613" w:type="dxa"/>
            <w:tcBorders>
              <w:top w:val="single" w:sz="4" w:space="0" w:color="auto"/>
              <w:bottom w:val="nil"/>
            </w:tcBorders>
          </w:tcPr>
          <w:p w:rsidR="006B303D" w:rsidRPr="00CF22E3" w:rsidRDefault="006B303D" w:rsidP="000F0902">
            <w:pPr>
              <w:pStyle w:val="TableText0"/>
              <w:rPr>
                <w:i/>
              </w:rPr>
            </w:pPr>
            <w:r w:rsidRPr="00CF22E3">
              <w:rPr>
                <w:i/>
              </w:rPr>
              <w:t>Australian utilisation</w:t>
            </w:r>
          </w:p>
        </w:tc>
      </w:tr>
      <w:tr w:rsidR="006B303D" w:rsidTr="000F0902">
        <w:tc>
          <w:tcPr>
            <w:tcW w:w="8613" w:type="dxa"/>
            <w:tcBorders>
              <w:top w:val="single" w:sz="4" w:space="0" w:color="auto"/>
              <w:bottom w:val="nil"/>
            </w:tcBorders>
          </w:tcPr>
          <w:p w:rsidR="006B303D" w:rsidRDefault="006B303D" w:rsidP="000F0902">
            <w:pPr>
              <w:pStyle w:val="TableText0"/>
            </w:pPr>
            <w:r>
              <w:t xml:space="preserve">ARTG approval </w:t>
            </w:r>
          </w:p>
        </w:tc>
      </w:tr>
      <w:tr w:rsidR="00754FB3" w:rsidTr="00DA286B">
        <w:tc>
          <w:tcPr>
            <w:tcW w:w="8613" w:type="dxa"/>
            <w:tcBorders>
              <w:top w:val="nil"/>
              <w:bottom w:val="nil"/>
            </w:tcBorders>
          </w:tcPr>
          <w:p w:rsidR="00754FB3" w:rsidRPr="000B790D" w:rsidRDefault="00754FB3" w:rsidP="000F0902">
            <w:pPr>
              <w:pStyle w:val="TableText0"/>
              <w:rPr>
                <w:rFonts w:asciiTheme="minorHAnsi" w:hAnsiTheme="minorHAnsi"/>
                <w:i/>
                <w:iCs/>
              </w:rPr>
            </w:pPr>
            <w:r>
              <w:rPr>
                <w:rFonts w:asciiTheme="minorHAnsi" w:hAnsiTheme="minorHAnsi"/>
              </w:rPr>
              <w:sym w:font="Wingdings 2" w:char="F053"/>
            </w:r>
            <w:r w:rsidRPr="000B790D">
              <w:rPr>
                <w:rFonts w:asciiTheme="minorHAnsi" w:hAnsiTheme="minorHAnsi"/>
              </w:rPr>
              <w:tab/>
              <w:t>No</w:t>
            </w:r>
          </w:p>
          <w:p w:rsidR="00754FB3" w:rsidRPr="000B790D" w:rsidRDefault="00754FB3" w:rsidP="000F0902">
            <w:pPr>
              <w:pStyle w:val="TableText0"/>
              <w:rPr>
                <w:rFonts w:asciiTheme="minorHAnsi" w:hAnsiTheme="minorHAnsi"/>
                <w:i/>
                <w:iCs/>
              </w:rPr>
            </w:pPr>
            <w:r w:rsidRPr="000B790D">
              <w:rPr>
                <w:rFonts w:asciiTheme="minorHAnsi" w:hAnsiTheme="minorHAnsi"/>
              </w:rPr>
              <w:sym w:font="Wingdings" w:char="F0A8"/>
            </w:r>
            <w:r w:rsidRPr="000B790D">
              <w:rPr>
                <w:rFonts w:asciiTheme="minorHAnsi" w:hAnsiTheme="minorHAnsi"/>
              </w:rPr>
              <w:tab/>
              <w:t>Yes</w:t>
            </w:r>
          </w:p>
          <w:p w:rsidR="00754FB3" w:rsidRPr="000B790D" w:rsidRDefault="00754FB3" w:rsidP="000F0902">
            <w:pPr>
              <w:pStyle w:val="TableText0"/>
              <w:rPr>
                <w:rFonts w:asciiTheme="minorHAnsi" w:hAnsiTheme="minorHAnsi"/>
              </w:rPr>
            </w:pPr>
            <w:r w:rsidRPr="000B790D">
              <w:rPr>
                <w:rFonts w:asciiTheme="minorHAnsi" w:hAnsiTheme="minorHAnsi"/>
              </w:rPr>
              <w:t>ARTG number</w:t>
            </w:r>
            <w:r w:rsidRPr="000B790D">
              <w:rPr>
                <w:rFonts w:asciiTheme="minorHAnsi" w:hAnsiTheme="minorHAnsi"/>
              </w:rPr>
              <w:tab/>
            </w:r>
          </w:p>
        </w:tc>
      </w:tr>
      <w:tr w:rsidR="00754FB3" w:rsidTr="00754FB3">
        <w:tc>
          <w:tcPr>
            <w:tcW w:w="8613" w:type="dxa"/>
            <w:tcBorders>
              <w:top w:val="nil"/>
              <w:bottom w:val="single" w:sz="4" w:space="0" w:color="auto"/>
            </w:tcBorders>
          </w:tcPr>
          <w:p w:rsidR="00754FB3" w:rsidRPr="0069166F" w:rsidRDefault="00754FB3" w:rsidP="000F0902">
            <w:pPr>
              <w:pStyle w:val="TableText0"/>
              <w:rPr>
                <w:rFonts w:asciiTheme="minorHAnsi" w:hAnsiTheme="minorHAnsi"/>
                <w:i/>
              </w:rPr>
            </w:pPr>
            <w:r>
              <w:rPr>
                <w:rFonts w:asciiTheme="minorHAnsi" w:hAnsiTheme="minorHAnsi"/>
              </w:rPr>
              <w:t>Trials underway or c</w:t>
            </w:r>
            <w:r w:rsidRPr="00CF22E3">
              <w:rPr>
                <w:rFonts w:asciiTheme="minorHAnsi" w:hAnsiTheme="minorHAnsi"/>
              </w:rPr>
              <w:t>ompleted</w:t>
            </w:r>
            <w:r>
              <w:rPr>
                <w:rFonts w:asciiTheme="minorHAnsi" w:hAnsiTheme="minorHAnsi"/>
              </w:rPr>
              <w:tab/>
            </w:r>
            <w:r>
              <w:rPr>
                <w:rFonts w:asciiTheme="minorHAnsi" w:hAnsiTheme="minorHAnsi"/>
              </w:rPr>
              <w:sym w:font="Wingdings 2" w:char="F053"/>
            </w:r>
          </w:p>
          <w:p w:rsidR="00754FB3" w:rsidRPr="00EB346F" w:rsidRDefault="00754FB3" w:rsidP="000F0902">
            <w:pPr>
              <w:pStyle w:val="TableText0"/>
              <w:rPr>
                <w:rFonts w:asciiTheme="minorHAnsi" w:hAnsiTheme="minorHAnsi"/>
                <w:i/>
                <w:iCs/>
              </w:rPr>
            </w:pPr>
            <w:r>
              <w:rPr>
                <w:rFonts w:asciiTheme="minorHAnsi" w:hAnsiTheme="minorHAnsi"/>
              </w:rPr>
              <w:t>Limited u</w:t>
            </w:r>
            <w:r w:rsidRPr="00C963E7">
              <w:rPr>
                <w:rFonts w:asciiTheme="minorHAnsi" w:hAnsiTheme="minorHAnsi"/>
              </w:rPr>
              <w:t>se</w:t>
            </w:r>
            <w:r>
              <w:rPr>
                <w:rFonts w:asciiTheme="minorHAnsi" w:hAnsiTheme="minorHAnsi"/>
              </w:rPr>
              <w:tab/>
            </w:r>
            <w:r w:rsidRPr="000B790D">
              <w:rPr>
                <w:rFonts w:asciiTheme="minorHAnsi" w:hAnsiTheme="minorHAnsi"/>
              </w:rPr>
              <w:sym w:font="Wingdings" w:char="F0A8"/>
            </w:r>
          </w:p>
          <w:p w:rsidR="00754FB3" w:rsidRPr="00EB346F" w:rsidRDefault="00754FB3" w:rsidP="000F0902">
            <w:pPr>
              <w:pStyle w:val="TableText0"/>
              <w:rPr>
                <w:rFonts w:asciiTheme="minorHAnsi" w:hAnsiTheme="minorHAnsi"/>
              </w:rPr>
            </w:pPr>
            <w:r>
              <w:rPr>
                <w:rFonts w:asciiTheme="minorHAnsi" w:hAnsiTheme="minorHAnsi"/>
              </w:rPr>
              <w:t>Widely d</w:t>
            </w:r>
            <w:r w:rsidRPr="00EB346F">
              <w:rPr>
                <w:rFonts w:asciiTheme="minorHAnsi" w:hAnsiTheme="minorHAnsi"/>
              </w:rPr>
              <w:t>iffused but different indication</w:t>
            </w:r>
            <w:r>
              <w:rPr>
                <w:rFonts w:asciiTheme="minorHAnsi" w:hAnsiTheme="minorHAnsi"/>
              </w:rPr>
              <w:tab/>
            </w:r>
            <w:r w:rsidRPr="000B790D">
              <w:rPr>
                <w:rFonts w:asciiTheme="minorHAnsi" w:hAnsiTheme="minorHAnsi"/>
              </w:rPr>
              <w:sym w:font="Wingdings" w:char="F0A8"/>
            </w:r>
          </w:p>
        </w:tc>
      </w:tr>
    </w:tbl>
    <w:p w:rsidR="00754FB3" w:rsidRDefault="00754FB3"/>
    <w:tbl>
      <w:tblPr>
        <w:tblStyle w:val="TableGrid"/>
        <w:tblpPr w:leftFromText="180" w:rightFromText="180" w:vertAnchor="text" w:tblpY="1"/>
        <w:tblOverlap w:val="never"/>
        <w:tblW w:w="8613" w:type="dxa"/>
        <w:tblLook w:val="04A0" w:firstRow="1" w:lastRow="0" w:firstColumn="1" w:lastColumn="0" w:noHBand="0" w:noVBand="1"/>
        <w:tblCaption w:val="Impact summary for inovelon"/>
      </w:tblPr>
      <w:tblGrid>
        <w:gridCol w:w="2796"/>
        <w:gridCol w:w="1744"/>
        <w:gridCol w:w="2189"/>
        <w:gridCol w:w="1884"/>
      </w:tblGrid>
      <w:tr w:rsidR="006B303D" w:rsidTr="00F03D54">
        <w:trPr>
          <w:tblHeader/>
        </w:trPr>
        <w:tc>
          <w:tcPr>
            <w:tcW w:w="2796" w:type="dxa"/>
            <w:tcBorders>
              <w:right w:val="single" w:sz="4" w:space="0" w:color="auto"/>
            </w:tcBorders>
          </w:tcPr>
          <w:p w:rsidR="006B303D" w:rsidRPr="000B790D" w:rsidRDefault="00754FB3" w:rsidP="00754FB3">
            <w:pPr>
              <w:pStyle w:val="TableText0"/>
              <w:rPr>
                <w:rFonts w:asciiTheme="minorHAnsi" w:hAnsiTheme="minorHAnsi"/>
              </w:rPr>
            </w:pPr>
            <w:r w:rsidRPr="00750CF7">
              <w:rPr>
                <w:rFonts w:asciiTheme="minorHAnsi" w:hAnsiTheme="minorHAnsi"/>
                <w:b/>
              </w:rPr>
              <w:t>Country</w:t>
            </w:r>
            <w:r>
              <w:rPr>
                <w:rFonts w:asciiTheme="minorHAnsi" w:hAnsiTheme="minorHAnsi"/>
                <w:b/>
              </w:rPr>
              <w:t xml:space="preserve"> / jurisdiction</w:t>
            </w:r>
          </w:p>
        </w:tc>
        <w:tc>
          <w:tcPr>
            <w:tcW w:w="1744" w:type="dxa"/>
            <w:tcBorders>
              <w:left w:val="single" w:sz="4" w:space="0" w:color="auto"/>
              <w:right w:val="nil"/>
            </w:tcBorders>
          </w:tcPr>
          <w:p w:rsidR="006B303D" w:rsidRPr="000B790D" w:rsidRDefault="006B303D" w:rsidP="00754FB3">
            <w:pPr>
              <w:pStyle w:val="TableText0"/>
              <w:rPr>
                <w:rFonts w:asciiTheme="minorHAnsi" w:hAnsiTheme="minorHAnsi"/>
              </w:rPr>
            </w:pPr>
            <w:r>
              <w:rPr>
                <w:rFonts w:asciiTheme="minorHAnsi" w:hAnsiTheme="minorHAnsi"/>
              </w:rPr>
              <w:t>Trials underway or c</w:t>
            </w:r>
            <w:r w:rsidRPr="000B790D">
              <w:rPr>
                <w:rFonts w:asciiTheme="minorHAnsi" w:hAnsiTheme="minorHAnsi"/>
              </w:rPr>
              <w:t>ompleted</w:t>
            </w:r>
            <w:r>
              <w:rPr>
                <w:rFonts w:asciiTheme="minorHAnsi" w:hAnsiTheme="minorHAnsi"/>
              </w:rPr>
              <w:t>?</w:t>
            </w:r>
          </w:p>
        </w:tc>
        <w:tc>
          <w:tcPr>
            <w:tcW w:w="2189" w:type="dxa"/>
            <w:tcBorders>
              <w:left w:val="nil"/>
              <w:right w:val="nil"/>
            </w:tcBorders>
          </w:tcPr>
          <w:p w:rsidR="006B303D" w:rsidRPr="000B790D" w:rsidRDefault="006B303D" w:rsidP="00754FB3">
            <w:pPr>
              <w:pStyle w:val="TableText0"/>
              <w:rPr>
                <w:rFonts w:asciiTheme="minorHAnsi" w:hAnsiTheme="minorHAnsi"/>
              </w:rPr>
            </w:pPr>
            <w:r>
              <w:rPr>
                <w:rFonts w:asciiTheme="minorHAnsi" w:hAnsiTheme="minorHAnsi"/>
              </w:rPr>
              <w:t>Regulatory approval (date)?</w:t>
            </w:r>
          </w:p>
        </w:tc>
        <w:tc>
          <w:tcPr>
            <w:tcW w:w="1884" w:type="dxa"/>
            <w:tcBorders>
              <w:left w:val="nil"/>
            </w:tcBorders>
          </w:tcPr>
          <w:p w:rsidR="006B303D" w:rsidRPr="000B790D" w:rsidRDefault="006B303D" w:rsidP="00754FB3">
            <w:pPr>
              <w:pStyle w:val="TableText0"/>
              <w:rPr>
                <w:rFonts w:asciiTheme="minorHAnsi" w:hAnsiTheme="minorHAnsi"/>
              </w:rPr>
            </w:pPr>
            <w:r>
              <w:rPr>
                <w:rFonts w:asciiTheme="minorHAnsi" w:hAnsiTheme="minorHAnsi"/>
              </w:rPr>
              <w:t>Reimbursement approval?</w:t>
            </w:r>
          </w:p>
        </w:tc>
      </w:tr>
      <w:tr w:rsidR="006B303D" w:rsidTr="00754FB3">
        <w:tc>
          <w:tcPr>
            <w:tcW w:w="2796" w:type="dxa"/>
            <w:tcBorders>
              <w:right w:val="single" w:sz="4" w:space="0" w:color="auto"/>
            </w:tcBorders>
          </w:tcPr>
          <w:p w:rsidR="006B303D" w:rsidRDefault="006B303D" w:rsidP="00754FB3">
            <w:pPr>
              <w:pStyle w:val="TableText0"/>
            </w:pPr>
            <w:r>
              <w:t>USA</w:t>
            </w:r>
          </w:p>
        </w:tc>
        <w:tc>
          <w:tcPr>
            <w:tcW w:w="1744" w:type="dxa"/>
            <w:tcBorders>
              <w:left w:val="single" w:sz="4" w:space="0" w:color="auto"/>
              <w:right w:val="single" w:sz="4" w:space="0" w:color="auto"/>
            </w:tcBorders>
          </w:tcPr>
          <w:p w:rsidR="006B303D" w:rsidRDefault="006B303D" w:rsidP="00754FB3">
            <w:pPr>
              <w:pStyle w:val="TableText0"/>
            </w:pPr>
          </w:p>
        </w:tc>
        <w:tc>
          <w:tcPr>
            <w:tcW w:w="2189" w:type="dxa"/>
            <w:tcBorders>
              <w:left w:val="single" w:sz="4" w:space="0" w:color="auto"/>
              <w:right w:val="single" w:sz="4" w:space="0" w:color="auto"/>
            </w:tcBorders>
          </w:tcPr>
          <w:p w:rsidR="006B303D" w:rsidRDefault="006B303D" w:rsidP="00754FB3">
            <w:pPr>
              <w:pStyle w:val="TableText0"/>
            </w:pPr>
            <w:r>
              <w:t>Yes: 2008</w:t>
            </w:r>
          </w:p>
        </w:tc>
        <w:tc>
          <w:tcPr>
            <w:tcW w:w="1884" w:type="dxa"/>
            <w:tcBorders>
              <w:left w:val="single" w:sz="4" w:space="0" w:color="auto"/>
            </w:tcBorders>
          </w:tcPr>
          <w:p w:rsidR="006B303D" w:rsidRDefault="006B303D" w:rsidP="00754FB3">
            <w:pPr>
              <w:pStyle w:val="TableText0"/>
            </w:pPr>
            <w:r>
              <w:t>Orphan</w:t>
            </w:r>
          </w:p>
        </w:tc>
      </w:tr>
      <w:tr w:rsidR="006B303D" w:rsidTr="00754FB3">
        <w:tc>
          <w:tcPr>
            <w:tcW w:w="2796" w:type="dxa"/>
            <w:tcBorders>
              <w:right w:val="single" w:sz="4" w:space="0" w:color="auto"/>
            </w:tcBorders>
          </w:tcPr>
          <w:p w:rsidR="006B303D" w:rsidRDefault="006B303D" w:rsidP="00754FB3">
            <w:pPr>
              <w:pStyle w:val="TableText0"/>
            </w:pPr>
            <w:r>
              <w:t>Europe</w:t>
            </w:r>
          </w:p>
        </w:tc>
        <w:tc>
          <w:tcPr>
            <w:tcW w:w="1744" w:type="dxa"/>
            <w:tcBorders>
              <w:left w:val="single" w:sz="4" w:space="0" w:color="auto"/>
              <w:right w:val="single" w:sz="4" w:space="0" w:color="auto"/>
            </w:tcBorders>
          </w:tcPr>
          <w:p w:rsidR="006B303D" w:rsidRDefault="006B303D" w:rsidP="00754FB3">
            <w:pPr>
              <w:pStyle w:val="TableText0"/>
            </w:pPr>
            <w:r>
              <w:t>yes</w:t>
            </w:r>
          </w:p>
        </w:tc>
        <w:tc>
          <w:tcPr>
            <w:tcW w:w="2189" w:type="dxa"/>
            <w:tcBorders>
              <w:left w:val="single" w:sz="4" w:space="0" w:color="auto"/>
              <w:right w:val="single" w:sz="4" w:space="0" w:color="auto"/>
            </w:tcBorders>
          </w:tcPr>
          <w:p w:rsidR="006B303D" w:rsidRDefault="006B303D" w:rsidP="00754FB3">
            <w:pPr>
              <w:pStyle w:val="TableText0"/>
            </w:pPr>
            <w:r>
              <w:t>Yes: 2007</w:t>
            </w:r>
          </w:p>
        </w:tc>
        <w:tc>
          <w:tcPr>
            <w:tcW w:w="1884" w:type="dxa"/>
            <w:tcBorders>
              <w:left w:val="single" w:sz="4" w:space="0" w:color="auto"/>
            </w:tcBorders>
          </w:tcPr>
          <w:p w:rsidR="006B303D" w:rsidRDefault="006B303D" w:rsidP="00754FB3">
            <w:pPr>
              <w:pStyle w:val="TableText0"/>
            </w:pPr>
            <w:r>
              <w:t>Orphan</w:t>
            </w:r>
          </w:p>
        </w:tc>
      </w:tr>
    </w:tbl>
    <w:p w:rsidR="008D2975" w:rsidRDefault="008D2975" w:rsidP="006B303D">
      <w:pPr>
        <w:pStyle w:val="TableNote"/>
      </w:pPr>
      <w:r>
        <w:t>ARTG = Australian Register of Therapeutic Goods</w:t>
      </w:r>
    </w:p>
    <w:p w:rsidR="006B303D" w:rsidRPr="00F464AA" w:rsidRDefault="006B303D" w:rsidP="006B303D">
      <w:pPr>
        <w:pStyle w:val="TableNote"/>
      </w:pPr>
      <w:r w:rsidRPr="00F464AA">
        <w:t>Notes</w:t>
      </w:r>
    </w:p>
    <w:p w:rsidR="006B303D" w:rsidRPr="00A646FA" w:rsidRDefault="006B303D" w:rsidP="000F0902">
      <w:pPr>
        <w:pStyle w:val="TableNote"/>
      </w:pPr>
      <w:proofErr w:type="gramStart"/>
      <w:r w:rsidRPr="00A646FA">
        <w:rPr>
          <w:vertAlign w:val="superscript"/>
        </w:rPr>
        <w:t>a</w:t>
      </w:r>
      <w:proofErr w:type="gramEnd"/>
      <w:r>
        <w:rPr>
          <w:vertAlign w:val="superscript"/>
        </w:rPr>
        <w:tab/>
      </w:r>
      <w:r w:rsidRPr="00A646FA">
        <w:rPr>
          <w:snapToGrid w:val="0"/>
        </w:rPr>
        <w:t>Technology is yet to emerge in Australia</w:t>
      </w:r>
      <w:r>
        <w:rPr>
          <w:snapToGrid w:val="0"/>
        </w:rPr>
        <w:t>.</w:t>
      </w:r>
    </w:p>
    <w:p w:rsidR="006B303D" w:rsidRPr="00A646FA" w:rsidRDefault="006B303D" w:rsidP="000F0902">
      <w:pPr>
        <w:pStyle w:val="TableNote"/>
        <w:rPr>
          <w:snapToGrid w:val="0"/>
        </w:rPr>
      </w:pPr>
      <w:proofErr w:type="gramStart"/>
      <w:r w:rsidRPr="00A646FA">
        <w:rPr>
          <w:vertAlign w:val="superscript"/>
        </w:rPr>
        <w:t>b</w:t>
      </w:r>
      <w:proofErr w:type="gramEnd"/>
      <w:r>
        <w:rPr>
          <w:vertAlign w:val="superscript"/>
        </w:rPr>
        <w:tab/>
      </w:r>
      <w:r w:rsidRPr="00A646FA">
        <w:rPr>
          <w:snapToGrid w:val="0"/>
        </w:rPr>
        <w:t>Only used in scientific studies</w:t>
      </w:r>
      <w:r>
        <w:rPr>
          <w:snapToGrid w:val="0"/>
        </w:rPr>
        <w:t xml:space="preserve"> with small numbers of patients (usually n&lt;100). </w:t>
      </w:r>
      <w:proofErr w:type="gramStart"/>
      <w:r>
        <w:rPr>
          <w:snapToGrid w:val="0"/>
        </w:rPr>
        <w:t>Studies of pharmacodynamics/pharmacokinetics or safety trials.</w:t>
      </w:r>
      <w:proofErr w:type="gramEnd"/>
      <w:r>
        <w:rPr>
          <w:snapToGrid w:val="0"/>
        </w:rPr>
        <w:t xml:space="preserve"> Note that it has been specified that drugs at Phase 0 will be excluded, but if at a later stage of development overseas, these drugs will be eligible for inclusion.</w:t>
      </w:r>
    </w:p>
    <w:p w:rsidR="006B303D" w:rsidRPr="00A646FA" w:rsidRDefault="006B303D" w:rsidP="000F0902">
      <w:pPr>
        <w:pStyle w:val="TableNote"/>
        <w:rPr>
          <w:snapToGrid w:val="0"/>
        </w:rPr>
      </w:pPr>
      <w:proofErr w:type="gramStart"/>
      <w:r w:rsidRPr="00A646FA">
        <w:rPr>
          <w:vertAlign w:val="superscript"/>
        </w:rPr>
        <w:t>c</w:t>
      </w:r>
      <w:proofErr w:type="gramEnd"/>
      <w:r>
        <w:rPr>
          <w:vertAlign w:val="superscript"/>
        </w:rPr>
        <w:tab/>
      </w:r>
      <w:r>
        <w:rPr>
          <w:snapToGrid w:val="0"/>
        </w:rPr>
        <w:t>Drugs</w:t>
      </w:r>
      <w:r w:rsidRPr="00A646FA">
        <w:rPr>
          <w:snapToGrid w:val="0"/>
        </w:rPr>
        <w:t xml:space="preserve"> in efficacy tr</w:t>
      </w:r>
      <w:r>
        <w:rPr>
          <w:snapToGrid w:val="0"/>
        </w:rPr>
        <w:t>ials, usually against a placebo. Usually studies of several hundred patients.</w:t>
      </w:r>
    </w:p>
    <w:p w:rsidR="006B303D" w:rsidRPr="00A646FA" w:rsidRDefault="006B303D" w:rsidP="000F0902">
      <w:pPr>
        <w:pStyle w:val="TableNote"/>
        <w:rPr>
          <w:snapToGrid w:val="0"/>
        </w:rPr>
      </w:pPr>
      <w:proofErr w:type="gramStart"/>
      <w:r w:rsidRPr="00A646FA">
        <w:rPr>
          <w:vertAlign w:val="superscript"/>
        </w:rPr>
        <w:t>d</w:t>
      </w:r>
      <w:proofErr w:type="gramEnd"/>
      <w:r>
        <w:rPr>
          <w:vertAlign w:val="superscript"/>
        </w:rPr>
        <w:tab/>
      </w:r>
      <w:r>
        <w:rPr>
          <w:snapToGrid w:val="0"/>
        </w:rPr>
        <w:t>Confirmation of safety and efficacy in larger studies, at least 1000 patients.</w:t>
      </w:r>
    </w:p>
    <w:p w:rsidR="006B303D" w:rsidRPr="00950317" w:rsidRDefault="006B303D" w:rsidP="000F0902">
      <w:pPr>
        <w:pStyle w:val="TableNote"/>
        <w:rPr>
          <w:snapToGrid w:val="0"/>
        </w:rPr>
      </w:pPr>
      <w:proofErr w:type="gramStart"/>
      <w:r w:rsidRPr="00A646FA">
        <w:rPr>
          <w:vertAlign w:val="superscript"/>
        </w:rPr>
        <w:t>e</w:t>
      </w:r>
      <w:proofErr w:type="gramEnd"/>
      <w:r>
        <w:rPr>
          <w:vertAlign w:val="superscript"/>
        </w:rPr>
        <w:tab/>
      </w:r>
      <w:r w:rsidRPr="00950317">
        <w:rPr>
          <w:snapToGrid w:val="0"/>
        </w:rPr>
        <w:t>Postmarketing studies to optimise use of the drug and further investigate factors such as medium to long term adverse events, and risks vs benefits</w:t>
      </w:r>
      <w:r>
        <w:rPr>
          <w:snapToGrid w:val="0"/>
        </w:rPr>
        <w:t>.</w:t>
      </w:r>
    </w:p>
    <w:p w:rsidR="006B303D" w:rsidRDefault="006B303D" w:rsidP="000F0902">
      <w:pPr>
        <w:pStyle w:val="TableNote"/>
        <w:rPr>
          <w:snapToGrid w:val="0"/>
        </w:rPr>
      </w:pPr>
      <w:proofErr w:type="gramStart"/>
      <w:r w:rsidRPr="00A646FA">
        <w:rPr>
          <w:vertAlign w:val="superscript"/>
        </w:rPr>
        <w:t>f</w:t>
      </w:r>
      <w:proofErr w:type="gramEnd"/>
      <w:r>
        <w:rPr>
          <w:vertAlign w:val="superscript"/>
        </w:rPr>
        <w:tab/>
      </w:r>
      <w:r w:rsidRPr="00A646FA">
        <w:rPr>
          <w:snapToGrid w:val="0"/>
        </w:rPr>
        <w:t>Licensed or available for marketing and in gener</w:t>
      </w:r>
      <w:r>
        <w:rPr>
          <w:snapToGrid w:val="0"/>
        </w:rPr>
        <w:t>al use outside clinical trials.</w:t>
      </w:r>
    </w:p>
    <w:p w:rsidR="006B303D" w:rsidRPr="00A73FF0" w:rsidRDefault="006B303D" w:rsidP="000F0902">
      <w:pPr>
        <w:pStyle w:val="TableNote"/>
        <w:rPr>
          <w:snapToGrid w:val="0"/>
        </w:rPr>
      </w:pPr>
      <w:proofErr w:type="gramStart"/>
      <w:r>
        <w:rPr>
          <w:snapToGrid w:val="0"/>
          <w:vertAlign w:val="superscript"/>
        </w:rPr>
        <w:t>g</w:t>
      </w:r>
      <w:proofErr w:type="gramEnd"/>
      <w:r>
        <w:rPr>
          <w:snapToGrid w:val="0"/>
          <w:vertAlign w:val="superscript"/>
        </w:rPr>
        <w:tab/>
      </w:r>
      <w:r w:rsidRPr="00A73FF0">
        <w:rPr>
          <w:snapToGrid w:val="0"/>
        </w:rPr>
        <w:t xml:space="preserve">A </w:t>
      </w:r>
      <w:r>
        <w:rPr>
          <w:snapToGrid w:val="0"/>
        </w:rPr>
        <w:t>drug widely used for one or more clinical indications, but now being used for a new clinical indication.</w:t>
      </w:r>
    </w:p>
    <w:p w:rsidR="006B303D" w:rsidRDefault="006B303D" w:rsidP="006B303D"/>
    <w:p w:rsidR="006B303D" w:rsidRPr="00F047BE" w:rsidRDefault="006B303D" w:rsidP="006B303D">
      <w:pPr>
        <w:spacing w:before="120" w:after="0"/>
        <w:rPr>
          <w:rFonts w:asciiTheme="majorHAnsi" w:hAnsiTheme="majorHAnsi"/>
          <w:szCs w:val="20"/>
          <w:lang w:eastAsia="en-AU"/>
        </w:rPr>
      </w:pPr>
      <w:r w:rsidRPr="00F047BE">
        <w:rPr>
          <w:rFonts w:asciiTheme="majorHAnsi" w:hAnsiTheme="majorHAnsi"/>
          <w:szCs w:val="20"/>
          <w:lang w:eastAsia="en-AU"/>
        </w:rPr>
        <w:t>Précis</w:t>
      </w:r>
    </w:p>
    <w:p w:rsidR="006B303D" w:rsidRPr="00EB346F" w:rsidRDefault="006B303D" w:rsidP="006B303D">
      <w:pPr>
        <w:spacing w:after="0"/>
        <w:rPr>
          <w:snapToGrid w:val="0"/>
        </w:rPr>
      </w:pPr>
      <w:r>
        <w:rPr>
          <w:snapToGrid w:val="0"/>
        </w:rPr>
        <w:t>Easai Inc</w:t>
      </w:r>
      <w:r w:rsidRPr="00EB346F">
        <w:rPr>
          <w:snapToGrid w:val="0"/>
        </w:rPr>
        <w:t xml:space="preserve"> provides </w:t>
      </w:r>
      <w:r w:rsidRPr="00CC50AA">
        <w:rPr>
          <w:snapToGrid w:val="0"/>
        </w:rPr>
        <w:t xml:space="preserve">rufinamide </w:t>
      </w:r>
      <w:r w:rsidRPr="00EB346F">
        <w:rPr>
          <w:snapToGrid w:val="0"/>
        </w:rPr>
        <w:t xml:space="preserve">with the aim of </w:t>
      </w:r>
      <w:r>
        <w:rPr>
          <w:snapToGrid w:val="0"/>
        </w:rPr>
        <w:t>reducing seizures in patients with LG epilepsy</w:t>
      </w:r>
      <w:r w:rsidRPr="00EB346F">
        <w:rPr>
          <w:snapToGrid w:val="0"/>
        </w:rPr>
        <w:t xml:space="preserve">. The technology is available through </w:t>
      </w:r>
      <w:r w:rsidRPr="002C3179">
        <w:rPr>
          <w:snapToGrid w:val="0"/>
        </w:rPr>
        <w:t>medical practitioners</w:t>
      </w:r>
      <w:r w:rsidRPr="00EB346F">
        <w:rPr>
          <w:snapToGrid w:val="0"/>
        </w:rPr>
        <w:t>.</w:t>
      </w:r>
      <w:r>
        <w:rPr>
          <w:snapToGrid w:val="0"/>
        </w:rPr>
        <w:t xml:space="preserve"> Rufinamide has orphan designation for this indication in the US and Europe, however is not listed on the ARTG.</w:t>
      </w:r>
    </w:p>
    <w:p w:rsidR="006B303D" w:rsidRPr="00EB346F" w:rsidRDefault="006B303D" w:rsidP="006B303D">
      <w:pPr>
        <w:spacing w:after="0"/>
        <w:rPr>
          <w:snapToGrid w:val="0"/>
        </w:rPr>
      </w:pPr>
    </w:p>
    <w:p w:rsidR="006B303D" w:rsidRDefault="006B303D" w:rsidP="006B303D">
      <w:pPr>
        <w:pStyle w:val="Heading3a"/>
        <w:spacing w:after="120"/>
      </w:pPr>
      <w:r w:rsidRPr="00EB346F">
        <w:lastRenderedPageBreak/>
        <w:t>Background</w:t>
      </w:r>
    </w:p>
    <w:p w:rsidR="006B303D" w:rsidRDefault="006B303D" w:rsidP="006B303D">
      <w:r>
        <w:t xml:space="preserve">Rufinamide is an anti-epileptic drug used to prevent seizures in LG epilepsy. It is used as an adjunctive treatment because this type of severe epilepsy requires multiple medications to control. </w:t>
      </w:r>
    </w:p>
    <w:p w:rsidR="006B303D" w:rsidRPr="00EB346F" w:rsidRDefault="006B303D" w:rsidP="006B303D">
      <w:r>
        <w:t xml:space="preserve">LG epilepsy begins in young children under four years of age and is characterised by multiple seizure types including tonic, atonic, myoclonic and atypical absence seizures. The condition is associated with some degree of impaired intellectual functioning or information processing, and also developmental delays and </w:t>
      </w:r>
      <w:r w:rsidR="00E66055">
        <w:t>behavioural</w:t>
      </w:r>
      <w:r>
        <w:t xml:space="preserve"> disturbances </w:t>
      </w:r>
      <w:r w:rsidR="00A130D0">
        <w:rPr>
          <w:noProof/>
        </w:rPr>
        <w:t>(</w:t>
      </w:r>
      <w:r w:rsidR="00184B6F">
        <w:rPr>
          <w:noProof/>
        </w:rPr>
        <w:t>National Institute of Neurological Disorders and Stroke 2014</w:t>
      </w:r>
      <w:r w:rsidR="00A130D0">
        <w:rPr>
          <w:noProof/>
        </w:rPr>
        <w:t>)</w:t>
      </w:r>
      <w:r>
        <w:t>. There is no cure for the disease, and controlling seizures is the primary aim of treatment.</w:t>
      </w:r>
      <w:r w:rsidRPr="005A4D9D">
        <w:t xml:space="preserve"> </w:t>
      </w:r>
      <w:r>
        <w:t>Tolerance to treatment changes over time such that new medication regimes may be required as the child matures.</w:t>
      </w:r>
    </w:p>
    <w:p w:rsidR="006B303D" w:rsidRDefault="006B303D" w:rsidP="006B303D">
      <w:pPr>
        <w:pStyle w:val="Heading3a"/>
        <w:spacing w:after="120"/>
      </w:pPr>
      <w:r w:rsidRPr="00EB346F">
        <w:t>Clin</w:t>
      </w:r>
      <w:r>
        <w:t>ical need and burden of disease</w:t>
      </w:r>
    </w:p>
    <w:p w:rsidR="006B303D" w:rsidRPr="00EB346F" w:rsidRDefault="006B303D" w:rsidP="006B303D">
      <w:r>
        <w:t xml:space="preserve">Approximately 1-2% of the population have epilepsy, primarily diagnosed in childhood and older age, and LG epilepsy comprises between three and 11 per cent of these cases </w:t>
      </w:r>
      <w:r w:rsidR="00A130D0">
        <w:rPr>
          <w:noProof/>
        </w:rPr>
        <w:t>(</w:t>
      </w:r>
      <w:r w:rsidR="00184B6F">
        <w:rPr>
          <w:noProof/>
        </w:rPr>
        <w:t>Epilepsy Action Australia 2014</w:t>
      </w:r>
      <w:r w:rsidR="00A130D0">
        <w:rPr>
          <w:noProof/>
        </w:rPr>
        <w:t>)</w:t>
      </w:r>
      <w:r>
        <w:t>. It is a severe form of epilepsy where seizures can be difficult to control, thus multiple medications are required. There is significant impact on families coping with a child with LG epilepsy, in terms of managing seizures and the day-to-day challenges of living with a child with developmental delay or behavioural issues.</w:t>
      </w:r>
    </w:p>
    <w:p w:rsidR="006B303D" w:rsidRDefault="006B303D" w:rsidP="006B303D">
      <w:pPr>
        <w:pStyle w:val="Heading3a"/>
        <w:spacing w:after="120"/>
      </w:pPr>
      <w:r>
        <w:t>Diffusion</w:t>
      </w:r>
    </w:p>
    <w:p w:rsidR="006B303D" w:rsidRPr="00EB346F" w:rsidRDefault="006B303D" w:rsidP="006B303D">
      <w:r>
        <w:t xml:space="preserve">This treatment is discussed as a treatment for LG epilepsy in several narrative and systematic review articles from the US and Europe, and review compares the primary clinical trial and its extension with studies of clinical practice from the US and Europe </w:t>
      </w:r>
      <w:r w:rsidR="00A130D0">
        <w:rPr>
          <w:noProof/>
        </w:rPr>
        <w:t>(</w:t>
      </w:r>
      <w:r w:rsidR="00184B6F">
        <w:rPr>
          <w:noProof/>
        </w:rPr>
        <w:t>Resnick et al. 2011</w:t>
      </w:r>
      <w:r w:rsidR="00A130D0">
        <w:rPr>
          <w:noProof/>
        </w:rPr>
        <w:t>)</w:t>
      </w:r>
      <w:r>
        <w:t xml:space="preserve">. Its use as an anti-epileptic was mentioned in the literature as early as 2006 </w:t>
      </w:r>
      <w:r w:rsidR="00A130D0">
        <w:rPr>
          <w:noProof/>
        </w:rPr>
        <w:t>(</w:t>
      </w:r>
      <w:r w:rsidR="00184B6F">
        <w:rPr>
          <w:noProof/>
        </w:rPr>
        <w:t>Cheng-Hakimian, Anderson &amp; Miller 2006</w:t>
      </w:r>
      <w:r w:rsidR="00A130D0">
        <w:rPr>
          <w:noProof/>
        </w:rPr>
        <w:t>)</w:t>
      </w:r>
      <w:r>
        <w:t>.</w:t>
      </w:r>
    </w:p>
    <w:p w:rsidR="006B303D" w:rsidRDefault="006B303D" w:rsidP="006B303D">
      <w:pPr>
        <w:pStyle w:val="Heading3a"/>
        <w:spacing w:before="120" w:after="120"/>
      </w:pPr>
      <w:r>
        <w:t>Comparators</w:t>
      </w:r>
    </w:p>
    <w:p w:rsidR="006B303D" w:rsidRPr="00EB346F" w:rsidRDefault="006B303D" w:rsidP="006B303D">
      <w:r>
        <w:rPr>
          <w:snapToGrid w:val="0"/>
        </w:rPr>
        <w:t xml:space="preserve">This is an adjunct treatment and would always be used in conjunction with other anti-epileptic treatments. </w:t>
      </w:r>
    </w:p>
    <w:p w:rsidR="006B303D" w:rsidRDefault="006B303D" w:rsidP="006B303D">
      <w:pPr>
        <w:pStyle w:val="Heading3a"/>
        <w:spacing w:after="120"/>
      </w:pPr>
      <w:r>
        <w:t>Safety and effectiveness issues</w:t>
      </w:r>
    </w:p>
    <w:p w:rsidR="006B303D" w:rsidRDefault="006B303D" w:rsidP="006B303D">
      <w:r>
        <w:rPr>
          <w:snapToGrid w:val="0"/>
        </w:rPr>
        <w:t>One double-blind, randomised controlled trial of patients with LG epilepsy compared rufinamide as an adjunctive treatment (n</w:t>
      </w:r>
      <w:r w:rsidR="00652355" w:rsidRPr="00652355">
        <w:rPr>
          <w:snapToGrid w:val="0"/>
          <w:spacing w:val="-20"/>
        </w:rPr>
        <w:t xml:space="preserve"> = </w:t>
      </w:r>
      <w:r>
        <w:rPr>
          <w:snapToGrid w:val="0"/>
        </w:rPr>
        <w:t>74) to placebo as an adjunctive treatment (n</w:t>
      </w:r>
      <w:r w:rsidR="00652355" w:rsidRPr="00652355">
        <w:rPr>
          <w:snapToGrid w:val="0"/>
          <w:spacing w:val="-20"/>
        </w:rPr>
        <w:t xml:space="preserve"> = </w:t>
      </w:r>
      <w:r>
        <w:rPr>
          <w:snapToGrid w:val="0"/>
        </w:rPr>
        <w:t xml:space="preserve">64) in patients with a median age of 12 years </w:t>
      </w:r>
      <w:r w:rsidR="00A130D0">
        <w:rPr>
          <w:noProof/>
          <w:snapToGrid w:val="0"/>
        </w:rPr>
        <w:t>(</w:t>
      </w:r>
      <w:r w:rsidR="00184B6F">
        <w:rPr>
          <w:noProof/>
          <w:snapToGrid w:val="0"/>
        </w:rPr>
        <w:t>Glauser et al. 2008</w:t>
      </w:r>
      <w:r w:rsidR="00A130D0">
        <w:rPr>
          <w:noProof/>
          <w:snapToGrid w:val="0"/>
        </w:rPr>
        <w:t>)</w:t>
      </w:r>
      <w:r>
        <w:rPr>
          <w:snapToGrid w:val="0"/>
        </w:rPr>
        <w:t>. There was a 32.7% decrease in the number of seizures in the rufinamide group compared to a 11.7% reduction in the placebo group (p≤0.01) in the first 28 days, and .th</w:t>
      </w:r>
      <w:r>
        <w:t xml:space="preserve">e percentage of rufinamide-treated patients who experienced at least a 50% reduction in tonic–atonic seizure frequency per 28 days, relative to baseline, was greater in the rufinamide group than in the placebo group (42.5% vs 16.7%; OR, 3.81; </w:t>
      </w:r>
      <w:proofErr w:type="gramStart"/>
      <w:r>
        <w:rPr>
          <w:rStyle w:val="Emphasis"/>
        </w:rPr>
        <w:t>p</w:t>
      </w:r>
      <w:r>
        <w:t xml:space="preserve"> </w:t>
      </w:r>
      <w:r w:rsidR="00652355" w:rsidRPr="00652355">
        <w:rPr>
          <w:spacing w:val="-20"/>
        </w:rPr>
        <w:t xml:space="preserve"> =</w:t>
      </w:r>
      <w:proofErr w:type="gramEnd"/>
      <w:r w:rsidR="00652355" w:rsidRPr="00652355">
        <w:rPr>
          <w:spacing w:val="-20"/>
        </w:rPr>
        <w:t xml:space="preserve"> </w:t>
      </w:r>
      <w:r>
        <w:t xml:space="preserve"> 0.002). Six patients, all in the rufinamide group, withdrew </w:t>
      </w:r>
      <w:r>
        <w:lastRenderedPageBreak/>
        <w:t xml:space="preserve">from the study because of adverse events; somnolence and vomiting were significantly more common in the rufinamide group. Adverse events considered serious (diarrhoea, upper respiratory infection, rash) were experienced by two patients in each group </w:t>
      </w:r>
      <w:r w:rsidR="00A130D0">
        <w:rPr>
          <w:noProof/>
        </w:rPr>
        <w:t>(</w:t>
      </w:r>
      <w:r w:rsidR="00184B6F">
        <w:rPr>
          <w:noProof/>
        </w:rPr>
        <w:t>Glauser et al. 2008</w:t>
      </w:r>
      <w:r w:rsidR="00A130D0">
        <w:rPr>
          <w:noProof/>
        </w:rPr>
        <w:t>)</w:t>
      </w:r>
      <w:r>
        <w:t>.</w:t>
      </w:r>
    </w:p>
    <w:p w:rsidR="006B303D" w:rsidRPr="00EB346F" w:rsidRDefault="006B303D" w:rsidP="006B303D">
      <w:r>
        <w:t>A trial conducted more recently in Japan randomised n</w:t>
      </w:r>
      <w:r w:rsidR="00652355" w:rsidRPr="00652355">
        <w:rPr>
          <w:spacing w:val="-20"/>
        </w:rPr>
        <w:t xml:space="preserve"> = </w:t>
      </w:r>
      <w:r>
        <w:t>59 patients (n</w:t>
      </w:r>
      <w:r w:rsidR="00652355" w:rsidRPr="00652355">
        <w:rPr>
          <w:spacing w:val="-20"/>
        </w:rPr>
        <w:t xml:space="preserve"> = </w:t>
      </w:r>
      <w:r>
        <w:t>29 to adjunctive rufinamide and n</w:t>
      </w:r>
      <w:r w:rsidR="00652355" w:rsidRPr="00652355">
        <w:rPr>
          <w:spacing w:val="-20"/>
        </w:rPr>
        <w:t xml:space="preserve"> = </w:t>
      </w:r>
      <w:r>
        <w:t xml:space="preserve">30 to adjunctive placebo) </w:t>
      </w:r>
      <w:r w:rsidR="00A130D0">
        <w:rPr>
          <w:noProof/>
        </w:rPr>
        <w:t>(</w:t>
      </w:r>
      <w:r w:rsidR="00184B6F">
        <w:rPr>
          <w:noProof/>
        </w:rPr>
        <w:t>Ohtsuka et al. 2014</w:t>
      </w:r>
      <w:r w:rsidR="00A130D0">
        <w:rPr>
          <w:noProof/>
        </w:rPr>
        <w:t>)</w:t>
      </w:r>
      <w:r>
        <w:t>. Patients in the rufinamide arm had a median age of 16.0 years and in the placebo arm the median age was 13.9 years. This study found a reduction in total seizures of 32.9% in the rufinamide group and 3.1% in the placebo group (p&lt;0.001). Treatment-related adverse events occurred in 62.1% of patients in the rufinamide group and 16.7% in the placebo group, and five patients discontinued the study due to adverse events, four in the rufinamide group and one in the placebo group</w:t>
      </w:r>
      <w:proofErr w:type="gramStart"/>
      <w:r>
        <w:t>.</w:t>
      </w:r>
      <w:r w:rsidR="00A130D0">
        <w:rPr>
          <w:noProof/>
        </w:rPr>
        <w:t>(</w:t>
      </w:r>
      <w:proofErr w:type="gramEnd"/>
      <w:r w:rsidR="00184B6F">
        <w:rPr>
          <w:noProof/>
        </w:rPr>
        <w:t>Ohtsuka et al. 2014</w:t>
      </w:r>
      <w:r w:rsidR="00A130D0">
        <w:rPr>
          <w:noProof/>
        </w:rPr>
        <w:t>)</w:t>
      </w:r>
    </w:p>
    <w:p w:rsidR="006B303D" w:rsidRDefault="006B303D" w:rsidP="006B303D">
      <w:pPr>
        <w:pStyle w:val="Heading3a"/>
        <w:spacing w:after="120"/>
      </w:pPr>
      <w:r w:rsidRPr="00EB346F">
        <w:rPr>
          <w:snapToGrid w:val="0"/>
        </w:rPr>
        <w:t>Cost impact</w:t>
      </w:r>
    </w:p>
    <w:p w:rsidR="006B303D" w:rsidRDefault="006B303D" w:rsidP="006B303D">
      <w:r w:rsidRPr="00BA627A">
        <w:rPr>
          <w:snapToGrid w:val="0"/>
        </w:rPr>
        <w:t>No pricing information is available at the present time.</w:t>
      </w:r>
    </w:p>
    <w:p w:rsidR="006B303D" w:rsidRDefault="006B303D" w:rsidP="006B303D">
      <w:pPr>
        <w:pStyle w:val="Heading3a"/>
        <w:spacing w:after="120"/>
      </w:pPr>
      <w:r w:rsidRPr="00EB346F">
        <w:t>Ethical, cultural or religious considerations</w:t>
      </w:r>
    </w:p>
    <w:p w:rsidR="006B303D" w:rsidRPr="00EB346F" w:rsidRDefault="006B303D" w:rsidP="006B303D">
      <w:proofErr w:type="gramStart"/>
      <w:r>
        <w:t>None apparent.</w:t>
      </w:r>
      <w:proofErr w:type="gramEnd"/>
    </w:p>
    <w:p w:rsidR="006B303D" w:rsidRPr="007C33C0" w:rsidRDefault="006B303D" w:rsidP="006B303D">
      <w:pPr>
        <w:pStyle w:val="Heading3a"/>
        <w:spacing w:after="120"/>
      </w:pPr>
      <w:r w:rsidRPr="00EB346F">
        <w:t>Sources of further information</w:t>
      </w:r>
    </w:p>
    <w:p w:rsidR="006B303D" w:rsidRPr="00EB346F" w:rsidRDefault="006B303D" w:rsidP="006B303D">
      <w:pPr>
        <w:pStyle w:val="Heading3a"/>
      </w:pPr>
      <w:bookmarkStart w:id="1182" w:name="_Toc13985175"/>
      <w:bookmarkStart w:id="1183" w:name="_Toc13985909"/>
      <w:bookmarkStart w:id="1184" w:name="_Toc13987336"/>
      <w:r w:rsidRPr="00EB346F">
        <w:t>List of studies included</w:t>
      </w:r>
    </w:p>
    <w:p w:rsidR="006B303D" w:rsidRPr="00EB346F" w:rsidRDefault="006B303D" w:rsidP="006B303D">
      <w:r w:rsidRPr="00EB346F">
        <w:t>Total number of studies</w:t>
      </w:r>
      <w:r w:rsidRPr="00EB346F">
        <w:tab/>
      </w:r>
      <w:r>
        <w:t>2</w:t>
      </w:r>
    </w:p>
    <w:p w:rsidR="006B303D" w:rsidRPr="00EB346F" w:rsidRDefault="006B303D" w:rsidP="006B303D">
      <w:r w:rsidRPr="00EB346F">
        <w:t xml:space="preserve">Level </w:t>
      </w:r>
      <w:r>
        <w:rPr>
          <w:color w:val="000080"/>
        </w:rPr>
        <w:t>II</w:t>
      </w:r>
      <w:r w:rsidRPr="00EB346F">
        <w:t xml:space="preserve"> evidence</w:t>
      </w:r>
      <w:r w:rsidRPr="00EB346F">
        <w:tab/>
      </w:r>
      <w:bookmarkEnd w:id="1182"/>
      <w:bookmarkEnd w:id="1183"/>
      <w:bookmarkEnd w:id="1184"/>
      <w:r>
        <w:t>2</w:t>
      </w:r>
    </w:p>
    <w:p w:rsidR="006B303D" w:rsidRPr="00F047BE" w:rsidRDefault="006B303D" w:rsidP="006B303D">
      <w:pPr>
        <w:spacing w:after="200"/>
        <w:jc w:val="left"/>
        <w:rPr>
          <w:color w:val="000000"/>
          <w:lang w:eastAsia="en-AU"/>
        </w:rPr>
      </w:pPr>
      <w:r>
        <w:rPr>
          <w:color w:val="000000"/>
          <w:lang w:eastAsia="en-AU"/>
        </w:rPr>
        <w:br w:type="page"/>
      </w:r>
    </w:p>
    <w:p w:rsidR="006B303D" w:rsidRDefault="006B303D" w:rsidP="006B303D"/>
    <w:p w:rsidR="00E44E71" w:rsidRDefault="00E44E71" w:rsidP="006B303D"/>
    <w:tbl>
      <w:tblPr>
        <w:tblStyle w:val="TableGrid"/>
        <w:tblpPr w:leftFromText="180" w:rightFromText="180" w:vertAnchor="text" w:tblpY="1"/>
        <w:tblOverlap w:val="never"/>
        <w:tblW w:w="8613" w:type="dxa"/>
        <w:tblLook w:val="04A0" w:firstRow="1" w:lastRow="0" w:firstColumn="1" w:lastColumn="0" w:noHBand="0" w:noVBand="1"/>
        <w:tblCaption w:val="Impact summary for rituxin"/>
      </w:tblPr>
      <w:tblGrid>
        <w:gridCol w:w="8613"/>
      </w:tblGrid>
      <w:tr w:rsidR="006B303D" w:rsidTr="005F6E8D">
        <w:trPr>
          <w:tblHeader/>
        </w:trPr>
        <w:tc>
          <w:tcPr>
            <w:tcW w:w="8613" w:type="dxa"/>
          </w:tcPr>
          <w:p w:rsidR="006B303D" w:rsidRDefault="006B303D" w:rsidP="000F0902">
            <w:pPr>
              <w:pStyle w:val="TableText0"/>
            </w:pPr>
            <w:r>
              <w:t xml:space="preserve">Proprietary product name: MABTHERA, </w:t>
            </w:r>
            <w:r w:rsidR="00E66055">
              <w:t>Rituximab</w:t>
            </w:r>
          </w:p>
        </w:tc>
      </w:tr>
      <w:tr w:rsidR="006B303D" w:rsidTr="00C023C4">
        <w:tc>
          <w:tcPr>
            <w:tcW w:w="8613" w:type="dxa"/>
          </w:tcPr>
          <w:p w:rsidR="006B303D" w:rsidRDefault="006B303D" w:rsidP="000F0902">
            <w:pPr>
              <w:pStyle w:val="TableText0"/>
            </w:pPr>
            <w:r>
              <w:t>Active / functional agent: rituximab</w:t>
            </w:r>
          </w:p>
        </w:tc>
      </w:tr>
      <w:tr w:rsidR="006B303D" w:rsidTr="00C023C4">
        <w:tc>
          <w:tcPr>
            <w:tcW w:w="8613" w:type="dxa"/>
          </w:tcPr>
          <w:p w:rsidR="006B303D" w:rsidRDefault="006B303D" w:rsidP="000F0902">
            <w:pPr>
              <w:pStyle w:val="TableText0"/>
            </w:pPr>
            <w:r>
              <w:t>Purpose and target group: patients with myasthenia gravis refractory to existing treatments</w:t>
            </w:r>
          </w:p>
        </w:tc>
      </w:tr>
      <w:tr w:rsidR="00E44E71" w:rsidTr="00A979FB">
        <w:trPr>
          <w:trHeight w:val="2839"/>
        </w:trPr>
        <w:tc>
          <w:tcPr>
            <w:tcW w:w="8613" w:type="dxa"/>
          </w:tcPr>
          <w:p w:rsidR="00E44E71" w:rsidRDefault="00E44E71" w:rsidP="000F0902">
            <w:pPr>
              <w:pStyle w:val="TableText0"/>
            </w:pPr>
            <w:r>
              <w:t>Stage of development</w:t>
            </w:r>
          </w:p>
          <w:p w:rsidR="00E44E71" w:rsidRPr="00750CF7" w:rsidRDefault="00E44E71" w:rsidP="00E44E71">
            <w:pPr>
              <w:pStyle w:val="TableText0"/>
              <w:rPr>
                <w:rFonts w:asciiTheme="minorHAnsi" w:hAnsiTheme="minorHAnsi"/>
                <w:vertAlign w:val="superscript"/>
              </w:rPr>
            </w:pPr>
            <w:r w:rsidRPr="002D6508">
              <w:rPr>
                <w:rFonts w:asciiTheme="minorHAnsi" w:hAnsiTheme="minorHAnsi"/>
              </w:rPr>
              <w:sym w:font="Wingdings" w:char="F0A8"/>
            </w:r>
            <w:r w:rsidRPr="002D6508">
              <w:rPr>
                <w:rFonts w:asciiTheme="minorHAnsi" w:hAnsiTheme="minorHAnsi"/>
              </w:rPr>
              <w:tab/>
              <w:t>Yet to emerge</w:t>
            </w:r>
            <w:r>
              <w:rPr>
                <w:rFonts w:asciiTheme="minorHAnsi" w:hAnsiTheme="minorHAnsi"/>
                <w:vertAlign w:val="superscript"/>
              </w:rPr>
              <w:t>a</w:t>
            </w:r>
          </w:p>
          <w:p w:rsidR="00E44E71" w:rsidRPr="00750CF7" w:rsidRDefault="00E44E71" w:rsidP="00E44E71">
            <w:pPr>
              <w:pStyle w:val="TableText0"/>
              <w:rPr>
                <w:rFonts w:asciiTheme="minorHAnsi" w:hAnsiTheme="minorHAnsi"/>
                <w:vertAlign w:val="superscript"/>
              </w:rPr>
            </w:pPr>
            <w:r>
              <w:rPr>
                <w:rFonts w:asciiTheme="minorHAnsi" w:hAnsiTheme="minorHAnsi"/>
              </w:rPr>
              <w:sym w:font="Wingdings 2" w:char="F053"/>
            </w:r>
            <w:r w:rsidRPr="002D6508">
              <w:rPr>
                <w:rFonts w:asciiTheme="minorHAnsi" w:hAnsiTheme="minorHAnsi"/>
              </w:rPr>
              <w:tab/>
            </w:r>
            <w:r>
              <w:rPr>
                <w:rFonts w:asciiTheme="minorHAnsi" w:hAnsiTheme="minorHAnsi"/>
              </w:rPr>
              <w:t>Phase I trials</w:t>
            </w:r>
            <w:r>
              <w:rPr>
                <w:rFonts w:asciiTheme="minorHAnsi" w:hAnsiTheme="minorHAnsi"/>
                <w:vertAlign w:val="superscript"/>
              </w:rPr>
              <w:t>b  for this indication</w:t>
            </w:r>
          </w:p>
          <w:p w:rsidR="00E44E71" w:rsidRPr="00750CF7" w:rsidRDefault="00E44E71" w:rsidP="00E44E71">
            <w:pPr>
              <w:pStyle w:val="TableText0"/>
              <w:rPr>
                <w:rFonts w:asciiTheme="minorHAnsi" w:hAnsiTheme="minorHAnsi"/>
                <w:szCs w:val="24"/>
                <w:vertAlign w:val="superscript"/>
              </w:rPr>
            </w:pPr>
            <w:r w:rsidRPr="002D6508">
              <w:rPr>
                <w:rFonts w:asciiTheme="minorHAnsi" w:hAnsiTheme="minorHAnsi"/>
              </w:rPr>
              <w:sym w:font="Wingdings" w:char="F0A8"/>
            </w:r>
            <w:r w:rsidRPr="002D6508">
              <w:rPr>
                <w:rFonts w:asciiTheme="minorHAnsi" w:hAnsiTheme="minorHAnsi"/>
              </w:rPr>
              <w:tab/>
            </w:r>
            <w:r>
              <w:rPr>
                <w:rFonts w:asciiTheme="minorHAnsi" w:hAnsiTheme="minorHAnsi"/>
              </w:rPr>
              <w:t>Phase 2 trials</w:t>
            </w:r>
            <w:r>
              <w:rPr>
                <w:rFonts w:asciiTheme="minorHAnsi" w:hAnsiTheme="minorHAnsi"/>
                <w:vertAlign w:val="superscript"/>
              </w:rPr>
              <w:t>c</w:t>
            </w:r>
          </w:p>
          <w:p w:rsidR="00E44E71" w:rsidRPr="002D6508" w:rsidRDefault="00E44E71" w:rsidP="000F0902">
            <w:pPr>
              <w:pStyle w:val="TableText0"/>
              <w:rPr>
                <w:rFonts w:asciiTheme="minorHAnsi" w:hAnsiTheme="minorHAnsi"/>
              </w:rPr>
            </w:pPr>
            <w:r w:rsidRPr="002D6508">
              <w:rPr>
                <w:rFonts w:asciiTheme="minorHAnsi" w:hAnsiTheme="minorHAnsi"/>
              </w:rPr>
              <w:sym w:font="Wingdings" w:char="F0A8"/>
            </w:r>
            <w:r w:rsidRPr="002D6508">
              <w:rPr>
                <w:rFonts w:asciiTheme="minorHAnsi" w:hAnsiTheme="minorHAnsi"/>
              </w:rPr>
              <w:tab/>
            </w:r>
            <w:r>
              <w:rPr>
                <w:rFonts w:asciiTheme="minorHAnsi" w:hAnsiTheme="minorHAnsi"/>
              </w:rPr>
              <w:t>Phase 3 trials</w:t>
            </w:r>
            <w:r>
              <w:rPr>
                <w:rFonts w:asciiTheme="minorHAnsi" w:hAnsiTheme="minorHAnsi"/>
                <w:vertAlign w:val="superscript"/>
              </w:rPr>
              <w:t>d</w:t>
            </w:r>
          </w:p>
          <w:p w:rsidR="00E44E71" w:rsidRPr="002D6508" w:rsidRDefault="00E44E71" w:rsidP="000F0902">
            <w:pPr>
              <w:pStyle w:val="TableText0"/>
              <w:rPr>
                <w:rFonts w:asciiTheme="minorHAnsi" w:hAnsiTheme="minorHAnsi"/>
              </w:rPr>
            </w:pPr>
            <w:r w:rsidRPr="002D6508">
              <w:rPr>
                <w:rFonts w:asciiTheme="minorHAnsi" w:hAnsiTheme="minorHAnsi"/>
              </w:rPr>
              <w:sym w:font="Wingdings" w:char="F0A8"/>
            </w:r>
            <w:r>
              <w:rPr>
                <w:rFonts w:asciiTheme="minorHAnsi" w:hAnsiTheme="minorHAnsi"/>
              </w:rPr>
              <w:tab/>
              <w:t>Phase 4 trials</w:t>
            </w:r>
            <w:r>
              <w:rPr>
                <w:rFonts w:asciiTheme="minorHAnsi" w:hAnsiTheme="minorHAnsi"/>
                <w:vertAlign w:val="superscript"/>
              </w:rPr>
              <w:t>e</w:t>
            </w:r>
          </w:p>
          <w:p w:rsidR="00E44E71" w:rsidRDefault="00E44E71" w:rsidP="000F0902">
            <w:pPr>
              <w:pStyle w:val="TableText0"/>
              <w:rPr>
                <w:rFonts w:asciiTheme="minorHAnsi" w:hAnsiTheme="minorHAnsi"/>
                <w:szCs w:val="24"/>
                <w:vertAlign w:val="superscript"/>
              </w:rPr>
            </w:pPr>
            <w:r w:rsidRPr="002D6508">
              <w:rPr>
                <w:rFonts w:asciiTheme="minorHAnsi" w:hAnsiTheme="minorHAnsi"/>
              </w:rPr>
              <w:sym w:font="Wingdings" w:char="F0A8"/>
            </w:r>
            <w:r w:rsidRPr="002D6508">
              <w:rPr>
                <w:rFonts w:asciiTheme="minorHAnsi" w:hAnsiTheme="minorHAnsi"/>
              </w:rPr>
              <w:tab/>
            </w:r>
            <w:r>
              <w:rPr>
                <w:rFonts w:asciiTheme="minorHAnsi" w:hAnsiTheme="minorHAnsi"/>
              </w:rPr>
              <w:t>Established</w:t>
            </w:r>
            <w:r>
              <w:rPr>
                <w:rFonts w:asciiTheme="minorHAnsi" w:hAnsiTheme="minorHAnsi"/>
                <w:vertAlign w:val="superscript"/>
              </w:rPr>
              <w:t xml:space="preserve">f </w:t>
            </w:r>
            <w:r>
              <w:rPr>
                <w:rFonts w:asciiTheme="minorHAnsi" w:hAnsiTheme="minorHAnsi"/>
                <w:szCs w:val="24"/>
                <w:vertAlign w:val="superscript"/>
              </w:rPr>
              <w:t xml:space="preserve"> established for other conditions</w:t>
            </w:r>
          </w:p>
          <w:p w:rsidR="00E44E71" w:rsidRDefault="00E44E71" w:rsidP="00A979FB">
            <w:pPr>
              <w:pStyle w:val="TableText0"/>
            </w:pPr>
            <w:r>
              <w:rPr>
                <w:rFonts w:asciiTheme="minorHAnsi" w:hAnsiTheme="minorHAnsi"/>
                <w:szCs w:val="24"/>
              </w:rPr>
              <w:sym w:font="Wingdings 2" w:char="F053"/>
            </w:r>
            <w:r w:rsidRPr="002D6508">
              <w:rPr>
                <w:rFonts w:asciiTheme="minorHAnsi" w:hAnsiTheme="minorHAnsi"/>
                <w:szCs w:val="24"/>
              </w:rPr>
              <w:tab/>
              <w:t>Established but</w:t>
            </w:r>
            <w:r>
              <w:rPr>
                <w:rFonts w:asciiTheme="minorHAnsi" w:hAnsiTheme="minorHAnsi"/>
              </w:rPr>
              <w:t xml:space="preserve"> changed indication</w:t>
            </w:r>
            <w:r>
              <w:rPr>
                <w:rFonts w:asciiTheme="minorHAnsi" w:hAnsiTheme="minorHAnsi"/>
                <w:szCs w:val="24"/>
                <w:vertAlign w:val="superscript"/>
              </w:rPr>
              <w:t>g</w:t>
            </w:r>
          </w:p>
        </w:tc>
      </w:tr>
      <w:tr w:rsidR="006B303D" w:rsidTr="00C023C4">
        <w:tc>
          <w:tcPr>
            <w:tcW w:w="8613" w:type="dxa"/>
            <w:tcBorders>
              <w:top w:val="single" w:sz="4" w:space="0" w:color="auto"/>
              <w:bottom w:val="nil"/>
            </w:tcBorders>
          </w:tcPr>
          <w:p w:rsidR="006B303D" w:rsidRPr="00CF22E3" w:rsidRDefault="006B303D" w:rsidP="000F0902">
            <w:pPr>
              <w:pStyle w:val="TableText0"/>
              <w:rPr>
                <w:i/>
              </w:rPr>
            </w:pPr>
            <w:r w:rsidRPr="00CF22E3">
              <w:rPr>
                <w:i/>
              </w:rPr>
              <w:t>Australian utilisation</w:t>
            </w:r>
          </w:p>
        </w:tc>
      </w:tr>
      <w:tr w:rsidR="006B303D" w:rsidTr="00C023C4">
        <w:tc>
          <w:tcPr>
            <w:tcW w:w="8613" w:type="dxa"/>
            <w:tcBorders>
              <w:top w:val="single" w:sz="4" w:space="0" w:color="auto"/>
              <w:bottom w:val="nil"/>
            </w:tcBorders>
          </w:tcPr>
          <w:p w:rsidR="006B303D" w:rsidRDefault="006B303D" w:rsidP="000F0902">
            <w:pPr>
              <w:pStyle w:val="TableText0"/>
            </w:pPr>
            <w:r>
              <w:t xml:space="preserve">ARTG approval </w:t>
            </w:r>
          </w:p>
        </w:tc>
      </w:tr>
      <w:tr w:rsidR="0081669E" w:rsidTr="00A13051">
        <w:tc>
          <w:tcPr>
            <w:tcW w:w="8613" w:type="dxa"/>
            <w:tcBorders>
              <w:top w:val="nil"/>
              <w:bottom w:val="nil"/>
            </w:tcBorders>
          </w:tcPr>
          <w:p w:rsidR="0081669E" w:rsidRPr="000B790D" w:rsidRDefault="0081669E" w:rsidP="000F0902">
            <w:pPr>
              <w:pStyle w:val="TableText0"/>
              <w:rPr>
                <w:rFonts w:asciiTheme="minorHAnsi" w:hAnsiTheme="minorHAnsi"/>
                <w:i/>
                <w:iCs/>
              </w:rPr>
            </w:pPr>
            <w:r>
              <w:rPr>
                <w:rFonts w:asciiTheme="minorHAnsi" w:hAnsiTheme="minorHAnsi"/>
              </w:rPr>
              <w:sym w:font="Wingdings 2" w:char="F053"/>
            </w:r>
            <w:r w:rsidRPr="000B790D">
              <w:rPr>
                <w:rFonts w:asciiTheme="minorHAnsi" w:hAnsiTheme="minorHAnsi"/>
              </w:rPr>
              <w:tab/>
              <w:t>No</w:t>
            </w:r>
          </w:p>
          <w:p w:rsidR="0081669E" w:rsidRPr="000B790D" w:rsidRDefault="0081669E" w:rsidP="000F0902">
            <w:pPr>
              <w:pStyle w:val="TableText0"/>
              <w:rPr>
                <w:rFonts w:asciiTheme="minorHAnsi" w:hAnsiTheme="minorHAnsi"/>
                <w:i/>
                <w:iCs/>
              </w:rPr>
            </w:pPr>
            <w:r w:rsidRPr="000B790D">
              <w:rPr>
                <w:rFonts w:asciiTheme="minorHAnsi" w:hAnsiTheme="minorHAnsi"/>
              </w:rPr>
              <w:sym w:font="Wingdings" w:char="F0A8"/>
            </w:r>
            <w:r w:rsidRPr="000B790D">
              <w:rPr>
                <w:rFonts w:asciiTheme="minorHAnsi" w:hAnsiTheme="minorHAnsi"/>
              </w:rPr>
              <w:tab/>
              <w:t>Yes</w:t>
            </w:r>
          </w:p>
          <w:p w:rsidR="0081669E" w:rsidRPr="000B790D" w:rsidRDefault="0081669E" w:rsidP="000F0902">
            <w:pPr>
              <w:pStyle w:val="TableText0"/>
              <w:rPr>
                <w:rFonts w:asciiTheme="minorHAnsi" w:hAnsiTheme="minorHAnsi"/>
              </w:rPr>
            </w:pPr>
            <w:r w:rsidRPr="000B790D">
              <w:rPr>
                <w:rFonts w:asciiTheme="minorHAnsi" w:hAnsiTheme="minorHAnsi"/>
              </w:rPr>
              <w:t>ARTG number</w:t>
            </w:r>
            <w:r w:rsidRPr="000B790D">
              <w:rPr>
                <w:rFonts w:asciiTheme="minorHAnsi" w:hAnsiTheme="minorHAnsi"/>
              </w:rPr>
              <w:tab/>
            </w:r>
          </w:p>
        </w:tc>
      </w:tr>
      <w:tr w:rsidR="0081669E" w:rsidTr="0081669E">
        <w:tc>
          <w:tcPr>
            <w:tcW w:w="8613" w:type="dxa"/>
            <w:tcBorders>
              <w:top w:val="nil"/>
              <w:bottom w:val="single" w:sz="4" w:space="0" w:color="auto"/>
            </w:tcBorders>
          </w:tcPr>
          <w:p w:rsidR="0081669E" w:rsidRPr="0069166F" w:rsidRDefault="0081669E" w:rsidP="000F0902">
            <w:pPr>
              <w:pStyle w:val="TableText0"/>
              <w:rPr>
                <w:rFonts w:asciiTheme="minorHAnsi" w:hAnsiTheme="minorHAnsi"/>
                <w:i/>
              </w:rPr>
            </w:pPr>
            <w:r>
              <w:rPr>
                <w:rFonts w:asciiTheme="minorHAnsi" w:hAnsiTheme="minorHAnsi"/>
              </w:rPr>
              <w:t>Trials underway or c</w:t>
            </w:r>
            <w:r w:rsidRPr="00CF22E3">
              <w:rPr>
                <w:rFonts w:asciiTheme="minorHAnsi" w:hAnsiTheme="minorHAnsi"/>
              </w:rPr>
              <w:t>ompleted</w:t>
            </w:r>
            <w:r>
              <w:rPr>
                <w:rFonts w:asciiTheme="minorHAnsi" w:hAnsiTheme="minorHAnsi"/>
              </w:rPr>
              <w:tab/>
            </w:r>
            <w:r w:rsidRPr="000B790D">
              <w:rPr>
                <w:rFonts w:asciiTheme="minorHAnsi" w:hAnsiTheme="minorHAnsi"/>
              </w:rPr>
              <w:sym w:font="Wingdings" w:char="F0A8"/>
            </w:r>
          </w:p>
          <w:p w:rsidR="0081669E" w:rsidRPr="00EB346F" w:rsidRDefault="0081669E" w:rsidP="000F0902">
            <w:pPr>
              <w:pStyle w:val="TableText0"/>
              <w:rPr>
                <w:rFonts w:asciiTheme="minorHAnsi" w:hAnsiTheme="minorHAnsi"/>
                <w:i/>
                <w:iCs/>
              </w:rPr>
            </w:pPr>
            <w:r>
              <w:rPr>
                <w:rFonts w:asciiTheme="minorHAnsi" w:hAnsiTheme="minorHAnsi"/>
              </w:rPr>
              <w:t>Limited u</w:t>
            </w:r>
            <w:r w:rsidRPr="00C963E7">
              <w:rPr>
                <w:rFonts w:asciiTheme="minorHAnsi" w:hAnsiTheme="minorHAnsi"/>
              </w:rPr>
              <w:t>se</w:t>
            </w:r>
            <w:r>
              <w:rPr>
                <w:rFonts w:asciiTheme="minorHAnsi" w:hAnsiTheme="minorHAnsi"/>
              </w:rPr>
              <w:tab/>
            </w:r>
            <w:r w:rsidRPr="000B790D">
              <w:rPr>
                <w:rFonts w:asciiTheme="minorHAnsi" w:hAnsiTheme="minorHAnsi"/>
              </w:rPr>
              <w:sym w:font="Wingdings" w:char="F0A8"/>
            </w:r>
          </w:p>
          <w:p w:rsidR="0081669E" w:rsidRPr="00EB346F" w:rsidRDefault="0081669E" w:rsidP="000F0902">
            <w:pPr>
              <w:pStyle w:val="TableText0"/>
              <w:rPr>
                <w:rFonts w:asciiTheme="minorHAnsi" w:hAnsiTheme="minorHAnsi"/>
              </w:rPr>
            </w:pPr>
            <w:r>
              <w:rPr>
                <w:rFonts w:asciiTheme="minorHAnsi" w:hAnsiTheme="minorHAnsi"/>
              </w:rPr>
              <w:t>Widely d</w:t>
            </w:r>
            <w:r w:rsidRPr="00EB346F">
              <w:rPr>
                <w:rFonts w:asciiTheme="minorHAnsi" w:hAnsiTheme="minorHAnsi"/>
              </w:rPr>
              <w:t>iffused but different indication</w:t>
            </w:r>
            <w:r>
              <w:rPr>
                <w:rFonts w:asciiTheme="minorHAnsi" w:hAnsiTheme="minorHAnsi"/>
              </w:rPr>
              <w:tab/>
            </w:r>
            <w:r>
              <w:rPr>
                <w:rFonts w:asciiTheme="minorHAnsi" w:hAnsiTheme="minorHAnsi"/>
              </w:rPr>
              <w:sym w:font="Wingdings 2" w:char="F053"/>
            </w:r>
          </w:p>
        </w:tc>
      </w:tr>
    </w:tbl>
    <w:p w:rsidR="0081669E" w:rsidRDefault="0081669E"/>
    <w:tbl>
      <w:tblPr>
        <w:tblStyle w:val="TableGrid"/>
        <w:tblpPr w:leftFromText="180" w:rightFromText="180" w:vertAnchor="text" w:tblpY="1"/>
        <w:tblOverlap w:val="never"/>
        <w:tblW w:w="8613" w:type="dxa"/>
        <w:tblLook w:val="04A0" w:firstRow="1" w:lastRow="0" w:firstColumn="1" w:lastColumn="0" w:noHBand="0" w:noVBand="1"/>
        <w:tblCaption w:val="Impact summary for rituxin"/>
      </w:tblPr>
      <w:tblGrid>
        <w:gridCol w:w="2798"/>
        <w:gridCol w:w="1744"/>
        <w:gridCol w:w="2190"/>
        <w:gridCol w:w="1881"/>
      </w:tblGrid>
      <w:tr w:rsidR="006B303D" w:rsidTr="00F03D54">
        <w:trPr>
          <w:tblHeader/>
        </w:trPr>
        <w:tc>
          <w:tcPr>
            <w:tcW w:w="2798" w:type="dxa"/>
            <w:tcBorders>
              <w:right w:val="single" w:sz="4" w:space="0" w:color="auto"/>
            </w:tcBorders>
          </w:tcPr>
          <w:p w:rsidR="006B303D" w:rsidRPr="000B790D" w:rsidRDefault="0081669E" w:rsidP="000F0902">
            <w:pPr>
              <w:pStyle w:val="TableText0"/>
              <w:rPr>
                <w:rFonts w:asciiTheme="minorHAnsi" w:hAnsiTheme="minorHAnsi"/>
              </w:rPr>
            </w:pPr>
            <w:r w:rsidRPr="00750CF7">
              <w:rPr>
                <w:rFonts w:asciiTheme="minorHAnsi" w:hAnsiTheme="minorHAnsi"/>
                <w:b/>
              </w:rPr>
              <w:t>Country</w:t>
            </w:r>
            <w:r>
              <w:rPr>
                <w:rFonts w:asciiTheme="minorHAnsi" w:hAnsiTheme="minorHAnsi"/>
                <w:b/>
              </w:rPr>
              <w:t xml:space="preserve"> / jurisdiction</w:t>
            </w:r>
          </w:p>
        </w:tc>
        <w:tc>
          <w:tcPr>
            <w:tcW w:w="1744" w:type="dxa"/>
            <w:tcBorders>
              <w:left w:val="single" w:sz="4" w:space="0" w:color="auto"/>
              <w:right w:val="single" w:sz="4" w:space="0" w:color="auto"/>
            </w:tcBorders>
          </w:tcPr>
          <w:p w:rsidR="006B303D" w:rsidRPr="000B790D" w:rsidRDefault="006B303D" w:rsidP="000F0902">
            <w:pPr>
              <w:pStyle w:val="TableText0"/>
              <w:rPr>
                <w:rFonts w:asciiTheme="minorHAnsi" w:hAnsiTheme="minorHAnsi"/>
              </w:rPr>
            </w:pPr>
            <w:r>
              <w:rPr>
                <w:rFonts w:asciiTheme="minorHAnsi" w:hAnsiTheme="minorHAnsi"/>
              </w:rPr>
              <w:t>Trials underway or c</w:t>
            </w:r>
            <w:r w:rsidRPr="000B790D">
              <w:rPr>
                <w:rFonts w:asciiTheme="minorHAnsi" w:hAnsiTheme="minorHAnsi"/>
              </w:rPr>
              <w:t>ompleted</w:t>
            </w:r>
            <w:r>
              <w:rPr>
                <w:rFonts w:asciiTheme="minorHAnsi" w:hAnsiTheme="minorHAnsi"/>
              </w:rPr>
              <w:t>?</w:t>
            </w:r>
          </w:p>
        </w:tc>
        <w:tc>
          <w:tcPr>
            <w:tcW w:w="2190" w:type="dxa"/>
            <w:tcBorders>
              <w:left w:val="single" w:sz="4" w:space="0" w:color="auto"/>
              <w:right w:val="single" w:sz="4" w:space="0" w:color="auto"/>
            </w:tcBorders>
          </w:tcPr>
          <w:p w:rsidR="006B303D" w:rsidRPr="000B790D" w:rsidRDefault="006B303D" w:rsidP="000F0902">
            <w:pPr>
              <w:pStyle w:val="TableText0"/>
              <w:rPr>
                <w:rFonts w:asciiTheme="minorHAnsi" w:hAnsiTheme="minorHAnsi"/>
              </w:rPr>
            </w:pPr>
            <w:r>
              <w:rPr>
                <w:rFonts w:asciiTheme="minorHAnsi" w:hAnsiTheme="minorHAnsi"/>
              </w:rPr>
              <w:t>Regulatory approval (date)?</w:t>
            </w:r>
          </w:p>
        </w:tc>
        <w:tc>
          <w:tcPr>
            <w:tcW w:w="1881" w:type="dxa"/>
            <w:tcBorders>
              <w:left w:val="single" w:sz="4" w:space="0" w:color="auto"/>
            </w:tcBorders>
          </w:tcPr>
          <w:p w:rsidR="006B303D" w:rsidRPr="000B790D" w:rsidRDefault="006B303D" w:rsidP="000F0902">
            <w:pPr>
              <w:pStyle w:val="TableText0"/>
              <w:rPr>
                <w:rFonts w:asciiTheme="minorHAnsi" w:hAnsiTheme="minorHAnsi"/>
              </w:rPr>
            </w:pPr>
            <w:r>
              <w:rPr>
                <w:rFonts w:asciiTheme="minorHAnsi" w:hAnsiTheme="minorHAnsi"/>
              </w:rPr>
              <w:t>Reimbursement approval?</w:t>
            </w:r>
          </w:p>
        </w:tc>
      </w:tr>
      <w:tr w:rsidR="006B303D" w:rsidTr="00C023C4">
        <w:tc>
          <w:tcPr>
            <w:tcW w:w="2798" w:type="dxa"/>
            <w:tcBorders>
              <w:right w:val="single" w:sz="4" w:space="0" w:color="auto"/>
            </w:tcBorders>
          </w:tcPr>
          <w:p w:rsidR="006B303D" w:rsidRDefault="006B303D" w:rsidP="000F0902">
            <w:pPr>
              <w:pStyle w:val="TableText0"/>
            </w:pPr>
            <w:r>
              <w:t>USA, UK, France, Spain, Sweden, Austria, China</w:t>
            </w:r>
          </w:p>
        </w:tc>
        <w:tc>
          <w:tcPr>
            <w:tcW w:w="1744" w:type="dxa"/>
            <w:tcBorders>
              <w:left w:val="single" w:sz="4" w:space="0" w:color="auto"/>
              <w:right w:val="single" w:sz="4" w:space="0" w:color="auto"/>
            </w:tcBorders>
          </w:tcPr>
          <w:p w:rsidR="006B303D" w:rsidRDefault="006B303D" w:rsidP="000F0902">
            <w:pPr>
              <w:pStyle w:val="TableText0"/>
            </w:pPr>
            <w:r>
              <w:t>Observational studies only</w:t>
            </w:r>
          </w:p>
        </w:tc>
        <w:tc>
          <w:tcPr>
            <w:tcW w:w="2190" w:type="dxa"/>
            <w:tcBorders>
              <w:left w:val="single" w:sz="4" w:space="0" w:color="auto"/>
              <w:right w:val="single" w:sz="4" w:space="0" w:color="auto"/>
            </w:tcBorders>
          </w:tcPr>
          <w:p w:rsidR="006B303D" w:rsidRDefault="006B303D" w:rsidP="000F0902">
            <w:pPr>
              <w:pStyle w:val="TableText0"/>
            </w:pPr>
          </w:p>
        </w:tc>
        <w:tc>
          <w:tcPr>
            <w:tcW w:w="1881" w:type="dxa"/>
            <w:tcBorders>
              <w:left w:val="single" w:sz="4" w:space="0" w:color="auto"/>
            </w:tcBorders>
          </w:tcPr>
          <w:p w:rsidR="006B303D" w:rsidRDefault="006B303D" w:rsidP="000F0902">
            <w:pPr>
              <w:pStyle w:val="TableText0"/>
            </w:pPr>
          </w:p>
        </w:tc>
      </w:tr>
    </w:tbl>
    <w:p w:rsidR="008D2975" w:rsidRDefault="008D2975" w:rsidP="006B303D">
      <w:pPr>
        <w:pStyle w:val="TableNote"/>
      </w:pPr>
      <w:r>
        <w:t>ARTG = Australian Register of Therapeutic Goods</w:t>
      </w:r>
    </w:p>
    <w:p w:rsidR="006B303D" w:rsidRPr="00F464AA" w:rsidRDefault="006B303D" w:rsidP="006B303D">
      <w:pPr>
        <w:pStyle w:val="TableNote"/>
      </w:pPr>
      <w:r w:rsidRPr="00F464AA">
        <w:t>Notes</w:t>
      </w:r>
    </w:p>
    <w:p w:rsidR="006B303D" w:rsidRPr="00A646FA" w:rsidRDefault="006B303D" w:rsidP="000F0902">
      <w:pPr>
        <w:pStyle w:val="TableNote"/>
      </w:pPr>
      <w:proofErr w:type="gramStart"/>
      <w:r w:rsidRPr="00A646FA">
        <w:rPr>
          <w:vertAlign w:val="superscript"/>
        </w:rPr>
        <w:t>a</w:t>
      </w:r>
      <w:proofErr w:type="gramEnd"/>
      <w:r>
        <w:rPr>
          <w:vertAlign w:val="superscript"/>
        </w:rPr>
        <w:tab/>
      </w:r>
      <w:r w:rsidRPr="00A646FA">
        <w:rPr>
          <w:snapToGrid w:val="0"/>
        </w:rPr>
        <w:t>Technology is yet to emerge in Australia</w:t>
      </w:r>
      <w:r>
        <w:rPr>
          <w:snapToGrid w:val="0"/>
        </w:rPr>
        <w:t>.</w:t>
      </w:r>
    </w:p>
    <w:p w:rsidR="006B303D" w:rsidRPr="00A646FA" w:rsidRDefault="006B303D" w:rsidP="000F0902">
      <w:pPr>
        <w:pStyle w:val="TableNote"/>
        <w:rPr>
          <w:snapToGrid w:val="0"/>
        </w:rPr>
      </w:pPr>
      <w:proofErr w:type="gramStart"/>
      <w:r w:rsidRPr="00A646FA">
        <w:rPr>
          <w:vertAlign w:val="superscript"/>
        </w:rPr>
        <w:t>b</w:t>
      </w:r>
      <w:proofErr w:type="gramEnd"/>
      <w:r>
        <w:rPr>
          <w:vertAlign w:val="superscript"/>
        </w:rPr>
        <w:tab/>
      </w:r>
      <w:r w:rsidRPr="00A646FA">
        <w:rPr>
          <w:snapToGrid w:val="0"/>
        </w:rPr>
        <w:t>Only used in scientific studies</w:t>
      </w:r>
      <w:r>
        <w:rPr>
          <w:snapToGrid w:val="0"/>
        </w:rPr>
        <w:t xml:space="preserve"> with small numbers of patients (usually n&lt;100). </w:t>
      </w:r>
      <w:proofErr w:type="gramStart"/>
      <w:r>
        <w:rPr>
          <w:snapToGrid w:val="0"/>
        </w:rPr>
        <w:t>Studies of pharmacodynamics/pharmacokinetics or safety trials.</w:t>
      </w:r>
      <w:proofErr w:type="gramEnd"/>
      <w:r>
        <w:rPr>
          <w:snapToGrid w:val="0"/>
        </w:rPr>
        <w:t xml:space="preserve"> Note that it has been specified that drugs at Phase 0 will be excluded, but if at a later stage of development overseas, these drugs will be eligible for inclusion.</w:t>
      </w:r>
    </w:p>
    <w:p w:rsidR="006B303D" w:rsidRPr="00A646FA" w:rsidRDefault="006B303D" w:rsidP="000F0902">
      <w:pPr>
        <w:pStyle w:val="TableNote"/>
        <w:rPr>
          <w:snapToGrid w:val="0"/>
        </w:rPr>
      </w:pPr>
      <w:proofErr w:type="gramStart"/>
      <w:r w:rsidRPr="00A646FA">
        <w:rPr>
          <w:vertAlign w:val="superscript"/>
        </w:rPr>
        <w:t>c</w:t>
      </w:r>
      <w:proofErr w:type="gramEnd"/>
      <w:r>
        <w:rPr>
          <w:vertAlign w:val="superscript"/>
        </w:rPr>
        <w:tab/>
      </w:r>
      <w:r>
        <w:rPr>
          <w:snapToGrid w:val="0"/>
        </w:rPr>
        <w:t>Drugs</w:t>
      </w:r>
      <w:r w:rsidRPr="00A646FA">
        <w:rPr>
          <w:snapToGrid w:val="0"/>
        </w:rPr>
        <w:t xml:space="preserve"> in efficacy tr</w:t>
      </w:r>
      <w:r>
        <w:rPr>
          <w:snapToGrid w:val="0"/>
        </w:rPr>
        <w:t>ials, usually against a placebo. Usually studies of several hundred patients.</w:t>
      </w:r>
    </w:p>
    <w:p w:rsidR="006B303D" w:rsidRPr="00A646FA" w:rsidRDefault="006B303D" w:rsidP="000F0902">
      <w:pPr>
        <w:pStyle w:val="TableNote"/>
        <w:rPr>
          <w:snapToGrid w:val="0"/>
        </w:rPr>
      </w:pPr>
      <w:proofErr w:type="gramStart"/>
      <w:r w:rsidRPr="00A646FA">
        <w:rPr>
          <w:vertAlign w:val="superscript"/>
        </w:rPr>
        <w:t>d</w:t>
      </w:r>
      <w:proofErr w:type="gramEnd"/>
      <w:r>
        <w:rPr>
          <w:vertAlign w:val="superscript"/>
        </w:rPr>
        <w:tab/>
      </w:r>
      <w:r>
        <w:rPr>
          <w:snapToGrid w:val="0"/>
        </w:rPr>
        <w:t>Confirmation of safety and efficacy in larger studies, at least 1000 patients.</w:t>
      </w:r>
    </w:p>
    <w:p w:rsidR="006B303D" w:rsidRPr="00950317" w:rsidRDefault="006B303D" w:rsidP="000F0902">
      <w:pPr>
        <w:pStyle w:val="TableNote"/>
        <w:rPr>
          <w:snapToGrid w:val="0"/>
        </w:rPr>
      </w:pPr>
      <w:proofErr w:type="gramStart"/>
      <w:r w:rsidRPr="00A646FA">
        <w:rPr>
          <w:vertAlign w:val="superscript"/>
        </w:rPr>
        <w:t>e</w:t>
      </w:r>
      <w:proofErr w:type="gramEnd"/>
      <w:r>
        <w:rPr>
          <w:vertAlign w:val="superscript"/>
        </w:rPr>
        <w:tab/>
      </w:r>
      <w:r w:rsidRPr="00950317">
        <w:rPr>
          <w:snapToGrid w:val="0"/>
        </w:rPr>
        <w:t>Postmarketing studies to optimise use of the drug and further investigate factors such as medium to long term adverse events, and risks vs benefits</w:t>
      </w:r>
      <w:r>
        <w:rPr>
          <w:snapToGrid w:val="0"/>
        </w:rPr>
        <w:t>.</w:t>
      </w:r>
    </w:p>
    <w:p w:rsidR="006B303D" w:rsidRDefault="006B303D" w:rsidP="000F0902">
      <w:pPr>
        <w:pStyle w:val="TableNote"/>
        <w:rPr>
          <w:snapToGrid w:val="0"/>
        </w:rPr>
      </w:pPr>
      <w:proofErr w:type="gramStart"/>
      <w:r w:rsidRPr="00A646FA">
        <w:rPr>
          <w:vertAlign w:val="superscript"/>
        </w:rPr>
        <w:t>f</w:t>
      </w:r>
      <w:proofErr w:type="gramEnd"/>
      <w:r>
        <w:rPr>
          <w:vertAlign w:val="superscript"/>
        </w:rPr>
        <w:tab/>
      </w:r>
      <w:r w:rsidRPr="00A646FA">
        <w:rPr>
          <w:snapToGrid w:val="0"/>
        </w:rPr>
        <w:t>Licensed or available for marketing and in gener</w:t>
      </w:r>
      <w:r>
        <w:rPr>
          <w:snapToGrid w:val="0"/>
        </w:rPr>
        <w:t>al use outside clinical trials.</w:t>
      </w:r>
    </w:p>
    <w:p w:rsidR="006B303D" w:rsidRPr="00A73FF0" w:rsidRDefault="006B303D" w:rsidP="000F0902">
      <w:pPr>
        <w:pStyle w:val="TableNote"/>
        <w:rPr>
          <w:snapToGrid w:val="0"/>
        </w:rPr>
      </w:pPr>
      <w:proofErr w:type="gramStart"/>
      <w:r>
        <w:rPr>
          <w:snapToGrid w:val="0"/>
          <w:vertAlign w:val="superscript"/>
        </w:rPr>
        <w:t>g</w:t>
      </w:r>
      <w:proofErr w:type="gramEnd"/>
      <w:r>
        <w:rPr>
          <w:snapToGrid w:val="0"/>
          <w:vertAlign w:val="superscript"/>
        </w:rPr>
        <w:tab/>
      </w:r>
      <w:r w:rsidRPr="00A73FF0">
        <w:rPr>
          <w:snapToGrid w:val="0"/>
        </w:rPr>
        <w:t xml:space="preserve">A </w:t>
      </w:r>
      <w:r>
        <w:rPr>
          <w:snapToGrid w:val="0"/>
        </w:rPr>
        <w:t>drug widely used for one or more clinical indications, but now being used for a new clinical indication.</w:t>
      </w:r>
    </w:p>
    <w:p w:rsidR="006B303D" w:rsidRDefault="006B303D" w:rsidP="006B303D"/>
    <w:p w:rsidR="006B303D" w:rsidRPr="00F047BE" w:rsidRDefault="006B303D" w:rsidP="006B303D">
      <w:pPr>
        <w:spacing w:before="120" w:after="0"/>
        <w:rPr>
          <w:rFonts w:asciiTheme="majorHAnsi" w:hAnsiTheme="majorHAnsi"/>
          <w:szCs w:val="20"/>
          <w:lang w:eastAsia="en-AU"/>
        </w:rPr>
      </w:pPr>
      <w:r w:rsidRPr="00F047BE">
        <w:rPr>
          <w:rFonts w:asciiTheme="majorHAnsi" w:hAnsiTheme="majorHAnsi"/>
          <w:szCs w:val="20"/>
          <w:lang w:eastAsia="en-AU"/>
        </w:rPr>
        <w:t>Précis</w:t>
      </w:r>
    </w:p>
    <w:p w:rsidR="006B303D" w:rsidRPr="00154104" w:rsidRDefault="006B303D" w:rsidP="006B303D">
      <w:pPr>
        <w:rPr>
          <w:snapToGrid w:val="0"/>
        </w:rPr>
      </w:pPr>
      <w:r w:rsidRPr="00154104">
        <w:rPr>
          <w:snapToGrid w:val="0"/>
        </w:rPr>
        <w:t>Roche provides MABTHERA (rituximab) with the aim of treating non-</w:t>
      </w:r>
      <w:r w:rsidR="00E66055" w:rsidRPr="00154104">
        <w:rPr>
          <w:snapToGrid w:val="0"/>
        </w:rPr>
        <w:t>Hodgkin’s</w:t>
      </w:r>
      <w:r w:rsidRPr="00154104">
        <w:rPr>
          <w:snapToGrid w:val="0"/>
        </w:rPr>
        <w:t xml:space="preserve"> lymphoma, chronic lymphocytic leukaemia, rheumatoid arthritis and </w:t>
      </w:r>
      <w:r w:rsidRPr="00154104">
        <w:t xml:space="preserve">granulomatosis with polyangiitis </w:t>
      </w:r>
      <w:r w:rsidRPr="00154104">
        <w:lastRenderedPageBreak/>
        <w:t>(Wegener’s) (GPA) and Microscopic polyangiitis (MPA)</w:t>
      </w:r>
      <w:r w:rsidR="00E66055" w:rsidRPr="00154104">
        <w:t>;</w:t>
      </w:r>
      <w:r w:rsidRPr="00154104">
        <w:t xml:space="preserve"> however the drug is currently not listed for myasthenia gravis.</w:t>
      </w:r>
      <w:r w:rsidRPr="00154104">
        <w:rPr>
          <w:snapToGrid w:val="0"/>
        </w:rPr>
        <w:t xml:space="preserve"> </w:t>
      </w:r>
    </w:p>
    <w:p w:rsidR="006B303D" w:rsidRPr="00EB346F" w:rsidRDefault="006B303D" w:rsidP="006B303D">
      <w:pPr>
        <w:spacing w:after="0"/>
        <w:rPr>
          <w:snapToGrid w:val="0"/>
        </w:rPr>
      </w:pPr>
    </w:p>
    <w:p w:rsidR="006B303D" w:rsidRDefault="006B303D" w:rsidP="006B303D">
      <w:pPr>
        <w:pStyle w:val="Heading3a"/>
        <w:spacing w:after="120"/>
      </w:pPr>
      <w:r w:rsidRPr="00EB346F">
        <w:t>Background</w:t>
      </w:r>
    </w:p>
    <w:p w:rsidR="006B303D" w:rsidRDefault="006B303D" w:rsidP="006B303D">
      <w:r>
        <w:t xml:space="preserve">Myasthenia gravis is an autoimmune disorder that leads to muscle weakness. Antibodies attack the neuromuscular juncture, interfering with the transmission of messages from the nerves to the muscles </w:t>
      </w:r>
      <w:r w:rsidR="00A130D0">
        <w:rPr>
          <w:noProof/>
        </w:rPr>
        <w:t>(</w:t>
      </w:r>
      <w:r w:rsidR="00184B6F">
        <w:rPr>
          <w:noProof/>
        </w:rPr>
        <w:t>Better Health Channel 2014</w:t>
      </w:r>
      <w:r w:rsidR="00A130D0">
        <w:rPr>
          <w:noProof/>
        </w:rPr>
        <w:t>)</w:t>
      </w:r>
      <w:r>
        <w:t>. This results in weak and tired muscles, vision problems, swallowing and breathing difficulties and shortness of breath. The condition is treatable, however for some people their condition is refractory to treatment and this group is the group of interest for this drug.</w:t>
      </w:r>
    </w:p>
    <w:p w:rsidR="006B303D" w:rsidRPr="00EB346F" w:rsidRDefault="006B303D" w:rsidP="006B303D">
      <w:r>
        <w:t>Rituximab is a monoclonal antibody that binds to CD20 B lymphocytes surface antigen and was originally developed for the treatment of B-cell lymphomas. It is listed on the Australian Therapeutic Goods Register (ATGR) for use in patients with non-Hodgkins lymphoma, chronic lymphocytic leukaemia, rheumatoid arthritis and granulomatosis with polyangiitis (Wegener’s) (GPA) and Microscopic polyangiitis (MPA) however it is not currently listed for myasthenia gravis. It is registered with the same indications</w:t>
      </w:r>
      <w:r w:rsidRPr="00384B22">
        <w:t xml:space="preserve"> </w:t>
      </w:r>
      <w:r>
        <w:t>on the FDA and EMA.</w:t>
      </w:r>
    </w:p>
    <w:p w:rsidR="006B303D" w:rsidRDefault="006B303D" w:rsidP="006B303D">
      <w:pPr>
        <w:pStyle w:val="Heading3a"/>
        <w:spacing w:after="120"/>
      </w:pPr>
      <w:r w:rsidRPr="00EB346F">
        <w:t>Clin</w:t>
      </w:r>
      <w:r>
        <w:t>ical need and burden of disease</w:t>
      </w:r>
    </w:p>
    <w:p w:rsidR="006B303D" w:rsidRDefault="006B303D" w:rsidP="006B303D">
      <w:pPr>
        <w:rPr>
          <w:snapToGrid w:val="0"/>
        </w:rPr>
      </w:pPr>
      <w:r>
        <w:rPr>
          <w:snapToGrid w:val="0"/>
        </w:rPr>
        <w:t xml:space="preserve">According to </w:t>
      </w:r>
      <w:r w:rsidR="00E66055">
        <w:rPr>
          <w:snapToGrid w:val="0"/>
        </w:rPr>
        <w:t>Orphanet</w:t>
      </w:r>
      <w:r>
        <w:rPr>
          <w:snapToGrid w:val="0"/>
        </w:rPr>
        <w:t xml:space="preserve">, myasthenia gravis has a prevalence of 20 per 100 000 population. In Australia, the prevalence in was estimated at 1.2 per 10 000 in 2009 </w:t>
      </w:r>
      <w:r w:rsidR="00A130D0">
        <w:rPr>
          <w:noProof/>
          <w:snapToGrid w:val="0"/>
        </w:rPr>
        <w:t>(</w:t>
      </w:r>
      <w:r w:rsidR="00184B6F">
        <w:rPr>
          <w:noProof/>
          <w:snapToGrid w:val="0"/>
        </w:rPr>
        <w:t>Better Health Channel 2014</w:t>
      </w:r>
      <w:r w:rsidR="00A130D0">
        <w:rPr>
          <w:noProof/>
          <w:snapToGrid w:val="0"/>
        </w:rPr>
        <w:t>)</w:t>
      </w:r>
      <w:r>
        <w:rPr>
          <w:snapToGrid w:val="0"/>
        </w:rPr>
        <w:t xml:space="preserve">. Whilst the disease is treatable with a range of options including anti- </w:t>
      </w:r>
      <w:r w:rsidRPr="007D45BA">
        <w:t>acetylcholinesterase agents</w:t>
      </w:r>
      <w:r>
        <w:t>,</w:t>
      </w:r>
      <w:r>
        <w:rPr>
          <w:b/>
          <w:bCs/>
        </w:rPr>
        <w:t xml:space="preserve"> </w:t>
      </w:r>
      <w:r>
        <w:rPr>
          <w:snapToGrid w:val="0"/>
        </w:rPr>
        <w:t>corticosteroids, other immunosuppressive drugs and plasmapheresis, in some patients the disease does not respond to treatment. In these people, the condition can be life threatening as there is a risk of muscle weakness impacting on their ability to breathe.</w:t>
      </w:r>
    </w:p>
    <w:p w:rsidR="006B303D" w:rsidRPr="00384B22" w:rsidRDefault="006B303D" w:rsidP="006B303D">
      <w:pPr>
        <w:pStyle w:val="Heading3a"/>
        <w:spacing w:after="120"/>
      </w:pPr>
      <w:r>
        <w:t>Diffusion</w:t>
      </w:r>
    </w:p>
    <w:p w:rsidR="006B303D" w:rsidRPr="00EB346F" w:rsidRDefault="006B303D" w:rsidP="006B303D">
      <w:r>
        <w:t xml:space="preserve">Rituximab has been widely used for myasthenia gravis in research settings, however not in controlled trials. A recent systematic review identified no randomised controlled studies but examined 15 small, uncontrolled observational studies </w:t>
      </w:r>
      <w:r w:rsidR="00A130D0">
        <w:rPr>
          <w:noProof/>
        </w:rPr>
        <w:t>(</w:t>
      </w:r>
      <w:r w:rsidR="00184B6F">
        <w:rPr>
          <w:noProof/>
        </w:rPr>
        <w:t>Iorio et al. 2014</w:t>
      </w:r>
      <w:r w:rsidR="00A130D0">
        <w:rPr>
          <w:noProof/>
        </w:rPr>
        <w:t>)</w:t>
      </w:r>
      <w:r>
        <w:t>. Studies included in the review were conducted in Australia, France, Spain, Sweden, UK, USA, Austria, and China. Three phase II trials are listed on clinicaltrials.gov, two are complete (one in France in one in the USA) and one is recruiting (in the USA). All three use a single group assignment without any controls. No trials were identified on the European trials register.</w:t>
      </w:r>
    </w:p>
    <w:p w:rsidR="006B303D" w:rsidRDefault="006B303D" w:rsidP="006B303D">
      <w:pPr>
        <w:pStyle w:val="Heading3a"/>
        <w:spacing w:before="120" w:after="120"/>
      </w:pPr>
      <w:r>
        <w:t>Comparators</w:t>
      </w:r>
    </w:p>
    <w:p w:rsidR="006B303D" w:rsidRPr="00EB346F" w:rsidRDefault="006B303D" w:rsidP="006B303D">
      <w:r>
        <w:rPr>
          <w:snapToGrid w:val="0"/>
        </w:rPr>
        <w:t>There are efficacious treatments available for myasthenia gravis however a proportion of people remain refractory to any of these treatments.</w:t>
      </w:r>
    </w:p>
    <w:p w:rsidR="006B303D" w:rsidRDefault="006B303D" w:rsidP="006B303D">
      <w:pPr>
        <w:pStyle w:val="Heading3a"/>
        <w:spacing w:after="120"/>
      </w:pPr>
      <w:r>
        <w:lastRenderedPageBreak/>
        <w:t>Safety and effectiveness issues</w:t>
      </w:r>
    </w:p>
    <w:p w:rsidR="006B303D" w:rsidRDefault="006B303D" w:rsidP="006B303D">
      <w:pPr>
        <w:rPr>
          <w:snapToGrid w:val="0"/>
        </w:rPr>
      </w:pPr>
      <w:r>
        <w:rPr>
          <w:snapToGrid w:val="0"/>
        </w:rPr>
        <w:t>Despite no clinical trials, small observational studies have identified improvements in patients otherwise refractory to treatment. In the previously mentioned systematic review, adverse effects were reported in about four per cent of patients</w:t>
      </w:r>
      <w:r w:rsidR="00E66055">
        <w:rPr>
          <w:snapToGrid w:val="0"/>
        </w:rPr>
        <w:t>. These</w:t>
      </w:r>
      <w:r>
        <w:rPr>
          <w:snapToGrid w:val="0"/>
        </w:rPr>
        <w:t xml:space="preserve"> includ</w:t>
      </w:r>
      <w:r w:rsidR="00E66055">
        <w:rPr>
          <w:snapToGrid w:val="0"/>
        </w:rPr>
        <w:t>ed</w:t>
      </w:r>
      <w:r>
        <w:rPr>
          <w:snapToGrid w:val="0"/>
        </w:rPr>
        <w:t xml:space="preserve"> infections, prolong</w:t>
      </w:r>
      <w:r w:rsidR="00E66055">
        <w:rPr>
          <w:snapToGrid w:val="0"/>
        </w:rPr>
        <w:t>ed</w:t>
      </w:r>
      <w:r>
        <w:rPr>
          <w:snapToGrid w:val="0"/>
        </w:rPr>
        <w:t xml:space="preserve"> B-cell depletion and heart failure after infusion of rituximab.</w:t>
      </w:r>
    </w:p>
    <w:p w:rsidR="006B303D" w:rsidRDefault="006B303D" w:rsidP="006B303D">
      <w:pPr>
        <w:pStyle w:val="Heading3a"/>
        <w:spacing w:after="120"/>
      </w:pPr>
      <w:r w:rsidRPr="00EB346F">
        <w:rPr>
          <w:snapToGrid w:val="0"/>
        </w:rPr>
        <w:t>Cost impact</w:t>
      </w:r>
    </w:p>
    <w:p w:rsidR="006B303D" w:rsidRPr="00EB346F" w:rsidRDefault="006B303D" w:rsidP="006B303D">
      <w:r>
        <w:rPr>
          <w:snapToGrid w:val="0"/>
        </w:rPr>
        <w:t>Rituximab is listed on the PBS as a chemotherapy item (in the highly specialised drugs program) and the cost is between $3723.85 and $5172.02 depending on the dose and setting.</w:t>
      </w:r>
    </w:p>
    <w:p w:rsidR="006B303D" w:rsidRDefault="006B303D" w:rsidP="006B303D">
      <w:pPr>
        <w:pStyle w:val="Heading3a"/>
        <w:spacing w:after="120"/>
      </w:pPr>
      <w:r w:rsidRPr="00EB346F">
        <w:t>Ethical, cultural or religious considerations</w:t>
      </w:r>
    </w:p>
    <w:p w:rsidR="006B303D" w:rsidRPr="00EB346F" w:rsidRDefault="006B303D" w:rsidP="006B303D">
      <w:proofErr w:type="gramStart"/>
      <w:r>
        <w:t>None apparent.</w:t>
      </w:r>
      <w:proofErr w:type="gramEnd"/>
    </w:p>
    <w:p w:rsidR="006B303D" w:rsidRPr="00EB346F" w:rsidRDefault="006B303D" w:rsidP="006B303D">
      <w:pPr>
        <w:pStyle w:val="Heading3a"/>
        <w:spacing w:after="120"/>
      </w:pPr>
      <w:r w:rsidRPr="00EB346F">
        <w:t>Sources of further information</w:t>
      </w:r>
    </w:p>
    <w:p w:rsidR="006B303D" w:rsidRPr="008D7AA2" w:rsidRDefault="006B303D" w:rsidP="006B303D">
      <w:pPr>
        <w:pStyle w:val="BodyText2"/>
        <w:spacing w:line="276" w:lineRule="auto"/>
        <w:rPr>
          <w:color w:val="000080"/>
        </w:rPr>
      </w:pPr>
    </w:p>
    <w:p w:rsidR="006B303D" w:rsidRPr="00EB346F" w:rsidRDefault="006B303D" w:rsidP="006B303D">
      <w:pPr>
        <w:pStyle w:val="Heading3a"/>
      </w:pPr>
      <w:r w:rsidRPr="00EB346F">
        <w:t>List of studies included</w:t>
      </w:r>
    </w:p>
    <w:p w:rsidR="006B303D" w:rsidRPr="00EB346F" w:rsidRDefault="006B303D" w:rsidP="006B303D">
      <w:r w:rsidRPr="00EB346F">
        <w:t>Total number of studies</w:t>
      </w:r>
      <w:r w:rsidRPr="00EB346F">
        <w:tab/>
      </w:r>
      <w:r>
        <w:t>1</w:t>
      </w:r>
    </w:p>
    <w:p w:rsidR="003D1E41" w:rsidRDefault="006B303D" w:rsidP="006E2AFB">
      <w:r w:rsidRPr="00EB346F">
        <w:t xml:space="preserve">Level </w:t>
      </w:r>
      <w:r>
        <w:t xml:space="preserve">IV </w:t>
      </w:r>
      <w:r w:rsidRPr="00EB346F">
        <w:t>evidence</w:t>
      </w:r>
      <w:r w:rsidRPr="00EB346F">
        <w:tab/>
      </w:r>
      <w:r>
        <w:t>1 (systematic review of small observational studies)</w:t>
      </w:r>
      <w:bookmarkStart w:id="1185" w:name="_Ref393658309"/>
      <w:r w:rsidR="006E2AFB">
        <w:t xml:space="preserve"> </w:t>
      </w:r>
    </w:p>
    <w:p w:rsidR="006E7C3A" w:rsidRDefault="006E7C3A" w:rsidP="006B303D">
      <w:pPr>
        <w:rPr>
          <w:lang w:eastAsia="en-AU"/>
        </w:rPr>
        <w:sectPr w:rsidR="006E7C3A" w:rsidSect="00107597">
          <w:pgSz w:w="11906" w:h="16838"/>
          <w:pgMar w:top="1440" w:right="1440" w:bottom="1440" w:left="1440" w:header="708" w:footer="708" w:gutter="0"/>
          <w:cols w:space="708"/>
          <w:docGrid w:linePitch="360"/>
        </w:sectPr>
      </w:pPr>
    </w:p>
    <w:p w:rsidR="006E7C3A" w:rsidRDefault="006E7C3A" w:rsidP="006E7C3A">
      <w:pPr>
        <w:pStyle w:val="Heading1"/>
        <w:numPr>
          <w:ilvl w:val="0"/>
          <w:numId w:val="0"/>
        </w:numPr>
        <w:ind w:left="2127" w:hanging="2127"/>
      </w:pPr>
      <w:bookmarkStart w:id="1186" w:name="_Toc415141793"/>
      <w:bookmarkStart w:id="1187" w:name="_Ref405471319"/>
      <w:r>
        <w:lastRenderedPageBreak/>
        <w:t xml:space="preserve">Appendix </w:t>
      </w:r>
      <w:r w:rsidR="00A72B26">
        <w:t>G</w:t>
      </w:r>
      <w:r>
        <w:tab/>
        <w:t>Summary table of drugs which may be relevant to the LSDP (ToR 2)</w:t>
      </w:r>
      <w:bookmarkEnd w:id="1186"/>
    </w:p>
    <w:p w:rsidR="006E7C3A" w:rsidRPr="00C84D55" w:rsidRDefault="006E7C3A" w:rsidP="0096216D">
      <w:pPr>
        <w:pStyle w:val="Caption"/>
        <w:keepNext/>
        <w:tabs>
          <w:tab w:val="clear" w:pos="851"/>
          <w:tab w:val="left" w:pos="1276"/>
        </w:tabs>
        <w:ind w:left="1276" w:hanging="1276"/>
      </w:pPr>
      <w:bookmarkStart w:id="1188" w:name="_Ref405826698"/>
      <w:bookmarkStart w:id="1189" w:name="_Toc411510538"/>
      <w:bookmarkStart w:id="1190" w:name="_Toc415141968"/>
      <w:r>
        <w:t xml:space="preserve">Table </w:t>
      </w:r>
      <w:r w:rsidR="00A72B26">
        <w:rPr>
          <w:noProof/>
        </w:rPr>
        <w:t>171</w:t>
      </w:r>
      <w:bookmarkEnd w:id="1187"/>
      <w:bookmarkEnd w:id="1188"/>
      <w:r>
        <w:t xml:space="preserve"> </w:t>
      </w:r>
      <w:r w:rsidR="0096216D">
        <w:tab/>
      </w:r>
      <w:r w:rsidRPr="00C84D55">
        <w:t>Summary table of selected new and emerging drugs that target diseases/conditions of potential relevance to the Life Saving Drugs Program in the future (ToR 2)</w:t>
      </w:r>
      <w:bookmarkEnd w:id="1189"/>
      <w:bookmarkEnd w:id="1190"/>
    </w:p>
    <w:tbl>
      <w:tblPr>
        <w:tblStyle w:val="TableGrid6"/>
        <w:tblW w:w="14171" w:type="dxa"/>
        <w:tblLook w:val="04A0" w:firstRow="1" w:lastRow="0" w:firstColumn="1" w:lastColumn="0" w:noHBand="0" w:noVBand="1"/>
        <w:tblCaption w:val="Table 133  Summary table of selected new and emerging drugs that target diseases/conditions of potential relevance to the Life Saving Drugs Program in the future (ToR 2)"/>
      </w:tblPr>
      <w:tblGrid>
        <w:gridCol w:w="4330"/>
        <w:gridCol w:w="1730"/>
        <w:gridCol w:w="2011"/>
        <w:gridCol w:w="1565"/>
        <w:gridCol w:w="4535"/>
      </w:tblGrid>
      <w:tr w:rsidR="00D27369" w:rsidRPr="00C84D55" w:rsidTr="001F44E1">
        <w:trPr>
          <w:tblHeader/>
        </w:trPr>
        <w:tc>
          <w:tcPr>
            <w:tcW w:w="4330" w:type="dxa"/>
            <w:tcBorders>
              <w:bottom w:val="nil"/>
            </w:tcBorders>
            <w:shd w:val="clear" w:color="auto" w:fill="A6A6A6" w:themeFill="background1" w:themeFillShade="A6"/>
          </w:tcPr>
          <w:p w:rsidR="006E7C3A" w:rsidRPr="00C84D55" w:rsidRDefault="006E7C3A" w:rsidP="006E7C3A">
            <w:pPr>
              <w:pStyle w:val="TableHeading"/>
            </w:pPr>
            <w:r w:rsidRPr="00C84D55">
              <w:t>Condition, by organ, body system or primary site</w:t>
            </w:r>
          </w:p>
        </w:tc>
        <w:tc>
          <w:tcPr>
            <w:tcW w:w="1730" w:type="dxa"/>
            <w:tcBorders>
              <w:right w:val="nil"/>
            </w:tcBorders>
            <w:shd w:val="clear" w:color="auto" w:fill="A6A6A6" w:themeFill="background1" w:themeFillShade="A6"/>
          </w:tcPr>
          <w:p w:rsidR="006E7C3A" w:rsidRPr="00C84D55" w:rsidRDefault="006E7C3A" w:rsidP="006E7C3A">
            <w:pPr>
              <w:pStyle w:val="TableHeading"/>
            </w:pPr>
          </w:p>
        </w:tc>
        <w:tc>
          <w:tcPr>
            <w:tcW w:w="2011" w:type="dxa"/>
            <w:tcBorders>
              <w:left w:val="nil"/>
              <w:right w:val="nil"/>
            </w:tcBorders>
            <w:shd w:val="clear" w:color="auto" w:fill="A6A6A6" w:themeFill="background1" w:themeFillShade="A6"/>
          </w:tcPr>
          <w:p w:rsidR="006E7C3A" w:rsidRPr="0055159B" w:rsidRDefault="006E7C3A" w:rsidP="006E7C3A">
            <w:pPr>
              <w:pStyle w:val="TableHeading"/>
              <w:rPr>
                <w:vertAlign w:val="superscript"/>
              </w:rPr>
            </w:pPr>
            <w:r w:rsidRPr="00C84D55">
              <w:t>Estimated prevalence</w:t>
            </w:r>
            <w:r w:rsidR="0055159B">
              <w:rPr>
                <w:vertAlign w:val="superscript"/>
              </w:rPr>
              <w:t>#</w:t>
            </w:r>
          </w:p>
        </w:tc>
        <w:tc>
          <w:tcPr>
            <w:tcW w:w="1565" w:type="dxa"/>
            <w:tcBorders>
              <w:left w:val="nil"/>
            </w:tcBorders>
            <w:shd w:val="clear" w:color="auto" w:fill="A6A6A6" w:themeFill="background1" w:themeFillShade="A6"/>
          </w:tcPr>
          <w:p w:rsidR="006E7C3A" w:rsidRPr="00C84D55" w:rsidRDefault="006E7C3A" w:rsidP="006E7C3A">
            <w:pPr>
              <w:pStyle w:val="TableHeading"/>
            </w:pPr>
          </w:p>
        </w:tc>
        <w:tc>
          <w:tcPr>
            <w:tcW w:w="4535" w:type="dxa"/>
            <w:tcBorders>
              <w:left w:val="nil"/>
            </w:tcBorders>
            <w:shd w:val="clear" w:color="auto" w:fill="A6A6A6" w:themeFill="background1" w:themeFillShade="A6"/>
          </w:tcPr>
          <w:p w:rsidR="006E7C3A" w:rsidRPr="00C84D55" w:rsidRDefault="006E7C3A" w:rsidP="006E7C3A">
            <w:pPr>
              <w:pStyle w:val="TableHeading"/>
              <w:rPr>
                <w:color w:val="FFFFFF"/>
              </w:rPr>
            </w:pPr>
            <w:r w:rsidRPr="00C84D55">
              <w:t>Drug / drug class (brand name)</w:t>
            </w:r>
          </w:p>
        </w:tc>
      </w:tr>
      <w:tr w:rsidR="00D27369" w:rsidRPr="00C84D55" w:rsidTr="001F44E1">
        <w:trPr>
          <w:tblHeader/>
        </w:trPr>
        <w:tc>
          <w:tcPr>
            <w:tcW w:w="4330" w:type="dxa"/>
            <w:tcBorders>
              <w:top w:val="nil"/>
            </w:tcBorders>
            <w:shd w:val="clear" w:color="auto" w:fill="A6A6A6" w:themeFill="background1" w:themeFillShade="A6"/>
          </w:tcPr>
          <w:p w:rsidR="006E7C3A" w:rsidRPr="00C84D55" w:rsidRDefault="006E7C3A" w:rsidP="006E7C3A">
            <w:pPr>
              <w:pStyle w:val="TableHeading"/>
            </w:pPr>
          </w:p>
        </w:tc>
        <w:tc>
          <w:tcPr>
            <w:tcW w:w="1730" w:type="dxa"/>
            <w:shd w:val="clear" w:color="auto" w:fill="A6A6A6" w:themeFill="background1" w:themeFillShade="A6"/>
            <w:vAlign w:val="center"/>
          </w:tcPr>
          <w:p w:rsidR="006E7C3A" w:rsidRPr="00C84D55" w:rsidRDefault="006E7C3A" w:rsidP="006E7C3A">
            <w:pPr>
              <w:pStyle w:val="TableHeading"/>
            </w:pPr>
            <w:r w:rsidRPr="00C84D55">
              <w:t>≤1 per 100,000</w:t>
            </w:r>
          </w:p>
        </w:tc>
        <w:tc>
          <w:tcPr>
            <w:tcW w:w="2011" w:type="dxa"/>
            <w:shd w:val="clear" w:color="auto" w:fill="A6A6A6" w:themeFill="background1" w:themeFillShade="A6"/>
            <w:vAlign w:val="center"/>
          </w:tcPr>
          <w:p w:rsidR="006E7C3A" w:rsidRPr="00C84D55" w:rsidRDefault="006E7C3A" w:rsidP="006E7C3A">
            <w:pPr>
              <w:pStyle w:val="TableHeading"/>
            </w:pPr>
            <w:r w:rsidRPr="00C84D55">
              <w:t>&lt;1 per 10,000</w:t>
            </w:r>
          </w:p>
        </w:tc>
        <w:tc>
          <w:tcPr>
            <w:tcW w:w="1565" w:type="dxa"/>
            <w:shd w:val="clear" w:color="auto" w:fill="A6A6A6" w:themeFill="background1" w:themeFillShade="A6"/>
            <w:vAlign w:val="center"/>
          </w:tcPr>
          <w:p w:rsidR="006E7C3A" w:rsidRPr="00C84D55" w:rsidRDefault="006E7C3A" w:rsidP="006E7C3A">
            <w:pPr>
              <w:pStyle w:val="TableHeading"/>
            </w:pPr>
            <w:r w:rsidRPr="00C84D55">
              <w:t>&lt;1 per 2,000</w:t>
            </w:r>
          </w:p>
        </w:tc>
        <w:tc>
          <w:tcPr>
            <w:tcW w:w="4535" w:type="dxa"/>
            <w:shd w:val="clear" w:color="auto" w:fill="A6A6A6" w:themeFill="background1" w:themeFillShade="A6"/>
          </w:tcPr>
          <w:p w:rsidR="006E7C3A" w:rsidRPr="00C84D55" w:rsidRDefault="006E7C3A" w:rsidP="006E7C3A">
            <w:pPr>
              <w:pStyle w:val="TableHeading"/>
            </w:pPr>
          </w:p>
        </w:tc>
      </w:tr>
      <w:tr w:rsidR="00D27369" w:rsidRPr="00C84D55" w:rsidTr="00DC5428">
        <w:tc>
          <w:tcPr>
            <w:tcW w:w="4330" w:type="dxa"/>
            <w:tcBorders>
              <w:right w:val="nil"/>
            </w:tcBorders>
            <w:shd w:val="clear" w:color="auto" w:fill="BFBFBF" w:themeFill="background1" w:themeFillShade="BF"/>
          </w:tcPr>
          <w:p w:rsidR="008B68E2" w:rsidRPr="00C84D55" w:rsidRDefault="008B68E2" w:rsidP="006E7C3A">
            <w:pPr>
              <w:pStyle w:val="TableText0"/>
              <w:rPr>
                <w:lang w:eastAsia="en-AU"/>
              </w:rPr>
            </w:pPr>
            <w:r w:rsidRPr="00C84D55">
              <w:rPr>
                <w:lang w:eastAsia="en-AU"/>
              </w:rPr>
              <w:t xml:space="preserve">Distinct </w:t>
            </w:r>
            <w:r w:rsidRPr="00C84D55">
              <w:rPr>
                <w:shd w:val="clear" w:color="auto" w:fill="BFBFBF"/>
                <w:lang w:eastAsia="en-AU"/>
              </w:rPr>
              <w:t>diseases / conditions</w:t>
            </w:r>
          </w:p>
        </w:tc>
        <w:tc>
          <w:tcPr>
            <w:tcW w:w="1730" w:type="dxa"/>
            <w:tcBorders>
              <w:left w:val="nil"/>
              <w:right w:val="nil"/>
            </w:tcBorders>
            <w:shd w:val="clear" w:color="auto" w:fill="BFBFBF" w:themeFill="background1" w:themeFillShade="BF"/>
          </w:tcPr>
          <w:p w:rsidR="008B68E2" w:rsidRPr="00C84D55" w:rsidRDefault="008B68E2" w:rsidP="008B68E2">
            <w:pPr>
              <w:pStyle w:val="TableText0"/>
              <w:rPr>
                <w:lang w:eastAsia="en-AU"/>
              </w:rPr>
            </w:pPr>
          </w:p>
        </w:tc>
        <w:tc>
          <w:tcPr>
            <w:tcW w:w="2011" w:type="dxa"/>
            <w:tcBorders>
              <w:left w:val="nil"/>
              <w:right w:val="nil"/>
            </w:tcBorders>
            <w:shd w:val="clear" w:color="auto" w:fill="BFBFBF" w:themeFill="background1" w:themeFillShade="BF"/>
          </w:tcPr>
          <w:p w:rsidR="008B68E2" w:rsidRPr="00C84D55" w:rsidRDefault="008B68E2" w:rsidP="008B68E2">
            <w:pPr>
              <w:pStyle w:val="TableText0"/>
              <w:rPr>
                <w:lang w:eastAsia="en-AU"/>
              </w:rPr>
            </w:pPr>
          </w:p>
        </w:tc>
        <w:tc>
          <w:tcPr>
            <w:tcW w:w="1565" w:type="dxa"/>
            <w:tcBorders>
              <w:left w:val="nil"/>
              <w:right w:val="nil"/>
            </w:tcBorders>
            <w:shd w:val="clear" w:color="auto" w:fill="BFBFBF" w:themeFill="background1" w:themeFillShade="BF"/>
          </w:tcPr>
          <w:p w:rsidR="008B68E2" w:rsidRPr="00C84D55" w:rsidRDefault="008B68E2" w:rsidP="008B68E2">
            <w:pPr>
              <w:pStyle w:val="TableText0"/>
              <w:rPr>
                <w:lang w:eastAsia="en-AU"/>
              </w:rPr>
            </w:pPr>
          </w:p>
        </w:tc>
        <w:tc>
          <w:tcPr>
            <w:tcW w:w="4535" w:type="dxa"/>
            <w:tcBorders>
              <w:left w:val="nil"/>
            </w:tcBorders>
            <w:shd w:val="clear" w:color="auto" w:fill="BFBFBF" w:themeFill="background1" w:themeFillShade="BF"/>
          </w:tcPr>
          <w:p w:rsidR="008B68E2" w:rsidRPr="00C84D55" w:rsidRDefault="008B68E2" w:rsidP="006E7C3A">
            <w:pPr>
              <w:pStyle w:val="TableText0"/>
              <w:rPr>
                <w:lang w:eastAsia="en-AU"/>
              </w:rPr>
            </w:pPr>
          </w:p>
        </w:tc>
      </w:tr>
      <w:tr w:rsidR="00D27369" w:rsidRPr="00C84D55" w:rsidTr="00DC5428">
        <w:tc>
          <w:tcPr>
            <w:tcW w:w="4330" w:type="dxa"/>
            <w:tcBorders>
              <w:right w:val="nil"/>
            </w:tcBorders>
            <w:shd w:val="clear" w:color="auto" w:fill="D9D9D9" w:themeFill="background1" w:themeFillShade="D9"/>
          </w:tcPr>
          <w:p w:rsidR="008B68E2" w:rsidRPr="00C84D55" w:rsidRDefault="008B68E2" w:rsidP="006E7C3A">
            <w:pPr>
              <w:pStyle w:val="TableText0"/>
              <w:rPr>
                <w:i/>
                <w:lang w:eastAsia="en-AU"/>
              </w:rPr>
            </w:pPr>
            <w:r w:rsidRPr="00C84D55">
              <w:rPr>
                <w:i/>
                <w:lang w:eastAsia="en-AU"/>
              </w:rPr>
              <w:t>Autoimmune disorders</w:t>
            </w:r>
          </w:p>
        </w:tc>
        <w:tc>
          <w:tcPr>
            <w:tcW w:w="1730"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i/>
                <w:lang w:eastAsia="en-AU"/>
              </w:rPr>
            </w:pPr>
          </w:p>
        </w:tc>
      </w:tr>
      <w:tr w:rsidR="00D27369" w:rsidRPr="00C84D55" w:rsidTr="001F44E1">
        <w:tc>
          <w:tcPr>
            <w:tcW w:w="4330" w:type="dxa"/>
            <w:tcBorders>
              <w:right w:val="nil"/>
            </w:tcBorders>
            <w:shd w:val="clear" w:color="auto" w:fill="FFFFFF" w:themeFill="background1"/>
          </w:tcPr>
          <w:p w:rsidR="006E7C3A" w:rsidRPr="00C84D55" w:rsidRDefault="006E7C3A" w:rsidP="006E7C3A">
            <w:pPr>
              <w:pStyle w:val="TableText0"/>
              <w:rPr>
                <w:lang w:eastAsia="en-AU"/>
              </w:rPr>
            </w:pPr>
            <w:r w:rsidRPr="00C84D55">
              <w:rPr>
                <w:lang w:eastAsia="en-AU"/>
              </w:rPr>
              <w:t>Behcet’s disease</w:t>
            </w:r>
          </w:p>
        </w:tc>
        <w:tc>
          <w:tcPr>
            <w:tcW w:w="1730" w:type="dxa"/>
            <w:tcBorders>
              <w:left w:val="nil"/>
            </w:tcBorders>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2011" w:type="dxa"/>
            <w:shd w:val="clear" w:color="auto" w:fill="FFFFFF" w:themeFill="background1"/>
          </w:tcPr>
          <w:p w:rsidR="006E7C3A" w:rsidRPr="00C84D55" w:rsidRDefault="006E7C3A" w:rsidP="006E7C3A">
            <w:pPr>
              <w:pStyle w:val="TableText0"/>
              <w:rPr>
                <w:lang w:eastAsia="en-AU"/>
              </w:rPr>
            </w:pPr>
            <w:r w:rsidRPr="00C84D55">
              <w:rPr>
                <w:lang w:eastAsia="en-AU"/>
              </w:rPr>
              <w:t>0.4 per 10,000</w:t>
            </w:r>
          </w:p>
        </w:tc>
        <w:tc>
          <w:tcPr>
            <w:tcW w:w="1565" w:type="dxa"/>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4535" w:type="dxa"/>
            <w:shd w:val="clear" w:color="auto" w:fill="FFFFFF" w:themeFill="background1"/>
          </w:tcPr>
          <w:p w:rsidR="006E7C3A" w:rsidRPr="00C84D55" w:rsidRDefault="006E7C3A" w:rsidP="006E7C3A">
            <w:pPr>
              <w:pStyle w:val="TableText0"/>
              <w:rPr>
                <w:lang w:eastAsia="en-AU"/>
              </w:rPr>
            </w:pPr>
            <w:r w:rsidRPr="00C84D55">
              <w:rPr>
                <w:lang w:eastAsia="en-AU"/>
              </w:rPr>
              <w:t>apremilast</w:t>
            </w:r>
          </w:p>
          <w:p w:rsidR="006E7C3A" w:rsidRPr="00C84D55" w:rsidRDefault="006E7C3A" w:rsidP="006E7C3A">
            <w:pPr>
              <w:pStyle w:val="TableText0"/>
              <w:rPr>
                <w:lang w:eastAsia="en-AU"/>
              </w:rPr>
            </w:pPr>
            <w:r w:rsidRPr="00C84D55">
              <w:rPr>
                <w:lang w:eastAsia="en-AU"/>
              </w:rPr>
              <w:t>gevokizumab</w:t>
            </w:r>
          </w:p>
        </w:tc>
      </w:tr>
      <w:tr w:rsidR="00D27369" w:rsidRPr="00C84D55" w:rsidTr="001F44E1">
        <w:tc>
          <w:tcPr>
            <w:tcW w:w="4330" w:type="dxa"/>
            <w:shd w:val="clear" w:color="auto" w:fill="FFFFFF" w:themeFill="background1"/>
          </w:tcPr>
          <w:p w:rsidR="006E7C3A" w:rsidRPr="00C84D55" w:rsidRDefault="006E7C3A" w:rsidP="006E7C3A">
            <w:pPr>
              <w:pStyle w:val="TableText0"/>
              <w:rPr>
                <w:lang w:eastAsia="en-AU"/>
              </w:rPr>
            </w:pPr>
            <w:r w:rsidRPr="00C84D55">
              <w:rPr>
                <w:lang w:eastAsia="en-AU"/>
              </w:rPr>
              <w:t xml:space="preserve">Chronic inflammatory demyelinating polyneuropathy </w:t>
            </w:r>
          </w:p>
        </w:tc>
        <w:tc>
          <w:tcPr>
            <w:tcW w:w="1730" w:type="dxa"/>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2011" w:type="dxa"/>
            <w:shd w:val="clear" w:color="auto" w:fill="FFFFFF" w:themeFill="background1"/>
          </w:tcPr>
          <w:p w:rsidR="006E7C3A" w:rsidRPr="00C84D55" w:rsidRDefault="006E7C3A" w:rsidP="006E7C3A">
            <w:pPr>
              <w:pStyle w:val="TableText0"/>
              <w:rPr>
                <w:lang w:eastAsia="en-AU"/>
              </w:rPr>
            </w:pPr>
            <w:r w:rsidRPr="00C84D55">
              <w:rPr>
                <w:lang w:eastAsia="en-AU"/>
              </w:rPr>
              <w:t>0.4 per 10,000</w:t>
            </w:r>
          </w:p>
        </w:tc>
        <w:tc>
          <w:tcPr>
            <w:tcW w:w="1565" w:type="dxa"/>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4535" w:type="dxa"/>
            <w:shd w:val="clear" w:color="auto" w:fill="FFFFFF" w:themeFill="background1"/>
          </w:tcPr>
          <w:p w:rsidR="006E7C3A" w:rsidRPr="00C84D55" w:rsidRDefault="006E7C3A" w:rsidP="006E7C3A">
            <w:pPr>
              <w:pStyle w:val="TableText0"/>
              <w:rPr>
                <w:lang w:eastAsia="en-AU"/>
              </w:rPr>
            </w:pPr>
            <w:r w:rsidRPr="00C84D55">
              <w:rPr>
                <w:lang w:eastAsia="en-AU"/>
              </w:rPr>
              <w:t>fingolomod (Gilenya)</w:t>
            </w:r>
          </w:p>
        </w:tc>
      </w:tr>
      <w:tr w:rsidR="00D27369" w:rsidRPr="00C84D55" w:rsidTr="001F44E1">
        <w:tc>
          <w:tcPr>
            <w:tcW w:w="4330" w:type="dxa"/>
            <w:shd w:val="clear" w:color="auto" w:fill="FFFFFF" w:themeFill="background1"/>
          </w:tcPr>
          <w:p w:rsidR="006E7C3A" w:rsidRPr="00C84D55" w:rsidRDefault="006E7C3A" w:rsidP="006E7C3A">
            <w:pPr>
              <w:pStyle w:val="TableText0"/>
              <w:rPr>
                <w:lang w:eastAsia="en-AU"/>
              </w:rPr>
            </w:pPr>
            <w:r w:rsidRPr="00C84D55">
              <w:rPr>
                <w:lang w:eastAsia="en-AU"/>
              </w:rPr>
              <w:t>Lambert-Eaton myasthenic syndrome</w:t>
            </w:r>
          </w:p>
        </w:tc>
        <w:tc>
          <w:tcPr>
            <w:tcW w:w="1730" w:type="dxa"/>
            <w:shd w:val="clear" w:color="auto" w:fill="FFFFFF" w:themeFill="background1"/>
          </w:tcPr>
          <w:p w:rsidR="006E7C3A" w:rsidRPr="00C84D55" w:rsidRDefault="006E7C3A" w:rsidP="006E7C3A">
            <w:pPr>
              <w:pStyle w:val="TableText0"/>
              <w:rPr>
                <w:lang w:eastAsia="en-AU"/>
              </w:rPr>
            </w:pPr>
            <w:r w:rsidRPr="00C84D55">
              <w:rPr>
                <w:lang w:eastAsia="en-AU"/>
              </w:rPr>
              <w:t>1 per 100,000</w:t>
            </w:r>
          </w:p>
        </w:tc>
        <w:tc>
          <w:tcPr>
            <w:tcW w:w="2011" w:type="dxa"/>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1565" w:type="dxa"/>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4535" w:type="dxa"/>
            <w:shd w:val="clear" w:color="auto" w:fill="FFFFFF" w:themeFill="background1"/>
          </w:tcPr>
          <w:p w:rsidR="006E7C3A" w:rsidRPr="00C84D55" w:rsidRDefault="006E7C3A" w:rsidP="006E7C3A">
            <w:pPr>
              <w:pStyle w:val="TableText0"/>
              <w:rPr>
                <w:lang w:eastAsia="en-AU"/>
              </w:rPr>
            </w:pPr>
            <w:r w:rsidRPr="00C84D55">
              <w:rPr>
                <w:lang w:eastAsia="en-AU"/>
              </w:rPr>
              <w:t>amifampridine (Firdapse)</w:t>
            </w:r>
          </w:p>
        </w:tc>
      </w:tr>
      <w:tr w:rsidR="00D27369" w:rsidRPr="00C84D55" w:rsidTr="001F44E1">
        <w:tc>
          <w:tcPr>
            <w:tcW w:w="4330" w:type="dxa"/>
            <w:shd w:val="clear" w:color="auto" w:fill="FFFFFF" w:themeFill="background1"/>
          </w:tcPr>
          <w:p w:rsidR="006E7C3A" w:rsidRPr="00C84D55" w:rsidRDefault="006E7C3A" w:rsidP="006E7C3A">
            <w:pPr>
              <w:pStyle w:val="TableText0"/>
              <w:rPr>
                <w:lang w:eastAsia="en-AU"/>
              </w:rPr>
            </w:pPr>
            <w:r w:rsidRPr="00C84D55">
              <w:rPr>
                <w:lang w:eastAsia="en-AU"/>
              </w:rPr>
              <w:t>Sarcoidosis</w:t>
            </w:r>
          </w:p>
        </w:tc>
        <w:tc>
          <w:tcPr>
            <w:tcW w:w="1730" w:type="dxa"/>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2011" w:type="dxa"/>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1565" w:type="dxa"/>
            <w:shd w:val="clear" w:color="auto" w:fill="FFFFFF" w:themeFill="background1"/>
          </w:tcPr>
          <w:p w:rsidR="006E7C3A" w:rsidRPr="00C84D55" w:rsidRDefault="006E7C3A" w:rsidP="006E7C3A">
            <w:pPr>
              <w:pStyle w:val="TableText0"/>
              <w:rPr>
                <w:lang w:eastAsia="en-AU"/>
              </w:rPr>
            </w:pPr>
            <w:r w:rsidRPr="00C84D55">
              <w:rPr>
                <w:lang w:eastAsia="en-AU"/>
              </w:rPr>
              <w:t>0.3 per 2,000</w:t>
            </w:r>
          </w:p>
        </w:tc>
        <w:tc>
          <w:tcPr>
            <w:tcW w:w="4535" w:type="dxa"/>
            <w:shd w:val="clear" w:color="auto" w:fill="FFFFFF" w:themeFill="background1"/>
          </w:tcPr>
          <w:p w:rsidR="006E7C3A" w:rsidRPr="00C84D55" w:rsidRDefault="006E7C3A" w:rsidP="006E7C3A">
            <w:pPr>
              <w:pStyle w:val="TableText0"/>
              <w:rPr>
                <w:lang w:eastAsia="en-AU"/>
              </w:rPr>
            </w:pPr>
            <w:r w:rsidRPr="00C84D55">
              <w:rPr>
                <w:lang w:eastAsia="en-AU"/>
              </w:rPr>
              <w:t>golimumab (Simponi)</w:t>
            </w:r>
          </w:p>
          <w:p w:rsidR="006E7C3A" w:rsidRPr="00C84D55" w:rsidRDefault="006E7C3A" w:rsidP="006E7C3A">
            <w:pPr>
              <w:pStyle w:val="TableText0"/>
              <w:rPr>
                <w:lang w:eastAsia="en-AU"/>
              </w:rPr>
            </w:pPr>
            <w:r w:rsidRPr="00C84D55">
              <w:rPr>
                <w:lang w:eastAsia="en-AU"/>
              </w:rPr>
              <w:t>ustekinumab (Stelara)</w:t>
            </w:r>
          </w:p>
        </w:tc>
      </w:tr>
      <w:tr w:rsidR="00D27369" w:rsidRPr="00C84D55" w:rsidTr="001F44E1">
        <w:tc>
          <w:tcPr>
            <w:tcW w:w="4330" w:type="dxa"/>
            <w:shd w:val="clear" w:color="auto" w:fill="FFFFFF" w:themeFill="background1"/>
          </w:tcPr>
          <w:p w:rsidR="006E7C3A" w:rsidRPr="00C84D55" w:rsidRDefault="006E7C3A" w:rsidP="006E7C3A">
            <w:pPr>
              <w:pStyle w:val="TableText0"/>
              <w:rPr>
                <w:lang w:eastAsia="en-AU"/>
              </w:rPr>
            </w:pPr>
            <w:r w:rsidRPr="00C84D55">
              <w:rPr>
                <w:lang w:eastAsia="en-AU"/>
              </w:rPr>
              <w:t>Systemic sclerosis</w:t>
            </w:r>
          </w:p>
        </w:tc>
        <w:tc>
          <w:tcPr>
            <w:tcW w:w="1730" w:type="dxa"/>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2011" w:type="dxa"/>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1565" w:type="dxa"/>
            <w:shd w:val="clear" w:color="auto" w:fill="FFFFFF" w:themeFill="background1"/>
          </w:tcPr>
          <w:p w:rsidR="006E7C3A" w:rsidRPr="00C84D55" w:rsidRDefault="006E7C3A" w:rsidP="006E7C3A">
            <w:pPr>
              <w:pStyle w:val="TableText0"/>
              <w:rPr>
                <w:lang w:eastAsia="en-AU"/>
              </w:rPr>
            </w:pPr>
            <w:r w:rsidRPr="00C84D55">
              <w:rPr>
                <w:lang w:eastAsia="en-AU"/>
              </w:rPr>
              <w:t>0.5 per 2,000</w:t>
            </w:r>
          </w:p>
        </w:tc>
        <w:tc>
          <w:tcPr>
            <w:tcW w:w="4535" w:type="dxa"/>
            <w:shd w:val="clear" w:color="auto" w:fill="FFFFFF" w:themeFill="background1"/>
          </w:tcPr>
          <w:p w:rsidR="006E7C3A" w:rsidRPr="00C84D55" w:rsidRDefault="006E7C3A" w:rsidP="006E7C3A">
            <w:pPr>
              <w:pStyle w:val="TableText0"/>
              <w:rPr>
                <w:lang w:eastAsia="en-AU"/>
              </w:rPr>
            </w:pPr>
            <w:r w:rsidRPr="00C84D55">
              <w:rPr>
                <w:lang w:eastAsia="en-AU"/>
              </w:rPr>
              <w:t>tocilizumab (Actemra)</w:t>
            </w:r>
          </w:p>
          <w:p w:rsidR="006E7C3A" w:rsidRPr="00C84D55" w:rsidRDefault="006E7C3A" w:rsidP="006E7C3A">
            <w:pPr>
              <w:pStyle w:val="TableText0"/>
              <w:rPr>
                <w:lang w:eastAsia="en-AU"/>
              </w:rPr>
            </w:pPr>
            <w:r w:rsidRPr="00C84D55">
              <w:rPr>
                <w:lang w:eastAsia="en-AU"/>
              </w:rPr>
              <w:t>pomalidomide (Pomalyst)</w:t>
            </w:r>
          </w:p>
          <w:p w:rsidR="006E7C3A" w:rsidRPr="00C84D55" w:rsidRDefault="006E7C3A" w:rsidP="006E7C3A">
            <w:pPr>
              <w:pStyle w:val="TableText0"/>
              <w:rPr>
                <w:lang w:eastAsia="en-AU"/>
              </w:rPr>
            </w:pPr>
            <w:r w:rsidRPr="00C84D55">
              <w:rPr>
                <w:lang w:eastAsia="en-AU"/>
              </w:rPr>
              <w:t>LPA-1/LPA-3 antagonist</w:t>
            </w:r>
          </w:p>
        </w:tc>
      </w:tr>
      <w:tr w:rsidR="00D27369" w:rsidRPr="00C84D55" w:rsidTr="001F44E1">
        <w:tc>
          <w:tcPr>
            <w:tcW w:w="4330" w:type="dxa"/>
            <w:shd w:val="clear" w:color="auto" w:fill="FFFFFF" w:themeFill="background1"/>
          </w:tcPr>
          <w:p w:rsidR="006E7C3A" w:rsidRPr="00C84D55" w:rsidRDefault="006E7C3A" w:rsidP="006E7C3A">
            <w:pPr>
              <w:pStyle w:val="TableText0"/>
              <w:rPr>
                <w:lang w:eastAsia="en-AU"/>
              </w:rPr>
            </w:pPr>
            <w:r w:rsidRPr="00C84D55">
              <w:rPr>
                <w:lang w:eastAsia="en-AU"/>
              </w:rPr>
              <w:t xml:space="preserve">Thrombotic </w:t>
            </w:r>
            <w:r w:rsidR="00E66055" w:rsidRPr="00C84D55">
              <w:rPr>
                <w:lang w:eastAsia="en-AU"/>
              </w:rPr>
              <w:t>thrombocytopenic</w:t>
            </w:r>
            <w:r w:rsidRPr="00C84D55">
              <w:rPr>
                <w:lang w:eastAsia="en-AU"/>
              </w:rPr>
              <w:t xml:space="preserve"> purpura</w:t>
            </w:r>
          </w:p>
        </w:tc>
        <w:tc>
          <w:tcPr>
            <w:tcW w:w="1730" w:type="dxa"/>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2011" w:type="dxa"/>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1565" w:type="dxa"/>
            <w:shd w:val="clear" w:color="auto" w:fill="FFFFFF" w:themeFill="background1"/>
          </w:tcPr>
          <w:p w:rsidR="006E7C3A" w:rsidRPr="00C84D55" w:rsidRDefault="006E7C3A" w:rsidP="006E7C3A">
            <w:pPr>
              <w:pStyle w:val="TableText0"/>
              <w:rPr>
                <w:lang w:eastAsia="en-AU"/>
              </w:rPr>
            </w:pPr>
            <w:r w:rsidRPr="00C84D55">
              <w:rPr>
                <w:lang w:eastAsia="en-AU"/>
              </w:rPr>
              <w:t>0.5 per 2,000</w:t>
            </w:r>
          </w:p>
        </w:tc>
        <w:tc>
          <w:tcPr>
            <w:tcW w:w="4535" w:type="dxa"/>
            <w:shd w:val="clear" w:color="auto" w:fill="FFFFFF" w:themeFill="background1"/>
          </w:tcPr>
          <w:p w:rsidR="006E7C3A" w:rsidRPr="00C84D55" w:rsidRDefault="006E7C3A" w:rsidP="006E7C3A">
            <w:pPr>
              <w:pStyle w:val="TableText0"/>
              <w:rPr>
                <w:lang w:eastAsia="en-AU"/>
              </w:rPr>
            </w:pPr>
            <w:r w:rsidRPr="00C84D55">
              <w:rPr>
                <w:lang w:eastAsia="en-AU"/>
              </w:rPr>
              <w:t>caplacizumab</w:t>
            </w:r>
          </w:p>
          <w:p w:rsidR="006E7C3A" w:rsidRPr="00C84D55" w:rsidRDefault="006E7C3A" w:rsidP="006E7C3A">
            <w:pPr>
              <w:pStyle w:val="TableText0"/>
              <w:rPr>
                <w:lang w:eastAsia="en-AU"/>
              </w:rPr>
            </w:pPr>
            <w:r w:rsidRPr="00C84D55">
              <w:rPr>
                <w:lang w:eastAsia="en-AU"/>
              </w:rPr>
              <w:t>human coagulation active plasma, solvent/detergent treated (Octaplas LG)</w:t>
            </w:r>
          </w:p>
        </w:tc>
      </w:tr>
      <w:tr w:rsidR="00D27369" w:rsidRPr="00C84D55" w:rsidTr="001F44E1">
        <w:tc>
          <w:tcPr>
            <w:tcW w:w="4330" w:type="dxa"/>
            <w:tcBorders>
              <w:right w:val="nil"/>
            </w:tcBorders>
            <w:shd w:val="clear" w:color="auto" w:fill="D9D9D9" w:themeFill="background1" w:themeFillShade="D9"/>
          </w:tcPr>
          <w:p w:rsidR="008B68E2" w:rsidRPr="00C84D55" w:rsidRDefault="008B68E2" w:rsidP="006E7C3A">
            <w:pPr>
              <w:pStyle w:val="TableText0"/>
              <w:rPr>
                <w:i/>
                <w:lang w:eastAsia="en-AU"/>
              </w:rPr>
            </w:pPr>
            <w:r w:rsidRPr="00C84D55">
              <w:rPr>
                <w:i/>
                <w:lang w:eastAsia="en-AU"/>
              </w:rPr>
              <w:t>Diseases of the brain and nervous system, including neurodegenerative disorders</w:t>
            </w:r>
          </w:p>
        </w:tc>
        <w:tc>
          <w:tcPr>
            <w:tcW w:w="1730" w:type="dxa"/>
            <w:tcBorders>
              <w:left w:val="nil"/>
              <w:right w:val="nil"/>
            </w:tcBorders>
            <w:shd w:val="clear" w:color="auto" w:fill="D9D9D9" w:themeFill="background1" w:themeFillShade="D9"/>
          </w:tcPr>
          <w:p w:rsidR="008B68E2" w:rsidRPr="00C84D55" w:rsidRDefault="008B68E2" w:rsidP="006E7C3A">
            <w:pPr>
              <w:pStyle w:val="TableText0"/>
              <w:rPr>
                <w:i/>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i/>
                <w:lang w:eastAsia="en-AU"/>
              </w:rPr>
            </w:pP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Amyotrophic lateral sclerosis</w:t>
            </w:r>
          </w:p>
        </w:tc>
        <w:tc>
          <w:tcPr>
            <w:tcW w:w="1730" w:type="dxa"/>
            <w:tcBorders>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0.5 per 10,000</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arimoclomol</w:t>
            </w:r>
          </w:p>
          <w:p w:rsidR="006E7C3A" w:rsidRPr="00C84D55" w:rsidRDefault="006E7C3A" w:rsidP="006E7C3A">
            <w:pPr>
              <w:pStyle w:val="TableText0"/>
              <w:rPr>
                <w:lang w:eastAsia="en-AU"/>
              </w:rPr>
            </w:pPr>
            <w:r w:rsidRPr="00C84D55">
              <w:rPr>
                <w:lang w:eastAsia="en-AU"/>
              </w:rPr>
              <w:t>autologous bone-marrow-derived mesenchymal stem cells</w:t>
            </w:r>
          </w:p>
          <w:p w:rsidR="006E7C3A" w:rsidRPr="00C84D55" w:rsidRDefault="006E7C3A" w:rsidP="006E7C3A">
            <w:pPr>
              <w:pStyle w:val="TableText0"/>
              <w:rPr>
                <w:lang w:eastAsia="en-AU"/>
              </w:rPr>
            </w:pPr>
            <w:r w:rsidRPr="00C84D55">
              <w:rPr>
                <w:lang w:eastAsia="en-AU"/>
              </w:rPr>
              <w:t>repository corticotropin injection, subcutaneous (HP Acthar Gel)</w:t>
            </w:r>
          </w:p>
          <w:p w:rsidR="006E7C3A" w:rsidRPr="00C84D55" w:rsidRDefault="006E7C3A" w:rsidP="006E7C3A">
            <w:pPr>
              <w:pStyle w:val="TableText0"/>
              <w:rPr>
                <w:lang w:eastAsia="en-AU"/>
              </w:rPr>
            </w:pPr>
            <w:r w:rsidRPr="00C84D55">
              <w:rPr>
                <w:lang w:eastAsia="en-AU"/>
              </w:rPr>
              <w:lastRenderedPageBreak/>
              <w:t>human spinal cord-derived neural stem cells</w:t>
            </w:r>
          </w:p>
          <w:p w:rsidR="006E7C3A" w:rsidRPr="00C84D55" w:rsidRDefault="006E7C3A" w:rsidP="006E7C3A">
            <w:pPr>
              <w:pStyle w:val="TableText0"/>
              <w:rPr>
                <w:lang w:eastAsia="en-AU"/>
              </w:rPr>
            </w:pPr>
            <w:r w:rsidRPr="00C84D55">
              <w:rPr>
                <w:lang w:eastAsia="en-AU"/>
              </w:rPr>
              <w:t>GDNF-producing stem cell therapy</w:t>
            </w:r>
          </w:p>
          <w:p w:rsidR="006E7C3A" w:rsidRPr="00C84D55" w:rsidRDefault="006E7C3A" w:rsidP="006E7C3A">
            <w:pPr>
              <w:pStyle w:val="TableText0"/>
              <w:rPr>
                <w:lang w:eastAsia="en-AU"/>
              </w:rPr>
            </w:pPr>
            <w:r w:rsidRPr="00C84D55">
              <w:rPr>
                <w:lang w:eastAsia="en-AU"/>
              </w:rPr>
              <w:t>ozanezumab</w:t>
            </w:r>
          </w:p>
          <w:p w:rsidR="006E7C3A" w:rsidRPr="00C84D55" w:rsidRDefault="006E7C3A" w:rsidP="006E7C3A">
            <w:pPr>
              <w:pStyle w:val="TableText0"/>
              <w:rPr>
                <w:lang w:eastAsia="en-AU"/>
              </w:rPr>
            </w:pPr>
            <w:r w:rsidRPr="00C84D55">
              <w:rPr>
                <w:lang w:eastAsia="en-AU"/>
              </w:rPr>
              <w:t>tirasemtiv</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lastRenderedPageBreak/>
              <w:t>Huntington’s disease</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0.7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pridopidine</w:t>
            </w:r>
          </w:p>
          <w:p w:rsidR="006E7C3A" w:rsidRPr="00C84D55" w:rsidRDefault="006E7C3A" w:rsidP="006E7C3A">
            <w:pPr>
              <w:pStyle w:val="TableText0"/>
              <w:rPr>
                <w:lang w:eastAsia="en-AU"/>
              </w:rPr>
            </w:pPr>
            <w:r w:rsidRPr="00C84D55">
              <w:rPr>
                <w:lang w:eastAsia="en-AU"/>
              </w:rPr>
              <w:t>cysteamine</w:t>
            </w:r>
          </w:p>
          <w:p w:rsidR="006E7C3A" w:rsidRPr="00C84D55" w:rsidRDefault="006E7C3A" w:rsidP="006E7C3A">
            <w:pPr>
              <w:pStyle w:val="TableText0"/>
              <w:rPr>
                <w:lang w:eastAsia="en-AU"/>
              </w:rPr>
            </w:pPr>
            <w:r w:rsidRPr="00C84D55">
              <w:rPr>
                <w:lang w:eastAsia="en-AU"/>
              </w:rPr>
              <w:t>SIRT-1 inhibitor</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Lennox-Gestaut epilepsy, second-line treatment</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1.5 per 10,000</w:t>
            </w:r>
          </w:p>
        </w:tc>
        <w:tc>
          <w:tcPr>
            <w:tcW w:w="4535" w:type="dxa"/>
          </w:tcPr>
          <w:p w:rsidR="006E7C3A" w:rsidRPr="00C84D55" w:rsidRDefault="006E7C3A" w:rsidP="006E7C3A">
            <w:pPr>
              <w:pStyle w:val="TableText0"/>
              <w:rPr>
                <w:lang w:eastAsia="en-AU"/>
              </w:rPr>
            </w:pPr>
            <w:r w:rsidRPr="00C84D55">
              <w:rPr>
                <w:lang w:eastAsia="en-AU"/>
              </w:rPr>
              <w:t>rufinamide (Inovelon)</w:t>
            </w:r>
          </w:p>
        </w:tc>
      </w:tr>
      <w:tr w:rsidR="00D27369" w:rsidRPr="00C84D55" w:rsidTr="001F44E1">
        <w:tc>
          <w:tcPr>
            <w:tcW w:w="4330" w:type="dxa"/>
            <w:tcBorders>
              <w:right w:val="nil"/>
            </w:tcBorders>
            <w:shd w:val="clear" w:color="auto" w:fill="D9D9D9" w:themeFill="background1" w:themeFillShade="D9"/>
          </w:tcPr>
          <w:p w:rsidR="008B68E2" w:rsidRPr="00C84D55" w:rsidRDefault="008B68E2" w:rsidP="006E7C3A">
            <w:pPr>
              <w:pStyle w:val="TableText0"/>
              <w:rPr>
                <w:lang w:eastAsia="en-AU"/>
              </w:rPr>
            </w:pPr>
            <w:r w:rsidRPr="00C84D55">
              <w:rPr>
                <w:i/>
                <w:lang w:eastAsia="en-AU"/>
              </w:rPr>
              <w:t>Blood / bone marrow / immune system</w:t>
            </w:r>
          </w:p>
        </w:tc>
        <w:tc>
          <w:tcPr>
            <w:tcW w:w="1730"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Beta-thalassemia</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0.5 per 100,000</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ACE-536 recombinant fusion protein</w:t>
            </w:r>
          </w:p>
          <w:p w:rsidR="006E7C3A" w:rsidRPr="00C84D55" w:rsidRDefault="006E7C3A" w:rsidP="006E7C3A">
            <w:pPr>
              <w:pStyle w:val="TableText0"/>
              <w:rPr>
                <w:lang w:eastAsia="en-AU"/>
              </w:rPr>
            </w:pPr>
            <w:r w:rsidRPr="00C84D55">
              <w:rPr>
                <w:lang w:eastAsia="en-AU"/>
              </w:rPr>
              <w:t>HQK-1001</w:t>
            </w:r>
          </w:p>
          <w:p w:rsidR="006E7C3A" w:rsidRPr="00C84D55" w:rsidRDefault="006E7C3A" w:rsidP="006E7C3A">
            <w:pPr>
              <w:pStyle w:val="TableText0"/>
              <w:rPr>
                <w:lang w:eastAsia="en-AU"/>
              </w:rPr>
            </w:pPr>
            <w:r w:rsidRPr="00C84D55">
              <w:rPr>
                <w:lang w:eastAsia="en-AU"/>
              </w:rPr>
              <w:t>LentiGlobin gene therapy</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Congenital factor X deficiency</w:t>
            </w:r>
          </w:p>
        </w:tc>
        <w:tc>
          <w:tcPr>
            <w:tcW w:w="1730" w:type="dxa"/>
          </w:tcPr>
          <w:p w:rsidR="006E7C3A" w:rsidRPr="00C84D55" w:rsidRDefault="006E7C3A" w:rsidP="006E7C3A">
            <w:pPr>
              <w:pStyle w:val="TableText0"/>
              <w:rPr>
                <w:lang w:eastAsia="en-AU"/>
              </w:rPr>
            </w:pPr>
            <w:r w:rsidRPr="00C84D55">
              <w:rPr>
                <w:lang w:eastAsia="en-AU"/>
              </w:rPr>
              <w:t>0.2 per 100,000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Human coagulation factor X</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Congenital factor XIII deficiency</w:t>
            </w:r>
          </w:p>
        </w:tc>
        <w:tc>
          <w:tcPr>
            <w:tcW w:w="1730" w:type="dxa"/>
          </w:tcPr>
          <w:p w:rsidR="006E7C3A" w:rsidRPr="00C84D55" w:rsidRDefault="006E7C3A" w:rsidP="006E7C3A">
            <w:pPr>
              <w:pStyle w:val="TableText0"/>
              <w:rPr>
                <w:lang w:eastAsia="en-AU"/>
              </w:rPr>
            </w:pPr>
            <w:r w:rsidRPr="00C84D55">
              <w:rPr>
                <w:lang w:eastAsia="en-AU"/>
              </w:rPr>
              <w:t>0.05 per 100,000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catridecacog (NovoThirteen)</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Congenital erythropoietic porphyria</w:t>
            </w:r>
          </w:p>
        </w:tc>
        <w:tc>
          <w:tcPr>
            <w:tcW w:w="1730" w:type="dxa"/>
          </w:tcPr>
          <w:p w:rsidR="006E7C3A" w:rsidRPr="00C84D55" w:rsidRDefault="006E7C3A" w:rsidP="006E7C3A">
            <w:pPr>
              <w:pStyle w:val="TableText0"/>
              <w:rPr>
                <w:lang w:eastAsia="en-AU"/>
              </w:rPr>
            </w:pPr>
            <w:r w:rsidRPr="00C84D55">
              <w:rPr>
                <w:lang w:eastAsia="en-AU"/>
              </w:rPr>
              <w:t>0.3 per 1,000,000 (worldwide)</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afamelanotide</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 xml:space="preserve">Essential </w:t>
            </w:r>
            <w:r w:rsidR="00E66055" w:rsidRPr="00C84D55">
              <w:rPr>
                <w:lang w:eastAsia="en-AU"/>
              </w:rPr>
              <w:t>thrombocythemia</w:t>
            </w:r>
            <w:r w:rsidRPr="00C84D55">
              <w:rPr>
                <w:lang w:eastAsia="en-AU"/>
              </w:rPr>
              <w:t xml:space="preserve"> </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0.5 per 2,000</w:t>
            </w:r>
          </w:p>
        </w:tc>
        <w:tc>
          <w:tcPr>
            <w:tcW w:w="4535" w:type="dxa"/>
          </w:tcPr>
          <w:p w:rsidR="006E7C3A" w:rsidRPr="00C84D55" w:rsidRDefault="006E7C3A" w:rsidP="006E7C3A">
            <w:pPr>
              <w:pStyle w:val="TableText0"/>
              <w:rPr>
                <w:lang w:eastAsia="en-AU"/>
              </w:rPr>
            </w:pPr>
            <w:r w:rsidRPr="00C84D55">
              <w:rPr>
                <w:lang w:eastAsia="en-AU"/>
              </w:rPr>
              <w:t>anagrelide hydrochloride</w:t>
            </w:r>
          </w:p>
          <w:p w:rsidR="006E7C3A" w:rsidRPr="00C84D55" w:rsidRDefault="006E7C3A" w:rsidP="006E7C3A">
            <w:pPr>
              <w:pStyle w:val="TableText0"/>
              <w:rPr>
                <w:lang w:eastAsia="en-AU"/>
              </w:rPr>
            </w:pPr>
            <w:r w:rsidRPr="00C84D55">
              <w:rPr>
                <w:lang w:eastAsia="en-AU"/>
              </w:rPr>
              <w:t>gandotinib</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Haemophilia 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0.7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recombinant human factor VIII-FC (Eloctate)</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Haemophilia B</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0.2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recombinant factor IX fusion protein (Alprolix)</w:t>
            </w:r>
          </w:p>
          <w:p w:rsidR="006E7C3A" w:rsidRPr="00C84D55" w:rsidRDefault="006E7C3A" w:rsidP="006E7C3A">
            <w:pPr>
              <w:pStyle w:val="TableText0"/>
              <w:rPr>
                <w:lang w:eastAsia="en-AU"/>
              </w:rPr>
            </w:pPr>
            <w:r w:rsidRPr="00C84D55">
              <w:rPr>
                <w:lang w:eastAsia="en-AU"/>
              </w:rPr>
              <w:t>AMT060, factor IX gene therapy</w:t>
            </w:r>
          </w:p>
          <w:p w:rsidR="006E7C3A" w:rsidRPr="00C84D55" w:rsidRDefault="006E7C3A" w:rsidP="006E7C3A">
            <w:pPr>
              <w:pStyle w:val="TableText0"/>
              <w:rPr>
                <w:lang w:eastAsia="en-AU"/>
              </w:rPr>
            </w:pPr>
            <w:r w:rsidRPr="00C84D55">
              <w:rPr>
                <w:lang w:eastAsia="en-AU"/>
              </w:rPr>
              <w:t>rIX-FP</w:t>
            </w:r>
          </w:p>
          <w:p w:rsidR="006E7C3A" w:rsidRPr="00C84D55" w:rsidRDefault="006E7C3A" w:rsidP="006E7C3A">
            <w:pPr>
              <w:pStyle w:val="TableText0"/>
              <w:rPr>
                <w:lang w:eastAsia="en-AU"/>
              </w:rPr>
            </w:pPr>
            <w:r w:rsidRPr="00C84D55">
              <w:rPr>
                <w:lang w:eastAsia="en-AU"/>
              </w:rPr>
              <w:t>N9-GP</w:t>
            </w:r>
          </w:p>
        </w:tc>
      </w:tr>
      <w:tr w:rsidR="00D27369" w:rsidRPr="00C84D55" w:rsidTr="001F44E1">
        <w:tc>
          <w:tcPr>
            <w:tcW w:w="4330" w:type="dxa"/>
          </w:tcPr>
          <w:p w:rsidR="006E7C3A" w:rsidRPr="00C84D55" w:rsidRDefault="006E7C3A" w:rsidP="006E7C3A">
            <w:pPr>
              <w:pStyle w:val="TableText0"/>
              <w:rPr>
                <w:rFonts w:ascii="Cambria" w:hAnsi="Cambria" w:cs="Cambria"/>
                <w:color w:val="000000"/>
                <w:lang w:eastAsia="en-AU"/>
              </w:rPr>
            </w:pPr>
            <w:r w:rsidRPr="00C84D55">
              <w:rPr>
                <w:lang w:eastAsia="en-AU"/>
              </w:rPr>
              <w:t>Hereditary angioedema</w:t>
            </w:r>
          </w:p>
        </w:tc>
        <w:tc>
          <w:tcPr>
            <w:tcW w:w="1730" w:type="dxa"/>
          </w:tcPr>
          <w:p w:rsidR="006E7C3A" w:rsidRPr="00C84D55" w:rsidRDefault="006E7C3A" w:rsidP="006E7C3A">
            <w:pPr>
              <w:pStyle w:val="TableText0"/>
              <w:rPr>
                <w:lang w:eastAsia="en-AU"/>
              </w:rPr>
            </w:pPr>
            <w:r w:rsidRPr="00C84D55">
              <w:rPr>
                <w:lang w:eastAsia="en-AU"/>
              </w:rPr>
              <w:t>1 per 100,000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human C1 esterase inhibitors (Berinert, Cinryze)</w:t>
            </w:r>
          </w:p>
          <w:p w:rsidR="006E7C3A" w:rsidRPr="00C84D55" w:rsidRDefault="006E7C3A" w:rsidP="006E7C3A">
            <w:pPr>
              <w:pStyle w:val="TableText0"/>
              <w:rPr>
                <w:lang w:eastAsia="en-AU"/>
              </w:rPr>
            </w:pPr>
            <w:r w:rsidRPr="00C84D55">
              <w:rPr>
                <w:lang w:eastAsia="en-AU"/>
              </w:rPr>
              <w:t>icatibant (Firazyr)</w:t>
            </w:r>
          </w:p>
          <w:p w:rsidR="006E7C3A" w:rsidRPr="00C84D55" w:rsidRDefault="006E7C3A" w:rsidP="006E7C3A">
            <w:pPr>
              <w:pStyle w:val="TableText0"/>
              <w:rPr>
                <w:lang w:eastAsia="en-AU"/>
              </w:rPr>
            </w:pPr>
            <w:r w:rsidRPr="00C84D55">
              <w:rPr>
                <w:lang w:eastAsia="en-AU"/>
              </w:rPr>
              <w:lastRenderedPageBreak/>
              <w:t>conestat alfa (Ruconest)</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lastRenderedPageBreak/>
              <w:t>Malaria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0.3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artesunate injection (Nuartez)</w:t>
            </w:r>
          </w:p>
          <w:p w:rsidR="006E7C3A" w:rsidRPr="00C84D55" w:rsidRDefault="006E7C3A" w:rsidP="006E7C3A">
            <w:pPr>
              <w:pStyle w:val="TableText0"/>
              <w:rPr>
                <w:lang w:eastAsia="en-AU"/>
              </w:rPr>
            </w:pPr>
            <w:r w:rsidRPr="00C84D55">
              <w:rPr>
                <w:lang w:eastAsia="en-AU"/>
              </w:rPr>
              <w:t>tafenoquine</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Myelofibrosis</w:t>
            </w:r>
          </w:p>
        </w:tc>
        <w:tc>
          <w:tcPr>
            <w:tcW w:w="1730" w:type="dxa"/>
          </w:tcPr>
          <w:p w:rsidR="006E7C3A" w:rsidRPr="00C84D55" w:rsidRDefault="006E7C3A" w:rsidP="006E7C3A">
            <w:pPr>
              <w:pStyle w:val="TableText0"/>
              <w:rPr>
                <w:lang w:eastAsia="en-AU"/>
              </w:rPr>
            </w:pPr>
            <w:r w:rsidRPr="00C84D55">
              <w:rPr>
                <w:lang w:eastAsia="en-AU"/>
              </w:rPr>
              <w:t>1 per 100,000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fedratinib</w:t>
            </w:r>
          </w:p>
          <w:p w:rsidR="006E7C3A" w:rsidRPr="00C84D55" w:rsidRDefault="006E7C3A" w:rsidP="006E7C3A">
            <w:pPr>
              <w:pStyle w:val="TableText0"/>
              <w:rPr>
                <w:lang w:eastAsia="en-AU"/>
              </w:rPr>
            </w:pPr>
            <w:r w:rsidRPr="00C84D55">
              <w:rPr>
                <w:lang w:eastAsia="en-AU"/>
              </w:rPr>
              <w:t>gandotinib</w:t>
            </w:r>
          </w:p>
          <w:p w:rsidR="006E7C3A" w:rsidRPr="00C84D55" w:rsidRDefault="006E7C3A" w:rsidP="006E7C3A">
            <w:pPr>
              <w:pStyle w:val="TableText0"/>
              <w:rPr>
                <w:lang w:eastAsia="en-AU"/>
              </w:rPr>
            </w:pPr>
            <w:r w:rsidRPr="00C84D55">
              <w:rPr>
                <w:lang w:eastAsia="en-AU"/>
              </w:rPr>
              <w:t>simtuzumab</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Polycythemia vera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0.6 per 2,000</w:t>
            </w:r>
          </w:p>
        </w:tc>
        <w:tc>
          <w:tcPr>
            <w:tcW w:w="4535" w:type="dxa"/>
          </w:tcPr>
          <w:p w:rsidR="006E7C3A" w:rsidRPr="00C84D55" w:rsidRDefault="006E7C3A" w:rsidP="006E7C3A">
            <w:pPr>
              <w:pStyle w:val="TableText0"/>
              <w:rPr>
                <w:lang w:eastAsia="en-AU"/>
              </w:rPr>
            </w:pPr>
            <w:r w:rsidRPr="00C84D55">
              <w:rPr>
                <w:lang w:eastAsia="en-AU"/>
              </w:rPr>
              <w:t>gandotinib</w:t>
            </w:r>
          </w:p>
          <w:p w:rsidR="006E7C3A" w:rsidRPr="00C84D55" w:rsidRDefault="006E7C3A" w:rsidP="006E7C3A">
            <w:pPr>
              <w:pStyle w:val="TableText0"/>
              <w:rPr>
                <w:lang w:eastAsia="en-AU"/>
              </w:rPr>
            </w:pPr>
            <w:r w:rsidRPr="00C84D55">
              <w:rPr>
                <w:lang w:eastAsia="en-AU"/>
              </w:rPr>
              <w:t>ruxolitinib</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Sickle cell anaemia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0.3 per 2,000</w:t>
            </w:r>
          </w:p>
        </w:tc>
        <w:tc>
          <w:tcPr>
            <w:tcW w:w="4535" w:type="dxa"/>
          </w:tcPr>
          <w:p w:rsidR="006E7C3A" w:rsidRPr="00C84D55" w:rsidRDefault="006E7C3A" w:rsidP="006E7C3A">
            <w:pPr>
              <w:pStyle w:val="TableText0"/>
              <w:rPr>
                <w:lang w:eastAsia="en-AU"/>
              </w:rPr>
            </w:pPr>
            <w:r w:rsidRPr="00C84D55">
              <w:rPr>
                <w:lang w:eastAsia="en-AU"/>
              </w:rPr>
              <w:t>hydroxycarbamide</w:t>
            </w:r>
          </w:p>
          <w:p w:rsidR="006E7C3A" w:rsidRPr="00C84D55" w:rsidRDefault="006E7C3A" w:rsidP="006E7C3A">
            <w:pPr>
              <w:pStyle w:val="TableText0"/>
              <w:rPr>
                <w:lang w:eastAsia="en-AU"/>
              </w:rPr>
            </w:pPr>
            <w:r w:rsidRPr="00C84D55">
              <w:rPr>
                <w:lang w:eastAsia="en-AU"/>
              </w:rPr>
              <w:t>Aes-103</w:t>
            </w:r>
          </w:p>
          <w:p w:rsidR="006E7C3A" w:rsidRPr="00C84D55" w:rsidRDefault="006E7C3A" w:rsidP="006E7C3A">
            <w:pPr>
              <w:pStyle w:val="TableText0"/>
              <w:rPr>
                <w:lang w:eastAsia="en-AU"/>
              </w:rPr>
            </w:pPr>
            <w:r w:rsidRPr="00C84D55">
              <w:rPr>
                <w:lang w:eastAsia="en-AU"/>
              </w:rPr>
              <w:t>HQK-1001</w:t>
            </w:r>
          </w:p>
          <w:p w:rsidR="006E7C3A" w:rsidRPr="00C84D55" w:rsidRDefault="006E7C3A" w:rsidP="006E7C3A">
            <w:pPr>
              <w:pStyle w:val="TableText0"/>
              <w:rPr>
                <w:lang w:eastAsia="en-AU"/>
              </w:rPr>
            </w:pPr>
            <w:r w:rsidRPr="00C84D55">
              <w:rPr>
                <w:lang w:eastAsia="en-AU"/>
              </w:rPr>
              <w:t>L-glutamine</w:t>
            </w:r>
          </w:p>
          <w:p w:rsidR="006E7C3A" w:rsidRPr="00C84D55" w:rsidRDefault="006E7C3A" w:rsidP="006E7C3A">
            <w:pPr>
              <w:pStyle w:val="TableText0"/>
              <w:rPr>
                <w:lang w:eastAsia="en-AU"/>
              </w:rPr>
            </w:pPr>
            <w:r w:rsidRPr="00C84D55">
              <w:rPr>
                <w:lang w:eastAsia="en-AU"/>
              </w:rPr>
              <w:t>purified poloxamer 188</w:t>
            </w:r>
          </w:p>
          <w:p w:rsidR="006E7C3A" w:rsidRPr="00C84D55" w:rsidRDefault="006E7C3A" w:rsidP="006E7C3A">
            <w:pPr>
              <w:pStyle w:val="TableText0"/>
              <w:rPr>
                <w:lang w:eastAsia="en-AU"/>
              </w:rPr>
            </w:pPr>
            <w:r w:rsidRPr="00C84D55">
              <w:rPr>
                <w:lang w:eastAsia="en-AU"/>
              </w:rPr>
              <w:t>rivipansel</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von Willebrand disease</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0.3 per 2,000</w:t>
            </w:r>
          </w:p>
        </w:tc>
        <w:tc>
          <w:tcPr>
            <w:tcW w:w="4535" w:type="dxa"/>
          </w:tcPr>
          <w:p w:rsidR="006E7C3A" w:rsidRPr="00C84D55" w:rsidRDefault="006E7C3A" w:rsidP="006E7C3A">
            <w:pPr>
              <w:pStyle w:val="TableText0"/>
              <w:rPr>
                <w:lang w:eastAsia="en-AU"/>
              </w:rPr>
            </w:pPr>
            <w:r w:rsidRPr="00C84D55">
              <w:rPr>
                <w:lang w:eastAsia="en-AU"/>
              </w:rPr>
              <w:t>BAX111 / rhVWF</w:t>
            </w:r>
          </w:p>
        </w:tc>
      </w:tr>
      <w:tr w:rsidR="001F44E1" w:rsidRPr="00C84D55" w:rsidTr="001F44E1">
        <w:tc>
          <w:tcPr>
            <w:tcW w:w="4330" w:type="dxa"/>
            <w:tcBorders>
              <w:right w:val="nil"/>
            </w:tcBorders>
            <w:shd w:val="clear" w:color="auto" w:fill="D9D9D9" w:themeFill="background1" w:themeFillShade="D9"/>
          </w:tcPr>
          <w:p w:rsidR="008B68E2" w:rsidRPr="00C84D55" w:rsidRDefault="008B68E2" w:rsidP="006E7C3A">
            <w:pPr>
              <w:pStyle w:val="TableText0"/>
              <w:rPr>
                <w:i/>
                <w:lang w:eastAsia="en-AU"/>
              </w:rPr>
            </w:pPr>
            <w:r w:rsidRPr="00C84D55">
              <w:rPr>
                <w:i/>
                <w:lang w:eastAsia="en-AU"/>
              </w:rPr>
              <w:t>Cardiovascular diseases</w:t>
            </w:r>
          </w:p>
        </w:tc>
        <w:tc>
          <w:tcPr>
            <w:tcW w:w="1730"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i/>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Familial isolated dilated cardiomyopathy</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0.4 per 2,000</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Ixmyelocel-T</w:t>
            </w:r>
          </w:p>
        </w:tc>
      </w:tr>
      <w:tr w:rsidR="00D27369" w:rsidRPr="00C84D55" w:rsidTr="001F44E1">
        <w:tc>
          <w:tcPr>
            <w:tcW w:w="4330" w:type="dxa"/>
            <w:tcBorders>
              <w:right w:val="nil"/>
            </w:tcBorders>
            <w:shd w:val="clear" w:color="auto" w:fill="D9D9D9" w:themeFill="background1" w:themeFillShade="D9"/>
          </w:tcPr>
          <w:p w:rsidR="008B68E2" w:rsidRPr="00C84D55" w:rsidRDefault="008B68E2" w:rsidP="006E7C3A">
            <w:pPr>
              <w:pStyle w:val="TableText0"/>
              <w:rPr>
                <w:lang w:eastAsia="en-AU"/>
              </w:rPr>
            </w:pPr>
            <w:r w:rsidRPr="00C84D55">
              <w:rPr>
                <w:i/>
                <w:lang w:eastAsia="en-AU"/>
              </w:rPr>
              <w:t>Cancer, blood / bone marrow / immune system</w:t>
            </w:r>
          </w:p>
        </w:tc>
        <w:tc>
          <w:tcPr>
            <w:tcW w:w="1730"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lang w:eastAsia="en-AU"/>
              </w:rPr>
            </w:pP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Acute lymphoblastic leukaemia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0.4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vertAlign w:val="superscript"/>
                <w:lang w:eastAsia="en-AU"/>
              </w:rPr>
            </w:pPr>
            <w:r w:rsidRPr="00C84D55">
              <w:rPr>
                <w:lang w:eastAsia="en-AU"/>
              </w:rPr>
              <w:t>clofarabine (Evoltra)</w:t>
            </w:r>
          </w:p>
          <w:p w:rsidR="006E7C3A" w:rsidRPr="00C84D55" w:rsidRDefault="006E7C3A" w:rsidP="006E7C3A">
            <w:pPr>
              <w:pStyle w:val="TableText0"/>
              <w:rPr>
                <w:lang w:eastAsia="en-AU"/>
              </w:rPr>
            </w:pPr>
            <w:r w:rsidRPr="00C84D55">
              <w:rPr>
                <w:lang w:eastAsia="en-AU"/>
              </w:rPr>
              <w:t>nelarabine (Atriance)</w:t>
            </w:r>
          </w:p>
          <w:p w:rsidR="006E7C3A" w:rsidRPr="00C84D55" w:rsidRDefault="006E7C3A" w:rsidP="006E7C3A">
            <w:pPr>
              <w:pStyle w:val="TableText0"/>
              <w:rPr>
                <w:lang w:eastAsia="en-AU"/>
              </w:rPr>
            </w:pPr>
            <w:r w:rsidRPr="00C84D55">
              <w:rPr>
                <w:lang w:eastAsia="en-AU"/>
              </w:rPr>
              <w:t>inotuzumab ozogamicin / CD22-targeted cytotoxic agent</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Acute lymphocytic leukaemia</w:t>
            </w:r>
          </w:p>
        </w:tc>
        <w:tc>
          <w:tcPr>
            <w:tcW w:w="1730" w:type="dxa"/>
          </w:tcPr>
          <w:p w:rsidR="006E7C3A" w:rsidRPr="00C84D55" w:rsidRDefault="006E7C3A" w:rsidP="006E7C3A">
            <w:pPr>
              <w:pStyle w:val="TableText0"/>
              <w:rPr>
                <w:lang w:eastAsia="en-AU"/>
              </w:rPr>
            </w:pPr>
          </w:p>
        </w:tc>
        <w:tc>
          <w:tcPr>
            <w:tcW w:w="2011" w:type="dxa"/>
          </w:tcPr>
          <w:p w:rsidR="006E7C3A" w:rsidRPr="00C84D55" w:rsidRDefault="006E7C3A" w:rsidP="006E7C3A">
            <w:pPr>
              <w:pStyle w:val="TableText0"/>
              <w:rPr>
                <w:lang w:eastAsia="en-AU"/>
              </w:rPr>
            </w:pPr>
            <w:r w:rsidRPr="00C84D55">
              <w:rPr>
                <w:lang w:eastAsia="en-AU"/>
              </w:rPr>
              <w:t>unknown</w:t>
            </w:r>
          </w:p>
        </w:tc>
        <w:tc>
          <w:tcPr>
            <w:tcW w:w="1565" w:type="dxa"/>
          </w:tcPr>
          <w:p w:rsidR="006E7C3A" w:rsidRPr="00C84D55" w:rsidRDefault="006E7C3A" w:rsidP="006E7C3A">
            <w:pPr>
              <w:pStyle w:val="TableText0"/>
              <w:rPr>
                <w:lang w:eastAsia="en-AU"/>
              </w:rPr>
            </w:pPr>
          </w:p>
        </w:tc>
        <w:tc>
          <w:tcPr>
            <w:tcW w:w="4535" w:type="dxa"/>
          </w:tcPr>
          <w:p w:rsidR="006E7C3A" w:rsidRPr="00C84D55" w:rsidRDefault="006E7C3A" w:rsidP="006E7C3A">
            <w:pPr>
              <w:pStyle w:val="TableText0"/>
              <w:rPr>
                <w:lang w:eastAsia="en-AU"/>
              </w:rPr>
            </w:pPr>
            <w:r w:rsidRPr="00C84D55">
              <w:rPr>
                <w:lang w:eastAsia="en-AU"/>
              </w:rPr>
              <w:t>Inotuzumab ozogamicin</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Acute myeloid leukaemia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0.2 per 2,000</w:t>
            </w:r>
          </w:p>
        </w:tc>
        <w:tc>
          <w:tcPr>
            <w:tcW w:w="4535" w:type="dxa"/>
          </w:tcPr>
          <w:p w:rsidR="006E7C3A" w:rsidRPr="00C84D55" w:rsidRDefault="006E7C3A" w:rsidP="006E7C3A">
            <w:pPr>
              <w:pStyle w:val="TableText0"/>
              <w:rPr>
                <w:lang w:eastAsia="en-AU"/>
              </w:rPr>
            </w:pPr>
            <w:r w:rsidRPr="00C84D55">
              <w:rPr>
                <w:lang w:eastAsia="en-AU"/>
              </w:rPr>
              <w:t>AT91813</w:t>
            </w:r>
          </w:p>
          <w:p w:rsidR="006E7C3A" w:rsidRPr="00C84D55" w:rsidRDefault="006E7C3A" w:rsidP="006E7C3A">
            <w:pPr>
              <w:pStyle w:val="TableText0"/>
              <w:rPr>
                <w:lang w:eastAsia="en-AU"/>
              </w:rPr>
            </w:pPr>
            <w:r w:rsidRPr="00C84D55">
              <w:rPr>
                <w:lang w:eastAsia="en-AU"/>
              </w:rPr>
              <w:t>activated allogeneic natural killer cells, CND0-109</w:t>
            </w:r>
          </w:p>
          <w:p w:rsidR="006E7C3A" w:rsidRPr="00C84D55" w:rsidRDefault="006E7C3A" w:rsidP="006E7C3A">
            <w:pPr>
              <w:pStyle w:val="TableText0"/>
              <w:rPr>
                <w:lang w:eastAsia="en-AU"/>
              </w:rPr>
            </w:pPr>
            <w:r w:rsidRPr="00C84D55">
              <w:rPr>
                <w:lang w:eastAsia="en-AU"/>
              </w:rPr>
              <w:t xml:space="preserve">cytarabine + daunorubicin </w:t>
            </w:r>
            <w:r w:rsidR="00E66055" w:rsidRPr="00C84D55">
              <w:rPr>
                <w:lang w:eastAsia="en-AU"/>
              </w:rPr>
              <w:t>liposome</w:t>
            </w:r>
            <w:r w:rsidRPr="00C84D55">
              <w:rPr>
                <w:lang w:eastAsia="en-AU"/>
              </w:rPr>
              <w:t xml:space="preserve"> injection, CPX-351</w:t>
            </w:r>
          </w:p>
          <w:p w:rsidR="006E7C3A" w:rsidRPr="00C84D55" w:rsidRDefault="006E7C3A" w:rsidP="006E7C3A">
            <w:pPr>
              <w:pStyle w:val="TableText0"/>
              <w:rPr>
                <w:lang w:eastAsia="en-AU"/>
              </w:rPr>
            </w:pPr>
            <w:r w:rsidRPr="00C84D55">
              <w:rPr>
                <w:lang w:eastAsia="en-AU"/>
              </w:rPr>
              <w:lastRenderedPageBreak/>
              <w:t>decitabine (Dacogen)</w:t>
            </w:r>
          </w:p>
          <w:p w:rsidR="006E7C3A" w:rsidRPr="00C84D55" w:rsidRDefault="006E7C3A" w:rsidP="006E7C3A">
            <w:pPr>
              <w:pStyle w:val="TableText0"/>
              <w:rPr>
                <w:lang w:eastAsia="en-AU"/>
              </w:rPr>
            </w:pPr>
            <w:r w:rsidRPr="00C84D55">
              <w:rPr>
                <w:lang w:eastAsia="en-AU"/>
              </w:rPr>
              <w:t>lestaurtinib</w:t>
            </w:r>
          </w:p>
          <w:p w:rsidR="006E7C3A" w:rsidRPr="00C84D55" w:rsidRDefault="006E7C3A" w:rsidP="006E7C3A">
            <w:pPr>
              <w:pStyle w:val="TableText0"/>
              <w:rPr>
                <w:lang w:eastAsia="en-AU"/>
              </w:rPr>
            </w:pPr>
            <w:r w:rsidRPr="00C84D55">
              <w:rPr>
                <w:lang w:eastAsia="en-AU"/>
              </w:rPr>
              <w:t>midostaurin</w:t>
            </w:r>
          </w:p>
          <w:p w:rsidR="006E7C3A" w:rsidRPr="00C84D55" w:rsidRDefault="006E7C3A" w:rsidP="006E7C3A">
            <w:pPr>
              <w:pStyle w:val="TableText0"/>
              <w:rPr>
                <w:lang w:eastAsia="en-AU"/>
              </w:rPr>
            </w:pPr>
            <w:r w:rsidRPr="00C84D55">
              <w:rPr>
                <w:lang w:eastAsia="en-AU"/>
              </w:rPr>
              <w:t>quizartinib</w:t>
            </w:r>
          </w:p>
          <w:p w:rsidR="006E7C3A" w:rsidRPr="00C84D55" w:rsidRDefault="006E7C3A" w:rsidP="006E7C3A">
            <w:pPr>
              <w:pStyle w:val="TableText0"/>
              <w:rPr>
                <w:lang w:eastAsia="en-AU"/>
              </w:rPr>
            </w:pPr>
            <w:r w:rsidRPr="00C84D55">
              <w:rPr>
                <w:lang w:eastAsia="en-AU"/>
              </w:rPr>
              <w:t>tosedostat</w:t>
            </w:r>
          </w:p>
          <w:p w:rsidR="006E7C3A" w:rsidRPr="00C84D55" w:rsidRDefault="006E7C3A" w:rsidP="006E7C3A">
            <w:pPr>
              <w:pStyle w:val="TableText0"/>
              <w:rPr>
                <w:lang w:eastAsia="en-AU"/>
              </w:rPr>
            </w:pPr>
            <w:r w:rsidRPr="00C84D55">
              <w:rPr>
                <w:lang w:eastAsia="en-AU"/>
              </w:rPr>
              <w:t>vosaroxin</w:t>
            </w:r>
          </w:p>
          <w:p w:rsidR="006E7C3A" w:rsidRPr="00C84D55" w:rsidRDefault="006E7C3A" w:rsidP="006E7C3A">
            <w:pPr>
              <w:pStyle w:val="TableText0"/>
              <w:rPr>
                <w:lang w:eastAsia="en-AU"/>
              </w:rPr>
            </w:pPr>
            <w:r w:rsidRPr="00C84D55">
              <w:rPr>
                <w:lang w:eastAsia="en-AU"/>
              </w:rPr>
              <w:t>daunorubicin</w:t>
            </w:r>
          </w:p>
          <w:p w:rsidR="006E7C3A" w:rsidRPr="00C84D55" w:rsidRDefault="006E7C3A" w:rsidP="00E66055">
            <w:pPr>
              <w:pStyle w:val="TableText0"/>
              <w:rPr>
                <w:lang w:eastAsia="en-AU"/>
              </w:rPr>
            </w:pPr>
            <w:r w:rsidRPr="00C84D55">
              <w:rPr>
                <w:lang w:eastAsia="en-AU"/>
              </w:rPr>
              <w:t>gemtuzumab ozagamicin</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lastRenderedPageBreak/>
              <w:t>Anaplastic large cell lymphoma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0.2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Crizotinib (Xalkori)</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Chronic lymphocytic leukaemia / small lymphocytic lymphoma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0.5 per 2,000</w:t>
            </w:r>
          </w:p>
        </w:tc>
        <w:tc>
          <w:tcPr>
            <w:tcW w:w="4535" w:type="dxa"/>
          </w:tcPr>
          <w:p w:rsidR="006E7C3A" w:rsidRPr="00C84D55" w:rsidRDefault="006E7C3A" w:rsidP="006E7C3A">
            <w:pPr>
              <w:pStyle w:val="TableText0"/>
              <w:rPr>
                <w:lang w:eastAsia="en-AU"/>
              </w:rPr>
            </w:pPr>
            <w:r w:rsidRPr="00C84D55">
              <w:rPr>
                <w:lang w:eastAsia="en-AU"/>
              </w:rPr>
              <w:t>KPT-330 / selective inhibitor of nuclear export (Selinexor)</w:t>
            </w:r>
          </w:p>
          <w:p w:rsidR="006E7C3A" w:rsidRPr="00C84D55" w:rsidRDefault="006E7C3A" w:rsidP="006E7C3A">
            <w:pPr>
              <w:pStyle w:val="TableText0"/>
              <w:rPr>
                <w:lang w:eastAsia="en-AU"/>
              </w:rPr>
            </w:pPr>
            <w:r w:rsidRPr="00C84D55">
              <w:rPr>
                <w:lang w:eastAsia="en-AU"/>
              </w:rPr>
              <w:t>dinaciclib</w:t>
            </w:r>
          </w:p>
          <w:p w:rsidR="006E7C3A" w:rsidRPr="00C84D55" w:rsidRDefault="006E7C3A" w:rsidP="006E7C3A">
            <w:pPr>
              <w:pStyle w:val="TableText0"/>
              <w:rPr>
                <w:lang w:eastAsia="en-AU"/>
              </w:rPr>
            </w:pPr>
            <w:r w:rsidRPr="00C84D55">
              <w:rPr>
                <w:lang w:eastAsia="en-AU"/>
              </w:rPr>
              <w:t>ibrutinib</w:t>
            </w:r>
          </w:p>
          <w:p w:rsidR="006E7C3A" w:rsidRPr="00C84D55" w:rsidRDefault="006E7C3A" w:rsidP="006E7C3A">
            <w:pPr>
              <w:pStyle w:val="TableText0"/>
              <w:rPr>
                <w:lang w:eastAsia="en-AU"/>
              </w:rPr>
            </w:pPr>
            <w:r w:rsidRPr="00C84D55">
              <w:rPr>
                <w:lang w:eastAsia="en-AU"/>
              </w:rPr>
              <w:t>idelalisib (P13K delta inhibitor)</w:t>
            </w:r>
          </w:p>
          <w:p w:rsidR="006E7C3A" w:rsidRPr="00C84D55" w:rsidRDefault="006E7C3A" w:rsidP="006E7C3A">
            <w:pPr>
              <w:pStyle w:val="TableText0"/>
              <w:rPr>
                <w:lang w:eastAsia="en-AU"/>
              </w:rPr>
            </w:pPr>
            <w:r w:rsidRPr="00C84D55">
              <w:rPr>
                <w:lang w:eastAsia="en-AU"/>
              </w:rPr>
              <w:t>ISF35 / gene encoding chimeric CD40 ligand</w:t>
            </w:r>
          </w:p>
          <w:p w:rsidR="006E7C3A" w:rsidRPr="00C84D55" w:rsidRDefault="006E7C3A" w:rsidP="006E7C3A">
            <w:pPr>
              <w:pStyle w:val="TableText0"/>
              <w:rPr>
                <w:lang w:eastAsia="en-AU"/>
              </w:rPr>
            </w:pPr>
            <w:r w:rsidRPr="00C84D55">
              <w:rPr>
                <w:lang w:eastAsia="en-AU"/>
              </w:rPr>
              <w:t>milatuzumab</w:t>
            </w:r>
          </w:p>
          <w:p w:rsidR="006E7C3A" w:rsidRPr="00C84D55" w:rsidRDefault="006E7C3A" w:rsidP="006E7C3A">
            <w:pPr>
              <w:pStyle w:val="TableText0"/>
              <w:rPr>
                <w:lang w:eastAsia="en-AU"/>
              </w:rPr>
            </w:pPr>
            <w:r w:rsidRPr="00C84D55">
              <w:rPr>
                <w:lang w:eastAsia="en-AU"/>
              </w:rPr>
              <w:t>obtinutuzumab</w:t>
            </w:r>
          </w:p>
          <w:p w:rsidR="006E7C3A" w:rsidRPr="00C84D55" w:rsidRDefault="006E7C3A" w:rsidP="006E7C3A">
            <w:pPr>
              <w:pStyle w:val="TableText0"/>
              <w:rPr>
                <w:lang w:eastAsia="en-AU"/>
              </w:rPr>
            </w:pPr>
            <w:r w:rsidRPr="00C84D55">
              <w:rPr>
                <w:lang w:eastAsia="en-AU"/>
              </w:rPr>
              <w:t>olertuzumab</w:t>
            </w:r>
          </w:p>
          <w:p w:rsidR="006E7C3A" w:rsidRPr="00C84D55" w:rsidRDefault="006E7C3A" w:rsidP="006E7C3A">
            <w:pPr>
              <w:pStyle w:val="TableText0"/>
              <w:rPr>
                <w:lang w:eastAsia="en-AU"/>
              </w:rPr>
            </w:pPr>
            <w:r w:rsidRPr="00C84D55">
              <w:rPr>
                <w:lang w:eastAsia="en-AU"/>
              </w:rPr>
              <w:t>ublituxumab</w:t>
            </w:r>
          </w:p>
          <w:p w:rsidR="006E7C3A" w:rsidRPr="00C84D55" w:rsidRDefault="006E7C3A" w:rsidP="006E7C3A">
            <w:pPr>
              <w:pStyle w:val="TableText0"/>
              <w:rPr>
                <w:lang w:eastAsia="en-AU"/>
              </w:rPr>
            </w:pPr>
            <w:r w:rsidRPr="00C84D55">
              <w:rPr>
                <w:lang w:eastAsia="en-AU"/>
              </w:rPr>
              <w:t>veltuzumab</w:t>
            </w:r>
          </w:p>
          <w:p w:rsidR="006E7C3A" w:rsidRPr="00C84D55" w:rsidRDefault="006E7C3A" w:rsidP="006E7C3A">
            <w:pPr>
              <w:pStyle w:val="TableText0"/>
              <w:rPr>
                <w:lang w:eastAsia="en-AU"/>
              </w:rPr>
            </w:pPr>
            <w:r w:rsidRPr="00C84D55">
              <w:rPr>
                <w:lang w:eastAsia="en-AU"/>
              </w:rPr>
              <w:t>idelasib</w:t>
            </w:r>
          </w:p>
          <w:p w:rsidR="006E7C3A" w:rsidRPr="00C84D55" w:rsidRDefault="006E7C3A" w:rsidP="006E7C3A">
            <w:pPr>
              <w:pStyle w:val="TableText0"/>
              <w:rPr>
                <w:lang w:eastAsia="en-AU"/>
              </w:rPr>
            </w:pPr>
            <w:r w:rsidRPr="00C84D55">
              <w:rPr>
                <w:lang w:eastAsia="en-AU"/>
              </w:rPr>
              <w:t>rituximab</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Chronic lymphocytic leukaemia, refractory</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0.5 per 2,000 (all chronic lymphocytic leukaemia)</w:t>
            </w:r>
          </w:p>
        </w:tc>
        <w:tc>
          <w:tcPr>
            <w:tcW w:w="4535" w:type="dxa"/>
          </w:tcPr>
          <w:p w:rsidR="006E7C3A" w:rsidRPr="00C84D55" w:rsidRDefault="006E7C3A" w:rsidP="006E7C3A">
            <w:pPr>
              <w:pStyle w:val="TableText0"/>
              <w:rPr>
                <w:lang w:eastAsia="en-AU"/>
              </w:rPr>
            </w:pPr>
            <w:r w:rsidRPr="00C84D55">
              <w:rPr>
                <w:lang w:eastAsia="en-AU"/>
              </w:rPr>
              <w:t>ofatumumab</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Chronic myeloid leukaemia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0.9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imatinib (Glivec)</w:t>
            </w:r>
          </w:p>
          <w:p w:rsidR="006E7C3A" w:rsidRPr="00C84D55" w:rsidRDefault="006E7C3A" w:rsidP="006E7C3A">
            <w:pPr>
              <w:pStyle w:val="TableText0"/>
              <w:rPr>
                <w:lang w:eastAsia="en-AU"/>
              </w:rPr>
            </w:pPr>
            <w:r w:rsidRPr="00C84D55">
              <w:rPr>
                <w:lang w:eastAsia="en-AU"/>
              </w:rPr>
              <w:lastRenderedPageBreak/>
              <w:t>dasatinib (Sprycel)</w:t>
            </w:r>
          </w:p>
          <w:p w:rsidR="006E7C3A" w:rsidRPr="00C84D55" w:rsidRDefault="006E7C3A" w:rsidP="006E7C3A">
            <w:pPr>
              <w:pStyle w:val="TableText0"/>
              <w:rPr>
                <w:lang w:eastAsia="en-AU"/>
              </w:rPr>
            </w:pPr>
            <w:r w:rsidRPr="00C84D55">
              <w:rPr>
                <w:lang w:eastAsia="en-AU"/>
              </w:rPr>
              <w:t>nilotinib (Tasigna)</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lastRenderedPageBreak/>
              <w:t xml:space="preserve">Diffuse large B cell </w:t>
            </w:r>
            <w:r w:rsidR="00E66055" w:rsidRPr="00C84D55">
              <w:rPr>
                <w:lang w:eastAsia="en-AU"/>
              </w:rPr>
              <w:t>lymphoma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0.4 per 2,000</w:t>
            </w:r>
          </w:p>
        </w:tc>
        <w:tc>
          <w:tcPr>
            <w:tcW w:w="4535" w:type="dxa"/>
          </w:tcPr>
          <w:p w:rsidR="006E7C3A" w:rsidRPr="00C84D55" w:rsidRDefault="006E7C3A" w:rsidP="006E7C3A">
            <w:pPr>
              <w:pStyle w:val="TableText0"/>
              <w:rPr>
                <w:lang w:eastAsia="en-AU"/>
              </w:rPr>
            </w:pPr>
            <w:r w:rsidRPr="00C84D55">
              <w:rPr>
                <w:lang w:eastAsia="en-AU"/>
              </w:rPr>
              <w:t>SNS01-T / DNA plasmid vector</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Follicular lymphoma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0.7 per 2,000</w:t>
            </w:r>
          </w:p>
        </w:tc>
        <w:tc>
          <w:tcPr>
            <w:tcW w:w="4535" w:type="dxa"/>
          </w:tcPr>
          <w:p w:rsidR="006E7C3A" w:rsidRPr="00C84D55" w:rsidRDefault="006E7C3A" w:rsidP="006E7C3A">
            <w:pPr>
              <w:pStyle w:val="TableText0"/>
              <w:rPr>
                <w:lang w:eastAsia="en-AU"/>
              </w:rPr>
            </w:pPr>
            <w:r w:rsidRPr="00C84D55">
              <w:rPr>
                <w:lang w:eastAsia="en-AU"/>
              </w:rPr>
              <w:t>dasiprotimut-T (BiovaxID)</w:t>
            </w:r>
          </w:p>
          <w:p w:rsidR="006E7C3A" w:rsidRPr="00C84D55" w:rsidRDefault="006E7C3A" w:rsidP="006E7C3A">
            <w:pPr>
              <w:pStyle w:val="TableText0"/>
              <w:rPr>
                <w:lang w:eastAsia="en-AU"/>
              </w:rPr>
            </w:pPr>
            <w:r w:rsidRPr="00C84D55">
              <w:rPr>
                <w:lang w:eastAsia="en-AU"/>
              </w:rPr>
              <w:t>IPI-145 (p13K delta/gamma inhibitor)</w:t>
            </w:r>
          </w:p>
          <w:p w:rsidR="006E7C3A" w:rsidRPr="00C84D55" w:rsidRDefault="006E7C3A" w:rsidP="006E7C3A">
            <w:pPr>
              <w:pStyle w:val="TableText0"/>
              <w:rPr>
                <w:lang w:eastAsia="en-AU"/>
              </w:rPr>
            </w:pPr>
            <w:r w:rsidRPr="00C84D55">
              <w:rPr>
                <w:lang w:eastAsia="en-AU"/>
              </w:rPr>
              <w:t>Ocaratuzumab</w:t>
            </w:r>
          </w:p>
          <w:p w:rsidR="006E7C3A" w:rsidRPr="00C84D55" w:rsidRDefault="006E7C3A" w:rsidP="006E7C3A">
            <w:pPr>
              <w:pStyle w:val="TableText0"/>
              <w:rPr>
                <w:lang w:eastAsia="en-AU"/>
              </w:rPr>
            </w:pPr>
            <w:r w:rsidRPr="00C84D55">
              <w:rPr>
                <w:lang w:eastAsia="en-AU"/>
              </w:rPr>
              <w:t>rituximab</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Hairy cell leukaemia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0.7 per 2,000</w:t>
            </w:r>
          </w:p>
        </w:tc>
        <w:tc>
          <w:tcPr>
            <w:tcW w:w="4535" w:type="dxa"/>
          </w:tcPr>
          <w:p w:rsidR="006E7C3A" w:rsidRPr="00C84D55" w:rsidRDefault="006E7C3A" w:rsidP="006E7C3A">
            <w:pPr>
              <w:pStyle w:val="TableText0"/>
              <w:rPr>
                <w:lang w:eastAsia="en-AU"/>
              </w:rPr>
            </w:pPr>
            <w:r w:rsidRPr="00C84D55">
              <w:rPr>
                <w:lang w:eastAsia="en-AU"/>
              </w:rPr>
              <w:t>cladribine (Litak, Leustatin)</w:t>
            </w:r>
          </w:p>
          <w:p w:rsidR="006E7C3A" w:rsidRPr="00C84D55" w:rsidRDefault="00E66055" w:rsidP="006E7C3A">
            <w:pPr>
              <w:pStyle w:val="TableText0"/>
              <w:rPr>
                <w:lang w:eastAsia="en-AU"/>
              </w:rPr>
            </w:pPr>
            <w:r>
              <w:rPr>
                <w:lang w:eastAsia="en-AU"/>
              </w:rPr>
              <w:t>moxetumu</w:t>
            </w:r>
            <w:r w:rsidR="006E7C3A" w:rsidRPr="00C84D55">
              <w:rPr>
                <w:lang w:eastAsia="en-AU"/>
              </w:rPr>
              <w:t>mab pasudotox</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Hodgkin’s lymphoma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0.2 per 2,000</w:t>
            </w:r>
          </w:p>
        </w:tc>
        <w:tc>
          <w:tcPr>
            <w:tcW w:w="4535" w:type="dxa"/>
          </w:tcPr>
          <w:p w:rsidR="006E7C3A" w:rsidRPr="00C84D55" w:rsidRDefault="006E7C3A" w:rsidP="006E7C3A">
            <w:pPr>
              <w:pStyle w:val="TableText0"/>
              <w:rPr>
                <w:lang w:eastAsia="en-AU"/>
              </w:rPr>
            </w:pPr>
            <w:r w:rsidRPr="00C84D55">
              <w:rPr>
                <w:lang w:eastAsia="en-AU"/>
              </w:rPr>
              <w:t>lucatumumab</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MALT lymphoma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0.4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antibiotic therapy</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Mantle cell lymphoma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0.4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dasiprotimut-T (BiovaxID)</w:t>
            </w:r>
          </w:p>
          <w:p w:rsidR="006E7C3A" w:rsidRPr="00C84D55" w:rsidRDefault="006E7C3A" w:rsidP="006E7C3A">
            <w:pPr>
              <w:pStyle w:val="TableText0"/>
              <w:rPr>
                <w:lang w:eastAsia="en-AU"/>
              </w:rPr>
            </w:pPr>
            <w:r w:rsidRPr="00C84D55">
              <w:rPr>
                <w:lang w:eastAsia="en-AU"/>
              </w:rPr>
              <w:t>ibrutinib</w:t>
            </w:r>
          </w:p>
          <w:p w:rsidR="006E7C3A" w:rsidRPr="00C84D55" w:rsidRDefault="006E7C3A" w:rsidP="006E7C3A">
            <w:pPr>
              <w:pStyle w:val="TableText0"/>
              <w:rPr>
                <w:lang w:eastAsia="en-AU"/>
              </w:rPr>
            </w:pPr>
            <w:r w:rsidRPr="00C84D55">
              <w:rPr>
                <w:lang w:eastAsia="en-AU"/>
              </w:rPr>
              <w:t>SNS01-T / DNA plasmid vector</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Multiple myeloma, including relapsed /refractory / progressive</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0.2 per 2,000</w:t>
            </w:r>
          </w:p>
        </w:tc>
        <w:tc>
          <w:tcPr>
            <w:tcW w:w="4535" w:type="dxa"/>
          </w:tcPr>
          <w:p w:rsidR="006E7C3A" w:rsidRPr="00C84D55" w:rsidRDefault="006E7C3A" w:rsidP="006E7C3A">
            <w:pPr>
              <w:pStyle w:val="TableText0"/>
              <w:rPr>
                <w:lang w:eastAsia="en-AU"/>
              </w:rPr>
            </w:pPr>
            <w:r w:rsidRPr="00C84D55">
              <w:rPr>
                <w:lang w:eastAsia="en-AU"/>
              </w:rPr>
              <w:t>bendamustin</w:t>
            </w:r>
            <w:r w:rsidR="00E66055">
              <w:rPr>
                <w:lang w:eastAsia="en-AU"/>
              </w:rPr>
              <w:t>e</w:t>
            </w:r>
            <w:r w:rsidRPr="00C84D55">
              <w:rPr>
                <w:lang w:eastAsia="en-AU"/>
              </w:rPr>
              <w:t>-bortezomib-dexamethasone</w:t>
            </w:r>
          </w:p>
          <w:p w:rsidR="006E7C3A" w:rsidRPr="00C84D55" w:rsidRDefault="006E7C3A" w:rsidP="006E7C3A">
            <w:pPr>
              <w:pStyle w:val="TableText0"/>
              <w:rPr>
                <w:lang w:eastAsia="en-AU"/>
              </w:rPr>
            </w:pPr>
            <w:r w:rsidRPr="00C84D55">
              <w:rPr>
                <w:lang w:eastAsia="en-AU"/>
              </w:rPr>
              <w:t>pomalidomide ± dexamethasone</w:t>
            </w:r>
          </w:p>
          <w:p w:rsidR="006E7C3A" w:rsidRPr="00C84D55" w:rsidRDefault="006E7C3A" w:rsidP="006E7C3A">
            <w:pPr>
              <w:pStyle w:val="TableText0"/>
              <w:rPr>
                <w:lang w:eastAsia="en-AU"/>
              </w:rPr>
            </w:pPr>
            <w:r w:rsidRPr="00C84D55">
              <w:rPr>
                <w:lang w:eastAsia="en-AU"/>
              </w:rPr>
              <w:t>carfilzomib</w:t>
            </w:r>
          </w:p>
          <w:p w:rsidR="006E7C3A" w:rsidRPr="00C84D55" w:rsidRDefault="006E7C3A" w:rsidP="006E7C3A">
            <w:pPr>
              <w:pStyle w:val="TableText0"/>
              <w:rPr>
                <w:lang w:eastAsia="en-AU"/>
              </w:rPr>
            </w:pPr>
            <w:r w:rsidRPr="00C84D55">
              <w:rPr>
                <w:lang w:eastAsia="en-AU"/>
              </w:rPr>
              <w:t>KPT-330 / selective inhibitor of nuclear export (Selinexor)</w:t>
            </w:r>
          </w:p>
          <w:p w:rsidR="006E7C3A" w:rsidRPr="00C84D55" w:rsidRDefault="006E7C3A" w:rsidP="006E7C3A">
            <w:pPr>
              <w:pStyle w:val="TableText0"/>
              <w:rPr>
                <w:vertAlign w:val="superscript"/>
                <w:lang w:eastAsia="en-AU"/>
              </w:rPr>
            </w:pPr>
            <w:r w:rsidRPr="00C84D55">
              <w:rPr>
                <w:lang w:eastAsia="en-AU"/>
              </w:rPr>
              <w:t>Lenalidomide (Revlimid)</w:t>
            </w:r>
            <w:r w:rsidRPr="00C84D55">
              <w:rPr>
                <w:vertAlign w:val="superscript"/>
                <w:lang w:eastAsia="en-AU"/>
              </w:rPr>
              <w:t>#</w:t>
            </w:r>
          </w:p>
          <w:p w:rsidR="006E7C3A" w:rsidRPr="00C84D55" w:rsidRDefault="006E7C3A" w:rsidP="006E7C3A">
            <w:pPr>
              <w:pStyle w:val="TableText0"/>
              <w:rPr>
                <w:lang w:eastAsia="en-AU"/>
              </w:rPr>
            </w:pPr>
            <w:r w:rsidRPr="00C84D55">
              <w:rPr>
                <w:lang w:eastAsia="en-AU"/>
              </w:rPr>
              <w:t>BI-505 / anti-cellular adhesion molecule</w:t>
            </w:r>
          </w:p>
          <w:p w:rsidR="006E7C3A" w:rsidRPr="00C84D55" w:rsidRDefault="006E7C3A" w:rsidP="006E7C3A">
            <w:pPr>
              <w:pStyle w:val="TableText0"/>
              <w:rPr>
                <w:lang w:eastAsia="en-AU"/>
              </w:rPr>
            </w:pPr>
            <w:r w:rsidRPr="00C84D55">
              <w:rPr>
                <w:lang w:eastAsia="en-AU"/>
              </w:rPr>
              <w:t>BT-062 (indatuximab ravtansine)</w:t>
            </w:r>
          </w:p>
          <w:p w:rsidR="006E7C3A" w:rsidRPr="00C84D55" w:rsidRDefault="006E7C3A" w:rsidP="006E7C3A">
            <w:pPr>
              <w:pStyle w:val="TableText0"/>
              <w:rPr>
                <w:lang w:eastAsia="en-AU"/>
              </w:rPr>
            </w:pPr>
            <w:r w:rsidRPr="00C84D55">
              <w:rPr>
                <w:lang w:eastAsia="en-AU"/>
              </w:rPr>
              <w:t>daratumumab</w:t>
            </w:r>
          </w:p>
          <w:p w:rsidR="006E7C3A" w:rsidRPr="00C84D55" w:rsidRDefault="006E7C3A" w:rsidP="006E7C3A">
            <w:pPr>
              <w:pStyle w:val="TableText0"/>
              <w:rPr>
                <w:lang w:eastAsia="en-AU"/>
              </w:rPr>
            </w:pPr>
            <w:r w:rsidRPr="00C84D55">
              <w:rPr>
                <w:lang w:eastAsia="en-AU"/>
              </w:rPr>
              <w:t>elotuzumab</w:t>
            </w:r>
          </w:p>
          <w:p w:rsidR="006E7C3A" w:rsidRPr="00C84D55" w:rsidRDefault="006E7C3A" w:rsidP="006E7C3A">
            <w:pPr>
              <w:pStyle w:val="TableText0"/>
              <w:rPr>
                <w:lang w:eastAsia="en-AU"/>
              </w:rPr>
            </w:pPr>
            <w:r w:rsidRPr="00C84D55">
              <w:rPr>
                <w:lang w:eastAsia="en-AU"/>
              </w:rPr>
              <w:t>ibrutinib</w:t>
            </w:r>
          </w:p>
          <w:p w:rsidR="006E7C3A" w:rsidRPr="00C84D55" w:rsidRDefault="006E7C3A" w:rsidP="006E7C3A">
            <w:pPr>
              <w:pStyle w:val="TableText0"/>
              <w:rPr>
                <w:lang w:eastAsia="en-AU"/>
              </w:rPr>
            </w:pPr>
            <w:r w:rsidRPr="00C84D55">
              <w:rPr>
                <w:lang w:eastAsia="en-AU"/>
              </w:rPr>
              <w:t>ixazomib</w:t>
            </w:r>
          </w:p>
          <w:p w:rsidR="006E7C3A" w:rsidRPr="00C84D55" w:rsidRDefault="006E7C3A" w:rsidP="006E7C3A">
            <w:pPr>
              <w:pStyle w:val="TableText0"/>
              <w:rPr>
                <w:lang w:eastAsia="en-AU"/>
              </w:rPr>
            </w:pPr>
            <w:r w:rsidRPr="00C84D55">
              <w:rPr>
                <w:lang w:eastAsia="en-AU"/>
              </w:rPr>
              <w:t>panobinostat</w:t>
            </w:r>
          </w:p>
          <w:p w:rsidR="006E7C3A" w:rsidRPr="00C84D55" w:rsidRDefault="006E7C3A" w:rsidP="006E7C3A">
            <w:pPr>
              <w:pStyle w:val="TableText0"/>
              <w:rPr>
                <w:lang w:eastAsia="en-AU"/>
              </w:rPr>
            </w:pPr>
            <w:r w:rsidRPr="00C84D55">
              <w:rPr>
                <w:lang w:eastAsia="en-AU"/>
              </w:rPr>
              <w:lastRenderedPageBreak/>
              <w:t>plitidepsin</w:t>
            </w:r>
          </w:p>
          <w:p w:rsidR="006E7C3A" w:rsidRPr="00C84D55" w:rsidRDefault="006E7C3A" w:rsidP="006E7C3A">
            <w:pPr>
              <w:pStyle w:val="TableText0"/>
              <w:rPr>
                <w:lang w:eastAsia="en-AU"/>
              </w:rPr>
            </w:pPr>
            <w:r w:rsidRPr="00C84D55">
              <w:rPr>
                <w:lang w:eastAsia="en-AU"/>
              </w:rPr>
              <w:t>tabalumab</w:t>
            </w:r>
          </w:p>
          <w:p w:rsidR="006E7C3A" w:rsidRPr="00C84D55" w:rsidRDefault="006E7C3A" w:rsidP="006E7C3A">
            <w:pPr>
              <w:pStyle w:val="TableText0"/>
              <w:rPr>
                <w:lang w:eastAsia="en-AU"/>
              </w:rPr>
            </w:pPr>
            <w:r w:rsidRPr="00C84D55">
              <w:rPr>
                <w:lang w:eastAsia="en-AU"/>
              </w:rPr>
              <w:t>SNS01-T / DNA plasmid vector</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lastRenderedPageBreak/>
              <w:t>Myeloid dysplastic syndromes</w:t>
            </w:r>
          </w:p>
        </w:tc>
        <w:tc>
          <w:tcPr>
            <w:tcW w:w="1730" w:type="dxa"/>
            <w:vAlign w:val="center"/>
          </w:tcPr>
          <w:p w:rsidR="006E7C3A" w:rsidRPr="00C84D55" w:rsidRDefault="006E7C3A" w:rsidP="006E7C3A">
            <w:pPr>
              <w:pStyle w:val="TableText0"/>
              <w:rPr>
                <w:lang w:eastAsia="en-AU"/>
              </w:rPr>
            </w:pPr>
            <w:r w:rsidRPr="00C84D55">
              <w:rPr>
                <w:lang w:eastAsia="en-AU"/>
              </w:rPr>
              <w:t>-</w:t>
            </w:r>
          </w:p>
        </w:tc>
        <w:tc>
          <w:tcPr>
            <w:tcW w:w="2011" w:type="dxa"/>
            <w:vAlign w:val="center"/>
          </w:tcPr>
          <w:p w:rsidR="006E7C3A" w:rsidRPr="00C84D55" w:rsidRDefault="006E7C3A" w:rsidP="006E7C3A">
            <w:pPr>
              <w:pStyle w:val="TableText0"/>
              <w:rPr>
                <w:lang w:eastAsia="en-AU"/>
              </w:rPr>
            </w:pPr>
            <w:r w:rsidRPr="00C84D55">
              <w:rPr>
                <w:lang w:eastAsia="en-AU"/>
              </w:rPr>
              <w:t>0.5 per 10,000</w:t>
            </w:r>
          </w:p>
        </w:tc>
        <w:tc>
          <w:tcPr>
            <w:tcW w:w="1565" w:type="dxa"/>
            <w:vAlign w:val="center"/>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azacitidine</w:t>
            </w:r>
          </w:p>
          <w:p w:rsidR="006E7C3A" w:rsidRPr="00C84D55" w:rsidRDefault="006E7C3A" w:rsidP="006E7C3A">
            <w:pPr>
              <w:pStyle w:val="TableText0"/>
              <w:rPr>
                <w:lang w:eastAsia="en-AU"/>
              </w:rPr>
            </w:pPr>
            <w:r w:rsidRPr="00C84D55">
              <w:rPr>
                <w:lang w:eastAsia="en-AU"/>
              </w:rPr>
              <w:t>rigosertib (Estybon)</w:t>
            </w:r>
          </w:p>
          <w:p w:rsidR="006E7C3A" w:rsidRPr="00C84D55" w:rsidRDefault="006E7C3A" w:rsidP="006E7C3A">
            <w:pPr>
              <w:pStyle w:val="TableText0"/>
              <w:rPr>
                <w:lang w:eastAsia="en-AU"/>
              </w:rPr>
            </w:pPr>
            <w:r w:rsidRPr="00C84D55">
              <w:rPr>
                <w:lang w:eastAsia="en-AU"/>
              </w:rPr>
              <w:t>sapacitabine</w:t>
            </w:r>
          </w:p>
          <w:p w:rsidR="006E7C3A" w:rsidRPr="00C84D55" w:rsidRDefault="006E7C3A" w:rsidP="006E7C3A">
            <w:pPr>
              <w:pStyle w:val="TableText0"/>
              <w:rPr>
                <w:lang w:eastAsia="en-AU"/>
              </w:rPr>
            </w:pPr>
            <w:r w:rsidRPr="00C84D55">
              <w:rPr>
                <w:lang w:eastAsia="en-AU"/>
              </w:rPr>
              <w:t>omacetaine mepesuccinate (Synribo)</w:t>
            </w:r>
          </w:p>
          <w:p w:rsidR="006E7C3A" w:rsidRPr="00C84D55" w:rsidRDefault="006E7C3A" w:rsidP="006E7C3A">
            <w:pPr>
              <w:pStyle w:val="TableText0"/>
              <w:rPr>
                <w:lang w:eastAsia="en-AU"/>
              </w:rPr>
            </w:pPr>
            <w:r w:rsidRPr="00C84D55">
              <w:rPr>
                <w:lang w:eastAsia="en-AU"/>
              </w:rPr>
              <w:t>ezatiostat (Telintra)</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T cell lymphoma</w:t>
            </w:r>
          </w:p>
        </w:tc>
        <w:tc>
          <w:tcPr>
            <w:tcW w:w="1730" w:type="dxa"/>
            <w:vAlign w:val="center"/>
          </w:tcPr>
          <w:p w:rsidR="006E7C3A" w:rsidRPr="00C84D55" w:rsidRDefault="006E7C3A" w:rsidP="006E7C3A">
            <w:pPr>
              <w:pStyle w:val="TableText0"/>
              <w:rPr>
                <w:lang w:eastAsia="en-AU"/>
              </w:rPr>
            </w:pPr>
            <w:r w:rsidRPr="00C84D55">
              <w:rPr>
                <w:lang w:eastAsia="en-AU"/>
              </w:rPr>
              <w:t>-</w:t>
            </w:r>
          </w:p>
        </w:tc>
        <w:tc>
          <w:tcPr>
            <w:tcW w:w="2011" w:type="dxa"/>
            <w:vAlign w:val="center"/>
          </w:tcPr>
          <w:p w:rsidR="006E7C3A" w:rsidRPr="00C84D55" w:rsidRDefault="006E7C3A" w:rsidP="006E7C3A">
            <w:pPr>
              <w:pStyle w:val="TableText0"/>
              <w:rPr>
                <w:lang w:eastAsia="en-AU"/>
              </w:rPr>
            </w:pPr>
            <w:r w:rsidRPr="00C84D55">
              <w:rPr>
                <w:lang w:eastAsia="en-AU"/>
              </w:rPr>
              <w:t>-</w:t>
            </w:r>
          </w:p>
        </w:tc>
        <w:tc>
          <w:tcPr>
            <w:tcW w:w="1565" w:type="dxa"/>
            <w:vAlign w:val="center"/>
          </w:tcPr>
          <w:p w:rsidR="006E7C3A" w:rsidRPr="00C84D55" w:rsidRDefault="006E7C3A" w:rsidP="006E7C3A">
            <w:pPr>
              <w:pStyle w:val="TableText0"/>
              <w:rPr>
                <w:lang w:eastAsia="en-AU"/>
              </w:rPr>
            </w:pPr>
            <w:r w:rsidRPr="00C84D55">
              <w:rPr>
                <w:lang w:eastAsia="en-AU"/>
              </w:rPr>
              <w:t>0.5 per 2,000 (10–15% of non-Hodgkin’s lymphoma)</w:t>
            </w:r>
          </w:p>
        </w:tc>
        <w:tc>
          <w:tcPr>
            <w:tcW w:w="4535" w:type="dxa"/>
          </w:tcPr>
          <w:p w:rsidR="006E7C3A" w:rsidRPr="00C84D55" w:rsidRDefault="006E7C3A" w:rsidP="006E7C3A">
            <w:pPr>
              <w:pStyle w:val="TableText0"/>
              <w:rPr>
                <w:lang w:eastAsia="en-AU"/>
              </w:rPr>
            </w:pPr>
            <w:r w:rsidRPr="00C84D55">
              <w:rPr>
                <w:lang w:eastAsia="en-AU"/>
              </w:rPr>
              <w:t>pralatrexate (Folotyn)</w:t>
            </w:r>
          </w:p>
          <w:p w:rsidR="006E7C3A" w:rsidRPr="00C84D55" w:rsidRDefault="006E7C3A" w:rsidP="006E7C3A">
            <w:pPr>
              <w:pStyle w:val="TableText0"/>
              <w:rPr>
                <w:lang w:eastAsia="en-AU"/>
              </w:rPr>
            </w:pPr>
            <w:r w:rsidRPr="00C84D55">
              <w:rPr>
                <w:lang w:eastAsia="en-AU"/>
              </w:rPr>
              <w:t>romidepsin (Istodax)</w:t>
            </w:r>
          </w:p>
          <w:p w:rsidR="006E7C3A" w:rsidRPr="00C84D55" w:rsidRDefault="006E7C3A" w:rsidP="006E7C3A">
            <w:pPr>
              <w:pStyle w:val="TableText0"/>
              <w:rPr>
                <w:lang w:eastAsia="en-AU"/>
              </w:rPr>
            </w:pPr>
            <w:r w:rsidRPr="00C84D55">
              <w:rPr>
                <w:lang w:eastAsia="en-AU"/>
              </w:rPr>
              <w:t>brentuximab vedotin (Adcetris)</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T cell lymphoma, cutaneous</w:t>
            </w:r>
          </w:p>
        </w:tc>
        <w:tc>
          <w:tcPr>
            <w:tcW w:w="1730" w:type="dxa"/>
            <w:vAlign w:val="center"/>
          </w:tcPr>
          <w:p w:rsidR="006E7C3A" w:rsidRPr="00C84D55" w:rsidRDefault="006E7C3A" w:rsidP="006E7C3A">
            <w:pPr>
              <w:pStyle w:val="TableText0"/>
              <w:rPr>
                <w:lang w:eastAsia="en-AU"/>
              </w:rPr>
            </w:pPr>
            <w:r w:rsidRPr="00C84D55">
              <w:rPr>
                <w:lang w:eastAsia="en-AU"/>
              </w:rPr>
              <w:t>-</w:t>
            </w:r>
          </w:p>
        </w:tc>
        <w:tc>
          <w:tcPr>
            <w:tcW w:w="2011" w:type="dxa"/>
            <w:vAlign w:val="center"/>
          </w:tcPr>
          <w:p w:rsidR="006E7C3A" w:rsidRPr="00C84D55" w:rsidRDefault="006E7C3A" w:rsidP="006E7C3A">
            <w:pPr>
              <w:pStyle w:val="TableText0"/>
              <w:rPr>
                <w:lang w:eastAsia="en-AU"/>
              </w:rPr>
            </w:pPr>
            <w:r w:rsidRPr="00C84D55">
              <w:rPr>
                <w:lang w:eastAsia="en-AU"/>
              </w:rPr>
              <w:t>0.2 per 10,000</w:t>
            </w:r>
          </w:p>
        </w:tc>
        <w:tc>
          <w:tcPr>
            <w:tcW w:w="1565" w:type="dxa"/>
            <w:vAlign w:val="center"/>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mogamulizumab</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Thymic epithelial tumours</w:t>
            </w:r>
          </w:p>
        </w:tc>
        <w:tc>
          <w:tcPr>
            <w:tcW w:w="1730" w:type="dxa"/>
            <w:vAlign w:val="center"/>
          </w:tcPr>
          <w:p w:rsidR="006E7C3A" w:rsidRPr="00C84D55" w:rsidRDefault="006E7C3A" w:rsidP="006E7C3A">
            <w:pPr>
              <w:pStyle w:val="TableText0"/>
              <w:rPr>
                <w:lang w:eastAsia="en-AU"/>
              </w:rPr>
            </w:pPr>
            <w:r w:rsidRPr="00C84D55">
              <w:rPr>
                <w:lang w:eastAsia="en-AU"/>
              </w:rPr>
              <w:t>-</w:t>
            </w:r>
          </w:p>
        </w:tc>
        <w:tc>
          <w:tcPr>
            <w:tcW w:w="2011" w:type="dxa"/>
            <w:vAlign w:val="center"/>
          </w:tcPr>
          <w:p w:rsidR="006E7C3A" w:rsidRPr="00C84D55" w:rsidRDefault="006E7C3A" w:rsidP="006E7C3A">
            <w:pPr>
              <w:pStyle w:val="TableText0"/>
              <w:rPr>
                <w:lang w:eastAsia="en-AU"/>
              </w:rPr>
            </w:pPr>
            <w:r w:rsidRPr="00C84D55">
              <w:rPr>
                <w:lang w:eastAsia="en-AU"/>
              </w:rPr>
              <w:t>0.1 per 10,000</w:t>
            </w:r>
          </w:p>
        </w:tc>
        <w:tc>
          <w:tcPr>
            <w:tcW w:w="1565" w:type="dxa"/>
            <w:vAlign w:val="center"/>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milciclib</w:t>
            </w:r>
          </w:p>
        </w:tc>
      </w:tr>
      <w:tr w:rsidR="00D27369" w:rsidRPr="00C84D55" w:rsidTr="00DC5428">
        <w:tc>
          <w:tcPr>
            <w:tcW w:w="4330" w:type="dxa"/>
            <w:tcBorders>
              <w:right w:val="nil"/>
            </w:tcBorders>
            <w:shd w:val="clear" w:color="auto" w:fill="D9D9D9" w:themeFill="background1" w:themeFillShade="D9"/>
          </w:tcPr>
          <w:p w:rsidR="008B68E2" w:rsidRPr="00C84D55" w:rsidRDefault="008B68E2" w:rsidP="006E7C3A">
            <w:pPr>
              <w:pStyle w:val="TableText0"/>
              <w:rPr>
                <w:lang w:eastAsia="en-AU"/>
              </w:rPr>
            </w:pPr>
            <w:r w:rsidRPr="00C84D55">
              <w:rPr>
                <w:i/>
                <w:lang w:eastAsia="en-AU"/>
              </w:rPr>
              <w:t>Cancer, brain / nervous system</w:t>
            </w:r>
          </w:p>
        </w:tc>
        <w:tc>
          <w:tcPr>
            <w:tcW w:w="1730"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Brain stem tumour (glioma)</w:t>
            </w:r>
          </w:p>
        </w:tc>
        <w:tc>
          <w:tcPr>
            <w:tcW w:w="1730" w:type="dxa"/>
            <w:tcBorders>
              <w:left w:val="single" w:sz="4" w:space="0" w:color="auto"/>
              <w:right w:val="single" w:sz="4" w:space="0" w:color="auto"/>
            </w:tcBorders>
            <w:vAlign w:val="center"/>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vAlign w:val="center"/>
          </w:tcPr>
          <w:p w:rsidR="006E7C3A" w:rsidRPr="00C84D55" w:rsidRDefault="006E7C3A" w:rsidP="006E7C3A">
            <w:pPr>
              <w:pStyle w:val="TableText0"/>
              <w:rPr>
                <w:lang w:eastAsia="en-AU"/>
              </w:rPr>
            </w:pPr>
            <w:r w:rsidRPr="00C84D55">
              <w:rPr>
                <w:lang w:eastAsia="en-AU"/>
              </w:rPr>
              <w:t>0.4 per 10,000</w:t>
            </w:r>
          </w:p>
        </w:tc>
        <w:tc>
          <w:tcPr>
            <w:tcW w:w="1565" w:type="dxa"/>
            <w:tcBorders>
              <w:left w:val="single" w:sz="4" w:space="0" w:color="auto"/>
              <w:right w:val="single" w:sz="4" w:space="0" w:color="auto"/>
            </w:tcBorders>
            <w:vAlign w:val="center"/>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ICT-107 / dendritic cancer vaccine</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Glioma, high grade (i.e. glioblastoma multiforme, which is frequently refractory to standard treatment including surgery, radiotherapy and temozolomide)</w:t>
            </w:r>
          </w:p>
        </w:tc>
        <w:tc>
          <w:tcPr>
            <w:tcW w:w="1730" w:type="dxa"/>
            <w:vAlign w:val="center"/>
          </w:tcPr>
          <w:p w:rsidR="006E7C3A" w:rsidRPr="00C84D55" w:rsidRDefault="006E7C3A" w:rsidP="006E7C3A">
            <w:pPr>
              <w:pStyle w:val="TableText0"/>
              <w:rPr>
                <w:lang w:eastAsia="en-AU"/>
              </w:rPr>
            </w:pPr>
            <w:r w:rsidRPr="00C84D55">
              <w:rPr>
                <w:lang w:eastAsia="en-AU"/>
              </w:rPr>
              <w:t>1 per 100,000</w:t>
            </w:r>
          </w:p>
        </w:tc>
        <w:tc>
          <w:tcPr>
            <w:tcW w:w="2011" w:type="dxa"/>
            <w:vAlign w:val="center"/>
          </w:tcPr>
          <w:p w:rsidR="006E7C3A" w:rsidRPr="00C84D55" w:rsidRDefault="006E7C3A" w:rsidP="006E7C3A">
            <w:pPr>
              <w:pStyle w:val="TableText0"/>
              <w:rPr>
                <w:lang w:eastAsia="en-AU"/>
              </w:rPr>
            </w:pPr>
            <w:r w:rsidRPr="00C84D55">
              <w:rPr>
                <w:lang w:eastAsia="en-AU"/>
              </w:rPr>
              <w:t>-</w:t>
            </w:r>
          </w:p>
        </w:tc>
        <w:tc>
          <w:tcPr>
            <w:tcW w:w="1565" w:type="dxa"/>
            <w:vAlign w:val="center"/>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bevacizumab</w:t>
            </w:r>
          </w:p>
          <w:p w:rsidR="006E7C3A" w:rsidRPr="00C84D55" w:rsidRDefault="006E7C3A" w:rsidP="006E7C3A">
            <w:pPr>
              <w:pStyle w:val="TableText0"/>
              <w:rPr>
                <w:lang w:eastAsia="en-AU"/>
              </w:rPr>
            </w:pPr>
            <w:r w:rsidRPr="00C84D55">
              <w:rPr>
                <w:lang w:eastAsia="en-AU"/>
              </w:rPr>
              <w:t>chloroquine</w:t>
            </w:r>
          </w:p>
          <w:p w:rsidR="006E7C3A" w:rsidRPr="00C84D55" w:rsidRDefault="006E7C3A" w:rsidP="006E7C3A">
            <w:pPr>
              <w:pStyle w:val="TableText0"/>
              <w:rPr>
                <w:lang w:eastAsia="en-AU"/>
              </w:rPr>
            </w:pPr>
            <w:r w:rsidRPr="00C84D55">
              <w:rPr>
                <w:lang w:eastAsia="en-AU"/>
              </w:rPr>
              <w:t>TNT-1B mAB (Cotara)</w:t>
            </w:r>
          </w:p>
          <w:p w:rsidR="006E7C3A" w:rsidRPr="00C84D55" w:rsidRDefault="006E7C3A" w:rsidP="006E7C3A">
            <w:pPr>
              <w:pStyle w:val="TableText0"/>
              <w:rPr>
                <w:lang w:eastAsia="en-AU"/>
              </w:rPr>
            </w:pPr>
            <w:r w:rsidRPr="00C84D55">
              <w:rPr>
                <w:lang w:eastAsia="en-AU"/>
              </w:rPr>
              <w:t>paclitaxel poliglumex (Opaxio)</w:t>
            </w:r>
          </w:p>
          <w:p w:rsidR="006E7C3A" w:rsidRPr="00C84D55" w:rsidRDefault="006E7C3A" w:rsidP="006E7C3A">
            <w:pPr>
              <w:pStyle w:val="TableText0"/>
              <w:rPr>
                <w:lang w:eastAsia="en-AU"/>
              </w:rPr>
            </w:pPr>
            <w:r w:rsidRPr="00C84D55">
              <w:rPr>
                <w:lang w:eastAsia="en-AU"/>
              </w:rPr>
              <w:t>olaptesed pegol (pre-clinical studies only for this indication)</w:t>
            </w:r>
          </w:p>
          <w:p w:rsidR="006E7C3A" w:rsidRPr="00C84D55" w:rsidRDefault="006E7C3A" w:rsidP="006E7C3A">
            <w:pPr>
              <w:pStyle w:val="TableText0"/>
              <w:rPr>
                <w:lang w:eastAsia="en-AU"/>
              </w:rPr>
            </w:pPr>
            <w:r w:rsidRPr="00C84D55">
              <w:rPr>
                <w:lang w:eastAsia="en-AU"/>
              </w:rPr>
              <w:t>trabedersen</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Neuroblastoma</w:t>
            </w:r>
          </w:p>
        </w:tc>
        <w:tc>
          <w:tcPr>
            <w:tcW w:w="1730" w:type="dxa"/>
            <w:vAlign w:val="center"/>
          </w:tcPr>
          <w:p w:rsidR="006E7C3A" w:rsidRPr="00C84D55" w:rsidRDefault="006E7C3A" w:rsidP="006E7C3A">
            <w:pPr>
              <w:pStyle w:val="TableText0"/>
              <w:rPr>
                <w:lang w:eastAsia="en-AU"/>
              </w:rPr>
            </w:pPr>
            <w:r w:rsidRPr="00C84D55">
              <w:rPr>
                <w:lang w:eastAsia="en-AU"/>
              </w:rPr>
              <w:t>-</w:t>
            </w:r>
          </w:p>
        </w:tc>
        <w:tc>
          <w:tcPr>
            <w:tcW w:w="2011" w:type="dxa"/>
            <w:vAlign w:val="center"/>
          </w:tcPr>
          <w:p w:rsidR="006E7C3A" w:rsidRPr="00C84D55" w:rsidRDefault="006E7C3A" w:rsidP="006E7C3A">
            <w:pPr>
              <w:pStyle w:val="TableText0"/>
              <w:rPr>
                <w:lang w:eastAsia="en-AU"/>
              </w:rPr>
            </w:pPr>
            <w:r w:rsidRPr="00C84D55">
              <w:rPr>
                <w:lang w:eastAsia="en-AU"/>
              </w:rPr>
              <w:t>-</w:t>
            </w:r>
          </w:p>
        </w:tc>
        <w:tc>
          <w:tcPr>
            <w:tcW w:w="1565" w:type="dxa"/>
            <w:vAlign w:val="center"/>
          </w:tcPr>
          <w:p w:rsidR="006E7C3A" w:rsidRPr="00C84D55" w:rsidRDefault="006E7C3A" w:rsidP="006E7C3A">
            <w:pPr>
              <w:pStyle w:val="TableText0"/>
              <w:rPr>
                <w:lang w:eastAsia="en-AU"/>
              </w:rPr>
            </w:pPr>
            <w:r w:rsidRPr="00C84D55">
              <w:rPr>
                <w:lang w:eastAsia="en-AU"/>
              </w:rPr>
              <w:t>0.2 per 2,000</w:t>
            </w:r>
          </w:p>
        </w:tc>
        <w:tc>
          <w:tcPr>
            <w:tcW w:w="4535" w:type="dxa"/>
          </w:tcPr>
          <w:p w:rsidR="006E7C3A" w:rsidRPr="00C84D55" w:rsidRDefault="006E7C3A" w:rsidP="006E7C3A">
            <w:pPr>
              <w:pStyle w:val="TableText0"/>
              <w:rPr>
                <w:lang w:eastAsia="en-AU"/>
              </w:rPr>
            </w:pPr>
            <w:r w:rsidRPr="00C84D55">
              <w:rPr>
                <w:lang w:eastAsia="en-AU"/>
              </w:rPr>
              <w:t>eflornithine</w:t>
            </w:r>
          </w:p>
        </w:tc>
      </w:tr>
      <w:tr w:rsidR="00D27369" w:rsidRPr="00C84D55" w:rsidTr="001F44E1">
        <w:tc>
          <w:tcPr>
            <w:tcW w:w="4330" w:type="dxa"/>
            <w:tcBorders>
              <w:right w:val="nil"/>
            </w:tcBorders>
            <w:shd w:val="clear" w:color="auto" w:fill="D9D9D9" w:themeFill="background1" w:themeFillShade="D9"/>
          </w:tcPr>
          <w:p w:rsidR="008B68E2" w:rsidRPr="00C84D55" w:rsidRDefault="008B68E2" w:rsidP="006E7C3A">
            <w:pPr>
              <w:pStyle w:val="TableText0"/>
              <w:rPr>
                <w:lang w:eastAsia="en-AU"/>
              </w:rPr>
            </w:pPr>
            <w:r w:rsidRPr="00C84D55">
              <w:rPr>
                <w:i/>
                <w:lang w:eastAsia="en-AU"/>
              </w:rPr>
              <w:t>Cancer, connective tissues / bone</w:t>
            </w:r>
          </w:p>
        </w:tc>
        <w:tc>
          <w:tcPr>
            <w:tcW w:w="1730"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lang w:eastAsia="en-AU"/>
              </w:rPr>
            </w:pP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Osteosarcoma</w:t>
            </w:r>
          </w:p>
        </w:tc>
        <w:tc>
          <w:tcPr>
            <w:tcW w:w="1730" w:type="dxa"/>
            <w:vAlign w:val="center"/>
          </w:tcPr>
          <w:p w:rsidR="006E7C3A" w:rsidRPr="00C84D55" w:rsidRDefault="006E7C3A" w:rsidP="006E7C3A">
            <w:pPr>
              <w:pStyle w:val="TableText0"/>
              <w:rPr>
                <w:lang w:eastAsia="en-AU"/>
              </w:rPr>
            </w:pPr>
            <w:r w:rsidRPr="00C84D55">
              <w:rPr>
                <w:lang w:eastAsia="en-AU"/>
              </w:rPr>
              <w:t>-</w:t>
            </w:r>
          </w:p>
        </w:tc>
        <w:tc>
          <w:tcPr>
            <w:tcW w:w="2011" w:type="dxa"/>
            <w:vAlign w:val="center"/>
          </w:tcPr>
          <w:p w:rsidR="006E7C3A" w:rsidRPr="00C84D55" w:rsidRDefault="006E7C3A" w:rsidP="006E7C3A">
            <w:pPr>
              <w:pStyle w:val="TableText0"/>
              <w:rPr>
                <w:lang w:eastAsia="en-AU"/>
              </w:rPr>
            </w:pPr>
            <w:r w:rsidRPr="00C84D55">
              <w:rPr>
                <w:lang w:eastAsia="en-AU"/>
              </w:rPr>
              <w:t>0.5 per 10,000</w:t>
            </w:r>
          </w:p>
        </w:tc>
        <w:tc>
          <w:tcPr>
            <w:tcW w:w="1565" w:type="dxa"/>
            <w:vAlign w:val="center"/>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mifamurtide</w:t>
            </w:r>
          </w:p>
        </w:tc>
      </w:tr>
      <w:tr w:rsidR="00D27369" w:rsidRPr="00C84D55" w:rsidTr="001F44E1">
        <w:tc>
          <w:tcPr>
            <w:tcW w:w="4330" w:type="dxa"/>
            <w:tcBorders>
              <w:right w:val="nil"/>
            </w:tcBorders>
            <w:shd w:val="clear" w:color="auto" w:fill="D9D9D9" w:themeFill="background1" w:themeFillShade="D9"/>
          </w:tcPr>
          <w:p w:rsidR="008B68E2" w:rsidRPr="00C84D55" w:rsidRDefault="008B68E2" w:rsidP="006E7C3A">
            <w:pPr>
              <w:pStyle w:val="TableText0"/>
              <w:rPr>
                <w:i/>
                <w:lang w:eastAsia="en-AU"/>
              </w:rPr>
            </w:pPr>
            <w:r w:rsidRPr="00C84D55">
              <w:rPr>
                <w:i/>
                <w:lang w:eastAsia="en-AU"/>
              </w:rPr>
              <w:lastRenderedPageBreak/>
              <w:t>Cancer, endocrine system</w:t>
            </w:r>
          </w:p>
        </w:tc>
        <w:tc>
          <w:tcPr>
            <w:tcW w:w="1730"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i/>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Adrenal cortical carcinoma</w:t>
            </w:r>
          </w:p>
        </w:tc>
        <w:tc>
          <w:tcPr>
            <w:tcW w:w="1730" w:type="dxa"/>
            <w:tcBorders>
              <w:left w:val="single" w:sz="4" w:space="0" w:color="auto"/>
              <w:right w:val="single" w:sz="4" w:space="0" w:color="auto"/>
            </w:tcBorders>
            <w:vAlign w:val="center"/>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vAlign w:val="center"/>
          </w:tcPr>
          <w:p w:rsidR="006E7C3A" w:rsidRPr="00C84D55" w:rsidRDefault="006E7C3A" w:rsidP="006E7C3A">
            <w:pPr>
              <w:pStyle w:val="TableText0"/>
              <w:rPr>
                <w:lang w:eastAsia="en-AU"/>
              </w:rPr>
            </w:pPr>
            <w:r w:rsidRPr="00C84D55">
              <w:rPr>
                <w:lang w:eastAsia="en-AU"/>
              </w:rPr>
              <w:t>0.1 per 10,000</w:t>
            </w:r>
          </w:p>
        </w:tc>
        <w:tc>
          <w:tcPr>
            <w:tcW w:w="1565" w:type="dxa"/>
            <w:tcBorders>
              <w:left w:val="single" w:sz="4" w:space="0" w:color="auto"/>
            </w:tcBorders>
            <w:vAlign w:val="center"/>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mitotane (Lysodren)</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Medullary thyroid carcinoma, unresectable, locally advanced or metastatic</w:t>
            </w:r>
          </w:p>
        </w:tc>
        <w:tc>
          <w:tcPr>
            <w:tcW w:w="1730" w:type="dxa"/>
            <w:vAlign w:val="center"/>
          </w:tcPr>
          <w:p w:rsidR="006E7C3A" w:rsidRPr="00C84D55" w:rsidRDefault="006E7C3A" w:rsidP="006E7C3A">
            <w:pPr>
              <w:pStyle w:val="TableText0"/>
              <w:rPr>
                <w:lang w:eastAsia="en-AU"/>
              </w:rPr>
            </w:pPr>
            <w:r w:rsidRPr="00C84D55">
              <w:rPr>
                <w:lang w:eastAsia="en-AU"/>
              </w:rPr>
              <w:t>-</w:t>
            </w:r>
          </w:p>
        </w:tc>
        <w:tc>
          <w:tcPr>
            <w:tcW w:w="2011" w:type="dxa"/>
            <w:vAlign w:val="center"/>
          </w:tcPr>
          <w:p w:rsidR="006E7C3A" w:rsidRPr="00C84D55" w:rsidRDefault="006E7C3A" w:rsidP="006E7C3A">
            <w:pPr>
              <w:pStyle w:val="TableText0"/>
              <w:rPr>
                <w:lang w:eastAsia="en-AU"/>
              </w:rPr>
            </w:pPr>
            <w:r w:rsidRPr="00C84D55">
              <w:rPr>
                <w:lang w:eastAsia="en-AU"/>
              </w:rPr>
              <w:t>0.7 per 10,000</w:t>
            </w:r>
          </w:p>
        </w:tc>
        <w:tc>
          <w:tcPr>
            <w:tcW w:w="1565" w:type="dxa"/>
            <w:vAlign w:val="center"/>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vandetanib (Caprelsa)</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Follicular, medullary, anaplastic cancer and metastatic or locally advanced papillary thyroid</w:t>
            </w:r>
          </w:p>
        </w:tc>
        <w:tc>
          <w:tcPr>
            <w:tcW w:w="1730" w:type="dxa"/>
            <w:vAlign w:val="center"/>
          </w:tcPr>
          <w:p w:rsidR="006E7C3A" w:rsidRPr="00C84D55" w:rsidRDefault="006E7C3A" w:rsidP="006E7C3A">
            <w:pPr>
              <w:pStyle w:val="TableText0"/>
              <w:rPr>
                <w:lang w:eastAsia="en-AU"/>
              </w:rPr>
            </w:pPr>
            <w:r w:rsidRPr="00C84D55">
              <w:rPr>
                <w:lang w:eastAsia="en-AU"/>
              </w:rPr>
              <w:t>0.1 per 100,000 (anaplastic thyroid carcinoma)</w:t>
            </w:r>
          </w:p>
        </w:tc>
        <w:tc>
          <w:tcPr>
            <w:tcW w:w="2011" w:type="dxa"/>
            <w:vAlign w:val="center"/>
          </w:tcPr>
          <w:p w:rsidR="006E7C3A" w:rsidRPr="00C84D55" w:rsidRDefault="006E7C3A" w:rsidP="006E7C3A">
            <w:pPr>
              <w:pStyle w:val="TableText0"/>
              <w:rPr>
                <w:lang w:eastAsia="en-AU"/>
              </w:rPr>
            </w:pPr>
            <w:r w:rsidRPr="00C84D55">
              <w:rPr>
                <w:lang w:eastAsia="en-AU"/>
              </w:rPr>
              <w:t>-</w:t>
            </w:r>
          </w:p>
        </w:tc>
        <w:tc>
          <w:tcPr>
            <w:tcW w:w="1565" w:type="dxa"/>
            <w:vAlign w:val="center"/>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lenvatinib</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Pancreatic neuroendocrine tumours, unresectable and well-differentiated</w:t>
            </w:r>
          </w:p>
        </w:tc>
        <w:tc>
          <w:tcPr>
            <w:tcW w:w="1730" w:type="dxa"/>
            <w:vAlign w:val="center"/>
          </w:tcPr>
          <w:p w:rsidR="006E7C3A" w:rsidRPr="00C84D55" w:rsidRDefault="006E7C3A" w:rsidP="006E7C3A">
            <w:pPr>
              <w:pStyle w:val="TableText0"/>
              <w:rPr>
                <w:lang w:eastAsia="en-AU"/>
              </w:rPr>
            </w:pPr>
            <w:r w:rsidRPr="00C84D55">
              <w:rPr>
                <w:lang w:eastAsia="en-AU"/>
              </w:rPr>
              <w:t>1 per 100,000</w:t>
            </w:r>
          </w:p>
        </w:tc>
        <w:tc>
          <w:tcPr>
            <w:tcW w:w="2011" w:type="dxa"/>
            <w:vAlign w:val="center"/>
          </w:tcPr>
          <w:p w:rsidR="006E7C3A" w:rsidRPr="00C84D55" w:rsidRDefault="006E7C3A" w:rsidP="006E7C3A">
            <w:pPr>
              <w:pStyle w:val="TableText0"/>
              <w:rPr>
                <w:lang w:eastAsia="en-AU"/>
              </w:rPr>
            </w:pPr>
            <w:r w:rsidRPr="00C84D55">
              <w:rPr>
                <w:lang w:eastAsia="en-AU"/>
              </w:rPr>
              <w:t>-</w:t>
            </w:r>
          </w:p>
        </w:tc>
        <w:tc>
          <w:tcPr>
            <w:tcW w:w="1565" w:type="dxa"/>
            <w:vAlign w:val="center"/>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sunitinib (Sutent)</w:t>
            </w:r>
          </w:p>
        </w:tc>
      </w:tr>
      <w:tr w:rsidR="00D27369" w:rsidRPr="00C84D55" w:rsidTr="001F44E1">
        <w:tc>
          <w:tcPr>
            <w:tcW w:w="4330" w:type="dxa"/>
            <w:tcBorders>
              <w:right w:val="nil"/>
            </w:tcBorders>
            <w:shd w:val="clear" w:color="auto" w:fill="D9D9D9" w:themeFill="background1" w:themeFillShade="D9"/>
          </w:tcPr>
          <w:p w:rsidR="008B68E2" w:rsidRPr="00C84D55" w:rsidRDefault="008B68E2" w:rsidP="006E7C3A">
            <w:pPr>
              <w:pStyle w:val="TableText0"/>
              <w:rPr>
                <w:lang w:eastAsia="en-AU"/>
              </w:rPr>
            </w:pPr>
            <w:r w:rsidRPr="00C84D55">
              <w:rPr>
                <w:i/>
                <w:lang w:eastAsia="en-AU"/>
              </w:rPr>
              <w:t>Cancer, gastrointestinal tract</w:t>
            </w:r>
          </w:p>
        </w:tc>
        <w:tc>
          <w:tcPr>
            <w:tcW w:w="1730"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lang w:eastAsia="en-AU"/>
              </w:rPr>
            </w:pPr>
          </w:p>
        </w:tc>
      </w:tr>
      <w:tr w:rsidR="00D27369" w:rsidRPr="00C84D55" w:rsidTr="001F44E1">
        <w:tc>
          <w:tcPr>
            <w:tcW w:w="4330" w:type="dxa"/>
            <w:shd w:val="clear" w:color="auto" w:fill="FFFFFF" w:themeFill="background1"/>
          </w:tcPr>
          <w:p w:rsidR="006E7C3A" w:rsidRPr="00C84D55" w:rsidRDefault="006E7C3A" w:rsidP="006E7C3A">
            <w:pPr>
              <w:pStyle w:val="TableText0"/>
              <w:rPr>
                <w:lang w:eastAsia="en-AU"/>
              </w:rPr>
            </w:pPr>
            <w:r w:rsidRPr="00C84D55">
              <w:rPr>
                <w:lang w:eastAsia="en-AU"/>
              </w:rPr>
              <w:t>Gastrointestinal stromal tumours</w:t>
            </w:r>
          </w:p>
        </w:tc>
        <w:tc>
          <w:tcPr>
            <w:tcW w:w="1730" w:type="dxa"/>
            <w:tcBorders>
              <w:right w:val="single" w:sz="4" w:space="0" w:color="auto"/>
            </w:tcBorders>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tcBorders>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1565" w:type="dxa"/>
            <w:shd w:val="clear" w:color="auto" w:fill="FFFFFF" w:themeFill="background1"/>
          </w:tcPr>
          <w:p w:rsidR="006E7C3A" w:rsidRPr="00C84D55" w:rsidRDefault="006E7C3A" w:rsidP="006E7C3A">
            <w:pPr>
              <w:pStyle w:val="TableText0"/>
              <w:rPr>
                <w:lang w:eastAsia="en-AU"/>
              </w:rPr>
            </w:pPr>
            <w:r w:rsidRPr="00C84D55">
              <w:rPr>
                <w:lang w:eastAsia="en-AU"/>
              </w:rPr>
              <w:t>0.3 per 2,000</w:t>
            </w:r>
          </w:p>
        </w:tc>
        <w:tc>
          <w:tcPr>
            <w:tcW w:w="4535" w:type="dxa"/>
            <w:shd w:val="clear" w:color="auto" w:fill="FFFFFF" w:themeFill="background1"/>
          </w:tcPr>
          <w:p w:rsidR="006E7C3A" w:rsidRPr="00C84D55" w:rsidRDefault="006E7C3A" w:rsidP="006E7C3A">
            <w:pPr>
              <w:pStyle w:val="TableText0"/>
              <w:rPr>
                <w:lang w:eastAsia="en-AU"/>
              </w:rPr>
            </w:pPr>
            <w:r w:rsidRPr="00C84D55">
              <w:rPr>
                <w:lang w:eastAsia="en-AU"/>
              </w:rPr>
              <w:t>masitinib</w:t>
            </w:r>
          </w:p>
        </w:tc>
      </w:tr>
      <w:tr w:rsidR="001F44E1" w:rsidRPr="00C84D55" w:rsidTr="001F44E1">
        <w:tc>
          <w:tcPr>
            <w:tcW w:w="4330" w:type="dxa"/>
            <w:tcBorders>
              <w:right w:val="nil"/>
            </w:tcBorders>
            <w:shd w:val="clear" w:color="auto" w:fill="D9D9D9" w:themeFill="background1" w:themeFillShade="D9"/>
          </w:tcPr>
          <w:p w:rsidR="008B68E2" w:rsidRPr="00C84D55" w:rsidRDefault="008B68E2" w:rsidP="006E7C3A">
            <w:pPr>
              <w:pStyle w:val="TableText0"/>
              <w:rPr>
                <w:lang w:eastAsia="en-AU"/>
              </w:rPr>
            </w:pPr>
            <w:r w:rsidRPr="00C84D55">
              <w:rPr>
                <w:i/>
                <w:lang w:eastAsia="en-AU"/>
              </w:rPr>
              <w:t>Cancer, head and neck</w:t>
            </w:r>
          </w:p>
        </w:tc>
        <w:tc>
          <w:tcPr>
            <w:tcW w:w="1730"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lang w:eastAsia="en-AU"/>
              </w:rPr>
            </w:pPr>
          </w:p>
        </w:tc>
      </w:tr>
      <w:tr w:rsidR="00D27369" w:rsidRPr="00C84D55" w:rsidTr="001F44E1">
        <w:tc>
          <w:tcPr>
            <w:tcW w:w="4330" w:type="dxa"/>
            <w:shd w:val="clear" w:color="auto" w:fill="FFFFFF" w:themeFill="background1"/>
          </w:tcPr>
          <w:p w:rsidR="006E7C3A" w:rsidRPr="00C84D55" w:rsidRDefault="006E7C3A" w:rsidP="006E7C3A">
            <w:pPr>
              <w:pStyle w:val="TableText0"/>
              <w:rPr>
                <w:lang w:eastAsia="en-AU"/>
              </w:rPr>
            </w:pPr>
            <w:r w:rsidRPr="00C84D55">
              <w:rPr>
                <w:lang w:eastAsia="en-AU"/>
              </w:rPr>
              <w:t>Squamous cell carcinoma, Ep-CAM-positive</w:t>
            </w:r>
          </w:p>
        </w:tc>
        <w:tc>
          <w:tcPr>
            <w:tcW w:w="1730" w:type="dxa"/>
            <w:tcBorders>
              <w:right w:val="single" w:sz="4" w:space="0" w:color="auto"/>
            </w:tcBorders>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tcBorders>
            <w:shd w:val="clear" w:color="auto" w:fill="FFFFFF" w:themeFill="background1"/>
          </w:tcPr>
          <w:p w:rsidR="006E7C3A" w:rsidRPr="00C84D55" w:rsidRDefault="006E7C3A" w:rsidP="006E7C3A">
            <w:pPr>
              <w:pStyle w:val="TableText0"/>
              <w:rPr>
                <w:lang w:eastAsia="en-AU"/>
              </w:rPr>
            </w:pPr>
            <w:r w:rsidRPr="00C84D55">
              <w:rPr>
                <w:lang w:eastAsia="en-AU"/>
              </w:rPr>
              <w:t>0.8 per 2,000 (~80% of all squamous cell carcinomas of head and neck)</w:t>
            </w:r>
          </w:p>
        </w:tc>
        <w:tc>
          <w:tcPr>
            <w:tcW w:w="4535" w:type="dxa"/>
            <w:shd w:val="clear" w:color="auto" w:fill="FFFFFF" w:themeFill="background1"/>
          </w:tcPr>
          <w:p w:rsidR="006E7C3A" w:rsidRPr="00C84D55" w:rsidRDefault="006E7C3A" w:rsidP="006E7C3A">
            <w:pPr>
              <w:pStyle w:val="TableText0"/>
              <w:rPr>
                <w:lang w:eastAsia="en-AU"/>
              </w:rPr>
            </w:pPr>
            <w:r w:rsidRPr="00C84D55">
              <w:rPr>
                <w:lang w:eastAsia="en-AU"/>
              </w:rPr>
              <w:t>VB4-845</w:t>
            </w:r>
          </w:p>
        </w:tc>
      </w:tr>
      <w:tr w:rsidR="00D27369" w:rsidRPr="00C84D55" w:rsidTr="001F44E1">
        <w:tc>
          <w:tcPr>
            <w:tcW w:w="4330" w:type="dxa"/>
            <w:tcBorders>
              <w:right w:val="single" w:sz="4" w:space="0" w:color="auto"/>
            </w:tcBorders>
            <w:shd w:val="clear" w:color="auto" w:fill="FFFFFF" w:themeFill="background1"/>
          </w:tcPr>
          <w:p w:rsidR="006E7C3A" w:rsidRPr="00C84D55" w:rsidRDefault="006E7C3A" w:rsidP="006E7C3A">
            <w:pPr>
              <w:pStyle w:val="TableText0"/>
              <w:rPr>
                <w:lang w:eastAsia="en-AU"/>
              </w:rPr>
            </w:pPr>
            <w:r w:rsidRPr="00C84D55">
              <w:rPr>
                <w:lang w:eastAsia="en-AU"/>
              </w:rPr>
              <w:t>Squamous cell carcinoma, HPV-16 expressing</w:t>
            </w:r>
          </w:p>
        </w:tc>
        <w:tc>
          <w:tcPr>
            <w:tcW w:w="1730" w:type="dxa"/>
            <w:tcBorders>
              <w:left w:val="single" w:sz="4" w:space="0" w:color="auto"/>
              <w:right w:val="single" w:sz="4" w:space="0" w:color="auto"/>
            </w:tcBorders>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shd w:val="clear" w:color="auto" w:fill="FFFFFF" w:themeFill="background1"/>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tcBorders>
            <w:shd w:val="clear" w:color="auto" w:fill="FFFFFF" w:themeFill="background1"/>
          </w:tcPr>
          <w:p w:rsidR="006E7C3A" w:rsidRPr="00C84D55" w:rsidRDefault="006E7C3A" w:rsidP="006E7C3A">
            <w:pPr>
              <w:pStyle w:val="TableText0"/>
              <w:rPr>
                <w:lang w:eastAsia="en-AU"/>
              </w:rPr>
            </w:pPr>
            <w:r w:rsidRPr="00C84D55">
              <w:rPr>
                <w:lang w:eastAsia="en-AU"/>
              </w:rPr>
              <w:t>0.8 per 2,000</w:t>
            </w:r>
          </w:p>
        </w:tc>
        <w:tc>
          <w:tcPr>
            <w:tcW w:w="4535" w:type="dxa"/>
            <w:shd w:val="clear" w:color="auto" w:fill="FFFFFF" w:themeFill="background1"/>
          </w:tcPr>
          <w:p w:rsidR="006E7C3A" w:rsidRPr="00C84D55" w:rsidRDefault="006E7C3A" w:rsidP="006E7C3A">
            <w:pPr>
              <w:pStyle w:val="TableText0"/>
              <w:rPr>
                <w:lang w:eastAsia="en-AU"/>
              </w:rPr>
            </w:pPr>
            <w:r w:rsidRPr="00C84D55">
              <w:rPr>
                <w:lang w:eastAsia="en-AU"/>
              </w:rPr>
              <w:t>GL-0810 / HPV-16 cancer vaccine</w:t>
            </w:r>
          </w:p>
        </w:tc>
      </w:tr>
      <w:tr w:rsidR="001F44E1" w:rsidRPr="00C84D55" w:rsidTr="001F44E1">
        <w:tc>
          <w:tcPr>
            <w:tcW w:w="4330" w:type="dxa"/>
            <w:tcBorders>
              <w:right w:val="nil"/>
            </w:tcBorders>
            <w:shd w:val="clear" w:color="auto" w:fill="D9D9D9" w:themeFill="background1" w:themeFillShade="D9"/>
          </w:tcPr>
          <w:p w:rsidR="008B68E2" w:rsidRPr="00C84D55" w:rsidRDefault="008B68E2" w:rsidP="006E7C3A">
            <w:pPr>
              <w:pStyle w:val="TableText0"/>
              <w:rPr>
                <w:i/>
                <w:lang w:eastAsia="en-AU"/>
              </w:rPr>
            </w:pPr>
            <w:r w:rsidRPr="00C84D55">
              <w:rPr>
                <w:i/>
                <w:lang w:eastAsia="en-AU"/>
              </w:rPr>
              <w:t>Cancer, liver</w:t>
            </w:r>
          </w:p>
        </w:tc>
        <w:tc>
          <w:tcPr>
            <w:tcW w:w="1730"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i/>
                <w:lang w:eastAsia="en-AU"/>
              </w:rPr>
            </w:pPr>
          </w:p>
        </w:tc>
      </w:tr>
      <w:tr w:rsidR="00D27369" w:rsidRPr="00C84D55" w:rsidTr="001F44E1">
        <w:trPr>
          <w:trHeight w:val="425"/>
        </w:trPr>
        <w:tc>
          <w:tcPr>
            <w:tcW w:w="4330" w:type="dxa"/>
            <w:tcBorders>
              <w:right w:val="single" w:sz="4" w:space="0" w:color="auto"/>
            </w:tcBorders>
          </w:tcPr>
          <w:p w:rsidR="008B68E2" w:rsidRPr="00C84D55" w:rsidRDefault="008B68E2" w:rsidP="006E7C3A">
            <w:pPr>
              <w:pStyle w:val="TableText0"/>
              <w:rPr>
                <w:lang w:eastAsia="en-AU"/>
              </w:rPr>
            </w:pPr>
            <w:r w:rsidRPr="00C84D55">
              <w:rPr>
                <w:lang w:eastAsia="en-AU"/>
              </w:rPr>
              <w:t>Hepatocellular carcinoma, second-line treatment for metastatic disease</w:t>
            </w:r>
          </w:p>
        </w:tc>
        <w:tc>
          <w:tcPr>
            <w:tcW w:w="1730" w:type="dxa"/>
            <w:tcBorders>
              <w:left w:val="single" w:sz="4" w:space="0" w:color="auto"/>
              <w:right w:val="single" w:sz="4" w:space="0" w:color="auto"/>
            </w:tcBorders>
          </w:tcPr>
          <w:p w:rsidR="008B68E2" w:rsidRPr="00C84D55" w:rsidRDefault="008B68E2" w:rsidP="006E7C3A">
            <w:pPr>
              <w:pStyle w:val="TableText0"/>
              <w:rPr>
                <w:lang w:eastAsia="en-AU"/>
              </w:rPr>
            </w:pPr>
            <w:r w:rsidRPr="00C84D55">
              <w:rPr>
                <w:lang w:eastAsia="en-AU"/>
              </w:rPr>
              <w:t>1 per 100,000</w:t>
            </w:r>
          </w:p>
        </w:tc>
        <w:tc>
          <w:tcPr>
            <w:tcW w:w="2011" w:type="dxa"/>
            <w:tcBorders>
              <w:left w:val="single" w:sz="4" w:space="0" w:color="auto"/>
              <w:right w:val="single" w:sz="4" w:space="0" w:color="auto"/>
            </w:tcBorders>
          </w:tcPr>
          <w:p w:rsidR="008B68E2" w:rsidRPr="00C84D55" w:rsidRDefault="008B68E2"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8B68E2" w:rsidRPr="00C84D55" w:rsidRDefault="008B68E2" w:rsidP="006E7C3A">
            <w:pPr>
              <w:pStyle w:val="TableText0"/>
              <w:rPr>
                <w:lang w:eastAsia="en-AU"/>
              </w:rPr>
            </w:pPr>
            <w:r w:rsidRPr="00C84D55">
              <w:rPr>
                <w:lang w:eastAsia="en-AU"/>
              </w:rPr>
              <w:t>-</w:t>
            </w:r>
          </w:p>
        </w:tc>
        <w:tc>
          <w:tcPr>
            <w:tcW w:w="4535" w:type="dxa"/>
            <w:tcBorders>
              <w:left w:val="single" w:sz="4" w:space="0" w:color="auto"/>
            </w:tcBorders>
          </w:tcPr>
          <w:p w:rsidR="008B68E2" w:rsidRPr="00C84D55" w:rsidRDefault="008B68E2" w:rsidP="006E7C3A">
            <w:pPr>
              <w:pStyle w:val="TableText0"/>
              <w:rPr>
                <w:lang w:eastAsia="en-AU"/>
              </w:rPr>
            </w:pPr>
            <w:r w:rsidRPr="00C84D55">
              <w:rPr>
                <w:lang w:eastAsia="en-AU"/>
              </w:rPr>
              <w:t>G-202, “prodrug” for administration following therapy with sorafenib</w:t>
            </w:r>
          </w:p>
          <w:p w:rsidR="008B68E2" w:rsidRPr="00C84D55" w:rsidRDefault="008B68E2" w:rsidP="006E7C3A">
            <w:pPr>
              <w:pStyle w:val="TableText0"/>
              <w:rPr>
                <w:lang w:eastAsia="en-AU"/>
              </w:rPr>
            </w:pPr>
            <w:r w:rsidRPr="00C84D55">
              <w:rPr>
                <w:lang w:eastAsia="en-AU"/>
              </w:rPr>
              <w:t>pexastimogene devacirepvec (Pexa-Vac; JX-594)</w:t>
            </w:r>
          </w:p>
          <w:p w:rsidR="008B68E2" w:rsidRPr="00C84D55" w:rsidRDefault="008B68E2" w:rsidP="006E7C3A">
            <w:pPr>
              <w:pStyle w:val="TableText0"/>
              <w:rPr>
                <w:lang w:eastAsia="en-AU"/>
              </w:rPr>
            </w:pPr>
            <w:r w:rsidRPr="00C84D55">
              <w:rPr>
                <w:lang w:eastAsia="en-AU"/>
              </w:rPr>
              <w:t>lyso-thermosensitive liposomal doxorubicin (ThermoDox)</w:t>
            </w:r>
          </w:p>
          <w:p w:rsidR="008B68E2" w:rsidRPr="00C84D55" w:rsidRDefault="008B68E2" w:rsidP="006E7C3A">
            <w:pPr>
              <w:pStyle w:val="TableText0"/>
              <w:rPr>
                <w:lang w:eastAsia="en-AU"/>
              </w:rPr>
            </w:pPr>
            <w:r w:rsidRPr="00C84D55">
              <w:rPr>
                <w:lang w:eastAsia="en-AU"/>
              </w:rPr>
              <w:t xml:space="preserve">YQ23 / stabilized non-polymeric diaspirin cross-linked </w:t>
            </w:r>
            <w:r>
              <w:rPr>
                <w:lang w:eastAsia="en-AU"/>
              </w:rPr>
              <w:t>x</w:t>
            </w:r>
            <w:r w:rsidRPr="00C84D55">
              <w:rPr>
                <w:lang w:eastAsia="en-AU"/>
              </w:rPr>
              <w:t>tetrameric haemoglobin</w:t>
            </w:r>
            <w:r w:rsidRPr="00C84D55">
              <w:rPr>
                <w:vertAlign w:val="superscript"/>
                <w:lang w:eastAsia="en-AU"/>
              </w:rPr>
              <w:t xml:space="preserve"> </w:t>
            </w:r>
            <w:r w:rsidRPr="00C84D55">
              <w:rPr>
                <w:lang w:eastAsia="en-AU"/>
              </w:rPr>
              <w:t>(animal studies only)</w:t>
            </w:r>
          </w:p>
        </w:tc>
      </w:tr>
      <w:tr w:rsidR="00D27369" w:rsidRPr="00C84D55" w:rsidTr="001F44E1">
        <w:tc>
          <w:tcPr>
            <w:tcW w:w="4330" w:type="dxa"/>
            <w:tcBorders>
              <w:right w:val="nil"/>
            </w:tcBorders>
            <w:shd w:val="clear" w:color="auto" w:fill="D9D9D9" w:themeFill="background1" w:themeFillShade="D9"/>
          </w:tcPr>
          <w:p w:rsidR="008B68E2" w:rsidRPr="00C84D55" w:rsidRDefault="008B68E2" w:rsidP="006E7C3A">
            <w:pPr>
              <w:pStyle w:val="TableText0"/>
              <w:rPr>
                <w:i/>
                <w:lang w:eastAsia="en-AU"/>
              </w:rPr>
            </w:pPr>
            <w:r w:rsidRPr="00C84D55">
              <w:rPr>
                <w:i/>
                <w:lang w:eastAsia="en-AU"/>
              </w:rPr>
              <w:t>Cancer, lung</w:t>
            </w:r>
          </w:p>
        </w:tc>
        <w:tc>
          <w:tcPr>
            <w:tcW w:w="1730"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i/>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i/>
                <w:lang w:eastAsia="en-AU"/>
              </w:rPr>
            </w:pPr>
          </w:p>
        </w:tc>
      </w:tr>
      <w:tr w:rsidR="00D27369" w:rsidRPr="00C84D55" w:rsidTr="001F44E1">
        <w:tc>
          <w:tcPr>
            <w:tcW w:w="4330" w:type="dxa"/>
            <w:tcBorders>
              <w:right w:val="single" w:sz="4" w:space="0" w:color="auto"/>
            </w:tcBorders>
          </w:tcPr>
          <w:p w:rsidR="008B68E2" w:rsidRPr="00C84D55" w:rsidRDefault="008B68E2" w:rsidP="006E7C3A">
            <w:pPr>
              <w:pStyle w:val="TableText0"/>
              <w:rPr>
                <w:lang w:eastAsia="en-AU"/>
              </w:rPr>
            </w:pPr>
            <w:r w:rsidRPr="00C84D55">
              <w:rPr>
                <w:lang w:eastAsia="en-AU"/>
              </w:rPr>
              <w:lastRenderedPageBreak/>
              <w:t>Mesothelioma</w:t>
            </w:r>
          </w:p>
        </w:tc>
        <w:tc>
          <w:tcPr>
            <w:tcW w:w="1730" w:type="dxa"/>
            <w:tcBorders>
              <w:left w:val="single" w:sz="4" w:space="0" w:color="auto"/>
              <w:right w:val="single" w:sz="4" w:space="0" w:color="auto"/>
            </w:tcBorders>
          </w:tcPr>
          <w:p w:rsidR="008B68E2" w:rsidRPr="00C84D55" w:rsidRDefault="008B68E2"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8B68E2" w:rsidRPr="00C84D55" w:rsidRDefault="008B68E2" w:rsidP="006E7C3A">
            <w:pPr>
              <w:pStyle w:val="TableText0"/>
              <w:rPr>
                <w:lang w:eastAsia="en-AU"/>
              </w:rPr>
            </w:pPr>
            <w:r w:rsidRPr="00C84D55">
              <w:rPr>
                <w:lang w:eastAsia="en-AU"/>
              </w:rPr>
              <w:t>0.3 per 10,000</w:t>
            </w:r>
          </w:p>
        </w:tc>
        <w:tc>
          <w:tcPr>
            <w:tcW w:w="1565" w:type="dxa"/>
            <w:tcBorders>
              <w:left w:val="single" w:sz="4" w:space="0" w:color="auto"/>
              <w:right w:val="single" w:sz="4" w:space="0" w:color="auto"/>
            </w:tcBorders>
          </w:tcPr>
          <w:p w:rsidR="008B68E2" w:rsidRPr="00C84D55" w:rsidRDefault="008B68E2" w:rsidP="006E7C3A">
            <w:pPr>
              <w:pStyle w:val="TableText0"/>
              <w:rPr>
                <w:lang w:eastAsia="en-AU"/>
              </w:rPr>
            </w:pPr>
            <w:r w:rsidRPr="00C84D55">
              <w:rPr>
                <w:lang w:eastAsia="en-AU"/>
              </w:rPr>
              <w:t>-</w:t>
            </w:r>
          </w:p>
        </w:tc>
        <w:tc>
          <w:tcPr>
            <w:tcW w:w="4535" w:type="dxa"/>
            <w:tcBorders>
              <w:left w:val="single" w:sz="4" w:space="0" w:color="auto"/>
            </w:tcBorders>
          </w:tcPr>
          <w:p w:rsidR="008B68E2" w:rsidRPr="00C84D55" w:rsidRDefault="008B68E2" w:rsidP="006E7C3A">
            <w:pPr>
              <w:pStyle w:val="TableText0"/>
              <w:rPr>
                <w:lang w:eastAsia="en-AU"/>
              </w:rPr>
            </w:pPr>
            <w:r w:rsidRPr="00C84D55">
              <w:rPr>
                <w:lang w:eastAsia="en-AU"/>
              </w:rPr>
              <w:t>amatuximab</w:t>
            </w:r>
          </w:p>
          <w:p w:rsidR="008B68E2" w:rsidRPr="00C84D55" w:rsidRDefault="008B68E2" w:rsidP="008B68E2">
            <w:pPr>
              <w:pStyle w:val="TableText0"/>
              <w:rPr>
                <w:lang w:eastAsia="en-AU"/>
              </w:rPr>
            </w:pPr>
            <w:r w:rsidRPr="00C84D55">
              <w:rPr>
                <w:lang w:eastAsia="en-AU"/>
              </w:rPr>
              <w:t>BAY 94-9343 / antimesothelin-ADC</w:t>
            </w:r>
          </w:p>
        </w:tc>
      </w:tr>
      <w:tr w:rsidR="00D27369" w:rsidRPr="00C84D55" w:rsidTr="003850BE">
        <w:tc>
          <w:tcPr>
            <w:tcW w:w="4330" w:type="dxa"/>
            <w:tcBorders>
              <w:right w:val="nil"/>
            </w:tcBorders>
            <w:shd w:val="clear" w:color="auto" w:fill="D9D9D9" w:themeFill="background1" w:themeFillShade="D9"/>
          </w:tcPr>
          <w:p w:rsidR="008B68E2" w:rsidRPr="00C84D55" w:rsidRDefault="008B68E2" w:rsidP="006E7C3A">
            <w:pPr>
              <w:pStyle w:val="TableText0"/>
              <w:rPr>
                <w:lang w:eastAsia="en-AU"/>
              </w:rPr>
            </w:pPr>
            <w:r w:rsidRPr="00C84D55">
              <w:rPr>
                <w:i/>
                <w:lang w:eastAsia="en-AU"/>
              </w:rPr>
              <w:t>Cancer, skin</w:t>
            </w:r>
          </w:p>
        </w:tc>
        <w:tc>
          <w:tcPr>
            <w:tcW w:w="1730"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2011"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1565" w:type="dxa"/>
            <w:tcBorders>
              <w:left w:val="nil"/>
              <w:right w:val="nil"/>
            </w:tcBorders>
            <w:shd w:val="clear" w:color="auto" w:fill="D9D9D9" w:themeFill="background1" w:themeFillShade="D9"/>
          </w:tcPr>
          <w:p w:rsidR="008B68E2" w:rsidRPr="00C84D55" w:rsidRDefault="008B68E2" w:rsidP="008B68E2">
            <w:pPr>
              <w:pStyle w:val="TableText0"/>
              <w:rPr>
                <w:lang w:eastAsia="en-AU"/>
              </w:rPr>
            </w:pPr>
          </w:p>
        </w:tc>
        <w:tc>
          <w:tcPr>
            <w:tcW w:w="4535" w:type="dxa"/>
            <w:tcBorders>
              <w:left w:val="nil"/>
            </w:tcBorders>
            <w:shd w:val="clear" w:color="auto" w:fill="D9D9D9" w:themeFill="background1" w:themeFillShade="D9"/>
          </w:tcPr>
          <w:p w:rsidR="008B68E2" w:rsidRPr="00C84D55" w:rsidRDefault="008B68E2" w:rsidP="008B68E2">
            <w:pPr>
              <w:pStyle w:val="TableText0"/>
              <w:rPr>
                <w:lang w:eastAsia="en-AU"/>
              </w:rPr>
            </w:pP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Melanoma, invasive</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1</w:t>
            </w:r>
            <w:r w:rsidRPr="00C84D55">
              <w:rPr>
                <w:lang w:eastAsia="en-AU"/>
              </w:rPr>
              <w:noBreakHyphen/>
              <w:t>2 per 2,000 (all melanoma)</w:t>
            </w:r>
          </w:p>
        </w:tc>
        <w:tc>
          <w:tcPr>
            <w:tcW w:w="4535" w:type="dxa"/>
          </w:tcPr>
          <w:p w:rsidR="006E7C3A" w:rsidRPr="00C84D55" w:rsidRDefault="006E7C3A" w:rsidP="006E7C3A">
            <w:pPr>
              <w:pStyle w:val="TableText0"/>
              <w:rPr>
                <w:lang w:eastAsia="en-AU"/>
              </w:rPr>
            </w:pPr>
            <w:r w:rsidRPr="00C84D55">
              <w:rPr>
                <w:lang w:eastAsia="en-AU"/>
              </w:rPr>
              <w:t>pegylated arginine deiminase</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Melanoma, stage IIB to IV</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As above</w:t>
            </w:r>
          </w:p>
        </w:tc>
        <w:tc>
          <w:tcPr>
            <w:tcW w:w="4535" w:type="dxa"/>
          </w:tcPr>
          <w:p w:rsidR="006E7C3A" w:rsidRPr="00C84D55" w:rsidRDefault="006E7C3A" w:rsidP="006E7C3A">
            <w:pPr>
              <w:pStyle w:val="TableText0"/>
              <w:rPr>
                <w:vertAlign w:val="superscript"/>
                <w:lang w:eastAsia="en-AU"/>
              </w:rPr>
            </w:pPr>
            <w:r w:rsidRPr="00C84D55">
              <w:rPr>
                <w:lang w:eastAsia="en-AU"/>
              </w:rPr>
              <w:t>Paclitaxel protein-bound particles for injection suspension (Abraxane)</w:t>
            </w:r>
          </w:p>
          <w:p w:rsidR="006E7C3A" w:rsidRPr="00C84D55" w:rsidRDefault="006E7C3A" w:rsidP="006E7C3A">
            <w:pPr>
              <w:pStyle w:val="TableText0"/>
              <w:rPr>
                <w:lang w:eastAsia="en-AU"/>
              </w:rPr>
            </w:pPr>
            <w:r w:rsidRPr="00C84D55">
              <w:rPr>
                <w:lang w:eastAsia="en-AU"/>
              </w:rPr>
              <w:t>autologous tumour cell vaccine (FANG Vaccine)</w:t>
            </w:r>
          </w:p>
          <w:p w:rsidR="006E7C3A" w:rsidRPr="00C84D55" w:rsidRDefault="006E7C3A" w:rsidP="006E7C3A">
            <w:pPr>
              <w:pStyle w:val="TableText0"/>
              <w:rPr>
                <w:lang w:eastAsia="en-AU"/>
              </w:rPr>
            </w:pPr>
            <w:r w:rsidRPr="00C84D55">
              <w:rPr>
                <w:lang w:eastAsia="en-AU"/>
              </w:rPr>
              <w:t>lambrolizumab</w:t>
            </w:r>
          </w:p>
          <w:p w:rsidR="006E7C3A" w:rsidRPr="00C84D55" w:rsidRDefault="006E7C3A" w:rsidP="006E7C3A">
            <w:pPr>
              <w:pStyle w:val="TableText0"/>
              <w:rPr>
                <w:lang w:eastAsia="en-AU"/>
              </w:rPr>
            </w:pPr>
            <w:r w:rsidRPr="00C84D55">
              <w:rPr>
                <w:lang w:eastAsia="en-AU"/>
              </w:rPr>
              <w:t>nivolumab / anti-PD-1 mAb</w:t>
            </w:r>
          </w:p>
          <w:p w:rsidR="006E7C3A" w:rsidRPr="00C84D55" w:rsidRDefault="006E7C3A" w:rsidP="006E7C3A">
            <w:pPr>
              <w:pStyle w:val="TableText0"/>
              <w:rPr>
                <w:lang w:eastAsia="en-AU"/>
              </w:rPr>
            </w:pPr>
            <w:r w:rsidRPr="00C84D55">
              <w:rPr>
                <w:lang w:eastAsia="en-AU"/>
              </w:rPr>
              <w:t>POL-103A / polyvalent melanoma vaccine</w:t>
            </w:r>
          </w:p>
          <w:p w:rsidR="006E7C3A" w:rsidRPr="00C84D55" w:rsidRDefault="006E7C3A" w:rsidP="006E7C3A">
            <w:pPr>
              <w:pStyle w:val="TableText0"/>
              <w:rPr>
                <w:lang w:eastAsia="en-AU"/>
              </w:rPr>
            </w:pPr>
            <w:r w:rsidRPr="00C84D55">
              <w:rPr>
                <w:lang w:eastAsia="en-AU"/>
              </w:rPr>
              <w:t>rose bengal disodium</w:t>
            </w:r>
          </w:p>
          <w:p w:rsidR="006E7C3A" w:rsidRPr="00C84D55" w:rsidRDefault="006E7C3A" w:rsidP="006E7C3A">
            <w:pPr>
              <w:pStyle w:val="TableText0"/>
              <w:rPr>
                <w:lang w:eastAsia="en-AU"/>
              </w:rPr>
            </w:pPr>
            <w:r w:rsidRPr="00C84D55">
              <w:rPr>
                <w:lang w:eastAsia="en-AU"/>
              </w:rPr>
              <w:t>talimogene laherparepvec</w:t>
            </w:r>
          </w:p>
          <w:p w:rsidR="006E7C3A" w:rsidRPr="00C84D55" w:rsidRDefault="006E7C3A" w:rsidP="006E7C3A">
            <w:pPr>
              <w:pStyle w:val="TableText0"/>
              <w:rPr>
                <w:lang w:eastAsia="en-AU"/>
              </w:rPr>
            </w:pPr>
            <w:r w:rsidRPr="00C84D55">
              <w:rPr>
                <w:lang w:eastAsia="en-AU"/>
              </w:rPr>
              <w:t>trametinib + dabrafenib</w:t>
            </w:r>
          </w:p>
          <w:p w:rsidR="006E7C3A" w:rsidRPr="00C84D55" w:rsidRDefault="006E7C3A" w:rsidP="006E7C3A">
            <w:pPr>
              <w:pStyle w:val="TableText0"/>
              <w:rPr>
                <w:lang w:eastAsia="en-AU"/>
              </w:rPr>
            </w:pPr>
            <w:r w:rsidRPr="00C84D55">
              <w:rPr>
                <w:lang w:eastAsia="en-AU"/>
              </w:rPr>
              <w:t>veliparib</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Melanoma, stage II, stage III, stage IV</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As above</w:t>
            </w:r>
          </w:p>
        </w:tc>
        <w:tc>
          <w:tcPr>
            <w:tcW w:w="4535" w:type="dxa"/>
          </w:tcPr>
          <w:p w:rsidR="006E7C3A" w:rsidRPr="00C84D55" w:rsidRDefault="006E7C3A" w:rsidP="006E7C3A">
            <w:pPr>
              <w:pStyle w:val="TableText0"/>
              <w:rPr>
                <w:lang w:eastAsia="en-AU"/>
              </w:rPr>
            </w:pPr>
            <w:r w:rsidRPr="00C84D55">
              <w:rPr>
                <w:lang w:eastAsia="en-AU"/>
              </w:rPr>
              <w:t>coxsackievirus A21 (Cavatak)</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Melanoma, stage IIB to IV</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As above</w:t>
            </w:r>
          </w:p>
        </w:tc>
        <w:tc>
          <w:tcPr>
            <w:tcW w:w="4535" w:type="dxa"/>
          </w:tcPr>
          <w:p w:rsidR="006E7C3A" w:rsidRPr="00C84D55" w:rsidRDefault="006E7C3A" w:rsidP="006E7C3A">
            <w:pPr>
              <w:pStyle w:val="TableText0"/>
              <w:rPr>
                <w:lang w:eastAsia="en-AU"/>
              </w:rPr>
            </w:pPr>
            <w:r w:rsidRPr="00C84D55">
              <w:rPr>
                <w:lang w:eastAsia="en-AU"/>
              </w:rPr>
              <w:t>melapuldencel-T / autologous dendritic cell vaccine</w:t>
            </w: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Uveal melanoma, metastatic</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&lt;1 per 100,000</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vincristine liposomal (Marqibo)</w:t>
            </w:r>
          </w:p>
        </w:tc>
      </w:tr>
      <w:tr w:rsidR="00D27369" w:rsidRPr="00C84D55" w:rsidTr="001F44E1">
        <w:tc>
          <w:tcPr>
            <w:tcW w:w="4330" w:type="dxa"/>
            <w:tcBorders>
              <w:right w:val="nil"/>
            </w:tcBorders>
            <w:shd w:val="clear" w:color="auto" w:fill="D9D9D9" w:themeFill="background1" w:themeFillShade="D9"/>
          </w:tcPr>
          <w:p w:rsidR="000731F3" w:rsidRPr="00C84D55" w:rsidRDefault="000731F3" w:rsidP="006E7C3A">
            <w:pPr>
              <w:pStyle w:val="TableText0"/>
              <w:rPr>
                <w:i/>
                <w:lang w:eastAsia="en-AU"/>
              </w:rPr>
            </w:pPr>
            <w:r w:rsidRPr="00C84D55">
              <w:rPr>
                <w:i/>
                <w:lang w:eastAsia="en-AU"/>
              </w:rPr>
              <w:t>Cancer, urinary system</w:t>
            </w:r>
          </w:p>
        </w:tc>
        <w:tc>
          <w:tcPr>
            <w:tcW w:w="1730" w:type="dxa"/>
            <w:tcBorders>
              <w:left w:val="nil"/>
              <w:right w:val="nil"/>
            </w:tcBorders>
            <w:shd w:val="clear" w:color="auto" w:fill="D9D9D9" w:themeFill="background1" w:themeFillShade="D9"/>
          </w:tcPr>
          <w:p w:rsidR="000731F3" w:rsidRPr="00C84D55" w:rsidRDefault="000731F3" w:rsidP="000731F3">
            <w:pPr>
              <w:pStyle w:val="TableText0"/>
              <w:rPr>
                <w:i/>
                <w:lang w:eastAsia="en-AU"/>
              </w:rPr>
            </w:pPr>
          </w:p>
        </w:tc>
        <w:tc>
          <w:tcPr>
            <w:tcW w:w="2011" w:type="dxa"/>
            <w:tcBorders>
              <w:left w:val="nil"/>
              <w:right w:val="nil"/>
            </w:tcBorders>
            <w:shd w:val="clear" w:color="auto" w:fill="D9D9D9" w:themeFill="background1" w:themeFillShade="D9"/>
          </w:tcPr>
          <w:p w:rsidR="000731F3" w:rsidRPr="00C84D55" w:rsidRDefault="000731F3" w:rsidP="000731F3">
            <w:pPr>
              <w:pStyle w:val="TableText0"/>
              <w:rPr>
                <w:i/>
                <w:lang w:eastAsia="en-AU"/>
              </w:rPr>
            </w:pPr>
          </w:p>
        </w:tc>
        <w:tc>
          <w:tcPr>
            <w:tcW w:w="1565" w:type="dxa"/>
            <w:tcBorders>
              <w:left w:val="nil"/>
              <w:right w:val="nil"/>
            </w:tcBorders>
            <w:shd w:val="clear" w:color="auto" w:fill="D9D9D9" w:themeFill="background1" w:themeFillShade="D9"/>
          </w:tcPr>
          <w:p w:rsidR="000731F3" w:rsidRPr="00C84D55" w:rsidRDefault="000731F3" w:rsidP="000731F3">
            <w:pPr>
              <w:pStyle w:val="TableText0"/>
              <w:rPr>
                <w:i/>
                <w:lang w:eastAsia="en-AU"/>
              </w:rPr>
            </w:pPr>
          </w:p>
        </w:tc>
        <w:tc>
          <w:tcPr>
            <w:tcW w:w="4535" w:type="dxa"/>
            <w:tcBorders>
              <w:left w:val="nil"/>
            </w:tcBorders>
            <w:shd w:val="clear" w:color="auto" w:fill="D9D9D9" w:themeFill="background1" w:themeFillShade="D9"/>
          </w:tcPr>
          <w:p w:rsidR="000731F3" w:rsidRPr="00C84D55" w:rsidRDefault="000731F3" w:rsidP="000731F3">
            <w:pPr>
              <w:pStyle w:val="TableText0"/>
              <w:rPr>
                <w:i/>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Renal cell carcinoma</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0.4 per 10,000</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prophage cancer vaccine (Oncophage)</w:t>
            </w:r>
          </w:p>
        </w:tc>
      </w:tr>
      <w:tr w:rsidR="00D27369" w:rsidRPr="00C84D55" w:rsidTr="001F44E1">
        <w:tc>
          <w:tcPr>
            <w:tcW w:w="4330" w:type="dxa"/>
            <w:tcBorders>
              <w:right w:val="nil"/>
            </w:tcBorders>
            <w:shd w:val="clear" w:color="auto" w:fill="D9D9D9" w:themeFill="background1" w:themeFillShade="D9"/>
          </w:tcPr>
          <w:p w:rsidR="000731F3" w:rsidRPr="00C84D55" w:rsidRDefault="000731F3" w:rsidP="006E7C3A">
            <w:pPr>
              <w:pStyle w:val="TableText0"/>
              <w:rPr>
                <w:i/>
                <w:lang w:eastAsia="en-AU"/>
              </w:rPr>
            </w:pPr>
            <w:r w:rsidRPr="00C84D55">
              <w:rPr>
                <w:i/>
                <w:lang w:eastAsia="en-AU"/>
              </w:rPr>
              <w:t>Cancer, various sites / non-specific to site</w:t>
            </w:r>
          </w:p>
        </w:tc>
        <w:tc>
          <w:tcPr>
            <w:tcW w:w="1730" w:type="dxa"/>
            <w:tcBorders>
              <w:left w:val="nil"/>
              <w:right w:val="nil"/>
            </w:tcBorders>
            <w:shd w:val="clear" w:color="auto" w:fill="D9D9D9" w:themeFill="background1" w:themeFillShade="D9"/>
          </w:tcPr>
          <w:p w:rsidR="000731F3" w:rsidRPr="00C84D55" w:rsidRDefault="000731F3" w:rsidP="000731F3">
            <w:pPr>
              <w:pStyle w:val="TableText0"/>
              <w:rPr>
                <w:i/>
                <w:lang w:eastAsia="en-AU"/>
              </w:rPr>
            </w:pPr>
          </w:p>
        </w:tc>
        <w:tc>
          <w:tcPr>
            <w:tcW w:w="2011" w:type="dxa"/>
            <w:tcBorders>
              <w:left w:val="nil"/>
              <w:right w:val="nil"/>
            </w:tcBorders>
            <w:shd w:val="clear" w:color="auto" w:fill="D9D9D9" w:themeFill="background1" w:themeFillShade="D9"/>
          </w:tcPr>
          <w:p w:rsidR="000731F3" w:rsidRPr="00C84D55" w:rsidRDefault="000731F3" w:rsidP="000731F3">
            <w:pPr>
              <w:pStyle w:val="TableText0"/>
              <w:rPr>
                <w:i/>
                <w:lang w:eastAsia="en-AU"/>
              </w:rPr>
            </w:pPr>
          </w:p>
        </w:tc>
        <w:tc>
          <w:tcPr>
            <w:tcW w:w="1565" w:type="dxa"/>
            <w:tcBorders>
              <w:left w:val="nil"/>
              <w:right w:val="nil"/>
            </w:tcBorders>
            <w:shd w:val="clear" w:color="auto" w:fill="D9D9D9" w:themeFill="background1" w:themeFillShade="D9"/>
          </w:tcPr>
          <w:p w:rsidR="000731F3" w:rsidRPr="00C84D55" w:rsidRDefault="000731F3" w:rsidP="000731F3">
            <w:pPr>
              <w:pStyle w:val="TableText0"/>
              <w:rPr>
                <w:i/>
                <w:lang w:eastAsia="en-AU"/>
              </w:rPr>
            </w:pPr>
          </w:p>
        </w:tc>
        <w:tc>
          <w:tcPr>
            <w:tcW w:w="4535" w:type="dxa"/>
            <w:tcBorders>
              <w:left w:val="nil"/>
            </w:tcBorders>
            <w:shd w:val="clear" w:color="auto" w:fill="D9D9D9" w:themeFill="background1" w:themeFillShade="D9"/>
          </w:tcPr>
          <w:p w:rsidR="000731F3" w:rsidRPr="00C84D55" w:rsidRDefault="000731F3" w:rsidP="000731F3">
            <w:pPr>
              <w:pStyle w:val="TableText0"/>
              <w:rPr>
                <w:i/>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Soft tissue sarcoma</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0.5 per 2,000</w:t>
            </w:r>
          </w:p>
        </w:tc>
        <w:tc>
          <w:tcPr>
            <w:tcW w:w="4535" w:type="dxa"/>
          </w:tcPr>
          <w:p w:rsidR="006E7C3A" w:rsidRPr="00C84D55" w:rsidRDefault="006E7C3A" w:rsidP="006E7C3A">
            <w:pPr>
              <w:pStyle w:val="TableText0"/>
              <w:rPr>
                <w:lang w:eastAsia="en-AU"/>
              </w:rPr>
            </w:pPr>
            <w:r w:rsidRPr="00C84D55">
              <w:rPr>
                <w:lang w:eastAsia="en-AU"/>
              </w:rPr>
              <w:t>MORAb-004</w:t>
            </w:r>
          </w:p>
          <w:p w:rsidR="006E7C3A" w:rsidRPr="00C84D55" w:rsidRDefault="006E7C3A" w:rsidP="006E7C3A">
            <w:pPr>
              <w:pStyle w:val="TableText0"/>
              <w:rPr>
                <w:lang w:eastAsia="en-AU"/>
              </w:rPr>
            </w:pPr>
            <w:r w:rsidRPr="00C84D55">
              <w:rPr>
                <w:lang w:eastAsia="en-AU"/>
              </w:rPr>
              <w:t>TH-302 / hypoxia-activated prodrug</w:t>
            </w:r>
          </w:p>
          <w:p w:rsidR="006E7C3A" w:rsidRPr="00C84D55" w:rsidRDefault="006E7C3A" w:rsidP="006E7C3A">
            <w:pPr>
              <w:pStyle w:val="TableText0"/>
              <w:rPr>
                <w:lang w:eastAsia="en-AU"/>
              </w:rPr>
            </w:pPr>
            <w:r w:rsidRPr="00C84D55">
              <w:rPr>
                <w:lang w:eastAsia="en-AU"/>
              </w:rPr>
              <w:t>aldoxorubicin</w:t>
            </w:r>
          </w:p>
        </w:tc>
      </w:tr>
      <w:tr w:rsidR="00D27369" w:rsidRPr="00C84D55" w:rsidTr="003850BE">
        <w:tc>
          <w:tcPr>
            <w:tcW w:w="4330" w:type="dxa"/>
            <w:tcBorders>
              <w:right w:val="nil"/>
            </w:tcBorders>
            <w:shd w:val="clear" w:color="auto" w:fill="D9D9D9" w:themeFill="background1" w:themeFillShade="D9"/>
          </w:tcPr>
          <w:p w:rsidR="000731F3" w:rsidRPr="00C84D55" w:rsidRDefault="000731F3" w:rsidP="006E7C3A">
            <w:pPr>
              <w:pStyle w:val="TableText0"/>
              <w:rPr>
                <w:i/>
                <w:lang w:eastAsia="en-AU"/>
              </w:rPr>
            </w:pPr>
            <w:r w:rsidRPr="00C84D55">
              <w:rPr>
                <w:i/>
                <w:lang w:eastAsia="en-AU"/>
              </w:rPr>
              <w:t>Digestive / gastrointestinal system and liver diseases</w:t>
            </w:r>
          </w:p>
        </w:tc>
        <w:tc>
          <w:tcPr>
            <w:tcW w:w="1730" w:type="dxa"/>
            <w:tcBorders>
              <w:left w:val="nil"/>
              <w:right w:val="nil"/>
            </w:tcBorders>
            <w:shd w:val="clear" w:color="auto" w:fill="D9D9D9" w:themeFill="background1" w:themeFillShade="D9"/>
          </w:tcPr>
          <w:p w:rsidR="000731F3" w:rsidRPr="00C84D55" w:rsidRDefault="000731F3" w:rsidP="000731F3">
            <w:pPr>
              <w:pStyle w:val="TableText0"/>
              <w:rPr>
                <w:i/>
                <w:lang w:eastAsia="en-AU"/>
              </w:rPr>
            </w:pPr>
          </w:p>
        </w:tc>
        <w:tc>
          <w:tcPr>
            <w:tcW w:w="2011" w:type="dxa"/>
            <w:tcBorders>
              <w:left w:val="nil"/>
              <w:right w:val="nil"/>
            </w:tcBorders>
            <w:shd w:val="clear" w:color="auto" w:fill="D9D9D9" w:themeFill="background1" w:themeFillShade="D9"/>
          </w:tcPr>
          <w:p w:rsidR="000731F3" w:rsidRPr="00C84D55" w:rsidRDefault="000731F3" w:rsidP="000731F3">
            <w:pPr>
              <w:pStyle w:val="TableText0"/>
              <w:rPr>
                <w:i/>
                <w:lang w:eastAsia="en-AU"/>
              </w:rPr>
            </w:pPr>
          </w:p>
        </w:tc>
        <w:tc>
          <w:tcPr>
            <w:tcW w:w="1565" w:type="dxa"/>
            <w:tcBorders>
              <w:left w:val="nil"/>
              <w:right w:val="nil"/>
            </w:tcBorders>
            <w:shd w:val="clear" w:color="auto" w:fill="D9D9D9" w:themeFill="background1" w:themeFillShade="D9"/>
          </w:tcPr>
          <w:p w:rsidR="000731F3" w:rsidRPr="00C84D55" w:rsidRDefault="000731F3" w:rsidP="000731F3">
            <w:pPr>
              <w:pStyle w:val="TableText0"/>
              <w:rPr>
                <w:i/>
                <w:lang w:eastAsia="en-AU"/>
              </w:rPr>
            </w:pPr>
          </w:p>
        </w:tc>
        <w:tc>
          <w:tcPr>
            <w:tcW w:w="4535" w:type="dxa"/>
            <w:tcBorders>
              <w:left w:val="nil"/>
            </w:tcBorders>
            <w:shd w:val="clear" w:color="auto" w:fill="D9D9D9" w:themeFill="background1" w:themeFillShade="D9"/>
          </w:tcPr>
          <w:p w:rsidR="000731F3" w:rsidRPr="00C84D55" w:rsidRDefault="000731F3" w:rsidP="000731F3">
            <w:pPr>
              <w:pStyle w:val="TableText0"/>
              <w:rPr>
                <w:i/>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lastRenderedPageBreak/>
              <w:t>Familial adenomatous polyposis</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0.2 per 2,000</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RNA interference with CEQ508</w:t>
            </w:r>
          </w:p>
          <w:p w:rsidR="006E7C3A" w:rsidRPr="00C84D55" w:rsidRDefault="006E7C3A" w:rsidP="006E7C3A">
            <w:pPr>
              <w:pStyle w:val="TableText0"/>
              <w:rPr>
                <w:lang w:eastAsia="en-AU"/>
              </w:rPr>
            </w:pPr>
            <w:r w:rsidRPr="00C84D55">
              <w:rPr>
                <w:lang w:eastAsia="en-AU"/>
              </w:rPr>
              <w:t>eflornithine + sulindac</w:t>
            </w: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Primary biliary cirrhosis</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0.3 per 2,000</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sodium bile acid cotransporter inhibitor</w:t>
            </w:r>
          </w:p>
          <w:p w:rsidR="006E7C3A" w:rsidRPr="00C84D55" w:rsidRDefault="006E7C3A" w:rsidP="006E7C3A">
            <w:pPr>
              <w:pStyle w:val="TableText0"/>
              <w:rPr>
                <w:lang w:eastAsia="en-AU"/>
              </w:rPr>
            </w:pPr>
            <w:r w:rsidRPr="00C84D55">
              <w:rPr>
                <w:lang w:eastAsia="en-AU"/>
              </w:rPr>
              <w:t>obeticholic acid</w:t>
            </w:r>
          </w:p>
        </w:tc>
      </w:tr>
      <w:tr w:rsidR="00D27369" w:rsidRPr="00C84D55" w:rsidTr="001F44E1">
        <w:tc>
          <w:tcPr>
            <w:tcW w:w="4330" w:type="dxa"/>
            <w:tcBorders>
              <w:right w:val="single" w:sz="4" w:space="0" w:color="auto"/>
            </w:tcBorders>
          </w:tcPr>
          <w:p w:rsidR="000731F3" w:rsidRPr="00C84D55" w:rsidRDefault="000731F3" w:rsidP="006E7C3A">
            <w:pPr>
              <w:pStyle w:val="TableText0"/>
              <w:rPr>
                <w:lang w:eastAsia="en-AU"/>
              </w:rPr>
            </w:pPr>
            <w:r w:rsidRPr="00C84D55">
              <w:rPr>
                <w:lang w:eastAsia="en-AU"/>
              </w:rPr>
              <w:t>Primary sclerosing cholangitis</w:t>
            </w:r>
          </w:p>
        </w:tc>
        <w:tc>
          <w:tcPr>
            <w:tcW w:w="1730" w:type="dxa"/>
            <w:tcBorders>
              <w:left w:val="single" w:sz="4" w:space="0" w:color="auto"/>
              <w:right w:val="single" w:sz="4" w:space="0" w:color="auto"/>
            </w:tcBorders>
          </w:tcPr>
          <w:p w:rsidR="000731F3" w:rsidRPr="00C84D55" w:rsidRDefault="000731F3"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0731F3" w:rsidRPr="00C84D55" w:rsidRDefault="000731F3"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0731F3" w:rsidRPr="00C84D55" w:rsidRDefault="000731F3" w:rsidP="000731F3">
            <w:pPr>
              <w:pStyle w:val="TableText0"/>
              <w:rPr>
                <w:lang w:eastAsia="en-AU"/>
              </w:rPr>
            </w:pPr>
            <w:r w:rsidRPr="00C84D55">
              <w:rPr>
                <w:lang w:eastAsia="en-AU"/>
              </w:rPr>
              <w:t>0.2 per 2,000</w:t>
            </w:r>
          </w:p>
        </w:tc>
        <w:tc>
          <w:tcPr>
            <w:tcW w:w="4535" w:type="dxa"/>
            <w:tcBorders>
              <w:left w:val="single" w:sz="4" w:space="0" w:color="auto"/>
            </w:tcBorders>
          </w:tcPr>
          <w:p w:rsidR="000731F3" w:rsidRPr="00C84D55" w:rsidRDefault="000731F3" w:rsidP="006E7C3A">
            <w:pPr>
              <w:pStyle w:val="TableText0"/>
              <w:rPr>
                <w:lang w:eastAsia="en-AU"/>
              </w:rPr>
            </w:pPr>
            <w:r w:rsidRPr="00C84D55">
              <w:rPr>
                <w:lang w:eastAsia="en-AU"/>
              </w:rPr>
              <w:t>sodium bile acid cotransporter inhibitor</w:t>
            </w:r>
          </w:p>
        </w:tc>
      </w:tr>
      <w:tr w:rsidR="00D27369" w:rsidRPr="00C84D55" w:rsidTr="003850BE">
        <w:tc>
          <w:tcPr>
            <w:tcW w:w="4330" w:type="dxa"/>
            <w:tcBorders>
              <w:right w:val="nil"/>
            </w:tcBorders>
            <w:shd w:val="clear" w:color="auto" w:fill="D9D9D9" w:themeFill="background1" w:themeFillShade="D9"/>
          </w:tcPr>
          <w:p w:rsidR="000731F3" w:rsidRPr="00C84D55" w:rsidRDefault="000731F3" w:rsidP="006E7C3A">
            <w:pPr>
              <w:pStyle w:val="TableText0"/>
              <w:rPr>
                <w:lang w:eastAsia="en-AU"/>
              </w:rPr>
            </w:pPr>
            <w:r w:rsidRPr="00C84D55">
              <w:rPr>
                <w:i/>
                <w:lang w:eastAsia="en-AU"/>
              </w:rPr>
              <w:t>Hepatic circulation</w:t>
            </w:r>
          </w:p>
        </w:tc>
        <w:tc>
          <w:tcPr>
            <w:tcW w:w="1730" w:type="dxa"/>
            <w:tcBorders>
              <w:left w:val="nil"/>
              <w:right w:val="nil"/>
            </w:tcBorders>
            <w:shd w:val="clear" w:color="auto" w:fill="D9D9D9" w:themeFill="background1" w:themeFillShade="D9"/>
          </w:tcPr>
          <w:p w:rsidR="000731F3" w:rsidRPr="00C84D55" w:rsidRDefault="000731F3" w:rsidP="000731F3">
            <w:pPr>
              <w:pStyle w:val="TableText0"/>
              <w:rPr>
                <w:lang w:eastAsia="en-AU"/>
              </w:rPr>
            </w:pPr>
          </w:p>
        </w:tc>
        <w:tc>
          <w:tcPr>
            <w:tcW w:w="2011" w:type="dxa"/>
            <w:tcBorders>
              <w:left w:val="nil"/>
              <w:right w:val="nil"/>
            </w:tcBorders>
            <w:shd w:val="clear" w:color="auto" w:fill="D9D9D9" w:themeFill="background1" w:themeFillShade="D9"/>
          </w:tcPr>
          <w:p w:rsidR="000731F3" w:rsidRPr="00C84D55" w:rsidRDefault="000731F3" w:rsidP="000731F3">
            <w:pPr>
              <w:pStyle w:val="TableText0"/>
              <w:rPr>
                <w:lang w:eastAsia="en-AU"/>
              </w:rPr>
            </w:pPr>
          </w:p>
        </w:tc>
        <w:tc>
          <w:tcPr>
            <w:tcW w:w="1565" w:type="dxa"/>
            <w:tcBorders>
              <w:left w:val="nil"/>
              <w:right w:val="nil"/>
            </w:tcBorders>
            <w:shd w:val="clear" w:color="auto" w:fill="D9D9D9" w:themeFill="background1" w:themeFillShade="D9"/>
          </w:tcPr>
          <w:p w:rsidR="000731F3" w:rsidRPr="00C84D55" w:rsidRDefault="000731F3" w:rsidP="000731F3">
            <w:pPr>
              <w:pStyle w:val="TableText0"/>
              <w:rPr>
                <w:lang w:eastAsia="en-AU"/>
              </w:rPr>
            </w:pPr>
          </w:p>
        </w:tc>
        <w:tc>
          <w:tcPr>
            <w:tcW w:w="4535" w:type="dxa"/>
            <w:tcBorders>
              <w:left w:val="nil"/>
            </w:tcBorders>
            <w:shd w:val="clear" w:color="auto" w:fill="D9D9D9" w:themeFill="background1" w:themeFillShade="D9"/>
          </w:tcPr>
          <w:p w:rsidR="000731F3" w:rsidRPr="00C84D55" w:rsidRDefault="000731F3" w:rsidP="000731F3">
            <w:pPr>
              <w:pStyle w:val="TableText0"/>
              <w:rPr>
                <w:lang w:eastAsia="en-AU"/>
              </w:rPr>
            </w:pPr>
          </w:p>
        </w:tc>
      </w:tr>
      <w:tr w:rsidR="00D27369" w:rsidRPr="00C84D55" w:rsidTr="001F44E1">
        <w:tc>
          <w:tcPr>
            <w:tcW w:w="4330" w:type="dxa"/>
            <w:tcBorders>
              <w:right w:val="single" w:sz="4" w:space="0" w:color="auto"/>
            </w:tcBorders>
          </w:tcPr>
          <w:p w:rsidR="000731F3" w:rsidRPr="00C84D55" w:rsidRDefault="000731F3" w:rsidP="006E7C3A">
            <w:pPr>
              <w:pStyle w:val="TableText0"/>
              <w:rPr>
                <w:lang w:eastAsia="en-AU"/>
              </w:rPr>
            </w:pPr>
            <w:r w:rsidRPr="00C84D55">
              <w:rPr>
                <w:lang w:eastAsia="en-AU"/>
              </w:rPr>
              <w:t>Hepatic veno-occlusive disease</w:t>
            </w:r>
          </w:p>
        </w:tc>
        <w:tc>
          <w:tcPr>
            <w:tcW w:w="1730" w:type="dxa"/>
            <w:tcBorders>
              <w:left w:val="single" w:sz="4" w:space="0" w:color="auto"/>
              <w:right w:val="single" w:sz="4" w:space="0" w:color="auto"/>
            </w:tcBorders>
          </w:tcPr>
          <w:p w:rsidR="000731F3" w:rsidRPr="00C84D55" w:rsidRDefault="000731F3" w:rsidP="006E7C3A">
            <w:pPr>
              <w:pStyle w:val="TableText0"/>
              <w:rPr>
                <w:lang w:eastAsia="en-AU"/>
              </w:rPr>
            </w:pPr>
          </w:p>
        </w:tc>
        <w:tc>
          <w:tcPr>
            <w:tcW w:w="2011" w:type="dxa"/>
            <w:tcBorders>
              <w:left w:val="single" w:sz="4" w:space="0" w:color="auto"/>
              <w:right w:val="single" w:sz="4" w:space="0" w:color="auto"/>
            </w:tcBorders>
          </w:tcPr>
          <w:p w:rsidR="000731F3" w:rsidRPr="00C84D55" w:rsidRDefault="000731F3" w:rsidP="006E7C3A">
            <w:pPr>
              <w:pStyle w:val="TableText0"/>
              <w:rPr>
                <w:lang w:eastAsia="en-AU"/>
              </w:rPr>
            </w:pPr>
          </w:p>
        </w:tc>
        <w:tc>
          <w:tcPr>
            <w:tcW w:w="1565" w:type="dxa"/>
            <w:tcBorders>
              <w:left w:val="single" w:sz="4" w:space="0" w:color="auto"/>
              <w:right w:val="single" w:sz="4" w:space="0" w:color="auto"/>
            </w:tcBorders>
          </w:tcPr>
          <w:p w:rsidR="000731F3" w:rsidRPr="00C84D55" w:rsidRDefault="000731F3" w:rsidP="006E7C3A">
            <w:pPr>
              <w:pStyle w:val="TableText0"/>
              <w:rPr>
                <w:lang w:eastAsia="en-AU"/>
              </w:rPr>
            </w:pPr>
          </w:p>
        </w:tc>
        <w:tc>
          <w:tcPr>
            <w:tcW w:w="4535" w:type="dxa"/>
            <w:tcBorders>
              <w:left w:val="single" w:sz="4" w:space="0" w:color="auto"/>
            </w:tcBorders>
          </w:tcPr>
          <w:p w:rsidR="000731F3" w:rsidRPr="00C84D55" w:rsidRDefault="000731F3" w:rsidP="006E7C3A">
            <w:pPr>
              <w:pStyle w:val="TableText0"/>
              <w:rPr>
                <w:lang w:eastAsia="en-AU"/>
              </w:rPr>
            </w:pPr>
            <w:r w:rsidRPr="00C84D55">
              <w:rPr>
                <w:lang w:eastAsia="en-AU"/>
              </w:rPr>
              <w:t>defibrotide (Defitelo)</w:t>
            </w:r>
          </w:p>
        </w:tc>
      </w:tr>
      <w:tr w:rsidR="00D27369" w:rsidRPr="00C84D55" w:rsidTr="003850BE">
        <w:tc>
          <w:tcPr>
            <w:tcW w:w="4330" w:type="dxa"/>
            <w:tcBorders>
              <w:right w:val="nil"/>
            </w:tcBorders>
            <w:shd w:val="clear" w:color="auto" w:fill="D9D9D9" w:themeFill="background1" w:themeFillShade="D9"/>
          </w:tcPr>
          <w:p w:rsidR="000731F3" w:rsidRPr="00C84D55" w:rsidRDefault="000731F3" w:rsidP="006E7C3A">
            <w:pPr>
              <w:pStyle w:val="TableText0"/>
              <w:rPr>
                <w:lang w:eastAsia="en-AU"/>
              </w:rPr>
            </w:pPr>
            <w:r w:rsidRPr="00C84D55">
              <w:rPr>
                <w:i/>
                <w:lang w:eastAsia="en-AU"/>
              </w:rPr>
              <w:t>Lysosomal storage diseases</w:t>
            </w:r>
          </w:p>
        </w:tc>
        <w:tc>
          <w:tcPr>
            <w:tcW w:w="1730" w:type="dxa"/>
            <w:tcBorders>
              <w:left w:val="nil"/>
              <w:right w:val="nil"/>
            </w:tcBorders>
            <w:shd w:val="clear" w:color="auto" w:fill="D9D9D9" w:themeFill="background1" w:themeFillShade="D9"/>
          </w:tcPr>
          <w:p w:rsidR="000731F3" w:rsidRPr="00C84D55" w:rsidRDefault="000731F3" w:rsidP="000731F3">
            <w:pPr>
              <w:pStyle w:val="TableText0"/>
              <w:rPr>
                <w:lang w:eastAsia="en-AU"/>
              </w:rPr>
            </w:pPr>
          </w:p>
        </w:tc>
        <w:tc>
          <w:tcPr>
            <w:tcW w:w="2011" w:type="dxa"/>
            <w:tcBorders>
              <w:left w:val="nil"/>
              <w:right w:val="nil"/>
            </w:tcBorders>
            <w:shd w:val="clear" w:color="auto" w:fill="D9D9D9" w:themeFill="background1" w:themeFillShade="D9"/>
          </w:tcPr>
          <w:p w:rsidR="000731F3" w:rsidRPr="00C84D55" w:rsidRDefault="000731F3" w:rsidP="000731F3">
            <w:pPr>
              <w:pStyle w:val="TableText0"/>
              <w:rPr>
                <w:lang w:eastAsia="en-AU"/>
              </w:rPr>
            </w:pPr>
          </w:p>
        </w:tc>
        <w:tc>
          <w:tcPr>
            <w:tcW w:w="1565" w:type="dxa"/>
            <w:tcBorders>
              <w:left w:val="nil"/>
              <w:right w:val="nil"/>
            </w:tcBorders>
            <w:shd w:val="clear" w:color="auto" w:fill="D9D9D9" w:themeFill="background1" w:themeFillShade="D9"/>
          </w:tcPr>
          <w:p w:rsidR="000731F3" w:rsidRPr="00C84D55" w:rsidRDefault="000731F3" w:rsidP="000731F3">
            <w:pPr>
              <w:pStyle w:val="TableText0"/>
              <w:rPr>
                <w:lang w:eastAsia="en-AU"/>
              </w:rPr>
            </w:pPr>
          </w:p>
        </w:tc>
        <w:tc>
          <w:tcPr>
            <w:tcW w:w="4535" w:type="dxa"/>
            <w:tcBorders>
              <w:left w:val="nil"/>
            </w:tcBorders>
            <w:shd w:val="clear" w:color="auto" w:fill="D9D9D9" w:themeFill="background1" w:themeFillShade="D9"/>
          </w:tcPr>
          <w:p w:rsidR="000731F3" w:rsidRPr="00C84D55" w:rsidRDefault="000731F3" w:rsidP="000731F3">
            <w:pPr>
              <w:pStyle w:val="TableText0"/>
              <w:rPr>
                <w:lang w:eastAsia="en-AU"/>
              </w:rPr>
            </w:pPr>
          </w:p>
        </w:tc>
      </w:tr>
      <w:tr w:rsidR="00D27369" w:rsidRPr="00C84D55" w:rsidTr="001F44E1">
        <w:tc>
          <w:tcPr>
            <w:tcW w:w="4330" w:type="dxa"/>
          </w:tcPr>
          <w:p w:rsidR="000731F3" w:rsidRPr="00C84D55" w:rsidRDefault="000731F3" w:rsidP="006E7C3A">
            <w:pPr>
              <w:pStyle w:val="TableText0"/>
              <w:rPr>
                <w:i/>
                <w:lang w:eastAsia="en-AU"/>
              </w:rPr>
            </w:pPr>
            <w:r w:rsidRPr="00C84D55">
              <w:rPr>
                <w:lang w:eastAsia="en-AU"/>
              </w:rPr>
              <w:t>Alpha-mannosidosis</w:t>
            </w:r>
          </w:p>
        </w:tc>
        <w:tc>
          <w:tcPr>
            <w:tcW w:w="1730" w:type="dxa"/>
          </w:tcPr>
          <w:p w:rsidR="000731F3" w:rsidRPr="00C84D55" w:rsidRDefault="000731F3" w:rsidP="006E7C3A">
            <w:pPr>
              <w:pStyle w:val="TableText0"/>
              <w:rPr>
                <w:lang w:eastAsia="en-AU"/>
              </w:rPr>
            </w:pPr>
            <w:r w:rsidRPr="00C84D55">
              <w:rPr>
                <w:lang w:eastAsia="en-AU"/>
              </w:rPr>
              <w:t>0.2 per 100,000</w:t>
            </w:r>
          </w:p>
        </w:tc>
        <w:tc>
          <w:tcPr>
            <w:tcW w:w="2011" w:type="dxa"/>
            <w:tcBorders>
              <w:right w:val="single" w:sz="4" w:space="0" w:color="auto"/>
            </w:tcBorders>
          </w:tcPr>
          <w:p w:rsidR="000731F3" w:rsidRPr="00C84D55" w:rsidRDefault="000731F3" w:rsidP="006E7C3A">
            <w:pPr>
              <w:pStyle w:val="TableText0"/>
              <w:rPr>
                <w:lang w:eastAsia="en-AU"/>
              </w:rPr>
            </w:pPr>
            <w:r w:rsidRPr="00C84D55">
              <w:rPr>
                <w:lang w:eastAsia="en-AU"/>
              </w:rPr>
              <w:t>-</w:t>
            </w:r>
          </w:p>
        </w:tc>
        <w:tc>
          <w:tcPr>
            <w:tcW w:w="1565" w:type="dxa"/>
            <w:tcBorders>
              <w:left w:val="single" w:sz="4" w:space="0" w:color="auto"/>
            </w:tcBorders>
          </w:tcPr>
          <w:p w:rsidR="000731F3" w:rsidRPr="00C84D55" w:rsidRDefault="000731F3" w:rsidP="000731F3">
            <w:pPr>
              <w:pStyle w:val="TableText0"/>
              <w:rPr>
                <w:lang w:eastAsia="en-AU"/>
              </w:rPr>
            </w:pPr>
            <w:r w:rsidRPr="00C84D55">
              <w:rPr>
                <w:lang w:eastAsia="en-AU"/>
              </w:rPr>
              <w:t>-</w:t>
            </w:r>
          </w:p>
        </w:tc>
        <w:tc>
          <w:tcPr>
            <w:tcW w:w="4535" w:type="dxa"/>
          </w:tcPr>
          <w:p w:rsidR="000731F3" w:rsidRPr="00C84D55" w:rsidRDefault="000731F3" w:rsidP="006E7C3A">
            <w:pPr>
              <w:pStyle w:val="TableText0"/>
              <w:rPr>
                <w:lang w:eastAsia="en-AU"/>
              </w:rPr>
            </w:pPr>
            <w:r w:rsidRPr="00C84D55">
              <w:rPr>
                <w:lang w:eastAsia="en-AU"/>
              </w:rPr>
              <w:t>recombinant human alpha-mannosidase (Lamazym)</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Cholesteryl ester storage disease</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unknown</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SBC-102 / recombinant human lysosomal acid lipase (Sebelipase)</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Krabbe disease</w:t>
            </w:r>
          </w:p>
        </w:tc>
        <w:tc>
          <w:tcPr>
            <w:tcW w:w="1730" w:type="dxa"/>
          </w:tcPr>
          <w:p w:rsidR="006E7C3A" w:rsidRPr="00C84D55" w:rsidRDefault="006E7C3A" w:rsidP="006E7C3A">
            <w:pPr>
              <w:pStyle w:val="TableText0"/>
              <w:rPr>
                <w:lang w:eastAsia="en-AU"/>
              </w:rPr>
            </w:pPr>
            <w:r w:rsidRPr="00C84D55">
              <w:rPr>
                <w:lang w:eastAsia="en-AU"/>
              </w:rPr>
              <w:t>1 per 100,000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Proposed chaperone therapies:</w:t>
            </w:r>
          </w:p>
          <w:p w:rsidR="006E7C3A" w:rsidRPr="00C84D55" w:rsidRDefault="006E7C3A" w:rsidP="006E7C3A">
            <w:pPr>
              <w:pStyle w:val="TableText0"/>
              <w:rPr>
                <w:lang w:eastAsia="en-AU"/>
              </w:rPr>
            </w:pPr>
            <w:r w:rsidRPr="00C84D55">
              <w:rPr>
                <w:lang w:eastAsia="en-AU"/>
              </w:rPr>
              <w:t>α-lobeline</w:t>
            </w:r>
          </w:p>
          <w:p w:rsidR="006E7C3A" w:rsidRPr="00C84D55" w:rsidRDefault="006E7C3A" w:rsidP="006E7C3A">
            <w:pPr>
              <w:pStyle w:val="TableText0"/>
              <w:rPr>
                <w:lang w:eastAsia="en-AU"/>
              </w:rPr>
            </w:pPr>
            <w:r w:rsidRPr="00C84D55">
              <w:rPr>
                <w:lang w:eastAsia="en-AU"/>
              </w:rPr>
              <w:t>3′,4′,7-trihydroxyisoflavone</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Lysosomal acid lipase deficiency disorders</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0.2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SBC-102 / recombinant human lysosomal acid lipase (Sebelipase)</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Metachromatic leukodystrophy</w:t>
            </w:r>
          </w:p>
        </w:tc>
        <w:tc>
          <w:tcPr>
            <w:tcW w:w="1730" w:type="dxa"/>
          </w:tcPr>
          <w:p w:rsidR="006E7C3A" w:rsidRPr="00C84D55" w:rsidRDefault="006E7C3A" w:rsidP="006E7C3A">
            <w:pPr>
              <w:pStyle w:val="TableText0"/>
              <w:rPr>
                <w:lang w:eastAsia="en-AU"/>
              </w:rPr>
            </w:pPr>
            <w:r w:rsidRPr="00C84D55">
              <w:rPr>
                <w:lang w:eastAsia="en-AU"/>
              </w:rPr>
              <w:t>0.1 per 100,000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cerebroside sulfatase</w:t>
            </w:r>
          </w:p>
          <w:p w:rsidR="006E7C3A" w:rsidRPr="00C84D55" w:rsidRDefault="006E7C3A" w:rsidP="006E7C3A">
            <w:pPr>
              <w:pStyle w:val="TableText0"/>
              <w:rPr>
                <w:lang w:eastAsia="en-AU"/>
              </w:rPr>
            </w:pPr>
            <w:r w:rsidRPr="00C84D55">
              <w:rPr>
                <w:lang w:eastAsia="en-AU"/>
              </w:rPr>
              <w:t>lentiviral haemopoietic stem cell gene therapy</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Morquio A syndrome</w:t>
            </w:r>
          </w:p>
        </w:tc>
        <w:tc>
          <w:tcPr>
            <w:tcW w:w="1730" w:type="dxa"/>
          </w:tcPr>
          <w:p w:rsidR="006E7C3A" w:rsidRPr="00C84D55" w:rsidRDefault="006E7C3A" w:rsidP="006E7C3A">
            <w:pPr>
              <w:pStyle w:val="TableText0"/>
              <w:rPr>
                <w:lang w:eastAsia="en-AU"/>
              </w:rPr>
            </w:pPr>
            <w:r w:rsidRPr="00C84D55">
              <w:rPr>
                <w:lang w:eastAsia="en-AU"/>
              </w:rPr>
              <w:t>0.6 per 100,000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elsosulfase alfa (Vimizim)</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Niemann-Pick disease</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0.2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miglustat (Zavesca)</w:t>
            </w:r>
          </w:p>
          <w:p w:rsidR="006E7C3A" w:rsidRPr="00C84D55" w:rsidRDefault="006E7C3A" w:rsidP="006E7C3A">
            <w:pPr>
              <w:pStyle w:val="TableText0"/>
              <w:rPr>
                <w:lang w:eastAsia="en-AU"/>
              </w:rPr>
            </w:pPr>
            <w:r w:rsidRPr="00C84D55">
              <w:rPr>
                <w:lang w:eastAsia="en-AU"/>
              </w:rPr>
              <w:t>rhASM</w:t>
            </w: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Sanfilippo syndrome (Mucopolysaccharidosis type IIIA)</w:t>
            </w:r>
          </w:p>
        </w:tc>
        <w:tc>
          <w:tcPr>
            <w:tcW w:w="1730" w:type="dxa"/>
            <w:tcBorders>
              <w:left w:val="single" w:sz="4" w:space="0" w:color="auto"/>
            </w:tcBorders>
          </w:tcPr>
          <w:p w:rsidR="006E7C3A" w:rsidRPr="00C84D55" w:rsidRDefault="006E7C3A" w:rsidP="006E7C3A">
            <w:pPr>
              <w:pStyle w:val="TableText0"/>
              <w:rPr>
                <w:lang w:eastAsia="en-AU"/>
              </w:rPr>
            </w:pPr>
            <w:r w:rsidRPr="00C84D55">
              <w:rPr>
                <w:lang w:eastAsia="en-AU"/>
              </w:rPr>
              <w:t>0.3 per 100,000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sulfamidase enzyme replacement therapy</w:t>
            </w:r>
          </w:p>
        </w:tc>
      </w:tr>
      <w:tr w:rsidR="00D27369" w:rsidRPr="00C84D55" w:rsidTr="003850BE">
        <w:tc>
          <w:tcPr>
            <w:tcW w:w="4330" w:type="dxa"/>
            <w:tcBorders>
              <w:right w:val="nil"/>
            </w:tcBorders>
            <w:shd w:val="clear" w:color="auto" w:fill="D9D9D9" w:themeFill="background1" w:themeFillShade="D9"/>
          </w:tcPr>
          <w:p w:rsidR="00D27369" w:rsidRPr="00C84D55" w:rsidRDefault="00D27369" w:rsidP="006E7C3A">
            <w:pPr>
              <w:pStyle w:val="TableText0"/>
              <w:rPr>
                <w:lang w:eastAsia="en-AU"/>
              </w:rPr>
            </w:pPr>
            <w:r w:rsidRPr="00C84D55">
              <w:rPr>
                <w:i/>
                <w:lang w:eastAsia="en-AU"/>
              </w:rPr>
              <w:t>Metabolic and enzyme deficiency disorders, not including lysosomal storage diseases</w:t>
            </w:r>
          </w:p>
        </w:tc>
        <w:tc>
          <w:tcPr>
            <w:tcW w:w="1730" w:type="dxa"/>
            <w:tcBorders>
              <w:left w:val="nil"/>
              <w:right w:val="nil"/>
            </w:tcBorders>
            <w:shd w:val="clear" w:color="auto" w:fill="D9D9D9" w:themeFill="background1" w:themeFillShade="D9"/>
          </w:tcPr>
          <w:p w:rsidR="00D27369" w:rsidRPr="00C84D55" w:rsidRDefault="00D27369" w:rsidP="006E7C3A">
            <w:pPr>
              <w:pStyle w:val="TableText0"/>
              <w:rPr>
                <w:lang w:eastAsia="en-AU"/>
              </w:rPr>
            </w:pPr>
          </w:p>
        </w:tc>
        <w:tc>
          <w:tcPr>
            <w:tcW w:w="2011" w:type="dxa"/>
            <w:tcBorders>
              <w:left w:val="nil"/>
              <w:right w:val="nil"/>
            </w:tcBorders>
            <w:shd w:val="clear" w:color="auto" w:fill="D9D9D9" w:themeFill="background1" w:themeFillShade="D9"/>
          </w:tcPr>
          <w:p w:rsidR="00D27369" w:rsidRPr="00C84D55" w:rsidRDefault="00D27369" w:rsidP="006E7C3A">
            <w:pPr>
              <w:pStyle w:val="TableText0"/>
              <w:rPr>
                <w:lang w:eastAsia="en-AU"/>
              </w:rPr>
            </w:pPr>
          </w:p>
        </w:tc>
        <w:tc>
          <w:tcPr>
            <w:tcW w:w="1565"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4535" w:type="dxa"/>
            <w:tcBorders>
              <w:left w:val="nil"/>
            </w:tcBorders>
            <w:shd w:val="clear" w:color="auto" w:fill="D9D9D9" w:themeFill="background1" w:themeFillShade="D9"/>
          </w:tcPr>
          <w:p w:rsidR="00D27369" w:rsidRPr="00C84D55" w:rsidRDefault="00D27369" w:rsidP="00D27369">
            <w:pPr>
              <w:pStyle w:val="TableText0"/>
              <w:rPr>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Adrenoleukodystrophy</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0.4 per 10,000</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LentiD gene therapy</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lastRenderedPageBreak/>
              <w:t>Adenosine monophosphate deaminase deficiency</w:t>
            </w:r>
          </w:p>
        </w:tc>
        <w:tc>
          <w:tcPr>
            <w:tcW w:w="1730" w:type="dxa"/>
          </w:tcPr>
          <w:p w:rsidR="006E7C3A" w:rsidRPr="00C84D55" w:rsidRDefault="006E7C3A" w:rsidP="006E7C3A">
            <w:pPr>
              <w:pStyle w:val="TableText0"/>
              <w:rPr>
                <w:lang w:eastAsia="en-AU"/>
              </w:rPr>
            </w:pPr>
            <w:r w:rsidRPr="00C84D55">
              <w:rPr>
                <w:lang w:eastAsia="en-AU"/>
              </w:rPr>
              <w:t>&lt;0.2 per 1,000,000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Ex-vivo stem cell gene therapy</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Familial chylomicronaemia syndrome (homozygous lipoprotein lipase deficiency)</w:t>
            </w:r>
          </w:p>
        </w:tc>
        <w:tc>
          <w:tcPr>
            <w:tcW w:w="1730" w:type="dxa"/>
          </w:tcPr>
          <w:p w:rsidR="006E7C3A" w:rsidRPr="00C84D55" w:rsidRDefault="006E7C3A" w:rsidP="006E7C3A">
            <w:pPr>
              <w:pStyle w:val="TableText0"/>
              <w:rPr>
                <w:lang w:eastAsia="en-AU"/>
              </w:rPr>
            </w:pPr>
            <w:r w:rsidRPr="00C84D55">
              <w:rPr>
                <w:lang w:eastAsia="en-AU"/>
              </w:rPr>
              <w:t>1 per 1,000,000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alipogene tiparvovec gene therapy (Glybera); LCQ908 / diacylglycerol acyltransferase-1 inhibitor (Pradigastat)</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Hereditary tyrosinaemia type I</w:t>
            </w:r>
          </w:p>
        </w:tc>
        <w:tc>
          <w:tcPr>
            <w:tcW w:w="1730" w:type="dxa"/>
          </w:tcPr>
          <w:p w:rsidR="006E7C3A" w:rsidRPr="00C84D55" w:rsidRDefault="006E7C3A" w:rsidP="006E7C3A">
            <w:pPr>
              <w:pStyle w:val="TableText0"/>
              <w:rPr>
                <w:lang w:eastAsia="en-AU"/>
              </w:rPr>
            </w:pPr>
            <w:r w:rsidRPr="00C84D55">
              <w:rPr>
                <w:lang w:eastAsia="en-AU"/>
              </w:rPr>
              <w:t>0.04–0.05 per 100,000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nitisinone (Orfadin)</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Homocystinuria</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0.2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betaine anhydrous (Cystadane)</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Hypophosphatasia</w:t>
            </w:r>
          </w:p>
        </w:tc>
        <w:tc>
          <w:tcPr>
            <w:tcW w:w="1730" w:type="dxa"/>
          </w:tcPr>
          <w:p w:rsidR="006E7C3A" w:rsidRPr="00C84D55" w:rsidRDefault="006E7C3A" w:rsidP="006E7C3A">
            <w:pPr>
              <w:pStyle w:val="TableText0"/>
              <w:rPr>
                <w:lang w:eastAsia="en-AU"/>
              </w:rPr>
            </w:pPr>
            <w:r w:rsidRPr="00C84D55">
              <w:rPr>
                <w:lang w:eastAsia="en-AU"/>
              </w:rPr>
              <w:t>0.33 per 100,000**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ENB-0040 / recombinant fusion protein (asfotase alfa)</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Lipodystrophy disorders</w:t>
            </w:r>
          </w:p>
        </w:tc>
        <w:tc>
          <w:tcPr>
            <w:tcW w:w="1730" w:type="dxa"/>
          </w:tcPr>
          <w:p w:rsidR="006E7C3A" w:rsidRPr="00C84D55" w:rsidRDefault="006E7C3A" w:rsidP="006E7C3A">
            <w:pPr>
              <w:pStyle w:val="TableText0"/>
              <w:rPr>
                <w:lang w:eastAsia="en-AU"/>
              </w:rPr>
            </w:pPr>
            <w:r w:rsidRPr="00C84D55">
              <w:rPr>
                <w:lang w:eastAsia="en-AU"/>
              </w:rPr>
              <w:t>0.1</w:t>
            </w:r>
            <w:r w:rsidRPr="00C84D55">
              <w:rPr>
                <w:lang w:eastAsia="en-AU"/>
              </w:rPr>
              <w:noBreakHyphen/>
              <w:t>0.2 per 100,000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human recombinant methionyl leptin (metreleptin)</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Wilson’s disease</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0.6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zinc acetate dihydrate</w:t>
            </w:r>
          </w:p>
        </w:tc>
      </w:tr>
      <w:tr w:rsidR="00D27369" w:rsidRPr="00C84D55" w:rsidTr="003850BE">
        <w:tc>
          <w:tcPr>
            <w:tcW w:w="4330" w:type="dxa"/>
            <w:tcBorders>
              <w:right w:val="nil"/>
            </w:tcBorders>
            <w:shd w:val="clear" w:color="auto" w:fill="D9D9D9" w:themeFill="background1" w:themeFillShade="D9"/>
          </w:tcPr>
          <w:p w:rsidR="00D27369" w:rsidRPr="00C84D55" w:rsidRDefault="00D27369" w:rsidP="006E7C3A">
            <w:pPr>
              <w:pStyle w:val="TableText0"/>
              <w:rPr>
                <w:lang w:eastAsia="en-AU"/>
              </w:rPr>
            </w:pPr>
            <w:r w:rsidRPr="00C84D55">
              <w:rPr>
                <w:i/>
                <w:lang w:eastAsia="en-AU"/>
              </w:rPr>
              <w:t>Mitochondrial diseases</w:t>
            </w:r>
            <w:r w:rsidRPr="00C84D55">
              <w:rPr>
                <w:i/>
                <w:vertAlign w:val="superscript"/>
                <w:lang w:eastAsia="en-AU"/>
              </w:rPr>
              <w:t>a</w:t>
            </w:r>
          </w:p>
        </w:tc>
        <w:tc>
          <w:tcPr>
            <w:tcW w:w="1730"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2011"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1565"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4535" w:type="dxa"/>
            <w:tcBorders>
              <w:left w:val="nil"/>
            </w:tcBorders>
            <w:shd w:val="clear" w:color="auto" w:fill="D9D9D9" w:themeFill="background1" w:themeFillShade="D9"/>
          </w:tcPr>
          <w:p w:rsidR="00D27369" w:rsidRPr="00C84D55" w:rsidRDefault="00D27369" w:rsidP="00D27369">
            <w:pPr>
              <w:pStyle w:val="TableText0"/>
              <w:rPr>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Mitochondrial myopathy</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&lt;1 per 1,000,000</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idebenone</w:t>
            </w: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Respiratory-chain diseases</w:t>
            </w:r>
            <w:r w:rsidRPr="00C84D55">
              <w:rPr>
                <w:vertAlign w:val="superscript"/>
                <w:lang w:eastAsia="en-AU"/>
              </w:rPr>
              <w:t>b</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0.2</w:t>
            </w:r>
            <w:r w:rsidRPr="00C84D55">
              <w:rPr>
                <w:lang w:eastAsia="en-AU"/>
              </w:rPr>
              <w:noBreakHyphen/>
              <w:t>0.3 per 2,000 (~1 per 8,500)</w:t>
            </w:r>
          </w:p>
        </w:tc>
        <w:tc>
          <w:tcPr>
            <w:tcW w:w="4535" w:type="dxa"/>
            <w:tcBorders>
              <w:left w:val="single" w:sz="4" w:space="0" w:color="auto"/>
            </w:tcBorders>
          </w:tcPr>
          <w:p w:rsidR="006E7C3A" w:rsidRPr="00C84D55" w:rsidRDefault="006E7C3A" w:rsidP="006E7C3A">
            <w:pPr>
              <w:pStyle w:val="TableText0"/>
              <w:rPr>
                <w:rFonts w:ascii="Arial" w:hAnsi="Arial" w:cs="Arial"/>
                <w:color w:val="000000"/>
                <w:lang w:eastAsia="en-AU"/>
              </w:rPr>
            </w:pPr>
            <w:r w:rsidRPr="00C84D55">
              <w:rPr>
                <w:lang w:eastAsia="en-AU"/>
              </w:rPr>
              <w:t>vatiquinone, cofactor EPI-743</w:t>
            </w:r>
          </w:p>
        </w:tc>
      </w:tr>
      <w:tr w:rsidR="00D27369" w:rsidRPr="00C84D55" w:rsidTr="003850BE">
        <w:tc>
          <w:tcPr>
            <w:tcW w:w="4330" w:type="dxa"/>
            <w:tcBorders>
              <w:right w:val="nil"/>
            </w:tcBorders>
            <w:shd w:val="clear" w:color="auto" w:fill="D9D9D9" w:themeFill="background1" w:themeFillShade="D9"/>
          </w:tcPr>
          <w:p w:rsidR="00D27369" w:rsidRPr="00C84D55" w:rsidRDefault="00D27369" w:rsidP="006E7C3A">
            <w:pPr>
              <w:pStyle w:val="TableText0"/>
              <w:rPr>
                <w:i/>
                <w:lang w:eastAsia="en-AU"/>
              </w:rPr>
            </w:pPr>
            <w:r w:rsidRPr="00C84D55">
              <w:rPr>
                <w:i/>
                <w:lang w:eastAsia="en-AU"/>
              </w:rPr>
              <w:t>Musculoskeletal system</w:t>
            </w:r>
          </w:p>
        </w:tc>
        <w:tc>
          <w:tcPr>
            <w:tcW w:w="1730" w:type="dxa"/>
            <w:tcBorders>
              <w:left w:val="nil"/>
              <w:right w:val="nil"/>
            </w:tcBorders>
            <w:shd w:val="clear" w:color="auto" w:fill="D9D9D9" w:themeFill="background1" w:themeFillShade="D9"/>
          </w:tcPr>
          <w:p w:rsidR="00D27369" w:rsidRPr="00C84D55" w:rsidRDefault="00D27369" w:rsidP="00D27369">
            <w:pPr>
              <w:pStyle w:val="TableText0"/>
              <w:rPr>
                <w:i/>
                <w:lang w:eastAsia="en-AU"/>
              </w:rPr>
            </w:pPr>
          </w:p>
        </w:tc>
        <w:tc>
          <w:tcPr>
            <w:tcW w:w="2011" w:type="dxa"/>
            <w:tcBorders>
              <w:left w:val="nil"/>
              <w:right w:val="nil"/>
            </w:tcBorders>
            <w:shd w:val="clear" w:color="auto" w:fill="D9D9D9" w:themeFill="background1" w:themeFillShade="D9"/>
          </w:tcPr>
          <w:p w:rsidR="00D27369" w:rsidRPr="00C84D55" w:rsidRDefault="00D27369" w:rsidP="00D27369">
            <w:pPr>
              <w:pStyle w:val="TableText0"/>
              <w:rPr>
                <w:i/>
                <w:lang w:eastAsia="en-AU"/>
              </w:rPr>
            </w:pPr>
          </w:p>
        </w:tc>
        <w:tc>
          <w:tcPr>
            <w:tcW w:w="1565" w:type="dxa"/>
            <w:tcBorders>
              <w:left w:val="nil"/>
              <w:right w:val="nil"/>
            </w:tcBorders>
            <w:shd w:val="clear" w:color="auto" w:fill="D9D9D9" w:themeFill="background1" w:themeFillShade="D9"/>
          </w:tcPr>
          <w:p w:rsidR="00D27369" w:rsidRPr="00C84D55" w:rsidRDefault="00D27369" w:rsidP="00D27369">
            <w:pPr>
              <w:pStyle w:val="TableText0"/>
              <w:rPr>
                <w:i/>
                <w:lang w:eastAsia="en-AU"/>
              </w:rPr>
            </w:pPr>
          </w:p>
        </w:tc>
        <w:tc>
          <w:tcPr>
            <w:tcW w:w="4535" w:type="dxa"/>
            <w:tcBorders>
              <w:left w:val="nil"/>
            </w:tcBorders>
            <w:shd w:val="clear" w:color="auto" w:fill="D9D9D9" w:themeFill="background1" w:themeFillShade="D9"/>
          </w:tcPr>
          <w:p w:rsidR="00D27369" w:rsidRPr="00C84D55" w:rsidRDefault="00D27369" w:rsidP="00D27369">
            <w:pPr>
              <w:pStyle w:val="TableText0"/>
              <w:rPr>
                <w:i/>
                <w:lang w:eastAsia="en-AU"/>
              </w:rPr>
            </w:pPr>
          </w:p>
        </w:tc>
      </w:tr>
      <w:tr w:rsidR="00D27369" w:rsidRPr="00C84D55" w:rsidTr="001F44E1">
        <w:tc>
          <w:tcPr>
            <w:tcW w:w="4330" w:type="dxa"/>
          </w:tcPr>
          <w:p w:rsidR="006E7C3A" w:rsidRPr="00C84D55" w:rsidRDefault="006E7C3A" w:rsidP="006E7C3A">
            <w:pPr>
              <w:pStyle w:val="TableText0"/>
              <w:rPr>
                <w:i/>
                <w:lang w:eastAsia="en-AU"/>
              </w:rPr>
            </w:pPr>
            <w:r w:rsidRPr="00C84D55">
              <w:rPr>
                <w:lang w:eastAsia="en-AU"/>
              </w:rPr>
              <w:t>Duchenne muscular dystrophy</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Borders>
              <w:right w:val="single" w:sz="4" w:space="0" w:color="auto"/>
            </w:tcBorders>
          </w:tcPr>
          <w:p w:rsidR="006E7C3A" w:rsidRPr="00C84D55" w:rsidRDefault="006E7C3A" w:rsidP="006E7C3A">
            <w:pPr>
              <w:pStyle w:val="TableText0"/>
              <w:rPr>
                <w:lang w:eastAsia="en-AU"/>
              </w:rPr>
            </w:pPr>
            <w:r w:rsidRPr="00C84D55">
              <w:rPr>
                <w:lang w:eastAsia="en-AU"/>
              </w:rPr>
              <w:t>0.5 per 10,000</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GSK-2402968 (Drisapersen)</w:t>
            </w:r>
          </w:p>
          <w:p w:rsidR="006E7C3A" w:rsidRPr="00C84D55" w:rsidRDefault="006E7C3A" w:rsidP="006E7C3A">
            <w:pPr>
              <w:pStyle w:val="TableText0"/>
              <w:rPr>
                <w:lang w:eastAsia="en-AU"/>
              </w:rPr>
            </w:pPr>
            <w:r w:rsidRPr="00C84D55">
              <w:rPr>
                <w:lang w:eastAsia="en-AU"/>
              </w:rPr>
              <w:t>AAV1-FS344 / gene therapy-delivered myostatin inhibitor</w:t>
            </w:r>
          </w:p>
          <w:p w:rsidR="006E7C3A" w:rsidRPr="00C84D55" w:rsidRDefault="006E7C3A" w:rsidP="006E7C3A">
            <w:pPr>
              <w:pStyle w:val="TableText0"/>
              <w:rPr>
                <w:lang w:eastAsia="en-AU"/>
              </w:rPr>
            </w:pPr>
            <w:r w:rsidRPr="00C84D55">
              <w:rPr>
                <w:lang w:eastAsia="en-AU"/>
              </w:rPr>
              <w:t>eteplirsen, antisense oligonucleotide</w:t>
            </w:r>
          </w:p>
          <w:p w:rsidR="006E7C3A" w:rsidRPr="00C84D55" w:rsidRDefault="006E7C3A" w:rsidP="006E7C3A">
            <w:pPr>
              <w:pStyle w:val="TableText0"/>
              <w:rPr>
                <w:lang w:eastAsia="en-AU"/>
              </w:rPr>
            </w:pPr>
            <w:r w:rsidRPr="00C84D55">
              <w:rPr>
                <w:lang w:eastAsia="en-AU"/>
              </w:rPr>
              <w:t>halofuginone hydrobromide</w:t>
            </w:r>
          </w:p>
          <w:p w:rsidR="006E7C3A" w:rsidRPr="00C84D55" w:rsidRDefault="006E7C3A" w:rsidP="006E7C3A">
            <w:pPr>
              <w:pStyle w:val="TableText0"/>
              <w:rPr>
                <w:lang w:eastAsia="en-AU"/>
              </w:rPr>
            </w:pPr>
            <w:r w:rsidRPr="00C84D55">
              <w:rPr>
                <w:lang w:eastAsia="en-AU"/>
              </w:rPr>
              <w:t>idebenone</w:t>
            </w:r>
          </w:p>
        </w:tc>
      </w:tr>
      <w:tr w:rsidR="001F44E1" w:rsidRPr="00C84D55" w:rsidTr="003850BE">
        <w:tc>
          <w:tcPr>
            <w:tcW w:w="4330" w:type="dxa"/>
            <w:tcBorders>
              <w:right w:val="nil"/>
            </w:tcBorders>
            <w:shd w:val="clear" w:color="auto" w:fill="D9D9D9" w:themeFill="background1" w:themeFillShade="D9"/>
          </w:tcPr>
          <w:p w:rsidR="00D27369" w:rsidRPr="00C84D55" w:rsidRDefault="00D27369" w:rsidP="006E7C3A">
            <w:pPr>
              <w:pStyle w:val="TableText0"/>
              <w:rPr>
                <w:lang w:eastAsia="en-AU"/>
              </w:rPr>
            </w:pPr>
            <w:r w:rsidRPr="00C84D55">
              <w:rPr>
                <w:i/>
                <w:lang w:eastAsia="en-AU"/>
              </w:rPr>
              <w:t>Respiratory system and pulmonary circulation</w:t>
            </w:r>
          </w:p>
        </w:tc>
        <w:tc>
          <w:tcPr>
            <w:tcW w:w="1730"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2011"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1565"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4535" w:type="dxa"/>
            <w:tcBorders>
              <w:left w:val="nil"/>
            </w:tcBorders>
            <w:shd w:val="clear" w:color="auto" w:fill="D9D9D9" w:themeFill="background1" w:themeFillShade="D9"/>
          </w:tcPr>
          <w:p w:rsidR="00D27369" w:rsidRPr="00C84D55" w:rsidRDefault="00D27369" w:rsidP="00D27369">
            <w:pPr>
              <w:pStyle w:val="TableText0"/>
              <w:rPr>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 xml:space="preserve">Cystic fibrosis, </w:t>
            </w:r>
            <w:r w:rsidRPr="00C84D55">
              <w:rPr>
                <w:i/>
                <w:lang w:eastAsia="en-AU"/>
              </w:rPr>
              <w:t xml:space="preserve">Pseudomonas aeruginosa </w:t>
            </w:r>
            <w:r w:rsidRPr="00C84D55">
              <w:rPr>
                <w:lang w:eastAsia="en-AU"/>
              </w:rPr>
              <w:t>infection</w:t>
            </w:r>
            <w:r w:rsidRPr="00C84D55">
              <w:rPr>
                <w:vertAlign w:val="superscript"/>
                <w:lang w:eastAsia="en-AU"/>
              </w:rPr>
              <w:t>c</w:t>
            </w:r>
          </w:p>
        </w:tc>
        <w:tc>
          <w:tcPr>
            <w:tcW w:w="1730" w:type="dxa"/>
            <w:tcBorders>
              <w:lef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righ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0.3 per 2,000</w:t>
            </w:r>
          </w:p>
        </w:tc>
        <w:tc>
          <w:tcPr>
            <w:tcW w:w="4535" w:type="dxa"/>
            <w:tcBorders>
              <w:left w:val="single" w:sz="4" w:space="0" w:color="auto"/>
            </w:tcBorders>
          </w:tcPr>
          <w:p w:rsidR="006E7C3A" w:rsidRPr="00C84D55" w:rsidRDefault="006E7C3A" w:rsidP="006E7C3A">
            <w:pPr>
              <w:pStyle w:val="TableText0"/>
              <w:rPr>
                <w:vertAlign w:val="superscript"/>
                <w:lang w:eastAsia="en-AU"/>
              </w:rPr>
            </w:pPr>
            <w:r w:rsidRPr="00C84D55">
              <w:rPr>
                <w:lang w:eastAsia="en-AU"/>
              </w:rPr>
              <w:t>aztreonam (Cayston)</w:t>
            </w:r>
          </w:p>
          <w:p w:rsidR="006E7C3A" w:rsidRPr="00C84D55" w:rsidRDefault="006E7C3A" w:rsidP="006E7C3A">
            <w:pPr>
              <w:pStyle w:val="TableText0"/>
              <w:rPr>
                <w:lang w:eastAsia="en-AU"/>
              </w:rPr>
            </w:pPr>
            <w:r w:rsidRPr="00C84D55">
              <w:rPr>
                <w:lang w:eastAsia="en-AU"/>
              </w:rPr>
              <w:t>levofloxacin (Aeroquin)</w:t>
            </w:r>
          </w:p>
          <w:p w:rsidR="006E7C3A" w:rsidRPr="00C84D55" w:rsidRDefault="006E7C3A" w:rsidP="006E7C3A">
            <w:pPr>
              <w:pStyle w:val="TableText0"/>
              <w:rPr>
                <w:lang w:eastAsia="en-AU"/>
              </w:rPr>
            </w:pPr>
            <w:r w:rsidRPr="00C84D55">
              <w:rPr>
                <w:lang w:eastAsia="en-AU"/>
              </w:rPr>
              <w:t>liposomal amikacin for inhalation (Arikace)</w:t>
            </w:r>
          </w:p>
        </w:tc>
      </w:tr>
      <w:tr w:rsidR="00D27369" w:rsidRPr="00C84D55" w:rsidTr="001F44E1">
        <w:tc>
          <w:tcPr>
            <w:tcW w:w="4330" w:type="dxa"/>
          </w:tcPr>
          <w:p w:rsidR="006E7C3A" w:rsidRPr="00C84D55" w:rsidRDefault="006E7C3A" w:rsidP="006E7C3A">
            <w:pPr>
              <w:pStyle w:val="TableText0"/>
              <w:rPr>
                <w:lang w:eastAsia="en-AU"/>
              </w:rPr>
            </w:pPr>
            <w:r w:rsidRPr="00C84D55">
              <w:rPr>
                <w:bCs/>
                <w:lang w:eastAsia="en-AU"/>
              </w:rPr>
              <w:t>Chronic thromboembolic pulmonary hypertension</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0.3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vertAlign w:val="superscript"/>
                <w:lang w:eastAsia="en-AU"/>
              </w:rPr>
            </w:pPr>
            <w:r w:rsidRPr="00C84D55">
              <w:rPr>
                <w:lang w:eastAsia="en-AU"/>
              </w:rPr>
              <w:t>riociguat (Adempas)</w:t>
            </w:r>
          </w:p>
          <w:p w:rsidR="006E7C3A" w:rsidRPr="00C84D55" w:rsidRDefault="006E7C3A" w:rsidP="006E7C3A">
            <w:pPr>
              <w:pStyle w:val="TableText0"/>
              <w:rPr>
                <w:lang w:eastAsia="en-AU"/>
              </w:rPr>
            </w:pPr>
            <w:r w:rsidRPr="00C84D55">
              <w:rPr>
                <w:lang w:eastAsia="en-AU"/>
              </w:rPr>
              <w:lastRenderedPageBreak/>
              <w:t>sodium nitrite</w:t>
            </w:r>
          </w:p>
          <w:p w:rsidR="006E7C3A" w:rsidRPr="00C84D55" w:rsidRDefault="006E7C3A" w:rsidP="006E7C3A">
            <w:pPr>
              <w:pStyle w:val="TableText0"/>
              <w:rPr>
                <w:lang w:eastAsia="en-AU"/>
              </w:rPr>
            </w:pPr>
            <w:r w:rsidRPr="00C84D55">
              <w:rPr>
                <w:lang w:eastAsia="en-AU"/>
              </w:rPr>
              <w:t>beraprost 314dlung</w:t>
            </w:r>
          </w:p>
        </w:tc>
      </w:tr>
      <w:tr w:rsidR="00D27369" w:rsidRPr="00C84D55" w:rsidTr="001F44E1">
        <w:tc>
          <w:tcPr>
            <w:tcW w:w="4330" w:type="dxa"/>
          </w:tcPr>
          <w:p w:rsidR="006E7C3A" w:rsidRPr="00C84D55" w:rsidRDefault="006E7C3A" w:rsidP="006E7C3A">
            <w:pPr>
              <w:pStyle w:val="TableText0"/>
              <w:rPr>
                <w:bCs/>
                <w:lang w:eastAsia="en-AU"/>
              </w:rPr>
            </w:pPr>
            <w:r w:rsidRPr="00C84D55">
              <w:rPr>
                <w:bCs/>
                <w:lang w:eastAsia="en-AU"/>
              </w:rPr>
              <w:lastRenderedPageBreak/>
              <w:t>Idiopathic pulmonary fibrosis</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p>
        </w:tc>
        <w:tc>
          <w:tcPr>
            <w:tcW w:w="1565" w:type="dxa"/>
          </w:tcPr>
          <w:p w:rsidR="006E7C3A" w:rsidRPr="00C84D55" w:rsidRDefault="006E7C3A" w:rsidP="006E7C3A">
            <w:pPr>
              <w:pStyle w:val="TableText0"/>
              <w:rPr>
                <w:lang w:eastAsia="en-AU"/>
              </w:rPr>
            </w:pPr>
            <w:r w:rsidRPr="00C84D55">
              <w:rPr>
                <w:lang w:eastAsia="en-AU"/>
              </w:rPr>
              <w:t>0.2 per 2,000</w:t>
            </w:r>
          </w:p>
        </w:tc>
        <w:tc>
          <w:tcPr>
            <w:tcW w:w="4535" w:type="dxa"/>
          </w:tcPr>
          <w:p w:rsidR="006E7C3A" w:rsidRPr="00C84D55" w:rsidRDefault="006E7C3A" w:rsidP="006E7C3A">
            <w:pPr>
              <w:pStyle w:val="TableText0"/>
              <w:rPr>
                <w:lang w:eastAsia="en-AU"/>
              </w:rPr>
            </w:pPr>
            <w:r w:rsidRPr="00C84D55">
              <w:rPr>
                <w:lang w:eastAsia="en-AU"/>
              </w:rPr>
              <w:t>LPA1 receptor antagonist</w:t>
            </w:r>
          </w:p>
          <w:p w:rsidR="006E7C3A" w:rsidRPr="00C84D55" w:rsidRDefault="006E7C3A" w:rsidP="006E7C3A">
            <w:pPr>
              <w:pStyle w:val="TableText0"/>
              <w:rPr>
                <w:lang w:eastAsia="en-AU"/>
              </w:rPr>
            </w:pPr>
            <w:r w:rsidRPr="00C84D55">
              <w:rPr>
                <w:lang w:eastAsia="en-AU"/>
              </w:rPr>
              <w:t>pirfenidone (Esbriet)</w:t>
            </w:r>
          </w:p>
          <w:p w:rsidR="006E7C3A" w:rsidRPr="00C84D55" w:rsidRDefault="006E7C3A" w:rsidP="006E7C3A">
            <w:pPr>
              <w:pStyle w:val="TableText0"/>
              <w:rPr>
                <w:lang w:eastAsia="en-AU"/>
              </w:rPr>
            </w:pPr>
            <w:r w:rsidRPr="00C84D55">
              <w:rPr>
                <w:lang w:eastAsia="en-AU"/>
              </w:rPr>
              <w:t>purified bovine type V collagen</w:t>
            </w:r>
          </w:p>
          <w:p w:rsidR="006E7C3A" w:rsidRPr="00C84D55" w:rsidRDefault="006E7C3A" w:rsidP="006E7C3A">
            <w:pPr>
              <w:pStyle w:val="TableText0"/>
              <w:rPr>
                <w:lang w:eastAsia="en-AU"/>
              </w:rPr>
            </w:pPr>
            <w:r w:rsidRPr="00C84D55">
              <w:rPr>
                <w:lang w:eastAsia="en-AU"/>
              </w:rPr>
              <w:t>nintedanib / triple kinase inhibitor</w:t>
            </w:r>
          </w:p>
          <w:p w:rsidR="006E7C3A" w:rsidRPr="00C84D55" w:rsidRDefault="006E7C3A" w:rsidP="006E7C3A">
            <w:pPr>
              <w:pStyle w:val="TableText0"/>
              <w:rPr>
                <w:lang w:eastAsia="en-AU"/>
              </w:rPr>
            </w:pPr>
            <w:r w:rsidRPr="00C84D55">
              <w:rPr>
                <w:lang w:eastAsia="en-AU"/>
              </w:rPr>
              <w:t>recombinant human pentraxin-2 protein</w:t>
            </w:r>
          </w:p>
          <w:p w:rsidR="006E7C3A" w:rsidRPr="00C84D55" w:rsidRDefault="006E7C3A" w:rsidP="006E7C3A">
            <w:pPr>
              <w:pStyle w:val="TableText0"/>
              <w:rPr>
                <w:lang w:eastAsia="en-AU"/>
              </w:rPr>
            </w:pPr>
            <w:r w:rsidRPr="00C84D55">
              <w:rPr>
                <w:lang w:eastAsia="en-AU"/>
              </w:rPr>
              <w:t>IL4/IL13 bi-specific antibody</w:t>
            </w:r>
          </w:p>
          <w:p w:rsidR="006E7C3A" w:rsidRPr="00C84D55" w:rsidRDefault="006E7C3A" w:rsidP="006E7C3A">
            <w:pPr>
              <w:pStyle w:val="TableText0"/>
              <w:rPr>
                <w:lang w:eastAsia="en-AU"/>
              </w:rPr>
            </w:pPr>
            <w:r w:rsidRPr="00C84D55">
              <w:rPr>
                <w:lang w:eastAsia="en-AU"/>
              </w:rPr>
              <w:t>simtuzumab</w:t>
            </w:r>
          </w:p>
          <w:p w:rsidR="006E7C3A" w:rsidRPr="00C84D55" w:rsidRDefault="006E7C3A" w:rsidP="006E7C3A">
            <w:pPr>
              <w:pStyle w:val="TableText0"/>
              <w:rPr>
                <w:lang w:eastAsia="en-AU"/>
              </w:rPr>
            </w:pPr>
            <w:r w:rsidRPr="00C84D55">
              <w:rPr>
                <w:lang w:eastAsia="en-AU"/>
              </w:rPr>
              <w:t>STX-100 anti-integrin alphaVbeta6 mAb</w:t>
            </w:r>
          </w:p>
          <w:p w:rsidR="006E7C3A" w:rsidRPr="00C84D55" w:rsidRDefault="006E7C3A" w:rsidP="006E7C3A">
            <w:pPr>
              <w:pStyle w:val="TableText0"/>
              <w:rPr>
                <w:lang w:eastAsia="en-AU"/>
              </w:rPr>
            </w:pPr>
            <w:r w:rsidRPr="00C84D55">
              <w:rPr>
                <w:lang w:eastAsia="en-AU"/>
              </w:rPr>
              <w:t>tralokinumab</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Pulmonary arterial hypertension</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0.2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macitentan (Opsumit)</w:t>
            </w:r>
          </w:p>
          <w:p w:rsidR="006E7C3A" w:rsidRPr="00C84D55" w:rsidRDefault="006E7C3A" w:rsidP="006E7C3A">
            <w:pPr>
              <w:pStyle w:val="TableText0"/>
              <w:rPr>
                <w:lang w:eastAsia="en-AU"/>
              </w:rPr>
            </w:pPr>
            <w:r w:rsidRPr="00C84D55">
              <w:rPr>
                <w:lang w:eastAsia="en-AU"/>
              </w:rPr>
              <w:t>selexipag</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Pulmonary tuberculosis</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0.4 per 2,000 (all tuberculosis)</w:t>
            </w:r>
          </w:p>
        </w:tc>
        <w:tc>
          <w:tcPr>
            <w:tcW w:w="4535" w:type="dxa"/>
          </w:tcPr>
          <w:p w:rsidR="006E7C3A" w:rsidRPr="00C84D55" w:rsidRDefault="006E7C3A" w:rsidP="006E7C3A">
            <w:pPr>
              <w:pStyle w:val="TableText0"/>
              <w:rPr>
                <w:lang w:eastAsia="en-AU"/>
              </w:rPr>
            </w:pPr>
            <w:r w:rsidRPr="00C84D55">
              <w:rPr>
                <w:lang w:eastAsia="en-AU"/>
              </w:rPr>
              <w:t>delamanid</w:t>
            </w: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Tuberculosis</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0.4 per 2,000</w:t>
            </w:r>
          </w:p>
        </w:tc>
        <w:tc>
          <w:tcPr>
            <w:tcW w:w="4535" w:type="dxa"/>
          </w:tcPr>
          <w:p w:rsidR="006E7C3A" w:rsidRPr="00C84D55" w:rsidRDefault="006E7C3A" w:rsidP="006E7C3A">
            <w:pPr>
              <w:pStyle w:val="TableText0"/>
              <w:rPr>
                <w:lang w:eastAsia="en-AU"/>
              </w:rPr>
            </w:pPr>
            <w:r w:rsidRPr="00C84D55">
              <w:rPr>
                <w:lang w:eastAsia="en-AU"/>
              </w:rPr>
              <w:t>ethylenediamine</w:t>
            </w:r>
          </w:p>
        </w:tc>
      </w:tr>
      <w:tr w:rsidR="00D27369" w:rsidRPr="00C84D55" w:rsidTr="003850BE">
        <w:tc>
          <w:tcPr>
            <w:tcW w:w="4330" w:type="dxa"/>
            <w:tcBorders>
              <w:right w:val="nil"/>
            </w:tcBorders>
            <w:shd w:val="clear" w:color="auto" w:fill="D9D9D9" w:themeFill="background1" w:themeFillShade="D9"/>
          </w:tcPr>
          <w:p w:rsidR="00D27369" w:rsidRPr="00C84D55" w:rsidRDefault="00D27369" w:rsidP="006E7C3A">
            <w:pPr>
              <w:pStyle w:val="TableText0"/>
              <w:rPr>
                <w:lang w:eastAsia="en-AU"/>
              </w:rPr>
            </w:pPr>
            <w:r w:rsidRPr="00C84D55">
              <w:rPr>
                <w:i/>
                <w:lang w:eastAsia="en-AU"/>
              </w:rPr>
              <w:t>Skin</w:t>
            </w:r>
          </w:p>
        </w:tc>
        <w:tc>
          <w:tcPr>
            <w:tcW w:w="1730"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2011"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1565"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4535" w:type="dxa"/>
            <w:tcBorders>
              <w:left w:val="nil"/>
            </w:tcBorders>
            <w:shd w:val="clear" w:color="auto" w:fill="D9D9D9" w:themeFill="background1" w:themeFillShade="D9"/>
          </w:tcPr>
          <w:p w:rsidR="00D27369" w:rsidRPr="00C84D55" w:rsidRDefault="00D27369" w:rsidP="00D27369">
            <w:pPr>
              <w:pStyle w:val="TableText0"/>
              <w:rPr>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Epidermolysis bullosa</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1 per 42,000</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ABH001, human fibroblast derived dermal substitute</w:t>
            </w:r>
          </w:p>
          <w:p w:rsidR="006E7C3A" w:rsidRPr="00C84D55" w:rsidRDefault="006E7C3A" w:rsidP="006E7C3A">
            <w:pPr>
              <w:pStyle w:val="TableText0"/>
              <w:rPr>
                <w:lang w:eastAsia="en-AU"/>
              </w:rPr>
            </w:pPr>
            <w:r w:rsidRPr="00C84D55">
              <w:rPr>
                <w:lang w:eastAsia="en-AU"/>
              </w:rPr>
              <w:t>thymosin beta-4 peptide</w:t>
            </w: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Netherton syndrome</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0.5–1.35 per 100,000</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i/>
                <w:lang w:eastAsia="en-AU"/>
              </w:rPr>
              <w:t xml:space="preserve">ex vivo SPINK5 </w:t>
            </w:r>
            <w:r w:rsidRPr="00C84D55">
              <w:rPr>
                <w:lang w:eastAsia="en-AU"/>
              </w:rPr>
              <w:t>gene-corrected keratinocytes</w:t>
            </w:r>
          </w:p>
        </w:tc>
      </w:tr>
      <w:tr w:rsidR="00D27369" w:rsidRPr="00C84D55" w:rsidTr="003850BE">
        <w:tc>
          <w:tcPr>
            <w:tcW w:w="4330" w:type="dxa"/>
            <w:tcBorders>
              <w:right w:val="nil"/>
            </w:tcBorders>
            <w:shd w:val="clear" w:color="auto" w:fill="D9D9D9" w:themeFill="background1" w:themeFillShade="D9"/>
          </w:tcPr>
          <w:p w:rsidR="00D27369" w:rsidRPr="00C84D55" w:rsidRDefault="00D27369" w:rsidP="006E7C3A">
            <w:pPr>
              <w:pStyle w:val="TableText0"/>
              <w:rPr>
                <w:i/>
                <w:lang w:eastAsia="en-AU"/>
              </w:rPr>
            </w:pPr>
            <w:r w:rsidRPr="00C84D55">
              <w:rPr>
                <w:i/>
                <w:lang w:eastAsia="en-AU"/>
              </w:rPr>
              <w:t>Urinary system / kidney</w:t>
            </w:r>
          </w:p>
        </w:tc>
        <w:tc>
          <w:tcPr>
            <w:tcW w:w="1730" w:type="dxa"/>
            <w:tcBorders>
              <w:left w:val="nil"/>
              <w:right w:val="nil"/>
            </w:tcBorders>
            <w:shd w:val="clear" w:color="auto" w:fill="D9D9D9" w:themeFill="background1" w:themeFillShade="D9"/>
          </w:tcPr>
          <w:p w:rsidR="00D27369" w:rsidRPr="00C84D55" w:rsidRDefault="00D27369" w:rsidP="00D27369">
            <w:pPr>
              <w:pStyle w:val="TableText0"/>
              <w:rPr>
                <w:i/>
                <w:lang w:eastAsia="en-AU"/>
              </w:rPr>
            </w:pPr>
          </w:p>
        </w:tc>
        <w:tc>
          <w:tcPr>
            <w:tcW w:w="2011" w:type="dxa"/>
            <w:tcBorders>
              <w:left w:val="nil"/>
              <w:right w:val="nil"/>
            </w:tcBorders>
            <w:shd w:val="clear" w:color="auto" w:fill="D9D9D9" w:themeFill="background1" w:themeFillShade="D9"/>
          </w:tcPr>
          <w:p w:rsidR="00D27369" w:rsidRPr="00C84D55" w:rsidRDefault="00D27369" w:rsidP="00D27369">
            <w:pPr>
              <w:pStyle w:val="TableText0"/>
              <w:rPr>
                <w:i/>
                <w:lang w:eastAsia="en-AU"/>
              </w:rPr>
            </w:pPr>
          </w:p>
        </w:tc>
        <w:tc>
          <w:tcPr>
            <w:tcW w:w="1565" w:type="dxa"/>
            <w:tcBorders>
              <w:left w:val="nil"/>
              <w:right w:val="nil"/>
            </w:tcBorders>
            <w:shd w:val="clear" w:color="auto" w:fill="D9D9D9" w:themeFill="background1" w:themeFillShade="D9"/>
          </w:tcPr>
          <w:p w:rsidR="00D27369" w:rsidRPr="00C84D55" w:rsidRDefault="00D27369" w:rsidP="00D27369">
            <w:pPr>
              <w:pStyle w:val="TableText0"/>
              <w:rPr>
                <w:i/>
                <w:lang w:eastAsia="en-AU"/>
              </w:rPr>
            </w:pPr>
          </w:p>
        </w:tc>
        <w:tc>
          <w:tcPr>
            <w:tcW w:w="4535" w:type="dxa"/>
            <w:tcBorders>
              <w:left w:val="nil"/>
            </w:tcBorders>
            <w:shd w:val="clear" w:color="auto" w:fill="D9D9D9" w:themeFill="background1" w:themeFillShade="D9"/>
          </w:tcPr>
          <w:p w:rsidR="00D27369" w:rsidRPr="00C84D55" w:rsidRDefault="00D27369" w:rsidP="00D27369">
            <w:pPr>
              <w:pStyle w:val="TableText0"/>
              <w:rPr>
                <w:i/>
                <w:lang w:eastAsia="en-AU"/>
              </w:rPr>
            </w:pPr>
          </w:p>
        </w:tc>
      </w:tr>
      <w:tr w:rsidR="00D27369" w:rsidRPr="00C84D55" w:rsidTr="003850BE">
        <w:trPr>
          <w:trHeight w:val="352"/>
        </w:trPr>
        <w:tc>
          <w:tcPr>
            <w:tcW w:w="4330" w:type="dxa"/>
          </w:tcPr>
          <w:p w:rsidR="00D27369" w:rsidRPr="00C84D55" w:rsidRDefault="00D27369" w:rsidP="006E7C3A">
            <w:pPr>
              <w:pStyle w:val="TableText0"/>
              <w:rPr>
                <w:lang w:eastAsia="en-AU"/>
              </w:rPr>
            </w:pPr>
            <w:r w:rsidRPr="00C84D55">
              <w:rPr>
                <w:lang w:eastAsia="en-AU"/>
              </w:rPr>
              <w:t>Autosomal dominant polycystic kidney disease</w:t>
            </w:r>
          </w:p>
        </w:tc>
        <w:tc>
          <w:tcPr>
            <w:tcW w:w="1730" w:type="dxa"/>
          </w:tcPr>
          <w:p w:rsidR="00D27369" w:rsidRPr="00C84D55" w:rsidRDefault="00D27369" w:rsidP="006E7C3A">
            <w:pPr>
              <w:pStyle w:val="TableText0"/>
              <w:rPr>
                <w:lang w:eastAsia="en-AU"/>
              </w:rPr>
            </w:pPr>
            <w:r w:rsidRPr="00C84D55">
              <w:rPr>
                <w:lang w:eastAsia="en-AU"/>
              </w:rPr>
              <w:t>&lt;1 per 100,000</w:t>
            </w:r>
          </w:p>
        </w:tc>
        <w:tc>
          <w:tcPr>
            <w:tcW w:w="2011" w:type="dxa"/>
            <w:tcBorders>
              <w:right w:val="single" w:sz="4" w:space="0" w:color="auto"/>
            </w:tcBorders>
          </w:tcPr>
          <w:p w:rsidR="00D27369" w:rsidRPr="00C84D55" w:rsidRDefault="00D27369"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D27369" w:rsidRPr="00C84D55" w:rsidRDefault="00D27369" w:rsidP="006E7C3A">
            <w:pPr>
              <w:pStyle w:val="TableText0"/>
              <w:rPr>
                <w:lang w:eastAsia="en-AU"/>
              </w:rPr>
            </w:pPr>
            <w:r w:rsidRPr="00C84D55">
              <w:rPr>
                <w:lang w:eastAsia="en-AU"/>
              </w:rPr>
              <w:t>-</w:t>
            </w:r>
          </w:p>
        </w:tc>
        <w:tc>
          <w:tcPr>
            <w:tcW w:w="4535" w:type="dxa"/>
            <w:tcBorders>
              <w:left w:val="single" w:sz="4" w:space="0" w:color="auto"/>
            </w:tcBorders>
          </w:tcPr>
          <w:p w:rsidR="00D27369" w:rsidRPr="00C84D55" w:rsidRDefault="00D27369" w:rsidP="006E7C3A">
            <w:pPr>
              <w:pStyle w:val="TableText0"/>
              <w:rPr>
                <w:lang w:eastAsia="en-AU"/>
              </w:rPr>
            </w:pPr>
            <w:r w:rsidRPr="00C84D55">
              <w:rPr>
                <w:lang w:eastAsia="en-AU"/>
              </w:rPr>
              <w:t>tolvaptan (Samsca)</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Nephrogenic diabetes insipidus</w:t>
            </w:r>
          </w:p>
        </w:tc>
        <w:tc>
          <w:tcPr>
            <w:tcW w:w="1730" w:type="dxa"/>
          </w:tcPr>
          <w:p w:rsidR="006E7C3A" w:rsidRPr="00C84D55" w:rsidRDefault="006E7C3A" w:rsidP="006E7C3A">
            <w:pPr>
              <w:pStyle w:val="TableText0"/>
              <w:rPr>
                <w:lang w:eastAsia="en-AU"/>
              </w:rPr>
            </w:pPr>
            <w:r w:rsidRPr="00C84D55">
              <w:rPr>
                <w:lang w:eastAsia="en-AU"/>
              </w:rPr>
              <w:t>0.15 per 100,000</w:t>
            </w:r>
          </w:p>
        </w:tc>
        <w:tc>
          <w:tcPr>
            <w:tcW w:w="2011" w:type="dxa"/>
          </w:tcPr>
          <w:p w:rsidR="006E7C3A" w:rsidRPr="00C84D55" w:rsidRDefault="006E7C3A" w:rsidP="006E7C3A">
            <w:pPr>
              <w:pStyle w:val="TableText0"/>
              <w:rPr>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various chaperone therapies are proposed</w:t>
            </w:r>
          </w:p>
        </w:tc>
      </w:tr>
      <w:tr w:rsidR="00D27369" w:rsidRPr="00C84D55" w:rsidTr="001F44E1">
        <w:tc>
          <w:tcPr>
            <w:tcW w:w="4330" w:type="dxa"/>
            <w:tcBorders>
              <w:right w:val="nil"/>
            </w:tcBorders>
          </w:tcPr>
          <w:p w:rsidR="006E7C3A" w:rsidRPr="00C84D55" w:rsidRDefault="006E7C3A" w:rsidP="006E7C3A">
            <w:pPr>
              <w:pStyle w:val="TableText0"/>
              <w:rPr>
                <w:lang w:eastAsia="en-AU"/>
              </w:rPr>
            </w:pPr>
            <w:r w:rsidRPr="00C84D55">
              <w:rPr>
                <w:lang w:eastAsia="en-AU"/>
              </w:rPr>
              <w:t>Primary hyperoxaluria</w:t>
            </w:r>
          </w:p>
        </w:tc>
        <w:tc>
          <w:tcPr>
            <w:tcW w:w="1730" w:type="dxa"/>
            <w:tcBorders>
              <w:left w:val="nil"/>
              <w:right w:val="nil"/>
            </w:tcBorders>
          </w:tcPr>
          <w:p w:rsidR="006E7C3A" w:rsidRPr="00C84D55" w:rsidRDefault="006E7C3A" w:rsidP="006E7C3A">
            <w:pPr>
              <w:pStyle w:val="TableText0"/>
              <w:rPr>
                <w:lang w:eastAsia="en-AU"/>
              </w:rPr>
            </w:pPr>
            <w:r w:rsidRPr="00C84D55">
              <w:rPr>
                <w:lang w:eastAsia="en-AU"/>
              </w:rPr>
              <w:t>0.2 per 100,000</w:t>
            </w:r>
          </w:p>
        </w:tc>
        <w:tc>
          <w:tcPr>
            <w:tcW w:w="2011" w:type="dxa"/>
            <w:tcBorders>
              <w:left w:val="nil"/>
            </w:tcBorders>
          </w:tcPr>
          <w:p w:rsidR="006E7C3A" w:rsidRPr="0055159B" w:rsidRDefault="006E7C3A" w:rsidP="006E7C3A">
            <w:pPr>
              <w:pStyle w:val="TableText0"/>
              <w:rPr>
                <w:vertAlign w:val="superscript"/>
                <w:lang w:eastAsia="en-AU"/>
              </w:rPr>
            </w:pPr>
            <w:r w:rsidRPr="00C84D55">
              <w:rPr>
                <w:lang w:eastAsia="en-AU"/>
              </w:rPr>
              <w:t>-</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oxalobacter formigenes (Oxabact)</w:t>
            </w:r>
          </w:p>
        </w:tc>
      </w:tr>
      <w:tr w:rsidR="00D27369" w:rsidRPr="00C84D55" w:rsidTr="003850BE">
        <w:tc>
          <w:tcPr>
            <w:tcW w:w="4330" w:type="dxa"/>
            <w:tcBorders>
              <w:right w:val="nil"/>
            </w:tcBorders>
            <w:shd w:val="clear" w:color="auto" w:fill="D9D9D9" w:themeFill="background1" w:themeFillShade="D9"/>
          </w:tcPr>
          <w:p w:rsidR="00D27369" w:rsidRPr="00C84D55" w:rsidRDefault="00D27369" w:rsidP="006E7C3A">
            <w:pPr>
              <w:pStyle w:val="TableText0"/>
              <w:rPr>
                <w:i/>
                <w:lang w:eastAsia="en-AU"/>
              </w:rPr>
            </w:pPr>
            <w:r w:rsidRPr="00C84D55">
              <w:rPr>
                <w:i/>
                <w:lang w:eastAsia="en-AU"/>
              </w:rPr>
              <w:t>Various sites / systemic diseases</w:t>
            </w:r>
          </w:p>
        </w:tc>
        <w:tc>
          <w:tcPr>
            <w:tcW w:w="1730" w:type="dxa"/>
            <w:tcBorders>
              <w:left w:val="nil"/>
              <w:right w:val="nil"/>
            </w:tcBorders>
            <w:shd w:val="clear" w:color="auto" w:fill="D9D9D9" w:themeFill="background1" w:themeFillShade="D9"/>
          </w:tcPr>
          <w:p w:rsidR="00D27369" w:rsidRPr="00C84D55" w:rsidRDefault="00D27369" w:rsidP="00D27369">
            <w:pPr>
              <w:pStyle w:val="TableText0"/>
              <w:rPr>
                <w:i/>
                <w:lang w:eastAsia="en-AU"/>
              </w:rPr>
            </w:pPr>
          </w:p>
        </w:tc>
        <w:tc>
          <w:tcPr>
            <w:tcW w:w="2011" w:type="dxa"/>
            <w:tcBorders>
              <w:left w:val="nil"/>
              <w:right w:val="nil"/>
            </w:tcBorders>
            <w:shd w:val="clear" w:color="auto" w:fill="D9D9D9" w:themeFill="background1" w:themeFillShade="D9"/>
          </w:tcPr>
          <w:p w:rsidR="00D27369" w:rsidRPr="00C84D55" w:rsidRDefault="00D27369" w:rsidP="00D27369">
            <w:pPr>
              <w:pStyle w:val="TableText0"/>
              <w:rPr>
                <w:i/>
                <w:lang w:eastAsia="en-AU"/>
              </w:rPr>
            </w:pPr>
          </w:p>
        </w:tc>
        <w:tc>
          <w:tcPr>
            <w:tcW w:w="1565" w:type="dxa"/>
            <w:tcBorders>
              <w:left w:val="nil"/>
              <w:right w:val="nil"/>
            </w:tcBorders>
            <w:shd w:val="clear" w:color="auto" w:fill="D9D9D9" w:themeFill="background1" w:themeFillShade="D9"/>
          </w:tcPr>
          <w:p w:rsidR="00D27369" w:rsidRPr="00C84D55" w:rsidRDefault="00D27369" w:rsidP="00D27369">
            <w:pPr>
              <w:pStyle w:val="TableText0"/>
              <w:rPr>
                <w:i/>
                <w:lang w:eastAsia="en-AU"/>
              </w:rPr>
            </w:pPr>
          </w:p>
        </w:tc>
        <w:tc>
          <w:tcPr>
            <w:tcW w:w="4535" w:type="dxa"/>
            <w:tcBorders>
              <w:left w:val="nil"/>
            </w:tcBorders>
            <w:shd w:val="clear" w:color="auto" w:fill="D9D9D9" w:themeFill="background1" w:themeFillShade="D9"/>
          </w:tcPr>
          <w:p w:rsidR="00D27369" w:rsidRPr="00C84D55" w:rsidRDefault="00D27369" w:rsidP="00D27369">
            <w:pPr>
              <w:pStyle w:val="TableText0"/>
              <w:rPr>
                <w:i/>
                <w:lang w:eastAsia="en-AU"/>
              </w:rPr>
            </w:pPr>
          </w:p>
        </w:tc>
      </w:tr>
      <w:tr w:rsidR="00D27369" w:rsidRPr="00C84D55" w:rsidTr="001F44E1">
        <w:tc>
          <w:tcPr>
            <w:tcW w:w="4330" w:type="dxa"/>
            <w:tcBorders>
              <w:right w:val="single" w:sz="4" w:space="0" w:color="auto"/>
            </w:tcBorders>
          </w:tcPr>
          <w:p w:rsidR="00D27369" w:rsidRPr="00C84D55" w:rsidRDefault="00D27369" w:rsidP="006E7C3A">
            <w:pPr>
              <w:pStyle w:val="TableText0"/>
              <w:rPr>
                <w:lang w:eastAsia="en-AU"/>
              </w:rPr>
            </w:pPr>
            <w:r w:rsidRPr="00C84D55">
              <w:rPr>
                <w:lang w:eastAsia="en-AU"/>
              </w:rPr>
              <w:lastRenderedPageBreak/>
              <w:t>Alagille syndrome</w:t>
            </w:r>
          </w:p>
        </w:tc>
        <w:tc>
          <w:tcPr>
            <w:tcW w:w="1730" w:type="dxa"/>
            <w:tcBorders>
              <w:left w:val="single" w:sz="4" w:space="0" w:color="auto"/>
              <w:right w:val="single" w:sz="4" w:space="0" w:color="auto"/>
            </w:tcBorders>
          </w:tcPr>
          <w:p w:rsidR="00D27369" w:rsidRPr="00C84D55" w:rsidRDefault="00D27369" w:rsidP="006E7C3A">
            <w:pPr>
              <w:pStyle w:val="TableText0"/>
              <w:rPr>
                <w:lang w:eastAsia="en-AU"/>
              </w:rPr>
            </w:pPr>
            <w:r w:rsidRPr="00C84D55">
              <w:rPr>
                <w:lang w:eastAsia="en-AU"/>
              </w:rPr>
              <w:t>0.4 per 100,000</w:t>
            </w:r>
          </w:p>
        </w:tc>
        <w:tc>
          <w:tcPr>
            <w:tcW w:w="2011" w:type="dxa"/>
            <w:tcBorders>
              <w:left w:val="single" w:sz="4" w:space="0" w:color="auto"/>
              <w:right w:val="single" w:sz="4" w:space="0" w:color="auto"/>
            </w:tcBorders>
          </w:tcPr>
          <w:p w:rsidR="00D27369" w:rsidRPr="00C84D55" w:rsidRDefault="00D27369"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D27369" w:rsidRPr="00C84D55" w:rsidRDefault="00D27369" w:rsidP="00D27369">
            <w:pPr>
              <w:pStyle w:val="TableText0"/>
              <w:rPr>
                <w:lang w:eastAsia="en-AU"/>
              </w:rPr>
            </w:pPr>
            <w:r w:rsidRPr="00C84D55">
              <w:rPr>
                <w:lang w:eastAsia="en-AU"/>
              </w:rPr>
              <w:t>-</w:t>
            </w:r>
          </w:p>
        </w:tc>
        <w:tc>
          <w:tcPr>
            <w:tcW w:w="4535" w:type="dxa"/>
            <w:tcBorders>
              <w:left w:val="single" w:sz="4" w:space="0" w:color="auto"/>
            </w:tcBorders>
          </w:tcPr>
          <w:p w:rsidR="00D27369" w:rsidRPr="00C84D55" w:rsidRDefault="00D27369" w:rsidP="006E7C3A">
            <w:pPr>
              <w:pStyle w:val="TableText0"/>
              <w:rPr>
                <w:lang w:eastAsia="en-AU"/>
              </w:rPr>
            </w:pPr>
            <w:r w:rsidRPr="00C84D55">
              <w:rPr>
                <w:lang w:eastAsia="en-AU"/>
              </w:rPr>
              <w:t>sodium bile acid contransporter inhibitor</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Alpha-1-antitrypsin deficiency</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0.5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adeno-associated virus vector-mediated gene therapy, rAAV1-CB-hAATsic</w:t>
            </w: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Secondary systemic amyloidosis</w:t>
            </w:r>
          </w:p>
        </w:tc>
        <w:tc>
          <w:tcPr>
            <w:tcW w:w="1730" w:type="dxa"/>
            <w:tcBorders>
              <w:lef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righ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tcBorders>
          </w:tcPr>
          <w:p w:rsidR="006E7C3A" w:rsidRPr="00C84D55" w:rsidRDefault="006E7C3A" w:rsidP="006E7C3A">
            <w:pPr>
              <w:pStyle w:val="TableText0"/>
              <w:rPr>
                <w:lang w:eastAsia="en-AU"/>
              </w:rPr>
            </w:pPr>
            <w:r w:rsidRPr="00C84D55">
              <w:rPr>
                <w:lang w:eastAsia="en-AU"/>
              </w:rPr>
              <w:t>0.3 per 2,000</w:t>
            </w:r>
          </w:p>
        </w:tc>
        <w:tc>
          <w:tcPr>
            <w:tcW w:w="4535" w:type="dxa"/>
          </w:tcPr>
          <w:p w:rsidR="006E7C3A" w:rsidRPr="00C84D55" w:rsidRDefault="006E7C3A" w:rsidP="006E7C3A">
            <w:pPr>
              <w:pStyle w:val="TableText0"/>
              <w:rPr>
                <w:lang w:eastAsia="en-AU"/>
              </w:rPr>
            </w:pPr>
            <w:r w:rsidRPr="00C84D55">
              <w:rPr>
                <w:lang w:eastAsia="en-AU"/>
              </w:rPr>
              <w:t>eprodisate (Kiacta)</w:t>
            </w:r>
          </w:p>
        </w:tc>
      </w:tr>
      <w:tr w:rsidR="00D27369" w:rsidRPr="00C84D55" w:rsidTr="001F44E1">
        <w:tc>
          <w:tcPr>
            <w:tcW w:w="4330" w:type="dxa"/>
            <w:tcBorders>
              <w:right w:val="nil"/>
            </w:tcBorders>
            <w:shd w:val="clear" w:color="auto" w:fill="BFBFBF" w:themeFill="background1" w:themeFillShade="BF"/>
          </w:tcPr>
          <w:p w:rsidR="00D27369" w:rsidRPr="00C84D55" w:rsidRDefault="00D27369" w:rsidP="006E7C3A">
            <w:pPr>
              <w:pStyle w:val="TableText0"/>
              <w:rPr>
                <w:lang w:eastAsia="en-AU"/>
              </w:rPr>
            </w:pPr>
            <w:r w:rsidRPr="00C84D55">
              <w:rPr>
                <w:lang w:eastAsia="en-AU"/>
              </w:rPr>
              <w:t>Rare phenotypes / genotypes of common diseases</w:t>
            </w:r>
          </w:p>
        </w:tc>
        <w:tc>
          <w:tcPr>
            <w:tcW w:w="1730" w:type="dxa"/>
            <w:tcBorders>
              <w:left w:val="nil"/>
              <w:right w:val="nil"/>
            </w:tcBorders>
            <w:shd w:val="clear" w:color="auto" w:fill="BFBFBF" w:themeFill="background1" w:themeFillShade="BF"/>
          </w:tcPr>
          <w:p w:rsidR="00D27369" w:rsidRPr="00C84D55" w:rsidRDefault="00D27369" w:rsidP="00D27369">
            <w:pPr>
              <w:pStyle w:val="TableText0"/>
              <w:rPr>
                <w:lang w:eastAsia="en-AU"/>
              </w:rPr>
            </w:pPr>
          </w:p>
        </w:tc>
        <w:tc>
          <w:tcPr>
            <w:tcW w:w="2011" w:type="dxa"/>
            <w:tcBorders>
              <w:left w:val="nil"/>
              <w:right w:val="nil"/>
            </w:tcBorders>
            <w:shd w:val="clear" w:color="auto" w:fill="BFBFBF" w:themeFill="background1" w:themeFillShade="BF"/>
          </w:tcPr>
          <w:p w:rsidR="00D27369" w:rsidRPr="00C84D55" w:rsidRDefault="00D27369" w:rsidP="00D27369">
            <w:pPr>
              <w:pStyle w:val="TableText0"/>
              <w:rPr>
                <w:lang w:eastAsia="en-AU"/>
              </w:rPr>
            </w:pPr>
          </w:p>
        </w:tc>
        <w:tc>
          <w:tcPr>
            <w:tcW w:w="1565" w:type="dxa"/>
            <w:tcBorders>
              <w:left w:val="nil"/>
              <w:right w:val="nil"/>
            </w:tcBorders>
            <w:shd w:val="clear" w:color="auto" w:fill="BFBFBF" w:themeFill="background1" w:themeFillShade="BF"/>
          </w:tcPr>
          <w:p w:rsidR="00D27369" w:rsidRPr="00C84D55" w:rsidRDefault="00D27369" w:rsidP="00D27369">
            <w:pPr>
              <w:pStyle w:val="TableText0"/>
              <w:rPr>
                <w:lang w:eastAsia="en-AU"/>
              </w:rPr>
            </w:pPr>
          </w:p>
        </w:tc>
        <w:tc>
          <w:tcPr>
            <w:tcW w:w="4535" w:type="dxa"/>
            <w:tcBorders>
              <w:left w:val="nil"/>
            </w:tcBorders>
            <w:shd w:val="clear" w:color="auto" w:fill="BFBFBF" w:themeFill="background1" w:themeFillShade="BF"/>
          </w:tcPr>
          <w:p w:rsidR="00D27369" w:rsidRPr="00C84D55" w:rsidRDefault="00D27369" w:rsidP="006E7C3A">
            <w:pPr>
              <w:pStyle w:val="TableText0"/>
              <w:rPr>
                <w:lang w:eastAsia="en-AU"/>
              </w:rPr>
            </w:pPr>
          </w:p>
        </w:tc>
      </w:tr>
      <w:tr w:rsidR="00D27369" w:rsidRPr="00C84D55" w:rsidTr="003850BE">
        <w:tc>
          <w:tcPr>
            <w:tcW w:w="4330" w:type="dxa"/>
            <w:tcBorders>
              <w:right w:val="nil"/>
            </w:tcBorders>
            <w:shd w:val="clear" w:color="auto" w:fill="D9D9D9" w:themeFill="background1" w:themeFillShade="D9"/>
          </w:tcPr>
          <w:p w:rsidR="00D27369" w:rsidRPr="00C84D55" w:rsidRDefault="00D27369" w:rsidP="006E7C3A">
            <w:pPr>
              <w:pStyle w:val="TableText0"/>
              <w:rPr>
                <w:lang w:eastAsia="en-AU"/>
              </w:rPr>
            </w:pPr>
            <w:r w:rsidRPr="00C84D55">
              <w:rPr>
                <w:i/>
                <w:lang w:eastAsia="en-AU"/>
              </w:rPr>
              <w:t>Cancer, breast</w:t>
            </w:r>
          </w:p>
        </w:tc>
        <w:tc>
          <w:tcPr>
            <w:tcW w:w="1730"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2011"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1565" w:type="dxa"/>
            <w:tcBorders>
              <w:left w:val="nil"/>
              <w:right w:val="nil"/>
            </w:tcBorders>
            <w:shd w:val="clear" w:color="auto" w:fill="D9D9D9" w:themeFill="background1" w:themeFillShade="D9"/>
          </w:tcPr>
          <w:p w:rsidR="00D27369" w:rsidRPr="00C84D55" w:rsidRDefault="00D27369" w:rsidP="00D27369">
            <w:pPr>
              <w:pStyle w:val="TableText0"/>
              <w:rPr>
                <w:lang w:eastAsia="en-AU"/>
              </w:rPr>
            </w:pPr>
          </w:p>
        </w:tc>
        <w:tc>
          <w:tcPr>
            <w:tcW w:w="4535" w:type="dxa"/>
            <w:tcBorders>
              <w:left w:val="nil"/>
            </w:tcBorders>
            <w:shd w:val="clear" w:color="auto" w:fill="D9D9D9" w:themeFill="background1" w:themeFillShade="D9"/>
          </w:tcPr>
          <w:p w:rsidR="00D27369" w:rsidRPr="00C84D55" w:rsidRDefault="00D27369" w:rsidP="00D27369">
            <w:pPr>
              <w:pStyle w:val="TableText0"/>
              <w:rPr>
                <w:lang w:eastAsia="en-AU"/>
              </w:rPr>
            </w:pPr>
          </w:p>
        </w:tc>
      </w:tr>
      <w:tr w:rsidR="001F44E1" w:rsidRPr="00C84D55" w:rsidTr="001F44E1">
        <w:tc>
          <w:tcPr>
            <w:tcW w:w="4330" w:type="dxa"/>
            <w:tcBorders>
              <w:right w:val="single" w:sz="4" w:space="0" w:color="auto"/>
            </w:tcBorders>
          </w:tcPr>
          <w:p w:rsidR="006E7C3A" w:rsidRPr="00C84D55" w:rsidRDefault="006E7C3A" w:rsidP="006E7C3A">
            <w:pPr>
              <w:pStyle w:val="TableText0"/>
              <w:rPr>
                <w:i/>
                <w:lang w:eastAsia="en-AU"/>
              </w:rPr>
            </w:pPr>
            <w:r w:rsidRPr="00C84D55">
              <w:rPr>
                <w:i/>
                <w:lang w:eastAsia="en-AU"/>
              </w:rPr>
              <w:t>HER2</w:t>
            </w:r>
            <w:r w:rsidRPr="00C84D55">
              <w:rPr>
                <w:lang w:eastAsia="en-AU"/>
              </w:rPr>
              <w:t>-positive metastatic breast cancer, no prior anti-</w:t>
            </w:r>
            <w:r w:rsidRPr="00C84D55">
              <w:rPr>
                <w:i/>
                <w:lang w:eastAsia="en-AU"/>
              </w:rPr>
              <w:t>HER2</w:t>
            </w:r>
            <w:r w:rsidRPr="00C84D55">
              <w:rPr>
                <w:lang w:eastAsia="en-AU"/>
              </w:rPr>
              <w:t xml:space="preserve"> therapy or chemotherapy for metastatic disease</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0.22 per 2,000</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pertuzumab, recombinant humanised (Perjeta)</w:t>
            </w:r>
          </w:p>
        </w:tc>
      </w:tr>
      <w:tr w:rsidR="001F44E1" w:rsidRPr="00C84D55" w:rsidTr="003850BE">
        <w:tc>
          <w:tcPr>
            <w:tcW w:w="4330" w:type="dxa"/>
            <w:tcBorders>
              <w:right w:val="nil"/>
            </w:tcBorders>
            <w:shd w:val="clear" w:color="auto" w:fill="D9D9D9" w:themeFill="background1" w:themeFillShade="D9"/>
          </w:tcPr>
          <w:p w:rsidR="001F44E1" w:rsidRPr="00C84D55" w:rsidRDefault="001F44E1" w:rsidP="006E7C3A">
            <w:pPr>
              <w:pStyle w:val="TableText0"/>
              <w:rPr>
                <w:lang w:eastAsia="en-AU"/>
              </w:rPr>
            </w:pPr>
            <w:r w:rsidRPr="00C84D55">
              <w:rPr>
                <w:i/>
                <w:lang w:eastAsia="en-AU"/>
              </w:rPr>
              <w:t>Cancer, gastrointestinal tract</w:t>
            </w:r>
          </w:p>
        </w:tc>
        <w:tc>
          <w:tcPr>
            <w:tcW w:w="1730" w:type="dxa"/>
            <w:tcBorders>
              <w:left w:val="nil"/>
              <w:right w:val="nil"/>
            </w:tcBorders>
            <w:shd w:val="clear" w:color="auto" w:fill="D9D9D9" w:themeFill="background1" w:themeFillShade="D9"/>
          </w:tcPr>
          <w:p w:rsidR="001F44E1" w:rsidRPr="00C84D55" w:rsidRDefault="001F44E1" w:rsidP="001F44E1">
            <w:pPr>
              <w:pStyle w:val="TableText0"/>
              <w:rPr>
                <w:lang w:eastAsia="en-AU"/>
              </w:rPr>
            </w:pPr>
          </w:p>
        </w:tc>
        <w:tc>
          <w:tcPr>
            <w:tcW w:w="2011" w:type="dxa"/>
            <w:tcBorders>
              <w:left w:val="nil"/>
              <w:right w:val="nil"/>
            </w:tcBorders>
            <w:shd w:val="clear" w:color="auto" w:fill="D9D9D9" w:themeFill="background1" w:themeFillShade="D9"/>
          </w:tcPr>
          <w:p w:rsidR="001F44E1" w:rsidRPr="00C84D55" w:rsidRDefault="001F44E1" w:rsidP="001F44E1">
            <w:pPr>
              <w:pStyle w:val="TableText0"/>
              <w:rPr>
                <w:lang w:eastAsia="en-AU"/>
              </w:rPr>
            </w:pPr>
          </w:p>
        </w:tc>
        <w:tc>
          <w:tcPr>
            <w:tcW w:w="1565" w:type="dxa"/>
            <w:tcBorders>
              <w:left w:val="nil"/>
              <w:right w:val="nil"/>
            </w:tcBorders>
            <w:shd w:val="clear" w:color="auto" w:fill="D9D9D9" w:themeFill="background1" w:themeFillShade="D9"/>
          </w:tcPr>
          <w:p w:rsidR="001F44E1" w:rsidRPr="00C84D55" w:rsidRDefault="001F44E1" w:rsidP="001F44E1">
            <w:pPr>
              <w:pStyle w:val="TableText0"/>
              <w:rPr>
                <w:lang w:eastAsia="en-AU"/>
              </w:rPr>
            </w:pPr>
          </w:p>
        </w:tc>
        <w:tc>
          <w:tcPr>
            <w:tcW w:w="4535" w:type="dxa"/>
            <w:tcBorders>
              <w:left w:val="nil"/>
            </w:tcBorders>
            <w:shd w:val="clear" w:color="auto" w:fill="D9D9D9" w:themeFill="background1" w:themeFillShade="D9"/>
          </w:tcPr>
          <w:p w:rsidR="001F44E1" w:rsidRPr="00C84D55" w:rsidRDefault="001F44E1" w:rsidP="001F44E1">
            <w:pPr>
              <w:pStyle w:val="TableText0"/>
              <w:rPr>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i/>
                <w:lang w:eastAsia="en-AU"/>
              </w:rPr>
              <w:t>ErbB2</w:t>
            </w:r>
            <w:r w:rsidRPr="00C84D55">
              <w:rPr>
                <w:lang w:eastAsia="en-AU"/>
              </w:rPr>
              <w:t>-positive oesophageal cancer</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0.7 per 10,000</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lapatinib (Tykerb)</w:t>
            </w: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i/>
                <w:lang w:eastAsia="en-AU"/>
              </w:rPr>
              <w:t>HER2-</w:t>
            </w:r>
            <w:r w:rsidRPr="00C84D55">
              <w:rPr>
                <w:lang w:eastAsia="en-AU"/>
              </w:rPr>
              <w:t>postive advanced adenocarcinoma of the stomach and gastroesophageal junction</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Up to 1 per 10,000</w:t>
            </w:r>
          </w:p>
        </w:tc>
        <w:tc>
          <w:tcPr>
            <w:tcW w:w="1565"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MM-111 / bispecific antibody mAb</w:t>
            </w:r>
          </w:p>
        </w:tc>
      </w:tr>
      <w:tr w:rsidR="001F44E1" w:rsidRPr="00C84D55" w:rsidTr="003850BE">
        <w:tc>
          <w:tcPr>
            <w:tcW w:w="4330" w:type="dxa"/>
            <w:tcBorders>
              <w:right w:val="nil"/>
            </w:tcBorders>
            <w:shd w:val="clear" w:color="auto" w:fill="D9D9D9" w:themeFill="background1" w:themeFillShade="D9"/>
          </w:tcPr>
          <w:p w:rsidR="001F44E1" w:rsidRPr="00C84D55" w:rsidRDefault="001F44E1" w:rsidP="006E7C3A">
            <w:pPr>
              <w:pStyle w:val="TableText0"/>
              <w:rPr>
                <w:lang w:eastAsia="en-AU"/>
              </w:rPr>
            </w:pPr>
            <w:r w:rsidRPr="00C84D55">
              <w:rPr>
                <w:i/>
                <w:lang w:eastAsia="en-AU"/>
              </w:rPr>
              <w:t>Cancer, skin</w:t>
            </w:r>
          </w:p>
        </w:tc>
        <w:tc>
          <w:tcPr>
            <w:tcW w:w="1730" w:type="dxa"/>
            <w:tcBorders>
              <w:left w:val="nil"/>
              <w:right w:val="nil"/>
            </w:tcBorders>
            <w:shd w:val="clear" w:color="auto" w:fill="D9D9D9" w:themeFill="background1" w:themeFillShade="D9"/>
          </w:tcPr>
          <w:p w:rsidR="001F44E1" w:rsidRPr="00C84D55" w:rsidRDefault="001F44E1" w:rsidP="001F44E1">
            <w:pPr>
              <w:pStyle w:val="TableText0"/>
              <w:rPr>
                <w:lang w:eastAsia="en-AU"/>
              </w:rPr>
            </w:pPr>
          </w:p>
        </w:tc>
        <w:tc>
          <w:tcPr>
            <w:tcW w:w="2011" w:type="dxa"/>
            <w:tcBorders>
              <w:left w:val="nil"/>
              <w:right w:val="nil"/>
            </w:tcBorders>
            <w:shd w:val="clear" w:color="auto" w:fill="D9D9D9" w:themeFill="background1" w:themeFillShade="D9"/>
          </w:tcPr>
          <w:p w:rsidR="001F44E1" w:rsidRPr="00C84D55" w:rsidRDefault="001F44E1" w:rsidP="001F44E1">
            <w:pPr>
              <w:pStyle w:val="TableText0"/>
              <w:rPr>
                <w:lang w:eastAsia="en-AU"/>
              </w:rPr>
            </w:pPr>
          </w:p>
        </w:tc>
        <w:tc>
          <w:tcPr>
            <w:tcW w:w="1565" w:type="dxa"/>
            <w:tcBorders>
              <w:left w:val="nil"/>
              <w:right w:val="nil"/>
            </w:tcBorders>
            <w:shd w:val="clear" w:color="auto" w:fill="D9D9D9" w:themeFill="background1" w:themeFillShade="D9"/>
          </w:tcPr>
          <w:p w:rsidR="001F44E1" w:rsidRPr="00C84D55" w:rsidRDefault="001F44E1" w:rsidP="001F44E1">
            <w:pPr>
              <w:pStyle w:val="TableText0"/>
              <w:rPr>
                <w:lang w:eastAsia="en-AU"/>
              </w:rPr>
            </w:pPr>
          </w:p>
        </w:tc>
        <w:tc>
          <w:tcPr>
            <w:tcW w:w="4535" w:type="dxa"/>
            <w:tcBorders>
              <w:left w:val="nil"/>
            </w:tcBorders>
            <w:shd w:val="clear" w:color="auto" w:fill="D9D9D9" w:themeFill="background1" w:themeFillShade="D9"/>
          </w:tcPr>
          <w:p w:rsidR="001F44E1" w:rsidRPr="00C84D55" w:rsidRDefault="001F44E1" w:rsidP="001F44E1">
            <w:pPr>
              <w:pStyle w:val="TableText0"/>
              <w:rPr>
                <w:lang w:eastAsia="en-AU"/>
              </w:rPr>
            </w:pPr>
          </w:p>
        </w:tc>
      </w:tr>
      <w:tr w:rsidR="00D27369" w:rsidRPr="00C84D55" w:rsidTr="001F44E1">
        <w:tc>
          <w:tcPr>
            <w:tcW w:w="4330" w:type="dxa"/>
            <w:tcBorders>
              <w:right w:val="nil"/>
            </w:tcBorders>
          </w:tcPr>
          <w:p w:rsidR="006E7C3A" w:rsidRPr="00C84D55" w:rsidRDefault="006E7C3A" w:rsidP="006E7C3A">
            <w:pPr>
              <w:pStyle w:val="TableText0"/>
              <w:rPr>
                <w:lang w:eastAsia="en-AU"/>
              </w:rPr>
            </w:pPr>
            <w:r w:rsidRPr="00C84D55">
              <w:rPr>
                <w:lang w:eastAsia="en-AU"/>
              </w:rPr>
              <w:t>Melanoma, MAGE-A3-positive (stage IIB to IV)</w:t>
            </w:r>
          </w:p>
        </w:tc>
        <w:tc>
          <w:tcPr>
            <w:tcW w:w="1730" w:type="dxa"/>
            <w:tcBorders>
              <w:left w:val="nil"/>
              <w:right w:val="nil"/>
            </w:tcBorders>
          </w:tcPr>
          <w:p w:rsidR="006E7C3A" w:rsidRPr="00C84D55" w:rsidRDefault="006E7C3A" w:rsidP="006E7C3A">
            <w:pPr>
              <w:pStyle w:val="TableText0"/>
              <w:rPr>
                <w:lang w:eastAsia="en-AU"/>
              </w:rPr>
            </w:pPr>
            <w:r w:rsidRPr="00C84D55">
              <w:rPr>
                <w:lang w:eastAsia="en-AU"/>
              </w:rPr>
              <w:t>-</w:t>
            </w:r>
          </w:p>
        </w:tc>
        <w:tc>
          <w:tcPr>
            <w:tcW w:w="2011" w:type="dxa"/>
            <w:tcBorders>
              <w:left w:val="nil"/>
              <w:right w:val="nil"/>
            </w:tcBorders>
          </w:tcPr>
          <w:p w:rsidR="006E7C3A" w:rsidRPr="00C84D55" w:rsidRDefault="006E7C3A" w:rsidP="006E7C3A">
            <w:pPr>
              <w:pStyle w:val="TableText0"/>
              <w:rPr>
                <w:lang w:eastAsia="en-AU"/>
              </w:rPr>
            </w:pPr>
            <w:r w:rsidRPr="00C84D55">
              <w:rPr>
                <w:lang w:eastAsia="en-AU"/>
              </w:rPr>
              <w:t>-</w:t>
            </w:r>
          </w:p>
        </w:tc>
        <w:tc>
          <w:tcPr>
            <w:tcW w:w="1565" w:type="dxa"/>
            <w:tcBorders>
              <w:left w:val="nil"/>
              <w:right w:val="nil"/>
            </w:tcBorders>
          </w:tcPr>
          <w:p w:rsidR="006E7C3A" w:rsidRPr="00C84D55" w:rsidRDefault="006E7C3A" w:rsidP="006E7C3A">
            <w:pPr>
              <w:pStyle w:val="TableText0"/>
              <w:rPr>
                <w:lang w:eastAsia="en-AU"/>
              </w:rPr>
            </w:pPr>
            <w:r w:rsidRPr="00C84D55">
              <w:rPr>
                <w:lang w:eastAsia="en-AU"/>
              </w:rPr>
              <w:t>1</w:t>
            </w:r>
            <w:r w:rsidRPr="00C84D55">
              <w:rPr>
                <w:lang w:eastAsia="en-AU"/>
              </w:rPr>
              <w:noBreakHyphen/>
              <w:t>2 per 2,000</w:t>
            </w:r>
          </w:p>
        </w:tc>
        <w:tc>
          <w:tcPr>
            <w:tcW w:w="4535" w:type="dxa"/>
            <w:tcBorders>
              <w:left w:val="nil"/>
            </w:tcBorders>
          </w:tcPr>
          <w:p w:rsidR="006E7C3A" w:rsidRPr="00C84D55" w:rsidRDefault="006E7C3A" w:rsidP="006E7C3A">
            <w:pPr>
              <w:pStyle w:val="TableText0"/>
              <w:rPr>
                <w:lang w:eastAsia="en-AU"/>
              </w:rPr>
            </w:pPr>
            <w:r w:rsidRPr="00C84D55">
              <w:rPr>
                <w:lang w:eastAsia="en-AU"/>
              </w:rPr>
              <w:t>astuprotimut-R</w:t>
            </w:r>
          </w:p>
        </w:tc>
      </w:tr>
      <w:tr w:rsidR="00D27369" w:rsidRPr="00C84D55" w:rsidTr="001F44E1">
        <w:tc>
          <w:tcPr>
            <w:tcW w:w="4330" w:type="dxa"/>
            <w:tcBorders>
              <w:right w:val="nil"/>
            </w:tcBorders>
          </w:tcPr>
          <w:p w:rsidR="006E7C3A" w:rsidRPr="00C84D55" w:rsidRDefault="006E7C3A" w:rsidP="006E7C3A">
            <w:pPr>
              <w:pStyle w:val="TableText0"/>
              <w:rPr>
                <w:i/>
                <w:lang w:eastAsia="en-AU"/>
              </w:rPr>
            </w:pPr>
            <w:r w:rsidRPr="00C84D55">
              <w:rPr>
                <w:lang w:eastAsia="en-AU"/>
              </w:rPr>
              <w:t xml:space="preserve">Melanoma, </w:t>
            </w:r>
            <w:r w:rsidRPr="00C84D55">
              <w:rPr>
                <w:i/>
                <w:lang w:eastAsia="en-AU"/>
              </w:rPr>
              <w:t xml:space="preserve">V600 </w:t>
            </w:r>
            <w:r w:rsidRPr="00C84D55">
              <w:rPr>
                <w:lang w:eastAsia="en-AU"/>
              </w:rPr>
              <w:t xml:space="preserve">mutation in </w:t>
            </w:r>
            <w:r w:rsidRPr="00C84D55">
              <w:rPr>
                <w:i/>
                <w:lang w:eastAsia="en-AU"/>
              </w:rPr>
              <w:t xml:space="preserve">BRAF </w:t>
            </w:r>
            <w:r w:rsidRPr="00C84D55">
              <w:rPr>
                <w:lang w:eastAsia="en-AU"/>
              </w:rPr>
              <w:t>gene</w:t>
            </w:r>
          </w:p>
        </w:tc>
        <w:tc>
          <w:tcPr>
            <w:tcW w:w="1730" w:type="dxa"/>
            <w:tcBorders>
              <w:left w:val="nil"/>
              <w:right w:val="nil"/>
            </w:tcBorders>
          </w:tcPr>
          <w:p w:rsidR="006E7C3A" w:rsidRPr="00C84D55" w:rsidRDefault="006E7C3A" w:rsidP="006E7C3A">
            <w:pPr>
              <w:pStyle w:val="TableText0"/>
              <w:rPr>
                <w:lang w:eastAsia="en-AU"/>
              </w:rPr>
            </w:pPr>
            <w:r w:rsidRPr="00C84D55">
              <w:rPr>
                <w:lang w:eastAsia="en-AU"/>
              </w:rPr>
              <w:t>-</w:t>
            </w:r>
          </w:p>
        </w:tc>
        <w:tc>
          <w:tcPr>
            <w:tcW w:w="2011" w:type="dxa"/>
            <w:tcBorders>
              <w:left w:val="nil"/>
              <w:right w:val="nil"/>
            </w:tcBorders>
          </w:tcPr>
          <w:p w:rsidR="006E7C3A" w:rsidRPr="00C84D55" w:rsidRDefault="006E7C3A" w:rsidP="006E7C3A">
            <w:pPr>
              <w:pStyle w:val="TableText0"/>
              <w:rPr>
                <w:lang w:eastAsia="en-AU"/>
              </w:rPr>
            </w:pPr>
            <w:r w:rsidRPr="00C84D55">
              <w:rPr>
                <w:lang w:eastAsia="en-AU"/>
              </w:rPr>
              <w:t>-</w:t>
            </w:r>
          </w:p>
        </w:tc>
        <w:tc>
          <w:tcPr>
            <w:tcW w:w="1565" w:type="dxa"/>
            <w:tcBorders>
              <w:left w:val="nil"/>
              <w:right w:val="nil"/>
            </w:tcBorders>
          </w:tcPr>
          <w:p w:rsidR="006E7C3A" w:rsidRPr="00C84D55" w:rsidRDefault="006E7C3A" w:rsidP="006E7C3A">
            <w:pPr>
              <w:pStyle w:val="TableText0"/>
              <w:rPr>
                <w:lang w:eastAsia="en-AU"/>
              </w:rPr>
            </w:pPr>
            <w:r w:rsidRPr="00C84D55">
              <w:rPr>
                <w:lang w:eastAsia="en-AU"/>
              </w:rPr>
              <w:t>1</w:t>
            </w:r>
            <w:r w:rsidRPr="00C84D55">
              <w:rPr>
                <w:lang w:eastAsia="en-AU"/>
              </w:rPr>
              <w:noBreakHyphen/>
              <w:t>2 per 2,000</w:t>
            </w:r>
            <w:r w:rsidRPr="00C84D55">
              <w:rPr>
                <w:vertAlign w:val="superscript"/>
                <w:lang w:eastAsia="en-AU"/>
              </w:rPr>
              <w:t>d</w:t>
            </w:r>
          </w:p>
        </w:tc>
        <w:tc>
          <w:tcPr>
            <w:tcW w:w="4535" w:type="dxa"/>
            <w:tcBorders>
              <w:left w:val="nil"/>
            </w:tcBorders>
          </w:tcPr>
          <w:p w:rsidR="006E7C3A" w:rsidRPr="00C84D55" w:rsidRDefault="006E7C3A" w:rsidP="006E7C3A">
            <w:pPr>
              <w:pStyle w:val="TableText0"/>
              <w:rPr>
                <w:lang w:eastAsia="en-AU"/>
              </w:rPr>
            </w:pPr>
            <w:r w:rsidRPr="00C84D55">
              <w:rPr>
                <w:lang w:eastAsia="en-AU"/>
              </w:rPr>
              <w:t>vemurafenib (Zelboraf)</w:t>
            </w:r>
          </w:p>
        </w:tc>
      </w:tr>
      <w:tr w:rsidR="001F44E1" w:rsidRPr="00C84D55" w:rsidTr="003850BE">
        <w:tc>
          <w:tcPr>
            <w:tcW w:w="4330" w:type="dxa"/>
            <w:tcBorders>
              <w:right w:val="nil"/>
            </w:tcBorders>
            <w:shd w:val="clear" w:color="auto" w:fill="D9D9D9" w:themeFill="background1" w:themeFillShade="D9"/>
          </w:tcPr>
          <w:p w:rsidR="001F44E1" w:rsidRPr="00C84D55" w:rsidRDefault="001F44E1" w:rsidP="006E7C3A">
            <w:pPr>
              <w:pStyle w:val="TableText0"/>
              <w:rPr>
                <w:i/>
                <w:lang w:eastAsia="en-AU"/>
              </w:rPr>
            </w:pPr>
            <w:r w:rsidRPr="00C84D55">
              <w:rPr>
                <w:i/>
                <w:lang w:eastAsia="en-AU"/>
              </w:rPr>
              <w:t>Cancer, urinary system</w:t>
            </w:r>
          </w:p>
        </w:tc>
        <w:tc>
          <w:tcPr>
            <w:tcW w:w="1730" w:type="dxa"/>
            <w:tcBorders>
              <w:left w:val="nil"/>
              <w:right w:val="nil"/>
            </w:tcBorders>
            <w:shd w:val="clear" w:color="auto" w:fill="D9D9D9" w:themeFill="background1" w:themeFillShade="D9"/>
          </w:tcPr>
          <w:p w:rsidR="001F44E1" w:rsidRPr="00C84D55" w:rsidRDefault="001F44E1" w:rsidP="001F44E1">
            <w:pPr>
              <w:pStyle w:val="TableText0"/>
              <w:rPr>
                <w:i/>
                <w:lang w:eastAsia="en-AU"/>
              </w:rPr>
            </w:pPr>
          </w:p>
        </w:tc>
        <w:tc>
          <w:tcPr>
            <w:tcW w:w="2011" w:type="dxa"/>
            <w:tcBorders>
              <w:left w:val="nil"/>
              <w:right w:val="nil"/>
            </w:tcBorders>
            <w:shd w:val="clear" w:color="auto" w:fill="D9D9D9" w:themeFill="background1" w:themeFillShade="D9"/>
          </w:tcPr>
          <w:p w:rsidR="001F44E1" w:rsidRPr="00C84D55" w:rsidRDefault="001F44E1" w:rsidP="001F44E1">
            <w:pPr>
              <w:pStyle w:val="TableText0"/>
              <w:rPr>
                <w:i/>
                <w:lang w:eastAsia="en-AU"/>
              </w:rPr>
            </w:pPr>
          </w:p>
        </w:tc>
        <w:tc>
          <w:tcPr>
            <w:tcW w:w="1565" w:type="dxa"/>
            <w:tcBorders>
              <w:left w:val="nil"/>
              <w:right w:val="nil"/>
            </w:tcBorders>
            <w:shd w:val="clear" w:color="auto" w:fill="D9D9D9" w:themeFill="background1" w:themeFillShade="D9"/>
          </w:tcPr>
          <w:p w:rsidR="001F44E1" w:rsidRPr="00C84D55" w:rsidRDefault="001F44E1" w:rsidP="001F44E1">
            <w:pPr>
              <w:pStyle w:val="TableText0"/>
              <w:rPr>
                <w:i/>
                <w:lang w:eastAsia="en-AU"/>
              </w:rPr>
            </w:pPr>
          </w:p>
        </w:tc>
        <w:tc>
          <w:tcPr>
            <w:tcW w:w="4535" w:type="dxa"/>
            <w:tcBorders>
              <w:left w:val="nil"/>
            </w:tcBorders>
            <w:shd w:val="clear" w:color="auto" w:fill="D9D9D9" w:themeFill="background1" w:themeFillShade="D9"/>
          </w:tcPr>
          <w:p w:rsidR="001F44E1" w:rsidRPr="00C84D55" w:rsidRDefault="001F44E1" w:rsidP="001F44E1">
            <w:pPr>
              <w:pStyle w:val="TableText0"/>
              <w:rPr>
                <w:i/>
                <w:lang w:eastAsia="en-AU"/>
              </w:rPr>
            </w:pPr>
          </w:p>
        </w:tc>
      </w:tr>
      <w:tr w:rsidR="00D27369" w:rsidRPr="00C84D55" w:rsidTr="001F44E1">
        <w:tc>
          <w:tcPr>
            <w:tcW w:w="4330" w:type="dxa"/>
            <w:tcBorders>
              <w:right w:val="single" w:sz="4" w:space="0" w:color="auto"/>
            </w:tcBorders>
          </w:tcPr>
          <w:p w:rsidR="006E7C3A" w:rsidRPr="00C84D55" w:rsidRDefault="006E7C3A" w:rsidP="006E7C3A">
            <w:pPr>
              <w:pStyle w:val="TableText0"/>
              <w:rPr>
                <w:lang w:eastAsia="en-AU"/>
              </w:rPr>
            </w:pPr>
            <w:r w:rsidRPr="00C84D55">
              <w:rPr>
                <w:lang w:eastAsia="en-AU"/>
              </w:rPr>
              <w:t>Renal cell carcinoma, HLA-A2-positive</w:t>
            </w:r>
          </w:p>
        </w:tc>
        <w:tc>
          <w:tcPr>
            <w:tcW w:w="1730" w:type="dxa"/>
            <w:tcBorders>
              <w:left w:val="single" w:sz="4" w:space="0" w:color="auto"/>
              <w:right w:val="single" w:sz="4" w:space="0" w:color="auto"/>
            </w:tcBorders>
          </w:tcPr>
          <w:p w:rsidR="006E7C3A" w:rsidRPr="00C84D55" w:rsidRDefault="006E7C3A" w:rsidP="006E7C3A">
            <w:pPr>
              <w:pStyle w:val="TableText0"/>
              <w:rPr>
                <w:lang w:eastAsia="en-AU"/>
              </w:rPr>
            </w:pPr>
            <w:r w:rsidRPr="00C84D55">
              <w:rPr>
                <w:lang w:eastAsia="en-AU"/>
              </w:rPr>
              <w:t>-</w:t>
            </w:r>
          </w:p>
        </w:tc>
        <w:tc>
          <w:tcPr>
            <w:tcW w:w="2011" w:type="dxa"/>
            <w:tcBorders>
              <w:left w:val="single" w:sz="4" w:space="0" w:color="auto"/>
            </w:tcBorders>
          </w:tcPr>
          <w:p w:rsidR="006E7C3A" w:rsidRPr="00C84D55" w:rsidRDefault="006E7C3A" w:rsidP="006E7C3A">
            <w:pPr>
              <w:pStyle w:val="TableText0"/>
              <w:rPr>
                <w:lang w:eastAsia="en-AU"/>
              </w:rPr>
            </w:pPr>
            <w:r w:rsidRPr="00C84D55">
              <w:rPr>
                <w:lang w:eastAsia="en-AU"/>
              </w:rPr>
              <w:t>0.4 per 10,000 (renal cell carcinoma overall)</w:t>
            </w:r>
          </w:p>
        </w:tc>
        <w:tc>
          <w:tcPr>
            <w:tcW w:w="1565" w:type="dxa"/>
            <w:tcBorders>
              <w:right w:val="single" w:sz="4" w:space="0" w:color="auto"/>
            </w:tcBorders>
          </w:tcPr>
          <w:p w:rsidR="006E7C3A" w:rsidRPr="00C84D55" w:rsidRDefault="006E7C3A" w:rsidP="006E7C3A">
            <w:pPr>
              <w:pStyle w:val="TableText0"/>
              <w:rPr>
                <w:lang w:eastAsia="en-AU"/>
              </w:rPr>
            </w:pPr>
            <w:r w:rsidRPr="00C84D55">
              <w:rPr>
                <w:lang w:eastAsia="en-AU"/>
              </w:rPr>
              <w:t>-</w:t>
            </w:r>
          </w:p>
        </w:tc>
        <w:tc>
          <w:tcPr>
            <w:tcW w:w="4535" w:type="dxa"/>
            <w:tcBorders>
              <w:left w:val="single" w:sz="4" w:space="0" w:color="auto"/>
            </w:tcBorders>
          </w:tcPr>
          <w:p w:rsidR="006E7C3A" w:rsidRPr="00C84D55" w:rsidRDefault="006E7C3A" w:rsidP="006E7C3A">
            <w:pPr>
              <w:pStyle w:val="TableText0"/>
              <w:rPr>
                <w:lang w:eastAsia="en-AU"/>
              </w:rPr>
            </w:pPr>
            <w:r w:rsidRPr="00C84D55">
              <w:rPr>
                <w:lang w:eastAsia="en-AU"/>
              </w:rPr>
              <w:t>IMA901 / peptide vaccine</w:t>
            </w:r>
          </w:p>
        </w:tc>
      </w:tr>
      <w:tr w:rsidR="00D27369" w:rsidRPr="00C84D55" w:rsidTr="001F44E1">
        <w:tc>
          <w:tcPr>
            <w:tcW w:w="4330" w:type="dxa"/>
          </w:tcPr>
          <w:p w:rsidR="006E7C3A" w:rsidRPr="00C84D55" w:rsidRDefault="006E7C3A" w:rsidP="006E7C3A">
            <w:pPr>
              <w:pStyle w:val="TableText0"/>
              <w:rPr>
                <w:lang w:eastAsia="en-AU"/>
              </w:rPr>
            </w:pPr>
            <w:r w:rsidRPr="00C84D55">
              <w:rPr>
                <w:lang w:eastAsia="en-AU"/>
              </w:rPr>
              <w:t>Renal cell cancer, metastatic</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0.4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MVA-5T4</w:t>
            </w:r>
          </w:p>
        </w:tc>
      </w:tr>
      <w:tr w:rsidR="00D27369" w:rsidRPr="00C84D55" w:rsidTr="001F44E1">
        <w:tc>
          <w:tcPr>
            <w:tcW w:w="4330" w:type="dxa"/>
          </w:tcPr>
          <w:p w:rsidR="006E7C3A" w:rsidRPr="00C84D55" w:rsidRDefault="006E7C3A" w:rsidP="006E7C3A">
            <w:pPr>
              <w:pStyle w:val="TableText0"/>
              <w:rPr>
                <w:i/>
                <w:lang w:eastAsia="en-AU"/>
              </w:rPr>
            </w:pPr>
            <w:r w:rsidRPr="00C84D55">
              <w:rPr>
                <w:lang w:eastAsia="en-AU"/>
              </w:rPr>
              <w:t>Renal cell carcinoma (advanced), after failure of one prior systemic therapy</w:t>
            </w:r>
          </w:p>
        </w:tc>
        <w:tc>
          <w:tcPr>
            <w:tcW w:w="1730" w:type="dxa"/>
          </w:tcPr>
          <w:p w:rsidR="006E7C3A" w:rsidRPr="00C84D55" w:rsidRDefault="006E7C3A" w:rsidP="006E7C3A">
            <w:pPr>
              <w:pStyle w:val="TableText0"/>
              <w:rPr>
                <w:lang w:eastAsia="en-AU"/>
              </w:rPr>
            </w:pPr>
            <w:r w:rsidRPr="00C84D55">
              <w:rPr>
                <w:lang w:eastAsia="en-AU"/>
              </w:rPr>
              <w:t>-</w:t>
            </w:r>
          </w:p>
        </w:tc>
        <w:tc>
          <w:tcPr>
            <w:tcW w:w="2011" w:type="dxa"/>
          </w:tcPr>
          <w:p w:rsidR="006E7C3A" w:rsidRPr="00C84D55" w:rsidRDefault="006E7C3A" w:rsidP="006E7C3A">
            <w:pPr>
              <w:pStyle w:val="TableText0"/>
              <w:rPr>
                <w:lang w:eastAsia="en-AU"/>
              </w:rPr>
            </w:pPr>
            <w:r w:rsidRPr="00C84D55">
              <w:rPr>
                <w:lang w:eastAsia="en-AU"/>
              </w:rPr>
              <w:t>0.4 per 10,000</w:t>
            </w:r>
          </w:p>
        </w:tc>
        <w:tc>
          <w:tcPr>
            <w:tcW w:w="1565" w:type="dxa"/>
          </w:tcPr>
          <w:p w:rsidR="006E7C3A" w:rsidRPr="00C84D55" w:rsidRDefault="006E7C3A" w:rsidP="006E7C3A">
            <w:pPr>
              <w:pStyle w:val="TableText0"/>
              <w:rPr>
                <w:lang w:eastAsia="en-AU"/>
              </w:rPr>
            </w:pPr>
            <w:r w:rsidRPr="00C84D55">
              <w:rPr>
                <w:lang w:eastAsia="en-AU"/>
              </w:rPr>
              <w:t>-</w:t>
            </w:r>
          </w:p>
        </w:tc>
        <w:tc>
          <w:tcPr>
            <w:tcW w:w="4535" w:type="dxa"/>
          </w:tcPr>
          <w:p w:rsidR="006E7C3A" w:rsidRPr="00C84D55" w:rsidRDefault="006E7C3A" w:rsidP="006E7C3A">
            <w:pPr>
              <w:pStyle w:val="TableText0"/>
              <w:rPr>
                <w:lang w:eastAsia="en-AU"/>
              </w:rPr>
            </w:pPr>
            <w:r w:rsidRPr="00C84D55">
              <w:rPr>
                <w:lang w:eastAsia="en-AU"/>
              </w:rPr>
              <w:t>axitinib (Inlyta)</w:t>
            </w:r>
          </w:p>
        </w:tc>
      </w:tr>
    </w:tbl>
    <w:p w:rsidR="006E7C3A" w:rsidRPr="00C84D55" w:rsidRDefault="006E7C3A" w:rsidP="006E7C3A">
      <w:pPr>
        <w:pStyle w:val="TableNote"/>
      </w:pPr>
      <w:r w:rsidRPr="00C84D55">
        <w:t>CF</w:t>
      </w:r>
      <w:r w:rsidR="008D2975">
        <w:t xml:space="preserve"> = </w:t>
      </w:r>
      <w:r w:rsidRPr="00C84D55">
        <w:t>cystic fibrosis</w:t>
      </w:r>
      <w:r w:rsidR="008D2975">
        <w:t>;</w:t>
      </w:r>
      <w:r w:rsidRPr="00C84D55">
        <w:rPr>
          <w:i/>
        </w:rPr>
        <w:t xml:space="preserve"> CFTR</w:t>
      </w:r>
      <w:r w:rsidR="008D2975">
        <w:t xml:space="preserve"> =</w:t>
      </w:r>
      <w:r w:rsidRPr="00C84D55">
        <w:rPr>
          <w:i/>
        </w:rPr>
        <w:t xml:space="preserve"> </w:t>
      </w:r>
      <w:r w:rsidRPr="00C84D55">
        <w:t>cystic fibrosis transmembrane conductance regulator</w:t>
      </w:r>
    </w:p>
    <w:p w:rsidR="006E7C3A" w:rsidRPr="00C84D55" w:rsidRDefault="006E7C3A" w:rsidP="006E7C3A">
      <w:pPr>
        <w:pStyle w:val="TableNote"/>
      </w:pPr>
      <w:proofErr w:type="gramStart"/>
      <w:r w:rsidRPr="00C84D55">
        <w:rPr>
          <w:vertAlign w:val="superscript"/>
        </w:rPr>
        <w:t>a</w:t>
      </w:r>
      <w:r w:rsidRPr="00C84D55">
        <w:t>Mitochondrial</w:t>
      </w:r>
      <w:proofErr w:type="gramEnd"/>
      <w:r w:rsidRPr="00C84D55">
        <w:t xml:space="preserve"> diseases are a group of rare diseases with caused by a range of mutations in mitochondrial or nuclear DNA. Different mitochondrial diseases affect different body systems and display a diverse range of phenotypes. The nervous system is commonly affected, as are other organ systems with high energy demands.</w:t>
      </w:r>
    </w:p>
    <w:p w:rsidR="006E7C3A" w:rsidRPr="00C84D55" w:rsidRDefault="006E7C3A" w:rsidP="006E7C3A">
      <w:pPr>
        <w:pStyle w:val="TableNote"/>
      </w:pPr>
      <w:proofErr w:type="gramStart"/>
      <w:r w:rsidRPr="00C84D55">
        <w:rPr>
          <w:vertAlign w:val="superscript"/>
        </w:rPr>
        <w:t>b</w:t>
      </w:r>
      <w:r w:rsidRPr="00C84D55">
        <w:t>The</w:t>
      </w:r>
      <w:proofErr w:type="gramEnd"/>
      <w:r w:rsidRPr="00C84D55">
        <w:t xml:space="preserve"> respiratory-chain is a series of metabolic reactions involved in cellular respiration, a process by which cells derive energy from breaking down large molecules (nutrients) into smaller molecules (waste products).</w:t>
      </w:r>
    </w:p>
    <w:p w:rsidR="006E7C3A" w:rsidRPr="00C84D55" w:rsidRDefault="006E7C3A" w:rsidP="006E7C3A">
      <w:pPr>
        <w:pStyle w:val="TableNote"/>
      </w:pPr>
      <w:proofErr w:type="gramStart"/>
      <w:r w:rsidRPr="00C84D55">
        <w:rPr>
          <w:vertAlign w:val="superscript"/>
        </w:rPr>
        <w:lastRenderedPageBreak/>
        <w:t>c</w:t>
      </w:r>
      <w:r w:rsidRPr="00C84D55">
        <w:rPr>
          <w:i/>
        </w:rPr>
        <w:t>Pseudomonas</w:t>
      </w:r>
      <w:proofErr w:type="gramEnd"/>
      <w:r w:rsidRPr="00C84D55">
        <w:rPr>
          <w:i/>
        </w:rPr>
        <w:t xml:space="preserve"> aeruginosa</w:t>
      </w:r>
      <w:r w:rsidRPr="00C84D55">
        <w:t xml:space="preserve"> is a common infection among people with cystic fibrosis; prevalence cited is for cystic fibrosis overall</w:t>
      </w:r>
    </w:p>
    <w:p w:rsidR="006E7C3A" w:rsidRDefault="006E7C3A" w:rsidP="006E7C3A">
      <w:pPr>
        <w:pStyle w:val="TableNote"/>
      </w:pPr>
      <w:proofErr w:type="gramStart"/>
      <w:r w:rsidRPr="00C84D55">
        <w:rPr>
          <w:rFonts w:eastAsia="Calibri" w:cs="Cambria"/>
          <w:color w:val="000000"/>
          <w:vertAlign w:val="superscript"/>
        </w:rPr>
        <w:t>d</w:t>
      </w:r>
      <w:r w:rsidRPr="00C84D55">
        <w:t>Note</w:t>
      </w:r>
      <w:proofErr w:type="gramEnd"/>
      <w:r w:rsidRPr="00C84D55">
        <w:t>, the estimated prevalence is above the threshold of &lt;1 in 2,000, but this represents prevalence for melanoma overall. The mutation specific indication shown here would presumably bring the prevalence within the &lt;1 per 2,000 threshold as</w:t>
      </w:r>
      <w:r w:rsidRPr="00C84D55">
        <w:rPr>
          <w:i/>
        </w:rPr>
        <w:t xml:space="preserve"> BRAF V600</w:t>
      </w:r>
      <w:r w:rsidRPr="00C84D55">
        <w:t>-positive melanoma accounts for about 50 per cent of all melanoma. Note also that the estimated prevalence is dependent on the time period used in the calculation; the figure here is based on five-year prevalence.</w:t>
      </w:r>
    </w:p>
    <w:p w:rsidR="0055159B" w:rsidRPr="00C84D55" w:rsidRDefault="0055159B" w:rsidP="006E7C3A">
      <w:pPr>
        <w:pStyle w:val="TableNote"/>
      </w:pPr>
      <w:r w:rsidRPr="0055159B">
        <w:rPr>
          <w:vertAlign w:val="superscript"/>
        </w:rPr>
        <w:t>#</w:t>
      </w:r>
      <w:proofErr w:type="gramStart"/>
      <w:r>
        <w:t>Estimated</w:t>
      </w:r>
      <w:proofErr w:type="gramEnd"/>
      <w:r>
        <w:t xml:space="preserve"> prevalences from Orphanet prevalence of rare diseases: Bibliographic data 2014</w:t>
      </w:r>
    </w:p>
    <w:p w:rsidR="006E7C3A" w:rsidRPr="00C84D55" w:rsidRDefault="006E7C3A" w:rsidP="006E7C3A">
      <w:pPr>
        <w:pStyle w:val="TableNote"/>
      </w:pPr>
      <w:r w:rsidRPr="00C84D55">
        <w:t>*Lifetime prevalence</w:t>
      </w:r>
    </w:p>
    <w:p w:rsidR="006E7C3A" w:rsidRPr="00C84D55" w:rsidRDefault="006E7C3A" w:rsidP="006E7C3A">
      <w:pPr>
        <w:pStyle w:val="TableNote"/>
      </w:pPr>
      <w:r w:rsidRPr="00C84D55">
        <w:t>**Prevalence at birth</w:t>
      </w:r>
    </w:p>
    <w:p w:rsidR="006E7C3A" w:rsidRDefault="006E7C3A" w:rsidP="006B303D">
      <w:pPr>
        <w:rPr>
          <w:lang w:eastAsia="en-AU"/>
        </w:rPr>
        <w:sectPr w:rsidR="006E7C3A" w:rsidSect="006E7C3A">
          <w:pgSz w:w="16838" w:h="11906" w:orient="landscape"/>
          <w:pgMar w:top="1440" w:right="1440" w:bottom="1440" w:left="1440" w:header="708" w:footer="708" w:gutter="0"/>
          <w:cols w:space="708"/>
          <w:docGrid w:linePitch="360"/>
        </w:sectPr>
      </w:pPr>
    </w:p>
    <w:p w:rsidR="00BD2FCB" w:rsidRPr="00E965BD" w:rsidRDefault="00DB7088" w:rsidP="003F3F2D">
      <w:pPr>
        <w:pStyle w:val="Heading1"/>
        <w:numPr>
          <w:ilvl w:val="0"/>
          <w:numId w:val="0"/>
        </w:numPr>
      </w:pPr>
      <w:bookmarkStart w:id="1191" w:name="_Ref404345867"/>
      <w:bookmarkStart w:id="1192" w:name="_Toc415141794"/>
      <w:r w:rsidRPr="003F3F2D">
        <w:lastRenderedPageBreak/>
        <w:t xml:space="preserve">Appendix </w:t>
      </w:r>
      <w:r w:rsidR="00A72B26">
        <w:t>H</w:t>
      </w:r>
      <w:bookmarkEnd w:id="1185"/>
      <w:bookmarkEnd w:id="1191"/>
      <w:r w:rsidRPr="003F3F2D">
        <w:tab/>
      </w:r>
      <w:r w:rsidR="004A44D8" w:rsidRPr="003F3F2D">
        <w:t>International systems comparison data template</w:t>
      </w:r>
      <w:r w:rsidR="002B52E0" w:rsidRPr="003F3F2D">
        <w:t xml:space="preserve"> (ToR 3)</w:t>
      </w:r>
      <w:bookmarkEnd w:id="1192"/>
    </w:p>
    <w:p w:rsidR="00DB7088" w:rsidRDefault="00DB7088" w:rsidP="0096216D">
      <w:pPr>
        <w:pStyle w:val="Caption"/>
        <w:keepNext/>
        <w:tabs>
          <w:tab w:val="clear" w:pos="851"/>
          <w:tab w:val="left" w:pos="1276"/>
        </w:tabs>
        <w:ind w:left="1134" w:hanging="1134"/>
      </w:pPr>
      <w:bookmarkStart w:id="1193" w:name="_Toc404350314"/>
      <w:bookmarkStart w:id="1194" w:name="_Toc404976366"/>
      <w:bookmarkStart w:id="1195" w:name="_Toc411510539"/>
      <w:bookmarkStart w:id="1196" w:name="_Toc415141969"/>
      <w:bookmarkEnd w:id="1178"/>
      <w:bookmarkEnd w:id="1181"/>
      <w:r>
        <w:t xml:space="preserve">Table </w:t>
      </w:r>
      <w:r w:rsidR="00A72B26">
        <w:rPr>
          <w:noProof/>
        </w:rPr>
        <w:t>172</w:t>
      </w:r>
      <w:r>
        <w:tab/>
      </w:r>
      <w:r w:rsidR="0096216D">
        <w:tab/>
      </w:r>
      <w:r>
        <w:t>Example of evidence table (</w:t>
      </w:r>
      <w:r w:rsidR="00F262D1">
        <w:t>T</w:t>
      </w:r>
      <w:r w:rsidR="003474C6">
        <w:t>oR</w:t>
      </w:r>
      <w:r>
        <w:t xml:space="preserve"> 3)</w:t>
      </w:r>
      <w:bookmarkEnd w:id="1193"/>
      <w:bookmarkEnd w:id="1194"/>
      <w:bookmarkEnd w:id="1195"/>
      <w:bookmarkEnd w:id="1196"/>
    </w:p>
    <w:tbl>
      <w:tblPr>
        <w:tblStyle w:val="TableGrid"/>
        <w:tblW w:w="8613" w:type="dxa"/>
        <w:tblLook w:val="04A0" w:firstRow="1" w:lastRow="0" w:firstColumn="1" w:lastColumn="0" w:noHBand="0" w:noVBand="1"/>
        <w:tblCaption w:val="Table 134  Example of evidence table (ToR 3)"/>
      </w:tblPr>
      <w:tblGrid>
        <w:gridCol w:w="8613"/>
      </w:tblGrid>
      <w:tr w:rsidR="00DB7088" w:rsidTr="00D96B8A">
        <w:trPr>
          <w:tblHeader/>
        </w:trPr>
        <w:tc>
          <w:tcPr>
            <w:tcW w:w="8613" w:type="dxa"/>
          </w:tcPr>
          <w:p w:rsidR="00DB7088" w:rsidRPr="0084450C" w:rsidRDefault="00DB7088" w:rsidP="00E965BD">
            <w:pPr>
              <w:pStyle w:val="TableText0"/>
            </w:pPr>
            <w:r w:rsidRPr="0084450C">
              <w:t xml:space="preserve">References: </w:t>
            </w:r>
          </w:p>
        </w:tc>
      </w:tr>
      <w:tr w:rsidR="00D96B8A" w:rsidTr="008F1466">
        <w:tc>
          <w:tcPr>
            <w:tcW w:w="8613" w:type="dxa"/>
          </w:tcPr>
          <w:p w:rsidR="00D96B8A" w:rsidRPr="0084450C" w:rsidRDefault="00D96B8A" w:rsidP="00E965BD">
            <w:pPr>
              <w:pStyle w:val="TableText0"/>
            </w:pPr>
            <w:r w:rsidRPr="0084450C">
              <w:t>Name of the funding body:</w:t>
            </w:r>
          </w:p>
        </w:tc>
      </w:tr>
      <w:tr w:rsidR="00D96B8A" w:rsidTr="00DA286B">
        <w:tc>
          <w:tcPr>
            <w:tcW w:w="8613" w:type="dxa"/>
          </w:tcPr>
          <w:p w:rsidR="00D96B8A" w:rsidRPr="0084450C" w:rsidRDefault="00D96B8A" w:rsidP="00E965BD">
            <w:pPr>
              <w:pStyle w:val="TableText0"/>
            </w:pPr>
            <w:r>
              <w:t>Country:</w:t>
            </w:r>
          </w:p>
        </w:tc>
      </w:tr>
      <w:tr w:rsidR="00D96B8A" w:rsidTr="00DA286B">
        <w:tc>
          <w:tcPr>
            <w:tcW w:w="8613" w:type="dxa"/>
          </w:tcPr>
          <w:p w:rsidR="00D96B8A" w:rsidRPr="0084450C" w:rsidRDefault="00D96B8A" w:rsidP="00E965BD">
            <w:pPr>
              <w:pStyle w:val="TableText0"/>
            </w:pPr>
            <w:r>
              <w:t>Programme inception</w:t>
            </w:r>
          </w:p>
        </w:tc>
      </w:tr>
      <w:tr w:rsidR="00D96B8A" w:rsidTr="00DA286B">
        <w:tc>
          <w:tcPr>
            <w:tcW w:w="8613" w:type="dxa"/>
          </w:tcPr>
          <w:p w:rsidR="00D96B8A" w:rsidRPr="0084450C" w:rsidRDefault="00D96B8A" w:rsidP="00E965BD">
            <w:pPr>
              <w:pStyle w:val="TableText0"/>
            </w:pPr>
            <w:r w:rsidRPr="0084450C">
              <w:t xml:space="preserve">Type (national health service, social insurance </w:t>
            </w:r>
            <w:r w:rsidR="00E66055" w:rsidRPr="0084450C">
              <w:t>etc.</w:t>
            </w:r>
            <w:r w:rsidRPr="0084450C">
              <w:t xml:space="preserve">): </w:t>
            </w:r>
          </w:p>
        </w:tc>
      </w:tr>
      <w:tr w:rsidR="00D96B8A" w:rsidTr="00DA286B">
        <w:tc>
          <w:tcPr>
            <w:tcW w:w="8613" w:type="dxa"/>
          </w:tcPr>
          <w:p w:rsidR="00D96B8A" w:rsidRPr="0084450C" w:rsidRDefault="00D96B8A" w:rsidP="00E965BD">
            <w:pPr>
              <w:pStyle w:val="TableText0"/>
            </w:pPr>
            <w:r>
              <w:t xml:space="preserve">Membership </w:t>
            </w:r>
            <w:r w:rsidRPr="0084450C">
              <w:t xml:space="preserve">(universal, membership to fund </w:t>
            </w:r>
            <w:r w:rsidR="00E66055" w:rsidRPr="0084450C">
              <w:t>etc.</w:t>
            </w:r>
            <w:r w:rsidRPr="0084450C">
              <w:t>):</w:t>
            </w:r>
          </w:p>
        </w:tc>
      </w:tr>
      <w:tr w:rsidR="00DB7088" w:rsidTr="008F1466">
        <w:tc>
          <w:tcPr>
            <w:tcW w:w="8613" w:type="dxa"/>
          </w:tcPr>
          <w:p w:rsidR="00DB7088" w:rsidRPr="0084450C" w:rsidRDefault="00DB7088" w:rsidP="00E965BD">
            <w:pPr>
              <w:pStyle w:val="TableText0"/>
            </w:pPr>
            <w:r w:rsidRPr="0084450C">
              <w:t xml:space="preserve">Reimbursement level (full drug price, full treatment price, patient contribution </w:t>
            </w:r>
            <w:r w:rsidR="00E66055" w:rsidRPr="0084450C">
              <w:t>etc.</w:t>
            </w:r>
            <w:r w:rsidRPr="0084450C">
              <w:t xml:space="preserve">): </w:t>
            </w:r>
          </w:p>
        </w:tc>
      </w:tr>
      <w:tr w:rsidR="00DB7088" w:rsidTr="008F1466">
        <w:trPr>
          <w:trHeight w:val="343"/>
        </w:trPr>
        <w:tc>
          <w:tcPr>
            <w:tcW w:w="8613" w:type="dxa"/>
            <w:shd w:val="clear" w:color="auto" w:fill="D9D9D9" w:themeFill="background1" w:themeFillShade="D9"/>
          </w:tcPr>
          <w:p w:rsidR="00DB7088" w:rsidRPr="0084450C" w:rsidRDefault="00DB7088" w:rsidP="00E965BD">
            <w:pPr>
              <w:pStyle w:val="TableText0"/>
              <w:rPr>
                <w:b/>
              </w:rPr>
            </w:pPr>
            <w:r w:rsidRPr="0084450C">
              <w:rPr>
                <w:b/>
              </w:rPr>
              <w:t>Decision-making process</w:t>
            </w:r>
          </w:p>
        </w:tc>
      </w:tr>
      <w:tr w:rsidR="00DB7088" w:rsidTr="008F1466">
        <w:tc>
          <w:tcPr>
            <w:tcW w:w="8613" w:type="dxa"/>
          </w:tcPr>
          <w:p w:rsidR="00DB7088" w:rsidRPr="0084450C" w:rsidRDefault="00DB7088" w:rsidP="00E965BD">
            <w:pPr>
              <w:pStyle w:val="TableText0"/>
            </w:pPr>
            <w:r w:rsidRPr="0084450C">
              <w:t>Definition of rare disease:</w:t>
            </w:r>
          </w:p>
        </w:tc>
      </w:tr>
      <w:tr w:rsidR="00DB7088" w:rsidTr="008F1466">
        <w:tc>
          <w:tcPr>
            <w:tcW w:w="8613" w:type="dxa"/>
            <w:tcBorders>
              <w:bottom w:val="single" w:sz="4" w:space="0" w:color="auto"/>
            </w:tcBorders>
          </w:tcPr>
          <w:p w:rsidR="00DB7088" w:rsidRPr="0084450C" w:rsidRDefault="00DB7088" w:rsidP="00E965BD">
            <w:pPr>
              <w:pStyle w:val="TableText0"/>
            </w:pPr>
            <w:r w:rsidRPr="0084450C">
              <w:t>Definition of ultra-rare disease:</w:t>
            </w:r>
          </w:p>
        </w:tc>
      </w:tr>
      <w:tr w:rsidR="00DB7088" w:rsidTr="008F1466">
        <w:tc>
          <w:tcPr>
            <w:tcW w:w="8613" w:type="dxa"/>
          </w:tcPr>
          <w:p w:rsidR="00DB7088" w:rsidRPr="0084450C" w:rsidRDefault="00DB7088" w:rsidP="00E965BD">
            <w:pPr>
              <w:pStyle w:val="TableText0"/>
            </w:pPr>
            <w:r w:rsidRPr="0084450C">
              <w:t>Driver of the consideration for reimbursement (</w:t>
            </w:r>
            <w:r w:rsidR="00E66055" w:rsidRPr="0084450C">
              <w:t>egg</w:t>
            </w:r>
            <w:r w:rsidRPr="0084450C">
              <w:t xml:space="preserve"> government body, drug company): </w:t>
            </w:r>
          </w:p>
        </w:tc>
      </w:tr>
      <w:tr w:rsidR="00D96B8A" w:rsidTr="00DA286B">
        <w:tc>
          <w:tcPr>
            <w:tcW w:w="8613" w:type="dxa"/>
          </w:tcPr>
          <w:p w:rsidR="00D96B8A" w:rsidRPr="0084450C" w:rsidRDefault="00D96B8A" w:rsidP="00D96B8A">
            <w:pPr>
              <w:pStyle w:val="TableText0"/>
            </w:pPr>
            <w:r w:rsidRPr="0084450C">
              <w:t xml:space="preserve">Decision-maker: </w:t>
            </w:r>
          </w:p>
        </w:tc>
      </w:tr>
      <w:tr w:rsidR="00D96B8A" w:rsidTr="00DA286B">
        <w:tc>
          <w:tcPr>
            <w:tcW w:w="8613" w:type="dxa"/>
          </w:tcPr>
          <w:p w:rsidR="00D96B8A" w:rsidRPr="0084450C" w:rsidRDefault="00D96B8A" w:rsidP="00E965BD">
            <w:pPr>
              <w:pStyle w:val="TableText0"/>
            </w:pPr>
            <w:r w:rsidRPr="0084450C">
              <w:t>Others involved in the decision-making process (</w:t>
            </w:r>
            <w:r w:rsidR="00E66055" w:rsidRPr="0084450C">
              <w:t>egg</w:t>
            </w:r>
            <w:r w:rsidRPr="0084450C">
              <w:t xml:space="preserve"> Advisory committee):</w:t>
            </w:r>
          </w:p>
        </w:tc>
      </w:tr>
      <w:tr w:rsidR="00DB7088" w:rsidTr="00D96B8A">
        <w:trPr>
          <w:trHeight w:val="1201"/>
        </w:trPr>
        <w:tc>
          <w:tcPr>
            <w:tcW w:w="8613" w:type="dxa"/>
          </w:tcPr>
          <w:p w:rsidR="00DB7088" w:rsidRPr="0084450C" w:rsidRDefault="00DB7088" w:rsidP="00E965BD">
            <w:pPr>
              <w:pStyle w:val="TableText0"/>
            </w:pPr>
            <w:r w:rsidRPr="0084450C">
              <w:t>A separate review process (yes/no):</w:t>
            </w:r>
          </w:p>
          <w:p w:rsidR="00DB7088" w:rsidRPr="0084450C" w:rsidRDefault="00D96B8A" w:rsidP="00E965BD">
            <w:pPr>
              <w:pStyle w:val="TableText0"/>
            </w:pPr>
            <w:r>
              <w:t>If yes, what’s the difference?</w:t>
            </w:r>
          </w:p>
        </w:tc>
      </w:tr>
      <w:tr w:rsidR="00DB7088" w:rsidTr="00E965BD">
        <w:trPr>
          <w:trHeight w:val="1123"/>
        </w:trPr>
        <w:tc>
          <w:tcPr>
            <w:tcW w:w="8613" w:type="dxa"/>
          </w:tcPr>
          <w:p w:rsidR="00DB7088" w:rsidRPr="0084450C" w:rsidRDefault="00DB7088" w:rsidP="00E965BD">
            <w:pPr>
              <w:pStyle w:val="TableText0"/>
            </w:pPr>
            <w:r w:rsidRPr="0084450C">
              <w:t xml:space="preserve">Brief description of the process: </w:t>
            </w:r>
          </w:p>
        </w:tc>
      </w:tr>
      <w:tr w:rsidR="00DB7088" w:rsidTr="00E965BD">
        <w:trPr>
          <w:trHeight w:val="1102"/>
        </w:trPr>
        <w:tc>
          <w:tcPr>
            <w:tcW w:w="8613" w:type="dxa"/>
          </w:tcPr>
          <w:p w:rsidR="00DB7088" w:rsidRPr="0084450C" w:rsidRDefault="00DB7088" w:rsidP="00E965BD">
            <w:pPr>
              <w:pStyle w:val="TableText0"/>
            </w:pPr>
            <w:r w:rsidRPr="0084450C">
              <w:t>Eligibility criteria:</w:t>
            </w:r>
          </w:p>
        </w:tc>
      </w:tr>
      <w:tr w:rsidR="00DB7088" w:rsidTr="00E965BD">
        <w:trPr>
          <w:trHeight w:val="730"/>
        </w:trPr>
        <w:tc>
          <w:tcPr>
            <w:tcW w:w="8613" w:type="dxa"/>
          </w:tcPr>
          <w:p w:rsidR="00DB7088" w:rsidRPr="0084450C" w:rsidRDefault="005E7353" w:rsidP="00E965BD">
            <w:pPr>
              <w:pStyle w:val="TableText0"/>
            </w:pPr>
            <w:r w:rsidRPr="0084450C">
              <w:t>Basis of</w:t>
            </w:r>
            <w:r w:rsidR="00DB7088" w:rsidRPr="0084450C">
              <w:t xml:space="preserve"> positive </w:t>
            </w:r>
            <w:r w:rsidRPr="0084450C">
              <w:t xml:space="preserve">or negative </w:t>
            </w:r>
            <w:r w:rsidR="00DB7088" w:rsidRPr="0084450C">
              <w:t xml:space="preserve">recommendation (meeting eligibility criteria, cost-effectiveness, budget impact </w:t>
            </w:r>
            <w:r w:rsidRPr="0084450C">
              <w:t>or other</w:t>
            </w:r>
            <w:r w:rsidR="00DB7088" w:rsidRPr="0084450C">
              <w:t>)</w:t>
            </w:r>
          </w:p>
        </w:tc>
      </w:tr>
      <w:tr w:rsidR="00DB7088" w:rsidTr="00E965BD">
        <w:trPr>
          <w:trHeight w:val="1123"/>
        </w:trPr>
        <w:tc>
          <w:tcPr>
            <w:tcW w:w="8613" w:type="dxa"/>
          </w:tcPr>
          <w:p w:rsidR="00DB7088" w:rsidRPr="0084450C" w:rsidRDefault="00DB7088" w:rsidP="00E965BD">
            <w:pPr>
              <w:pStyle w:val="TableText0"/>
            </w:pPr>
            <w:r w:rsidRPr="0084450C">
              <w:t>Differences in the decision-making process between a normal drug and a drug for treatment of rare diseases (</w:t>
            </w:r>
            <w:r w:rsidR="00E66055" w:rsidRPr="0084450C">
              <w:t>egg</w:t>
            </w:r>
            <w:r w:rsidRPr="0084450C">
              <w:t xml:space="preserve"> lower level of clinical evidence and high cost-effectiveness ratio)?</w:t>
            </w:r>
          </w:p>
        </w:tc>
      </w:tr>
      <w:tr w:rsidR="00DB7088" w:rsidTr="008F1466">
        <w:trPr>
          <w:trHeight w:val="987"/>
        </w:trPr>
        <w:tc>
          <w:tcPr>
            <w:tcW w:w="8613" w:type="dxa"/>
          </w:tcPr>
          <w:p w:rsidR="00DB7088" w:rsidRPr="0084450C" w:rsidRDefault="00DB7088" w:rsidP="00E965BD">
            <w:pPr>
              <w:pStyle w:val="TableText0"/>
            </w:pPr>
            <w:r w:rsidRPr="0084450C">
              <w:t xml:space="preserve">Drugs reimbursed currently and their indications: </w:t>
            </w:r>
          </w:p>
        </w:tc>
      </w:tr>
      <w:tr w:rsidR="00DB7088" w:rsidTr="00E965BD">
        <w:trPr>
          <w:trHeight w:val="983"/>
        </w:trPr>
        <w:tc>
          <w:tcPr>
            <w:tcW w:w="8613" w:type="dxa"/>
          </w:tcPr>
          <w:p w:rsidR="00DB7088" w:rsidRPr="0084450C" w:rsidRDefault="00DB7088" w:rsidP="00E965BD">
            <w:pPr>
              <w:pStyle w:val="TableText0"/>
            </w:pPr>
            <w:r w:rsidRPr="0084450C">
              <w:t>Further comments:</w:t>
            </w:r>
          </w:p>
        </w:tc>
      </w:tr>
    </w:tbl>
    <w:p w:rsidR="00A4010A" w:rsidRDefault="00A4010A" w:rsidP="00F44176">
      <w:pPr>
        <w:pStyle w:val="Caption"/>
        <w:keepNext/>
        <w:sectPr w:rsidR="00A4010A" w:rsidSect="00A4010A">
          <w:pgSz w:w="11906" w:h="16838"/>
          <w:pgMar w:top="1440" w:right="1440" w:bottom="1440" w:left="1440" w:header="708" w:footer="708" w:gutter="0"/>
          <w:cols w:space="708"/>
          <w:docGrid w:linePitch="360"/>
        </w:sectPr>
      </w:pPr>
      <w:bookmarkStart w:id="1197" w:name="_Ref403662124"/>
      <w:bookmarkStart w:id="1198" w:name="_Toc403720101"/>
      <w:bookmarkStart w:id="1199" w:name="_Ref403371424"/>
      <w:bookmarkStart w:id="1200" w:name="_Ref403371419"/>
    </w:p>
    <w:p w:rsidR="00A4010A" w:rsidRPr="00DB0CFF" w:rsidRDefault="00A4010A" w:rsidP="00DB4EE8">
      <w:pPr>
        <w:pStyle w:val="Heading1"/>
        <w:numPr>
          <w:ilvl w:val="0"/>
          <w:numId w:val="0"/>
        </w:numPr>
      </w:pPr>
      <w:bookmarkStart w:id="1201" w:name="_Ref404350497"/>
      <w:bookmarkStart w:id="1202" w:name="_Toc415141795"/>
      <w:r w:rsidRPr="003F3F2D">
        <w:lastRenderedPageBreak/>
        <w:t xml:space="preserve">Appendix </w:t>
      </w:r>
      <w:r w:rsidR="00A72B26">
        <w:t>I</w:t>
      </w:r>
      <w:bookmarkEnd w:id="1201"/>
      <w:r w:rsidRPr="00DB0CFF">
        <w:tab/>
        <w:t>Summary tables for international comparison</w:t>
      </w:r>
      <w:bookmarkEnd w:id="1202"/>
    </w:p>
    <w:p w:rsidR="003D1E41" w:rsidRDefault="003D1E41" w:rsidP="0096216D">
      <w:pPr>
        <w:pStyle w:val="Caption"/>
        <w:keepNext/>
        <w:tabs>
          <w:tab w:val="clear" w:pos="851"/>
          <w:tab w:val="left" w:pos="1276"/>
        </w:tabs>
        <w:ind w:left="1134" w:hanging="1134"/>
      </w:pPr>
      <w:bookmarkStart w:id="1203" w:name="_Ref405829429"/>
      <w:bookmarkStart w:id="1204" w:name="_Toc404350315"/>
      <w:bookmarkStart w:id="1205" w:name="_Toc404976367"/>
      <w:bookmarkStart w:id="1206" w:name="_Toc411510540"/>
      <w:bookmarkStart w:id="1207" w:name="_Toc415141970"/>
      <w:r>
        <w:t xml:space="preserve">Table </w:t>
      </w:r>
      <w:r w:rsidR="00A72B26">
        <w:rPr>
          <w:noProof/>
        </w:rPr>
        <w:t>173</w:t>
      </w:r>
      <w:bookmarkEnd w:id="1197"/>
      <w:bookmarkEnd w:id="1203"/>
      <w:r w:rsidRPr="00206295">
        <w:tab/>
      </w:r>
      <w:r w:rsidR="0096216D">
        <w:tab/>
      </w:r>
      <w:r>
        <w:t>Funding bodies and coverage</w:t>
      </w:r>
      <w:bookmarkEnd w:id="1198"/>
      <w:bookmarkEnd w:id="1204"/>
      <w:bookmarkEnd w:id="1205"/>
      <w:bookmarkEnd w:id="1206"/>
      <w:bookmarkEnd w:id="1207"/>
    </w:p>
    <w:tbl>
      <w:tblPr>
        <w:tblStyle w:val="TableGrid"/>
        <w:tblW w:w="14284" w:type="dxa"/>
        <w:tblLook w:val="04A0" w:firstRow="1" w:lastRow="0" w:firstColumn="1" w:lastColumn="0" w:noHBand="0" w:noVBand="1"/>
        <w:tblCaption w:val="Table 135  Funding bodies and coverage"/>
      </w:tblPr>
      <w:tblGrid>
        <w:gridCol w:w="3227"/>
        <w:gridCol w:w="11057"/>
      </w:tblGrid>
      <w:tr w:rsidR="003D1E41" w:rsidRPr="007F02A8" w:rsidTr="00D96B8A">
        <w:trPr>
          <w:tblHeader/>
        </w:trPr>
        <w:tc>
          <w:tcPr>
            <w:tcW w:w="3227" w:type="dxa"/>
          </w:tcPr>
          <w:p w:rsidR="003D1E41" w:rsidRPr="0084450C" w:rsidRDefault="003D1E41" w:rsidP="0084450C">
            <w:pPr>
              <w:pStyle w:val="TableHeading"/>
            </w:pPr>
            <w:r w:rsidRPr="0084450C">
              <w:t>Country</w:t>
            </w:r>
          </w:p>
        </w:tc>
        <w:tc>
          <w:tcPr>
            <w:tcW w:w="11057" w:type="dxa"/>
          </w:tcPr>
          <w:p w:rsidR="003D1E41" w:rsidRPr="0084450C" w:rsidRDefault="003D1E41" w:rsidP="0084450C">
            <w:pPr>
              <w:pStyle w:val="TableHeading"/>
            </w:pPr>
            <w:r w:rsidRPr="0084450C">
              <w:t>Brief description</w:t>
            </w:r>
          </w:p>
        </w:tc>
      </w:tr>
      <w:tr w:rsidR="00731B68" w:rsidRPr="007F02A8" w:rsidTr="00F30153">
        <w:tc>
          <w:tcPr>
            <w:tcW w:w="3227" w:type="dxa"/>
          </w:tcPr>
          <w:p w:rsidR="00731B68" w:rsidRPr="0084450C" w:rsidRDefault="00731B68" w:rsidP="00B05798">
            <w:pPr>
              <w:pStyle w:val="TableText0"/>
            </w:pPr>
            <w:r>
              <w:t>Australia</w:t>
            </w:r>
          </w:p>
        </w:tc>
        <w:tc>
          <w:tcPr>
            <w:tcW w:w="11057" w:type="dxa"/>
          </w:tcPr>
          <w:p w:rsidR="00731B68" w:rsidRPr="0084450C" w:rsidRDefault="00731B68" w:rsidP="00E66055">
            <w:pPr>
              <w:pStyle w:val="TableText0"/>
            </w:pPr>
            <w:r>
              <w:t>Medicare is the publicly funded universal health system in Australia. It coexists with a private health system</w:t>
            </w:r>
            <w:r w:rsidRPr="00446286">
              <w:t>.</w:t>
            </w:r>
            <w:r>
              <w:t xml:space="preserve"> </w:t>
            </w:r>
          </w:p>
        </w:tc>
      </w:tr>
      <w:tr w:rsidR="00731B68" w:rsidRPr="007F02A8" w:rsidTr="00F30153">
        <w:tc>
          <w:tcPr>
            <w:tcW w:w="3227" w:type="dxa"/>
          </w:tcPr>
          <w:p w:rsidR="00731B68" w:rsidRPr="0084450C" w:rsidRDefault="00731B68" w:rsidP="00184B6F">
            <w:pPr>
              <w:pStyle w:val="TableText0"/>
            </w:pPr>
            <w:r w:rsidRPr="0084450C">
              <w:t xml:space="preserve">Canada </w:t>
            </w:r>
            <w:r>
              <w:rPr>
                <w:noProof/>
              </w:rPr>
              <w:t>(</w:t>
            </w:r>
            <w:r w:rsidR="00184B6F">
              <w:rPr>
                <w:noProof/>
              </w:rPr>
              <w:t>ISPOR 2011</w:t>
            </w:r>
            <w:r>
              <w:rPr>
                <w:noProof/>
              </w:rPr>
              <w:t>)</w:t>
            </w:r>
          </w:p>
        </w:tc>
        <w:tc>
          <w:tcPr>
            <w:tcW w:w="11057" w:type="dxa"/>
          </w:tcPr>
          <w:p w:rsidR="00731B68" w:rsidRPr="0084450C" w:rsidRDefault="00731B68" w:rsidP="00E965BD">
            <w:pPr>
              <w:pStyle w:val="TableText0"/>
            </w:pPr>
            <w:r w:rsidRPr="0084450C">
              <w:t>The publicly-funded healthcare system does not prescription medications, except for drugs administered in hospitals and for certain special populations in some provinces. Private insurers reimburse drug costs for the majority of the population (66%).</w:t>
            </w:r>
          </w:p>
        </w:tc>
      </w:tr>
      <w:tr w:rsidR="00731B68" w:rsidRPr="007F02A8" w:rsidTr="00F30153">
        <w:tc>
          <w:tcPr>
            <w:tcW w:w="3227" w:type="dxa"/>
          </w:tcPr>
          <w:p w:rsidR="00731B68" w:rsidRPr="0084450C" w:rsidRDefault="00731B68" w:rsidP="00E965BD">
            <w:pPr>
              <w:pStyle w:val="TableText0"/>
            </w:pPr>
            <w:r w:rsidRPr="0084450C">
              <w:t>The United Kingdom</w:t>
            </w:r>
          </w:p>
        </w:tc>
        <w:tc>
          <w:tcPr>
            <w:tcW w:w="11057" w:type="dxa"/>
          </w:tcPr>
          <w:p w:rsidR="00731B68" w:rsidRPr="0084450C" w:rsidRDefault="00731B68" w:rsidP="00E965BD">
            <w:pPr>
              <w:pStyle w:val="TableText0"/>
            </w:pPr>
            <w:r w:rsidRPr="0084450C">
              <w:t>The health care system is primarily public, with 80% of the funding comes from taxation, 12% from national insurance, and the remaining 8% from charges and miscellaneous, trust interest receipts and capital receipts. The UK also has private healthcare sectors which are considerably smaller than its public equivalents.</w:t>
            </w:r>
          </w:p>
        </w:tc>
      </w:tr>
      <w:tr w:rsidR="00731B68" w:rsidRPr="007F02A8" w:rsidTr="00F30153">
        <w:tc>
          <w:tcPr>
            <w:tcW w:w="3227" w:type="dxa"/>
          </w:tcPr>
          <w:p w:rsidR="00731B68" w:rsidRPr="0084450C" w:rsidRDefault="00731B68" w:rsidP="00184B6F">
            <w:pPr>
              <w:pStyle w:val="TableText0"/>
            </w:pPr>
            <w:r w:rsidRPr="0084450C">
              <w:t xml:space="preserve">Belgium </w:t>
            </w:r>
            <w:r>
              <w:rPr>
                <w:noProof/>
              </w:rPr>
              <w:t>(</w:t>
            </w:r>
            <w:r w:rsidR="00184B6F">
              <w:rPr>
                <w:noProof/>
              </w:rPr>
              <w:t>Denis et al. 2011</w:t>
            </w:r>
            <w:r>
              <w:rPr>
                <w:noProof/>
              </w:rPr>
              <w:t>)</w:t>
            </w:r>
          </w:p>
        </w:tc>
        <w:tc>
          <w:tcPr>
            <w:tcW w:w="11057" w:type="dxa"/>
          </w:tcPr>
          <w:p w:rsidR="00731B68" w:rsidRPr="0084450C" w:rsidRDefault="00731B68" w:rsidP="00E965BD">
            <w:pPr>
              <w:pStyle w:val="TableText0"/>
            </w:pPr>
            <w:r w:rsidRPr="0084450C">
              <w:t>The Belgian health care system is characterised by a compulsory health insurance system. It covers 99.9% of the population and is funded primarily from health insurance contributions and general taxation</w:t>
            </w:r>
          </w:p>
        </w:tc>
      </w:tr>
      <w:tr w:rsidR="00731B68" w:rsidRPr="007F02A8" w:rsidTr="00F30153">
        <w:tc>
          <w:tcPr>
            <w:tcW w:w="3227" w:type="dxa"/>
          </w:tcPr>
          <w:p w:rsidR="00731B68" w:rsidRPr="0084450C" w:rsidRDefault="00731B68" w:rsidP="00184B6F">
            <w:pPr>
              <w:pStyle w:val="TableText0"/>
            </w:pPr>
            <w:r w:rsidRPr="0084450C">
              <w:t xml:space="preserve">Austria </w:t>
            </w:r>
            <w:r>
              <w:rPr>
                <w:noProof/>
              </w:rPr>
              <w:t>(</w:t>
            </w:r>
            <w:r w:rsidR="00184B6F">
              <w:rPr>
                <w:noProof/>
              </w:rPr>
              <w:t>ISPOR 2009a</w:t>
            </w:r>
            <w:r>
              <w:rPr>
                <w:noProof/>
              </w:rPr>
              <w:t>)</w:t>
            </w:r>
          </w:p>
        </w:tc>
        <w:tc>
          <w:tcPr>
            <w:tcW w:w="11057" w:type="dxa"/>
          </w:tcPr>
          <w:p w:rsidR="00731B68" w:rsidRPr="0084450C" w:rsidRDefault="00731B68" w:rsidP="00E965BD">
            <w:pPr>
              <w:pStyle w:val="TableText0"/>
            </w:pPr>
            <w:r w:rsidRPr="0084450C">
              <w:t>In the Austria health care system, virtually all individuals receive publicly funded care. Private health insurance in Austria is generally used to complement the public health services supplied by the state.</w:t>
            </w:r>
          </w:p>
        </w:tc>
      </w:tr>
      <w:tr w:rsidR="00731B68" w:rsidRPr="007F02A8" w:rsidTr="00F30153">
        <w:tc>
          <w:tcPr>
            <w:tcW w:w="3227" w:type="dxa"/>
          </w:tcPr>
          <w:p w:rsidR="00731B68" w:rsidRPr="0084450C" w:rsidRDefault="00731B68" w:rsidP="00184B6F">
            <w:pPr>
              <w:pStyle w:val="TableText0"/>
            </w:pPr>
            <w:r w:rsidRPr="0084450C">
              <w:t xml:space="preserve">The Netherlands </w:t>
            </w:r>
            <w:r>
              <w:rPr>
                <w:noProof/>
              </w:rPr>
              <w:t>(</w:t>
            </w:r>
            <w:r w:rsidR="00184B6F">
              <w:rPr>
                <w:noProof/>
              </w:rPr>
              <w:t>Schafer et al. 2010</w:t>
            </w:r>
            <w:r>
              <w:rPr>
                <w:noProof/>
              </w:rPr>
              <w:t>)</w:t>
            </w:r>
          </w:p>
        </w:tc>
        <w:tc>
          <w:tcPr>
            <w:tcW w:w="11057" w:type="dxa"/>
          </w:tcPr>
          <w:p w:rsidR="00731B68" w:rsidRPr="0084450C" w:rsidRDefault="00731B68" w:rsidP="00E965BD">
            <w:pPr>
              <w:pStyle w:val="TableText0"/>
            </w:pPr>
            <w:r w:rsidRPr="0084450C">
              <w:t xml:space="preserve">Healthcare in the Netherlands is financed by a dual system: i) all regular (short-term) medical treatment reimbursed via obligatory health insurance with private health insurance companies; and ii) long-term treatments are covered by a state-controlled mandatory insurance. </w:t>
            </w:r>
          </w:p>
        </w:tc>
      </w:tr>
      <w:tr w:rsidR="00731B68" w:rsidRPr="007F02A8" w:rsidTr="00F30153">
        <w:tc>
          <w:tcPr>
            <w:tcW w:w="3227" w:type="dxa"/>
          </w:tcPr>
          <w:p w:rsidR="00731B68" w:rsidRPr="0084450C" w:rsidRDefault="00731B68" w:rsidP="00184B6F">
            <w:pPr>
              <w:pStyle w:val="TableText0"/>
            </w:pPr>
            <w:r w:rsidRPr="0084450C">
              <w:t xml:space="preserve">Sweden </w:t>
            </w:r>
            <w:r>
              <w:rPr>
                <w:noProof/>
              </w:rPr>
              <w:t>(</w:t>
            </w:r>
            <w:r w:rsidR="00184B6F">
              <w:rPr>
                <w:noProof/>
              </w:rPr>
              <w:t>ISPOR 2009e</w:t>
            </w:r>
            <w:r>
              <w:rPr>
                <w:noProof/>
              </w:rPr>
              <w:t>)</w:t>
            </w:r>
          </w:p>
        </w:tc>
        <w:tc>
          <w:tcPr>
            <w:tcW w:w="11057" w:type="dxa"/>
          </w:tcPr>
          <w:p w:rsidR="00731B68" w:rsidRPr="0084450C" w:rsidRDefault="00731B68" w:rsidP="00E965BD">
            <w:pPr>
              <w:pStyle w:val="TableText0"/>
            </w:pPr>
            <w:r w:rsidRPr="0084450C">
              <w:t>The Swedish health care system is a government-funded national health service, with its funding mainly from proportional taxes levied by county councils and municipalities.</w:t>
            </w:r>
          </w:p>
        </w:tc>
      </w:tr>
      <w:tr w:rsidR="00731B68" w:rsidRPr="007F02A8" w:rsidTr="00F30153">
        <w:tc>
          <w:tcPr>
            <w:tcW w:w="3227" w:type="dxa"/>
          </w:tcPr>
          <w:p w:rsidR="00731B68" w:rsidRPr="0084450C" w:rsidRDefault="00731B68" w:rsidP="00184B6F">
            <w:pPr>
              <w:pStyle w:val="TableText0"/>
            </w:pPr>
            <w:r w:rsidRPr="0084450C">
              <w:t xml:space="preserve">Spain </w:t>
            </w:r>
            <w:r>
              <w:rPr>
                <w:noProof/>
              </w:rPr>
              <w:t>(</w:t>
            </w:r>
            <w:r w:rsidR="00184B6F">
              <w:rPr>
                <w:noProof/>
              </w:rPr>
              <w:t>ISPOR 2009d</w:t>
            </w:r>
            <w:r>
              <w:rPr>
                <w:noProof/>
              </w:rPr>
              <w:t>)</w:t>
            </w:r>
          </w:p>
        </w:tc>
        <w:tc>
          <w:tcPr>
            <w:tcW w:w="11057" w:type="dxa"/>
          </w:tcPr>
          <w:p w:rsidR="00731B68" w:rsidRPr="0084450C" w:rsidRDefault="00731B68" w:rsidP="00E965BD">
            <w:pPr>
              <w:pStyle w:val="TableText0"/>
            </w:pPr>
            <w:r w:rsidRPr="0084450C">
              <w:t>In Spain, public health care insurance coverage is provided for &gt;99.5% of the population</w:t>
            </w:r>
          </w:p>
        </w:tc>
      </w:tr>
      <w:tr w:rsidR="00731B68" w:rsidRPr="007F02A8" w:rsidTr="00F30153">
        <w:tc>
          <w:tcPr>
            <w:tcW w:w="3227" w:type="dxa"/>
          </w:tcPr>
          <w:p w:rsidR="00731B68" w:rsidRPr="0084450C" w:rsidRDefault="00731B68" w:rsidP="00184B6F">
            <w:pPr>
              <w:pStyle w:val="TableText0"/>
            </w:pPr>
            <w:r w:rsidRPr="0084450C">
              <w:t xml:space="preserve">Italy </w:t>
            </w:r>
            <w:r>
              <w:rPr>
                <w:noProof/>
              </w:rPr>
              <w:t>(</w:t>
            </w:r>
            <w:r w:rsidR="00184B6F">
              <w:rPr>
                <w:noProof/>
              </w:rPr>
              <w:t>Garau &amp; Mestre-Ferrandiz 2009</w:t>
            </w:r>
            <w:r>
              <w:rPr>
                <w:noProof/>
              </w:rPr>
              <w:t xml:space="preserve">; </w:t>
            </w:r>
            <w:r w:rsidR="00184B6F">
              <w:rPr>
                <w:noProof/>
              </w:rPr>
              <w:t>ISPOR 2008</w:t>
            </w:r>
            <w:r>
              <w:rPr>
                <w:noProof/>
              </w:rPr>
              <w:t>)</w:t>
            </w:r>
          </w:p>
        </w:tc>
        <w:tc>
          <w:tcPr>
            <w:tcW w:w="11057" w:type="dxa"/>
          </w:tcPr>
          <w:p w:rsidR="00731B68" w:rsidRPr="0084450C" w:rsidRDefault="00731B68" w:rsidP="00E965BD">
            <w:pPr>
              <w:pStyle w:val="TableText0"/>
            </w:pPr>
            <w:r w:rsidRPr="0084450C">
              <w:t>The Italian National Health Service provides universal coverage and free healthcare to all Italian, which is financed by general taxation.</w:t>
            </w:r>
          </w:p>
        </w:tc>
      </w:tr>
      <w:tr w:rsidR="00731B68" w:rsidRPr="007F02A8" w:rsidTr="00F30153">
        <w:tc>
          <w:tcPr>
            <w:tcW w:w="3227" w:type="dxa"/>
          </w:tcPr>
          <w:p w:rsidR="00731B68" w:rsidRPr="0084450C" w:rsidRDefault="00731B68" w:rsidP="00184B6F">
            <w:pPr>
              <w:pStyle w:val="TableText0"/>
            </w:pPr>
            <w:r w:rsidRPr="0084450C">
              <w:t xml:space="preserve">Germany </w:t>
            </w:r>
            <w:r>
              <w:rPr>
                <w:noProof/>
              </w:rPr>
              <w:t>(</w:t>
            </w:r>
            <w:r w:rsidR="00184B6F">
              <w:rPr>
                <w:noProof/>
              </w:rPr>
              <w:t>ISPOR 2009c</w:t>
            </w:r>
            <w:r>
              <w:rPr>
                <w:noProof/>
              </w:rPr>
              <w:t>)</w:t>
            </w:r>
          </w:p>
        </w:tc>
        <w:tc>
          <w:tcPr>
            <w:tcW w:w="11057" w:type="dxa"/>
          </w:tcPr>
          <w:p w:rsidR="00731B68" w:rsidRPr="0084450C" w:rsidRDefault="00731B68" w:rsidP="00E965BD">
            <w:pPr>
              <w:pStyle w:val="TableText0"/>
            </w:pPr>
            <w:r w:rsidRPr="0084450C">
              <w:t>In Germany, about 85%-90% of the population is covered by statutory health funds via a basic health insurance plan, formally insured under the legislation set with the Sozialgesetzbuch V (SGB V), which provides a standard level of coverage. The other 10%-15% opt for private health insurance, which frequently offers additional benefits.</w:t>
            </w:r>
          </w:p>
        </w:tc>
      </w:tr>
      <w:tr w:rsidR="00731B68" w:rsidRPr="007F02A8" w:rsidTr="00F30153">
        <w:tc>
          <w:tcPr>
            <w:tcW w:w="3227" w:type="dxa"/>
          </w:tcPr>
          <w:p w:rsidR="00731B68" w:rsidRPr="0084450C" w:rsidRDefault="00731B68" w:rsidP="00184B6F">
            <w:pPr>
              <w:pStyle w:val="TableText0"/>
            </w:pPr>
            <w:r w:rsidRPr="0084450C">
              <w:t xml:space="preserve">France </w:t>
            </w:r>
            <w:r>
              <w:rPr>
                <w:noProof/>
              </w:rPr>
              <w:t>(</w:t>
            </w:r>
            <w:r w:rsidR="00184B6F">
              <w:rPr>
                <w:noProof/>
              </w:rPr>
              <w:t>Garau &amp; Mestre-Ferrandiz 2009</w:t>
            </w:r>
            <w:r>
              <w:rPr>
                <w:noProof/>
              </w:rPr>
              <w:t xml:space="preserve">; </w:t>
            </w:r>
            <w:r w:rsidR="00184B6F">
              <w:rPr>
                <w:noProof/>
              </w:rPr>
              <w:t>ISPOR 2009b</w:t>
            </w:r>
            <w:r>
              <w:rPr>
                <w:noProof/>
              </w:rPr>
              <w:t>)</w:t>
            </w:r>
          </w:p>
        </w:tc>
        <w:tc>
          <w:tcPr>
            <w:tcW w:w="11057" w:type="dxa"/>
          </w:tcPr>
          <w:p w:rsidR="00731B68" w:rsidRPr="0084450C" w:rsidRDefault="00731B68" w:rsidP="00E965BD">
            <w:pPr>
              <w:pStyle w:val="TableText0"/>
            </w:pPr>
            <w:r w:rsidRPr="0084450C">
              <w:t>The French health care system is a universal health care, largely financed by obligatory national health insurance</w:t>
            </w:r>
          </w:p>
        </w:tc>
      </w:tr>
      <w:tr w:rsidR="00731B68" w:rsidRPr="007F02A8" w:rsidTr="00F30153">
        <w:tc>
          <w:tcPr>
            <w:tcW w:w="3227" w:type="dxa"/>
          </w:tcPr>
          <w:p w:rsidR="00731B68" w:rsidRPr="0084450C" w:rsidRDefault="00731B68" w:rsidP="00184B6F">
            <w:pPr>
              <w:pStyle w:val="TableText0"/>
            </w:pPr>
            <w:r w:rsidRPr="0084450C">
              <w:t xml:space="preserve">Japan </w:t>
            </w:r>
            <w:r>
              <w:rPr>
                <w:noProof/>
              </w:rPr>
              <w:t>(</w:t>
            </w:r>
            <w:r w:rsidR="00184B6F">
              <w:rPr>
                <w:noProof/>
              </w:rPr>
              <w:t>Gao, Song &amp; Tang 2013</w:t>
            </w:r>
            <w:r>
              <w:rPr>
                <w:noProof/>
              </w:rPr>
              <w:t xml:space="preserve">; </w:t>
            </w:r>
            <w:r w:rsidR="00184B6F">
              <w:rPr>
                <w:noProof/>
              </w:rPr>
              <w:t xml:space="preserve">Song et </w:t>
            </w:r>
            <w:r w:rsidR="00184B6F">
              <w:rPr>
                <w:noProof/>
              </w:rPr>
              <w:lastRenderedPageBreak/>
              <w:t>al. 2012</w:t>
            </w:r>
            <w:r>
              <w:rPr>
                <w:noProof/>
              </w:rPr>
              <w:t>)</w:t>
            </w:r>
          </w:p>
        </w:tc>
        <w:tc>
          <w:tcPr>
            <w:tcW w:w="11057" w:type="dxa"/>
          </w:tcPr>
          <w:p w:rsidR="00731B68" w:rsidRPr="0084450C" w:rsidRDefault="00731B68" w:rsidP="00E965BD">
            <w:pPr>
              <w:pStyle w:val="TableText0"/>
            </w:pPr>
            <w:r w:rsidRPr="0084450C">
              <w:lastRenderedPageBreak/>
              <w:t xml:space="preserve">In Japan, medical services are covered through a universal health care insurance system. The Employees’ Health Insurance is a community-based </w:t>
            </w:r>
            <w:r w:rsidRPr="0084450C">
              <w:lastRenderedPageBreak/>
              <w:t>system. Anyone who is staying in Japan for more than a year and is not covered by Employees’ Health Insurance is obliged to apply for national health insurance</w:t>
            </w:r>
          </w:p>
        </w:tc>
      </w:tr>
      <w:tr w:rsidR="00731B68" w:rsidRPr="007F02A8" w:rsidTr="00F30153">
        <w:tc>
          <w:tcPr>
            <w:tcW w:w="3227" w:type="dxa"/>
          </w:tcPr>
          <w:p w:rsidR="00731B68" w:rsidRPr="0084450C" w:rsidRDefault="00731B68" w:rsidP="00184B6F">
            <w:pPr>
              <w:pStyle w:val="TableText0"/>
            </w:pPr>
            <w:r w:rsidRPr="0084450C">
              <w:lastRenderedPageBreak/>
              <w:t xml:space="preserve">South Korea </w:t>
            </w:r>
            <w:r>
              <w:rPr>
                <w:noProof/>
              </w:rPr>
              <w:t>(</w:t>
            </w:r>
            <w:r w:rsidR="00184B6F">
              <w:rPr>
                <w:noProof/>
              </w:rPr>
              <w:t>Gao, Song &amp; Tang 2013</w:t>
            </w:r>
            <w:r>
              <w:rPr>
                <w:noProof/>
              </w:rPr>
              <w:t xml:space="preserve">; </w:t>
            </w:r>
            <w:r w:rsidR="00184B6F">
              <w:rPr>
                <w:noProof/>
              </w:rPr>
              <w:t>Soo 2014</w:t>
            </w:r>
            <w:r>
              <w:rPr>
                <w:noProof/>
              </w:rPr>
              <w:t>)</w:t>
            </w:r>
          </w:p>
        </w:tc>
        <w:tc>
          <w:tcPr>
            <w:tcW w:w="11057" w:type="dxa"/>
          </w:tcPr>
          <w:p w:rsidR="00731B68" w:rsidRPr="0084450C" w:rsidRDefault="00731B68" w:rsidP="00184B6F">
            <w:pPr>
              <w:pStyle w:val="TableText0"/>
            </w:pPr>
            <w:r w:rsidRPr="0084450C">
              <w:t xml:space="preserve">South Korea has a national health insurance system, which covers over 97.5% of citizens. The remaining 2.5% of the population are covered by a Medical Aid Program for the poor </w:t>
            </w:r>
            <w:r>
              <w:rPr>
                <w:noProof/>
              </w:rPr>
              <w:t>(</w:t>
            </w:r>
            <w:r w:rsidR="00184B6F">
              <w:rPr>
                <w:noProof/>
              </w:rPr>
              <w:t>Gao, Song &amp; Tang 2013</w:t>
            </w:r>
            <w:r>
              <w:rPr>
                <w:noProof/>
              </w:rPr>
              <w:t xml:space="preserve">; </w:t>
            </w:r>
            <w:r w:rsidR="00184B6F">
              <w:rPr>
                <w:noProof/>
              </w:rPr>
              <w:t>Soo 2014</w:t>
            </w:r>
            <w:r>
              <w:rPr>
                <w:noProof/>
              </w:rPr>
              <w:t>)</w:t>
            </w:r>
            <w:r w:rsidRPr="0084450C">
              <w:t>.</w:t>
            </w:r>
          </w:p>
        </w:tc>
      </w:tr>
      <w:tr w:rsidR="00731B68" w:rsidRPr="007F02A8" w:rsidTr="00F30153">
        <w:tc>
          <w:tcPr>
            <w:tcW w:w="3227" w:type="dxa"/>
          </w:tcPr>
          <w:p w:rsidR="00731B68" w:rsidRPr="0084450C" w:rsidRDefault="00731B68" w:rsidP="00184B6F">
            <w:pPr>
              <w:pStyle w:val="TableText0"/>
            </w:pPr>
            <w:r w:rsidRPr="0084450C">
              <w:t xml:space="preserve">China </w:t>
            </w:r>
            <w:r>
              <w:rPr>
                <w:noProof/>
              </w:rPr>
              <w:t>(</w:t>
            </w:r>
            <w:r w:rsidR="00184B6F">
              <w:rPr>
                <w:noProof/>
              </w:rPr>
              <w:t>Gong &amp; Jin 2012</w:t>
            </w:r>
            <w:r>
              <w:rPr>
                <w:noProof/>
              </w:rPr>
              <w:t>)</w:t>
            </w:r>
          </w:p>
        </w:tc>
        <w:tc>
          <w:tcPr>
            <w:tcW w:w="11057" w:type="dxa"/>
          </w:tcPr>
          <w:p w:rsidR="00731B68" w:rsidRPr="0084450C" w:rsidRDefault="00731B68" w:rsidP="00E965BD">
            <w:pPr>
              <w:pStyle w:val="TableText0"/>
            </w:pPr>
            <w:r w:rsidRPr="0084450C">
              <w:t>China has multi-layered medical insurance system. The basic social insurance covers urban employees, urban non-employees and rural population under various medical insurance schemes. The public medical insurance program is provided by the government to employees working in state agencies, such as civil services. Commercial health insurance in China serves as a supplement to social medical insurance, targeting mainly the upper class.</w:t>
            </w:r>
          </w:p>
        </w:tc>
      </w:tr>
    </w:tbl>
    <w:p w:rsidR="00382709" w:rsidRDefault="00E66055" w:rsidP="00382709">
      <w:pPr>
        <w:pStyle w:val="TableNote"/>
      </w:pPr>
      <w:r>
        <w:t xml:space="preserve">ISPOR </w:t>
      </w:r>
      <w:r w:rsidRPr="00652355">
        <w:rPr>
          <w:spacing w:val="-20"/>
        </w:rPr>
        <w:t xml:space="preserve">= </w:t>
      </w:r>
      <w:r>
        <w:t>International</w:t>
      </w:r>
      <w:r w:rsidR="00382709">
        <w:t xml:space="preserve"> Society for Pharmacoeconomics and Outcomes Research</w:t>
      </w:r>
    </w:p>
    <w:p w:rsidR="003D1E41" w:rsidRDefault="003D1E41" w:rsidP="003D1E41"/>
    <w:p w:rsidR="003D1E41" w:rsidRDefault="003D1E41" w:rsidP="00721386">
      <w:pPr>
        <w:pStyle w:val="Caption"/>
        <w:keepNext/>
        <w:tabs>
          <w:tab w:val="clear" w:pos="851"/>
          <w:tab w:val="left" w:pos="1276"/>
        </w:tabs>
        <w:ind w:left="1276" w:hanging="1276"/>
      </w:pPr>
      <w:bookmarkStart w:id="1208" w:name="_Ref405829887"/>
      <w:bookmarkStart w:id="1209" w:name="_Toc403720102"/>
      <w:bookmarkStart w:id="1210" w:name="_Toc404350316"/>
      <w:bookmarkStart w:id="1211" w:name="_Toc404976368"/>
      <w:bookmarkStart w:id="1212" w:name="_Toc411510541"/>
      <w:bookmarkStart w:id="1213" w:name="_Toc415141971"/>
      <w:r>
        <w:lastRenderedPageBreak/>
        <w:t xml:space="preserve">Table </w:t>
      </w:r>
      <w:r w:rsidR="00A72B26">
        <w:rPr>
          <w:noProof/>
        </w:rPr>
        <w:t>174</w:t>
      </w:r>
      <w:bookmarkEnd w:id="1199"/>
      <w:bookmarkEnd w:id="1208"/>
      <w:r w:rsidR="006D0B29">
        <w:tab/>
      </w:r>
      <w:r w:rsidR="0096216D">
        <w:tab/>
      </w:r>
      <w:r>
        <w:t>Mechanisms for the evaluation of drugs for rare diseases, summary by country</w:t>
      </w:r>
      <w:bookmarkEnd w:id="1200"/>
      <w:bookmarkEnd w:id="1209"/>
      <w:bookmarkEnd w:id="1210"/>
      <w:bookmarkEnd w:id="1211"/>
      <w:bookmarkEnd w:id="1212"/>
      <w:bookmarkEnd w:id="1213"/>
    </w:p>
    <w:tbl>
      <w:tblPr>
        <w:tblStyle w:val="TableGrid"/>
        <w:tblW w:w="5000" w:type="pct"/>
        <w:tblLook w:val="04A0" w:firstRow="1" w:lastRow="0" w:firstColumn="1" w:lastColumn="0" w:noHBand="0" w:noVBand="1"/>
        <w:tblCaption w:val="Table 136  Mechanisms for the evaluation of drugs for rare diseases, summary by country"/>
      </w:tblPr>
      <w:tblGrid>
        <w:gridCol w:w="2948"/>
        <w:gridCol w:w="5392"/>
        <w:gridCol w:w="5834"/>
      </w:tblGrid>
      <w:tr w:rsidR="003D1E41" w:rsidRPr="00CF661A" w:rsidTr="00731B68">
        <w:trPr>
          <w:tblHeader/>
        </w:trPr>
        <w:tc>
          <w:tcPr>
            <w:tcW w:w="1040" w:type="pct"/>
          </w:tcPr>
          <w:p w:rsidR="003D1E41" w:rsidRPr="0084450C" w:rsidRDefault="003D1E41" w:rsidP="00721386">
            <w:pPr>
              <w:pStyle w:val="TableHeading"/>
            </w:pPr>
            <w:r w:rsidRPr="0084450C">
              <w:t>Country / funding body (references)</w:t>
            </w:r>
          </w:p>
        </w:tc>
        <w:tc>
          <w:tcPr>
            <w:tcW w:w="1902" w:type="pct"/>
          </w:tcPr>
          <w:p w:rsidR="003D1E41" w:rsidRPr="0084450C" w:rsidRDefault="003D1E41" w:rsidP="00721386">
            <w:pPr>
              <w:pStyle w:val="TableHeading"/>
            </w:pPr>
            <w:r w:rsidRPr="0084450C">
              <w:t>Separate review process?</w:t>
            </w:r>
          </w:p>
        </w:tc>
        <w:tc>
          <w:tcPr>
            <w:tcW w:w="2058" w:type="pct"/>
          </w:tcPr>
          <w:p w:rsidR="003D1E41" w:rsidRPr="0084450C" w:rsidRDefault="003D1E41" w:rsidP="00721386">
            <w:pPr>
              <w:pStyle w:val="TableHeading"/>
            </w:pPr>
            <w:r w:rsidRPr="0084450C">
              <w:t xml:space="preserve">Program details </w:t>
            </w:r>
            <w:r w:rsidR="006D0B29" w:rsidRPr="0084450C">
              <w:t>/ eligibility criteria</w:t>
            </w:r>
          </w:p>
        </w:tc>
      </w:tr>
      <w:tr w:rsidR="00731B68" w:rsidRPr="00CF661A" w:rsidTr="00731B68">
        <w:tc>
          <w:tcPr>
            <w:tcW w:w="1040" w:type="pct"/>
          </w:tcPr>
          <w:p w:rsidR="00731B68" w:rsidRPr="00731B68" w:rsidRDefault="00731B68" w:rsidP="00721386">
            <w:pPr>
              <w:pStyle w:val="TableHeading"/>
              <w:rPr>
                <w:b w:val="0"/>
              </w:rPr>
            </w:pPr>
            <w:r>
              <w:rPr>
                <w:b w:val="0"/>
              </w:rPr>
              <w:t>Australia</w:t>
            </w:r>
          </w:p>
        </w:tc>
        <w:tc>
          <w:tcPr>
            <w:tcW w:w="1902" w:type="pct"/>
          </w:tcPr>
          <w:p w:rsidR="00731B68" w:rsidRPr="00731B68" w:rsidRDefault="00731B68" w:rsidP="00721386">
            <w:pPr>
              <w:pStyle w:val="TableHeading"/>
              <w:rPr>
                <w:b w:val="0"/>
              </w:rPr>
            </w:pPr>
            <w:r>
              <w:rPr>
                <w:b w:val="0"/>
              </w:rPr>
              <w:t>No.</w:t>
            </w:r>
          </w:p>
        </w:tc>
        <w:tc>
          <w:tcPr>
            <w:tcW w:w="2058" w:type="pct"/>
          </w:tcPr>
          <w:p w:rsidR="00731B68" w:rsidRPr="00731B68" w:rsidRDefault="00731B68" w:rsidP="00721386">
            <w:pPr>
              <w:pStyle w:val="TableHeading"/>
              <w:rPr>
                <w:b w:val="0"/>
              </w:rPr>
            </w:pPr>
            <w:r>
              <w:rPr>
                <w:b w:val="0"/>
              </w:rPr>
              <w:t>Not applicable.</w:t>
            </w:r>
          </w:p>
        </w:tc>
      </w:tr>
      <w:tr w:rsidR="00721386" w:rsidRPr="00CF661A" w:rsidTr="00731B68">
        <w:tc>
          <w:tcPr>
            <w:tcW w:w="1040" w:type="pct"/>
            <w:tcBorders>
              <w:right w:val="nil"/>
            </w:tcBorders>
            <w:shd w:val="clear" w:color="auto" w:fill="EEECE1" w:themeFill="background2"/>
          </w:tcPr>
          <w:p w:rsidR="00721386" w:rsidRPr="0018718A" w:rsidRDefault="00721386" w:rsidP="00721386">
            <w:pPr>
              <w:keepNext/>
              <w:spacing w:after="0"/>
              <w:jc w:val="left"/>
              <w:rPr>
                <w:rFonts w:ascii="Arial Narrow" w:hAnsi="Arial Narrow"/>
                <w:b/>
                <w:sz w:val="20"/>
                <w:szCs w:val="20"/>
              </w:rPr>
            </w:pPr>
            <w:r w:rsidRPr="0018718A">
              <w:rPr>
                <w:rFonts w:ascii="Arial Narrow" w:hAnsi="Arial Narrow"/>
                <w:b/>
                <w:sz w:val="28"/>
                <w:szCs w:val="20"/>
              </w:rPr>
              <w:t>Europe</w:t>
            </w:r>
          </w:p>
        </w:tc>
        <w:tc>
          <w:tcPr>
            <w:tcW w:w="1902" w:type="pct"/>
            <w:tcBorders>
              <w:left w:val="nil"/>
              <w:right w:val="nil"/>
            </w:tcBorders>
            <w:shd w:val="clear" w:color="auto" w:fill="EEECE1" w:themeFill="background2"/>
          </w:tcPr>
          <w:p w:rsidR="00721386" w:rsidRPr="0018718A" w:rsidRDefault="00721386" w:rsidP="00721386">
            <w:pPr>
              <w:keepNext/>
              <w:spacing w:after="0"/>
              <w:jc w:val="left"/>
              <w:rPr>
                <w:rFonts w:ascii="Arial Narrow" w:hAnsi="Arial Narrow"/>
                <w:b/>
                <w:sz w:val="20"/>
                <w:szCs w:val="20"/>
              </w:rPr>
            </w:pPr>
          </w:p>
        </w:tc>
        <w:tc>
          <w:tcPr>
            <w:tcW w:w="2058" w:type="pct"/>
            <w:tcBorders>
              <w:left w:val="nil"/>
            </w:tcBorders>
            <w:shd w:val="clear" w:color="auto" w:fill="EEECE1" w:themeFill="background2"/>
          </w:tcPr>
          <w:p w:rsidR="00721386" w:rsidRPr="0018718A" w:rsidRDefault="00721386" w:rsidP="00721386">
            <w:pPr>
              <w:keepNext/>
              <w:spacing w:after="0"/>
              <w:jc w:val="left"/>
              <w:rPr>
                <w:rFonts w:ascii="Arial Narrow" w:hAnsi="Arial Narrow"/>
                <w:b/>
                <w:sz w:val="20"/>
                <w:szCs w:val="20"/>
              </w:rPr>
            </w:pPr>
          </w:p>
        </w:tc>
      </w:tr>
      <w:tr w:rsidR="003D1E41" w:rsidRPr="00CF661A" w:rsidTr="00731B68">
        <w:tc>
          <w:tcPr>
            <w:tcW w:w="1040" w:type="pct"/>
          </w:tcPr>
          <w:p w:rsidR="003D1E41" w:rsidRPr="0084450C" w:rsidRDefault="003D1E41" w:rsidP="00721386">
            <w:pPr>
              <w:pStyle w:val="TableText0"/>
            </w:pPr>
            <w:r w:rsidRPr="0084450C">
              <w:t>Belgium</w:t>
            </w:r>
          </w:p>
        </w:tc>
        <w:tc>
          <w:tcPr>
            <w:tcW w:w="1902" w:type="pct"/>
          </w:tcPr>
          <w:p w:rsidR="003D1E41" w:rsidRPr="0084450C" w:rsidRDefault="003D1E41" w:rsidP="00721386">
            <w:pPr>
              <w:pStyle w:val="TableText0"/>
            </w:pPr>
            <w:r w:rsidRPr="0084450C">
              <w:t>No publicly available information.</w:t>
            </w:r>
          </w:p>
        </w:tc>
        <w:tc>
          <w:tcPr>
            <w:tcW w:w="2058" w:type="pct"/>
          </w:tcPr>
          <w:p w:rsidR="003D1E41" w:rsidRPr="0084450C" w:rsidRDefault="003D1E41" w:rsidP="00721386">
            <w:pPr>
              <w:pStyle w:val="TableText0"/>
            </w:pPr>
            <w:r w:rsidRPr="0084450C">
              <w:t>Not applicable.</w:t>
            </w:r>
          </w:p>
        </w:tc>
      </w:tr>
      <w:tr w:rsidR="003D1E41" w:rsidRPr="00CF661A" w:rsidTr="00731B68">
        <w:tc>
          <w:tcPr>
            <w:tcW w:w="1040" w:type="pct"/>
          </w:tcPr>
          <w:p w:rsidR="003D1E41" w:rsidRPr="0084450C" w:rsidRDefault="003D1E41" w:rsidP="00721386">
            <w:pPr>
              <w:pStyle w:val="TableText0"/>
            </w:pPr>
            <w:r w:rsidRPr="0084450C">
              <w:t>Austria</w:t>
            </w:r>
          </w:p>
        </w:tc>
        <w:tc>
          <w:tcPr>
            <w:tcW w:w="1902" w:type="pct"/>
          </w:tcPr>
          <w:p w:rsidR="003D1E41" w:rsidRPr="0084450C" w:rsidRDefault="003D1E41" w:rsidP="00721386">
            <w:pPr>
              <w:pStyle w:val="TableText0"/>
            </w:pPr>
            <w:r w:rsidRPr="0084450C">
              <w:t>No publicly available information.</w:t>
            </w:r>
          </w:p>
        </w:tc>
        <w:tc>
          <w:tcPr>
            <w:tcW w:w="2058" w:type="pct"/>
          </w:tcPr>
          <w:p w:rsidR="003D1E41" w:rsidRPr="0084450C" w:rsidRDefault="003D1E41" w:rsidP="00721386">
            <w:pPr>
              <w:pStyle w:val="TableText0"/>
            </w:pPr>
            <w:r w:rsidRPr="0084450C">
              <w:t>Not applicable.</w:t>
            </w:r>
          </w:p>
        </w:tc>
      </w:tr>
      <w:tr w:rsidR="003D1E41" w:rsidRPr="00CF661A" w:rsidTr="00731B68">
        <w:tc>
          <w:tcPr>
            <w:tcW w:w="1040" w:type="pct"/>
          </w:tcPr>
          <w:p w:rsidR="003D1E41" w:rsidRPr="0084450C" w:rsidRDefault="003D1E41" w:rsidP="00184B6F">
            <w:pPr>
              <w:pStyle w:val="TableText0"/>
            </w:pPr>
            <w:r w:rsidRPr="0084450C">
              <w:t xml:space="preserve">Dutch Duel insurance system </w:t>
            </w:r>
            <w:r w:rsidR="00A130D0">
              <w:rPr>
                <w:noProof/>
              </w:rPr>
              <w:t>(</w:t>
            </w:r>
            <w:r w:rsidR="00184B6F">
              <w:rPr>
                <w:noProof/>
              </w:rPr>
              <w:t>Garau &amp; Mestre-Ferrandiz 2009</w:t>
            </w:r>
            <w:r w:rsidR="00A130D0">
              <w:rPr>
                <w:noProof/>
              </w:rPr>
              <w:t>)</w:t>
            </w:r>
          </w:p>
        </w:tc>
        <w:tc>
          <w:tcPr>
            <w:tcW w:w="1902" w:type="pct"/>
          </w:tcPr>
          <w:p w:rsidR="003D1E41" w:rsidRPr="0084450C" w:rsidRDefault="003D1E41" w:rsidP="00721386">
            <w:pPr>
              <w:pStyle w:val="TableText0"/>
            </w:pPr>
            <w:r w:rsidRPr="0084450C">
              <w:t xml:space="preserve">Non-hospital treatments: No. However, some “modifiers” are acceptable for orphan drugs (see </w:t>
            </w:r>
            <w:r w:rsidR="00A72B26">
              <w:t>Table 175</w:t>
            </w:r>
            <w:r w:rsidRPr="0084450C">
              <w:t>).</w:t>
            </w:r>
          </w:p>
          <w:p w:rsidR="003D1E41" w:rsidRPr="0084450C" w:rsidRDefault="003D1E41" w:rsidP="00721386">
            <w:pPr>
              <w:pStyle w:val="TableText0"/>
            </w:pPr>
          </w:p>
          <w:p w:rsidR="003D1E41" w:rsidRPr="0084450C" w:rsidRDefault="003D1E41" w:rsidP="00721386">
            <w:pPr>
              <w:pStyle w:val="TableText0"/>
            </w:pPr>
            <w:r w:rsidRPr="0084450C">
              <w:t>Hospital-based treatments: Yes</w:t>
            </w:r>
          </w:p>
        </w:tc>
        <w:tc>
          <w:tcPr>
            <w:tcW w:w="2058" w:type="pct"/>
          </w:tcPr>
          <w:p w:rsidR="003D1E41" w:rsidRPr="0084450C" w:rsidRDefault="003D1E41" w:rsidP="00721386">
            <w:pPr>
              <w:pStyle w:val="TableText0"/>
            </w:pPr>
            <w:r w:rsidRPr="0084450C">
              <w:rPr>
                <w:u w:val="single"/>
              </w:rPr>
              <w:t>Hospital-based treatments</w:t>
            </w:r>
            <w:r w:rsidRPr="0084450C">
              <w:t>: For hospital (intramural) treatments, a new instrument (the diagnosis/treatment combinations (DBCs)) for the performance-based costing system for hospital care and for mental health care was introduced in 2005. For rare diseases, if there is no DBC, OMPs that are used in hospitals may be provisionally listed via a policy rule with the condition of collecting further evidence and having a re-appraisal in no more than 3 years’ time.</w:t>
            </w:r>
          </w:p>
        </w:tc>
      </w:tr>
      <w:tr w:rsidR="003D1E41" w:rsidRPr="00CF661A" w:rsidTr="00731B68">
        <w:tc>
          <w:tcPr>
            <w:tcW w:w="1040" w:type="pct"/>
          </w:tcPr>
          <w:p w:rsidR="003D1E41" w:rsidRPr="0084450C" w:rsidRDefault="003D1E41" w:rsidP="00184B6F">
            <w:pPr>
              <w:pStyle w:val="TableText0"/>
            </w:pPr>
            <w:r w:rsidRPr="0084450C">
              <w:t xml:space="preserve">Swedish National Health Service </w:t>
            </w:r>
            <w:r w:rsidR="00A130D0">
              <w:rPr>
                <w:noProof/>
              </w:rPr>
              <w:t>(</w:t>
            </w:r>
            <w:r w:rsidR="00184B6F">
              <w:rPr>
                <w:noProof/>
              </w:rPr>
              <w:t>Garau &amp; Mestre-Ferrandiz 2009</w:t>
            </w:r>
            <w:r w:rsidR="00A130D0">
              <w:rPr>
                <w:noProof/>
              </w:rPr>
              <w:t xml:space="preserve">; </w:t>
            </w:r>
            <w:r w:rsidR="00184B6F">
              <w:rPr>
                <w:noProof/>
              </w:rPr>
              <w:t>ISPOR 2009e</w:t>
            </w:r>
            <w:r w:rsidR="00A130D0">
              <w:rPr>
                <w:noProof/>
              </w:rPr>
              <w:t>)</w:t>
            </w:r>
          </w:p>
        </w:tc>
        <w:tc>
          <w:tcPr>
            <w:tcW w:w="1902" w:type="pct"/>
          </w:tcPr>
          <w:p w:rsidR="003D1E41" w:rsidRPr="0084450C" w:rsidRDefault="003D1E41" w:rsidP="00721386">
            <w:pPr>
              <w:pStyle w:val="TableText0"/>
            </w:pPr>
            <w:r w:rsidRPr="0084450C">
              <w:t xml:space="preserve">No </w:t>
            </w:r>
          </w:p>
        </w:tc>
        <w:tc>
          <w:tcPr>
            <w:tcW w:w="2058" w:type="pct"/>
          </w:tcPr>
          <w:p w:rsidR="003D1E41" w:rsidRPr="0084450C" w:rsidRDefault="003D1E41" w:rsidP="00721386">
            <w:pPr>
              <w:pStyle w:val="TableText0"/>
            </w:pPr>
            <w:r w:rsidRPr="0084450C">
              <w:t>Not applicable.</w:t>
            </w:r>
          </w:p>
        </w:tc>
      </w:tr>
      <w:tr w:rsidR="003D1E41" w:rsidRPr="00CF661A" w:rsidTr="00731B68">
        <w:tc>
          <w:tcPr>
            <w:tcW w:w="1040" w:type="pct"/>
          </w:tcPr>
          <w:p w:rsidR="003D1E41" w:rsidRPr="0084450C" w:rsidRDefault="003D1E41" w:rsidP="00184B6F">
            <w:pPr>
              <w:pStyle w:val="TableText0"/>
            </w:pPr>
            <w:r w:rsidRPr="0084450C">
              <w:t xml:space="preserve">Spanish national Health Service </w:t>
            </w:r>
            <w:r w:rsidR="00A130D0">
              <w:rPr>
                <w:noProof/>
              </w:rPr>
              <w:t>(</w:t>
            </w:r>
            <w:r w:rsidR="00184B6F">
              <w:rPr>
                <w:noProof/>
              </w:rPr>
              <w:t>Garau &amp; Mestre-Ferrandiz 2009</w:t>
            </w:r>
            <w:r w:rsidR="00A130D0">
              <w:rPr>
                <w:noProof/>
              </w:rPr>
              <w:t xml:space="preserve">; </w:t>
            </w:r>
            <w:r w:rsidR="00184B6F">
              <w:rPr>
                <w:noProof/>
              </w:rPr>
              <w:t>ISPOR 2009d</w:t>
            </w:r>
            <w:r w:rsidR="00A130D0">
              <w:rPr>
                <w:noProof/>
              </w:rPr>
              <w:t>)</w:t>
            </w:r>
          </w:p>
        </w:tc>
        <w:tc>
          <w:tcPr>
            <w:tcW w:w="1902" w:type="pct"/>
          </w:tcPr>
          <w:p w:rsidR="003D1E41" w:rsidRPr="0084450C" w:rsidRDefault="003D1E41" w:rsidP="00721386">
            <w:pPr>
              <w:pStyle w:val="TableText0"/>
            </w:pPr>
            <w:r w:rsidRPr="0084450C">
              <w:t>No</w:t>
            </w:r>
          </w:p>
        </w:tc>
        <w:tc>
          <w:tcPr>
            <w:tcW w:w="2058" w:type="pct"/>
          </w:tcPr>
          <w:p w:rsidR="003D1E41" w:rsidRPr="0084450C" w:rsidRDefault="003D1E41" w:rsidP="00721386">
            <w:pPr>
              <w:pStyle w:val="TableText0"/>
            </w:pPr>
            <w:r w:rsidRPr="0084450C">
              <w:t>Not applicable.</w:t>
            </w:r>
          </w:p>
          <w:p w:rsidR="003D1E41" w:rsidRPr="009518C9" w:rsidRDefault="003D1E41" w:rsidP="00721386">
            <w:pPr>
              <w:pStyle w:val="TableText0"/>
            </w:pPr>
          </w:p>
        </w:tc>
      </w:tr>
      <w:tr w:rsidR="003D1E41" w:rsidRPr="00CF661A" w:rsidTr="00731B68">
        <w:tc>
          <w:tcPr>
            <w:tcW w:w="1040" w:type="pct"/>
          </w:tcPr>
          <w:p w:rsidR="003D1E41" w:rsidRPr="0084450C" w:rsidRDefault="003D1E41" w:rsidP="00184B6F">
            <w:pPr>
              <w:pStyle w:val="TableText0"/>
            </w:pPr>
            <w:r w:rsidRPr="0084450C">
              <w:t xml:space="preserve">Italian National Health Service </w:t>
            </w:r>
            <w:r w:rsidR="00A130D0">
              <w:rPr>
                <w:noProof/>
              </w:rPr>
              <w:t>(</w:t>
            </w:r>
            <w:r w:rsidR="00184B6F">
              <w:rPr>
                <w:noProof/>
              </w:rPr>
              <w:t>Garau &amp; Mestre-Ferrandiz 2009</w:t>
            </w:r>
            <w:r w:rsidR="00A130D0">
              <w:rPr>
                <w:noProof/>
              </w:rPr>
              <w:t>)</w:t>
            </w:r>
          </w:p>
        </w:tc>
        <w:tc>
          <w:tcPr>
            <w:tcW w:w="1902" w:type="pct"/>
          </w:tcPr>
          <w:p w:rsidR="003D1E41" w:rsidRPr="0084450C" w:rsidRDefault="003D1E41" w:rsidP="00721386">
            <w:pPr>
              <w:pStyle w:val="TableText0"/>
            </w:pPr>
            <w:r w:rsidRPr="0084450C">
              <w:t>Yes and No</w:t>
            </w:r>
          </w:p>
          <w:p w:rsidR="003D1E41" w:rsidRPr="0084450C" w:rsidRDefault="003D1E41" w:rsidP="00721386">
            <w:pPr>
              <w:pStyle w:val="TableText0"/>
            </w:pPr>
            <w:r w:rsidRPr="0084450C">
              <w:t>Three mechanisms for public funding of pharmaceuticals:</w:t>
            </w:r>
          </w:p>
          <w:p w:rsidR="003D1E41" w:rsidRPr="0084450C" w:rsidRDefault="003D1E41" w:rsidP="00721386">
            <w:pPr>
              <w:pStyle w:val="TableText0"/>
            </w:pPr>
            <w:r w:rsidRPr="0084450C">
              <w:t>1) Standard process</w:t>
            </w:r>
          </w:p>
          <w:p w:rsidR="003D1E41" w:rsidRPr="0084450C" w:rsidRDefault="003D1E41" w:rsidP="00721386">
            <w:pPr>
              <w:pStyle w:val="TableText0"/>
            </w:pPr>
            <w:r w:rsidRPr="0084450C">
              <w:t>2) Under the Law 648/96</w:t>
            </w:r>
          </w:p>
          <w:p w:rsidR="003D1E41" w:rsidRPr="0084450C" w:rsidRDefault="003D1E41" w:rsidP="00721386">
            <w:pPr>
              <w:pStyle w:val="TableText0"/>
            </w:pPr>
            <w:r w:rsidRPr="0084450C">
              <w:t>3) Orphan drug specific process (funding for access to drugs for rare diseases before marketing authorisation)</w:t>
            </w:r>
          </w:p>
        </w:tc>
        <w:tc>
          <w:tcPr>
            <w:tcW w:w="2058" w:type="pct"/>
          </w:tcPr>
          <w:p w:rsidR="003D1E41" w:rsidRPr="0084450C" w:rsidRDefault="003D1E41" w:rsidP="000959DF">
            <w:pPr>
              <w:pStyle w:val="TableText0"/>
              <w:numPr>
                <w:ilvl w:val="0"/>
                <w:numId w:val="45"/>
              </w:numPr>
            </w:pPr>
            <w:r w:rsidRPr="0084450C">
              <w:rPr>
                <w:u w:val="single"/>
              </w:rPr>
              <w:t xml:space="preserve">Standard process: </w:t>
            </w:r>
            <w:r w:rsidRPr="0084450C">
              <w:t xml:space="preserve">medicines authorised either by the EMEA centralised procedure or the national procedure have to go through the standard assessment of clinical value performed by the Italian Pharmaceutical Agency (Agenzia Italiana </w:t>
            </w:r>
            <w:proofErr w:type="gramStart"/>
            <w:r w:rsidRPr="0084450C">
              <w:t>del</w:t>
            </w:r>
            <w:proofErr w:type="gramEnd"/>
            <w:r w:rsidRPr="0084450C">
              <w:t xml:space="preserve"> Farmaco - AIFA). There are two committees work together within the AIFA, the Technical Scientific Committee (CTS) and the Pricing and Reimbursement Committee (CPR). The remit of the CTS is to examine the dossiers submitted by manufacturers and to provide the CPR with an assessment of the efficacy of the new drug. The CPR, in turn, sets the price of new medicines and chooses their reimbursement class. </w:t>
            </w:r>
          </w:p>
          <w:p w:rsidR="003D1E41" w:rsidRPr="0084450C" w:rsidRDefault="003D1E41" w:rsidP="000959DF">
            <w:pPr>
              <w:pStyle w:val="TableText0"/>
              <w:numPr>
                <w:ilvl w:val="0"/>
                <w:numId w:val="45"/>
              </w:numPr>
            </w:pPr>
            <w:r w:rsidRPr="0084450C">
              <w:rPr>
                <w:u w:val="single"/>
              </w:rPr>
              <w:lastRenderedPageBreak/>
              <w:t>Law 648/96</w:t>
            </w:r>
            <w:r w:rsidRPr="0084450C">
              <w:t>: relates to a national law supporting the provision of treatments for conditions that have no valid alternative therapy available. The law allows the Italian National Health Service to reimburse medicines for which results of Phase II trials are available and which meet one of the following characteristics: i ) they are authorised in other countries; ii) they are being tested in a Phase III clinical trial; and iii) they are marketed for another therapeutic indication.</w:t>
            </w:r>
          </w:p>
          <w:p w:rsidR="003D1E41" w:rsidRPr="0084450C" w:rsidRDefault="003D1E41" w:rsidP="000959DF">
            <w:pPr>
              <w:pStyle w:val="TableText0"/>
              <w:numPr>
                <w:ilvl w:val="0"/>
                <w:numId w:val="45"/>
              </w:numPr>
            </w:pPr>
            <w:r w:rsidRPr="0084450C">
              <w:rPr>
                <w:u w:val="single"/>
              </w:rPr>
              <w:t>Orphan drug specific process:</w:t>
            </w:r>
            <w:r w:rsidRPr="0084450C">
              <w:t xml:space="preserve"> 5% AIFA special fund, a contribution paid by pharmaceutical companies to AIFA to be reinvested for the promotion of independent research and access to treatments for rare diseases. According to the regulation, half of the fund should be devoted to providing access to medicines for rare diseases before marketing authorisation. The other half of the fund should be devoted to promoting independent research and other correlated activities (for example, pharmacovigilance programmes, communication and promotion of appropriate use of available medicines).</w:t>
            </w:r>
          </w:p>
        </w:tc>
      </w:tr>
      <w:tr w:rsidR="003D1E41" w:rsidRPr="00CF661A" w:rsidTr="00731B68">
        <w:tc>
          <w:tcPr>
            <w:tcW w:w="1040" w:type="pct"/>
          </w:tcPr>
          <w:p w:rsidR="003D1E41" w:rsidRPr="0084450C" w:rsidRDefault="003D1E41" w:rsidP="00184B6F">
            <w:pPr>
              <w:pStyle w:val="TableText0"/>
            </w:pPr>
            <w:r w:rsidRPr="0084450C">
              <w:lastRenderedPageBreak/>
              <w:t xml:space="preserve">German Statutory Health Insurance </w:t>
            </w:r>
            <w:r w:rsidR="00A130D0">
              <w:rPr>
                <w:noProof/>
              </w:rPr>
              <w:t>(</w:t>
            </w:r>
            <w:r w:rsidR="00184B6F">
              <w:rPr>
                <w:noProof/>
              </w:rPr>
              <w:t>Garau &amp; Mestre-Ferrandiz 2009</w:t>
            </w:r>
            <w:r w:rsidR="00A130D0">
              <w:rPr>
                <w:noProof/>
              </w:rPr>
              <w:t>)</w:t>
            </w:r>
          </w:p>
        </w:tc>
        <w:tc>
          <w:tcPr>
            <w:tcW w:w="1902" w:type="pct"/>
          </w:tcPr>
          <w:p w:rsidR="003D1E41" w:rsidRPr="0084450C" w:rsidRDefault="003D1E41" w:rsidP="00721386">
            <w:pPr>
              <w:pStyle w:val="TableText0"/>
            </w:pPr>
            <w:r w:rsidRPr="0084450C">
              <w:t>No. However, as the there is no alternative therapeutic option (comparator) existing for a majority of orphan drugs, they will not be assessed by IQWiG and will generally be granted reimbursement status with no price limit.</w:t>
            </w:r>
          </w:p>
        </w:tc>
        <w:tc>
          <w:tcPr>
            <w:tcW w:w="2058" w:type="pct"/>
          </w:tcPr>
          <w:p w:rsidR="003D1E41" w:rsidRPr="0084450C" w:rsidRDefault="003D1E41" w:rsidP="00721386">
            <w:pPr>
              <w:pStyle w:val="TableText0"/>
            </w:pPr>
            <w:r w:rsidRPr="0084450C">
              <w:t>Not applicable.</w:t>
            </w:r>
          </w:p>
        </w:tc>
      </w:tr>
      <w:tr w:rsidR="003D1E41" w:rsidRPr="00CF661A" w:rsidTr="00731B68">
        <w:tc>
          <w:tcPr>
            <w:tcW w:w="1040" w:type="pct"/>
          </w:tcPr>
          <w:p w:rsidR="003D1E41" w:rsidRPr="0084450C" w:rsidRDefault="003D1E41" w:rsidP="00184B6F">
            <w:pPr>
              <w:pStyle w:val="TableText0"/>
            </w:pPr>
            <w:r w:rsidRPr="0084450C">
              <w:t xml:space="preserve">French National Health Insurance </w:t>
            </w:r>
            <w:r w:rsidR="00A130D0">
              <w:rPr>
                <w:noProof/>
              </w:rPr>
              <w:t>(</w:t>
            </w:r>
            <w:r w:rsidR="00184B6F">
              <w:rPr>
                <w:noProof/>
              </w:rPr>
              <w:t>Garau &amp; Mestre-Ferrandiz 2009</w:t>
            </w:r>
            <w:r w:rsidR="00A130D0">
              <w:rPr>
                <w:noProof/>
              </w:rPr>
              <w:t>)</w:t>
            </w:r>
          </w:p>
        </w:tc>
        <w:tc>
          <w:tcPr>
            <w:tcW w:w="1902" w:type="pct"/>
          </w:tcPr>
          <w:p w:rsidR="003D1E41" w:rsidRPr="0084450C" w:rsidRDefault="003D1E41" w:rsidP="00721386">
            <w:pPr>
              <w:pStyle w:val="TableText0"/>
            </w:pPr>
            <w:r w:rsidRPr="0084450C">
              <w:t xml:space="preserve">No. However, clinical evidence used for the assessment of the medical value (Service Médical rendu (SMR) of orphan drugs reflects the limitations associated with rare conditions. See </w:t>
            </w:r>
            <w:r w:rsidR="00A72B26">
              <w:t>Table 175</w:t>
            </w:r>
            <w:r w:rsidRPr="0084450C">
              <w:t>.</w:t>
            </w:r>
          </w:p>
        </w:tc>
        <w:tc>
          <w:tcPr>
            <w:tcW w:w="2058" w:type="pct"/>
          </w:tcPr>
          <w:p w:rsidR="003D1E41" w:rsidRPr="0084450C" w:rsidRDefault="003D1E41" w:rsidP="00721386">
            <w:pPr>
              <w:pStyle w:val="TableText0"/>
            </w:pPr>
            <w:r w:rsidRPr="0084450C">
              <w:t>Not applicable.</w:t>
            </w:r>
          </w:p>
          <w:p w:rsidR="003D1E41" w:rsidRPr="00CF661A" w:rsidRDefault="003D1E41" w:rsidP="00721386">
            <w:pPr>
              <w:pStyle w:val="TableText0"/>
            </w:pPr>
          </w:p>
        </w:tc>
      </w:tr>
      <w:tr w:rsidR="003D1E41" w:rsidRPr="00CF661A" w:rsidTr="00731B68">
        <w:tc>
          <w:tcPr>
            <w:tcW w:w="1040" w:type="pct"/>
          </w:tcPr>
          <w:p w:rsidR="003D1E41" w:rsidRPr="0084450C" w:rsidRDefault="003D1E41" w:rsidP="00721386">
            <w:pPr>
              <w:pStyle w:val="TableText0"/>
            </w:pPr>
            <w:r w:rsidRPr="0084450C">
              <w:t xml:space="preserve">National Health Service (NHS), England and Wales </w:t>
            </w:r>
            <w:r w:rsidR="00A130D0">
              <w:rPr>
                <w:noProof/>
              </w:rPr>
              <w:t>(</w:t>
            </w:r>
            <w:r w:rsidR="00184B6F">
              <w:rPr>
                <w:noProof/>
              </w:rPr>
              <w:t>Canadian Agency for Drugs and Technologies in Health 2013</w:t>
            </w:r>
            <w:r w:rsidR="00A130D0">
              <w:rPr>
                <w:noProof/>
              </w:rPr>
              <w:t xml:space="preserve">; </w:t>
            </w:r>
            <w:r w:rsidR="00184B6F">
              <w:rPr>
                <w:noProof/>
              </w:rPr>
              <w:t>Department of Health &amp; The Rt Hon Earl Howe 2012</w:t>
            </w:r>
            <w:r w:rsidR="00A130D0">
              <w:rPr>
                <w:noProof/>
              </w:rPr>
              <w:t xml:space="preserve">; </w:t>
            </w:r>
            <w:r w:rsidR="00184B6F">
              <w:rPr>
                <w:noProof/>
              </w:rPr>
              <w:t xml:space="preserve">National Institute for Health and Care </w:t>
            </w:r>
            <w:r w:rsidR="00184B6F">
              <w:rPr>
                <w:noProof/>
              </w:rPr>
              <w:lastRenderedPageBreak/>
              <w:t>Excellence 2013</w:t>
            </w:r>
            <w:r w:rsidR="00A130D0">
              <w:rPr>
                <w:noProof/>
              </w:rPr>
              <w:t>)</w:t>
            </w:r>
            <w:r w:rsidRPr="0084450C">
              <w:t xml:space="preserve"> </w:t>
            </w:r>
          </w:p>
          <w:p w:rsidR="003D1E41" w:rsidRPr="00CF661A" w:rsidRDefault="003D1E41" w:rsidP="00721386">
            <w:pPr>
              <w:pStyle w:val="TableText0"/>
            </w:pPr>
          </w:p>
        </w:tc>
        <w:tc>
          <w:tcPr>
            <w:tcW w:w="1902" w:type="pct"/>
          </w:tcPr>
          <w:p w:rsidR="003D1E41" w:rsidRPr="0084450C" w:rsidRDefault="003D1E41" w:rsidP="00721386">
            <w:pPr>
              <w:pStyle w:val="TableText0"/>
            </w:pPr>
            <w:r w:rsidRPr="0084450C">
              <w:lastRenderedPageBreak/>
              <w:t>Yes, but only for ultra-orphan drugs: Highly specialised technologies programme (interim process)</w:t>
            </w:r>
          </w:p>
          <w:p w:rsidR="003D1E41" w:rsidRPr="00CF661A" w:rsidRDefault="003D1E41" w:rsidP="00721386">
            <w:pPr>
              <w:pStyle w:val="TableText0"/>
            </w:pPr>
          </w:p>
        </w:tc>
        <w:tc>
          <w:tcPr>
            <w:tcW w:w="2058" w:type="pct"/>
          </w:tcPr>
          <w:p w:rsidR="003D1E41" w:rsidRPr="0084450C" w:rsidRDefault="003D1E41" w:rsidP="00721386">
            <w:pPr>
              <w:pStyle w:val="TableText0"/>
            </w:pPr>
            <w:r w:rsidRPr="0084450C">
              <w:t xml:space="preserve">Since April 2013, the National Institute for Health and Care Excellence (NICE) has been responsible for evaluating highly specialised health technologies for people in England with very rare (ultra-orphan) diseases. NICE has developed interim processes and methods built on the decision-making framework developed by the Advisory Group for National Specialised Services (AGNSS), which previously evaluated these technologies. </w:t>
            </w:r>
          </w:p>
          <w:p w:rsidR="003D1E41" w:rsidRPr="0084450C" w:rsidRDefault="003D1E41" w:rsidP="00721386">
            <w:pPr>
              <w:pStyle w:val="TableText0"/>
            </w:pPr>
            <w:r w:rsidRPr="0084450C">
              <w:lastRenderedPageBreak/>
              <w:t xml:space="preserve">The evaluation of technologies by the “highly specialised technologies programme” engages a specific evaluation committee that is an independent advisory body. The committee, comprising individuals who work in the National Health Service, pharmaceutical and medical devices industries, patient and caregiver organisations, and relevant academic disciplines, makes recommendations to NICE for or against the use of a technology based on its costs and benefits. </w:t>
            </w:r>
          </w:p>
          <w:p w:rsidR="003D1E41" w:rsidRPr="0084450C" w:rsidRDefault="003D1E41" w:rsidP="00721386">
            <w:pPr>
              <w:pStyle w:val="TableText0"/>
            </w:pPr>
            <w:r w:rsidRPr="0084450C">
              <w:t>AGNSS followed a multi-criteria decision analysis framework that used a broad range of criteria beyond cost-effectiveness and holistic view across all of the criteria. The two-step procedure involved an initial assessment of nine entry criteria relating to the rarity of the condition and complexity of its care. Once accepted, the application was assessed based on 12 core criteria organised into the following 4 subgroups: i) health gain; ii) societal value; iii) reasonable cost; and iv) best practice.</w:t>
            </w:r>
          </w:p>
        </w:tc>
      </w:tr>
      <w:tr w:rsidR="003D1E41" w:rsidRPr="00CF661A" w:rsidTr="00731B68">
        <w:tc>
          <w:tcPr>
            <w:tcW w:w="1040" w:type="pct"/>
          </w:tcPr>
          <w:p w:rsidR="003D1E41" w:rsidRPr="0084450C" w:rsidRDefault="003D1E41" w:rsidP="00184B6F">
            <w:pPr>
              <w:pStyle w:val="TableText0"/>
            </w:pPr>
            <w:r w:rsidRPr="0084450C">
              <w:lastRenderedPageBreak/>
              <w:t xml:space="preserve">NHS Scotland </w:t>
            </w:r>
            <w:r w:rsidR="00A130D0">
              <w:rPr>
                <w:noProof/>
              </w:rPr>
              <w:t>(</w:t>
            </w:r>
            <w:r w:rsidR="00184B6F">
              <w:rPr>
                <w:noProof/>
              </w:rPr>
              <w:t>Canadian Agency for Drugs and Technologies in Health 2013</w:t>
            </w:r>
            <w:r w:rsidR="00A130D0">
              <w:rPr>
                <w:noProof/>
              </w:rPr>
              <w:t>)</w:t>
            </w:r>
          </w:p>
        </w:tc>
        <w:tc>
          <w:tcPr>
            <w:tcW w:w="1902" w:type="pct"/>
          </w:tcPr>
          <w:p w:rsidR="003D1E41" w:rsidRPr="0084450C" w:rsidRDefault="003D1E41" w:rsidP="00721386">
            <w:pPr>
              <w:pStyle w:val="TableText0"/>
            </w:pPr>
            <w:r w:rsidRPr="0084450C">
              <w:t xml:space="preserve">No. However, some “modifiers” are acceptable for orphan drugs. See </w:t>
            </w:r>
            <w:r w:rsidR="00A72B26">
              <w:t>Table 175</w:t>
            </w:r>
            <w:r w:rsidRPr="0084450C">
              <w:t>.</w:t>
            </w:r>
          </w:p>
        </w:tc>
        <w:tc>
          <w:tcPr>
            <w:tcW w:w="2058" w:type="pct"/>
          </w:tcPr>
          <w:p w:rsidR="003D1E41" w:rsidRPr="0084450C" w:rsidRDefault="003D1E41" w:rsidP="00721386">
            <w:pPr>
              <w:pStyle w:val="TableText0"/>
            </w:pPr>
            <w:r w:rsidRPr="0084450C">
              <w:t>Not Applicable.</w:t>
            </w:r>
          </w:p>
        </w:tc>
      </w:tr>
      <w:tr w:rsidR="00721386" w:rsidRPr="00CF661A" w:rsidTr="00731B68">
        <w:tc>
          <w:tcPr>
            <w:tcW w:w="1040" w:type="pct"/>
            <w:tcBorders>
              <w:right w:val="nil"/>
            </w:tcBorders>
            <w:shd w:val="clear" w:color="auto" w:fill="EEECE1" w:themeFill="background2"/>
          </w:tcPr>
          <w:p w:rsidR="00721386" w:rsidRPr="00AE2273" w:rsidRDefault="00721386" w:rsidP="00721386">
            <w:pPr>
              <w:keepNext/>
              <w:spacing w:after="0"/>
              <w:jc w:val="left"/>
              <w:rPr>
                <w:rFonts w:ascii="Arial Narrow" w:hAnsi="Arial Narrow"/>
                <w:b/>
                <w:sz w:val="20"/>
                <w:szCs w:val="20"/>
              </w:rPr>
            </w:pPr>
            <w:r w:rsidRPr="00AE2273">
              <w:rPr>
                <w:rFonts w:ascii="Arial Narrow" w:hAnsi="Arial Narrow"/>
                <w:b/>
                <w:sz w:val="28"/>
                <w:szCs w:val="20"/>
              </w:rPr>
              <w:t>Canada</w:t>
            </w:r>
          </w:p>
        </w:tc>
        <w:tc>
          <w:tcPr>
            <w:tcW w:w="1902" w:type="pct"/>
            <w:tcBorders>
              <w:left w:val="nil"/>
              <w:right w:val="nil"/>
            </w:tcBorders>
            <w:shd w:val="clear" w:color="auto" w:fill="EEECE1" w:themeFill="background2"/>
          </w:tcPr>
          <w:p w:rsidR="00721386" w:rsidRPr="00AE2273" w:rsidRDefault="00721386" w:rsidP="00721386">
            <w:pPr>
              <w:keepNext/>
              <w:spacing w:after="0"/>
              <w:jc w:val="left"/>
              <w:rPr>
                <w:rFonts w:ascii="Arial Narrow" w:hAnsi="Arial Narrow"/>
                <w:b/>
                <w:sz w:val="20"/>
                <w:szCs w:val="20"/>
              </w:rPr>
            </w:pPr>
          </w:p>
        </w:tc>
        <w:tc>
          <w:tcPr>
            <w:tcW w:w="2058" w:type="pct"/>
            <w:tcBorders>
              <w:left w:val="nil"/>
            </w:tcBorders>
            <w:shd w:val="clear" w:color="auto" w:fill="EEECE1" w:themeFill="background2"/>
          </w:tcPr>
          <w:p w:rsidR="00721386" w:rsidRPr="00AE2273" w:rsidRDefault="00721386" w:rsidP="00721386">
            <w:pPr>
              <w:keepNext/>
              <w:spacing w:after="0"/>
              <w:jc w:val="left"/>
              <w:rPr>
                <w:rFonts w:ascii="Arial Narrow" w:hAnsi="Arial Narrow"/>
                <w:b/>
                <w:sz w:val="20"/>
                <w:szCs w:val="20"/>
              </w:rPr>
            </w:pPr>
          </w:p>
        </w:tc>
      </w:tr>
      <w:tr w:rsidR="003D1E41" w:rsidRPr="00CF661A" w:rsidTr="00731B68">
        <w:tc>
          <w:tcPr>
            <w:tcW w:w="1040" w:type="pct"/>
            <w:tcBorders>
              <w:right w:val="single" w:sz="4" w:space="0" w:color="auto"/>
            </w:tcBorders>
          </w:tcPr>
          <w:p w:rsidR="003D1E41" w:rsidRPr="0084450C" w:rsidRDefault="003D1E41" w:rsidP="00184B6F">
            <w:pPr>
              <w:pStyle w:val="TableText0"/>
            </w:pPr>
            <w:r w:rsidRPr="0084450C">
              <w:t xml:space="preserve">Ontario health authority </w:t>
            </w:r>
            <w:r w:rsidR="00A130D0">
              <w:rPr>
                <w:noProof/>
              </w:rPr>
              <w:t>(</w:t>
            </w:r>
            <w:r w:rsidR="00184B6F">
              <w:rPr>
                <w:noProof/>
              </w:rPr>
              <w:t>Canadian Agency for Drugs and Technologies in Health 2013</w:t>
            </w:r>
            <w:r w:rsidR="00A130D0">
              <w:rPr>
                <w:noProof/>
              </w:rPr>
              <w:t>)</w:t>
            </w:r>
            <w:r w:rsidRPr="0084450C">
              <w:t xml:space="preserve"> </w:t>
            </w:r>
          </w:p>
        </w:tc>
        <w:tc>
          <w:tcPr>
            <w:tcW w:w="1902" w:type="pct"/>
            <w:tcBorders>
              <w:left w:val="single" w:sz="4" w:space="0" w:color="auto"/>
              <w:right w:val="single" w:sz="4" w:space="0" w:color="auto"/>
            </w:tcBorders>
          </w:tcPr>
          <w:p w:rsidR="003D1E41" w:rsidRPr="0084450C" w:rsidRDefault="003D1E41" w:rsidP="00721386">
            <w:pPr>
              <w:pStyle w:val="TableText0"/>
            </w:pPr>
            <w:r w:rsidRPr="0084450C">
              <w:t>Yes, Ontario’s DRD Evaluation Framework</w:t>
            </w:r>
          </w:p>
        </w:tc>
        <w:tc>
          <w:tcPr>
            <w:tcW w:w="2058" w:type="pct"/>
            <w:tcBorders>
              <w:left w:val="single" w:sz="4" w:space="0" w:color="auto"/>
            </w:tcBorders>
          </w:tcPr>
          <w:p w:rsidR="003D1E41" w:rsidRPr="0084450C" w:rsidRDefault="003D1E41" w:rsidP="00721386">
            <w:pPr>
              <w:pStyle w:val="TableText0"/>
            </w:pPr>
            <w:r w:rsidRPr="0084450C">
              <w:t xml:space="preserve">Eligibility criteria: </w:t>
            </w:r>
          </w:p>
          <w:p w:rsidR="003D1E41" w:rsidRPr="0084450C" w:rsidRDefault="003D1E41" w:rsidP="00721386">
            <w:pPr>
              <w:pStyle w:val="TableText0"/>
            </w:pPr>
            <w:r w:rsidRPr="0084450C">
              <w:t xml:space="preserve">a) disease incidence rate of fewer than 1 in 150,000 live births or new diagnoses per year; </w:t>
            </w:r>
          </w:p>
          <w:p w:rsidR="003D1E41" w:rsidRPr="0084450C" w:rsidRDefault="003D1E41" w:rsidP="00721386">
            <w:pPr>
              <w:pStyle w:val="TableText0"/>
            </w:pPr>
            <w:r w:rsidRPr="0084450C">
              <w:t xml:space="preserve">b) </w:t>
            </w:r>
            <w:proofErr w:type="gramStart"/>
            <w:r w:rsidRPr="0084450C">
              <w:t>lack</w:t>
            </w:r>
            <w:proofErr w:type="gramEnd"/>
            <w:r w:rsidRPr="0084450C">
              <w:t xml:space="preserve"> of availability or feasibility of adequately powered randomised controlled trials detecting clinically relevant outcomes, given the rarity of the disease.</w:t>
            </w:r>
          </w:p>
          <w:p w:rsidR="003D1E41" w:rsidRPr="0084450C" w:rsidRDefault="003D1E41" w:rsidP="00721386">
            <w:pPr>
              <w:pStyle w:val="TableText0"/>
            </w:pPr>
            <w:r w:rsidRPr="0084450C">
              <w:t>No restriction on the types of rare diseases considered for evaluation.</w:t>
            </w:r>
          </w:p>
          <w:p w:rsidR="003D1E41" w:rsidRPr="0084450C" w:rsidRDefault="003D1E41" w:rsidP="00721386">
            <w:pPr>
              <w:pStyle w:val="TableText0"/>
            </w:pPr>
            <w:r w:rsidRPr="0084450C">
              <w:t>The evaluation is conducted by a separate 5-member DRD Working Group and reports directly to the Executive Officer of the Ontario Public Drug Programs. The evaluation framework uses an evidence-based process. The framework consists of five steps:</w:t>
            </w:r>
          </w:p>
          <w:p w:rsidR="003D1E41" w:rsidRPr="0084450C" w:rsidRDefault="003D1E41" w:rsidP="000959DF">
            <w:pPr>
              <w:pStyle w:val="TableText0"/>
              <w:numPr>
                <w:ilvl w:val="0"/>
                <w:numId w:val="44"/>
              </w:numPr>
            </w:pPr>
            <w:r w:rsidRPr="0084450C">
              <w:lastRenderedPageBreak/>
              <w:t>Assesses whether a submitted disease meets the framework’s criteria of “rare”</w:t>
            </w:r>
          </w:p>
          <w:p w:rsidR="003D1E41" w:rsidRPr="0084450C" w:rsidRDefault="003D1E41" w:rsidP="000959DF">
            <w:pPr>
              <w:pStyle w:val="TableText0"/>
              <w:numPr>
                <w:ilvl w:val="0"/>
                <w:numId w:val="44"/>
              </w:numPr>
            </w:pPr>
            <w:r w:rsidRPr="0084450C">
              <w:t>Gains an understanding of the natural history of the disease</w:t>
            </w:r>
          </w:p>
          <w:p w:rsidR="003D1E41" w:rsidRPr="0084450C" w:rsidRDefault="003D1E41" w:rsidP="000959DF">
            <w:pPr>
              <w:pStyle w:val="TableText0"/>
              <w:numPr>
                <w:ilvl w:val="0"/>
                <w:numId w:val="44"/>
              </w:numPr>
            </w:pPr>
            <w:r w:rsidRPr="0084450C">
              <w:t>Assesses the potential effectiveness of the drug, based on the best available evidence</w:t>
            </w:r>
          </w:p>
          <w:p w:rsidR="003D1E41" w:rsidRPr="0084450C" w:rsidRDefault="003D1E41" w:rsidP="000959DF">
            <w:pPr>
              <w:pStyle w:val="TableText0"/>
              <w:numPr>
                <w:ilvl w:val="0"/>
                <w:numId w:val="44"/>
              </w:numPr>
            </w:pPr>
            <w:r w:rsidRPr="0084450C">
              <w:t>Evaluates budget and cost impact</w:t>
            </w:r>
          </w:p>
          <w:p w:rsidR="003D1E41" w:rsidRPr="0084450C" w:rsidRDefault="003D1E41" w:rsidP="000959DF">
            <w:pPr>
              <w:pStyle w:val="TableText0"/>
              <w:numPr>
                <w:ilvl w:val="0"/>
                <w:numId w:val="44"/>
              </w:numPr>
            </w:pPr>
            <w:r w:rsidRPr="0084450C">
              <w:t>Identifies whether any additional follow-up data is needed.</w:t>
            </w:r>
          </w:p>
        </w:tc>
      </w:tr>
      <w:tr w:rsidR="003D1E41" w:rsidRPr="00CF661A" w:rsidTr="00731B68">
        <w:tc>
          <w:tcPr>
            <w:tcW w:w="1040" w:type="pct"/>
          </w:tcPr>
          <w:p w:rsidR="003D1E41" w:rsidRPr="0084450C" w:rsidRDefault="003D1E41" w:rsidP="00184B6F">
            <w:pPr>
              <w:pStyle w:val="TableText0"/>
            </w:pPr>
            <w:r w:rsidRPr="0084450C">
              <w:lastRenderedPageBreak/>
              <w:t xml:space="preserve">Alberta health authority (Rare Disease Drug Program) </w:t>
            </w:r>
            <w:r w:rsidR="00A130D0">
              <w:rPr>
                <w:noProof/>
              </w:rPr>
              <w:t>(</w:t>
            </w:r>
            <w:r w:rsidR="00184B6F">
              <w:rPr>
                <w:noProof/>
              </w:rPr>
              <w:t>Alberta Health and Wellness 2008</w:t>
            </w:r>
            <w:r w:rsidR="00A130D0">
              <w:rPr>
                <w:noProof/>
              </w:rPr>
              <w:t xml:space="preserve">; </w:t>
            </w:r>
            <w:r w:rsidR="00184B6F">
              <w:rPr>
                <w:noProof/>
              </w:rPr>
              <w:t>Canadian Agency for Drugs and Technologies in Health 2013</w:t>
            </w:r>
            <w:r w:rsidR="00A130D0">
              <w:rPr>
                <w:noProof/>
              </w:rPr>
              <w:t>)</w:t>
            </w:r>
          </w:p>
        </w:tc>
        <w:tc>
          <w:tcPr>
            <w:tcW w:w="1902" w:type="pct"/>
          </w:tcPr>
          <w:p w:rsidR="003D1E41" w:rsidRPr="0084450C" w:rsidRDefault="003D1E41" w:rsidP="00721386">
            <w:pPr>
              <w:pStyle w:val="TableText0"/>
            </w:pPr>
            <w:r w:rsidRPr="0084450C">
              <w:t>Yes, Rare Disease Drug Program</w:t>
            </w:r>
          </w:p>
        </w:tc>
        <w:tc>
          <w:tcPr>
            <w:tcW w:w="2058" w:type="pct"/>
          </w:tcPr>
          <w:p w:rsidR="003D1E41" w:rsidRPr="0084450C" w:rsidRDefault="003D1E41" w:rsidP="00721386">
            <w:pPr>
              <w:pStyle w:val="TableText0"/>
            </w:pPr>
            <w:r w:rsidRPr="0084450C">
              <w:t xml:space="preserve">Eligibility criteria: </w:t>
            </w:r>
          </w:p>
          <w:p w:rsidR="003D1E41" w:rsidRPr="0084450C" w:rsidRDefault="003D1E41" w:rsidP="000959DF">
            <w:pPr>
              <w:pStyle w:val="TableText0"/>
              <w:numPr>
                <w:ilvl w:val="0"/>
                <w:numId w:val="46"/>
              </w:numPr>
            </w:pPr>
            <w:r w:rsidRPr="0084450C">
              <w:t xml:space="preserve">A genetic lysosomal storage disorder occurring in &lt; 1 in 50,000 Canadians, as determined by Alberta Health, </w:t>
            </w:r>
            <w:r w:rsidR="00E66055" w:rsidRPr="0084450C">
              <w:t>egg</w:t>
            </w:r>
            <w:r w:rsidRPr="0084450C">
              <w:t xml:space="preserve"> Fabry disease, Pompe disease, and </w:t>
            </w:r>
            <w:proofErr w:type="gramStart"/>
            <w:r w:rsidRPr="0084450C">
              <w:t>Gaucher</w:t>
            </w:r>
            <w:proofErr w:type="gramEnd"/>
            <w:r w:rsidRPr="0084450C">
              <w:t xml:space="preserve"> disease. </w:t>
            </w:r>
          </w:p>
          <w:p w:rsidR="003D1E41" w:rsidRPr="0084450C" w:rsidRDefault="003D1E41" w:rsidP="000959DF">
            <w:pPr>
              <w:pStyle w:val="TableText0"/>
              <w:numPr>
                <w:ilvl w:val="0"/>
                <w:numId w:val="46"/>
              </w:numPr>
            </w:pPr>
            <w:r w:rsidRPr="0084450C">
              <w:t>Albertans with rare diseases, who have government sponsored drug coverage and whose physician has applied for coverage</w:t>
            </w:r>
          </w:p>
          <w:p w:rsidR="003D1E41" w:rsidRPr="0084450C" w:rsidRDefault="003D1E41" w:rsidP="000959DF">
            <w:pPr>
              <w:pStyle w:val="TableText0"/>
              <w:numPr>
                <w:ilvl w:val="0"/>
                <w:numId w:val="46"/>
              </w:numPr>
            </w:pPr>
            <w:r w:rsidRPr="0084450C">
              <w:t>An individual or family must reside in Alberta for 5 years to be eligible for the program. The residency requirement will be waived for individuals moving to Alberta from another province in Canada if they were covered by that province’s program for these drugs.</w:t>
            </w:r>
          </w:p>
          <w:p w:rsidR="003D1E41" w:rsidRPr="0084450C" w:rsidRDefault="003D1E41" w:rsidP="00721386">
            <w:pPr>
              <w:pStyle w:val="TableText0"/>
            </w:pPr>
            <w:r w:rsidRPr="0084450C">
              <w:t>In addition, applicants must consent to the following conditions:</w:t>
            </w:r>
          </w:p>
          <w:p w:rsidR="003D1E41" w:rsidRPr="0084450C" w:rsidRDefault="003D1E41" w:rsidP="000959DF">
            <w:pPr>
              <w:pStyle w:val="TableText0"/>
              <w:numPr>
                <w:ilvl w:val="0"/>
                <w:numId w:val="47"/>
              </w:numPr>
            </w:pPr>
            <w:r w:rsidRPr="0084450C">
              <w:t>Conditional initial and continued coverage are dependent upon clinical outcomes.</w:t>
            </w:r>
          </w:p>
          <w:p w:rsidR="003D1E41" w:rsidRPr="0084450C" w:rsidRDefault="003D1E41" w:rsidP="000959DF">
            <w:pPr>
              <w:pStyle w:val="TableText0"/>
              <w:numPr>
                <w:ilvl w:val="0"/>
                <w:numId w:val="47"/>
              </w:numPr>
            </w:pPr>
            <w:r w:rsidRPr="0084450C">
              <w:t>Ongoing clinical outcome monitoring is mandatory.</w:t>
            </w:r>
          </w:p>
          <w:p w:rsidR="003D1E41" w:rsidRPr="0084450C" w:rsidRDefault="003D1E41" w:rsidP="000959DF">
            <w:pPr>
              <w:pStyle w:val="TableText0"/>
              <w:numPr>
                <w:ilvl w:val="0"/>
                <w:numId w:val="47"/>
              </w:numPr>
            </w:pPr>
            <w:r w:rsidRPr="0084450C">
              <w:t>Inadequate patient response or deterioration, as defined by pre-established withdrawal criteria for a specific drug and/or as assessed by the program’s clinical review panel, will dictate coverage discontinuation.</w:t>
            </w:r>
          </w:p>
          <w:p w:rsidR="003D1E41" w:rsidRPr="0084450C" w:rsidRDefault="003D1E41" w:rsidP="00721386">
            <w:pPr>
              <w:pStyle w:val="TableText0"/>
            </w:pPr>
            <w:r w:rsidRPr="0084450C">
              <w:t>Note that the presence of a significant illness likely to affect life expectancy, outside of the rare disease itself, is considered a contraindication to the rare disease funding.</w:t>
            </w:r>
          </w:p>
          <w:p w:rsidR="003D1E41" w:rsidRPr="0084450C" w:rsidRDefault="003D1E41" w:rsidP="00721386">
            <w:pPr>
              <w:pStyle w:val="TableText0"/>
            </w:pPr>
            <w:r w:rsidRPr="0084450C">
              <w:lastRenderedPageBreak/>
              <w:t>Submitted applications are reviewed by Alberta’s Rare Disease Clinical Review Panel, which is a Ministry-appointed panel consisting of rare-disease-treating specialists and other health care professionals with related clinical expertise. Final coverage decisions for rare disease drug funding are made by Alberta’s Minister of Health</w:t>
            </w:r>
          </w:p>
        </w:tc>
      </w:tr>
      <w:tr w:rsidR="003D1E41" w:rsidRPr="00CF661A" w:rsidTr="00731B68">
        <w:tc>
          <w:tcPr>
            <w:tcW w:w="1040" w:type="pct"/>
          </w:tcPr>
          <w:p w:rsidR="003D1E41" w:rsidRPr="0084450C" w:rsidRDefault="003D1E41" w:rsidP="00721386">
            <w:pPr>
              <w:pStyle w:val="TableText0"/>
            </w:pPr>
            <w:r w:rsidRPr="0084450C">
              <w:lastRenderedPageBreak/>
              <w:t xml:space="preserve">Alberta health authority (Short Term Exceptional Drug Therapy) </w:t>
            </w:r>
            <w:r w:rsidR="00A130D0">
              <w:rPr>
                <w:noProof/>
              </w:rPr>
              <w:t>(</w:t>
            </w:r>
            <w:r w:rsidR="00184B6F">
              <w:rPr>
                <w:noProof/>
              </w:rPr>
              <w:t>Canadian Agency for Drugs and Technologies in Health 2013</w:t>
            </w:r>
            <w:r w:rsidR="00A130D0">
              <w:rPr>
                <w:noProof/>
              </w:rPr>
              <w:t>)</w:t>
            </w:r>
          </w:p>
          <w:p w:rsidR="003D1E41" w:rsidRPr="00CF661A" w:rsidRDefault="003D1E41" w:rsidP="00721386">
            <w:pPr>
              <w:pStyle w:val="TableText0"/>
            </w:pPr>
          </w:p>
        </w:tc>
        <w:tc>
          <w:tcPr>
            <w:tcW w:w="1902" w:type="pct"/>
          </w:tcPr>
          <w:p w:rsidR="003D1E41" w:rsidRPr="0084450C" w:rsidRDefault="003D1E41" w:rsidP="00721386">
            <w:pPr>
              <w:pStyle w:val="TableText0"/>
            </w:pPr>
            <w:r w:rsidRPr="0084450C">
              <w:t>Yes, Alberta’s Short Term Exceptional Drug Therapy</w:t>
            </w:r>
          </w:p>
        </w:tc>
        <w:tc>
          <w:tcPr>
            <w:tcW w:w="2058" w:type="pct"/>
          </w:tcPr>
          <w:p w:rsidR="003D1E41" w:rsidRPr="0084450C" w:rsidRDefault="003D1E41" w:rsidP="00721386">
            <w:pPr>
              <w:pStyle w:val="TableText0"/>
            </w:pPr>
            <w:r w:rsidRPr="0084450C">
              <w:t xml:space="preserve">Eligibility criteria: </w:t>
            </w:r>
          </w:p>
          <w:p w:rsidR="003D1E41" w:rsidRPr="0084450C" w:rsidRDefault="003D1E41" w:rsidP="00721386">
            <w:pPr>
              <w:pStyle w:val="TableText0"/>
            </w:pPr>
            <w:r w:rsidRPr="0084450C">
              <w:t xml:space="preserve">Diseases currently eligible for coverage consideration include: </w:t>
            </w:r>
            <w:r w:rsidR="00E51493">
              <w:t>Gaucher disease</w:t>
            </w:r>
            <w:r w:rsidRPr="0084450C">
              <w:t>, Fabry Disease, MPS-I (Hurler/Hurler Scheie), Hunter disease and Pompe disease;</w:t>
            </w:r>
          </w:p>
          <w:p w:rsidR="003D1E41" w:rsidRPr="0084450C" w:rsidRDefault="003D1E41" w:rsidP="00721386">
            <w:pPr>
              <w:pStyle w:val="TableText0"/>
            </w:pPr>
            <w:r w:rsidRPr="0084450C">
              <w:t>Therapies without current public or private funding options; and</w:t>
            </w:r>
          </w:p>
          <w:p w:rsidR="003D1E41" w:rsidRPr="0084450C" w:rsidRDefault="003D1E41" w:rsidP="00721386">
            <w:pPr>
              <w:pStyle w:val="TableText0"/>
            </w:pPr>
            <w:r w:rsidRPr="0084450C">
              <w:t>For in-patients whose drug therapy (oncology drugs included) costs are expected to be between $1,500 and $50,000; or</w:t>
            </w:r>
          </w:p>
          <w:p w:rsidR="003D1E41" w:rsidRPr="0084450C" w:rsidRDefault="003D1E41" w:rsidP="00721386">
            <w:pPr>
              <w:pStyle w:val="TableText0"/>
            </w:pPr>
            <w:r w:rsidRPr="0084450C">
              <w:t xml:space="preserve">For Outpatients with rare clinical conditions (excluding oncology indications) if the total drug cost is expected to be &lt; $100,000 per year. </w:t>
            </w:r>
          </w:p>
          <w:p w:rsidR="003D1E41" w:rsidRPr="0084450C" w:rsidRDefault="003D1E41" w:rsidP="00721386">
            <w:pPr>
              <w:pStyle w:val="TableText0"/>
            </w:pPr>
            <w:r w:rsidRPr="0084450C">
              <w:t>Specialist physician working at an Alberta Health Services facility and actively treating a patient for a rare clinical condition can submit requests to fund high-cost non-formulary drugs for rare conditions. Specific funding criteria are used to objectively review requests on a case-by-case basis. If approved, funding is provided for an agreed upon duration beyond which resubmission would be required.</w:t>
            </w:r>
          </w:p>
        </w:tc>
      </w:tr>
      <w:tr w:rsidR="00721386" w:rsidRPr="00CF661A" w:rsidTr="00731B68">
        <w:tc>
          <w:tcPr>
            <w:tcW w:w="1040" w:type="pct"/>
            <w:tcBorders>
              <w:right w:val="nil"/>
            </w:tcBorders>
            <w:shd w:val="clear" w:color="auto" w:fill="EEECE1" w:themeFill="background2"/>
          </w:tcPr>
          <w:p w:rsidR="00721386" w:rsidRPr="00AE2273" w:rsidRDefault="00721386" w:rsidP="00721386">
            <w:pPr>
              <w:keepNext/>
              <w:spacing w:after="0"/>
              <w:jc w:val="left"/>
              <w:rPr>
                <w:rFonts w:ascii="Arial Narrow" w:hAnsi="Arial Narrow"/>
                <w:b/>
                <w:sz w:val="20"/>
                <w:szCs w:val="20"/>
              </w:rPr>
            </w:pPr>
            <w:r w:rsidRPr="00AE2273">
              <w:rPr>
                <w:rFonts w:ascii="Arial Narrow" w:hAnsi="Arial Narrow"/>
                <w:b/>
                <w:sz w:val="28"/>
                <w:szCs w:val="20"/>
              </w:rPr>
              <w:t>Asia</w:t>
            </w:r>
          </w:p>
        </w:tc>
        <w:tc>
          <w:tcPr>
            <w:tcW w:w="1902" w:type="pct"/>
            <w:tcBorders>
              <w:left w:val="nil"/>
              <w:right w:val="nil"/>
            </w:tcBorders>
            <w:shd w:val="clear" w:color="auto" w:fill="EEECE1" w:themeFill="background2"/>
          </w:tcPr>
          <w:p w:rsidR="00721386" w:rsidRPr="00AE2273" w:rsidRDefault="00721386" w:rsidP="00721386">
            <w:pPr>
              <w:keepNext/>
              <w:spacing w:after="0"/>
              <w:jc w:val="left"/>
              <w:rPr>
                <w:rFonts w:ascii="Arial Narrow" w:hAnsi="Arial Narrow"/>
                <w:b/>
                <w:sz w:val="20"/>
                <w:szCs w:val="20"/>
              </w:rPr>
            </w:pPr>
          </w:p>
        </w:tc>
        <w:tc>
          <w:tcPr>
            <w:tcW w:w="2058" w:type="pct"/>
            <w:tcBorders>
              <w:left w:val="nil"/>
            </w:tcBorders>
            <w:shd w:val="clear" w:color="auto" w:fill="EEECE1" w:themeFill="background2"/>
          </w:tcPr>
          <w:p w:rsidR="00721386" w:rsidRPr="00AE2273" w:rsidRDefault="00721386" w:rsidP="00721386">
            <w:pPr>
              <w:keepNext/>
              <w:spacing w:after="0"/>
              <w:jc w:val="left"/>
              <w:rPr>
                <w:rFonts w:ascii="Arial Narrow" w:hAnsi="Arial Narrow"/>
                <w:b/>
                <w:sz w:val="20"/>
                <w:szCs w:val="20"/>
              </w:rPr>
            </w:pPr>
          </w:p>
        </w:tc>
      </w:tr>
      <w:tr w:rsidR="003D1E41" w:rsidRPr="00CF661A" w:rsidTr="00731B68">
        <w:tc>
          <w:tcPr>
            <w:tcW w:w="1040" w:type="pct"/>
            <w:tcBorders>
              <w:right w:val="single" w:sz="4" w:space="0" w:color="auto"/>
            </w:tcBorders>
          </w:tcPr>
          <w:p w:rsidR="003D1E41" w:rsidRPr="0084450C" w:rsidRDefault="003D1E41" w:rsidP="00721386">
            <w:pPr>
              <w:pStyle w:val="TableText0"/>
            </w:pPr>
            <w:r w:rsidRPr="0084450C">
              <w:t>Japanese statutory health insurance</w:t>
            </w:r>
          </w:p>
          <w:p w:rsidR="003D1E41" w:rsidRPr="0084450C" w:rsidRDefault="00A130D0" w:rsidP="00184B6F">
            <w:pPr>
              <w:pStyle w:val="TableText0"/>
            </w:pPr>
            <w:r>
              <w:rPr>
                <w:noProof/>
              </w:rPr>
              <w:t>(</w:t>
            </w:r>
            <w:r w:rsidR="00184B6F">
              <w:rPr>
                <w:noProof/>
              </w:rPr>
              <w:t>Japan Intractable Diseases Information Center 2014</w:t>
            </w:r>
            <w:r>
              <w:rPr>
                <w:noProof/>
              </w:rPr>
              <w:t>)</w:t>
            </w:r>
          </w:p>
        </w:tc>
        <w:tc>
          <w:tcPr>
            <w:tcW w:w="1902" w:type="pct"/>
            <w:tcBorders>
              <w:left w:val="single" w:sz="4" w:space="0" w:color="auto"/>
              <w:right w:val="single" w:sz="4" w:space="0" w:color="auto"/>
            </w:tcBorders>
          </w:tcPr>
          <w:p w:rsidR="003D1E41" w:rsidRPr="0084450C" w:rsidRDefault="003D1E41" w:rsidP="00721386">
            <w:pPr>
              <w:pStyle w:val="TableText0"/>
            </w:pPr>
            <w:r w:rsidRPr="0084450C">
              <w:t>Yes. The Specified Diseases Treatment Research Program.</w:t>
            </w:r>
          </w:p>
        </w:tc>
        <w:tc>
          <w:tcPr>
            <w:tcW w:w="2058" w:type="pct"/>
            <w:tcBorders>
              <w:left w:val="single" w:sz="4" w:space="0" w:color="auto"/>
            </w:tcBorders>
          </w:tcPr>
          <w:p w:rsidR="003D1E41" w:rsidRPr="0084450C" w:rsidRDefault="003D1E41" w:rsidP="00721386">
            <w:pPr>
              <w:pStyle w:val="TableText0"/>
            </w:pPr>
            <w:r w:rsidRPr="0084450C">
              <w:t xml:space="preserve">Eligibility criteria: patients that have any of the 56 diseases covered by the Specified Disease Treatment Research Program and </w:t>
            </w:r>
            <w:proofErr w:type="gramStart"/>
            <w:r w:rsidRPr="0084450C">
              <w:t>be</w:t>
            </w:r>
            <w:proofErr w:type="gramEnd"/>
            <w:r w:rsidRPr="0084450C">
              <w:t xml:space="preserve"> beneficiaries of public health insurance. </w:t>
            </w:r>
          </w:p>
          <w:p w:rsidR="003D1E41" w:rsidRPr="0084450C" w:rsidRDefault="003D1E41" w:rsidP="00721386">
            <w:pPr>
              <w:pStyle w:val="TableText0"/>
            </w:pPr>
            <w:r w:rsidRPr="0084450C">
              <w:t>Each one of the 56 diseases has a criterion for designation. Based on a doctor’s diagnosis, a patient must file an application to the government of the prefecture he or she lives in. If the application is accepted, a Certificate of a Recipient of Designated Disease Treatment is issued.</w:t>
            </w:r>
          </w:p>
        </w:tc>
      </w:tr>
      <w:tr w:rsidR="003D1E41" w:rsidRPr="00CF661A" w:rsidTr="00731B68">
        <w:tc>
          <w:tcPr>
            <w:tcW w:w="1040" w:type="pct"/>
          </w:tcPr>
          <w:p w:rsidR="003D1E41" w:rsidRPr="0084450C" w:rsidRDefault="003D1E41" w:rsidP="00184B6F">
            <w:pPr>
              <w:pStyle w:val="TableText0"/>
            </w:pPr>
            <w:r w:rsidRPr="0084450C">
              <w:t xml:space="preserve">South Korea national health </w:t>
            </w:r>
            <w:r w:rsidRPr="0084450C">
              <w:lastRenderedPageBreak/>
              <w:t xml:space="preserve">insurance service </w:t>
            </w:r>
            <w:r w:rsidR="00A130D0">
              <w:rPr>
                <w:noProof/>
              </w:rPr>
              <w:t>(</w:t>
            </w:r>
            <w:r w:rsidR="00184B6F">
              <w:rPr>
                <w:noProof/>
              </w:rPr>
              <w:t>Soo 2014</w:t>
            </w:r>
            <w:r w:rsidR="00A130D0">
              <w:rPr>
                <w:noProof/>
              </w:rPr>
              <w:t>)</w:t>
            </w:r>
          </w:p>
        </w:tc>
        <w:tc>
          <w:tcPr>
            <w:tcW w:w="1902" w:type="pct"/>
          </w:tcPr>
          <w:p w:rsidR="003D1E41" w:rsidRPr="0084450C" w:rsidRDefault="003D1E41" w:rsidP="00721386">
            <w:pPr>
              <w:pStyle w:val="TableText0"/>
            </w:pPr>
            <w:r w:rsidRPr="0084450C">
              <w:lastRenderedPageBreak/>
              <w:t xml:space="preserve">No. </w:t>
            </w:r>
          </w:p>
        </w:tc>
        <w:tc>
          <w:tcPr>
            <w:tcW w:w="2058" w:type="pct"/>
          </w:tcPr>
          <w:p w:rsidR="003D1E41" w:rsidRPr="0084450C" w:rsidRDefault="003D1E41" w:rsidP="00721386">
            <w:pPr>
              <w:pStyle w:val="TableText0"/>
            </w:pPr>
            <w:r w:rsidRPr="0084450C">
              <w:t>Not applicable.</w:t>
            </w:r>
          </w:p>
        </w:tc>
      </w:tr>
      <w:tr w:rsidR="003D1E41" w:rsidRPr="00CF661A" w:rsidTr="00731B68">
        <w:tc>
          <w:tcPr>
            <w:tcW w:w="1040" w:type="pct"/>
          </w:tcPr>
          <w:p w:rsidR="003D1E41" w:rsidRPr="0084450C" w:rsidRDefault="003D1E41" w:rsidP="00721386">
            <w:pPr>
              <w:pStyle w:val="TableText0"/>
            </w:pPr>
            <w:r w:rsidRPr="0084450C">
              <w:lastRenderedPageBreak/>
              <w:t>Chinese medical insurance system</w:t>
            </w:r>
          </w:p>
          <w:p w:rsidR="003D1E41" w:rsidRPr="0084450C" w:rsidRDefault="00A130D0" w:rsidP="00184B6F">
            <w:pPr>
              <w:pStyle w:val="TableText0"/>
            </w:pPr>
            <w:r>
              <w:rPr>
                <w:noProof/>
              </w:rPr>
              <w:t>(</w:t>
            </w:r>
            <w:r w:rsidR="00184B6F">
              <w:rPr>
                <w:noProof/>
              </w:rPr>
              <w:t>Ngorsuraches et al. 2012</w:t>
            </w:r>
            <w:r>
              <w:rPr>
                <w:noProof/>
              </w:rPr>
              <w:t>)</w:t>
            </w:r>
          </w:p>
        </w:tc>
        <w:tc>
          <w:tcPr>
            <w:tcW w:w="1902" w:type="pct"/>
          </w:tcPr>
          <w:p w:rsidR="003D1E41" w:rsidRPr="0084450C" w:rsidRDefault="003D1E41" w:rsidP="00721386">
            <w:pPr>
              <w:pStyle w:val="TableText0"/>
            </w:pPr>
            <w:r w:rsidRPr="0084450C">
              <w:t>No</w:t>
            </w:r>
          </w:p>
        </w:tc>
        <w:tc>
          <w:tcPr>
            <w:tcW w:w="2058" w:type="pct"/>
          </w:tcPr>
          <w:p w:rsidR="003D1E41" w:rsidRPr="0084450C" w:rsidRDefault="003D1E41" w:rsidP="00721386">
            <w:pPr>
              <w:pStyle w:val="TableText0"/>
            </w:pPr>
            <w:r w:rsidRPr="0084450C">
              <w:t>Not applicable.</w:t>
            </w:r>
          </w:p>
        </w:tc>
      </w:tr>
    </w:tbl>
    <w:p w:rsidR="00382709" w:rsidRDefault="00382709" w:rsidP="00382709">
      <w:pPr>
        <w:pStyle w:val="TableNote"/>
      </w:pPr>
      <w:bookmarkStart w:id="1214" w:name="_Toc404974711"/>
      <w:bookmarkEnd w:id="1214"/>
      <w:r w:rsidRPr="0084450C">
        <w:t>AGNSS</w:t>
      </w:r>
      <w:r>
        <w:t xml:space="preserve"> </w:t>
      </w:r>
      <w:r w:rsidR="00652355" w:rsidRPr="00652355">
        <w:rPr>
          <w:spacing w:val="-20"/>
        </w:rPr>
        <w:t xml:space="preserve"> = </w:t>
      </w:r>
      <w:r w:rsidRPr="0084450C">
        <w:t xml:space="preserve"> Advisory Group for National Specialised Services</w:t>
      </w:r>
      <w:r>
        <w:t xml:space="preserve">; AIFA </w:t>
      </w:r>
      <w:r w:rsidR="00652355" w:rsidRPr="00652355">
        <w:rPr>
          <w:spacing w:val="-20"/>
        </w:rPr>
        <w:t xml:space="preserve"> = </w:t>
      </w:r>
      <w:r w:rsidRPr="00BA255B">
        <w:t xml:space="preserve"> </w:t>
      </w:r>
      <w:r w:rsidRPr="0084450C">
        <w:t>Italian Pharmaceutical Agency (Agenzia Italiana del Farmaco</w:t>
      </w:r>
      <w:r>
        <w:t xml:space="preserve">); CPR </w:t>
      </w:r>
      <w:r w:rsidR="00652355" w:rsidRPr="00652355">
        <w:rPr>
          <w:spacing w:val="-20"/>
        </w:rPr>
        <w:t xml:space="preserve"> = </w:t>
      </w:r>
      <w:r>
        <w:t xml:space="preserve">  </w:t>
      </w:r>
      <w:r w:rsidRPr="0084450C">
        <w:t>Pricing and Reimbursement Committee</w:t>
      </w:r>
      <w:r>
        <w:t>;</w:t>
      </w:r>
      <w:r w:rsidRPr="0084450C">
        <w:t xml:space="preserve"> </w:t>
      </w:r>
      <w:r>
        <w:t xml:space="preserve">CTS </w:t>
      </w:r>
      <w:r w:rsidR="00652355" w:rsidRPr="00652355">
        <w:rPr>
          <w:spacing w:val="-20"/>
        </w:rPr>
        <w:t xml:space="preserve"> = </w:t>
      </w:r>
      <w:r>
        <w:t xml:space="preserve"> </w:t>
      </w:r>
      <w:r w:rsidRPr="0084450C">
        <w:t>Technical Scientific Committee</w:t>
      </w:r>
      <w:r>
        <w:t>;</w:t>
      </w:r>
      <w:r w:rsidRPr="0084450C">
        <w:t xml:space="preserve"> </w:t>
      </w:r>
      <w:r>
        <w:t xml:space="preserve">DBC </w:t>
      </w:r>
      <w:r w:rsidR="00652355" w:rsidRPr="00652355">
        <w:rPr>
          <w:spacing w:val="-20"/>
        </w:rPr>
        <w:t xml:space="preserve"> = </w:t>
      </w:r>
      <w:r>
        <w:t xml:space="preserve"> Drug-based combination ; DRD </w:t>
      </w:r>
      <w:r w:rsidR="00652355" w:rsidRPr="00652355">
        <w:rPr>
          <w:spacing w:val="-20"/>
        </w:rPr>
        <w:t xml:space="preserve"> = </w:t>
      </w:r>
      <w:r>
        <w:t xml:space="preserve"> drugs for rare diseases; EMA </w:t>
      </w:r>
      <w:r w:rsidR="00652355" w:rsidRPr="00652355">
        <w:rPr>
          <w:spacing w:val="-20"/>
        </w:rPr>
        <w:t xml:space="preserve"> = </w:t>
      </w:r>
      <w:r>
        <w:t xml:space="preserve"> European Medicines Agency; </w:t>
      </w:r>
      <w:r w:rsidRPr="0084450C">
        <w:t>IQWiG</w:t>
      </w:r>
      <w:r>
        <w:t xml:space="preserve"> </w:t>
      </w:r>
      <w:r w:rsidR="00652355" w:rsidRPr="00652355">
        <w:rPr>
          <w:spacing w:val="-20"/>
        </w:rPr>
        <w:t xml:space="preserve"> = </w:t>
      </w:r>
      <w:r>
        <w:t xml:space="preserve"> Insititute for Quality and Efficiency in Healthcare Germany; ISPOR </w:t>
      </w:r>
      <w:r w:rsidR="00652355" w:rsidRPr="00652355">
        <w:rPr>
          <w:spacing w:val="-20"/>
        </w:rPr>
        <w:t xml:space="preserve"> = </w:t>
      </w:r>
      <w:r>
        <w:t xml:space="preserve"> International Society for Pharmacoeconomics and Outcomes Research; MPS </w:t>
      </w:r>
      <w:r w:rsidR="00652355" w:rsidRPr="00652355">
        <w:rPr>
          <w:spacing w:val="-20"/>
        </w:rPr>
        <w:t xml:space="preserve"> = </w:t>
      </w:r>
      <w:r>
        <w:t xml:space="preserve"> mucopolysaccharidosis; NICE </w:t>
      </w:r>
      <w:r w:rsidR="00652355" w:rsidRPr="00652355">
        <w:rPr>
          <w:spacing w:val="-20"/>
        </w:rPr>
        <w:t xml:space="preserve"> = </w:t>
      </w:r>
      <w:r>
        <w:t xml:space="preserve"> National Institute of Health and Clinical Excellence; NHS </w:t>
      </w:r>
      <w:r w:rsidR="00652355" w:rsidRPr="00652355">
        <w:rPr>
          <w:spacing w:val="-20"/>
        </w:rPr>
        <w:t xml:space="preserve"> = </w:t>
      </w:r>
      <w:r>
        <w:t xml:space="preserve"> National Health Service; OMP </w:t>
      </w:r>
      <w:r w:rsidR="00652355" w:rsidRPr="00652355">
        <w:rPr>
          <w:spacing w:val="-20"/>
        </w:rPr>
        <w:t xml:space="preserve"> = </w:t>
      </w:r>
      <w:r>
        <w:t xml:space="preserve"> Orphan medical product; SMR </w:t>
      </w:r>
      <w:r w:rsidR="00652355" w:rsidRPr="00652355">
        <w:rPr>
          <w:spacing w:val="-20"/>
        </w:rPr>
        <w:t xml:space="preserve"> = </w:t>
      </w:r>
      <w:r>
        <w:t xml:space="preserve"> </w:t>
      </w:r>
      <w:r w:rsidRPr="0084450C">
        <w:t>Service Médical rendu</w:t>
      </w:r>
    </w:p>
    <w:p w:rsidR="003D1E41" w:rsidRDefault="003D1E41" w:rsidP="00E965BD"/>
    <w:p w:rsidR="003D1E41" w:rsidRDefault="003D1E41" w:rsidP="0096216D">
      <w:pPr>
        <w:pStyle w:val="Caption"/>
        <w:keepNext/>
        <w:tabs>
          <w:tab w:val="clear" w:pos="851"/>
          <w:tab w:val="left" w:pos="1276"/>
        </w:tabs>
        <w:ind w:left="1134" w:hanging="1134"/>
      </w:pPr>
      <w:bookmarkStart w:id="1215" w:name="_Ref403371449"/>
      <w:bookmarkStart w:id="1216" w:name="_Toc403720103"/>
      <w:bookmarkStart w:id="1217" w:name="_Toc404350317"/>
      <w:bookmarkStart w:id="1218" w:name="_Toc404976369"/>
      <w:bookmarkStart w:id="1219" w:name="_Toc411510542"/>
      <w:bookmarkStart w:id="1220" w:name="_Toc415141972"/>
      <w:r>
        <w:lastRenderedPageBreak/>
        <w:t xml:space="preserve">Table </w:t>
      </w:r>
      <w:r w:rsidR="00A72B26">
        <w:rPr>
          <w:noProof/>
        </w:rPr>
        <w:t>175</w:t>
      </w:r>
      <w:bookmarkEnd w:id="1215"/>
      <w:r w:rsidR="00C32D77">
        <w:tab/>
      </w:r>
      <w:r w:rsidR="0096216D">
        <w:tab/>
      </w:r>
      <w:r>
        <w:t>Basis of the decision to reimburse drugs for orphan diseases, summary by country</w:t>
      </w:r>
      <w:bookmarkEnd w:id="1216"/>
      <w:bookmarkEnd w:id="1217"/>
      <w:bookmarkEnd w:id="1218"/>
      <w:bookmarkEnd w:id="1219"/>
      <w:bookmarkEnd w:id="1220"/>
    </w:p>
    <w:tbl>
      <w:tblPr>
        <w:tblStyle w:val="TableGrid"/>
        <w:tblW w:w="14248" w:type="dxa"/>
        <w:tblLook w:val="04A0" w:firstRow="1" w:lastRow="0" w:firstColumn="1" w:lastColumn="0" w:noHBand="0" w:noVBand="1"/>
        <w:tblCaption w:val="Basis of decision to reimburse drugs for orphan diseases by country"/>
      </w:tblPr>
      <w:tblGrid>
        <w:gridCol w:w="1773"/>
        <w:gridCol w:w="3325"/>
        <w:gridCol w:w="4989"/>
        <w:gridCol w:w="4161"/>
      </w:tblGrid>
      <w:tr w:rsidR="00746F05" w:rsidRPr="00F913F8" w:rsidTr="00731B68">
        <w:trPr>
          <w:trHeight w:val="558"/>
          <w:tblHeader/>
        </w:trPr>
        <w:tc>
          <w:tcPr>
            <w:tcW w:w="1773" w:type="dxa"/>
          </w:tcPr>
          <w:p w:rsidR="003D1E41" w:rsidRPr="0084450C" w:rsidRDefault="003D1E41" w:rsidP="00721386">
            <w:pPr>
              <w:pStyle w:val="TableHeading"/>
            </w:pPr>
            <w:r w:rsidRPr="0084450C">
              <w:t>Country / Funding body (references)</w:t>
            </w:r>
          </w:p>
        </w:tc>
        <w:tc>
          <w:tcPr>
            <w:tcW w:w="3325" w:type="dxa"/>
          </w:tcPr>
          <w:p w:rsidR="003D1E41" w:rsidRPr="0084450C" w:rsidRDefault="003D1E41" w:rsidP="00721386">
            <w:pPr>
              <w:pStyle w:val="TableHeading"/>
            </w:pPr>
            <w:r w:rsidRPr="0084450C">
              <w:t>Decision maker and others involved in the process?</w:t>
            </w:r>
          </w:p>
        </w:tc>
        <w:tc>
          <w:tcPr>
            <w:tcW w:w="4989" w:type="dxa"/>
          </w:tcPr>
          <w:p w:rsidR="003D1E41" w:rsidRPr="0084450C" w:rsidRDefault="003D1E41" w:rsidP="00721386">
            <w:pPr>
              <w:pStyle w:val="TableHeading"/>
            </w:pPr>
            <w:r w:rsidRPr="0084450C">
              <w:t>What is the basis for a positive or negative recommendation (</w:t>
            </w:r>
            <w:r w:rsidR="00E66055" w:rsidRPr="0084450C">
              <w:t>e.g.</w:t>
            </w:r>
            <w:r w:rsidRPr="0084450C">
              <w:t xml:space="preserve"> cost effectiveness / budget impact)</w:t>
            </w:r>
          </w:p>
        </w:tc>
        <w:tc>
          <w:tcPr>
            <w:tcW w:w="4161" w:type="dxa"/>
          </w:tcPr>
          <w:p w:rsidR="003D1E41" w:rsidRPr="0084450C" w:rsidRDefault="003D1E41" w:rsidP="00721386">
            <w:pPr>
              <w:pStyle w:val="TableHeading"/>
            </w:pPr>
            <w:r w:rsidRPr="0084450C">
              <w:t>What aspects are different in the consideration of the reimbursement of a drug for a rare disease (</w:t>
            </w:r>
            <w:r w:rsidR="00E66055" w:rsidRPr="0084450C">
              <w:t>e.g.</w:t>
            </w:r>
            <w:r w:rsidRPr="0084450C">
              <w:t xml:space="preserve"> lower level of clinical evidence and high cost-effectiveness ratio)?</w:t>
            </w:r>
          </w:p>
        </w:tc>
      </w:tr>
      <w:tr w:rsidR="00746F05" w:rsidRPr="00F913F8" w:rsidTr="00A070B7">
        <w:trPr>
          <w:trHeight w:val="558"/>
        </w:trPr>
        <w:tc>
          <w:tcPr>
            <w:tcW w:w="1773" w:type="dxa"/>
            <w:tcBorders>
              <w:right w:val="single" w:sz="4" w:space="0" w:color="auto"/>
            </w:tcBorders>
          </w:tcPr>
          <w:p w:rsidR="00731B68" w:rsidRPr="0084450C" w:rsidRDefault="00731B68" w:rsidP="00184B6F">
            <w:pPr>
              <w:pStyle w:val="TableText0"/>
            </w:pPr>
            <w:r w:rsidRPr="009079C0">
              <w:t xml:space="preserve">Australia </w:t>
            </w:r>
            <w:r w:rsidR="00746F05">
              <w:rPr>
                <w:noProof/>
              </w:rPr>
              <w:t>(</w:t>
            </w:r>
            <w:r w:rsidR="00184B6F">
              <w:rPr>
                <w:noProof/>
              </w:rPr>
              <w:t>The Department of Health 2015</w:t>
            </w:r>
            <w:r w:rsidR="00746F05">
              <w:rPr>
                <w:noProof/>
              </w:rPr>
              <w:t>)</w:t>
            </w:r>
          </w:p>
        </w:tc>
        <w:tc>
          <w:tcPr>
            <w:tcW w:w="3325" w:type="dxa"/>
            <w:tcBorders>
              <w:left w:val="single" w:sz="4" w:space="0" w:color="auto"/>
              <w:right w:val="single" w:sz="4" w:space="0" w:color="auto"/>
            </w:tcBorders>
          </w:tcPr>
          <w:p w:rsidR="00731B68" w:rsidRDefault="00731B68" w:rsidP="00A070B7">
            <w:pPr>
              <w:pStyle w:val="TableText0"/>
            </w:pPr>
            <w:r>
              <w:t>Applicant: Drug company</w:t>
            </w:r>
          </w:p>
          <w:p w:rsidR="00731B68" w:rsidRPr="0084450C" w:rsidRDefault="00731B68" w:rsidP="00A070B7">
            <w:pPr>
              <w:pStyle w:val="TableText0"/>
            </w:pPr>
            <w:r>
              <w:t>Decision maker: Minister for Health</w:t>
            </w:r>
          </w:p>
        </w:tc>
        <w:tc>
          <w:tcPr>
            <w:tcW w:w="4989" w:type="dxa"/>
            <w:tcBorders>
              <w:left w:val="single" w:sz="4" w:space="0" w:color="auto"/>
              <w:right w:val="single" w:sz="4" w:space="0" w:color="auto"/>
            </w:tcBorders>
          </w:tcPr>
          <w:p w:rsidR="00731B68" w:rsidRDefault="00731B68" w:rsidP="00A070B7">
            <w:pPr>
              <w:pStyle w:val="TableText0"/>
            </w:pPr>
            <w:r>
              <w:t>The drug must meet each of the following criteria:</w:t>
            </w:r>
          </w:p>
          <w:p w:rsidR="00731B68" w:rsidRDefault="00731B68" w:rsidP="00A070B7">
            <w:pPr>
              <w:pStyle w:val="TableText0"/>
              <w:ind w:left="284" w:hanging="284"/>
            </w:pPr>
            <w:r>
              <w:t>1.</w:t>
            </w:r>
            <w:r>
              <w:tab/>
              <w:t xml:space="preserve">There is a rare but clinically definable disease for which the drug is regarded as a proven therapeutic modality, </w:t>
            </w:r>
            <w:r w:rsidR="00E66055">
              <w:t>i.e.</w:t>
            </w:r>
            <w:r>
              <w:t xml:space="preserve"> approved for that indication by the Therapeutic Goods Administration (TGA).</w:t>
            </w:r>
          </w:p>
          <w:p w:rsidR="00731B68" w:rsidRDefault="00731B68" w:rsidP="00A070B7">
            <w:pPr>
              <w:pStyle w:val="TableText0"/>
              <w:ind w:left="284" w:hanging="284"/>
            </w:pPr>
            <w:r>
              <w:t>2.</w:t>
            </w:r>
            <w:r>
              <w:tab/>
              <w:t>The disease is identifiable with reasonable diagnostic precision.</w:t>
            </w:r>
          </w:p>
          <w:p w:rsidR="00731B68" w:rsidRDefault="00731B68" w:rsidP="00A070B7">
            <w:pPr>
              <w:pStyle w:val="TableText0"/>
              <w:ind w:left="284" w:hanging="284"/>
            </w:pPr>
            <w:r>
              <w:t>3.</w:t>
            </w:r>
            <w:r>
              <w:tab/>
              <w:t>Epidemiological and other studies provide evidence acceptable to the PBAC that the disease causes a significant reduction in age-specific life expectancy for those suffering from the disease.</w:t>
            </w:r>
          </w:p>
          <w:p w:rsidR="00731B68" w:rsidRDefault="00731B68" w:rsidP="00A070B7">
            <w:pPr>
              <w:pStyle w:val="TableText0"/>
              <w:ind w:left="284" w:hanging="284"/>
            </w:pPr>
            <w:r>
              <w:t>4.</w:t>
            </w:r>
            <w:r>
              <w:tab/>
              <w:t>There is evidence acceptable to the PBAC to predict that a patient’s lifespan will be substantially extended as a direct consequence of the use of the drug.</w:t>
            </w:r>
          </w:p>
          <w:p w:rsidR="00731B68" w:rsidRDefault="00731B68" w:rsidP="00A070B7">
            <w:pPr>
              <w:pStyle w:val="TableText0"/>
              <w:ind w:left="284" w:hanging="284"/>
            </w:pPr>
            <w:r>
              <w:t>5.</w:t>
            </w:r>
            <w:r>
              <w:tab/>
              <w:t>The drug must be accepted as clinically effective, but rejected for Pharmaceutical Benefits Scheme (PBS) listing because it fails to meet the required cost effectiveness criteria.</w:t>
            </w:r>
          </w:p>
          <w:p w:rsidR="00731B68" w:rsidRDefault="00731B68" w:rsidP="00A070B7">
            <w:pPr>
              <w:pStyle w:val="TableText0"/>
              <w:ind w:left="284" w:hanging="284"/>
            </w:pPr>
            <w:r>
              <w:t>6.</w:t>
            </w:r>
            <w:r>
              <w:tab/>
              <w:t xml:space="preserve">There is no alternative drug listed on the PBS or available for public hospital in-patients, which can be used as lifesaving treatment for the disease. </w:t>
            </w:r>
          </w:p>
          <w:p w:rsidR="00731B68" w:rsidRDefault="00731B68" w:rsidP="00A070B7">
            <w:pPr>
              <w:pStyle w:val="TableText0"/>
              <w:ind w:left="284" w:hanging="284"/>
            </w:pPr>
            <w:r>
              <w:t>7.</w:t>
            </w:r>
            <w:r>
              <w:tab/>
              <w:t>There is no alternative non-drug therapeutic modality which is recognised by medical authorities as a suitable and cost effective treatment for this condition.</w:t>
            </w:r>
          </w:p>
          <w:p w:rsidR="00731B68" w:rsidRPr="00F913F8" w:rsidRDefault="00731B68" w:rsidP="00D03934">
            <w:pPr>
              <w:pStyle w:val="TableText0"/>
              <w:ind w:left="284" w:hanging="284"/>
            </w:pPr>
            <w:r>
              <w:t>8.</w:t>
            </w:r>
            <w:r>
              <w:tab/>
              <w:t xml:space="preserve">The cost of the drug, defined as the cost per dose multiplied by the expected number of doses in a one year period for the patient, would constitute an unreasonable financial burden on </w:t>
            </w:r>
            <w:r>
              <w:lastRenderedPageBreak/>
              <w:t>the patient or his/her guardian.</w:t>
            </w:r>
          </w:p>
        </w:tc>
        <w:tc>
          <w:tcPr>
            <w:tcW w:w="4161" w:type="dxa"/>
            <w:tcBorders>
              <w:left w:val="single" w:sz="4" w:space="0" w:color="auto"/>
            </w:tcBorders>
          </w:tcPr>
          <w:p w:rsidR="00731B68" w:rsidRPr="00F913F8" w:rsidRDefault="00731B68" w:rsidP="00A070B7">
            <w:pPr>
              <w:pStyle w:val="TableText0"/>
            </w:pPr>
            <w:r w:rsidRPr="00770387">
              <w:lastRenderedPageBreak/>
              <w:t>A medicine can only be considered for inclusion through the Life Saving Drugs Program (LSDP) if it does not meet the cost-effectiveness criteria for PBS listing.</w:t>
            </w:r>
          </w:p>
        </w:tc>
      </w:tr>
      <w:tr w:rsidR="00746F05" w:rsidRPr="00F913F8" w:rsidTr="00731B68">
        <w:trPr>
          <w:trHeight w:val="558"/>
        </w:trPr>
        <w:tc>
          <w:tcPr>
            <w:tcW w:w="1773" w:type="dxa"/>
            <w:tcBorders>
              <w:right w:val="nil"/>
            </w:tcBorders>
            <w:shd w:val="clear" w:color="auto" w:fill="EEECE1" w:themeFill="background2"/>
          </w:tcPr>
          <w:p w:rsidR="004D23FB" w:rsidRPr="004D23FB" w:rsidRDefault="004D23FB" w:rsidP="004D23FB">
            <w:pPr>
              <w:keepNext/>
              <w:autoSpaceDE w:val="0"/>
              <w:autoSpaceDN w:val="0"/>
              <w:adjustRightInd w:val="0"/>
              <w:spacing w:after="0"/>
              <w:jc w:val="left"/>
              <w:rPr>
                <w:rFonts w:ascii="Arial Narrow" w:hAnsi="Arial Narrow" w:cs="AdvTimes"/>
                <w:b/>
                <w:color w:val="231F20"/>
                <w:szCs w:val="20"/>
              </w:rPr>
            </w:pPr>
            <w:r w:rsidRPr="004D23FB">
              <w:rPr>
                <w:rFonts w:ascii="Arial Narrow" w:hAnsi="Arial Narrow" w:cs="AdvTimes"/>
                <w:b/>
                <w:color w:val="231F20"/>
                <w:szCs w:val="20"/>
              </w:rPr>
              <w:lastRenderedPageBreak/>
              <w:t>Europe</w:t>
            </w:r>
          </w:p>
        </w:tc>
        <w:tc>
          <w:tcPr>
            <w:tcW w:w="3325" w:type="dxa"/>
            <w:tcBorders>
              <w:left w:val="nil"/>
              <w:right w:val="nil"/>
            </w:tcBorders>
            <w:shd w:val="clear" w:color="auto" w:fill="EEECE1" w:themeFill="background2"/>
          </w:tcPr>
          <w:p w:rsidR="004D23FB" w:rsidRPr="0084450C" w:rsidRDefault="004D23FB" w:rsidP="00721386">
            <w:pPr>
              <w:pStyle w:val="TableHeading"/>
            </w:pPr>
          </w:p>
        </w:tc>
        <w:tc>
          <w:tcPr>
            <w:tcW w:w="4989" w:type="dxa"/>
            <w:tcBorders>
              <w:left w:val="nil"/>
              <w:right w:val="nil"/>
            </w:tcBorders>
            <w:shd w:val="clear" w:color="auto" w:fill="EEECE1" w:themeFill="background2"/>
          </w:tcPr>
          <w:p w:rsidR="004D23FB" w:rsidRPr="0084450C" w:rsidRDefault="004D23FB" w:rsidP="00721386">
            <w:pPr>
              <w:pStyle w:val="TableHeading"/>
            </w:pPr>
          </w:p>
        </w:tc>
        <w:tc>
          <w:tcPr>
            <w:tcW w:w="4161" w:type="dxa"/>
            <w:tcBorders>
              <w:left w:val="nil"/>
            </w:tcBorders>
            <w:shd w:val="clear" w:color="auto" w:fill="EEECE1" w:themeFill="background2"/>
          </w:tcPr>
          <w:p w:rsidR="004D23FB" w:rsidRPr="0084450C" w:rsidRDefault="004D23FB" w:rsidP="00721386">
            <w:pPr>
              <w:pStyle w:val="TableHeading"/>
            </w:pPr>
          </w:p>
        </w:tc>
      </w:tr>
      <w:tr w:rsidR="00746F05" w:rsidRPr="00F913F8" w:rsidTr="00731B68">
        <w:trPr>
          <w:trHeight w:val="558"/>
        </w:trPr>
        <w:tc>
          <w:tcPr>
            <w:tcW w:w="1773" w:type="dxa"/>
            <w:tcBorders>
              <w:right w:val="single" w:sz="4" w:space="0" w:color="auto"/>
            </w:tcBorders>
          </w:tcPr>
          <w:p w:rsidR="003D1E41" w:rsidRPr="0084450C" w:rsidRDefault="003D1E41" w:rsidP="00184B6F">
            <w:pPr>
              <w:pStyle w:val="TableText0"/>
            </w:pPr>
            <w:r w:rsidRPr="0084450C">
              <w:t xml:space="preserve">Belgium </w:t>
            </w:r>
            <w:r w:rsidR="00A130D0">
              <w:rPr>
                <w:noProof/>
              </w:rPr>
              <w:t>(</w:t>
            </w:r>
            <w:r w:rsidR="00184B6F">
              <w:rPr>
                <w:noProof/>
              </w:rPr>
              <w:t>Denis et al. 2011</w:t>
            </w:r>
            <w:r w:rsidR="00A130D0">
              <w:rPr>
                <w:noProof/>
              </w:rPr>
              <w:t>)</w:t>
            </w:r>
          </w:p>
        </w:tc>
        <w:tc>
          <w:tcPr>
            <w:tcW w:w="3325" w:type="dxa"/>
            <w:tcBorders>
              <w:left w:val="single" w:sz="4" w:space="0" w:color="auto"/>
              <w:right w:val="single" w:sz="4" w:space="0" w:color="auto"/>
            </w:tcBorders>
          </w:tcPr>
          <w:p w:rsidR="003D1E41" w:rsidRPr="0084450C" w:rsidRDefault="003D1E41" w:rsidP="00721386">
            <w:pPr>
              <w:pStyle w:val="TableText0"/>
            </w:pPr>
            <w:r w:rsidRPr="0084450C">
              <w:t>Applicant: Drug company</w:t>
            </w:r>
          </w:p>
          <w:p w:rsidR="003D1E41" w:rsidRPr="0084450C" w:rsidRDefault="003D1E41" w:rsidP="00721386">
            <w:pPr>
              <w:pStyle w:val="TableText0"/>
              <w:rPr>
                <w:rFonts w:cs="AdvTimes"/>
                <w:color w:val="231F20"/>
              </w:rPr>
            </w:pPr>
            <w:r w:rsidRPr="0084450C">
              <w:t xml:space="preserve">Evaluator / Recommendation: Drug Reimbursement Committee. </w:t>
            </w:r>
            <w:r w:rsidRPr="0084450C">
              <w:rPr>
                <w:rFonts w:cs="AdvTimes"/>
                <w:color w:val="231F20"/>
              </w:rPr>
              <w:t>The DRC consists of representatives of universities</w:t>
            </w:r>
          </w:p>
          <w:p w:rsidR="003D1E41" w:rsidRPr="0084450C" w:rsidRDefault="003D1E41" w:rsidP="00721386">
            <w:pPr>
              <w:pStyle w:val="TableText0"/>
              <w:rPr>
                <w:rFonts w:cs="AdvTimes"/>
                <w:color w:val="231F20"/>
              </w:rPr>
            </w:pPr>
            <w:r w:rsidRPr="0084450C">
              <w:rPr>
                <w:rFonts w:cs="AdvTimes"/>
                <w:color w:val="231F20"/>
              </w:rPr>
              <w:t>(seven individuals); health insurance funds (eight);</w:t>
            </w:r>
          </w:p>
          <w:p w:rsidR="003D1E41" w:rsidRPr="0084450C" w:rsidRDefault="003D1E41" w:rsidP="00721386">
            <w:pPr>
              <w:pStyle w:val="TableText0"/>
              <w:rPr>
                <w:rFonts w:cs="AdvTimes"/>
                <w:color w:val="231F20"/>
              </w:rPr>
            </w:pPr>
            <w:r w:rsidRPr="0084450C">
              <w:rPr>
                <w:rFonts w:cs="AdvTimes"/>
                <w:color w:val="231F20"/>
              </w:rPr>
              <w:t>physicians (four); pharmacists (three); pharmaceutical</w:t>
            </w:r>
          </w:p>
          <w:p w:rsidR="003D1E41" w:rsidRPr="0084450C" w:rsidRDefault="003D1E41" w:rsidP="00721386">
            <w:pPr>
              <w:pStyle w:val="TableText0"/>
              <w:rPr>
                <w:rFonts w:cs="AdvTimes"/>
                <w:color w:val="231F20"/>
              </w:rPr>
            </w:pPr>
            <w:r w:rsidRPr="0084450C">
              <w:rPr>
                <w:rFonts w:cs="AdvTimes"/>
                <w:color w:val="231F20"/>
              </w:rPr>
              <w:t>companies (two); Ministries of Social</w:t>
            </w:r>
          </w:p>
          <w:p w:rsidR="003D1E41" w:rsidRPr="0084450C" w:rsidRDefault="003D1E41" w:rsidP="00721386">
            <w:pPr>
              <w:pStyle w:val="TableText0"/>
              <w:rPr>
                <w:rFonts w:cs="AdvTimes"/>
                <w:color w:val="231F20"/>
              </w:rPr>
            </w:pPr>
            <w:r w:rsidRPr="0084450C">
              <w:rPr>
                <w:rFonts w:cs="AdvTimes"/>
                <w:color w:val="231F20"/>
              </w:rPr>
              <w:t>Affairs, Health and Economic Affairs (three);</w:t>
            </w:r>
          </w:p>
          <w:p w:rsidR="003D1E41" w:rsidRPr="0084450C" w:rsidRDefault="003D1E41" w:rsidP="00721386">
            <w:pPr>
              <w:pStyle w:val="TableText0"/>
              <w:rPr>
                <w:rFonts w:cs="AdvTimes"/>
                <w:color w:val="231F20"/>
              </w:rPr>
            </w:pPr>
            <w:r w:rsidRPr="0084450C">
              <w:rPr>
                <w:rFonts w:cs="AdvTimes"/>
                <w:color w:val="231F20"/>
              </w:rPr>
              <w:t>and the National Institute for Health and Disability</w:t>
            </w:r>
          </w:p>
          <w:p w:rsidR="003D1E41" w:rsidRPr="0084450C" w:rsidRDefault="003D1E41" w:rsidP="00721386">
            <w:pPr>
              <w:pStyle w:val="TableText0"/>
              <w:rPr>
                <w:rFonts w:cs="AdvTimes"/>
                <w:color w:val="231F20"/>
              </w:rPr>
            </w:pPr>
            <w:r w:rsidRPr="0084450C">
              <w:rPr>
                <w:rFonts w:cs="AdvTimes"/>
                <w:color w:val="231F20"/>
              </w:rPr>
              <w:t>Insurance (one).</w:t>
            </w:r>
          </w:p>
          <w:p w:rsidR="003D1E41" w:rsidRPr="0084450C" w:rsidRDefault="003D1E41" w:rsidP="00721386">
            <w:pPr>
              <w:pStyle w:val="TableText0"/>
            </w:pPr>
            <w:r w:rsidRPr="0084450C">
              <w:rPr>
                <w:rFonts w:cs="AdvTimes"/>
                <w:color w:val="231F20"/>
              </w:rPr>
              <w:t>Decision maker: Minister of Social Affairs</w:t>
            </w:r>
          </w:p>
        </w:tc>
        <w:tc>
          <w:tcPr>
            <w:tcW w:w="4989" w:type="dxa"/>
            <w:tcBorders>
              <w:left w:val="single" w:sz="4" w:space="0" w:color="auto"/>
              <w:right w:val="single" w:sz="4" w:space="0" w:color="auto"/>
            </w:tcBorders>
          </w:tcPr>
          <w:p w:rsidR="003D1E41" w:rsidRPr="0084450C" w:rsidRDefault="003D1E41" w:rsidP="00721386">
            <w:pPr>
              <w:pStyle w:val="TableText0"/>
              <w:rPr>
                <w:rFonts w:cs="AdvTimes"/>
                <w:color w:val="231F20"/>
              </w:rPr>
            </w:pPr>
            <w:r w:rsidRPr="0084450C">
              <w:rPr>
                <w:rFonts w:cs="AdvTimes"/>
                <w:color w:val="231F20"/>
              </w:rPr>
              <w:t>The basis for a positive recommendation is based on multiple criteria:</w:t>
            </w:r>
          </w:p>
          <w:p w:rsidR="003D1E41" w:rsidRPr="0084450C" w:rsidRDefault="003D1E41" w:rsidP="000959DF">
            <w:pPr>
              <w:pStyle w:val="TableText0"/>
              <w:numPr>
                <w:ilvl w:val="0"/>
                <w:numId w:val="41"/>
              </w:numPr>
            </w:pPr>
            <w:r w:rsidRPr="0084450C">
              <w:t xml:space="preserve">Therapeutic value, </w:t>
            </w:r>
          </w:p>
          <w:p w:rsidR="003D1E41" w:rsidRPr="0084450C" w:rsidRDefault="003D1E41" w:rsidP="000959DF">
            <w:pPr>
              <w:pStyle w:val="TableText0"/>
              <w:numPr>
                <w:ilvl w:val="0"/>
                <w:numId w:val="41"/>
              </w:numPr>
            </w:pPr>
            <w:r w:rsidRPr="0084450C">
              <w:t>Price and proposed reimbursement tariff;</w:t>
            </w:r>
          </w:p>
          <w:p w:rsidR="003D1E41" w:rsidRPr="0084450C" w:rsidRDefault="003D1E41" w:rsidP="000959DF">
            <w:pPr>
              <w:pStyle w:val="TableText0"/>
              <w:numPr>
                <w:ilvl w:val="0"/>
                <w:numId w:val="41"/>
              </w:numPr>
            </w:pPr>
            <w:r w:rsidRPr="0084450C">
              <w:t>The importance of the drug in clinical practice; and</w:t>
            </w:r>
          </w:p>
          <w:p w:rsidR="006E2AFB" w:rsidRDefault="003D1E41" w:rsidP="000959DF">
            <w:pPr>
              <w:pStyle w:val="TableText0"/>
              <w:numPr>
                <w:ilvl w:val="0"/>
                <w:numId w:val="41"/>
              </w:numPr>
            </w:pPr>
            <w:r w:rsidRPr="0084450C">
              <w:t>The budget impact of the drug.</w:t>
            </w:r>
          </w:p>
          <w:p w:rsidR="006E2AFB" w:rsidRDefault="006E2AFB" w:rsidP="006E2AFB">
            <w:pPr>
              <w:pStyle w:val="TableText0"/>
              <w:ind w:left="360"/>
            </w:pPr>
          </w:p>
          <w:p w:rsidR="003D1E41" w:rsidRPr="0084450C" w:rsidRDefault="003D1E41" w:rsidP="006E2AFB">
            <w:pPr>
              <w:pStyle w:val="TableText0"/>
            </w:pPr>
            <w:r w:rsidRPr="0084450C">
              <w:t xml:space="preserve">Denis </w:t>
            </w:r>
            <w:r w:rsidRPr="006E2AFB">
              <w:rPr>
                <w:i/>
              </w:rPr>
              <w:t>et al</w:t>
            </w:r>
            <w:r w:rsidRPr="0084450C">
              <w:t xml:space="preserve"> identified additional factors that may play role in the decision making process:</w:t>
            </w:r>
          </w:p>
          <w:p w:rsidR="003D1E41" w:rsidRPr="0084450C" w:rsidRDefault="003D1E41" w:rsidP="000959DF">
            <w:pPr>
              <w:pStyle w:val="TableText0"/>
              <w:numPr>
                <w:ilvl w:val="0"/>
                <w:numId w:val="41"/>
              </w:numPr>
            </w:pPr>
            <w:r w:rsidRPr="0084450C">
              <w:t>Price adjustments; and</w:t>
            </w:r>
          </w:p>
          <w:p w:rsidR="003D1E41" w:rsidRPr="0084450C" w:rsidRDefault="003D1E41" w:rsidP="000959DF">
            <w:pPr>
              <w:pStyle w:val="TableText0"/>
              <w:numPr>
                <w:ilvl w:val="0"/>
                <w:numId w:val="41"/>
              </w:numPr>
            </w:pPr>
            <w:r w:rsidRPr="0084450C">
              <w:t>Employment incentives.</w:t>
            </w:r>
          </w:p>
          <w:p w:rsidR="003D1E41" w:rsidRPr="00F913F8" w:rsidRDefault="003D1E41" w:rsidP="00721386">
            <w:pPr>
              <w:pStyle w:val="TableText0"/>
            </w:pPr>
          </w:p>
        </w:tc>
        <w:tc>
          <w:tcPr>
            <w:tcW w:w="4161" w:type="dxa"/>
            <w:tcBorders>
              <w:left w:val="single" w:sz="4" w:space="0" w:color="auto"/>
            </w:tcBorders>
          </w:tcPr>
          <w:p w:rsidR="003D1E41" w:rsidRPr="0084450C" w:rsidRDefault="003D1E41" w:rsidP="00721386">
            <w:pPr>
              <w:pStyle w:val="TableText0"/>
              <w:rPr>
                <w:rFonts w:cs="AdvTimes"/>
                <w:color w:val="231F20"/>
              </w:rPr>
            </w:pPr>
            <w:r w:rsidRPr="0084450C">
              <w:rPr>
                <w:rFonts w:cs="AdvTimes"/>
                <w:color w:val="231F20"/>
              </w:rPr>
              <w:t xml:space="preserve">Economic evaluations of orphan drugs are not required for reimbursement purposes. </w:t>
            </w:r>
          </w:p>
          <w:p w:rsidR="003D1E41" w:rsidRPr="00F913F8" w:rsidRDefault="003D1E41" w:rsidP="00721386">
            <w:pPr>
              <w:pStyle w:val="TableText0"/>
            </w:pPr>
          </w:p>
        </w:tc>
      </w:tr>
      <w:tr w:rsidR="00746F05" w:rsidRPr="00F913F8" w:rsidTr="00731B68">
        <w:trPr>
          <w:trHeight w:val="558"/>
        </w:trPr>
        <w:tc>
          <w:tcPr>
            <w:tcW w:w="1773" w:type="dxa"/>
          </w:tcPr>
          <w:p w:rsidR="003D1E41" w:rsidRPr="0084450C" w:rsidRDefault="003D1E41" w:rsidP="00184B6F">
            <w:pPr>
              <w:pStyle w:val="TableText0"/>
            </w:pPr>
            <w:r w:rsidRPr="0084450C">
              <w:t xml:space="preserve">Austria </w:t>
            </w:r>
            <w:r w:rsidR="00A130D0">
              <w:rPr>
                <w:noProof/>
              </w:rPr>
              <w:t>(</w:t>
            </w:r>
            <w:r w:rsidR="00184B6F">
              <w:rPr>
                <w:noProof/>
              </w:rPr>
              <w:t>ISPOR 2009a</w:t>
            </w:r>
            <w:r w:rsidR="00A130D0">
              <w:rPr>
                <w:noProof/>
              </w:rPr>
              <w:t>)</w:t>
            </w:r>
          </w:p>
        </w:tc>
        <w:tc>
          <w:tcPr>
            <w:tcW w:w="3325" w:type="dxa"/>
          </w:tcPr>
          <w:p w:rsidR="003D1E41" w:rsidRPr="0084450C" w:rsidRDefault="003D1E41" w:rsidP="00721386">
            <w:pPr>
              <w:pStyle w:val="TableText0"/>
            </w:pPr>
            <w:r w:rsidRPr="0084450C">
              <w:t>Applicant: Drug company</w:t>
            </w:r>
          </w:p>
          <w:p w:rsidR="003D1E41" w:rsidRPr="0084450C" w:rsidRDefault="003D1E41" w:rsidP="00721386">
            <w:pPr>
              <w:pStyle w:val="TableText0"/>
            </w:pPr>
            <w:r w:rsidRPr="0084450C">
              <w:t>Evaluator: Heilmittel-Evaluierungs-Kommission (Commission for Evaluation of Drugs)</w:t>
            </w:r>
          </w:p>
          <w:p w:rsidR="003D1E41" w:rsidRPr="0084450C" w:rsidRDefault="003D1E41" w:rsidP="00721386">
            <w:pPr>
              <w:pStyle w:val="TableText0"/>
            </w:pPr>
            <w:r w:rsidRPr="0084450C">
              <w:t xml:space="preserve">Decision Maker: Main Association of Austrian Social Security Institutions (Hauptverband der österreichischen </w:t>
            </w:r>
            <w:r w:rsidRPr="0084450C">
              <w:lastRenderedPageBreak/>
              <w:t>Sozialversicherunsträger, HVB)</w:t>
            </w:r>
          </w:p>
        </w:tc>
        <w:tc>
          <w:tcPr>
            <w:tcW w:w="4989" w:type="dxa"/>
          </w:tcPr>
          <w:p w:rsidR="003D1E41" w:rsidRPr="0084450C" w:rsidRDefault="003D1E41" w:rsidP="000959DF">
            <w:pPr>
              <w:pStyle w:val="TableText0"/>
              <w:numPr>
                <w:ilvl w:val="0"/>
                <w:numId w:val="43"/>
              </w:numPr>
            </w:pPr>
            <w:r w:rsidRPr="0084450C">
              <w:lastRenderedPageBreak/>
              <w:t>Pharmacological analysis (comparison with therapeutic alternatives and perceived degree of innovation),</w:t>
            </w:r>
          </w:p>
          <w:p w:rsidR="003D1E41" w:rsidRPr="0084450C" w:rsidRDefault="003D1E41" w:rsidP="000959DF">
            <w:pPr>
              <w:pStyle w:val="TableText0"/>
              <w:numPr>
                <w:ilvl w:val="0"/>
                <w:numId w:val="43"/>
              </w:numPr>
            </w:pPr>
            <w:r w:rsidRPr="0084450C">
              <w:t>Medical-therapeutic evaluation (target patient group, effectiveness, expected duration and treatment frequency)</w:t>
            </w:r>
          </w:p>
          <w:p w:rsidR="003D1E41" w:rsidRPr="0084450C" w:rsidRDefault="003D1E41" w:rsidP="000959DF">
            <w:pPr>
              <w:pStyle w:val="TableText0"/>
              <w:numPr>
                <w:ilvl w:val="0"/>
                <w:numId w:val="43"/>
              </w:numPr>
            </w:pPr>
            <w:r w:rsidRPr="0084450C">
              <w:t>Economic considerations (this includes budget impact and PE evidence).</w:t>
            </w:r>
          </w:p>
        </w:tc>
        <w:tc>
          <w:tcPr>
            <w:tcW w:w="4161" w:type="dxa"/>
          </w:tcPr>
          <w:p w:rsidR="003D1E41" w:rsidRPr="0084450C" w:rsidRDefault="003D1E41" w:rsidP="00721386">
            <w:pPr>
              <w:pStyle w:val="TableText0"/>
            </w:pPr>
            <w:r w:rsidRPr="0084450C">
              <w:t>Unknown / not stated</w:t>
            </w:r>
          </w:p>
        </w:tc>
      </w:tr>
      <w:tr w:rsidR="00746F05" w:rsidRPr="00F913F8" w:rsidTr="00731B68">
        <w:trPr>
          <w:trHeight w:val="558"/>
        </w:trPr>
        <w:tc>
          <w:tcPr>
            <w:tcW w:w="1773" w:type="dxa"/>
          </w:tcPr>
          <w:p w:rsidR="003D1E41" w:rsidRPr="0084450C" w:rsidRDefault="003D1E41" w:rsidP="00184B6F">
            <w:pPr>
              <w:pStyle w:val="TableText0"/>
            </w:pPr>
            <w:r w:rsidRPr="0084450C">
              <w:lastRenderedPageBreak/>
              <w:t xml:space="preserve">Dutch duel insurance system </w:t>
            </w:r>
            <w:r w:rsidR="00A130D0">
              <w:rPr>
                <w:noProof/>
              </w:rPr>
              <w:t>(</w:t>
            </w:r>
            <w:r w:rsidR="00184B6F">
              <w:rPr>
                <w:noProof/>
              </w:rPr>
              <w:t>Garau &amp; Mestre-Ferrandiz 2009</w:t>
            </w:r>
            <w:r w:rsidR="00A130D0">
              <w:rPr>
                <w:noProof/>
              </w:rPr>
              <w:t xml:space="preserve">; </w:t>
            </w:r>
            <w:r w:rsidR="00184B6F">
              <w:rPr>
                <w:noProof/>
              </w:rPr>
              <w:t>Vegter et al. 2010</w:t>
            </w:r>
            <w:r w:rsidR="00A130D0">
              <w:rPr>
                <w:noProof/>
              </w:rPr>
              <w:t>)</w:t>
            </w:r>
          </w:p>
        </w:tc>
        <w:tc>
          <w:tcPr>
            <w:tcW w:w="3325" w:type="dxa"/>
          </w:tcPr>
          <w:p w:rsidR="003D1E41" w:rsidRPr="0084450C" w:rsidRDefault="003D1E41" w:rsidP="00721386">
            <w:pPr>
              <w:pStyle w:val="TableText0"/>
            </w:pPr>
            <w:r w:rsidRPr="0084450C">
              <w:rPr>
                <w:u w:val="single"/>
              </w:rPr>
              <w:t>Non-hospital treatments</w:t>
            </w:r>
            <w:r w:rsidRPr="0084450C">
              <w:t xml:space="preserve">: </w:t>
            </w:r>
          </w:p>
          <w:p w:rsidR="003D1E41" w:rsidRPr="0084450C" w:rsidRDefault="003D1E41" w:rsidP="00721386">
            <w:pPr>
              <w:pStyle w:val="TableText0"/>
            </w:pPr>
            <w:r w:rsidRPr="0084450C">
              <w:t>Applicant: drug company</w:t>
            </w:r>
          </w:p>
          <w:p w:rsidR="003D1E41" w:rsidRPr="0084450C" w:rsidRDefault="003D1E41" w:rsidP="00721386">
            <w:pPr>
              <w:pStyle w:val="TableText0"/>
            </w:pPr>
            <w:r w:rsidRPr="0084450C">
              <w:t>Evaluator / Recommendation-maker: a committee of the Dutch Health Care Reimbursement Board (College voor zorgverzekeringen (CVZ))</w:t>
            </w:r>
          </w:p>
          <w:p w:rsidR="003D1E41" w:rsidRPr="0084450C" w:rsidRDefault="003D1E41" w:rsidP="00721386">
            <w:pPr>
              <w:pStyle w:val="TableText0"/>
            </w:pPr>
            <w:r w:rsidRPr="0084450C">
              <w:t xml:space="preserve">Decision-maker: the Minister of Health, Welfare and Sport </w:t>
            </w:r>
          </w:p>
          <w:p w:rsidR="003D1E41" w:rsidRPr="0084450C" w:rsidRDefault="003D1E41" w:rsidP="00721386">
            <w:pPr>
              <w:pStyle w:val="TableText0"/>
            </w:pPr>
            <w:r w:rsidRPr="0084450C">
              <w:rPr>
                <w:u w:val="single"/>
              </w:rPr>
              <w:t>Hospital treatments</w:t>
            </w:r>
            <w:r w:rsidRPr="0084450C">
              <w:t xml:space="preserve"> (Policy rule on orphan drugs): </w:t>
            </w:r>
          </w:p>
          <w:p w:rsidR="003D1E41" w:rsidRPr="0084450C" w:rsidRDefault="003D1E41" w:rsidP="00721386">
            <w:pPr>
              <w:pStyle w:val="TableText0"/>
            </w:pPr>
            <w:r w:rsidRPr="0084450C">
              <w:t>Evaluator / recommendation-maker: CVZ</w:t>
            </w:r>
          </w:p>
        </w:tc>
        <w:tc>
          <w:tcPr>
            <w:tcW w:w="4989" w:type="dxa"/>
          </w:tcPr>
          <w:p w:rsidR="003D1E41" w:rsidRPr="0084450C" w:rsidRDefault="003D1E41" w:rsidP="00721386">
            <w:pPr>
              <w:pStyle w:val="TableText0"/>
            </w:pPr>
            <w:r w:rsidRPr="0084450C">
              <w:rPr>
                <w:u w:val="single"/>
              </w:rPr>
              <w:t>Non-hospital treatments</w:t>
            </w:r>
            <w:r w:rsidRPr="0084450C">
              <w:t>: clinical and pharmacoeconomic evidence  and budget impact analysis</w:t>
            </w:r>
          </w:p>
          <w:p w:rsidR="003D1E41" w:rsidRPr="0084450C" w:rsidRDefault="003D1E41" w:rsidP="00721386">
            <w:pPr>
              <w:pStyle w:val="TableText0"/>
            </w:pPr>
          </w:p>
          <w:p w:rsidR="003D1E41" w:rsidRPr="0084450C" w:rsidRDefault="003D1E41" w:rsidP="00721386">
            <w:pPr>
              <w:pStyle w:val="TableText0"/>
            </w:pPr>
            <w:r w:rsidRPr="0084450C">
              <w:rPr>
                <w:u w:val="single"/>
              </w:rPr>
              <w:t xml:space="preserve">Hospital treatments </w:t>
            </w:r>
            <w:r w:rsidRPr="0084450C">
              <w:t>(Policy rule on orphan drugs): “value” dossier, with the conditional on obtaining additional data on the clinical and cost-effectiveness of the medicines being assessed</w:t>
            </w:r>
          </w:p>
        </w:tc>
        <w:tc>
          <w:tcPr>
            <w:tcW w:w="4161" w:type="dxa"/>
          </w:tcPr>
          <w:p w:rsidR="003D1E41" w:rsidRPr="0084450C" w:rsidRDefault="003D1E41" w:rsidP="00721386">
            <w:pPr>
              <w:pStyle w:val="TableText0"/>
              <w:rPr>
                <w:u w:val="single"/>
              </w:rPr>
            </w:pPr>
            <w:r w:rsidRPr="0084450C">
              <w:rPr>
                <w:u w:val="single"/>
              </w:rPr>
              <w:t>Non-hospital treatments</w:t>
            </w:r>
            <w:r w:rsidRPr="0084450C">
              <w:t xml:space="preserve">: Orphan drug developers can be exempted from providing a full phamacoeconomic evaluation if several other criteria are met, such as a small budget impact and an absence of other treatments for the disease. A cost analysis is required even if an exemption for </w:t>
            </w:r>
            <w:r w:rsidR="00E66055" w:rsidRPr="0084450C">
              <w:t>pharmacoeconomic</w:t>
            </w:r>
            <w:r w:rsidRPr="0084450C">
              <w:t xml:space="preserve"> analysis is granted. </w:t>
            </w:r>
          </w:p>
        </w:tc>
      </w:tr>
      <w:tr w:rsidR="00746F05" w:rsidRPr="00F913F8" w:rsidTr="00731B68">
        <w:trPr>
          <w:trHeight w:val="558"/>
        </w:trPr>
        <w:tc>
          <w:tcPr>
            <w:tcW w:w="1773" w:type="dxa"/>
          </w:tcPr>
          <w:p w:rsidR="003D1E41" w:rsidRPr="0084450C" w:rsidRDefault="003D1E41" w:rsidP="00184B6F">
            <w:pPr>
              <w:pStyle w:val="TableText0"/>
            </w:pPr>
            <w:r w:rsidRPr="0084450C">
              <w:t xml:space="preserve">Swedish National Health Service </w:t>
            </w:r>
            <w:r w:rsidR="00A130D0">
              <w:rPr>
                <w:noProof/>
              </w:rPr>
              <w:t>(</w:t>
            </w:r>
            <w:r w:rsidR="00184B6F">
              <w:rPr>
                <w:noProof/>
              </w:rPr>
              <w:t>Garau &amp; Mestre-Ferrandiz 2009</w:t>
            </w:r>
            <w:r w:rsidR="00A130D0">
              <w:rPr>
                <w:noProof/>
              </w:rPr>
              <w:t xml:space="preserve">; </w:t>
            </w:r>
            <w:r w:rsidR="00184B6F">
              <w:rPr>
                <w:noProof/>
              </w:rPr>
              <w:t>Jansson 2007</w:t>
            </w:r>
            <w:r w:rsidR="00A130D0">
              <w:rPr>
                <w:noProof/>
              </w:rPr>
              <w:t>)</w:t>
            </w:r>
          </w:p>
        </w:tc>
        <w:tc>
          <w:tcPr>
            <w:tcW w:w="3325" w:type="dxa"/>
          </w:tcPr>
          <w:p w:rsidR="003D1E41" w:rsidRPr="0084450C" w:rsidRDefault="003D1E41" w:rsidP="00721386">
            <w:pPr>
              <w:pStyle w:val="TableText0"/>
            </w:pPr>
            <w:r w:rsidRPr="0084450C">
              <w:t>Applicant: drug company</w:t>
            </w:r>
          </w:p>
          <w:p w:rsidR="003D1E41" w:rsidRPr="0084450C" w:rsidRDefault="003D1E41" w:rsidP="00721386">
            <w:pPr>
              <w:pStyle w:val="TableText0"/>
            </w:pPr>
            <w:r w:rsidRPr="0084450C">
              <w:t>Evaluator: Swedish Council on Technology Assessment in Health Care (Statens beredning för medicinsk utvärdering (SBU))</w:t>
            </w:r>
          </w:p>
          <w:p w:rsidR="003D1E41" w:rsidRPr="0084450C" w:rsidRDefault="003D1E41" w:rsidP="00721386">
            <w:pPr>
              <w:pStyle w:val="TableText0"/>
            </w:pPr>
            <w:r w:rsidRPr="0084450C">
              <w:t>Decision-maker: Tandvårds- och läkemedelsförmånsverket (TLV; Dental and Pharmaceutical Benefits Board), previously the Läkemedelsförmånsnämnden (LFN; Pharmaceutical Benefits Board)</w:t>
            </w:r>
          </w:p>
        </w:tc>
        <w:tc>
          <w:tcPr>
            <w:tcW w:w="4989" w:type="dxa"/>
          </w:tcPr>
          <w:p w:rsidR="003D1E41" w:rsidRPr="0084450C" w:rsidRDefault="003D1E41" w:rsidP="00721386">
            <w:pPr>
              <w:pStyle w:val="TableText0"/>
            </w:pPr>
            <w:r w:rsidRPr="0084450C">
              <w:t>According to the Act on Pharmaceutical benefits, etc., an application for reimbursement should be evaluated based on the following four criterion (in order of importance):</w:t>
            </w:r>
          </w:p>
          <w:p w:rsidR="003D1E41" w:rsidRPr="0084450C" w:rsidRDefault="003D1E41" w:rsidP="000959DF">
            <w:pPr>
              <w:pStyle w:val="TableText0"/>
              <w:numPr>
                <w:ilvl w:val="0"/>
                <w:numId w:val="42"/>
              </w:numPr>
            </w:pPr>
            <w:r w:rsidRPr="0084450C">
              <w:t>The principle of human dignity.</w:t>
            </w:r>
          </w:p>
          <w:p w:rsidR="003D1E41" w:rsidRPr="0084450C" w:rsidRDefault="003D1E41" w:rsidP="000959DF">
            <w:pPr>
              <w:pStyle w:val="TableText0"/>
              <w:numPr>
                <w:ilvl w:val="0"/>
                <w:numId w:val="42"/>
              </w:numPr>
            </w:pPr>
            <w:r w:rsidRPr="0084450C">
              <w:t>The principle of need and solidarity.</w:t>
            </w:r>
          </w:p>
          <w:p w:rsidR="003D1E41" w:rsidRPr="0084450C" w:rsidRDefault="003D1E41" w:rsidP="000959DF">
            <w:pPr>
              <w:pStyle w:val="TableText0"/>
              <w:numPr>
                <w:ilvl w:val="0"/>
                <w:numId w:val="42"/>
              </w:numPr>
            </w:pPr>
            <w:r w:rsidRPr="0084450C">
              <w:t>The principle of cost-effectiveness.</w:t>
            </w:r>
          </w:p>
          <w:p w:rsidR="003D1E41" w:rsidRPr="0084450C" w:rsidRDefault="003D1E41" w:rsidP="000959DF">
            <w:pPr>
              <w:pStyle w:val="TableText0"/>
              <w:numPr>
                <w:ilvl w:val="0"/>
                <w:numId w:val="42"/>
              </w:numPr>
            </w:pPr>
            <w:r w:rsidRPr="0084450C">
              <w:t>Principle of marginal benefits.</w:t>
            </w:r>
          </w:p>
        </w:tc>
        <w:tc>
          <w:tcPr>
            <w:tcW w:w="4161" w:type="dxa"/>
          </w:tcPr>
          <w:p w:rsidR="003D1E41" w:rsidRPr="0084450C" w:rsidRDefault="003D1E41" w:rsidP="00721386">
            <w:pPr>
              <w:pStyle w:val="TableText0"/>
            </w:pPr>
            <w:r w:rsidRPr="0084450C">
              <w:rPr>
                <w:u w:val="single"/>
              </w:rPr>
              <w:t>Higher cost-effectiveness ratio</w:t>
            </w:r>
            <w:r w:rsidRPr="0084450C">
              <w:t xml:space="preserve"> due to the severity of orphan disease: The TLV in effect has different cost effectiveness thresholds for different characteristics of disease-linked severity. For example, a 2008 study by the LFN showed that “for more severe conditions the LFN has accepted costs per QALY in the area of €90,000”. The report also noted a correlation between disease severity and willingness to pay for a QALY.</w:t>
            </w:r>
          </w:p>
          <w:p w:rsidR="003D1E41" w:rsidRPr="0084450C" w:rsidRDefault="003D1E41" w:rsidP="00721386">
            <w:pPr>
              <w:pStyle w:val="TableText0"/>
            </w:pPr>
            <w:r w:rsidRPr="0084450C">
              <w:rPr>
                <w:u w:val="single"/>
              </w:rPr>
              <w:t>Limited evidence base</w:t>
            </w:r>
            <w:r w:rsidRPr="0084450C">
              <w:t xml:space="preserve">: Based on standard HTA methods, greater uncertainty in clinical and cost effectiveness evidence can be accepted when the target population is small, because the cost of making wrong decisions is lower as compared to treatments for more prevalent diseases. </w:t>
            </w:r>
          </w:p>
        </w:tc>
      </w:tr>
      <w:tr w:rsidR="00746F05" w:rsidRPr="00F913F8" w:rsidTr="00731B68">
        <w:trPr>
          <w:trHeight w:val="558"/>
        </w:trPr>
        <w:tc>
          <w:tcPr>
            <w:tcW w:w="1773" w:type="dxa"/>
          </w:tcPr>
          <w:p w:rsidR="003D1E41" w:rsidRPr="0084450C" w:rsidRDefault="003D1E41" w:rsidP="00184B6F">
            <w:pPr>
              <w:pStyle w:val="TableText0"/>
            </w:pPr>
            <w:r w:rsidRPr="0084450C">
              <w:lastRenderedPageBreak/>
              <w:t xml:space="preserve">Spanish national Health Service </w:t>
            </w:r>
            <w:r w:rsidR="00A130D0">
              <w:rPr>
                <w:noProof/>
              </w:rPr>
              <w:t>(</w:t>
            </w:r>
            <w:r w:rsidR="00184B6F">
              <w:rPr>
                <w:noProof/>
              </w:rPr>
              <w:t>Garau &amp; Mestre-Ferrandiz 2009</w:t>
            </w:r>
            <w:r w:rsidR="00A130D0">
              <w:rPr>
                <w:noProof/>
              </w:rPr>
              <w:t xml:space="preserve">; </w:t>
            </w:r>
            <w:r w:rsidR="00184B6F">
              <w:rPr>
                <w:noProof/>
              </w:rPr>
              <w:t>ISPOR 2009d</w:t>
            </w:r>
            <w:r w:rsidR="00A130D0">
              <w:rPr>
                <w:noProof/>
              </w:rPr>
              <w:t>)</w:t>
            </w:r>
          </w:p>
        </w:tc>
        <w:tc>
          <w:tcPr>
            <w:tcW w:w="3325" w:type="dxa"/>
          </w:tcPr>
          <w:p w:rsidR="003D1E41" w:rsidRPr="0084450C" w:rsidRDefault="003D1E41" w:rsidP="00721386">
            <w:pPr>
              <w:pStyle w:val="TableText0"/>
            </w:pPr>
            <w:r w:rsidRPr="0084450C">
              <w:t>Applicant: drug company</w:t>
            </w:r>
          </w:p>
          <w:p w:rsidR="003D1E41" w:rsidRPr="0084450C" w:rsidRDefault="003D1E41" w:rsidP="00721386">
            <w:pPr>
              <w:pStyle w:val="TableText0"/>
            </w:pPr>
            <w:r w:rsidRPr="0084450C">
              <w:t>Evaluator: National HTA Agency (Instituto de Salud Carlos III (ISCIII)) in collaboration with Regional HTA Agencies</w:t>
            </w:r>
          </w:p>
          <w:p w:rsidR="003D1E41" w:rsidRPr="0084450C" w:rsidRDefault="003D1E41" w:rsidP="00721386">
            <w:pPr>
              <w:pStyle w:val="TableText0"/>
            </w:pPr>
            <w:r w:rsidRPr="0084450C">
              <w:t>Decision-maker: Inter-Ministerial Pricing Commission CIPM (La Comisión Interministerial de Precios de los Medicamentos) led by the Ministry of Health (MSC)</w:t>
            </w:r>
          </w:p>
        </w:tc>
        <w:tc>
          <w:tcPr>
            <w:tcW w:w="4989" w:type="dxa"/>
          </w:tcPr>
          <w:p w:rsidR="003D1E41" w:rsidRPr="0084450C" w:rsidRDefault="003D1E41" w:rsidP="00721386">
            <w:pPr>
              <w:pStyle w:val="TableText0"/>
            </w:pPr>
            <w:r w:rsidRPr="0084450C">
              <w:t>The following factors determine whether or not a medicine is reimbursed by the Spanish MSC:</w:t>
            </w:r>
          </w:p>
          <w:p w:rsidR="003D1E41" w:rsidRPr="0084450C" w:rsidRDefault="003D1E41" w:rsidP="000959DF">
            <w:pPr>
              <w:pStyle w:val="TableText0"/>
              <w:numPr>
                <w:ilvl w:val="0"/>
                <w:numId w:val="41"/>
              </w:numPr>
            </w:pPr>
            <w:r w:rsidRPr="0084450C">
              <w:t>the seriousness of the disease;</w:t>
            </w:r>
          </w:p>
          <w:p w:rsidR="003D1E41" w:rsidRPr="0084450C" w:rsidRDefault="003D1E41" w:rsidP="000959DF">
            <w:pPr>
              <w:pStyle w:val="TableText0"/>
              <w:numPr>
                <w:ilvl w:val="0"/>
                <w:numId w:val="41"/>
              </w:numPr>
            </w:pPr>
            <w:r w:rsidRPr="0084450C">
              <w:t>the needs of certain groups (</w:t>
            </w:r>
            <w:r w:rsidR="00E66055" w:rsidRPr="0084450C">
              <w:t>egg</w:t>
            </w:r>
            <w:r w:rsidRPr="0084450C">
              <w:t xml:space="preserve"> equity);</w:t>
            </w:r>
          </w:p>
          <w:p w:rsidR="003D1E41" w:rsidRPr="0084450C" w:rsidRDefault="003D1E41" w:rsidP="000959DF">
            <w:pPr>
              <w:pStyle w:val="TableText0"/>
              <w:numPr>
                <w:ilvl w:val="0"/>
                <w:numId w:val="41"/>
              </w:numPr>
            </w:pPr>
            <w:r w:rsidRPr="0084450C">
              <w:t>the medicine’s therapeutic and social utility;</w:t>
            </w:r>
          </w:p>
          <w:p w:rsidR="003D1E41" w:rsidRPr="0084450C" w:rsidRDefault="003D1E41" w:rsidP="000959DF">
            <w:pPr>
              <w:pStyle w:val="TableText0"/>
              <w:numPr>
                <w:ilvl w:val="0"/>
                <w:numId w:val="41"/>
              </w:numPr>
            </w:pPr>
            <w:r w:rsidRPr="0084450C">
              <w:t>the limits of public expenditure allocated to pharmaceutical benefits;</w:t>
            </w:r>
          </w:p>
          <w:p w:rsidR="003D1E41" w:rsidRPr="0084450C" w:rsidRDefault="003D1E41" w:rsidP="000959DF">
            <w:pPr>
              <w:pStyle w:val="TableText0"/>
              <w:numPr>
                <w:ilvl w:val="0"/>
                <w:numId w:val="41"/>
              </w:numPr>
            </w:pPr>
            <w:r w:rsidRPr="0084450C">
              <w:t>the existence of alternative treatments for the same conditions;</w:t>
            </w:r>
          </w:p>
          <w:p w:rsidR="003D1E41" w:rsidRPr="0084450C" w:rsidRDefault="003D1E41" w:rsidP="000959DF">
            <w:pPr>
              <w:pStyle w:val="TableText0"/>
              <w:numPr>
                <w:ilvl w:val="0"/>
                <w:numId w:val="41"/>
              </w:numPr>
            </w:pPr>
            <w:r w:rsidRPr="0084450C">
              <w:t>the medicine’s degree of innovation;</w:t>
            </w:r>
          </w:p>
          <w:p w:rsidR="003D1E41" w:rsidRPr="0084450C" w:rsidRDefault="003D1E41" w:rsidP="000959DF">
            <w:pPr>
              <w:pStyle w:val="TableText0"/>
              <w:numPr>
                <w:ilvl w:val="0"/>
                <w:numId w:val="41"/>
              </w:numPr>
            </w:pPr>
            <w:r w:rsidRPr="0084450C">
              <w:t>the price of the product</w:t>
            </w:r>
          </w:p>
          <w:p w:rsidR="003D1E41" w:rsidRPr="0084450C" w:rsidRDefault="003D1E41" w:rsidP="00721386">
            <w:pPr>
              <w:pStyle w:val="TableText0"/>
            </w:pPr>
            <w:r w:rsidRPr="0084450C">
              <w:t>Pharmacoeconomic evaluations are not mandatory in the pricing and reimbursement process. Overall, pharmacoeconomics currently plays a small role in the Spanish pricing and reimbursement system, although some initiatives exist at the regional level.</w:t>
            </w:r>
          </w:p>
        </w:tc>
        <w:tc>
          <w:tcPr>
            <w:tcW w:w="4161" w:type="dxa"/>
          </w:tcPr>
          <w:p w:rsidR="003D1E41" w:rsidRPr="0084450C" w:rsidRDefault="003D1E41" w:rsidP="00721386">
            <w:pPr>
              <w:pStyle w:val="TableText0"/>
            </w:pPr>
            <w:r w:rsidRPr="0084450C">
              <w:t xml:space="preserve">The pricing and reimbursement system does not treat orphan drugs any differently relative to conventional medicines but the criteria used are likely to result in approval. </w:t>
            </w:r>
          </w:p>
          <w:p w:rsidR="003D1E41" w:rsidRPr="00F913F8" w:rsidRDefault="003D1E41" w:rsidP="00721386">
            <w:pPr>
              <w:pStyle w:val="TableText0"/>
            </w:pPr>
          </w:p>
        </w:tc>
      </w:tr>
      <w:tr w:rsidR="00746F05" w:rsidRPr="00F913F8" w:rsidTr="00731B68">
        <w:trPr>
          <w:trHeight w:val="558"/>
        </w:trPr>
        <w:tc>
          <w:tcPr>
            <w:tcW w:w="1773" w:type="dxa"/>
          </w:tcPr>
          <w:p w:rsidR="003D1E41" w:rsidRPr="0084450C" w:rsidRDefault="003D1E41" w:rsidP="00184B6F">
            <w:pPr>
              <w:pStyle w:val="TableText0"/>
            </w:pPr>
            <w:r w:rsidRPr="0084450C">
              <w:t xml:space="preserve">Italian National Health Service, National Pharmaceutical Formulary PFN (Prontuario Farmaceutico Nazionale) </w:t>
            </w:r>
            <w:r w:rsidR="00A130D0">
              <w:rPr>
                <w:noProof/>
              </w:rPr>
              <w:t>(</w:t>
            </w:r>
            <w:r w:rsidR="00184B6F">
              <w:rPr>
                <w:noProof/>
              </w:rPr>
              <w:t>Garau &amp; Mestre-Ferrandiz 2009</w:t>
            </w:r>
            <w:r w:rsidR="00A130D0">
              <w:rPr>
                <w:noProof/>
              </w:rPr>
              <w:t xml:space="preserve">; </w:t>
            </w:r>
            <w:r w:rsidR="00184B6F">
              <w:rPr>
                <w:noProof/>
              </w:rPr>
              <w:t>ISPOR 2008</w:t>
            </w:r>
            <w:r w:rsidR="00A130D0">
              <w:rPr>
                <w:noProof/>
              </w:rPr>
              <w:t>)</w:t>
            </w:r>
          </w:p>
        </w:tc>
        <w:tc>
          <w:tcPr>
            <w:tcW w:w="3325" w:type="dxa"/>
          </w:tcPr>
          <w:p w:rsidR="003D1E41" w:rsidRPr="0084450C" w:rsidRDefault="003D1E41" w:rsidP="00721386">
            <w:pPr>
              <w:pStyle w:val="TableText0"/>
            </w:pPr>
            <w:r w:rsidRPr="0084450C">
              <w:t>Applicant: drugs company</w:t>
            </w:r>
          </w:p>
          <w:p w:rsidR="003D1E41" w:rsidRPr="0084450C" w:rsidRDefault="003D1E41" w:rsidP="00721386">
            <w:pPr>
              <w:pStyle w:val="TableText0"/>
            </w:pPr>
            <w:r w:rsidRPr="0084450C">
              <w:t>Evaluator: Comitato Scientifico e Tecnico  (CTS), Comitato Prezzi e Rimborso (CPR)</w:t>
            </w:r>
          </w:p>
          <w:p w:rsidR="003D1E41" w:rsidRPr="0084450C" w:rsidRDefault="003D1E41" w:rsidP="00721386">
            <w:pPr>
              <w:pStyle w:val="TableText0"/>
            </w:pPr>
            <w:r w:rsidRPr="0084450C">
              <w:t>Decision-maker: Agenzia Italiana del Farmaco  (AIFA)</w:t>
            </w:r>
          </w:p>
        </w:tc>
        <w:tc>
          <w:tcPr>
            <w:tcW w:w="4989" w:type="dxa"/>
          </w:tcPr>
          <w:p w:rsidR="003D1E41" w:rsidRPr="0084450C" w:rsidRDefault="003D1E41" w:rsidP="00721386">
            <w:pPr>
              <w:pStyle w:val="TableText0"/>
            </w:pPr>
            <w:r w:rsidRPr="0084450C">
              <w:t>The reimbursement status is defined by AIFA based on the following criteria, which are employed for both orphan drugs and non-orphan drugs:</w:t>
            </w:r>
          </w:p>
          <w:p w:rsidR="003D1E41" w:rsidRPr="0084450C" w:rsidRDefault="003D1E41" w:rsidP="000959DF">
            <w:pPr>
              <w:pStyle w:val="TableText0"/>
              <w:numPr>
                <w:ilvl w:val="0"/>
                <w:numId w:val="41"/>
              </w:numPr>
            </w:pPr>
            <w:r w:rsidRPr="0084450C">
              <w:t>Whether the new product is indicated for a disease with no alternative or adequate therapy;</w:t>
            </w:r>
          </w:p>
          <w:p w:rsidR="003D1E41" w:rsidRPr="0084450C" w:rsidRDefault="003D1E41" w:rsidP="000959DF">
            <w:pPr>
              <w:pStyle w:val="TableText0"/>
              <w:numPr>
                <w:ilvl w:val="0"/>
                <w:numId w:val="41"/>
              </w:numPr>
            </w:pPr>
            <w:r w:rsidRPr="0084450C">
              <w:t>Whether the new product provides a better benefit risk ratio than existing therapies;</w:t>
            </w:r>
          </w:p>
          <w:p w:rsidR="003D1E41" w:rsidRPr="0084450C" w:rsidRDefault="003D1E41" w:rsidP="000959DF">
            <w:pPr>
              <w:pStyle w:val="TableText0"/>
              <w:numPr>
                <w:ilvl w:val="0"/>
                <w:numId w:val="41"/>
              </w:numPr>
            </w:pPr>
            <w:r w:rsidRPr="0084450C">
              <w:t>Whether the new product generates socioeconomic benefits, which mainly refers to a lower price relative to the comparator(s).</w:t>
            </w:r>
          </w:p>
          <w:p w:rsidR="003D1E41" w:rsidRPr="00F913F8" w:rsidRDefault="003D1E41" w:rsidP="00721386">
            <w:pPr>
              <w:pStyle w:val="TableText0"/>
            </w:pPr>
          </w:p>
        </w:tc>
        <w:tc>
          <w:tcPr>
            <w:tcW w:w="4161" w:type="dxa"/>
          </w:tcPr>
          <w:p w:rsidR="003D1E41" w:rsidRPr="0084450C" w:rsidRDefault="003D1E41" w:rsidP="00721386">
            <w:pPr>
              <w:pStyle w:val="TableText0"/>
            </w:pPr>
            <w:r w:rsidRPr="0084450C">
              <w:lastRenderedPageBreak/>
              <w:t xml:space="preserve">The pricing and reimbursement system does not treat orphan drugs any differently relative to conventional medicines but the criteria used are likely to result in approval. </w:t>
            </w:r>
          </w:p>
          <w:p w:rsidR="003D1E41" w:rsidRPr="00F913F8" w:rsidRDefault="003D1E41" w:rsidP="00721386">
            <w:pPr>
              <w:pStyle w:val="TableText0"/>
            </w:pPr>
          </w:p>
        </w:tc>
      </w:tr>
      <w:tr w:rsidR="00746F05" w:rsidRPr="00F913F8" w:rsidTr="00731B68">
        <w:trPr>
          <w:trHeight w:val="558"/>
        </w:trPr>
        <w:tc>
          <w:tcPr>
            <w:tcW w:w="1773" w:type="dxa"/>
          </w:tcPr>
          <w:p w:rsidR="003D1E41" w:rsidRPr="0084450C" w:rsidRDefault="003D1E41" w:rsidP="00184B6F">
            <w:pPr>
              <w:pStyle w:val="TableText0"/>
            </w:pPr>
            <w:r w:rsidRPr="0084450C">
              <w:lastRenderedPageBreak/>
              <w:t>German Statutory Health Insurance</w:t>
            </w:r>
            <w:r w:rsidRPr="0084450C" w:rsidDel="00903636">
              <w:t xml:space="preserve"> </w:t>
            </w:r>
            <w:r w:rsidR="00A130D0">
              <w:rPr>
                <w:noProof/>
              </w:rPr>
              <w:t>(</w:t>
            </w:r>
            <w:r w:rsidR="00184B6F">
              <w:rPr>
                <w:noProof/>
              </w:rPr>
              <w:t>Garau &amp; Mestre-Ferrandiz 2009</w:t>
            </w:r>
            <w:r w:rsidR="00A130D0">
              <w:rPr>
                <w:noProof/>
              </w:rPr>
              <w:t>)</w:t>
            </w:r>
          </w:p>
        </w:tc>
        <w:tc>
          <w:tcPr>
            <w:tcW w:w="3325" w:type="dxa"/>
          </w:tcPr>
          <w:p w:rsidR="003D1E41" w:rsidRPr="0084450C" w:rsidRDefault="003D1E41" w:rsidP="00721386">
            <w:pPr>
              <w:pStyle w:val="TableText0"/>
            </w:pPr>
            <w:r w:rsidRPr="0084450C">
              <w:t xml:space="preserve">Most pharmaceuticals approved by the EMA or the German Federal Institute for Drugs and Medical Device (Bundesinstitut für Arzneimittel und Medizinprodukte, BfArM) are covered by the German statutory sickness funds, except for drugs for minor illnesses and ‘lifestyle’ drugs. </w:t>
            </w:r>
          </w:p>
          <w:p w:rsidR="003D1E41" w:rsidRPr="0084450C" w:rsidRDefault="003D1E41" w:rsidP="00721386">
            <w:pPr>
              <w:pStyle w:val="TableText0"/>
            </w:pPr>
            <w:r w:rsidRPr="0084450C">
              <w:t>Under certain conditions (</w:t>
            </w:r>
            <w:r w:rsidR="00E66055" w:rsidRPr="0084450C">
              <w:t>egg</w:t>
            </w:r>
            <w:r w:rsidRPr="0084450C">
              <w:t xml:space="preserve"> uncertain effectiveness, prescribing limitations </w:t>
            </w:r>
            <w:r w:rsidR="00E66055" w:rsidRPr="0084450C">
              <w:t>etc.</w:t>
            </w:r>
            <w:r w:rsidRPr="0084450C">
              <w:t xml:space="preserve">), </w:t>
            </w:r>
          </w:p>
          <w:p w:rsidR="003D1E41" w:rsidRPr="0084450C" w:rsidRDefault="003D1E41" w:rsidP="00721386">
            <w:pPr>
              <w:pStyle w:val="TableText0"/>
            </w:pPr>
            <w:r w:rsidRPr="0084450C">
              <w:t>Evaluator: Institute for Quality and Efficiency in Healthcare (IQWiG)</w:t>
            </w:r>
          </w:p>
          <w:p w:rsidR="003D1E41" w:rsidRPr="0084450C" w:rsidRDefault="003D1E41" w:rsidP="00721386">
            <w:pPr>
              <w:pStyle w:val="TableText0"/>
            </w:pPr>
            <w:r w:rsidRPr="0084450C">
              <w:t>Decision-maker: the Joint Federal Committee, G-BA (Gemeinsamer Bundesausschuss)</w:t>
            </w:r>
          </w:p>
        </w:tc>
        <w:tc>
          <w:tcPr>
            <w:tcW w:w="4989" w:type="dxa"/>
          </w:tcPr>
          <w:p w:rsidR="003D1E41" w:rsidRPr="0084450C" w:rsidRDefault="003D1E41" w:rsidP="00721386">
            <w:pPr>
              <w:pStyle w:val="TableText0"/>
            </w:pPr>
            <w:r w:rsidRPr="0084450C">
              <w:t>Reference Pricing system: The G-BA is responsible for identifying drugs and assigning them to one of three reference price groups (</w:t>
            </w:r>
            <w:r w:rsidR="00E66055" w:rsidRPr="0084450C">
              <w:t>egg</w:t>
            </w:r>
            <w:r w:rsidRPr="0084450C">
              <w:t xml:space="preserve"> products with the same active ingredient (group 1), products with therapeutically and pharmacologically similar active ingredients (group 2) and compounds with comparable therapeutic effects (group 3)</w:t>
            </w:r>
          </w:p>
          <w:p w:rsidR="003D1E41" w:rsidRPr="0084450C" w:rsidRDefault="003D1E41" w:rsidP="00721386">
            <w:pPr>
              <w:pStyle w:val="TableText0"/>
            </w:pPr>
            <w:r w:rsidRPr="0084450C">
              <w:t>Drugs that are innovative and those without any therapeutic equivalent (as is the case with may orphan drugs) are exempt from classification and are generally fully reimbursed.</w:t>
            </w:r>
          </w:p>
          <w:p w:rsidR="003D1E41" w:rsidRPr="0084450C" w:rsidRDefault="003D1E41" w:rsidP="00721386">
            <w:pPr>
              <w:pStyle w:val="TableText0"/>
            </w:pPr>
            <w:r w:rsidRPr="0084450C">
              <w:t xml:space="preserve">Otherwise: cost-effectiveness analysis will be conducted by the IQWiG if the drug has a comparator and shows demonstrated therapeutic improvements. </w:t>
            </w:r>
          </w:p>
        </w:tc>
        <w:tc>
          <w:tcPr>
            <w:tcW w:w="4161" w:type="dxa"/>
          </w:tcPr>
          <w:p w:rsidR="003D1E41" w:rsidRPr="0084450C" w:rsidRDefault="003D1E41" w:rsidP="00E66055">
            <w:pPr>
              <w:pStyle w:val="TableText0"/>
            </w:pPr>
            <w:r w:rsidRPr="0084450C">
              <w:t xml:space="preserve">No special consideration for drugs for orphan diseases. However, as </w:t>
            </w:r>
            <w:r w:rsidR="00E66055">
              <w:t>t</w:t>
            </w:r>
            <w:r w:rsidRPr="0084450C">
              <w:t>here is often no alternative therapeutic option (comparator) existing for a majority of orphan drugs, they will not be assessed in terms of cost-effectiveness.</w:t>
            </w:r>
          </w:p>
        </w:tc>
      </w:tr>
      <w:tr w:rsidR="00746F05" w:rsidRPr="00F913F8" w:rsidTr="00731B68">
        <w:trPr>
          <w:trHeight w:val="558"/>
        </w:trPr>
        <w:tc>
          <w:tcPr>
            <w:tcW w:w="1773" w:type="dxa"/>
          </w:tcPr>
          <w:p w:rsidR="003D1E41" w:rsidRPr="0084450C" w:rsidRDefault="003D1E41" w:rsidP="00184B6F">
            <w:pPr>
              <w:pStyle w:val="TableText0"/>
            </w:pPr>
            <w:r w:rsidRPr="0084450C">
              <w:t xml:space="preserve">French National Health Insurance </w:t>
            </w:r>
            <w:r w:rsidR="00A130D0">
              <w:rPr>
                <w:noProof/>
              </w:rPr>
              <w:t>(</w:t>
            </w:r>
            <w:r w:rsidR="00184B6F">
              <w:rPr>
                <w:noProof/>
              </w:rPr>
              <w:t>Garau &amp; Mestre-Ferrandiz 2009</w:t>
            </w:r>
            <w:r w:rsidR="00A130D0">
              <w:rPr>
                <w:noProof/>
              </w:rPr>
              <w:t xml:space="preserve">; </w:t>
            </w:r>
            <w:r w:rsidR="00184B6F">
              <w:rPr>
                <w:noProof/>
              </w:rPr>
              <w:t>ISPOR 2009b</w:t>
            </w:r>
            <w:r w:rsidR="00A130D0">
              <w:rPr>
                <w:noProof/>
              </w:rPr>
              <w:t>)</w:t>
            </w:r>
          </w:p>
        </w:tc>
        <w:tc>
          <w:tcPr>
            <w:tcW w:w="3325" w:type="dxa"/>
          </w:tcPr>
          <w:p w:rsidR="003D1E41" w:rsidRPr="0084450C" w:rsidRDefault="003D1E41" w:rsidP="00721386">
            <w:pPr>
              <w:pStyle w:val="TableText0"/>
              <w:rPr>
                <w:lang w:val="fr-FR"/>
              </w:rPr>
            </w:pPr>
            <w:r w:rsidRPr="0084450C">
              <w:rPr>
                <w:lang w:val="fr-FR"/>
              </w:rPr>
              <w:t>Applicant: drug company</w:t>
            </w:r>
          </w:p>
          <w:p w:rsidR="003D1E41" w:rsidRPr="0084450C" w:rsidRDefault="003D1E41" w:rsidP="00721386">
            <w:pPr>
              <w:pStyle w:val="TableText0"/>
              <w:rPr>
                <w:lang w:val="fr-FR"/>
              </w:rPr>
            </w:pPr>
            <w:r w:rsidRPr="0084450C">
              <w:rPr>
                <w:lang w:val="fr-FR"/>
              </w:rPr>
              <w:t>Evaluator: Commission d’Evaluation des Médicaments  (HAS)</w:t>
            </w:r>
          </w:p>
          <w:p w:rsidR="003D1E41" w:rsidRPr="0084450C" w:rsidRDefault="003D1E41" w:rsidP="00721386">
            <w:pPr>
              <w:pStyle w:val="TableText0"/>
              <w:rPr>
                <w:lang w:val="fr-FR"/>
              </w:rPr>
            </w:pPr>
            <w:r w:rsidRPr="0084450C">
              <w:rPr>
                <w:lang w:val="fr-FR"/>
              </w:rPr>
              <w:t>Decision-maker: Health Ministry, Union Nationale des Caisses d’Assurance Maladie  (UNCAM), Comité Economique des Produits de Santé (CEPS)</w:t>
            </w:r>
          </w:p>
        </w:tc>
        <w:tc>
          <w:tcPr>
            <w:tcW w:w="4989" w:type="dxa"/>
          </w:tcPr>
          <w:p w:rsidR="003D1E41" w:rsidRPr="0084450C" w:rsidRDefault="003D1E41" w:rsidP="00721386">
            <w:pPr>
              <w:pStyle w:val="TableText0"/>
              <w:rPr>
                <w:rFonts w:cs="FuturaBT-Light"/>
              </w:rPr>
            </w:pPr>
            <w:r w:rsidRPr="0084450C">
              <w:rPr>
                <w:rFonts w:cs="FuturaBT-Light"/>
              </w:rPr>
              <w:t>Process:</w:t>
            </w:r>
          </w:p>
          <w:p w:rsidR="003D1E41" w:rsidRPr="0084450C" w:rsidRDefault="003D1E41" w:rsidP="000959DF">
            <w:pPr>
              <w:pStyle w:val="TableText0"/>
              <w:numPr>
                <w:ilvl w:val="0"/>
                <w:numId w:val="40"/>
              </w:numPr>
              <w:ind w:left="290" w:hanging="290"/>
              <w:rPr>
                <w:rFonts w:cs="FuturaBT-Light"/>
              </w:rPr>
            </w:pPr>
            <w:r w:rsidRPr="0084450C">
              <w:t>HAS assesses the medical value (</w:t>
            </w:r>
            <w:r w:rsidRPr="0084450C">
              <w:rPr>
                <w:rFonts w:cs="FuturaBT-LightItalic"/>
                <w:i/>
                <w:iCs/>
              </w:rPr>
              <w:t xml:space="preserve">Service Médical Rendu </w:t>
            </w:r>
            <w:r w:rsidRPr="0084450C">
              <w:rPr>
                <w:rFonts w:cs="FuturaBT-Light"/>
              </w:rPr>
              <w:t xml:space="preserve">– SMR) and incremental medical value (Amélioration du Service Médical Rendu – ASMR) for each pharmaceutical. </w:t>
            </w:r>
          </w:p>
          <w:p w:rsidR="003D1E41" w:rsidRPr="0084450C" w:rsidRDefault="003D1E41" w:rsidP="000959DF">
            <w:pPr>
              <w:pStyle w:val="TableText0"/>
              <w:numPr>
                <w:ilvl w:val="0"/>
                <w:numId w:val="40"/>
              </w:numPr>
              <w:ind w:left="290" w:hanging="290"/>
              <w:rPr>
                <w:rFonts w:cs="FuturaBT-Light"/>
              </w:rPr>
            </w:pPr>
            <w:r w:rsidRPr="0084450C">
              <w:t xml:space="preserve">The Economic Committee for Healthcare Products </w:t>
            </w:r>
            <w:r w:rsidRPr="0084450C">
              <w:rPr>
                <w:rFonts w:cs="FuturaBT-LightItalic"/>
                <w:i/>
                <w:iCs/>
              </w:rPr>
              <w:t xml:space="preserve">Comité Economique des Produits de Santé </w:t>
            </w:r>
            <w:r w:rsidRPr="0084450C">
              <w:rPr>
                <w:rFonts w:cs="FuturaBT-Light"/>
              </w:rPr>
              <w:t xml:space="preserve">- CEPS) is charged with determining and negotiating the price of the new drug with the manufacturer. </w:t>
            </w:r>
          </w:p>
          <w:p w:rsidR="003D1E41" w:rsidRPr="0084450C" w:rsidRDefault="003D1E41" w:rsidP="00721386">
            <w:pPr>
              <w:pStyle w:val="TableText0"/>
              <w:rPr>
                <w:rFonts w:cs="FuturaBT-Light"/>
              </w:rPr>
            </w:pPr>
            <w:r w:rsidRPr="0084450C">
              <w:rPr>
                <w:rFonts w:cs="FuturaBT-Light"/>
              </w:rPr>
              <w:t xml:space="preserve">SMR: drugs are classified into three levels (major, moderate or insufficient) of medical value, generally based on efficacy and disease severity considerations. </w:t>
            </w:r>
          </w:p>
          <w:p w:rsidR="003D1E41" w:rsidRPr="0084450C" w:rsidRDefault="003D1E41" w:rsidP="00721386">
            <w:pPr>
              <w:pStyle w:val="TableText0"/>
              <w:rPr>
                <w:rFonts w:cs="FuturaBT-Light"/>
              </w:rPr>
            </w:pPr>
            <w:r w:rsidRPr="0084450C">
              <w:rPr>
                <w:rFonts w:cs="FuturaBT-Light"/>
              </w:rPr>
              <w:t xml:space="preserve">ASMR: based on the degree of innovation of a new drug relative </w:t>
            </w:r>
            <w:r w:rsidRPr="0084450C">
              <w:rPr>
                <w:rFonts w:cs="FuturaBT-Light"/>
              </w:rPr>
              <w:lastRenderedPageBreak/>
              <w:t xml:space="preserve">to existing treatments, ranging from major to no improvement. </w:t>
            </w:r>
          </w:p>
          <w:p w:rsidR="003D1E41" w:rsidRPr="0084450C" w:rsidRDefault="003D1E41" w:rsidP="00721386">
            <w:pPr>
              <w:pStyle w:val="TableText0"/>
            </w:pPr>
            <w:r w:rsidRPr="0084450C">
              <w:t>Pharmacoeconomics can influence decision-making but it is not an official criterion. However, the role of economic evaluations is expected to increase in the near future.</w:t>
            </w:r>
          </w:p>
        </w:tc>
        <w:tc>
          <w:tcPr>
            <w:tcW w:w="4161" w:type="dxa"/>
          </w:tcPr>
          <w:p w:rsidR="003D1E41" w:rsidRPr="0084450C" w:rsidRDefault="003D1E41" w:rsidP="00721386">
            <w:pPr>
              <w:pStyle w:val="TableText0"/>
            </w:pPr>
            <w:r w:rsidRPr="0084450C">
              <w:lastRenderedPageBreak/>
              <w:t>Lower level evidence allowed</w:t>
            </w:r>
          </w:p>
        </w:tc>
      </w:tr>
      <w:tr w:rsidR="00746F05" w:rsidRPr="00F913F8" w:rsidTr="00731B68">
        <w:trPr>
          <w:trHeight w:val="558"/>
        </w:trPr>
        <w:tc>
          <w:tcPr>
            <w:tcW w:w="1773" w:type="dxa"/>
          </w:tcPr>
          <w:p w:rsidR="003D1E41" w:rsidRPr="0084450C" w:rsidRDefault="003D1E41" w:rsidP="00184B6F">
            <w:pPr>
              <w:pStyle w:val="TableText0"/>
            </w:pPr>
            <w:r w:rsidRPr="0084450C">
              <w:lastRenderedPageBreak/>
              <w:t xml:space="preserve">National Health Service (NHS), England and Wales </w:t>
            </w:r>
            <w:r w:rsidR="00A130D0">
              <w:rPr>
                <w:noProof/>
              </w:rPr>
              <w:t>(</w:t>
            </w:r>
            <w:r w:rsidR="00184B6F">
              <w:rPr>
                <w:noProof/>
              </w:rPr>
              <w:t>Canadian Agency for Drugs and Technologies in Health 2013</w:t>
            </w:r>
            <w:r w:rsidR="00A130D0">
              <w:rPr>
                <w:noProof/>
              </w:rPr>
              <w:t xml:space="preserve">; </w:t>
            </w:r>
            <w:r w:rsidR="00184B6F">
              <w:rPr>
                <w:noProof/>
              </w:rPr>
              <w:t>National Institute for Health and Care Excellence 2013</w:t>
            </w:r>
            <w:r w:rsidR="00A130D0">
              <w:rPr>
                <w:noProof/>
              </w:rPr>
              <w:t>)</w:t>
            </w:r>
          </w:p>
        </w:tc>
        <w:tc>
          <w:tcPr>
            <w:tcW w:w="3325" w:type="dxa"/>
          </w:tcPr>
          <w:p w:rsidR="003D1E41" w:rsidRPr="0084450C" w:rsidRDefault="003D1E41" w:rsidP="00721386">
            <w:pPr>
              <w:pStyle w:val="TableText0"/>
            </w:pPr>
            <w:r w:rsidRPr="0084450C">
              <w:t>Applicant: drug company</w:t>
            </w:r>
          </w:p>
          <w:p w:rsidR="003D1E41" w:rsidRPr="0084450C" w:rsidRDefault="003D1E41" w:rsidP="00721386">
            <w:pPr>
              <w:pStyle w:val="TableText0"/>
            </w:pPr>
            <w:r w:rsidRPr="0084450C">
              <w:t>Evaluator: an external group to NICE (review group) (since 2013); AGNSS (2005 – 2013)</w:t>
            </w:r>
          </w:p>
          <w:p w:rsidR="003D1E41" w:rsidRPr="0084450C" w:rsidRDefault="003D1E41" w:rsidP="00721386">
            <w:pPr>
              <w:pStyle w:val="TableText0"/>
            </w:pPr>
            <w:r w:rsidRPr="0084450C">
              <w:t>Recommendation/Decision maker: Evaluation Committee, NICE</w:t>
            </w:r>
          </w:p>
        </w:tc>
        <w:tc>
          <w:tcPr>
            <w:tcW w:w="4989" w:type="dxa"/>
          </w:tcPr>
          <w:p w:rsidR="003D1E41" w:rsidRPr="0084450C" w:rsidRDefault="003D1E41" w:rsidP="00721386">
            <w:pPr>
              <w:pStyle w:val="TableText0"/>
            </w:pPr>
            <w:r w:rsidRPr="0084450C">
              <w:t xml:space="preserve">Highly specialised technologies programme criteria considered: </w:t>
            </w:r>
          </w:p>
          <w:p w:rsidR="003D1E41" w:rsidRPr="0084450C" w:rsidRDefault="003D1E41" w:rsidP="000959DF">
            <w:pPr>
              <w:pStyle w:val="TableText0"/>
              <w:numPr>
                <w:ilvl w:val="0"/>
                <w:numId w:val="39"/>
              </w:numPr>
              <w:ind w:left="290" w:hanging="290"/>
            </w:pPr>
            <w:r w:rsidRPr="0084450C">
              <w:t xml:space="preserve">Nature of the condition (including morbidity/clinical disability with current standards of care; effect on caregivers’ quality of life; current treatment options); </w:t>
            </w:r>
          </w:p>
          <w:p w:rsidR="003D1E41" w:rsidRPr="0084450C" w:rsidRDefault="003D1E41" w:rsidP="000959DF">
            <w:pPr>
              <w:pStyle w:val="TableText0"/>
              <w:numPr>
                <w:ilvl w:val="0"/>
                <w:numId w:val="39"/>
              </w:numPr>
              <w:ind w:left="290" w:hanging="290"/>
            </w:pPr>
            <w:r w:rsidRPr="0084450C">
              <w:t>Impact of the new technology (clinical effectiveness; magnitude of health benefits for patients, and caregivers when appropriate)</w:t>
            </w:r>
          </w:p>
          <w:p w:rsidR="003D1E41" w:rsidRPr="0084450C" w:rsidRDefault="003D1E41" w:rsidP="000959DF">
            <w:pPr>
              <w:pStyle w:val="TableText0"/>
              <w:numPr>
                <w:ilvl w:val="0"/>
                <w:numId w:val="39"/>
              </w:numPr>
              <w:ind w:left="290" w:hanging="290"/>
            </w:pPr>
            <w:r w:rsidRPr="0084450C">
              <w:t>Cost to the National Health Service and Personal Social Services (including budget impact; robustness of costing and budget impact information; patient access agreements)</w:t>
            </w:r>
          </w:p>
          <w:p w:rsidR="003D1E41" w:rsidRPr="0084450C" w:rsidRDefault="003D1E41" w:rsidP="000959DF">
            <w:pPr>
              <w:pStyle w:val="TableText0"/>
              <w:numPr>
                <w:ilvl w:val="0"/>
                <w:numId w:val="39"/>
              </w:numPr>
              <w:ind w:left="290" w:hanging="290"/>
            </w:pPr>
            <w:r w:rsidRPr="0084450C">
              <w:t>Value for money (benefit compared to current treatment; other resources needed to use the technology; impact on budget available)</w:t>
            </w:r>
          </w:p>
          <w:p w:rsidR="003D1E41" w:rsidRPr="0084450C" w:rsidRDefault="003D1E41" w:rsidP="000959DF">
            <w:pPr>
              <w:pStyle w:val="TableText0"/>
              <w:numPr>
                <w:ilvl w:val="0"/>
                <w:numId w:val="39"/>
              </w:numPr>
              <w:ind w:left="290" w:hanging="290"/>
            </w:pPr>
            <w:r w:rsidRPr="0084450C">
              <w:t>Impact beyond direct health benefits (are there any such benefits, are costs/savings incurred outside of the NHS and PSS)</w:t>
            </w:r>
          </w:p>
          <w:p w:rsidR="003D1E41" w:rsidRPr="0084450C" w:rsidRDefault="003D1E41" w:rsidP="000959DF">
            <w:pPr>
              <w:pStyle w:val="TableText0"/>
              <w:numPr>
                <w:ilvl w:val="0"/>
                <w:numId w:val="39"/>
              </w:numPr>
              <w:ind w:left="290" w:hanging="290"/>
            </w:pPr>
            <w:r w:rsidRPr="0084450C">
              <w:t>Impact on delivery of the specialised service (staffing and infrastructure requirements such as training, planning for expertise).</w:t>
            </w:r>
          </w:p>
          <w:p w:rsidR="003D1E41" w:rsidRPr="0084450C" w:rsidRDefault="003D1E41" w:rsidP="00721386">
            <w:pPr>
              <w:pStyle w:val="TableText0"/>
            </w:pPr>
            <w:r w:rsidRPr="0084450C">
              <w:t xml:space="preserve">AGNSS: based on 12 core criteria organised into the following 4 groups: a) health gain; b) societal value; c) reasonable cost; and d) best practice. The AGNSS framework requires that no single criterion should hold sway but a holistic view be taken, balancing </w:t>
            </w:r>
            <w:r w:rsidRPr="0084450C">
              <w:lastRenderedPageBreak/>
              <w:t xml:space="preserve">how the different criteria work together in reaching a decision. More expensive products will be expected to benefit nearly all patients treated, i.e. have a NNT approaching 1. </w:t>
            </w:r>
          </w:p>
        </w:tc>
        <w:tc>
          <w:tcPr>
            <w:tcW w:w="4161" w:type="dxa"/>
          </w:tcPr>
          <w:p w:rsidR="003D1E41" w:rsidRPr="0084450C" w:rsidRDefault="003D1E41" w:rsidP="00721386">
            <w:pPr>
              <w:pStyle w:val="TableText0"/>
            </w:pPr>
            <w:r w:rsidRPr="0084450C">
              <w:lastRenderedPageBreak/>
              <w:t>Avoids a rigid quality-adjusted life year (QALY) ceiling like NICE. Instead it takes into consideration a broader societal perspective</w:t>
            </w:r>
          </w:p>
          <w:p w:rsidR="003D1E41" w:rsidRPr="0084450C" w:rsidRDefault="003D1E41" w:rsidP="00721386">
            <w:pPr>
              <w:pStyle w:val="TableText0"/>
            </w:pPr>
          </w:p>
          <w:p w:rsidR="003D1E41" w:rsidRPr="0084450C" w:rsidRDefault="003D1E41" w:rsidP="00721386">
            <w:pPr>
              <w:pStyle w:val="TableText0"/>
            </w:pPr>
            <w:r w:rsidRPr="0084450C">
              <w:t xml:space="preserve">(Cost-effectiveness a required element of the reimbursement submission for both programmes) </w:t>
            </w:r>
          </w:p>
        </w:tc>
      </w:tr>
      <w:tr w:rsidR="00746F05" w:rsidRPr="00F913F8" w:rsidTr="00731B68">
        <w:trPr>
          <w:trHeight w:val="558"/>
        </w:trPr>
        <w:tc>
          <w:tcPr>
            <w:tcW w:w="1773" w:type="dxa"/>
          </w:tcPr>
          <w:p w:rsidR="003D1E41" w:rsidRPr="0084450C" w:rsidRDefault="003D1E41" w:rsidP="00184B6F">
            <w:pPr>
              <w:pStyle w:val="TableText0"/>
            </w:pPr>
            <w:r w:rsidRPr="0084450C">
              <w:lastRenderedPageBreak/>
              <w:t xml:space="preserve">NHS Scotland </w:t>
            </w:r>
            <w:r w:rsidR="00A130D0">
              <w:rPr>
                <w:noProof/>
              </w:rPr>
              <w:t>(</w:t>
            </w:r>
            <w:r w:rsidR="00184B6F">
              <w:rPr>
                <w:noProof/>
              </w:rPr>
              <w:t>Canadian Agency for Drugs and Technologies in Health 2013</w:t>
            </w:r>
            <w:r w:rsidR="00A130D0">
              <w:rPr>
                <w:noProof/>
              </w:rPr>
              <w:t xml:space="preserve">; </w:t>
            </w:r>
            <w:r w:rsidR="00184B6F">
              <w:rPr>
                <w:noProof/>
              </w:rPr>
              <w:t>ISPOR 2007</w:t>
            </w:r>
            <w:r w:rsidR="00A130D0">
              <w:rPr>
                <w:noProof/>
              </w:rPr>
              <w:t xml:space="preserve">; </w:t>
            </w:r>
            <w:r w:rsidR="00184B6F">
              <w:rPr>
                <w:noProof/>
              </w:rPr>
              <w:t>Vegter et al. 2010</w:t>
            </w:r>
            <w:r w:rsidR="00A130D0">
              <w:rPr>
                <w:noProof/>
              </w:rPr>
              <w:t>)</w:t>
            </w:r>
          </w:p>
        </w:tc>
        <w:tc>
          <w:tcPr>
            <w:tcW w:w="3325" w:type="dxa"/>
          </w:tcPr>
          <w:p w:rsidR="003D1E41" w:rsidRPr="0084450C" w:rsidRDefault="003D1E41" w:rsidP="00721386">
            <w:pPr>
              <w:pStyle w:val="TableText0"/>
            </w:pPr>
            <w:r w:rsidRPr="0084450C">
              <w:t>Applicant: drug company</w:t>
            </w:r>
          </w:p>
          <w:p w:rsidR="003D1E41" w:rsidRPr="0084450C" w:rsidRDefault="003D1E41" w:rsidP="00721386">
            <w:pPr>
              <w:pStyle w:val="TableText0"/>
            </w:pPr>
            <w:r w:rsidRPr="0084450C">
              <w:t>Evaluator: New Drug Committee of the SMC</w:t>
            </w:r>
          </w:p>
          <w:p w:rsidR="003D1E41" w:rsidRPr="0084450C" w:rsidRDefault="003D1E41" w:rsidP="00721386">
            <w:pPr>
              <w:pStyle w:val="TableText0"/>
            </w:pPr>
            <w:r w:rsidRPr="0084450C">
              <w:t>Decision-maker: Scottish Medicines Consortium (SMC)</w:t>
            </w:r>
          </w:p>
        </w:tc>
        <w:tc>
          <w:tcPr>
            <w:tcW w:w="4989" w:type="dxa"/>
          </w:tcPr>
          <w:p w:rsidR="003D1E41" w:rsidRPr="0084450C" w:rsidRDefault="003D1E41" w:rsidP="00721386">
            <w:pPr>
              <w:pStyle w:val="TableText0"/>
            </w:pPr>
            <w:r w:rsidRPr="0084450C">
              <w:t xml:space="preserve">Clinical efficacy and cost-effectiveness. </w:t>
            </w:r>
          </w:p>
        </w:tc>
        <w:tc>
          <w:tcPr>
            <w:tcW w:w="4161" w:type="dxa"/>
          </w:tcPr>
          <w:p w:rsidR="003D1E41" w:rsidRPr="0084450C" w:rsidRDefault="003D1E41" w:rsidP="00721386">
            <w:pPr>
              <w:pStyle w:val="TableText0"/>
            </w:pPr>
            <w:r w:rsidRPr="0084450C">
              <w:t>Allow acceptance of more uncertainty in the economic case or a higher cost per QALY for orphan drugs (cost-effectiveness a required element of the reimbursement submission even for orphan drugs)</w:t>
            </w:r>
          </w:p>
          <w:p w:rsidR="003D1E41" w:rsidRPr="0084450C" w:rsidRDefault="003D1E41" w:rsidP="00721386">
            <w:pPr>
              <w:pStyle w:val="TableText0"/>
            </w:pPr>
            <w:r w:rsidRPr="0084450C">
              <w:t>Modifiers” may be applied in cases of a relatively high cost per QALY, when the committee finds the clinical and economic case to be robust. The assessment may be modified by giving consideration to evidence relating to other factors including, but not limited to:</w:t>
            </w:r>
          </w:p>
          <w:p w:rsidR="003D1E41" w:rsidRPr="0084450C" w:rsidRDefault="003D1E41" w:rsidP="000959DF">
            <w:pPr>
              <w:pStyle w:val="TableText0"/>
              <w:numPr>
                <w:ilvl w:val="0"/>
                <w:numId w:val="41"/>
              </w:numPr>
            </w:pPr>
            <w:r w:rsidRPr="0084450C">
              <w:t>treatment of a life-threatening disease</w:t>
            </w:r>
          </w:p>
          <w:p w:rsidR="003D1E41" w:rsidRPr="0084450C" w:rsidRDefault="003D1E41" w:rsidP="000959DF">
            <w:pPr>
              <w:pStyle w:val="TableText0"/>
              <w:numPr>
                <w:ilvl w:val="0"/>
                <w:numId w:val="41"/>
              </w:numPr>
            </w:pPr>
            <w:r w:rsidRPr="0084450C">
              <w:t>substantial increase in life expectancy or quality of life</w:t>
            </w:r>
          </w:p>
          <w:p w:rsidR="003D1E41" w:rsidRPr="0084450C" w:rsidRDefault="003D1E41" w:rsidP="000959DF">
            <w:pPr>
              <w:pStyle w:val="TableText0"/>
              <w:numPr>
                <w:ilvl w:val="0"/>
                <w:numId w:val="41"/>
              </w:numPr>
            </w:pPr>
            <w:r w:rsidRPr="0084450C">
              <w:t>absence of other therapeutic options</w:t>
            </w:r>
          </w:p>
          <w:p w:rsidR="003D1E41" w:rsidRPr="0084450C" w:rsidRDefault="003D1E41" w:rsidP="000959DF">
            <w:pPr>
              <w:pStyle w:val="TableText0"/>
              <w:numPr>
                <w:ilvl w:val="0"/>
                <w:numId w:val="41"/>
              </w:numPr>
            </w:pPr>
            <w:r w:rsidRPr="0084450C">
              <w:t>targeting of a medicine for a specific sub-group of patients</w:t>
            </w:r>
          </w:p>
          <w:p w:rsidR="003D1E41" w:rsidRPr="0084450C" w:rsidRDefault="003D1E41" w:rsidP="000959DF">
            <w:pPr>
              <w:pStyle w:val="TableText0"/>
              <w:numPr>
                <w:ilvl w:val="0"/>
                <w:numId w:val="41"/>
              </w:numPr>
            </w:pPr>
            <w:r w:rsidRPr="0084450C">
              <w:t>reversal versus stabilisation of a condition</w:t>
            </w:r>
          </w:p>
          <w:p w:rsidR="003D1E41" w:rsidRPr="0084450C" w:rsidRDefault="003D1E41" w:rsidP="000959DF">
            <w:pPr>
              <w:pStyle w:val="TableText0"/>
              <w:numPr>
                <w:ilvl w:val="0"/>
                <w:numId w:val="41"/>
              </w:numPr>
            </w:pPr>
            <w:r w:rsidRPr="0084450C">
              <w:t>bridging a gap to a definitive therapy</w:t>
            </w:r>
          </w:p>
          <w:p w:rsidR="003D1E41" w:rsidRPr="0084450C" w:rsidRDefault="003D1E41" w:rsidP="000959DF">
            <w:pPr>
              <w:pStyle w:val="TableText0"/>
              <w:numPr>
                <w:ilvl w:val="0"/>
                <w:numId w:val="41"/>
              </w:numPr>
            </w:pPr>
            <w:proofErr w:type="gramStart"/>
            <w:r w:rsidRPr="0084450C">
              <w:t>offering</w:t>
            </w:r>
            <w:proofErr w:type="gramEnd"/>
            <w:r w:rsidRPr="0084450C">
              <w:t xml:space="preserve"> an alternative to an unlicensed drug that is the sole treatment in use for a specific condition.</w:t>
            </w:r>
          </w:p>
          <w:p w:rsidR="003D1E41" w:rsidRPr="0084450C" w:rsidRDefault="003D1E41" w:rsidP="00721386">
            <w:pPr>
              <w:pStyle w:val="TableText0"/>
            </w:pPr>
            <w:r w:rsidRPr="0084450C">
              <w:t>Clinical expert and patient interest group input are also considered for a specific drug, as well as special issues highlighted by the manufacturer.</w:t>
            </w:r>
          </w:p>
        </w:tc>
      </w:tr>
      <w:tr w:rsidR="00746F05" w:rsidRPr="00F913F8" w:rsidTr="00731B68">
        <w:trPr>
          <w:trHeight w:val="558"/>
        </w:trPr>
        <w:tc>
          <w:tcPr>
            <w:tcW w:w="1773" w:type="dxa"/>
            <w:tcBorders>
              <w:right w:val="nil"/>
            </w:tcBorders>
            <w:shd w:val="clear" w:color="auto" w:fill="EEECE1" w:themeFill="background2"/>
          </w:tcPr>
          <w:p w:rsidR="00721386" w:rsidRPr="00D726E4" w:rsidRDefault="00721386" w:rsidP="00721386">
            <w:pPr>
              <w:keepNext/>
              <w:spacing w:after="0"/>
              <w:jc w:val="left"/>
              <w:rPr>
                <w:rFonts w:ascii="Arial Narrow" w:hAnsi="Arial Narrow"/>
                <w:b/>
                <w:sz w:val="20"/>
                <w:szCs w:val="20"/>
              </w:rPr>
            </w:pPr>
            <w:r w:rsidRPr="00D726E4">
              <w:rPr>
                <w:rFonts w:ascii="Arial Narrow" w:hAnsi="Arial Narrow"/>
                <w:b/>
                <w:szCs w:val="20"/>
              </w:rPr>
              <w:lastRenderedPageBreak/>
              <w:t>North America</w:t>
            </w:r>
          </w:p>
        </w:tc>
        <w:tc>
          <w:tcPr>
            <w:tcW w:w="3325" w:type="dxa"/>
            <w:tcBorders>
              <w:left w:val="nil"/>
              <w:right w:val="nil"/>
            </w:tcBorders>
            <w:shd w:val="clear" w:color="auto" w:fill="EEECE1" w:themeFill="background2"/>
          </w:tcPr>
          <w:p w:rsidR="00721386" w:rsidRPr="00D726E4" w:rsidRDefault="00721386" w:rsidP="00721386">
            <w:pPr>
              <w:keepNext/>
              <w:spacing w:after="0"/>
              <w:jc w:val="left"/>
              <w:rPr>
                <w:rFonts w:ascii="Arial Narrow" w:hAnsi="Arial Narrow"/>
                <w:b/>
                <w:sz w:val="20"/>
                <w:szCs w:val="20"/>
              </w:rPr>
            </w:pPr>
          </w:p>
        </w:tc>
        <w:tc>
          <w:tcPr>
            <w:tcW w:w="4989" w:type="dxa"/>
            <w:tcBorders>
              <w:left w:val="nil"/>
              <w:right w:val="nil"/>
            </w:tcBorders>
            <w:shd w:val="clear" w:color="auto" w:fill="EEECE1" w:themeFill="background2"/>
          </w:tcPr>
          <w:p w:rsidR="00721386" w:rsidRPr="00D726E4" w:rsidRDefault="00721386" w:rsidP="00721386">
            <w:pPr>
              <w:keepNext/>
              <w:spacing w:after="0"/>
              <w:jc w:val="left"/>
              <w:rPr>
                <w:rFonts w:ascii="Arial Narrow" w:hAnsi="Arial Narrow"/>
                <w:b/>
                <w:sz w:val="20"/>
                <w:szCs w:val="20"/>
              </w:rPr>
            </w:pPr>
          </w:p>
        </w:tc>
        <w:tc>
          <w:tcPr>
            <w:tcW w:w="4161" w:type="dxa"/>
            <w:tcBorders>
              <w:left w:val="nil"/>
            </w:tcBorders>
            <w:shd w:val="clear" w:color="auto" w:fill="EEECE1" w:themeFill="background2"/>
          </w:tcPr>
          <w:p w:rsidR="00721386" w:rsidRPr="00D726E4" w:rsidRDefault="00721386" w:rsidP="00721386">
            <w:pPr>
              <w:keepNext/>
              <w:spacing w:after="0"/>
              <w:jc w:val="left"/>
              <w:rPr>
                <w:rFonts w:ascii="Arial Narrow" w:hAnsi="Arial Narrow"/>
                <w:b/>
                <w:sz w:val="20"/>
                <w:szCs w:val="20"/>
              </w:rPr>
            </w:pPr>
          </w:p>
        </w:tc>
      </w:tr>
      <w:tr w:rsidR="00746F05" w:rsidRPr="00F913F8" w:rsidTr="00731B68">
        <w:trPr>
          <w:trHeight w:val="558"/>
        </w:trPr>
        <w:tc>
          <w:tcPr>
            <w:tcW w:w="1773" w:type="dxa"/>
            <w:tcBorders>
              <w:right w:val="single" w:sz="4" w:space="0" w:color="auto"/>
            </w:tcBorders>
          </w:tcPr>
          <w:p w:rsidR="003D1E41" w:rsidRPr="0084450C" w:rsidRDefault="003D1E41" w:rsidP="00184B6F">
            <w:pPr>
              <w:pStyle w:val="TableText0"/>
            </w:pPr>
            <w:r w:rsidRPr="0084450C">
              <w:t xml:space="preserve">Provincial and territorial health authorities </w:t>
            </w:r>
            <w:r w:rsidR="00A130D0">
              <w:rPr>
                <w:noProof/>
              </w:rPr>
              <w:t>(</w:t>
            </w:r>
            <w:r w:rsidR="00184B6F">
              <w:rPr>
                <w:noProof/>
              </w:rPr>
              <w:t>Canadian Agency for Drugs and Technologies in Health 2013</w:t>
            </w:r>
            <w:r w:rsidR="00A130D0">
              <w:rPr>
                <w:noProof/>
              </w:rPr>
              <w:t>)</w:t>
            </w:r>
            <w:r w:rsidRPr="0084450C">
              <w:t>;ISPOR, 2011, 1}</w:t>
            </w:r>
          </w:p>
        </w:tc>
        <w:tc>
          <w:tcPr>
            <w:tcW w:w="3325" w:type="dxa"/>
            <w:tcBorders>
              <w:left w:val="single" w:sz="4" w:space="0" w:color="auto"/>
              <w:right w:val="single" w:sz="4" w:space="0" w:color="auto"/>
            </w:tcBorders>
          </w:tcPr>
          <w:p w:rsidR="003D1E41" w:rsidRPr="0084450C" w:rsidRDefault="003D1E41" w:rsidP="00721386">
            <w:pPr>
              <w:pStyle w:val="TableText0"/>
            </w:pPr>
            <w:r w:rsidRPr="0084450C">
              <w:t xml:space="preserve">Applicant: drug company </w:t>
            </w:r>
          </w:p>
          <w:p w:rsidR="003D1E41" w:rsidRPr="0084450C" w:rsidRDefault="003D1E41" w:rsidP="00721386">
            <w:pPr>
              <w:pStyle w:val="TableText0"/>
            </w:pPr>
            <w:r w:rsidRPr="0084450C">
              <w:t>Evaluator (for CDR): Canadian Agency for Drugs and Technologies in Health (CADTH)</w:t>
            </w:r>
          </w:p>
          <w:p w:rsidR="003D1E41" w:rsidRPr="0084450C" w:rsidRDefault="003D1E41" w:rsidP="00721386">
            <w:pPr>
              <w:pStyle w:val="TableText0"/>
            </w:pPr>
            <w:r w:rsidRPr="0084450C">
              <w:t>Recommendation-maker:</w:t>
            </w:r>
          </w:p>
          <w:p w:rsidR="003D1E41" w:rsidRPr="0084450C" w:rsidRDefault="003D1E41" w:rsidP="000959DF">
            <w:pPr>
              <w:pStyle w:val="TableText0"/>
              <w:numPr>
                <w:ilvl w:val="0"/>
                <w:numId w:val="41"/>
              </w:numPr>
            </w:pPr>
            <w:r w:rsidRPr="0084450C">
              <w:t>General: Canadian Expert Drug Advisory Committee (CEDAC), Conseil du medicament (Québec)</w:t>
            </w:r>
          </w:p>
          <w:p w:rsidR="003D1E41" w:rsidRPr="0084450C" w:rsidRDefault="003D1E41" w:rsidP="000959DF">
            <w:pPr>
              <w:pStyle w:val="TableText0"/>
              <w:numPr>
                <w:ilvl w:val="0"/>
                <w:numId w:val="41"/>
              </w:numPr>
            </w:pPr>
            <w:r w:rsidRPr="0084450C">
              <w:t>Oral oncology drugs: Committee to Evaluate Drugs (CED), CED-Cancer Care Ontario (CCO) Subcommittee, Conseil du medicament (Québec)</w:t>
            </w:r>
          </w:p>
        </w:tc>
        <w:tc>
          <w:tcPr>
            <w:tcW w:w="4989" w:type="dxa"/>
            <w:tcBorders>
              <w:left w:val="single" w:sz="4" w:space="0" w:color="auto"/>
              <w:right w:val="single" w:sz="4" w:space="0" w:color="auto"/>
            </w:tcBorders>
          </w:tcPr>
          <w:p w:rsidR="003D1E41" w:rsidRPr="0084450C" w:rsidRDefault="003D1E41" w:rsidP="000959DF">
            <w:pPr>
              <w:pStyle w:val="TableText0"/>
              <w:numPr>
                <w:ilvl w:val="0"/>
                <w:numId w:val="41"/>
              </w:numPr>
            </w:pPr>
            <w:r w:rsidRPr="0084450C">
              <w:t>CDR: Cost-effectiveness or cost-utility analyses are required if the drug: a) is the first available to treat a disease or disorder or has established a new therapeutic class; or b) has demonstrated differences in safety or efficacy versus comparators. Budget impact analyses are also required for CDR submissions for most of the participating drug plans.</w:t>
            </w:r>
          </w:p>
          <w:p w:rsidR="003D1E41" w:rsidRPr="0084450C" w:rsidRDefault="003D1E41" w:rsidP="000959DF">
            <w:pPr>
              <w:pStyle w:val="TableText0"/>
              <w:numPr>
                <w:ilvl w:val="0"/>
                <w:numId w:val="41"/>
              </w:numPr>
            </w:pPr>
            <w:r w:rsidRPr="0084450C">
              <w:t>Quebec submission: Economic evaluation according to CADTH guidelines and a detailed price justification required.</w:t>
            </w:r>
          </w:p>
        </w:tc>
        <w:tc>
          <w:tcPr>
            <w:tcW w:w="4161" w:type="dxa"/>
            <w:tcBorders>
              <w:left w:val="single" w:sz="4" w:space="0" w:color="auto"/>
            </w:tcBorders>
          </w:tcPr>
          <w:p w:rsidR="003D1E41" w:rsidRPr="0084450C" w:rsidRDefault="003D1E41" w:rsidP="00721386">
            <w:pPr>
              <w:pStyle w:val="TableText0"/>
            </w:pPr>
            <w:r w:rsidRPr="0084450C">
              <w:t>NR</w:t>
            </w:r>
          </w:p>
        </w:tc>
      </w:tr>
      <w:tr w:rsidR="00746F05" w:rsidRPr="00F913F8" w:rsidTr="00731B68">
        <w:trPr>
          <w:trHeight w:val="558"/>
        </w:trPr>
        <w:tc>
          <w:tcPr>
            <w:tcW w:w="1773" w:type="dxa"/>
          </w:tcPr>
          <w:p w:rsidR="003D1E41" w:rsidRPr="0084450C" w:rsidRDefault="003D1E41" w:rsidP="00184B6F">
            <w:pPr>
              <w:pStyle w:val="TableText0"/>
            </w:pPr>
            <w:r w:rsidRPr="0084450C">
              <w:t xml:space="preserve">Ontario health authority </w:t>
            </w:r>
            <w:r w:rsidR="00A130D0">
              <w:rPr>
                <w:noProof/>
              </w:rPr>
              <w:t>(</w:t>
            </w:r>
            <w:r w:rsidR="00184B6F">
              <w:rPr>
                <w:noProof/>
              </w:rPr>
              <w:t>Canadian Agency for Drugs and Technologies in Health 2013</w:t>
            </w:r>
            <w:r w:rsidR="00A130D0">
              <w:rPr>
                <w:noProof/>
              </w:rPr>
              <w:t>)</w:t>
            </w:r>
          </w:p>
        </w:tc>
        <w:tc>
          <w:tcPr>
            <w:tcW w:w="3325" w:type="dxa"/>
          </w:tcPr>
          <w:p w:rsidR="003D1E41" w:rsidRPr="0084450C" w:rsidRDefault="003D1E41" w:rsidP="00721386">
            <w:pPr>
              <w:pStyle w:val="TableText0"/>
            </w:pPr>
            <w:r w:rsidRPr="0084450C">
              <w:t xml:space="preserve">Applicant: manufacturers or physicians </w:t>
            </w:r>
          </w:p>
          <w:p w:rsidR="003D1E41" w:rsidRPr="0084450C" w:rsidRDefault="003D1E41" w:rsidP="00721386">
            <w:pPr>
              <w:pStyle w:val="TableText0"/>
            </w:pPr>
            <w:r w:rsidRPr="0084450C">
              <w:t>Evaluator: 5-member DRD Working Group</w:t>
            </w:r>
          </w:p>
          <w:p w:rsidR="003D1E41" w:rsidRPr="0084450C" w:rsidRDefault="003D1E41" w:rsidP="00721386">
            <w:pPr>
              <w:pStyle w:val="TableText0"/>
            </w:pPr>
            <w:r w:rsidRPr="0084450C">
              <w:t>Decision maker: Executive Officer of the Ontario Public Drug Programs</w:t>
            </w:r>
          </w:p>
        </w:tc>
        <w:tc>
          <w:tcPr>
            <w:tcW w:w="4989" w:type="dxa"/>
          </w:tcPr>
          <w:p w:rsidR="003D1E41" w:rsidRPr="0084450C" w:rsidRDefault="003D1E41" w:rsidP="00721386">
            <w:pPr>
              <w:pStyle w:val="TableText0"/>
            </w:pPr>
            <w:r w:rsidRPr="0084450C">
              <w:t>Budget impact is taken into consideration in formulating the final decision</w:t>
            </w:r>
          </w:p>
          <w:p w:rsidR="003D1E41" w:rsidRPr="00F913F8" w:rsidRDefault="003D1E41" w:rsidP="00721386">
            <w:pPr>
              <w:pStyle w:val="TableText0"/>
            </w:pPr>
          </w:p>
        </w:tc>
        <w:tc>
          <w:tcPr>
            <w:tcW w:w="4161" w:type="dxa"/>
          </w:tcPr>
          <w:p w:rsidR="003D1E41" w:rsidRPr="0084450C" w:rsidRDefault="003D1E41" w:rsidP="00721386">
            <w:pPr>
              <w:pStyle w:val="TableText0"/>
            </w:pPr>
            <w:r w:rsidRPr="0084450C">
              <w:t>Cost-effectiveness analysis is not conducted, nor is cost-effectiveness a deciding factor in evaluating a drug.</w:t>
            </w:r>
          </w:p>
        </w:tc>
      </w:tr>
      <w:tr w:rsidR="00746F05" w:rsidRPr="00F913F8" w:rsidTr="00731B68">
        <w:trPr>
          <w:trHeight w:val="558"/>
        </w:trPr>
        <w:tc>
          <w:tcPr>
            <w:tcW w:w="1773" w:type="dxa"/>
          </w:tcPr>
          <w:p w:rsidR="003D1E41" w:rsidRPr="0084450C" w:rsidRDefault="003D1E41" w:rsidP="00184B6F">
            <w:pPr>
              <w:pStyle w:val="TableText0"/>
            </w:pPr>
            <w:r w:rsidRPr="0084450C">
              <w:t xml:space="preserve">Alberta health authority (Rare Disease Drug Program) </w:t>
            </w:r>
            <w:r w:rsidR="00A130D0">
              <w:rPr>
                <w:noProof/>
              </w:rPr>
              <w:t>(</w:t>
            </w:r>
            <w:r w:rsidR="00184B6F">
              <w:rPr>
                <w:noProof/>
              </w:rPr>
              <w:t>Canadian Agency for Drugs and Technologies in Health 2013</w:t>
            </w:r>
            <w:r w:rsidR="00A130D0">
              <w:rPr>
                <w:noProof/>
              </w:rPr>
              <w:t>)</w:t>
            </w:r>
          </w:p>
        </w:tc>
        <w:tc>
          <w:tcPr>
            <w:tcW w:w="3325" w:type="dxa"/>
          </w:tcPr>
          <w:p w:rsidR="003D1E41" w:rsidRPr="0084450C" w:rsidRDefault="003D1E41" w:rsidP="00721386">
            <w:pPr>
              <w:pStyle w:val="TableText0"/>
            </w:pPr>
            <w:r w:rsidRPr="0084450C">
              <w:t>Applicant: rare disease specialist</w:t>
            </w:r>
          </w:p>
          <w:p w:rsidR="003D1E41" w:rsidRPr="0084450C" w:rsidRDefault="003D1E41" w:rsidP="00721386">
            <w:pPr>
              <w:pStyle w:val="TableText0"/>
            </w:pPr>
            <w:r w:rsidRPr="0084450C">
              <w:t xml:space="preserve">Evaluator: Alberta’s Rare Disease Clinical Review Panel </w:t>
            </w:r>
          </w:p>
          <w:p w:rsidR="003D1E41" w:rsidRPr="0084450C" w:rsidRDefault="003D1E41" w:rsidP="00721386">
            <w:pPr>
              <w:pStyle w:val="TableText0"/>
            </w:pPr>
            <w:r w:rsidRPr="0084450C">
              <w:t xml:space="preserve">Decision maker: Alberta’s Minister of Health </w:t>
            </w:r>
          </w:p>
        </w:tc>
        <w:tc>
          <w:tcPr>
            <w:tcW w:w="4989" w:type="dxa"/>
          </w:tcPr>
          <w:p w:rsidR="003D1E41" w:rsidRPr="0084450C" w:rsidRDefault="003D1E41" w:rsidP="00721386">
            <w:pPr>
              <w:pStyle w:val="TableText0"/>
            </w:pPr>
            <w:r w:rsidRPr="0084450C">
              <w:t>NR</w:t>
            </w:r>
          </w:p>
        </w:tc>
        <w:tc>
          <w:tcPr>
            <w:tcW w:w="4161" w:type="dxa"/>
          </w:tcPr>
          <w:p w:rsidR="003D1E41" w:rsidRPr="0084450C" w:rsidRDefault="003D1E41" w:rsidP="00721386">
            <w:pPr>
              <w:pStyle w:val="TableText0"/>
            </w:pPr>
            <w:r w:rsidRPr="0084450C">
              <w:t>NR</w:t>
            </w:r>
          </w:p>
        </w:tc>
      </w:tr>
      <w:tr w:rsidR="00746F05" w:rsidRPr="00F913F8" w:rsidTr="00731B68">
        <w:trPr>
          <w:trHeight w:val="558"/>
        </w:trPr>
        <w:tc>
          <w:tcPr>
            <w:tcW w:w="1773" w:type="dxa"/>
            <w:tcBorders>
              <w:right w:val="single" w:sz="4" w:space="0" w:color="auto"/>
            </w:tcBorders>
          </w:tcPr>
          <w:p w:rsidR="003D1E41" w:rsidRPr="0084450C" w:rsidRDefault="003D1E41" w:rsidP="00184B6F">
            <w:pPr>
              <w:pStyle w:val="TableText0"/>
            </w:pPr>
            <w:r w:rsidRPr="0084450C">
              <w:lastRenderedPageBreak/>
              <w:t xml:space="preserve">Alberta health authority (Short Term Exceptional Drug Therapy) </w:t>
            </w:r>
            <w:r w:rsidR="00A130D0">
              <w:rPr>
                <w:noProof/>
              </w:rPr>
              <w:t>(</w:t>
            </w:r>
            <w:r w:rsidR="00184B6F">
              <w:rPr>
                <w:noProof/>
              </w:rPr>
              <w:t>Canadian Agency for Drugs and Technologies in Health 2013</w:t>
            </w:r>
            <w:r w:rsidR="00A130D0">
              <w:rPr>
                <w:noProof/>
              </w:rPr>
              <w:t>)</w:t>
            </w:r>
          </w:p>
        </w:tc>
        <w:tc>
          <w:tcPr>
            <w:tcW w:w="3325" w:type="dxa"/>
            <w:tcBorders>
              <w:left w:val="single" w:sz="4" w:space="0" w:color="auto"/>
            </w:tcBorders>
          </w:tcPr>
          <w:p w:rsidR="003D1E41" w:rsidRPr="0084450C" w:rsidRDefault="003D1E41" w:rsidP="00721386">
            <w:pPr>
              <w:pStyle w:val="TableText0"/>
            </w:pPr>
            <w:r w:rsidRPr="0084450C">
              <w:t xml:space="preserve">Applicant: specialist physician working at an Alberta Health Services facility and actively treating a patient for a rare clinical condition </w:t>
            </w:r>
          </w:p>
          <w:p w:rsidR="003D1E41" w:rsidRPr="0084450C" w:rsidRDefault="003D1E41" w:rsidP="00721386">
            <w:pPr>
              <w:pStyle w:val="TableText0"/>
            </w:pPr>
            <w:r w:rsidRPr="0084450C">
              <w:t xml:space="preserve">Evaluator: NR </w:t>
            </w:r>
          </w:p>
          <w:p w:rsidR="003D1E41" w:rsidRPr="0084450C" w:rsidRDefault="003D1E41" w:rsidP="00721386">
            <w:pPr>
              <w:pStyle w:val="TableText0"/>
            </w:pPr>
            <w:r w:rsidRPr="0084450C">
              <w:t>Decision maker: NR</w:t>
            </w:r>
          </w:p>
        </w:tc>
        <w:tc>
          <w:tcPr>
            <w:tcW w:w="4989" w:type="dxa"/>
          </w:tcPr>
          <w:p w:rsidR="003D1E41" w:rsidRPr="0084450C" w:rsidRDefault="003D1E41" w:rsidP="00721386">
            <w:pPr>
              <w:pStyle w:val="TableText0"/>
            </w:pPr>
            <w:r w:rsidRPr="0084450C">
              <w:t>NR</w:t>
            </w:r>
          </w:p>
        </w:tc>
        <w:tc>
          <w:tcPr>
            <w:tcW w:w="4161" w:type="dxa"/>
          </w:tcPr>
          <w:p w:rsidR="003D1E41" w:rsidRPr="0084450C" w:rsidRDefault="003D1E41" w:rsidP="00721386">
            <w:pPr>
              <w:pStyle w:val="TableText0"/>
            </w:pPr>
            <w:r w:rsidRPr="0084450C">
              <w:t>NR</w:t>
            </w:r>
          </w:p>
        </w:tc>
      </w:tr>
      <w:tr w:rsidR="00746F05" w:rsidRPr="00F913F8" w:rsidTr="00731B68">
        <w:trPr>
          <w:trHeight w:val="558"/>
        </w:trPr>
        <w:tc>
          <w:tcPr>
            <w:tcW w:w="1773" w:type="dxa"/>
            <w:tcBorders>
              <w:right w:val="nil"/>
            </w:tcBorders>
            <w:shd w:val="clear" w:color="auto" w:fill="EEECE1" w:themeFill="background2"/>
          </w:tcPr>
          <w:p w:rsidR="004D23FB" w:rsidRPr="004D23FB" w:rsidRDefault="004D23FB" w:rsidP="004D23FB">
            <w:pPr>
              <w:keepNext/>
              <w:spacing w:after="0"/>
              <w:jc w:val="left"/>
              <w:rPr>
                <w:rFonts w:ascii="Arial Narrow" w:hAnsi="Arial Narrow"/>
                <w:b/>
                <w:szCs w:val="20"/>
              </w:rPr>
            </w:pPr>
            <w:r w:rsidRPr="004D23FB">
              <w:rPr>
                <w:rFonts w:ascii="Arial Narrow" w:hAnsi="Arial Narrow"/>
                <w:b/>
                <w:szCs w:val="20"/>
              </w:rPr>
              <w:t>Asia</w:t>
            </w:r>
          </w:p>
        </w:tc>
        <w:tc>
          <w:tcPr>
            <w:tcW w:w="3325" w:type="dxa"/>
            <w:tcBorders>
              <w:left w:val="nil"/>
              <w:right w:val="nil"/>
            </w:tcBorders>
            <w:shd w:val="clear" w:color="auto" w:fill="EEECE1" w:themeFill="background2"/>
          </w:tcPr>
          <w:p w:rsidR="004D23FB" w:rsidRPr="0084450C" w:rsidRDefault="004D23FB" w:rsidP="00721386">
            <w:pPr>
              <w:pStyle w:val="TableText0"/>
            </w:pPr>
          </w:p>
        </w:tc>
        <w:tc>
          <w:tcPr>
            <w:tcW w:w="4989" w:type="dxa"/>
            <w:tcBorders>
              <w:left w:val="nil"/>
              <w:right w:val="nil"/>
            </w:tcBorders>
            <w:shd w:val="clear" w:color="auto" w:fill="EEECE1" w:themeFill="background2"/>
          </w:tcPr>
          <w:p w:rsidR="004D23FB" w:rsidRPr="0084450C" w:rsidRDefault="004D23FB" w:rsidP="00721386">
            <w:pPr>
              <w:pStyle w:val="TableText0"/>
            </w:pPr>
          </w:p>
        </w:tc>
        <w:tc>
          <w:tcPr>
            <w:tcW w:w="4161" w:type="dxa"/>
            <w:tcBorders>
              <w:left w:val="nil"/>
            </w:tcBorders>
            <w:shd w:val="clear" w:color="auto" w:fill="EEECE1" w:themeFill="background2"/>
          </w:tcPr>
          <w:p w:rsidR="004D23FB" w:rsidRPr="0084450C" w:rsidRDefault="004D23FB" w:rsidP="00721386">
            <w:pPr>
              <w:pStyle w:val="TableText0"/>
            </w:pPr>
          </w:p>
        </w:tc>
      </w:tr>
      <w:tr w:rsidR="00746F05" w:rsidRPr="00F913F8" w:rsidTr="00731B68">
        <w:trPr>
          <w:trHeight w:val="558"/>
        </w:trPr>
        <w:tc>
          <w:tcPr>
            <w:tcW w:w="1773" w:type="dxa"/>
            <w:tcBorders>
              <w:right w:val="single" w:sz="4" w:space="0" w:color="auto"/>
            </w:tcBorders>
          </w:tcPr>
          <w:p w:rsidR="003D1E41" w:rsidRPr="0084450C" w:rsidRDefault="003D1E41" w:rsidP="00184B6F">
            <w:pPr>
              <w:pStyle w:val="TableText0"/>
            </w:pPr>
            <w:r w:rsidRPr="0084450C">
              <w:t xml:space="preserve">Japanese statutory health insurance </w:t>
            </w:r>
            <w:r w:rsidR="00A130D0">
              <w:rPr>
                <w:noProof/>
              </w:rPr>
              <w:t>(</w:t>
            </w:r>
            <w:r w:rsidR="00184B6F">
              <w:rPr>
                <w:noProof/>
              </w:rPr>
              <w:t>Japan Intractable Diseases Information Center 2014</w:t>
            </w:r>
            <w:r w:rsidR="00A130D0">
              <w:rPr>
                <w:noProof/>
              </w:rPr>
              <w:t>)</w:t>
            </w:r>
          </w:p>
        </w:tc>
        <w:tc>
          <w:tcPr>
            <w:tcW w:w="3325" w:type="dxa"/>
            <w:tcBorders>
              <w:left w:val="single" w:sz="4" w:space="0" w:color="auto"/>
              <w:right w:val="single" w:sz="4" w:space="0" w:color="auto"/>
            </w:tcBorders>
          </w:tcPr>
          <w:p w:rsidR="003D1E41" w:rsidRPr="0084450C" w:rsidRDefault="003D1E41" w:rsidP="00721386">
            <w:pPr>
              <w:pStyle w:val="TableText0"/>
            </w:pPr>
            <w:r w:rsidRPr="0084450C">
              <w:t>Applicants: patients</w:t>
            </w:r>
          </w:p>
          <w:p w:rsidR="003D1E41" w:rsidRPr="0084450C" w:rsidRDefault="003D1E41" w:rsidP="00721386">
            <w:pPr>
              <w:pStyle w:val="TableText0"/>
            </w:pPr>
            <w:r w:rsidRPr="0084450C">
              <w:t>Evaluator: health centre that has jurisdiction over the area the applicant lives in</w:t>
            </w:r>
          </w:p>
          <w:p w:rsidR="003D1E41" w:rsidRPr="0084450C" w:rsidRDefault="003D1E41" w:rsidP="00721386">
            <w:pPr>
              <w:pStyle w:val="TableText0"/>
            </w:pPr>
            <w:r w:rsidRPr="0084450C">
              <w:t>Decision-maker: governor of the prefecture</w:t>
            </w:r>
          </w:p>
          <w:p w:rsidR="003D1E41" w:rsidRPr="00F913F8" w:rsidRDefault="003D1E41" w:rsidP="00721386">
            <w:pPr>
              <w:pStyle w:val="TableText0"/>
            </w:pPr>
          </w:p>
        </w:tc>
        <w:tc>
          <w:tcPr>
            <w:tcW w:w="4989" w:type="dxa"/>
            <w:tcBorders>
              <w:left w:val="single" w:sz="4" w:space="0" w:color="auto"/>
              <w:right w:val="single" w:sz="4" w:space="0" w:color="auto"/>
            </w:tcBorders>
          </w:tcPr>
          <w:p w:rsidR="003D1E41" w:rsidRPr="0084450C" w:rsidRDefault="003D1E41" w:rsidP="00721386">
            <w:pPr>
              <w:pStyle w:val="TableText0"/>
            </w:pPr>
            <w:r w:rsidRPr="0084450C">
              <w:t>Patients with any of the 56 diseases covered by the Specified Disease Treatment Research Program</w:t>
            </w:r>
          </w:p>
        </w:tc>
        <w:tc>
          <w:tcPr>
            <w:tcW w:w="4161" w:type="dxa"/>
            <w:tcBorders>
              <w:left w:val="single" w:sz="4" w:space="0" w:color="auto"/>
            </w:tcBorders>
          </w:tcPr>
          <w:p w:rsidR="003D1E41" w:rsidRPr="0084450C" w:rsidRDefault="003D1E41" w:rsidP="00721386">
            <w:pPr>
              <w:pStyle w:val="TableText0"/>
            </w:pPr>
            <w:r w:rsidRPr="0084450C">
              <w:t>NR</w:t>
            </w:r>
          </w:p>
        </w:tc>
      </w:tr>
      <w:tr w:rsidR="00746F05" w:rsidRPr="00F913F8" w:rsidTr="00731B68">
        <w:trPr>
          <w:trHeight w:val="558"/>
        </w:trPr>
        <w:tc>
          <w:tcPr>
            <w:tcW w:w="1773" w:type="dxa"/>
          </w:tcPr>
          <w:p w:rsidR="003D1E41" w:rsidRPr="0084450C" w:rsidRDefault="003D1E41" w:rsidP="00184B6F">
            <w:pPr>
              <w:pStyle w:val="TableText0"/>
            </w:pPr>
            <w:r w:rsidRPr="0084450C">
              <w:t xml:space="preserve">National health insurance, South Korea </w:t>
            </w:r>
            <w:r w:rsidR="00A130D0">
              <w:rPr>
                <w:noProof/>
              </w:rPr>
              <w:t>(</w:t>
            </w:r>
            <w:r w:rsidR="00184B6F">
              <w:rPr>
                <w:noProof/>
              </w:rPr>
              <w:t>Hong et al. 2014</w:t>
            </w:r>
            <w:r w:rsidR="00A130D0">
              <w:rPr>
                <w:noProof/>
              </w:rPr>
              <w:t xml:space="preserve">; </w:t>
            </w:r>
            <w:r w:rsidR="00184B6F">
              <w:rPr>
                <w:noProof/>
              </w:rPr>
              <w:t>Soo 2014</w:t>
            </w:r>
            <w:r w:rsidR="00A130D0">
              <w:rPr>
                <w:noProof/>
              </w:rPr>
              <w:t>)</w:t>
            </w:r>
          </w:p>
        </w:tc>
        <w:tc>
          <w:tcPr>
            <w:tcW w:w="3325" w:type="dxa"/>
          </w:tcPr>
          <w:p w:rsidR="003D1E41" w:rsidRPr="0084450C" w:rsidRDefault="003D1E41" w:rsidP="00721386">
            <w:pPr>
              <w:pStyle w:val="TableText0"/>
            </w:pPr>
            <w:r w:rsidRPr="0084450C">
              <w:t>Applicant: Drug company</w:t>
            </w:r>
          </w:p>
          <w:p w:rsidR="003D1E41" w:rsidRPr="0084450C" w:rsidRDefault="003D1E41" w:rsidP="00721386">
            <w:pPr>
              <w:pStyle w:val="TableText0"/>
            </w:pPr>
            <w:r w:rsidRPr="0084450C">
              <w:t>Evaluator: Drug Benefit Coverage Assessment Committee (DBCAC) of the Heatlh Insurance Review Agency (HIRA)</w:t>
            </w:r>
          </w:p>
          <w:p w:rsidR="003D1E41" w:rsidRPr="0084450C" w:rsidRDefault="003D1E41" w:rsidP="00721386">
            <w:pPr>
              <w:pStyle w:val="TableText0"/>
            </w:pPr>
            <w:r w:rsidRPr="0084450C">
              <w:t>Decision-maker: Health Insurance Policy Review Committee within the ministry</w:t>
            </w:r>
          </w:p>
        </w:tc>
        <w:tc>
          <w:tcPr>
            <w:tcW w:w="4989" w:type="dxa"/>
          </w:tcPr>
          <w:p w:rsidR="003D1E41" w:rsidRPr="0084450C" w:rsidRDefault="003D1E41" w:rsidP="00721386">
            <w:pPr>
              <w:pStyle w:val="TableText0"/>
            </w:pPr>
            <w:r w:rsidRPr="0084450C">
              <w:t>Positive recommendation for reimbursement is based on the drug’s clinical usefulness, cost-effectiveness, disease severity, financial impacts, and it’s reimbursement status and pricing in foreign countries.</w:t>
            </w:r>
          </w:p>
        </w:tc>
        <w:tc>
          <w:tcPr>
            <w:tcW w:w="4161" w:type="dxa"/>
          </w:tcPr>
          <w:p w:rsidR="003D1E41" w:rsidRPr="0084450C" w:rsidRDefault="003D1E41" w:rsidP="00721386">
            <w:pPr>
              <w:pStyle w:val="TableText0"/>
            </w:pPr>
            <w:r w:rsidRPr="0084450C">
              <w:t>Products for severe diseases or rare diseases were recommended if the new drug:</w:t>
            </w:r>
          </w:p>
          <w:p w:rsidR="003D1E41" w:rsidRPr="0084450C" w:rsidRDefault="003D1E41" w:rsidP="000959DF">
            <w:pPr>
              <w:pStyle w:val="TableText0"/>
              <w:numPr>
                <w:ilvl w:val="0"/>
                <w:numId w:val="41"/>
              </w:numPr>
            </w:pPr>
            <w:r w:rsidRPr="0084450C">
              <w:t xml:space="preserve">has no alternative treatment; </w:t>
            </w:r>
          </w:p>
          <w:p w:rsidR="003D1E41" w:rsidRPr="0084450C" w:rsidRDefault="003D1E41" w:rsidP="000959DF">
            <w:pPr>
              <w:pStyle w:val="TableText0"/>
              <w:numPr>
                <w:ilvl w:val="0"/>
                <w:numId w:val="41"/>
              </w:numPr>
            </w:pPr>
            <w:r w:rsidRPr="0084450C">
              <w:t xml:space="preserve">is used for life-threatening disease; </w:t>
            </w:r>
          </w:p>
          <w:p w:rsidR="003D1E41" w:rsidRPr="0084450C" w:rsidRDefault="003D1E41" w:rsidP="000959DF">
            <w:pPr>
              <w:pStyle w:val="TableText0"/>
              <w:numPr>
                <w:ilvl w:val="0"/>
                <w:numId w:val="41"/>
              </w:numPr>
            </w:pPr>
            <w:r w:rsidRPr="0084450C">
              <w:t xml:space="preserve">is used for a minority of patients who have rare disease; and </w:t>
            </w:r>
          </w:p>
          <w:p w:rsidR="003D1E41" w:rsidRPr="0084450C" w:rsidRDefault="003D1E41" w:rsidP="000959DF">
            <w:pPr>
              <w:pStyle w:val="TableText0"/>
              <w:numPr>
                <w:ilvl w:val="0"/>
                <w:numId w:val="41"/>
              </w:numPr>
            </w:pPr>
            <w:r w:rsidRPr="0084450C">
              <w:t>is capable of proving clinically meaningful and substantial improvement such as extended survival,</w:t>
            </w:r>
          </w:p>
          <w:p w:rsidR="003D1E41" w:rsidRPr="0084450C" w:rsidRDefault="003D1E41" w:rsidP="00721386">
            <w:pPr>
              <w:pStyle w:val="TableText0"/>
            </w:pPr>
            <w:r w:rsidRPr="0084450C">
              <w:t xml:space="preserve">The NHIC can conduct the negotiation process with the company without data proving cost-effectiveness. </w:t>
            </w:r>
          </w:p>
        </w:tc>
      </w:tr>
      <w:tr w:rsidR="00746F05" w:rsidRPr="00F913F8" w:rsidTr="00731B68">
        <w:trPr>
          <w:trHeight w:val="558"/>
        </w:trPr>
        <w:tc>
          <w:tcPr>
            <w:tcW w:w="1773" w:type="dxa"/>
          </w:tcPr>
          <w:p w:rsidR="003D1E41" w:rsidRPr="0084450C" w:rsidRDefault="003D1E41" w:rsidP="00184B6F">
            <w:pPr>
              <w:pStyle w:val="TableText0"/>
            </w:pPr>
            <w:r w:rsidRPr="0084450C">
              <w:lastRenderedPageBreak/>
              <w:t xml:space="preserve">Chinese medical insurance system </w:t>
            </w:r>
            <w:r w:rsidR="00A130D0">
              <w:rPr>
                <w:noProof/>
              </w:rPr>
              <w:t>(</w:t>
            </w:r>
            <w:r w:rsidR="00184B6F">
              <w:rPr>
                <w:noProof/>
              </w:rPr>
              <w:t>Ngorsuraches et al. 2012</w:t>
            </w:r>
            <w:r w:rsidR="00A130D0">
              <w:rPr>
                <w:noProof/>
              </w:rPr>
              <w:t>)</w:t>
            </w:r>
          </w:p>
        </w:tc>
        <w:tc>
          <w:tcPr>
            <w:tcW w:w="3325" w:type="dxa"/>
          </w:tcPr>
          <w:p w:rsidR="003D1E41" w:rsidRPr="0084450C" w:rsidRDefault="003D1E41" w:rsidP="00721386">
            <w:pPr>
              <w:pStyle w:val="TableText0"/>
            </w:pPr>
            <w:r w:rsidRPr="0084450C">
              <w:t>Applicant: NR</w:t>
            </w:r>
          </w:p>
          <w:p w:rsidR="003D1E41" w:rsidRPr="0084450C" w:rsidRDefault="003D1E41" w:rsidP="00721386">
            <w:pPr>
              <w:pStyle w:val="TableText0"/>
            </w:pPr>
            <w:r w:rsidRPr="0084450C">
              <w:t xml:space="preserve">Evaluator: experts and pharmacoeconomists </w:t>
            </w:r>
          </w:p>
          <w:p w:rsidR="003D1E41" w:rsidRPr="0084450C" w:rsidRDefault="003D1E41" w:rsidP="00721386">
            <w:pPr>
              <w:pStyle w:val="TableText0"/>
            </w:pPr>
            <w:r w:rsidRPr="0084450C">
              <w:t xml:space="preserve">Decision-maker: more than 2000 experts (voting) </w:t>
            </w:r>
          </w:p>
        </w:tc>
        <w:tc>
          <w:tcPr>
            <w:tcW w:w="4989" w:type="dxa"/>
          </w:tcPr>
          <w:p w:rsidR="003D1E41" w:rsidRPr="0084450C" w:rsidRDefault="003D1E41" w:rsidP="000959DF">
            <w:pPr>
              <w:pStyle w:val="TableText0"/>
              <w:numPr>
                <w:ilvl w:val="0"/>
                <w:numId w:val="41"/>
              </w:numPr>
            </w:pPr>
            <w:r w:rsidRPr="0084450C">
              <w:t>Safety, efficacy, and clinical needs</w:t>
            </w:r>
          </w:p>
          <w:p w:rsidR="003D1E41" w:rsidRPr="0084450C" w:rsidRDefault="003D1E41" w:rsidP="000959DF">
            <w:pPr>
              <w:pStyle w:val="TableText0"/>
              <w:numPr>
                <w:ilvl w:val="0"/>
                <w:numId w:val="41"/>
              </w:numPr>
            </w:pPr>
            <w:r w:rsidRPr="0084450C">
              <w:t>Information of price and pharmacoeconomic evaluation in other countries</w:t>
            </w:r>
          </w:p>
          <w:p w:rsidR="003D1E41" w:rsidRPr="0084450C" w:rsidRDefault="003D1E41" w:rsidP="000959DF">
            <w:pPr>
              <w:pStyle w:val="TableText0"/>
              <w:numPr>
                <w:ilvl w:val="0"/>
                <w:numId w:val="41"/>
              </w:numPr>
            </w:pPr>
            <w:r w:rsidRPr="0084450C">
              <w:t>Budget impact</w:t>
            </w:r>
          </w:p>
        </w:tc>
        <w:tc>
          <w:tcPr>
            <w:tcW w:w="4161" w:type="dxa"/>
          </w:tcPr>
          <w:p w:rsidR="003D1E41" w:rsidRPr="0084450C" w:rsidRDefault="003D1E41" w:rsidP="00721386">
            <w:pPr>
              <w:pStyle w:val="TableText0"/>
            </w:pPr>
            <w:r w:rsidRPr="0084450C">
              <w:t>None</w:t>
            </w:r>
          </w:p>
        </w:tc>
      </w:tr>
    </w:tbl>
    <w:p w:rsidR="00D64DEC" w:rsidRDefault="00D64DEC" w:rsidP="00D64DEC">
      <w:pPr>
        <w:pStyle w:val="TableNote"/>
        <w:rPr>
          <w:lang w:val="fr-FR"/>
        </w:rPr>
      </w:pPr>
      <w:r>
        <w:rPr>
          <w:lang w:val="fr-FR"/>
        </w:rPr>
        <w:t xml:space="preserve">AGNSS </w:t>
      </w:r>
      <w:r w:rsidR="00652355" w:rsidRPr="00652355">
        <w:rPr>
          <w:spacing w:val="-20"/>
          <w:lang w:val="fr-FR"/>
        </w:rPr>
        <w:t xml:space="preserve"> = </w:t>
      </w:r>
      <w:r>
        <w:rPr>
          <w:lang w:val="fr-FR"/>
        </w:rPr>
        <w:t xml:space="preserve"> Advisory group for National Specialised Services ; AIFA </w:t>
      </w:r>
      <w:r w:rsidR="00652355" w:rsidRPr="00652355">
        <w:rPr>
          <w:spacing w:val="-20"/>
          <w:lang w:val="fr-FR"/>
        </w:rPr>
        <w:t xml:space="preserve"> = </w:t>
      </w:r>
      <w:r>
        <w:rPr>
          <w:lang w:val="fr-FR"/>
        </w:rPr>
        <w:t xml:space="preserve"> italian Pharmaceutical Agency ;</w:t>
      </w:r>
      <w:r w:rsidRPr="005A2EA7">
        <w:t xml:space="preserve"> </w:t>
      </w:r>
      <w:r>
        <w:t>C</w:t>
      </w:r>
      <w:r w:rsidRPr="0084450C">
        <w:t xml:space="preserve"> </w:t>
      </w:r>
      <w:r>
        <w:t xml:space="preserve">BfArM </w:t>
      </w:r>
      <w:r w:rsidR="00652355" w:rsidRPr="00652355">
        <w:rPr>
          <w:spacing w:val="-20"/>
        </w:rPr>
        <w:t xml:space="preserve"> = </w:t>
      </w:r>
      <w:r>
        <w:t xml:space="preserve"> </w:t>
      </w:r>
      <w:r w:rsidRPr="0084450C">
        <w:t>Bundesinstitut für Arzneim</w:t>
      </w:r>
      <w:r>
        <w:t xml:space="preserve">ittel und Medizinprodukte; CADTH </w:t>
      </w:r>
      <w:r w:rsidR="00652355" w:rsidRPr="00652355">
        <w:rPr>
          <w:spacing w:val="-20"/>
        </w:rPr>
        <w:t xml:space="preserve"> = </w:t>
      </w:r>
      <w:r>
        <w:t xml:space="preserve"> </w:t>
      </w:r>
      <w:r w:rsidRPr="0084450C">
        <w:t>Canadian Agency for Drugs and Technologies in Health</w:t>
      </w:r>
      <w:r>
        <w:t xml:space="preserve">; CCO </w:t>
      </w:r>
      <w:r w:rsidR="00652355" w:rsidRPr="00652355">
        <w:rPr>
          <w:spacing w:val="-20"/>
        </w:rPr>
        <w:t xml:space="preserve"> = </w:t>
      </w:r>
      <w:r>
        <w:t xml:space="preserve"> Cancer Care Ontario CED </w:t>
      </w:r>
      <w:r w:rsidR="00652355" w:rsidRPr="00652355">
        <w:rPr>
          <w:spacing w:val="-20"/>
        </w:rPr>
        <w:t xml:space="preserve"> = </w:t>
      </w:r>
      <w:r>
        <w:t xml:space="preserve"> </w:t>
      </w:r>
      <w:r w:rsidRPr="0084450C">
        <w:t>Co</w:t>
      </w:r>
      <w:r>
        <w:t xml:space="preserve">mmittee to Evaluate Drugs; </w:t>
      </w:r>
      <w:r w:rsidRPr="0084450C">
        <w:t xml:space="preserve"> </w:t>
      </w:r>
      <w:r>
        <w:t xml:space="preserve">CEDAC </w:t>
      </w:r>
      <w:r w:rsidR="00652355" w:rsidRPr="00652355">
        <w:rPr>
          <w:spacing w:val="-20"/>
        </w:rPr>
        <w:t xml:space="preserve"> = </w:t>
      </w:r>
      <w:r>
        <w:t xml:space="preserve"> </w:t>
      </w:r>
      <w:r w:rsidRPr="0084450C">
        <w:t>Canadian Expert D</w:t>
      </w:r>
      <w:r>
        <w:t xml:space="preserve">rug Advisory Committee; </w:t>
      </w:r>
      <w:r>
        <w:rPr>
          <w:lang w:val="fr-FR"/>
        </w:rPr>
        <w:t xml:space="preserve">CEM </w:t>
      </w:r>
      <w:r w:rsidR="00652355" w:rsidRPr="00652355">
        <w:rPr>
          <w:spacing w:val="-20"/>
          <w:lang w:val="fr-FR"/>
        </w:rPr>
        <w:t xml:space="preserve"> = </w:t>
      </w:r>
      <w:r>
        <w:rPr>
          <w:lang w:val="fr-FR"/>
        </w:rPr>
        <w:t xml:space="preserve"> </w:t>
      </w:r>
      <w:r w:rsidRPr="0084450C">
        <w:rPr>
          <w:lang w:val="fr-FR"/>
        </w:rPr>
        <w:t>Commission d’Evaluation des Médicaments</w:t>
      </w:r>
      <w:r>
        <w:rPr>
          <w:lang w:val="fr-FR"/>
        </w:rPr>
        <w:t xml:space="preserve"> ; </w:t>
      </w:r>
      <w:r w:rsidRPr="0084450C">
        <w:rPr>
          <w:lang w:val="fr-FR"/>
        </w:rPr>
        <w:t xml:space="preserve"> </w:t>
      </w:r>
      <w:r>
        <w:rPr>
          <w:lang w:val="fr-FR"/>
        </w:rPr>
        <w:t xml:space="preserve">CEPS </w:t>
      </w:r>
      <w:r w:rsidR="00652355" w:rsidRPr="00652355">
        <w:rPr>
          <w:spacing w:val="-20"/>
          <w:lang w:val="fr-FR"/>
        </w:rPr>
        <w:t xml:space="preserve"> = </w:t>
      </w:r>
      <w:r>
        <w:rPr>
          <w:lang w:val="fr-FR"/>
        </w:rPr>
        <w:t xml:space="preserve"> </w:t>
      </w:r>
      <w:r w:rsidRPr="0084450C">
        <w:rPr>
          <w:lang w:val="fr-FR"/>
        </w:rPr>
        <w:t>Comité Economiqu</w:t>
      </w:r>
      <w:r>
        <w:rPr>
          <w:lang w:val="fr-FR"/>
        </w:rPr>
        <w:t xml:space="preserve">e des Produits de Santé; </w:t>
      </w:r>
      <w:r>
        <w:t xml:space="preserve">CIPM </w:t>
      </w:r>
      <w:r w:rsidR="00652355" w:rsidRPr="00652355">
        <w:rPr>
          <w:spacing w:val="-20"/>
        </w:rPr>
        <w:t xml:space="preserve"> = </w:t>
      </w:r>
      <w:r>
        <w:t xml:space="preserve"> </w:t>
      </w:r>
      <w:r w:rsidRPr="0084450C">
        <w:t>Inter-Ministerial Pricing Commis</w:t>
      </w:r>
      <w:r>
        <w:t xml:space="preserve">sion; </w:t>
      </w:r>
      <w:r w:rsidRPr="0084450C">
        <w:rPr>
          <w:lang w:val="fr-FR"/>
        </w:rPr>
        <w:t xml:space="preserve"> </w:t>
      </w:r>
      <w:r>
        <w:t xml:space="preserve">CVZ </w:t>
      </w:r>
      <w:r w:rsidR="00652355" w:rsidRPr="00652355">
        <w:rPr>
          <w:spacing w:val="-20"/>
        </w:rPr>
        <w:t xml:space="preserve"> = </w:t>
      </w:r>
      <w:r>
        <w:t xml:space="preserve"> </w:t>
      </w:r>
      <w:r w:rsidRPr="0084450C">
        <w:t>Coll</w:t>
      </w:r>
      <w:r>
        <w:t xml:space="preserve">ege voor zorgverzekeringen; DBCAC </w:t>
      </w:r>
      <w:r w:rsidR="00652355" w:rsidRPr="00652355">
        <w:rPr>
          <w:spacing w:val="-20"/>
        </w:rPr>
        <w:t xml:space="preserve"> = </w:t>
      </w:r>
      <w:r>
        <w:t xml:space="preserve"> Drug Benefit Coverage Assessment Committee; DRC </w:t>
      </w:r>
      <w:r w:rsidR="00652355" w:rsidRPr="00652355">
        <w:rPr>
          <w:spacing w:val="-20"/>
        </w:rPr>
        <w:t xml:space="preserve"> = </w:t>
      </w:r>
      <w:r>
        <w:t xml:space="preserve"> </w:t>
      </w:r>
      <w:r w:rsidRPr="0084450C">
        <w:t>Drug Reimbursement Committee</w:t>
      </w:r>
      <w:r>
        <w:t xml:space="preserve">; </w:t>
      </w:r>
      <w:r w:rsidR="00AA451A">
        <w:rPr>
          <w:lang w:val="fr-FR"/>
        </w:rPr>
        <w:t>HAS</w:t>
      </w:r>
      <w:r w:rsidR="00652355" w:rsidRPr="00AA451A">
        <w:rPr>
          <w:spacing w:val="-20"/>
          <w:lang w:val="fr-FR"/>
        </w:rPr>
        <w:t xml:space="preserve"> =</w:t>
      </w:r>
      <w:r w:rsidR="00652355" w:rsidRPr="00652355">
        <w:rPr>
          <w:spacing w:val="-20"/>
          <w:lang w:val="fr-FR"/>
        </w:rPr>
        <w:t xml:space="preserve"> </w:t>
      </w:r>
      <w:r w:rsidR="00AA451A">
        <w:rPr>
          <w:spacing w:val="-20"/>
          <w:lang w:val="fr-FR"/>
        </w:rPr>
        <w:t xml:space="preserve"> </w:t>
      </w:r>
      <w:r w:rsidR="00AA451A" w:rsidRPr="00AA451A">
        <w:t>Haute Autorit</w:t>
      </w:r>
      <w:r w:rsidR="00AA451A">
        <w:t>é</w:t>
      </w:r>
      <w:r w:rsidR="00AA451A" w:rsidRPr="00AA451A">
        <w:t xml:space="preserve"> de Sant</w:t>
      </w:r>
      <w:r w:rsidR="00AA451A">
        <w:t>é</w:t>
      </w:r>
      <w:r>
        <w:rPr>
          <w:lang w:val="fr-FR"/>
        </w:rPr>
        <w:t xml:space="preserve"> ; </w:t>
      </w:r>
      <w:r w:rsidRPr="0084450C">
        <w:t xml:space="preserve">G-BA </w:t>
      </w:r>
      <w:r w:rsidR="00652355" w:rsidRPr="00652355">
        <w:rPr>
          <w:spacing w:val="-20"/>
        </w:rPr>
        <w:t xml:space="preserve"> = </w:t>
      </w:r>
      <w:r>
        <w:t xml:space="preserve"> Gemeinsamer Bundesausschuss; HIRA </w:t>
      </w:r>
      <w:r w:rsidR="00652355" w:rsidRPr="00652355">
        <w:rPr>
          <w:spacing w:val="-20"/>
        </w:rPr>
        <w:t xml:space="preserve"> = </w:t>
      </w:r>
      <w:r>
        <w:t xml:space="preserve"> Health Insurance Review Agency; </w:t>
      </w:r>
      <w:r w:rsidRPr="0084450C">
        <w:t>HTA</w:t>
      </w:r>
      <w:r>
        <w:t xml:space="preserve"> </w:t>
      </w:r>
      <w:r w:rsidR="00652355" w:rsidRPr="00652355">
        <w:rPr>
          <w:spacing w:val="-20"/>
        </w:rPr>
        <w:t xml:space="preserve"> = </w:t>
      </w:r>
      <w:r>
        <w:t xml:space="preserve"> Health technology assessment; HVB </w:t>
      </w:r>
      <w:r w:rsidR="00652355" w:rsidRPr="00652355">
        <w:rPr>
          <w:spacing w:val="-20"/>
        </w:rPr>
        <w:t xml:space="preserve"> = </w:t>
      </w:r>
      <w:r>
        <w:t xml:space="preserve"> </w:t>
      </w:r>
      <w:r w:rsidRPr="0084450C">
        <w:t>Hauptverband der österreichisch</w:t>
      </w:r>
      <w:r>
        <w:t xml:space="preserve">en Sozialversicherunsträger; IQWiG </w:t>
      </w:r>
      <w:r w:rsidR="00652355" w:rsidRPr="00652355">
        <w:rPr>
          <w:spacing w:val="-20"/>
        </w:rPr>
        <w:t xml:space="preserve"> = </w:t>
      </w:r>
      <w:r>
        <w:t xml:space="preserve"> </w:t>
      </w:r>
      <w:r w:rsidRPr="0084450C">
        <w:t>Institute for Quality and Efficiency in Healthcare</w:t>
      </w:r>
      <w:r>
        <w:t xml:space="preserve">; ISCIII </w:t>
      </w:r>
      <w:r w:rsidR="00652355" w:rsidRPr="00652355">
        <w:rPr>
          <w:spacing w:val="-20"/>
        </w:rPr>
        <w:t xml:space="preserve"> = </w:t>
      </w:r>
      <w:r>
        <w:t xml:space="preserve"> </w:t>
      </w:r>
      <w:r w:rsidRPr="0084450C">
        <w:t>Institut</w:t>
      </w:r>
      <w:r>
        <w:t xml:space="preserve">o de Salud Carlos III; ISPOR </w:t>
      </w:r>
      <w:r w:rsidR="00652355" w:rsidRPr="00652355">
        <w:rPr>
          <w:spacing w:val="-20"/>
        </w:rPr>
        <w:t xml:space="preserve"> = </w:t>
      </w:r>
      <w:r>
        <w:t xml:space="preserve"> International Society for Pharmacoeconomics and Outcomes Research LFN </w:t>
      </w:r>
      <w:r w:rsidR="00652355" w:rsidRPr="00652355">
        <w:rPr>
          <w:spacing w:val="-20"/>
        </w:rPr>
        <w:t xml:space="preserve"> = </w:t>
      </w:r>
      <w:r>
        <w:t xml:space="preserve"> </w:t>
      </w:r>
      <w:r w:rsidRPr="0084450C">
        <w:t>Läkemedelsförmånsnämnden</w:t>
      </w:r>
      <w:r>
        <w:t xml:space="preserve">; NHS </w:t>
      </w:r>
      <w:r w:rsidR="00652355" w:rsidRPr="00652355">
        <w:rPr>
          <w:spacing w:val="-20"/>
        </w:rPr>
        <w:t xml:space="preserve"> = </w:t>
      </w:r>
      <w:r>
        <w:t xml:space="preserve"> National health Service; NICE </w:t>
      </w:r>
      <w:r w:rsidR="00652355" w:rsidRPr="00652355">
        <w:rPr>
          <w:spacing w:val="-20"/>
        </w:rPr>
        <w:t xml:space="preserve"> = </w:t>
      </w:r>
      <w:r>
        <w:t xml:space="preserve"> National Institute of Health and Clinical Excellence; </w:t>
      </w:r>
      <w:r w:rsidRPr="00792257">
        <w:t xml:space="preserve">NR </w:t>
      </w:r>
      <w:r w:rsidR="00652355" w:rsidRPr="00652355">
        <w:rPr>
          <w:spacing w:val="-20"/>
        </w:rPr>
        <w:t xml:space="preserve"> = </w:t>
      </w:r>
      <w:r w:rsidRPr="00792257">
        <w:t xml:space="preserve"> not reported</w:t>
      </w:r>
      <w:r>
        <w:t xml:space="preserve">; </w:t>
      </w:r>
      <w:r w:rsidRPr="0084450C">
        <w:t xml:space="preserve">QALY </w:t>
      </w:r>
      <w:r w:rsidR="00652355" w:rsidRPr="00652355">
        <w:rPr>
          <w:spacing w:val="-20"/>
        </w:rPr>
        <w:t xml:space="preserve"> = </w:t>
      </w:r>
      <w:r>
        <w:t xml:space="preserve"> Quality adjusted life year;  SBU </w:t>
      </w:r>
      <w:r w:rsidR="00652355" w:rsidRPr="00652355">
        <w:rPr>
          <w:spacing w:val="-20"/>
        </w:rPr>
        <w:t xml:space="preserve"> = </w:t>
      </w:r>
      <w:r>
        <w:t xml:space="preserve"> </w:t>
      </w:r>
      <w:r w:rsidRPr="0084450C">
        <w:t>Statens berednin</w:t>
      </w:r>
      <w:r>
        <w:t xml:space="preserve">g för medicinsk utvärdering; SMC </w:t>
      </w:r>
      <w:r w:rsidR="00652355" w:rsidRPr="00652355">
        <w:rPr>
          <w:spacing w:val="-20"/>
        </w:rPr>
        <w:t xml:space="preserve"> = </w:t>
      </w:r>
      <w:r>
        <w:t xml:space="preserve"> </w:t>
      </w:r>
      <w:r w:rsidRPr="0084450C">
        <w:t>Scottish Medicines Consortium</w:t>
      </w:r>
      <w:r>
        <w:t xml:space="preserve">; TLV </w:t>
      </w:r>
      <w:r w:rsidR="00652355" w:rsidRPr="00652355">
        <w:rPr>
          <w:spacing w:val="-20"/>
        </w:rPr>
        <w:t xml:space="preserve"> = </w:t>
      </w:r>
      <w:r>
        <w:t xml:space="preserve"> </w:t>
      </w:r>
      <w:r w:rsidRPr="0084450C">
        <w:t xml:space="preserve">Tandvårds- </w:t>
      </w:r>
      <w:r>
        <w:t xml:space="preserve">och läkemedelsförmånsverket; </w:t>
      </w:r>
      <w:r w:rsidRPr="0084450C">
        <w:rPr>
          <w:lang w:val="fr-FR"/>
        </w:rPr>
        <w:t>UNCAM</w:t>
      </w:r>
      <w:r>
        <w:rPr>
          <w:lang w:val="fr-FR"/>
        </w:rPr>
        <w:t xml:space="preserve"> </w:t>
      </w:r>
      <w:r w:rsidR="00652355" w:rsidRPr="00652355">
        <w:rPr>
          <w:spacing w:val="-20"/>
          <w:lang w:val="fr-FR"/>
        </w:rPr>
        <w:t xml:space="preserve"> = </w:t>
      </w:r>
      <w:r>
        <w:rPr>
          <w:lang w:val="fr-FR"/>
        </w:rPr>
        <w:t xml:space="preserve"> </w:t>
      </w:r>
      <w:r w:rsidRPr="0084450C">
        <w:rPr>
          <w:lang w:val="fr-FR"/>
        </w:rPr>
        <w:t xml:space="preserve"> Union Nationale des Caisses d’Assurance Maladie</w:t>
      </w:r>
    </w:p>
    <w:p w:rsidR="003D1E41" w:rsidRDefault="003D1E41" w:rsidP="00E965BD">
      <w:pPr>
        <w:pStyle w:val="Tablenote0"/>
      </w:pPr>
    </w:p>
    <w:p w:rsidR="003D1E41" w:rsidRDefault="003D1E41" w:rsidP="0096216D">
      <w:pPr>
        <w:pStyle w:val="Caption"/>
        <w:keepNext/>
        <w:tabs>
          <w:tab w:val="clear" w:pos="851"/>
          <w:tab w:val="left" w:pos="1276"/>
        </w:tabs>
        <w:ind w:left="1134" w:hanging="1134"/>
      </w:pPr>
      <w:bookmarkStart w:id="1221" w:name="_Ref403371497"/>
      <w:bookmarkStart w:id="1222" w:name="_Toc403720104"/>
      <w:bookmarkStart w:id="1223" w:name="_Toc404350318"/>
      <w:bookmarkStart w:id="1224" w:name="_Toc404976370"/>
      <w:bookmarkStart w:id="1225" w:name="_Toc411510543"/>
      <w:bookmarkStart w:id="1226" w:name="_Toc415141973"/>
      <w:r>
        <w:lastRenderedPageBreak/>
        <w:t xml:space="preserve">Table </w:t>
      </w:r>
      <w:r w:rsidR="00A72B26">
        <w:rPr>
          <w:noProof/>
        </w:rPr>
        <w:t>176</w:t>
      </w:r>
      <w:bookmarkEnd w:id="1221"/>
      <w:r w:rsidR="00C32D77">
        <w:tab/>
      </w:r>
      <w:r w:rsidR="0096216D">
        <w:tab/>
      </w:r>
      <w:r>
        <w:t>Monitoring outcomes of the decision to reimburse, summary by country.</w:t>
      </w:r>
      <w:bookmarkEnd w:id="1222"/>
      <w:bookmarkEnd w:id="1223"/>
      <w:bookmarkEnd w:id="1224"/>
      <w:bookmarkEnd w:id="1225"/>
      <w:bookmarkEnd w:id="1226"/>
    </w:p>
    <w:tbl>
      <w:tblPr>
        <w:tblStyle w:val="TableGrid"/>
        <w:tblW w:w="14284" w:type="dxa"/>
        <w:tblLook w:val="04A0" w:firstRow="1" w:lastRow="0" w:firstColumn="1" w:lastColumn="0" w:noHBand="0" w:noVBand="1"/>
        <w:tblCaption w:val="Monitoring of outcomes of decision to reimburse, by country"/>
      </w:tblPr>
      <w:tblGrid>
        <w:gridCol w:w="4503"/>
        <w:gridCol w:w="2976"/>
        <w:gridCol w:w="4536"/>
        <w:gridCol w:w="2269"/>
      </w:tblGrid>
      <w:tr w:rsidR="003D1E41" w:rsidRPr="006E6217" w:rsidTr="00F46C54">
        <w:trPr>
          <w:tblHeader/>
        </w:trPr>
        <w:tc>
          <w:tcPr>
            <w:tcW w:w="4503" w:type="dxa"/>
          </w:tcPr>
          <w:p w:rsidR="003D1E41" w:rsidRPr="0084450C" w:rsidRDefault="003D1E41" w:rsidP="0084450C">
            <w:pPr>
              <w:pStyle w:val="TableHeading"/>
            </w:pPr>
            <w:r w:rsidRPr="0084450C">
              <w:t>Country / funding body (references)</w:t>
            </w:r>
          </w:p>
        </w:tc>
        <w:tc>
          <w:tcPr>
            <w:tcW w:w="2976" w:type="dxa"/>
          </w:tcPr>
          <w:p w:rsidR="003D1E41" w:rsidRPr="0084450C" w:rsidRDefault="003D1E41" w:rsidP="0084450C">
            <w:pPr>
              <w:pStyle w:val="TableHeading"/>
            </w:pPr>
            <w:r w:rsidRPr="0084450C">
              <w:t>Is there monitoring of areas of uncertainty in drug funding decisions concerning rare/ultra-rare conditions?</w:t>
            </w:r>
          </w:p>
        </w:tc>
        <w:tc>
          <w:tcPr>
            <w:tcW w:w="4536" w:type="dxa"/>
          </w:tcPr>
          <w:p w:rsidR="003D1E41" w:rsidRPr="0084450C" w:rsidRDefault="003D1E41" w:rsidP="0084450C">
            <w:pPr>
              <w:pStyle w:val="TableHeading"/>
            </w:pPr>
            <w:r w:rsidRPr="0084450C">
              <w:t>If so, what methods are used?</w:t>
            </w:r>
          </w:p>
        </w:tc>
        <w:tc>
          <w:tcPr>
            <w:tcW w:w="2269" w:type="dxa"/>
          </w:tcPr>
          <w:p w:rsidR="003D1E41" w:rsidRPr="0084450C" w:rsidRDefault="003D1E41" w:rsidP="0084450C">
            <w:pPr>
              <w:pStyle w:val="TableHeading"/>
            </w:pPr>
            <w:r w:rsidRPr="0084450C">
              <w:t xml:space="preserve">Is there a timetabled programme for the review of decisions or is it </w:t>
            </w:r>
            <w:r w:rsidRPr="0084450C">
              <w:rPr>
                <w:i/>
              </w:rPr>
              <w:t>ad hoc</w:t>
            </w:r>
            <w:r w:rsidRPr="0084450C">
              <w:t>?</w:t>
            </w:r>
          </w:p>
        </w:tc>
      </w:tr>
      <w:tr w:rsidR="00731B68" w:rsidRPr="006E6217" w:rsidTr="00A070B7">
        <w:tc>
          <w:tcPr>
            <w:tcW w:w="4503" w:type="dxa"/>
          </w:tcPr>
          <w:p w:rsidR="00731B68" w:rsidRPr="0084450C" w:rsidRDefault="00731B68" w:rsidP="00A070B7">
            <w:pPr>
              <w:pStyle w:val="TableText0"/>
            </w:pPr>
            <w:r>
              <w:t>Australia</w:t>
            </w:r>
          </w:p>
        </w:tc>
        <w:tc>
          <w:tcPr>
            <w:tcW w:w="2976" w:type="dxa"/>
          </w:tcPr>
          <w:p w:rsidR="00731B68" w:rsidRPr="0084450C" w:rsidRDefault="00731B68" w:rsidP="00A070B7">
            <w:pPr>
              <w:pStyle w:val="TableText0"/>
            </w:pPr>
            <w:r>
              <w:t>NR</w:t>
            </w:r>
          </w:p>
        </w:tc>
        <w:tc>
          <w:tcPr>
            <w:tcW w:w="4536" w:type="dxa"/>
          </w:tcPr>
          <w:p w:rsidR="00731B68" w:rsidRPr="0084450C" w:rsidRDefault="00731B68" w:rsidP="00A070B7">
            <w:pPr>
              <w:pStyle w:val="TableText0"/>
            </w:pPr>
            <w:r>
              <w:t>NR</w:t>
            </w:r>
          </w:p>
        </w:tc>
        <w:tc>
          <w:tcPr>
            <w:tcW w:w="2269" w:type="dxa"/>
          </w:tcPr>
          <w:p w:rsidR="00731B68" w:rsidRPr="006E6217" w:rsidRDefault="00731B68" w:rsidP="00A070B7">
            <w:pPr>
              <w:pStyle w:val="TableText0"/>
            </w:pPr>
            <w:r>
              <w:t>NR</w:t>
            </w:r>
          </w:p>
        </w:tc>
      </w:tr>
      <w:tr w:rsidR="003D1E41" w:rsidRPr="006E6217" w:rsidTr="00E965BD">
        <w:tc>
          <w:tcPr>
            <w:tcW w:w="4503" w:type="dxa"/>
          </w:tcPr>
          <w:p w:rsidR="003D1E41" w:rsidRPr="0084450C" w:rsidRDefault="003D1E41" w:rsidP="00E965BD">
            <w:pPr>
              <w:pStyle w:val="TableText0"/>
            </w:pPr>
            <w:r w:rsidRPr="0084450C">
              <w:t xml:space="preserve">Belgium </w:t>
            </w:r>
            <w:r w:rsidR="00A130D0">
              <w:rPr>
                <w:noProof/>
              </w:rPr>
              <w:t>(</w:t>
            </w:r>
            <w:r w:rsidR="00184B6F">
              <w:rPr>
                <w:noProof/>
              </w:rPr>
              <w:t>Denis et al. 2011</w:t>
            </w:r>
            <w:r w:rsidR="00A130D0">
              <w:rPr>
                <w:noProof/>
              </w:rPr>
              <w:t>)</w:t>
            </w:r>
          </w:p>
          <w:p w:rsidR="003D1E41" w:rsidRPr="006E6217" w:rsidRDefault="003D1E41" w:rsidP="00E965BD">
            <w:pPr>
              <w:pStyle w:val="TableText0"/>
            </w:pPr>
          </w:p>
        </w:tc>
        <w:tc>
          <w:tcPr>
            <w:tcW w:w="2976" w:type="dxa"/>
          </w:tcPr>
          <w:p w:rsidR="003D1E41" w:rsidRPr="0084450C" w:rsidRDefault="003D1E41" w:rsidP="00E965BD">
            <w:pPr>
              <w:pStyle w:val="TableText0"/>
            </w:pPr>
            <w:r w:rsidRPr="0084450C">
              <w:t xml:space="preserve">Yes </w:t>
            </w:r>
          </w:p>
        </w:tc>
        <w:tc>
          <w:tcPr>
            <w:tcW w:w="4536" w:type="dxa"/>
          </w:tcPr>
          <w:p w:rsidR="003D1E41" w:rsidRPr="0084450C" w:rsidRDefault="003D1E41" w:rsidP="00E965BD">
            <w:pPr>
              <w:pStyle w:val="TableText0"/>
            </w:pPr>
            <w:r w:rsidRPr="0084450C">
              <w:t>Companies need to submit a dossier to the DRC for initial reimbursement, followed by a revised dossier 1.5</w:t>
            </w:r>
            <w:r w:rsidRPr="0084450C">
              <w:rPr>
                <w:rFonts w:cs="AdvTimes-b"/>
              </w:rPr>
              <w:t>–</w:t>
            </w:r>
            <w:r w:rsidRPr="0084450C">
              <w:t>3 years after initial reimbursement approval. Since 2008, dossiers need to comply with guidelines for pharmacoeconomic evaluation in Belgium as issued by the Belgian Health Care Knowledge Centre (a state funded</w:t>
            </w:r>
          </w:p>
          <w:p w:rsidR="003D1E41" w:rsidRPr="0084450C" w:rsidRDefault="003D1E41" w:rsidP="00E965BD">
            <w:pPr>
              <w:pStyle w:val="TableText0"/>
            </w:pPr>
            <w:r w:rsidRPr="0084450C">
              <w:t>research institution)</w:t>
            </w:r>
          </w:p>
        </w:tc>
        <w:tc>
          <w:tcPr>
            <w:tcW w:w="2269" w:type="dxa"/>
          </w:tcPr>
          <w:p w:rsidR="003D1E41" w:rsidRPr="006E6217" w:rsidRDefault="003D1E41" w:rsidP="00E965BD">
            <w:pPr>
              <w:pStyle w:val="TableText0"/>
            </w:pPr>
          </w:p>
        </w:tc>
      </w:tr>
      <w:tr w:rsidR="003D1E41" w:rsidRPr="006E6217" w:rsidTr="00E965BD">
        <w:tc>
          <w:tcPr>
            <w:tcW w:w="4503" w:type="dxa"/>
          </w:tcPr>
          <w:p w:rsidR="003D1E41" w:rsidRPr="0084450C" w:rsidRDefault="003D1E41" w:rsidP="00E965BD">
            <w:pPr>
              <w:pStyle w:val="TableText0"/>
            </w:pPr>
            <w:r w:rsidRPr="0084450C">
              <w:t>Austria</w:t>
            </w:r>
          </w:p>
        </w:tc>
        <w:tc>
          <w:tcPr>
            <w:tcW w:w="2976" w:type="dxa"/>
          </w:tcPr>
          <w:p w:rsidR="003D1E41" w:rsidRPr="0084450C" w:rsidRDefault="003D1E41" w:rsidP="00E965BD">
            <w:pPr>
              <w:pStyle w:val="TableText0"/>
            </w:pPr>
            <w:r w:rsidRPr="0084450C">
              <w:t>NR</w:t>
            </w:r>
          </w:p>
        </w:tc>
        <w:tc>
          <w:tcPr>
            <w:tcW w:w="4536" w:type="dxa"/>
          </w:tcPr>
          <w:p w:rsidR="003D1E41" w:rsidRPr="0084450C" w:rsidRDefault="003D1E41" w:rsidP="00E965BD">
            <w:pPr>
              <w:pStyle w:val="TableText0"/>
            </w:pPr>
            <w:r w:rsidRPr="0084450C">
              <w:t>NR</w:t>
            </w:r>
          </w:p>
        </w:tc>
        <w:tc>
          <w:tcPr>
            <w:tcW w:w="2269" w:type="dxa"/>
          </w:tcPr>
          <w:p w:rsidR="003D1E41" w:rsidRPr="0084450C" w:rsidRDefault="003D1E41" w:rsidP="00E965BD">
            <w:pPr>
              <w:pStyle w:val="TableText0"/>
            </w:pPr>
            <w:r w:rsidRPr="0084450C">
              <w:t>NR</w:t>
            </w:r>
          </w:p>
        </w:tc>
      </w:tr>
      <w:tr w:rsidR="003D1E41" w:rsidRPr="006E6217" w:rsidTr="00E965BD">
        <w:tc>
          <w:tcPr>
            <w:tcW w:w="4503" w:type="dxa"/>
          </w:tcPr>
          <w:p w:rsidR="003D1E41" w:rsidRPr="0084450C" w:rsidRDefault="003D1E41" w:rsidP="00184B6F">
            <w:pPr>
              <w:pStyle w:val="TableText0"/>
            </w:pPr>
            <w:r w:rsidRPr="0084450C">
              <w:t xml:space="preserve">Dutch duel health insurance system </w:t>
            </w:r>
            <w:r w:rsidR="00A130D0">
              <w:rPr>
                <w:noProof/>
              </w:rPr>
              <w:t>(</w:t>
            </w:r>
            <w:r w:rsidR="00184B6F">
              <w:rPr>
                <w:noProof/>
              </w:rPr>
              <w:t>Garau &amp; Mestre-Ferrandiz 2009</w:t>
            </w:r>
            <w:r w:rsidR="00A130D0">
              <w:rPr>
                <w:noProof/>
              </w:rPr>
              <w:t>)</w:t>
            </w:r>
          </w:p>
        </w:tc>
        <w:tc>
          <w:tcPr>
            <w:tcW w:w="2976" w:type="dxa"/>
          </w:tcPr>
          <w:p w:rsidR="003D1E41" w:rsidRPr="0084450C" w:rsidRDefault="003D1E41" w:rsidP="00E965BD">
            <w:pPr>
              <w:pStyle w:val="TableText0"/>
            </w:pPr>
            <w:r w:rsidRPr="0084450C">
              <w:t>Non-hospital treatments: NR</w:t>
            </w:r>
          </w:p>
          <w:p w:rsidR="003D1E41" w:rsidRPr="0084450C" w:rsidRDefault="003D1E41" w:rsidP="00E965BD">
            <w:pPr>
              <w:pStyle w:val="TableText0"/>
            </w:pPr>
            <w:r w:rsidRPr="0084450C">
              <w:rPr>
                <w:u w:val="single"/>
              </w:rPr>
              <w:t xml:space="preserve">Hospital treatments </w:t>
            </w:r>
            <w:r w:rsidRPr="0084450C">
              <w:t>(Policy rule on orphan drugs): Yes</w:t>
            </w:r>
          </w:p>
        </w:tc>
        <w:tc>
          <w:tcPr>
            <w:tcW w:w="4536" w:type="dxa"/>
          </w:tcPr>
          <w:p w:rsidR="003D1E41" w:rsidRPr="0084450C" w:rsidRDefault="003D1E41" w:rsidP="00E965BD">
            <w:pPr>
              <w:pStyle w:val="TableText0"/>
            </w:pPr>
            <w:r w:rsidRPr="0084450C">
              <w:rPr>
                <w:u w:val="single"/>
              </w:rPr>
              <w:t xml:space="preserve">Hospital treatments </w:t>
            </w:r>
            <w:r w:rsidRPr="0084450C">
              <w:t>(Policy rule on orphan drugs): after a maximum of 3 years, the CVZ reappraises the evidence that has been collected and on this basis it reviews its decisions on the product listing.</w:t>
            </w:r>
          </w:p>
        </w:tc>
        <w:tc>
          <w:tcPr>
            <w:tcW w:w="2269" w:type="dxa"/>
          </w:tcPr>
          <w:p w:rsidR="003D1E41" w:rsidRPr="0084450C" w:rsidRDefault="003D1E41" w:rsidP="00E965BD">
            <w:pPr>
              <w:pStyle w:val="TableText0"/>
            </w:pPr>
            <w:r w:rsidRPr="0084450C">
              <w:t>NR</w:t>
            </w:r>
          </w:p>
        </w:tc>
      </w:tr>
      <w:tr w:rsidR="003D1E41" w:rsidRPr="006E6217" w:rsidTr="00E965BD">
        <w:tc>
          <w:tcPr>
            <w:tcW w:w="4503" w:type="dxa"/>
          </w:tcPr>
          <w:p w:rsidR="003D1E41" w:rsidRPr="0084450C" w:rsidRDefault="003D1E41" w:rsidP="00E965BD">
            <w:pPr>
              <w:pStyle w:val="TableText0"/>
            </w:pPr>
            <w:r w:rsidRPr="0084450C">
              <w:t>Swedish National Health Service</w:t>
            </w:r>
          </w:p>
        </w:tc>
        <w:tc>
          <w:tcPr>
            <w:tcW w:w="2976" w:type="dxa"/>
          </w:tcPr>
          <w:p w:rsidR="003D1E41" w:rsidRPr="0084450C" w:rsidRDefault="003D1E41" w:rsidP="00E965BD">
            <w:pPr>
              <w:pStyle w:val="TableText0"/>
            </w:pPr>
            <w:r w:rsidRPr="0084450C">
              <w:t>NR</w:t>
            </w:r>
          </w:p>
        </w:tc>
        <w:tc>
          <w:tcPr>
            <w:tcW w:w="4536" w:type="dxa"/>
          </w:tcPr>
          <w:p w:rsidR="003D1E41" w:rsidRPr="0084450C" w:rsidRDefault="003D1E41" w:rsidP="00E965BD">
            <w:pPr>
              <w:pStyle w:val="TableText0"/>
            </w:pPr>
            <w:r w:rsidRPr="0084450C">
              <w:t>NR</w:t>
            </w:r>
          </w:p>
        </w:tc>
        <w:tc>
          <w:tcPr>
            <w:tcW w:w="2269" w:type="dxa"/>
          </w:tcPr>
          <w:p w:rsidR="003D1E41" w:rsidRPr="0084450C" w:rsidRDefault="003D1E41" w:rsidP="00E965BD">
            <w:pPr>
              <w:pStyle w:val="TableText0"/>
            </w:pPr>
            <w:r w:rsidRPr="0084450C">
              <w:t>NR</w:t>
            </w:r>
          </w:p>
        </w:tc>
      </w:tr>
      <w:tr w:rsidR="003D1E41" w:rsidRPr="006E6217" w:rsidTr="00E965BD">
        <w:tc>
          <w:tcPr>
            <w:tcW w:w="4503" w:type="dxa"/>
          </w:tcPr>
          <w:p w:rsidR="003D1E41" w:rsidRPr="0084450C" w:rsidRDefault="003D1E41" w:rsidP="00E965BD">
            <w:pPr>
              <w:pStyle w:val="TableText0"/>
            </w:pPr>
            <w:r w:rsidRPr="0084450C">
              <w:t>Spanish National Health Service</w:t>
            </w:r>
          </w:p>
        </w:tc>
        <w:tc>
          <w:tcPr>
            <w:tcW w:w="2976" w:type="dxa"/>
          </w:tcPr>
          <w:p w:rsidR="003D1E41" w:rsidRPr="0084450C" w:rsidRDefault="003D1E41" w:rsidP="00E965BD">
            <w:pPr>
              <w:pStyle w:val="TableText0"/>
            </w:pPr>
            <w:r w:rsidRPr="0084450C">
              <w:t>NR</w:t>
            </w:r>
          </w:p>
        </w:tc>
        <w:tc>
          <w:tcPr>
            <w:tcW w:w="4536" w:type="dxa"/>
          </w:tcPr>
          <w:p w:rsidR="003D1E41" w:rsidRPr="0084450C" w:rsidRDefault="003D1E41" w:rsidP="00E965BD">
            <w:pPr>
              <w:pStyle w:val="TableText0"/>
            </w:pPr>
            <w:r w:rsidRPr="0084450C">
              <w:t>NR</w:t>
            </w:r>
          </w:p>
        </w:tc>
        <w:tc>
          <w:tcPr>
            <w:tcW w:w="2269" w:type="dxa"/>
          </w:tcPr>
          <w:p w:rsidR="003D1E41" w:rsidRPr="0084450C" w:rsidRDefault="003D1E41" w:rsidP="00E965BD">
            <w:pPr>
              <w:pStyle w:val="TableText0"/>
            </w:pPr>
            <w:r w:rsidRPr="0084450C">
              <w:t>NR</w:t>
            </w:r>
          </w:p>
        </w:tc>
      </w:tr>
      <w:tr w:rsidR="003D1E41" w:rsidRPr="006E6217" w:rsidTr="00E965BD">
        <w:tc>
          <w:tcPr>
            <w:tcW w:w="4503" w:type="dxa"/>
          </w:tcPr>
          <w:p w:rsidR="003D1E41" w:rsidRPr="0084450C" w:rsidRDefault="003D1E41" w:rsidP="00E965BD">
            <w:pPr>
              <w:pStyle w:val="TableText0"/>
            </w:pPr>
            <w:r w:rsidRPr="0084450C">
              <w:t xml:space="preserve">Italian National Health Service </w:t>
            </w:r>
          </w:p>
        </w:tc>
        <w:tc>
          <w:tcPr>
            <w:tcW w:w="2976" w:type="dxa"/>
          </w:tcPr>
          <w:p w:rsidR="003D1E41" w:rsidRPr="0084450C" w:rsidRDefault="003D1E41" w:rsidP="00E965BD">
            <w:pPr>
              <w:pStyle w:val="TableText0"/>
            </w:pPr>
            <w:r w:rsidRPr="0084450C">
              <w:t>NR</w:t>
            </w:r>
          </w:p>
        </w:tc>
        <w:tc>
          <w:tcPr>
            <w:tcW w:w="4536" w:type="dxa"/>
          </w:tcPr>
          <w:p w:rsidR="003D1E41" w:rsidRPr="0084450C" w:rsidRDefault="003D1E41" w:rsidP="00E965BD">
            <w:pPr>
              <w:pStyle w:val="TableText0"/>
            </w:pPr>
            <w:r w:rsidRPr="0084450C">
              <w:t>NR</w:t>
            </w:r>
          </w:p>
        </w:tc>
        <w:tc>
          <w:tcPr>
            <w:tcW w:w="2269" w:type="dxa"/>
          </w:tcPr>
          <w:p w:rsidR="003D1E41" w:rsidRPr="0084450C" w:rsidRDefault="003D1E41" w:rsidP="00E965BD">
            <w:pPr>
              <w:pStyle w:val="TableText0"/>
            </w:pPr>
            <w:r w:rsidRPr="0084450C">
              <w:t>NR</w:t>
            </w:r>
          </w:p>
        </w:tc>
      </w:tr>
      <w:tr w:rsidR="003D1E41" w:rsidRPr="006E6217" w:rsidTr="00E965BD">
        <w:tc>
          <w:tcPr>
            <w:tcW w:w="4503" w:type="dxa"/>
          </w:tcPr>
          <w:p w:rsidR="003D1E41" w:rsidRPr="0084450C" w:rsidRDefault="003D1E41" w:rsidP="00E965BD">
            <w:pPr>
              <w:pStyle w:val="TableText0"/>
            </w:pPr>
            <w:r w:rsidRPr="0084450C">
              <w:t>German Statutory Health Insurance</w:t>
            </w:r>
          </w:p>
        </w:tc>
        <w:tc>
          <w:tcPr>
            <w:tcW w:w="2976" w:type="dxa"/>
          </w:tcPr>
          <w:p w:rsidR="003D1E41" w:rsidRPr="0084450C" w:rsidRDefault="003D1E41" w:rsidP="00E965BD">
            <w:pPr>
              <w:pStyle w:val="TableText0"/>
            </w:pPr>
            <w:r w:rsidRPr="0084450C">
              <w:t>NR</w:t>
            </w:r>
          </w:p>
        </w:tc>
        <w:tc>
          <w:tcPr>
            <w:tcW w:w="4536" w:type="dxa"/>
          </w:tcPr>
          <w:p w:rsidR="003D1E41" w:rsidRPr="0084450C" w:rsidRDefault="003D1E41" w:rsidP="00E965BD">
            <w:pPr>
              <w:pStyle w:val="TableText0"/>
            </w:pPr>
            <w:r w:rsidRPr="0084450C">
              <w:t>NR</w:t>
            </w:r>
          </w:p>
        </w:tc>
        <w:tc>
          <w:tcPr>
            <w:tcW w:w="2269" w:type="dxa"/>
          </w:tcPr>
          <w:p w:rsidR="003D1E41" w:rsidRPr="0084450C" w:rsidRDefault="003D1E41" w:rsidP="00E965BD">
            <w:pPr>
              <w:pStyle w:val="TableText0"/>
            </w:pPr>
            <w:r w:rsidRPr="0084450C">
              <w:t>NR</w:t>
            </w:r>
          </w:p>
        </w:tc>
      </w:tr>
      <w:tr w:rsidR="003D1E41" w:rsidRPr="006E6217" w:rsidTr="00E965BD">
        <w:tc>
          <w:tcPr>
            <w:tcW w:w="4503" w:type="dxa"/>
          </w:tcPr>
          <w:p w:rsidR="003D1E41" w:rsidRPr="0084450C" w:rsidRDefault="003D1E41" w:rsidP="00184B6F">
            <w:pPr>
              <w:pStyle w:val="TableText0"/>
            </w:pPr>
            <w:r w:rsidRPr="0084450C">
              <w:t xml:space="preserve">French National Health Insurance </w:t>
            </w:r>
            <w:r w:rsidR="00A130D0">
              <w:rPr>
                <w:noProof/>
              </w:rPr>
              <w:t>(</w:t>
            </w:r>
            <w:r w:rsidR="00184B6F">
              <w:rPr>
                <w:noProof/>
              </w:rPr>
              <w:t>ISPOR 2009b</w:t>
            </w:r>
            <w:r w:rsidR="00A130D0">
              <w:rPr>
                <w:noProof/>
              </w:rPr>
              <w:t>)</w:t>
            </w:r>
          </w:p>
        </w:tc>
        <w:tc>
          <w:tcPr>
            <w:tcW w:w="2976" w:type="dxa"/>
          </w:tcPr>
          <w:p w:rsidR="003D1E41" w:rsidRPr="0084450C" w:rsidRDefault="003D1E41" w:rsidP="00E965BD">
            <w:pPr>
              <w:pStyle w:val="TableText0"/>
            </w:pPr>
            <w:r w:rsidRPr="0084450C">
              <w:t xml:space="preserve">Yes (for all drugs). </w:t>
            </w:r>
          </w:p>
        </w:tc>
        <w:tc>
          <w:tcPr>
            <w:tcW w:w="4536" w:type="dxa"/>
          </w:tcPr>
          <w:p w:rsidR="003D1E41" w:rsidRPr="0084450C" w:rsidRDefault="003D1E41" w:rsidP="00E965BD">
            <w:pPr>
              <w:pStyle w:val="TableText0"/>
            </w:pPr>
            <w:r w:rsidRPr="0084450C">
              <w:t>The registration on the reimbursable list is valid during 5 years. At the end of this period, the Commission d’Evaluation des Médicaments re-evaluates the SMR and ASMR level and the price can be reviewed by the CEPS accordingly.</w:t>
            </w:r>
          </w:p>
        </w:tc>
        <w:tc>
          <w:tcPr>
            <w:tcW w:w="2269" w:type="dxa"/>
          </w:tcPr>
          <w:p w:rsidR="003D1E41" w:rsidRPr="0084450C" w:rsidRDefault="003D1E41" w:rsidP="00E965BD">
            <w:pPr>
              <w:pStyle w:val="TableText0"/>
            </w:pPr>
            <w:r w:rsidRPr="0084450C">
              <w:t>NR</w:t>
            </w:r>
          </w:p>
        </w:tc>
      </w:tr>
      <w:tr w:rsidR="003D1E41" w:rsidRPr="006E6217" w:rsidTr="00E965BD">
        <w:tc>
          <w:tcPr>
            <w:tcW w:w="4503" w:type="dxa"/>
          </w:tcPr>
          <w:p w:rsidR="003D1E41" w:rsidRPr="0084450C" w:rsidRDefault="003D1E41" w:rsidP="00184B6F">
            <w:pPr>
              <w:pStyle w:val="TableText0"/>
            </w:pPr>
            <w:r w:rsidRPr="0084450C">
              <w:t xml:space="preserve">National Health Service (NHS), England and Wales </w:t>
            </w:r>
            <w:r w:rsidR="00A130D0">
              <w:rPr>
                <w:noProof/>
              </w:rPr>
              <w:t>(</w:t>
            </w:r>
            <w:r w:rsidR="00184B6F">
              <w:rPr>
                <w:noProof/>
              </w:rPr>
              <w:t xml:space="preserve">Canadian Agency for Drugs and Technologies in Health </w:t>
            </w:r>
            <w:r w:rsidR="00184B6F">
              <w:rPr>
                <w:noProof/>
              </w:rPr>
              <w:lastRenderedPageBreak/>
              <w:t>2013</w:t>
            </w:r>
            <w:r w:rsidR="00A130D0">
              <w:rPr>
                <w:noProof/>
              </w:rPr>
              <w:t>)</w:t>
            </w:r>
          </w:p>
        </w:tc>
        <w:tc>
          <w:tcPr>
            <w:tcW w:w="2976" w:type="dxa"/>
          </w:tcPr>
          <w:p w:rsidR="003D1E41" w:rsidRPr="0084450C" w:rsidRDefault="003D1E41" w:rsidP="00E965BD">
            <w:pPr>
              <w:pStyle w:val="TableText0"/>
            </w:pPr>
            <w:r w:rsidRPr="0084450C">
              <w:lastRenderedPageBreak/>
              <w:t>Yes (for the AGNSS)</w:t>
            </w:r>
          </w:p>
          <w:p w:rsidR="003D1E41" w:rsidRPr="0084450C" w:rsidRDefault="003D1E41" w:rsidP="00E965BD">
            <w:pPr>
              <w:pStyle w:val="TableText0"/>
            </w:pPr>
            <w:r w:rsidRPr="0084450C">
              <w:t xml:space="preserve">NR (for the Highly Specialised </w:t>
            </w:r>
            <w:r w:rsidRPr="0084450C">
              <w:lastRenderedPageBreak/>
              <w:t>Technologies Programme)</w:t>
            </w:r>
          </w:p>
        </w:tc>
        <w:tc>
          <w:tcPr>
            <w:tcW w:w="4536" w:type="dxa"/>
          </w:tcPr>
          <w:p w:rsidR="003D1E41" w:rsidRPr="0084450C" w:rsidRDefault="003D1E41" w:rsidP="00E965BD">
            <w:pPr>
              <w:pStyle w:val="TableText0"/>
            </w:pPr>
            <w:r w:rsidRPr="0084450C">
              <w:lastRenderedPageBreak/>
              <w:t xml:space="preserve">Given the difficulty of collecting data for ‘ultra-orphan’ and rare disorders, AGNSS assumes further data collection will </w:t>
            </w:r>
            <w:r w:rsidRPr="0084450C">
              <w:lastRenderedPageBreak/>
              <w:t>occur in the 5 years after recommendation, and assesses the ability of the applicant to do this (unknown for the Highly Specialised Technologies Programme).</w:t>
            </w:r>
          </w:p>
        </w:tc>
        <w:tc>
          <w:tcPr>
            <w:tcW w:w="2269" w:type="dxa"/>
          </w:tcPr>
          <w:p w:rsidR="003D1E41" w:rsidRPr="0084450C" w:rsidRDefault="003D1E41" w:rsidP="00E965BD">
            <w:pPr>
              <w:pStyle w:val="TableText0"/>
            </w:pPr>
            <w:r w:rsidRPr="0084450C">
              <w:lastRenderedPageBreak/>
              <w:t>NR</w:t>
            </w:r>
          </w:p>
        </w:tc>
      </w:tr>
      <w:tr w:rsidR="003D1E41" w:rsidRPr="006E6217" w:rsidTr="00E965BD">
        <w:tc>
          <w:tcPr>
            <w:tcW w:w="4503" w:type="dxa"/>
          </w:tcPr>
          <w:p w:rsidR="003D1E41" w:rsidRPr="0084450C" w:rsidRDefault="003D1E41" w:rsidP="00E965BD">
            <w:pPr>
              <w:pStyle w:val="TableText0"/>
            </w:pPr>
            <w:r w:rsidRPr="0084450C">
              <w:lastRenderedPageBreak/>
              <w:t>NHS, Scotland</w:t>
            </w:r>
          </w:p>
        </w:tc>
        <w:tc>
          <w:tcPr>
            <w:tcW w:w="2976" w:type="dxa"/>
          </w:tcPr>
          <w:p w:rsidR="003D1E41" w:rsidRPr="0084450C" w:rsidRDefault="003D1E41" w:rsidP="00E965BD">
            <w:pPr>
              <w:pStyle w:val="TableText0"/>
            </w:pPr>
            <w:r w:rsidRPr="0084450C">
              <w:t>NR</w:t>
            </w:r>
          </w:p>
        </w:tc>
        <w:tc>
          <w:tcPr>
            <w:tcW w:w="4536" w:type="dxa"/>
          </w:tcPr>
          <w:p w:rsidR="003D1E41" w:rsidRPr="0084450C" w:rsidRDefault="003D1E41" w:rsidP="00E965BD">
            <w:pPr>
              <w:pStyle w:val="TableText0"/>
            </w:pPr>
            <w:r w:rsidRPr="0084450C">
              <w:t>NR</w:t>
            </w:r>
          </w:p>
        </w:tc>
        <w:tc>
          <w:tcPr>
            <w:tcW w:w="2269" w:type="dxa"/>
          </w:tcPr>
          <w:p w:rsidR="003D1E41" w:rsidRPr="0084450C" w:rsidRDefault="003D1E41" w:rsidP="00E965BD">
            <w:pPr>
              <w:pStyle w:val="TableText0"/>
            </w:pPr>
            <w:r w:rsidRPr="0084450C">
              <w:t>NR</w:t>
            </w:r>
          </w:p>
        </w:tc>
      </w:tr>
      <w:tr w:rsidR="003D1E41" w:rsidRPr="006E6217" w:rsidTr="00E965BD">
        <w:tc>
          <w:tcPr>
            <w:tcW w:w="4503" w:type="dxa"/>
          </w:tcPr>
          <w:p w:rsidR="003D1E41" w:rsidRPr="0084450C" w:rsidRDefault="003D1E41" w:rsidP="00E965BD">
            <w:pPr>
              <w:pStyle w:val="TableText0"/>
            </w:pPr>
            <w:r w:rsidRPr="0084450C">
              <w:t>Ontario health authority</w:t>
            </w:r>
          </w:p>
        </w:tc>
        <w:tc>
          <w:tcPr>
            <w:tcW w:w="2976" w:type="dxa"/>
          </w:tcPr>
          <w:p w:rsidR="003D1E41" w:rsidRPr="0084450C" w:rsidRDefault="003D1E41" w:rsidP="00E965BD">
            <w:pPr>
              <w:pStyle w:val="TableText0"/>
            </w:pPr>
            <w:r w:rsidRPr="0084450C">
              <w:t>NR</w:t>
            </w:r>
          </w:p>
        </w:tc>
        <w:tc>
          <w:tcPr>
            <w:tcW w:w="4536" w:type="dxa"/>
          </w:tcPr>
          <w:p w:rsidR="003D1E41" w:rsidRPr="0084450C" w:rsidRDefault="003D1E41" w:rsidP="00E965BD">
            <w:pPr>
              <w:pStyle w:val="TableText0"/>
            </w:pPr>
            <w:r w:rsidRPr="0084450C">
              <w:t>NR</w:t>
            </w:r>
          </w:p>
        </w:tc>
        <w:tc>
          <w:tcPr>
            <w:tcW w:w="2269" w:type="dxa"/>
          </w:tcPr>
          <w:p w:rsidR="003D1E41" w:rsidRPr="0084450C" w:rsidRDefault="003D1E41" w:rsidP="00E965BD">
            <w:pPr>
              <w:pStyle w:val="TableText0"/>
            </w:pPr>
            <w:r w:rsidRPr="0084450C">
              <w:t>NR</w:t>
            </w:r>
          </w:p>
        </w:tc>
      </w:tr>
      <w:tr w:rsidR="003D1E41" w:rsidRPr="006E6217" w:rsidTr="00E965BD">
        <w:tc>
          <w:tcPr>
            <w:tcW w:w="4503" w:type="dxa"/>
          </w:tcPr>
          <w:p w:rsidR="003D1E41" w:rsidRPr="0084450C" w:rsidRDefault="003D1E41" w:rsidP="00E965BD">
            <w:pPr>
              <w:pStyle w:val="TableText0"/>
            </w:pPr>
            <w:r w:rsidRPr="0084450C">
              <w:t>Alberta health authority (Rare Disease Drug Program)</w:t>
            </w:r>
          </w:p>
          <w:p w:rsidR="003D1E41" w:rsidRPr="0084450C" w:rsidRDefault="00A130D0" w:rsidP="00184B6F">
            <w:pPr>
              <w:pStyle w:val="TableText0"/>
            </w:pPr>
            <w:r>
              <w:rPr>
                <w:noProof/>
              </w:rPr>
              <w:t>(</w:t>
            </w:r>
            <w:r w:rsidR="00184B6F">
              <w:rPr>
                <w:noProof/>
              </w:rPr>
              <w:t>Canadian Agency for Drugs and Technologies in Health 2013</w:t>
            </w:r>
            <w:r>
              <w:rPr>
                <w:noProof/>
              </w:rPr>
              <w:t>)</w:t>
            </w:r>
          </w:p>
        </w:tc>
        <w:tc>
          <w:tcPr>
            <w:tcW w:w="2976" w:type="dxa"/>
          </w:tcPr>
          <w:p w:rsidR="003D1E41" w:rsidRPr="0084450C" w:rsidRDefault="003D1E41" w:rsidP="00E965BD">
            <w:pPr>
              <w:pStyle w:val="TableText0"/>
            </w:pPr>
            <w:r w:rsidRPr="0084450C">
              <w:t>Yes</w:t>
            </w:r>
          </w:p>
        </w:tc>
        <w:tc>
          <w:tcPr>
            <w:tcW w:w="4536" w:type="dxa"/>
          </w:tcPr>
          <w:p w:rsidR="003D1E41" w:rsidRPr="0084450C" w:rsidRDefault="003D1E41" w:rsidP="00E965BD">
            <w:pPr>
              <w:pStyle w:val="TableText0"/>
            </w:pPr>
            <w:r w:rsidRPr="0084450C">
              <w:t>Ongoing reimbursement of pharmaceutical for individual patients based on clinical response.</w:t>
            </w:r>
          </w:p>
        </w:tc>
        <w:tc>
          <w:tcPr>
            <w:tcW w:w="2269" w:type="dxa"/>
          </w:tcPr>
          <w:p w:rsidR="003D1E41" w:rsidRPr="0084450C" w:rsidRDefault="003D1E41" w:rsidP="00E965BD">
            <w:pPr>
              <w:pStyle w:val="TableText0"/>
            </w:pPr>
            <w:r w:rsidRPr="0084450C">
              <w:t>NR</w:t>
            </w:r>
          </w:p>
        </w:tc>
      </w:tr>
      <w:tr w:rsidR="003D1E41" w:rsidRPr="006E6217" w:rsidTr="00E965BD">
        <w:tc>
          <w:tcPr>
            <w:tcW w:w="4503" w:type="dxa"/>
          </w:tcPr>
          <w:p w:rsidR="003D1E41" w:rsidRPr="0084450C" w:rsidRDefault="003D1E41" w:rsidP="00E965BD">
            <w:pPr>
              <w:pStyle w:val="TableText0"/>
            </w:pPr>
            <w:r w:rsidRPr="0084450C">
              <w:t xml:space="preserve">Alberta health authority (Short Term Exceptional Drug Therapy) </w:t>
            </w:r>
          </w:p>
        </w:tc>
        <w:tc>
          <w:tcPr>
            <w:tcW w:w="2976" w:type="dxa"/>
          </w:tcPr>
          <w:p w:rsidR="003D1E41" w:rsidRPr="0084450C" w:rsidRDefault="003D1E41" w:rsidP="00E965BD">
            <w:pPr>
              <w:pStyle w:val="TableText0"/>
            </w:pPr>
            <w:r w:rsidRPr="0084450C">
              <w:t>NR</w:t>
            </w:r>
          </w:p>
        </w:tc>
        <w:tc>
          <w:tcPr>
            <w:tcW w:w="4536" w:type="dxa"/>
          </w:tcPr>
          <w:p w:rsidR="003D1E41" w:rsidRPr="0084450C" w:rsidRDefault="003D1E41" w:rsidP="00E965BD">
            <w:pPr>
              <w:pStyle w:val="TableText0"/>
            </w:pPr>
            <w:r w:rsidRPr="0084450C">
              <w:t>NR</w:t>
            </w:r>
          </w:p>
        </w:tc>
        <w:tc>
          <w:tcPr>
            <w:tcW w:w="2269" w:type="dxa"/>
          </w:tcPr>
          <w:p w:rsidR="003D1E41" w:rsidRPr="0084450C" w:rsidRDefault="003D1E41" w:rsidP="00E965BD">
            <w:pPr>
              <w:pStyle w:val="TableText0"/>
            </w:pPr>
            <w:r w:rsidRPr="0084450C">
              <w:t>NR</w:t>
            </w:r>
          </w:p>
        </w:tc>
      </w:tr>
      <w:tr w:rsidR="003D1E41" w:rsidRPr="006E6217" w:rsidTr="00E965BD">
        <w:tc>
          <w:tcPr>
            <w:tcW w:w="4503" w:type="dxa"/>
          </w:tcPr>
          <w:p w:rsidR="003D1E41" w:rsidRPr="0084450C" w:rsidRDefault="003D1E41" w:rsidP="00E965BD">
            <w:pPr>
              <w:pStyle w:val="TableText0"/>
            </w:pPr>
            <w:r w:rsidRPr="0084450C">
              <w:t>Japanese statutory health insurance</w:t>
            </w:r>
          </w:p>
        </w:tc>
        <w:tc>
          <w:tcPr>
            <w:tcW w:w="2976" w:type="dxa"/>
          </w:tcPr>
          <w:p w:rsidR="003D1E41" w:rsidRPr="0084450C" w:rsidRDefault="003D1E41" w:rsidP="00E965BD">
            <w:pPr>
              <w:pStyle w:val="TableText0"/>
            </w:pPr>
            <w:r w:rsidRPr="0084450C">
              <w:t>NR</w:t>
            </w:r>
          </w:p>
        </w:tc>
        <w:tc>
          <w:tcPr>
            <w:tcW w:w="4536" w:type="dxa"/>
          </w:tcPr>
          <w:p w:rsidR="003D1E41" w:rsidRPr="0084450C" w:rsidRDefault="003D1E41" w:rsidP="00E965BD">
            <w:pPr>
              <w:pStyle w:val="TableText0"/>
            </w:pPr>
            <w:r w:rsidRPr="0084450C">
              <w:t>NR</w:t>
            </w:r>
          </w:p>
        </w:tc>
        <w:tc>
          <w:tcPr>
            <w:tcW w:w="2269" w:type="dxa"/>
          </w:tcPr>
          <w:p w:rsidR="003D1E41" w:rsidRPr="0084450C" w:rsidRDefault="003D1E41" w:rsidP="00E965BD">
            <w:pPr>
              <w:pStyle w:val="TableText0"/>
              <w:rPr>
                <w:i/>
              </w:rPr>
            </w:pPr>
            <w:r w:rsidRPr="0084450C">
              <w:t>NR</w:t>
            </w:r>
          </w:p>
        </w:tc>
      </w:tr>
      <w:tr w:rsidR="003D1E41" w:rsidRPr="006E6217" w:rsidTr="00E965BD">
        <w:tc>
          <w:tcPr>
            <w:tcW w:w="4503" w:type="dxa"/>
          </w:tcPr>
          <w:p w:rsidR="003D1E41" w:rsidRPr="0084450C" w:rsidRDefault="003D1E41" w:rsidP="00184B6F">
            <w:pPr>
              <w:pStyle w:val="TableText0"/>
            </w:pPr>
            <w:r w:rsidRPr="0084450C">
              <w:t xml:space="preserve">South Korea National Health Insurance </w:t>
            </w:r>
            <w:r w:rsidR="00A130D0">
              <w:rPr>
                <w:noProof/>
              </w:rPr>
              <w:t>(</w:t>
            </w:r>
            <w:r w:rsidR="00184B6F">
              <w:rPr>
                <w:noProof/>
              </w:rPr>
              <w:t>Soo 2014</w:t>
            </w:r>
            <w:r w:rsidR="00A130D0">
              <w:rPr>
                <w:noProof/>
              </w:rPr>
              <w:t>)</w:t>
            </w:r>
          </w:p>
        </w:tc>
        <w:tc>
          <w:tcPr>
            <w:tcW w:w="2976" w:type="dxa"/>
          </w:tcPr>
          <w:p w:rsidR="003D1E41" w:rsidRPr="0084450C" w:rsidRDefault="003D1E41" w:rsidP="00E965BD">
            <w:pPr>
              <w:pStyle w:val="TableText0"/>
            </w:pPr>
            <w:r w:rsidRPr="0084450C">
              <w:t>NR</w:t>
            </w:r>
          </w:p>
        </w:tc>
        <w:tc>
          <w:tcPr>
            <w:tcW w:w="4536" w:type="dxa"/>
          </w:tcPr>
          <w:p w:rsidR="003D1E41" w:rsidRPr="0084450C" w:rsidRDefault="003D1E41" w:rsidP="00E965BD">
            <w:pPr>
              <w:pStyle w:val="TableText0"/>
            </w:pPr>
            <w:r w:rsidRPr="0084450C">
              <w:t>NR</w:t>
            </w:r>
          </w:p>
        </w:tc>
        <w:tc>
          <w:tcPr>
            <w:tcW w:w="2269" w:type="dxa"/>
          </w:tcPr>
          <w:p w:rsidR="003D1E41" w:rsidRPr="0084450C" w:rsidRDefault="003D1E41" w:rsidP="00E965BD">
            <w:pPr>
              <w:pStyle w:val="TableText0"/>
              <w:rPr>
                <w:i/>
              </w:rPr>
            </w:pPr>
            <w:r w:rsidRPr="0084450C">
              <w:rPr>
                <w:i/>
              </w:rPr>
              <w:t>Ad hoc</w:t>
            </w:r>
          </w:p>
        </w:tc>
      </w:tr>
      <w:tr w:rsidR="003D1E41" w:rsidRPr="006E6217" w:rsidTr="00E965BD">
        <w:tc>
          <w:tcPr>
            <w:tcW w:w="4503" w:type="dxa"/>
          </w:tcPr>
          <w:p w:rsidR="003D1E41" w:rsidRPr="0084450C" w:rsidRDefault="003D1E41" w:rsidP="00E965BD">
            <w:pPr>
              <w:pStyle w:val="TableText0"/>
            </w:pPr>
            <w:r w:rsidRPr="0084450C">
              <w:t>Chinese medical insurance system</w:t>
            </w:r>
          </w:p>
        </w:tc>
        <w:tc>
          <w:tcPr>
            <w:tcW w:w="2976" w:type="dxa"/>
          </w:tcPr>
          <w:p w:rsidR="003D1E41" w:rsidRPr="0084450C" w:rsidRDefault="003D1E41" w:rsidP="00E965BD">
            <w:pPr>
              <w:pStyle w:val="TableText0"/>
            </w:pPr>
            <w:r w:rsidRPr="0084450C">
              <w:t>NR</w:t>
            </w:r>
          </w:p>
        </w:tc>
        <w:tc>
          <w:tcPr>
            <w:tcW w:w="4536" w:type="dxa"/>
          </w:tcPr>
          <w:p w:rsidR="003D1E41" w:rsidRPr="0084450C" w:rsidRDefault="003D1E41" w:rsidP="00E965BD">
            <w:pPr>
              <w:pStyle w:val="TableText0"/>
            </w:pPr>
            <w:r w:rsidRPr="0084450C">
              <w:t>NR</w:t>
            </w:r>
          </w:p>
        </w:tc>
        <w:tc>
          <w:tcPr>
            <w:tcW w:w="2269" w:type="dxa"/>
          </w:tcPr>
          <w:p w:rsidR="003D1E41" w:rsidRPr="0084450C" w:rsidRDefault="003D1E41" w:rsidP="00E965BD">
            <w:pPr>
              <w:pStyle w:val="TableText0"/>
              <w:rPr>
                <w:i/>
              </w:rPr>
            </w:pPr>
            <w:r w:rsidRPr="0084450C">
              <w:t>NR</w:t>
            </w:r>
          </w:p>
        </w:tc>
      </w:tr>
    </w:tbl>
    <w:p w:rsidR="00266168" w:rsidRDefault="00266168" w:rsidP="00266168">
      <w:pPr>
        <w:pStyle w:val="TableNote"/>
      </w:pPr>
      <w:r>
        <w:rPr>
          <w:lang w:val="fr-FR"/>
        </w:rPr>
        <w:t xml:space="preserve">AGNSS </w:t>
      </w:r>
      <w:r w:rsidR="00652355" w:rsidRPr="00652355">
        <w:rPr>
          <w:spacing w:val="-20"/>
          <w:lang w:val="fr-FR"/>
        </w:rPr>
        <w:t xml:space="preserve"> = </w:t>
      </w:r>
      <w:r>
        <w:rPr>
          <w:lang w:val="fr-FR"/>
        </w:rPr>
        <w:t xml:space="preserve"> Advisory group for National Specialised Services ; ASMR </w:t>
      </w:r>
      <w:r w:rsidR="00652355" w:rsidRPr="00652355">
        <w:rPr>
          <w:spacing w:val="-20"/>
          <w:lang w:val="fr-FR"/>
        </w:rPr>
        <w:t xml:space="preserve"> = </w:t>
      </w:r>
      <w:r>
        <w:rPr>
          <w:lang w:val="fr-FR"/>
        </w:rPr>
        <w:t xml:space="preserve"> Australian Society for Medical Research ; CEPS </w:t>
      </w:r>
      <w:r w:rsidR="00652355" w:rsidRPr="00652355">
        <w:rPr>
          <w:spacing w:val="-20"/>
          <w:lang w:val="fr-FR"/>
        </w:rPr>
        <w:t xml:space="preserve"> = </w:t>
      </w:r>
      <w:r>
        <w:rPr>
          <w:lang w:val="fr-FR"/>
        </w:rPr>
        <w:t xml:space="preserve"> </w:t>
      </w:r>
      <w:r w:rsidRPr="0084450C">
        <w:rPr>
          <w:lang w:val="fr-FR"/>
        </w:rPr>
        <w:t>Comité Economiqu</w:t>
      </w:r>
      <w:r>
        <w:rPr>
          <w:lang w:val="fr-FR"/>
        </w:rPr>
        <w:t>e des Produits de Santé ;</w:t>
      </w:r>
      <w:r>
        <w:t xml:space="preserve"> CVZ </w:t>
      </w:r>
      <w:r w:rsidR="00652355" w:rsidRPr="00652355">
        <w:rPr>
          <w:spacing w:val="-20"/>
        </w:rPr>
        <w:t xml:space="preserve"> = </w:t>
      </w:r>
      <w:r>
        <w:t xml:space="preserve"> </w:t>
      </w:r>
      <w:r w:rsidRPr="0084450C">
        <w:t>Coll</w:t>
      </w:r>
      <w:r>
        <w:t xml:space="preserve">ege voor zorgverzekeringen; DRC </w:t>
      </w:r>
      <w:r w:rsidR="00652355" w:rsidRPr="00652355">
        <w:rPr>
          <w:spacing w:val="-20"/>
        </w:rPr>
        <w:t xml:space="preserve"> = </w:t>
      </w:r>
      <w:r>
        <w:t xml:space="preserve"> Drug Research Centre; NR </w:t>
      </w:r>
      <w:r w:rsidR="00652355" w:rsidRPr="00652355">
        <w:rPr>
          <w:spacing w:val="-20"/>
        </w:rPr>
        <w:t xml:space="preserve"> = </w:t>
      </w:r>
      <w:r>
        <w:t xml:space="preserve">  not reported; SMR </w:t>
      </w:r>
      <w:r w:rsidR="00652355" w:rsidRPr="00652355">
        <w:rPr>
          <w:spacing w:val="-20"/>
        </w:rPr>
        <w:t xml:space="preserve"> = </w:t>
      </w:r>
      <w:r>
        <w:t xml:space="preserve">  </w:t>
      </w:r>
      <w:r w:rsidRPr="002654D6">
        <w:rPr>
          <w:rFonts w:cs="FuturaBT-LightItalic"/>
          <w:iCs/>
        </w:rPr>
        <w:t>Service Médical Rendu</w:t>
      </w:r>
    </w:p>
    <w:p w:rsidR="00C32D77" w:rsidRDefault="00C32D77" w:rsidP="00E965BD">
      <w:pPr>
        <w:pStyle w:val="TableNote"/>
      </w:pPr>
    </w:p>
    <w:p w:rsidR="00D45FC7" w:rsidRDefault="00D45FC7" w:rsidP="00E965BD">
      <w:pPr>
        <w:pStyle w:val="TableNote"/>
      </w:pPr>
    </w:p>
    <w:p w:rsidR="00D45FC7" w:rsidRDefault="00D45FC7" w:rsidP="00E965BD">
      <w:pPr>
        <w:pStyle w:val="TableNote"/>
        <w:sectPr w:rsidR="00D45FC7" w:rsidSect="003D1E41">
          <w:pgSz w:w="16838" w:h="11906" w:orient="landscape"/>
          <w:pgMar w:top="1440" w:right="1440" w:bottom="1440" w:left="1440" w:header="708" w:footer="708" w:gutter="0"/>
          <w:cols w:space="708"/>
          <w:docGrid w:linePitch="360"/>
        </w:sectPr>
      </w:pPr>
    </w:p>
    <w:p w:rsidR="001C7C88" w:rsidRDefault="001C7C88" w:rsidP="00855BD5">
      <w:pPr>
        <w:pStyle w:val="Heading1"/>
        <w:numPr>
          <w:ilvl w:val="0"/>
          <w:numId w:val="0"/>
        </w:numPr>
      </w:pPr>
      <w:bookmarkStart w:id="1227" w:name="_Ref405833705"/>
      <w:bookmarkStart w:id="1228" w:name="_Toc415141796"/>
      <w:bookmarkStart w:id="1229" w:name="_Ref405833632"/>
      <w:bookmarkStart w:id="1230" w:name="_Ref405367560"/>
      <w:r>
        <w:lastRenderedPageBreak/>
        <w:t xml:space="preserve">Appendix </w:t>
      </w:r>
      <w:r w:rsidR="00A72B26">
        <w:t>J</w:t>
      </w:r>
      <w:bookmarkEnd w:id="1227"/>
      <w:r>
        <w:tab/>
        <w:t>Quality assurance documentation (ToR 7)</w:t>
      </w:r>
      <w:bookmarkEnd w:id="1228"/>
    </w:p>
    <w:p w:rsidR="001C7C88" w:rsidRDefault="001C7C88" w:rsidP="00137264">
      <w:pPr>
        <w:pStyle w:val="Caption"/>
        <w:keepNext/>
        <w:tabs>
          <w:tab w:val="clear" w:pos="851"/>
          <w:tab w:val="left" w:pos="1276"/>
        </w:tabs>
      </w:pPr>
      <w:bookmarkStart w:id="1231" w:name="_Ref405841328"/>
      <w:bookmarkStart w:id="1232" w:name="_Toc411510544"/>
      <w:bookmarkStart w:id="1233" w:name="_Toc415141974"/>
      <w:r>
        <w:t xml:space="preserve">Table </w:t>
      </w:r>
      <w:r w:rsidR="00A72B26">
        <w:rPr>
          <w:noProof/>
        </w:rPr>
        <w:t>177</w:t>
      </w:r>
      <w:bookmarkEnd w:id="1229"/>
      <w:bookmarkEnd w:id="1231"/>
      <w:r w:rsidR="00137264">
        <w:rPr>
          <w:noProof/>
        </w:rPr>
        <w:tab/>
      </w:r>
      <w:r>
        <w:t>Example of quality assurance documentation</w:t>
      </w:r>
      <w:bookmarkEnd w:id="1232"/>
      <w:bookmarkEnd w:id="1233"/>
    </w:p>
    <w:tbl>
      <w:tblPr>
        <w:tblStyle w:val="TableGrid"/>
        <w:tblW w:w="5000" w:type="pct"/>
        <w:tblLook w:val="04A0" w:firstRow="1" w:lastRow="0" w:firstColumn="1" w:lastColumn="0" w:noHBand="0" w:noVBand="1"/>
        <w:tblCaption w:val="Table 139 Example of quality assurance documentation"/>
      </w:tblPr>
      <w:tblGrid>
        <w:gridCol w:w="1302"/>
        <w:gridCol w:w="1137"/>
        <w:gridCol w:w="1886"/>
        <w:gridCol w:w="1788"/>
        <w:gridCol w:w="1741"/>
        <w:gridCol w:w="1785"/>
        <w:gridCol w:w="3159"/>
        <w:gridCol w:w="1516"/>
        <w:gridCol w:w="761"/>
      </w:tblGrid>
      <w:tr w:rsidR="001C7C88" w:rsidRPr="002725A5" w:rsidTr="00F46C54">
        <w:trPr>
          <w:trHeight w:val="1134"/>
          <w:tblHeader/>
        </w:trPr>
        <w:tc>
          <w:tcPr>
            <w:tcW w:w="1302" w:type="dxa"/>
            <w:shd w:val="clear" w:color="auto" w:fill="D9D9D9" w:themeFill="background1" w:themeFillShade="D9"/>
          </w:tcPr>
          <w:p w:rsidR="001C7C88" w:rsidRPr="002725A5" w:rsidRDefault="001C7C88" w:rsidP="00A130D0">
            <w:pPr>
              <w:pStyle w:val="TableHeading"/>
            </w:pPr>
            <w:r w:rsidRPr="002725A5">
              <w:t>Date</w:t>
            </w:r>
          </w:p>
        </w:tc>
        <w:tc>
          <w:tcPr>
            <w:tcW w:w="1137" w:type="dxa"/>
            <w:shd w:val="clear" w:color="auto" w:fill="D9D9D9" w:themeFill="background1" w:themeFillShade="D9"/>
          </w:tcPr>
          <w:p w:rsidR="001C7C88" w:rsidRPr="002725A5" w:rsidRDefault="001C7C88" w:rsidP="00A130D0">
            <w:pPr>
              <w:pStyle w:val="TableHeading"/>
            </w:pPr>
            <w:r w:rsidRPr="002725A5">
              <w:t>Quality issue identified by (name)</w:t>
            </w:r>
          </w:p>
        </w:tc>
        <w:tc>
          <w:tcPr>
            <w:tcW w:w="1886" w:type="dxa"/>
            <w:shd w:val="clear" w:color="auto" w:fill="D9D9D9" w:themeFill="background1" w:themeFillShade="D9"/>
          </w:tcPr>
          <w:p w:rsidR="001C7C88" w:rsidRPr="002725A5" w:rsidRDefault="001C7C88" w:rsidP="00A130D0">
            <w:pPr>
              <w:pStyle w:val="TableHeading"/>
            </w:pPr>
            <w:r w:rsidRPr="002725A5">
              <w:t>Type of issue:</w:t>
            </w:r>
          </w:p>
          <w:p w:rsidR="001C7C88" w:rsidRPr="002725A5" w:rsidRDefault="001C7C88" w:rsidP="00A130D0">
            <w:pPr>
              <w:pStyle w:val="TableHeading"/>
            </w:pPr>
          </w:p>
          <w:p w:rsidR="001C7C88" w:rsidRPr="002725A5" w:rsidRDefault="001C7C88" w:rsidP="00A130D0">
            <w:pPr>
              <w:pStyle w:val="TableHeading"/>
            </w:pPr>
            <w:r w:rsidRPr="002725A5">
              <w:t>1: erroneous data</w:t>
            </w:r>
          </w:p>
          <w:p w:rsidR="001C7C88" w:rsidRPr="002725A5" w:rsidRDefault="001C7C88" w:rsidP="00A130D0">
            <w:pPr>
              <w:pStyle w:val="TableHeading"/>
            </w:pPr>
            <w:r w:rsidRPr="002725A5">
              <w:t>2: missing data</w:t>
            </w:r>
          </w:p>
          <w:p w:rsidR="001C7C88" w:rsidRPr="002725A5" w:rsidRDefault="001C7C88" w:rsidP="00A130D0">
            <w:pPr>
              <w:pStyle w:val="TableHeading"/>
            </w:pPr>
            <w:r w:rsidRPr="002725A5">
              <w:t>3: duplicated data</w:t>
            </w:r>
          </w:p>
          <w:p w:rsidR="001C7C88" w:rsidRPr="002725A5" w:rsidRDefault="001C7C88" w:rsidP="00A130D0">
            <w:pPr>
              <w:pStyle w:val="TableHeading"/>
            </w:pPr>
            <w:r w:rsidRPr="002725A5">
              <w:t>4: confidential data breach</w:t>
            </w:r>
          </w:p>
          <w:p w:rsidR="001C7C88" w:rsidRPr="002725A5" w:rsidRDefault="001C7C88" w:rsidP="00A130D0">
            <w:pPr>
              <w:pStyle w:val="TableHeading"/>
            </w:pPr>
            <w:r w:rsidRPr="002725A5">
              <w:t>5: database / software error</w:t>
            </w:r>
          </w:p>
          <w:p w:rsidR="001C7C88" w:rsidRPr="002725A5" w:rsidRDefault="001C7C88" w:rsidP="00A130D0">
            <w:pPr>
              <w:pStyle w:val="TableHeading"/>
            </w:pPr>
            <w:r w:rsidRPr="002725A5">
              <w:t>6: efficiency issue</w:t>
            </w:r>
          </w:p>
          <w:p w:rsidR="001C7C88" w:rsidRPr="002725A5" w:rsidRDefault="001C7C88" w:rsidP="00A130D0">
            <w:pPr>
              <w:pStyle w:val="TableHeading"/>
            </w:pPr>
            <w:r w:rsidRPr="002725A5">
              <w:t>7: other</w:t>
            </w:r>
          </w:p>
        </w:tc>
        <w:tc>
          <w:tcPr>
            <w:tcW w:w="1788" w:type="dxa"/>
            <w:shd w:val="clear" w:color="auto" w:fill="D9D9D9" w:themeFill="background1" w:themeFillShade="D9"/>
          </w:tcPr>
          <w:p w:rsidR="001C7C88" w:rsidRPr="002725A5" w:rsidRDefault="001C7C88" w:rsidP="00A130D0">
            <w:pPr>
              <w:pStyle w:val="TableHeading"/>
            </w:pPr>
            <w:r w:rsidRPr="002725A5">
              <w:t>Description of issue</w:t>
            </w:r>
          </w:p>
        </w:tc>
        <w:tc>
          <w:tcPr>
            <w:tcW w:w="1741" w:type="dxa"/>
            <w:shd w:val="clear" w:color="auto" w:fill="D9D9D9" w:themeFill="background1" w:themeFillShade="D9"/>
          </w:tcPr>
          <w:p w:rsidR="001C7C88" w:rsidRPr="002725A5" w:rsidRDefault="001C7C88" w:rsidP="00A130D0">
            <w:pPr>
              <w:pStyle w:val="TableHeading"/>
            </w:pPr>
            <w:r w:rsidRPr="002725A5">
              <w:t>How did the issue occur</w:t>
            </w:r>
          </w:p>
        </w:tc>
        <w:tc>
          <w:tcPr>
            <w:tcW w:w="1785" w:type="dxa"/>
            <w:shd w:val="clear" w:color="auto" w:fill="D9D9D9" w:themeFill="background1" w:themeFillShade="D9"/>
          </w:tcPr>
          <w:p w:rsidR="001C7C88" w:rsidRPr="002725A5" w:rsidRDefault="001C7C88" w:rsidP="00A130D0">
            <w:pPr>
              <w:pStyle w:val="TableHeading"/>
            </w:pPr>
            <w:r w:rsidRPr="002725A5">
              <w:t>Steps taken to fix the current issue.</w:t>
            </w:r>
          </w:p>
        </w:tc>
        <w:tc>
          <w:tcPr>
            <w:tcW w:w="3159" w:type="dxa"/>
            <w:shd w:val="clear" w:color="auto" w:fill="D9D9D9" w:themeFill="background1" w:themeFillShade="D9"/>
          </w:tcPr>
          <w:p w:rsidR="001C7C88" w:rsidRPr="002725A5" w:rsidRDefault="001C7C88" w:rsidP="00A130D0">
            <w:pPr>
              <w:pStyle w:val="TableHeading"/>
            </w:pPr>
            <w:r w:rsidRPr="002725A5">
              <w:t>How could the system be improved to reduce the likelihood of the issue occurring</w:t>
            </w:r>
          </w:p>
        </w:tc>
        <w:tc>
          <w:tcPr>
            <w:tcW w:w="1516" w:type="dxa"/>
            <w:shd w:val="clear" w:color="auto" w:fill="D9D9D9" w:themeFill="background1" w:themeFillShade="D9"/>
          </w:tcPr>
          <w:p w:rsidR="001C7C88" w:rsidRPr="002725A5" w:rsidRDefault="001C7C88" w:rsidP="00A130D0">
            <w:pPr>
              <w:pStyle w:val="TableHeading"/>
            </w:pPr>
            <w:r w:rsidRPr="002725A5">
              <w:t>Other staff informed?</w:t>
            </w:r>
          </w:p>
        </w:tc>
        <w:tc>
          <w:tcPr>
            <w:tcW w:w="761" w:type="dxa"/>
            <w:shd w:val="clear" w:color="auto" w:fill="D9D9D9" w:themeFill="background1" w:themeFillShade="D9"/>
          </w:tcPr>
          <w:p w:rsidR="001C7C88" w:rsidRPr="002725A5" w:rsidRDefault="001C7C88" w:rsidP="00A130D0">
            <w:pPr>
              <w:pStyle w:val="TableHeading"/>
            </w:pPr>
            <w:r w:rsidRPr="002725A5">
              <w:t>Please Initial</w:t>
            </w:r>
          </w:p>
        </w:tc>
      </w:tr>
      <w:tr w:rsidR="001C7C88" w:rsidRPr="002725A5" w:rsidTr="00A130D0">
        <w:trPr>
          <w:trHeight w:val="567"/>
        </w:trPr>
        <w:tc>
          <w:tcPr>
            <w:tcW w:w="1302" w:type="dxa"/>
          </w:tcPr>
          <w:p w:rsidR="001C7C88" w:rsidRPr="002725A5" w:rsidRDefault="001C7C88" w:rsidP="00A130D0">
            <w:pPr>
              <w:pStyle w:val="TableText0"/>
            </w:pPr>
            <w:r w:rsidRPr="002725A5">
              <w:t>23/11/2014</w:t>
            </w:r>
          </w:p>
        </w:tc>
        <w:tc>
          <w:tcPr>
            <w:tcW w:w="1137" w:type="dxa"/>
          </w:tcPr>
          <w:p w:rsidR="001C7C88" w:rsidRPr="002725A5" w:rsidRDefault="001C7C88" w:rsidP="00A130D0">
            <w:pPr>
              <w:pStyle w:val="TableText0"/>
            </w:pPr>
            <w:r>
              <w:t>Joe Bloggs</w:t>
            </w:r>
          </w:p>
        </w:tc>
        <w:tc>
          <w:tcPr>
            <w:tcW w:w="1886" w:type="dxa"/>
          </w:tcPr>
          <w:p w:rsidR="001C7C88" w:rsidRPr="002725A5" w:rsidRDefault="001C7C88" w:rsidP="00A130D0">
            <w:pPr>
              <w:pStyle w:val="TableText0"/>
            </w:pPr>
            <w:r w:rsidRPr="002725A5">
              <w:t>1: erroneous data</w:t>
            </w:r>
          </w:p>
        </w:tc>
        <w:tc>
          <w:tcPr>
            <w:tcW w:w="1788" w:type="dxa"/>
          </w:tcPr>
          <w:p w:rsidR="001C7C88" w:rsidRPr="002725A5" w:rsidRDefault="001C7C88" w:rsidP="00A130D0">
            <w:pPr>
              <w:pStyle w:val="TableText0"/>
            </w:pPr>
            <w:r w:rsidRPr="002725A5">
              <w:t>The field requesting Haemoglobin was completed yet contained an implausible value (&gt;200 g/L).  This was high compared with previous entries.</w:t>
            </w:r>
          </w:p>
        </w:tc>
        <w:tc>
          <w:tcPr>
            <w:tcW w:w="1741" w:type="dxa"/>
          </w:tcPr>
          <w:p w:rsidR="001C7C88" w:rsidRPr="002725A5" w:rsidRDefault="001C7C88" w:rsidP="00A130D0">
            <w:pPr>
              <w:pStyle w:val="TableText0"/>
            </w:pPr>
            <w:r w:rsidRPr="002725A5">
              <w:t>The treating doctor entered 225 g/L instead of 125 g/L.</w:t>
            </w:r>
          </w:p>
        </w:tc>
        <w:tc>
          <w:tcPr>
            <w:tcW w:w="1785" w:type="dxa"/>
          </w:tcPr>
          <w:p w:rsidR="001C7C88" w:rsidRPr="002725A5" w:rsidRDefault="001C7C88" w:rsidP="00A130D0">
            <w:pPr>
              <w:pStyle w:val="TableText0"/>
            </w:pPr>
            <w:r w:rsidRPr="002725A5">
              <w:t>The treating doctor was contacted to clarify the actual haemoglobin value.</w:t>
            </w:r>
          </w:p>
        </w:tc>
        <w:tc>
          <w:tcPr>
            <w:tcW w:w="3159" w:type="dxa"/>
          </w:tcPr>
          <w:p w:rsidR="001C7C88" w:rsidRPr="002725A5" w:rsidRDefault="001C7C88" w:rsidP="00A130D0">
            <w:pPr>
              <w:pStyle w:val="TableText0"/>
              <w:rPr>
                <w:rFonts w:eastAsia="SimSun"/>
              </w:rPr>
            </w:pPr>
            <w:r w:rsidRPr="002725A5">
              <w:t>As 225 g/L is not an impossible value, it cannot be disallowed as an entry value, however, a warning could be built into the data entry form to indicate that the value appears to be inconsistent with previous values and prompt the treating doctor to review the value.</w:t>
            </w:r>
          </w:p>
        </w:tc>
        <w:tc>
          <w:tcPr>
            <w:tcW w:w="1516" w:type="dxa"/>
          </w:tcPr>
          <w:p w:rsidR="001C7C88" w:rsidRPr="002725A5" w:rsidRDefault="001C7C88" w:rsidP="00A130D0">
            <w:pPr>
              <w:pStyle w:val="TableText0"/>
            </w:pPr>
            <w:r w:rsidRPr="002725A5">
              <w:t>Staff will be informed of possible errors with laboratory values.</w:t>
            </w:r>
          </w:p>
        </w:tc>
        <w:tc>
          <w:tcPr>
            <w:tcW w:w="761" w:type="dxa"/>
          </w:tcPr>
          <w:p w:rsidR="001C7C88" w:rsidRPr="002725A5" w:rsidRDefault="001C7C88" w:rsidP="00A130D0">
            <w:pPr>
              <w:pStyle w:val="TableText0"/>
            </w:pPr>
          </w:p>
        </w:tc>
      </w:tr>
    </w:tbl>
    <w:p w:rsidR="001C7C88" w:rsidRDefault="001C7C88" w:rsidP="00303A35">
      <w:pPr>
        <w:pStyle w:val="Heading1"/>
        <w:numPr>
          <w:ilvl w:val="0"/>
          <w:numId w:val="0"/>
        </w:numPr>
        <w:sectPr w:rsidR="001C7C88" w:rsidSect="00790312">
          <w:footerReference w:type="even" r:id="rId35"/>
          <w:pgSz w:w="16838" w:h="11906" w:orient="landscape" w:code="9"/>
          <w:pgMar w:top="1259" w:right="1077" w:bottom="1287" w:left="902" w:header="709" w:footer="709" w:gutter="0"/>
          <w:cols w:space="708"/>
          <w:docGrid w:linePitch="360"/>
        </w:sectPr>
      </w:pPr>
    </w:p>
    <w:p w:rsidR="002B52E0" w:rsidRPr="00E15E31" w:rsidRDefault="00D45FC7" w:rsidP="00E15E31">
      <w:pPr>
        <w:pStyle w:val="Heading1"/>
        <w:numPr>
          <w:ilvl w:val="0"/>
          <w:numId w:val="0"/>
        </w:numPr>
        <w:ind w:left="2127" w:hanging="2127"/>
        <w:rPr>
          <w:rFonts w:ascii="Arial Narrow" w:hAnsi="Arial Narrow"/>
        </w:rPr>
      </w:pPr>
      <w:bookmarkStart w:id="1234" w:name="_Ref411255922"/>
      <w:bookmarkStart w:id="1235" w:name="_Toc415141797"/>
      <w:r>
        <w:lastRenderedPageBreak/>
        <w:t xml:space="preserve">Appendix </w:t>
      </w:r>
      <w:r w:rsidR="00A72B26">
        <w:t>K</w:t>
      </w:r>
      <w:bookmarkEnd w:id="1230"/>
      <w:bookmarkEnd w:id="1234"/>
      <w:r>
        <w:tab/>
      </w:r>
      <w:r w:rsidR="00E15E31">
        <w:t>Example of patient information and consent form for rare diseases registry (ToR 7)</w:t>
      </w:r>
      <w:bookmarkEnd w:id="1235"/>
    </w:p>
    <w:p w:rsidR="00D45FC7" w:rsidRDefault="00D45FC7" w:rsidP="00D45FC7">
      <w:pPr>
        <w:spacing w:after="200"/>
        <w:jc w:val="left"/>
      </w:pPr>
    </w:p>
    <w:p w:rsidR="00D45FC7" w:rsidRPr="00247D3B" w:rsidRDefault="00D45FC7" w:rsidP="00D45FC7">
      <w:pPr>
        <w:pBdr>
          <w:top w:val="dashed" w:sz="4" w:space="1" w:color="FF9900"/>
          <w:left w:val="dashed" w:sz="4" w:space="4" w:color="FF9900"/>
          <w:bottom w:val="dashed" w:sz="4" w:space="1" w:color="FF9900"/>
          <w:right w:val="dashed" w:sz="4" w:space="4" w:color="FF9900"/>
        </w:pBdr>
        <w:jc w:val="center"/>
        <w:rPr>
          <w:color w:val="000000"/>
          <w:sz w:val="16"/>
          <w:szCs w:val="16"/>
        </w:rPr>
      </w:pPr>
      <w:r w:rsidRPr="00247D3B">
        <w:rPr>
          <w:color w:val="000000"/>
          <w:sz w:val="16"/>
          <w:szCs w:val="16"/>
        </w:rPr>
        <w:t>Australian Government Department of Health</w:t>
      </w:r>
    </w:p>
    <w:p w:rsidR="00D45FC7" w:rsidRPr="00247D3B" w:rsidRDefault="00D45FC7" w:rsidP="00D45FC7">
      <w:pPr>
        <w:jc w:val="center"/>
        <w:rPr>
          <w:color w:val="000000"/>
        </w:rPr>
      </w:pPr>
    </w:p>
    <w:p w:rsidR="00D45FC7" w:rsidRPr="00247D3B" w:rsidRDefault="00D45FC7" w:rsidP="00D45FC7">
      <w:pPr>
        <w:jc w:val="center"/>
        <w:rPr>
          <w:b/>
          <w:color w:val="000000"/>
          <w:sz w:val="32"/>
          <w:szCs w:val="32"/>
        </w:rPr>
      </w:pPr>
      <w:r w:rsidRPr="00247D3B">
        <w:rPr>
          <w:b/>
          <w:color w:val="000000"/>
          <w:sz w:val="32"/>
          <w:szCs w:val="32"/>
        </w:rPr>
        <w:t>Participant Information Sheet/Consent Form</w:t>
      </w:r>
    </w:p>
    <w:p w:rsidR="00D45FC7" w:rsidRPr="00247D3B" w:rsidRDefault="00D45FC7" w:rsidP="00D45FC7">
      <w:pPr>
        <w:rPr>
          <w:color w:val="000000"/>
        </w:rPr>
      </w:pPr>
    </w:p>
    <w:tbl>
      <w:tblPr>
        <w:tblW w:w="9648" w:type="dxa"/>
        <w:tblLook w:val="01E0" w:firstRow="1" w:lastRow="1" w:firstColumn="1" w:lastColumn="1" w:noHBand="0" w:noVBand="0"/>
      </w:tblPr>
      <w:tblGrid>
        <w:gridCol w:w="2376"/>
        <w:gridCol w:w="7272"/>
      </w:tblGrid>
      <w:tr w:rsidR="00D45FC7" w:rsidRPr="00247D3B" w:rsidTr="00D45FC7">
        <w:trPr>
          <w:trHeight w:hRule="exact" w:val="876"/>
        </w:trPr>
        <w:tc>
          <w:tcPr>
            <w:tcW w:w="2376" w:type="dxa"/>
            <w:shd w:val="clear" w:color="auto" w:fill="auto"/>
            <w:vAlign w:val="center"/>
          </w:tcPr>
          <w:p w:rsidR="00D45FC7" w:rsidRPr="00247D3B" w:rsidRDefault="00D45FC7" w:rsidP="00D45FC7">
            <w:pPr>
              <w:spacing w:after="0" w:line="240" w:lineRule="auto"/>
              <w:rPr>
                <w:color w:val="000000"/>
              </w:rPr>
            </w:pPr>
            <w:r w:rsidRPr="00247D3B">
              <w:rPr>
                <w:b/>
                <w:color w:val="000000"/>
              </w:rPr>
              <w:t>Title</w:t>
            </w:r>
          </w:p>
        </w:tc>
        <w:tc>
          <w:tcPr>
            <w:tcW w:w="7272" w:type="dxa"/>
            <w:shd w:val="clear" w:color="auto" w:fill="auto"/>
            <w:vAlign w:val="center"/>
          </w:tcPr>
          <w:p w:rsidR="00D45FC7" w:rsidRPr="00247D3B" w:rsidRDefault="00D45FC7" w:rsidP="00D45FC7">
            <w:pPr>
              <w:spacing w:after="0" w:line="240" w:lineRule="auto"/>
              <w:rPr>
                <w:color w:val="000000"/>
                <w:sz w:val="28"/>
                <w:szCs w:val="28"/>
              </w:rPr>
            </w:pPr>
            <w:r w:rsidRPr="00247D3B">
              <w:rPr>
                <w:i/>
                <w:color w:val="000000"/>
                <w:sz w:val="28"/>
                <w:szCs w:val="28"/>
              </w:rPr>
              <w:t>Collection of data for drugs reimbursed through the rare diseases program</w:t>
            </w:r>
          </w:p>
        </w:tc>
      </w:tr>
      <w:tr w:rsidR="00D45FC7" w:rsidRPr="00247D3B" w:rsidTr="00D45FC7">
        <w:trPr>
          <w:trHeight w:hRule="exact" w:val="417"/>
        </w:trPr>
        <w:tc>
          <w:tcPr>
            <w:tcW w:w="2376" w:type="dxa"/>
            <w:shd w:val="clear" w:color="auto" w:fill="auto"/>
            <w:vAlign w:val="center"/>
          </w:tcPr>
          <w:p w:rsidR="00D45FC7" w:rsidRPr="00247D3B" w:rsidRDefault="00D45FC7" w:rsidP="00D45FC7">
            <w:pPr>
              <w:spacing w:after="0" w:line="240" w:lineRule="auto"/>
              <w:rPr>
                <w:color w:val="000000"/>
              </w:rPr>
            </w:pPr>
            <w:r w:rsidRPr="00247D3B">
              <w:rPr>
                <w:b/>
                <w:color w:val="000000"/>
              </w:rPr>
              <w:t>Short Title</w:t>
            </w:r>
          </w:p>
        </w:tc>
        <w:tc>
          <w:tcPr>
            <w:tcW w:w="7272" w:type="dxa"/>
            <w:shd w:val="clear" w:color="auto" w:fill="auto"/>
            <w:vAlign w:val="center"/>
          </w:tcPr>
          <w:p w:rsidR="00D45FC7" w:rsidRPr="00247D3B" w:rsidRDefault="00D45FC7" w:rsidP="00D45FC7">
            <w:pPr>
              <w:spacing w:after="0" w:line="240" w:lineRule="auto"/>
              <w:rPr>
                <w:color w:val="000000"/>
              </w:rPr>
            </w:pPr>
            <w:r w:rsidRPr="00247D3B">
              <w:rPr>
                <w:i/>
                <w:color w:val="000000"/>
              </w:rPr>
              <w:t>Rare diseases registry</w:t>
            </w:r>
          </w:p>
        </w:tc>
      </w:tr>
      <w:tr w:rsidR="00D45FC7" w:rsidRPr="00247D3B" w:rsidTr="00D45FC7">
        <w:trPr>
          <w:trHeight w:hRule="exact" w:val="1696"/>
        </w:trPr>
        <w:tc>
          <w:tcPr>
            <w:tcW w:w="2376" w:type="dxa"/>
            <w:shd w:val="clear" w:color="auto" w:fill="auto"/>
            <w:vAlign w:val="center"/>
          </w:tcPr>
          <w:p w:rsidR="00D45FC7" w:rsidRPr="00247D3B" w:rsidRDefault="00D45FC7" w:rsidP="00D45FC7">
            <w:pPr>
              <w:spacing w:after="0" w:line="240" w:lineRule="auto"/>
              <w:rPr>
                <w:color w:val="000000"/>
              </w:rPr>
            </w:pPr>
            <w:r w:rsidRPr="00247D3B">
              <w:rPr>
                <w:b/>
                <w:color w:val="000000"/>
              </w:rPr>
              <w:t>Contact</w:t>
            </w:r>
          </w:p>
        </w:tc>
        <w:tc>
          <w:tcPr>
            <w:tcW w:w="7272" w:type="dxa"/>
            <w:shd w:val="clear" w:color="auto" w:fill="auto"/>
            <w:vAlign w:val="center"/>
          </w:tcPr>
          <w:p w:rsidR="00D45FC7" w:rsidRPr="00247D3B" w:rsidRDefault="00D45FC7" w:rsidP="00D45FC7">
            <w:pPr>
              <w:spacing w:after="0" w:line="240" w:lineRule="auto"/>
              <w:rPr>
                <w:i/>
                <w:color w:val="000000"/>
              </w:rPr>
            </w:pPr>
            <w:r w:rsidRPr="00247D3B">
              <w:rPr>
                <w:i/>
                <w:color w:val="000000"/>
              </w:rPr>
              <w:t>Ms xxxxxxx</w:t>
            </w:r>
          </w:p>
          <w:p w:rsidR="00D45FC7" w:rsidRPr="00247D3B" w:rsidRDefault="00D45FC7" w:rsidP="00D45FC7">
            <w:pPr>
              <w:spacing w:after="0" w:line="240" w:lineRule="auto"/>
              <w:rPr>
                <w:color w:val="000000"/>
              </w:rPr>
            </w:pPr>
            <w:r w:rsidRPr="00247D3B">
              <w:rPr>
                <w:color w:val="000000"/>
              </w:rPr>
              <w:t>Rare diseases registry coordinator</w:t>
            </w:r>
          </w:p>
          <w:p w:rsidR="00D45FC7" w:rsidRPr="00247D3B" w:rsidRDefault="00D45FC7" w:rsidP="00D45FC7">
            <w:pPr>
              <w:spacing w:after="0" w:line="240" w:lineRule="auto"/>
              <w:rPr>
                <w:color w:val="000000"/>
              </w:rPr>
            </w:pPr>
            <w:r w:rsidRPr="00247D3B">
              <w:rPr>
                <w:color w:val="000000"/>
              </w:rPr>
              <w:t>Mail Drop xxxxx</w:t>
            </w:r>
          </w:p>
          <w:p w:rsidR="00D45FC7" w:rsidRPr="00247D3B" w:rsidRDefault="00D45FC7" w:rsidP="00D45FC7">
            <w:pPr>
              <w:spacing w:after="0" w:line="240" w:lineRule="auto"/>
              <w:rPr>
                <w:color w:val="000000"/>
              </w:rPr>
            </w:pPr>
            <w:r w:rsidRPr="00247D3B">
              <w:rPr>
                <w:color w:val="000000"/>
              </w:rPr>
              <w:t>Canberra, ACT, 2600</w:t>
            </w:r>
          </w:p>
          <w:p w:rsidR="00D45FC7" w:rsidRPr="00247D3B" w:rsidRDefault="00D45FC7" w:rsidP="00D45FC7">
            <w:pPr>
              <w:spacing w:after="0" w:line="240" w:lineRule="auto"/>
              <w:rPr>
                <w:color w:val="000000"/>
              </w:rPr>
            </w:pPr>
            <w:r w:rsidRPr="00247D3B">
              <w:rPr>
                <w:color w:val="000000"/>
              </w:rPr>
              <w:t>Ph: 02 xxxxxxxx</w:t>
            </w:r>
          </w:p>
        </w:tc>
      </w:tr>
    </w:tbl>
    <w:p w:rsidR="00D45FC7" w:rsidRPr="00247D3B" w:rsidRDefault="00D45FC7" w:rsidP="00D45FC7">
      <w:pPr>
        <w:rPr>
          <w:b/>
          <w:color w:val="000000"/>
          <w:sz w:val="28"/>
          <w:szCs w:val="28"/>
        </w:rPr>
      </w:pPr>
      <w:r w:rsidRPr="00247D3B">
        <w:rPr>
          <w:b/>
          <w:color w:val="000000"/>
          <w:sz w:val="28"/>
          <w:szCs w:val="28"/>
        </w:rPr>
        <w:t>Part 1</w:t>
      </w:r>
      <w:r w:rsidRPr="00247D3B">
        <w:rPr>
          <w:b/>
          <w:color w:val="000000"/>
          <w:sz w:val="28"/>
          <w:szCs w:val="28"/>
        </w:rPr>
        <w:tab/>
        <w:t>What does my participation involve?</w:t>
      </w:r>
    </w:p>
    <w:p w:rsidR="00D45FC7" w:rsidRPr="00247D3B" w:rsidRDefault="00D45FC7" w:rsidP="000959DF">
      <w:pPr>
        <w:numPr>
          <w:ilvl w:val="0"/>
          <w:numId w:val="58"/>
        </w:numPr>
        <w:spacing w:after="0" w:line="240" w:lineRule="auto"/>
        <w:jc w:val="left"/>
        <w:rPr>
          <w:b/>
          <w:color w:val="000000"/>
        </w:rPr>
      </w:pPr>
      <w:r w:rsidRPr="00247D3B">
        <w:rPr>
          <w:b/>
          <w:color w:val="000000"/>
        </w:rPr>
        <w:t>Introduction</w:t>
      </w:r>
    </w:p>
    <w:p w:rsidR="00D45FC7" w:rsidRPr="00247D3B" w:rsidRDefault="00904DAB" w:rsidP="00D45FC7">
      <w:pPr>
        <w:rPr>
          <w:i/>
          <w:color w:val="000000"/>
        </w:rPr>
      </w:pPr>
      <w:r w:rsidRPr="00904DAB">
        <w:rPr>
          <w:i/>
          <w:color w:val="000000"/>
        </w:rPr>
        <w:t>The purpose of this section is to state the reason the participant is being invited to take part in the collection of data for the registry and to explain the purpose of the form and the nature of informed consent.</w:t>
      </w:r>
    </w:p>
    <w:p w:rsidR="00D45FC7" w:rsidRPr="00247D3B" w:rsidRDefault="00D45FC7" w:rsidP="00D45FC7">
      <w:pPr>
        <w:pBdr>
          <w:top w:val="single" w:sz="4" w:space="1" w:color="auto"/>
          <w:left w:val="single" w:sz="4" w:space="4" w:color="auto"/>
          <w:bottom w:val="single" w:sz="4" w:space="1" w:color="auto"/>
          <w:right w:val="single" w:sz="4" w:space="4" w:color="auto"/>
        </w:pBdr>
        <w:rPr>
          <w:color w:val="000000"/>
        </w:rPr>
      </w:pPr>
      <w:r w:rsidRPr="00247D3B">
        <w:rPr>
          <w:color w:val="000000"/>
        </w:rPr>
        <w:t xml:space="preserve">As part of the Government reimbursement program for Drug A, you are being asked to provide information about your ongoing health and wellbeing. </w:t>
      </w:r>
    </w:p>
    <w:p w:rsidR="00D45FC7" w:rsidRPr="00247D3B" w:rsidRDefault="00D45FC7" w:rsidP="00D45FC7">
      <w:pPr>
        <w:pBdr>
          <w:top w:val="single" w:sz="4" w:space="1" w:color="auto"/>
          <w:left w:val="single" w:sz="4" w:space="4" w:color="auto"/>
          <w:bottom w:val="single" w:sz="4" w:space="1" w:color="auto"/>
          <w:right w:val="single" w:sz="4" w:space="4" w:color="auto"/>
        </w:pBdr>
        <w:rPr>
          <w:color w:val="000000"/>
        </w:rPr>
      </w:pPr>
      <w:r w:rsidRPr="00247D3B">
        <w:rPr>
          <w:color w:val="000000"/>
        </w:rPr>
        <w:t xml:space="preserve">Disease A is very rare and some information is missing regarding things like the type and seriousness of the symptoms associated with the disease and how much the disease affects your everyday living.  The collection of your data may help better describe Disease A as well as provide information about how well Drug </w:t>
      </w:r>
      <w:proofErr w:type="gramStart"/>
      <w:r w:rsidRPr="00247D3B">
        <w:rPr>
          <w:color w:val="000000"/>
        </w:rPr>
        <w:t>A</w:t>
      </w:r>
      <w:proofErr w:type="gramEnd"/>
      <w:r w:rsidRPr="00247D3B">
        <w:rPr>
          <w:color w:val="000000"/>
        </w:rPr>
        <w:t xml:space="preserve"> works.</w:t>
      </w:r>
    </w:p>
    <w:p w:rsidR="00D45FC7" w:rsidRPr="00247D3B" w:rsidRDefault="00D45FC7" w:rsidP="00D45FC7">
      <w:pPr>
        <w:pBdr>
          <w:top w:val="single" w:sz="4" w:space="1" w:color="auto"/>
          <w:left w:val="single" w:sz="4" w:space="4" w:color="auto"/>
          <w:bottom w:val="single" w:sz="4" w:space="1" w:color="auto"/>
          <w:right w:val="single" w:sz="4" w:space="4" w:color="auto"/>
        </w:pBdr>
        <w:rPr>
          <w:color w:val="000000"/>
        </w:rPr>
      </w:pPr>
      <w:r w:rsidRPr="00247D3B">
        <w:rPr>
          <w:color w:val="000000"/>
        </w:rPr>
        <w:t>By signing this consent form you are telling us that you:</w:t>
      </w:r>
    </w:p>
    <w:p w:rsidR="00D45FC7" w:rsidRPr="00247D3B" w:rsidRDefault="00D45FC7" w:rsidP="000959DF">
      <w:pPr>
        <w:numPr>
          <w:ilvl w:val="0"/>
          <w:numId w:val="59"/>
        </w:numPr>
        <w:pBdr>
          <w:top w:val="single" w:sz="4" w:space="1" w:color="auto"/>
          <w:left w:val="single" w:sz="4" w:space="4" w:color="auto"/>
          <w:bottom w:val="single" w:sz="4" w:space="1" w:color="auto"/>
          <w:right w:val="single" w:sz="4" w:space="4" w:color="auto"/>
        </w:pBdr>
        <w:spacing w:after="0" w:line="240" w:lineRule="auto"/>
        <w:jc w:val="left"/>
        <w:rPr>
          <w:color w:val="000000"/>
        </w:rPr>
      </w:pPr>
      <w:r w:rsidRPr="00247D3B">
        <w:rPr>
          <w:color w:val="000000"/>
        </w:rPr>
        <w:t>Understand what you have read about the data collection</w:t>
      </w:r>
    </w:p>
    <w:p w:rsidR="00D45FC7" w:rsidRPr="00247D3B" w:rsidRDefault="00D45FC7" w:rsidP="000959DF">
      <w:pPr>
        <w:numPr>
          <w:ilvl w:val="0"/>
          <w:numId w:val="59"/>
        </w:numPr>
        <w:pBdr>
          <w:top w:val="single" w:sz="4" w:space="1" w:color="auto"/>
          <w:left w:val="single" w:sz="4" w:space="4" w:color="auto"/>
          <w:bottom w:val="single" w:sz="4" w:space="1" w:color="auto"/>
          <w:right w:val="single" w:sz="4" w:space="4" w:color="auto"/>
        </w:pBdr>
        <w:spacing w:after="0" w:line="240" w:lineRule="auto"/>
        <w:jc w:val="left"/>
        <w:rPr>
          <w:color w:val="000000"/>
        </w:rPr>
      </w:pPr>
      <w:r w:rsidRPr="00247D3B">
        <w:rPr>
          <w:color w:val="000000"/>
        </w:rPr>
        <w:t>Consent to the collection of your data</w:t>
      </w:r>
    </w:p>
    <w:p w:rsidR="00D45FC7" w:rsidRPr="00247D3B" w:rsidRDefault="00D45FC7" w:rsidP="000959DF">
      <w:pPr>
        <w:numPr>
          <w:ilvl w:val="0"/>
          <w:numId w:val="59"/>
        </w:numPr>
        <w:pBdr>
          <w:top w:val="single" w:sz="4" w:space="1" w:color="auto"/>
          <w:left w:val="single" w:sz="4" w:space="4" w:color="auto"/>
          <w:bottom w:val="single" w:sz="4" w:space="1" w:color="auto"/>
          <w:right w:val="single" w:sz="4" w:space="4" w:color="auto"/>
        </w:pBdr>
        <w:spacing w:after="0" w:line="240" w:lineRule="auto"/>
        <w:jc w:val="left"/>
        <w:rPr>
          <w:color w:val="000000"/>
        </w:rPr>
      </w:pPr>
      <w:r w:rsidRPr="00247D3B">
        <w:rPr>
          <w:color w:val="000000"/>
        </w:rPr>
        <w:t>Consent to the tests that may be in addition to your normal management</w:t>
      </w:r>
    </w:p>
    <w:p w:rsidR="00D45FC7" w:rsidRPr="00247D3B" w:rsidRDefault="00D45FC7" w:rsidP="000959DF">
      <w:pPr>
        <w:numPr>
          <w:ilvl w:val="0"/>
          <w:numId w:val="59"/>
        </w:numPr>
        <w:pBdr>
          <w:top w:val="single" w:sz="4" w:space="1" w:color="auto"/>
          <w:left w:val="single" w:sz="4" w:space="4" w:color="auto"/>
          <w:bottom w:val="single" w:sz="4" w:space="1" w:color="auto"/>
          <w:right w:val="single" w:sz="4" w:space="4" w:color="auto"/>
        </w:pBdr>
        <w:spacing w:after="0" w:line="240" w:lineRule="auto"/>
        <w:jc w:val="left"/>
        <w:rPr>
          <w:color w:val="000000"/>
        </w:rPr>
      </w:pPr>
      <w:r w:rsidRPr="00247D3B">
        <w:rPr>
          <w:color w:val="000000"/>
        </w:rPr>
        <w:t>Consent to the use of your personal and health information as described</w:t>
      </w:r>
    </w:p>
    <w:p w:rsidR="00D45FC7" w:rsidRPr="00247D3B" w:rsidRDefault="00D45FC7" w:rsidP="00D45FC7">
      <w:pPr>
        <w:pBdr>
          <w:top w:val="single" w:sz="4" w:space="1" w:color="auto"/>
          <w:left w:val="single" w:sz="4" w:space="4" w:color="auto"/>
          <w:bottom w:val="single" w:sz="4" w:space="1" w:color="auto"/>
          <w:right w:val="single" w:sz="4" w:space="4" w:color="auto"/>
        </w:pBdr>
        <w:rPr>
          <w:color w:val="000000"/>
        </w:rPr>
      </w:pPr>
      <w:r w:rsidRPr="00247D3B">
        <w:rPr>
          <w:color w:val="000000"/>
        </w:rPr>
        <w:t>The collection of this data is a requirement for receiving Drug A.  If you feel you cannot consent to the collection of your data, your reasons will be considered by the Department and you may be exempted from some of the data collection.</w:t>
      </w:r>
    </w:p>
    <w:p w:rsidR="00D45FC7" w:rsidRPr="00247D3B" w:rsidRDefault="00D45FC7" w:rsidP="00D45FC7">
      <w:pPr>
        <w:pBdr>
          <w:top w:val="single" w:sz="4" w:space="1" w:color="auto"/>
          <w:left w:val="single" w:sz="4" w:space="4" w:color="auto"/>
          <w:bottom w:val="single" w:sz="4" w:space="1" w:color="auto"/>
          <w:right w:val="single" w:sz="4" w:space="4" w:color="auto"/>
        </w:pBdr>
        <w:rPr>
          <w:color w:val="000000"/>
        </w:rPr>
      </w:pPr>
      <w:r w:rsidRPr="00247D3B">
        <w:rPr>
          <w:color w:val="000000"/>
        </w:rPr>
        <w:t>You will be given a copy of this Participant Information and Consent Form to keep.</w:t>
      </w:r>
    </w:p>
    <w:p w:rsidR="00D45FC7" w:rsidRPr="00247D3B" w:rsidRDefault="00D45FC7" w:rsidP="00D45FC7">
      <w:pPr>
        <w:rPr>
          <w:b/>
          <w:color w:val="000000"/>
        </w:rPr>
      </w:pPr>
    </w:p>
    <w:p w:rsidR="00D45FC7" w:rsidRDefault="00D45FC7" w:rsidP="00D45FC7">
      <w:pPr>
        <w:spacing w:after="0" w:line="240" w:lineRule="auto"/>
        <w:jc w:val="left"/>
        <w:rPr>
          <w:b/>
          <w:color w:val="000000"/>
        </w:rPr>
      </w:pPr>
    </w:p>
    <w:p w:rsidR="00D45FC7" w:rsidRPr="00247D3B" w:rsidRDefault="00D45FC7" w:rsidP="00D45FC7">
      <w:pPr>
        <w:rPr>
          <w:b/>
          <w:color w:val="000000"/>
        </w:rPr>
      </w:pPr>
      <w:r w:rsidRPr="00247D3B">
        <w:rPr>
          <w:b/>
          <w:color w:val="000000"/>
        </w:rPr>
        <w:t>2</w:t>
      </w:r>
      <w:r w:rsidRPr="00247D3B">
        <w:rPr>
          <w:b/>
          <w:color w:val="000000"/>
        </w:rPr>
        <w:tab/>
        <w:t>What is the purpose of this research?</w:t>
      </w:r>
    </w:p>
    <w:p w:rsidR="00904DAB" w:rsidRPr="00247D3B" w:rsidRDefault="00904DAB" w:rsidP="00904DAB">
      <w:pPr>
        <w:rPr>
          <w:color w:val="000000"/>
        </w:rPr>
      </w:pPr>
      <w:r w:rsidRPr="00247D3B">
        <w:rPr>
          <w:color w:val="000000"/>
        </w:rPr>
        <w:t xml:space="preserve">This research will improve the understanding of Disease A in Australian patients as well as how patients respond to Drug A. The Rare Disease Registry Committee may use this information to advise </w:t>
      </w:r>
      <w:r>
        <w:rPr>
          <w:color w:val="000000"/>
        </w:rPr>
        <w:t>Government or treating clinicians</w:t>
      </w:r>
      <w:r w:rsidRPr="00247D3B">
        <w:rPr>
          <w:color w:val="000000"/>
        </w:rPr>
        <w:t xml:space="preserve"> how to better use Drug A or better treat patients with Disease A. The Rare Disease Registry Committee may also use this information to help verify whether the drug is achieving the results that the drug manufacturer stated it would.</w:t>
      </w:r>
      <w:r>
        <w:rPr>
          <w:color w:val="000000"/>
        </w:rPr>
        <w:t xml:space="preserve">  Findings from this data collection may alter the way Drug A is provided, or result in Drug A no longer being funded to safety or effectiveness concerns.</w:t>
      </w:r>
    </w:p>
    <w:p w:rsidR="00D45FC7" w:rsidRPr="00247D3B" w:rsidRDefault="00D45FC7" w:rsidP="00D45FC7">
      <w:pPr>
        <w:rPr>
          <w:color w:val="000000"/>
        </w:rPr>
      </w:pPr>
      <w:r w:rsidRPr="00247D3B">
        <w:rPr>
          <w:color w:val="000000"/>
        </w:rPr>
        <w:t>This research is being conducted by the Australian Government Department of Health.</w:t>
      </w:r>
    </w:p>
    <w:p w:rsidR="00D45FC7" w:rsidRPr="00247D3B" w:rsidRDefault="00D45FC7" w:rsidP="00D45FC7">
      <w:pPr>
        <w:rPr>
          <w:b/>
          <w:color w:val="000000"/>
        </w:rPr>
      </w:pPr>
      <w:r w:rsidRPr="00247D3B">
        <w:rPr>
          <w:b/>
          <w:color w:val="000000"/>
        </w:rPr>
        <w:t>3</w:t>
      </w:r>
      <w:r w:rsidRPr="00247D3B">
        <w:rPr>
          <w:b/>
          <w:color w:val="000000"/>
        </w:rPr>
        <w:tab/>
        <w:t>What does participation in this research involve?</w:t>
      </w:r>
    </w:p>
    <w:p w:rsidR="00D45FC7" w:rsidRPr="00247D3B" w:rsidRDefault="00D45FC7" w:rsidP="00D45FC7">
      <w:pPr>
        <w:rPr>
          <w:color w:val="000000"/>
        </w:rPr>
      </w:pPr>
      <w:r w:rsidRPr="00247D3B">
        <w:rPr>
          <w:color w:val="000000"/>
        </w:rPr>
        <w:t>Your participation in this research, after you have signed this consent form, will involve seeing your treating doctor about every 6 to 12 months.  You may see your doctor more frequently if required.</w:t>
      </w:r>
    </w:p>
    <w:p w:rsidR="00D45FC7" w:rsidRPr="00247D3B" w:rsidRDefault="00D45FC7" w:rsidP="00D45FC7">
      <w:pPr>
        <w:rPr>
          <w:color w:val="000000"/>
        </w:rPr>
      </w:pPr>
      <w:r w:rsidRPr="00247D3B">
        <w:rPr>
          <w:color w:val="000000"/>
        </w:rPr>
        <w:t>As part of the normal monitoring of your condition, you will have blood tests and scans to establish whether your disease is stable and how well you are responding to Drug A.  Usually, these tests will be all that is required for the Rare Diseases Registry.  Sometimes, you may not have had a particular test for some time and this may have to be scheduled so that this information can be collected.  If this is the case, you may have to have an additional blood test or scan (usually no more often than every 6 or 12 months).</w:t>
      </w:r>
    </w:p>
    <w:p w:rsidR="00D45FC7" w:rsidRPr="00247D3B" w:rsidRDefault="00D45FC7" w:rsidP="00D45FC7">
      <w:pPr>
        <w:rPr>
          <w:color w:val="000000"/>
        </w:rPr>
      </w:pPr>
      <w:r w:rsidRPr="00247D3B">
        <w:rPr>
          <w:color w:val="000000"/>
        </w:rPr>
        <w:t xml:space="preserve">You may also be asked to complete a questionnaire every 6 or 12 months.  This questionnaire will ask about your general well-being, including things like pain, tiredness and how well you manage to get things done each day.  </w:t>
      </w:r>
    </w:p>
    <w:p w:rsidR="00904DAB" w:rsidRPr="00247D3B" w:rsidRDefault="00904DAB" w:rsidP="00904DAB">
      <w:pPr>
        <w:rPr>
          <w:color w:val="000000"/>
        </w:rPr>
      </w:pPr>
      <w:r w:rsidRPr="00247D3B">
        <w:rPr>
          <w:color w:val="000000"/>
        </w:rPr>
        <w:t xml:space="preserve">Your information will be collected for at least as long as you are receiving Drug A, and may be collected even if you stop taking Drug A, however fewer tests may be required. In some cases, data collection may continue </w:t>
      </w:r>
      <w:r>
        <w:rPr>
          <w:color w:val="000000"/>
        </w:rPr>
        <w:t>through your life</w:t>
      </w:r>
      <w:r w:rsidRPr="00247D3B">
        <w:rPr>
          <w:color w:val="000000"/>
        </w:rPr>
        <w:t xml:space="preserve"> and may include </w:t>
      </w:r>
      <w:r>
        <w:rPr>
          <w:color w:val="000000"/>
        </w:rPr>
        <w:t xml:space="preserve">the collection of </w:t>
      </w:r>
      <w:r w:rsidRPr="00247D3B">
        <w:rPr>
          <w:color w:val="000000"/>
        </w:rPr>
        <w:t xml:space="preserve">information </w:t>
      </w:r>
      <w:r>
        <w:rPr>
          <w:color w:val="000000"/>
        </w:rPr>
        <w:t>on causes of death.</w:t>
      </w:r>
    </w:p>
    <w:p w:rsidR="00D45FC7" w:rsidRPr="00247D3B" w:rsidRDefault="00D45FC7" w:rsidP="00D45FC7">
      <w:pPr>
        <w:rPr>
          <w:b/>
          <w:color w:val="000000"/>
        </w:rPr>
      </w:pPr>
      <w:r w:rsidRPr="00247D3B">
        <w:rPr>
          <w:b/>
          <w:color w:val="000000"/>
        </w:rPr>
        <w:t>4</w:t>
      </w:r>
      <w:r w:rsidRPr="00247D3B">
        <w:rPr>
          <w:b/>
          <w:color w:val="000000"/>
        </w:rPr>
        <w:tab/>
        <w:t>What do I have to do?</w:t>
      </w:r>
    </w:p>
    <w:p w:rsidR="00D45FC7" w:rsidRPr="00247D3B" w:rsidRDefault="00D45FC7" w:rsidP="00D45FC7">
      <w:pPr>
        <w:rPr>
          <w:color w:val="000000"/>
        </w:rPr>
      </w:pPr>
      <w:r w:rsidRPr="00247D3B">
        <w:rPr>
          <w:color w:val="000000"/>
        </w:rPr>
        <w:t>The data collection for the Rare Diseases Registry may require you to complete a questionnaire about every 6 to 12 months. It may also require you to see your treating doctor about every 6 to 12 months, although this may have already happened as part of monitoring your condition or your response to Drug A.</w:t>
      </w:r>
    </w:p>
    <w:p w:rsidR="00D45FC7" w:rsidRPr="00247D3B" w:rsidRDefault="00D45FC7" w:rsidP="00D45FC7">
      <w:pPr>
        <w:ind w:left="720" w:hanging="720"/>
        <w:rPr>
          <w:b/>
          <w:color w:val="000000"/>
        </w:rPr>
      </w:pPr>
      <w:r w:rsidRPr="00247D3B">
        <w:rPr>
          <w:b/>
          <w:color w:val="000000"/>
        </w:rPr>
        <w:t>5</w:t>
      </w:r>
      <w:r w:rsidRPr="00247D3B">
        <w:rPr>
          <w:b/>
          <w:color w:val="000000"/>
        </w:rPr>
        <w:tab/>
        <w:t>Other relevant information about the research project</w:t>
      </w:r>
    </w:p>
    <w:p w:rsidR="00D45FC7" w:rsidRPr="00247D3B" w:rsidRDefault="00D45FC7" w:rsidP="00D45FC7">
      <w:pPr>
        <w:rPr>
          <w:color w:val="000000"/>
        </w:rPr>
      </w:pPr>
      <w:r w:rsidRPr="00247D3B">
        <w:rPr>
          <w:color w:val="000000"/>
        </w:rPr>
        <w:t xml:space="preserve">Everyone with Disease </w:t>
      </w:r>
      <w:proofErr w:type="gramStart"/>
      <w:r w:rsidRPr="00247D3B">
        <w:rPr>
          <w:color w:val="000000"/>
        </w:rPr>
        <w:t>A who</w:t>
      </w:r>
      <w:proofErr w:type="gramEnd"/>
      <w:r w:rsidRPr="00247D3B">
        <w:rPr>
          <w:color w:val="000000"/>
        </w:rPr>
        <w:t xml:space="preserve"> receives Drug A on the Rare Diseases Reimbursement Scheme will be involved in this data collection (unless there is an acceptable reason not to participate).  These patients will be all across Australia.</w:t>
      </w:r>
    </w:p>
    <w:p w:rsidR="00D45FC7" w:rsidRPr="00247D3B" w:rsidRDefault="00D45FC7" w:rsidP="00D45FC7">
      <w:pPr>
        <w:rPr>
          <w:b/>
          <w:color w:val="000000"/>
        </w:rPr>
      </w:pPr>
      <w:r w:rsidRPr="00247D3B">
        <w:rPr>
          <w:b/>
          <w:color w:val="000000"/>
        </w:rPr>
        <w:t>6</w:t>
      </w:r>
      <w:r w:rsidRPr="00247D3B">
        <w:rPr>
          <w:b/>
          <w:color w:val="000000"/>
        </w:rPr>
        <w:tab/>
        <w:t>Do I have to take part in this research project?</w:t>
      </w:r>
    </w:p>
    <w:p w:rsidR="00D45FC7" w:rsidRPr="00247D3B" w:rsidRDefault="00D45FC7" w:rsidP="00D45FC7">
      <w:pPr>
        <w:rPr>
          <w:color w:val="000000"/>
        </w:rPr>
      </w:pPr>
      <w:r w:rsidRPr="00247D3B">
        <w:rPr>
          <w:color w:val="000000"/>
        </w:rPr>
        <w:lastRenderedPageBreak/>
        <w:t>While participation in this data collection is voluntary, it is a condition of receiving Drug A on the Rare Diseases Reimbursement Scheme. Should you decide not to take part in this data collection, ordinarily you would not be eligible for reimbursed access to Drug A.  If you agree to receive Drug A on the scheme and feel that you have a good reason to not participate in the collection of your data, this will be considered by the Rare Diseases Registry Committee and you may be exempted from some of the data collection.</w:t>
      </w:r>
    </w:p>
    <w:p w:rsidR="00D45FC7" w:rsidRPr="00247D3B" w:rsidRDefault="00D45FC7" w:rsidP="00D45FC7">
      <w:pPr>
        <w:rPr>
          <w:color w:val="000000"/>
        </w:rPr>
      </w:pPr>
      <w:r w:rsidRPr="00247D3B">
        <w:rPr>
          <w:color w:val="000000"/>
        </w:rPr>
        <w:t>If you do decide to take part, you will be given this Participant Information and Consent Form to sign and you will be given a copy to keep.</w:t>
      </w:r>
    </w:p>
    <w:p w:rsidR="00D45FC7" w:rsidRPr="00247D3B" w:rsidRDefault="00D45FC7" w:rsidP="00D45FC7">
      <w:pPr>
        <w:rPr>
          <w:b/>
          <w:color w:val="000000"/>
        </w:rPr>
      </w:pPr>
      <w:r w:rsidRPr="00247D3B">
        <w:rPr>
          <w:b/>
          <w:color w:val="000000"/>
        </w:rPr>
        <w:t>7</w:t>
      </w:r>
      <w:r w:rsidRPr="00247D3B">
        <w:rPr>
          <w:b/>
          <w:color w:val="000000"/>
        </w:rPr>
        <w:tab/>
        <w:t>What are the possible benefits of taking part?</w:t>
      </w:r>
    </w:p>
    <w:p w:rsidR="00D45FC7" w:rsidRPr="00247D3B" w:rsidRDefault="00D45FC7" w:rsidP="00D45FC7">
      <w:pPr>
        <w:rPr>
          <w:color w:val="000000"/>
        </w:rPr>
      </w:pPr>
      <w:r w:rsidRPr="00247D3B">
        <w:rPr>
          <w:color w:val="000000"/>
        </w:rPr>
        <w:t>You may not receive any benefits from participating in the Rare Diseases Registry. The information collected may provide a better understanding of your disease or of how Drug A works for you and your treatment may be able to be improved. Also, your information may provide a better understanding of Disease A or Drug A for future patients.</w:t>
      </w:r>
    </w:p>
    <w:p w:rsidR="00D45FC7" w:rsidRPr="00247D3B" w:rsidRDefault="00D45FC7" w:rsidP="00D45FC7">
      <w:pPr>
        <w:rPr>
          <w:b/>
          <w:color w:val="000000"/>
        </w:rPr>
      </w:pPr>
      <w:r w:rsidRPr="00247D3B">
        <w:rPr>
          <w:b/>
          <w:color w:val="000000"/>
        </w:rPr>
        <w:t>8</w:t>
      </w:r>
      <w:r w:rsidRPr="00247D3B">
        <w:rPr>
          <w:b/>
          <w:color w:val="000000"/>
        </w:rPr>
        <w:tab/>
        <w:t>What are the possible risks and disadvantages of taking part?</w:t>
      </w:r>
    </w:p>
    <w:p w:rsidR="00D45FC7" w:rsidRPr="00247D3B" w:rsidRDefault="00D45FC7" w:rsidP="00D45FC7">
      <w:pPr>
        <w:rPr>
          <w:color w:val="000000"/>
        </w:rPr>
      </w:pPr>
      <w:r w:rsidRPr="00247D3B">
        <w:rPr>
          <w:color w:val="000000"/>
        </w:rPr>
        <w:t>There are no clear risks associated with taking part in the Rare Diseases Registry. However, if the Registry requires information at a time when you have not had a recent blood test or scan, your treating doctor may be asked to arrange this.  The Registry staff will work with your treating doctor to ensure that additional tests, over and above what your treating doctor would ordinarily require for the management of your condition, are entirely avoided or kept to a minimum.</w:t>
      </w:r>
    </w:p>
    <w:p w:rsidR="00D45FC7" w:rsidRPr="00247D3B" w:rsidRDefault="00D45FC7" w:rsidP="00D45FC7">
      <w:pPr>
        <w:rPr>
          <w:color w:val="000000"/>
        </w:rPr>
      </w:pPr>
      <w:r w:rsidRPr="00247D3B">
        <w:rPr>
          <w:color w:val="000000"/>
        </w:rPr>
        <w:t>If you are required to have an additional blood test, this will involve a needle and may have some side-effects at where the needle is inserted, such as bruising or bleeding.</w:t>
      </w:r>
    </w:p>
    <w:p w:rsidR="00D45FC7" w:rsidRPr="00247D3B" w:rsidRDefault="00D45FC7" w:rsidP="00D45FC7">
      <w:pPr>
        <w:rPr>
          <w:color w:val="000000"/>
        </w:rPr>
      </w:pPr>
      <w:r w:rsidRPr="00247D3B">
        <w:rPr>
          <w:color w:val="000000"/>
        </w:rPr>
        <w:t>If you are required to have an additional scan (which doesn’t involve radiation), this usually will involve no additional risks.</w:t>
      </w:r>
    </w:p>
    <w:p w:rsidR="00D45FC7" w:rsidRPr="00247D3B" w:rsidRDefault="00D45FC7" w:rsidP="00D45FC7">
      <w:pPr>
        <w:rPr>
          <w:color w:val="000000"/>
        </w:rPr>
      </w:pPr>
      <w:r w:rsidRPr="00247D3B">
        <w:rPr>
          <w:color w:val="000000"/>
        </w:rPr>
        <w:t>If your scan involves radiation (like an x-ray or CT scan), the level of radiation associated is low. Your treating doctor will explain the risks associated with these types of scans [this may require a specific paragraph addressing the use of ionising radiation – such statements are required by several HRECs].</w:t>
      </w:r>
    </w:p>
    <w:p w:rsidR="00D45FC7" w:rsidRPr="00247D3B" w:rsidRDefault="00D45FC7" w:rsidP="00D45FC7">
      <w:pPr>
        <w:rPr>
          <w:b/>
          <w:color w:val="000000"/>
        </w:rPr>
      </w:pPr>
      <w:r w:rsidRPr="00247D3B">
        <w:rPr>
          <w:b/>
          <w:color w:val="000000"/>
        </w:rPr>
        <w:t>9</w:t>
      </w:r>
      <w:r w:rsidRPr="00247D3B">
        <w:rPr>
          <w:b/>
          <w:color w:val="000000"/>
        </w:rPr>
        <w:tab/>
        <w:t>What if new information arises during this research project?</w:t>
      </w:r>
    </w:p>
    <w:p w:rsidR="00D45FC7" w:rsidRPr="00247D3B" w:rsidRDefault="00D45FC7" w:rsidP="00D45FC7">
      <w:pPr>
        <w:rPr>
          <w:color w:val="000000"/>
        </w:rPr>
      </w:pPr>
      <w:r w:rsidRPr="00247D3B">
        <w:rPr>
          <w:color w:val="000000"/>
        </w:rPr>
        <w:t>If new information arises during the course of your data collection that is relevant to you, Disease A or Drug A, your treating doctor will inform you about it. If the information is identified by the Registry staff and deemed to affect you, they will contact your treating doctor.</w:t>
      </w:r>
    </w:p>
    <w:p w:rsidR="00D45FC7" w:rsidRPr="00247D3B" w:rsidRDefault="00904DAB" w:rsidP="00D45FC7">
      <w:pPr>
        <w:rPr>
          <w:color w:val="000000"/>
        </w:rPr>
      </w:pPr>
      <w:r w:rsidRPr="00247D3B">
        <w:rPr>
          <w:color w:val="000000"/>
        </w:rPr>
        <w:t xml:space="preserve">If there are substantial changes to the types of data collected, or the use of the data, you </w:t>
      </w:r>
      <w:r>
        <w:rPr>
          <w:color w:val="000000"/>
        </w:rPr>
        <w:t>may</w:t>
      </w:r>
      <w:r w:rsidRPr="00247D3B">
        <w:rPr>
          <w:color w:val="000000"/>
        </w:rPr>
        <w:t xml:space="preserve"> be contacted through your treating doctor and asked to consent to the new process</w:t>
      </w:r>
      <w:r>
        <w:rPr>
          <w:color w:val="000000"/>
        </w:rPr>
        <w:t>, as required by a government-approved HREC</w:t>
      </w:r>
      <w:r w:rsidR="00D45FC7" w:rsidRPr="00247D3B">
        <w:rPr>
          <w:color w:val="000000"/>
        </w:rPr>
        <w:t>.</w:t>
      </w:r>
    </w:p>
    <w:p w:rsidR="00D45FC7" w:rsidRDefault="00D45FC7" w:rsidP="00D45FC7">
      <w:pPr>
        <w:spacing w:after="0" w:line="240" w:lineRule="auto"/>
        <w:jc w:val="left"/>
        <w:rPr>
          <w:b/>
          <w:color w:val="000000"/>
        </w:rPr>
      </w:pPr>
      <w:r>
        <w:rPr>
          <w:b/>
          <w:color w:val="000000"/>
        </w:rPr>
        <w:br w:type="page"/>
      </w:r>
    </w:p>
    <w:p w:rsidR="00D45FC7" w:rsidRPr="00247D3B" w:rsidRDefault="00D45FC7" w:rsidP="00D45FC7">
      <w:pPr>
        <w:rPr>
          <w:b/>
          <w:color w:val="000000"/>
        </w:rPr>
      </w:pPr>
      <w:r w:rsidRPr="00247D3B">
        <w:rPr>
          <w:b/>
          <w:color w:val="000000"/>
        </w:rPr>
        <w:lastRenderedPageBreak/>
        <w:t>10</w:t>
      </w:r>
      <w:r w:rsidRPr="00247D3B">
        <w:rPr>
          <w:b/>
          <w:color w:val="000000"/>
        </w:rPr>
        <w:tab/>
        <w:t>What if I withdraw from this research project?</w:t>
      </w:r>
    </w:p>
    <w:p w:rsidR="00D45FC7" w:rsidRPr="00247D3B" w:rsidRDefault="00D45FC7" w:rsidP="00D45FC7">
      <w:pPr>
        <w:rPr>
          <w:color w:val="000000"/>
        </w:rPr>
      </w:pPr>
      <w:r w:rsidRPr="00247D3B">
        <w:rPr>
          <w:color w:val="000000"/>
        </w:rPr>
        <w:t xml:space="preserve">If you decide to withdraw your consent for data collection relating to Drug </w:t>
      </w:r>
      <w:proofErr w:type="gramStart"/>
      <w:r w:rsidRPr="00247D3B">
        <w:rPr>
          <w:color w:val="000000"/>
        </w:rPr>
        <w:t>A</w:t>
      </w:r>
      <w:proofErr w:type="gramEnd"/>
      <w:r w:rsidRPr="00247D3B">
        <w:rPr>
          <w:color w:val="000000"/>
        </w:rPr>
        <w:t xml:space="preserve">, you may no longer be eligible to receive Drug A through the Rare Diseases Reimbursement Scheme. </w:t>
      </w:r>
    </w:p>
    <w:p w:rsidR="00D45FC7" w:rsidRPr="00247D3B" w:rsidRDefault="00D45FC7" w:rsidP="00D45FC7">
      <w:pPr>
        <w:rPr>
          <w:b/>
          <w:color w:val="000000"/>
        </w:rPr>
      </w:pPr>
      <w:r w:rsidRPr="00247D3B">
        <w:rPr>
          <w:b/>
          <w:color w:val="000000"/>
        </w:rPr>
        <w:t>11</w:t>
      </w:r>
      <w:r w:rsidRPr="00247D3B">
        <w:rPr>
          <w:b/>
          <w:color w:val="000000"/>
        </w:rPr>
        <w:tab/>
        <w:t>What happens when the research project ends?</w:t>
      </w:r>
    </w:p>
    <w:p w:rsidR="00D45FC7" w:rsidRPr="00247D3B" w:rsidRDefault="00D45FC7" w:rsidP="00D45FC7">
      <w:pPr>
        <w:rPr>
          <w:b/>
          <w:color w:val="000000"/>
        </w:rPr>
      </w:pPr>
      <w:r w:rsidRPr="00247D3B">
        <w:rPr>
          <w:color w:val="000000"/>
        </w:rPr>
        <w:t>At some point there may no longer be a need to collect information about Disease A or Drug A.  If this occurs, you will be notified and data collection will no longer happen.  However, your treating doctor may still require you to undergo many or all of the tests that are part of this data collection as part of your usual care.</w:t>
      </w:r>
    </w:p>
    <w:p w:rsidR="00D45FC7" w:rsidRPr="00247D3B" w:rsidRDefault="00D45FC7" w:rsidP="00D45FC7">
      <w:pPr>
        <w:rPr>
          <w:b/>
          <w:color w:val="000000"/>
          <w:sz w:val="28"/>
          <w:szCs w:val="28"/>
        </w:rPr>
      </w:pPr>
      <w:r w:rsidRPr="00247D3B">
        <w:rPr>
          <w:b/>
          <w:color w:val="000000"/>
          <w:sz w:val="28"/>
          <w:szCs w:val="28"/>
        </w:rPr>
        <w:t>Part 2</w:t>
      </w:r>
      <w:r w:rsidRPr="00247D3B">
        <w:rPr>
          <w:b/>
          <w:color w:val="000000"/>
          <w:sz w:val="28"/>
          <w:szCs w:val="28"/>
        </w:rPr>
        <w:tab/>
        <w:t>How is the research project being conducted?</w:t>
      </w:r>
    </w:p>
    <w:p w:rsidR="00D45FC7" w:rsidRPr="00247D3B" w:rsidRDefault="00D45FC7" w:rsidP="00D45FC7">
      <w:pPr>
        <w:rPr>
          <w:b/>
          <w:color w:val="000000"/>
        </w:rPr>
      </w:pPr>
      <w:r w:rsidRPr="00247D3B">
        <w:rPr>
          <w:b/>
          <w:color w:val="000000"/>
        </w:rPr>
        <w:t>12</w:t>
      </w:r>
      <w:r w:rsidRPr="00247D3B">
        <w:rPr>
          <w:b/>
          <w:color w:val="000000"/>
        </w:rPr>
        <w:tab/>
        <w:t>What will happen to information about me?</w:t>
      </w:r>
    </w:p>
    <w:p w:rsidR="00D45FC7" w:rsidRPr="00247D3B" w:rsidRDefault="00D45FC7" w:rsidP="00D45FC7">
      <w:pPr>
        <w:rPr>
          <w:color w:val="000000"/>
        </w:rPr>
      </w:pPr>
      <w:r w:rsidRPr="00247D3B">
        <w:rPr>
          <w:color w:val="000000"/>
        </w:rPr>
        <w:t>Information collected about you, Disease A or your response to Drug A will be kept in a secure database.  Only the Rare Diseases Reimbursement Committee and staff working with the database will have access to information such as your</w:t>
      </w:r>
      <w:r>
        <w:rPr>
          <w:color w:val="000000"/>
        </w:rPr>
        <w:t xml:space="preserve"> name or personal details. The </w:t>
      </w:r>
      <w:proofErr w:type="gramStart"/>
      <w:r>
        <w:rPr>
          <w:color w:val="000000"/>
        </w:rPr>
        <w:t>staff ha</w:t>
      </w:r>
      <w:r w:rsidR="00E66055">
        <w:rPr>
          <w:color w:val="000000"/>
        </w:rPr>
        <w:t>ve</w:t>
      </w:r>
      <w:proofErr w:type="gramEnd"/>
      <w:r w:rsidRPr="00247D3B">
        <w:rPr>
          <w:color w:val="000000"/>
        </w:rPr>
        <w:t xml:space="preserve"> signed confidentiality agreements and access to the database will be strictly controlled according to procedures that are compliant with the Privacy Act 1988, the International Conference on Harmonisation Good Clinical Practice (IHC GCP) and the NHMRC National statement on Ethical Conduct in Human Research. </w:t>
      </w:r>
    </w:p>
    <w:p w:rsidR="00D45FC7" w:rsidRPr="00247D3B" w:rsidRDefault="00D45FC7" w:rsidP="00D45FC7">
      <w:pPr>
        <w:rPr>
          <w:color w:val="000000"/>
        </w:rPr>
      </w:pPr>
      <w:r w:rsidRPr="00247D3B">
        <w:rPr>
          <w:color w:val="000000"/>
        </w:rPr>
        <w:t>Information from the database may be accessed for auditing purposes, and may be published.  However, no identifying information will be made available in any public reports and, due to the rarity of Disease A, particular care will be taken to aggregate (combine data from many patients) so that no patient’s data can be identified in the report. Data that are reported will be things like average age of patients, average dose of Drug A, the number of people who experience side effects and the types of benefit experienced by patients on Drug A. No one will be able to identify you from these reports.</w:t>
      </w:r>
    </w:p>
    <w:p w:rsidR="00D45FC7" w:rsidRPr="00247D3B" w:rsidRDefault="00D45FC7" w:rsidP="00D45FC7">
      <w:pPr>
        <w:rPr>
          <w:color w:val="000000"/>
        </w:rPr>
      </w:pPr>
      <w:r w:rsidRPr="00247D3B">
        <w:rPr>
          <w:color w:val="000000"/>
        </w:rPr>
        <w:t xml:space="preserve">It is possible that your data may be of value to other researchers who are looking to improve their understanding about Disease A or Drug A. If this is the case, and you consent to your data being used for this research, your data will be provided in a non-identifiable manner (your name, medical numbers, or any identifying information will be removed before these data are provided to another researcher). </w:t>
      </w:r>
      <w:r w:rsidR="00904DAB">
        <w:rPr>
          <w:color w:val="000000"/>
        </w:rPr>
        <w:t xml:space="preserve">This researcher may be in Australia, or may be international. </w:t>
      </w:r>
      <w:r w:rsidRPr="00247D3B">
        <w:rPr>
          <w:color w:val="000000"/>
        </w:rPr>
        <w:t xml:space="preserve">The provision of your data for other research purposes may improve our understanding of Disease A or Drug </w:t>
      </w:r>
      <w:r w:rsidR="00E66055" w:rsidRPr="00247D3B">
        <w:rPr>
          <w:color w:val="000000"/>
        </w:rPr>
        <w:t>A;</w:t>
      </w:r>
      <w:r w:rsidRPr="00247D3B">
        <w:rPr>
          <w:color w:val="000000"/>
        </w:rPr>
        <w:t xml:space="preserve"> however, providing this information is entirely voluntary and you may choose not to participate.  If you choose not to allow your non-identifiable information with another research group, it will have no impact upon your eligibility for treatment with Drug A in any way.</w:t>
      </w:r>
    </w:p>
    <w:p w:rsidR="00D45FC7" w:rsidRPr="00247D3B" w:rsidRDefault="00D45FC7" w:rsidP="00D45FC7">
      <w:pPr>
        <w:rPr>
          <w:color w:val="000000"/>
        </w:rPr>
      </w:pPr>
      <w:r w:rsidRPr="00247D3B">
        <w:rPr>
          <w:color w:val="000000"/>
        </w:rPr>
        <w:t>If you choose not to have your non-identifiable information given to other researchers, your information will only be used for the purposes of the registry and it will only be disclosed to others with your permission, or when required by law.</w:t>
      </w:r>
    </w:p>
    <w:p w:rsidR="00D45FC7" w:rsidRPr="00247D3B" w:rsidRDefault="00D45FC7" w:rsidP="00D45FC7">
      <w:pPr>
        <w:rPr>
          <w:color w:val="000000"/>
        </w:rPr>
      </w:pPr>
      <w:r w:rsidRPr="00247D3B">
        <w:rPr>
          <w:color w:val="000000"/>
        </w:rPr>
        <w:t xml:space="preserve">Most of your information will be collected from your treating doctor or directly from you (if you complete questionnaires). Sometimes data may need to be collected from your medical records or laboratory results. </w:t>
      </w:r>
    </w:p>
    <w:p w:rsidR="00D45FC7" w:rsidRDefault="00D45FC7" w:rsidP="00D45FC7">
      <w:pPr>
        <w:rPr>
          <w:color w:val="000000"/>
        </w:rPr>
      </w:pPr>
      <w:r w:rsidRPr="00247D3B">
        <w:rPr>
          <w:color w:val="000000"/>
        </w:rPr>
        <w:t>Information about your participation in data collection for the registry will be recorded in your health records</w:t>
      </w:r>
      <w:r w:rsidR="00904DAB">
        <w:rPr>
          <w:color w:val="000000"/>
        </w:rPr>
        <w:t>.</w:t>
      </w:r>
    </w:p>
    <w:p w:rsidR="00904DAB" w:rsidRPr="00247D3B" w:rsidRDefault="00904DAB" w:rsidP="00D45FC7">
      <w:pPr>
        <w:rPr>
          <w:color w:val="000000"/>
        </w:rPr>
      </w:pPr>
      <w:r>
        <w:rPr>
          <w:color w:val="000000"/>
        </w:rPr>
        <w:t>Your data will be stored securely for as long as the reimbursement of Drug A continues and sometimes longer.  If data on Drug A is no longer required, the data in this registry will be destroyed after a period of time determined by the central HREC.</w:t>
      </w:r>
    </w:p>
    <w:p w:rsidR="00D45FC7" w:rsidRPr="00247D3B" w:rsidRDefault="00D45FC7" w:rsidP="00D45FC7">
      <w:pPr>
        <w:rPr>
          <w:b/>
          <w:color w:val="000000"/>
        </w:rPr>
      </w:pPr>
      <w:r w:rsidRPr="00247D3B">
        <w:rPr>
          <w:b/>
          <w:color w:val="000000"/>
        </w:rPr>
        <w:t>13</w:t>
      </w:r>
      <w:r w:rsidRPr="00247D3B">
        <w:rPr>
          <w:b/>
          <w:color w:val="000000"/>
        </w:rPr>
        <w:tab/>
        <w:t>Who is organising and funding the research?</w:t>
      </w:r>
    </w:p>
    <w:p w:rsidR="00D45FC7" w:rsidRPr="00247D3B" w:rsidRDefault="00D45FC7" w:rsidP="00D45FC7">
      <w:pPr>
        <w:rPr>
          <w:color w:val="000000"/>
        </w:rPr>
      </w:pPr>
      <w:r w:rsidRPr="00247D3B">
        <w:rPr>
          <w:color w:val="000000"/>
        </w:rPr>
        <w:t xml:space="preserve">This research is being organised and funded by the Australian Government Department of Health. Some of the funding to support the registry may be recovered from the company that makes Drug </w:t>
      </w:r>
      <w:r w:rsidR="00E66055" w:rsidRPr="00247D3B">
        <w:rPr>
          <w:color w:val="000000"/>
        </w:rPr>
        <w:t>A;</w:t>
      </w:r>
      <w:r w:rsidRPr="00247D3B">
        <w:rPr>
          <w:color w:val="000000"/>
        </w:rPr>
        <w:t xml:space="preserve"> however the company will have no access to the data. Sometimes companies that make drugs will seek to collect similar data about patients and if this happens, your doctor will ask you to consent for this also.</w:t>
      </w:r>
    </w:p>
    <w:p w:rsidR="00D45FC7" w:rsidRPr="00247D3B" w:rsidRDefault="00D45FC7" w:rsidP="00D45FC7">
      <w:pPr>
        <w:rPr>
          <w:b/>
          <w:color w:val="000000"/>
        </w:rPr>
      </w:pPr>
      <w:r w:rsidRPr="00247D3B">
        <w:rPr>
          <w:b/>
          <w:color w:val="000000"/>
        </w:rPr>
        <w:t>14</w:t>
      </w:r>
      <w:r w:rsidRPr="00247D3B">
        <w:rPr>
          <w:b/>
          <w:color w:val="000000"/>
        </w:rPr>
        <w:tab/>
        <w:t>Who has reviewed the research project?</w:t>
      </w:r>
    </w:p>
    <w:p w:rsidR="00D45FC7" w:rsidRPr="00247D3B" w:rsidRDefault="00D45FC7" w:rsidP="00D45FC7">
      <w:pPr>
        <w:rPr>
          <w:color w:val="000000"/>
        </w:rPr>
      </w:pPr>
      <w:r w:rsidRPr="00247D3B">
        <w:rPr>
          <w:color w:val="000000"/>
        </w:rPr>
        <w:t xml:space="preserve">All research in Australia involving humans is reviewed by an independent group of people called a Human Research Ethics Committee (HREC).  The ethical aspects of this research project have been approved by the HREC of the Department of Health. This project will be carried out according to the </w:t>
      </w:r>
      <w:r w:rsidRPr="00247D3B">
        <w:rPr>
          <w:i/>
          <w:color w:val="000000"/>
        </w:rPr>
        <w:t>National Statement on Ethical Conduct in Human Research (2007)</w:t>
      </w:r>
      <w:r w:rsidRPr="00247D3B">
        <w:rPr>
          <w:color w:val="000000"/>
        </w:rPr>
        <w:t>. This statement has been developed to protect the interests of people who agree to participate in human research studies.</w:t>
      </w:r>
    </w:p>
    <w:p w:rsidR="00D45FC7" w:rsidRPr="00247D3B" w:rsidRDefault="00D45FC7" w:rsidP="00D45FC7">
      <w:pPr>
        <w:rPr>
          <w:b/>
          <w:color w:val="000000"/>
        </w:rPr>
      </w:pPr>
      <w:r w:rsidRPr="00247D3B">
        <w:rPr>
          <w:b/>
          <w:color w:val="000000"/>
        </w:rPr>
        <w:t>15</w:t>
      </w:r>
      <w:r w:rsidRPr="00247D3B">
        <w:rPr>
          <w:b/>
          <w:color w:val="000000"/>
        </w:rPr>
        <w:tab/>
        <w:t>Further information and who to contact</w:t>
      </w:r>
    </w:p>
    <w:p w:rsidR="00D45FC7" w:rsidRPr="00247D3B" w:rsidRDefault="00D45FC7" w:rsidP="00D45FC7">
      <w:pPr>
        <w:rPr>
          <w:color w:val="000000"/>
        </w:rPr>
      </w:pPr>
      <w:r w:rsidRPr="00247D3B">
        <w:rPr>
          <w:color w:val="000000"/>
        </w:rPr>
        <w:t>The person you may need to contact will depend on the nature of your query. If you have questions about Disease A or the effects of Drug A, you should contact your treating doctor.  If you wish to discuss anything about the data collection process, your doctor may be able to answer some questions (like exactly what is being collected). If you would like further information about where your information is stored, or how it is used, you may contact the Rare Diseases Registry staff (contact details below).</w:t>
      </w:r>
    </w:p>
    <w:p w:rsidR="00D45FC7" w:rsidRPr="00247D3B" w:rsidRDefault="00D45FC7" w:rsidP="00D45FC7">
      <w:pPr>
        <w:rPr>
          <w:color w:val="000000"/>
        </w:rPr>
      </w:pPr>
      <w:r w:rsidRPr="00247D3B">
        <w:rPr>
          <w:color w:val="000000"/>
        </w:rPr>
        <w:t>If you would like to discuss anything about this project with someone who is not involved in the project, or you have complaints about any aspect of the project and would prefer to talk to someone other than your treating doctor or the registry staff, you can call the Department of Health HREC (the ethics committee that approved the project).</w:t>
      </w:r>
    </w:p>
    <w:p w:rsidR="00D45FC7" w:rsidRPr="00247D3B" w:rsidRDefault="00D45FC7" w:rsidP="00D45FC7">
      <w:pPr>
        <w:rPr>
          <w:i/>
          <w:color w:val="000000"/>
        </w:rPr>
      </w:pPr>
    </w:p>
    <w:p w:rsidR="00D45FC7" w:rsidRPr="00247D3B" w:rsidRDefault="00D45FC7" w:rsidP="00D45FC7">
      <w:pPr>
        <w:tabs>
          <w:tab w:val="left" w:pos="180"/>
        </w:tabs>
        <w:rPr>
          <w:b/>
          <w:color w:val="000000"/>
        </w:rPr>
      </w:pPr>
      <w:r w:rsidRPr="00247D3B">
        <w:rPr>
          <w:b/>
          <w:color w:val="000000"/>
        </w:rPr>
        <w:t>Clinical contact person</w:t>
      </w:r>
    </w:p>
    <w:tbl>
      <w:tblPr>
        <w:tblpPr w:leftFromText="180" w:rightFromText="180" w:vertAnchor="text" w:horzAnchor="margin" w:tblpX="288" w:tblpY="27"/>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020"/>
      </w:tblGrid>
      <w:tr w:rsidR="00D45FC7" w:rsidRPr="00247D3B" w:rsidTr="00D45FC7">
        <w:tc>
          <w:tcPr>
            <w:tcW w:w="2088" w:type="dxa"/>
            <w:shd w:val="clear" w:color="auto" w:fill="auto"/>
          </w:tcPr>
          <w:p w:rsidR="00D45FC7" w:rsidRPr="00247D3B" w:rsidRDefault="00D45FC7" w:rsidP="00D45FC7">
            <w:pPr>
              <w:rPr>
                <w:color w:val="000000"/>
              </w:rPr>
            </w:pPr>
            <w:r w:rsidRPr="00247D3B">
              <w:rPr>
                <w:color w:val="000000"/>
              </w:rPr>
              <w:t>Name</w:t>
            </w:r>
          </w:p>
        </w:tc>
        <w:tc>
          <w:tcPr>
            <w:tcW w:w="7020" w:type="dxa"/>
            <w:shd w:val="clear" w:color="auto" w:fill="auto"/>
          </w:tcPr>
          <w:p w:rsidR="00D45FC7" w:rsidRPr="00247D3B" w:rsidRDefault="00D45FC7" w:rsidP="00D45FC7">
            <w:pPr>
              <w:rPr>
                <w:i/>
                <w:color w:val="000000"/>
              </w:rPr>
            </w:pPr>
            <w:r w:rsidRPr="00247D3B">
              <w:rPr>
                <w:i/>
                <w:color w:val="000000"/>
              </w:rPr>
              <w:t>Treating Doctor</w:t>
            </w:r>
          </w:p>
        </w:tc>
      </w:tr>
      <w:tr w:rsidR="00D45FC7" w:rsidRPr="00247D3B" w:rsidTr="00D45FC7">
        <w:tc>
          <w:tcPr>
            <w:tcW w:w="2088" w:type="dxa"/>
            <w:shd w:val="clear" w:color="auto" w:fill="auto"/>
          </w:tcPr>
          <w:p w:rsidR="00D45FC7" w:rsidRPr="00247D3B" w:rsidRDefault="00D45FC7" w:rsidP="00D45FC7">
            <w:pPr>
              <w:rPr>
                <w:color w:val="000000"/>
              </w:rPr>
            </w:pPr>
            <w:r w:rsidRPr="00247D3B">
              <w:rPr>
                <w:color w:val="000000"/>
              </w:rPr>
              <w:t>Position</w:t>
            </w:r>
          </w:p>
        </w:tc>
        <w:tc>
          <w:tcPr>
            <w:tcW w:w="7020" w:type="dxa"/>
            <w:shd w:val="clear" w:color="auto" w:fill="auto"/>
          </w:tcPr>
          <w:p w:rsidR="00D45FC7" w:rsidRPr="00247D3B" w:rsidRDefault="00D45FC7" w:rsidP="00D45FC7">
            <w:pPr>
              <w:rPr>
                <w:i/>
                <w:color w:val="000000"/>
              </w:rPr>
            </w:pPr>
          </w:p>
        </w:tc>
      </w:tr>
      <w:tr w:rsidR="00D45FC7" w:rsidRPr="00247D3B" w:rsidTr="00D45FC7">
        <w:tc>
          <w:tcPr>
            <w:tcW w:w="2088" w:type="dxa"/>
            <w:shd w:val="clear" w:color="auto" w:fill="auto"/>
          </w:tcPr>
          <w:p w:rsidR="00D45FC7" w:rsidRPr="00247D3B" w:rsidRDefault="00D45FC7" w:rsidP="00D45FC7">
            <w:pPr>
              <w:rPr>
                <w:color w:val="000000"/>
              </w:rPr>
            </w:pPr>
            <w:r w:rsidRPr="00247D3B">
              <w:rPr>
                <w:color w:val="000000"/>
              </w:rPr>
              <w:t>Telephone</w:t>
            </w:r>
          </w:p>
        </w:tc>
        <w:tc>
          <w:tcPr>
            <w:tcW w:w="7020" w:type="dxa"/>
            <w:shd w:val="clear" w:color="auto" w:fill="auto"/>
          </w:tcPr>
          <w:p w:rsidR="00D45FC7" w:rsidRPr="00247D3B" w:rsidRDefault="00D45FC7" w:rsidP="00D45FC7">
            <w:pPr>
              <w:rPr>
                <w:i/>
                <w:color w:val="000000"/>
              </w:rPr>
            </w:pPr>
          </w:p>
        </w:tc>
      </w:tr>
      <w:tr w:rsidR="00D45FC7" w:rsidRPr="00247D3B" w:rsidTr="00D45FC7">
        <w:tc>
          <w:tcPr>
            <w:tcW w:w="2088" w:type="dxa"/>
            <w:shd w:val="clear" w:color="auto" w:fill="auto"/>
          </w:tcPr>
          <w:p w:rsidR="00D45FC7" w:rsidRPr="00247D3B" w:rsidRDefault="00D45FC7" w:rsidP="00D45FC7">
            <w:pPr>
              <w:rPr>
                <w:color w:val="000000"/>
              </w:rPr>
            </w:pPr>
            <w:r w:rsidRPr="00247D3B">
              <w:rPr>
                <w:color w:val="000000"/>
              </w:rPr>
              <w:t>Email</w:t>
            </w:r>
          </w:p>
        </w:tc>
        <w:tc>
          <w:tcPr>
            <w:tcW w:w="7020" w:type="dxa"/>
            <w:shd w:val="clear" w:color="auto" w:fill="auto"/>
          </w:tcPr>
          <w:p w:rsidR="00D45FC7" w:rsidRPr="00247D3B" w:rsidRDefault="00D45FC7" w:rsidP="00D45FC7">
            <w:pPr>
              <w:rPr>
                <w:i/>
                <w:color w:val="000000"/>
              </w:rPr>
            </w:pPr>
          </w:p>
        </w:tc>
      </w:tr>
    </w:tbl>
    <w:p w:rsidR="00D45FC7" w:rsidRPr="00247D3B" w:rsidRDefault="00D45FC7" w:rsidP="00D45FC7">
      <w:pPr>
        <w:rPr>
          <w:color w:val="000000"/>
        </w:rPr>
      </w:pPr>
    </w:p>
    <w:p w:rsidR="00D45FC7" w:rsidRPr="00247D3B" w:rsidRDefault="00D45FC7" w:rsidP="00D45FC7">
      <w:pPr>
        <w:tabs>
          <w:tab w:val="left" w:pos="180"/>
        </w:tabs>
        <w:rPr>
          <w:b/>
          <w:color w:val="000000"/>
        </w:rPr>
      </w:pPr>
      <w:r w:rsidRPr="00247D3B">
        <w:rPr>
          <w:b/>
          <w:color w:val="000000"/>
        </w:rPr>
        <w:t>Registry contact person</w:t>
      </w:r>
    </w:p>
    <w:tbl>
      <w:tblPr>
        <w:tblpPr w:leftFromText="180" w:rightFromText="180" w:vertAnchor="text" w:horzAnchor="margin" w:tblpX="288" w:tblpY="27"/>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020"/>
      </w:tblGrid>
      <w:tr w:rsidR="00D45FC7" w:rsidRPr="00247D3B" w:rsidTr="00D45FC7">
        <w:tc>
          <w:tcPr>
            <w:tcW w:w="2088" w:type="dxa"/>
            <w:shd w:val="clear" w:color="auto" w:fill="auto"/>
          </w:tcPr>
          <w:p w:rsidR="00D45FC7" w:rsidRPr="00247D3B" w:rsidRDefault="00D45FC7" w:rsidP="00D45FC7">
            <w:pPr>
              <w:rPr>
                <w:color w:val="000000"/>
              </w:rPr>
            </w:pPr>
            <w:r w:rsidRPr="00247D3B">
              <w:rPr>
                <w:color w:val="000000"/>
              </w:rPr>
              <w:t>Name</w:t>
            </w:r>
          </w:p>
        </w:tc>
        <w:tc>
          <w:tcPr>
            <w:tcW w:w="7020" w:type="dxa"/>
            <w:shd w:val="clear" w:color="auto" w:fill="auto"/>
          </w:tcPr>
          <w:p w:rsidR="00D45FC7" w:rsidRPr="00247D3B" w:rsidRDefault="00D45FC7" w:rsidP="00D45FC7">
            <w:pPr>
              <w:rPr>
                <w:i/>
                <w:color w:val="000000"/>
              </w:rPr>
            </w:pPr>
            <w:r w:rsidRPr="00247D3B">
              <w:rPr>
                <w:i/>
                <w:color w:val="000000"/>
              </w:rPr>
              <w:t>Registry personnel</w:t>
            </w:r>
          </w:p>
        </w:tc>
      </w:tr>
      <w:tr w:rsidR="00D45FC7" w:rsidRPr="00247D3B" w:rsidTr="00D45FC7">
        <w:tc>
          <w:tcPr>
            <w:tcW w:w="2088" w:type="dxa"/>
            <w:shd w:val="clear" w:color="auto" w:fill="auto"/>
          </w:tcPr>
          <w:p w:rsidR="00D45FC7" w:rsidRPr="00247D3B" w:rsidRDefault="00D45FC7" w:rsidP="00D45FC7">
            <w:pPr>
              <w:rPr>
                <w:color w:val="000000"/>
              </w:rPr>
            </w:pPr>
            <w:r w:rsidRPr="00247D3B">
              <w:rPr>
                <w:color w:val="000000"/>
              </w:rPr>
              <w:t>Position</w:t>
            </w:r>
          </w:p>
        </w:tc>
        <w:tc>
          <w:tcPr>
            <w:tcW w:w="7020" w:type="dxa"/>
            <w:shd w:val="clear" w:color="auto" w:fill="auto"/>
          </w:tcPr>
          <w:p w:rsidR="00D45FC7" w:rsidRPr="00247D3B" w:rsidRDefault="00D45FC7" w:rsidP="00D45FC7">
            <w:pPr>
              <w:rPr>
                <w:i/>
                <w:color w:val="000000"/>
              </w:rPr>
            </w:pPr>
          </w:p>
        </w:tc>
      </w:tr>
      <w:tr w:rsidR="00D45FC7" w:rsidRPr="00247D3B" w:rsidTr="00D45FC7">
        <w:tc>
          <w:tcPr>
            <w:tcW w:w="2088" w:type="dxa"/>
            <w:shd w:val="clear" w:color="auto" w:fill="auto"/>
          </w:tcPr>
          <w:p w:rsidR="00D45FC7" w:rsidRPr="00247D3B" w:rsidRDefault="00D45FC7" w:rsidP="00D45FC7">
            <w:pPr>
              <w:rPr>
                <w:color w:val="000000"/>
              </w:rPr>
            </w:pPr>
            <w:r w:rsidRPr="00247D3B">
              <w:rPr>
                <w:color w:val="000000"/>
              </w:rPr>
              <w:t>Telephone</w:t>
            </w:r>
          </w:p>
        </w:tc>
        <w:tc>
          <w:tcPr>
            <w:tcW w:w="7020" w:type="dxa"/>
            <w:shd w:val="clear" w:color="auto" w:fill="auto"/>
          </w:tcPr>
          <w:p w:rsidR="00D45FC7" w:rsidRPr="00247D3B" w:rsidRDefault="00D45FC7" w:rsidP="00D45FC7">
            <w:pPr>
              <w:rPr>
                <w:i/>
                <w:color w:val="000000"/>
              </w:rPr>
            </w:pPr>
          </w:p>
        </w:tc>
      </w:tr>
      <w:tr w:rsidR="00D45FC7" w:rsidRPr="00247D3B" w:rsidTr="00D45FC7">
        <w:tc>
          <w:tcPr>
            <w:tcW w:w="2088" w:type="dxa"/>
            <w:shd w:val="clear" w:color="auto" w:fill="auto"/>
          </w:tcPr>
          <w:p w:rsidR="00D45FC7" w:rsidRPr="00247D3B" w:rsidRDefault="00D45FC7" w:rsidP="00D45FC7">
            <w:pPr>
              <w:rPr>
                <w:color w:val="000000"/>
              </w:rPr>
            </w:pPr>
            <w:r w:rsidRPr="00247D3B">
              <w:rPr>
                <w:color w:val="000000"/>
              </w:rPr>
              <w:t>Email</w:t>
            </w:r>
          </w:p>
        </w:tc>
        <w:tc>
          <w:tcPr>
            <w:tcW w:w="7020" w:type="dxa"/>
            <w:shd w:val="clear" w:color="auto" w:fill="auto"/>
          </w:tcPr>
          <w:p w:rsidR="00D45FC7" w:rsidRPr="00247D3B" w:rsidRDefault="00D45FC7" w:rsidP="00D45FC7">
            <w:pPr>
              <w:rPr>
                <w:i/>
                <w:color w:val="000000"/>
              </w:rPr>
            </w:pPr>
          </w:p>
        </w:tc>
      </w:tr>
    </w:tbl>
    <w:p w:rsidR="00D45FC7" w:rsidRPr="00247D3B" w:rsidRDefault="00D45FC7" w:rsidP="00D45FC7">
      <w:pPr>
        <w:rPr>
          <w:color w:val="000000"/>
        </w:rPr>
      </w:pPr>
    </w:p>
    <w:p w:rsidR="00D45FC7" w:rsidRPr="00247D3B" w:rsidRDefault="00D45FC7" w:rsidP="00D45FC7">
      <w:pPr>
        <w:tabs>
          <w:tab w:val="left" w:pos="180"/>
        </w:tabs>
        <w:rPr>
          <w:b/>
          <w:color w:val="000000"/>
        </w:rPr>
      </w:pPr>
      <w:r w:rsidRPr="00247D3B">
        <w:rPr>
          <w:b/>
          <w:color w:val="000000"/>
        </w:rPr>
        <w:t>Complaints contact person</w:t>
      </w:r>
    </w:p>
    <w:tbl>
      <w:tblPr>
        <w:tblpPr w:leftFromText="180" w:rightFromText="180" w:vertAnchor="text" w:horzAnchor="margin" w:tblpX="288" w:tblpY="27"/>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020"/>
      </w:tblGrid>
      <w:tr w:rsidR="00D45FC7" w:rsidRPr="00247D3B" w:rsidTr="00D45FC7">
        <w:tc>
          <w:tcPr>
            <w:tcW w:w="2088" w:type="dxa"/>
            <w:shd w:val="clear" w:color="auto" w:fill="auto"/>
          </w:tcPr>
          <w:p w:rsidR="00D45FC7" w:rsidRPr="00247D3B" w:rsidRDefault="00D45FC7" w:rsidP="00D45FC7">
            <w:pPr>
              <w:rPr>
                <w:color w:val="000000"/>
              </w:rPr>
            </w:pPr>
            <w:r w:rsidRPr="00247D3B">
              <w:rPr>
                <w:color w:val="000000"/>
              </w:rPr>
              <w:t>Name</w:t>
            </w:r>
          </w:p>
        </w:tc>
        <w:tc>
          <w:tcPr>
            <w:tcW w:w="7020" w:type="dxa"/>
            <w:shd w:val="clear" w:color="auto" w:fill="auto"/>
          </w:tcPr>
          <w:p w:rsidR="00D45FC7" w:rsidRPr="00247D3B" w:rsidRDefault="00D45FC7" w:rsidP="00D45FC7">
            <w:pPr>
              <w:rPr>
                <w:i/>
                <w:color w:val="000000"/>
              </w:rPr>
            </w:pPr>
            <w:r w:rsidRPr="00247D3B">
              <w:rPr>
                <w:i/>
                <w:color w:val="000000"/>
              </w:rPr>
              <w:t>HREC representative</w:t>
            </w:r>
          </w:p>
        </w:tc>
      </w:tr>
      <w:tr w:rsidR="00D45FC7" w:rsidRPr="00247D3B" w:rsidTr="00D45FC7">
        <w:tc>
          <w:tcPr>
            <w:tcW w:w="2088" w:type="dxa"/>
            <w:shd w:val="clear" w:color="auto" w:fill="auto"/>
          </w:tcPr>
          <w:p w:rsidR="00D45FC7" w:rsidRPr="00247D3B" w:rsidRDefault="00D45FC7" w:rsidP="00D45FC7">
            <w:pPr>
              <w:rPr>
                <w:color w:val="000000"/>
              </w:rPr>
            </w:pPr>
            <w:r w:rsidRPr="00247D3B">
              <w:rPr>
                <w:color w:val="000000"/>
              </w:rPr>
              <w:t>Position</w:t>
            </w:r>
          </w:p>
        </w:tc>
        <w:tc>
          <w:tcPr>
            <w:tcW w:w="7020" w:type="dxa"/>
            <w:shd w:val="clear" w:color="auto" w:fill="auto"/>
          </w:tcPr>
          <w:p w:rsidR="00D45FC7" w:rsidRPr="00247D3B" w:rsidRDefault="00D45FC7" w:rsidP="00D45FC7">
            <w:pPr>
              <w:rPr>
                <w:i/>
                <w:color w:val="000000"/>
              </w:rPr>
            </w:pPr>
          </w:p>
        </w:tc>
      </w:tr>
      <w:tr w:rsidR="00D45FC7" w:rsidRPr="00247D3B" w:rsidTr="00D45FC7">
        <w:tc>
          <w:tcPr>
            <w:tcW w:w="2088" w:type="dxa"/>
            <w:shd w:val="clear" w:color="auto" w:fill="auto"/>
          </w:tcPr>
          <w:p w:rsidR="00D45FC7" w:rsidRPr="00247D3B" w:rsidRDefault="00D45FC7" w:rsidP="00D45FC7">
            <w:pPr>
              <w:rPr>
                <w:color w:val="000000"/>
              </w:rPr>
            </w:pPr>
            <w:r w:rsidRPr="00247D3B">
              <w:rPr>
                <w:color w:val="000000"/>
              </w:rPr>
              <w:t>Telephone</w:t>
            </w:r>
          </w:p>
        </w:tc>
        <w:tc>
          <w:tcPr>
            <w:tcW w:w="7020" w:type="dxa"/>
            <w:shd w:val="clear" w:color="auto" w:fill="auto"/>
          </w:tcPr>
          <w:p w:rsidR="00D45FC7" w:rsidRPr="00247D3B" w:rsidRDefault="00D45FC7" w:rsidP="00D45FC7">
            <w:pPr>
              <w:rPr>
                <w:i/>
                <w:color w:val="000000"/>
              </w:rPr>
            </w:pPr>
          </w:p>
        </w:tc>
      </w:tr>
      <w:tr w:rsidR="00D45FC7" w:rsidRPr="00247D3B" w:rsidTr="00D45FC7">
        <w:tc>
          <w:tcPr>
            <w:tcW w:w="2088" w:type="dxa"/>
            <w:shd w:val="clear" w:color="auto" w:fill="auto"/>
          </w:tcPr>
          <w:p w:rsidR="00D45FC7" w:rsidRPr="00247D3B" w:rsidRDefault="00D45FC7" w:rsidP="00D45FC7">
            <w:pPr>
              <w:rPr>
                <w:color w:val="000000"/>
              </w:rPr>
            </w:pPr>
            <w:r w:rsidRPr="00247D3B">
              <w:rPr>
                <w:color w:val="000000"/>
              </w:rPr>
              <w:t>Email</w:t>
            </w:r>
          </w:p>
        </w:tc>
        <w:tc>
          <w:tcPr>
            <w:tcW w:w="7020" w:type="dxa"/>
            <w:shd w:val="clear" w:color="auto" w:fill="auto"/>
          </w:tcPr>
          <w:p w:rsidR="00D45FC7" w:rsidRPr="00247D3B" w:rsidRDefault="00D45FC7" w:rsidP="00D45FC7">
            <w:pPr>
              <w:rPr>
                <w:i/>
                <w:color w:val="000000"/>
              </w:rPr>
            </w:pPr>
          </w:p>
        </w:tc>
      </w:tr>
    </w:tbl>
    <w:p w:rsidR="00D45FC7" w:rsidRPr="00247D3B" w:rsidRDefault="00D45FC7" w:rsidP="00D45FC7">
      <w:pPr>
        <w:ind w:left="180"/>
        <w:rPr>
          <w:color w:val="000000"/>
        </w:rPr>
      </w:pPr>
    </w:p>
    <w:p w:rsidR="00D45FC7" w:rsidRPr="00247D3B" w:rsidRDefault="00D45FC7" w:rsidP="00D45FC7">
      <w:pPr>
        <w:ind w:left="180"/>
        <w:rPr>
          <w:color w:val="000000"/>
        </w:rPr>
      </w:pPr>
    </w:p>
    <w:p w:rsidR="00D45FC7" w:rsidRPr="00247D3B" w:rsidRDefault="00D45FC7" w:rsidP="00D45FC7">
      <w:pPr>
        <w:ind w:left="180"/>
        <w:rPr>
          <w:color w:val="000000"/>
        </w:rPr>
        <w:sectPr w:rsidR="00D45FC7" w:rsidRPr="00247D3B" w:rsidSect="00790312">
          <w:pgSz w:w="11906" w:h="16838" w:code="9"/>
          <w:pgMar w:top="1077" w:right="1287" w:bottom="902" w:left="1259" w:header="709" w:footer="709" w:gutter="0"/>
          <w:cols w:space="708"/>
          <w:docGrid w:linePitch="360"/>
        </w:sectPr>
      </w:pPr>
    </w:p>
    <w:p w:rsidR="00D45FC7" w:rsidRPr="00247D3B" w:rsidRDefault="00D45FC7" w:rsidP="00D45FC7">
      <w:pPr>
        <w:jc w:val="center"/>
        <w:rPr>
          <w:b/>
          <w:color w:val="000000"/>
          <w:sz w:val="32"/>
          <w:szCs w:val="32"/>
        </w:rPr>
      </w:pPr>
      <w:r w:rsidRPr="00247D3B">
        <w:rPr>
          <w:b/>
          <w:color w:val="000000"/>
          <w:sz w:val="32"/>
          <w:szCs w:val="32"/>
        </w:rPr>
        <w:t xml:space="preserve">Consent Form - </w:t>
      </w:r>
      <w:r w:rsidRPr="00247D3B">
        <w:rPr>
          <w:i/>
          <w:color w:val="000000"/>
        </w:rPr>
        <w:t>Adult providing own consent</w:t>
      </w:r>
    </w:p>
    <w:p w:rsidR="00D45FC7" w:rsidRPr="00247D3B" w:rsidRDefault="00D45FC7" w:rsidP="00D45FC7">
      <w:pPr>
        <w:rPr>
          <w:color w:val="000000"/>
          <w:sz w:val="12"/>
          <w:szCs w:val="12"/>
        </w:rPr>
      </w:pPr>
    </w:p>
    <w:tbl>
      <w:tblPr>
        <w:tblW w:w="0" w:type="auto"/>
        <w:tblLook w:val="01E0" w:firstRow="1" w:lastRow="1" w:firstColumn="1" w:lastColumn="1" w:noHBand="0" w:noVBand="0"/>
      </w:tblPr>
      <w:tblGrid>
        <w:gridCol w:w="3960"/>
        <w:gridCol w:w="5040"/>
      </w:tblGrid>
      <w:tr w:rsidR="00D45FC7" w:rsidRPr="0020085A" w:rsidTr="00D45FC7">
        <w:trPr>
          <w:trHeight w:hRule="exact" w:val="675"/>
        </w:trPr>
        <w:tc>
          <w:tcPr>
            <w:tcW w:w="3960" w:type="dxa"/>
            <w:shd w:val="clear" w:color="auto" w:fill="auto"/>
            <w:vAlign w:val="center"/>
          </w:tcPr>
          <w:p w:rsidR="00D45FC7" w:rsidRPr="0020085A" w:rsidRDefault="00D45FC7" w:rsidP="00D45FC7">
            <w:pPr>
              <w:spacing w:after="0" w:line="240" w:lineRule="auto"/>
              <w:rPr>
                <w:color w:val="000000"/>
              </w:rPr>
            </w:pPr>
            <w:r w:rsidRPr="0020085A">
              <w:rPr>
                <w:b/>
                <w:color w:val="000000"/>
              </w:rPr>
              <w:t>Title</w:t>
            </w:r>
          </w:p>
        </w:tc>
        <w:tc>
          <w:tcPr>
            <w:tcW w:w="5040" w:type="dxa"/>
            <w:shd w:val="clear" w:color="auto" w:fill="auto"/>
            <w:vAlign w:val="center"/>
          </w:tcPr>
          <w:p w:rsidR="00D45FC7" w:rsidRPr="0020085A" w:rsidRDefault="00D45FC7" w:rsidP="00D45FC7">
            <w:pPr>
              <w:spacing w:after="0" w:line="240" w:lineRule="auto"/>
              <w:rPr>
                <w:color w:val="000000"/>
              </w:rPr>
            </w:pPr>
            <w:r w:rsidRPr="0020085A">
              <w:rPr>
                <w:i/>
                <w:color w:val="000000"/>
              </w:rPr>
              <w:t>Collection of data for drugs reimbursed through the rare diseases program</w:t>
            </w:r>
          </w:p>
        </w:tc>
      </w:tr>
      <w:tr w:rsidR="00D45FC7" w:rsidRPr="0020085A" w:rsidTr="00D45FC7">
        <w:trPr>
          <w:trHeight w:hRule="exact" w:val="284"/>
        </w:trPr>
        <w:tc>
          <w:tcPr>
            <w:tcW w:w="3960" w:type="dxa"/>
            <w:shd w:val="clear" w:color="auto" w:fill="auto"/>
            <w:vAlign w:val="center"/>
          </w:tcPr>
          <w:p w:rsidR="00D45FC7" w:rsidRPr="0020085A" w:rsidRDefault="00D45FC7" w:rsidP="00D45FC7">
            <w:pPr>
              <w:spacing w:after="0" w:line="240" w:lineRule="auto"/>
              <w:rPr>
                <w:color w:val="000000"/>
              </w:rPr>
            </w:pPr>
            <w:r w:rsidRPr="0020085A">
              <w:rPr>
                <w:b/>
                <w:color w:val="000000"/>
              </w:rPr>
              <w:t>Short Title</w:t>
            </w:r>
          </w:p>
        </w:tc>
        <w:tc>
          <w:tcPr>
            <w:tcW w:w="5040" w:type="dxa"/>
            <w:shd w:val="clear" w:color="auto" w:fill="auto"/>
            <w:vAlign w:val="center"/>
          </w:tcPr>
          <w:p w:rsidR="00D45FC7" w:rsidRPr="0020085A" w:rsidRDefault="00D45FC7" w:rsidP="00D45FC7">
            <w:pPr>
              <w:spacing w:after="0" w:line="240" w:lineRule="auto"/>
              <w:rPr>
                <w:color w:val="000000"/>
              </w:rPr>
            </w:pPr>
            <w:r w:rsidRPr="0020085A">
              <w:rPr>
                <w:i/>
                <w:color w:val="000000"/>
              </w:rPr>
              <w:t>Rare diseases registry</w:t>
            </w:r>
          </w:p>
        </w:tc>
      </w:tr>
      <w:tr w:rsidR="00D45FC7" w:rsidRPr="0020085A" w:rsidTr="00D45FC7">
        <w:trPr>
          <w:trHeight w:hRule="exact" w:val="1443"/>
        </w:trPr>
        <w:tc>
          <w:tcPr>
            <w:tcW w:w="3960" w:type="dxa"/>
            <w:shd w:val="clear" w:color="auto" w:fill="auto"/>
            <w:vAlign w:val="center"/>
          </w:tcPr>
          <w:p w:rsidR="00D45FC7" w:rsidRPr="0020085A" w:rsidRDefault="00D45FC7" w:rsidP="00D45FC7">
            <w:pPr>
              <w:spacing w:after="0" w:line="240" w:lineRule="auto"/>
              <w:rPr>
                <w:color w:val="000000"/>
              </w:rPr>
            </w:pPr>
            <w:r w:rsidRPr="0020085A">
              <w:rPr>
                <w:b/>
                <w:color w:val="000000"/>
              </w:rPr>
              <w:t>Contact</w:t>
            </w:r>
          </w:p>
        </w:tc>
        <w:tc>
          <w:tcPr>
            <w:tcW w:w="5040" w:type="dxa"/>
            <w:shd w:val="clear" w:color="auto" w:fill="auto"/>
            <w:vAlign w:val="center"/>
          </w:tcPr>
          <w:p w:rsidR="00D45FC7" w:rsidRPr="0020085A" w:rsidRDefault="00D45FC7" w:rsidP="00D45FC7">
            <w:pPr>
              <w:spacing w:after="0" w:line="240" w:lineRule="auto"/>
              <w:rPr>
                <w:i/>
                <w:color w:val="000000"/>
              </w:rPr>
            </w:pPr>
            <w:r w:rsidRPr="0020085A">
              <w:rPr>
                <w:i/>
                <w:color w:val="000000"/>
              </w:rPr>
              <w:t>Ms xxxxxxx</w:t>
            </w:r>
          </w:p>
          <w:p w:rsidR="00D45FC7" w:rsidRPr="0020085A" w:rsidRDefault="00D45FC7" w:rsidP="00D45FC7">
            <w:pPr>
              <w:spacing w:after="0" w:line="240" w:lineRule="auto"/>
              <w:rPr>
                <w:i/>
                <w:color w:val="000000"/>
              </w:rPr>
            </w:pPr>
            <w:r w:rsidRPr="0020085A">
              <w:rPr>
                <w:i/>
                <w:color w:val="000000"/>
              </w:rPr>
              <w:t>Rare diseases registry coordinator</w:t>
            </w:r>
          </w:p>
          <w:p w:rsidR="00D45FC7" w:rsidRPr="0020085A" w:rsidRDefault="00D45FC7" w:rsidP="00D45FC7">
            <w:pPr>
              <w:spacing w:after="0" w:line="240" w:lineRule="auto"/>
              <w:rPr>
                <w:i/>
                <w:color w:val="000000"/>
              </w:rPr>
            </w:pPr>
            <w:r w:rsidRPr="0020085A">
              <w:rPr>
                <w:i/>
                <w:color w:val="000000"/>
              </w:rPr>
              <w:t>Mail Drop xxxxx</w:t>
            </w:r>
          </w:p>
          <w:p w:rsidR="00D45FC7" w:rsidRPr="0020085A" w:rsidRDefault="00D45FC7" w:rsidP="00D45FC7">
            <w:pPr>
              <w:spacing w:after="0" w:line="240" w:lineRule="auto"/>
              <w:rPr>
                <w:i/>
                <w:color w:val="000000"/>
              </w:rPr>
            </w:pPr>
            <w:r w:rsidRPr="0020085A">
              <w:rPr>
                <w:i/>
                <w:color w:val="000000"/>
              </w:rPr>
              <w:t>Canberra, ACT, 2600</w:t>
            </w:r>
          </w:p>
          <w:p w:rsidR="00D45FC7" w:rsidRPr="0020085A" w:rsidRDefault="00D45FC7" w:rsidP="00D45FC7">
            <w:pPr>
              <w:spacing w:after="0" w:line="240" w:lineRule="auto"/>
              <w:rPr>
                <w:i/>
                <w:color w:val="000000"/>
              </w:rPr>
            </w:pPr>
            <w:r w:rsidRPr="0020085A">
              <w:rPr>
                <w:i/>
                <w:color w:val="000000"/>
              </w:rPr>
              <w:t>Ph: 02 xxxxxxxx</w:t>
            </w:r>
          </w:p>
        </w:tc>
      </w:tr>
    </w:tbl>
    <w:p w:rsidR="00D45FC7" w:rsidRPr="0020085A" w:rsidRDefault="00D45FC7" w:rsidP="00D45FC7">
      <w:pPr>
        <w:ind w:left="180" w:hanging="180"/>
        <w:rPr>
          <w:color w:val="000000"/>
        </w:rPr>
      </w:pPr>
    </w:p>
    <w:p w:rsidR="00D45FC7" w:rsidRPr="0020085A" w:rsidRDefault="00D45FC7" w:rsidP="00D45FC7">
      <w:pPr>
        <w:rPr>
          <w:b/>
          <w:color w:val="000000"/>
          <w:u w:val="single"/>
        </w:rPr>
      </w:pPr>
      <w:r w:rsidRPr="0020085A">
        <w:rPr>
          <w:b/>
          <w:color w:val="000000"/>
          <w:u w:val="single"/>
        </w:rPr>
        <w:t>Declaration by Participant</w:t>
      </w:r>
    </w:p>
    <w:p w:rsidR="00D45FC7" w:rsidRPr="006D5454" w:rsidRDefault="00D45FC7" w:rsidP="000959DF">
      <w:pPr>
        <w:pStyle w:val="ListParagraph"/>
        <w:widowControl w:val="0"/>
        <w:numPr>
          <w:ilvl w:val="0"/>
          <w:numId w:val="60"/>
        </w:numPr>
        <w:autoSpaceDE/>
        <w:autoSpaceDN/>
        <w:adjustRightInd/>
        <w:spacing w:after="0"/>
        <w:contextualSpacing/>
        <w:rPr>
          <w:color w:val="000000"/>
          <w:sz w:val="20"/>
          <w:szCs w:val="20"/>
        </w:rPr>
      </w:pPr>
      <w:r w:rsidRPr="006D5454">
        <w:rPr>
          <w:color w:val="000000"/>
          <w:sz w:val="20"/>
          <w:szCs w:val="20"/>
        </w:rPr>
        <w:t xml:space="preserve">I have read the Participant Information Sheet or someone has read it to me in a language that I understand. </w:t>
      </w:r>
    </w:p>
    <w:p w:rsidR="00D45FC7" w:rsidRPr="006D5454" w:rsidRDefault="00D45FC7" w:rsidP="000959DF">
      <w:pPr>
        <w:pStyle w:val="ListParagraph"/>
        <w:widowControl w:val="0"/>
        <w:numPr>
          <w:ilvl w:val="0"/>
          <w:numId w:val="60"/>
        </w:numPr>
        <w:autoSpaceDE/>
        <w:autoSpaceDN/>
        <w:adjustRightInd/>
        <w:spacing w:after="0"/>
        <w:contextualSpacing/>
        <w:rPr>
          <w:color w:val="000000"/>
          <w:sz w:val="20"/>
          <w:szCs w:val="20"/>
        </w:rPr>
      </w:pPr>
      <w:r w:rsidRPr="006D5454">
        <w:rPr>
          <w:color w:val="000000"/>
          <w:sz w:val="20"/>
          <w:szCs w:val="20"/>
        </w:rPr>
        <w:t>I understand the purposes, procedures and risks of the research described in the project.</w:t>
      </w:r>
    </w:p>
    <w:p w:rsidR="00D45FC7" w:rsidRPr="006D5454" w:rsidRDefault="00D45FC7" w:rsidP="000959DF">
      <w:pPr>
        <w:pStyle w:val="ListParagraph"/>
        <w:widowControl w:val="0"/>
        <w:numPr>
          <w:ilvl w:val="0"/>
          <w:numId w:val="60"/>
        </w:numPr>
        <w:autoSpaceDE/>
        <w:autoSpaceDN/>
        <w:adjustRightInd/>
        <w:spacing w:after="0"/>
        <w:contextualSpacing/>
        <w:rPr>
          <w:color w:val="000000"/>
          <w:sz w:val="20"/>
          <w:szCs w:val="20"/>
        </w:rPr>
      </w:pPr>
      <w:r w:rsidRPr="006D5454">
        <w:rPr>
          <w:color w:val="000000"/>
          <w:sz w:val="20"/>
          <w:szCs w:val="20"/>
        </w:rPr>
        <w:t>I have had an opportunity to ask questions and I am satisfied with the answers I have received.</w:t>
      </w:r>
    </w:p>
    <w:p w:rsidR="00D45FC7" w:rsidRPr="006D5454" w:rsidRDefault="00D45FC7" w:rsidP="000959DF">
      <w:pPr>
        <w:pStyle w:val="ListParagraph"/>
        <w:widowControl w:val="0"/>
        <w:numPr>
          <w:ilvl w:val="0"/>
          <w:numId w:val="60"/>
        </w:numPr>
        <w:autoSpaceDE/>
        <w:autoSpaceDN/>
        <w:adjustRightInd/>
        <w:spacing w:after="0"/>
        <w:contextualSpacing/>
        <w:rPr>
          <w:color w:val="000000"/>
          <w:sz w:val="20"/>
          <w:szCs w:val="20"/>
        </w:rPr>
      </w:pPr>
      <w:r w:rsidRPr="006D5454">
        <w:rPr>
          <w:color w:val="000000"/>
          <w:sz w:val="20"/>
          <w:szCs w:val="20"/>
        </w:rPr>
        <w:t>I freely agree to participate in this research project as described.</w:t>
      </w:r>
    </w:p>
    <w:p w:rsidR="00D45FC7" w:rsidRDefault="00D45FC7" w:rsidP="000959DF">
      <w:pPr>
        <w:pStyle w:val="ListParagraph"/>
        <w:widowControl w:val="0"/>
        <w:numPr>
          <w:ilvl w:val="0"/>
          <w:numId w:val="60"/>
        </w:numPr>
        <w:autoSpaceDE/>
        <w:autoSpaceDN/>
        <w:adjustRightInd/>
        <w:spacing w:after="0"/>
        <w:contextualSpacing/>
        <w:rPr>
          <w:color w:val="000000"/>
          <w:sz w:val="20"/>
          <w:szCs w:val="20"/>
        </w:rPr>
      </w:pPr>
      <w:r w:rsidRPr="006D5454">
        <w:rPr>
          <w:color w:val="000000"/>
          <w:sz w:val="20"/>
          <w:szCs w:val="20"/>
        </w:rPr>
        <w:t>I understand that I will be given a signed copy of this document to keep.</w:t>
      </w:r>
    </w:p>
    <w:p w:rsidR="00D45FC7" w:rsidRPr="005A0FCF" w:rsidRDefault="00D45FC7" w:rsidP="00D45FC7">
      <w:pPr>
        <w:widowControl w:val="0"/>
        <w:spacing w:after="0"/>
        <w:contextualSpacing/>
        <w:rPr>
          <w:color w:val="000000"/>
          <w:sz w:val="20"/>
          <w:szCs w:val="20"/>
        </w:rPr>
      </w:pPr>
    </w:p>
    <w:tbl>
      <w:tblPr>
        <w:tblStyle w:val="TableGrid"/>
        <w:tblW w:w="0" w:type="auto"/>
        <w:tblLook w:val="04A0" w:firstRow="1" w:lastRow="0" w:firstColumn="1" w:lastColumn="0" w:noHBand="0" w:noVBand="1"/>
        <w:tblCaption w:val="Optional consent"/>
      </w:tblPr>
      <w:tblGrid>
        <w:gridCol w:w="7338"/>
        <w:gridCol w:w="992"/>
        <w:gridCol w:w="912"/>
      </w:tblGrid>
      <w:tr w:rsidR="00C345CE" w:rsidTr="00C345CE">
        <w:trPr>
          <w:tblHeader/>
        </w:trPr>
        <w:tc>
          <w:tcPr>
            <w:tcW w:w="7338" w:type="dxa"/>
            <w:tcBorders>
              <w:top w:val="nil"/>
              <w:left w:val="nil"/>
              <w:bottom w:val="nil"/>
              <w:right w:val="nil"/>
            </w:tcBorders>
          </w:tcPr>
          <w:p w:rsidR="00C345CE" w:rsidRDefault="00C345CE" w:rsidP="00C345CE">
            <w:pPr>
              <w:tabs>
                <w:tab w:val="left" w:pos="6932"/>
              </w:tabs>
              <w:ind w:right="120"/>
              <w:rPr>
                <w:b/>
                <w:i/>
                <w:color w:val="000000"/>
              </w:rPr>
            </w:pPr>
            <w:r w:rsidRPr="0020085A">
              <w:rPr>
                <w:b/>
                <w:i/>
                <w:color w:val="000000"/>
              </w:rPr>
              <w:t>Optional Consents</w:t>
            </w:r>
          </w:p>
        </w:tc>
        <w:tc>
          <w:tcPr>
            <w:tcW w:w="992" w:type="dxa"/>
            <w:tcBorders>
              <w:top w:val="nil"/>
              <w:left w:val="nil"/>
              <w:bottom w:val="nil"/>
              <w:right w:val="nil"/>
            </w:tcBorders>
          </w:tcPr>
          <w:p w:rsidR="00C345CE" w:rsidRPr="00C345CE" w:rsidRDefault="00C345CE" w:rsidP="000B7B64">
            <w:r>
              <w:t>Yes</w:t>
            </w:r>
          </w:p>
        </w:tc>
        <w:tc>
          <w:tcPr>
            <w:tcW w:w="912" w:type="dxa"/>
            <w:tcBorders>
              <w:top w:val="nil"/>
              <w:left w:val="nil"/>
              <w:bottom w:val="nil"/>
              <w:right w:val="nil"/>
            </w:tcBorders>
          </w:tcPr>
          <w:p w:rsidR="00C345CE" w:rsidRPr="00C345CE" w:rsidRDefault="00C345CE" w:rsidP="000B7B64">
            <w:r>
              <w:t>No</w:t>
            </w:r>
          </w:p>
        </w:tc>
      </w:tr>
      <w:tr w:rsidR="00C345CE" w:rsidTr="00C345CE">
        <w:tc>
          <w:tcPr>
            <w:tcW w:w="7338" w:type="dxa"/>
            <w:tcBorders>
              <w:top w:val="nil"/>
              <w:left w:val="nil"/>
              <w:bottom w:val="nil"/>
              <w:right w:val="nil"/>
            </w:tcBorders>
          </w:tcPr>
          <w:p w:rsidR="00C345CE" w:rsidRPr="00C345CE" w:rsidRDefault="00C345CE" w:rsidP="00C345CE">
            <w:pPr>
              <w:tabs>
                <w:tab w:val="left" w:pos="6932"/>
              </w:tabs>
              <w:spacing w:before="120"/>
              <w:ind w:right="119"/>
              <w:rPr>
                <w:color w:val="000000"/>
                <w:sz w:val="20"/>
                <w:szCs w:val="20"/>
              </w:rPr>
            </w:pPr>
            <w:r>
              <w:rPr>
                <w:color w:val="000000"/>
                <w:sz w:val="20"/>
                <w:szCs w:val="20"/>
              </w:rPr>
              <w:t xml:space="preserve">I </w:t>
            </w:r>
            <w:r w:rsidRPr="006D5454">
              <w:rPr>
                <w:color w:val="000000"/>
                <w:sz w:val="20"/>
                <w:szCs w:val="20"/>
              </w:rPr>
              <w:t>give permission for my doctors, other health professionals, hospitals or laboratories outside this hospital to release information to the Department of Health Rare Diseases Registry</w:t>
            </w:r>
            <w:r w:rsidRPr="006D5454">
              <w:rPr>
                <w:i/>
                <w:color w:val="000000"/>
                <w:sz w:val="20"/>
                <w:szCs w:val="20"/>
              </w:rPr>
              <w:t xml:space="preserve"> </w:t>
            </w:r>
            <w:r w:rsidRPr="006D5454">
              <w:rPr>
                <w:color w:val="000000"/>
                <w:sz w:val="20"/>
                <w:szCs w:val="20"/>
              </w:rPr>
              <w:t xml:space="preserve">concerning my condition and treatment for the purposes of this project. I understand that such information will remain confidential. </w:t>
            </w:r>
          </w:p>
        </w:tc>
        <w:tc>
          <w:tcPr>
            <w:tcW w:w="992" w:type="dxa"/>
            <w:tcBorders>
              <w:top w:val="nil"/>
              <w:left w:val="nil"/>
              <w:bottom w:val="nil"/>
              <w:right w:val="nil"/>
            </w:tcBorders>
          </w:tcPr>
          <w:p w:rsidR="00C345CE" w:rsidRPr="00C345CE" w:rsidRDefault="00C345CE" w:rsidP="00C345CE">
            <w:pPr>
              <w:rPr>
                <w:b/>
                <w:i/>
                <w:color w:val="000000"/>
                <w:sz w:val="96"/>
                <w:szCs w:val="96"/>
              </w:rPr>
            </w:pPr>
            <w:r w:rsidRPr="00C345CE">
              <w:rPr>
                <w:b/>
                <w:i/>
                <w:color w:val="000000"/>
                <w:sz w:val="96"/>
                <w:szCs w:val="96"/>
              </w:rPr>
              <w:t>□</w:t>
            </w:r>
          </w:p>
        </w:tc>
        <w:tc>
          <w:tcPr>
            <w:tcW w:w="912" w:type="dxa"/>
            <w:tcBorders>
              <w:top w:val="nil"/>
              <w:left w:val="nil"/>
              <w:bottom w:val="nil"/>
              <w:right w:val="nil"/>
            </w:tcBorders>
          </w:tcPr>
          <w:p w:rsidR="00C345CE" w:rsidRDefault="00C345CE" w:rsidP="00D45FC7">
            <w:pPr>
              <w:rPr>
                <w:b/>
                <w:i/>
                <w:color w:val="000000"/>
              </w:rPr>
            </w:pPr>
            <w:r w:rsidRPr="00C345CE">
              <w:rPr>
                <w:b/>
                <w:i/>
                <w:color w:val="000000"/>
                <w:sz w:val="96"/>
                <w:szCs w:val="96"/>
              </w:rPr>
              <w:t>□</w:t>
            </w:r>
          </w:p>
        </w:tc>
      </w:tr>
      <w:tr w:rsidR="00C345CE" w:rsidTr="00C345CE">
        <w:tc>
          <w:tcPr>
            <w:tcW w:w="7338" w:type="dxa"/>
            <w:tcBorders>
              <w:top w:val="nil"/>
              <w:left w:val="nil"/>
              <w:bottom w:val="nil"/>
              <w:right w:val="nil"/>
            </w:tcBorders>
          </w:tcPr>
          <w:p w:rsidR="00C345CE" w:rsidRPr="00C345CE" w:rsidRDefault="00C345CE" w:rsidP="00C345CE">
            <w:pPr>
              <w:tabs>
                <w:tab w:val="left" w:pos="6932"/>
              </w:tabs>
              <w:spacing w:before="120"/>
              <w:ind w:right="119"/>
              <w:rPr>
                <w:color w:val="000000"/>
                <w:sz w:val="20"/>
                <w:szCs w:val="20"/>
              </w:rPr>
            </w:pPr>
            <w:r w:rsidRPr="006D5454">
              <w:rPr>
                <w:color w:val="000000"/>
                <w:sz w:val="20"/>
                <w:szCs w:val="20"/>
              </w:rPr>
              <w:t>I give permission for my non-identifiable information to be released for the purposes of research related to either Disease A or Drug A. I understand that such information will remain confidential and that I will not be identifiable to any researchers outside of the Rare Diseases Registry.</w:t>
            </w:r>
          </w:p>
        </w:tc>
        <w:tc>
          <w:tcPr>
            <w:tcW w:w="992" w:type="dxa"/>
            <w:tcBorders>
              <w:top w:val="nil"/>
              <w:left w:val="nil"/>
              <w:bottom w:val="nil"/>
              <w:right w:val="nil"/>
            </w:tcBorders>
          </w:tcPr>
          <w:p w:rsidR="00C345CE" w:rsidRDefault="00C345CE" w:rsidP="00D45FC7">
            <w:pPr>
              <w:rPr>
                <w:b/>
                <w:i/>
                <w:color w:val="000000"/>
              </w:rPr>
            </w:pPr>
            <w:r w:rsidRPr="00C345CE">
              <w:rPr>
                <w:b/>
                <w:i/>
                <w:color w:val="000000"/>
                <w:sz w:val="96"/>
                <w:szCs w:val="96"/>
              </w:rPr>
              <w:t>□</w:t>
            </w:r>
          </w:p>
        </w:tc>
        <w:tc>
          <w:tcPr>
            <w:tcW w:w="912" w:type="dxa"/>
            <w:tcBorders>
              <w:top w:val="nil"/>
              <w:left w:val="nil"/>
              <w:bottom w:val="nil"/>
              <w:right w:val="nil"/>
            </w:tcBorders>
          </w:tcPr>
          <w:p w:rsidR="00C345CE" w:rsidRDefault="00C345CE" w:rsidP="00D45FC7">
            <w:pPr>
              <w:rPr>
                <w:b/>
                <w:i/>
                <w:color w:val="000000"/>
              </w:rPr>
            </w:pPr>
            <w:r w:rsidRPr="00C345CE">
              <w:rPr>
                <w:b/>
                <w:i/>
                <w:color w:val="000000"/>
                <w:sz w:val="96"/>
                <w:szCs w:val="96"/>
              </w:rPr>
              <w:t>□</w:t>
            </w:r>
          </w:p>
        </w:tc>
      </w:tr>
    </w:tbl>
    <w:p w:rsidR="00D45FC7" w:rsidRPr="00247D3B" w:rsidRDefault="00D45FC7" w:rsidP="00D45FC7">
      <w:pPr>
        <w:ind w:right="-188"/>
        <w:rPr>
          <w:color w:val="000000"/>
          <w:sz w:val="8"/>
          <w:szCs w:val="8"/>
        </w:rPr>
      </w:pPr>
    </w:p>
    <w:tbl>
      <w:tblPr>
        <w:tblW w:w="936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8"/>
        <w:gridCol w:w="1080"/>
        <w:gridCol w:w="1980"/>
        <w:gridCol w:w="1620"/>
        <w:gridCol w:w="540"/>
        <w:gridCol w:w="3531"/>
        <w:gridCol w:w="329"/>
      </w:tblGrid>
      <w:tr w:rsidR="00D45FC7" w:rsidRPr="00247D3B" w:rsidTr="00D45FC7">
        <w:trPr>
          <w:trHeight w:hRule="exact" w:val="170"/>
        </w:trPr>
        <w:tc>
          <w:tcPr>
            <w:tcW w:w="9368" w:type="dxa"/>
            <w:gridSpan w:val="7"/>
            <w:shd w:val="clear" w:color="auto" w:fill="auto"/>
          </w:tcPr>
          <w:p w:rsidR="00D45FC7" w:rsidRPr="00247D3B" w:rsidRDefault="00D45FC7" w:rsidP="00D45FC7">
            <w:pPr>
              <w:tabs>
                <w:tab w:val="left" w:pos="5400"/>
              </w:tabs>
              <w:ind w:left="-113" w:right="-188"/>
              <w:rPr>
                <w:color w:val="000000"/>
              </w:rPr>
            </w:pPr>
          </w:p>
        </w:tc>
      </w:tr>
      <w:tr w:rsidR="00D45FC7" w:rsidRPr="00247D3B" w:rsidTr="00D45FC7">
        <w:trPr>
          <w:trHeight w:hRule="exact" w:val="255"/>
        </w:trPr>
        <w:tc>
          <w:tcPr>
            <w:tcW w:w="288" w:type="dxa"/>
            <w:shd w:val="clear" w:color="auto" w:fill="auto"/>
          </w:tcPr>
          <w:p w:rsidR="00D45FC7" w:rsidRPr="00247D3B" w:rsidRDefault="00D45FC7" w:rsidP="00D45FC7">
            <w:pPr>
              <w:tabs>
                <w:tab w:val="left" w:pos="5400"/>
              </w:tabs>
              <w:ind w:left="-113" w:right="-188"/>
              <w:rPr>
                <w:color w:val="000000"/>
              </w:rPr>
            </w:pPr>
          </w:p>
        </w:tc>
        <w:tc>
          <w:tcPr>
            <w:tcW w:w="3060" w:type="dxa"/>
            <w:gridSpan w:val="2"/>
            <w:shd w:val="clear" w:color="auto" w:fill="auto"/>
          </w:tcPr>
          <w:p w:rsidR="00D45FC7" w:rsidRPr="00247D3B" w:rsidRDefault="00D45FC7" w:rsidP="00D45FC7">
            <w:pPr>
              <w:tabs>
                <w:tab w:val="left" w:pos="5400"/>
              </w:tabs>
              <w:ind w:left="-113" w:right="-188"/>
              <w:rPr>
                <w:color w:val="000000"/>
              </w:rPr>
            </w:pPr>
            <w:r w:rsidRPr="00247D3B">
              <w:rPr>
                <w:color w:val="000000"/>
              </w:rPr>
              <w:t>Name of Participant</w:t>
            </w:r>
            <w:r w:rsidRPr="00247D3B">
              <w:rPr>
                <w:color w:val="000000"/>
                <w:sz w:val="16"/>
                <w:szCs w:val="16"/>
              </w:rPr>
              <w:t xml:space="preserve"> (please print)</w:t>
            </w:r>
          </w:p>
        </w:tc>
        <w:tc>
          <w:tcPr>
            <w:tcW w:w="1620" w:type="dxa"/>
            <w:tcBorders>
              <w:top w:val="nil"/>
              <w:bottom w:val="single" w:sz="4" w:space="0" w:color="auto"/>
            </w:tcBorders>
            <w:shd w:val="clear" w:color="auto" w:fill="auto"/>
          </w:tcPr>
          <w:p w:rsidR="00D45FC7" w:rsidRPr="00247D3B" w:rsidRDefault="00D45FC7" w:rsidP="00D45FC7">
            <w:pPr>
              <w:tabs>
                <w:tab w:val="left" w:pos="5400"/>
              </w:tabs>
              <w:ind w:left="-113" w:right="-188"/>
              <w:rPr>
                <w:color w:val="000000"/>
              </w:rPr>
            </w:pPr>
          </w:p>
        </w:tc>
        <w:tc>
          <w:tcPr>
            <w:tcW w:w="540" w:type="dxa"/>
            <w:tcBorders>
              <w:top w:val="nil"/>
              <w:bottom w:val="single" w:sz="4" w:space="0" w:color="auto"/>
            </w:tcBorders>
            <w:shd w:val="clear" w:color="auto" w:fill="auto"/>
          </w:tcPr>
          <w:p w:rsidR="00D45FC7" w:rsidRPr="00247D3B" w:rsidRDefault="00D45FC7" w:rsidP="00D45FC7">
            <w:pPr>
              <w:tabs>
                <w:tab w:val="left" w:pos="5400"/>
              </w:tabs>
              <w:ind w:left="-113" w:right="-188"/>
              <w:rPr>
                <w:color w:val="000000"/>
              </w:rPr>
            </w:pPr>
          </w:p>
        </w:tc>
        <w:tc>
          <w:tcPr>
            <w:tcW w:w="3531" w:type="dxa"/>
            <w:tcBorders>
              <w:top w:val="nil"/>
              <w:bottom w:val="single" w:sz="4" w:space="0" w:color="auto"/>
            </w:tcBorders>
            <w:shd w:val="clear" w:color="auto" w:fill="auto"/>
          </w:tcPr>
          <w:p w:rsidR="00D45FC7" w:rsidRPr="00247D3B" w:rsidRDefault="00D45FC7" w:rsidP="00D45FC7">
            <w:pPr>
              <w:tabs>
                <w:tab w:val="left" w:pos="5400"/>
              </w:tabs>
              <w:ind w:left="-113" w:right="-188"/>
              <w:rPr>
                <w:color w:val="000000"/>
              </w:rPr>
            </w:pPr>
          </w:p>
        </w:tc>
        <w:tc>
          <w:tcPr>
            <w:tcW w:w="329" w:type="dxa"/>
            <w:shd w:val="clear" w:color="auto" w:fill="auto"/>
          </w:tcPr>
          <w:p w:rsidR="00D45FC7" w:rsidRPr="00247D3B" w:rsidRDefault="00D45FC7" w:rsidP="00D45FC7">
            <w:pPr>
              <w:tabs>
                <w:tab w:val="left" w:pos="5400"/>
              </w:tabs>
              <w:ind w:left="-113" w:right="-188"/>
              <w:rPr>
                <w:color w:val="000000"/>
              </w:rPr>
            </w:pPr>
          </w:p>
        </w:tc>
      </w:tr>
      <w:tr w:rsidR="00D45FC7" w:rsidRPr="00247D3B" w:rsidTr="00D45FC7">
        <w:trPr>
          <w:trHeight w:hRule="exact" w:val="57"/>
        </w:trPr>
        <w:tc>
          <w:tcPr>
            <w:tcW w:w="9368" w:type="dxa"/>
            <w:gridSpan w:val="7"/>
            <w:shd w:val="clear" w:color="auto" w:fill="auto"/>
          </w:tcPr>
          <w:p w:rsidR="00D45FC7" w:rsidRPr="00247D3B" w:rsidRDefault="00D45FC7" w:rsidP="00D45FC7">
            <w:pPr>
              <w:tabs>
                <w:tab w:val="left" w:pos="5400"/>
              </w:tabs>
              <w:ind w:left="-113" w:right="-188"/>
              <w:rPr>
                <w:color w:val="000000"/>
              </w:rPr>
            </w:pPr>
          </w:p>
        </w:tc>
      </w:tr>
      <w:tr w:rsidR="00D45FC7" w:rsidRPr="00247D3B" w:rsidTr="00D45FC7">
        <w:trPr>
          <w:trHeight w:hRule="exact" w:val="454"/>
        </w:trPr>
        <w:tc>
          <w:tcPr>
            <w:tcW w:w="288" w:type="dxa"/>
            <w:shd w:val="clear" w:color="auto" w:fill="auto"/>
            <w:vAlign w:val="bottom"/>
          </w:tcPr>
          <w:p w:rsidR="00D45FC7" w:rsidRPr="00247D3B" w:rsidRDefault="00D45FC7" w:rsidP="00D45FC7">
            <w:pPr>
              <w:tabs>
                <w:tab w:val="left" w:pos="5400"/>
              </w:tabs>
              <w:ind w:left="-113" w:right="-188"/>
              <w:rPr>
                <w:color w:val="000000"/>
              </w:rPr>
            </w:pPr>
          </w:p>
        </w:tc>
        <w:tc>
          <w:tcPr>
            <w:tcW w:w="1080" w:type="dxa"/>
            <w:shd w:val="clear" w:color="auto" w:fill="auto"/>
            <w:vAlign w:val="bottom"/>
          </w:tcPr>
          <w:p w:rsidR="00D45FC7" w:rsidRPr="00247D3B" w:rsidRDefault="00D45FC7" w:rsidP="00D45FC7">
            <w:pPr>
              <w:tabs>
                <w:tab w:val="left" w:pos="5400"/>
              </w:tabs>
              <w:ind w:left="-113" w:right="-188"/>
              <w:rPr>
                <w:color w:val="000000"/>
              </w:rPr>
            </w:pPr>
            <w:r w:rsidRPr="00247D3B">
              <w:rPr>
                <w:color w:val="000000"/>
              </w:rPr>
              <w:t>Signature</w:t>
            </w:r>
          </w:p>
        </w:tc>
        <w:tc>
          <w:tcPr>
            <w:tcW w:w="3600" w:type="dxa"/>
            <w:gridSpan w:val="2"/>
            <w:tcBorders>
              <w:top w:val="nil"/>
              <w:bottom w:val="single" w:sz="4" w:space="0" w:color="auto"/>
            </w:tcBorders>
            <w:shd w:val="clear" w:color="auto" w:fill="auto"/>
            <w:vAlign w:val="bottom"/>
          </w:tcPr>
          <w:p w:rsidR="00D45FC7" w:rsidRPr="00247D3B" w:rsidRDefault="00D45FC7" w:rsidP="00D45FC7">
            <w:pPr>
              <w:tabs>
                <w:tab w:val="left" w:pos="5400"/>
              </w:tabs>
              <w:ind w:left="-113" w:right="-188"/>
              <w:rPr>
                <w:color w:val="000000"/>
              </w:rPr>
            </w:pPr>
          </w:p>
        </w:tc>
        <w:tc>
          <w:tcPr>
            <w:tcW w:w="540" w:type="dxa"/>
            <w:shd w:val="clear" w:color="auto" w:fill="auto"/>
            <w:vAlign w:val="bottom"/>
          </w:tcPr>
          <w:p w:rsidR="00D45FC7" w:rsidRPr="00247D3B" w:rsidRDefault="00D45FC7" w:rsidP="00D45FC7">
            <w:pPr>
              <w:tabs>
                <w:tab w:val="left" w:pos="5400"/>
              </w:tabs>
              <w:ind w:left="-113" w:right="-188"/>
              <w:rPr>
                <w:color w:val="000000"/>
              </w:rPr>
            </w:pPr>
            <w:r w:rsidRPr="00247D3B">
              <w:rPr>
                <w:color w:val="000000"/>
              </w:rPr>
              <w:t xml:space="preserve"> Date</w:t>
            </w:r>
          </w:p>
        </w:tc>
        <w:tc>
          <w:tcPr>
            <w:tcW w:w="3531" w:type="dxa"/>
            <w:tcBorders>
              <w:top w:val="nil"/>
              <w:bottom w:val="single" w:sz="4" w:space="0" w:color="auto"/>
            </w:tcBorders>
            <w:shd w:val="clear" w:color="auto" w:fill="auto"/>
            <w:vAlign w:val="bottom"/>
          </w:tcPr>
          <w:p w:rsidR="00D45FC7" w:rsidRPr="00247D3B" w:rsidRDefault="00D45FC7" w:rsidP="00D45FC7">
            <w:pPr>
              <w:tabs>
                <w:tab w:val="left" w:pos="5400"/>
              </w:tabs>
              <w:ind w:left="-113" w:right="-188"/>
              <w:rPr>
                <w:color w:val="000000"/>
              </w:rPr>
            </w:pPr>
          </w:p>
        </w:tc>
        <w:tc>
          <w:tcPr>
            <w:tcW w:w="329" w:type="dxa"/>
            <w:shd w:val="clear" w:color="auto" w:fill="auto"/>
            <w:vAlign w:val="bottom"/>
          </w:tcPr>
          <w:p w:rsidR="00D45FC7" w:rsidRPr="00247D3B" w:rsidRDefault="00D45FC7" w:rsidP="00D45FC7">
            <w:pPr>
              <w:tabs>
                <w:tab w:val="left" w:pos="5400"/>
              </w:tabs>
              <w:ind w:left="-113" w:right="-188"/>
              <w:rPr>
                <w:color w:val="000000"/>
              </w:rPr>
            </w:pPr>
          </w:p>
        </w:tc>
      </w:tr>
      <w:tr w:rsidR="00D45FC7" w:rsidRPr="00247D3B" w:rsidTr="00D45FC7">
        <w:trPr>
          <w:trHeight w:hRule="exact" w:val="170"/>
        </w:trPr>
        <w:tc>
          <w:tcPr>
            <w:tcW w:w="9368" w:type="dxa"/>
            <w:gridSpan w:val="7"/>
            <w:shd w:val="clear" w:color="auto" w:fill="auto"/>
          </w:tcPr>
          <w:p w:rsidR="00D45FC7" w:rsidRPr="00247D3B" w:rsidRDefault="00D45FC7" w:rsidP="00D45FC7">
            <w:pPr>
              <w:tabs>
                <w:tab w:val="left" w:pos="5400"/>
              </w:tabs>
              <w:ind w:left="-113" w:right="-188"/>
              <w:rPr>
                <w:color w:val="000000"/>
              </w:rPr>
            </w:pPr>
          </w:p>
        </w:tc>
      </w:tr>
    </w:tbl>
    <w:p w:rsidR="00D45FC7" w:rsidRPr="00247D3B" w:rsidRDefault="00D45FC7" w:rsidP="00D45FC7">
      <w:pPr>
        <w:ind w:right="-188"/>
        <w:rPr>
          <w:i/>
          <w:color w:val="000000"/>
          <w:sz w:val="20"/>
          <w:szCs w:val="20"/>
        </w:rPr>
      </w:pPr>
    </w:p>
    <w:tbl>
      <w:tblPr>
        <w:tblW w:w="936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8"/>
        <w:gridCol w:w="1083"/>
        <w:gridCol w:w="1998"/>
        <w:gridCol w:w="1612"/>
        <w:gridCol w:w="566"/>
        <w:gridCol w:w="3516"/>
        <w:gridCol w:w="306"/>
      </w:tblGrid>
      <w:tr w:rsidR="00D45FC7" w:rsidRPr="00247D3B" w:rsidTr="00D45FC7">
        <w:trPr>
          <w:trHeight w:hRule="exact" w:val="170"/>
        </w:trPr>
        <w:tc>
          <w:tcPr>
            <w:tcW w:w="9369" w:type="dxa"/>
            <w:gridSpan w:val="7"/>
            <w:shd w:val="clear" w:color="auto" w:fill="auto"/>
          </w:tcPr>
          <w:p w:rsidR="00D45FC7" w:rsidRPr="00247D3B" w:rsidRDefault="00D45FC7" w:rsidP="00D45FC7">
            <w:pPr>
              <w:tabs>
                <w:tab w:val="left" w:pos="5400"/>
              </w:tabs>
              <w:ind w:left="-113" w:right="-188"/>
              <w:rPr>
                <w:color w:val="000000"/>
              </w:rPr>
            </w:pPr>
          </w:p>
        </w:tc>
      </w:tr>
      <w:tr w:rsidR="00D45FC7" w:rsidRPr="00247D3B" w:rsidTr="00D45FC7">
        <w:tc>
          <w:tcPr>
            <w:tcW w:w="288" w:type="dxa"/>
            <w:shd w:val="clear" w:color="auto" w:fill="auto"/>
          </w:tcPr>
          <w:p w:rsidR="00D45FC7" w:rsidRPr="00247D3B" w:rsidRDefault="00D45FC7" w:rsidP="00D45FC7">
            <w:pPr>
              <w:tabs>
                <w:tab w:val="left" w:pos="5400"/>
              </w:tabs>
              <w:ind w:left="-113" w:right="-188"/>
              <w:rPr>
                <w:color w:val="000000"/>
              </w:rPr>
            </w:pPr>
          </w:p>
        </w:tc>
        <w:tc>
          <w:tcPr>
            <w:tcW w:w="3081" w:type="dxa"/>
            <w:gridSpan w:val="2"/>
            <w:shd w:val="clear" w:color="auto" w:fill="auto"/>
          </w:tcPr>
          <w:p w:rsidR="00D45FC7" w:rsidRPr="00247D3B" w:rsidRDefault="00D45FC7" w:rsidP="00D45FC7">
            <w:pPr>
              <w:tabs>
                <w:tab w:val="left" w:pos="5400"/>
              </w:tabs>
              <w:ind w:left="-113" w:right="-188"/>
              <w:rPr>
                <w:color w:val="000000"/>
              </w:rPr>
            </w:pPr>
            <w:r w:rsidRPr="00247D3B">
              <w:rPr>
                <w:color w:val="000000"/>
              </w:rPr>
              <w:t xml:space="preserve">Name of Witness </w:t>
            </w:r>
            <w:r w:rsidRPr="00247D3B">
              <w:rPr>
                <w:color w:val="000000"/>
                <w:sz w:val="16"/>
                <w:szCs w:val="16"/>
              </w:rPr>
              <w:t>(please print)</w:t>
            </w:r>
          </w:p>
        </w:tc>
        <w:tc>
          <w:tcPr>
            <w:tcW w:w="5694" w:type="dxa"/>
            <w:gridSpan w:val="3"/>
            <w:tcBorders>
              <w:top w:val="nil"/>
              <w:bottom w:val="single" w:sz="4" w:space="0" w:color="auto"/>
            </w:tcBorders>
            <w:shd w:val="clear" w:color="auto" w:fill="auto"/>
            <w:vAlign w:val="bottom"/>
          </w:tcPr>
          <w:p w:rsidR="00D45FC7" w:rsidRPr="00247D3B" w:rsidRDefault="00D45FC7" w:rsidP="00D45FC7">
            <w:pPr>
              <w:tabs>
                <w:tab w:val="left" w:pos="5400"/>
              </w:tabs>
              <w:ind w:left="-113" w:right="-188"/>
              <w:jc w:val="left"/>
              <w:rPr>
                <w:color w:val="000000"/>
              </w:rPr>
            </w:pPr>
          </w:p>
        </w:tc>
        <w:tc>
          <w:tcPr>
            <w:tcW w:w="306" w:type="dxa"/>
            <w:shd w:val="clear" w:color="auto" w:fill="auto"/>
          </w:tcPr>
          <w:p w:rsidR="00D45FC7" w:rsidRPr="00247D3B" w:rsidRDefault="00D45FC7" w:rsidP="00D45FC7">
            <w:pPr>
              <w:tabs>
                <w:tab w:val="left" w:pos="5400"/>
              </w:tabs>
              <w:ind w:left="-113" w:right="-188"/>
              <w:rPr>
                <w:color w:val="000000"/>
              </w:rPr>
            </w:pPr>
          </w:p>
        </w:tc>
      </w:tr>
      <w:tr w:rsidR="00D45FC7" w:rsidRPr="00247D3B" w:rsidTr="00D45FC7">
        <w:trPr>
          <w:trHeight w:hRule="exact" w:val="57"/>
        </w:trPr>
        <w:tc>
          <w:tcPr>
            <w:tcW w:w="9369" w:type="dxa"/>
            <w:gridSpan w:val="7"/>
            <w:shd w:val="clear" w:color="auto" w:fill="auto"/>
          </w:tcPr>
          <w:p w:rsidR="00D45FC7" w:rsidRPr="00247D3B" w:rsidRDefault="00D45FC7" w:rsidP="00D45FC7">
            <w:pPr>
              <w:tabs>
                <w:tab w:val="left" w:pos="5400"/>
              </w:tabs>
              <w:ind w:left="-113" w:right="-188"/>
              <w:rPr>
                <w:color w:val="000000"/>
              </w:rPr>
            </w:pPr>
          </w:p>
        </w:tc>
      </w:tr>
      <w:tr w:rsidR="00D45FC7" w:rsidRPr="00247D3B" w:rsidTr="00D45FC7">
        <w:trPr>
          <w:trHeight w:hRule="exact" w:val="454"/>
        </w:trPr>
        <w:tc>
          <w:tcPr>
            <w:tcW w:w="288" w:type="dxa"/>
            <w:shd w:val="clear" w:color="auto" w:fill="auto"/>
            <w:vAlign w:val="bottom"/>
          </w:tcPr>
          <w:p w:rsidR="00D45FC7" w:rsidRPr="00247D3B" w:rsidRDefault="00D45FC7" w:rsidP="00D45FC7">
            <w:pPr>
              <w:tabs>
                <w:tab w:val="left" w:pos="5400"/>
              </w:tabs>
              <w:ind w:left="-113" w:right="-188"/>
              <w:rPr>
                <w:color w:val="000000"/>
              </w:rPr>
            </w:pPr>
          </w:p>
        </w:tc>
        <w:tc>
          <w:tcPr>
            <w:tcW w:w="1083" w:type="dxa"/>
            <w:shd w:val="clear" w:color="auto" w:fill="auto"/>
            <w:vAlign w:val="bottom"/>
          </w:tcPr>
          <w:p w:rsidR="00D45FC7" w:rsidRPr="00247D3B" w:rsidRDefault="00D45FC7" w:rsidP="00D45FC7">
            <w:pPr>
              <w:tabs>
                <w:tab w:val="left" w:pos="5400"/>
              </w:tabs>
              <w:ind w:left="-113" w:right="-188"/>
              <w:rPr>
                <w:color w:val="000000"/>
              </w:rPr>
            </w:pPr>
            <w:r w:rsidRPr="00247D3B">
              <w:rPr>
                <w:color w:val="000000"/>
              </w:rPr>
              <w:t>Signature</w:t>
            </w:r>
          </w:p>
        </w:tc>
        <w:tc>
          <w:tcPr>
            <w:tcW w:w="3610" w:type="dxa"/>
            <w:gridSpan w:val="2"/>
            <w:tcBorders>
              <w:top w:val="nil"/>
              <w:bottom w:val="single" w:sz="4" w:space="0" w:color="auto"/>
            </w:tcBorders>
            <w:shd w:val="clear" w:color="auto" w:fill="auto"/>
            <w:vAlign w:val="bottom"/>
          </w:tcPr>
          <w:p w:rsidR="00D45FC7" w:rsidRPr="00247D3B" w:rsidRDefault="00D45FC7" w:rsidP="00D45FC7">
            <w:pPr>
              <w:tabs>
                <w:tab w:val="left" w:pos="5400"/>
              </w:tabs>
              <w:ind w:left="-113" w:right="-188"/>
              <w:rPr>
                <w:color w:val="000000"/>
              </w:rPr>
            </w:pPr>
          </w:p>
        </w:tc>
        <w:tc>
          <w:tcPr>
            <w:tcW w:w="566" w:type="dxa"/>
            <w:shd w:val="clear" w:color="auto" w:fill="auto"/>
            <w:vAlign w:val="bottom"/>
          </w:tcPr>
          <w:p w:rsidR="00D45FC7" w:rsidRPr="00247D3B" w:rsidRDefault="00D45FC7" w:rsidP="00D45FC7">
            <w:pPr>
              <w:tabs>
                <w:tab w:val="left" w:pos="5400"/>
              </w:tabs>
              <w:ind w:left="-113" w:right="-188"/>
              <w:rPr>
                <w:color w:val="000000"/>
              </w:rPr>
            </w:pPr>
            <w:r w:rsidRPr="00247D3B">
              <w:rPr>
                <w:color w:val="000000"/>
              </w:rPr>
              <w:t xml:space="preserve"> Date</w:t>
            </w:r>
          </w:p>
        </w:tc>
        <w:tc>
          <w:tcPr>
            <w:tcW w:w="3516" w:type="dxa"/>
            <w:tcBorders>
              <w:top w:val="nil"/>
              <w:bottom w:val="single" w:sz="4" w:space="0" w:color="auto"/>
            </w:tcBorders>
            <w:shd w:val="clear" w:color="auto" w:fill="auto"/>
            <w:vAlign w:val="bottom"/>
          </w:tcPr>
          <w:p w:rsidR="00D45FC7" w:rsidRPr="00247D3B" w:rsidRDefault="00D45FC7" w:rsidP="00D45FC7">
            <w:pPr>
              <w:tabs>
                <w:tab w:val="left" w:pos="5400"/>
              </w:tabs>
              <w:ind w:left="-113" w:right="-188"/>
              <w:rPr>
                <w:color w:val="000000"/>
              </w:rPr>
            </w:pPr>
          </w:p>
        </w:tc>
        <w:tc>
          <w:tcPr>
            <w:tcW w:w="306" w:type="dxa"/>
            <w:shd w:val="clear" w:color="auto" w:fill="auto"/>
            <w:vAlign w:val="bottom"/>
          </w:tcPr>
          <w:p w:rsidR="00D45FC7" w:rsidRPr="00247D3B" w:rsidRDefault="00D45FC7" w:rsidP="00D45FC7">
            <w:pPr>
              <w:tabs>
                <w:tab w:val="left" w:pos="5400"/>
              </w:tabs>
              <w:ind w:left="-113" w:right="-188"/>
              <w:rPr>
                <w:color w:val="000000"/>
              </w:rPr>
            </w:pPr>
          </w:p>
        </w:tc>
      </w:tr>
      <w:tr w:rsidR="00D45FC7" w:rsidRPr="00247D3B" w:rsidTr="00D45FC7">
        <w:trPr>
          <w:trHeight w:hRule="exact" w:val="170"/>
        </w:trPr>
        <w:tc>
          <w:tcPr>
            <w:tcW w:w="9369" w:type="dxa"/>
            <w:gridSpan w:val="7"/>
            <w:shd w:val="clear" w:color="auto" w:fill="auto"/>
          </w:tcPr>
          <w:p w:rsidR="00D45FC7" w:rsidRPr="00247D3B" w:rsidRDefault="00D45FC7" w:rsidP="00D45FC7">
            <w:pPr>
              <w:tabs>
                <w:tab w:val="left" w:pos="5400"/>
              </w:tabs>
              <w:ind w:left="-113" w:right="-188"/>
              <w:rPr>
                <w:color w:val="000000"/>
              </w:rPr>
            </w:pPr>
          </w:p>
        </w:tc>
      </w:tr>
    </w:tbl>
    <w:p w:rsidR="00D45FC7" w:rsidRPr="00247D3B" w:rsidRDefault="00D45FC7" w:rsidP="00D45FC7">
      <w:pPr>
        <w:ind w:right="-188"/>
        <w:rPr>
          <w:color w:val="000000"/>
          <w:sz w:val="16"/>
        </w:rPr>
      </w:pPr>
    </w:p>
    <w:p w:rsidR="00D45FC7" w:rsidRPr="00247D3B" w:rsidRDefault="00D45FC7" w:rsidP="00D45FC7">
      <w:pPr>
        <w:ind w:right="-188"/>
        <w:rPr>
          <w:b/>
          <w:color w:val="000000"/>
          <w:u w:val="single"/>
          <w:vertAlign w:val="superscript"/>
        </w:rPr>
      </w:pPr>
      <w:r w:rsidRPr="00247D3B">
        <w:rPr>
          <w:b/>
          <w:color w:val="000000"/>
          <w:u w:val="single"/>
        </w:rPr>
        <w:t>Declaration by Study Doctor/Senior Researcher</w:t>
      </w:r>
      <w:r w:rsidRPr="00247D3B">
        <w:rPr>
          <w:b/>
          <w:color w:val="000000"/>
          <w:u w:val="single"/>
          <w:vertAlign w:val="superscript"/>
        </w:rPr>
        <w:t>†</w:t>
      </w:r>
    </w:p>
    <w:p w:rsidR="00D45FC7" w:rsidRPr="00247D3B" w:rsidRDefault="00D45FC7" w:rsidP="00D45FC7">
      <w:pPr>
        <w:ind w:right="-188"/>
        <w:rPr>
          <w:color w:val="000000"/>
          <w:sz w:val="8"/>
          <w:szCs w:val="8"/>
        </w:rPr>
      </w:pPr>
    </w:p>
    <w:p w:rsidR="00D45FC7" w:rsidRPr="00247D3B" w:rsidRDefault="00D45FC7" w:rsidP="00D45FC7">
      <w:pPr>
        <w:ind w:right="-188"/>
        <w:rPr>
          <w:color w:val="000000"/>
          <w:sz w:val="16"/>
          <w:szCs w:val="16"/>
        </w:rPr>
      </w:pPr>
      <w:r w:rsidRPr="00247D3B">
        <w:rPr>
          <w:color w:val="000000"/>
        </w:rPr>
        <w:t>I have given a verbal explanation of the research project, its procedures and risks and I believe that the participant has understood that explanation.</w:t>
      </w:r>
    </w:p>
    <w:tbl>
      <w:tblPr>
        <w:tblW w:w="9344" w:type="dxa"/>
        <w:tblLook w:val="01E0" w:firstRow="1" w:lastRow="1" w:firstColumn="1" w:lastColumn="1" w:noHBand="0" w:noVBand="0"/>
      </w:tblPr>
      <w:tblGrid>
        <w:gridCol w:w="288"/>
        <w:gridCol w:w="1080"/>
        <w:gridCol w:w="1980"/>
        <w:gridCol w:w="1620"/>
        <w:gridCol w:w="540"/>
        <w:gridCol w:w="3600"/>
        <w:gridCol w:w="236"/>
      </w:tblGrid>
      <w:tr w:rsidR="00D45FC7" w:rsidRPr="00247D3B" w:rsidTr="00D45FC7">
        <w:trPr>
          <w:trHeight w:hRule="exact" w:val="170"/>
        </w:trPr>
        <w:tc>
          <w:tcPr>
            <w:tcW w:w="9344" w:type="dxa"/>
            <w:gridSpan w:val="7"/>
            <w:tcBorders>
              <w:top w:val="single" w:sz="4" w:space="0" w:color="auto"/>
              <w:left w:val="single" w:sz="4" w:space="0" w:color="auto"/>
              <w:right w:val="single" w:sz="4" w:space="0" w:color="auto"/>
            </w:tcBorders>
            <w:shd w:val="clear" w:color="auto" w:fill="auto"/>
          </w:tcPr>
          <w:p w:rsidR="00D45FC7" w:rsidRPr="00247D3B" w:rsidRDefault="00D45FC7" w:rsidP="00D45FC7">
            <w:pPr>
              <w:ind w:left="-113" w:right="-188"/>
              <w:rPr>
                <w:color w:val="000000"/>
              </w:rPr>
            </w:pPr>
          </w:p>
        </w:tc>
      </w:tr>
      <w:tr w:rsidR="00D45FC7" w:rsidRPr="00247D3B" w:rsidTr="00D45FC7">
        <w:tc>
          <w:tcPr>
            <w:tcW w:w="288" w:type="dxa"/>
            <w:tcBorders>
              <w:left w:val="single" w:sz="4" w:space="0" w:color="auto"/>
            </w:tcBorders>
            <w:shd w:val="clear" w:color="auto" w:fill="auto"/>
          </w:tcPr>
          <w:p w:rsidR="00D45FC7" w:rsidRPr="00247D3B" w:rsidRDefault="00D45FC7" w:rsidP="00D45FC7">
            <w:pPr>
              <w:ind w:left="-113" w:right="-188"/>
              <w:rPr>
                <w:color w:val="000000"/>
              </w:rPr>
            </w:pPr>
          </w:p>
        </w:tc>
        <w:tc>
          <w:tcPr>
            <w:tcW w:w="3060" w:type="dxa"/>
            <w:gridSpan w:val="2"/>
            <w:shd w:val="clear" w:color="auto" w:fill="auto"/>
          </w:tcPr>
          <w:p w:rsidR="00D45FC7" w:rsidRPr="00247D3B" w:rsidRDefault="00D45FC7" w:rsidP="00D45FC7">
            <w:pPr>
              <w:ind w:left="-113" w:right="-188"/>
              <w:rPr>
                <w:color w:val="000000"/>
              </w:rPr>
            </w:pPr>
            <w:r w:rsidRPr="00247D3B">
              <w:rPr>
                <w:color w:val="000000"/>
              </w:rPr>
              <w:t>Name of Study Doctor/</w:t>
            </w:r>
          </w:p>
          <w:p w:rsidR="00D45FC7" w:rsidRPr="00247D3B" w:rsidRDefault="00D45FC7" w:rsidP="00D45FC7">
            <w:pPr>
              <w:ind w:left="-113" w:right="-188"/>
              <w:rPr>
                <w:color w:val="000000"/>
              </w:rPr>
            </w:pPr>
            <w:r w:rsidRPr="00247D3B">
              <w:rPr>
                <w:color w:val="000000"/>
              </w:rPr>
              <w:t>Senior Researcher</w:t>
            </w:r>
            <w:r w:rsidRPr="00247D3B">
              <w:rPr>
                <w:color w:val="000000"/>
                <w:vertAlign w:val="superscript"/>
              </w:rPr>
              <w:t>†</w:t>
            </w:r>
            <w:r w:rsidRPr="00247D3B">
              <w:rPr>
                <w:color w:val="000000"/>
              </w:rPr>
              <w:t xml:space="preserve"> </w:t>
            </w:r>
            <w:r w:rsidRPr="00247D3B">
              <w:rPr>
                <w:color w:val="000000"/>
                <w:sz w:val="16"/>
                <w:szCs w:val="16"/>
              </w:rPr>
              <w:t>(please print)</w:t>
            </w:r>
          </w:p>
        </w:tc>
        <w:tc>
          <w:tcPr>
            <w:tcW w:w="5760" w:type="dxa"/>
            <w:gridSpan w:val="3"/>
            <w:tcBorders>
              <w:bottom w:val="single" w:sz="4" w:space="0" w:color="auto"/>
            </w:tcBorders>
            <w:shd w:val="clear" w:color="auto" w:fill="auto"/>
          </w:tcPr>
          <w:p w:rsidR="00D45FC7" w:rsidRPr="00247D3B" w:rsidRDefault="00D45FC7" w:rsidP="00D45FC7">
            <w:pPr>
              <w:ind w:left="-113" w:right="-188"/>
              <w:rPr>
                <w:color w:val="000000"/>
              </w:rPr>
            </w:pPr>
          </w:p>
        </w:tc>
        <w:tc>
          <w:tcPr>
            <w:tcW w:w="236" w:type="dxa"/>
            <w:tcBorders>
              <w:right w:val="single" w:sz="4" w:space="0" w:color="auto"/>
            </w:tcBorders>
            <w:shd w:val="clear" w:color="auto" w:fill="auto"/>
          </w:tcPr>
          <w:p w:rsidR="00D45FC7" w:rsidRPr="00247D3B" w:rsidRDefault="00D45FC7" w:rsidP="00D45FC7">
            <w:pPr>
              <w:ind w:left="-113" w:right="-188"/>
              <w:rPr>
                <w:color w:val="000000"/>
              </w:rPr>
            </w:pPr>
          </w:p>
        </w:tc>
      </w:tr>
      <w:tr w:rsidR="00D45FC7" w:rsidRPr="00247D3B" w:rsidTr="00D45FC7">
        <w:trPr>
          <w:trHeight w:hRule="exact" w:val="57"/>
        </w:trPr>
        <w:tc>
          <w:tcPr>
            <w:tcW w:w="9108" w:type="dxa"/>
            <w:gridSpan w:val="6"/>
            <w:tcBorders>
              <w:left w:val="single" w:sz="4" w:space="0" w:color="auto"/>
            </w:tcBorders>
            <w:shd w:val="clear" w:color="auto" w:fill="auto"/>
          </w:tcPr>
          <w:p w:rsidR="00D45FC7" w:rsidRPr="00247D3B" w:rsidRDefault="00D45FC7" w:rsidP="00D45FC7">
            <w:pPr>
              <w:ind w:left="-113" w:right="-188"/>
              <w:rPr>
                <w:color w:val="000000"/>
              </w:rPr>
            </w:pPr>
          </w:p>
        </w:tc>
        <w:tc>
          <w:tcPr>
            <w:tcW w:w="236" w:type="dxa"/>
            <w:tcBorders>
              <w:right w:val="single" w:sz="4" w:space="0" w:color="auto"/>
            </w:tcBorders>
            <w:shd w:val="clear" w:color="auto" w:fill="auto"/>
          </w:tcPr>
          <w:p w:rsidR="00D45FC7" w:rsidRPr="00247D3B" w:rsidRDefault="00D45FC7" w:rsidP="00D45FC7">
            <w:pPr>
              <w:ind w:left="-113" w:right="-188"/>
              <w:rPr>
                <w:color w:val="000000"/>
              </w:rPr>
            </w:pPr>
          </w:p>
        </w:tc>
      </w:tr>
      <w:tr w:rsidR="00D45FC7" w:rsidRPr="00247D3B" w:rsidTr="00D45FC7">
        <w:trPr>
          <w:trHeight w:hRule="exact" w:val="454"/>
        </w:trPr>
        <w:tc>
          <w:tcPr>
            <w:tcW w:w="288" w:type="dxa"/>
            <w:tcBorders>
              <w:left w:val="single" w:sz="4" w:space="0" w:color="auto"/>
            </w:tcBorders>
            <w:shd w:val="clear" w:color="auto" w:fill="auto"/>
            <w:vAlign w:val="bottom"/>
          </w:tcPr>
          <w:p w:rsidR="00D45FC7" w:rsidRPr="00247D3B" w:rsidRDefault="00D45FC7" w:rsidP="00D45FC7">
            <w:pPr>
              <w:ind w:left="-113" w:right="-188"/>
              <w:rPr>
                <w:color w:val="000000"/>
              </w:rPr>
            </w:pPr>
          </w:p>
        </w:tc>
        <w:tc>
          <w:tcPr>
            <w:tcW w:w="1080" w:type="dxa"/>
            <w:shd w:val="clear" w:color="auto" w:fill="auto"/>
            <w:vAlign w:val="bottom"/>
          </w:tcPr>
          <w:p w:rsidR="00D45FC7" w:rsidRPr="00247D3B" w:rsidRDefault="00D45FC7" w:rsidP="00D45FC7">
            <w:pPr>
              <w:ind w:left="-113" w:right="-188"/>
              <w:rPr>
                <w:color w:val="000000"/>
              </w:rPr>
            </w:pPr>
            <w:r w:rsidRPr="00247D3B">
              <w:rPr>
                <w:color w:val="000000"/>
              </w:rPr>
              <w:t>Signature</w:t>
            </w:r>
          </w:p>
        </w:tc>
        <w:tc>
          <w:tcPr>
            <w:tcW w:w="3600" w:type="dxa"/>
            <w:gridSpan w:val="2"/>
            <w:tcBorders>
              <w:bottom w:val="single" w:sz="4" w:space="0" w:color="auto"/>
            </w:tcBorders>
            <w:shd w:val="clear" w:color="auto" w:fill="auto"/>
            <w:vAlign w:val="bottom"/>
          </w:tcPr>
          <w:p w:rsidR="00D45FC7" w:rsidRPr="00247D3B" w:rsidRDefault="00D45FC7" w:rsidP="00D45FC7">
            <w:pPr>
              <w:ind w:left="-113" w:right="-188"/>
              <w:rPr>
                <w:color w:val="000000"/>
              </w:rPr>
            </w:pPr>
          </w:p>
        </w:tc>
        <w:tc>
          <w:tcPr>
            <w:tcW w:w="540" w:type="dxa"/>
            <w:shd w:val="clear" w:color="auto" w:fill="auto"/>
            <w:vAlign w:val="bottom"/>
          </w:tcPr>
          <w:p w:rsidR="00D45FC7" w:rsidRPr="00247D3B" w:rsidRDefault="00D45FC7" w:rsidP="00D45FC7">
            <w:pPr>
              <w:ind w:left="-113" w:right="-188"/>
              <w:rPr>
                <w:color w:val="000000"/>
              </w:rPr>
            </w:pPr>
            <w:r w:rsidRPr="00247D3B">
              <w:rPr>
                <w:color w:val="000000"/>
              </w:rPr>
              <w:t xml:space="preserve"> Date</w:t>
            </w:r>
          </w:p>
        </w:tc>
        <w:tc>
          <w:tcPr>
            <w:tcW w:w="3600" w:type="dxa"/>
            <w:tcBorders>
              <w:bottom w:val="single" w:sz="4" w:space="0" w:color="auto"/>
            </w:tcBorders>
            <w:shd w:val="clear" w:color="auto" w:fill="auto"/>
            <w:vAlign w:val="bottom"/>
          </w:tcPr>
          <w:p w:rsidR="00D45FC7" w:rsidRPr="00247D3B" w:rsidRDefault="00D45FC7" w:rsidP="00D45FC7">
            <w:pPr>
              <w:ind w:left="-113" w:right="-188"/>
              <w:rPr>
                <w:color w:val="000000"/>
              </w:rPr>
            </w:pPr>
          </w:p>
        </w:tc>
        <w:tc>
          <w:tcPr>
            <w:tcW w:w="236" w:type="dxa"/>
            <w:tcBorders>
              <w:right w:val="single" w:sz="4" w:space="0" w:color="auto"/>
            </w:tcBorders>
            <w:shd w:val="clear" w:color="auto" w:fill="auto"/>
            <w:vAlign w:val="bottom"/>
          </w:tcPr>
          <w:p w:rsidR="00D45FC7" w:rsidRPr="00247D3B" w:rsidRDefault="00D45FC7" w:rsidP="00D45FC7">
            <w:pPr>
              <w:ind w:left="-113" w:right="-188"/>
              <w:rPr>
                <w:color w:val="000000"/>
              </w:rPr>
            </w:pPr>
          </w:p>
        </w:tc>
      </w:tr>
      <w:tr w:rsidR="00D45FC7" w:rsidRPr="00247D3B" w:rsidTr="00D45FC7">
        <w:trPr>
          <w:trHeight w:hRule="exact" w:val="170"/>
        </w:trPr>
        <w:tc>
          <w:tcPr>
            <w:tcW w:w="9344" w:type="dxa"/>
            <w:gridSpan w:val="7"/>
            <w:tcBorders>
              <w:left w:val="single" w:sz="4" w:space="0" w:color="auto"/>
              <w:bottom w:val="single" w:sz="4" w:space="0" w:color="auto"/>
              <w:right w:val="single" w:sz="4" w:space="0" w:color="auto"/>
            </w:tcBorders>
            <w:shd w:val="clear" w:color="auto" w:fill="auto"/>
          </w:tcPr>
          <w:p w:rsidR="00D45FC7" w:rsidRPr="00247D3B" w:rsidRDefault="00D45FC7" w:rsidP="00D45FC7">
            <w:pPr>
              <w:ind w:left="-113" w:right="-188"/>
              <w:rPr>
                <w:color w:val="000000"/>
              </w:rPr>
            </w:pPr>
          </w:p>
        </w:tc>
      </w:tr>
    </w:tbl>
    <w:p w:rsidR="00D45FC7" w:rsidRPr="00247D3B" w:rsidRDefault="00D45FC7" w:rsidP="00D45FC7">
      <w:pPr>
        <w:spacing w:before="40"/>
        <w:ind w:right="-188"/>
        <w:rPr>
          <w:color w:val="000000"/>
          <w:sz w:val="12"/>
          <w:szCs w:val="12"/>
        </w:rPr>
      </w:pPr>
      <w:r w:rsidRPr="00247D3B">
        <w:rPr>
          <w:color w:val="000000"/>
          <w:sz w:val="18"/>
          <w:szCs w:val="18"/>
          <w:vertAlign w:val="superscript"/>
        </w:rPr>
        <w:t>†</w:t>
      </w:r>
      <w:r w:rsidRPr="00247D3B">
        <w:rPr>
          <w:color w:val="000000"/>
          <w:sz w:val="18"/>
          <w:szCs w:val="18"/>
        </w:rPr>
        <w:t xml:space="preserve"> A senior member of the research team must provide the explanation of, and information concerning, the research project. </w:t>
      </w:r>
    </w:p>
    <w:p w:rsidR="00D45FC7" w:rsidRPr="00247D3B" w:rsidRDefault="00D45FC7" w:rsidP="00D45FC7">
      <w:pPr>
        <w:spacing w:before="40"/>
        <w:ind w:right="-205"/>
        <w:rPr>
          <w:color w:val="000000"/>
          <w:sz w:val="8"/>
          <w:szCs w:val="8"/>
        </w:rPr>
      </w:pPr>
    </w:p>
    <w:p w:rsidR="00D45FC7" w:rsidRPr="006D5454" w:rsidRDefault="00D45FC7" w:rsidP="00D45FC7">
      <w:pPr>
        <w:widowControl w:val="0"/>
        <w:spacing w:after="0" w:line="240" w:lineRule="auto"/>
        <w:rPr>
          <w:color w:val="000000"/>
        </w:rPr>
      </w:pPr>
      <w:r w:rsidRPr="00247D3B">
        <w:rPr>
          <w:color w:val="000000"/>
        </w:rPr>
        <w:t>Note: All parties signing the consent section must</w:t>
      </w:r>
      <w:r>
        <w:rPr>
          <w:color w:val="000000"/>
        </w:rPr>
        <w:t xml:space="preserve"> date their own signature.</w:t>
      </w:r>
    </w:p>
    <w:p w:rsidR="00D45FC7" w:rsidRPr="00D45FC7" w:rsidRDefault="00D45FC7" w:rsidP="00D45FC7">
      <w:pPr>
        <w:spacing w:after="200"/>
        <w:jc w:val="left"/>
      </w:pPr>
    </w:p>
    <w:sectPr w:rsidR="00D45FC7" w:rsidRPr="00D45FC7" w:rsidSect="002B52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271" w:rsidRDefault="00500271" w:rsidP="000517FC">
      <w:r>
        <w:separator/>
      </w:r>
    </w:p>
  </w:endnote>
  <w:endnote w:type="continuationSeparator" w:id="0">
    <w:p w:rsidR="00500271" w:rsidRDefault="00500271" w:rsidP="0005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ヒラギノ角ゴ Pro W3">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RADE-quality">
    <w:altName w:val="Times New Roman"/>
    <w:charset w:val="00"/>
    <w:family w:val="auto"/>
    <w:pitch w:val="default"/>
  </w:font>
  <w:font w:name="ITC Officina Sans Book">
    <w:altName w:val="ITC Officina Sans Book"/>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TimesNewRoman">
    <w:altName w:val="MS Mincho"/>
    <w:panose1 w:val="00000000000000000000"/>
    <w:charset w:val="00"/>
    <w:family w:val="auto"/>
    <w:notTrueType/>
    <w:pitch w:val="default"/>
    <w:sig w:usb0="00000003" w:usb1="08070000" w:usb2="00000010" w:usb3="00000000" w:csb0="00020001"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MingLiU">
    <w:altName w:val="細明體"/>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HelveticaLTStd-Roman">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dvTimes">
    <w:panose1 w:val="00000000000000000000"/>
    <w:charset w:val="00"/>
    <w:family w:val="auto"/>
    <w:notTrueType/>
    <w:pitch w:val="default"/>
    <w:sig w:usb0="00000003" w:usb1="00000000" w:usb2="00000000" w:usb3="00000000" w:csb0="00000001" w:csb1="00000000"/>
  </w:font>
  <w:font w:name="FuturaBT-Light">
    <w:panose1 w:val="00000000000000000000"/>
    <w:charset w:val="00"/>
    <w:family w:val="swiss"/>
    <w:notTrueType/>
    <w:pitch w:val="default"/>
    <w:sig w:usb0="00000003" w:usb1="00000000" w:usb2="00000000" w:usb3="00000000" w:csb0="00000001" w:csb1="00000000"/>
  </w:font>
  <w:font w:name="FuturaBT-LightItalic">
    <w:panose1 w:val="00000000000000000000"/>
    <w:charset w:val="00"/>
    <w:family w:val="swiss"/>
    <w:notTrueType/>
    <w:pitch w:val="default"/>
    <w:sig w:usb0="00000003" w:usb1="00000000" w:usb2="00000000" w:usb3="00000000" w:csb0="00000001" w:csb1="00000000"/>
  </w:font>
  <w:font w:name="AdvTimes-b">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279682"/>
      <w:docPartObj>
        <w:docPartGallery w:val="Page Numbers (Bottom of Page)"/>
        <w:docPartUnique/>
      </w:docPartObj>
    </w:sdtPr>
    <w:sdtEndPr>
      <w:rPr>
        <w:noProof/>
      </w:rPr>
    </w:sdtEndPr>
    <w:sdtContent>
      <w:p w:rsidR="00926546" w:rsidRDefault="00926546" w:rsidP="00400C50">
        <w:pPr>
          <w:pStyle w:val="Footer"/>
          <w:jc w:val="center"/>
        </w:pPr>
        <w:r>
          <w:fldChar w:fldCharType="begin"/>
        </w:r>
        <w:r>
          <w:instrText xml:space="preserve"> PAGE   \* MERGEFORMAT </w:instrText>
        </w:r>
        <w:r>
          <w:fldChar w:fldCharType="separate"/>
        </w:r>
        <w:r w:rsidR="004407D9">
          <w:rPr>
            <w:noProof/>
          </w:rPr>
          <w:t>254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0000113"/>
      <w:docPartObj>
        <w:docPartGallery w:val="Page Numbers (Bottom of Page)"/>
        <w:docPartUnique/>
      </w:docPartObj>
    </w:sdtPr>
    <w:sdtEndPr>
      <w:rPr>
        <w:noProof/>
      </w:rPr>
    </w:sdtEndPr>
    <w:sdtContent>
      <w:p w:rsidR="00926546" w:rsidRPr="00F228F7" w:rsidRDefault="00926546" w:rsidP="00564C4A">
        <w:pPr>
          <w:pStyle w:val="Footer"/>
          <w:tabs>
            <w:tab w:val="left" w:pos="0"/>
          </w:tabs>
        </w:pPr>
        <w:r>
          <w:tab/>
        </w:r>
        <w:r>
          <w:fldChar w:fldCharType="begin"/>
        </w:r>
        <w:r>
          <w:instrText xml:space="preserve"> PAGE   \* MERGEFORMAT </w:instrText>
        </w:r>
        <w:r>
          <w:fldChar w:fldCharType="separate"/>
        </w:r>
        <w:r w:rsidR="004407D9">
          <w:rPr>
            <w:noProof/>
          </w:rPr>
          <w:t>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46" w:rsidRDefault="0092654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46" w:rsidRDefault="00926546">
    <w:pPr>
      <w:pStyle w:val="Footer"/>
      <w:jc w:val="center"/>
    </w:pPr>
    <w:r>
      <w:fldChar w:fldCharType="begin"/>
    </w:r>
    <w:r>
      <w:instrText xml:space="preserve"> PAGE   \* MERGEFORMAT </w:instrText>
    </w:r>
    <w:r>
      <w:fldChar w:fldCharType="separate"/>
    </w:r>
    <w:r w:rsidR="004407D9">
      <w:rPr>
        <w:noProof/>
      </w:rPr>
      <w:t>79</w:t>
    </w:r>
    <w:r>
      <w:rPr>
        <w:noProof/>
      </w:rPr>
      <w:fldChar w:fldCharType="end"/>
    </w:r>
  </w:p>
  <w:p w:rsidR="00926546" w:rsidRDefault="0092654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46" w:rsidRDefault="00926546">
    <w:pPr>
      <w:pStyle w:val="Footer"/>
      <w:jc w:val="center"/>
    </w:pPr>
    <w:r>
      <w:fldChar w:fldCharType="begin"/>
    </w:r>
    <w:r>
      <w:instrText xml:space="preserve"> PAGE   \* MERGEFORMAT </w:instrText>
    </w:r>
    <w:r>
      <w:fldChar w:fldCharType="separate"/>
    </w:r>
    <w:r w:rsidR="004407D9">
      <w:rPr>
        <w:noProof/>
      </w:rPr>
      <w:t>255</w:t>
    </w:r>
    <w:r>
      <w:rPr>
        <w:noProof/>
      </w:rPr>
      <w:fldChar w:fldCharType="end"/>
    </w:r>
  </w:p>
  <w:p w:rsidR="00926546" w:rsidRDefault="0092654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46" w:rsidRDefault="00926546">
    <w:pPr>
      <w:pStyle w:val="Footer"/>
      <w:jc w:val="center"/>
    </w:pPr>
    <w:r>
      <w:fldChar w:fldCharType="begin"/>
    </w:r>
    <w:r>
      <w:instrText xml:space="preserve"> PAGE   \* MERGEFORMAT </w:instrText>
    </w:r>
    <w:r>
      <w:fldChar w:fldCharType="separate"/>
    </w:r>
    <w:r w:rsidR="004407D9">
      <w:rPr>
        <w:noProof/>
      </w:rPr>
      <w:t>419</w:t>
    </w:r>
    <w:r>
      <w:rPr>
        <w:noProof/>
      </w:rPr>
      <w:fldChar w:fldCharType="end"/>
    </w:r>
  </w:p>
  <w:p w:rsidR="00926546" w:rsidRDefault="0092654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46" w:rsidRDefault="00926546">
    <w:pPr>
      <w:pStyle w:val="Footer"/>
      <w:jc w:val="center"/>
    </w:pPr>
    <w:r>
      <w:fldChar w:fldCharType="begin"/>
    </w:r>
    <w:r>
      <w:instrText xml:space="preserve"> PAGE   \* MERGEFORMAT </w:instrText>
    </w:r>
    <w:r>
      <w:fldChar w:fldCharType="separate"/>
    </w:r>
    <w:r w:rsidR="004407D9">
      <w:rPr>
        <w:noProof/>
      </w:rPr>
      <w:t>509</w:t>
    </w:r>
    <w:r>
      <w:rPr>
        <w:noProof/>
      </w:rPr>
      <w:fldChar w:fldCharType="end"/>
    </w:r>
  </w:p>
  <w:p w:rsidR="00926546" w:rsidRDefault="0092654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634254"/>
      <w:docPartObj>
        <w:docPartGallery w:val="Page Numbers (Bottom of Page)"/>
        <w:docPartUnique/>
      </w:docPartObj>
    </w:sdtPr>
    <w:sdtEndPr>
      <w:rPr>
        <w:noProof/>
      </w:rPr>
    </w:sdtEndPr>
    <w:sdtContent>
      <w:p w:rsidR="00926546" w:rsidRDefault="00926546" w:rsidP="00400C50">
        <w:pPr>
          <w:pStyle w:val="Footer"/>
          <w:jc w:val="center"/>
        </w:pPr>
        <w:r>
          <w:fldChar w:fldCharType="begin"/>
        </w:r>
        <w:r>
          <w:instrText xml:space="preserve"> PAGE   \* MERGEFORMAT </w:instrText>
        </w:r>
        <w:r>
          <w:fldChar w:fldCharType="separate"/>
        </w:r>
        <w:r w:rsidR="004407D9">
          <w:rPr>
            <w:noProof/>
          </w:rPr>
          <w:t>508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271" w:rsidRDefault="00500271" w:rsidP="000517FC">
      <w:r>
        <w:separator/>
      </w:r>
    </w:p>
  </w:footnote>
  <w:footnote w:type="continuationSeparator" w:id="0">
    <w:p w:rsidR="00500271" w:rsidRDefault="00500271" w:rsidP="000517FC">
      <w:r>
        <w:continuationSeparator/>
      </w:r>
    </w:p>
  </w:footnote>
  <w:footnote w:id="1">
    <w:p w:rsidR="00926546" w:rsidRDefault="00926546">
      <w:pPr>
        <w:pStyle w:val="FootnoteText"/>
      </w:pPr>
      <w:r>
        <w:rPr>
          <w:rStyle w:val="FootnoteReference"/>
        </w:rPr>
        <w:footnoteRef/>
      </w:r>
      <w:r>
        <w:t xml:space="preserve"> </w:t>
      </w:r>
      <w:hyperlink r:id="rId1" w:history="1">
        <w:r>
          <w:rPr>
            <w:rStyle w:val="Hyperlink"/>
          </w:rPr>
          <w:t>PBS Post market reviews LSDP site</w:t>
        </w:r>
      </w:hyperlink>
      <w:r>
        <w:t xml:space="preserve"> </w:t>
      </w:r>
    </w:p>
  </w:footnote>
  <w:footnote w:id="2">
    <w:p w:rsidR="00926546" w:rsidRDefault="00926546" w:rsidP="004B5545">
      <w:pPr>
        <w:pStyle w:val="FootnoteText"/>
      </w:pPr>
      <w:r>
        <w:rPr>
          <w:rStyle w:val="FootnoteReference"/>
        </w:rPr>
        <w:footnoteRef/>
      </w:r>
      <w:r>
        <w:t xml:space="preserve"> </w:t>
      </w:r>
      <w:hyperlink r:id="rId2" w:history="1">
        <w:r w:rsidRPr="00BA787F">
          <w:rPr>
            <w:rStyle w:val="Hyperlink"/>
          </w:rPr>
          <w:t>Department of Health LSDP site</w:t>
        </w:r>
      </w:hyperlink>
    </w:p>
  </w:footnote>
  <w:footnote w:id="3">
    <w:p w:rsidR="00926546" w:rsidRDefault="00926546">
      <w:pPr>
        <w:pStyle w:val="FootnoteText"/>
      </w:pPr>
      <w:r>
        <w:rPr>
          <w:rStyle w:val="FootnoteReference"/>
        </w:rPr>
        <w:footnoteRef/>
      </w:r>
      <w:r>
        <w:t xml:space="preserve"> </w:t>
      </w:r>
      <w:hyperlink r:id="rId3" w:history="1">
        <w:r w:rsidRPr="00BA787F">
          <w:rPr>
            <w:rStyle w:val="Hyperlink"/>
          </w:rPr>
          <w:t>LSDP criteria</w:t>
        </w:r>
      </w:hyperlink>
    </w:p>
  </w:footnote>
  <w:footnote w:id="4">
    <w:p w:rsidR="00926546" w:rsidRPr="00F31DEF" w:rsidRDefault="00926546" w:rsidP="000D7507">
      <w:pPr>
        <w:pStyle w:val="FootnoteText"/>
      </w:pPr>
      <w:r>
        <w:rPr>
          <w:rStyle w:val="FootnoteReference"/>
        </w:rPr>
        <w:footnoteRef/>
      </w:r>
      <w:r>
        <w:t xml:space="preserve"> Grey literature encompasses multiple document types produced on all levels of government, academia, business, and other organisations that are produced in electronic and print formats and are not controlled by commercial publishing i.e. </w:t>
      </w:r>
      <w:r>
        <w:rPr>
          <w:i/>
        </w:rPr>
        <w:t>where publishing is not the primary activity of the producing body</w:t>
      </w:r>
      <w:r>
        <w:t xml:space="preserve"> (Source: http://www.greynet.org/greynethome/aboutgreynet.html)</w:t>
      </w:r>
    </w:p>
  </w:footnote>
  <w:footnote w:id="5">
    <w:p w:rsidR="00926546" w:rsidRDefault="00926546" w:rsidP="000D7507">
      <w:pPr>
        <w:pStyle w:val="FootnoteText"/>
      </w:pPr>
      <w:r>
        <w:rPr>
          <w:rStyle w:val="FootnoteReference"/>
        </w:rPr>
        <w:footnoteRef/>
      </w:r>
      <w:r>
        <w:t xml:space="preserve"> Source: </w:t>
      </w:r>
      <w:hyperlink r:id="rId4" w:history="1">
        <w:r>
          <w:rPr>
            <w:rStyle w:val="Hyperlink"/>
          </w:rPr>
          <w:t>PubMed advice on Searching for Drug Information</w:t>
        </w:r>
      </w:hyperlink>
      <w:r>
        <w:t xml:space="preserve"> </w:t>
      </w:r>
    </w:p>
  </w:footnote>
  <w:footnote w:id="6">
    <w:p w:rsidR="00926546" w:rsidRPr="009B04DE" w:rsidRDefault="00926546" w:rsidP="004B64C8">
      <w:pPr>
        <w:pStyle w:val="FootnoteText"/>
      </w:pPr>
      <w:r>
        <w:rPr>
          <w:rStyle w:val="FootnoteReference"/>
        </w:rPr>
        <w:footnoteRef/>
      </w:r>
      <w:r>
        <w:t xml:space="preserve"> </w:t>
      </w:r>
      <w:r w:rsidRPr="009B04DE">
        <w:t xml:space="preserve">Bai A, Shukla VK, Bak G, Wells G. </w:t>
      </w:r>
      <w:r w:rsidRPr="009B04DE">
        <w:rPr>
          <w:i/>
        </w:rPr>
        <w:t>Quality Assessment Tools Project Report</w:t>
      </w:r>
      <w:r w:rsidRPr="009B04DE">
        <w:t>. Ottawa: Canadian Agency for Drugs and Technologies in Health; 2012.</w:t>
      </w:r>
    </w:p>
  </w:footnote>
  <w:footnote w:id="7">
    <w:p w:rsidR="00926546" w:rsidRDefault="00926546">
      <w:pPr>
        <w:pStyle w:val="FootnoteText"/>
      </w:pPr>
      <w:r>
        <w:rPr>
          <w:rStyle w:val="FootnoteReference"/>
        </w:rPr>
        <w:footnoteRef/>
      </w:r>
      <w:r>
        <w:t xml:space="preserve"> White blood cell count reference range </w:t>
      </w:r>
      <w:r w:rsidRPr="00652355">
        <w:rPr>
          <w:spacing w:val="-20"/>
        </w:rPr>
        <w:t xml:space="preserve"> = </w:t>
      </w:r>
      <w:r>
        <w:t xml:space="preserve">  4.0 – 11.0 </w:t>
      </w:r>
      <w:r>
        <w:fldChar w:fldCharType="begin"/>
      </w:r>
      <w:r>
        <w:instrText xml:space="preserve"> ADDIN EN.CITE &lt;EndNote&gt;&lt;Cite&gt;&lt;Author&gt;QML Pathology&lt;/Author&gt;&lt;Year&gt;2009&lt;/Year&gt;&lt;RecNum&gt;422&lt;/RecNum&gt;&lt;DisplayText&gt;(QML Pathology 2009)&lt;/DisplayText&gt;&lt;record&gt;&lt;rec-number&gt;422&lt;/rec-number&gt;&lt;foreign-keys&gt;&lt;key app="EN" db-id="s205ztsw6v99t1ee2r6vpat820d0x9tefftv" timestamp="1417822942"&gt;422&lt;/key&gt;&lt;/foreign-keys&gt;&lt;ref-type name="Report"&gt;27&lt;/ref-type&gt;&lt;contributors&gt;&lt;authors&gt;&lt;author&gt;QML Pathology,&lt;/author&gt;&lt;/authors&gt;&lt;/contributors&gt;&lt;titles&gt;&lt;title&gt;Reference Manual&lt;/title&gt;&lt;/titles&gt;&lt;dates&gt;&lt;year&gt;2009&lt;/year&gt;&lt;/dates&gt;&lt;urls&gt;&lt;related-urls&gt;&lt;url&gt;www.qml.com.au&lt;/url&gt;&lt;/related-urls&gt;&lt;/urls&gt;&lt;/record&gt;&lt;/Cite&gt;&lt;/EndNote&gt;</w:instrText>
      </w:r>
      <w:r>
        <w:fldChar w:fldCharType="separate"/>
      </w:r>
      <w:r>
        <w:rPr>
          <w:noProof/>
        </w:rPr>
        <w:t>(</w:t>
      </w:r>
      <w:hyperlink w:anchor="_ENREF_240" w:tooltip="QML Pathology, 2009 #422" w:history="1">
        <w:r>
          <w:rPr>
            <w:noProof/>
          </w:rPr>
          <w:t>QML Pathology 2009</w:t>
        </w:r>
      </w:hyperlink>
      <w:r>
        <w:rPr>
          <w:noProof/>
        </w:rPr>
        <w:t>)</w:t>
      </w:r>
      <w:r>
        <w:fldChar w:fldCharType="end"/>
      </w:r>
    </w:p>
  </w:footnote>
  <w:footnote w:id="8">
    <w:p w:rsidR="00926546" w:rsidRDefault="00926546">
      <w:pPr>
        <w:pStyle w:val="FootnoteText"/>
      </w:pPr>
      <w:r>
        <w:rPr>
          <w:rStyle w:val="FootnoteReference"/>
        </w:rPr>
        <w:footnoteRef/>
      </w:r>
      <w:r>
        <w:t xml:space="preserve"> Haemoglobin reference range </w:t>
      </w:r>
      <w:r w:rsidRPr="00652355">
        <w:rPr>
          <w:spacing w:val="-20"/>
        </w:rPr>
        <w:t xml:space="preserve"> = </w:t>
      </w:r>
      <w:r>
        <w:t xml:space="preserve"> Males: 135 - 180 g/</w:t>
      </w:r>
      <w:r w:rsidRPr="0004128C">
        <w:t>L</w:t>
      </w:r>
      <w:r>
        <w:t>; Females: 115 – 160 g/</w:t>
      </w:r>
      <w:r w:rsidRPr="0004128C">
        <w:t>L</w:t>
      </w:r>
      <w:r>
        <w:t xml:space="preserve"> </w:t>
      </w:r>
      <w:r>
        <w:fldChar w:fldCharType="begin"/>
      </w:r>
      <w:r>
        <w:instrText xml:space="preserve"> ADDIN EN.CITE &lt;EndNote&gt;&lt;Cite&gt;&lt;Author&gt;QML Pathology&lt;/Author&gt;&lt;Year&gt;2009&lt;/Year&gt;&lt;RecNum&gt;422&lt;/RecNum&gt;&lt;DisplayText&gt;(QML Pathology 2009)&lt;/DisplayText&gt;&lt;record&gt;&lt;rec-number&gt;422&lt;/rec-number&gt;&lt;foreign-keys&gt;&lt;key app="EN" db-id="s205ztsw6v99t1ee2r6vpat820d0x9tefftv" timestamp="1417822942"&gt;422&lt;/key&gt;&lt;/foreign-keys&gt;&lt;ref-type name="Report"&gt;27&lt;/ref-type&gt;&lt;contributors&gt;&lt;authors&gt;&lt;author&gt;QML Pathology,&lt;/author&gt;&lt;/authors&gt;&lt;/contributors&gt;&lt;titles&gt;&lt;title&gt;Reference Manual&lt;/title&gt;&lt;/titles&gt;&lt;dates&gt;&lt;year&gt;2009&lt;/year&gt;&lt;/dates&gt;&lt;urls&gt;&lt;related-urls&gt;&lt;url&gt;www.qml.com.au&lt;/url&gt;&lt;/related-urls&gt;&lt;/urls&gt;&lt;/record&gt;&lt;/Cite&gt;&lt;/EndNote&gt;</w:instrText>
      </w:r>
      <w:r>
        <w:fldChar w:fldCharType="separate"/>
      </w:r>
      <w:r>
        <w:rPr>
          <w:noProof/>
        </w:rPr>
        <w:t>(</w:t>
      </w:r>
      <w:hyperlink w:anchor="_ENREF_240" w:tooltip="QML Pathology, 2009 #422" w:history="1">
        <w:r>
          <w:rPr>
            <w:noProof/>
          </w:rPr>
          <w:t>QML Pathology 2009</w:t>
        </w:r>
      </w:hyperlink>
      <w:r>
        <w:rPr>
          <w:noProof/>
        </w:rPr>
        <w:t>)</w:t>
      </w:r>
      <w:r>
        <w:fldChar w:fldCharType="end"/>
      </w:r>
    </w:p>
  </w:footnote>
  <w:footnote w:id="9">
    <w:p w:rsidR="00926546" w:rsidRDefault="00926546">
      <w:pPr>
        <w:pStyle w:val="FootnoteText"/>
      </w:pPr>
      <w:r>
        <w:rPr>
          <w:rStyle w:val="FootnoteReference"/>
        </w:rPr>
        <w:footnoteRef/>
      </w:r>
      <w:r>
        <w:t xml:space="preserve"> Platelets reference range </w:t>
      </w:r>
      <w:r w:rsidRPr="00652355">
        <w:rPr>
          <w:spacing w:val="-20"/>
        </w:rPr>
        <w:t xml:space="preserve"> = </w:t>
      </w:r>
      <w:r>
        <w:t xml:space="preserve"> 150 – 450 x </w:t>
      </w:r>
      <w:r w:rsidRPr="0084450C">
        <w:t>10</w:t>
      </w:r>
      <w:r>
        <w:rPr>
          <w:vertAlign w:val="superscript"/>
        </w:rPr>
        <w:t>9</w:t>
      </w:r>
      <w:r>
        <w:t>/</w:t>
      </w:r>
      <w:r w:rsidRPr="0084450C">
        <w:t>L</w:t>
      </w:r>
      <w:r>
        <w:t xml:space="preserve">  </w:t>
      </w:r>
      <w:r>
        <w:fldChar w:fldCharType="begin"/>
      </w:r>
      <w:r>
        <w:instrText xml:space="preserve"> ADDIN EN.CITE &lt;EndNote&gt;&lt;Cite&gt;&lt;Author&gt;QML Pathology&lt;/Author&gt;&lt;Year&gt;2009&lt;/Year&gt;&lt;RecNum&gt;422&lt;/RecNum&gt;&lt;DisplayText&gt;(QML Pathology 2009)&lt;/DisplayText&gt;&lt;record&gt;&lt;rec-number&gt;422&lt;/rec-number&gt;&lt;foreign-keys&gt;&lt;key app="EN" db-id="s205ztsw6v99t1ee2r6vpat820d0x9tefftv" timestamp="1417822942"&gt;422&lt;/key&gt;&lt;/foreign-keys&gt;&lt;ref-type name="Report"&gt;27&lt;/ref-type&gt;&lt;contributors&gt;&lt;authors&gt;&lt;author&gt;QML Pathology,&lt;/author&gt;&lt;/authors&gt;&lt;/contributors&gt;&lt;titles&gt;&lt;title&gt;Reference Manual&lt;/title&gt;&lt;/titles&gt;&lt;dates&gt;&lt;year&gt;2009&lt;/year&gt;&lt;/dates&gt;&lt;urls&gt;&lt;related-urls&gt;&lt;url&gt;www.qml.com.au&lt;/url&gt;&lt;/related-urls&gt;&lt;/urls&gt;&lt;/record&gt;&lt;/Cite&gt;&lt;/EndNote&gt;</w:instrText>
      </w:r>
      <w:r>
        <w:fldChar w:fldCharType="separate"/>
      </w:r>
      <w:r>
        <w:rPr>
          <w:noProof/>
        </w:rPr>
        <w:t>(</w:t>
      </w:r>
      <w:hyperlink w:anchor="_ENREF_240" w:tooltip="QML Pathology, 2009 #422" w:history="1">
        <w:r>
          <w:rPr>
            <w:noProof/>
          </w:rPr>
          <w:t>QML Pathology 2009</w:t>
        </w:r>
      </w:hyperlink>
      <w:r>
        <w:rPr>
          <w:noProof/>
        </w:rPr>
        <w:t>)</w:t>
      </w:r>
      <w:r>
        <w:fldChar w:fldCharType="end"/>
      </w:r>
    </w:p>
  </w:footnote>
  <w:footnote w:id="10">
    <w:p w:rsidR="00926546" w:rsidRDefault="00926546">
      <w:pPr>
        <w:pStyle w:val="FootnoteText"/>
      </w:pPr>
      <w:r>
        <w:rPr>
          <w:rStyle w:val="FootnoteReference"/>
        </w:rPr>
        <w:footnoteRef/>
      </w:r>
      <w:r>
        <w:t xml:space="preserve"> Haemoglobin reference range: Males </w:t>
      </w:r>
      <w:r w:rsidRPr="00652355">
        <w:rPr>
          <w:spacing w:val="-20"/>
        </w:rPr>
        <w:t xml:space="preserve"> = </w:t>
      </w:r>
      <w:r>
        <w:t xml:space="preserve"> 135 – 180 g/L; Females </w:t>
      </w:r>
      <w:r w:rsidRPr="00652355">
        <w:rPr>
          <w:spacing w:val="-20"/>
        </w:rPr>
        <w:t xml:space="preserve"> = </w:t>
      </w:r>
      <w:r>
        <w:t xml:space="preserve"> 115 – 160 g/L </w:t>
      </w:r>
      <w:r>
        <w:fldChar w:fldCharType="begin"/>
      </w:r>
      <w:r>
        <w:instrText xml:space="preserve"> ADDIN EN.CITE &lt;EndNote&gt;&lt;Cite&gt;&lt;Author&gt;QML Pathology&lt;/Author&gt;&lt;Year&gt;2009&lt;/Year&gt;&lt;RecNum&gt;422&lt;/RecNum&gt;&lt;DisplayText&gt;(QML Pathology 2009)&lt;/DisplayText&gt;&lt;record&gt;&lt;rec-number&gt;422&lt;/rec-number&gt;&lt;foreign-keys&gt;&lt;key app="EN" db-id="s205ztsw6v99t1ee2r6vpat820d0x9tefftv" timestamp="1417822942"&gt;422&lt;/key&gt;&lt;/foreign-keys&gt;&lt;ref-type name="Report"&gt;27&lt;/ref-type&gt;&lt;contributors&gt;&lt;authors&gt;&lt;author&gt;QML Pathology,&lt;/author&gt;&lt;/authors&gt;&lt;/contributors&gt;&lt;titles&gt;&lt;title&gt;Reference Manual&lt;/title&gt;&lt;/titles&gt;&lt;dates&gt;&lt;year&gt;2009&lt;/year&gt;&lt;/dates&gt;&lt;urls&gt;&lt;related-urls&gt;&lt;url&gt;www.qml.com.au&lt;/url&gt;&lt;/related-urls&gt;&lt;/urls&gt;&lt;/record&gt;&lt;/Cite&gt;&lt;/EndNote&gt;</w:instrText>
      </w:r>
      <w:r>
        <w:fldChar w:fldCharType="separate"/>
      </w:r>
      <w:r>
        <w:rPr>
          <w:noProof/>
        </w:rPr>
        <w:t>(</w:t>
      </w:r>
      <w:hyperlink w:anchor="_ENREF_240" w:tooltip="QML Pathology, 2009 #422" w:history="1">
        <w:r>
          <w:rPr>
            <w:noProof/>
          </w:rPr>
          <w:t>QML Pathology 2009</w:t>
        </w:r>
      </w:hyperlink>
      <w:r>
        <w:rPr>
          <w:noProof/>
        </w:rPr>
        <w:t>)</w:t>
      </w:r>
      <w:r>
        <w:fldChar w:fldCharType="end"/>
      </w:r>
    </w:p>
  </w:footnote>
  <w:footnote w:id="11">
    <w:p w:rsidR="00926546" w:rsidRPr="00934108" w:rsidRDefault="00926546">
      <w:pPr>
        <w:pStyle w:val="FootnoteText"/>
      </w:pPr>
      <w:r>
        <w:rPr>
          <w:rStyle w:val="FootnoteReference"/>
        </w:rPr>
        <w:footnoteRef/>
      </w:r>
      <w:r>
        <w:t xml:space="preserve"> Platelet count reference range </w:t>
      </w:r>
      <w:r w:rsidRPr="00652355">
        <w:rPr>
          <w:spacing w:val="-20"/>
        </w:rPr>
        <w:t xml:space="preserve"> = </w:t>
      </w:r>
      <w:r>
        <w:t xml:space="preserve"> 150 – 450 x 10</w:t>
      </w:r>
      <w:r>
        <w:rPr>
          <w:vertAlign w:val="superscript"/>
        </w:rPr>
        <w:t>9</w:t>
      </w:r>
      <w:r>
        <w:t xml:space="preserve">/L </w:t>
      </w:r>
      <w:r>
        <w:fldChar w:fldCharType="begin"/>
      </w:r>
      <w:r>
        <w:instrText xml:space="preserve"> ADDIN EN.CITE &lt;EndNote&gt;&lt;Cite&gt;&lt;Author&gt;QML Pathology&lt;/Author&gt;&lt;Year&gt;2009&lt;/Year&gt;&lt;RecNum&gt;422&lt;/RecNum&gt;&lt;DisplayText&gt;(QML Pathology 2009)&lt;/DisplayText&gt;&lt;record&gt;&lt;rec-number&gt;422&lt;/rec-number&gt;&lt;foreign-keys&gt;&lt;key app="EN" db-id="s205ztsw6v99t1ee2r6vpat820d0x9tefftv" timestamp="1417822942"&gt;422&lt;/key&gt;&lt;/foreign-keys&gt;&lt;ref-type name="Report"&gt;27&lt;/ref-type&gt;&lt;contributors&gt;&lt;authors&gt;&lt;author&gt;QML Pathology,&lt;/author&gt;&lt;/authors&gt;&lt;/contributors&gt;&lt;titles&gt;&lt;title&gt;Reference Manual&lt;/title&gt;&lt;/titles&gt;&lt;dates&gt;&lt;year&gt;2009&lt;/year&gt;&lt;/dates&gt;&lt;urls&gt;&lt;related-urls&gt;&lt;url&gt;www.qml.com.au&lt;/url&gt;&lt;/related-urls&gt;&lt;/urls&gt;&lt;/record&gt;&lt;/Cite&gt;&lt;/EndNote&gt;</w:instrText>
      </w:r>
      <w:r>
        <w:fldChar w:fldCharType="separate"/>
      </w:r>
      <w:r>
        <w:rPr>
          <w:noProof/>
        </w:rPr>
        <w:t>(</w:t>
      </w:r>
      <w:hyperlink w:anchor="_ENREF_240" w:tooltip="QML Pathology, 2009 #422" w:history="1">
        <w:r>
          <w:rPr>
            <w:noProof/>
          </w:rPr>
          <w:t>QML Pathology 2009</w:t>
        </w:r>
      </w:hyperlink>
      <w:r>
        <w:rPr>
          <w:noProof/>
        </w:rPr>
        <w:t>)</w:t>
      </w:r>
      <w:r>
        <w:fldChar w:fldCharType="end"/>
      </w:r>
    </w:p>
  </w:footnote>
  <w:footnote w:id="12">
    <w:p w:rsidR="00926546" w:rsidRDefault="00926546" w:rsidP="001C3FAF">
      <w:pPr>
        <w:pStyle w:val="FootnoteText"/>
      </w:pPr>
      <w:r>
        <w:rPr>
          <w:rStyle w:val="FootnoteReference"/>
        </w:rPr>
        <w:footnoteRef/>
      </w:r>
      <w:r>
        <w:t xml:space="preserve"> </w:t>
      </w:r>
      <w:r w:rsidRPr="000756DF">
        <w:t>conference and poster abstracts containing data have not been listed</w:t>
      </w:r>
    </w:p>
  </w:footnote>
  <w:footnote w:id="13">
    <w:p w:rsidR="00926546" w:rsidRDefault="00926546" w:rsidP="001C3FAF">
      <w:pPr>
        <w:pStyle w:val="FootnoteText"/>
      </w:pPr>
      <w:r>
        <w:rPr>
          <w:rStyle w:val="FootnoteReference"/>
        </w:rPr>
        <w:footnoteRef/>
      </w:r>
      <w:r>
        <w:t xml:space="preserve"> QRS = combination of three graphical deflections seen on a typical electrocardiogram (i.e. part of the QT interval)</w:t>
      </w:r>
    </w:p>
  </w:footnote>
  <w:footnote w:id="14">
    <w:p w:rsidR="00926546" w:rsidRDefault="00926546">
      <w:pPr>
        <w:pStyle w:val="FootnoteText"/>
      </w:pPr>
      <w:r>
        <w:rPr>
          <w:rStyle w:val="FootnoteReference"/>
        </w:rPr>
        <w:footnoteRef/>
      </w:r>
      <w:r>
        <w:t xml:space="preserve"> Minimum clinically important difference on the 6MWT is considered to be 54 metres </w:t>
      </w:r>
      <w:r>
        <w:fldChar w:fldCharType="begin"/>
      </w:r>
      <w:r>
        <w:instrText xml:space="preserve"> ADDIN EN.CITE &lt;EndNote&gt;&lt;Cite&gt;&lt;Author&gt;Lachmann&lt;/Author&gt;&lt;Year&gt;2013&lt;/Year&gt;&lt;RecNum&gt;502&lt;/RecNum&gt;&lt;IDText&gt;160&lt;/IDText&gt;&lt;DisplayText&gt;(Lachmann &amp;amp; Schoser 2013)&lt;/DisplayText&gt;&lt;record&gt;&lt;rec-number&gt;502&lt;/rec-number&gt;&lt;foreign-keys&gt;&lt;key app="EN" db-id="s205ztsw6v99t1ee2r6vpat820d0x9tefftv" timestamp="1424043126"&gt;502&lt;/key&gt;&lt;/foreign-keys&gt;&lt;ref-type name="Journal Article"&gt;17&lt;/ref-type&gt;&lt;contributors&gt;&lt;authors&gt;&lt;author&gt;Lachmann, R.&lt;/author&gt;&lt;author&gt;Schoser, B.&lt;/author&gt;&lt;/authors&gt;&lt;/contributors&gt;&lt;auth-address&gt;Friedrich-Baur Institut, Neurologische Klinik, Klinikum der Universitat Munchen, Munchen, Germany. bschoser@med.uni-muenchen.de.&lt;/auth-address&gt;&lt;titles&gt;&lt;title&gt;The clinical relevance of outcomes used in late-onset Pompe disease: can we do better?&lt;/title&gt;&lt;secondary-title&gt;Orphanet J Rare Dis&lt;/secondary-title&gt;&lt;alt-title&gt;Orphanet journal of rare diseases&lt;/alt-title&gt;&lt;/titles&gt;&lt;periodical&gt;&lt;full-title&gt;Orphanet J Rare Dis&lt;/full-title&gt;&lt;/periodical&gt;&lt;alt-periodical&gt;&lt;full-title&gt;Orphanet Journal of Rare Diseases&lt;/full-title&gt;&lt;/alt-periodical&gt;&lt;pages&gt;160&lt;/pages&gt;&lt;volume&gt;8&lt;/volume&gt;&lt;edition&gt;2013/10/15&lt;/edition&gt;&lt;keywords&gt;&lt;keyword&gt;Enzyme Replacement Therapy&lt;/keyword&gt;&lt;keyword&gt;Glycogen Storage Disease Type II/*drug therapy/metabolism/*physiopathology&lt;/keyword&gt;&lt;keyword&gt;Humans&lt;/keyword&gt;&lt;keyword&gt;Muscular Dystrophies/drug therapy/metabolism/physiopathology&lt;/keyword&gt;&lt;keyword&gt;Vital Capacity/physiology&lt;/keyword&gt;&lt;/keywords&gt;&lt;dates&gt;&lt;year&gt;2013&lt;/year&gt;&lt;/dates&gt;&lt;isbn&gt;1750-1172 (Electronic)&amp;#xD;1750-1172 (Linking)&lt;/isbn&gt;&lt;accession-num&gt;24119230&lt;/accession-num&gt;&lt;work-type&gt;Review&lt;/work-type&gt;&lt;urls&gt;&lt;related-urls&gt;&lt;url&gt;http://www.ncbi.nlm.nih.gov/pubmed/24119230&lt;/url&gt;&lt;/related-urls&gt;&lt;/urls&gt;&lt;custom2&gt;4015278&lt;/custom2&gt;&lt;electronic-resource-num&gt;10.1186/1750-1172-8-160&lt;/electronic-resource-num&gt;&lt;/record&gt;&lt;/Cite&gt;&lt;/EndNote&gt;</w:instrText>
      </w:r>
      <w:r>
        <w:fldChar w:fldCharType="separate"/>
      </w:r>
      <w:r>
        <w:rPr>
          <w:noProof/>
        </w:rPr>
        <w:t>(</w:t>
      </w:r>
      <w:hyperlink w:anchor="_ENREF_179" w:tooltip="Lachmann, 2013 #502" w:history="1">
        <w:r>
          <w:rPr>
            <w:noProof/>
          </w:rPr>
          <w:t>Lachmann &amp; Schoser 2013</w:t>
        </w:r>
      </w:hyperlink>
      <w:r>
        <w:rPr>
          <w:noProof/>
        </w:rPr>
        <w:t>)</w:t>
      </w:r>
      <w:r>
        <w:fldChar w:fldCharType="end"/>
      </w:r>
    </w:p>
  </w:footnote>
  <w:footnote w:id="15">
    <w:p w:rsidR="00926546" w:rsidRDefault="00926546" w:rsidP="00A60421">
      <w:pPr>
        <w:pStyle w:val="FootnoteText"/>
      </w:pPr>
      <w:r>
        <w:rPr>
          <w:rStyle w:val="FootnoteReference"/>
        </w:rPr>
        <w:footnoteRef/>
      </w:r>
      <w:r>
        <w:t xml:space="preserve"> For the last 2.5 years of the trial laronidase was administered to 19 European patients without human serum albumin, in accordance with the European product label </w:t>
      </w:r>
      <w:r>
        <w:fldChar w:fldCharType="begin">
          <w:fldData xml:space="preserve">PEVuZE5vdGU+PENpdGU+PEF1dGhvcj5DbGFya2U8L0F1dGhvcj48WWVhcj4yMDA5PC9ZZWFyPjxS
ZWNOdW0+MjUzPC9SZWNOdW0+PElEVGV4dD4yMjktNDA8L0lEVGV4dD48RGlzcGxheVRleHQ+KENs
YXJrZSBldCBhbC4gMjAwOSk8L0Rpc3BsYXlUZXh0PjxyZWNvcmQ+PHJlYy1udW1iZXI+MjUzPC9y
ZWMtbnVtYmVyPjxmb3JlaWduLWtleXM+PGtleSBhcHA9IkVOIiBkYi1pZD0iczIwNXp0c3c2djk5
dDFlZTJyNnZwYXQ4MjBkMHg5dGVmZnR2IiB0aW1lc3RhbXA9IjE0MTY0NDY5NjkiPjI1Mzwva2V5
PjwvZm9yZWlnbi1rZXlzPjxyZWYtdHlwZSBuYW1lPSJFbGVjdHJvbmljIEFydGljbGUiPjQzPC9y
ZWYtdHlwZT48Y29udHJpYnV0b3JzPjxhdXRob3JzPjxhdXRob3I+Q2xhcmtlLCBMLiBBLjwvYXV0
aG9yPjxhdXRob3I+V3JhaXRoLCBKLiBFLjwvYXV0aG9yPjxhdXRob3I+QmVjaywgTS48L2F1dGhv
cj48YXV0aG9yPktvbG9kbnksIEUuIEguPC9hdXRob3I+PGF1dGhvcj5QYXN0b3JlcywgRy4gTS48
L2F1dGhvcj48YXV0aG9yPk11ZW56ZXIsIEouPC9hdXRob3I+PGF1dGhvcj5SYXBvcG9ydCwgRC4g
TS48L2F1dGhvcj48YXV0aG9yPkJlcmdlciwgSy4gSS48L2F1dGhvcj48YXV0aG9yPlNpZG1hbiwg
TS48L2F1dGhvcj48YXV0aG9yPktha2tpcywgRS4gRC48L2F1dGhvcj48YXV0aG9yPkNveCwgRy4g
Ri48L2F1dGhvcj48L2F1dGhvcnM+PC9jb250cmlidXRvcnM+PHRpdGxlcz48dGl0bGU+TG9uZy10
ZXJtIGVmZmljYWN5IGFuZCBzYWZldHkgb2YgbGFyb25pZGFzZSBpbiB0aGUgdHJlYXRtZW50IG9m
IG11Y29wb2x5c2FjY2hhcmlkb3NpcyBJPC90aXRsZT48c2Vjb25kYXJ5LXRpdGxlPlBlZGlhdHJp
Y3M8L3NlY29uZGFyeS10aXRsZT48L3RpdGxlcz48cGVyaW9kaWNhbD48ZnVsbC10aXRsZT5QZWRp
YXRyaWNzPC9mdWxsLXRpdGxlPjxhYmJyLTE+UGVkaWF0cmljczwvYWJici0xPjwvcGVyaW9kaWNh
bD48cGFnZXM+MjI5LTQwPC9wYWdlcz48dm9sdW1lPjEyMzwvdm9sdW1lPjxudW1iZXI+MTwvbnVt
YmVyPjxrZXl3b3Jkcz48a2V5d29yZD5BZG9sZXNjZW50PC9rZXl3b3JkPjxrZXl3b3JkPkRvdWJs
ZS1CbGluZCBNZXRob2Q8L2tleXdvcmQ+PGtleXdvcmQ+RXhhbnRoZW1hIFtjaGVtaWNhbGx5IGlu
ZHVjZWRdIFtkaWFnbm9zaXNdPC9rZXl3b3JkPjxrZXl3b3JkPkhlYWRhY2hlIFtjaGVtaWNhbGx5
IGluZHVjZWRdIFtkaWFnbm9zaXNdPC9rZXl3b3JkPjxrZXl3b3JkPklkdXJvbmlkYXNlIFthZG1p
bmlzdHJhdGlvbiAmYW1wOyBkb3NhZ2VdIFthZHZlcnNlIGVmZmVjdHNdIFt0aGVyYXBldXRpYyB1
c2VdPC9rZXl3b3JkPjxrZXl3b3JkPk11Y29wb2x5c2FjY2hhcmlkb3NpcyBJIFtkcnVnIHRoZXJh
cHldIFtlbnp5bW9sb2d5XSBbcGh5c2lvcGF0aG9sb2d5XTwva2V5d29yZD48a2V5d29yZD5SZWNv
bWJpbmFudCBQcm90ZWlucyBbYWRtaW5pc3RyYXRpb24gJmFtcDsgZG9zYWdlXSBbYWR2ZXJzZSBl
ZmZlY3RzXSBbdGhlcmFwZXV0aWMgdXNlXTwva2V5d29yZD48a2V5d29yZD5UaW1lPC9rZXl3b3Jk
PjxrZXl3b3JkPlRyZWF0bWVudCBPdXRjb21lPC9rZXl3b3JkPjxrZXl3b3JkPkFkdWx0W2NoZWNr
d29yZF08L2tleXdvcmQ+PGtleXdvcmQ+Q2hpbGRbY2hlY2t3b3JkXTwva2V5d29yZD48a2V5d29y
ZD5GZW1hbGVbY2hlY2t3b3JkXTwva2V5d29yZD48a2V5d29yZD5IdW1hbnNbY2hlY2t3b3JkXTwv
a2V5d29yZD48a2V5d29yZD5NYWxlW2NoZWNrd29yZF08L2tleXdvcmQ+PGtleXdvcmQ+WW91bmcg
QWR1bHRbY2hlY2t3b3JkXTwva2V5d29yZD48L2tleXdvcmRzPjxkYXRlcz48eWVhcj4yMDA5PC95
ZWFyPjwvZGF0ZXM+PGFjY2Vzc2lvbi1udW0+Q04tMDA2NjYwMDQ8L2FjY2Vzc2lvbi1udW0+PHdv
cmstdHlwZT5Db21wYXJhdGl2ZSBTdHVkeTsgUmFuZG9taXplZCBDb250cm9sbGVkIFRyaWFsPC93
b3JrLXR5cGU+PHVybHM+PHJlbGF0ZWQtdXJscz48dXJsPmh0dHA6Ly9vbmxpbmVsaWJyYXJ5Lndp
bGV5LmNvbS9vL2NvY2hyYW5lL2NsY2VudHJhbC9hcnRpY2xlcy8wMDQvQ04tMDA2NjYwMDQvZnJh
bWUuaHRtbDwvdXJsPjx1cmw+aHR0cDovL3BlZGlhdHJpY3MuYWFwcHVibGljYXRpb25zLm9yZy9j
b250ZW50LzEyMy8xLzIyOS5mdWxsLnBkZjwvdXJsPjwvcmVsYXRlZC11cmxzPjwvdXJscz48Y3Vz
dG9tMz5QdWJtZWQgMTkxMTc4ODc8L2N1c3RvbTM+PGVsZWN0cm9uaWMtcmVzb3VyY2UtbnVtPjEw
LjE1NDIvcGVkcy4yMDA3LTM4NDc8L2VsZWN0cm9uaWMtcmVzb3VyY2UtbnVtPjwvcmVjb3JkPjwv
Q2l0ZT48L0VuZE5vdGU+AG==
</w:fldData>
        </w:fldChar>
      </w:r>
      <w:r>
        <w:instrText xml:space="preserve"> ADDIN EN.CITE </w:instrText>
      </w:r>
      <w:r>
        <w:fldChar w:fldCharType="begin">
          <w:fldData xml:space="preserve">PEVuZE5vdGU+PENpdGU+PEF1dGhvcj5DbGFya2U8L0F1dGhvcj48WWVhcj4yMDA5PC9ZZWFyPjxS
ZWNOdW0+MjUzPC9SZWNOdW0+PElEVGV4dD4yMjktNDA8L0lEVGV4dD48RGlzcGxheVRleHQ+KENs
YXJrZSBldCBhbC4gMjAwOSk8L0Rpc3BsYXlUZXh0PjxyZWNvcmQ+PHJlYy1udW1iZXI+MjUzPC9y
ZWMtbnVtYmVyPjxmb3JlaWduLWtleXM+PGtleSBhcHA9IkVOIiBkYi1pZD0iczIwNXp0c3c2djk5
dDFlZTJyNnZwYXQ4MjBkMHg5dGVmZnR2IiB0aW1lc3RhbXA9IjE0MTY0NDY5NjkiPjI1Mzwva2V5
PjwvZm9yZWlnbi1rZXlzPjxyZWYtdHlwZSBuYW1lPSJFbGVjdHJvbmljIEFydGljbGUiPjQzPC9y
ZWYtdHlwZT48Y29udHJpYnV0b3JzPjxhdXRob3JzPjxhdXRob3I+Q2xhcmtlLCBMLiBBLjwvYXV0
aG9yPjxhdXRob3I+V3JhaXRoLCBKLiBFLjwvYXV0aG9yPjxhdXRob3I+QmVjaywgTS48L2F1dGhv
cj48YXV0aG9yPktvbG9kbnksIEUuIEguPC9hdXRob3I+PGF1dGhvcj5QYXN0b3JlcywgRy4gTS48
L2F1dGhvcj48YXV0aG9yPk11ZW56ZXIsIEouPC9hdXRob3I+PGF1dGhvcj5SYXBvcG9ydCwgRC4g
TS48L2F1dGhvcj48YXV0aG9yPkJlcmdlciwgSy4gSS48L2F1dGhvcj48YXV0aG9yPlNpZG1hbiwg
TS48L2F1dGhvcj48YXV0aG9yPktha2tpcywgRS4gRC48L2F1dGhvcj48YXV0aG9yPkNveCwgRy4g
Ri48L2F1dGhvcj48L2F1dGhvcnM+PC9jb250cmlidXRvcnM+PHRpdGxlcz48dGl0bGU+TG9uZy10
ZXJtIGVmZmljYWN5IGFuZCBzYWZldHkgb2YgbGFyb25pZGFzZSBpbiB0aGUgdHJlYXRtZW50IG9m
IG11Y29wb2x5c2FjY2hhcmlkb3NpcyBJPC90aXRsZT48c2Vjb25kYXJ5LXRpdGxlPlBlZGlhdHJp
Y3M8L3NlY29uZGFyeS10aXRsZT48L3RpdGxlcz48cGVyaW9kaWNhbD48ZnVsbC10aXRsZT5QZWRp
YXRyaWNzPC9mdWxsLXRpdGxlPjxhYmJyLTE+UGVkaWF0cmljczwvYWJici0xPjwvcGVyaW9kaWNh
bD48cGFnZXM+MjI5LTQwPC9wYWdlcz48dm9sdW1lPjEyMzwvdm9sdW1lPjxudW1iZXI+MTwvbnVt
YmVyPjxrZXl3b3Jkcz48a2V5d29yZD5BZG9sZXNjZW50PC9rZXl3b3JkPjxrZXl3b3JkPkRvdWJs
ZS1CbGluZCBNZXRob2Q8L2tleXdvcmQ+PGtleXdvcmQ+RXhhbnRoZW1hIFtjaGVtaWNhbGx5IGlu
ZHVjZWRdIFtkaWFnbm9zaXNdPC9rZXl3b3JkPjxrZXl3b3JkPkhlYWRhY2hlIFtjaGVtaWNhbGx5
IGluZHVjZWRdIFtkaWFnbm9zaXNdPC9rZXl3b3JkPjxrZXl3b3JkPklkdXJvbmlkYXNlIFthZG1p
bmlzdHJhdGlvbiAmYW1wOyBkb3NhZ2VdIFthZHZlcnNlIGVmZmVjdHNdIFt0aGVyYXBldXRpYyB1
c2VdPC9rZXl3b3JkPjxrZXl3b3JkPk11Y29wb2x5c2FjY2hhcmlkb3NpcyBJIFtkcnVnIHRoZXJh
cHldIFtlbnp5bW9sb2d5XSBbcGh5c2lvcGF0aG9sb2d5XTwva2V5d29yZD48a2V5d29yZD5SZWNv
bWJpbmFudCBQcm90ZWlucyBbYWRtaW5pc3RyYXRpb24gJmFtcDsgZG9zYWdlXSBbYWR2ZXJzZSBl
ZmZlY3RzXSBbdGhlcmFwZXV0aWMgdXNlXTwva2V5d29yZD48a2V5d29yZD5UaW1lPC9rZXl3b3Jk
PjxrZXl3b3JkPlRyZWF0bWVudCBPdXRjb21lPC9rZXl3b3JkPjxrZXl3b3JkPkFkdWx0W2NoZWNr
d29yZF08L2tleXdvcmQ+PGtleXdvcmQ+Q2hpbGRbY2hlY2t3b3JkXTwva2V5d29yZD48a2V5d29y
ZD5GZW1hbGVbY2hlY2t3b3JkXTwva2V5d29yZD48a2V5d29yZD5IdW1hbnNbY2hlY2t3b3JkXTwv
a2V5d29yZD48a2V5d29yZD5NYWxlW2NoZWNrd29yZF08L2tleXdvcmQ+PGtleXdvcmQ+WW91bmcg
QWR1bHRbY2hlY2t3b3JkXTwva2V5d29yZD48L2tleXdvcmRzPjxkYXRlcz48eWVhcj4yMDA5PC95
ZWFyPjwvZGF0ZXM+PGFjY2Vzc2lvbi1udW0+Q04tMDA2NjYwMDQ8L2FjY2Vzc2lvbi1udW0+PHdv
cmstdHlwZT5Db21wYXJhdGl2ZSBTdHVkeTsgUmFuZG9taXplZCBDb250cm9sbGVkIFRyaWFsPC93
b3JrLXR5cGU+PHVybHM+PHJlbGF0ZWQtdXJscz48dXJsPmh0dHA6Ly9vbmxpbmVsaWJyYXJ5Lndp
bGV5LmNvbS9vL2NvY2hyYW5lL2NsY2VudHJhbC9hcnRpY2xlcy8wMDQvQ04tMDA2NjYwMDQvZnJh
bWUuaHRtbDwvdXJsPjx1cmw+aHR0cDovL3BlZGlhdHJpY3MuYWFwcHVibGljYXRpb25zLm9yZy9j
b250ZW50LzEyMy8xLzIyOS5mdWxsLnBkZjwvdXJsPjwvcmVsYXRlZC11cmxzPjwvdXJscz48Y3Vz
dG9tMz5QdWJtZWQgMTkxMTc4ODc8L2N1c3RvbTM+PGVsZWN0cm9uaWMtcmVzb3VyY2UtbnVtPjEw
LjE1NDIvcGVkcy4yMDA3LTM4NDc8L2VsZWN0cm9uaWMtcmVzb3VyY2UtbnVtPjwvcmVjb3JkPjwv
Q2l0ZT48L0VuZE5vdGU+AG==
</w:fldData>
        </w:fldChar>
      </w:r>
      <w:r>
        <w:instrText xml:space="preserve"> ADDIN EN.CITE.DATA </w:instrText>
      </w:r>
      <w:r>
        <w:fldChar w:fldCharType="end"/>
      </w:r>
      <w:r>
        <w:fldChar w:fldCharType="separate"/>
      </w:r>
      <w:r>
        <w:rPr>
          <w:noProof/>
        </w:rPr>
        <w:t>(</w:t>
      </w:r>
      <w:hyperlink w:anchor="_ENREF_53" w:tooltip="Clarke, 2009 #253" w:history="1">
        <w:r>
          <w:rPr>
            <w:noProof/>
          </w:rPr>
          <w:t>Clarke et al. 2009</w:t>
        </w:r>
      </w:hyperlink>
      <w:r>
        <w:rPr>
          <w:noProof/>
        </w:rPr>
        <w:t>)</w:t>
      </w:r>
      <w:r>
        <w:fldChar w:fldCharType="end"/>
      </w:r>
    </w:p>
  </w:footnote>
  <w:footnote w:id="16">
    <w:p w:rsidR="00926546" w:rsidRDefault="00926546" w:rsidP="000756DF">
      <w:pPr>
        <w:pStyle w:val="FootnoteText"/>
      </w:pPr>
      <w:r>
        <w:rPr>
          <w:rStyle w:val="FootnoteReference"/>
        </w:rPr>
        <w:footnoteRef/>
      </w:r>
      <w:r>
        <w:t xml:space="preserve"> The two-component composite score for each patient was calculated by summing the ranks of the two individual components according to the procedure described by O’Brien, 1984.</w:t>
      </w:r>
    </w:p>
  </w:footnote>
  <w:footnote w:id="17">
    <w:p w:rsidR="00926546" w:rsidRPr="005E6E1C" w:rsidRDefault="00926546" w:rsidP="00D05B69">
      <w:pPr>
        <w:pStyle w:val="FootnoteText"/>
        <w:rPr>
          <w:rFonts w:asciiTheme="minorHAnsi" w:hAnsiTheme="minorHAnsi"/>
        </w:rPr>
      </w:pPr>
      <w:r w:rsidRPr="005E6E1C">
        <w:rPr>
          <w:rStyle w:val="FootnoteReference"/>
          <w:rFonts w:asciiTheme="minorHAnsi" w:hAnsiTheme="minorHAnsi"/>
        </w:rPr>
        <w:footnoteRef/>
      </w:r>
      <w:r w:rsidRPr="005E6E1C">
        <w:rPr>
          <w:rFonts w:asciiTheme="minorHAnsi" w:hAnsiTheme="minorHAnsi"/>
        </w:rPr>
        <w:t xml:space="preserve"> One patient does not have a recorded start date or recorded visit.</w:t>
      </w:r>
    </w:p>
  </w:footnote>
  <w:footnote w:id="18">
    <w:p w:rsidR="00926546" w:rsidRDefault="00926546" w:rsidP="00D05B69">
      <w:pPr>
        <w:pStyle w:val="FootnoteText"/>
      </w:pPr>
      <w:r>
        <w:rPr>
          <w:rStyle w:val="FootnoteReference"/>
        </w:rPr>
        <w:footnoteRef/>
      </w:r>
      <w:r>
        <w:t xml:space="preserve"> Type III PNH cells have a complete deficiency of GPI membrane anchoring proteins</w:t>
      </w:r>
      <w:r>
        <w:fldChar w:fldCharType="begin">
          <w:fldData xml:space="preserve">PEVuZE5vdGU+PENpdGU+PEF1dGhvcj5IaWxsbWVuPC9BdXRob3I+PFllYXI+MjAwNDwvWWVhcj48
UmVjTnVtPjkzPC9SZWNOdW0+PElEVGV4dD41NTItOTwvSURUZXh0PjxEaXNwbGF5VGV4dD4oSGls
bG1lbiBldCBhbC4gMjAwNCk8L0Rpc3BsYXlUZXh0PjxyZWNvcmQ+PHJlYy1udW1iZXI+OTM8L3Jl
Yy1udW1iZXI+PGZvcmVpZ24ta2V5cz48a2V5IGFwcD0iRU4iIGRiLWlkPSJzMjA1enRzdzZ2OTl0
MWVlMnI2dnBhdDgyMGQweDl0ZWZmdHYiIHRpbWVzdGFtcD0iMTQxNDU0ODYyOSI+OTM8L2tleT48
L2ZvcmVpZ24ta2V5cz48cmVmLXR5cGUgbmFtZT0iSm91cm5hbCBBcnRpY2xlIj4xNzwvcmVmLXR5
cGU+PGNvbnRyaWJ1dG9ycz48YXV0aG9ycz48YXV0aG9yPkhpbGxtZW4sIFAuPC9hdXRob3I+PGF1
dGhvcj5IYWxsLCBDLjwvYXV0aG9yPjxhdXRob3I+TWFyc2gsIEouIEMuPC9hdXRob3I+PGF1dGhv
cj5FbGVidXRlLCBNLjwvYXV0aG9yPjxhdXRob3I+Qm9tYmFyYSwgTS4gUC48L2F1dGhvcj48YXV0
aG9yPlBldHJvLCBCLiBFLjwvYXV0aG9yPjxhdXRob3I+Q3VsbGVuLCBNLiBKLjwvYXV0aG9yPjxh
dXRob3I+UmljaGFyZHMsIFMuIEouPC9hdXRob3I+PGF1dGhvcj5Sb2xsaW5zLCBTLiBBLjwvYXV0
aG9yPjxhdXRob3I+TW9qY2lrLCBDLiBGLjwvYXV0aG9yPjxhdXRob3I+Um90aGVyLCBSLiBQLjwv
YXV0aG9yPjwvYXV0aG9ycz48L2NvbnRyaWJ1dG9ycz48YXV0aC1hZGRyZXNzPkRlcGFydG1lbnQg
b2YgSGFlbWF0b2xvZ3ksIExlZWRzIFRlYWNoaW5nIEhvc3BpdGFscyBOYXRpb25hbCBIZWFsdGgg
U2NpZW5jZSBUcnVzdCwgTGVlZHMsIFVuaXRlZCBLaW5nZG9tLiBwZXRlci5oaWxsbWVuQHBhbnAt
dHIubm9ydGh5Lm5ocy51azwvYXV0aC1hZGRyZXNzPjx0aXRsZXM+PHRpdGxlPkVmZmVjdCBvZiBl
Y3VsaXp1bWFiIG9uIGhlbW9seXNpcyBhbmQgdHJhbnNmdXNpb24gcmVxdWlyZW1lbnRzIGluIHBh
dGllbnRzIHdpdGggcGFyb3h5c21hbCBub2N0dXJuYWwgaGVtb2dsb2JpbnVyaWE8L3RpdGxlPjxz
ZWNvbmRhcnktdGl0bGU+TiBFbmdsIEogTWVkPC9zZWNvbmRhcnktdGl0bGU+PGFsdC10aXRsZT5U
aGUgTmV3IEVuZ2xhbmQgam91cm5hbCBvZiBtZWRpY2luZTwvYWx0LXRpdGxlPjwvdGl0bGVzPjxw
ZXJpb2RpY2FsPjxmdWxsLXRpdGxlPk4gRW5nbCBKIE1lZDwvZnVsbC10aXRsZT48YWJici0xPlRo
ZSBOZXcgRW5nbGFuZCBqb3VybmFsIG9mIG1lZGljaW5lPC9hYmJyLTE+PC9wZXJpb2RpY2FsPjxh
bHQtcGVyaW9kaWNhbD48ZnVsbC10aXRsZT5OIEVuZ2wgSiBNZWQ8L2Z1bGwtdGl0bGU+PGFiYnIt
MT5UaGUgTmV3IEVuZ2xhbmQgam91cm5hbCBvZiBtZWRpY2luZTwvYWJici0xPjwvYWx0LXBlcmlv
ZGljYWw+PHBhZ2VzPjU1Mi05PC9wYWdlcz48dm9sdW1lPjM1MDwvdm9sdW1lPjxudW1iZXI+Njwv
bnVtYmVyPjxlZGl0aW9uPjIwMDQvMDIvMDY8L2VkaXRpb24+PGtleXdvcmRzPjxrZXl3b3JkPkFk
dWx0PC9rZXl3b3JkPjxrZXl3b3JkPkFnZWQ8L2tleXdvcmQ+PGtleXdvcmQ+QW50aWJvZGllcywg
TW9ub2Nsb25hbC9hZHZlcnNlIGVmZmVjdHMvcGhhcm1hY29sb2d5LyB0aGVyYXBldXRpYyB1c2U8
L2tleXdvcmQ+PGtleXdvcmQ+QW50aWJvZGllcywgTW9ub2Nsb25hbCwgSHVtYW5pemVkPC9rZXl3
b3JkPjxrZXl3b3JkPkVyeXRocm9jeXRlIFRyYW5zZnVzaW9uPC9rZXl3b3JkPjxrZXl3b3JkPkZl
bWFsZTwva2V5d29yZD48a2V5d29yZD5IZW1vZ2xvYmludXJpYS9kaWFnbm9zaXMvZHJ1ZyB0aGVy
YXB5PC9rZXl3b3JkPjxrZXl3b3JkPkhlbW9nbG9iaW51cmlhLCBQYXJveHlzbWFsL2Jsb29kLyBk
cnVnIHRoZXJhcHkvdGhlcmFweS91cmluZTwva2V5d29yZD48a2V5d29yZD5IZW1vbHlzaXMvIGRy
dWcgZWZmZWN0czwva2V5d29yZD48a2V5d29yZD5IdW1hbnM8L2tleXdvcmQ+PGtleXdvcmQ+TC1M
YWN0YXRlIERlaHlkcm9nZW5hc2UvYmxvb2Q8L2tleXdvcmQ+PGtleXdvcmQ+TWFsZTwva2V5d29y
ZD48a2V5d29yZD5NaWRkbGUgQWdlZDwva2V5d29yZD48a2V5d29yZD5RdWFsaXR5IG9mIExpZmU8
L2tleXdvcmQ+PGtleXdvcmQ+UmV0aWN1bG9jeXRlIENvdW50PC9rZXl3b3JkPjxrZXl3b3JkPlVy
aW5hbHlzaXM8L2tleXdvcmQ+PC9rZXl3b3Jkcz48ZGF0ZXM+PHllYXI+MjAwNDwveWVhcj48cHVi
LWRhdGVzPjxkYXRlPkZlYiA1PC9kYXRlPjwvcHViLWRhdGVzPjwvZGF0ZXM+PGlzYm4+MTUzMy00
NDA2IChFbGVjdHJvbmljKSYjeEQ7MDAyOC00NzkzIChMaW5raW5nKTwvaXNibj48YWNjZXNzaW9u
LW51bT4xNDc2MjE4MjwvYWNjZXNzaW9uLW51bT48dXJscz48cmVsYXRlZC11cmxzPjx1cmw+aHR0
cDovL3d3dy5uZWptLm9yZy9kb2kvcGRmLzEwLjEwNTYvTkVKTW9hMDMxNjg4PC91cmw+PC9yZWxh
dGVkLXVybHM+PC91cmxzPjxlbGVjdHJvbmljLXJlc291cmNlLW51bT4xMC4xMDU2L05FSk1vYTAz
MTY4ODwvZWxlY3Ryb25pYy1yZXNvdXJjZS1udW0+PHJlbW90ZS1kYXRhYmFzZS1wcm92aWRlcj5O
TE08L3JlbW90ZS1kYXRhYmFzZS1wcm92aWRlcj48cmVzZWFyY2gtbm90ZXM+SU5DTFVERTogUG9w
dWxhdGlvbiBPSyAgKG49MTEpIChGaWd1cmUgMyBzaG93cyBSQkMgY2xvbmUgc2l6ZSAmZ3Q7MTAl
KSAgTERIIGxldmVsIHJlcG9ydGVkIGluIEhpbGwgMjAwNSwgQ2FzZSBzZXJpZXMgKHByZS0gcG9z
dCBUeCkgSW50ZXJ2ZW50aW9uIE9LIChvbmx5IDEyIHdlZWtzKSwgT3V0Y29tZTogcmF0ZSBvZiB0
cmFuc2Z1c2lvbiwgUW9MLiBHcmFudWxvY3l0ZSBjbG9uZSBzaXplIHJlcG9ydGVkIGluIEhpbGxt
YW4gMjAwNzwvcmVzZWFyY2gtbm90ZXM+PGxhbmd1YWdlPmVuZzwvbGFuZ3VhZ2U+PC9yZWNvcmQ+
PC9DaXRlPjwvRW5kTm90ZT4A
</w:fldData>
        </w:fldChar>
      </w:r>
      <w:r>
        <w:instrText xml:space="preserve"> ADDIN EN.CITE </w:instrText>
      </w:r>
      <w:r>
        <w:fldChar w:fldCharType="begin">
          <w:fldData xml:space="preserve">PEVuZE5vdGU+PENpdGU+PEF1dGhvcj5IaWxsbWVuPC9BdXRob3I+PFllYXI+MjAwNDwvWWVhcj48
UmVjTnVtPjkzPC9SZWNOdW0+PElEVGV4dD41NTItOTwvSURUZXh0PjxEaXNwbGF5VGV4dD4oSGls
bG1lbiBldCBhbC4gMjAwNCk8L0Rpc3BsYXlUZXh0PjxyZWNvcmQ+PHJlYy1udW1iZXI+OTM8L3Jl
Yy1udW1iZXI+PGZvcmVpZ24ta2V5cz48a2V5IGFwcD0iRU4iIGRiLWlkPSJzMjA1enRzdzZ2OTl0
MWVlMnI2dnBhdDgyMGQweDl0ZWZmdHYiIHRpbWVzdGFtcD0iMTQxNDU0ODYyOSI+OTM8L2tleT48
L2ZvcmVpZ24ta2V5cz48cmVmLXR5cGUgbmFtZT0iSm91cm5hbCBBcnRpY2xlIj4xNzwvcmVmLXR5
cGU+PGNvbnRyaWJ1dG9ycz48YXV0aG9ycz48YXV0aG9yPkhpbGxtZW4sIFAuPC9hdXRob3I+PGF1
dGhvcj5IYWxsLCBDLjwvYXV0aG9yPjxhdXRob3I+TWFyc2gsIEouIEMuPC9hdXRob3I+PGF1dGhv
cj5FbGVidXRlLCBNLjwvYXV0aG9yPjxhdXRob3I+Qm9tYmFyYSwgTS4gUC48L2F1dGhvcj48YXV0
aG9yPlBldHJvLCBCLiBFLjwvYXV0aG9yPjxhdXRob3I+Q3VsbGVuLCBNLiBKLjwvYXV0aG9yPjxh
dXRob3I+UmljaGFyZHMsIFMuIEouPC9hdXRob3I+PGF1dGhvcj5Sb2xsaW5zLCBTLiBBLjwvYXV0
aG9yPjxhdXRob3I+TW9qY2lrLCBDLiBGLjwvYXV0aG9yPjxhdXRob3I+Um90aGVyLCBSLiBQLjwv
YXV0aG9yPjwvYXV0aG9ycz48L2NvbnRyaWJ1dG9ycz48YXV0aC1hZGRyZXNzPkRlcGFydG1lbnQg
b2YgSGFlbWF0b2xvZ3ksIExlZWRzIFRlYWNoaW5nIEhvc3BpdGFscyBOYXRpb25hbCBIZWFsdGgg
U2NpZW5jZSBUcnVzdCwgTGVlZHMsIFVuaXRlZCBLaW5nZG9tLiBwZXRlci5oaWxsbWVuQHBhbnAt
dHIubm9ydGh5Lm5ocy51azwvYXV0aC1hZGRyZXNzPjx0aXRsZXM+PHRpdGxlPkVmZmVjdCBvZiBl
Y3VsaXp1bWFiIG9uIGhlbW9seXNpcyBhbmQgdHJhbnNmdXNpb24gcmVxdWlyZW1lbnRzIGluIHBh
dGllbnRzIHdpdGggcGFyb3h5c21hbCBub2N0dXJuYWwgaGVtb2dsb2JpbnVyaWE8L3RpdGxlPjxz
ZWNvbmRhcnktdGl0bGU+TiBFbmdsIEogTWVkPC9zZWNvbmRhcnktdGl0bGU+PGFsdC10aXRsZT5U
aGUgTmV3IEVuZ2xhbmQgam91cm5hbCBvZiBtZWRpY2luZTwvYWx0LXRpdGxlPjwvdGl0bGVzPjxw
ZXJpb2RpY2FsPjxmdWxsLXRpdGxlPk4gRW5nbCBKIE1lZDwvZnVsbC10aXRsZT48YWJici0xPlRo
ZSBOZXcgRW5nbGFuZCBqb3VybmFsIG9mIG1lZGljaW5lPC9hYmJyLTE+PC9wZXJpb2RpY2FsPjxh
bHQtcGVyaW9kaWNhbD48ZnVsbC10aXRsZT5OIEVuZ2wgSiBNZWQ8L2Z1bGwtdGl0bGU+PGFiYnIt
MT5UaGUgTmV3IEVuZ2xhbmQgam91cm5hbCBvZiBtZWRpY2luZTwvYWJici0xPjwvYWx0LXBlcmlv
ZGljYWw+PHBhZ2VzPjU1Mi05PC9wYWdlcz48dm9sdW1lPjM1MDwvdm9sdW1lPjxudW1iZXI+Njwv
bnVtYmVyPjxlZGl0aW9uPjIwMDQvMDIvMDY8L2VkaXRpb24+PGtleXdvcmRzPjxrZXl3b3JkPkFk
dWx0PC9rZXl3b3JkPjxrZXl3b3JkPkFnZWQ8L2tleXdvcmQ+PGtleXdvcmQ+QW50aWJvZGllcywg
TW9ub2Nsb25hbC9hZHZlcnNlIGVmZmVjdHMvcGhhcm1hY29sb2d5LyB0aGVyYXBldXRpYyB1c2U8
L2tleXdvcmQ+PGtleXdvcmQ+QW50aWJvZGllcywgTW9ub2Nsb25hbCwgSHVtYW5pemVkPC9rZXl3
b3JkPjxrZXl3b3JkPkVyeXRocm9jeXRlIFRyYW5zZnVzaW9uPC9rZXl3b3JkPjxrZXl3b3JkPkZl
bWFsZTwva2V5d29yZD48a2V5d29yZD5IZW1vZ2xvYmludXJpYS9kaWFnbm9zaXMvZHJ1ZyB0aGVy
YXB5PC9rZXl3b3JkPjxrZXl3b3JkPkhlbW9nbG9iaW51cmlhLCBQYXJveHlzbWFsL2Jsb29kLyBk
cnVnIHRoZXJhcHkvdGhlcmFweS91cmluZTwva2V5d29yZD48a2V5d29yZD5IZW1vbHlzaXMvIGRy
dWcgZWZmZWN0czwva2V5d29yZD48a2V5d29yZD5IdW1hbnM8L2tleXdvcmQ+PGtleXdvcmQ+TC1M
YWN0YXRlIERlaHlkcm9nZW5hc2UvYmxvb2Q8L2tleXdvcmQ+PGtleXdvcmQ+TWFsZTwva2V5d29y
ZD48a2V5d29yZD5NaWRkbGUgQWdlZDwva2V5d29yZD48a2V5d29yZD5RdWFsaXR5IG9mIExpZmU8
L2tleXdvcmQ+PGtleXdvcmQ+UmV0aWN1bG9jeXRlIENvdW50PC9rZXl3b3JkPjxrZXl3b3JkPlVy
aW5hbHlzaXM8L2tleXdvcmQ+PC9rZXl3b3Jkcz48ZGF0ZXM+PHllYXI+MjAwNDwveWVhcj48cHVi
LWRhdGVzPjxkYXRlPkZlYiA1PC9kYXRlPjwvcHViLWRhdGVzPjwvZGF0ZXM+PGlzYm4+MTUzMy00
NDA2IChFbGVjdHJvbmljKSYjeEQ7MDAyOC00NzkzIChMaW5raW5nKTwvaXNibj48YWNjZXNzaW9u
LW51bT4xNDc2MjE4MjwvYWNjZXNzaW9uLW51bT48dXJscz48cmVsYXRlZC11cmxzPjx1cmw+aHR0
cDovL3d3dy5uZWptLm9yZy9kb2kvcGRmLzEwLjEwNTYvTkVKTW9hMDMxNjg4PC91cmw+PC9yZWxh
dGVkLXVybHM+PC91cmxzPjxlbGVjdHJvbmljLXJlc291cmNlLW51bT4xMC4xMDU2L05FSk1vYTAz
MTY4ODwvZWxlY3Ryb25pYy1yZXNvdXJjZS1udW0+PHJlbW90ZS1kYXRhYmFzZS1wcm92aWRlcj5O
TE08L3JlbW90ZS1kYXRhYmFzZS1wcm92aWRlcj48cmVzZWFyY2gtbm90ZXM+SU5DTFVERTogUG9w
dWxhdGlvbiBPSyAgKG49MTEpIChGaWd1cmUgMyBzaG93cyBSQkMgY2xvbmUgc2l6ZSAmZ3Q7MTAl
KSAgTERIIGxldmVsIHJlcG9ydGVkIGluIEhpbGwgMjAwNSwgQ2FzZSBzZXJpZXMgKHByZS0gcG9z
dCBUeCkgSW50ZXJ2ZW50aW9uIE9LIChvbmx5IDEyIHdlZWtzKSwgT3V0Y29tZTogcmF0ZSBvZiB0
cmFuc2Z1c2lvbiwgUW9MLiBHcmFudWxvY3l0ZSBjbG9uZSBzaXplIHJlcG9ydGVkIGluIEhpbGxt
YW4gMjAwNzwvcmVzZWFyY2gtbm90ZXM+PGxhbmd1YWdlPmVuZzwvbGFuZ3VhZ2U+PC9yZWNvcmQ+
PC9DaXRlPjwvRW5kTm90ZT4A
</w:fldData>
        </w:fldChar>
      </w:r>
      <w:r>
        <w:instrText xml:space="preserve"> ADDIN EN.CITE.DATA </w:instrText>
      </w:r>
      <w:r>
        <w:fldChar w:fldCharType="end"/>
      </w:r>
      <w:r>
        <w:fldChar w:fldCharType="separate"/>
      </w:r>
      <w:r>
        <w:rPr>
          <w:noProof/>
        </w:rPr>
        <w:t>(</w:t>
      </w:r>
      <w:hyperlink w:anchor="_ENREF_131" w:tooltip="Hillmen, 2004 #93" w:history="1">
        <w:r>
          <w:rPr>
            <w:noProof/>
          </w:rPr>
          <w:t>Hillmen et al. 2004</w:t>
        </w:r>
      </w:hyperlink>
      <w:r>
        <w:rPr>
          <w:noProof/>
        </w:rPr>
        <w:t>)</w:t>
      </w:r>
      <w:r>
        <w:fldChar w:fldCharType="end"/>
      </w:r>
    </w:p>
  </w:footnote>
  <w:footnote w:id="19">
    <w:p w:rsidR="00926546" w:rsidRDefault="00926546" w:rsidP="00D05B69">
      <w:pPr>
        <w:pStyle w:val="FootnoteText"/>
      </w:pPr>
      <w:r>
        <w:rPr>
          <w:rStyle w:val="FootnoteReference"/>
        </w:rPr>
        <w:footnoteRef/>
      </w:r>
      <w:r>
        <w:t xml:space="preserve"> Based on 94 patients with baseline values</w:t>
      </w:r>
    </w:p>
  </w:footnote>
  <w:footnote w:id="20">
    <w:p w:rsidR="00926546" w:rsidRDefault="00926546" w:rsidP="00092F60">
      <w:pPr>
        <w:pStyle w:val="FootnoteText"/>
      </w:pPr>
      <w:r>
        <w:rPr>
          <w:rStyle w:val="FootnoteReference"/>
        </w:rPr>
        <w:footnoteRef/>
      </w:r>
      <w:r>
        <w:t xml:space="preserve"> An individualised transfusion algorithm was calculated for each patient on the basis of the history of transfusions during the previous 12 months; the algorithm documented the number of units of packed RBCs to be transfused for given haemoglobin values and served as a prospectively determined guide for transfusion during the observation and treatment periods.</w:t>
      </w:r>
    </w:p>
  </w:footnote>
  <w:footnote w:id="21">
    <w:p w:rsidR="00926546" w:rsidRDefault="00926546" w:rsidP="00092F60">
      <w:pPr>
        <w:pStyle w:val="FootnoteText"/>
      </w:pPr>
      <w:r>
        <w:rPr>
          <w:rStyle w:val="FootnoteReference"/>
        </w:rPr>
        <w:footnoteRef/>
      </w:r>
      <w:r>
        <w:t xml:space="preserve"> Defined as those who did not require a blood transfusion during the previous 6 months</w:t>
      </w:r>
    </w:p>
  </w:footnote>
  <w:footnote w:id="22">
    <w:p w:rsidR="00926546" w:rsidRDefault="00926546" w:rsidP="00092F60">
      <w:pPr>
        <w:pStyle w:val="FootnoteText"/>
      </w:pPr>
      <w:r>
        <w:rPr>
          <w:rStyle w:val="FootnoteReference"/>
        </w:rPr>
        <w:footnoteRef/>
      </w:r>
      <w:r>
        <w:t xml:space="preserve"> Calculated during the review</w:t>
      </w:r>
    </w:p>
  </w:footnote>
  <w:footnote w:id="23">
    <w:p w:rsidR="00926546" w:rsidRDefault="00926546" w:rsidP="00D05B69">
      <w:pPr>
        <w:pStyle w:val="FootnoteText"/>
      </w:pPr>
      <w:r>
        <w:rPr>
          <w:rStyle w:val="FootnoteReference"/>
        </w:rPr>
        <w:footnoteRef/>
      </w:r>
      <w:r>
        <w:t xml:space="preserve"> </w:t>
      </w:r>
      <w:r>
        <w:rPr>
          <w:rFonts w:ascii="Arial Narrow" w:hAnsi="Arial Narrow"/>
        </w:rPr>
        <w:t>FACIT-Fatigue instrument: scores can range from 0 to 52. A positive change from baseline indicates an improvement in fatigue and a negative change indicates a worsening in fatigue.</w:t>
      </w:r>
    </w:p>
  </w:footnote>
  <w:footnote w:id="24">
    <w:p w:rsidR="00926546" w:rsidRDefault="00926546" w:rsidP="00092F60">
      <w:pPr>
        <w:pStyle w:val="FootnoteText"/>
      </w:pPr>
      <w:r w:rsidRPr="00984DA2">
        <w:rPr>
          <w:rStyle w:val="FootnoteReference"/>
        </w:rPr>
        <w:footnoteRef/>
      </w:r>
      <w:r w:rsidRPr="00984DA2">
        <w:t xml:space="preserve"> http://www.health.gov.au/internet/main/publishing.nsf/Content/lsdp-criteria</w:t>
      </w:r>
    </w:p>
  </w:footnote>
  <w:footnote w:id="25">
    <w:p w:rsidR="00926546" w:rsidRDefault="00926546" w:rsidP="00F01E9C">
      <w:pPr>
        <w:pStyle w:val="FootnoteText"/>
      </w:pPr>
      <w:r>
        <w:rPr>
          <w:rStyle w:val="FootnoteReference"/>
        </w:rPr>
        <w:footnoteRef/>
      </w:r>
      <w:r>
        <w:t xml:space="preserve"> </w:t>
      </w:r>
      <w:r w:rsidRPr="009B3036">
        <w:t>http://checkorphan.org/grid/news/treatment/ema-approves-eisai-s-lenvatinib-for-accelerated-assessment-in-radioiodine-refractory-differentiated-thyroid-cancer</w:t>
      </w:r>
    </w:p>
  </w:footnote>
  <w:footnote w:id="26">
    <w:p w:rsidR="00926546" w:rsidRDefault="00926546" w:rsidP="00092F60">
      <w:pPr>
        <w:pStyle w:val="FootnoteText"/>
      </w:pPr>
      <w:r w:rsidRPr="000459F2">
        <w:rPr>
          <w:rStyle w:val="FootnoteReference"/>
        </w:rPr>
        <w:footnoteRef/>
      </w:r>
      <w:r w:rsidRPr="000459F2">
        <w:t xml:space="preserve"> http://www.health.gov.au/internet/main/publishing.nsf/Content/lsdp-criteria</w:t>
      </w:r>
    </w:p>
  </w:footnote>
  <w:footnote w:id="27">
    <w:p w:rsidR="00926546" w:rsidRDefault="00926546" w:rsidP="00092F60">
      <w:pPr>
        <w:pStyle w:val="FootnoteText"/>
      </w:pPr>
      <w:r>
        <w:rPr>
          <w:rStyle w:val="FootnoteReference"/>
        </w:rPr>
        <w:footnoteRef/>
      </w:r>
      <w:r>
        <w:t xml:space="preserve"> Health Technology Assessment international</w:t>
      </w:r>
    </w:p>
  </w:footnote>
  <w:footnote w:id="28">
    <w:p w:rsidR="00926546" w:rsidRDefault="00926546" w:rsidP="00092F60">
      <w:pPr>
        <w:pStyle w:val="FootnoteText"/>
      </w:pPr>
      <w:r>
        <w:rPr>
          <w:rStyle w:val="FootnoteReference"/>
        </w:rPr>
        <w:footnoteRef/>
      </w:r>
      <w:r>
        <w:t xml:space="preserve"> International Society for Pharmacoeconomic Outcomes Research</w:t>
      </w:r>
    </w:p>
  </w:footnote>
  <w:footnote w:id="29">
    <w:p w:rsidR="00926546" w:rsidRDefault="00926546" w:rsidP="003C4757">
      <w:pPr>
        <w:pStyle w:val="FootnoteText"/>
      </w:pPr>
      <w:r>
        <w:rPr>
          <w:rStyle w:val="FootnoteReference"/>
        </w:rPr>
        <w:footnoteRef/>
      </w:r>
      <w:r>
        <w:t xml:space="preserve"> A medication, vaccine or in vivo diagnostic agent is designate as an orphan drug by the TGA if it intended to treat, prevent or diagnose a rare disease or is not commercially viable to treat, prevent or diagnose another disease or condition </w:t>
      </w:r>
      <w:r>
        <w:fldChar w:fldCharType="begin"/>
      </w:r>
      <w:r>
        <w:instrText xml:space="preserve"> ADDIN EN.CITE &lt;EndNote&gt;&lt;Cite&gt;&lt;Author&gt;Australian Government&lt;/Author&gt;&lt;Year&gt;1990&lt;/Year&gt;&lt;RecNum&gt;506&lt;/RecNum&gt;&lt;DisplayText&gt;(Australian Government 1990)&lt;/DisplayText&gt;&lt;record&gt;&lt;rec-number&gt;506&lt;/rec-number&gt;&lt;foreign-keys&gt;&lt;key app="EN" db-id="s205ztsw6v99t1ee2r6vpat820d0x9tefftv" timestamp="1424903319"&gt;506&lt;/key&gt;&lt;/foreign-keys&gt;&lt;ref-type name="Electronic Article"&gt;43&lt;/ref-type&gt;&lt;contributors&gt;&lt;authors&gt;&lt;author&gt;Australian Government,&lt;/author&gt;&lt;/authors&gt;&lt;/contributors&gt;&lt;titles&gt;&lt;title&gt;&lt;style face="normal" font="default" size="12"&gt;Therapeutic Goods Regulations 1990&lt;/style&gt;&lt;/title&gt;&lt;/titles&gt;&lt;dates&gt;&lt;year&gt;1990&lt;/year&gt;&lt;/dates&gt;&lt;publisher&gt;&lt;style face="normal" font="default" size="12"&gt;ComLaw, Australian Government&lt;/style&gt;&lt;/publisher&gt;&lt;urls&gt;&lt;related-urls&gt;&lt;url&gt;&lt;style face="underline" font="default" size="12"&gt;http://www.comlaw.gov.au/Details/F2012C00121&lt;/style&gt;&lt;/url&gt;&lt;/related-urls&gt;&lt;/urls&gt;&lt;/record&gt;&lt;/Cite&gt;&lt;/EndNote&gt;</w:instrText>
      </w:r>
      <w:r>
        <w:fldChar w:fldCharType="separate"/>
      </w:r>
      <w:r>
        <w:rPr>
          <w:noProof/>
        </w:rPr>
        <w:t>(</w:t>
      </w:r>
      <w:hyperlink w:anchor="_ENREF_16" w:tooltip="Australian Government, 1990 #506" w:history="1">
        <w:r>
          <w:rPr>
            <w:noProof/>
          </w:rPr>
          <w:t>Australian Government 1990</w:t>
        </w:r>
      </w:hyperlink>
      <w:r>
        <w:rPr>
          <w:noProof/>
        </w:rPr>
        <w:t>)</w:t>
      </w:r>
      <w:r>
        <w:fldChar w:fldCharType="end"/>
      </w:r>
      <w:r>
        <w:t>.</w:t>
      </w:r>
    </w:p>
  </w:footnote>
  <w:footnote w:id="30">
    <w:p w:rsidR="00926546" w:rsidRDefault="00926546" w:rsidP="002379F4">
      <w:pPr>
        <w:pStyle w:val="FootnoteText"/>
      </w:pPr>
      <w:r>
        <w:rPr>
          <w:rStyle w:val="FootnoteReference"/>
        </w:rPr>
        <w:footnoteRef/>
      </w:r>
      <w:r>
        <w:t xml:space="preserve"> </w:t>
      </w:r>
      <w:r w:rsidRPr="000459F2">
        <w:t>http://www.health.gov.au/internet/main/publishing.nsf/Content/lsdp-criteria</w:t>
      </w:r>
    </w:p>
  </w:footnote>
  <w:footnote w:id="31">
    <w:p w:rsidR="00926546" w:rsidRDefault="00926546" w:rsidP="0080346F">
      <w:pPr>
        <w:pStyle w:val="FootnoteText"/>
      </w:pPr>
      <w:r>
        <w:rPr>
          <w:rStyle w:val="FootnoteReference"/>
        </w:rPr>
        <w:footnoteRef/>
      </w:r>
      <w:r>
        <w:t xml:space="preserve"> International Health Economics Association</w:t>
      </w:r>
    </w:p>
  </w:footnote>
  <w:footnote w:id="32">
    <w:p w:rsidR="00926546" w:rsidRDefault="00926546" w:rsidP="0080346F">
      <w:pPr>
        <w:pStyle w:val="FootnoteText"/>
      </w:pPr>
      <w:r>
        <w:rPr>
          <w:rStyle w:val="FootnoteReference"/>
        </w:rPr>
        <w:footnoteRef/>
      </w:r>
      <w:r>
        <w:t xml:space="preserve"> Society of Medical Decision Making</w:t>
      </w:r>
    </w:p>
  </w:footnote>
  <w:footnote w:id="33">
    <w:p w:rsidR="00926546" w:rsidRDefault="00926546" w:rsidP="0080346F">
      <w:pPr>
        <w:pStyle w:val="FootnoteText"/>
      </w:pPr>
      <w:r>
        <w:rPr>
          <w:rStyle w:val="FootnoteReference"/>
        </w:rPr>
        <w:footnoteRef/>
      </w:r>
      <w:r>
        <w:t xml:space="preserve"> Health Technology Assessment international</w:t>
      </w:r>
    </w:p>
  </w:footnote>
  <w:footnote w:id="34">
    <w:p w:rsidR="00926546" w:rsidRDefault="00926546" w:rsidP="0080346F">
      <w:pPr>
        <w:pStyle w:val="FootnoteText"/>
      </w:pPr>
      <w:r>
        <w:rPr>
          <w:rStyle w:val="FootnoteReference"/>
        </w:rPr>
        <w:footnoteRef/>
      </w:r>
      <w:r>
        <w:t xml:space="preserve"> International Society of Pharmacoeconomics Research</w:t>
      </w:r>
    </w:p>
  </w:footnote>
  <w:footnote w:id="35">
    <w:p w:rsidR="00926546" w:rsidRDefault="00926546" w:rsidP="00092F60">
      <w:pPr>
        <w:pStyle w:val="FootnoteText"/>
      </w:pPr>
      <w:r>
        <w:rPr>
          <w:rStyle w:val="FootnoteReference"/>
        </w:rPr>
        <w:footnoteRef/>
      </w:r>
      <w:r>
        <w:t xml:space="preserve"> Department of Health, </w:t>
      </w:r>
      <w:r w:rsidRPr="00BE37DD">
        <w:rPr>
          <w:i/>
        </w:rPr>
        <w:t xml:space="preserve">Patient Conditions for Initial and Ongoing Subsidy </w:t>
      </w:r>
      <w:proofErr w:type="gramStart"/>
      <w:r w:rsidRPr="00BE37DD">
        <w:rPr>
          <w:i/>
        </w:rPr>
        <w:t>Through</w:t>
      </w:r>
      <w:proofErr w:type="gramEnd"/>
      <w:r w:rsidRPr="00BE37DD">
        <w:rPr>
          <w:i/>
        </w:rPr>
        <w:t xml:space="preserve"> the LSDP</w:t>
      </w:r>
      <w:r>
        <w:t xml:space="preserve">, available at: </w:t>
      </w:r>
      <w:hyperlink r:id="rId5" w:history="1">
        <w:r>
          <w:rPr>
            <w:rStyle w:val="Hyperlink"/>
          </w:rPr>
          <w:t>Criteria for LSDP</w:t>
        </w:r>
      </w:hyperlink>
      <w:r>
        <w:t>.  Accessed 16/09/2014.</w:t>
      </w:r>
    </w:p>
  </w:footnote>
  <w:footnote w:id="36">
    <w:p w:rsidR="00926546" w:rsidRDefault="00926546" w:rsidP="003A2F5C">
      <w:pPr>
        <w:pStyle w:val="FootnoteText"/>
      </w:pPr>
      <w:r>
        <w:rPr>
          <w:rStyle w:val="FootnoteReference"/>
        </w:rPr>
        <w:footnoteRef/>
      </w:r>
      <w:r>
        <w:t xml:space="preserve"> </w:t>
      </w:r>
      <w:r w:rsidRPr="008A5040">
        <w:t>http://www.health.gov.au/internet/main/publishing.nsf/Content/lsdp-criteria</w:t>
      </w:r>
    </w:p>
  </w:footnote>
  <w:footnote w:id="37">
    <w:p w:rsidR="00926546" w:rsidRDefault="00926546" w:rsidP="00092F60">
      <w:pPr>
        <w:pStyle w:val="FootnoteText"/>
      </w:pPr>
      <w:r>
        <w:rPr>
          <w:rStyle w:val="FootnoteReference"/>
        </w:rPr>
        <w:footnoteRef/>
      </w:r>
      <w:r>
        <w:t xml:space="preserve"> </w:t>
      </w:r>
      <w:r w:rsidRPr="00CD0D98">
        <w:t>http://www.health.gov.au/internet/main/publishing.nsf/Content/privacy-policy</w:t>
      </w:r>
    </w:p>
  </w:footnote>
  <w:footnote w:id="38">
    <w:p w:rsidR="00926546" w:rsidRDefault="00926546" w:rsidP="00092F60">
      <w:pPr>
        <w:pStyle w:val="FootnoteText"/>
      </w:pPr>
      <w:r>
        <w:rPr>
          <w:rStyle w:val="FootnoteReference"/>
        </w:rPr>
        <w:footnoteRef/>
      </w:r>
      <w:r>
        <w:t xml:space="preserve"> </w:t>
      </w:r>
      <w:r w:rsidRPr="00CD0D98">
        <w:t>http://www.protectivesecurity.gov.au/pspf/Pages/default.aspx</w:t>
      </w:r>
    </w:p>
  </w:footnote>
  <w:footnote w:id="39">
    <w:p w:rsidR="00926546" w:rsidRDefault="00926546" w:rsidP="00092F60">
      <w:pPr>
        <w:pStyle w:val="FootnoteText"/>
      </w:pPr>
      <w:r>
        <w:rPr>
          <w:rStyle w:val="FootnoteReference"/>
        </w:rPr>
        <w:footnoteRef/>
      </w:r>
      <w:r>
        <w:t xml:space="preserve"> </w:t>
      </w:r>
      <w:r w:rsidRPr="00DA4833">
        <w:t>http://www.health.gov.au/internet/main/publishing.nsf/Content/health-ethics-index.htm</w:t>
      </w:r>
    </w:p>
  </w:footnote>
  <w:footnote w:id="40">
    <w:p w:rsidR="00926546" w:rsidRDefault="00926546" w:rsidP="00092F60">
      <w:pPr>
        <w:pStyle w:val="FootnoteText"/>
      </w:pPr>
      <w:r>
        <w:rPr>
          <w:rStyle w:val="FootnoteReference"/>
        </w:rPr>
        <w:footnoteRef/>
      </w:r>
      <w:r>
        <w:t xml:space="preserve"> </w:t>
      </w:r>
      <w:r w:rsidRPr="007A30B7">
        <w:t>http://www.australianclinicaltrials.gov.au/node/23</w:t>
      </w:r>
    </w:p>
  </w:footnote>
  <w:footnote w:id="41">
    <w:p w:rsidR="00926546" w:rsidRDefault="00926546" w:rsidP="003F2866">
      <w:pPr>
        <w:pStyle w:val="FootnoteText"/>
      </w:pPr>
      <w:r>
        <w:rPr>
          <w:rStyle w:val="FootnoteReference"/>
        </w:rPr>
        <w:footnoteRef/>
      </w:r>
      <w:r>
        <w:t xml:space="preserve"> Systematic reviews were excluded if they did not report results for RCTs separately, if only one database was included in the literature search, or if they were outdated by a more recent review. </w:t>
      </w:r>
    </w:p>
  </w:footnote>
  <w:footnote w:id="42">
    <w:p w:rsidR="00926546" w:rsidRDefault="00926546" w:rsidP="00E42A3F">
      <w:pPr>
        <w:pStyle w:val="FootnoteText"/>
      </w:pPr>
      <w:r>
        <w:rPr>
          <w:rStyle w:val="FootnoteReference"/>
        </w:rPr>
        <w:footnoteRef/>
      </w:r>
      <w:r>
        <w:t xml:space="preserve"> Systematic reviews were excluded as they contained only one RCT. It was decided to include the original study in place of the systematic reviews.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46" w:rsidRDefault="009265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46" w:rsidRDefault="009265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46" w:rsidRDefault="009265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46" w:rsidRPr="00430D0D" w:rsidRDefault="00926546" w:rsidP="00430D0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46" w:rsidRPr="00430D0D" w:rsidRDefault="00926546" w:rsidP="00430D0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46" w:rsidRPr="00430D0D" w:rsidRDefault="00926546" w:rsidP="00430D0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546" w:rsidRPr="00430D0D" w:rsidRDefault="00926546" w:rsidP="00430D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759E"/>
    <w:multiLevelType w:val="hybridMultilevel"/>
    <w:tmpl w:val="D46CCA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077761C"/>
    <w:multiLevelType w:val="hybridMultilevel"/>
    <w:tmpl w:val="0FA6B8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20C2E0B"/>
    <w:multiLevelType w:val="hybridMultilevel"/>
    <w:tmpl w:val="0C4C2106"/>
    <w:lvl w:ilvl="0" w:tplc="C59EEBC8">
      <w:start w:val="5"/>
      <w:numFmt w:val="decimal"/>
      <w:lvlText w:val="%1."/>
      <w:lvlJc w:val="left"/>
      <w:pPr>
        <w:ind w:left="78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55E042F"/>
    <w:multiLevelType w:val="hybridMultilevel"/>
    <w:tmpl w:val="48A68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735263F"/>
    <w:multiLevelType w:val="hybridMultilevel"/>
    <w:tmpl w:val="1272F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7660F8C"/>
    <w:multiLevelType w:val="hybridMultilevel"/>
    <w:tmpl w:val="FC06184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83B0299"/>
    <w:multiLevelType w:val="hybridMultilevel"/>
    <w:tmpl w:val="D8C6A622"/>
    <w:lvl w:ilvl="0" w:tplc="CD7EF44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8583D30"/>
    <w:multiLevelType w:val="hybridMultilevel"/>
    <w:tmpl w:val="81E6D436"/>
    <w:lvl w:ilvl="0" w:tplc="00028A0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C6361CB"/>
    <w:multiLevelType w:val="hybridMultilevel"/>
    <w:tmpl w:val="02C6D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DAF11D5"/>
    <w:multiLevelType w:val="hybridMultilevel"/>
    <w:tmpl w:val="10DE7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0DB34F48"/>
    <w:multiLevelType w:val="hybridMultilevel"/>
    <w:tmpl w:val="89D40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1897351"/>
    <w:multiLevelType w:val="hybridMultilevel"/>
    <w:tmpl w:val="4E160A26"/>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2A61E82"/>
    <w:multiLevelType w:val="hybridMultilevel"/>
    <w:tmpl w:val="17963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70B2365"/>
    <w:multiLevelType w:val="hybridMultilevel"/>
    <w:tmpl w:val="41B8B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9994B92"/>
    <w:multiLevelType w:val="hybridMultilevel"/>
    <w:tmpl w:val="1E806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9AA3DE1"/>
    <w:multiLevelType w:val="hybridMultilevel"/>
    <w:tmpl w:val="176C07AE"/>
    <w:lvl w:ilvl="0" w:tplc="08868158">
      <w:start w:val="1"/>
      <w:numFmt w:val="decimal"/>
      <w:pStyle w:val="ListParagraph"/>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1A607CD5"/>
    <w:multiLevelType w:val="hybridMultilevel"/>
    <w:tmpl w:val="A934BD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D2C4B03"/>
    <w:multiLevelType w:val="hybridMultilevel"/>
    <w:tmpl w:val="E6D4D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1D602C06"/>
    <w:multiLevelType w:val="multilevel"/>
    <w:tmpl w:val="9000F932"/>
    <w:lvl w:ilvl="0">
      <w:start w:val="1"/>
      <w:numFmt w:val="decimal"/>
      <w:pStyle w:val="Heading1A"/>
      <w:lvlText w:val="B%1"/>
      <w:lvlJc w:val="left"/>
      <w:pPr>
        <w:tabs>
          <w:tab w:val="num" w:pos="1029"/>
        </w:tabs>
        <w:ind w:left="1029" w:hanging="924"/>
      </w:pPr>
      <w:rPr>
        <w:rFonts w:hint="default"/>
      </w:rPr>
    </w:lvl>
    <w:lvl w:ilvl="1">
      <w:start w:val="1"/>
      <w:numFmt w:val="decimal"/>
      <w:pStyle w:val="PFNumLevel2"/>
      <w:lvlText w:val="A%1.%2"/>
      <w:lvlJc w:val="left"/>
      <w:pPr>
        <w:tabs>
          <w:tab w:val="num" w:pos="924"/>
        </w:tabs>
        <w:ind w:left="924" w:hanging="924"/>
      </w:pPr>
      <w:rPr>
        <w:rFonts w:hint="default"/>
        <w:b w:val="0"/>
      </w:rPr>
    </w:lvl>
    <w:lvl w:ilvl="2">
      <w:start w:val="1"/>
      <w:numFmt w:val="decimal"/>
      <w:pStyle w:val="PFNumLevel3"/>
      <w:lvlText w:val="%1.%2.%3"/>
      <w:lvlJc w:val="left"/>
      <w:pPr>
        <w:tabs>
          <w:tab w:val="num" w:pos="1848"/>
        </w:tabs>
        <w:ind w:left="1848" w:hanging="924"/>
      </w:pPr>
      <w:rPr>
        <w:rFonts w:hint="default"/>
      </w:rPr>
    </w:lvl>
    <w:lvl w:ilvl="3">
      <w:start w:val="1"/>
      <w:numFmt w:val="lowerLetter"/>
      <w:pStyle w:val="PFNumLevel4"/>
      <w:lvlText w:val="(%4)"/>
      <w:lvlJc w:val="left"/>
      <w:pPr>
        <w:tabs>
          <w:tab w:val="num" w:pos="2773"/>
        </w:tabs>
        <w:ind w:left="2773" w:hanging="925"/>
      </w:pPr>
      <w:rPr>
        <w:rFonts w:hint="default"/>
      </w:rPr>
    </w:lvl>
    <w:lvl w:ilvl="4">
      <w:start w:val="1"/>
      <w:numFmt w:val="lowerLetter"/>
      <w:pStyle w:val="PFNumLevel5"/>
      <w:lvlText w:val="(%5)"/>
      <w:lvlJc w:val="left"/>
      <w:pPr>
        <w:tabs>
          <w:tab w:val="num" w:pos="1848"/>
        </w:tabs>
        <w:ind w:left="1848" w:hanging="924"/>
      </w:pPr>
      <w:rPr>
        <w:rFonts w:hint="default"/>
      </w:rPr>
    </w:lvl>
    <w:lvl w:ilvl="5">
      <w:start w:val="1"/>
      <w:numFmt w:val="lowerRoman"/>
      <w:lvlRestart w:val="4"/>
      <w:pStyle w:val="PFNumLevel6"/>
      <w:lvlText w:val="(%6)"/>
      <w:lvlJc w:val="left"/>
      <w:pPr>
        <w:tabs>
          <w:tab w:val="num" w:pos="3697"/>
        </w:tabs>
        <w:ind w:left="3697" w:hanging="924"/>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32767"/>
      </w:pPr>
      <w:rPr>
        <w:rFonts w:hint="default"/>
      </w:rPr>
    </w:lvl>
    <w:lvl w:ilvl="8">
      <w:start w:val="1"/>
      <w:numFmt w:val="none"/>
      <w:suff w:val="nothing"/>
      <w:lvlText w:val=""/>
      <w:lvlJc w:val="left"/>
      <w:pPr>
        <w:ind w:left="0" w:firstLine="0"/>
      </w:pPr>
      <w:rPr>
        <w:rFonts w:hint="default"/>
      </w:rPr>
    </w:lvl>
  </w:abstractNum>
  <w:abstractNum w:abstractNumId="19">
    <w:nsid w:val="1D8B25B2"/>
    <w:multiLevelType w:val="multilevel"/>
    <w:tmpl w:val="6DB67336"/>
    <w:styleLink w:val="Style2"/>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F622221"/>
    <w:multiLevelType w:val="hybridMultilevel"/>
    <w:tmpl w:val="2ADC8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10A2E02"/>
    <w:multiLevelType w:val="singleLevel"/>
    <w:tmpl w:val="87E8459A"/>
    <w:lvl w:ilvl="0">
      <w:start w:val="1"/>
      <w:numFmt w:val="bullet"/>
      <w:pStyle w:val="Bullet12"/>
      <w:lvlText w:val=""/>
      <w:lvlJc w:val="left"/>
      <w:pPr>
        <w:tabs>
          <w:tab w:val="num" w:pos="357"/>
        </w:tabs>
        <w:ind w:left="357" w:hanging="357"/>
      </w:pPr>
      <w:rPr>
        <w:rFonts w:ascii="Symbol" w:hAnsi="Symbol" w:hint="default"/>
        <w:sz w:val="20"/>
      </w:rPr>
    </w:lvl>
  </w:abstractNum>
  <w:abstractNum w:abstractNumId="22">
    <w:nsid w:val="21A90384"/>
    <w:multiLevelType w:val="hybridMultilevel"/>
    <w:tmpl w:val="357E976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nsid w:val="24574BCB"/>
    <w:multiLevelType w:val="multilevel"/>
    <w:tmpl w:val="E58CB2A0"/>
    <w:styleLink w:val="Style6"/>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26553EEB"/>
    <w:multiLevelType w:val="multilevel"/>
    <w:tmpl w:val="346A3062"/>
    <w:styleLink w:val="Style5"/>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872575E"/>
    <w:multiLevelType w:val="hybridMultilevel"/>
    <w:tmpl w:val="8256BAF8"/>
    <w:lvl w:ilvl="0" w:tplc="0C090001">
      <w:start w:val="1"/>
      <w:numFmt w:val="bullet"/>
      <w:lvlText w:val=""/>
      <w:lvlJc w:val="left"/>
      <w:pPr>
        <w:ind w:left="720" w:hanging="360"/>
      </w:pPr>
      <w:rPr>
        <w:rFonts w:ascii="Symbol" w:hAnsi="Symbol" w:hint="default"/>
      </w:rPr>
    </w:lvl>
    <w:lvl w:ilvl="1" w:tplc="73109B74">
      <w:start w:val="2"/>
      <w:numFmt w:val="bullet"/>
      <w:lvlText w:val="•"/>
      <w:lvlJc w:val="left"/>
      <w:pPr>
        <w:ind w:left="1440" w:hanging="360"/>
      </w:pPr>
      <w:rPr>
        <w:rFonts w:ascii="Arial Narrow" w:eastAsia="Times New Roman" w:hAnsi="Arial Narrow"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29AA074E"/>
    <w:multiLevelType w:val="hybridMultilevel"/>
    <w:tmpl w:val="68527E28"/>
    <w:lvl w:ilvl="0" w:tplc="6C683E32">
      <w:start w:val="1"/>
      <w:numFmt w:val="decimal"/>
      <w:lvlText w:val="%1."/>
      <w:lvlJc w:val="left"/>
      <w:pPr>
        <w:ind w:left="786"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2C80719F"/>
    <w:multiLevelType w:val="hybridMultilevel"/>
    <w:tmpl w:val="4926B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FE77042"/>
    <w:multiLevelType w:val="hybridMultilevel"/>
    <w:tmpl w:val="D4CE91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305E389A"/>
    <w:multiLevelType w:val="hybridMultilevel"/>
    <w:tmpl w:val="DE6EB8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329C4930"/>
    <w:multiLevelType w:val="hybridMultilevel"/>
    <w:tmpl w:val="D4485BEE"/>
    <w:lvl w:ilvl="0" w:tplc="08868158">
      <w:start w:val="1"/>
      <w:numFmt w:val="bullet"/>
      <w:pStyle w:val="Subbullet"/>
      <w:lvlText w:val=""/>
      <w:lvlJc w:val="left"/>
      <w:pPr>
        <w:ind w:left="705" w:hanging="360"/>
      </w:pPr>
      <w:rPr>
        <w:rFonts w:ascii="Symbol" w:hAnsi="Symbol" w:hint="default"/>
        <w:color w:val="auto"/>
        <w:sz w:val="20"/>
      </w:rPr>
    </w:lvl>
    <w:lvl w:ilvl="1" w:tplc="0C090019" w:tentative="1">
      <w:start w:val="1"/>
      <w:numFmt w:val="bullet"/>
      <w:lvlText w:val="o"/>
      <w:lvlJc w:val="left"/>
      <w:pPr>
        <w:ind w:left="1425" w:hanging="360"/>
      </w:pPr>
      <w:rPr>
        <w:rFonts w:ascii="Courier New" w:hAnsi="Courier New" w:hint="default"/>
      </w:rPr>
    </w:lvl>
    <w:lvl w:ilvl="2" w:tplc="0C09001B" w:tentative="1">
      <w:start w:val="1"/>
      <w:numFmt w:val="bullet"/>
      <w:lvlText w:val=""/>
      <w:lvlJc w:val="left"/>
      <w:pPr>
        <w:ind w:left="2145" w:hanging="360"/>
      </w:pPr>
      <w:rPr>
        <w:rFonts w:ascii="Wingdings" w:hAnsi="Wingdings" w:hint="default"/>
      </w:rPr>
    </w:lvl>
    <w:lvl w:ilvl="3" w:tplc="0C09000F" w:tentative="1">
      <w:start w:val="1"/>
      <w:numFmt w:val="bullet"/>
      <w:lvlText w:val=""/>
      <w:lvlJc w:val="left"/>
      <w:pPr>
        <w:ind w:left="2865" w:hanging="360"/>
      </w:pPr>
      <w:rPr>
        <w:rFonts w:ascii="Symbol" w:hAnsi="Symbol" w:hint="default"/>
      </w:rPr>
    </w:lvl>
    <w:lvl w:ilvl="4" w:tplc="0C090019" w:tentative="1">
      <w:start w:val="1"/>
      <w:numFmt w:val="bullet"/>
      <w:lvlText w:val="o"/>
      <w:lvlJc w:val="left"/>
      <w:pPr>
        <w:ind w:left="3585" w:hanging="360"/>
      </w:pPr>
      <w:rPr>
        <w:rFonts w:ascii="Courier New" w:hAnsi="Courier New" w:hint="default"/>
      </w:rPr>
    </w:lvl>
    <w:lvl w:ilvl="5" w:tplc="0C09001B" w:tentative="1">
      <w:start w:val="1"/>
      <w:numFmt w:val="bullet"/>
      <w:lvlText w:val=""/>
      <w:lvlJc w:val="left"/>
      <w:pPr>
        <w:ind w:left="4305" w:hanging="360"/>
      </w:pPr>
      <w:rPr>
        <w:rFonts w:ascii="Wingdings" w:hAnsi="Wingdings" w:hint="default"/>
      </w:rPr>
    </w:lvl>
    <w:lvl w:ilvl="6" w:tplc="0C09000F" w:tentative="1">
      <w:start w:val="1"/>
      <w:numFmt w:val="bullet"/>
      <w:lvlText w:val=""/>
      <w:lvlJc w:val="left"/>
      <w:pPr>
        <w:ind w:left="5025" w:hanging="360"/>
      </w:pPr>
      <w:rPr>
        <w:rFonts w:ascii="Symbol" w:hAnsi="Symbol" w:hint="default"/>
      </w:rPr>
    </w:lvl>
    <w:lvl w:ilvl="7" w:tplc="0C090019" w:tentative="1">
      <w:start w:val="1"/>
      <w:numFmt w:val="bullet"/>
      <w:lvlText w:val="o"/>
      <w:lvlJc w:val="left"/>
      <w:pPr>
        <w:ind w:left="5745" w:hanging="360"/>
      </w:pPr>
      <w:rPr>
        <w:rFonts w:ascii="Courier New" w:hAnsi="Courier New" w:hint="default"/>
      </w:rPr>
    </w:lvl>
    <w:lvl w:ilvl="8" w:tplc="0C09001B" w:tentative="1">
      <w:start w:val="1"/>
      <w:numFmt w:val="bullet"/>
      <w:lvlText w:val=""/>
      <w:lvlJc w:val="left"/>
      <w:pPr>
        <w:ind w:left="6465" w:hanging="360"/>
      </w:pPr>
      <w:rPr>
        <w:rFonts w:ascii="Wingdings" w:hAnsi="Wingdings" w:hint="default"/>
      </w:rPr>
    </w:lvl>
  </w:abstractNum>
  <w:abstractNum w:abstractNumId="31">
    <w:nsid w:val="33126E16"/>
    <w:multiLevelType w:val="hybridMultilevel"/>
    <w:tmpl w:val="9BF4811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339B7A4C"/>
    <w:multiLevelType w:val="hybridMultilevel"/>
    <w:tmpl w:val="0C78D4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33DF209A"/>
    <w:multiLevelType w:val="hybridMultilevel"/>
    <w:tmpl w:val="B21AF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351C374A"/>
    <w:multiLevelType w:val="hybridMultilevel"/>
    <w:tmpl w:val="9F922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35954945"/>
    <w:multiLevelType w:val="hybridMultilevel"/>
    <w:tmpl w:val="5C98B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39B815A9"/>
    <w:multiLevelType w:val="hybridMultilevel"/>
    <w:tmpl w:val="586C808E"/>
    <w:lvl w:ilvl="0" w:tplc="C860A6F2">
      <w:start w:val="1"/>
      <w:numFmt w:val="decimal"/>
      <w:lvlText w:val="%1."/>
      <w:lvlJc w:val="left"/>
      <w:pPr>
        <w:ind w:left="360" w:hanging="360"/>
      </w:pPr>
      <w:rPr>
        <w:rFonts w:hint="default"/>
      </w:rPr>
    </w:lvl>
    <w:lvl w:ilvl="1" w:tplc="C5A4C724">
      <w:start w:val="1"/>
      <w:numFmt w:val="decimal"/>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nsid w:val="3BFB3E98"/>
    <w:multiLevelType w:val="hybridMultilevel"/>
    <w:tmpl w:val="0ED20A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3E4A6830"/>
    <w:multiLevelType w:val="hybridMultilevel"/>
    <w:tmpl w:val="6F06CAB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3E5923F3"/>
    <w:multiLevelType w:val="hybridMultilevel"/>
    <w:tmpl w:val="117620DE"/>
    <w:lvl w:ilvl="0" w:tplc="75B0782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3FE31AE5"/>
    <w:multiLevelType w:val="hybridMultilevel"/>
    <w:tmpl w:val="DEF84B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3FEE60F3"/>
    <w:multiLevelType w:val="hybridMultilevel"/>
    <w:tmpl w:val="07B04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nsid w:val="438B5DBA"/>
    <w:multiLevelType w:val="hybridMultilevel"/>
    <w:tmpl w:val="8DB03DE6"/>
    <w:lvl w:ilvl="0" w:tplc="26308486">
      <w:start w:val="1"/>
      <w:numFmt w:val="lowerRoman"/>
      <w:lvlText w:val="%1)"/>
      <w:lvlJc w:val="left"/>
      <w:pPr>
        <w:ind w:left="780" w:hanging="72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43">
    <w:nsid w:val="44570CE2"/>
    <w:multiLevelType w:val="multilevel"/>
    <w:tmpl w:val="0C09001D"/>
    <w:styleLink w:val="Style4"/>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44EB3518"/>
    <w:multiLevelType w:val="hybridMultilevel"/>
    <w:tmpl w:val="1ED88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49061F47"/>
    <w:multiLevelType w:val="hybridMultilevel"/>
    <w:tmpl w:val="3EFA4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4A322F78"/>
    <w:multiLevelType w:val="hybridMultilevel"/>
    <w:tmpl w:val="84C61808"/>
    <w:lvl w:ilvl="0" w:tplc="6C683E3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7">
    <w:nsid w:val="4B2047D8"/>
    <w:multiLevelType w:val="hybridMultilevel"/>
    <w:tmpl w:val="ECAE6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4D903FDF"/>
    <w:multiLevelType w:val="hybridMultilevel"/>
    <w:tmpl w:val="DBCE05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nsid w:val="50C84285"/>
    <w:multiLevelType w:val="hybridMultilevel"/>
    <w:tmpl w:val="337EAE98"/>
    <w:lvl w:ilvl="0" w:tplc="75B078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nsid w:val="522E6C70"/>
    <w:multiLevelType w:val="hybridMultilevel"/>
    <w:tmpl w:val="AD341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53D96E82"/>
    <w:multiLevelType w:val="hybridMultilevel"/>
    <w:tmpl w:val="4B6274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nsid w:val="55736ABA"/>
    <w:multiLevelType w:val="hybridMultilevel"/>
    <w:tmpl w:val="432436CE"/>
    <w:lvl w:ilvl="0" w:tplc="9746CA84">
      <w:start w:val="7"/>
      <w:numFmt w:val="decimal"/>
      <w:lvlText w:val="%1."/>
      <w:lvlJc w:val="left"/>
      <w:pPr>
        <w:ind w:left="720" w:hanging="360"/>
      </w:pPr>
      <w:rPr>
        <w:rFonts w:hint="default"/>
      </w:rPr>
    </w:lvl>
    <w:lvl w:ilvl="1" w:tplc="C5A4C724">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nsid w:val="57B04ECB"/>
    <w:multiLevelType w:val="hybridMultilevel"/>
    <w:tmpl w:val="F2625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588C3AE7"/>
    <w:multiLevelType w:val="hybridMultilevel"/>
    <w:tmpl w:val="FFC270C0"/>
    <w:lvl w:ilvl="0" w:tplc="90080DF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nsid w:val="59D34F2A"/>
    <w:multiLevelType w:val="hybridMultilevel"/>
    <w:tmpl w:val="87843F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6">
    <w:nsid w:val="59EF61C5"/>
    <w:multiLevelType w:val="hybridMultilevel"/>
    <w:tmpl w:val="CECE73FE"/>
    <w:lvl w:ilvl="0" w:tplc="FCC4B3BC">
      <w:start w:val="1"/>
      <w:numFmt w:val="decimal"/>
      <w:pStyle w:val="Questio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nsid w:val="59FC68DA"/>
    <w:multiLevelType w:val="hybridMultilevel"/>
    <w:tmpl w:val="839C7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5A7632D7"/>
    <w:multiLevelType w:val="hybridMultilevel"/>
    <w:tmpl w:val="2A2E998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5D1F4A22"/>
    <w:multiLevelType w:val="hybridMultilevel"/>
    <w:tmpl w:val="6C2EAB4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0">
    <w:nsid w:val="5D903835"/>
    <w:multiLevelType w:val="singleLevel"/>
    <w:tmpl w:val="48C4148A"/>
    <w:lvl w:ilvl="0">
      <w:numFmt w:val="bullet"/>
      <w:pStyle w:val="Bullet"/>
      <w:lvlText w:val=""/>
      <w:lvlJc w:val="left"/>
      <w:pPr>
        <w:tabs>
          <w:tab w:val="num" w:pos="1440"/>
        </w:tabs>
        <w:ind w:left="1440" w:hanging="720"/>
      </w:pPr>
      <w:rPr>
        <w:rFonts w:ascii="Symbol" w:hAnsi="Symbol" w:hint="default"/>
        <w:sz w:val="22"/>
      </w:rPr>
    </w:lvl>
  </w:abstractNum>
  <w:abstractNum w:abstractNumId="61">
    <w:nsid w:val="5DA36FBD"/>
    <w:multiLevelType w:val="multilevel"/>
    <w:tmpl w:val="0C09001D"/>
    <w:styleLink w:val="Style10"/>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5EF772C5"/>
    <w:multiLevelType w:val="hybridMultilevel"/>
    <w:tmpl w:val="79006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5F946ADC"/>
    <w:multiLevelType w:val="hybridMultilevel"/>
    <w:tmpl w:val="8B42F448"/>
    <w:lvl w:ilvl="0" w:tplc="75B078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nsid w:val="605431F2"/>
    <w:multiLevelType w:val="hybridMultilevel"/>
    <w:tmpl w:val="86700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66575EA1"/>
    <w:multiLevelType w:val="multilevel"/>
    <w:tmpl w:val="2E225C48"/>
    <w:styleLink w:val="Style7"/>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nsid w:val="66FA5517"/>
    <w:multiLevelType w:val="singleLevel"/>
    <w:tmpl w:val="BCC203B0"/>
    <w:lvl w:ilvl="0">
      <w:numFmt w:val="bullet"/>
      <w:pStyle w:val="QuoteBullet"/>
      <w:lvlText w:val=""/>
      <w:lvlJc w:val="left"/>
      <w:pPr>
        <w:tabs>
          <w:tab w:val="num" w:pos="2160"/>
        </w:tabs>
        <w:ind w:left="2160" w:hanging="720"/>
      </w:pPr>
      <w:rPr>
        <w:rFonts w:ascii="Symbol" w:hAnsi="Symbol" w:hint="default"/>
      </w:rPr>
    </w:lvl>
  </w:abstractNum>
  <w:abstractNum w:abstractNumId="67">
    <w:nsid w:val="68C10AA2"/>
    <w:multiLevelType w:val="hybridMultilevel"/>
    <w:tmpl w:val="200253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nsid w:val="6F0855B0"/>
    <w:multiLevelType w:val="hybridMultilevel"/>
    <w:tmpl w:val="34146620"/>
    <w:lvl w:ilvl="0" w:tplc="BA96C0D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nsid w:val="6F9046B7"/>
    <w:multiLevelType w:val="hybridMultilevel"/>
    <w:tmpl w:val="25268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nsid w:val="6FF678B7"/>
    <w:multiLevelType w:val="hybridMultilevel"/>
    <w:tmpl w:val="CF6E4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nsid w:val="701C3576"/>
    <w:multiLevelType w:val="hybridMultilevel"/>
    <w:tmpl w:val="2F567F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nsid w:val="72C24A4A"/>
    <w:multiLevelType w:val="hybridMultilevel"/>
    <w:tmpl w:val="7B2E0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nsid w:val="744A1A1A"/>
    <w:multiLevelType w:val="hybridMultilevel"/>
    <w:tmpl w:val="0484B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nsid w:val="750A575C"/>
    <w:multiLevelType w:val="multilevel"/>
    <w:tmpl w:val="18C0BBEC"/>
    <w:styleLink w:val="Style3"/>
    <w:lvl w:ilvl="0">
      <w:start w:val="2"/>
      <w:numFmt w:val="decimal"/>
      <w:lvlText w:val="1.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7597060B"/>
    <w:multiLevelType w:val="hybridMultilevel"/>
    <w:tmpl w:val="E8D620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nsid w:val="765A32DC"/>
    <w:multiLevelType w:val="hybridMultilevel"/>
    <w:tmpl w:val="456CC50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7">
    <w:nsid w:val="78AD5751"/>
    <w:multiLevelType w:val="multilevel"/>
    <w:tmpl w:val="DB9C9516"/>
    <w:styleLink w:val="Style8"/>
    <w:lvl w:ilvl="0">
      <w:start w:val="4"/>
      <w:numFmt w:val="decimal"/>
      <w:lvlText w:val="%1"/>
      <w:lvlJc w:val="left"/>
      <w:pPr>
        <w:ind w:left="720" w:hanging="720"/>
      </w:pPr>
      <w:rPr>
        <w:rFonts w:hint="default"/>
      </w:rPr>
    </w:lvl>
    <w:lvl w:ilvl="1">
      <w:start w:val="1"/>
      <w:numFmt w:val="decimal"/>
      <w:lvlText w:val="%1.3"/>
      <w:lvlJc w:val="left"/>
      <w:pPr>
        <w:ind w:left="720" w:hanging="720"/>
      </w:pPr>
      <w:rPr>
        <w:rFonts w:hint="default"/>
      </w:rPr>
    </w:lvl>
    <w:lvl w:ilvl="2">
      <w:start w:val="1"/>
      <w:numFmt w:val="decimal"/>
      <w:lvlText w:val="%1.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8">
    <w:nsid w:val="7985289A"/>
    <w:multiLevelType w:val="multilevel"/>
    <w:tmpl w:val="9CDE8992"/>
    <w:lvl w:ilvl="0">
      <w:start w:val="1"/>
      <w:numFmt w:val="decimal"/>
      <w:pStyle w:val="Heading1"/>
      <w:lvlText w:val="%1."/>
      <w:lvlJc w:val="left"/>
      <w:pPr>
        <w:ind w:left="360" w:hanging="360"/>
      </w:pPr>
    </w:lvl>
    <w:lvl w:ilvl="1">
      <w:start w:val="1"/>
      <w:numFmt w:val="decimal"/>
      <w:pStyle w:val="Heading2"/>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7B1D6189"/>
    <w:multiLevelType w:val="hybridMultilevel"/>
    <w:tmpl w:val="402E98B8"/>
    <w:lvl w:ilvl="0" w:tplc="D6BC821E">
      <w:start w:val="1"/>
      <w:numFmt w:val="bullet"/>
      <w:pStyle w:val="Bullet6"/>
      <w:lvlText w:val=""/>
      <w:lvlJc w:val="left"/>
      <w:pPr>
        <w:tabs>
          <w:tab w:val="num" w:pos="578"/>
        </w:tabs>
        <w:ind w:left="578" w:hanging="360"/>
      </w:pPr>
      <w:rPr>
        <w:rFonts w:ascii="Symbol" w:hAnsi="Symbol" w:hint="default"/>
        <w:sz w:val="20"/>
        <w:szCs w:val="20"/>
      </w:rPr>
    </w:lvl>
    <w:lvl w:ilvl="1" w:tplc="0C090003" w:tentative="1">
      <w:start w:val="1"/>
      <w:numFmt w:val="bullet"/>
      <w:lvlText w:val="o"/>
      <w:lvlJc w:val="left"/>
      <w:pPr>
        <w:tabs>
          <w:tab w:val="num" w:pos="1658"/>
        </w:tabs>
        <w:ind w:left="1658" w:hanging="360"/>
      </w:pPr>
      <w:rPr>
        <w:rFonts w:ascii="Courier New" w:hAnsi="Courier New" w:cs="Symbol" w:hint="default"/>
      </w:rPr>
    </w:lvl>
    <w:lvl w:ilvl="2" w:tplc="0C090005" w:tentative="1">
      <w:start w:val="1"/>
      <w:numFmt w:val="bullet"/>
      <w:lvlText w:val=""/>
      <w:lvlJc w:val="left"/>
      <w:pPr>
        <w:tabs>
          <w:tab w:val="num" w:pos="2378"/>
        </w:tabs>
        <w:ind w:left="2378" w:hanging="360"/>
      </w:pPr>
      <w:rPr>
        <w:rFonts w:ascii="Wingdings" w:hAnsi="Wingdings" w:hint="default"/>
      </w:rPr>
    </w:lvl>
    <w:lvl w:ilvl="3" w:tplc="0C090001" w:tentative="1">
      <w:start w:val="1"/>
      <w:numFmt w:val="bullet"/>
      <w:lvlText w:val=""/>
      <w:lvlJc w:val="left"/>
      <w:pPr>
        <w:tabs>
          <w:tab w:val="num" w:pos="3098"/>
        </w:tabs>
        <w:ind w:left="3098" w:hanging="360"/>
      </w:pPr>
      <w:rPr>
        <w:rFonts w:ascii="Symbol" w:hAnsi="Symbol" w:hint="default"/>
      </w:rPr>
    </w:lvl>
    <w:lvl w:ilvl="4" w:tplc="0C090003" w:tentative="1">
      <w:start w:val="1"/>
      <w:numFmt w:val="bullet"/>
      <w:lvlText w:val="o"/>
      <w:lvlJc w:val="left"/>
      <w:pPr>
        <w:tabs>
          <w:tab w:val="num" w:pos="3818"/>
        </w:tabs>
        <w:ind w:left="3818" w:hanging="360"/>
      </w:pPr>
      <w:rPr>
        <w:rFonts w:ascii="Courier New" w:hAnsi="Courier New" w:cs="Symbol" w:hint="default"/>
      </w:rPr>
    </w:lvl>
    <w:lvl w:ilvl="5" w:tplc="0C090005" w:tentative="1">
      <w:start w:val="1"/>
      <w:numFmt w:val="bullet"/>
      <w:lvlText w:val=""/>
      <w:lvlJc w:val="left"/>
      <w:pPr>
        <w:tabs>
          <w:tab w:val="num" w:pos="4538"/>
        </w:tabs>
        <w:ind w:left="4538" w:hanging="360"/>
      </w:pPr>
      <w:rPr>
        <w:rFonts w:ascii="Wingdings" w:hAnsi="Wingdings" w:hint="default"/>
      </w:rPr>
    </w:lvl>
    <w:lvl w:ilvl="6" w:tplc="0C090001" w:tentative="1">
      <w:start w:val="1"/>
      <w:numFmt w:val="bullet"/>
      <w:lvlText w:val=""/>
      <w:lvlJc w:val="left"/>
      <w:pPr>
        <w:tabs>
          <w:tab w:val="num" w:pos="5258"/>
        </w:tabs>
        <w:ind w:left="5258" w:hanging="360"/>
      </w:pPr>
      <w:rPr>
        <w:rFonts w:ascii="Symbol" w:hAnsi="Symbol" w:hint="default"/>
      </w:rPr>
    </w:lvl>
    <w:lvl w:ilvl="7" w:tplc="0C090003" w:tentative="1">
      <w:start w:val="1"/>
      <w:numFmt w:val="bullet"/>
      <w:lvlText w:val="o"/>
      <w:lvlJc w:val="left"/>
      <w:pPr>
        <w:tabs>
          <w:tab w:val="num" w:pos="5978"/>
        </w:tabs>
        <w:ind w:left="5978" w:hanging="360"/>
      </w:pPr>
      <w:rPr>
        <w:rFonts w:ascii="Courier New" w:hAnsi="Courier New" w:cs="Symbol" w:hint="default"/>
      </w:rPr>
    </w:lvl>
    <w:lvl w:ilvl="8" w:tplc="0C090005" w:tentative="1">
      <w:start w:val="1"/>
      <w:numFmt w:val="bullet"/>
      <w:lvlText w:val=""/>
      <w:lvlJc w:val="left"/>
      <w:pPr>
        <w:tabs>
          <w:tab w:val="num" w:pos="6698"/>
        </w:tabs>
        <w:ind w:left="6698" w:hanging="360"/>
      </w:pPr>
      <w:rPr>
        <w:rFonts w:ascii="Wingdings" w:hAnsi="Wingdings" w:hint="default"/>
      </w:rPr>
    </w:lvl>
  </w:abstractNum>
  <w:abstractNum w:abstractNumId="80">
    <w:nsid w:val="7C213F1B"/>
    <w:multiLevelType w:val="hybridMultilevel"/>
    <w:tmpl w:val="7F3EE6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nsid w:val="7E097F38"/>
    <w:multiLevelType w:val="multilevel"/>
    <w:tmpl w:val="566247FE"/>
    <w:styleLink w:val="Styl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7E9162C3"/>
    <w:multiLevelType w:val="hybridMultilevel"/>
    <w:tmpl w:val="586C808E"/>
    <w:lvl w:ilvl="0" w:tplc="C860A6F2">
      <w:start w:val="1"/>
      <w:numFmt w:val="decimal"/>
      <w:lvlText w:val="%1."/>
      <w:lvlJc w:val="left"/>
      <w:pPr>
        <w:ind w:left="360" w:hanging="360"/>
      </w:pPr>
      <w:rPr>
        <w:rFonts w:hint="default"/>
      </w:rPr>
    </w:lvl>
    <w:lvl w:ilvl="1" w:tplc="C5A4C724">
      <w:start w:val="1"/>
      <w:numFmt w:val="decimal"/>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60"/>
  </w:num>
  <w:num w:numId="2">
    <w:abstractNumId w:val="66"/>
  </w:num>
  <w:num w:numId="3">
    <w:abstractNumId w:val="21"/>
  </w:num>
  <w:num w:numId="4">
    <w:abstractNumId w:val="79"/>
  </w:num>
  <w:num w:numId="5">
    <w:abstractNumId w:val="56"/>
  </w:num>
  <w:num w:numId="6">
    <w:abstractNumId w:val="19"/>
  </w:num>
  <w:num w:numId="7">
    <w:abstractNumId w:val="74"/>
  </w:num>
  <w:num w:numId="8">
    <w:abstractNumId w:val="43"/>
  </w:num>
  <w:num w:numId="9">
    <w:abstractNumId w:val="24"/>
  </w:num>
  <w:num w:numId="10">
    <w:abstractNumId w:val="23"/>
  </w:num>
  <w:num w:numId="11">
    <w:abstractNumId w:val="65"/>
  </w:num>
  <w:num w:numId="12">
    <w:abstractNumId w:val="77"/>
  </w:num>
  <w:num w:numId="13">
    <w:abstractNumId w:val="81"/>
  </w:num>
  <w:num w:numId="14">
    <w:abstractNumId w:val="61"/>
  </w:num>
  <w:num w:numId="15">
    <w:abstractNumId w:val="26"/>
  </w:num>
  <w:num w:numId="16">
    <w:abstractNumId w:val="18"/>
  </w:num>
  <w:num w:numId="17">
    <w:abstractNumId w:val="31"/>
  </w:num>
  <w:num w:numId="18">
    <w:abstractNumId w:val="5"/>
  </w:num>
  <w:num w:numId="19">
    <w:abstractNumId w:val="69"/>
  </w:num>
  <w:num w:numId="20">
    <w:abstractNumId w:val="80"/>
  </w:num>
  <w:num w:numId="21">
    <w:abstractNumId w:val="11"/>
  </w:num>
  <w:num w:numId="22">
    <w:abstractNumId w:val="38"/>
  </w:num>
  <w:num w:numId="23">
    <w:abstractNumId w:val="78"/>
  </w:num>
  <w:num w:numId="24">
    <w:abstractNumId w:val="15"/>
  </w:num>
  <w:num w:numId="25">
    <w:abstractNumId w:val="46"/>
  </w:num>
  <w:num w:numId="26">
    <w:abstractNumId w:val="0"/>
  </w:num>
  <w:num w:numId="27">
    <w:abstractNumId w:val="25"/>
  </w:num>
  <w:num w:numId="28">
    <w:abstractNumId w:val="9"/>
  </w:num>
  <w:num w:numId="29">
    <w:abstractNumId w:val="2"/>
  </w:num>
  <w:num w:numId="30">
    <w:abstractNumId w:val="52"/>
  </w:num>
  <w:num w:numId="31">
    <w:abstractNumId w:val="59"/>
  </w:num>
  <w:num w:numId="32">
    <w:abstractNumId w:val="3"/>
  </w:num>
  <w:num w:numId="33">
    <w:abstractNumId w:val="45"/>
  </w:num>
  <w:num w:numId="34">
    <w:abstractNumId w:val="44"/>
  </w:num>
  <w:num w:numId="35">
    <w:abstractNumId w:val="73"/>
  </w:num>
  <w:num w:numId="36">
    <w:abstractNumId w:val="13"/>
  </w:num>
  <w:num w:numId="37">
    <w:abstractNumId w:val="47"/>
  </w:num>
  <w:num w:numId="38">
    <w:abstractNumId w:val="14"/>
  </w:num>
  <w:num w:numId="39">
    <w:abstractNumId w:val="22"/>
  </w:num>
  <w:num w:numId="40">
    <w:abstractNumId w:val="48"/>
  </w:num>
  <w:num w:numId="41">
    <w:abstractNumId w:val="28"/>
  </w:num>
  <w:num w:numId="42">
    <w:abstractNumId w:val="1"/>
  </w:num>
  <w:num w:numId="43">
    <w:abstractNumId w:val="37"/>
  </w:num>
  <w:num w:numId="44">
    <w:abstractNumId w:val="8"/>
  </w:num>
  <w:num w:numId="45">
    <w:abstractNumId w:val="82"/>
  </w:num>
  <w:num w:numId="46">
    <w:abstractNumId w:val="36"/>
  </w:num>
  <w:num w:numId="47">
    <w:abstractNumId w:val="35"/>
  </w:num>
  <w:num w:numId="48">
    <w:abstractNumId w:val="29"/>
  </w:num>
  <w:num w:numId="49">
    <w:abstractNumId w:val="51"/>
  </w:num>
  <w:num w:numId="50">
    <w:abstractNumId w:val="62"/>
  </w:num>
  <w:num w:numId="51">
    <w:abstractNumId w:val="64"/>
  </w:num>
  <w:num w:numId="52">
    <w:abstractNumId w:val="50"/>
  </w:num>
  <w:num w:numId="53">
    <w:abstractNumId w:val="20"/>
  </w:num>
  <w:num w:numId="54">
    <w:abstractNumId w:val="16"/>
  </w:num>
  <w:num w:numId="55">
    <w:abstractNumId w:val="12"/>
  </w:num>
  <w:num w:numId="56">
    <w:abstractNumId w:val="58"/>
  </w:num>
  <w:num w:numId="57">
    <w:abstractNumId w:val="75"/>
  </w:num>
  <w:num w:numId="58">
    <w:abstractNumId w:val="7"/>
  </w:num>
  <w:num w:numId="59">
    <w:abstractNumId w:val="32"/>
  </w:num>
  <w:num w:numId="60">
    <w:abstractNumId w:val="67"/>
  </w:num>
  <w:num w:numId="61">
    <w:abstractNumId w:val="6"/>
  </w:num>
  <w:num w:numId="6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num>
  <w:num w:numId="64">
    <w:abstractNumId w:val="76"/>
  </w:num>
  <w:num w:numId="65">
    <w:abstractNumId w:val="63"/>
  </w:num>
  <w:num w:numId="66">
    <w:abstractNumId w:val="4"/>
  </w:num>
  <w:num w:numId="67">
    <w:abstractNumId w:val="39"/>
  </w:num>
  <w:num w:numId="68">
    <w:abstractNumId w:val="49"/>
  </w:num>
  <w:num w:numId="69">
    <w:abstractNumId w:val="40"/>
  </w:num>
  <w:num w:numId="70">
    <w:abstractNumId w:val="33"/>
  </w:num>
  <w:num w:numId="71">
    <w:abstractNumId w:val="70"/>
  </w:num>
  <w:num w:numId="72">
    <w:abstractNumId w:val="57"/>
  </w:num>
  <w:num w:numId="73">
    <w:abstractNumId w:val="68"/>
  </w:num>
  <w:num w:numId="74">
    <w:abstractNumId w:val="54"/>
  </w:num>
  <w:num w:numId="75">
    <w:abstractNumId w:val="55"/>
  </w:num>
  <w:num w:numId="76">
    <w:abstractNumId w:val="72"/>
  </w:num>
  <w:num w:numId="77">
    <w:abstractNumId w:val="27"/>
  </w:num>
  <w:num w:numId="78">
    <w:abstractNumId w:val="53"/>
  </w:num>
  <w:num w:numId="79">
    <w:abstractNumId w:val="10"/>
  </w:num>
  <w:num w:numId="80">
    <w:abstractNumId w:val="42"/>
  </w:num>
  <w:num w:numId="81">
    <w:abstractNumId w:val="71"/>
  </w:num>
  <w:num w:numId="82">
    <w:abstractNumId w:val="41"/>
  </w:num>
  <w:num w:numId="83">
    <w:abstractNumId w:val="30"/>
  </w:num>
  <w:num w:numId="84">
    <w:abstractNumId w:val="9"/>
  </w:num>
  <w:num w:numId="85">
    <w:abstractNumId w:val="30"/>
  </w:num>
  <w:num w:numId="86">
    <w:abstractNumId w:val="17"/>
  </w:num>
  <w:num w:numId="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Harvard UofA (Style Manual Australia 6th edn) &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205ztsw6v99t1ee2r6vpat820d0x9tefftv&quot;&gt;LSDP technical report&lt;record-ids&gt;&lt;item&gt;8&lt;/item&gt;&lt;item&gt;23&lt;/item&gt;&lt;item&gt;39&lt;/item&gt;&lt;item&gt;49&lt;/item&gt;&lt;item&gt;50&lt;/item&gt;&lt;item&gt;51&lt;/item&gt;&lt;item&gt;52&lt;/item&gt;&lt;item&gt;53&lt;/item&gt;&lt;item&gt;54&lt;/item&gt;&lt;item&gt;55&lt;/item&gt;&lt;item&gt;56&lt;/item&gt;&lt;item&gt;60&lt;/item&gt;&lt;item&gt;63&lt;/item&gt;&lt;item&gt;68&lt;/item&gt;&lt;item&gt;71&lt;/item&gt;&lt;item&gt;72&lt;/item&gt;&lt;item&gt;79&lt;/item&gt;&lt;item&gt;81&lt;/item&gt;&lt;item&gt;83&lt;/item&gt;&lt;item&gt;84&lt;/item&gt;&lt;item&gt;85&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6&lt;/item&gt;&lt;item&gt;107&lt;/item&gt;&lt;item&gt;109&lt;/item&gt;&lt;item&gt;111&lt;/item&gt;&lt;item&gt;112&lt;/item&gt;&lt;item&gt;113&lt;/item&gt;&lt;item&gt;114&lt;/item&gt;&lt;item&gt;116&lt;/item&gt;&lt;item&gt;118&lt;/item&gt;&lt;item&gt;119&lt;/item&gt;&lt;item&gt;121&lt;/item&gt;&lt;item&gt;123&lt;/item&gt;&lt;item&gt;124&lt;/item&gt;&lt;item&gt;125&lt;/item&gt;&lt;item&gt;126&lt;/item&gt;&lt;item&gt;127&lt;/item&gt;&lt;item&gt;130&lt;/item&gt;&lt;item&gt;131&lt;/item&gt;&lt;item&gt;132&lt;/item&gt;&lt;item&gt;133&lt;/item&gt;&lt;item&gt;134&lt;/item&gt;&lt;item&gt;135&lt;/item&gt;&lt;item&gt;137&lt;/item&gt;&lt;item&gt;138&lt;/item&gt;&lt;item&gt;139&lt;/item&gt;&lt;item&gt;140&lt;/item&gt;&lt;item&gt;141&lt;/item&gt;&lt;item&gt;142&lt;/item&gt;&lt;item&gt;143&lt;/item&gt;&lt;item&gt;144&lt;/item&gt;&lt;item&gt;145&lt;/item&gt;&lt;item&gt;150&lt;/item&gt;&lt;item&gt;154&lt;/item&gt;&lt;item&gt;160&lt;/item&gt;&lt;item&gt;161&lt;/item&gt;&lt;item&gt;162&lt;/item&gt;&lt;item&gt;164&lt;/item&gt;&lt;item&gt;167&lt;/item&gt;&lt;item&gt;176&lt;/item&gt;&lt;item&gt;177&lt;/item&gt;&lt;item&gt;179&lt;/item&gt;&lt;item&gt;180&lt;/item&gt;&lt;item&gt;181&lt;/item&gt;&lt;item&gt;182&lt;/item&gt;&lt;item&gt;183&lt;/item&gt;&lt;item&gt;184&lt;/item&gt;&lt;item&gt;185&lt;/item&gt;&lt;item&gt;186&lt;/item&gt;&lt;item&gt;191&lt;/item&gt;&lt;item&gt;193&lt;/item&gt;&lt;item&gt;195&lt;/item&gt;&lt;item&gt;196&lt;/item&gt;&lt;item&gt;198&lt;/item&gt;&lt;item&gt;206&lt;/item&gt;&lt;item&gt;210&lt;/item&gt;&lt;item&gt;213&lt;/item&gt;&lt;item&gt;215&lt;/item&gt;&lt;item&gt;216&lt;/item&gt;&lt;item&gt;217&lt;/item&gt;&lt;item&gt;220&lt;/item&gt;&lt;item&gt;221&lt;/item&gt;&lt;item&gt;222&lt;/item&gt;&lt;item&gt;223&lt;/item&gt;&lt;item&gt;224&lt;/item&gt;&lt;item&gt;225&lt;/item&gt;&lt;item&gt;226&lt;/item&gt;&lt;item&gt;227&lt;/item&gt;&lt;item&gt;228&lt;/item&gt;&lt;item&gt;230&lt;/item&gt;&lt;item&gt;232&lt;/item&gt;&lt;item&gt;233&lt;/item&gt;&lt;item&gt;234&lt;/item&gt;&lt;item&gt;235&lt;/item&gt;&lt;item&gt;237&lt;/item&gt;&lt;item&gt;238&lt;/item&gt;&lt;item&gt;239&lt;/item&gt;&lt;item&gt;240&lt;/item&gt;&lt;item&gt;241&lt;/item&gt;&lt;item&gt;244&lt;/item&gt;&lt;item&gt;245&lt;/item&gt;&lt;item&gt;246&lt;/item&gt;&lt;item&gt;247&lt;/item&gt;&lt;item&gt;248&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70&lt;/item&gt;&lt;item&gt;272&lt;/item&gt;&lt;item&gt;273&lt;/item&gt;&lt;item&gt;274&lt;/item&gt;&lt;item&gt;275&lt;/item&gt;&lt;item&gt;277&lt;/item&gt;&lt;item&gt;278&lt;/item&gt;&lt;item&gt;279&lt;/item&gt;&lt;item&gt;280&lt;/item&gt;&lt;item&gt;282&lt;/item&gt;&lt;item&gt;283&lt;/item&gt;&lt;item&gt;284&lt;/item&gt;&lt;item&gt;285&lt;/item&gt;&lt;item&gt;286&lt;/item&gt;&lt;item&gt;287&lt;/item&gt;&lt;item&gt;288&lt;/item&gt;&lt;item&gt;289&lt;/item&gt;&lt;item&gt;290&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1&lt;/item&gt;&lt;item&gt;312&lt;/item&gt;&lt;item&gt;313&lt;/item&gt;&lt;item&gt;315&lt;/item&gt;&lt;item&gt;317&lt;/item&gt;&lt;item&gt;318&lt;/item&gt;&lt;item&gt;321&lt;/item&gt;&lt;item&gt;322&lt;/item&gt;&lt;item&gt;325&lt;/item&gt;&lt;item&gt;326&lt;/item&gt;&lt;item&gt;327&lt;/item&gt;&lt;item&gt;328&lt;/item&gt;&lt;item&gt;329&lt;/item&gt;&lt;item&gt;330&lt;/item&gt;&lt;item&gt;331&lt;/item&gt;&lt;item&gt;332&lt;/item&gt;&lt;item&gt;333&lt;/item&gt;&lt;item&gt;334&lt;/item&gt;&lt;item&gt;337&lt;/item&gt;&lt;item&gt;338&lt;/item&gt;&lt;item&gt;339&lt;/item&gt;&lt;item&gt;340&lt;/item&gt;&lt;item&gt;341&lt;/item&gt;&lt;item&gt;342&lt;/item&gt;&lt;item&gt;343&lt;/item&gt;&lt;item&gt;344&lt;/item&gt;&lt;item&gt;346&lt;/item&gt;&lt;item&gt;349&lt;/item&gt;&lt;item&gt;350&lt;/item&gt;&lt;item&gt;351&lt;/item&gt;&lt;item&gt;352&lt;/item&gt;&lt;item&gt;353&lt;/item&gt;&lt;item&gt;354&lt;/item&gt;&lt;item&gt;355&lt;/item&gt;&lt;item&gt;356&lt;/item&gt;&lt;item&gt;357&lt;/item&gt;&lt;item&gt;362&lt;/item&gt;&lt;item&gt;364&lt;/item&gt;&lt;item&gt;365&lt;/item&gt;&lt;item&gt;366&lt;/item&gt;&lt;item&gt;368&lt;/item&gt;&lt;item&gt;370&lt;/item&gt;&lt;item&gt;371&lt;/item&gt;&lt;item&gt;372&lt;/item&gt;&lt;item&gt;373&lt;/item&gt;&lt;item&gt;374&lt;/item&gt;&lt;item&gt;376&lt;/item&gt;&lt;item&gt;377&lt;/item&gt;&lt;item&gt;378&lt;/item&gt;&lt;item&gt;379&lt;/item&gt;&lt;item&gt;387&lt;/item&gt;&lt;item&gt;388&lt;/item&gt;&lt;item&gt;389&lt;/item&gt;&lt;item&gt;390&lt;/item&gt;&lt;item&gt;391&lt;/item&gt;&lt;item&gt;392&lt;/item&gt;&lt;item&gt;393&lt;/item&gt;&lt;item&gt;394&lt;/item&gt;&lt;item&gt;395&lt;/item&gt;&lt;item&gt;396&lt;/item&gt;&lt;item&gt;398&lt;/item&gt;&lt;item&gt;399&lt;/item&gt;&lt;item&gt;400&lt;/item&gt;&lt;item&gt;401&lt;/item&gt;&lt;item&gt;402&lt;/item&gt;&lt;item&gt;403&lt;/item&gt;&lt;item&gt;404&lt;/item&gt;&lt;item&gt;405&lt;/item&gt;&lt;item&gt;406&lt;/item&gt;&lt;item&gt;407&lt;/item&gt;&lt;item&gt;411&lt;/item&gt;&lt;item&gt;412&lt;/item&gt;&lt;item&gt;413&lt;/item&gt;&lt;item&gt;414&lt;/item&gt;&lt;item&gt;415&lt;/item&gt;&lt;item&gt;416&lt;/item&gt;&lt;item&gt;417&lt;/item&gt;&lt;item&gt;418&lt;/item&gt;&lt;item&gt;419&lt;/item&gt;&lt;item&gt;420&lt;/item&gt;&lt;item&gt;422&lt;/item&gt;&lt;item&gt;425&lt;/item&gt;&lt;item&gt;426&lt;/item&gt;&lt;item&gt;427&lt;/item&gt;&lt;item&gt;428&lt;/item&gt;&lt;item&gt;429&lt;/item&gt;&lt;item&gt;430&lt;/item&gt;&lt;item&gt;431&lt;/item&gt;&lt;item&gt;432&lt;/item&gt;&lt;item&gt;433&lt;/item&gt;&lt;item&gt;435&lt;/item&gt;&lt;item&gt;436&lt;/item&gt;&lt;item&gt;437&lt;/item&gt;&lt;item&gt;438&lt;/item&gt;&lt;item&gt;439&lt;/item&gt;&lt;item&gt;440&lt;/item&gt;&lt;item&gt;441&lt;/item&gt;&lt;item&gt;442&lt;/item&gt;&lt;item&gt;443&lt;/item&gt;&lt;item&gt;444&lt;/item&gt;&lt;item&gt;445&lt;/item&gt;&lt;item&gt;446&lt;/item&gt;&lt;item&gt;447&lt;/item&gt;&lt;item&gt;448&lt;/item&gt;&lt;item&gt;449&lt;/item&gt;&lt;item&gt;450&lt;/item&gt;&lt;item&gt;453&lt;/item&gt;&lt;item&gt;454&lt;/item&gt;&lt;item&gt;455&lt;/item&gt;&lt;item&gt;456&lt;/item&gt;&lt;item&gt;457&lt;/item&gt;&lt;item&gt;459&lt;/item&gt;&lt;item&gt;460&lt;/item&gt;&lt;item&gt;461&lt;/item&gt;&lt;item&gt;462&lt;/item&gt;&lt;item&gt;464&lt;/item&gt;&lt;item&gt;469&lt;/item&gt;&lt;item&gt;470&lt;/item&gt;&lt;item&gt;471&lt;/item&gt;&lt;item&gt;472&lt;/item&gt;&lt;item&gt;473&lt;/item&gt;&lt;item&gt;474&lt;/item&gt;&lt;item&gt;475&lt;/item&gt;&lt;item&gt;476&lt;/item&gt;&lt;item&gt;477&lt;/item&gt;&lt;item&gt;478&lt;/item&gt;&lt;item&gt;479&lt;/item&gt;&lt;item&gt;480&lt;/item&gt;&lt;item&gt;481&lt;/item&gt;&lt;item&gt;482&lt;/item&gt;&lt;item&gt;483&lt;/item&gt;&lt;item&gt;484&lt;/item&gt;&lt;item&gt;490&lt;/item&gt;&lt;item&gt;491&lt;/item&gt;&lt;item&gt;492&lt;/item&gt;&lt;item&gt;493&lt;/item&gt;&lt;item&gt;494&lt;/item&gt;&lt;item&gt;495&lt;/item&gt;&lt;item&gt;496&lt;/item&gt;&lt;item&gt;497&lt;/item&gt;&lt;item&gt;498&lt;/item&gt;&lt;item&gt;499&lt;/item&gt;&lt;item&gt;500&lt;/item&gt;&lt;item&gt;501&lt;/item&gt;&lt;item&gt;502&lt;/item&gt;&lt;item&gt;504&lt;/item&gt;&lt;item&gt;505&lt;/item&gt;&lt;item&gt;506&lt;/item&gt;&lt;item&gt;507&lt;/item&gt;&lt;item&gt;511&lt;/item&gt;&lt;item&gt;512&lt;/item&gt;&lt;item&gt;513&lt;/item&gt;&lt;item&gt;514&lt;/item&gt;&lt;/record-ids&gt;&lt;/item&gt;&lt;/Libraries&gt;"/>
  </w:docVars>
  <w:rsids>
    <w:rsidRoot w:val="000F0D20"/>
    <w:rsid w:val="00000175"/>
    <w:rsid w:val="00000297"/>
    <w:rsid w:val="000003CF"/>
    <w:rsid w:val="00000938"/>
    <w:rsid w:val="00000C8C"/>
    <w:rsid w:val="00000FA8"/>
    <w:rsid w:val="000013A5"/>
    <w:rsid w:val="00001BEA"/>
    <w:rsid w:val="00001F88"/>
    <w:rsid w:val="000021DB"/>
    <w:rsid w:val="00002354"/>
    <w:rsid w:val="00002B2F"/>
    <w:rsid w:val="00002B8F"/>
    <w:rsid w:val="0000344E"/>
    <w:rsid w:val="000035DB"/>
    <w:rsid w:val="00004108"/>
    <w:rsid w:val="000042D2"/>
    <w:rsid w:val="000044AA"/>
    <w:rsid w:val="000044CC"/>
    <w:rsid w:val="00004745"/>
    <w:rsid w:val="00004971"/>
    <w:rsid w:val="00004981"/>
    <w:rsid w:val="00004DF6"/>
    <w:rsid w:val="00004E3B"/>
    <w:rsid w:val="00004E6F"/>
    <w:rsid w:val="00004EA7"/>
    <w:rsid w:val="00005A73"/>
    <w:rsid w:val="00005F2D"/>
    <w:rsid w:val="00006600"/>
    <w:rsid w:val="00006911"/>
    <w:rsid w:val="00006F15"/>
    <w:rsid w:val="000070FE"/>
    <w:rsid w:val="000072F4"/>
    <w:rsid w:val="00007656"/>
    <w:rsid w:val="000078F2"/>
    <w:rsid w:val="00007ABD"/>
    <w:rsid w:val="00007B8B"/>
    <w:rsid w:val="00007D13"/>
    <w:rsid w:val="000103D4"/>
    <w:rsid w:val="00010557"/>
    <w:rsid w:val="000109C5"/>
    <w:rsid w:val="0001163A"/>
    <w:rsid w:val="00011643"/>
    <w:rsid w:val="0001168C"/>
    <w:rsid w:val="00011A92"/>
    <w:rsid w:val="00011CA5"/>
    <w:rsid w:val="00011D58"/>
    <w:rsid w:val="00012044"/>
    <w:rsid w:val="000126EB"/>
    <w:rsid w:val="00012849"/>
    <w:rsid w:val="000128B0"/>
    <w:rsid w:val="00013011"/>
    <w:rsid w:val="00013952"/>
    <w:rsid w:val="00013F2C"/>
    <w:rsid w:val="000148E6"/>
    <w:rsid w:val="000149C1"/>
    <w:rsid w:val="00014AD8"/>
    <w:rsid w:val="00014E86"/>
    <w:rsid w:val="000150E6"/>
    <w:rsid w:val="000151B8"/>
    <w:rsid w:val="000158E6"/>
    <w:rsid w:val="00015AF0"/>
    <w:rsid w:val="00015BB7"/>
    <w:rsid w:val="00015CA3"/>
    <w:rsid w:val="00015DCB"/>
    <w:rsid w:val="000165AC"/>
    <w:rsid w:val="00016A3C"/>
    <w:rsid w:val="00016AE7"/>
    <w:rsid w:val="00017354"/>
    <w:rsid w:val="000174DC"/>
    <w:rsid w:val="0001754A"/>
    <w:rsid w:val="0001780E"/>
    <w:rsid w:val="00017C99"/>
    <w:rsid w:val="00017ED2"/>
    <w:rsid w:val="00017F2B"/>
    <w:rsid w:val="00020013"/>
    <w:rsid w:val="00020024"/>
    <w:rsid w:val="00020629"/>
    <w:rsid w:val="000207FD"/>
    <w:rsid w:val="00020ADC"/>
    <w:rsid w:val="00021018"/>
    <w:rsid w:val="00021227"/>
    <w:rsid w:val="00021AEF"/>
    <w:rsid w:val="00021B0F"/>
    <w:rsid w:val="00021E89"/>
    <w:rsid w:val="00021FEA"/>
    <w:rsid w:val="0002226E"/>
    <w:rsid w:val="000226B9"/>
    <w:rsid w:val="00023527"/>
    <w:rsid w:val="00023723"/>
    <w:rsid w:val="00023AAF"/>
    <w:rsid w:val="00023CE4"/>
    <w:rsid w:val="00024560"/>
    <w:rsid w:val="00024AA2"/>
    <w:rsid w:val="0002518A"/>
    <w:rsid w:val="00025448"/>
    <w:rsid w:val="000255C3"/>
    <w:rsid w:val="00025ACB"/>
    <w:rsid w:val="00025C13"/>
    <w:rsid w:val="00025D1F"/>
    <w:rsid w:val="000262DF"/>
    <w:rsid w:val="0002651A"/>
    <w:rsid w:val="00026E79"/>
    <w:rsid w:val="00027017"/>
    <w:rsid w:val="000274BB"/>
    <w:rsid w:val="0002752F"/>
    <w:rsid w:val="00027C93"/>
    <w:rsid w:val="00027CB8"/>
    <w:rsid w:val="00027E17"/>
    <w:rsid w:val="0003024C"/>
    <w:rsid w:val="00030304"/>
    <w:rsid w:val="0003055D"/>
    <w:rsid w:val="000305C0"/>
    <w:rsid w:val="00030F70"/>
    <w:rsid w:val="00030F8C"/>
    <w:rsid w:val="000311F8"/>
    <w:rsid w:val="00031534"/>
    <w:rsid w:val="000315BD"/>
    <w:rsid w:val="000315D2"/>
    <w:rsid w:val="00032092"/>
    <w:rsid w:val="0003213D"/>
    <w:rsid w:val="000325BF"/>
    <w:rsid w:val="000326F6"/>
    <w:rsid w:val="00032EEA"/>
    <w:rsid w:val="000331FA"/>
    <w:rsid w:val="000332F3"/>
    <w:rsid w:val="000333B0"/>
    <w:rsid w:val="0003386E"/>
    <w:rsid w:val="00033915"/>
    <w:rsid w:val="00033AE1"/>
    <w:rsid w:val="000340F4"/>
    <w:rsid w:val="0003421C"/>
    <w:rsid w:val="0003479A"/>
    <w:rsid w:val="000348C0"/>
    <w:rsid w:val="00034DCB"/>
    <w:rsid w:val="00034FF0"/>
    <w:rsid w:val="000350DB"/>
    <w:rsid w:val="000352A8"/>
    <w:rsid w:val="000356A9"/>
    <w:rsid w:val="00035A18"/>
    <w:rsid w:val="00035CC1"/>
    <w:rsid w:val="00035E34"/>
    <w:rsid w:val="00035E4E"/>
    <w:rsid w:val="00036271"/>
    <w:rsid w:val="000362A6"/>
    <w:rsid w:val="0003692B"/>
    <w:rsid w:val="000369AC"/>
    <w:rsid w:val="00036A71"/>
    <w:rsid w:val="00036F43"/>
    <w:rsid w:val="00036FC6"/>
    <w:rsid w:val="000372B4"/>
    <w:rsid w:val="00040164"/>
    <w:rsid w:val="00040A73"/>
    <w:rsid w:val="00040AF0"/>
    <w:rsid w:val="00040C8A"/>
    <w:rsid w:val="00040D2C"/>
    <w:rsid w:val="0004128C"/>
    <w:rsid w:val="00041821"/>
    <w:rsid w:val="00041F74"/>
    <w:rsid w:val="00041F8A"/>
    <w:rsid w:val="00042138"/>
    <w:rsid w:val="0004218F"/>
    <w:rsid w:val="000421B1"/>
    <w:rsid w:val="00042489"/>
    <w:rsid w:val="00042761"/>
    <w:rsid w:val="000432D4"/>
    <w:rsid w:val="0004380D"/>
    <w:rsid w:val="00043A22"/>
    <w:rsid w:val="00043ADF"/>
    <w:rsid w:val="00043EEC"/>
    <w:rsid w:val="00044515"/>
    <w:rsid w:val="0004486E"/>
    <w:rsid w:val="00044FF6"/>
    <w:rsid w:val="0004591C"/>
    <w:rsid w:val="000459F2"/>
    <w:rsid w:val="00045EE9"/>
    <w:rsid w:val="000462F9"/>
    <w:rsid w:val="000465F8"/>
    <w:rsid w:val="00046D11"/>
    <w:rsid w:val="00046F4C"/>
    <w:rsid w:val="00047922"/>
    <w:rsid w:val="00047B44"/>
    <w:rsid w:val="0005138A"/>
    <w:rsid w:val="000517FC"/>
    <w:rsid w:val="000519E4"/>
    <w:rsid w:val="00051CA2"/>
    <w:rsid w:val="00051F87"/>
    <w:rsid w:val="000524DC"/>
    <w:rsid w:val="00052971"/>
    <w:rsid w:val="0005298B"/>
    <w:rsid w:val="00052F20"/>
    <w:rsid w:val="00053025"/>
    <w:rsid w:val="0005380C"/>
    <w:rsid w:val="00053D13"/>
    <w:rsid w:val="000542C7"/>
    <w:rsid w:val="00054536"/>
    <w:rsid w:val="00054B36"/>
    <w:rsid w:val="000552BE"/>
    <w:rsid w:val="00055464"/>
    <w:rsid w:val="00055530"/>
    <w:rsid w:val="00055608"/>
    <w:rsid w:val="00055C04"/>
    <w:rsid w:val="00056930"/>
    <w:rsid w:val="00056B0E"/>
    <w:rsid w:val="00056BAD"/>
    <w:rsid w:val="00056CA9"/>
    <w:rsid w:val="00056FC8"/>
    <w:rsid w:val="00057044"/>
    <w:rsid w:val="000571E4"/>
    <w:rsid w:val="00057964"/>
    <w:rsid w:val="00057FCE"/>
    <w:rsid w:val="00057FEF"/>
    <w:rsid w:val="000604AC"/>
    <w:rsid w:val="0006085C"/>
    <w:rsid w:val="00060903"/>
    <w:rsid w:val="000609C2"/>
    <w:rsid w:val="0006101B"/>
    <w:rsid w:val="00061322"/>
    <w:rsid w:val="0006196D"/>
    <w:rsid w:val="00061AAD"/>
    <w:rsid w:val="00061EF4"/>
    <w:rsid w:val="000629CF"/>
    <w:rsid w:val="00062AAB"/>
    <w:rsid w:val="00062AD5"/>
    <w:rsid w:val="00062B76"/>
    <w:rsid w:val="00062C22"/>
    <w:rsid w:val="00062F14"/>
    <w:rsid w:val="00062FF6"/>
    <w:rsid w:val="00063977"/>
    <w:rsid w:val="00063A48"/>
    <w:rsid w:val="00063B8D"/>
    <w:rsid w:val="00063D71"/>
    <w:rsid w:val="00063D8A"/>
    <w:rsid w:val="00064201"/>
    <w:rsid w:val="000646DA"/>
    <w:rsid w:val="000647A1"/>
    <w:rsid w:val="00064EAE"/>
    <w:rsid w:val="0006520C"/>
    <w:rsid w:val="00065286"/>
    <w:rsid w:val="000653EE"/>
    <w:rsid w:val="0006593F"/>
    <w:rsid w:val="00065B56"/>
    <w:rsid w:val="00066907"/>
    <w:rsid w:val="00067131"/>
    <w:rsid w:val="00067305"/>
    <w:rsid w:val="00067381"/>
    <w:rsid w:val="00067F25"/>
    <w:rsid w:val="00067FEF"/>
    <w:rsid w:val="00070171"/>
    <w:rsid w:val="000702A9"/>
    <w:rsid w:val="000702FB"/>
    <w:rsid w:val="000704C9"/>
    <w:rsid w:val="000706A3"/>
    <w:rsid w:val="000709C2"/>
    <w:rsid w:val="00070CE9"/>
    <w:rsid w:val="0007100D"/>
    <w:rsid w:val="00071125"/>
    <w:rsid w:val="000715DB"/>
    <w:rsid w:val="00072105"/>
    <w:rsid w:val="00072241"/>
    <w:rsid w:val="000724AB"/>
    <w:rsid w:val="00072527"/>
    <w:rsid w:val="00072679"/>
    <w:rsid w:val="00072ACA"/>
    <w:rsid w:val="00072D50"/>
    <w:rsid w:val="0007302C"/>
    <w:rsid w:val="000731F3"/>
    <w:rsid w:val="000732F1"/>
    <w:rsid w:val="00073860"/>
    <w:rsid w:val="00073D82"/>
    <w:rsid w:val="00073DA9"/>
    <w:rsid w:val="00073DDD"/>
    <w:rsid w:val="0007406C"/>
    <w:rsid w:val="000740BB"/>
    <w:rsid w:val="00074446"/>
    <w:rsid w:val="000748D2"/>
    <w:rsid w:val="00074944"/>
    <w:rsid w:val="00074ABF"/>
    <w:rsid w:val="00074ADB"/>
    <w:rsid w:val="00074C8C"/>
    <w:rsid w:val="00074F6C"/>
    <w:rsid w:val="000751C5"/>
    <w:rsid w:val="000752CE"/>
    <w:rsid w:val="00075616"/>
    <w:rsid w:val="000756DF"/>
    <w:rsid w:val="000757B7"/>
    <w:rsid w:val="00075869"/>
    <w:rsid w:val="00075C8A"/>
    <w:rsid w:val="00075DBB"/>
    <w:rsid w:val="00076258"/>
    <w:rsid w:val="00076332"/>
    <w:rsid w:val="000769F5"/>
    <w:rsid w:val="00076A28"/>
    <w:rsid w:val="00077011"/>
    <w:rsid w:val="000772FE"/>
    <w:rsid w:val="00077727"/>
    <w:rsid w:val="000777FC"/>
    <w:rsid w:val="00077912"/>
    <w:rsid w:val="00077BB0"/>
    <w:rsid w:val="00080105"/>
    <w:rsid w:val="00080116"/>
    <w:rsid w:val="00080924"/>
    <w:rsid w:val="00080D4E"/>
    <w:rsid w:val="0008149C"/>
    <w:rsid w:val="0008173A"/>
    <w:rsid w:val="000817EC"/>
    <w:rsid w:val="00081F81"/>
    <w:rsid w:val="000820DC"/>
    <w:rsid w:val="0008217D"/>
    <w:rsid w:val="00082320"/>
    <w:rsid w:val="00082714"/>
    <w:rsid w:val="00082911"/>
    <w:rsid w:val="00082C10"/>
    <w:rsid w:val="00082D77"/>
    <w:rsid w:val="0008379A"/>
    <w:rsid w:val="00083E1D"/>
    <w:rsid w:val="000845B3"/>
    <w:rsid w:val="000846B0"/>
    <w:rsid w:val="0008474C"/>
    <w:rsid w:val="0008496A"/>
    <w:rsid w:val="00084B28"/>
    <w:rsid w:val="00084B77"/>
    <w:rsid w:val="00084C5F"/>
    <w:rsid w:val="000850BA"/>
    <w:rsid w:val="00085311"/>
    <w:rsid w:val="00085384"/>
    <w:rsid w:val="0008568C"/>
    <w:rsid w:val="000858A7"/>
    <w:rsid w:val="00085979"/>
    <w:rsid w:val="00085F1A"/>
    <w:rsid w:val="00086025"/>
    <w:rsid w:val="0008612C"/>
    <w:rsid w:val="000863C2"/>
    <w:rsid w:val="00086778"/>
    <w:rsid w:val="00086795"/>
    <w:rsid w:val="00086C2D"/>
    <w:rsid w:val="00086CE4"/>
    <w:rsid w:val="00086DC6"/>
    <w:rsid w:val="00086E37"/>
    <w:rsid w:val="0008700F"/>
    <w:rsid w:val="00087208"/>
    <w:rsid w:val="00087DDE"/>
    <w:rsid w:val="0009027A"/>
    <w:rsid w:val="000905E0"/>
    <w:rsid w:val="00090973"/>
    <w:rsid w:val="00090AC8"/>
    <w:rsid w:val="00090CE4"/>
    <w:rsid w:val="00090D25"/>
    <w:rsid w:val="000914E4"/>
    <w:rsid w:val="000916A3"/>
    <w:rsid w:val="00091809"/>
    <w:rsid w:val="000918A4"/>
    <w:rsid w:val="00091B50"/>
    <w:rsid w:val="00091E8E"/>
    <w:rsid w:val="00091F81"/>
    <w:rsid w:val="00092143"/>
    <w:rsid w:val="000923C3"/>
    <w:rsid w:val="00092A8A"/>
    <w:rsid w:val="00092E85"/>
    <w:rsid w:val="00092F60"/>
    <w:rsid w:val="000931EC"/>
    <w:rsid w:val="00093998"/>
    <w:rsid w:val="00093BD6"/>
    <w:rsid w:val="0009479D"/>
    <w:rsid w:val="000949CA"/>
    <w:rsid w:val="00094A1C"/>
    <w:rsid w:val="00094AB4"/>
    <w:rsid w:val="00094AFE"/>
    <w:rsid w:val="000953D0"/>
    <w:rsid w:val="000959DF"/>
    <w:rsid w:val="00095A02"/>
    <w:rsid w:val="00095C24"/>
    <w:rsid w:val="00095D4F"/>
    <w:rsid w:val="00095DBC"/>
    <w:rsid w:val="00095ECB"/>
    <w:rsid w:val="000963CA"/>
    <w:rsid w:val="0009641F"/>
    <w:rsid w:val="00097072"/>
    <w:rsid w:val="00097136"/>
    <w:rsid w:val="0009740C"/>
    <w:rsid w:val="00097835"/>
    <w:rsid w:val="00097898"/>
    <w:rsid w:val="00097B8D"/>
    <w:rsid w:val="00097D06"/>
    <w:rsid w:val="00097E8A"/>
    <w:rsid w:val="000A0FAC"/>
    <w:rsid w:val="000A102A"/>
    <w:rsid w:val="000A10ED"/>
    <w:rsid w:val="000A115B"/>
    <w:rsid w:val="000A14BC"/>
    <w:rsid w:val="000A195E"/>
    <w:rsid w:val="000A196C"/>
    <w:rsid w:val="000A1B02"/>
    <w:rsid w:val="000A1D51"/>
    <w:rsid w:val="000A1DF4"/>
    <w:rsid w:val="000A205D"/>
    <w:rsid w:val="000A345E"/>
    <w:rsid w:val="000A3813"/>
    <w:rsid w:val="000A3925"/>
    <w:rsid w:val="000A3F15"/>
    <w:rsid w:val="000A3F35"/>
    <w:rsid w:val="000A4A3F"/>
    <w:rsid w:val="000A4DD2"/>
    <w:rsid w:val="000A4E7C"/>
    <w:rsid w:val="000A5183"/>
    <w:rsid w:val="000A557D"/>
    <w:rsid w:val="000A5681"/>
    <w:rsid w:val="000A590B"/>
    <w:rsid w:val="000A5FDE"/>
    <w:rsid w:val="000A6218"/>
    <w:rsid w:val="000A627A"/>
    <w:rsid w:val="000A65EC"/>
    <w:rsid w:val="000A6849"/>
    <w:rsid w:val="000A6A10"/>
    <w:rsid w:val="000A6A8E"/>
    <w:rsid w:val="000A6B8F"/>
    <w:rsid w:val="000A7399"/>
    <w:rsid w:val="000A7663"/>
    <w:rsid w:val="000A7726"/>
    <w:rsid w:val="000A775D"/>
    <w:rsid w:val="000A7880"/>
    <w:rsid w:val="000A7C05"/>
    <w:rsid w:val="000B024E"/>
    <w:rsid w:val="000B044C"/>
    <w:rsid w:val="000B08F4"/>
    <w:rsid w:val="000B0C25"/>
    <w:rsid w:val="000B0C46"/>
    <w:rsid w:val="000B18E8"/>
    <w:rsid w:val="000B1C5F"/>
    <w:rsid w:val="000B1CFC"/>
    <w:rsid w:val="000B20E2"/>
    <w:rsid w:val="000B2176"/>
    <w:rsid w:val="000B21C3"/>
    <w:rsid w:val="000B29A7"/>
    <w:rsid w:val="000B2EC3"/>
    <w:rsid w:val="000B2F3E"/>
    <w:rsid w:val="000B3AFA"/>
    <w:rsid w:val="000B3D34"/>
    <w:rsid w:val="000B3FCD"/>
    <w:rsid w:val="000B3FD7"/>
    <w:rsid w:val="000B4203"/>
    <w:rsid w:val="000B4419"/>
    <w:rsid w:val="000B4819"/>
    <w:rsid w:val="000B48DD"/>
    <w:rsid w:val="000B4C23"/>
    <w:rsid w:val="000B4C96"/>
    <w:rsid w:val="000B4FB1"/>
    <w:rsid w:val="000B51F7"/>
    <w:rsid w:val="000B531B"/>
    <w:rsid w:val="000B551D"/>
    <w:rsid w:val="000B5876"/>
    <w:rsid w:val="000B60A1"/>
    <w:rsid w:val="000B6873"/>
    <w:rsid w:val="000B68D7"/>
    <w:rsid w:val="000B69FA"/>
    <w:rsid w:val="000B6CE3"/>
    <w:rsid w:val="000B703C"/>
    <w:rsid w:val="000B7871"/>
    <w:rsid w:val="000B7B64"/>
    <w:rsid w:val="000B7D07"/>
    <w:rsid w:val="000C013B"/>
    <w:rsid w:val="000C0901"/>
    <w:rsid w:val="000C0D4C"/>
    <w:rsid w:val="000C1011"/>
    <w:rsid w:val="000C11BC"/>
    <w:rsid w:val="000C12AD"/>
    <w:rsid w:val="000C133F"/>
    <w:rsid w:val="000C1B01"/>
    <w:rsid w:val="000C1BC0"/>
    <w:rsid w:val="000C22A4"/>
    <w:rsid w:val="000C23A0"/>
    <w:rsid w:val="000C2459"/>
    <w:rsid w:val="000C277F"/>
    <w:rsid w:val="000C2C59"/>
    <w:rsid w:val="000C2F5B"/>
    <w:rsid w:val="000C2FE1"/>
    <w:rsid w:val="000C31DD"/>
    <w:rsid w:val="000C35C6"/>
    <w:rsid w:val="000C3A9B"/>
    <w:rsid w:val="000C3E7E"/>
    <w:rsid w:val="000C40BF"/>
    <w:rsid w:val="000C425A"/>
    <w:rsid w:val="000C45DA"/>
    <w:rsid w:val="000C49C2"/>
    <w:rsid w:val="000C49E2"/>
    <w:rsid w:val="000C4BE0"/>
    <w:rsid w:val="000C5433"/>
    <w:rsid w:val="000C5484"/>
    <w:rsid w:val="000C5817"/>
    <w:rsid w:val="000C5824"/>
    <w:rsid w:val="000C5C6B"/>
    <w:rsid w:val="000C605D"/>
    <w:rsid w:val="000C6527"/>
    <w:rsid w:val="000C6A46"/>
    <w:rsid w:val="000C72B6"/>
    <w:rsid w:val="000C754D"/>
    <w:rsid w:val="000C75F7"/>
    <w:rsid w:val="000C7C95"/>
    <w:rsid w:val="000D04F6"/>
    <w:rsid w:val="000D0695"/>
    <w:rsid w:val="000D0997"/>
    <w:rsid w:val="000D0AF5"/>
    <w:rsid w:val="000D0D00"/>
    <w:rsid w:val="000D0F74"/>
    <w:rsid w:val="000D108D"/>
    <w:rsid w:val="000D169F"/>
    <w:rsid w:val="000D1800"/>
    <w:rsid w:val="000D180F"/>
    <w:rsid w:val="000D1954"/>
    <w:rsid w:val="000D19DA"/>
    <w:rsid w:val="000D1E55"/>
    <w:rsid w:val="000D229E"/>
    <w:rsid w:val="000D24F1"/>
    <w:rsid w:val="000D24F3"/>
    <w:rsid w:val="000D25FD"/>
    <w:rsid w:val="000D3DCA"/>
    <w:rsid w:val="000D3F11"/>
    <w:rsid w:val="000D402D"/>
    <w:rsid w:val="000D460F"/>
    <w:rsid w:val="000D4F7A"/>
    <w:rsid w:val="000D4FB3"/>
    <w:rsid w:val="000D5966"/>
    <w:rsid w:val="000D5BBE"/>
    <w:rsid w:val="000D5EA0"/>
    <w:rsid w:val="000D6073"/>
    <w:rsid w:val="000D6878"/>
    <w:rsid w:val="000D6A28"/>
    <w:rsid w:val="000D6F3B"/>
    <w:rsid w:val="000D711A"/>
    <w:rsid w:val="000D7441"/>
    <w:rsid w:val="000D7507"/>
    <w:rsid w:val="000D7BDB"/>
    <w:rsid w:val="000D7F85"/>
    <w:rsid w:val="000E0475"/>
    <w:rsid w:val="000E050E"/>
    <w:rsid w:val="000E0516"/>
    <w:rsid w:val="000E099B"/>
    <w:rsid w:val="000E0AD0"/>
    <w:rsid w:val="000E15FD"/>
    <w:rsid w:val="000E162F"/>
    <w:rsid w:val="000E1959"/>
    <w:rsid w:val="000E1A76"/>
    <w:rsid w:val="000E1AD3"/>
    <w:rsid w:val="000E1B36"/>
    <w:rsid w:val="000E1CA6"/>
    <w:rsid w:val="000E1E6D"/>
    <w:rsid w:val="000E2018"/>
    <w:rsid w:val="000E2DE7"/>
    <w:rsid w:val="000E2F65"/>
    <w:rsid w:val="000E3026"/>
    <w:rsid w:val="000E3083"/>
    <w:rsid w:val="000E37AB"/>
    <w:rsid w:val="000E3CC6"/>
    <w:rsid w:val="000E42A9"/>
    <w:rsid w:val="000E432B"/>
    <w:rsid w:val="000E4AEF"/>
    <w:rsid w:val="000E4EDA"/>
    <w:rsid w:val="000E53E0"/>
    <w:rsid w:val="000E5716"/>
    <w:rsid w:val="000E5D8E"/>
    <w:rsid w:val="000E5E02"/>
    <w:rsid w:val="000E680F"/>
    <w:rsid w:val="000E6D86"/>
    <w:rsid w:val="000E6EBA"/>
    <w:rsid w:val="000E725E"/>
    <w:rsid w:val="000E7767"/>
    <w:rsid w:val="000F001B"/>
    <w:rsid w:val="000F005A"/>
    <w:rsid w:val="000F011F"/>
    <w:rsid w:val="000F033A"/>
    <w:rsid w:val="000F03C3"/>
    <w:rsid w:val="000F03C8"/>
    <w:rsid w:val="000F0644"/>
    <w:rsid w:val="000F0902"/>
    <w:rsid w:val="000F0C71"/>
    <w:rsid w:val="000F0D20"/>
    <w:rsid w:val="000F187F"/>
    <w:rsid w:val="000F2161"/>
    <w:rsid w:val="000F25BF"/>
    <w:rsid w:val="000F282E"/>
    <w:rsid w:val="000F2C2D"/>
    <w:rsid w:val="000F2C4B"/>
    <w:rsid w:val="000F388E"/>
    <w:rsid w:val="000F3AC0"/>
    <w:rsid w:val="000F3B3E"/>
    <w:rsid w:val="000F3EFF"/>
    <w:rsid w:val="000F3F71"/>
    <w:rsid w:val="000F4A9E"/>
    <w:rsid w:val="000F5087"/>
    <w:rsid w:val="000F5527"/>
    <w:rsid w:val="000F57D3"/>
    <w:rsid w:val="000F5944"/>
    <w:rsid w:val="000F6A9B"/>
    <w:rsid w:val="001000D3"/>
    <w:rsid w:val="00100324"/>
    <w:rsid w:val="0010043E"/>
    <w:rsid w:val="00100A8C"/>
    <w:rsid w:val="00100AC1"/>
    <w:rsid w:val="00101851"/>
    <w:rsid w:val="00101AC3"/>
    <w:rsid w:val="00101E43"/>
    <w:rsid w:val="00101F51"/>
    <w:rsid w:val="00102216"/>
    <w:rsid w:val="0010231B"/>
    <w:rsid w:val="0010284C"/>
    <w:rsid w:val="001028CF"/>
    <w:rsid w:val="00102CA1"/>
    <w:rsid w:val="00103085"/>
    <w:rsid w:val="001031B8"/>
    <w:rsid w:val="001036B6"/>
    <w:rsid w:val="00103C86"/>
    <w:rsid w:val="00103D9B"/>
    <w:rsid w:val="00103ECB"/>
    <w:rsid w:val="00104A46"/>
    <w:rsid w:val="00104A69"/>
    <w:rsid w:val="00104AAB"/>
    <w:rsid w:val="00105005"/>
    <w:rsid w:val="001051E9"/>
    <w:rsid w:val="001052CF"/>
    <w:rsid w:val="00105454"/>
    <w:rsid w:val="001054B2"/>
    <w:rsid w:val="00106087"/>
    <w:rsid w:val="0010629A"/>
    <w:rsid w:val="001063B8"/>
    <w:rsid w:val="00106999"/>
    <w:rsid w:val="00106A81"/>
    <w:rsid w:val="00106AFE"/>
    <w:rsid w:val="00106D6A"/>
    <w:rsid w:val="00106F76"/>
    <w:rsid w:val="001073F4"/>
    <w:rsid w:val="00107597"/>
    <w:rsid w:val="00107B57"/>
    <w:rsid w:val="00107C76"/>
    <w:rsid w:val="00110258"/>
    <w:rsid w:val="00110558"/>
    <w:rsid w:val="0011080E"/>
    <w:rsid w:val="00110AAA"/>
    <w:rsid w:val="00110ABB"/>
    <w:rsid w:val="00110E69"/>
    <w:rsid w:val="00110FF3"/>
    <w:rsid w:val="0011101F"/>
    <w:rsid w:val="0011110A"/>
    <w:rsid w:val="00111194"/>
    <w:rsid w:val="001113FD"/>
    <w:rsid w:val="00111909"/>
    <w:rsid w:val="00111A4B"/>
    <w:rsid w:val="00111DC9"/>
    <w:rsid w:val="00112275"/>
    <w:rsid w:val="0011234B"/>
    <w:rsid w:val="001124EF"/>
    <w:rsid w:val="0011256A"/>
    <w:rsid w:val="00112A80"/>
    <w:rsid w:val="001139FB"/>
    <w:rsid w:val="0011419C"/>
    <w:rsid w:val="00114326"/>
    <w:rsid w:val="00114BE0"/>
    <w:rsid w:val="001151DB"/>
    <w:rsid w:val="00115872"/>
    <w:rsid w:val="00115A65"/>
    <w:rsid w:val="00115A9C"/>
    <w:rsid w:val="00115F39"/>
    <w:rsid w:val="0011636E"/>
    <w:rsid w:val="001165B9"/>
    <w:rsid w:val="00116D62"/>
    <w:rsid w:val="0011733C"/>
    <w:rsid w:val="0011767A"/>
    <w:rsid w:val="0011773B"/>
    <w:rsid w:val="001178A1"/>
    <w:rsid w:val="00117A50"/>
    <w:rsid w:val="00117B80"/>
    <w:rsid w:val="00117CDE"/>
    <w:rsid w:val="00117D72"/>
    <w:rsid w:val="00117D83"/>
    <w:rsid w:val="00120000"/>
    <w:rsid w:val="001203B5"/>
    <w:rsid w:val="00120508"/>
    <w:rsid w:val="00120618"/>
    <w:rsid w:val="00120AB0"/>
    <w:rsid w:val="00120D01"/>
    <w:rsid w:val="001213CE"/>
    <w:rsid w:val="001217F9"/>
    <w:rsid w:val="00122155"/>
    <w:rsid w:val="001223B2"/>
    <w:rsid w:val="00122F3A"/>
    <w:rsid w:val="0012301E"/>
    <w:rsid w:val="0012341D"/>
    <w:rsid w:val="001238C0"/>
    <w:rsid w:val="001241B6"/>
    <w:rsid w:val="001247CC"/>
    <w:rsid w:val="00124C3A"/>
    <w:rsid w:val="001256C4"/>
    <w:rsid w:val="00125AAC"/>
    <w:rsid w:val="00125BB2"/>
    <w:rsid w:val="00125D88"/>
    <w:rsid w:val="00125E95"/>
    <w:rsid w:val="00126415"/>
    <w:rsid w:val="00126C0F"/>
    <w:rsid w:val="00126EB4"/>
    <w:rsid w:val="001273BD"/>
    <w:rsid w:val="00127745"/>
    <w:rsid w:val="00127F78"/>
    <w:rsid w:val="00130058"/>
    <w:rsid w:val="00130061"/>
    <w:rsid w:val="00130132"/>
    <w:rsid w:val="001308A6"/>
    <w:rsid w:val="001309AE"/>
    <w:rsid w:val="00130A6D"/>
    <w:rsid w:val="00130BD0"/>
    <w:rsid w:val="00130FA1"/>
    <w:rsid w:val="00131890"/>
    <w:rsid w:val="00131DD0"/>
    <w:rsid w:val="0013203E"/>
    <w:rsid w:val="0013243A"/>
    <w:rsid w:val="00133371"/>
    <w:rsid w:val="00133A9B"/>
    <w:rsid w:val="00134441"/>
    <w:rsid w:val="001344D2"/>
    <w:rsid w:val="00135373"/>
    <w:rsid w:val="001353F2"/>
    <w:rsid w:val="00135622"/>
    <w:rsid w:val="001360AF"/>
    <w:rsid w:val="0013670F"/>
    <w:rsid w:val="00136B0A"/>
    <w:rsid w:val="00136BC5"/>
    <w:rsid w:val="00136BF5"/>
    <w:rsid w:val="00137264"/>
    <w:rsid w:val="00137429"/>
    <w:rsid w:val="001375D5"/>
    <w:rsid w:val="001378F6"/>
    <w:rsid w:val="001401D8"/>
    <w:rsid w:val="00140217"/>
    <w:rsid w:val="00140D76"/>
    <w:rsid w:val="0014102D"/>
    <w:rsid w:val="001411BD"/>
    <w:rsid w:val="00141463"/>
    <w:rsid w:val="00141581"/>
    <w:rsid w:val="00141740"/>
    <w:rsid w:val="00141CA5"/>
    <w:rsid w:val="00141EEA"/>
    <w:rsid w:val="00141F36"/>
    <w:rsid w:val="001420AF"/>
    <w:rsid w:val="00142434"/>
    <w:rsid w:val="00142B1F"/>
    <w:rsid w:val="00142CAA"/>
    <w:rsid w:val="001432F8"/>
    <w:rsid w:val="00143B58"/>
    <w:rsid w:val="0014421C"/>
    <w:rsid w:val="00144487"/>
    <w:rsid w:val="00144B9E"/>
    <w:rsid w:val="00144D40"/>
    <w:rsid w:val="00144D52"/>
    <w:rsid w:val="00144E51"/>
    <w:rsid w:val="00144F4F"/>
    <w:rsid w:val="001453AD"/>
    <w:rsid w:val="00146032"/>
    <w:rsid w:val="0014609E"/>
    <w:rsid w:val="001462C9"/>
    <w:rsid w:val="001464E9"/>
    <w:rsid w:val="00146A9E"/>
    <w:rsid w:val="00147678"/>
    <w:rsid w:val="00147728"/>
    <w:rsid w:val="0014772C"/>
    <w:rsid w:val="00147A14"/>
    <w:rsid w:val="00147D9E"/>
    <w:rsid w:val="00147E74"/>
    <w:rsid w:val="00150111"/>
    <w:rsid w:val="001501C4"/>
    <w:rsid w:val="001504BC"/>
    <w:rsid w:val="00151212"/>
    <w:rsid w:val="00151A3D"/>
    <w:rsid w:val="00151C79"/>
    <w:rsid w:val="00152310"/>
    <w:rsid w:val="001527A0"/>
    <w:rsid w:val="00152815"/>
    <w:rsid w:val="00152AA2"/>
    <w:rsid w:val="00152AC9"/>
    <w:rsid w:val="001535B5"/>
    <w:rsid w:val="00153937"/>
    <w:rsid w:val="00153E71"/>
    <w:rsid w:val="00154D5E"/>
    <w:rsid w:val="00155086"/>
    <w:rsid w:val="001550D5"/>
    <w:rsid w:val="00155278"/>
    <w:rsid w:val="001552EE"/>
    <w:rsid w:val="0015562D"/>
    <w:rsid w:val="001557D9"/>
    <w:rsid w:val="00155A52"/>
    <w:rsid w:val="00155C2C"/>
    <w:rsid w:val="00155E84"/>
    <w:rsid w:val="00156430"/>
    <w:rsid w:val="00156461"/>
    <w:rsid w:val="001566D4"/>
    <w:rsid w:val="00156A67"/>
    <w:rsid w:val="00156B8B"/>
    <w:rsid w:val="00156D4F"/>
    <w:rsid w:val="00156DCC"/>
    <w:rsid w:val="00156F17"/>
    <w:rsid w:val="00157542"/>
    <w:rsid w:val="00157B7B"/>
    <w:rsid w:val="00157C47"/>
    <w:rsid w:val="00157C57"/>
    <w:rsid w:val="00160D7B"/>
    <w:rsid w:val="00160E7C"/>
    <w:rsid w:val="00161084"/>
    <w:rsid w:val="001615DD"/>
    <w:rsid w:val="00161E92"/>
    <w:rsid w:val="00161EF2"/>
    <w:rsid w:val="00161F11"/>
    <w:rsid w:val="00162135"/>
    <w:rsid w:val="001624EF"/>
    <w:rsid w:val="00162C03"/>
    <w:rsid w:val="00163878"/>
    <w:rsid w:val="001638C1"/>
    <w:rsid w:val="00163BBF"/>
    <w:rsid w:val="00163CF0"/>
    <w:rsid w:val="0016417B"/>
    <w:rsid w:val="001641BF"/>
    <w:rsid w:val="00164431"/>
    <w:rsid w:val="001646D1"/>
    <w:rsid w:val="00164A86"/>
    <w:rsid w:val="00164B4F"/>
    <w:rsid w:val="00164BC1"/>
    <w:rsid w:val="00164C3B"/>
    <w:rsid w:val="00164F83"/>
    <w:rsid w:val="00165042"/>
    <w:rsid w:val="0016577A"/>
    <w:rsid w:val="00165E79"/>
    <w:rsid w:val="00166291"/>
    <w:rsid w:val="00166415"/>
    <w:rsid w:val="001668AE"/>
    <w:rsid w:val="00166F45"/>
    <w:rsid w:val="00170054"/>
    <w:rsid w:val="00170127"/>
    <w:rsid w:val="00170854"/>
    <w:rsid w:val="00170D11"/>
    <w:rsid w:val="001711BC"/>
    <w:rsid w:val="00171CA7"/>
    <w:rsid w:val="00171EDC"/>
    <w:rsid w:val="00172385"/>
    <w:rsid w:val="001724D3"/>
    <w:rsid w:val="00172CAF"/>
    <w:rsid w:val="00172D1F"/>
    <w:rsid w:val="001732CA"/>
    <w:rsid w:val="001732D5"/>
    <w:rsid w:val="001734A1"/>
    <w:rsid w:val="00173A6C"/>
    <w:rsid w:val="00173AD8"/>
    <w:rsid w:val="00174181"/>
    <w:rsid w:val="00174AE7"/>
    <w:rsid w:val="00175121"/>
    <w:rsid w:val="001751CE"/>
    <w:rsid w:val="0017587F"/>
    <w:rsid w:val="001758AA"/>
    <w:rsid w:val="00175A96"/>
    <w:rsid w:val="00175B6D"/>
    <w:rsid w:val="00175FD6"/>
    <w:rsid w:val="0017612C"/>
    <w:rsid w:val="0017723A"/>
    <w:rsid w:val="0017725B"/>
    <w:rsid w:val="001774D1"/>
    <w:rsid w:val="00177506"/>
    <w:rsid w:val="00177593"/>
    <w:rsid w:val="00177729"/>
    <w:rsid w:val="001777A1"/>
    <w:rsid w:val="0017780D"/>
    <w:rsid w:val="00177ADE"/>
    <w:rsid w:val="00177F86"/>
    <w:rsid w:val="00180653"/>
    <w:rsid w:val="001808BF"/>
    <w:rsid w:val="00180CC6"/>
    <w:rsid w:val="00180E16"/>
    <w:rsid w:val="001818D4"/>
    <w:rsid w:val="00181BC1"/>
    <w:rsid w:val="001820B2"/>
    <w:rsid w:val="00182169"/>
    <w:rsid w:val="00182766"/>
    <w:rsid w:val="001829E3"/>
    <w:rsid w:val="001831BF"/>
    <w:rsid w:val="001833BF"/>
    <w:rsid w:val="001834AC"/>
    <w:rsid w:val="001835D5"/>
    <w:rsid w:val="00183647"/>
    <w:rsid w:val="00183A04"/>
    <w:rsid w:val="00184945"/>
    <w:rsid w:val="00184B6F"/>
    <w:rsid w:val="00184DED"/>
    <w:rsid w:val="00184DF4"/>
    <w:rsid w:val="0018514F"/>
    <w:rsid w:val="001852F3"/>
    <w:rsid w:val="001855ED"/>
    <w:rsid w:val="00185791"/>
    <w:rsid w:val="0018612D"/>
    <w:rsid w:val="00186406"/>
    <w:rsid w:val="00186710"/>
    <w:rsid w:val="001869F7"/>
    <w:rsid w:val="00186A5D"/>
    <w:rsid w:val="00186EC8"/>
    <w:rsid w:val="00186FBC"/>
    <w:rsid w:val="00187462"/>
    <w:rsid w:val="001878EA"/>
    <w:rsid w:val="00187D55"/>
    <w:rsid w:val="00187D5A"/>
    <w:rsid w:val="00187EA5"/>
    <w:rsid w:val="00187F13"/>
    <w:rsid w:val="001901B9"/>
    <w:rsid w:val="00190E6C"/>
    <w:rsid w:val="001918C8"/>
    <w:rsid w:val="00191955"/>
    <w:rsid w:val="00191BD4"/>
    <w:rsid w:val="00191ECD"/>
    <w:rsid w:val="001921B8"/>
    <w:rsid w:val="001927F5"/>
    <w:rsid w:val="00192E68"/>
    <w:rsid w:val="00192F33"/>
    <w:rsid w:val="00192FB2"/>
    <w:rsid w:val="00193034"/>
    <w:rsid w:val="0019340B"/>
    <w:rsid w:val="00194A20"/>
    <w:rsid w:val="00195327"/>
    <w:rsid w:val="00195333"/>
    <w:rsid w:val="00195519"/>
    <w:rsid w:val="001959A4"/>
    <w:rsid w:val="00195B65"/>
    <w:rsid w:val="00195C19"/>
    <w:rsid w:val="001968F7"/>
    <w:rsid w:val="00196D2F"/>
    <w:rsid w:val="001971AD"/>
    <w:rsid w:val="00197234"/>
    <w:rsid w:val="001974EE"/>
    <w:rsid w:val="001A025F"/>
    <w:rsid w:val="001A02CF"/>
    <w:rsid w:val="001A039F"/>
    <w:rsid w:val="001A03D7"/>
    <w:rsid w:val="001A0605"/>
    <w:rsid w:val="001A06B8"/>
    <w:rsid w:val="001A0BAD"/>
    <w:rsid w:val="001A0D2F"/>
    <w:rsid w:val="001A0EB2"/>
    <w:rsid w:val="001A1012"/>
    <w:rsid w:val="001A12FA"/>
    <w:rsid w:val="001A1312"/>
    <w:rsid w:val="001A1779"/>
    <w:rsid w:val="001A17DA"/>
    <w:rsid w:val="001A1860"/>
    <w:rsid w:val="001A1AD5"/>
    <w:rsid w:val="001A1B1A"/>
    <w:rsid w:val="001A1C7A"/>
    <w:rsid w:val="001A25F8"/>
    <w:rsid w:val="001A2FE1"/>
    <w:rsid w:val="001A3A41"/>
    <w:rsid w:val="001A40DF"/>
    <w:rsid w:val="001A484A"/>
    <w:rsid w:val="001A4A90"/>
    <w:rsid w:val="001A4B1E"/>
    <w:rsid w:val="001A55D8"/>
    <w:rsid w:val="001A62AB"/>
    <w:rsid w:val="001A6333"/>
    <w:rsid w:val="001A6A2C"/>
    <w:rsid w:val="001A6C1C"/>
    <w:rsid w:val="001A6C1E"/>
    <w:rsid w:val="001A6FF0"/>
    <w:rsid w:val="001A711C"/>
    <w:rsid w:val="001A71E1"/>
    <w:rsid w:val="001A7214"/>
    <w:rsid w:val="001A792B"/>
    <w:rsid w:val="001A7AE1"/>
    <w:rsid w:val="001A7C44"/>
    <w:rsid w:val="001B046C"/>
    <w:rsid w:val="001B0630"/>
    <w:rsid w:val="001B0960"/>
    <w:rsid w:val="001B0CC4"/>
    <w:rsid w:val="001B0FEC"/>
    <w:rsid w:val="001B12FE"/>
    <w:rsid w:val="001B1647"/>
    <w:rsid w:val="001B1671"/>
    <w:rsid w:val="001B1BE4"/>
    <w:rsid w:val="001B1C84"/>
    <w:rsid w:val="001B2245"/>
    <w:rsid w:val="001B2615"/>
    <w:rsid w:val="001B2766"/>
    <w:rsid w:val="001B3113"/>
    <w:rsid w:val="001B3123"/>
    <w:rsid w:val="001B3162"/>
    <w:rsid w:val="001B3724"/>
    <w:rsid w:val="001B39EF"/>
    <w:rsid w:val="001B3CE9"/>
    <w:rsid w:val="001B3EB3"/>
    <w:rsid w:val="001B452A"/>
    <w:rsid w:val="001B486B"/>
    <w:rsid w:val="001B4E29"/>
    <w:rsid w:val="001B5185"/>
    <w:rsid w:val="001B54C2"/>
    <w:rsid w:val="001B572E"/>
    <w:rsid w:val="001B5D15"/>
    <w:rsid w:val="001B5F60"/>
    <w:rsid w:val="001B5FFB"/>
    <w:rsid w:val="001B603D"/>
    <w:rsid w:val="001B623B"/>
    <w:rsid w:val="001B6290"/>
    <w:rsid w:val="001B68AF"/>
    <w:rsid w:val="001B68E3"/>
    <w:rsid w:val="001B6B9C"/>
    <w:rsid w:val="001B6EBD"/>
    <w:rsid w:val="001B78D9"/>
    <w:rsid w:val="001B799A"/>
    <w:rsid w:val="001B7C9F"/>
    <w:rsid w:val="001B7CA7"/>
    <w:rsid w:val="001B7E08"/>
    <w:rsid w:val="001C032A"/>
    <w:rsid w:val="001C0D6A"/>
    <w:rsid w:val="001C0E30"/>
    <w:rsid w:val="001C0F4A"/>
    <w:rsid w:val="001C17C3"/>
    <w:rsid w:val="001C1F8F"/>
    <w:rsid w:val="001C2009"/>
    <w:rsid w:val="001C2089"/>
    <w:rsid w:val="001C223F"/>
    <w:rsid w:val="001C2EAC"/>
    <w:rsid w:val="001C328E"/>
    <w:rsid w:val="001C3591"/>
    <w:rsid w:val="001C39EF"/>
    <w:rsid w:val="001C3E68"/>
    <w:rsid w:val="001C3FAF"/>
    <w:rsid w:val="001C4062"/>
    <w:rsid w:val="001C4577"/>
    <w:rsid w:val="001C4676"/>
    <w:rsid w:val="001C4A34"/>
    <w:rsid w:val="001C4EA3"/>
    <w:rsid w:val="001C4F2B"/>
    <w:rsid w:val="001C54E7"/>
    <w:rsid w:val="001C5580"/>
    <w:rsid w:val="001C5AB7"/>
    <w:rsid w:val="001C60D3"/>
    <w:rsid w:val="001C6225"/>
    <w:rsid w:val="001C6741"/>
    <w:rsid w:val="001C6813"/>
    <w:rsid w:val="001C6CC4"/>
    <w:rsid w:val="001C6D41"/>
    <w:rsid w:val="001C6E15"/>
    <w:rsid w:val="001C7389"/>
    <w:rsid w:val="001C76CD"/>
    <w:rsid w:val="001C7B68"/>
    <w:rsid w:val="001C7C88"/>
    <w:rsid w:val="001C7F0E"/>
    <w:rsid w:val="001C7F99"/>
    <w:rsid w:val="001D0202"/>
    <w:rsid w:val="001D0519"/>
    <w:rsid w:val="001D061A"/>
    <w:rsid w:val="001D06DE"/>
    <w:rsid w:val="001D0A97"/>
    <w:rsid w:val="001D0DDB"/>
    <w:rsid w:val="001D104A"/>
    <w:rsid w:val="001D14D2"/>
    <w:rsid w:val="001D2031"/>
    <w:rsid w:val="001D2216"/>
    <w:rsid w:val="001D2520"/>
    <w:rsid w:val="001D2706"/>
    <w:rsid w:val="001D2825"/>
    <w:rsid w:val="001D288E"/>
    <w:rsid w:val="001D2C8D"/>
    <w:rsid w:val="001D2FDF"/>
    <w:rsid w:val="001D3284"/>
    <w:rsid w:val="001D37AB"/>
    <w:rsid w:val="001D3840"/>
    <w:rsid w:val="001D3978"/>
    <w:rsid w:val="001D3BCE"/>
    <w:rsid w:val="001D3D27"/>
    <w:rsid w:val="001D3E85"/>
    <w:rsid w:val="001D4051"/>
    <w:rsid w:val="001D4439"/>
    <w:rsid w:val="001D4745"/>
    <w:rsid w:val="001D5359"/>
    <w:rsid w:val="001D5732"/>
    <w:rsid w:val="001D5811"/>
    <w:rsid w:val="001D5A1B"/>
    <w:rsid w:val="001D5BE0"/>
    <w:rsid w:val="001D5C44"/>
    <w:rsid w:val="001D5D25"/>
    <w:rsid w:val="001D5D96"/>
    <w:rsid w:val="001D5E90"/>
    <w:rsid w:val="001D6192"/>
    <w:rsid w:val="001D631F"/>
    <w:rsid w:val="001D67DE"/>
    <w:rsid w:val="001D6A4D"/>
    <w:rsid w:val="001D6EDC"/>
    <w:rsid w:val="001D71F7"/>
    <w:rsid w:val="001D73D3"/>
    <w:rsid w:val="001D74A8"/>
    <w:rsid w:val="001D7DBD"/>
    <w:rsid w:val="001D7FCF"/>
    <w:rsid w:val="001E059C"/>
    <w:rsid w:val="001E0735"/>
    <w:rsid w:val="001E0B71"/>
    <w:rsid w:val="001E0B85"/>
    <w:rsid w:val="001E0D84"/>
    <w:rsid w:val="001E1D47"/>
    <w:rsid w:val="001E1D73"/>
    <w:rsid w:val="001E277C"/>
    <w:rsid w:val="001E27E4"/>
    <w:rsid w:val="001E2881"/>
    <w:rsid w:val="001E29FF"/>
    <w:rsid w:val="001E2BD9"/>
    <w:rsid w:val="001E2CF3"/>
    <w:rsid w:val="001E3369"/>
    <w:rsid w:val="001E352B"/>
    <w:rsid w:val="001E37FC"/>
    <w:rsid w:val="001E3F4C"/>
    <w:rsid w:val="001E4016"/>
    <w:rsid w:val="001E4EF9"/>
    <w:rsid w:val="001E5B46"/>
    <w:rsid w:val="001E5D08"/>
    <w:rsid w:val="001E5F63"/>
    <w:rsid w:val="001E6D04"/>
    <w:rsid w:val="001E72E0"/>
    <w:rsid w:val="001E7C2F"/>
    <w:rsid w:val="001E7CE5"/>
    <w:rsid w:val="001F04F5"/>
    <w:rsid w:val="001F06D5"/>
    <w:rsid w:val="001F0C6F"/>
    <w:rsid w:val="001F0D28"/>
    <w:rsid w:val="001F0E85"/>
    <w:rsid w:val="001F10CC"/>
    <w:rsid w:val="001F11D4"/>
    <w:rsid w:val="001F1AD7"/>
    <w:rsid w:val="001F1F39"/>
    <w:rsid w:val="001F1F68"/>
    <w:rsid w:val="001F1FD7"/>
    <w:rsid w:val="001F2020"/>
    <w:rsid w:val="001F20D1"/>
    <w:rsid w:val="001F2545"/>
    <w:rsid w:val="001F25DE"/>
    <w:rsid w:val="001F29FA"/>
    <w:rsid w:val="001F2F8D"/>
    <w:rsid w:val="001F3204"/>
    <w:rsid w:val="001F3475"/>
    <w:rsid w:val="001F3575"/>
    <w:rsid w:val="001F3688"/>
    <w:rsid w:val="001F3820"/>
    <w:rsid w:val="001F39A2"/>
    <w:rsid w:val="001F3AC3"/>
    <w:rsid w:val="001F3AF9"/>
    <w:rsid w:val="001F3F8F"/>
    <w:rsid w:val="001F414A"/>
    <w:rsid w:val="001F4155"/>
    <w:rsid w:val="001F42E7"/>
    <w:rsid w:val="001F44E1"/>
    <w:rsid w:val="001F47A6"/>
    <w:rsid w:val="001F48BD"/>
    <w:rsid w:val="001F4CD8"/>
    <w:rsid w:val="001F50C9"/>
    <w:rsid w:val="001F55BD"/>
    <w:rsid w:val="001F5712"/>
    <w:rsid w:val="001F5FB7"/>
    <w:rsid w:val="001F6112"/>
    <w:rsid w:val="001F62A1"/>
    <w:rsid w:val="001F6840"/>
    <w:rsid w:val="001F69BD"/>
    <w:rsid w:val="001F6A54"/>
    <w:rsid w:val="001F7044"/>
    <w:rsid w:val="001F76DF"/>
    <w:rsid w:val="00200783"/>
    <w:rsid w:val="002009A7"/>
    <w:rsid w:val="00200B07"/>
    <w:rsid w:val="00200B2B"/>
    <w:rsid w:val="00200BCC"/>
    <w:rsid w:val="00200D69"/>
    <w:rsid w:val="00200E30"/>
    <w:rsid w:val="00200EE0"/>
    <w:rsid w:val="00202756"/>
    <w:rsid w:val="002028EE"/>
    <w:rsid w:val="00202B0E"/>
    <w:rsid w:val="00203612"/>
    <w:rsid w:val="00203A78"/>
    <w:rsid w:val="00203BD8"/>
    <w:rsid w:val="00203C09"/>
    <w:rsid w:val="00203E7A"/>
    <w:rsid w:val="00204342"/>
    <w:rsid w:val="00204C1E"/>
    <w:rsid w:val="00204E43"/>
    <w:rsid w:val="00205204"/>
    <w:rsid w:val="0020561A"/>
    <w:rsid w:val="0020562F"/>
    <w:rsid w:val="002057B9"/>
    <w:rsid w:val="00205889"/>
    <w:rsid w:val="00205AC5"/>
    <w:rsid w:val="00205EF0"/>
    <w:rsid w:val="002060ED"/>
    <w:rsid w:val="00206794"/>
    <w:rsid w:val="0020696D"/>
    <w:rsid w:val="00206C7D"/>
    <w:rsid w:val="00206D99"/>
    <w:rsid w:val="002075FB"/>
    <w:rsid w:val="0020769C"/>
    <w:rsid w:val="00210160"/>
    <w:rsid w:val="00210602"/>
    <w:rsid w:val="00210759"/>
    <w:rsid w:val="00210883"/>
    <w:rsid w:val="00211256"/>
    <w:rsid w:val="002118E1"/>
    <w:rsid w:val="00212043"/>
    <w:rsid w:val="002120D8"/>
    <w:rsid w:val="00212331"/>
    <w:rsid w:val="002128B7"/>
    <w:rsid w:val="00212B8D"/>
    <w:rsid w:val="00212CAB"/>
    <w:rsid w:val="002133FD"/>
    <w:rsid w:val="0021341D"/>
    <w:rsid w:val="0021379D"/>
    <w:rsid w:val="00213D01"/>
    <w:rsid w:val="00214005"/>
    <w:rsid w:val="002143F4"/>
    <w:rsid w:val="002148E5"/>
    <w:rsid w:val="00214BF8"/>
    <w:rsid w:val="0021508E"/>
    <w:rsid w:val="00215274"/>
    <w:rsid w:val="002153F9"/>
    <w:rsid w:val="0021561C"/>
    <w:rsid w:val="00215988"/>
    <w:rsid w:val="00215D4A"/>
    <w:rsid w:val="00215DB8"/>
    <w:rsid w:val="00215EA3"/>
    <w:rsid w:val="00216672"/>
    <w:rsid w:val="002168C1"/>
    <w:rsid w:val="00216CD4"/>
    <w:rsid w:val="00216E89"/>
    <w:rsid w:val="002171C5"/>
    <w:rsid w:val="00217276"/>
    <w:rsid w:val="0021765C"/>
    <w:rsid w:val="0021775B"/>
    <w:rsid w:val="0021786E"/>
    <w:rsid w:val="00217B38"/>
    <w:rsid w:val="00217D35"/>
    <w:rsid w:val="00220602"/>
    <w:rsid w:val="0022064F"/>
    <w:rsid w:val="00220761"/>
    <w:rsid w:val="00220ABD"/>
    <w:rsid w:val="00220BF7"/>
    <w:rsid w:val="002214AF"/>
    <w:rsid w:val="002214DE"/>
    <w:rsid w:val="00222059"/>
    <w:rsid w:val="0022237B"/>
    <w:rsid w:val="00222D90"/>
    <w:rsid w:val="00223776"/>
    <w:rsid w:val="00223ACA"/>
    <w:rsid w:val="00223D25"/>
    <w:rsid w:val="00224567"/>
    <w:rsid w:val="00224614"/>
    <w:rsid w:val="0022487A"/>
    <w:rsid w:val="00224A8D"/>
    <w:rsid w:val="00224B33"/>
    <w:rsid w:val="0022502D"/>
    <w:rsid w:val="00225146"/>
    <w:rsid w:val="00225936"/>
    <w:rsid w:val="002264C2"/>
    <w:rsid w:val="0022685E"/>
    <w:rsid w:val="00227036"/>
    <w:rsid w:val="0022728B"/>
    <w:rsid w:val="002273F7"/>
    <w:rsid w:val="00227436"/>
    <w:rsid w:val="0022786F"/>
    <w:rsid w:val="00230006"/>
    <w:rsid w:val="002301B3"/>
    <w:rsid w:val="00230582"/>
    <w:rsid w:val="002305D9"/>
    <w:rsid w:val="002307B3"/>
    <w:rsid w:val="00231856"/>
    <w:rsid w:val="00231F34"/>
    <w:rsid w:val="002325FA"/>
    <w:rsid w:val="00232CFB"/>
    <w:rsid w:val="0023322F"/>
    <w:rsid w:val="0023323D"/>
    <w:rsid w:val="002339F8"/>
    <w:rsid w:val="00233DB1"/>
    <w:rsid w:val="00233F47"/>
    <w:rsid w:val="00233F96"/>
    <w:rsid w:val="002343F8"/>
    <w:rsid w:val="002345BB"/>
    <w:rsid w:val="00234828"/>
    <w:rsid w:val="0023514B"/>
    <w:rsid w:val="00235350"/>
    <w:rsid w:val="00235CAE"/>
    <w:rsid w:val="002362D1"/>
    <w:rsid w:val="002367A2"/>
    <w:rsid w:val="00236DA8"/>
    <w:rsid w:val="00236E95"/>
    <w:rsid w:val="00237013"/>
    <w:rsid w:val="002370E3"/>
    <w:rsid w:val="002371B2"/>
    <w:rsid w:val="002373C8"/>
    <w:rsid w:val="0023742D"/>
    <w:rsid w:val="002374AB"/>
    <w:rsid w:val="002374CE"/>
    <w:rsid w:val="002379F4"/>
    <w:rsid w:val="00237D9E"/>
    <w:rsid w:val="00237FF8"/>
    <w:rsid w:val="0024013F"/>
    <w:rsid w:val="00240459"/>
    <w:rsid w:val="00240C71"/>
    <w:rsid w:val="00240DD5"/>
    <w:rsid w:val="002414E9"/>
    <w:rsid w:val="00241BBA"/>
    <w:rsid w:val="00241E6F"/>
    <w:rsid w:val="00241F14"/>
    <w:rsid w:val="00242280"/>
    <w:rsid w:val="00242A28"/>
    <w:rsid w:val="00242C21"/>
    <w:rsid w:val="00242CA9"/>
    <w:rsid w:val="00242CB6"/>
    <w:rsid w:val="00243648"/>
    <w:rsid w:val="002436A5"/>
    <w:rsid w:val="00243D28"/>
    <w:rsid w:val="00243DF5"/>
    <w:rsid w:val="00243FF4"/>
    <w:rsid w:val="002446AC"/>
    <w:rsid w:val="00244704"/>
    <w:rsid w:val="002448F7"/>
    <w:rsid w:val="00244E58"/>
    <w:rsid w:val="0024591D"/>
    <w:rsid w:val="00245A87"/>
    <w:rsid w:val="00245AA2"/>
    <w:rsid w:val="0024623C"/>
    <w:rsid w:val="002467A0"/>
    <w:rsid w:val="00246A39"/>
    <w:rsid w:val="00246C4B"/>
    <w:rsid w:val="002472CA"/>
    <w:rsid w:val="002476F0"/>
    <w:rsid w:val="00247B4F"/>
    <w:rsid w:val="00247E93"/>
    <w:rsid w:val="00250015"/>
    <w:rsid w:val="00250B84"/>
    <w:rsid w:val="00250C2F"/>
    <w:rsid w:val="0025109F"/>
    <w:rsid w:val="00251331"/>
    <w:rsid w:val="00251878"/>
    <w:rsid w:val="0025188D"/>
    <w:rsid w:val="002519DD"/>
    <w:rsid w:val="00251A9A"/>
    <w:rsid w:val="00251C8D"/>
    <w:rsid w:val="002526B9"/>
    <w:rsid w:val="00252CFA"/>
    <w:rsid w:val="00252D99"/>
    <w:rsid w:val="002530D4"/>
    <w:rsid w:val="00253640"/>
    <w:rsid w:val="002536DF"/>
    <w:rsid w:val="002539F5"/>
    <w:rsid w:val="00253D32"/>
    <w:rsid w:val="00254995"/>
    <w:rsid w:val="0025521D"/>
    <w:rsid w:val="002552CE"/>
    <w:rsid w:val="002553B0"/>
    <w:rsid w:val="00255845"/>
    <w:rsid w:val="0025590D"/>
    <w:rsid w:val="00255CDB"/>
    <w:rsid w:val="00255D27"/>
    <w:rsid w:val="002563E9"/>
    <w:rsid w:val="00256A90"/>
    <w:rsid w:val="00257269"/>
    <w:rsid w:val="00257374"/>
    <w:rsid w:val="00257576"/>
    <w:rsid w:val="00257688"/>
    <w:rsid w:val="00257ED8"/>
    <w:rsid w:val="00260249"/>
    <w:rsid w:val="002605F0"/>
    <w:rsid w:val="00260845"/>
    <w:rsid w:val="00260D05"/>
    <w:rsid w:val="002611B0"/>
    <w:rsid w:val="00261951"/>
    <w:rsid w:val="002621E5"/>
    <w:rsid w:val="0026228B"/>
    <w:rsid w:val="00262326"/>
    <w:rsid w:val="002627C3"/>
    <w:rsid w:val="00262E9C"/>
    <w:rsid w:val="00262E9E"/>
    <w:rsid w:val="00263A7D"/>
    <w:rsid w:val="00263E81"/>
    <w:rsid w:val="002641B3"/>
    <w:rsid w:val="0026446A"/>
    <w:rsid w:val="00264600"/>
    <w:rsid w:val="0026499A"/>
    <w:rsid w:val="00265134"/>
    <w:rsid w:val="0026529A"/>
    <w:rsid w:val="0026581B"/>
    <w:rsid w:val="00265CC9"/>
    <w:rsid w:val="00265DB9"/>
    <w:rsid w:val="00266168"/>
    <w:rsid w:val="0026625A"/>
    <w:rsid w:val="0026633D"/>
    <w:rsid w:val="002666C1"/>
    <w:rsid w:val="002669F9"/>
    <w:rsid w:val="00266E80"/>
    <w:rsid w:val="0026733B"/>
    <w:rsid w:val="002677B5"/>
    <w:rsid w:val="00267979"/>
    <w:rsid w:val="00267EA2"/>
    <w:rsid w:val="002707F6"/>
    <w:rsid w:val="002708E6"/>
    <w:rsid w:val="00270C5C"/>
    <w:rsid w:val="00271507"/>
    <w:rsid w:val="002725A5"/>
    <w:rsid w:val="00272AD9"/>
    <w:rsid w:val="00272BFE"/>
    <w:rsid w:val="00273021"/>
    <w:rsid w:val="002734FC"/>
    <w:rsid w:val="00273919"/>
    <w:rsid w:val="00273EC2"/>
    <w:rsid w:val="002744B4"/>
    <w:rsid w:val="00274813"/>
    <w:rsid w:val="00274AA9"/>
    <w:rsid w:val="00274B40"/>
    <w:rsid w:val="00275B89"/>
    <w:rsid w:val="00275F59"/>
    <w:rsid w:val="002763B7"/>
    <w:rsid w:val="00276439"/>
    <w:rsid w:val="00276693"/>
    <w:rsid w:val="0027695B"/>
    <w:rsid w:val="00276CAE"/>
    <w:rsid w:val="00276D86"/>
    <w:rsid w:val="00276EC3"/>
    <w:rsid w:val="00277333"/>
    <w:rsid w:val="002777E2"/>
    <w:rsid w:val="0027780A"/>
    <w:rsid w:val="002779DE"/>
    <w:rsid w:val="00277C39"/>
    <w:rsid w:val="0028039E"/>
    <w:rsid w:val="002803DE"/>
    <w:rsid w:val="0028078B"/>
    <w:rsid w:val="00280952"/>
    <w:rsid w:val="00280CE3"/>
    <w:rsid w:val="0028122E"/>
    <w:rsid w:val="0028129A"/>
    <w:rsid w:val="00281499"/>
    <w:rsid w:val="0028163A"/>
    <w:rsid w:val="00281912"/>
    <w:rsid w:val="00281C54"/>
    <w:rsid w:val="00281F9A"/>
    <w:rsid w:val="00282129"/>
    <w:rsid w:val="002825DE"/>
    <w:rsid w:val="0028269E"/>
    <w:rsid w:val="002827D6"/>
    <w:rsid w:val="00283152"/>
    <w:rsid w:val="002832FB"/>
    <w:rsid w:val="0028335A"/>
    <w:rsid w:val="002833FC"/>
    <w:rsid w:val="00283B78"/>
    <w:rsid w:val="00284135"/>
    <w:rsid w:val="0028442D"/>
    <w:rsid w:val="002844DB"/>
    <w:rsid w:val="0028476B"/>
    <w:rsid w:val="00284BBD"/>
    <w:rsid w:val="0028537C"/>
    <w:rsid w:val="0028564D"/>
    <w:rsid w:val="0028582C"/>
    <w:rsid w:val="00285846"/>
    <w:rsid w:val="0028589C"/>
    <w:rsid w:val="00285AE9"/>
    <w:rsid w:val="00285E44"/>
    <w:rsid w:val="00286075"/>
    <w:rsid w:val="0028651D"/>
    <w:rsid w:val="002868D6"/>
    <w:rsid w:val="0028690E"/>
    <w:rsid w:val="00286B26"/>
    <w:rsid w:val="00286EAE"/>
    <w:rsid w:val="00287518"/>
    <w:rsid w:val="0028755B"/>
    <w:rsid w:val="002877FF"/>
    <w:rsid w:val="0028786F"/>
    <w:rsid w:val="00287BEE"/>
    <w:rsid w:val="00290090"/>
    <w:rsid w:val="00290276"/>
    <w:rsid w:val="002907EC"/>
    <w:rsid w:val="00290907"/>
    <w:rsid w:val="002909AF"/>
    <w:rsid w:val="00290DE3"/>
    <w:rsid w:val="0029110F"/>
    <w:rsid w:val="00291111"/>
    <w:rsid w:val="0029139F"/>
    <w:rsid w:val="00291482"/>
    <w:rsid w:val="00291955"/>
    <w:rsid w:val="00291DA8"/>
    <w:rsid w:val="002922B6"/>
    <w:rsid w:val="0029278B"/>
    <w:rsid w:val="00292BF1"/>
    <w:rsid w:val="00292DC8"/>
    <w:rsid w:val="00292E38"/>
    <w:rsid w:val="00292E76"/>
    <w:rsid w:val="002931B0"/>
    <w:rsid w:val="00293475"/>
    <w:rsid w:val="0029387C"/>
    <w:rsid w:val="00293F38"/>
    <w:rsid w:val="002941F2"/>
    <w:rsid w:val="0029449A"/>
    <w:rsid w:val="00294609"/>
    <w:rsid w:val="00294A63"/>
    <w:rsid w:val="00294ABD"/>
    <w:rsid w:val="00294B94"/>
    <w:rsid w:val="00294C57"/>
    <w:rsid w:val="0029506E"/>
    <w:rsid w:val="0029542C"/>
    <w:rsid w:val="00295516"/>
    <w:rsid w:val="00295591"/>
    <w:rsid w:val="00295B96"/>
    <w:rsid w:val="00295E75"/>
    <w:rsid w:val="002963AD"/>
    <w:rsid w:val="0029686D"/>
    <w:rsid w:val="002968C1"/>
    <w:rsid w:val="00296C71"/>
    <w:rsid w:val="0029715B"/>
    <w:rsid w:val="00297192"/>
    <w:rsid w:val="00297627"/>
    <w:rsid w:val="00297DAE"/>
    <w:rsid w:val="00297DBC"/>
    <w:rsid w:val="002A0585"/>
    <w:rsid w:val="002A078B"/>
    <w:rsid w:val="002A0BCD"/>
    <w:rsid w:val="002A1698"/>
    <w:rsid w:val="002A16B7"/>
    <w:rsid w:val="002A1766"/>
    <w:rsid w:val="002A1D81"/>
    <w:rsid w:val="002A2089"/>
    <w:rsid w:val="002A2285"/>
    <w:rsid w:val="002A2790"/>
    <w:rsid w:val="002A2820"/>
    <w:rsid w:val="002A2A6C"/>
    <w:rsid w:val="002A2D6C"/>
    <w:rsid w:val="002A2E3D"/>
    <w:rsid w:val="002A2EAF"/>
    <w:rsid w:val="002A2FC3"/>
    <w:rsid w:val="002A359E"/>
    <w:rsid w:val="002A3AC7"/>
    <w:rsid w:val="002A3C39"/>
    <w:rsid w:val="002A3C96"/>
    <w:rsid w:val="002A4473"/>
    <w:rsid w:val="002A471E"/>
    <w:rsid w:val="002A4C67"/>
    <w:rsid w:val="002A4F0B"/>
    <w:rsid w:val="002A4F4F"/>
    <w:rsid w:val="002A511D"/>
    <w:rsid w:val="002A5186"/>
    <w:rsid w:val="002A51AF"/>
    <w:rsid w:val="002A525C"/>
    <w:rsid w:val="002A54AF"/>
    <w:rsid w:val="002A56AD"/>
    <w:rsid w:val="002A5903"/>
    <w:rsid w:val="002A5C27"/>
    <w:rsid w:val="002A5E0D"/>
    <w:rsid w:val="002A64B1"/>
    <w:rsid w:val="002A64EC"/>
    <w:rsid w:val="002A68BA"/>
    <w:rsid w:val="002A765D"/>
    <w:rsid w:val="002A7918"/>
    <w:rsid w:val="002B03D5"/>
    <w:rsid w:val="002B056A"/>
    <w:rsid w:val="002B105E"/>
    <w:rsid w:val="002B12B4"/>
    <w:rsid w:val="002B131E"/>
    <w:rsid w:val="002B145F"/>
    <w:rsid w:val="002B1776"/>
    <w:rsid w:val="002B1A95"/>
    <w:rsid w:val="002B1F0F"/>
    <w:rsid w:val="002B1F31"/>
    <w:rsid w:val="002B2067"/>
    <w:rsid w:val="002B29B5"/>
    <w:rsid w:val="002B2D26"/>
    <w:rsid w:val="002B39AF"/>
    <w:rsid w:val="002B3A4E"/>
    <w:rsid w:val="002B3F4A"/>
    <w:rsid w:val="002B4891"/>
    <w:rsid w:val="002B4914"/>
    <w:rsid w:val="002B49AF"/>
    <w:rsid w:val="002B4E90"/>
    <w:rsid w:val="002B52E0"/>
    <w:rsid w:val="002B5582"/>
    <w:rsid w:val="002B5584"/>
    <w:rsid w:val="002B55FA"/>
    <w:rsid w:val="002B5816"/>
    <w:rsid w:val="002B6670"/>
    <w:rsid w:val="002B673A"/>
    <w:rsid w:val="002B7815"/>
    <w:rsid w:val="002B7A18"/>
    <w:rsid w:val="002C03EF"/>
    <w:rsid w:val="002C090F"/>
    <w:rsid w:val="002C1155"/>
    <w:rsid w:val="002C115C"/>
    <w:rsid w:val="002C1CC5"/>
    <w:rsid w:val="002C213B"/>
    <w:rsid w:val="002C2439"/>
    <w:rsid w:val="002C2461"/>
    <w:rsid w:val="002C27E6"/>
    <w:rsid w:val="002C2AA8"/>
    <w:rsid w:val="002C2B59"/>
    <w:rsid w:val="002C2F77"/>
    <w:rsid w:val="002C33D2"/>
    <w:rsid w:val="002C34C4"/>
    <w:rsid w:val="002C3D9F"/>
    <w:rsid w:val="002C3F78"/>
    <w:rsid w:val="002C435D"/>
    <w:rsid w:val="002C47DB"/>
    <w:rsid w:val="002C482E"/>
    <w:rsid w:val="002C4BF5"/>
    <w:rsid w:val="002C5B7B"/>
    <w:rsid w:val="002C5C05"/>
    <w:rsid w:val="002C5CC5"/>
    <w:rsid w:val="002C5F63"/>
    <w:rsid w:val="002C6207"/>
    <w:rsid w:val="002C6F2C"/>
    <w:rsid w:val="002C6F9D"/>
    <w:rsid w:val="002C72A6"/>
    <w:rsid w:val="002C75B9"/>
    <w:rsid w:val="002C7E11"/>
    <w:rsid w:val="002D0119"/>
    <w:rsid w:val="002D0163"/>
    <w:rsid w:val="002D0700"/>
    <w:rsid w:val="002D0B63"/>
    <w:rsid w:val="002D0EC2"/>
    <w:rsid w:val="002D10C8"/>
    <w:rsid w:val="002D12D8"/>
    <w:rsid w:val="002D15A7"/>
    <w:rsid w:val="002D16A0"/>
    <w:rsid w:val="002D27CA"/>
    <w:rsid w:val="002D2975"/>
    <w:rsid w:val="002D2EBF"/>
    <w:rsid w:val="002D3198"/>
    <w:rsid w:val="002D322A"/>
    <w:rsid w:val="002D33F7"/>
    <w:rsid w:val="002D341B"/>
    <w:rsid w:val="002D36E5"/>
    <w:rsid w:val="002D3798"/>
    <w:rsid w:val="002D37F2"/>
    <w:rsid w:val="002D3B1C"/>
    <w:rsid w:val="002D3B9B"/>
    <w:rsid w:val="002D3D11"/>
    <w:rsid w:val="002D3FC2"/>
    <w:rsid w:val="002D47F6"/>
    <w:rsid w:val="002D49F9"/>
    <w:rsid w:val="002D4C11"/>
    <w:rsid w:val="002D4CE5"/>
    <w:rsid w:val="002D4E06"/>
    <w:rsid w:val="002D514D"/>
    <w:rsid w:val="002D51AC"/>
    <w:rsid w:val="002D547B"/>
    <w:rsid w:val="002D5945"/>
    <w:rsid w:val="002D5F34"/>
    <w:rsid w:val="002D5FD1"/>
    <w:rsid w:val="002D60FF"/>
    <w:rsid w:val="002D6366"/>
    <w:rsid w:val="002D68D2"/>
    <w:rsid w:val="002D6C48"/>
    <w:rsid w:val="002D6FEE"/>
    <w:rsid w:val="002D7079"/>
    <w:rsid w:val="002D726D"/>
    <w:rsid w:val="002D75EC"/>
    <w:rsid w:val="002D775A"/>
    <w:rsid w:val="002D77B8"/>
    <w:rsid w:val="002D783E"/>
    <w:rsid w:val="002D7C68"/>
    <w:rsid w:val="002E0EA4"/>
    <w:rsid w:val="002E198C"/>
    <w:rsid w:val="002E20D0"/>
    <w:rsid w:val="002E2CCD"/>
    <w:rsid w:val="002E2CE9"/>
    <w:rsid w:val="002E2F4D"/>
    <w:rsid w:val="002E300E"/>
    <w:rsid w:val="002E32A7"/>
    <w:rsid w:val="002E32B2"/>
    <w:rsid w:val="002E3DC6"/>
    <w:rsid w:val="002E3EC3"/>
    <w:rsid w:val="002E4031"/>
    <w:rsid w:val="002E4109"/>
    <w:rsid w:val="002E428E"/>
    <w:rsid w:val="002E4297"/>
    <w:rsid w:val="002E4F62"/>
    <w:rsid w:val="002E62D1"/>
    <w:rsid w:val="002E669F"/>
    <w:rsid w:val="002E6980"/>
    <w:rsid w:val="002E6BEC"/>
    <w:rsid w:val="002E6D1A"/>
    <w:rsid w:val="002E7358"/>
    <w:rsid w:val="002E7580"/>
    <w:rsid w:val="002E7666"/>
    <w:rsid w:val="002E7935"/>
    <w:rsid w:val="002E7BFF"/>
    <w:rsid w:val="002E7EFB"/>
    <w:rsid w:val="002F0638"/>
    <w:rsid w:val="002F07C7"/>
    <w:rsid w:val="002F0872"/>
    <w:rsid w:val="002F0D86"/>
    <w:rsid w:val="002F11C4"/>
    <w:rsid w:val="002F17BF"/>
    <w:rsid w:val="002F17E8"/>
    <w:rsid w:val="002F1ADB"/>
    <w:rsid w:val="002F1C19"/>
    <w:rsid w:val="002F1D4D"/>
    <w:rsid w:val="002F1ED3"/>
    <w:rsid w:val="002F207E"/>
    <w:rsid w:val="002F21C8"/>
    <w:rsid w:val="002F2528"/>
    <w:rsid w:val="002F27CA"/>
    <w:rsid w:val="002F3125"/>
    <w:rsid w:val="002F31BD"/>
    <w:rsid w:val="002F34F3"/>
    <w:rsid w:val="002F35DE"/>
    <w:rsid w:val="002F3A3B"/>
    <w:rsid w:val="002F3B39"/>
    <w:rsid w:val="002F40AB"/>
    <w:rsid w:val="002F4133"/>
    <w:rsid w:val="002F4664"/>
    <w:rsid w:val="002F4678"/>
    <w:rsid w:val="002F4FEA"/>
    <w:rsid w:val="002F521F"/>
    <w:rsid w:val="002F536D"/>
    <w:rsid w:val="002F5400"/>
    <w:rsid w:val="002F564D"/>
    <w:rsid w:val="002F56B6"/>
    <w:rsid w:val="002F58F4"/>
    <w:rsid w:val="002F5EB7"/>
    <w:rsid w:val="002F6073"/>
    <w:rsid w:val="002F6203"/>
    <w:rsid w:val="002F6AE6"/>
    <w:rsid w:val="002F7105"/>
    <w:rsid w:val="002F73FB"/>
    <w:rsid w:val="002F7C71"/>
    <w:rsid w:val="002F7CDC"/>
    <w:rsid w:val="002F7FE6"/>
    <w:rsid w:val="003003E2"/>
    <w:rsid w:val="00300825"/>
    <w:rsid w:val="00300A9D"/>
    <w:rsid w:val="00301134"/>
    <w:rsid w:val="0030127C"/>
    <w:rsid w:val="00301AB8"/>
    <w:rsid w:val="00301B4D"/>
    <w:rsid w:val="003029AC"/>
    <w:rsid w:val="00302C1B"/>
    <w:rsid w:val="00302E65"/>
    <w:rsid w:val="00303304"/>
    <w:rsid w:val="00303767"/>
    <w:rsid w:val="0030379B"/>
    <w:rsid w:val="00303A35"/>
    <w:rsid w:val="00304018"/>
    <w:rsid w:val="0030423B"/>
    <w:rsid w:val="003046F4"/>
    <w:rsid w:val="00304C82"/>
    <w:rsid w:val="00304CA8"/>
    <w:rsid w:val="00304F97"/>
    <w:rsid w:val="0030522F"/>
    <w:rsid w:val="003052B7"/>
    <w:rsid w:val="00305731"/>
    <w:rsid w:val="00305B44"/>
    <w:rsid w:val="00306265"/>
    <w:rsid w:val="00306300"/>
    <w:rsid w:val="00307168"/>
    <w:rsid w:val="003071F8"/>
    <w:rsid w:val="003072F8"/>
    <w:rsid w:val="0030753F"/>
    <w:rsid w:val="0030758C"/>
    <w:rsid w:val="00307C13"/>
    <w:rsid w:val="00307C9B"/>
    <w:rsid w:val="00310040"/>
    <w:rsid w:val="0031098D"/>
    <w:rsid w:val="00310E73"/>
    <w:rsid w:val="00311074"/>
    <w:rsid w:val="003111CF"/>
    <w:rsid w:val="0031125F"/>
    <w:rsid w:val="00311632"/>
    <w:rsid w:val="003118F9"/>
    <w:rsid w:val="003121C9"/>
    <w:rsid w:val="0031220F"/>
    <w:rsid w:val="0031223B"/>
    <w:rsid w:val="00312309"/>
    <w:rsid w:val="0031246B"/>
    <w:rsid w:val="00312745"/>
    <w:rsid w:val="00312AEE"/>
    <w:rsid w:val="00312E49"/>
    <w:rsid w:val="00312FEE"/>
    <w:rsid w:val="003131E4"/>
    <w:rsid w:val="003135DA"/>
    <w:rsid w:val="00313990"/>
    <w:rsid w:val="00313B10"/>
    <w:rsid w:val="00313B28"/>
    <w:rsid w:val="003143AC"/>
    <w:rsid w:val="00314B7E"/>
    <w:rsid w:val="00314BE9"/>
    <w:rsid w:val="00315865"/>
    <w:rsid w:val="00315D5A"/>
    <w:rsid w:val="00316024"/>
    <w:rsid w:val="00316467"/>
    <w:rsid w:val="00316610"/>
    <w:rsid w:val="0031670A"/>
    <w:rsid w:val="00316905"/>
    <w:rsid w:val="00316A70"/>
    <w:rsid w:val="00316B0A"/>
    <w:rsid w:val="00316BA4"/>
    <w:rsid w:val="00316C63"/>
    <w:rsid w:val="00316E4C"/>
    <w:rsid w:val="0031747C"/>
    <w:rsid w:val="00317862"/>
    <w:rsid w:val="00317E00"/>
    <w:rsid w:val="00320195"/>
    <w:rsid w:val="0032024D"/>
    <w:rsid w:val="0032057C"/>
    <w:rsid w:val="00320589"/>
    <w:rsid w:val="0032081B"/>
    <w:rsid w:val="00320B38"/>
    <w:rsid w:val="00320B4C"/>
    <w:rsid w:val="003210DA"/>
    <w:rsid w:val="00321212"/>
    <w:rsid w:val="003216A3"/>
    <w:rsid w:val="0032181B"/>
    <w:rsid w:val="00321ECD"/>
    <w:rsid w:val="00321FFE"/>
    <w:rsid w:val="003220D3"/>
    <w:rsid w:val="0032223F"/>
    <w:rsid w:val="00322DCB"/>
    <w:rsid w:val="00323125"/>
    <w:rsid w:val="003233F1"/>
    <w:rsid w:val="00323731"/>
    <w:rsid w:val="0032375F"/>
    <w:rsid w:val="00323873"/>
    <w:rsid w:val="0032395A"/>
    <w:rsid w:val="00323B22"/>
    <w:rsid w:val="00323D72"/>
    <w:rsid w:val="00323ED8"/>
    <w:rsid w:val="003246CD"/>
    <w:rsid w:val="00325890"/>
    <w:rsid w:val="00325B81"/>
    <w:rsid w:val="00325CCF"/>
    <w:rsid w:val="003266D1"/>
    <w:rsid w:val="00326755"/>
    <w:rsid w:val="00326871"/>
    <w:rsid w:val="00326920"/>
    <w:rsid w:val="003272A2"/>
    <w:rsid w:val="0032732E"/>
    <w:rsid w:val="0032783F"/>
    <w:rsid w:val="003303FE"/>
    <w:rsid w:val="0033067C"/>
    <w:rsid w:val="00330C86"/>
    <w:rsid w:val="0033103A"/>
    <w:rsid w:val="003315B9"/>
    <w:rsid w:val="00331607"/>
    <w:rsid w:val="0033165B"/>
    <w:rsid w:val="003316E3"/>
    <w:rsid w:val="00331C22"/>
    <w:rsid w:val="00331C5C"/>
    <w:rsid w:val="00332124"/>
    <w:rsid w:val="00332238"/>
    <w:rsid w:val="0033269D"/>
    <w:rsid w:val="003327E2"/>
    <w:rsid w:val="003328D5"/>
    <w:rsid w:val="0033366A"/>
    <w:rsid w:val="00333739"/>
    <w:rsid w:val="003337CB"/>
    <w:rsid w:val="00333A95"/>
    <w:rsid w:val="00333AF5"/>
    <w:rsid w:val="00333CFC"/>
    <w:rsid w:val="003349CD"/>
    <w:rsid w:val="00335723"/>
    <w:rsid w:val="00335BFA"/>
    <w:rsid w:val="00335E03"/>
    <w:rsid w:val="00335FF0"/>
    <w:rsid w:val="00335FFC"/>
    <w:rsid w:val="00336304"/>
    <w:rsid w:val="0033699E"/>
    <w:rsid w:val="00336CA2"/>
    <w:rsid w:val="0033717C"/>
    <w:rsid w:val="003371F9"/>
    <w:rsid w:val="0033722F"/>
    <w:rsid w:val="0033725F"/>
    <w:rsid w:val="0033729E"/>
    <w:rsid w:val="003374AD"/>
    <w:rsid w:val="00337BE5"/>
    <w:rsid w:val="003406F6"/>
    <w:rsid w:val="00340BD5"/>
    <w:rsid w:val="00341348"/>
    <w:rsid w:val="003414A4"/>
    <w:rsid w:val="003417AE"/>
    <w:rsid w:val="00342CC3"/>
    <w:rsid w:val="00343205"/>
    <w:rsid w:val="003435D3"/>
    <w:rsid w:val="003439AE"/>
    <w:rsid w:val="003441B2"/>
    <w:rsid w:val="00344257"/>
    <w:rsid w:val="003442CD"/>
    <w:rsid w:val="00344960"/>
    <w:rsid w:val="00344E40"/>
    <w:rsid w:val="00344F4E"/>
    <w:rsid w:val="0034509D"/>
    <w:rsid w:val="003453BA"/>
    <w:rsid w:val="003457A2"/>
    <w:rsid w:val="00346250"/>
    <w:rsid w:val="00346275"/>
    <w:rsid w:val="003462FE"/>
    <w:rsid w:val="00346744"/>
    <w:rsid w:val="003474C6"/>
    <w:rsid w:val="003477CB"/>
    <w:rsid w:val="003501E6"/>
    <w:rsid w:val="0035036E"/>
    <w:rsid w:val="003507DD"/>
    <w:rsid w:val="00350EA6"/>
    <w:rsid w:val="00350F6B"/>
    <w:rsid w:val="0035102A"/>
    <w:rsid w:val="003511F9"/>
    <w:rsid w:val="00351555"/>
    <w:rsid w:val="00351FBD"/>
    <w:rsid w:val="003520A0"/>
    <w:rsid w:val="003523A4"/>
    <w:rsid w:val="00352715"/>
    <w:rsid w:val="003527EC"/>
    <w:rsid w:val="003529CF"/>
    <w:rsid w:val="003529F1"/>
    <w:rsid w:val="00352E54"/>
    <w:rsid w:val="003536F4"/>
    <w:rsid w:val="003537BF"/>
    <w:rsid w:val="003537C2"/>
    <w:rsid w:val="00353859"/>
    <w:rsid w:val="00354340"/>
    <w:rsid w:val="003543C0"/>
    <w:rsid w:val="003549FD"/>
    <w:rsid w:val="00354BC1"/>
    <w:rsid w:val="00354DB0"/>
    <w:rsid w:val="00354DDC"/>
    <w:rsid w:val="00354FFB"/>
    <w:rsid w:val="00355104"/>
    <w:rsid w:val="0035512C"/>
    <w:rsid w:val="00355AAF"/>
    <w:rsid w:val="00356831"/>
    <w:rsid w:val="00357689"/>
    <w:rsid w:val="00357D1E"/>
    <w:rsid w:val="00357E8B"/>
    <w:rsid w:val="00357F09"/>
    <w:rsid w:val="00360739"/>
    <w:rsid w:val="003609FE"/>
    <w:rsid w:val="00360BE4"/>
    <w:rsid w:val="00360BFE"/>
    <w:rsid w:val="00361103"/>
    <w:rsid w:val="003613CA"/>
    <w:rsid w:val="00361A98"/>
    <w:rsid w:val="00361EB1"/>
    <w:rsid w:val="0036271F"/>
    <w:rsid w:val="003634FF"/>
    <w:rsid w:val="003636FD"/>
    <w:rsid w:val="00363765"/>
    <w:rsid w:val="00363840"/>
    <w:rsid w:val="00363A6C"/>
    <w:rsid w:val="00363AC7"/>
    <w:rsid w:val="003645BC"/>
    <w:rsid w:val="003646E1"/>
    <w:rsid w:val="00364792"/>
    <w:rsid w:val="003647EE"/>
    <w:rsid w:val="00364A1F"/>
    <w:rsid w:val="00364E7E"/>
    <w:rsid w:val="00364F69"/>
    <w:rsid w:val="003652D0"/>
    <w:rsid w:val="003659EB"/>
    <w:rsid w:val="00365AAF"/>
    <w:rsid w:val="00365D46"/>
    <w:rsid w:val="00365D76"/>
    <w:rsid w:val="0036680A"/>
    <w:rsid w:val="00366823"/>
    <w:rsid w:val="00366910"/>
    <w:rsid w:val="00366951"/>
    <w:rsid w:val="00366A04"/>
    <w:rsid w:val="00366CA0"/>
    <w:rsid w:val="00366EB1"/>
    <w:rsid w:val="00366F1C"/>
    <w:rsid w:val="00367040"/>
    <w:rsid w:val="0036730D"/>
    <w:rsid w:val="00367408"/>
    <w:rsid w:val="0036769D"/>
    <w:rsid w:val="003676F5"/>
    <w:rsid w:val="00367E6D"/>
    <w:rsid w:val="00370047"/>
    <w:rsid w:val="00370275"/>
    <w:rsid w:val="0037052E"/>
    <w:rsid w:val="003705D6"/>
    <w:rsid w:val="0037071C"/>
    <w:rsid w:val="00370BD4"/>
    <w:rsid w:val="00371123"/>
    <w:rsid w:val="003725CC"/>
    <w:rsid w:val="003728E4"/>
    <w:rsid w:val="00372B97"/>
    <w:rsid w:val="003730BE"/>
    <w:rsid w:val="00373562"/>
    <w:rsid w:val="003737BC"/>
    <w:rsid w:val="00373EBB"/>
    <w:rsid w:val="00373F52"/>
    <w:rsid w:val="00374881"/>
    <w:rsid w:val="00374A3B"/>
    <w:rsid w:val="00375335"/>
    <w:rsid w:val="00375673"/>
    <w:rsid w:val="00375803"/>
    <w:rsid w:val="0037587D"/>
    <w:rsid w:val="00375E1D"/>
    <w:rsid w:val="003760B7"/>
    <w:rsid w:val="00376C44"/>
    <w:rsid w:val="00376DA1"/>
    <w:rsid w:val="003773DB"/>
    <w:rsid w:val="00377819"/>
    <w:rsid w:val="003778DF"/>
    <w:rsid w:val="0038029F"/>
    <w:rsid w:val="003805A8"/>
    <w:rsid w:val="0038077C"/>
    <w:rsid w:val="00380ACC"/>
    <w:rsid w:val="00380C49"/>
    <w:rsid w:val="00381318"/>
    <w:rsid w:val="0038167F"/>
    <w:rsid w:val="00381ABE"/>
    <w:rsid w:val="00381DB8"/>
    <w:rsid w:val="00381E05"/>
    <w:rsid w:val="00382083"/>
    <w:rsid w:val="00382205"/>
    <w:rsid w:val="0038249A"/>
    <w:rsid w:val="00382709"/>
    <w:rsid w:val="0038277F"/>
    <w:rsid w:val="003828D2"/>
    <w:rsid w:val="003834C2"/>
    <w:rsid w:val="00383795"/>
    <w:rsid w:val="00383EEC"/>
    <w:rsid w:val="0038406D"/>
    <w:rsid w:val="003842AF"/>
    <w:rsid w:val="003843A2"/>
    <w:rsid w:val="00384726"/>
    <w:rsid w:val="003849EE"/>
    <w:rsid w:val="00384F4C"/>
    <w:rsid w:val="003850BE"/>
    <w:rsid w:val="0038530F"/>
    <w:rsid w:val="00385374"/>
    <w:rsid w:val="003855D7"/>
    <w:rsid w:val="00385BBF"/>
    <w:rsid w:val="00385E5C"/>
    <w:rsid w:val="00386590"/>
    <w:rsid w:val="003866AD"/>
    <w:rsid w:val="00386A05"/>
    <w:rsid w:val="00386E7F"/>
    <w:rsid w:val="00387640"/>
    <w:rsid w:val="0038772C"/>
    <w:rsid w:val="0038787E"/>
    <w:rsid w:val="003879A6"/>
    <w:rsid w:val="00387AF4"/>
    <w:rsid w:val="00387B9D"/>
    <w:rsid w:val="00387E18"/>
    <w:rsid w:val="0039035E"/>
    <w:rsid w:val="0039037B"/>
    <w:rsid w:val="003909DD"/>
    <w:rsid w:val="00390A21"/>
    <w:rsid w:val="00390DC1"/>
    <w:rsid w:val="00390DC7"/>
    <w:rsid w:val="00390ED3"/>
    <w:rsid w:val="003912F1"/>
    <w:rsid w:val="003913B1"/>
    <w:rsid w:val="00391868"/>
    <w:rsid w:val="00391BC2"/>
    <w:rsid w:val="00391F5B"/>
    <w:rsid w:val="00392039"/>
    <w:rsid w:val="003924D9"/>
    <w:rsid w:val="00392AE7"/>
    <w:rsid w:val="00392C94"/>
    <w:rsid w:val="003934CE"/>
    <w:rsid w:val="003944C1"/>
    <w:rsid w:val="003944D8"/>
    <w:rsid w:val="0039488A"/>
    <w:rsid w:val="00394BEA"/>
    <w:rsid w:val="00394C01"/>
    <w:rsid w:val="00394C27"/>
    <w:rsid w:val="00394C45"/>
    <w:rsid w:val="0039501E"/>
    <w:rsid w:val="00395779"/>
    <w:rsid w:val="003959C0"/>
    <w:rsid w:val="00395B30"/>
    <w:rsid w:val="00395C17"/>
    <w:rsid w:val="00395D18"/>
    <w:rsid w:val="00395EB9"/>
    <w:rsid w:val="003965FD"/>
    <w:rsid w:val="0039673D"/>
    <w:rsid w:val="00396EA9"/>
    <w:rsid w:val="00396F42"/>
    <w:rsid w:val="00396FFB"/>
    <w:rsid w:val="0039778C"/>
    <w:rsid w:val="003A0279"/>
    <w:rsid w:val="003A034F"/>
    <w:rsid w:val="003A0A30"/>
    <w:rsid w:val="003A0AA4"/>
    <w:rsid w:val="003A0D1E"/>
    <w:rsid w:val="003A14A7"/>
    <w:rsid w:val="003A1689"/>
    <w:rsid w:val="003A1760"/>
    <w:rsid w:val="003A192E"/>
    <w:rsid w:val="003A1B3E"/>
    <w:rsid w:val="003A206B"/>
    <w:rsid w:val="003A226E"/>
    <w:rsid w:val="003A230A"/>
    <w:rsid w:val="003A2675"/>
    <w:rsid w:val="003A2D51"/>
    <w:rsid w:val="003A2F5C"/>
    <w:rsid w:val="003A2FD3"/>
    <w:rsid w:val="003A3035"/>
    <w:rsid w:val="003A3083"/>
    <w:rsid w:val="003A35CB"/>
    <w:rsid w:val="003A3BDE"/>
    <w:rsid w:val="003A4261"/>
    <w:rsid w:val="003A478B"/>
    <w:rsid w:val="003A4A3A"/>
    <w:rsid w:val="003A4DB5"/>
    <w:rsid w:val="003A4EE9"/>
    <w:rsid w:val="003A4FFB"/>
    <w:rsid w:val="003A50C9"/>
    <w:rsid w:val="003A5181"/>
    <w:rsid w:val="003A5A4E"/>
    <w:rsid w:val="003A5A6D"/>
    <w:rsid w:val="003A5C24"/>
    <w:rsid w:val="003A5F06"/>
    <w:rsid w:val="003A5FE1"/>
    <w:rsid w:val="003A6037"/>
    <w:rsid w:val="003A63C0"/>
    <w:rsid w:val="003A64BE"/>
    <w:rsid w:val="003A6549"/>
    <w:rsid w:val="003A65FE"/>
    <w:rsid w:val="003A6876"/>
    <w:rsid w:val="003A6A36"/>
    <w:rsid w:val="003A6E3D"/>
    <w:rsid w:val="003A7036"/>
    <w:rsid w:val="003A74C2"/>
    <w:rsid w:val="003A7A00"/>
    <w:rsid w:val="003B029C"/>
    <w:rsid w:val="003B02E1"/>
    <w:rsid w:val="003B0B29"/>
    <w:rsid w:val="003B0D39"/>
    <w:rsid w:val="003B1066"/>
    <w:rsid w:val="003B121C"/>
    <w:rsid w:val="003B12FE"/>
    <w:rsid w:val="003B1C57"/>
    <w:rsid w:val="003B229D"/>
    <w:rsid w:val="003B26EF"/>
    <w:rsid w:val="003B29F5"/>
    <w:rsid w:val="003B2BE4"/>
    <w:rsid w:val="003B2C0F"/>
    <w:rsid w:val="003B31E3"/>
    <w:rsid w:val="003B3246"/>
    <w:rsid w:val="003B3A77"/>
    <w:rsid w:val="003B415B"/>
    <w:rsid w:val="003B41C5"/>
    <w:rsid w:val="003B43A9"/>
    <w:rsid w:val="003B44EA"/>
    <w:rsid w:val="003B4699"/>
    <w:rsid w:val="003B48A2"/>
    <w:rsid w:val="003B48E3"/>
    <w:rsid w:val="003B4BA5"/>
    <w:rsid w:val="003B4C5C"/>
    <w:rsid w:val="003B4DEF"/>
    <w:rsid w:val="003B4E59"/>
    <w:rsid w:val="003B5063"/>
    <w:rsid w:val="003B5462"/>
    <w:rsid w:val="003B5611"/>
    <w:rsid w:val="003B57B3"/>
    <w:rsid w:val="003B649C"/>
    <w:rsid w:val="003B68C7"/>
    <w:rsid w:val="003B690B"/>
    <w:rsid w:val="003B6A7F"/>
    <w:rsid w:val="003B6C07"/>
    <w:rsid w:val="003B6DAB"/>
    <w:rsid w:val="003B77E3"/>
    <w:rsid w:val="003C0775"/>
    <w:rsid w:val="003C08F9"/>
    <w:rsid w:val="003C0C66"/>
    <w:rsid w:val="003C111F"/>
    <w:rsid w:val="003C113D"/>
    <w:rsid w:val="003C1255"/>
    <w:rsid w:val="003C135E"/>
    <w:rsid w:val="003C24BC"/>
    <w:rsid w:val="003C2B0B"/>
    <w:rsid w:val="003C3077"/>
    <w:rsid w:val="003C32FD"/>
    <w:rsid w:val="003C3B04"/>
    <w:rsid w:val="003C3D54"/>
    <w:rsid w:val="003C41C8"/>
    <w:rsid w:val="003C437B"/>
    <w:rsid w:val="003C4719"/>
    <w:rsid w:val="003C4757"/>
    <w:rsid w:val="003C4CBE"/>
    <w:rsid w:val="003C5504"/>
    <w:rsid w:val="003C55CF"/>
    <w:rsid w:val="003C55D4"/>
    <w:rsid w:val="003C5985"/>
    <w:rsid w:val="003C5A2E"/>
    <w:rsid w:val="003C6008"/>
    <w:rsid w:val="003C6467"/>
    <w:rsid w:val="003C64D4"/>
    <w:rsid w:val="003C6520"/>
    <w:rsid w:val="003C656F"/>
    <w:rsid w:val="003C6654"/>
    <w:rsid w:val="003C6837"/>
    <w:rsid w:val="003C685A"/>
    <w:rsid w:val="003C6B88"/>
    <w:rsid w:val="003C729B"/>
    <w:rsid w:val="003C7884"/>
    <w:rsid w:val="003C7DD8"/>
    <w:rsid w:val="003D06DE"/>
    <w:rsid w:val="003D0759"/>
    <w:rsid w:val="003D08DE"/>
    <w:rsid w:val="003D0C8F"/>
    <w:rsid w:val="003D0D34"/>
    <w:rsid w:val="003D110A"/>
    <w:rsid w:val="003D1118"/>
    <w:rsid w:val="003D1241"/>
    <w:rsid w:val="003D192C"/>
    <w:rsid w:val="003D1D6B"/>
    <w:rsid w:val="003D1E41"/>
    <w:rsid w:val="003D2202"/>
    <w:rsid w:val="003D25E3"/>
    <w:rsid w:val="003D27BE"/>
    <w:rsid w:val="003D2953"/>
    <w:rsid w:val="003D2BBE"/>
    <w:rsid w:val="003D3902"/>
    <w:rsid w:val="003D3905"/>
    <w:rsid w:val="003D3BB2"/>
    <w:rsid w:val="003D3D08"/>
    <w:rsid w:val="003D4539"/>
    <w:rsid w:val="003D460A"/>
    <w:rsid w:val="003D46B4"/>
    <w:rsid w:val="003D47B6"/>
    <w:rsid w:val="003D4AF9"/>
    <w:rsid w:val="003D4D78"/>
    <w:rsid w:val="003D4D8D"/>
    <w:rsid w:val="003D54E6"/>
    <w:rsid w:val="003D55CF"/>
    <w:rsid w:val="003D5A6E"/>
    <w:rsid w:val="003D5A86"/>
    <w:rsid w:val="003D5BE6"/>
    <w:rsid w:val="003D612F"/>
    <w:rsid w:val="003D620C"/>
    <w:rsid w:val="003D6536"/>
    <w:rsid w:val="003D6BE9"/>
    <w:rsid w:val="003D6D46"/>
    <w:rsid w:val="003D728F"/>
    <w:rsid w:val="003D72F9"/>
    <w:rsid w:val="003D74B1"/>
    <w:rsid w:val="003E00FC"/>
    <w:rsid w:val="003E0306"/>
    <w:rsid w:val="003E084A"/>
    <w:rsid w:val="003E1518"/>
    <w:rsid w:val="003E15E8"/>
    <w:rsid w:val="003E187D"/>
    <w:rsid w:val="003E1C43"/>
    <w:rsid w:val="003E210A"/>
    <w:rsid w:val="003E2368"/>
    <w:rsid w:val="003E2375"/>
    <w:rsid w:val="003E243C"/>
    <w:rsid w:val="003E2582"/>
    <w:rsid w:val="003E2B90"/>
    <w:rsid w:val="003E2BC7"/>
    <w:rsid w:val="003E2E5B"/>
    <w:rsid w:val="003E3151"/>
    <w:rsid w:val="003E333B"/>
    <w:rsid w:val="003E3422"/>
    <w:rsid w:val="003E380F"/>
    <w:rsid w:val="003E3BAA"/>
    <w:rsid w:val="003E3BE4"/>
    <w:rsid w:val="003E3C63"/>
    <w:rsid w:val="003E3F5E"/>
    <w:rsid w:val="003E3F89"/>
    <w:rsid w:val="003E4331"/>
    <w:rsid w:val="003E4A20"/>
    <w:rsid w:val="003E4B6C"/>
    <w:rsid w:val="003E509A"/>
    <w:rsid w:val="003E52B8"/>
    <w:rsid w:val="003E58C6"/>
    <w:rsid w:val="003E5E15"/>
    <w:rsid w:val="003E5E1D"/>
    <w:rsid w:val="003E678B"/>
    <w:rsid w:val="003E6C57"/>
    <w:rsid w:val="003E6C8A"/>
    <w:rsid w:val="003E71C5"/>
    <w:rsid w:val="003E765E"/>
    <w:rsid w:val="003E776C"/>
    <w:rsid w:val="003E79BF"/>
    <w:rsid w:val="003E7B11"/>
    <w:rsid w:val="003E7C78"/>
    <w:rsid w:val="003E7FCC"/>
    <w:rsid w:val="003F04CC"/>
    <w:rsid w:val="003F0780"/>
    <w:rsid w:val="003F09D3"/>
    <w:rsid w:val="003F0B29"/>
    <w:rsid w:val="003F0D77"/>
    <w:rsid w:val="003F0FED"/>
    <w:rsid w:val="003F19FB"/>
    <w:rsid w:val="003F2866"/>
    <w:rsid w:val="003F29DA"/>
    <w:rsid w:val="003F310F"/>
    <w:rsid w:val="003F31EE"/>
    <w:rsid w:val="003F34BE"/>
    <w:rsid w:val="003F367D"/>
    <w:rsid w:val="003F3705"/>
    <w:rsid w:val="003F3801"/>
    <w:rsid w:val="003F3C35"/>
    <w:rsid w:val="003F3CC2"/>
    <w:rsid w:val="003F3D8C"/>
    <w:rsid w:val="003F3F2D"/>
    <w:rsid w:val="003F40AC"/>
    <w:rsid w:val="003F4858"/>
    <w:rsid w:val="003F4B9A"/>
    <w:rsid w:val="003F4DFD"/>
    <w:rsid w:val="003F5394"/>
    <w:rsid w:val="003F5423"/>
    <w:rsid w:val="003F55D7"/>
    <w:rsid w:val="003F579D"/>
    <w:rsid w:val="003F58A4"/>
    <w:rsid w:val="003F5A8C"/>
    <w:rsid w:val="003F603B"/>
    <w:rsid w:val="003F6F89"/>
    <w:rsid w:val="003F77AC"/>
    <w:rsid w:val="00400189"/>
    <w:rsid w:val="0040041E"/>
    <w:rsid w:val="004006B7"/>
    <w:rsid w:val="00400C50"/>
    <w:rsid w:val="00400EB6"/>
    <w:rsid w:val="00401110"/>
    <w:rsid w:val="00401547"/>
    <w:rsid w:val="004018F0"/>
    <w:rsid w:val="0040216B"/>
    <w:rsid w:val="004022E9"/>
    <w:rsid w:val="00402306"/>
    <w:rsid w:val="004024AE"/>
    <w:rsid w:val="004024C8"/>
    <w:rsid w:val="0040255C"/>
    <w:rsid w:val="004026BB"/>
    <w:rsid w:val="0040291D"/>
    <w:rsid w:val="004029B6"/>
    <w:rsid w:val="004029FF"/>
    <w:rsid w:val="00402B47"/>
    <w:rsid w:val="00402F2B"/>
    <w:rsid w:val="00403713"/>
    <w:rsid w:val="00403853"/>
    <w:rsid w:val="00405145"/>
    <w:rsid w:val="00405164"/>
    <w:rsid w:val="004052A1"/>
    <w:rsid w:val="004055B4"/>
    <w:rsid w:val="004055FF"/>
    <w:rsid w:val="00405632"/>
    <w:rsid w:val="00406A89"/>
    <w:rsid w:val="00406BB7"/>
    <w:rsid w:val="00406C6A"/>
    <w:rsid w:val="00406CB2"/>
    <w:rsid w:val="00406F37"/>
    <w:rsid w:val="0040702A"/>
    <w:rsid w:val="00407047"/>
    <w:rsid w:val="00407485"/>
    <w:rsid w:val="00410697"/>
    <w:rsid w:val="00410847"/>
    <w:rsid w:val="00410D07"/>
    <w:rsid w:val="00410D53"/>
    <w:rsid w:val="00410EC3"/>
    <w:rsid w:val="00411040"/>
    <w:rsid w:val="004112D9"/>
    <w:rsid w:val="00411689"/>
    <w:rsid w:val="00411755"/>
    <w:rsid w:val="00411815"/>
    <w:rsid w:val="004118FF"/>
    <w:rsid w:val="00411A00"/>
    <w:rsid w:val="00412023"/>
    <w:rsid w:val="0041208F"/>
    <w:rsid w:val="0041243C"/>
    <w:rsid w:val="004125FB"/>
    <w:rsid w:val="00412A49"/>
    <w:rsid w:val="00413473"/>
    <w:rsid w:val="00413521"/>
    <w:rsid w:val="0041362C"/>
    <w:rsid w:val="00413689"/>
    <w:rsid w:val="00413AA3"/>
    <w:rsid w:val="00413D51"/>
    <w:rsid w:val="00414011"/>
    <w:rsid w:val="00414030"/>
    <w:rsid w:val="004143FF"/>
    <w:rsid w:val="004146D1"/>
    <w:rsid w:val="004147BD"/>
    <w:rsid w:val="00414839"/>
    <w:rsid w:val="00414D82"/>
    <w:rsid w:val="00414FC6"/>
    <w:rsid w:val="00415524"/>
    <w:rsid w:val="0041632B"/>
    <w:rsid w:val="00416338"/>
    <w:rsid w:val="00416464"/>
    <w:rsid w:val="0041672E"/>
    <w:rsid w:val="00416907"/>
    <w:rsid w:val="004169CF"/>
    <w:rsid w:val="00416C63"/>
    <w:rsid w:val="00416C93"/>
    <w:rsid w:val="004171F7"/>
    <w:rsid w:val="004173C7"/>
    <w:rsid w:val="00417EA7"/>
    <w:rsid w:val="00420101"/>
    <w:rsid w:val="00420870"/>
    <w:rsid w:val="004209DD"/>
    <w:rsid w:val="00420BCB"/>
    <w:rsid w:val="00420C94"/>
    <w:rsid w:val="00420ED7"/>
    <w:rsid w:val="0042162D"/>
    <w:rsid w:val="00421BA5"/>
    <w:rsid w:val="00421C7A"/>
    <w:rsid w:val="004222A3"/>
    <w:rsid w:val="00422405"/>
    <w:rsid w:val="0042258A"/>
    <w:rsid w:val="00422A12"/>
    <w:rsid w:val="00422ADA"/>
    <w:rsid w:val="00422BF0"/>
    <w:rsid w:val="00422C04"/>
    <w:rsid w:val="00422D25"/>
    <w:rsid w:val="00422D35"/>
    <w:rsid w:val="004232A1"/>
    <w:rsid w:val="004238E0"/>
    <w:rsid w:val="0042466C"/>
    <w:rsid w:val="0042468B"/>
    <w:rsid w:val="00424985"/>
    <w:rsid w:val="004249F5"/>
    <w:rsid w:val="0042509B"/>
    <w:rsid w:val="004254C2"/>
    <w:rsid w:val="00425636"/>
    <w:rsid w:val="004256A5"/>
    <w:rsid w:val="00425AD0"/>
    <w:rsid w:val="00425CD8"/>
    <w:rsid w:val="00425D48"/>
    <w:rsid w:val="00425F17"/>
    <w:rsid w:val="004261E1"/>
    <w:rsid w:val="00426611"/>
    <w:rsid w:val="00427377"/>
    <w:rsid w:val="00427463"/>
    <w:rsid w:val="0042768D"/>
    <w:rsid w:val="004276CC"/>
    <w:rsid w:val="0043027C"/>
    <w:rsid w:val="004302FE"/>
    <w:rsid w:val="00430422"/>
    <w:rsid w:val="0043092F"/>
    <w:rsid w:val="00430993"/>
    <w:rsid w:val="00430D0D"/>
    <w:rsid w:val="0043124C"/>
    <w:rsid w:val="004316DE"/>
    <w:rsid w:val="0043237C"/>
    <w:rsid w:val="00432583"/>
    <w:rsid w:val="00432624"/>
    <w:rsid w:val="00432A6E"/>
    <w:rsid w:val="00432E33"/>
    <w:rsid w:val="00432EBE"/>
    <w:rsid w:val="00433215"/>
    <w:rsid w:val="004337BB"/>
    <w:rsid w:val="004338CE"/>
    <w:rsid w:val="00433BB1"/>
    <w:rsid w:val="0043408C"/>
    <w:rsid w:val="004349E5"/>
    <w:rsid w:val="00434F4F"/>
    <w:rsid w:val="00435377"/>
    <w:rsid w:val="004353DA"/>
    <w:rsid w:val="004355E2"/>
    <w:rsid w:val="00435964"/>
    <w:rsid w:val="00435D6A"/>
    <w:rsid w:val="00435D71"/>
    <w:rsid w:val="00435EC0"/>
    <w:rsid w:val="00436128"/>
    <w:rsid w:val="004365FC"/>
    <w:rsid w:val="00436CFD"/>
    <w:rsid w:val="004374A9"/>
    <w:rsid w:val="004375FA"/>
    <w:rsid w:val="00437E06"/>
    <w:rsid w:val="004401B1"/>
    <w:rsid w:val="004404F7"/>
    <w:rsid w:val="0044072D"/>
    <w:rsid w:val="00440770"/>
    <w:rsid w:val="004407D9"/>
    <w:rsid w:val="00440879"/>
    <w:rsid w:val="004409D5"/>
    <w:rsid w:val="00441670"/>
    <w:rsid w:val="004419D7"/>
    <w:rsid w:val="00441A48"/>
    <w:rsid w:val="00441B50"/>
    <w:rsid w:val="00442059"/>
    <w:rsid w:val="004422FD"/>
    <w:rsid w:val="0044238C"/>
    <w:rsid w:val="004426EE"/>
    <w:rsid w:val="00442BEC"/>
    <w:rsid w:val="00443A13"/>
    <w:rsid w:val="00443B9D"/>
    <w:rsid w:val="00444883"/>
    <w:rsid w:val="00444DC3"/>
    <w:rsid w:val="00445074"/>
    <w:rsid w:val="004450EE"/>
    <w:rsid w:val="00445161"/>
    <w:rsid w:val="00445C03"/>
    <w:rsid w:val="00445FEB"/>
    <w:rsid w:val="00446D95"/>
    <w:rsid w:val="00446E0E"/>
    <w:rsid w:val="00446FA1"/>
    <w:rsid w:val="004470ED"/>
    <w:rsid w:val="0044771A"/>
    <w:rsid w:val="00447A69"/>
    <w:rsid w:val="00447C5B"/>
    <w:rsid w:val="00447DDF"/>
    <w:rsid w:val="00450012"/>
    <w:rsid w:val="0045085F"/>
    <w:rsid w:val="00450C58"/>
    <w:rsid w:val="00450FD8"/>
    <w:rsid w:val="00451AE2"/>
    <w:rsid w:val="00451BA7"/>
    <w:rsid w:val="0045208C"/>
    <w:rsid w:val="004526D6"/>
    <w:rsid w:val="00452817"/>
    <w:rsid w:val="004528CA"/>
    <w:rsid w:val="00452CD7"/>
    <w:rsid w:val="0045353B"/>
    <w:rsid w:val="004538F4"/>
    <w:rsid w:val="004544E6"/>
    <w:rsid w:val="0045544B"/>
    <w:rsid w:val="004554F0"/>
    <w:rsid w:val="004557A8"/>
    <w:rsid w:val="00455D77"/>
    <w:rsid w:val="0045642D"/>
    <w:rsid w:val="004565CD"/>
    <w:rsid w:val="00456B7C"/>
    <w:rsid w:val="00456BFA"/>
    <w:rsid w:val="0045736C"/>
    <w:rsid w:val="004574E3"/>
    <w:rsid w:val="004575CD"/>
    <w:rsid w:val="00457644"/>
    <w:rsid w:val="004576C8"/>
    <w:rsid w:val="00457CD7"/>
    <w:rsid w:val="00457E7A"/>
    <w:rsid w:val="004607A8"/>
    <w:rsid w:val="00460807"/>
    <w:rsid w:val="00460837"/>
    <w:rsid w:val="004608DA"/>
    <w:rsid w:val="00460A4C"/>
    <w:rsid w:val="00460B09"/>
    <w:rsid w:val="00460F29"/>
    <w:rsid w:val="004610F4"/>
    <w:rsid w:val="0046122F"/>
    <w:rsid w:val="004613F1"/>
    <w:rsid w:val="00461AE5"/>
    <w:rsid w:val="00461F42"/>
    <w:rsid w:val="004620F8"/>
    <w:rsid w:val="00462541"/>
    <w:rsid w:val="00462945"/>
    <w:rsid w:val="00462BB1"/>
    <w:rsid w:val="00462C00"/>
    <w:rsid w:val="00463011"/>
    <w:rsid w:val="004631BE"/>
    <w:rsid w:val="00463259"/>
    <w:rsid w:val="00463493"/>
    <w:rsid w:val="00463729"/>
    <w:rsid w:val="004637CF"/>
    <w:rsid w:val="0046410E"/>
    <w:rsid w:val="0046447C"/>
    <w:rsid w:val="004645D4"/>
    <w:rsid w:val="004645D5"/>
    <w:rsid w:val="004649F4"/>
    <w:rsid w:val="00464C67"/>
    <w:rsid w:val="00465213"/>
    <w:rsid w:val="00465216"/>
    <w:rsid w:val="00465266"/>
    <w:rsid w:val="00465500"/>
    <w:rsid w:val="00465DF4"/>
    <w:rsid w:val="00466002"/>
    <w:rsid w:val="0046602F"/>
    <w:rsid w:val="00466510"/>
    <w:rsid w:val="0046708A"/>
    <w:rsid w:val="00467213"/>
    <w:rsid w:val="00467878"/>
    <w:rsid w:val="004678A2"/>
    <w:rsid w:val="004679DC"/>
    <w:rsid w:val="00467EA6"/>
    <w:rsid w:val="00470263"/>
    <w:rsid w:val="00470984"/>
    <w:rsid w:val="004709CE"/>
    <w:rsid w:val="00470CDD"/>
    <w:rsid w:val="004713D7"/>
    <w:rsid w:val="0047183D"/>
    <w:rsid w:val="004719D1"/>
    <w:rsid w:val="0047222B"/>
    <w:rsid w:val="0047270D"/>
    <w:rsid w:val="00472C99"/>
    <w:rsid w:val="0047302D"/>
    <w:rsid w:val="004731DF"/>
    <w:rsid w:val="0047389D"/>
    <w:rsid w:val="004741D6"/>
    <w:rsid w:val="0047458C"/>
    <w:rsid w:val="004745DF"/>
    <w:rsid w:val="0047538D"/>
    <w:rsid w:val="004754D0"/>
    <w:rsid w:val="00475638"/>
    <w:rsid w:val="00475E97"/>
    <w:rsid w:val="004761A5"/>
    <w:rsid w:val="00476206"/>
    <w:rsid w:val="004763A6"/>
    <w:rsid w:val="004766C1"/>
    <w:rsid w:val="00476746"/>
    <w:rsid w:val="0047684B"/>
    <w:rsid w:val="00476B30"/>
    <w:rsid w:val="00476C44"/>
    <w:rsid w:val="00476C99"/>
    <w:rsid w:val="004772CA"/>
    <w:rsid w:val="0047731D"/>
    <w:rsid w:val="00477BF1"/>
    <w:rsid w:val="00477C2C"/>
    <w:rsid w:val="004805F5"/>
    <w:rsid w:val="00480965"/>
    <w:rsid w:val="00480A25"/>
    <w:rsid w:val="004813C5"/>
    <w:rsid w:val="00481558"/>
    <w:rsid w:val="00481683"/>
    <w:rsid w:val="00482020"/>
    <w:rsid w:val="004820DF"/>
    <w:rsid w:val="0048258F"/>
    <w:rsid w:val="00482DC3"/>
    <w:rsid w:val="00483049"/>
    <w:rsid w:val="004830D8"/>
    <w:rsid w:val="0048378D"/>
    <w:rsid w:val="00483968"/>
    <w:rsid w:val="00483C1E"/>
    <w:rsid w:val="00483D5C"/>
    <w:rsid w:val="00483E83"/>
    <w:rsid w:val="00484060"/>
    <w:rsid w:val="0048408F"/>
    <w:rsid w:val="00484423"/>
    <w:rsid w:val="004845DA"/>
    <w:rsid w:val="004847F4"/>
    <w:rsid w:val="00485127"/>
    <w:rsid w:val="0048522D"/>
    <w:rsid w:val="004853EA"/>
    <w:rsid w:val="00485481"/>
    <w:rsid w:val="0048551E"/>
    <w:rsid w:val="00485E31"/>
    <w:rsid w:val="00485FF7"/>
    <w:rsid w:val="00486201"/>
    <w:rsid w:val="00486421"/>
    <w:rsid w:val="00486A04"/>
    <w:rsid w:val="00486D58"/>
    <w:rsid w:val="00486E30"/>
    <w:rsid w:val="004870BE"/>
    <w:rsid w:val="004874C0"/>
    <w:rsid w:val="00487CF8"/>
    <w:rsid w:val="00487D0F"/>
    <w:rsid w:val="00490469"/>
    <w:rsid w:val="00490FD5"/>
    <w:rsid w:val="00491398"/>
    <w:rsid w:val="004913BD"/>
    <w:rsid w:val="0049168C"/>
    <w:rsid w:val="00491AD0"/>
    <w:rsid w:val="00491F07"/>
    <w:rsid w:val="00492110"/>
    <w:rsid w:val="004922CD"/>
    <w:rsid w:val="0049248A"/>
    <w:rsid w:val="004925FA"/>
    <w:rsid w:val="004926C1"/>
    <w:rsid w:val="004929DC"/>
    <w:rsid w:val="00492E69"/>
    <w:rsid w:val="0049362D"/>
    <w:rsid w:val="004936A1"/>
    <w:rsid w:val="0049380E"/>
    <w:rsid w:val="00493DA8"/>
    <w:rsid w:val="00493FAC"/>
    <w:rsid w:val="004940D5"/>
    <w:rsid w:val="004943FC"/>
    <w:rsid w:val="00494722"/>
    <w:rsid w:val="00494B2E"/>
    <w:rsid w:val="00494F1F"/>
    <w:rsid w:val="00495402"/>
    <w:rsid w:val="004955D0"/>
    <w:rsid w:val="00495660"/>
    <w:rsid w:val="00495B99"/>
    <w:rsid w:val="0049635C"/>
    <w:rsid w:val="00496376"/>
    <w:rsid w:val="004964B0"/>
    <w:rsid w:val="0049660D"/>
    <w:rsid w:val="0049704F"/>
    <w:rsid w:val="004970AC"/>
    <w:rsid w:val="004974C8"/>
    <w:rsid w:val="0049775C"/>
    <w:rsid w:val="00497A59"/>
    <w:rsid w:val="00497C6E"/>
    <w:rsid w:val="004A03EA"/>
    <w:rsid w:val="004A05EE"/>
    <w:rsid w:val="004A08A2"/>
    <w:rsid w:val="004A0DFF"/>
    <w:rsid w:val="004A1299"/>
    <w:rsid w:val="004A1848"/>
    <w:rsid w:val="004A19A8"/>
    <w:rsid w:val="004A1C1D"/>
    <w:rsid w:val="004A1FA9"/>
    <w:rsid w:val="004A1FFA"/>
    <w:rsid w:val="004A24B3"/>
    <w:rsid w:val="004A2706"/>
    <w:rsid w:val="004A2D2B"/>
    <w:rsid w:val="004A2F85"/>
    <w:rsid w:val="004A3149"/>
    <w:rsid w:val="004A3612"/>
    <w:rsid w:val="004A3A65"/>
    <w:rsid w:val="004A3DC2"/>
    <w:rsid w:val="004A44D8"/>
    <w:rsid w:val="004A49D4"/>
    <w:rsid w:val="004A4EE5"/>
    <w:rsid w:val="004A4FE8"/>
    <w:rsid w:val="004A548A"/>
    <w:rsid w:val="004A5CCB"/>
    <w:rsid w:val="004A5DD7"/>
    <w:rsid w:val="004A5DE1"/>
    <w:rsid w:val="004A68A5"/>
    <w:rsid w:val="004A6AFB"/>
    <w:rsid w:val="004A6CFF"/>
    <w:rsid w:val="004A7040"/>
    <w:rsid w:val="004A766A"/>
    <w:rsid w:val="004A77B2"/>
    <w:rsid w:val="004A7808"/>
    <w:rsid w:val="004A7DB6"/>
    <w:rsid w:val="004A7FF7"/>
    <w:rsid w:val="004B03A7"/>
    <w:rsid w:val="004B06B9"/>
    <w:rsid w:val="004B08F7"/>
    <w:rsid w:val="004B0E13"/>
    <w:rsid w:val="004B0F52"/>
    <w:rsid w:val="004B1002"/>
    <w:rsid w:val="004B1671"/>
    <w:rsid w:val="004B1794"/>
    <w:rsid w:val="004B1D44"/>
    <w:rsid w:val="004B29CD"/>
    <w:rsid w:val="004B2B53"/>
    <w:rsid w:val="004B2CF4"/>
    <w:rsid w:val="004B2F7C"/>
    <w:rsid w:val="004B3001"/>
    <w:rsid w:val="004B303E"/>
    <w:rsid w:val="004B32E3"/>
    <w:rsid w:val="004B33EB"/>
    <w:rsid w:val="004B342A"/>
    <w:rsid w:val="004B345D"/>
    <w:rsid w:val="004B34DA"/>
    <w:rsid w:val="004B34EF"/>
    <w:rsid w:val="004B36A1"/>
    <w:rsid w:val="004B3F4F"/>
    <w:rsid w:val="004B45BC"/>
    <w:rsid w:val="004B4853"/>
    <w:rsid w:val="004B5404"/>
    <w:rsid w:val="004B5545"/>
    <w:rsid w:val="004B5B09"/>
    <w:rsid w:val="004B5CDA"/>
    <w:rsid w:val="004B5D6B"/>
    <w:rsid w:val="004B62A2"/>
    <w:rsid w:val="004B64C8"/>
    <w:rsid w:val="004B6BA9"/>
    <w:rsid w:val="004B6DD3"/>
    <w:rsid w:val="004B765F"/>
    <w:rsid w:val="004B790B"/>
    <w:rsid w:val="004B7C4E"/>
    <w:rsid w:val="004C0011"/>
    <w:rsid w:val="004C0198"/>
    <w:rsid w:val="004C0274"/>
    <w:rsid w:val="004C0572"/>
    <w:rsid w:val="004C090D"/>
    <w:rsid w:val="004C0B01"/>
    <w:rsid w:val="004C0C8A"/>
    <w:rsid w:val="004C0D77"/>
    <w:rsid w:val="004C11B5"/>
    <w:rsid w:val="004C226F"/>
    <w:rsid w:val="004C22E6"/>
    <w:rsid w:val="004C2968"/>
    <w:rsid w:val="004C2D0D"/>
    <w:rsid w:val="004C30C1"/>
    <w:rsid w:val="004C3437"/>
    <w:rsid w:val="004C3DEF"/>
    <w:rsid w:val="004C3FF4"/>
    <w:rsid w:val="004C4043"/>
    <w:rsid w:val="004C428B"/>
    <w:rsid w:val="004C4477"/>
    <w:rsid w:val="004C45C4"/>
    <w:rsid w:val="004C47E3"/>
    <w:rsid w:val="004C5333"/>
    <w:rsid w:val="004C5404"/>
    <w:rsid w:val="004C5AB4"/>
    <w:rsid w:val="004C5B5E"/>
    <w:rsid w:val="004C6085"/>
    <w:rsid w:val="004C6616"/>
    <w:rsid w:val="004C6BB8"/>
    <w:rsid w:val="004C708B"/>
    <w:rsid w:val="004C71C1"/>
    <w:rsid w:val="004C7723"/>
    <w:rsid w:val="004C7F20"/>
    <w:rsid w:val="004D0749"/>
    <w:rsid w:val="004D08AD"/>
    <w:rsid w:val="004D145D"/>
    <w:rsid w:val="004D16B1"/>
    <w:rsid w:val="004D188A"/>
    <w:rsid w:val="004D18AC"/>
    <w:rsid w:val="004D1AC6"/>
    <w:rsid w:val="004D1F6E"/>
    <w:rsid w:val="004D2306"/>
    <w:rsid w:val="004D2341"/>
    <w:rsid w:val="004D23FB"/>
    <w:rsid w:val="004D2705"/>
    <w:rsid w:val="004D2B44"/>
    <w:rsid w:val="004D37BB"/>
    <w:rsid w:val="004D39DE"/>
    <w:rsid w:val="004D3CDE"/>
    <w:rsid w:val="004D3DBF"/>
    <w:rsid w:val="004D4F29"/>
    <w:rsid w:val="004D5360"/>
    <w:rsid w:val="004D5F7D"/>
    <w:rsid w:val="004D6355"/>
    <w:rsid w:val="004D6516"/>
    <w:rsid w:val="004D6588"/>
    <w:rsid w:val="004D6696"/>
    <w:rsid w:val="004D6FD9"/>
    <w:rsid w:val="004D70F7"/>
    <w:rsid w:val="004D74B2"/>
    <w:rsid w:val="004D74C6"/>
    <w:rsid w:val="004D7698"/>
    <w:rsid w:val="004D78B3"/>
    <w:rsid w:val="004D7A86"/>
    <w:rsid w:val="004E0466"/>
    <w:rsid w:val="004E0468"/>
    <w:rsid w:val="004E084E"/>
    <w:rsid w:val="004E0E06"/>
    <w:rsid w:val="004E0F65"/>
    <w:rsid w:val="004E13FB"/>
    <w:rsid w:val="004E1575"/>
    <w:rsid w:val="004E15DD"/>
    <w:rsid w:val="004E1870"/>
    <w:rsid w:val="004E1AB0"/>
    <w:rsid w:val="004E1FEB"/>
    <w:rsid w:val="004E2095"/>
    <w:rsid w:val="004E20D5"/>
    <w:rsid w:val="004E214F"/>
    <w:rsid w:val="004E2A80"/>
    <w:rsid w:val="004E2D38"/>
    <w:rsid w:val="004E3194"/>
    <w:rsid w:val="004E3453"/>
    <w:rsid w:val="004E3918"/>
    <w:rsid w:val="004E3AE7"/>
    <w:rsid w:val="004E3ECA"/>
    <w:rsid w:val="004E4B55"/>
    <w:rsid w:val="004E4E02"/>
    <w:rsid w:val="004E4FCC"/>
    <w:rsid w:val="004E51ED"/>
    <w:rsid w:val="004E564F"/>
    <w:rsid w:val="004E5EF0"/>
    <w:rsid w:val="004E63C9"/>
    <w:rsid w:val="004E6901"/>
    <w:rsid w:val="004E7002"/>
    <w:rsid w:val="004E798B"/>
    <w:rsid w:val="004E79A1"/>
    <w:rsid w:val="004E7A0A"/>
    <w:rsid w:val="004E7AF0"/>
    <w:rsid w:val="004E7B6D"/>
    <w:rsid w:val="004E7C1E"/>
    <w:rsid w:val="004F0015"/>
    <w:rsid w:val="004F0089"/>
    <w:rsid w:val="004F016A"/>
    <w:rsid w:val="004F0306"/>
    <w:rsid w:val="004F0402"/>
    <w:rsid w:val="004F06A5"/>
    <w:rsid w:val="004F0852"/>
    <w:rsid w:val="004F107C"/>
    <w:rsid w:val="004F1213"/>
    <w:rsid w:val="004F1529"/>
    <w:rsid w:val="004F17DB"/>
    <w:rsid w:val="004F190D"/>
    <w:rsid w:val="004F2DD7"/>
    <w:rsid w:val="004F2E73"/>
    <w:rsid w:val="004F31D3"/>
    <w:rsid w:val="004F34D9"/>
    <w:rsid w:val="004F373A"/>
    <w:rsid w:val="004F4208"/>
    <w:rsid w:val="004F486E"/>
    <w:rsid w:val="004F4B4F"/>
    <w:rsid w:val="004F4D4A"/>
    <w:rsid w:val="004F5434"/>
    <w:rsid w:val="004F5779"/>
    <w:rsid w:val="004F6262"/>
    <w:rsid w:val="004F6328"/>
    <w:rsid w:val="004F68BF"/>
    <w:rsid w:val="004F68D7"/>
    <w:rsid w:val="004F6BC2"/>
    <w:rsid w:val="004F6F48"/>
    <w:rsid w:val="004F7641"/>
    <w:rsid w:val="004F79EC"/>
    <w:rsid w:val="004F7B7A"/>
    <w:rsid w:val="004F7E07"/>
    <w:rsid w:val="005001AB"/>
    <w:rsid w:val="00500271"/>
    <w:rsid w:val="00500408"/>
    <w:rsid w:val="00500882"/>
    <w:rsid w:val="0050091A"/>
    <w:rsid w:val="00500E1E"/>
    <w:rsid w:val="0050127F"/>
    <w:rsid w:val="00501390"/>
    <w:rsid w:val="00501DD5"/>
    <w:rsid w:val="0050215D"/>
    <w:rsid w:val="0050242C"/>
    <w:rsid w:val="00502846"/>
    <w:rsid w:val="00502AD7"/>
    <w:rsid w:val="00502DE9"/>
    <w:rsid w:val="00502FF6"/>
    <w:rsid w:val="0050366E"/>
    <w:rsid w:val="00503807"/>
    <w:rsid w:val="00503E83"/>
    <w:rsid w:val="00504002"/>
    <w:rsid w:val="0050401E"/>
    <w:rsid w:val="00504080"/>
    <w:rsid w:val="005040D5"/>
    <w:rsid w:val="00504B90"/>
    <w:rsid w:val="00505168"/>
    <w:rsid w:val="005052A0"/>
    <w:rsid w:val="00505627"/>
    <w:rsid w:val="00505BF7"/>
    <w:rsid w:val="00506219"/>
    <w:rsid w:val="0050625D"/>
    <w:rsid w:val="005063C9"/>
    <w:rsid w:val="00506819"/>
    <w:rsid w:val="00506E49"/>
    <w:rsid w:val="00507002"/>
    <w:rsid w:val="0050729D"/>
    <w:rsid w:val="0050777E"/>
    <w:rsid w:val="0050784C"/>
    <w:rsid w:val="00507E72"/>
    <w:rsid w:val="00510102"/>
    <w:rsid w:val="00510D02"/>
    <w:rsid w:val="00510D86"/>
    <w:rsid w:val="00511C14"/>
    <w:rsid w:val="00511D57"/>
    <w:rsid w:val="00512041"/>
    <w:rsid w:val="0051226B"/>
    <w:rsid w:val="005123FF"/>
    <w:rsid w:val="005126DA"/>
    <w:rsid w:val="0051277A"/>
    <w:rsid w:val="00513FFE"/>
    <w:rsid w:val="00514373"/>
    <w:rsid w:val="00514744"/>
    <w:rsid w:val="00514F6D"/>
    <w:rsid w:val="005154A2"/>
    <w:rsid w:val="005155B2"/>
    <w:rsid w:val="005155E3"/>
    <w:rsid w:val="00515ACC"/>
    <w:rsid w:val="00515E61"/>
    <w:rsid w:val="00515EA2"/>
    <w:rsid w:val="005162B2"/>
    <w:rsid w:val="005162E4"/>
    <w:rsid w:val="005168D0"/>
    <w:rsid w:val="00516EF3"/>
    <w:rsid w:val="00516F9A"/>
    <w:rsid w:val="0051737D"/>
    <w:rsid w:val="00517498"/>
    <w:rsid w:val="005174A6"/>
    <w:rsid w:val="005175FE"/>
    <w:rsid w:val="005176BB"/>
    <w:rsid w:val="00517CE6"/>
    <w:rsid w:val="00517D02"/>
    <w:rsid w:val="00517E6C"/>
    <w:rsid w:val="005201E9"/>
    <w:rsid w:val="00520628"/>
    <w:rsid w:val="005206E0"/>
    <w:rsid w:val="0052083C"/>
    <w:rsid w:val="00520AEE"/>
    <w:rsid w:val="00520BC1"/>
    <w:rsid w:val="00520D14"/>
    <w:rsid w:val="00521047"/>
    <w:rsid w:val="005213BA"/>
    <w:rsid w:val="00521844"/>
    <w:rsid w:val="00521ED4"/>
    <w:rsid w:val="00522086"/>
    <w:rsid w:val="00522144"/>
    <w:rsid w:val="00522294"/>
    <w:rsid w:val="00522B7F"/>
    <w:rsid w:val="00522F2A"/>
    <w:rsid w:val="00523167"/>
    <w:rsid w:val="00523636"/>
    <w:rsid w:val="00523699"/>
    <w:rsid w:val="005236C0"/>
    <w:rsid w:val="00523C4C"/>
    <w:rsid w:val="0052441B"/>
    <w:rsid w:val="00524A78"/>
    <w:rsid w:val="005251D6"/>
    <w:rsid w:val="005257E7"/>
    <w:rsid w:val="00525B73"/>
    <w:rsid w:val="00525C4C"/>
    <w:rsid w:val="00525CED"/>
    <w:rsid w:val="00525F92"/>
    <w:rsid w:val="0052627A"/>
    <w:rsid w:val="00526308"/>
    <w:rsid w:val="00526CC7"/>
    <w:rsid w:val="0052770B"/>
    <w:rsid w:val="0052782A"/>
    <w:rsid w:val="00527D73"/>
    <w:rsid w:val="00527ECA"/>
    <w:rsid w:val="005303BF"/>
    <w:rsid w:val="005306C2"/>
    <w:rsid w:val="0053156B"/>
    <w:rsid w:val="005316B8"/>
    <w:rsid w:val="00531BF2"/>
    <w:rsid w:val="00531CAA"/>
    <w:rsid w:val="00532E9D"/>
    <w:rsid w:val="00532EAC"/>
    <w:rsid w:val="0053311C"/>
    <w:rsid w:val="00533423"/>
    <w:rsid w:val="005334D6"/>
    <w:rsid w:val="00533699"/>
    <w:rsid w:val="00533928"/>
    <w:rsid w:val="00533AE7"/>
    <w:rsid w:val="0053400B"/>
    <w:rsid w:val="00534094"/>
    <w:rsid w:val="00534389"/>
    <w:rsid w:val="00534F44"/>
    <w:rsid w:val="00535285"/>
    <w:rsid w:val="00535332"/>
    <w:rsid w:val="00535A1B"/>
    <w:rsid w:val="00535AC6"/>
    <w:rsid w:val="00535CCB"/>
    <w:rsid w:val="00535D9D"/>
    <w:rsid w:val="00536826"/>
    <w:rsid w:val="005370C4"/>
    <w:rsid w:val="00537513"/>
    <w:rsid w:val="005376CC"/>
    <w:rsid w:val="00537DCC"/>
    <w:rsid w:val="005404FB"/>
    <w:rsid w:val="0054092A"/>
    <w:rsid w:val="00540AB8"/>
    <w:rsid w:val="00540E6C"/>
    <w:rsid w:val="005413A9"/>
    <w:rsid w:val="005413AD"/>
    <w:rsid w:val="005417CD"/>
    <w:rsid w:val="00541CCD"/>
    <w:rsid w:val="00541F43"/>
    <w:rsid w:val="005420D5"/>
    <w:rsid w:val="00542184"/>
    <w:rsid w:val="00543BB5"/>
    <w:rsid w:val="00543C0F"/>
    <w:rsid w:val="00543DFC"/>
    <w:rsid w:val="00543E2E"/>
    <w:rsid w:val="00544A05"/>
    <w:rsid w:val="00544C1F"/>
    <w:rsid w:val="00544CCD"/>
    <w:rsid w:val="00544D5E"/>
    <w:rsid w:val="005454E0"/>
    <w:rsid w:val="0054585B"/>
    <w:rsid w:val="00545BFF"/>
    <w:rsid w:val="00546132"/>
    <w:rsid w:val="00546292"/>
    <w:rsid w:val="0054652D"/>
    <w:rsid w:val="00546F78"/>
    <w:rsid w:val="0054755A"/>
    <w:rsid w:val="0054773B"/>
    <w:rsid w:val="00547BE6"/>
    <w:rsid w:val="00547F53"/>
    <w:rsid w:val="00550307"/>
    <w:rsid w:val="00550469"/>
    <w:rsid w:val="005505DA"/>
    <w:rsid w:val="0055087E"/>
    <w:rsid w:val="00550B86"/>
    <w:rsid w:val="00550CCC"/>
    <w:rsid w:val="00550E2E"/>
    <w:rsid w:val="00551015"/>
    <w:rsid w:val="00551067"/>
    <w:rsid w:val="00551148"/>
    <w:rsid w:val="0055159B"/>
    <w:rsid w:val="005515E9"/>
    <w:rsid w:val="0055196F"/>
    <w:rsid w:val="00552201"/>
    <w:rsid w:val="0055274F"/>
    <w:rsid w:val="00552766"/>
    <w:rsid w:val="00552BE4"/>
    <w:rsid w:val="00552C55"/>
    <w:rsid w:val="00552F1D"/>
    <w:rsid w:val="00552F4F"/>
    <w:rsid w:val="00553654"/>
    <w:rsid w:val="00553AAF"/>
    <w:rsid w:val="00553BC4"/>
    <w:rsid w:val="00553F4E"/>
    <w:rsid w:val="00553F51"/>
    <w:rsid w:val="0055495B"/>
    <w:rsid w:val="00554AF0"/>
    <w:rsid w:val="00554B27"/>
    <w:rsid w:val="00554BA8"/>
    <w:rsid w:val="00554CD3"/>
    <w:rsid w:val="005551F4"/>
    <w:rsid w:val="00555497"/>
    <w:rsid w:val="005556B7"/>
    <w:rsid w:val="0055590D"/>
    <w:rsid w:val="00555B89"/>
    <w:rsid w:val="00555B96"/>
    <w:rsid w:val="0055650D"/>
    <w:rsid w:val="00556865"/>
    <w:rsid w:val="00556A85"/>
    <w:rsid w:val="00556AD0"/>
    <w:rsid w:val="00556C7E"/>
    <w:rsid w:val="00557451"/>
    <w:rsid w:val="00557495"/>
    <w:rsid w:val="005574D8"/>
    <w:rsid w:val="00557805"/>
    <w:rsid w:val="00557AD3"/>
    <w:rsid w:val="00557CC9"/>
    <w:rsid w:val="005600D3"/>
    <w:rsid w:val="00560172"/>
    <w:rsid w:val="005601D8"/>
    <w:rsid w:val="00560275"/>
    <w:rsid w:val="00560558"/>
    <w:rsid w:val="005609D8"/>
    <w:rsid w:val="00560EA1"/>
    <w:rsid w:val="00561245"/>
    <w:rsid w:val="00561605"/>
    <w:rsid w:val="00561F00"/>
    <w:rsid w:val="00562327"/>
    <w:rsid w:val="005623F8"/>
    <w:rsid w:val="0056265E"/>
    <w:rsid w:val="0056276F"/>
    <w:rsid w:val="00562C22"/>
    <w:rsid w:val="00562C8E"/>
    <w:rsid w:val="005636BE"/>
    <w:rsid w:val="00563797"/>
    <w:rsid w:val="005637FF"/>
    <w:rsid w:val="00563A77"/>
    <w:rsid w:val="0056429B"/>
    <w:rsid w:val="00564B6C"/>
    <w:rsid w:val="00564C4A"/>
    <w:rsid w:val="00565271"/>
    <w:rsid w:val="00565640"/>
    <w:rsid w:val="00565B7A"/>
    <w:rsid w:val="00565C8D"/>
    <w:rsid w:val="00565D88"/>
    <w:rsid w:val="00565DE6"/>
    <w:rsid w:val="00565F4F"/>
    <w:rsid w:val="00566016"/>
    <w:rsid w:val="00566117"/>
    <w:rsid w:val="005661FE"/>
    <w:rsid w:val="005664F0"/>
    <w:rsid w:val="005666D1"/>
    <w:rsid w:val="005666E3"/>
    <w:rsid w:val="005669D3"/>
    <w:rsid w:val="00566BD1"/>
    <w:rsid w:val="00566D51"/>
    <w:rsid w:val="00566D6F"/>
    <w:rsid w:val="005671A5"/>
    <w:rsid w:val="005671FD"/>
    <w:rsid w:val="005675B7"/>
    <w:rsid w:val="005675F8"/>
    <w:rsid w:val="00567D07"/>
    <w:rsid w:val="00567E49"/>
    <w:rsid w:val="00567FC5"/>
    <w:rsid w:val="00570371"/>
    <w:rsid w:val="005705FC"/>
    <w:rsid w:val="005707F8"/>
    <w:rsid w:val="00570E52"/>
    <w:rsid w:val="00570EC7"/>
    <w:rsid w:val="00571663"/>
    <w:rsid w:val="0057168A"/>
    <w:rsid w:val="005716F6"/>
    <w:rsid w:val="00571ABA"/>
    <w:rsid w:val="00571F43"/>
    <w:rsid w:val="00571FE0"/>
    <w:rsid w:val="0057208C"/>
    <w:rsid w:val="005722F1"/>
    <w:rsid w:val="0057230C"/>
    <w:rsid w:val="0057242A"/>
    <w:rsid w:val="00573786"/>
    <w:rsid w:val="00573B0D"/>
    <w:rsid w:val="00573B16"/>
    <w:rsid w:val="00573B67"/>
    <w:rsid w:val="00573EBB"/>
    <w:rsid w:val="00574D38"/>
    <w:rsid w:val="005753CC"/>
    <w:rsid w:val="00575640"/>
    <w:rsid w:val="005759B9"/>
    <w:rsid w:val="00575A78"/>
    <w:rsid w:val="00575C25"/>
    <w:rsid w:val="00575F12"/>
    <w:rsid w:val="00576507"/>
    <w:rsid w:val="005765DF"/>
    <w:rsid w:val="005766DE"/>
    <w:rsid w:val="0057681E"/>
    <w:rsid w:val="00576877"/>
    <w:rsid w:val="00576B9D"/>
    <w:rsid w:val="00576F3C"/>
    <w:rsid w:val="005774D1"/>
    <w:rsid w:val="005776DB"/>
    <w:rsid w:val="005776F1"/>
    <w:rsid w:val="00577CB6"/>
    <w:rsid w:val="00580253"/>
    <w:rsid w:val="00580349"/>
    <w:rsid w:val="00580719"/>
    <w:rsid w:val="00580E32"/>
    <w:rsid w:val="005813FF"/>
    <w:rsid w:val="005814F7"/>
    <w:rsid w:val="00581660"/>
    <w:rsid w:val="00581B12"/>
    <w:rsid w:val="00581B4F"/>
    <w:rsid w:val="00582315"/>
    <w:rsid w:val="00582544"/>
    <w:rsid w:val="00582997"/>
    <w:rsid w:val="00582BFE"/>
    <w:rsid w:val="00582EEC"/>
    <w:rsid w:val="00583103"/>
    <w:rsid w:val="00583320"/>
    <w:rsid w:val="0058357B"/>
    <w:rsid w:val="0058360C"/>
    <w:rsid w:val="00583A01"/>
    <w:rsid w:val="00583CE2"/>
    <w:rsid w:val="00583D4E"/>
    <w:rsid w:val="00584121"/>
    <w:rsid w:val="005844A5"/>
    <w:rsid w:val="00584690"/>
    <w:rsid w:val="00584876"/>
    <w:rsid w:val="0058490A"/>
    <w:rsid w:val="00584DCF"/>
    <w:rsid w:val="005850D6"/>
    <w:rsid w:val="00585692"/>
    <w:rsid w:val="00585E4F"/>
    <w:rsid w:val="00586188"/>
    <w:rsid w:val="005865C7"/>
    <w:rsid w:val="0058669E"/>
    <w:rsid w:val="00586AC0"/>
    <w:rsid w:val="00586BB6"/>
    <w:rsid w:val="00586F9D"/>
    <w:rsid w:val="005873A6"/>
    <w:rsid w:val="0058757C"/>
    <w:rsid w:val="005875E0"/>
    <w:rsid w:val="005902CE"/>
    <w:rsid w:val="00590799"/>
    <w:rsid w:val="00590864"/>
    <w:rsid w:val="00590A8D"/>
    <w:rsid w:val="00590FC4"/>
    <w:rsid w:val="005918EA"/>
    <w:rsid w:val="00591C51"/>
    <w:rsid w:val="00592696"/>
    <w:rsid w:val="00592B25"/>
    <w:rsid w:val="00592F2A"/>
    <w:rsid w:val="00594020"/>
    <w:rsid w:val="0059415E"/>
    <w:rsid w:val="00594295"/>
    <w:rsid w:val="005945FF"/>
    <w:rsid w:val="00594B78"/>
    <w:rsid w:val="00594C94"/>
    <w:rsid w:val="00594E5B"/>
    <w:rsid w:val="005950A2"/>
    <w:rsid w:val="005963DE"/>
    <w:rsid w:val="0059664C"/>
    <w:rsid w:val="00596657"/>
    <w:rsid w:val="00596680"/>
    <w:rsid w:val="0059686B"/>
    <w:rsid w:val="00596E1C"/>
    <w:rsid w:val="00596EC4"/>
    <w:rsid w:val="00597466"/>
    <w:rsid w:val="0059755B"/>
    <w:rsid w:val="005977CB"/>
    <w:rsid w:val="00597A59"/>
    <w:rsid w:val="00597BA7"/>
    <w:rsid w:val="00597CC9"/>
    <w:rsid w:val="005A05D4"/>
    <w:rsid w:val="005A1076"/>
    <w:rsid w:val="005A15C8"/>
    <w:rsid w:val="005A18C1"/>
    <w:rsid w:val="005A1C3D"/>
    <w:rsid w:val="005A1E54"/>
    <w:rsid w:val="005A233D"/>
    <w:rsid w:val="005A2686"/>
    <w:rsid w:val="005A2780"/>
    <w:rsid w:val="005A27E9"/>
    <w:rsid w:val="005A2BF0"/>
    <w:rsid w:val="005A2D1F"/>
    <w:rsid w:val="005A3061"/>
    <w:rsid w:val="005A32B3"/>
    <w:rsid w:val="005A346F"/>
    <w:rsid w:val="005A34EB"/>
    <w:rsid w:val="005A3955"/>
    <w:rsid w:val="005A3E3C"/>
    <w:rsid w:val="005A3E86"/>
    <w:rsid w:val="005A4EAD"/>
    <w:rsid w:val="005A5B56"/>
    <w:rsid w:val="005A5EEC"/>
    <w:rsid w:val="005A60E1"/>
    <w:rsid w:val="005A6103"/>
    <w:rsid w:val="005A6612"/>
    <w:rsid w:val="005A6875"/>
    <w:rsid w:val="005A6BFE"/>
    <w:rsid w:val="005A7130"/>
    <w:rsid w:val="005A7454"/>
    <w:rsid w:val="005A77F0"/>
    <w:rsid w:val="005A7815"/>
    <w:rsid w:val="005A7829"/>
    <w:rsid w:val="005B0359"/>
    <w:rsid w:val="005B043B"/>
    <w:rsid w:val="005B090D"/>
    <w:rsid w:val="005B1438"/>
    <w:rsid w:val="005B17CC"/>
    <w:rsid w:val="005B1B14"/>
    <w:rsid w:val="005B1BD0"/>
    <w:rsid w:val="005B1F08"/>
    <w:rsid w:val="005B2124"/>
    <w:rsid w:val="005B2244"/>
    <w:rsid w:val="005B2356"/>
    <w:rsid w:val="005B243F"/>
    <w:rsid w:val="005B2880"/>
    <w:rsid w:val="005B2D46"/>
    <w:rsid w:val="005B31A4"/>
    <w:rsid w:val="005B32D8"/>
    <w:rsid w:val="005B3623"/>
    <w:rsid w:val="005B3741"/>
    <w:rsid w:val="005B3926"/>
    <w:rsid w:val="005B3E7F"/>
    <w:rsid w:val="005B40C5"/>
    <w:rsid w:val="005B4ACE"/>
    <w:rsid w:val="005B4F38"/>
    <w:rsid w:val="005B4F8B"/>
    <w:rsid w:val="005B506C"/>
    <w:rsid w:val="005B52ED"/>
    <w:rsid w:val="005B543E"/>
    <w:rsid w:val="005B5815"/>
    <w:rsid w:val="005B58C5"/>
    <w:rsid w:val="005B593A"/>
    <w:rsid w:val="005B5979"/>
    <w:rsid w:val="005B59BD"/>
    <w:rsid w:val="005B5E1A"/>
    <w:rsid w:val="005B60E2"/>
    <w:rsid w:val="005B6624"/>
    <w:rsid w:val="005B6BC8"/>
    <w:rsid w:val="005B6FCB"/>
    <w:rsid w:val="005B7062"/>
    <w:rsid w:val="005B7189"/>
    <w:rsid w:val="005B7630"/>
    <w:rsid w:val="005B7907"/>
    <w:rsid w:val="005B7A7E"/>
    <w:rsid w:val="005B7AED"/>
    <w:rsid w:val="005C0D80"/>
    <w:rsid w:val="005C10BE"/>
    <w:rsid w:val="005C126E"/>
    <w:rsid w:val="005C1E83"/>
    <w:rsid w:val="005C24D8"/>
    <w:rsid w:val="005C2E71"/>
    <w:rsid w:val="005C3169"/>
    <w:rsid w:val="005C34E1"/>
    <w:rsid w:val="005C3522"/>
    <w:rsid w:val="005C396D"/>
    <w:rsid w:val="005C3A66"/>
    <w:rsid w:val="005C3CF9"/>
    <w:rsid w:val="005C3D7B"/>
    <w:rsid w:val="005C4392"/>
    <w:rsid w:val="005C440A"/>
    <w:rsid w:val="005C4A07"/>
    <w:rsid w:val="005C4C33"/>
    <w:rsid w:val="005C4E23"/>
    <w:rsid w:val="005C4EB5"/>
    <w:rsid w:val="005C5319"/>
    <w:rsid w:val="005C5521"/>
    <w:rsid w:val="005C57BD"/>
    <w:rsid w:val="005C5828"/>
    <w:rsid w:val="005C5843"/>
    <w:rsid w:val="005C5ADA"/>
    <w:rsid w:val="005C5BBB"/>
    <w:rsid w:val="005C5D1F"/>
    <w:rsid w:val="005C5E90"/>
    <w:rsid w:val="005C5EC0"/>
    <w:rsid w:val="005C6221"/>
    <w:rsid w:val="005C67FD"/>
    <w:rsid w:val="005C6842"/>
    <w:rsid w:val="005C6BA9"/>
    <w:rsid w:val="005C6BE0"/>
    <w:rsid w:val="005C6C04"/>
    <w:rsid w:val="005C756E"/>
    <w:rsid w:val="005C762C"/>
    <w:rsid w:val="005C779A"/>
    <w:rsid w:val="005C7ECA"/>
    <w:rsid w:val="005D02B8"/>
    <w:rsid w:val="005D064D"/>
    <w:rsid w:val="005D0F44"/>
    <w:rsid w:val="005D1161"/>
    <w:rsid w:val="005D11A5"/>
    <w:rsid w:val="005D11EF"/>
    <w:rsid w:val="005D13C4"/>
    <w:rsid w:val="005D1661"/>
    <w:rsid w:val="005D19CA"/>
    <w:rsid w:val="005D1A32"/>
    <w:rsid w:val="005D1A74"/>
    <w:rsid w:val="005D1C28"/>
    <w:rsid w:val="005D2364"/>
    <w:rsid w:val="005D2452"/>
    <w:rsid w:val="005D2CF2"/>
    <w:rsid w:val="005D3517"/>
    <w:rsid w:val="005D39D1"/>
    <w:rsid w:val="005D3D01"/>
    <w:rsid w:val="005D3EEA"/>
    <w:rsid w:val="005D403A"/>
    <w:rsid w:val="005D404D"/>
    <w:rsid w:val="005D4689"/>
    <w:rsid w:val="005D46D9"/>
    <w:rsid w:val="005D4A66"/>
    <w:rsid w:val="005D4B82"/>
    <w:rsid w:val="005D56DD"/>
    <w:rsid w:val="005D5DE9"/>
    <w:rsid w:val="005D62B5"/>
    <w:rsid w:val="005D7398"/>
    <w:rsid w:val="005D77CE"/>
    <w:rsid w:val="005D7D3E"/>
    <w:rsid w:val="005D7EE4"/>
    <w:rsid w:val="005D7F81"/>
    <w:rsid w:val="005E0145"/>
    <w:rsid w:val="005E0277"/>
    <w:rsid w:val="005E04B0"/>
    <w:rsid w:val="005E04C7"/>
    <w:rsid w:val="005E04DA"/>
    <w:rsid w:val="005E06A5"/>
    <w:rsid w:val="005E0A7F"/>
    <w:rsid w:val="005E0C1F"/>
    <w:rsid w:val="005E0D79"/>
    <w:rsid w:val="005E186D"/>
    <w:rsid w:val="005E1E40"/>
    <w:rsid w:val="005E1F9B"/>
    <w:rsid w:val="005E2267"/>
    <w:rsid w:val="005E2335"/>
    <w:rsid w:val="005E24AB"/>
    <w:rsid w:val="005E285F"/>
    <w:rsid w:val="005E296E"/>
    <w:rsid w:val="005E2C8F"/>
    <w:rsid w:val="005E31BA"/>
    <w:rsid w:val="005E3B0A"/>
    <w:rsid w:val="005E3BBF"/>
    <w:rsid w:val="005E3BE4"/>
    <w:rsid w:val="005E425F"/>
    <w:rsid w:val="005E476B"/>
    <w:rsid w:val="005E4C12"/>
    <w:rsid w:val="005E4CEC"/>
    <w:rsid w:val="005E4D98"/>
    <w:rsid w:val="005E535E"/>
    <w:rsid w:val="005E5380"/>
    <w:rsid w:val="005E5D6E"/>
    <w:rsid w:val="005E5EA8"/>
    <w:rsid w:val="005E5F8D"/>
    <w:rsid w:val="005E6307"/>
    <w:rsid w:val="005E638F"/>
    <w:rsid w:val="005E642F"/>
    <w:rsid w:val="005E67BC"/>
    <w:rsid w:val="005E6835"/>
    <w:rsid w:val="005E7353"/>
    <w:rsid w:val="005E7987"/>
    <w:rsid w:val="005E7C04"/>
    <w:rsid w:val="005E7CB0"/>
    <w:rsid w:val="005E7FCB"/>
    <w:rsid w:val="005F02DF"/>
    <w:rsid w:val="005F0568"/>
    <w:rsid w:val="005F0D3E"/>
    <w:rsid w:val="005F0E92"/>
    <w:rsid w:val="005F107A"/>
    <w:rsid w:val="005F143A"/>
    <w:rsid w:val="005F1555"/>
    <w:rsid w:val="005F20F8"/>
    <w:rsid w:val="005F23FE"/>
    <w:rsid w:val="005F284F"/>
    <w:rsid w:val="005F2890"/>
    <w:rsid w:val="005F2AA1"/>
    <w:rsid w:val="005F2B0C"/>
    <w:rsid w:val="005F3A1E"/>
    <w:rsid w:val="005F3BF5"/>
    <w:rsid w:val="005F3DBB"/>
    <w:rsid w:val="005F41D2"/>
    <w:rsid w:val="005F44AA"/>
    <w:rsid w:val="005F49B0"/>
    <w:rsid w:val="005F4A72"/>
    <w:rsid w:val="005F4C48"/>
    <w:rsid w:val="005F4C8B"/>
    <w:rsid w:val="005F4F89"/>
    <w:rsid w:val="005F533A"/>
    <w:rsid w:val="005F599D"/>
    <w:rsid w:val="005F5B3C"/>
    <w:rsid w:val="005F5B74"/>
    <w:rsid w:val="005F5D22"/>
    <w:rsid w:val="005F653F"/>
    <w:rsid w:val="005F6CB4"/>
    <w:rsid w:val="005F6E8D"/>
    <w:rsid w:val="005F77B1"/>
    <w:rsid w:val="005F78DC"/>
    <w:rsid w:val="005F7DCE"/>
    <w:rsid w:val="0060032D"/>
    <w:rsid w:val="0060078F"/>
    <w:rsid w:val="0060087E"/>
    <w:rsid w:val="00600CB7"/>
    <w:rsid w:val="00601204"/>
    <w:rsid w:val="00601521"/>
    <w:rsid w:val="006015FF"/>
    <w:rsid w:val="00601725"/>
    <w:rsid w:val="0060266C"/>
    <w:rsid w:val="00603001"/>
    <w:rsid w:val="006030C4"/>
    <w:rsid w:val="00603276"/>
    <w:rsid w:val="00603FA8"/>
    <w:rsid w:val="00604616"/>
    <w:rsid w:val="00604699"/>
    <w:rsid w:val="00604729"/>
    <w:rsid w:val="00605982"/>
    <w:rsid w:val="00605B9E"/>
    <w:rsid w:val="00605B9F"/>
    <w:rsid w:val="00605DE5"/>
    <w:rsid w:val="00605E00"/>
    <w:rsid w:val="00605EB6"/>
    <w:rsid w:val="00605EF3"/>
    <w:rsid w:val="00605F0C"/>
    <w:rsid w:val="00606090"/>
    <w:rsid w:val="006060B7"/>
    <w:rsid w:val="0060646D"/>
    <w:rsid w:val="00606ACF"/>
    <w:rsid w:val="00606D20"/>
    <w:rsid w:val="00606D8F"/>
    <w:rsid w:val="006070CB"/>
    <w:rsid w:val="006074B6"/>
    <w:rsid w:val="006076E8"/>
    <w:rsid w:val="00607EF7"/>
    <w:rsid w:val="00607F6D"/>
    <w:rsid w:val="00610B1E"/>
    <w:rsid w:val="00610CD9"/>
    <w:rsid w:val="00611398"/>
    <w:rsid w:val="0061140C"/>
    <w:rsid w:val="006115E8"/>
    <w:rsid w:val="0061189F"/>
    <w:rsid w:val="00611A6A"/>
    <w:rsid w:val="00611AAF"/>
    <w:rsid w:val="00611E54"/>
    <w:rsid w:val="00611F54"/>
    <w:rsid w:val="00612BA1"/>
    <w:rsid w:val="00612DC6"/>
    <w:rsid w:val="00613418"/>
    <w:rsid w:val="006134E4"/>
    <w:rsid w:val="006135AE"/>
    <w:rsid w:val="00614472"/>
    <w:rsid w:val="00614A66"/>
    <w:rsid w:val="00614EBF"/>
    <w:rsid w:val="00615286"/>
    <w:rsid w:val="00615401"/>
    <w:rsid w:val="00615517"/>
    <w:rsid w:val="00615D1B"/>
    <w:rsid w:val="00615D51"/>
    <w:rsid w:val="00616112"/>
    <w:rsid w:val="006164A3"/>
    <w:rsid w:val="006166BF"/>
    <w:rsid w:val="00616791"/>
    <w:rsid w:val="00616BEA"/>
    <w:rsid w:val="00616D3B"/>
    <w:rsid w:val="00616E83"/>
    <w:rsid w:val="00616EB5"/>
    <w:rsid w:val="006172C1"/>
    <w:rsid w:val="00617643"/>
    <w:rsid w:val="00617B81"/>
    <w:rsid w:val="00617D0F"/>
    <w:rsid w:val="0062097D"/>
    <w:rsid w:val="00620B71"/>
    <w:rsid w:val="00620D53"/>
    <w:rsid w:val="00620D96"/>
    <w:rsid w:val="0062137C"/>
    <w:rsid w:val="0062178C"/>
    <w:rsid w:val="00621BF7"/>
    <w:rsid w:val="00622041"/>
    <w:rsid w:val="0062256A"/>
    <w:rsid w:val="006225C8"/>
    <w:rsid w:val="006226CB"/>
    <w:rsid w:val="006228BE"/>
    <w:rsid w:val="0062298F"/>
    <w:rsid w:val="00622DE1"/>
    <w:rsid w:val="006232BE"/>
    <w:rsid w:val="006244A7"/>
    <w:rsid w:val="00624E98"/>
    <w:rsid w:val="006251CC"/>
    <w:rsid w:val="00625788"/>
    <w:rsid w:val="00625829"/>
    <w:rsid w:val="00625922"/>
    <w:rsid w:val="00625982"/>
    <w:rsid w:val="00625994"/>
    <w:rsid w:val="00625A52"/>
    <w:rsid w:val="00625C74"/>
    <w:rsid w:val="00625F03"/>
    <w:rsid w:val="00626190"/>
    <w:rsid w:val="006263A1"/>
    <w:rsid w:val="0062661B"/>
    <w:rsid w:val="006267E7"/>
    <w:rsid w:val="00626AFF"/>
    <w:rsid w:val="00626EAC"/>
    <w:rsid w:val="006270CA"/>
    <w:rsid w:val="00627316"/>
    <w:rsid w:val="00627CE1"/>
    <w:rsid w:val="0063005F"/>
    <w:rsid w:val="006306CE"/>
    <w:rsid w:val="00630B23"/>
    <w:rsid w:val="00630FFF"/>
    <w:rsid w:val="00631162"/>
    <w:rsid w:val="006312A0"/>
    <w:rsid w:val="00631363"/>
    <w:rsid w:val="00631A3D"/>
    <w:rsid w:val="00631DA2"/>
    <w:rsid w:val="00632AE4"/>
    <w:rsid w:val="00632C4B"/>
    <w:rsid w:val="00632CED"/>
    <w:rsid w:val="00632F5F"/>
    <w:rsid w:val="00632FE1"/>
    <w:rsid w:val="0063328C"/>
    <w:rsid w:val="00633476"/>
    <w:rsid w:val="0063378B"/>
    <w:rsid w:val="00633C51"/>
    <w:rsid w:val="00633D56"/>
    <w:rsid w:val="00633FA7"/>
    <w:rsid w:val="00634114"/>
    <w:rsid w:val="006343E9"/>
    <w:rsid w:val="00634A73"/>
    <w:rsid w:val="00634EF9"/>
    <w:rsid w:val="00635390"/>
    <w:rsid w:val="006354B2"/>
    <w:rsid w:val="006354C9"/>
    <w:rsid w:val="00635B7E"/>
    <w:rsid w:val="00635BCC"/>
    <w:rsid w:val="006360CD"/>
    <w:rsid w:val="006365D0"/>
    <w:rsid w:val="00636721"/>
    <w:rsid w:val="00636A30"/>
    <w:rsid w:val="00636CCA"/>
    <w:rsid w:val="00636D07"/>
    <w:rsid w:val="00637521"/>
    <w:rsid w:val="00637BB9"/>
    <w:rsid w:val="00637E6B"/>
    <w:rsid w:val="00640845"/>
    <w:rsid w:val="0064114F"/>
    <w:rsid w:val="006412F5"/>
    <w:rsid w:val="006415B5"/>
    <w:rsid w:val="0064165E"/>
    <w:rsid w:val="00641B3D"/>
    <w:rsid w:val="00641D3D"/>
    <w:rsid w:val="00642170"/>
    <w:rsid w:val="006424EB"/>
    <w:rsid w:val="006426C0"/>
    <w:rsid w:val="006427DD"/>
    <w:rsid w:val="00642887"/>
    <w:rsid w:val="006429F9"/>
    <w:rsid w:val="00642D09"/>
    <w:rsid w:val="006430B9"/>
    <w:rsid w:val="006430F0"/>
    <w:rsid w:val="00643226"/>
    <w:rsid w:val="0064383C"/>
    <w:rsid w:val="006439E5"/>
    <w:rsid w:val="00643CF5"/>
    <w:rsid w:val="00643E1C"/>
    <w:rsid w:val="00643FCE"/>
    <w:rsid w:val="0064414A"/>
    <w:rsid w:val="00644704"/>
    <w:rsid w:val="00644705"/>
    <w:rsid w:val="00644839"/>
    <w:rsid w:val="00644D6E"/>
    <w:rsid w:val="00645039"/>
    <w:rsid w:val="0064577A"/>
    <w:rsid w:val="00645AD4"/>
    <w:rsid w:val="00645BAB"/>
    <w:rsid w:val="00646376"/>
    <w:rsid w:val="006463B6"/>
    <w:rsid w:val="00646689"/>
    <w:rsid w:val="006466B6"/>
    <w:rsid w:val="0064689C"/>
    <w:rsid w:val="00646E7A"/>
    <w:rsid w:val="006470CB"/>
    <w:rsid w:val="00647215"/>
    <w:rsid w:val="00647407"/>
    <w:rsid w:val="0064744E"/>
    <w:rsid w:val="006475D9"/>
    <w:rsid w:val="0064796E"/>
    <w:rsid w:val="00647EC0"/>
    <w:rsid w:val="006502B8"/>
    <w:rsid w:val="006515C1"/>
    <w:rsid w:val="00651687"/>
    <w:rsid w:val="006518F4"/>
    <w:rsid w:val="00652355"/>
    <w:rsid w:val="006526CA"/>
    <w:rsid w:val="006526F0"/>
    <w:rsid w:val="00652864"/>
    <w:rsid w:val="00652DC9"/>
    <w:rsid w:val="006530F2"/>
    <w:rsid w:val="006536AD"/>
    <w:rsid w:val="00653CE9"/>
    <w:rsid w:val="00653EF1"/>
    <w:rsid w:val="006547F8"/>
    <w:rsid w:val="00654A2A"/>
    <w:rsid w:val="00654B0D"/>
    <w:rsid w:val="00655607"/>
    <w:rsid w:val="00655CB8"/>
    <w:rsid w:val="0065641D"/>
    <w:rsid w:val="0065669A"/>
    <w:rsid w:val="006566AB"/>
    <w:rsid w:val="00656A6A"/>
    <w:rsid w:val="00656C15"/>
    <w:rsid w:val="00656DEC"/>
    <w:rsid w:val="0065744E"/>
    <w:rsid w:val="006574AE"/>
    <w:rsid w:val="0065770B"/>
    <w:rsid w:val="00657FB0"/>
    <w:rsid w:val="0066036E"/>
    <w:rsid w:val="00660411"/>
    <w:rsid w:val="0066041E"/>
    <w:rsid w:val="006607C2"/>
    <w:rsid w:val="00660A2F"/>
    <w:rsid w:val="00660C02"/>
    <w:rsid w:val="006612EC"/>
    <w:rsid w:val="0066173E"/>
    <w:rsid w:val="0066180B"/>
    <w:rsid w:val="00662BB3"/>
    <w:rsid w:val="00662EE0"/>
    <w:rsid w:val="00662EF1"/>
    <w:rsid w:val="00662FB3"/>
    <w:rsid w:val="00663A44"/>
    <w:rsid w:val="0066400A"/>
    <w:rsid w:val="00664082"/>
    <w:rsid w:val="006644C4"/>
    <w:rsid w:val="00664580"/>
    <w:rsid w:val="006650D4"/>
    <w:rsid w:val="006654B1"/>
    <w:rsid w:val="006654C9"/>
    <w:rsid w:val="0066564C"/>
    <w:rsid w:val="006659EB"/>
    <w:rsid w:val="00665B3E"/>
    <w:rsid w:val="006662E7"/>
    <w:rsid w:val="00666397"/>
    <w:rsid w:val="0066673C"/>
    <w:rsid w:val="00666B42"/>
    <w:rsid w:val="00666CF7"/>
    <w:rsid w:val="00667571"/>
    <w:rsid w:val="006675AE"/>
    <w:rsid w:val="00667915"/>
    <w:rsid w:val="006708D2"/>
    <w:rsid w:val="00671468"/>
    <w:rsid w:val="00671637"/>
    <w:rsid w:val="00671F38"/>
    <w:rsid w:val="006724B4"/>
    <w:rsid w:val="00672546"/>
    <w:rsid w:val="00672827"/>
    <w:rsid w:val="00672A4E"/>
    <w:rsid w:val="00673199"/>
    <w:rsid w:val="0067384D"/>
    <w:rsid w:val="00673B3A"/>
    <w:rsid w:val="00673C42"/>
    <w:rsid w:val="006747A7"/>
    <w:rsid w:val="006747FF"/>
    <w:rsid w:val="00674D7E"/>
    <w:rsid w:val="0067516F"/>
    <w:rsid w:val="006759BE"/>
    <w:rsid w:val="00675E2B"/>
    <w:rsid w:val="00676037"/>
    <w:rsid w:val="00676538"/>
    <w:rsid w:val="0067663F"/>
    <w:rsid w:val="00676703"/>
    <w:rsid w:val="00676CCD"/>
    <w:rsid w:val="006771DB"/>
    <w:rsid w:val="00677DCC"/>
    <w:rsid w:val="0068048E"/>
    <w:rsid w:val="006804C9"/>
    <w:rsid w:val="006809A7"/>
    <w:rsid w:val="006811A6"/>
    <w:rsid w:val="006814AF"/>
    <w:rsid w:val="006816EB"/>
    <w:rsid w:val="0068190B"/>
    <w:rsid w:val="00681A1C"/>
    <w:rsid w:val="00682526"/>
    <w:rsid w:val="00682E76"/>
    <w:rsid w:val="00683031"/>
    <w:rsid w:val="006830B4"/>
    <w:rsid w:val="00683367"/>
    <w:rsid w:val="00683F49"/>
    <w:rsid w:val="00683FA3"/>
    <w:rsid w:val="00684224"/>
    <w:rsid w:val="00684533"/>
    <w:rsid w:val="00684646"/>
    <w:rsid w:val="006849E4"/>
    <w:rsid w:val="00684B2C"/>
    <w:rsid w:val="00684BBE"/>
    <w:rsid w:val="00685080"/>
    <w:rsid w:val="006853E2"/>
    <w:rsid w:val="006853F8"/>
    <w:rsid w:val="006857F0"/>
    <w:rsid w:val="00685870"/>
    <w:rsid w:val="00685ABF"/>
    <w:rsid w:val="00685F65"/>
    <w:rsid w:val="00686856"/>
    <w:rsid w:val="00687237"/>
    <w:rsid w:val="00687963"/>
    <w:rsid w:val="00687CBF"/>
    <w:rsid w:val="00687FF1"/>
    <w:rsid w:val="006902D2"/>
    <w:rsid w:val="00690CBF"/>
    <w:rsid w:val="006911EA"/>
    <w:rsid w:val="00691205"/>
    <w:rsid w:val="00691222"/>
    <w:rsid w:val="00691399"/>
    <w:rsid w:val="006914EC"/>
    <w:rsid w:val="006917F3"/>
    <w:rsid w:val="00691BAC"/>
    <w:rsid w:val="00691C3D"/>
    <w:rsid w:val="00691CD9"/>
    <w:rsid w:val="00692245"/>
    <w:rsid w:val="00692278"/>
    <w:rsid w:val="006926E3"/>
    <w:rsid w:val="0069292C"/>
    <w:rsid w:val="00693031"/>
    <w:rsid w:val="006930A0"/>
    <w:rsid w:val="006934B7"/>
    <w:rsid w:val="00693570"/>
    <w:rsid w:val="00693755"/>
    <w:rsid w:val="00693AD9"/>
    <w:rsid w:val="00693B83"/>
    <w:rsid w:val="00693C74"/>
    <w:rsid w:val="00694629"/>
    <w:rsid w:val="0069492C"/>
    <w:rsid w:val="00694B0D"/>
    <w:rsid w:val="00694B5D"/>
    <w:rsid w:val="00694B64"/>
    <w:rsid w:val="00694D6A"/>
    <w:rsid w:val="00694E46"/>
    <w:rsid w:val="00695000"/>
    <w:rsid w:val="0069560A"/>
    <w:rsid w:val="00695778"/>
    <w:rsid w:val="00695B03"/>
    <w:rsid w:val="00695C77"/>
    <w:rsid w:val="00697043"/>
    <w:rsid w:val="0069746F"/>
    <w:rsid w:val="006977C8"/>
    <w:rsid w:val="00697A41"/>
    <w:rsid w:val="006A02DB"/>
    <w:rsid w:val="006A0494"/>
    <w:rsid w:val="006A0683"/>
    <w:rsid w:val="006A0967"/>
    <w:rsid w:val="006A0A98"/>
    <w:rsid w:val="006A0D7B"/>
    <w:rsid w:val="006A0D8F"/>
    <w:rsid w:val="006A1062"/>
    <w:rsid w:val="006A14E5"/>
    <w:rsid w:val="006A1675"/>
    <w:rsid w:val="006A18E3"/>
    <w:rsid w:val="006A1B51"/>
    <w:rsid w:val="006A1D4D"/>
    <w:rsid w:val="006A217C"/>
    <w:rsid w:val="006A21A3"/>
    <w:rsid w:val="006A26F4"/>
    <w:rsid w:val="006A3096"/>
    <w:rsid w:val="006A30A1"/>
    <w:rsid w:val="006A32CB"/>
    <w:rsid w:val="006A3365"/>
    <w:rsid w:val="006A3635"/>
    <w:rsid w:val="006A36A0"/>
    <w:rsid w:val="006A39A8"/>
    <w:rsid w:val="006A3BEB"/>
    <w:rsid w:val="006A44C2"/>
    <w:rsid w:val="006A501F"/>
    <w:rsid w:val="006A5456"/>
    <w:rsid w:val="006A5ECB"/>
    <w:rsid w:val="006A63A8"/>
    <w:rsid w:val="006A6663"/>
    <w:rsid w:val="006A6A51"/>
    <w:rsid w:val="006A71AB"/>
    <w:rsid w:val="006A71FF"/>
    <w:rsid w:val="006A73E4"/>
    <w:rsid w:val="006A7505"/>
    <w:rsid w:val="006A79EC"/>
    <w:rsid w:val="006A7E9A"/>
    <w:rsid w:val="006A7F75"/>
    <w:rsid w:val="006B0C3C"/>
    <w:rsid w:val="006B0D89"/>
    <w:rsid w:val="006B1235"/>
    <w:rsid w:val="006B1336"/>
    <w:rsid w:val="006B1615"/>
    <w:rsid w:val="006B1810"/>
    <w:rsid w:val="006B1A62"/>
    <w:rsid w:val="006B1C00"/>
    <w:rsid w:val="006B1E95"/>
    <w:rsid w:val="006B1F1D"/>
    <w:rsid w:val="006B2B61"/>
    <w:rsid w:val="006B2C9D"/>
    <w:rsid w:val="006B2CB5"/>
    <w:rsid w:val="006B303D"/>
    <w:rsid w:val="006B32DC"/>
    <w:rsid w:val="006B32F3"/>
    <w:rsid w:val="006B3809"/>
    <w:rsid w:val="006B3C6B"/>
    <w:rsid w:val="006B4347"/>
    <w:rsid w:val="006B4442"/>
    <w:rsid w:val="006B451D"/>
    <w:rsid w:val="006B4E40"/>
    <w:rsid w:val="006B5016"/>
    <w:rsid w:val="006B51C2"/>
    <w:rsid w:val="006B5585"/>
    <w:rsid w:val="006B5A61"/>
    <w:rsid w:val="006B5B63"/>
    <w:rsid w:val="006B5B8C"/>
    <w:rsid w:val="006B5C19"/>
    <w:rsid w:val="006B60D3"/>
    <w:rsid w:val="006B60DB"/>
    <w:rsid w:val="006B66E0"/>
    <w:rsid w:val="006B6882"/>
    <w:rsid w:val="006B6C25"/>
    <w:rsid w:val="006B7046"/>
    <w:rsid w:val="006B70E9"/>
    <w:rsid w:val="006B715F"/>
    <w:rsid w:val="006B7A94"/>
    <w:rsid w:val="006B7E96"/>
    <w:rsid w:val="006B7FBB"/>
    <w:rsid w:val="006C04F4"/>
    <w:rsid w:val="006C0859"/>
    <w:rsid w:val="006C0A78"/>
    <w:rsid w:val="006C181E"/>
    <w:rsid w:val="006C1E10"/>
    <w:rsid w:val="006C1EA0"/>
    <w:rsid w:val="006C2387"/>
    <w:rsid w:val="006C2A7A"/>
    <w:rsid w:val="006C2F2C"/>
    <w:rsid w:val="006C377B"/>
    <w:rsid w:val="006C377F"/>
    <w:rsid w:val="006C3843"/>
    <w:rsid w:val="006C42A6"/>
    <w:rsid w:val="006C4320"/>
    <w:rsid w:val="006C4481"/>
    <w:rsid w:val="006C44FD"/>
    <w:rsid w:val="006C48F4"/>
    <w:rsid w:val="006C58E2"/>
    <w:rsid w:val="006C593C"/>
    <w:rsid w:val="006C5980"/>
    <w:rsid w:val="006C5CCB"/>
    <w:rsid w:val="006C6398"/>
    <w:rsid w:val="006C6723"/>
    <w:rsid w:val="006C6ADA"/>
    <w:rsid w:val="006C713F"/>
    <w:rsid w:val="006C7B85"/>
    <w:rsid w:val="006C7F64"/>
    <w:rsid w:val="006D0951"/>
    <w:rsid w:val="006D0B29"/>
    <w:rsid w:val="006D1501"/>
    <w:rsid w:val="006D1BE6"/>
    <w:rsid w:val="006D1D51"/>
    <w:rsid w:val="006D2362"/>
    <w:rsid w:val="006D2554"/>
    <w:rsid w:val="006D25AE"/>
    <w:rsid w:val="006D2BA1"/>
    <w:rsid w:val="006D3711"/>
    <w:rsid w:val="006D44C4"/>
    <w:rsid w:val="006D450D"/>
    <w:rsid w:val="006D4F47"/>
    <w:rsid w:val="006D5521"/>
    <w:rsid w:val="006D5A45"/>
    <w:rsid w:val="006D5EBC"/>
    <w:rsid w:val="006D60EE"/>
    <w:rsid w:val="006D6176"/>
    <w:rsid w:val="006D652A"/>
    <w:rsid w:val="006D6874"/>
    <w:rsid w:val="006D69C5"/>
    <w:rsid w:val="006D6E34"/>
    <w:rsid w:val="006D7324"/>
    <w:rsid w:val="006D743F"/>
    <w:rsid w:val="006D755C"/>
    <w:rsid w:val="006D77AE"/>
    <w:rsid w:val="006D77F7"/>
    <w:rsid w:val="006D7808"/>
    <w:rsid w:val="006D7CA9"/>
    <w:rsid w:val="006D7E38"/>
    <w:rsid w:val="006D7E82"/>
    <w:rsid w:val="006D7F80"/>
    <w:rsid w:val="006E044B"/>
    <w:rsid w:val="006E04C5"/>
    <w:rsid w:val="006E08D5"/>
    <w:rsid w:val="006E0A8A"/>
    <w:rsid w:val="006E0B94"/>
    <w:rsid w:val="006E1818"/>
    <w:rsid w:val="006E1D18"/>
    <w:rsid w:val="006E1D45"/>
    <w:rsid w:val="006E22B4"/>
    <w:rsid w:val="006E2616"/>
    <w:rsid w:val="006E2887"/>
    <w:rsid w:val="006E2AFB"/>
    <w:rsid w:val="006E2BDA"/>
    <w:rsid w:val="006E2ECF"/>
    <w:rsid w:val="006E31FC"/>
    <w:rsid w:val="006E33C0"/>
    <w:rsid w:val="006E3438"/>
    <w:rsid w:val="006E3962"/>
    <w:rsid w:val="006E406B"/>
    <w:rsid w:val="006E444F"/>
    <w:rsid w:val="006E457E"/>
    <w:rsid w:val="006E4778"/>
    <w:rsid w:val="006E4EAB"/>
    <w:rsid w:val="006E536A"/>
    <w:rsid w:val="006E5398"/>
    <w:rsid w:val="006E54C7"/>
    <w:rsid w:val="006E56EA"/>
    <w:rsid w:val="006E59A7"/>
    <w:rsid w:val="006E6277"/>
    <w:rsid w:val="006E696B"/>
    <w:rsid w:val="006E6AB7"/>
    <w:rsid w:val="006E70AF"/>
    <w:rsid w:val="006E7BCE"/>
    <w:rsid w:val="006E7C3A"/>
    <w:rsid w:val="006F03A9"/>
    <w:rsid w:val="006F0FFF"/>
    <w:rsid w:val="006F12F3"/>
    <w:rsid w:val="006F14C7"/>
    <w:rsid w:val="006F1D0D"/>
    <w:rsid w:val="006F1DBF"/>
    <w:rsid w:val="006F1DFD"/>
    <w:rsid w:val="006F210F"/>
    <w:rsid w:val="006F24B4"/>
    <w:rsid w:val="006F2776"/>
    <w:rsid w:val="006F2A46"/>
    <w:rsid w:val="006F2E44"/>
    <w:rsid w:val="006F2ED0"/>
    <w:rsid w:val="006F3017"/>
    <w:rsid w:val="006F3D3B"/>
    <w:rsid w:val="006F3DB9"/>
    <w:rsid w:val="006F3FEB"/>
    <w:rsid w:val="006F461D"/>
    <w:rsid w:val="006F4909"/>
    <w:rsid w:val="006F4A57"/>
    <w:rsid w:val="006F51FC"/>
    <w:rsid w:val="006F5230"/>
    <w:rsid w:val="006F5275"/>
    <w:rsid w:val="006F5B7D"/>
    <w:rsid w:val="006F5D31"/>
    <w:rsid w:val="006F5DA2"/>
    <w:rsid w:val="006F6BC5"/>
    <w:rsid w:val="006F6CB9"/>
    <w:rsid w:val="006F6E8D"/>
    <w:rsid w:val="006F6F97"/>
    <w:rsid w:val="006F71E7"/>
    <w:rsid w:val="006F7828"/>
    <w:rsid w:val="006F794D"/>
    <w:rsid w:val="006F7C20"/>
    <w:rsid w:val="006F7CD4"/>
    <w:rsid w:val="006F7FD7"/>
    <w:rsid w:val="007002CD"/>
    <w:rsid w:val="00700316"/>
    <w:rsid w:val="00700431"/>
    <w:rsid w:val="007005AB"/>
    <w:rsid w:val="00700700"/>
    <w:rsid w:val="0070106F"/>
    <w:rsid w:val="00701F29"/>
    <w:rsid w:val="007026D8"/>
    <w:rsid w:val="00702BE1"/>
    <w:rsid w:val="007030FC"/>
    <w:rsid w:val="00703330"/>
    <w:rsid w:val="00703C09"/>
    <w:rsid w:val="00703DA9"/>
    <w:rsid w:val="00704483"/>
    <w:rsid w:val="0070455E"/>
    <w:rsid w:val="00704939"/>
    <w:rsid w:val="00704DA4"/>
    <w:rsid w:val="00705493"/>
    <w:rsid w:val="0070692C"/>
    <w:rsid w:val="00706A74"/>
    <w:rsid w:val="00706D25"/>
    <w:rsid w:val="00706F11"/>
    <w:rsid w:val="00707209"/>
    <w:rsid w:val="00707552"/>
    <w:rsid w:val="00707AE8"/>
    <w:rsid w:val="007103AC"/>
    <w:rsid w:val="00710421"/>
    <w:rsid w:val="007104E6"/>
    <w:rsid w:val="00710593"/>
    <w:rsid w:val="0071087E"/>
    <w:rsid w:val="00710982"/>
    <w:rsid w:val="00710F2E"/>
    <w:rsid w:val="00711704"/>
    <w:rsid w:val="0071183F"/>
    <w:rsid w:val="00711BA1"/>
    <w:rsid w:val="00712231"/>
    <w:rsid w:val="0071270D"/>
    <w:rsid w:val="00712792"/>
    <w:rsid w:val="007128AD"/>
    <w:rsid w:val="00712A06"/>
    <w:rsid w:val="00713866"/>
    <w:rsid w:val="00713B21"/>
    <w:rsid w:val="0071400B"/>
    <w:rsid w:val="00714087"/>
    <w:rsid w:val="00714214"/>
    <w:rsid w:val="0071437A"/>
    <w:rsid w:val="007151FA"/>
    <w:rsid w:val="007156B4"/>
    <w:rsid w:val="00715766"/>
    <w:rsid w:val="00715838"/>
    <w:rsid w:val="00715E3E"/>
    <w:rsid w:val="0071609B"/>
    <w:rsid w:val="007166B0"/>
    <w:rsid w:val="00716774"/>
    <w:rsid w:val="00717401"/>
    <w:rsid w:val="00717BE7"/>
    <w:rsid w:val="00717FBF"/>
    <w:rsid w:val="007209A7"/>
    <w:rsid w:val="00720A64"/>
    <w:rsid w:val="00720B39"/>
    <w:rsid w:val="00720BCA"/>
    <w:rsid w:val="00721386"/>
    <w:rsid w:val="007213F3"/>
    <w:rsid w:val="0072151A"/>
    <w:rsid w:val="00721613"/>
    <w:rsid w:val="007218E2"/>
    <w:rsid w:val="00721F52"/>
    <w:rsid w:val="00722776"/>
    <w:rsid w:val="00722A31"/>
    <w:rsid w:val="00722E65"/>
    <w:rsid w:val="00722E83"/>
    <w:rsid w:val="00722E88"/>
    <w:rsid w:val="0072303B"/>
    <w:rsid w:val="007230C8"/>
    <w:rsid w:val="00723119"/>
    <w:rsid w:val="0072352D"/>
    <w:rsid w:val="00723967"/>
    <w:rsid w:val="00723C46"/>
    <w:rsid w:val="00723E73"/>
    <w:rsid w:val="007242E8"/>
    <w:rsid w:val="007245EF"/>
    <w:rsid w:val="007248A0"/>
    <w:rsid w:val="0072492D"/>
    <w:rsid w:val="00724A27"/>
    <w:rsid w:val="00725A64"/>
    <w:rsid w:val="00725F6B"/>
    <w:rsid w:val="00726AD8"/>
    <w:rsid w:val="00726B8D"/>
    <w:rsid w:val="00727C64"/>
    <w:rsid w:val="00727E26"/>
    <w:rsid w:val="00727EEA"/>
    <w:rsid w:val="00727EEE"/>
    <w:rsid w:val="00727F14"/>
    <w:rsid w:val="0073015B"/>
    <w:rsid w:val="0073028C"/>
    <w:rsid w:val="0073035D"/>
    <w:rsid w:val="00730F97"/>
    <w:rsid w:val="0073122B"/>
    <w:rsid w:val="007313E6"/>
    <w:rsid w:val="007315DE"/>
    <w:rsid w:val="00731B68"/>
    <w:rsid w:val="00731EF3"/>
    <w:rsid w:val="00732B99"/>
    <w:rsid w:val="00733183"/>
    <w:rsid w:val="0073364B"/>
    <w:rsid w:val="00733819"/>
    <w:rsid w:val="007339E4"/>
    <w:rsid w:val="00733DF4"/>
    <w:rsid w:val="007340E9"/>
    <w:rsid w:val="00734452"/>
    <w:rsid w:val="0073452C"/>
    <w:rsid w:val="00734B72"/>
    <w:rsid w:val="00734C65"/>
    <w:rsid w:val="00734CDB"/>
    <w:rsid w:val="007350EB"/>
    <w:rsid w:val="00735123"/>
    <w:rsid w:val="00735188"/>
    <w:rsid w:val="00735B31"/>
    <w:rsid w:val="00735BFD"/>
    <w:rsid w:val="00735EF7"/>
    <w:rsid w:val="00736D04"/>
    <w:rsid w:val="007372B4"/>
    <w:rsid w:val="00737561"/>
    <w:rsid w:val="007378D1"/>
    <w:rsid w:val="00737B6D"/>
    <w:rsid w:val="00737BC1"/>
    <w:rsid w:val="00737D92"/>
    <w:rsid w:val="00737E73"/>
    <w:rsid w:val="007401F3"/>
    <w:rsid w:val="007405B8"/>
    <w:rsid w:val="007408C1"/>
    <w:rsid w:val="00740BF0"/>
    <w:rsid w:val="00740D05"/>
    <w:rsid w:val="0074122E"/>
    <w:rsid w:val="0074165E"/>
    <w:rsid w:val="00741E35"/>
    <w:rsid w:val="007423F0"/>
    <w:rsid w:val="007424AC"/>
    <w:rsid w:val="00742626"/>
    <w:rsid w:val="0074292B"/>
    <w:rsid w:val="00742BC5"/>
    <w:rsid w:val="00742C6A"/>
    <w:rsid w:val="00742D03"/>
    <w:rsid w:val="00742DA8"/>
    <w:rsid w:val="00743405"/>
    <w:rsid w:val="0074352D"/>
    <w:rsid w:val="00743790"/>
    <w:rsid w:val="00743B32"/>
    <w:rsid w:val="00743DEB"/>
    <w:rsid w:val="00744454"/>
    <w:rsid w:val="007446F8"/>
    <w:rsid w:val="00744B06"/>
    <w:rsid w:val="00744DF7"/>
    <w:rsid w:val="00745667"/>
    <w:rsid w:val="00745896"/>
    <w:rsid w:val="0074591C"/>
    <w:rsid w:val="00745A2B"/>
    <w:rsid w:val="00745D02"/>
    <w:rsid w:val="00745FA8"/>
    <w:rsid w:val="0074615B"/>
    <w:rsid w:val="007462CC"/>
    <w:rsid w:val="00746328"/>
    <w:rsid w:val="007464DC"/>
    <w:rsid w:val="00746689"/>
    <w:rsid w:val="007468E7"/>
    <w:rsid w:val="00746AE7"/>
    <w:rsid w:val="00746D17"/>
    <w:rsid w:val="00746D30"/>
    <w:rsid w:val="00746F05"/>
    <w:rsid w:val="007470A4"/>
    <w:rsid w:val="007470D9"/>
    <w:rsid w:val="0074762D"/>
    <w:rsid w:val="007476B3"/>
    <w:rsid w:val="007479AA"/>
    <w:rsid w:val="00747E2D"/>
    <w:rsid w:val="0075001F"/>
    <w:rsid w:val="0075038C"/>
    <w:rsid w:val="007508D5"/>
    <w:rsid w:val="00750983"/>
    <w:rsid w:val="00750A3F"/>
    <w:rsid w:val="00750CC4"/>
    <w:rsid w:val="0075172C"/>
    <w:rsid w:val="00751C7F"/>
    <w:rsid w:val="00751D25"/>
    <w:rsid w:val="00752075"/>
    <w:rsid w:val="007522B2"/>
    <w:rsid w:val="0075233A"/>
    <w:rsid w:val="00752495"/>
    <w:rsid w:val="007526B0"/>
    <w:rsid w:val="007528A7"/>
    <w:rsid w:val="007528CA"/>
    <w:rsid w:val="00752CCC"/>
    <w:rsid w:val="00753058"/>
    <w:rsid w:val="00753252"/>
    <w:rsid w:val="007532B8"/>
    <w:rsid w:val="00753552"/>
    <w:rsid w:val="00753571"/>
    <w:rsid w:val="007535EA"/>
    <w:rsid w:val="0075377B"/>
    <w:rsid w:val="00753C19"/>
    <w:rsid w:val="00753C52"/>
    <w:rsid w:val="0075428E"/>
    <w:rsid w:val="00754635"/>
    <w:rsid w:val="00754A63"/>
    <w:rsid w:val="00754FB3"/>
    <w:rsid w:val="007551E4"/>
    <w:rsid w:val="00755426"/>
    <w:rsid w:val="007554C6"/>
    <w:rsid w:val="00755978"/>
    <w:rsid w:val="00755CDF"/>
    <w:rsid w:val="007565EE"/>
    <w:rsid w:val="0075673C"/>
    <w:rsid w:val="0075678C"/>
    <w:rsid w:val="007567F9"/>
    <w:rsid w:val="00756D1A"/>
    <w:rsid w:val="00756E56"/>
    <w:rsid w:val="007574D4"/>
    <w:rsid w:val="00760505"/>
    <w:rsid w:val="00760761"/>
    <w:rsid w:val="0076078F"/>
    <w:rsid w:val="007609DD"/>
    <w:rsid w:val="00760CB2"/>
    <w:rsid w:val="00760DE4"/>
    <w:rsid w:val="00761110"/>
    <w:rsid w:val="0076175E"/>
    <w:rsid w:val="007623B6"/>
    <w:rsid w:val="007626F4"/>
    <w:rsid w:val="00762B1D"/>
    <w:rsid w:val="00763430"/>
    <w:rsid w:val="00763BEC"/>
    <w:rsid w:val="00763DC8"/>
    <w:rsid w:val="00763EC1"/>
    <w:rsid w:val="0076454B"/>
    <w:rsid w:val="0076481E"/>
    <w:rsid w:val="00764D4E"/>
    <w:rsid w:val="0076509D"/>
    <w:rsid w:val="007652C5"/>
    <w:rsid w:val="00765C7F"/>
    <w:rsid w:val="00766427"/>
    <w:rsid w:val="00766473"/>
    <w:rsid w:val="00766B8C"/>
    <w:rsid w:val="00767162"/>
    <w:rsid w:val="007671A1"/>
    <w:rsid w:val="007671D9"/>
    <w:rsid w:val="007676A7"/>
    <w:rsid w:val="00767C06"/>
    <w:rsid w:val="00767C16"/>
    <w:rsid w:val="007705CF"/>
    <w:rsid w:val="007708CC"/>
    <w:rsid w:val="00770E12"/>
    <w:rsid w:val="00771436"/>
    <w:rsid w:val="0077154B"/>
    <w:rsid w:val="00771DAA"/>
    <w:rsid w:val="00771DB1"/>
    <w:rsid w:val="007722A9"/>
    <w:rsid w:val="007722E7"/>
    <w:rsid w:val="007724B2"/>
    <w:rsid w:val="00772645"/>
    <w:rsid w:val="00772879"/>
    <w:rsid w:val="00772E78"/>
    <w:rsid w:val="00772FE2"/>
    <w:rsid w:val="00773023"/>
    <w:rsid w:val="00773223"/>
    <w:rsid w:val="00773252"/>
    <w:rsid w:val="007736CC"/>
    <w:rsid w:val="00774148"/>
    <w:rsid w:val="00774159"/>
    <w:rsid w:val="0077429D"/>
    <w:rsid w:val="00774681"/>
    <w:rsid w:val="00774FD8"/>
    <w:rsid w:val="00775137"/>
    <w:rsid w:val="007753C5"/>
    <w:rsid w:val="007755D5"/>
    <w:rsid w:val="00775845"/>
    <w:rsid w:val="00775910"/>
    <w:rsid w:val="00775922"/>
    <w:rsid w:val="00775A57"/>
    <w:rsid w:val="00776135"/>
    <w:rsid w:val="007768F3"/>
    <w:rsid w:val="00776F58"/>
    <w:rsid w:val="00777610"/>
    <w:rsid w:val="00777877"/>
    <w:rsid w:val="00777A7F"/>
    <w:rsid w:val="00777B3A"/>
    <w:rsid w:val="00777F01"/>
    <w:rsid w:val="007801E5"/>
    <w:rsid w:val="00780522"/>
    <w:rsid w:val="00780D47"/>
    <w:rsid w:val="00780EF0"/>
    <w:rsid w:val="00781113"/>
    <w:rsid w:val="0078180C"/>
    <w:rsid w:val="00782152"/>
    <w:rsid w:val="0078222D"/>
    <w:rsid w:val="00782422"/>
    <w:rsid w:val="0078278C"/>
    <w:rsid w:val="0078289E"/>
    <w:rsid w:val="00782EEB"/>
    <w:rsid w:val="007835FC"/>
    <w:rsid w:val="00783A3C"/>
    <w:rsid w:val="00784832"/>
    <w:rsid w:val="00784A0A"/>
    <w:rsid w:val="00784D15"/>
    <w:rsid w:val="00784ED6"/>
    <w:rsid w:val="007852A8"/>
    <w:rsid w:val="007853E0"/>
    <w:rsid w:val="00785621"/>
    <w:rsid w:val="00785A2B"/>
    <w:rsid w:val="00785AAD"/>
    <w:rsid w:val="00786279"/>
    <w:rsid w:val="007862AE"/>
    <w:rsid w:val="007862FF"/>
    <w:rsid w:val="00786778"/>
    <w:rsid w:val="00786AE1"/>
    <w:rsid w:val="00786B5E"/>
    <w:rsid w:val="00786D38"/>
    <w:rsid w:val="0078703C"/>
    <w:rsid w:val="00787087"/>
    <w:rsid w:val="0078711F"/>
    <w:rsid w:val="00787A53"/>
    <w:rsid w:val="00787C8D"/>
    <w:rsid w:val="00790312"/>
    <w:rsid w:val="00790835"/>
    <w:rsid w:val="0079083B"/>
    <w:rsid w:val="00790A15"/>
    <w:rsid w:val="00790B00"/>
    <w:rsid w:val="00790CC5"/>
    <w:rsid w:val="00791A76"/>
    <w:rsid w:val="00791A7C"/>
    <w:rsid w:val="00791DC0"/>
    <w:rsid w:val="007920AF"/>
    <w:rsid w:val="007920C1"/>
    <w:rsid w:val="00792257"/>
    <w:rsid w:val="0079269C"/>
    <w:rsid w:val="00792DA4"/>
    <w:rsid w:val="0079343C"/>
    <w:rsid w:val="00793535"/>
    <w:rsid w:val="0079354F"/>
    <w:rsid w:val="00793758"/>
    <w:rsid w:val="00793813"/>
    <w:rsid w:val="00793A68"/>
    <w:rsid w:val="00793A93"/>
    <w:rsid w:val="00793C4B"/>
    <w:rsid w:val="00794406"/>
    <w:rsid w:val="00794A0B"/>
    <w:rsid w:val="00794D46"/>
    <w:rsid w:val="00795555"/>
    <w:rsid w:val="00795568"/>
    <w:rsid w:val="0079567E"/>
    <w:rsid w:val="007958AA"/>
    <w:rsid w:val="00795B5C"/>
    <w:rsid w:val="00796226"/>
    <w:rsid w:val="007964FA"/>
    <w:rsid w:val="007966BD"/>
    <w:rsid w:val="0079673C"/>
    <w:rsid w:val="00796917"/>
    <w:rsid w:val="00796AD7"/>
    <w:rsid w:val="00796CA5"/>
    <w:rsid w:val="007972C3"/>
    <w:rsid w:val="0079782F"/>
    <w:rsid w:val="007979FC"/>
    <w:rsid w:val="00797DA6"/>
    <w:rsid w:val="007A02DA"/>
    <w:rsid w:val="007A0898"/>
    <w:rsid w:val="007A0E59"/>
    <w:rsid w:val="007A0E99"/>
    <w:rsid w:val="007A1303"/>
    <w:rsid w:val="007A162E"/>
    <w:rsid w:val="007A283B"/>
    <w:rsid w:val="007A2F88"/>
    <w:rsid w:val="007A3102"/>
    <w:rsid w:val="007A33D2"/>
    <w:rsid w:val="007A3818"/>
    <w:rsid w:val="007A38D9"/>
    <w:rsid w:val="007A3A31"/>
    <w:rsid w:val="007A42BC"/>
    <w:rsid w:val="007A4469"/>
    <w:rsid w:val="007A44DF"/>
    <w:rsid w:val="007A4CF4"/>
    <w:rsid w:val="007A51EC"/>
    <w:rsid w:val="007A5C28"/>
    <w:rsid w:val="007A60E4"/>
    <w:rsid w:val="007A61B4"/>
    <w:rsid w:val="007A6C56"/>
    <w:rsid w:val="007A717A"/>
    <w:rsid w:val="007A7547"/>
    <w:rsid w:val="007B031F"/>
    <w:rsid w:val="007B03F5"/>
    <w:rsid w:val="007B054A"/>
    <w:rsid w:val="007B0785"/>
    <w:rsid w:val="007B07E8"/>
    <w:rsid w:val="007B0E71"/>
    <w:rsid w:val="007B159D"/>
    <w:rsid w:val="007B1659"/>
    <w:rsid w:val="007B1BC3"/>
    <w:rsid w:val="007B2127"/>
    <w:rsid w:val="007B24D0"/>
    <w:rsid w:val="007B2676"/>
    <w:rsid w:val="007B2D70"/>
    <w:rsid w:val="007B306C"/>
    <w:rsid w:val="007B30ED"/>
    <w:rsid w:val="007B3329"/>
    <w:rsid w:val="007B3723"/>
    <w:rsid w:val="007B39F0"/>
    <w:rsid w:val="007B3ECE"/>
    <w:rsid w:val="007B43C4"/>
    <w:rsid w:val="007B4D86"/>
    <w:rsid w:val="007B5530"/>
    <w:rsid w:val="007B5550"/>
    <w:rsid w:val="007B566C"/>
    <w:rsid w:val="007B6082"/>
    <w:rsid w:val="007B60C4"/>
    <w:rsid w:val="007B62BF"/>
    <w:rsid w:val="007B66F7"/>
    <w:rsid w:val="007B68E1"/>
    <w:rsid w:val="007B6984"/>
    <w:rsid w:val="007B74BB"/>
    <w:rsid w:val="007B7653"/>
    <w:rsid w:val="007B7B20"/>
    <w:rsid w:val="007C009A"/>
    <w:rsid w:val="007C00FE"/>
    <w:rsid w:val="007C036E"/>
    <w:rsid w:val="007C04C6"/>
    <w:rsid w:val="007C11F1"/>
    <w:rsid w:val="007C1408"/>
    <w:rsid w:val="007C24FF"/>
    <w:rsid w:val="007C26AE"/>
    <w:rsid w:val="007C30F5"/>
    <w:rsid w:val="007C3584"/>
    <w:rsid w:val="007C37B1"/>
    <w:rsid w:val="007C39B8"/>
    <w:rsid w:val="007C3B92"/>
    <w:rsid w:val="007C3F60"/>
    <w:rsid w:val="007C4084"/>
    <w:rsid w:val="007C41C1"/>
    <w:rsid w:val="007C4217"/>
    <w:rsid w:val="007C44C1"/>
    <w:rsid w:val="007C4599"/>
    <w:rsid w:val="007C4735"/>
    <w:rsid w:val="007C479C"/>
    <w:rsid w:val="007C48AC"/>
    <w:rsid w:val="007C5044"/>
    <w:rsid w:val="007C507E"/>
    <w:rsid w:val="007C589C"/>
    <w:rsid w:val="007C5ADF"/>
    <w:rsid w:val="007C5D62"/>
    <w:rsid w:val="007C5F58"/>
    <w:rsid w:val="007C6594"/>
    <w:rsid w:val="007C70C2"/>
    <w:rsid w:val="007C70C4"/>
    <w:rsid w:val="007C748B"/>
    <w:rsid w:val="007C75F9"/>
    <w:rsid w:val="007C777C"/>
    <w:rsid w:val="007C7B2D"/>
    <w:rsid w:val="007C7BF3"/>
    <w:rsid w:val="007D0409"/>
    <w:rsid w:val="007D0798"/>
    <w:rsid w:val="007D0896"/>
    <w:rsid w:val="007D10A9"/>
    <w:rsid w:val="007D12AD"/>
    <w:rsid w:val="007D13B4"/>
    <w:rsid w:val="007D1756"/>
    <w:rsid w:val="007D194F"/>
    <w:rsid w:val="007D1A56"/>
    <w:rsid w:val="007D1D84"/>
    <w:rsid w:val="007D1E32"/>
    <w:rsid w:val="007D24A3"/>
    <w:rsid w:val="007D2613"/>
    <w:rsid w:val="007D2963"/>
    <w:rsid w:val="007D2C29"/>
    <w:rsid w:val="007D301C"/>
    <w:rsid w:val="007D30B2"/>
    <w:rsid w:val="007D32E8"/>
    <w:rsid w:val="007D34AD"/>
    <w:rsid w:val="007D34DA"/>
    <w:rsid w:val="007D35D8"/>
    <w:rsid w:val="007D3835"/>
    <w:rsid w:val="007D3EF4"/>
    <w:rsid w:val="007D4077"/>
    <w:rsid w:val="007D4303"/>
    <w:rsid w:val="007D4A7D"/>
    <w:rsid w:val="007D5030"/>
    <w:rsid w:val="007D509E"/>
    <w:rsid w:val="007D52B7"/>
    <w:rsid w:val="007D5AC4"/>
    <w:rsid w:val="007D5B6B"/>
    <w:rsid w:val="007D5C47"/>
    <w:rsid w:val="007D63A8"/>
    <w:rsid w:val="007D6463"/>
    <w:rsid w:val="007D6762"/>
    <w:rsid w:val="007D6873"/>
    <w:rsid w:val="007D6EEB"/>
    <w:rsid w:val="007D701A"/>
    <w:rsid w:val="007D7122"/>
    <w:rsid w:val="007D7658"/>
    <w:rsid w:val="007D76DE"/>
    <w:rsid w:val="007D7D67"/>
    <w:rsid w:val="007E0F93"/>
    <w:rsid w:val="007E121C"/>
    <w:rsid w:val="007E16D9"/>
    <w:rsid w:val="007E1954"/>
    <w:rsid w:val="007E21F1"/>
    <w:rsid w:val="007E2287"/>
    <w:rsid w:val="007E24C2"/>
    <w:rsid w:val="007E2CD2"/>
    <w:rsid w:val="007E302B"/>
    <w:rsid w:val="007E34AB"/>
    <w:rsid w:val="007E3619"/>
    <w:rsid w:val="007E38AF"/>
    <w:rsid w:val="007E43F1"/>
    <w:rsid w:val="007E4585"/>
    <w:rsid w:val="007E477E"/>
    <w:rsid w:val="007E47AA"/>
    <w:rsid w:val="007E4AAE"/>
    <w:rsid w:val="007E4AE1"/>
    <w:rsid w:val="007E4D4A"/>
    <w:rsid w:val="007E4E69"/>
    <w:rsid w:val="007E4F2B"/>
    <w:rsid w:val="007E5205"/>
    <w:rsid w:val="007E568A"/>
    <w:rsid w:val="007E56D2"/>
    <w:rsid w:val="007E599D"/>
    <w:rsid w:val="007E5A0C"/>
    <w:rsid w:val="007E5E9C"/>
    <w:rsid w:val="007E619D"/>
    <w:rsid w:val="007E6338"/>
    <w:rsid w:val="007E653C"/>
    <w:rsid w:val="007E65B7"/>
    <w:rsid w:val="007E65E2"/>
    <w:rsid w:val="007E68B9"/>
    <w:rsid w:val="007E6A9A"/>
    <w:rsid w:val="007E6B80"/>
    <w:rsid w:val="007E6CF9"/>
    <w:rsid w:val="007E70DC"/>
    <w:rsid w:val="007E72A9"/>
    <w:rsid w:val="007E7428"/>
    <w:rsid w:val="007E78AB"/>
    <w:rsid w:val="007E7C3C"/>
    <w:rsid w:val="007F008F"/>
    <w:rsid w:val="007F01D8"/>
    <w:rsid w:val="007F09EA"/>
    <w:rsid w:val="007F0B26"/>
    <w:rsid w:val="007F161B"/>
    <w:rsid w:val="007F16CA"/>
    <w:rsid w:val="007F18B7"/>
    <w:rsid w:val="007F1C9D"/>
    <w:rsid w:val="007F1E31"/>
    <w:rsid w:val="007F1F58"/>
    <w:rsid w:val="007F21D6"/>
    <w:rsid w:val="007F24FA"/>
    <w:rsid w:val="007F26A3"/>
    <w:rsid w:val="007F293C"/>
    <w:rsid w:val="007F2C1B"/>
    <w:rsid w:val="007F2F62"/>
    <w:rsid w:val="007F3266"/>
    <w:rsid w:val="007F38BD"/>
    <w:rsid w:val="007F39C3"/>
    <w:rsid w:val="007F3A04"/>
    <w:rsid w:val="007F3A0D"/>
    <w:rsid w:val="007F3D1F"/>
    <w:rsid w:val="007F41B6"/>
    <w:rsid w:val="007F423C"/>
    <w:rsid w:val="007F484D"/>
    <w:rsid w:val="007F4ACA"/>
    <w:rsid w:val="007F6161"/>
    <w:rsid w:val="007F65EA"/>
    <w:rsid w:val="007F67FD"/>
    <w:rsid w:val="007F6EF9"/>
    <w:rsid w:val="007F71F3"/>
    <w:rsid w:val="007F73BE"/>
    <w:rsid w:val="007F782F"/>
    <w:rsid w:val="007F7A76"/>
    <w:rsid w:val="007F7D69"/>
    <w:rsid w:val="008002E6"/>
    <w:rsid w:val="008003FB"/>
    <w:rsid w:val="00800890"/>
    <w:rsid w:val="00800A1A"/>
    <w:rsid w:val="00800E05"/>
    <w:rsid w:val="00801623"/>
    <w:rsid w:val="00801726"/>
    <w:rsid w:val="00801D90"/>
    <w:rsid w:val="00801F98"/>
    <w:rsid w:val="008023D1"/>
    <w:rsid w:val="00802524"/>
    <w:rsid w:val="008026BD"/>
    <w:rsid w:val="008029FB"/>
    <w:rsid w:val="00802D76"/>
    <w:rsid w:val="00802EAB"/>
    <w:rsid w:val="0080346F"/>
    <w:rsid w:val="008034E9"/>
    <w:rsid w:val="0080393E"/>
    <w:rsid w:val="00803A63"/>
    <w:rsid w:val="00803B35"/>
    <w:rsid w:val="008043CA"/>
    <w:rsid w:val="00804C0D"/>
    <w:rsid w:val="00804E95"/>
    <w:rsid w:val="008052DA"/>
    <w:rsid w:val="0080563D"/>
    <w:rsid w:val="0080591E"/>
    <w:rsid w:val="00805EA4"/>
    <w:rsid w:val="00805FCA"/>
    <w:rsid w:val="008067F8"/>
    <w:rsid w:val="008068B8"/>
    <w:rsid w:val="0080706E"/>
    <w:rsid w:val="00807165"/>
    <w:rsid w:val="00807551"/>
    <w:rsid w:val="00807C80"/>
    <w:rsid w:val="00807CAC"/>
    <w:rsid w:val="00810312"/>
    <w:rsid w:val="0081033F"/>
    <w:rsid w:val="00810B87"/>
    <w:rsid w:val="00810EF5"/>
    <w:rsid w:val="00810F06"/>
    <w:rsid w:val="00811297"/>
    <w:rsid w:val="008113B0"/>
    <w:rsid w:val="008115EF"/>
    <w:rsid w:val="0081166A"/>
    <w:rsid w:val="0081194A"/>
    <w:rsid w:val="00811C90"/>
    <w:rsid w:val="008122F8"/>
    <w:rsid w:val="00812807"/>
    <w:rsid w:val="00812CC8"/>
    <w:rsid w:val="00812D9E"/>
    <w:rsid w:val="008138CD"/>
    <w:rsid w:val="00813AED"/>
    <w:rsid w:val="00813C5C"/>
    <w:rsid w:val="0081452A"/>
    <w:rsid w:val="00814542"/>
    <w:rsid w:val="00814760"/>
    <w:rsid w:val="00814807"/>
    <w:rsid w:val="00814FCC"/>
    <w:rsid w:val="0081572F"/>
    <w:rsid w:val="00815F25"/>
    <w:rsid w:val="00815F47"/>
    <w:rsid w:val="0081653E"/>
    <w:rsid w:val="0081669E"/>
    <w:rsid w:val="008168AB"/>
    <w:rsid w:val="008169D7"/>
    <w:rsid w:val="00816F6F"/>
    <w:rsid w:val="0081728D"/>
    <w:rsid w:val="00817922"/>
    <w:rsid w:val="00817986"/>
    <w:rsid w:val="0082014A"/>
    <w:rsid w:val="00820341"/>
    <w:rsid w:val="008205CD"/>
    <w:rsid w:val="008209BA"/>
    <w:rsid w:val="00820A07"/>
    <w:rsid w:val="00820A78"/>
    <w:rsid w:val="00820F89"/>
    <w:rsid w:val="008212B1"/>
    <w:rsid w:val="00821696"/>
    <w:rsid w:val="00821B90"/>
    <w:rsid w:val="00821FFB"/>
    <w:rsid w:val="008224D3"/>
    <w:rsid w:val="00823415"/>
    <w:rsid w:val="00823D98"/>
    <w:rsid w:val="00823E75"/>
    <w:rsid w:val="0082403F"/>
    <w:rsid w:val="008240C1"/>
    <w:rsid w:val="00824298"/>
    <w:rsid w:val="00824603"/>
    <w:rsid w:val="00824C43"/>
    <w:rsid w:val="00824EAC"/>
    <w:rsid w:val="00824FF5"/>
    <w:rsid w:val="00825328"/>
    <w:rsid w:val="00825472"/>
    <w:rsid w:val="00825F6C"/>
    <w:rsid w:val="008262B4"/>
    <w:rsid w:val="0082688E"/>
    <w:rsid w:val="00826F4F"/>
    <w:rsid w:val="008270DB"/>
    <w:rsid w:val="008276C1"/>
    <w:rsid w:val="008277FD"/>
    <w:rsid w:val="00827AC2"/>
    <w:rsid w:val="00827B3F"/>
    <w:rsid w:val="00827E70"/>
    <w:rsid w:val="00827EFE"/>
    <w:rsid w:val="00827FDA"/>
    <w:rsid w:val="008301C0"/>
    <w:rsid w:val="008309B7"/>
    <w:rsid w:val="00830D06"/>
    <w:rsid w:val="00830D4C"/>
    <w:rsid w:val="00830F61"/>
    <w:rsid w:val="00830F7A"/>
    <w:rsid w:val="008311E5"/>
    <w:rsid w:val="0083193E"/>
    <w:rsid w:val="00831A3E"/>
    <w:rsid w:val="00831DAC"/>
    <w:rsid w:val="00832006"/>
    <w:rsid w:val="00832726"/>
    <w:rsid w:val="00832A86"/>
    <w:rsid w:val="00832C9A"/>
    <w:rsid w:val="0083303C"/>
    <w:rsid w:val="008332E1"/>
    <w:rsid w:val="008336F6"/>
    <w:rsid w:val="00833F94"/>
    <w:rsid w:val="0083418A"/>
    <w:rsid w:val="00834C67"/>
    <w:rsid w:val="00834F0F"/>
    <w:rsid w:val="00835158"/>
    <w:rsid w:val="00835567"/>
    <w:rsid w:val="008359A2"/>
    <w:rsid w:val="00835A30"/>
    <w:rsid w:val="00835C07"/>
    <w:rsid w:val="00835E0D"/>
    <w:rsid w:val="00835F11"/>
    <w:rsid w:val="008361A8"/>
    <w:rsid w:val="00836233"/>
    <w:rsid w:val="00836740"/>
    <w:rsid w:val="00836F22"/>
    <w:rsid w:val="00837311"/>
    <w:rsid w:val="00837942"/>
    <w:rsid w:val="0083797B"/>
    <w:rsid w:val="00837D27"/>
    <w:rsid w:val="00840293"/>
    <w:rsid w:val="008406B5"/>
    <w:rsid w:val="008406E3"/>
    <w:rsid w:val="00840843"/>
    <w:rsid w:val="00840962"/>
    <w:rsid w:val="008409D0"/>
    <w:rsid w:val="00840CB5"/>
    <w:rsid w:val="0084121F"/>
    <w:rsid w:val="008413BF"/>
    <w:rsid w:val="00841566"/>
    <w:rsid w:val="008419A8"/>
    <w:rsid w:val="00841B94"/>
    <w:rsid w:val="00842392"/>
    <w:rsid w:val="00842E4F"/>
    <w:rsid w:val="0084326B"/>
    <w:rsid w:val="008436F4"/>
    <w:rsid w:val="0084398B"/>
    <w:rsid w:val="00843B73"/>
    <w:rsid w:val="008441C0"/>
    <w:rsid w:val="0084429F"/>
    <w:rsid w:val="0084450C"/>
    <w:rsid w:val="0084464C"/>
    <w:rsid w:val="00844E12"/>
    <w:rsid w:val="00844F4C"/>
    <w:rsid w:val="00844F8E"/>
    <w:rsid w:val="0084506E"/>
    <w:rsid w:val="008453A7"/>
    <w:rsid w:val="0084555A"/>
    <w:rsid w:val="00845611"/>
    <w:rsid w:val="00845F4C"/>
    <w:rsid w:val="00846070"/>
    <w:rsid w:val="008460F7"/>
    <w:rsid w:val="00846572"/>
    <w:rsid w:val="00846B7A"/>
    <w:rsid w:val="00846B7C"/>
    <w:rsid w:val="00847695"/>
    <w:rsid w:val="00847A6D"/>
    <w:rsid w:val="00847B5E"/>
    <w:rsid w:val="00847CD6"/>
    <w:rsid w:val="0085034B"/>
    <w:rsid w:val="008504DD"/>
    <w:rsid w:val="00850647"/>
    <w:rsid w:val="008509CE"/>
    <w:rsid w:val="00850BAC"/>
    <w:rsid w:val="008517E2"/>
    <w:rsid w:val="008522CB"/>
    <w:rsid w:val="0085250C"/>
    <w:rsid w:val="00852948"/>
    <w:rsid w:val="00852A0C"/>
    <w:rsid w:val="00852A96"/>
    <w:rsid w:val="00852ABA"/>
    <w:rsid w:val="0085387F"/>
    <w:rsid w:val="00853F72"/>
    <w:rsid w:val="0085413C"/>
    <w:rsid w:val="00854145"/>
    <w:rsid w:val="0085438E"/>
    <w:rsid w:val="008545F9"/>
    <w:rsid w:val="00854885"/>
    <w:rsid w:val="00854B00"/>
    <w:rsid w:val="00854D62"/>
    <w:rsid w:val="00854F46"/>
    <w:rsid w:val="00854F4B"/>
    <w:rsid w:val="00854F79"/>
    <w:rsid w:val="00854FFF"/>
    <w:rsid w:val="008550B7"/>
    <w:rsid w:val="00855408"/>
    <w:rsid w:val="00855BD5"/>
    <w:rsid w:val="00855BF9"/>
    <w:rsid w:val="00855C2C"/>
    <w:rsid w:val="00855C5F"/>
    <w:rsid w:val="00855EFE"/>
    <w:rsid w:val="008563B2"/>
    <w:rsid w:val="008564AA"/>
    <w:rsid w:val="008566CF"/>
    <w:rsid w:val="0085690C"/>
    <w:rsid w:val="008569A0"/>
    <w:rsid w:val="00856B00"/>
    <w:rsid w:val="00856C0F"/>
    <w:rsid w:val="00856D84"/>
    <w:rsid w:val="008570E1"/>
    <w:rsid w:val="00857147"/>
    <w:rsid w:val="0085754F"/>
    <w:rsid w:val="00857E42"/>
    <w:rsid w:val="00860A5A"/>
    <w:rsid w:val="00860C24"/>
    <w:rsid w:val="00861148"/>
    <w:rsid w:val="008628B2"/>
    <w:rsid w:val="00862D5E"/>
    <w:rsid w:val="00862F74"/>
    <w:rsid w:val="008630DA"/>
    <w:rsid w:val="00863256"/>
    <w:rsid w:val="008632CC"/>
    <w:rsid w:val="008635B0"/>
    <w:rsid w:val="0086374C"/>
    <w:rsid w:val="008638A7"/>
    <w:rsid w:val="00863945"/>
    <w:rsid w:val="0086396F"/>
    <w:rsid w:val="008639B4"/>
    <w:rsid w:val="00863A98"/>
    <w:rsid w:val="00863BFB"/>
    <w:rsid w:val="00863CD4"/>
    <w:rsid w:val="00863EC0"/>
    <w:rsid w:val="0086424E"/>
    <w:rsid w:val="008643EE"/>
    <w:rsid w:val="008644CC"/>
    <w:rsid w:val="00864581"/>
    <w:rsid w:val="00864691"/>
    <w:rsid w:val="00864887"/>
    <w:rsid w:val="00864AAE"/>
    <w:rsid w:val="00864D40"/>
    <w:rsid w:val="00864FCC"/>
    <w:rsid w:val="008650E3"/>
    <w:rsid w:val="00865342"/>
    <w:rsid w:val="0086598F"/>
    <w:rsid w:val="00865A5F"/>
    <w:rsid w:val="00865F65"/>
    <w:rsid w:val="0086606A"/>
    <w:rsid w:val="008665DC"/>
    <w:rsid w:val="00866708"/>
    <w:rsid w:val="008667AA"/>
    <w:rsid w:val="00866A16"/>
    <w:rsid w:val="00866A52"/>
    <w:rsid w:val="00866A55"/>
    <w:rsid w:val="00866A8B"/>
    <w:rsid w:val="00866CC9"/>
    <w:rsid w:val="00866EB0"/>
    <w:rsid w:val="00866FA9"/>
    <w:rsid w:val="008670C1"/>
    <w:rsid w:val="008670F8"/>
    <w:rsid w:val="008677F7"/>
    <w:rsid w:val="00867A37"/>
    <w:rsid w:val="00867C50"/>
    <w:rsid w:val="008701FD"/>
    <w:rsid w:val="00870492"/>
    <w:rsid w:val="0087056D"/>
    <w:rsid w:val="0087073E"/>
    <w:rsid w:val="0087087C"/>
    <w:rsid w:val="00870BE3"/>
    <w:rsid w:val="00870E21"/>
    <w:rsid w:val="00870EA8"/>
    <w:rsid w:val="00871285"/>
    <w:rsid w:val="0087136F"/>
    <w:rsid w:val="008716AD"/>
    <w:rsid w:val="0087170E"/>
    <w:rsid w:val="00871D1F"/>
    <w:rsid w:val="00871FFD"/>
    <w:rsid w:val="008720B1"/>
    <w:rsid w:val="0087244E"/>
    <w:rsid w:val="00872577"/>
    <w:rsid w:val="00872AEE"/>
    <w:rsid w:val="00872B20"/>
    <w:rsid w:val="00872E37"/>
    <w:rsid w:val="0087318A"/>
    <w:rsid w:val="0087392C"/>
    <w:rsid w:val="0087397D"/>
    <w:rsid w:val="00873C65"/>
    <w:rsid w:val="00873CA4"/>
    <w:rsid w:val="00873F96"/>
    <w:rsid w:val="008742BB"/>
    <w:rsid w:val="008745B4"/>
    <w:rsid w:val="008745D1"/>
    <w:rsid w:val="0087484B"/>
    <w:rsid w:val="00874884"/>
    <w:rsid w:val="00874C3B"/>
    <w:rsid w:val="008754AD"/>
    <w:rsid w:val="00875968"/>
    <w:rsid w:val="0087596C"/>
    <w:rsid w:val="008765CC"/>
    <w:rsid w:val="00876C24"/>
    <w:rsid w:val="00876CAB"/>
    <w:rsid w:val="00877308"/>
    <w:rsid w:val="0087758F"/>
    <w:rsid w:val="00877C3A"/>
    <w:rsid w:val="00877C70"/>
    <w:rsid w:val="00880211"/>
    <w:rsid w:val="008802BF"/>
    <w:rsid w:val="008803C6"/>
    <w:rsid w:val="00880496"/>
    <w:rsid w:val="0088108E"/>
    <w:rsid w:val="008815E8"/>
    <w:rsid w:val="00881979"/>
    <w:rsid w:val="008824B8"/>
    <w:rsid w:val="00882A0F"/>
    <w:rsid w:val="00882CCF"/>
    <w:rsid w:val="00882D03"/>
    <w:rsid w:val="00882E62"/>
    <w:rsid w:val="008833F9"/>
    <w:rsid w:val="00883741"/>
    <w:rsid w:val="0088434B"/>
    <w:rsid w:val="00884446"/>
    <w:rsid w:val="008847AA"/>
    <w:rsid w:val="008847B6"/>
    <w:rsid w:val="00884ECC"/>
    <w:rsid w:val="00885056"/>
    <w:rsid w:val="00885255"/>
    <w:rsid w:val="00885305"/>
    <w:rsid w:val="00885361"/>
    <w:rsid w:val="008854C5"/>
    <w:rsid w:val="008856F0"/>
    <w:rsid w:val="00885713"/>
    <w:rsid w:val="00885774"/>
    <w:rsid w:val="008858A2"/>
    <w:rsid w:val="00885BE7"/>
    <w:rsid w:val="00885C4C"/>
    <w:rsid w:val="0088618D"/>
    <w:rsid w:val="008863DE"/>
    <w:rsid w:val="00886810"/>
    <w:rsid w:val="0088740F"/>
    <w:rsid w:val="008874A6"/>
    <w:rsid w:val="008875F8"/>
    <w:rsid w:val="008877BD"/>
    <w:rsid w:val="008900FD"/>
    <w:rsid w:val="00890493"/>
    <w:rsid w:val="008906B1"/>
    <w:rsid w:val="00890B1C"/>
    <w:rsid w:val="0089103B"/>
    <w:rsid w:val="008911EA"/>
    <w:rsid w:val="0089140B"/>
    <w:rsid w:val="0089140E"/>
    <w:rsid w:val="00891FCA"/>
    <w:rsid w:val="00892137"/>
    <w:rsid w:val="008922B9"/>
    <w:rsid w:val="00892A5B"/>
    <w:rsid w:val="00892FCA"/>
    <w:rsid w:val="00893558"/>
    <w:rsid w:val="00894F46"/>
    <w:rsid w:val="00895BFF"/>
    <w:rsid w:val="00895EB3"/>
    <w:rsid w:val="00896368"/>
    <w:rsid w:val="00896536"/>
    <w:rsid w:val="00896AB7"/>
    <w:rsid w:val="00896EE6"/>
    <w:rsid w:val="008971E5"/>
    <w:rsid w:val="0089751C"/>
    <w:rsid w:val="00897834"/>
    <w:rsid w:val="008A00D7"/>
    <w:rsid w:val="008A026B"/>
    <w:rsid w:val="008A0548"/>
    <w:rsid w:val="008A077D"/>
    <w:rsid w:val="008A07BA"/>
    <w:rsid w:val="008A0880"/>
    <w:rsid w:val="008A0A39"/>
    <w:rsid w:val="008A0C01"/>
    <w:rsid w:val="008A0D4B"/>
    <w:rsid w:val="008A0E7D"/>
    <w:rsid w:val="008A0F03"/>
    <w:rsid w:val="008A11CA"/>
    <w:rsid w:val="008A1612"/>
    <w:rsid w:val="008A1AE4"/>
    <w:rsid w:val="008A2471"/>
    <w:rsid w:val="008A2B58"/>
    <w:rsid w:val="008A3197"/>
    <w:rsid w:val="008A3418"/>
    <w:rsid w:val="008A370A"/>
    <w:rsid w:val="008A38B8"/>
    <w:rsid w:val="008A39A1"/>
    <w:rsid w:val="008A3B19"/>
    <w:rsid w:val="008A3E4B"/>
    <w:rsid w:val="008A4753"/>
    <w:rsid w:val="008A4C62"/>
    <w:rsid w:val="008A533F"/>
    <w:rsid w:val="008A588C"/>
    <w:rsid w:val="008A5D86"/>
    <w:rsid w:val="008A61C8"/>
    <w:rsid w:val="008A657A"/>
    <w:rsid w:val="008A6D34"/>
    <w:rsid w:val="008A721F"/>
    <w:rsid w:val="008A730D"/>
    <w:rsid w:val="008A7374"/>
    <w:rsid w:val="008A7489"/>
    <w:rsid w:val="008A77BC"/>
    <w:rsid w:val="008A78CB"/>
    <w:rsid w:val="008A79BC"/>
    <w:rsid w:val="008A7B72"/>
    <w:rsid w:val="008B002E"/>
    <w:rsid w:val="008B03B5"/>
    <w:rsid w:val="008B0581"/>
    <w:rsid w:val="008B0F23"/>
    <w:rsid w:val="008B12C0"/>
    <w:rsid w:val="008B14F5"/>
    <w:rsid w:val="008B1718"/>
    <w:rsid w:val="008B1A9E"/>
    <w:rsid w:val="008B1AEC"/>
    <w:rsid w:val="008B1D74"/>
    <w:rsid w:val="008B21B0"/>
    <w:rsid w:val="008B246A"/>
    <w:rsid w:val="008B25B0"/>
    <w:rsid w:val="008B2646"/>
    <w:rsid w:val="008B2675"/>
    <w:rsid w:val="008B270C"/>
    <w:rsid w:val="008B27B3"/>
    <w:rsid w:val="008B2AD9"/>
    <w:rsid w:val="008B310A"/>
    <w:rsid w:val="008B330C"/>
    <w:rsid w:val="008B363D"/>
    <w:rsid w:val="008B3710"/>
    <w:rsid w:val="008B3E1F"/>
    <w:rsid w:val="008B42B1"/>
    <w:rsid w:val="008B44B6"/>
    <w:rsid w:val="008B4EE2"/>
    <w:rsid w:val="008B4F28"/>
    <w:rsid w:val="008B5A34"/>
    <w:rsid w:val="008B5AE0"/>
    <w:rsid w:val="008B6325"/>
    <w:rsid w:val="008B685C"/>
    <w:rsid w:val="008B68E2"/>
    <w:rsid w:val="008B6954"/>
    <w:rsid w:val="008B6B9E"/>
    <w:rsid w:val="008B6F3F"/>
    <w:rsid w:val="008B71BA"/>
    <w:rsid w:val="008B75BA"/>
    <w:rsid w:val="008B7716"/>
    <w:rsid w:val="008B77BE"/>
    <w:rsid w:val="008B79B2"/>
    <w:rsid w:val="008B7A65"/>
    <w:rsid w:val="008B7B79"/>
    <w:rsid w:val="008C0301"/>
    <w:rsid w:val="008C045C"/>
    <w:rsid w:val="008C0632"/>
    <w:rsid w:val="008C0BB7"/>
    <w:rsid w:val="008C11BD"/>
    <w:rsid w:val="008C1211"/>
    <w:rsid w:val="008C14FE"/>
    <w:rsid w:val="008C1B6B"/>
    <w:rsid w:val="008C1FCD"/>
    <w:rsid w:val="008C299C"/>
    <w:rsid w:val="008C2A4E"/>
    <w:rsid w:val="008C2D18"/>
    <w:rsid w:val="008C3D84"/>
    <w:rsid w:val="008C3F86"/>
    <w:rsid w:val="008C49D7"/>
    <w:rsid w:val="008C4D2A"/>
    <w:rsid w:val="008C5FF4"/>
    <w:rsid w:val="008C6266"/>
    <w:rsid w:val="008C62CB"/>
    <w:rsid w:val="008C682C"/>
    <w:rsid w:val="008C6905"/>
    <w:rsid w:val="008C6BC0"/>
    <w:rsid w:val="008C7019"/>
    <w:rsid w:val="008C765B"/>
    <w:rsid w:val="008C7798"/>
    <w:rsid w:val="008C7894"/>
    <w:rsid w:val="008C7C09"/>
    <w:rsid w:val="008C7C91"/>
    <w:rsid w:val="008D0480"/>
    <w:rsid w:val="008D07F4"/>
    <w:rsid w:val="008D0964"/>
    <w:rsid w:val="008D1710"/>
    <w:rsid w:val="008D1E85"/>
    <w:rsid w:val="008D2975"/>
    <w:rsid w:val="008D29D8"/>
    <w:rsid w:val="008D2E74"/>
    <w:rsid w:val="008D3043"/>
    <w:rsid w:val="008D33CB"/>
    <w:rsid w:val="008D372E"/>
    <w:rsid w:val="008D3892"/>
    <w:rsid w:val="008D4459"/>
    <w:rsid w:val="008D45C1"/>
    <w:rsid w:val="008D46CB"/>
    <w:rsid w:val="008D4908"/>
    <w:rsid w:val="008D4C07"/>
    <w:rsid w:val="008D4CCB"/>
    <w:rsid w:val="008D4E1B"/>
    <w:rsid w:val="008D5147"/>
    <w:rsid w:val="008D54D4"/>
    <w:rsid w:val="008D5EA3"/>
    <w:rsid w:val="008D5F89"/>
    <w:rsid w:val="008D627B"/>
    <w:rsid w:val="008D6676"/>
    <w:rsid w:val="008D6E5A"/>
    <w:rsid w:val="008D7001"/>
    <w:rsid w:val="008D7044"/>
    <w:rsid w:val="008D70AD"/>
    <w:rsid w:val="008D71D3"/>
    <w:rsid w:val="008D73D6"/>
    <w:rsid w:val="008D770C"/>
    <w:rsid w:val="008D771F"/>
    <w:rsid w:val="008D7AA2"/>
    <w:rsid w:val="008D7D4D"/>
    <w:rsid w:val="008D7F1B"/>
    <w:rsid w:val="008E03C9"/>
    <w:rsid w:val="008E068A"/>
    <w:rsid w:val="008E0F3B"/>
    <w:rsid w:val="008E1427"/>
    <w:rsid w:val="008E1766"/>
    <w:rsid w:val="008E1A91"/>
    <w:rsid w:val="008E1B56"/>
    <w:rsid w:val="008E1FD7"/>
    <w:rsid w:val="008E204E"/>
    <w:rsid w:val="008E2110"/>
    <w:rsid w:val="008E25E4"/>
    <w:rsid w:val="008E2DE7"/>
    <w:rsid w:val="008E2F73"/>
    <w:rsid w:val="008E3312"/>
    <w:rsid w:val="008E3556"/>
    <w:rsid w:val="008E3D2B"/>
    <w:rsid w:val="008E3F41"/>
    <w:rsid w:val="008E46FD"/>
    <w:rsid w:val="008E4818"/>
    <w:rsid w:val="008E4B02"/>
    <w:rsid w:val="008E54CD"/>
    <w:rsid w:val="008E5517"/>
    <w:rsid w:val="008E57B5"/>
    <w:rsid w:val="008E5AE7"/>
    <w:rsid w:val="008E5BA9"/>
    <w:rsid w:val="008E5C35"/>
    <w:rsid w:val="008E60E6"/>
    <w:rsid w:val="008E67A4"/>
    <w:rsid w:val="008E7250"/>
    <w:rsid w:val="008E7287"/>
    <w:rsid w:val="008E7472"/>
    <w:rsid w:val="008E74D2"/>
    <w:rsid w:val="008E7775"/>
    <w:rsid w:val="008E7A91"/>
    <w:rsid w:val="008E7C9B"/>
    <w:rsid w:val="008E7CEB"/>
    <w:rsid w:val="008F009F"/>
    <w:rsid w:val="008F03DC"/>
    <w:rsid w:val="008F0A41"/>
    <w:rsid w:val="008F0BAF"/>
    <w:rsid w:val="008F0D1E"/>
    <w:rsid w:val="008F1009"/>
    <w:rsid w:val="008F1466"/>
    <w:rsid w:val="008F1546"/>
    <w:rsid w:val="008F18D2"/>
    <w:rsid w:val="008F1A4F"/>
    <w:rsid w:val="008F1B10"/>
    <w:rsid w:val="008F1EA1"/>
    <w:rsid w:val="008F24E0"/>
    <w:rsid w:val="008F2DCD"/>
    <w:rsid w:val="008F30E4"/>
    <w:rsid w:val="008F348B"/>
    <w:rsid w:val="008F3602"/>
    <w:rsid w:val="008F40D3"/>
    <w:rsid w:val="008F454C"/>
    <w:rsid w:val="008F4BC5"/>
    <w:rsid w:val="008F4DF5"/>
    <w:rsid w:val="008F4E1F"/>
    <w:rsid w:val="008F4F53"/>
    <w:rsid w:val="008F5905"/>
    <w:rsid w:val="008F5E2C"/>
    <w:rsid w:val="008F5ECE"/>
    <w:rsid w:val="008F7203"/>
    <w:rsid w:val="008F7EBD"/>
    <w:rsid w:val="00900480"/>
    <w:rsid w:val="0090056C"/>
    <w:rsid w:val="009008EB"/>
    <w:rsid w:val="00900B13"/>
    <w:rsid w:val="00900D2B"/>
    <w:rsid w:val="00901131"/>
    <w:rsid w:val="0090169C"/>
    <w:rsid w:val="00901719"/>
    <w:rsid w:val="009019F5"/>
    <w:rsid w:val="00901BE8"/>
    <w:rsid w:val="00901DF2"/>
    <w:rsid w:val="00902387"/>
    <w:rsid w:val="00902E66"/>
    <w:rsid w:val="00902E8E"/>
    <w:rsid w:val="00902F49"/>
    <w:rsid w:val="00903226"/>
    <w:rsid w:val="009032B9"/>
    <w:rsid w:val="009039C6"/>
    <w:rsid w:val="00903AF9"/>
    <w:rsid w:val="00904018"/>
    <w:rsid w:val="00904529"/>
    <w:rsid w:val="009048A5"/>
    <w:rsid w:val="00904B58"/>
    <w:rsid w:val="00904DAB"/>
    <w:rsid w:val="00904EEC"/>
    <w:rsid w:val="009055D1"/>
    <w:rsid w:val="00905DFA"/>
    <w:rsid w:val="009061FE"/>
    <w:rsid w:val="00906260"/>
    <w:rsid w:val="00906320"/>
    <w:rsid w:val="00907017"/>
    <w:rsid w:val="009070E0"/>
    <w:rsid w:val="00907AB7"/>
    <w:rsid w:val="00907CAD"/>
    <w:rsid w:val="0091007E"/>
    <w:rsid w:val="009100DE"/>
    <w:rsid w:val="009101DD"/>
    <w:rsid w:val="0091089F"/>
    <w:rsid w:val="009108EF"/>
    <w:rsid w:val="00910E2B"/>
    <w:rsid w:val="00910E8E"/>
    <w:rsid w:val="009110F8"/>
    <w:rsid w:val="00911162"/>
    <w:rsid w:val="00911285"/>
    <w:rsid w:val="009116BB"/>
    <w:rsid w:val="009117CA"/>
    <w:rsid w:val="009118B9"/>
    <w:rsid w:val="009121B0"/>
    <w:rsid w:val="0091227D"/>
    <w:rsid w:val="009122A2"/>
    <w:rsid w:val="0091269C"/>
    <w:rsid w:val="0091271A"/>
    <w:rsid w:val="00912745"/>
    <w:rsid w:val="009127BF"/>
    <w:rsid w:val="00912B5C"/>
    <w:rsid w:val="00913147"/>
    <w:rsid w:val="0091325A"/>
    <w:rsid w:val="0091335B"/>
    <w:rsid w:val="0091343F"/>
    <w:rsid w:val="00913DD4"/>
    <w:rsid w:val="00913ED4"/>
    <w:rsid w:val="009140C0"/>
    <w:rsid w:val="009141EF"/>
    <w:rsid w:val="009144E0"/>
    <w:rsid w:val="009146F9"/>
    <w:rsid w:val="0091470A"/>
    <w:rsid w:val="0091488C"/>
    <w:rsid w:val="00914B1C"/>
    <w:rsid w:val="00914F10"/>
    <w:rsid w:val="00914FB0"/>
    <w:rsid w:val="00915039"/>
    <w:rsid w:val="00915344"/>
    <w:rsid w:val="00915A22"/>
    <w:rsid w:val="00915BF0"/>
    <w:rsid w:val="00915C82"/>
    <w:rsid w:val="00915EA9"/>
    <w:rsid w:val="0091604F"/>
    <w:rsid w:val="009161F9"/>
    <w:rsid w:val="009165E2"/>
    <w:rsid w:val="00916641"/>
    <w:rsid w:val="00916642"/>
    <w:rsid w:val="0091667B"/>
    <w:rsid w:val="009168AB"/>
    <w:rsid w:val="00916A5D"/>
    <w:rsid w:val="00916A6B"/>
    <w:rsid w:val="00916DFA"/>
    <w:rsid w:val="00916ECE"/>
    <w:rsid w:val="009173C3"/>
    <w:rsid w:val="0091746C"/>
    <w:rsid w:val="00917749"/>
    <w:rsid w:val="00917932"/>
    <w:rsid w:val="00917B38"/>
    <w:rsid w:val="00917C5B"/>
    <w:rsid w:val="00917D0F"/>
    <w:rsid w:val="00917F24"/>
    <w:rsid w:val="00920370"/>
    <w:rsid w:val="0092043A"/>
    <w:rsid w:val="0092073B"/>
    <w:rsid w:val="009211FA"/>
    <w:rsid w:val="009215C4"/>
    <w:rsid w:val="00921909"/>
    <w:rsid w:val="00921B99"/>
    <w:rsid w:val="00921CEB"/>
    <w:rsid w:val="00921E3F"/>
    <w:rsid w:val="009225AF"/>
    <w:rsid w:val="00922633"/>
    <w:rsid w:val="009228C5"/>
    <w:rsid w:val="00922905"/>
    <w:rsid w:val="00922A07"/>
    <w:rsid w:val="00922AB6"/>
    <w:rsid w:val="00923426"/>
    <w:rsid w:val="009236F7"/>
    <w:rsid w:val="00923703"/>
    <w:rsid w:val="009238F0"/>
    <w:rsid w:val="00924094"/>
    <w:rsid w:val="00924279"/>
    <w:rsid w:val="009242B7"/>
    <w:rsid w:val="00924702"/>
    <w:rsid w:val="00925288"/>
    <w:rsid w:val="00925315"/>
    <w:rsid w:val="009257FC"/>
    <w:rsid w:val="00925F8D"/>
    <w:rsid w:val="00926546"/>
    <w:rsid w:val="00926598"/>
    <w:rsid w:val="00926901"/>
    <w:rsid w:val="00926D05"/>
    <w:rsid w:val="0092757F"/>
    <w:rsid w:val="009275A7"/>
    <w:rsid w:val="00927AAE"/>
    <w:rsid w:val="00927B5A"/>
    <w:rsid w:val="00930165"/>
    <w:rsid w:val="009301F4"/>
    <w:rsid w:val="0093028F"/>
    <w:rsid w:val="00930430"/>
    <w:rsid w:val="009314B0"/>
    <w:rsid w:val="00931D08"/>
    <w:rsid w:val="00931D81"/>
    <w:rsid w:val="009322EC"/>
    <w:rsid w:val="00932412"/>
    <w:rsid w:val="00932597"/>
    <w:rsid w:val="009327B3"/>
    <w:rsid w:val="00932BE4"/>
    <w:rsid w:val="00932CD3"/>
    <w:rsid w:val="00932E20"/>
    <w:rsid w:val="00932F28"/>
    <w:rsid w:val="00933132"/>
    <w:rsid w:val="0093320E"/>
    <w:rsid w:val="009334E0"/>
    <w:rsid w:val="00933540"/>
    <w:rsid w:val="00933613"/>
    <w:rsid w:val="00933C81"/>
    <w:rsid w:val="00933CDC"/>
    <w:rsid w:val="00933DF4"/>
    <w:rsid w:val="00934108"/>
    <w:rsid w:val="009343B5"/>
    <w:rsid w:val="00934432"/>
    <w:rsid w:val="00934438"/>
    <w:rsid w:val="00934468"/>
    <w:rsid w:val="0093457D"/>
    <w:rsid w:val="00934638"/>
    <w:rsid w:val="0093483A"/>
    <w:rsid w:val="00934D19"/>
    <w:rsid w:val="00935100"/>
    <w:rsid w:val="009352E3"/>
    <w:rsid w:val="009353E6"/>
    <w:rsid w:val="0093546F"/>
    <w:rsid w:val="0093567A"/>
    <w:rsid w:val="0093650F"/>
    <w:rsid w:val="00936B60"/>
    <w:rsid w:val="009370C5"/>
    <w:rsid w:val="00937352"/>
    <w:rsid w:val="0093741D"/>
    <w:rsid w:val="0093765C"/>
    <w:rsid w:val="00937B60"/>
    <w:rsid w:val="00937CB0"/>
    <w:rsid w:val="00940098"/>
    <w:rsid w:val="0094049E"/>
    <w:rsid w:val="00940B15"/>
    <w:rsid w:val="00940EED"/>
    <w:rsid w:val="00941254"/>
    <w:rsid w:val="0094176A"/>
    <w:rsid w:val="00941798"/>
    <w:rsid w:val="00941A3C"/>
    <w:rsid w:val="00942168"/>
    <w:rsid w:val="00942701"/>
    <w:rsid w:val="00942C5E"/>
    <w:rsid w:val="00942EFE"/>
    <w:rsid w:val="00942F7C"/>
    <w:rsid w:val="00943005"/>
    <w:rsid w:val="00943899"/>
    <w:rsid w:val="00943C3C"/>
    <w:rsid w:val="00943DE1"/>
    <w:rsid w:val="00944106"/>
    <w:rsid w:val="0094417C"/>
    <w:rsid w:val="009442CA"/>
    <w:rsid w:val="009442F0"/>
    <w:rsid w:val="00944BEC"/>
    <w:rsid w:val="00944CEA"/>
    <w:rsid w:val="009451FE"/>
    <w:rsid w:val="00947427"/>
    <w:rsid w:val="009478A8"/>
    <w:rsid w:val="0094796D"/>
    <w:rsid w:val="00947DE2"/>
    <w:rsid w:val="00947E66"/>
    <w:rsid w:val="00947E8E"/>
    <w:rsid w:val="00950F79"/>
    <w:rsid w:val="00951A90"/>
    <w:rsid w:val="00951C50"/>
    <w:rsid w:val="00952120"/>
    <w:rsid w:val="0095237D"/>
    <w:rsid w:val="00952C58"/>
    <w:rsid w:val="00952F1F"/>
    <w:rsid w:val="00953095"/>
    <w:rsid w:val="0095394C"/>
    <w:rsid w:val="00953FB1"/>
    <w:rsid w:val="00954575"/>
    <w:rsid w:val="0095459B"/>
    <w:rsid w:val="00954879"/>
    <w:rsid w:val="00955146"/>
    <w:rsid w:val="0095522C"/>
    <w:rsid w:val="0095591E"/>
    <w:rsid w:val="0095596F"/>
    <w:rsid w:val="00955D23"/>
    <w:rsid w:val="0095618B"/>
    <w:rsid w:val="009567ED"/>
    <w:rsid w:val="00956EA1"/>
    <w:rsid w:val="009572B9"/>
    <w:rsid w:val="009572E0"/>
    <w:rsid w:val="00957381"/>
    <w:rsid w:val="009575B8"/>
    <w:rsid w:val="00957643"/>
    <w:rsid w:val="009576AA"/>
    <w:rsid w:val="00957B34"/>
    <w:rsid w:val="00957D3A"/>
    <w:rsid w:val="00957DDD"/>
    <w:rsid w:val="00960190"/>
    <w:rsid w:val="00960633"/>
    <w:rsid w:val="0096087F"/>
    <w:rsid w:val="00960D0E"/>
    <w:rsid w:val="00960E37"/>
    <w:rsid w:val="00961023"/>
    <w:rsid w:val="00961253"/>
    <w:rsid w:val="009614EE"/>
    <w:rsid w:val="0096199B"/>
    <w:rsid w:val="00961BD8"/>
    <w:rsid w:val="00961D1B"/>
    <w:rsid w:val="0096206F"/>
    <w:rsid w:val="0096216D"/>
    <w:rsid w:val="009625F8"/>
    <w:rsid w:val="00962890"/>
    <w:rsid w:val="00963138"/>
    <w:rsid w:val="00963148"/>
    <w:rsid w:val="009636A6"/>
    <w:rsid w:val="00963DBB"/>
    <w:rsid w:val="00964256"/>
    <w:rsid w:val="009647B2"/>
    <w:rsid w:val="00965186"/>
    <w:rsid w:val="0096550F"/>
    <w:rsid w:val="00965D24"/>
    <w:rsid w:val="009667D3"/>
    <w:rsid w:val="00966DED"/>
    <w:rsid w:val="00967352"/>
    <w:rsid w:val="00967694"/>
    <w:rsid w:val="0096789F"/>
    <w:rsid w:val="00967E31"/>
    <w:rsid w:val="00970000"/>
    <w:rsid w:val="00970023"/>
    <w:rsid w:val="0097087A"/>
    <w:rsid w:val="00970AF2"/>
    <w:rsid w:val="00971115"/>
    <w:rsid w:val="00971A5C"/>
    <w:rsid w:val="00971B03"/>
    <w:rsid w:val="00971B7F"/>
    <w:rsid w:val="00972D6B"/>
    <w:rsid w:val="00972DB5"/>
    <w:rsid w:val="00972F22"/>
    <w:rsid w:val="00972FB9"/>
    <w:rsid w:val="009730AD"/>
    <w:rsid w:val="00973225"/>
    <w:rsid w:val="009736F4"/>
    <w:rsid w:val="00973C2C"/>
    <w:rsid w:val="00973CDD"/>
    <w:rsid w:val="00973D0D"/>
    <w:rsid w:val="00974001"/>
    <w:rsid w:val="00974CB6"/>
    <w:rsid w:val="009751CB"/>
    <w:rsid w:val="00975C35"/>
    <w:rsid w:val="00975DC6"/>
    <w:rsid w:val="00975EE4"/>
    <w:rsid w:val="00976033"/>
    <w:rsid w:val="00976276"/>
    <w:rsid w:val="009762A7"/>
    <w:rsid w:val="00976974"/>
    <w:rsid w:val="009772C8"/>
    <w:rsid w:val="00977504"/>
    <w:rsid w:val="009776C9"/>
    <w:rsid w:val="009779B8"/>
    <w:rsid w:val="00977A43"/>
    <w:rsid w:val="00980683"/>
    <w:rsid w:val="00980863"/>
    <w:rsid w:val="0098099D"/>
    <w:rsid w:val="00980B35"/>
    <w:rsid w:val="00980D56"/>
    <w:rsid w:val="00981357"/>
    <w:rsid w:val="00981E05"/>
    <w:rsid w:val="00982000"/>
    <w:rsid w:val="00982189"/>
    <w:rsid w:val="00982596"/>
    <w:rsid w:val="00983381"/>
    <w:rsid w:val="009833AF"/>
    <w:rsid w:val="00983DE0"/>
    <w:rsid w:val="00983EFE"/>
    <w:rsid w:val="00984AA3"/>
    <w:rsid w:val="00984DA2"/>
    <w:rsid w:val="00984DEE"/>
    <w:rsid w:val="0098522A"/>
    <w:rsid w:val="0098562D"/>
    <w:rsid w:val="00985638"/>
    <w:rsid w:val="0098570F"/>
    <w:rsid w:val="00985746"/>
    <w:rsid w:val="009858D7"/>
    <w:rsid w:val="0098593D"/>
    <w:rsid w:val="00985B2A"/>
    <w:rsid w:val="00985E56"/>
    <w:rsid w:val="009866B0"/>
    <w:rsid w:val="009866D6"/>
    <w:rsid w:val="009876C3"/>
    <w:rsid w:val="009877FE"/>
    <w:rsid w:val="00987EED"/>
    <w:rsid w:val="00990232"/>
    <w:rsid w:val="0099037F"/>
    <w:rsid w:val="00990470"/>
    <w:rsid w:val="009906A6"/>
    <w:rsid w:val="00990AE6"/>
    <w:rsid w:val="00990DA3"/>
    <w:rsid w:val="009910F6"/>
    <w:rsid w:val="00991346"/>
    <w:rsid w:val="0099141C"/>
    <w:rsid w:val="00991515"/>
    <w:rsid w:val="009916F9"/>
    <w:rsid w:val="009919EA"/>
    <w:rsid w:val="00991F34"/>
    <w:rsid w:val="00992111"/>
    <w:rsid w:val="00992456"/>
    <w:rsid w:val="00992494"/>
    <w:rsid w:val="009927C8"/>
    <w:rsid w:val="00992B8C"/>
    <w:rsid w:val="00992DC2"/>
    <w:rsid w:val="0099301D"/>
    <w:rsid w:val="00993074"/>
    <w:rsid w:val="00993264"/>
    <w:rsid w:val="0099331A"/>
    <w:rsid w:val="0099383B"/>
    <w:rsid w:val="0099386F"/>
    <w:rsid w:val="009938FA"/>
    <w:rsid w:val="009940FB"/>
    <w:rsid w:val="0099415C"/>
    <w:rsid w:val="009945A8"/>
    <w:rsid w:val="00994763"/>
    <w:rsid w:val="0099495F"/>
    <w:rsid w:val="00994D08"/>
    <w:rsid w:val="009954B8"/>
    <w:rsid w:val="00995DFC"/>
    <w:rsid w:val="00995E5C"/>
    <w:rsid w:val="00996077"/>
    <w:rsid w:val="00996254"/>
    <w:rsid w:val="009966D9"/>
    <w:rsid w:val="00996948"/>
    <w:rsid w:val="00996C99"/>
    <w:rsid w:val="00996EF9"/>
    <w:rsid w:val="009975FD"/>
    <w:rsid w:val="00997F9E"/>
    <w:rsid w:val="009A032F"/>
    <w:rsid w:val="009A0365"/>
    <w:rsid w:val="009A0532"/>
    <w:rsid w:val="009A0606"/>
    <w:rsid w:val="009A0626"/>
    <w:rsid w:val="009A07A7"/>
    <w:rsid w:val="009A0A13"/>
    <w:rsid w:val="009A0C25"/>
    <w:rsid w:val="009A0D05"/>
    <w:rsid w:val="009A16E7"/>
    <w:rsid w:val="009A1A24"/>
    <w:rsid w:val="009A1D8B"/>
    <w:rsid w:val="009A1DBA"/>
    <w:rsid w:val="009A2249"/>
    <w:rsid w:val="009A2285"/>
    <w:rsid w:val="009A253F"/>
    <w:rsid w:val="009A26BF"/>
    <w:rsid w:val="009A29E4"/>
    <w:rsid w:val="009A2D0C"/>
    <w:rsid w:val="009A31DA"/>
    <w:rsid w:val="009A3262"/>
    <w:rsid w:val="009A353C"/>
    <w:rsid w:val="009A3C90"/>
    <w:rsid w:val="009A3F56"/>
    <w:rsid w:val="009A47FB"/>
    <w:rsid w:val="009A48CC"/>
    <w:rsid w:val="009A4B50"/>
    <w:rsid w:val="009A50C1"/>
    <w:rsid w:val="009A58B0"/>
    <w:rsid w:val="009A6043"/>
    <w:rsid w:val="009A6992"/>
    <w:rsid w:val="009A73A9"/>
    <w:rsid w:val="009A7530"/>
    <w:rsid w:val="009A7798"/>
    <w:rsid w:val="009A77E0"/>
    <w:rsid w:val="009B05EA"/>
    <w:rsid w:val="009B09CD"/>
    <w:rsid w:val="009B10D7"/>
    <w:rsid w:val="009B1584"/>
    <w:rsid w:val="009B159E"/>
    <w:rsid w:val="009B15B5"/>
    <w:rsid w:val="009B1F2E"/>
    <w:rsid w:val="009B1F8B"/>
    <w:rsid w:val="009B20AE"/>
    <w:rsid w:val="009B20CE"/>
    <w:rsid w:val="009B23DD"/>
    <w:rsid w:val="009B2565"/>
    <w:rsid w:val="009B2900"/>
    <w:rsid w:val="009B2F8E"/>
    <w:rsid w:val="009B2FDF"/>
    <w:rsid w:val="009B3274"/>
    <w:rsid w:val="009B35AE"/>
    <w:rsid w:val="009B3FE6"/>
    <w:rsid w:val="009B416D"/>
    <w:rsid w:val="009B4456"/>
    <w:rsid w:val="009B4B95"/>
    <w:rsid w:val="009B4D4F"/>
    <w:rsid w:val="009B4E91"/>
    <w:rsid w:val="009B5F63"/>
    <w:rsid w:val="009B6517"/>
    <w:rsid w:val="009B6875"/>
    <w:rsid w:val="009B68E3"/>
    <w:rsid w:val="009B699A"/>
    <w:rsid w:val="009B6DA1"/>
    <w:rsid w:val="009B6E84"/>
    <w:rsid w:val="009B7286"/>
    <w:rsid w:val="009B7482"/>
    <w:rsid w:val="009B7583"/>
    <w:rsid w:val="009B7929"/>
    <w:rsid w:val="009B7B30"/>
    <w:rsid w:val="009C0466"/>
    <w:rsid w:val="009C059E"/>
    <w:rsid w:val="009C0991"/>
    <w:rsid w:val="009C0AAF"/>
    <w:rsid w:val="009C1027"/>
    <w:rsid w:val="009C1182"/>
    <w:rsid w:val="009C11C1"/>
    <w:rsid w:val="009C1359"/>
    <w:rsid w:val="009C1471"/>
    <w:rsid w:val="009C153C"/>
    <w:rsid w:val="009C1EED"/>
    <w:rsid w:val="009C25AC"/>
    <w:rsid w:val="009C2C3C"/>
    <w:rsid w:val="009C30F4"/>
    <w:rsid w:val="009C33C1"/>
    <w:rsid w:val="009C379E"/>
    <w:rsid w:val="009C38A7"/>
    <w:rsid w:val="009C3A87"/>
    <w:rsid w:val="009C4121"/>
    <w:rsid w:val="009C4207"/>
    <w:rsid w:val="009C43DD"/>
    <w:rsid w:val="009C441C"/>
    <w:rsid w:val="009C5B12"/>
    <w:rsid w:val="009C5C19"/>
    <w:rsid w:val="009C60FD"/>
    <w:rsid w:val="009C6174"/>
    <w:rsid w:val="009C6502"/>
    <w:rsid w:val="009C6686"/>
    <w:rsid w:val="009C68A9"/>
    <w:rsid w:val="009C6E3D"/>
    <w:rsid w:val="009C7C8B"/>
    <w:rsid w:val="009D0A63"/>
    <w:rsid w:val="009D0C8D"/>
    <w:rsid w:val="009D0F7D"/>
    <w:rsid w:val="009D12FE"/>
    <w:rsid w:val="009D1616"/>
    <w:rsid w:val="009D1677"/>
    <w:rsid w:val="009D18CE"/>
    <w:rsid w:val="009D1A1E"/>
    <w:rsid w:val="009D1E26"/>
    <w:rsid w:val="009D263B"/>
    <w:rsid w:val="009D2776"/>
    <w:rsid w:val="009D27FD"/>
    <w:rsid w:val="009D29BD"/>
    <w:rsid w:val="009D2EE8"/>
    <w:rsid w:val="009D2F41"/>
    <w:rsid w:val="009D3005"/>
    <w:rsid w:val="009D31B7"/>
    <w:rsid w:val="009D325B"/>
    <w:rsid w:val="009D3593"/>
    <w:rsid w:val="009D36C7"/>
    <w:rsid w:val="009D36C9"/>
    <w:rsid w:val="009D418E"/>
    <w:rsid w:val="009D43A2"/>
    <w:rsid w:val="009D49C5"/>
    <w:rsid w:val="009D4A91"/>
    <w:rsid w:val="009D4AE8"/>
    <w:rsid w:val="009D518F"/>
    <w:rsid w:val="009D5756"/>
    <w:rsid w:val="009D5AF7"/>
    <w:rsid w:val="009D64EF"/>
    <w:rsid w:val="009D6D2C"/>
    <w:rsid w:val="009D6EFC"/>
    <w:rsid w:val="009D7440"/>
    <w:rsid w:val="009D759A"/>
    <w:rsid w:val="009D7A76"/>
    <w:rsid w:val="009D7EB3"/>
    <w:rsid w:val="009D7FDA"/>
    <w:rsid w:val="009E0E7F"/>
    <w:rsid w:val="009E17C2"/>
    <w:rsid w:val="009E1800"/>
    <w:rsid w:val="009E18BF"/>
    <w:rsid w:val="009E1FC3"/>
    <w:rsid w:val="009E222A"/>
    <w:rsid w:val="009E2240"/>
    <w:rsid w:val="009E2352"/>
    <w:rsid w:val="009E3804"/>
    <w:rsid w:val="009E44CB"/>
    <w:rsid w:val="009E459B"/>
    <w:rsid w:val="009E4E98"/>
    <w:rsid w:val="009E552D"/>
    <w:rsid w:val="009E5BF0"/>
    <w:rsid w:val="009E5DAF"/>
    <w:rsid w:val="009E5F17"/>
    <w:rsid w:val="009E6E17"/>
    <w:rsid w:val="009E7035"/>
    <w:rsid w:val="009E726F"/>
    <w:rsid w:val="009E76CC"/>
    <w:rsid w:val="009E7965"/>
    <w:rsid w:val="009E7A9E"/>
    <w:rsid w:val="009E7EA2"/>
    <w:rsid w:val="009E7EED"/>
    <w:rsid w:val="009F03A9"/>
    <w:rsid w:val="009F06CF"/>
    <w:rsid w:val="009F0A4D"/>
    <w:rsid w:val="009F0B19"/>
    <w:rsid w:val="009F0E38"/>
    <w:rsid w:val="009F11E2"/>
    <w:rsid w:val="009F1383"/>
    <w:rsid w:val="009F142D"/>
    <w:rsid w:val="009F1752"/>
    <w:rsid w:val="009F186F"/>
    <w:rsid w:val="009F1D32"/>
    <w:rsid w:val="009F22F2"/>
    <w:rsid w:val="009F2639"/>
    <w:rsid w:val="009F2817"/>
    <w:rsid w:val="009F2CE8"/>
    <w:rsid w:val="009F4114"/>
    <w:rsid w:val="009F4228"/>
    <w:rsid w:val="009F468F"/>
    <w:rsid w:val="009F4777"/>
    <w:rsid w:val="009F4A20"/>
    <w:rsid w:val="009F4A5F"/>
    <w:rsid w:val="009F4C65"/>
    <w:rsid w:val="009F5295"/>
    <w:rsid w:val="009F5369"/>
    <w:rsid w:val="009F553F"/>
    <w:rsid w:val="009F5811"/>
    <w:rsid w:val="009F5C04"/>
    <w:rsid w:val="009F5DE5"/>
    <w:rsid w:val="009F6071"/>
    <w:rsid w:val="009F65D3"/>
    <w:rsid w:val="009F68D4"/>
    <w:rsid w:val="009F6946"/>
    <w:rsid w:val="009F6A67"/>
    <w:rsid w:val="009F72CC"/>
    <w:rsid w:val="009F74AC"/>
    <w:rsid w:val="009F792E"/>
    <w:rsid w:val="009F7A6B"/>
    <w:rsid w:val="009F7D62"/>
    <w:rsid w:val="00A00055"/>
    <w:rsid w:val="00A00368"/>
    <w:rsid w:val="00A0089D"/>
    <w:rsid w:val="00A00C3C"/>
    <w:rsid w:val="00A00D20"/>
    <w:rsid w:val="00A01058"/>
    <w:rsid w:val="00A0143F"/>
    <w:rsid w:val="00A01B27"/>
    <w:rsid w:val="00A01C3D"/>
    <w:rsid w:val="00A02038"/>
    <w:rsid w:val="00A02437"/>
    <w:rsid w:val="00A025CB"/>
    <w:rsid w:val="00A02644"/>
    <w:rsid w:val="00A026E6"/>
    <w:rsid w:val="00A03084"/>
    <w:rsid w:val="00A036B0"/>
    <w:rsid w:val="00A03A72"/>
    <w:rsid w:val="00A03B89"/>
    <w:rsid w:val="00A03CA5"/>
    <w:rsid w:val="00A0442B"/>
    <w:rsid w:val="00A046A2"/>
    <w:rsid w:val="00A04977"/>
    <w:rsid w:val="00A04AEE"/>
    <w:rsid w:val="00A05235"/>
    <w:rsid w:val="00A053D3"/>
    <w:rsid w:val="00A05596"/>
    <w:rsid w:val="00A05B64"/>
    <w:rsid w:val="00A05BFB"/>
    <w:rsid w:val="00A05F84"/>
    <w:rsid w:val="00A064D9"/>
    <w:rsid w:val="00A06B6E"/>
    <w:rsid w:val="00A06DB1"/>
    <w:rsid w:val="00A06F37"/>
    <w:rsid w:val="00A070B7"/>
    <w:rsid w:val="00A07243"/>
    <w:rsid w:val="00A07ED8"/>
    <w:rsid w:val="00A07F4A"/>
    <w:rsid w:val="00A10083"/>
    <w:rsid w:val="00A100C7"/>
    <w:rsid w:val="00A103EC"/>
    <w:rsid w:val="00A1041D"/>
    <w:rsid w:val="00A10708"/>
    <w:rsid w:val="00A10B76"/>
    <w:rsid w:val="00A1174D"/>
    <w:rsid w:val="00A11B0F"/>
    <w:rsid w:val="00A11CBD"/>
    <w:rsid w:val="00A11DCB"/>
    <w:rsid w:val="00A12101"/>
    <w:rsid w:val="00A124E3"/>
    <w:rsid w:val="00A127B1"/>
    <w:rsid w:val="00A12A70"/>
    <w:rsid w:val="00A12D41"/>
    <w:rsid w:val="00A13051"/>
    <w:rsid w:val="00A130D0"/>
    <w:rsid w:val="00A13279"/>
    <w:rsid w:val="00A1354F"/>
    <w:rsid w:val="00A13678"/>
    <w:rsid w:val="00A139C6"/>
    <w:rsid w:val="00A13E5E"/>
    <w:rsid w:val="00A13EC9"/>
    <w:rsid w:val="00A1445A"/>
    <w:rsid w:val="00A14C19"/>
    <w:rsid w:val="00A14D25"/>
    <w:rsid w:val="00A15438"/>
    <w:rsid w:val="00A15602"/>
    <w:rsid w:val="00A15AE6"/>
    <w:rsid w:val="00A15C63"/>
    <w:rsid w:val="00A16833"/>
    <w:rsid w:val="00A16F24"/>
    <w:rsid w:val="00A16FCC"/>
    <w:rsid w:val="00A17114"/>
    <w:rsid w:val="00A17244"/>
    <w:rsid w:val="00A175AB"/>
    <w:rsid w:val="00A1778B"/>
    <w:rsid w:val="00A178CE"/>
    <w:rsid w:val="00A17C76"/>
    <w:rsid w:val="00A17E79"/>
    <w:rsid w:val="00A20055"/>
    <w:rsid w:val="00A203F8"/>
    <w:rsid w:val="00A2049C"/>
    <w:rsid w:val="00A206D9"/>
    <w:rsid w:val="00A2123D"/>
    <w:rsid w:val="00A2129A"/>
    <w:rsid w:val="00A21994"/>
    <w:rsid w:val="00A22090"/>
    <w:rsid w:val="00A221F8"/>
    <w:rsid w:val="00A226CC"/>
    <w:rsid w:val="00A229C9"/>
    <w:rsid w:val="00A22AA3"/>
    <w:rsid w:val="00A22F7C"/>
    <w:rsid w:val="00A2307C"/>
    <w:rsid w:val="00A23273"/>
    <w:rsid w:val="00A236B7"/>
    <w:rsid w:val="00A23CF4"/>
    <w:rsid w:val="00A23DDF"/>
    <w:rsid w:val="00A24443"/>
    <w:rsid w:val="00A245D5"/>
    <w:rsid w:val="00A2465C"/>
    <w:rsid w:val="00A24A2D"/>
    <w:rsid w:val="00A24B9F"/>
    <w:rsid w:val="00A250CC"/>
    <w:rsid w:val="00A261C6"/>
    <w:rsid w:val="00A266F2"/>
    <w:rsid w:val="00A26875"/>
    <w:rsid w:val="00A273DB"/>
    <w:rsid w:val="00A27513"/>
    <w:rsid w:val="00A3028D"/>
    <w:rsid w:val="00A307A3"/>
    <w:rsid w:val="00A3083C"/>
    <w:rsid w:val="00A309D4"/>
    <w:rsid w:val="00A309FF"/>
    <w:rsid w:val="00A30DF1"/>
    <w:rsid w:val="00A311E5"/>
    <w:rsid w:val="00A3135A"/>
    <w:rsid w:val="00A318CD"/>
    <w:rsid w:val="00A319C3"/>
    <w:rsid w:val="00A31A04"/>
    <w:rsid w:val="00A31D4A"/>
    <w:rsid w:val="00A32F84"/>
    <w:rsid w:val="00A33BAB"/>
    <w:rsid w:val="00A341BD"/>
    <w:rsid w:val="00A34210"/>
    <w:rsid w:val="00A34412"/>
    <w:rsid w:val="00A3444D"/>
    <w:rsid w:val="00A34592"/>
    <w:rsid w:val="00A34745"/>
    <w:rsid w:val="00A34A8C"/>
    <w:rsid w:val="00A34F42"/>
    <w:rsid w:val="00A35392"/>
    <w:rsid w:val="00A353AE"/>
    <w:rsid w:val="00A3551A"/>
    <w:rsid w:val="00A35783"/>
    <w:rsid w:val="00A35AB0"/>
    <w:rsid w:val="00A35D58"/>
    <w:rsid w:val="00A35D79"/>
    <w:rsid w:val="00A36127"/>
    <w:rsid w:val="00A362A8"/>
    <w:rsid w:val="00A36767"/>
    <w:rsid w:val="00A36F68"/>
    <w:rsid w:val="00A36FAE"/>
    <w:rsid w:val="00A3726E"/>
    <w:rsid w:val="00A37418"/>
    <w:rsid w:val="00A374A5"/>
    <w:rsid w:val="00A37588"/>
    <w:rsid w:val="00A37707"/>
    <w:rsid w:val="00A37DEC"/>
    <w:rsid w:val="00A37EC5"/>
    <w:rsid w:val="00A4010A"/>
    <w:rsid w:val="00A40283"/>
    <w:rsid w:val="00A402F8"/>
    <w:rsid w:val="00A405DE"/>
    <w:rsid w:val="00A40878"/>
    <w:rsid w:val="00A40AC1"/>
    <w:rsid w:val="00A40C2E"/>
    <w:rsid w:val="00A40DAF"/>
    <w:rsid w:val="00A411B5"/>
    <w:rsid w:val="00A413F6"/>
    <w:rsid w:val="00A41CFC"/>
    <w:rsid w:val="00A41DB5"/>
    <w:rsid w:val="00A42218"/>
    <w:rsid w:val="00A42519"/>
    <w:rsid w:val="00A42B30"/>
    <w:rsid w:val="00A42EF1"/>
    <w:rsid w:val="00A431CD"/>
    <w:rsid w:val="00A432A6"/>
    <w:rsid w:val="00A44783"/>
    <w:rsid w:val="00A449F1"/>
    <w:rsid w:val="00A44C4F"/>
    <w:rsid w:val="00A4508E"/>
    <w:rsid w:val="00A453F1"/>
    <w:rsid w:val="00A455CA"/>
    <w:rsid w:val="00A4593A"/>
    <w:rsid w:val="00A45BD0"/>
    <w:rsid w:val="00A45CE1"/>
    <w:rsid w:val="00A4644A"/>
    <w:rsid w:val="00A46475"/>
    <w:rsid w:val="00A464A4"/>
    <w:rsid w:val="00A468CB"/>
    <w:rsid w:val="00A46B31"/>
    <w:rsid w:val="00A4731D"/>
    <w:rsid w:val="00A473F3"/>
    <w:rsid w:val="00A47D10"/>
    <w:rsid w:val="00A501B2"/>
    <w:rsid w:val="00A502F7"/>
    <w:rsid w:val="00A50394"/>
    <w:rsid w:val="00A5065E"/>
    <w:rsid w:val="00A50D07"/>
    <w:rsid w:val="00A50D17"/>
    <w:rsid w:val="00A50E7C"/>
    <w:rsid w:val="00A50F48"/>
    <w:rsid w:val="00A5113D"/>
    <w:rsid w:val="00A51DA0"/>
    <w:rsid w:val="00A51DCA"/>
    <w:rsid w:val="00A522C0"/>
    <w:rsid w:val="00A5255E"/>
    <w:rsid w:val="00A525BC"/>
    <w:rsid w:val="00A52827"/>
    <w:rsid w:val="00A52D87"/>
    <w:rsid w:val="00A53062"/>
    <w:rsid w:val="00A53355"/>
    <w:rsid w:val="00A534CA"/>
    <w:rsid w:val="00A53583"/>
    <w:rsid w:val="00A535CE"/>
    <w:rsid w:val="00A53788"/>
    <w:rsid w:val="00A5386E"/>
    <w:rsid w:val="00A53E22"/>
    <w:rsid w:val="00A53F71"/>
    <w:rsid w:val="00A546DF"/>
    <w:rsid w:val="00A54A74"/>
    <w:rsid w:val="00A55369"/>
    <w:rsid w:val="00A55560"/>
    <w:rsid w:val="00A55A38"/>
    <w:rsid w:val="00A55B96"/>
    <w:rsid w:val="00A55E2D"/>
    <w:rsid w:val="00A56408"/>
    <w:rsid w:val="00A567B6"/>
    <w:rsid w:val="00A56931"/>
    <w:rsid w:val="00A56B14"/>
    <w:rsid w:val="00A56CE9"/>
    <w:rsid w:val="00A571CB"/>
    <w:rsid w:val="00A57482"/>
    <w:rsid w:val="00A57602"/>
    <w:rsid w:val="00A57619"/>
    <w:rsid w:val="00A5773A"/>
    <w:rsid w:val="00A57E60"/>
    <w:rsid w:val="00A57FBE"/>
    <w:rsid w:val="00A60421"/>
    <w:rsid w:val="00A608E2"/>
    <w:rsid w:val="00A609EE"/>
    <w:rsid w:val="00A61098"/>
    <w:rsid w:val="00A61B76"/>
    <w:rsid w:val="00A61CB5"/>
    <w:rsid w:val="00A62369"/>
    <w:rsid w:val="00A62502"/>
    <w:rsid w:val="00A62C97"/>
    <w:rsid w:val="00A6356A"/>
    <w:rsid w:val="00A635B9"/>
    <w:rsid w:val="00A637FB"/>
    <w:rsid w:val="00A639AC"/>
    <w:rsid w:val="00A63C4B"/>
    <w:rsid w:val="00A63E05"/>
    <w:rsid w:val="00A64076"/>
    <w:rsid w:val="00A647B7"/>
    <w:rsid w:val="00A649D7"/>
    <w:rsid w:val="00A64D35"/>
    <w:rsid w:val="00A64ECE"/>
    <w:rsid w:val="00A6503D"/>
    <w:rsid w:val="00A65519"/>
    <w:rsid w:val="00A65976"/>
    <w:rsid w:val="00A673C8"/>
    <w:rsid w:val="00A67E6A"/>
    <w:rsid w:val="00A67E9B"/>
    <w:rsid w:val="00A7002E"/>
    <w:rsid w:val="00A70040"/>
    <w:rsid w:val="00A7041C"/>
    <w:rsid w:val="00A7065C"/>
    <w:rsid w:val="00A70A35"/>
    <w:rsid w:val="00A70F8E"/>
    <w:rsid w:val="00A7119F"/>
    <w:rsid w:val="00A71402"/>
    <w:rsid w:val="00A7194F"/>
    <w:rsid w:val="00A7196A"/>
    <w:rsid w:val="00A71A82"/>
    <w:rsid w:val="00A71CC1"/>
    <w:rsid w:val="00A71DAA"/>
    <w:rsid w:val="00A71DF5"/>
    <w:rsid w:val="00A7233E"/>
    <w:rsid w:val="00A7254C"/>
    <w:rsid w:val="00A7259A"/>
    <w:rsid w:val="00A7267C"/>
    <w:rsid w:val="00A72872"/>
    <w:rsid w:val="00A72B26"/>
    <w:rsid w:val="00A72C80"/>
    <w:rsid w:val="00A72D83"/>
    <w:rsid w:val="00A72DB8"/>
    <w:rsid w:val="00A72F8F"/>
    <w:rsid w:val="00A73228"/>
    <w:rsid w:val="00A73451"/>
    <w:rsid w:val="00A7375D"/>
    <w:rsid w:val="00A73B3A"/>
    <w:rsid w:val="00A73C39"/>
    <w:rsid w:val="00A73E48"/>
    <w:rsid w:val="00A74941"/>
    <w:rsid w:val="00A74CD9"/>
    <w:rsid w:val="00A75004"/>
    <w:rsid w:val="00A75163"/>
    <w:rsid w:val="00A75213"/>
    <w:rsid w:val="00A7527D"/>
    <w:rsid w:val="00A75397"/>
    <w:rsid w:val="00A7568B"/>
    <w:rsid w:val="00A757B3"/>
    <w:rsid w:val="00A75CC7"/>
    <w:rsid w:val="00A7616C"/>
    <w:rsid w:val="00A76346"/>
    <w:rsid w:val="00A76A7A"/>
    <w:rsid w:val="00A7712D"/>
    <w:rsid w:val="00A77293"/>
    <w:rsid w:val="00A773D9"/>
    <w:rsid w:val="00A773E1"/>
    <w:rsid w:val="00A7783A"/>
    <w:rsid w:val="00A77D1A"/>
    <w:rsid w:val="00A77EB7"/>
    <w:rsid w:val="00A801BC"/>
    <w:rsid w:val="00A801EB"/>
    <w:rsid w:val="00A8066F"/>
    <w:rsid w:val="00A807A5"/>
    <w:rsid w:val="00A808AE"/>
    <w:rsid w:val="00A808BB"/>
    <w:rsid w:val="00A80A1A"/>
    <w:rsid w:val="00A80E55"/>
    <w:rsid w:val="00A81BD2"/>
    <w:rsid w:val="00A820B4"/>
    <w:rsid w:val="00A822DE"/>
    <w:rsid w:val="00A8242D"/>
    <w:rsid w:val="00A82D5C"/>
    <w:rsid w:val="00A82F35"/>
    <w:rsid w:val="00A830CA"/>
    <w:rsid w:val="00A8326B"/>
    <w:rsid w:val="00A83723"/>
    <w:rsid w:val="00A83942"/>
    <w:rsid w:val="00A83BBC"/>
    <w:rsid w:val="00A83C88"/>
    <w:rsid w:val="00A83D1F"/>
    <w:rsid w:val="00A8419E"/>
    <w:rsid w:val="00A8439A"/>
    <w:rsid w:val="00A84638"/>
    <w:rsid w:val="00A849A8"/>
    <w:rsid w:val="00A84A35"/>
    <w:rsid w:val="00A84B42"/>
    <w:rsid w:val="00A84C20"/>
    <w:rsid w:val="00A84E23"/>
    <w:rsid w:val="00A85015"/>
    <w:rsid w:val="00A85134"/>
    <w:rsid w:val="00A85292"/>
    <w:rsid w:val="00A857BA"/>
    <w:rsid w:val="00A85853"/>
    <w:rsid w:val="00A85965"/>
    <w:rsid w:val="00A85F5E"/>
    <w:rsid w:val="00A85F96"/>
    <w:rsid w:val="00A861F1"/>
    <w:rsid w:val="00A8624B"/>
    <w:rsid w:val="00A8677F"/>
    <w:rsid w:val="00A8694A"/>
    <w:rsid w:val="00A873B9"/>
    <w:rsid w:val="00A87433"/>
    <w:rsid w:val="00A8799D"/>
    <w:rsid w:val="00A87A7E"/>
    <w:rsid w:val="00A87AE3"/>
    <w:rsid w:val="00A90204"/>
    <w:rsid w:val="00A90263"/>
    <w:rsid w:val="00A90E12"/>
    <w:rsid w:val="00A90F89"/>
    <w:rsid w:val="00A910B0"/>
    <w:rsid w:val="00A91640"/>
    <w:rsid w:val="00A91A89"/>
    <w:rsid w:val="00A91FDB"/>
    <w:rsid w:val="00A923F1"/>
    <w:rsid w:val="00A92CCA"/>
    <w:rsid w:val="00A92F5E"/>
    <w:rsid w:val="00A931D7"/>
    <w:rsid w:val="00A93228"/>
    <w:rsid w:val="00A93360"/>
    <w:rsid w:val="00A93D14"/>
    <w:rsid w:val="00A93E00"/>
    <w:rsid w:val="00A93E07"/>
    <w:rsid w:val="00A94390"/>
    <w:rsid w:val="00A94B09"/>
    <w:rsid w:val="00A94CA4"/>
    <w:rsid w:val="00A94DC7"/>
    <w:rsid w:val="00A95A68"/>
    <w:rsid w:val="00A95CE9"/>
    <w:rsid w:val="00A95F21"/>
    <w:rsid w:val="00A960F7"/>
    <w:rsid w:val="00A961AA"/>
    <w:rsid w:val="00A962B7"/>
    <w:rsid w:val="00A96412"/>
    <w:rsid w:val="00A96F30"/>
    <w:rsid w:val="00A97231"/>
    <w:rsid w:val="00A979FB"/>
    <w:rsid w:val="00A97DE2"/>
    <w:rsid w:val="00AA0096"/>
    <w:rsid w:val="00AA02E8"/>
    <w:rsid w:val="00AA1098"/>
    <w:rsid w:val="00AA1274"/>
    <w:rsid w:val="00AA1965"/>
    <w:rsid w:val="00AA1B4A"/>
    <w:rsid w:val="00AA1E77"/>
    <w:rsid w:val="00AA1F01"/>
    <w:rsid w:val="00AA1F64"/>
    <w:rsid w:val="00AA1FAD"/>
    <w:rsid w:val="00AA2FCC"/>
    <w:rsid w:val="00AA34FC"/>
    <w:rsid w:val="00AA3558"/>
    <w:rsid w:val="00AA371C"/>
    <w:rsid w:val="00AA391B"/>
    <w:rsid w:val="00AA3A04"/>
    <w:rsid w:val="00AA3B9F"/>
    <w:rsid w:val="00AA4512"/>
    <w:rsid w:val="00AA451A"/>
    <w:rsid w:val="00AA4A92"/>
    <w:rsid w:val="00AA4B11"/>
    <w:rsid w:val="00AA50A2"/>
    <w:rsid w:val="00AA53D1"/>
    <w:rsid w:val="00AA5514"/>
    <w:rsid w:val="00AA5F09"/>
    <w:rsid w:val="00AA5F88"/>
    <w:rsid w:val="00AA61F4"/>
    <w:rsid w:val="00AA64C9"/>
    <w:rsid w:val="00AA6A0B"/>
    <w:rsid w:val="00AA6A2E"/>
    <w:rsid w:val="00AA6B87"/>
    <w:rsid w:val="00AA6F49"/>
    <w:rsid w:val="00AA7285"/>
    <w:rsid w:val="00AA7386"/>
    <w:rsid w:val="00AA79BA"/>
    <w:rsid w:val="00AB02F9"/>
    <w:rsid w:val="00AB076E"/>
    <w:rsid w:val="00AB07E1"/>
    <w:rsid w:val="00AB09B9"/>
    <w:rsid w:val="00AB0A4E"/>
    <w:rsid w:val="00AB0A6C"/>
    <w:rsid w:val="00AB0B3C"/>
    <w:rsid w:val="00AB0F0F"/>
    <w:rsid w:val="00AB116F"/>
    <w:rsid w:val="00AB11B8"/>
    <w:rsid w:val="00AB147F"/>
    <w:rsid w:val="00AB1515"/>
    <w:rsid w:val="00AB1958"/>
    <w:rsid w:val="00AB1B93"/>
    <w:rsid w:val="00AB1CFA"/>
    <w:rsid w:val="00AB1FF1"/>
    <w:rsid w:val="00AB225F"/>
    <w:rsid w:val="00AB264A"/>
    <w:rsid w:val="00AB2C15"/>
    <w:rsid w:val="00AB2FF7"/>
    <w:rsid w:val="00AB3296"/>
    <w:rsid w:val="00AB3960"/>
    <w:rsid w:val="00AB3A95"/>
    <w:rsid w:val="00AB3DFF"/>
    <w:rsid w:val="00AB429E"/>
    <w:rsid w:val="00AB4AF9"/>
    <w:rsid w:val="00AB4DFE"/>
    <w:rsid w:val="00AB517F"/>
    <w:rsid w:val="00AB51D3"/>
    <w:rsid w:val="00AB5371"/>
    <w:rsid w:val="00AB5388"/>
    <w:rsid w:val="00AB55B6"/>
    <w:rsid w:val="00AB5B58"/>
    <w:rsid w:val="00AB5E0C"/>
    <w:rsid w:val="00AB5FCB"/>
    <w:rsid w:val="00AB662D"/>
    <w:rsid w:val="00AB6797"/>
    <w:rsid w:val="00AB6E11"/>
    <w:rsid w:val="00AB7029"/>
    <w:rsid w:val="00AB71BB"/>
    <w:rsid w:val="00AB72AB"/>
    <w:rsid w:val="00AB7836"/>
    <w:rsid w:val="00AB78AE"/>
    <w:rsid w:val="00AB7B8E"/>
    <w:rsid w:val="00AC0145"/>
    <w:rsid w:val="00AC07CC"/>
    <w:rsid w:val="00AC09D8"/>
    <w:rsid w:val="00AC0E8A"/>
    <w:rsid w:val="00AC1B30"/>
    <w:rsid w:val="00AC1C46"/>
    <w:rsid w:val="00AC2873"/>
    <w:rsid w:val="00AC2AD0"/>
    <w:rsid w:val="00AC2AE3"/>
    <w:rsid w:val="00AC2FD7"/>
    <w:rsid w:val="00AC30A4"/>
    <w:rsid w:val="00AC383E"/>
    <w:rsid w:val="00AC3B48"/>
    <w:rsid w:val="00AC41E7"/>
    <w:rsid w:val="00AC4877"/>
    <w:rsid w:val="00AC53FE"/>
    <w:rsid w:val="00AC5537"/>
    <w:rsid w:val="00AC5B5B"/>
    <w:rsid w:val="00AC5C5A"/>
    <w:rsid w:val="00AC664E"/>
    <w:rsid w:val="00AC69E3"/>
    <w:rsid w:val="00AC6B81"/>
    <w:rsid w:val="00AC73A5"/>
    <w:rsid w:val="00AC7C41"/>
    <w:rsid w:val="00AC7FC7"/>
    <w:rsid w:val="00AD000B"/>
    <w:rsid w:val="00AD00DE"/>
    <w:rsid w:val="00AD055F"/>
    <w:rsid w:val="00AD0B68"/>
    <w:rsid w:val="00AD0E85"/>
    <w:rsid w:val="00AD1415"/>
    <w:rsid w:val="00AD1644"/>
    <w:rsid w:val="00AD16FE"/>
    <w:rsid w:val="00AD1999"/>
    <w:rsid w:val="00AD1AD7"/>
    <w:rsid w:val="00AD1AF0"/>
    <w:rsid w:val="00AD2588"/>
    <w:rsid w:val="00AD26E9"/>
    <w:rsid w:val="00AD2714"/>
    <w:rsid w:val="00AD29BD"/>
    <w:rsid w:val="00AD29C2"/>
    <w:rsid w:val="00AD3312"/>
    <w:rsid w:val="00AD36A8"/>
    <w:rsid w:val="00AD3D00"/>
    <w:rsid w:val="00AD3EF1"/>
    <w:rsid w:val="00AD3EFE"/>
    <w:rsid w:val="00AD42E3"/>
    <w:rsid w:val="00AD462B"/>
    <w:rsid w:val="00AD47C2"/>
    <w:rsid w:val="00AD4F11"/>
    <w:rsid w:val="00AD5233"/>
    <w:rsid w:val="00AD5647"/>
    <w:rsid w:val="00AD595E"/>
    <w:rsid w:val="00AD5AC3"/>
    <w:rsid w:val="00AD60B5"/>
    <w:rsid w:val="00AD6453"/>
    <w:rsid w:val="00AD70ED"/>
    <w:rsid w:val="00AD7216"/>
    <w:rsid w:val="00AD74E2"/>
    <w:rsid w:val="00AD7823"/>
    <w:rsid w:val="00AD7CC6"/>
    <w:rsid w:val="00AD7ED4"/>
    <w:rsid w:val="00AE0021"/>
    <w:rsid w:val="00AE00F4"/>
    <w:rsid w:val="00AE0150"/>
    <w:rsid w:val="00AE0632"/>
    <w:rsid w:val="00AE0C1D"/>
    <w:rsid w:val="00AE0C80"/>
    <w:rsid w:val="00AE0F85"/>
    <w:rsid w:val="00AE1A08"/>
    <w:rsid w:val="00AE1D2C"/>
    <w:rsid w:val="00AE1FF0"/>
    <w:rsid w:val="00AE2A2A"/>
    <w:rsid w:val="00AE2C37"/>
    <w:rsid w:val="00AE2F4F"/>
    <w:rsid w:val="00AE343A"/>
    <w:rsid w:val="00AE3CC8"/>
    <w:rsid w:val="00AE3DC9"/>
    <w:rsid w:val="00AE3F94"/>
    <w:rsid w:val="00AE407C"/>
    <w:rsid w:val="00AE409B"/>
    <w:rsid w:val="00AE4125"/>
    <w:rsid w:val="00AE4436"/>
    <w:rsid w:val="00AE4487"/>
    <w:rsid w:val="00AE4556"/>
    <w:rsid w:val="00AE46F2"/>
    <w:rsid w:val="00AE4CCE"/>
    <w:rsid w:val="00AE4E7E"/>
    <w:rsid w:val="00AE519A"/>
    <w:rsid w:val="00AE5452"/>
    <w:rsid w:val="00AE5810"/>
    <w:rsid w:val="00AE5BC8"/>
    <w:rsid w:val="00AE5CF2"/>
    <w:rsid w:val="00AE5DD2"/>
    <w:rsid w:val="00AE656C"/>
    <w:rsid w:val="00AE65B6"/>
    <w:rsid w:val="00AE681A"/>
    <w:rsid w:val="00AE6C2E"/>
    <w:rsid w:val="00AE7011"/>
    <w:rsid w:val="00AE7AF9"/>
    <w:rsid w:val="00AF0263"/>
    <w:rsid w:val="00AF0694"/>
    <w:rsid w:val="00AF080F"/>
    <w:rsid w:val="00AF081E"/>
    <w:rsid w:val="00AF0911"/>
    <w:rsid w:val="00AF1083"/>
    <w:rsid w:val="00AF17EA"/>
    <w:rsid w:val="00AF1A6C"/>
    <w:rsid w:val="00AF1D50"/>
    <w:rsid w:val="00AF1D6C"/>
    <w:rsid w:val="00AF2261"/>
    <w:rsid w:val="00AF270B"/>
    <w:rsid w:val="00AF2934"/>
    <w:rsid w:val="00AF2AB3"/>
    <w:rsid w:val="00AF2B7B"/>
    <w:rsid w:val="00AF3207"/>
    <w:rsid w:val="00AF39CE"/>
    <w:rsid w:val="00AF3B58"/>
    <w:rsid w:val="00AF3E38"/>
    <w:rsid w:val="00AF3E8A"/>
    <w:rsid w:val="00AF41BB"/>
    <w:rsid w:val="00AF44D4"/>
    <w:rsid w:val="00AF46D0"/>
    <w:rsid w:val="00AF4917"/>
    <w:rsid w:val="00AF4DA9"/>
    <w:rsid w:val="00AF4DDC"/>
    <w:rsid w:val="00AF4EA0"/>
    <w:rsid w:val="00AF5043"/>
    <w:rsid w:val="00AF5225"/>
    <w:rsid w:val="00AF5542"/>
    <w:rsid w:val="00AF55E4"/>
    <w:rsid w:val="00AF5959"/>
    <w:rsid w:val="00AF5BDD"/>
    <w:rsid w:val="00AF5D24"/>
    <w:rsid w:val="00AF6355"/>
    <w:rsid w:val="00AF650C"/>
    <w:rsid w:val="00AF668E"/>
    <w:rsid w:val="00AF6C7E"/>
    <w:rsid w:val="00AF7222"/>
    <w:rsid w:val="00AF727E"/>
    <w:rsid w:val="00AF730A"/>
    <w:rsid w:val="00AF744E"/>
    <w:rsid w:val="00AF777E"/>
    <w:rsid w:val="00AF77B1"/>
    <w:rsid w:val="00AF78BF"/>
    <w:rsid w:val="00AF7F4D"/>
    <w:rsid w:val="00B006CC"/>
    <w:rsid w:val="00B01196"/>
    <w:rsid w:val="00B01204"/>
    <w:rsid w:val="00B0132A"/>
    <w:rsid w:val="00B01760"/>
    <w:rsid w:val="00B0216D"/>
    <w:rsid w:val="00B02339"/>
    <w:rsid w:val="00B0295A"/>
    <w:rsid w:val="00B02DD7"/>
    <w:rsid w:val="00B03D2E"/>
    <w:rsid w:val="00B03DA3"/>
    <w:rsid w:val="00B0401B"/>
    <w:rsid w:val="00B04B93"/>
    <w:rsid w:val="00B04C07"/>
    <w:rsid w:val="00B04F3B"/>
    <w:rsid w:val="00B050BE"/>
    <w:rsid w:val="00B056B1"/>
    <w:rsid w:val="00B05798"/>
    <w:rsid w:val="00B05B84"/>
    <w:rsid w:val="00B05E69"/>
    <w:rsid w:val="00B06062"/>
    <w:rsid w:val="00B0646A"/>
    <w:rsid w:val="00B06488"/>
    <w:rsid w:val="00B068FC"/>
    <w:rsid w:val="00B06CCC"/>
    <w:rsid w:val="00B06D06"/>
    <w:rsid w:val="00B06D80"/>
    <w:rsid w:val="00B06E14"/>
    <w:rsid w:val="00B0719F"/>
    <w:rsid w:val="00B0722A"/>
    <w:rsid w:val="00B0758C"/>
    <w:rsid w:val="00B101EC"/>
    <w:rsid w:val="00B104D7"/>
    <w:rsid w:val="00B10928"/>
    <w:rsid w:val="00B10A7B"/>
    <w:rsid w:val="00B10D4F"/>
    <w:rsid w:val="00B10E08"/>
    <w:rsid w:val="00B11158"/>
    <w:rsid w:val="00B114F2"/>
    <w:rsid w:val="00B115B6"/>
    <w:rsid w:val="00B118AF"/>
    <w:rsid w:val="00B11B2E"/>
    <w:rsid w:val="00B121D8"/>
    <w:rsid w:val="00B121DE"/>
    <w:rsid w:val="00B1239B"/>
    <w:rsid w:val="00B124C2"/>
    <w:rsid w:val="00B128F5"/>
    <w:rsid w:val="00B129F3"/>
    <w:rsid w:val="00B13234"/>
    <w:rsid w:val="00B13295"/>
    <w:rsid w:val="00B135C1"/>
    <w:rsid w:val="00B135FB"/>
    <w:rsid w:val="00B13B98"/>
    <w:rsid w:val="00B13D96"/>
    <w:rsid w:val="00B140B4"/>
    <w:rsid w:val="00B14477"/>
    <w:rsid w:val="00B14566"/>
    <w:rsid w:val="00B147BE"/>
    <w:rsid w:val="00B14932"/>
    <w:rsid w:val="00B14953"/>
    <w:rsid w:val="00B14C1C"/>
    <w:rsid w:val="00B14FF6"/>
    <w:rsid w:val="00B15113"/>
    <w:rsid w:val="00B153A0"/>
    <w:rsid w:val="00B15575"/>
    <w:rsid w:val="00B15620"/>
    <w:rsid w:val="00B15E25"/>
    <w:rsid w:val="00B1622D"/>
    <w:rsid w:val="00B1659F"/>
    <w:rsid w:val="00B16D1F"/>
    <w:rsid w:val="00B16ECF"/>
    <w:rsid w:val="00B16F91"/>
    <w:rsid w:val="00B179E6"/>
    <w:rsid w:val="00B17A59"/>
    <w:rsid w:val="00B17CD0"/>
    <w:rsid w:val="00B204F6"/>
    <w:rsid w:val="00B20B53"/>
    <w:rsid w:val="00B20C92"/>
    <w:rsid w:val="00B20E1D"/>
    <w:rsid w:val="00B20FBC"/>
    <w:rsid w:val="00B210B0"/>
    <w:rsid w:val="00B21545"/>
    <w:rsid w:val="00B21578"/>
    <w:rsid w:val="00B21B72"/>
    <w:rsid w:val="00B21BB3"/>
    <w:rsid w:val="00B21DB4"/>
    <w:rsid w:val="00B22110"/>
    <w:rsid w:val="00B228E4"/>
    <w:rsid w:val="00B23076"/>
    <w:rsid w:val="00B2311D"/>
    <w:rsid w:val="00B2337D"/>
    <w:rsid w:val="00B23705"/>
    <w:rsid w:val="00B237BA"/>
    <w:rsid w:val="00B23861"/>
    <w:rsid w:val="00B23ABC"/>
    <w:rsid w:val="00B23F27"/>
    <w:rsid w:val="00B24473"/>
    <w:rsid w:val="00B24CD7"/>
    <w:rsid w:val="00B250C6"/>
    <w:rsid w:val="00B25273"/>
    <w:rsid w:val="00B2574F"/>
    <w:rsid w:val="00B25F1B"/>
    <w:rsid w:val="00B261C3"/>
    <w:rsid w:val="00B26390"/>
    <w:rsid w:val="00B26DC4"/>
    <w:rsid w:val="00B302FC"/>
    <w:rsid w:val="00B3057A"/>
    <w:rsid w:val="00B3071C"/>
    <w:rsid w:val="00B30F8D"/>
    <w:rsid w:val="00B31027"/>
    <w:rsid w:val="00B31C08"/>
    <w:rsid w:val="00B31CF0"/>
    <w:rsid w:val="00B3285F"/>
    <w:rsid w:val="00B32AE2"/>
    <w:rsid w:val="00B32E7D"/>
    <w:rsid w:val="00B330FA"/>
    <w:rsid w:val="00B332A1"/>
    <w:rsid w:val="00B3332A"/>
    <w:rsid w:val="00B33430"/>
    <w:rsid w:val="00B33819"/>
    <w:rsid w:val="00B33A5E"/>
    <w:rsid w:val="00B33BEB"/>
    <w:rsid w:val="00B33C98"/>
    <w:rsid w:val="00B34758"/>
    <w:rsid w:val="00B34EE2"/>
    <w:rsid w:val="00B34FD4"/>
    <w:rsid w:val="00B35103"/>
    <w:rsid w:val="00B35118"/>
    <w:rsid w:val="00B3511A"/>
    <w:rsid w:val="00B35247"/>
    <w:rsid w:val="00B353B1"/>
    <w:rsid w:val="00B35C95"/>
    <w:rsid w:val="00B35E82"/>
    <w:rsid w:val="00B36001"/>
    <w:rsid w:val="00B3602F"/>
    <w:rsid w:val="00B3627D"/>
    <w:rsid w:val="00B3655F"/>
    <w:rsid w:val="00B3685E"/>
    <w:rsid w:val="00B37104"/>
    <w:rsid w:val="00B37183"/>
    <w:rsid w:val="00B37C0A"/>
    <w:rsid w:val="00B4016C"/>
    <w:rsid w:val="00B4068B"/>
    <w:rsid w:val="00B40A76"/>
    <w:rsid w:val="00B411F1"/>
    <w:rsid w:val="00B415EC"/>
    <w:rsid w:val="00B419AF"/>
    <w:rsid w:val="00B41C78"/>
    <w:rsid w:val="00B424DF"/>
    <w:rsid w:val="00B428CE"/>
    <w:rsid w:val="00B42A62"/>
    <w:rsid w:val="00B43378"/>
    <w:rsid w:val="00B433FA"/>
    <w:rsid w:val="00B43B5C"/>
    <w:rsid w:val="00B43B99"/>
    <w:rsid w:val="00B43CAC"/>
    <w:rsid w:val="00B43ED5"/>
    <w:rsid w:val="00B43EDB"/>
    <w:rsid w:val="00B445AB"/>
    <w:rsid w:val="00B44C14"/>
    <w:rsid w:val="00B45227"/>
    <w:rsid w:val="00B4569B"/>
    <w:rsid w:val="00B4585D"/>
    <w:rsid w:val="00B45DED"/>
    <w:rsid w:val="00B45FFC"/>
    <w:rsid w:val="00B46308"/>
    <w:rsid w:val="00B46909"/>
    <w:rsid w:val="00B46E43"/>
    <w:rsid w:val="00B4705A"/>
    <w:rsid w:val="00B4738E"/>
    <w:rsid w:val="00B474C7"/>
    <w:rsid w:val="00B5072E"/>
    <w:rsid w:val="00B5082E"/>
    <w:rsid w:val="00B5085E"/>
    <w:rsid w:val="00B50986"/>
    <w:rsid w:val="00B50D6C"/>
    <w:rsid w:val="00B50D7B"/>
    <w:rsid w:val="00B50DF4"/>
    <w:rsid w:val="00B50F73"/>
    <w:rsid w:val="00B519D7"/>
    <w:rsid w:val="00B523BA"/>
    <w:rsid w:val="00B525B1"/>
    <w:rsid w:val="00B5268C"/>
    <w:rsid w:val="00B528D9"/>
    <w:rsid w:val="00B52938"/>
    <w:rsid w:val="00B52A9E"/>
    <w:rsid w:val="00B52ACF"/>
    <w:rsid w:val="00B53499"/>
    <w:rsid w:val="00B53824"/>
    <w:rsid w:val="00B53828"/>
    <w:rsid w:val="00B5404C"/>
    <w:rsid w:val="00B549DD"/>
    <w:rsid w:val="00B54AFD"/>
    <w:rsid w:val="00B54BED"/>
    <w:rsid w:val="00B551B6"/>
    <w:rsid w:val="00B55236"/>
    <w:rsid w:val="00B55373"/>
    <w:rsid w:val="00B5569D"/>
    <w:rsid w:val="00B55736"/>
    <w:rsid w:val="00B55D60"/>
    <w:rsid w:val="00B56B4A"/>
    <w:rsid w:val="00B56E63"/>
    <w:rsid w:val="00B574FD"/>
    <w:rsid w:val="00B57656"/>
    <w:rsid w:val="00B57BB0"/>
    <w:rsid w:val="00B60567"/>
    <w:rsid w:val="00B60AF9"/>
    <w:rsid w:val="00B60CE9"/>
    <w:rsid w:val="00B60D09"/>
    <w:rsid w:val="00B60E6A"/>
    <w:rsid w:val="00B60EAF"/>
    <w:rsid w:val="00B60FEC"/>
    <w:rsid w:val="00B615CA"/>
    <w:rsid w:val="00B61746"/>
    <w:rsid w:val="00B61E61"/>
    <w:rsid w:val="00B61FC9"/>
    <w:rsid w:val="00B62380"/>
    <w:rsid w:val="00B6262B"/>
    <w:rsid w:val="00B62665"/>
    <w:rsid w:val="00B62795"/>
    <w:rsid w:val="00B6356C"/>
    <w:rsid w:val="00B63D1A"/>
    <w:rsid w:val="00B63E04"/>
    <w:rsid w:val="00B63EBC"/>
    <w:rsid w:val="00B64161"/>
    <w:rsid w:val="00B64388"/>
    <w:rsid w:val="00B64912"/>
    <w:rsid w:val="00B64D33"/>
    <w:rsid w:val="00B65C19"/>
    <w:rsid w:val="00B65D56"/>
    <w:rsid w:val="00B6626E"/>
    <w:rsid w:val="00B6630E"/>
    <w:rsid w:val="00B6635C"/>
    <w:rsid w:val="00B6670C"/>
    <w:rsid w:val="00B66B3E"/>
    <w:rsid w:val="00B66E74"/>
    <w:rsid w:val="00B673F5"/>
    <w:rsid w:val="00B674AF"/>
    <w:rsid w:val="00B6775F"/>
    <w:rsid w:val="00B67C20"/>
    <w:rsid w:val="00B67CBD"/>
    <w:rsid w:val="00B67E3A"/>
    <w:rsid w:val="00B7000F"/>
    <w:rsid w:val="00B700CD"/>
    <w:rsid w:val="00B70800"/>
    <w:rsid w:val="00B70C49"/>
    <w:rsid w:val="00B71232"/>
    <w:rsid w:val="00B715AB"/>
    <w:rsid w:val="00B71F23"/>
    <w:rsid w:val="00B72094"/>
    <w:rsid w:val="00B72403"/>
    <w:rsid w:val="00B72628"/>
    <w:rsid w:val="00B726D4"/>
    <w:rsid w:val="00B72D9B"/>
    <w:rsid w:val="00B73210"/>
    <w:rsid w:val="00B73599"/>
    <w:rsid w:val="00B73A3B"/>
    <w:rsid w:val="00B73B73"/>
    <w:rsid w:val="00B73E8F"/>
    <w:rsid w:val="00B73E99"/>
    <w:rsid w:val="00B73ED8"/>
    <w:rsid w:val="00B73F46"/>
    <w:rsid w:val="00B73F9F"/>
    <w:rsid w:val="00B7424B"/>
    <w:rsid w:val="00B7451B"/>
    <w:rsid w:val="00B74C3A"/>
    <w:rsid w:val="00B74D31"/>
    <w:rsid w:val="00B74EF6"/>
    <w:rsid w:val="00B74F4A"/>
    <w:rsid w:val="00B753B8"/>
    <w:rsid w:val="00B75534"/>
    <w:rsid w:val="00B762BD"/>
    <w:rsid w:val="00B765BB"/>
    <w:rsid w:val="00B76741"/>
    <w:rsid w:val="00B7781D"/>
    <w:rsid w:val="00B77B40"/>
    <w:rsid w:val="00B77B54"/>
    <w:rsid w:val="00B77B8C"/>
    <w:rsid w:val="00B800A4"/>
    <w:rsid w:val="00B80477"/>
    <w:rsid w:val="00B8064E"/>
    <w:rsid w:val="00B8073A"/>
    <w:rsid w:val="00B80B30"/>
    <w:rsid w:val="00B80B4D"/>
    <w:rsid w:val="00B80DFB"/>
    <w:rsid w:val="00B81270"/>
    <w:rsid w:val="00B81BAF"/>
    <w:rsid w:val="00B82A9E"/>
    <w:rsid w:val="00B82C6E"/>
    <w:rsid w:val="00B82EB8"/>
    <w:rsid w:val="00B82F82"/>
    <w:rsid w:val="00B83A99"/>
    <w:rsid w:val="00B83B81"/>
    <w:rsid w:val="00B83F52"/>
    <w:rsid w:val="00B84A1F"/>
    <w:rsid w:val="00B84A30"/>
    <w:rsid w:val="00B84F58"/>
    <w:rsid w:val="00B85027"/>
    <w:rsid w:val="00B85512"/>
    <w:rsid w:val="00B85B0C"/>
    <w:rsid w:val="00B85E8A"/>
    <w:rsid w:val="00B86371"/>
    <w:rsid w:val="00B86660"/>
    <w:rsid w:val="00B86828"/>
    <w:rsid w:val="00B86D5F"/>
    <w:rsid w:val="00B86EE7"/>
    <w:rsid w:val="00B86FDB"/>
    <w:rsid w:val="00B8732A"/>
    <w:rsid w:val="00B8733B"/>
    <w:rsid w:val="00B873C3"/>
    <w:rsid w:val="00B87718"/>
    <w:rsid w:val="00B878BC"/>
    <w:rsid w:val="00B87998"/>
    <w:rsid w:val="00B87C70"/>
    <w:rsid w:val="00B9014B"/>
    <w:rsid w:val="00B906AC"/>
    <w:rsid w:val="00B908B1"/>
    <w:rsid w:val="00B90D60"/>
    <w:rsid w:val="00B91A1F"/>
    <w:rsid w:val="00B91BF9"/>
    <w:rsid w:val="00B91C79"/>
    <w:rsid w:val="00B91D5F"/>
    <w:rsid w:val="00B92050"/>
    <w:rsid w:val="00B9283D"/>
    <w:rsid w:val="00B92BF3"/>
    <w:rsid w:val="00B92E62"/>
    <w:rsid w:val="00B93163"/>
    <w:rsid w:val="00B931E5"/>
    <w:rsid w:val="00B93BDE"/>
    <w:rsid w:val="00B958DB"/>
    <w:rsid w:val="00B95DB6"/>
    <w:rsid w:val="00B95E8F"/>
    <w:rsid w:val="00B9645B"/>
    <w:rsid w:val="00B964F6"/>
    <w:rsid w:val="00B96589"/>
    <w:rsid w:val="00B96594"/>
    <w:rsid w:val="00B96E32"/>
    <w:rsid w:val="00B97267"/>
    <w:rsid w:val="00B97E85"/>
    <w:rsid w:val="00BA01D6"/>
    <w:rsid w:val="00BA046D"/>
    <w:rsid w:val="00BA05CB"/>
    <w:rsid w:val="00BA0757"/>
    <w:rsid w:val="00BA0B16"/>
    <w:rsid w:val="00BA0B98"/>
    <w:rsid w:val="00BA1044"/>
    <w:rsid w:val="00BA1468"/>
    <w:rsid w:val="00BA14C1"/>
    <w:rsid w:val="00BA1AE6"/>
    <w:rsid w:val="00BA1DE5"/>
    <w:rsid w:val="00BA256F"/>
    <w:rsid w:val="00BA2A5A"/>
    <w:rsid w:val="00BA2BFB"/>
    <w:rsid w:val="00BA31CD"/>
    <w:rsid w:val="00BA32B6"/>
    <w:rsid w:val="00BA343E"/>
    <w:rsid w:val="00BA348B"/>
    <w:rsid w:val="00BA34D3"/>
    <w:rsid w:val="00BA370F"/>
    <w:rsid w:val="00BA3A82"/>
    <w:rsid w:val="00BA3BA7"/>
    <w:rsid w:val="00BA3EF5"/>
    <w:rsid w:val="00BA3FC7"/>
    <w:rsid w:val="00BA4132"/>
    <w:rsid w:val="00BA42EA"/>
    <w:rsid w:val="00BA4410"/>
    <w:rsid w:val="00BA46CB"/>
    <w:rsid w:val="00BA4910"/>
    <w:rsid w:val="00BA4A74"/>
    <w:rsid w:val="00BA4F06"/>
    <w:rsid w:val="00BA5140"/>
    <w:rsid w:val="00BA51DC"/>
    <w:rsid w:val="00BA540D"/>
    <w:rsid w:val="00BA54C5"/>
    <w:rsid w:val="00BA5555"/>
    <w:rsid w:val="00BA5ACB"/>
    <w:rsid w:val="00BA5C46"/>
    <w:rsid w:val="00BA5D68"/>
    <w:rsid w:val="00BA5DA7"/>
    <w:rsid w:val="00BA5EA6"/>
    <w:rsid w:val="00BA61D8"/>
    <w:rsid w:val="00BA6845"/>
    <w:rsid w:val="00BA6CD1"/>
    <w:rsid w:val="00BA6D6B"/>
    <w:rsid w:val="00BA7187"/>
    <w:rsid w:val="00BA7377"/>
    <w:rsid w:val="00BA73BE"/>
    <w:rsid w:val="00BA75C6"/>
    <w:rsid w:val="00BA787F"/>
    <w:rsid w:val="00BA795C"/>
    <w:rsid w:val="00BA7E37"/>
    <w:rsid w:val="00BB01AC"/>
    <w:rsid w:val="00BB09B2"/>
    <w:rsid w:val="00BB0B10"/>
    <w:rsid w:val="00BB0F33"/>
    <w:rsid w:val="00BB1219"/>
    <w:rsid w:val="00BB12A6"/>
    <w:rsid w:val="00BB16EB"/>
    <w:rsid w:val="00BB17A7"/>
    <w:rsid w:val="00BB1ABA"/>
    <w:rsid w:val="00BB1D23"/>
    <w:rsid w:val="00BB2463"/>
    <w:rsid w:val="00BB292C"/>
    <w:rsid w:val="00BB2E18"/>
    <w:rsid w:val="00BB2EA4"/>
    <w:rsid w:val="00BB3237"/>
    <w:rsid w:val="00BB329D"/>
    <w:rsid w:val="00BB3393"/>
    <w:rsid w:val="00BB3544"/>
    <w:rsid w:val="00BB3549"/>
    <w:rsid w:val="00BB37C1"/>
    <w:rsid w:val="00BB3820"/>
    <w:rsid w:val="00BB3A1E"/>
    <w:rsid w:val="00BB3ED7"/>
    <w:rsid w:val="00BB43E0"/>
    <w:rsid w:val="00BB45A3"/>
    <w:rsid w:val="00BB45B5"/>
    <w:rsid w:val="00BB4931"/>
    <w:rsid w:val="00BB4A7F"/>
    <w:rsid w:val="00BB5060"/>
    <w:rsid w:val="00BB53C9"/>
    <w:rsid w:val="00BB554D"/>
    <w:rsid w:val="00BB6244"/>
    <w:rsid w:val="00BB681F"/>
    <w:rsid w:val="00BB6F77"/>
    <w:rsid w:val="00BB715B"/>
    <w:rsid w:val="00BB741B"/>
    <w:rsid w:val="00BB766D"/>
    <w:rsid w:val="00BB7708"/>
    <w:rsid w:val="00BB7719"/>
    <w:rsid w:val="00BB7E70"/>
    <w:rsid w:val="00BB7EF2"/>
    <w:rsid w:val="00BC0234"/>
    <w:rsid w:val="00BC047B"/>
    <w:rsid w:val="00BC0659"/>
    <w:rsid w:val="00BC09BE"/>
    <w:rsid w:val="00BC0D6F"/>
    <w:rsid w:val="00BC0D72"/>
    <w:rsid w:val="00BC0E68"/>
    <w:rsid w:val="00BC0FB0"/>
    <w:rsid w:val="00BC1009"/>
    <w:rsid w:val="00BC13C8"/>
    <w:rsid w:val="00BC1454"/>
    <w:rsid w:val="00BC17AE"/>
    <w:rsid w:val="00BC1E40"/>
    <w:rsid w:val="00BC1FED"/>
    <w:rsid w:val="00BC222B"/>
    <w:rsid w:val="00BC2239"/>
    <w:rsid w:val="00BC22FA"/>
    <w:rsid w:val="00BC2344"/>
    <w:rsid w:val="00BC2640"/>
    <w:rsid w:val="00BC2E02"/>
    <w:rsid w:val="00BC2EA4"/>
    <w:rsid w:val="00BC2F91"/>
    <w:rsid w:val="00BC3168"/>
    <w:rsid w:val="00BC334E"/>
    <w:rsid w:val="00BC3863"/>
    <w:rsid w:val="00BC38BF"/>
    <w:rsid w:val="00BC3D4F"/>
    <w:rsid w:val="00BC3DEA"/>
    <w:rsid w:val="00BC410B"/>
    <w:rsid w:val="00BC411E"/>
    <w:rsid w:val="00BC43EB"/>
    <w:rsid w:val="00BC45CD"/>
    <w:rsid w:val="00BC47A0"/>
    <w:rsid w:val="00BC47B2"/>
    <w:rsid w:val="00BC480D"/>
    <w:rsid w:val="00BC540B"/>
    <w:rsid w:val="00BC547C"/>
    <w:rsid w:val="00BC5666"/>
    <w:rsid w:val="00BC57BD"/>
    <w:rsid w:val="00BC5884"/>
    <w:rsid w:val="00BC5D59"/>
    <w:rsid w:val="00BC61D0"/>
    <w:rsid w:val="00BC62A9"/>
    <w:rsid w:val="00BC6544"/>
    <w:rsid w:val="00BC6888"/>
    <w:rsid w:val="00BC69E8"/>
    <w:rsid w:val="00BC6DCA"/>
    <w:rsid w:val="00BC6F65"/>
    <w:rsid w:val="00BC709C"/>
    <w:rsid w:val="00BC7177"/>
    <w:rsid w:val="00BC73EA"/>
    <w:rsid w:val="00BD090F"/>
    <w:rsid w:val="00BD0A16"/>
    <w:rsid w:val="00BD0F9D"/>
    <w:rsid w:val="00BD10C7"/>
    <w:rsid w:val="00BD1474"/>
    <w:rsid w:val="00BD164C"/>
    <w:rsid w:val="00BD2188"/>
    <w:rsid w:val="00BD241C"/>
    <w:rsid w:val="00BD265F"/>
    <w:rsid w:val="00BD2712"/>
    <w:rsid w:val="00BD29DB"/>
    <w:rsid w:val="00BD2FCB"/>
    <w:rsid w:val="00BD303A"/>
    <w:rsid w:val="00BD3244"/>
    <w:rsid w:val="00BD3F94"/>
    <w:rsid w:val="00BD4104"/>
    <w:rsid w:val="00BD42E3"/>
    <w:rsid w:val="00BD43BB"/>
    <w:rsid w:val="00BD44D3"/>
    <w:rsid w:val="00BD4994"/>
    <w:rsid w:val="00BD4A3A"/>
    <w:rsid w:val="00BD52BE"/>
    <w:rsid w:val="00BD59D5"/>
    <w:rsid w:val="00BD612E"/>
    <w:rsid w:val="00BD6144"/>
    <w:rsid w:val="00BD62C8"/>
    <w:rsid w:val="00BD6AE7"/>
    <w:rsid w:val="00BD6C9C"/>
    <w:rsid w:val="00BD6CF8"/>
    <w:rsid w:val="00BD7422"/>
    <w:rsid w:val="00BD7570"/>
    <w:rsid w:val="00BD7742"/>
    <w:rsid w:val="00BD791D"/>
    <w:rsid w:val="00BD7982"/>
    <w:rsid w:val="00BD7AF9"/>
    <w:rsid w:val="00BE0579"/>
    <w:rsid w:val="00BE0692"/>
    <w:rsid w:val="00BE0815"/>
    <w:rsid w:val="00BE0CB0"/>
    <w:rsid w:val="00BE132B"/>
    <w:rsid w:val="00BE14D3"/>
    <w:rsid w:val="00BE18E4"/>
    <w:rsid w:val="00BE1C56"/>
    <w:rsid w:val="00BE2943"/>
    <w:rsid w:val="00BE2C64"/>
    <w:rsid w:val="00BE3474"/>
    <w:rsid w:val="00BE3542"/>
    <w:rsid w:val="00BE39DE"/>
    <w:rsid w:val="00BE3AC3"/>
    <w:rsid w:val="00BE3C0D"/>
    <w:rsid w:val="00BE442B"/>
    <w:rsid w:val="00BE5372"/>
    <w:rsid w:val="00BE601F"/>
    <w:rsid w:val="00BE6036"/>
    <w:rsid w:val="00BE6271"/>
    <w:rsid w:val="00BE6574"/>
    <w:rsid w:val="00BE65CD"/>
    <w:rsid w:val="00BE683E"/>
    <w:rsid w:val="00BE6C81"/>
    <w:rsid w:val="00BE7142"/>
    <w:rsid w:val="00BE7311"/>
    <w:rsid w:val="00BE7967"/>
    <w:rsid w:val="00BE7F03"/>
    <w:rsid w:val="00BF0069"/>
    <w:rsid w:val="00BF059B"/>
    <w:rsid w:val="00BF0881"/>
    <w:rsid w:val="00BF093C"/>
    <w:rsid w:val="00BF0F26"/>
    <w:rsid w:val="00BF150C"/>
    <w:rsid w:val="00BF18C1"/>
    <w:rsid w:val="00BF20BF"/>
    <w:rsid w:val="00BF235D"/>
    <w:rsid w:val="00BF2857"/>
    <w:rsid w:val="00BF2A5F"/>
    <w:rsid w:val="00BF2CD5"/>
    <w:rsid w:val="00BF3176"/>
    <w:rsid w:val="00BF357E"/>
    <w:rsid w:val="00BF38A8"/>
    <w:rsid w:val="00BF38E8"/>
    <w:rsid w:val="00BF3DBF"/>
    <w:rsid w:val="00BF435A"/>
    <w:rsid w:val="00BF44EE"/>
    <w:rsid w:val="00BF4759"/>
    <w:rsid w:val="00BF4A4A"/>
    <w:rsid w:val="00BF54A5"/>
    <w:rsid w:val="00BF5601"/>
    <w:rsid w:val="00BF5630"/>
    <w:rsid w:val="00BF6303"/>
    <w:rsid w:val="00BF6732"/>
    <w:rsid w:val="00BF6883"/>
    <w:rsid w:val="00BF6C04"/>
    <w:rsid w:val="00BF6F41"/>
    <w:rsid w:val="00BF727B"/>
    <w:rsid w:val="00BF7985"/>
    <w:rsid w:val="00C00090"/>
    <w:rsid w:val="00C00B90"/>
    <w:rsid w:val="00C01416"/>
    <w:rsid w:val="00C01695"/>
    <w:rsid w:val="00C016C0"/>
    <w:rsid w:val="00C023C4"/>
    <w:rsid w:val="00C02919"/>
    <w:rsid w:val="00C02EA8"/>
    <w:rsid w:val="00C02F53"/>
    <w:rsid w:val="00C02FC1"/>
    <w:rsid w:val="00C0365B"/>
    <w:rsid w:val="00C03D88"/>
    <w:rsid w:val="00C03F15"/>
    <w:rsid w:val="00C0500D"/>
    <w:rsid w:val="00C05160"/>
    <w:rsid w:val="00C05655"/>
    <w:rsid w:val="00C056E5"/>
    <w:rsid w:val="00C05D88"/>
    <w:rsid w:val="00C06060"/>
    <w:rsid w:val="00C061AE"/>
    <w:rsid w:val="00C06A8C"/>
    <w:rsid w:val="00C06BAF"/>
    <w:rsid w:val="00C072E1"/>
    <w:rsid w:val="00C073B5"/>
    <w:rsid w:val="00C0772F"/>
    <w:rsid w:val="00C07AAB"/>
    <w:rsid w:val="00C07AC7"/>
    <w:rsid w:val="00C07C3F"/>
    <w:rsid w:val="00C07C65"/>
    <w:rsid w:val="00C07F3E"/>
    <w:rsid w:val="00C104EC"/>
    <w:rsid w:val="00C11966"/>
    <w:rsid w:val="00C11CA5"/>
    <w:rsid w:val="00C11CF2"/>
    <w:rsid w:val="00C1230F"/>
    <w:rsid w:val="00C123D3"/>
    <w:rsid w:val="00C1283E"/>
    <w:rsid w:val="00C12FAF"/>
    <w:rsid w:val="00C135F5"/>
    <w:rsid w:val="00C13B3C"/>
    <w:rsid w:val="00C13B54"/>
    <w:rsid w:val="00C13E68"/>
    <w:rsid w:val="00C14169"/>
    <w:rsid w:val="00C141ED"/>
    <w:rsid w:val="00C142AF"/>
    <w:rsid w:val="00C14A6E"/>
    <w:rsid w:val="00C14B9B"/>
    <w:rsid w:val="00C14C0A"/>
    <w:rsid w:val="00C14F85"/>
    <w:rsid w:val="00C153C8"/>
    <w:rsid w:val="00C15499"/>
    <w:rsid w:val="00C155CF"/>
    <w:rsid w:val="00C1560F"/>
    <w:rsid w:val="00C15686"/>
    <w:rsid w:val="00C158A2"/>
    <w:rsid w:val="00C158CF"/>
    <w:rsid w:val="00C15AE8"/>
    <w:rsid w:val="00C15CCF"/>
    <w:rsid w:val="00C16329"/>
    <w:rsid w:val="00C16962"/>
    <w:rsid w:val="00C16BF8"/>
    <w:rsid w:val="00C16F04"/>
    <w:rsid w:val="00C17413"/>
    <w:rsid w:val="00C17754"/>
    <w:rsid w:val="00C17757"/>
    <w:rsid w:val="00C178FA"/>
    <w:rsid w:val="00C1794D"/>
    <w:rsid w:val="00C17B47"/>
    <w:rsid w:val="00C17B96"/>
    <w:rsid w:val="00C20117"/>
    <w:rsid w:val="00C201F6"/>
    <w:rsid w:val="00C202AC"/>
    <w:rsid w:val="00C20454"/>
    <w:rsid w:val="00C20951"/>
    <w:rsid w:val="00C2124C"/>
    <w:rsid w:val="00C215E3"/>
    <w:rsid w:val="00C2166B"/>
    <w:rsid w:val="00C21D5E"/>
    <w:rsid w:val="00C2257F"/>
    <w:rsid w:val="00C22950"/>
    <w:rsid w:val="00C229BF"/>
    <w:rsid w:val="00C22AB7"/>
    <w:rsid w:val="00C22B7A"/>
    <w:rsid w:val="00C22FEB"/>
    <w:rsid w:val="00C23674"/>
    <w:rsid w:val="00C23758"/>
    <w:rsid w:val="00C23ABA"/>
    <w:rsid w:val="00C23C65"/>
    <w:rsid w:val="00C24186"/>
    <w:rsid w:val="00C24AC0"/>
    <w:rsid w:val="00C24BD8"/>
    <w:rsid w:val="00C24F44"/>
    <w:rsid w:val="00C24F5E"/>
    <w:rsid w:val="00C254AC"/>
    <w:rsid w:val="00C25762"/>
    <w:rsid w:val="00C25BBF"/>
    <w:rsid w:val="00C2626A"/>
    <w:rsid w:val="00C262D4"/>
    <w:rsid w:val="00C26F43"/>
    <w:rsid w:val="00C27169"/>
    <w:rsid w:val="00C27250"/>
    <w:rsid w:val="00C272E3"/>
    <w:rsid w:val="00C2737F"/>
    <w:rsid w:val="00C27424"/>
    <w:rsid w:val="00C27442"/>
    <w:rsid w:val="00C277AA"/>
    <w:rsid w:val="00C27C76"/>
    <w:rsid w:val="00C27DD2"/>
    <w:rsid w:val="00C27F7A"/>
    <w:rsid w:val="00C30268"/>
    <w:rsid w:val="00C3057A"/>
    <w:rsid w:val="00C30684"/>
    <w:rsid w:val="00C309CD"/>
    <w:rsid w:val="00C30BE7"/>
    <w:rsid w:val="00C31A27"/>
    <w:rsid w:val="00C31DE9"/>
    <w:rsid w:val="00C32D77"/>
    <w:rsid w:val="00C32DA3"/>
    <w:rsid w:val="00C32EFE"/>
    <w:rsid w:val="00C333D7"/>
    <w:rsid w:val="00C337BF"/>
    <w:rsid w:val="00C33850"/>
    <w:rsid w:val="00C33A3D"/>
    <w:rsid w:val="00C33CF2"/>
    <w:rsid w:val="00C33F19"/>
    <w:rsid w:val="00C3423F"/>
    <w:rsid w:val="00C3455D"/>
    <w:rsid w:val="00C345CE"/>
    <w:rsid w:val="00C34653"/>
    <w:rsid w:val="00C346E1"/>
    <w:rsid w:val="00C34FAF"/>
    <w:rsid w:val="00C35002"/>
    <w:rsid w:val="00C350AC"/>
    <w:rsid w:val="00C35163"/>
    <w:rsid w:val="00C3594D"/>
    <w:rsid w:val="00C359D6"/>
    <w:rsid w:val="00C35B26"/>
    <w:rsid w:val="00C35D61"/>
    <w:rsid w:val="00C35E19"/>
    <w:rsid w:val="00C35F00"/>
    <w:rsid w:val="00C368C3"/>
    <w:rsid w:val="00C36B62"/>
    <w:rsid w:val="00C36C9C"/>
    <w:rsid w:val="00C37115"/>
    <w:rsid w:val="00C371E2"/>
    <w:rsid w:val="00C37550"/>
    <w:rsid w:val="00C375BD"/>
    <w:rsid w:val="00C375F1"/>
    <w:rsid w:val="00C3786E"/>
    <w:rsid w:val="00C37A44"/>
    <w:rsid w:val="00C37AA0"/>
    <w:rsid w:val="00C37D7E"/>
    <w:rsid w:val="00C402DC"/>
    <w:rsid w:val="00C403B2"/>
    <w:rsid w:val="00C4055C"/>
    <w:rsid w:val="00C40C1A"/>
    <w:rsid w:val="00C40CB0"/>
    <w:rsid w:val="00C40E61"/>
    <w:rsid w:val="00C40FCD"/>
    <w:rsid w:val="00C4111F"/>
    <w:rsid w:val="00C41A10"/>
    <w:rsid w:val="00C41E11"/>
    <w:rsid w:val="00C41F18"/>
    <w:rsid w:val="00C42676"/>
    <w:rsid w:val="00C42C74"/>
    <w:rsid w:val="00C42FEB"/>
    <w:rsid w:val="00C43069"/>
    <w:rsid w:val="00C43574"/>
    <w:rsid w:val="00C4412D"/>
    <w:rsid w:val="00C4435A"/>
    <w:rsid w:val="00C444A2"/>
    <w:rsid w:val="00C4481D"/>
    <w:rsid w:val="00C44CAE"/>
    <w:rsid w:val="00C44CCC"/>
    <w:rsid w:val="00C44D9A"/>
    <w:rsid w:val="00C45726"/>
    <w:rsid w:val="00C45896"/>
    <w:rsid w:val="00C458D3"/>
    <w:rsid w:val="00C459CC"/>
    <w:rsid w:val="00C45AEF"/>
    <w:rsid w:val="00C470AD"/>
    <w:rsid w:val="00C471B0"/>
    <w:rsid w:val="00C47315"/>
    <w:rsid w:val="00C47AA8"/>
    <w:rsid w:val="00C5026F"/>
    <w:rsid w:val="00C50736"/>
    <w:rsid w:val="00C50C11"/>
    <w:rsid w:val="00C51949"/>
    <w:rsid w:val="00C51984"/>
    <w:rsid w:val="00C51D9F"/>
    <w:rsid w:val="00C5257D"/>
    <w:rsid w:val="00C52B18"/>
    <w:rsid w:val="00C52C27"/>
    <w:rsid w:val="00C52E13"/>
    <w:rsid w:val="00C535FB"/>
    <w:rsid w:val="00C5375F"/>
    <w:rsid w:val="00C53F23"/>
    <w:rsid w:val="00C54108"/>
    <w:rsid w:val="00C54320"/>
    <w:rsid w:val="00C543A5"/>
    <w:rsid w:val="00C5466A"/>
    <w:rsid w:val="00C54D82"/>
    <w:rsid w:val="00C54E1A"/>
    <w:rsid w:val="00C5522E"/>
    <w:rsid w:val="00C55556"/>
    <w:rsid w:val="00C55630"/>
    <w:rsid w:val="00C5596B"/>
    <w:rsid w:val="00C55ABD"/>
    <w:rsid w:val="00C55CAD"/>
    <w:rsid w:val="00C55E16"/>
    <w:rsid w:val="00C56803"/>
    <w:rsid w:val="00C56E7F"/>
    <w:rsid w:val="00C57693"/>
    <w:rsid w:val="00C577DE"/>
    <w:rsid w:val="00C57802"/>
    <w:rsid w:val="00C57A91"/>
    <w:rsid w:val="00C57DEB"/>
    <w:rsid w:val="00C6059B"/>
    <w:rsid w:val="00C60601"/>
    <w:rsid w:val="00C6100A"/>
    <w:rsid w:val="00C611FE"/>
    <w:rsid w:val="00C6138D"/>
    <w:rsid w:val="00C61E7B"/>
    <w:rsid w:val="00C6200C"/>
    <w:rsid w:val="00C62B9F"/>
    <w:rsid w:val="00C62C2A"/>
    <w:rsid w:val="00C62DA4"/>
    <w:rsid w:val="00C62DB7"/>
    <w:rsid w:val="00C636BB"/>
    <w:rsid w:val="00C637C4"/>
    <w:rsid w:val="00C638F7"/>
    <w:rsid w:val="00C63BC3"/>
    <w:rsid w:val="00C63BC8"/>
    <w:rsid w:val="00C63D24"/>
    <w:rsid w:val="00C64437"/>
    <w:rsid w:val="00C64693"/>
    <w:rsid w:val="00C649E4"/>
    <w:rsid w:val="00C64ADE"/>
    <w:rsid w:val="00C64C78"/>
    <w:rsid w:val="00C64FE4"/>
    <w:rsid w:val="00C6503F"/>
    <w:rsid w:val="00C653B2"/>
    <w:rsid w:val="00C655DE"/>
    <w:rsid w:val="00C6587A"/>
    <w:rsid w:val="00C65F9B"/>
    <w:rsid w:val="00C6618C"/>
    <w:rsid w:val="00C663DF"/>
    <w:rsid w:val="00C6681D"/>
    <w:rsid w:val="00C66A98"/>
    <w:rsid w:val="00C677A0"/>
    <w:rsid w:val="00C6781A"/>
    <w:rsid w:val="00C67CEC"/>
    <w:rsid w:val="00C700A5"/>
    <w:rsid w:val="00C70170"/>
    <w:rsid w:val="00C70CDE"/>
    <w:rsid w:val="00C70CF6"/>
    <w:rsid w:val="00C70D64"/>
    <w:rsid w:val="00C70D6F"/>
    <w:rsid w:val="00C70F96"/>
    <w:rsid w:val="00C71A46"/>
    <w:rsid w:val="00C71C94"/>
    <w:rsid w:val="00C71F82"/>
    <w:rsid w:val="00C721DA"/>
    <w:rsid w:val="00C725D1"/>
    <w:rsid w:val="00C72856"/>
    <w:rsid w:val="00C72D5D"/>
    <w:rsid w:val="00C72EB2"/>
    <w:rsid w:val="00C7308F"/>
    <w:rsid w:val="00C731BA"/>
    <w:rsid w:val="00C733A3"/>
    <w:rsid w:val="00C73DDC"/>
    <w:rsid w:val="00C73FCA"/>
    <w:rsid w:val="00C745AA"/>
    <w:rsid w:val="00C746B8"/>
    <w:rsid w:val="00C7579B"/>
    <w:rsid w:val="00C75A4C"/>
    <w:rsid w:val="00C75A64"/>
    <w:rsid w:val="00C75B3F"/>
    <w:rsid w:val="00C75CF4"/>
    <w:rsid w:val="00C75EEE"/>
    <w:rsid w:val="00C76339"/>
    <w:rsid w:val="00C769FE"/>
    <w:rsid w:val="00C76AA7"/>
    <w:rsid w:val="00C77835"/>
    <w:rsid w:val="00C77AE9"/>
    <w:rsid w:val="00C77D77"/>
    <w:rsid w:val="00C8005A"/>
    <w:rsid w:val="00C806B8"/>
    <w:rsid w:val="00C8125B"/>
    <w:rsid w:val="00C8155E"/>
    <w:rsid w:val="00C81904"/>
    <w:rsid w:val="00C81BFC"/>
    <w:rsid w:val="00C81D67"/>
    <w:rsid w:val="00C81F16"/>
    <w:rsid w:val="00C823D1"/>
    <w:rsid w:val="00C82784"/>
    <w:rsid w:val="00C82CB4"/>
    <w:rsid w:val="00C8339C"/>
    <w:rsid w:val="00C833E5"/>
    <w:rsid w:val="00C8366B"/>
    <w:rsid w:val="00C839E2"/>
    <w:rsid w:val="00C83A38"/>
    <w:rsid w:val="00C83D37"/>
    <w:rsid w:val="00C84122"/>
    <w:rsid w:val="00C84D55"/>
    <w:rsid w:val="00C84F33"/>
    <w:rsid w:val="00C85715"/>
    <w:rsid w:val="00C85892"/>
    <w:rsid w:val="00C85940"/>
    <w:rsid w:val="00C85B60"/>
    <w:rsid w:val="00C8669D"/>
    <w:rsid w:val="00C86C8A"/>
    <w:rsid w:val="00C871FC"/>
    <w:rsid w:val="00C87639"/>
    <w:rsid w:val="00C87AE4"/>
    <w:rsid w:val="00C87CB1"/>
    <w:rsid w:val="00C90118"/>
    <w:rsid w:val="00C908FB"/>
    <w:rsid w:val="00C90DDB"/>
    <w:rsid w:val="00C90FA8"/>
    <w:rsid w:val="00C913C5"/>
    <w:rsid w:val="00C9145A"/>
    <w:rsid w:val="00C91E49"/>
    <w:rsid w:val="00C92044"/>
    <w:rsid w:val="00C921F7"/>
    <w:rsid w:val="00C9259B"/>
    <w:rsid w:val="00C92719"/>
    <w:rsid w:val="00C92B90"/>
    <w:rsid w:val="00C92D74"/>
    <w:rsid w:val="00C92DDA"/>
    <w:rsid w:val="00C92F78"/>
    <w:rsid w:val="00C930F8"/>
    <w:rsid w:val="00C9315A"/>
    <w:rsid w:val="00C934C9"/>
    <w:rsid w:val="00C9388D"/>
    <w:rsid w:val="00C93D40"/>
    <w:rsid w:val="00C94029"/>
    <w:rsid w:val="00C943E2"/>
    <w:rsid w:val="00C945DC"/>
    <w:rsid w:val="00C946AE"/>
    <w:rsid w:val="00C94F8F"/>
    <w:rsid w:val="00C9501B"/>
    <w:rsid w:val="00C9561F"/>
    <w:rsid w:val="00C95A87"/>
    <w:rsid w:val="00C963E7"/>
    <w:rsid w:val="00C96A2C"/>
    <w:rsid w:val="00C96B5D"/>
    <w:rsid w:val="00C96C4E"/>
    <w:rsid w:val="00C96CCB"/>
    <w:rsid w:val="00C96DDE"/>
    <w:rsid w:val="00C96E97"/>
    <w:rsid w:val="00C96F5B"/>
    <w:rsid w:val="00C9706F"/>
    <w:rsid w:val="00C97945"/>
    <w:rsid w:val="00C97960"/>
    <w:rsid w:val="00C979C2"/>
    <w:rsid w:val="00C97BF8"/>
    <w:rsid w:val="00C97C5C"/>
    <w:rsid w:val="00CA1274"/>
    <w:rsid w:val="00CA13B8"/>
    <w:rsid w:val="00CA13E4"/>
    <w:rsid w:val="00CA1A3F"/>
    <w:rsid w:val="00CA1B0E"/>
    <w:rsid w:val="00CA1CB7"/>
    <w:rsid w:val="00CA1EF4"/>
    <w:rsid w:val="00CA2087"/>
    <w:rsid w:val="00CA2F31"/>
    <w:rsid w:val="00CA2FFC"/>
    <w:rsid w:val="00CA31AA"/>
    <w:rsid w:val="00CA32C0"/>
    <w:rsid w:val="00CA3CAD"/>
    <w:rsid w:val="00CA3EBC"/>
    <w:rsid w:val="00CA42F0"/>
    <w:rsid w:val="00CA43AC"/>
    <w:rsid w:val="00CA4787"/>
    <w:rsid w:val="00CA497B"/>
    <w:rsid w:val="00CA4ADB"/>
    <w:rsid w:val="00CA4C40"/>
    <w:rsid w:val="00CA52EE"/>
    <w:rsid w:val="00CA562C"/>
    <w:rsid w:val="00CA58C7"/>
    <w:rsid w:val="00CA6877"/>
    <w:rsid w:val="00CA6B73"/>
    <w:rsid w:val="00CA6E41"/>
    <w:rsid w:val="00CA794D"/>
    <w:rsid w:val="00CA7995"/>
    <w:rsid w:val="00CA7A75"/>
    <w:rsid w:val="00CA7E68"/>
    <w:rsid w:val="00CA7E97"/>
    <w:rsid w:val="00CA7EBF"/>
    <w:rsid w:val="00CB0385"/>
    <w:rsid w:val="00CB07AE"/>
    <w:rsid w:val="00CB0E36"/>
    <w:rsid w:val="00CB0E8C"/>
    <w:rsid w:val="00CB0EAB"/>
    <w:rsid w:val="00CB0F8C"/>
    <w:rsid w:val="00CB1BB9"/>
    <w:rsid w:val="00CB1FCC"/>
    <w:rsid w:val="00CB20CF"/>
    <w:rsid w:val="00CB23C0"/>
    <w:rsid w:val="00CB265D"/>
    <w:rsid w:val="00CB2752"/>
    <w:rsid w:val="00CB2875"/>
    <w:rsid w:val="00CB2F79"/>
    <w:rsid w:val="00CB31E0"/>
    <w:rsid w:val="00CB322C"/>
    <w:rsid w:val="00CB33FA"/>
    <w:rsid w:val="00CB399C"/>
    <w:rsid w:val="00CB39D5"/>
    <w:rsid w:val="00CB5CE2"/>
    <w:rsid w:val="00CB636C"/>
    <w:rsid w:val="00CB6389"/>
    <w:rsid w:val="00CB6550"/>
    <w:rsid w:val="00CB664B"/>
    <w:rsid w:val="00CB6B51"/>
    <w:rsid w:val="00CB6CA7"/>
    <w:rsid w:val="00CB6DA8"/>
    <w:rsid w:val="00CB6F0F"/>
    <w:rsid w:val="00CB6F56"/>
    <w:rsid w:val="00CB729A"/>
    <w:rsid w:val="00CB7623"/>
    <w:rsid w:val="00CB7906"/>
    <w:rsid w:val="00CB7A6E"/>
    <w:rsid w:val="00CB7D5E"/>
    <w:rsid w:val="00CB7DE6"/>
    <w:rsid w:val="00CB7E5F"/>
    <w:rsid w:val="00CB7EE4"/>
    <w:rsid w:val="00CC051E"/>
    <w:rsid w:val="00CC057B"/>
    <w:rsid w:val="00CC10B9"/>
    <w:rsid w:val="00CC1445"/>
    <w:rsid w:val="00CC1530"/>
    <w:rsid w:val="00CC15C2"/>
    <w:rsid w:val="00CC167F"/>
    <w:rsid w:val="00CC2035"/>
    <w:rsid w:val="00CC2C81"/>
    <w:rsid w:val="00CC3403"/>
    <w:rsid w:val="00CC3FB1"/>
    <w:rsid w:val="00CC4008"/>
    <w:rsid w:val="00CC43D3"/>
    <w:rsid w:val="00CC47CE"/>
    <w:rsid w:val="00CC49FD"/>
    <w:rsid w:val="00CC4B1C"/>
    <w:rsid w:val="00CC5067"/>
    <w:rsid w:val="00CC5B20"/>
    <w:rsid w:val="00CC5C0A"/>
    <w:rsid w:val="00CC5CC1"/>
    <w:rsid w:val="00CC68BF"/>
    <w:rsid w:val="00CC6D74"/>
    <w:rsid w:val="00CC6E2A"/>
    <w:rsid w:val="00CC6E89"/>
    <w:rsid w:val="00CC6FC7"/>
    <w:rsid w:val="00CC71A4"/>
    <w:rsid w:val="00CC71B6"/>
    <w:rsid w:val="00CC7EC3"/>
    <w:rsid w:val="00CC7FA6"/>
    <w:rsid w:val="00CD01BF"/>
    <w:rsid w:val="00CD035B"/>
    <w:rsid w:val="00CD047B"/>
    <w:rsid w:val="00CD0764"/>
    <w:rsid w:val="00CD0840"/>
    <w:rsid w:val="00CD0FF2"/>
    <w:rsid w:val="00CD1230"/>
    <w:rsid w:val="00CD1269"/>
    <w:rsid w:val="00CD145E"/>
    <w:rsid w:val="00CD1502"/>
    <w:rsid w:val="00CD1788"/>
    <w:rsid w:val="00CD1934"/>
    <w:rsid w:val="00CD1BB0"/>
    <w:rsid w:val="00CD2485"/>
    <w:rsid w:val="00CD27CB"/>
    <w:rsid w:val="00CD2B64"/>
    <w:rsid w:val="00CD2D79"/>
    <w:rsid w:val="00CD2EC8"/>
    <w:rsid w:val="00CD2F63"/>
    <w:rsid w:val="00CD322E"/>
    <w:rsid w:val="00CD36AC"/>
    <w:rsid w:val="00CD3995"/>
    <w:rsid w:val="00CD39DE"/>
    <w:rsid w:val="00CD3B5B"/>
    <w:rsid w:val="00CD3C1E"/>
    <w:rsid w:val="00CD3CDB"/>
    <w:rsid w:val="00CD3FF3"/>
    <w:rsid w:val="00CD4046"/>
    <w:rsid w:val="00CD44D1"/>
    <w:rsid w:val="00CD4502"/>
    <w:rsid w:val="00CD4731"/>
    <w:rsid w:val="00CD4CC7"/>
    <w:rsid w:val="00CD4E28"/>
    <w:rsid w:val="00CD4F8E"/>
    <w:rsid w:val="00CD54AB"/>
    <w:rsid w:val="00CD560F"/>
    <w:rsid w:val="00CD5B52"/>
    <w:rsid w:val="00CD5B60"/>
    <w:rsid w:val="00CD5CF9"/>
    <w:rsid w:val="00CD6106"/>
    <w:rsid w:val="00CD6554"/>
    <w:rsid w:val="00CD6734"/>
    <w:rsid w:val="00CD67A8"/>
    <w:rsid w:val="00CD6935"/>
    <w:rsid w:val="00CD7218"/>
    <w:rsid w:val="00CD74AF"/>
    <w:rsid w:val="00CD75A1"/>
    <w:rsid w:val="00CD79C2"/>
    <w:rsid w:val="00CD7EAC"/>
    <w:rsid w:val="00CD7F94"/>
    <w:rsid w:val="00CE0D5C"/>
    <w:rsid w:val="00CE0D5D"/>
    <w:rsid w:val="00CE1BDA"/>
    <w:rsid w:val="00CE2484"/>
    <w:rsid w:val="00CE252B"/>
    <w:rsid w:val="00CE27E4"/>
    <w:rsid w:val="00CE2CBB"/>
    <w:rsid w:val="00CE2D57"/>
    <w:rsid w:val="00CE2E88"/>
    <w:rsid w:val="00CE2EB3"/>
    <w:rsid w:val="00CE2FED"/>
    <w:rsid w:val="00CE324B"/>
    <w:rsid w:val="00CE32FB"/>
    <w:rsid w:val="00CE331D"/>
    <w:rsid w:val="00CE343D"/>
    <w:rsid w:val="00CE410B"/>
    <w:rsid w:val="00CE486A"/>
    <w:rsid w:val="00CE4D52"/>
    <w:rsid w:val="00CE50FD"/>
    <w:rsid w:val="00CE5674"/>
    <w:rsid w:val="00CE5AA7"/>
    <w:rsid w:val="00CE5B14"/>
    <w:rsid w:val="00CE5C5F"/>
    <w:rsid w:val="00CE5F0D"/>
    <w:rsid w:val="00CE65D9"/>
    <w:rsid w:val="00CE6720"/>
    <w:rsid w:val="00CE6AEE"/>
    <w:rsid w:val="00CE6EAE"/>
    <w:rsid w:val="00CE786B"/>
    <w:rsid w:val="00CE7BFD"/>
    <w:rsid w:val="00CE7CF6"/>
    <w:rsid w:val="00CF0076"/>
    <w:rsid w:val="00CF0293"/>
    <w:rsid w:val="00CF02C9"/>
    <w:rsid w:val="00CF0C29"/>
    <w:rsid w:val="00CF1034"/>
    <w:rsid w:val="00CF126D"/>
    <w:rsid w:val="00CF1B69"/>
    <w:rsid w:val="00CF20F3"/>
    <w:rsid w:val="00CF2136"/>
    <w:rsid w:val="00CF22E3"/>
    <w:rsid w:val="00CF2632"/>
    <w:rsid w:val="00CF26A0"/>
    <w:rsid w:val="00CF29DB"/>
    <w:rsid w:val="00CF2D98"/>
    <w:rsid w:val="00CF2DFF"/>
    <w:rsid w:val="00CF3789"/>
    <w:rsid w:val="00CF37FA"/>
    <w:rsid w:val="00CF3C3D"/>
    <w:rsid w:val="00CF3D4E"/>
    <w:rsid w:val="00CF3D9C"/>
    <w:rsid w:val="00CF43BA"/>
    <w:rsid w:val="00CF4568"/>
    <w:rsid w:val="00CF472E"/>
    <w:rsid w:val="00CF48F2"/>
    <w:rsid w:val="00CF4914"/>
    <w:rsid w:val="00CF4929"/>
    <w:rsid w:val="00CF4B68"/>
    <w:rsid w:val="00CF4BD3"/>
    <w:rsid w:val="00CF4E23"/>
    <w:rsid w:val="00CF4E68"/>
    <w:rsid w:val="00CF500F"/>
    <w:rsid w:val="00CF5AA1"/>
    <w:rsid w:val="00CF6271"/>
    <w:rsid w:val="00CF6670"/>
    <w:rsid w:val="00CF6922"/>
    <w:rsid w:val="00CF6DD0"/>
    <w:rsid w:val="00CF7271"/>
    <w:rsid w:val="00CF762D"/>
    <w:rsid w:val="00CF76A5"/>
    <w:rsid w:val="00CF77C9"/>
    <w:rsid w:val="00CF78F0"/>
    <w:rsid w:val="00D00ABB"/>
    <w:rsid w:val="00D00F83"/>
    <w:rsid w:val="00D010EA"/>
    <w:rsid w:val="00D01170"/>
    <w:rsid w:val="00D01655"/>
    <w:rsid w:val="00D01712"/>
    <w:rsid w:val="00D01A34"/>
    <w:rsid w:val="00D01D52"/>
    <w:rsid w:val="00D01E31"/>
    <w:rsid w:val="00D021C9"/>
    <w:rsid w:val="00D0223D"/>
    <w:rsid w:val="00D0235F"/>
    <w:rsid w:val="00D024F7"/>
    <w:rsid w:val="00D02D48"/>
    <w:rsid w:val="00D02F23"/>
    <w:rsid w:val="00D03439"/>
    <w:rsid w:val="00D0353E"/>
    <w:rsid w:val="00D035C3"/>
    <w:rsid w:val="00D035F5"/>
    <w:rsid w:val="00D03934"/>
    <w:rsid w:val="00D03947"/>
    <w:rsid w:val="00D03CFE"/>
    <w:rsid w:val="00D03E3A"/>
    <w:rsid w:val="00D03FA7"/>
    <w:rsid w:val="00D0488D"/>
    <w:rsid w:val="00D0489A"/>
    <w:rsid w:val="00D048F3"/>
    <w:rsid w:val="00D049B3"/>
    <w:rsid w:val="00D04A51"/>
    <w:rsid w:val="00D04B71"/>
    <w:rsid w:val="00D04DFF"/>
    <w:rsid w:val="00D05724"/>
    <w:rsid w:val="00D05B69"/>
    <w:rsid w:val="00D06017"/>
    <w:rsid w:val="00D06519"/>
    <w:rsid w:val="00D065E1"/>
    <w:rsid w:val="00D06A4F"/>
    <w:rsid w:val="00D06ADE"/>
    <w:rsid w:val="00D06E62"/>
    <w:rsid w:val="00D06F4B"/>
    <w:rsid w:val="00D07144"/>
    <w:rsid w:val="00D073D9"/>
    <w:rsid w:val="00D07A2F"/>
    <w:rsid w:val="00D07F9E"/>
    <w:rsid w:val="00D07FBA"/>
    <w:rsid w:val="00D10158"/>
    <w:rsid w:val="00D10583"/>
    <w:rsid w:val="00D106C5"/>
    <w:rsid w:val="00D106CB"/>
    <w:rsid w:val="00D10B9C"/>
    <w:rsid w:val="00D11189"/>
    <w:rsid w:val="00D12377"/>
    <w:rsid w:val="00D124D0"/>
    <w:rsid w:val="00D12AC9"/>
    <w:rsid w:val="00D12B65"/>
    <w:rsid w:val="00D13105"/>
    <w:rsid w:val="00D1316F"/>
    <w:rsid w:val="00D13322"/>
    <w:rsid w:val="00D145E0"/>
    <w:rsid w:val="00D14CC2"/>
    <w:rsid w:val="00D14D46"/>
    <w:rsid w:val="00D14E4F"/>
    <w:rsid w:val="00D14F14"/>
    <w:rsid w:val="00D14FCF"/>
    <w:rsid w:val="00D1509E"/>
    <w:rsid w:val="00D15605"/>
    <w:rsid w:val="00D16070"/>
    <w:rsid w:val="00D16145"/>
    <w:rsid w:val="00D16509"/>
    <w:rsid w:val="00D171BA"/>
    <w:rsid w:val="00D172BB"/>
    <w:rsid w:val="00D1739F"/>
    <w:rsid w:val="00D1741E"/>
    <w:rsid w:val="00D175ED"/>
    <w:rsid w:val="00D20021"/>
    <w:rsid w:val="00D2005E"/>
    <w:rsid w:val="00D20145"/>
    <w:rsid w:val="00D201D7"/>
    <w:rsid w:val="00D2028F"/>
    <w:rsid w:val="00D20891"/>
    <w:rsid w:val="00D21374"/>
    <w:rsid w:val="00D2149D"/>
    <w:rsid w:val="00D2168E"/>
    <w:rsid w:val="00D2181F"/>
    <w:rsid w:val="00D21D29"/>
    <w:rsid w:val="00D21D6A"/>
    <w:rsid w:val="00D225D5"/>
    <w:rsid w:val="00D22936"/>
    <w:rsid w:val="00D22B0F"/>
    <w:rsid w:val="00D23287"/>
    <w:rsid w:val="00D23553"/>
    <w:rsid w:val="00D24718"/>
    <w:rsid w:val="00D249FB"/>
    <w:rsid w:val="00D24B98"/>
    <w:rsid w:val="00D24E9E"/>
    <w:rsid w:val="00D2539F"/>
    <w:rsid w:val="00D2590F"/>
    <w:rsid w:val="00D259C7"/>
    <w:rsid w:val="00D25A61"/>
    <w:rsid w:val="00D25A73"/>
    <w:rsid w:val="00D25DA3"/>
    <w:rsid w:val="00D263A8"/>
    <w:rsid w:val="00D26561"/>
    <w:rsid w:val="00D26690"/>
    <w:rsid w:val="00D26807"/>
    <w:rsid w:val="00D2682F"/>
    <w:rsid w:val="00D26F6E"/>
    <w:rsid w:val="00D27084"/>
    <w:rsid w:val="00D27369"/>
    <w:rsid w:val="00D27751"/>
    <w:rsid w:val="00D27761"/>
    <w:rsid w:val="00D27974"/>
    <w:rsid w:val="00D27A68"/>
    <w:rsid w:val="00D27D06"/>
    <w:rsid w:val="00D27DE2"/>
    <w:rsid w:val="00D27E54"/>
    <w:rsid w:val="00D27E62"/>
    <w:rsid w:val="00D3031B"/>
    <w:rsid w:val="00D30323"/>
    <w:rsid w:val="00D3102F"/>
    <w:rsid w:val="00D318AD"/>
    <w:rsid w:val="00D31D0E"/>
    <w:rsid w:val="00D32649"/>
    <w:rsid w:val="00D326F8"/>
    <w:rsid w:val="00D32733"/>
    <w:rsid w:val="00D3283B"/>
    <w:rsid w:val="00D32A04"/>
    <w:rsid w:val="00D33108"/>
    <w:rsid w:val="00D336E9"/>
    <w:rsid w:val="00D336F3"/>
    <w:rsid w:val="00D33834"/>
    <w:rsid w:val="00D33A33"/>
    <w:rsid w:val="00D33C24"/>
    <w:rsid w:val="00D33E20"/>
    <w:rsid w:val="00D33E4F"/>
    <w:rsid w:val="00D33F73"/>
    <w:rsid w:val="00D34621"/>
    <w:rsid w:val="00D34952"/>
    <w:rsid w:val="00D34AB0"/>
    <w:rsid w:val="00D34C19"/>
    <w:rsid w:val="00D34D41"/>
    <w:rsid w:val="00D35288"/>
    <w:rsid w:val="00D357CC"/>
    <w:rsid w:val="00D3583B"/>
    <w:rsid w:val="00D35EF3"/>
    <w:rsid w:val="00D36777"/>
    <w:rsid w:val="00D36F35"/>
    <w:rsid w:val="00D37496"/>
    <w:rsid w:val="00D401DF"/>
    <w:rsid w:val="00D4071A"/>
    <w:rsid w:val="00D40918"/>
    <w:rsid w:val="00D4103E"/>
    <w:rsid w:val="00D41AF5"/>
    <w:rsid w:val="00D41B51"/>
    <w:rsid w:val="00D41BE0"/>
    <w:rsid w:val="00D41E64"/>
    <w:rsid w:val="00D41FFC"/>
    <w:rsid w:val="00D426AB"/>
    <w:rsid w:val="00D428B6"/>
    <w:rsid w:val="00D42B63"/>
    <w:rsid w:val="00D42F43"/>
    <w:rsid w:val="00D43675"/>
    <w:rsid w:val="00D4372A"/>
    <w:rsid w:val="00D4386A"/>
    <w:rsid w:val="00D439A3"/>
    <w:rsid w:val="00D43DB1"/>
    <w:rsid w:val="00D43E1C"/>
    <w:rsid w:val="00D44313"/>
    <w:rsid w:val="00D44709"/>
    <w:rsid w:val="00D449CC"/>
    <w:rsid w:val="00D44C1D"/>
    <w:rsid w:val="00D44F1B"/>
    <w:rsid w:val="00D450D7"/>
    <w:rsid w:val="00D4540A"/>
    <w:rsid w:val="00D45692"/>
    <w:rsid w:val="00D4579D"/>
    <w:rsid w:val="00D459F9"/>
    <w:rsid w:val="00D45AEA"/>
    <w:rsid w:val="00D45CC5"/>
    <w:rsid w:val="00D45DAB"/>
    <w:rsid w:val="00D45FC7"/>
    <w:rsid w:val="00D4628F"/>
    <w:rsid w:val="00D464E1"/>
    <w:rsid w:val="00D4661D"/>
    <w:rsid w:val="00D469F4"/>
    <w:rsid w:val="00D46BBE"/>
    <w:rsid w:val="00D46DA3"/>
    <w:rsid w:val="00D470A0"/>
    <w:rsid w:val="00D4733A"/>
    <w:rsid w:val="00D47365"/>
    <w:rsid w:val="00D473C4"/>
    <w:rsid w:val="00D478C6"/>
    <w:rsid w:val="00D47A5B"/>
    <w:rsid w:val="00D47EB0"/>
    <w:rsid w:val="00D47EC5"/>
    <w:rsid w:val="00D50384"/>
    <w:rsid w:val="00D505B6"/>
    <w:rsid w:val="00D50CCE"/>
    <w:rsid w:val="00D50DBD"/>
    <w:rsid w:val="00D50EB9"/>
    <w:rsid w:val="00D5157A"/>
    <w:rsid w:val="00D51650"/>
    <w:rsid w:val="00D519C2"/>
    <w:rsid w:val="00D51EA2"/>
    <w:rsid w:val="00D52158"/>
    <w:rsid w:val="00D524BD"/>
    <w:rsid w:val="00D52B90"/>
    <w:rsid w:val="00D52C1C"/>
    <w:rsid w:val="00D539DD"/>
    <w:rsid w:val="00D53B6B"/>
    <w:rsid w:val="00D53B7A"/>
    <w:rsid w:val="00D53CB8"/>
    <w:rsid w:val="00D5428B"/>
    <w:rsid w:val="00D544A2"/>
    <w:rsid w:val="00D5457E"/>
    <w:rsid w:val="00D54F8C"/>
    <w:rsid w:val="00D552B3"/>
    <w:rsid w:val="00D55359"/>
    <w:rsid w:val="00D556DB"/>
    <w:rsid w:val="00D557A6"/>
    <w:rsid w:val="00D55B8F"/>
    <w:rsid w:val="00D55C08"/>
    <w:rsid w:val="00D55C6F"/>
    <w:rsid w:val="00D55DEB"/>
    <w:rsid w:val="00D5606B"/>
    <w:rsid w:val="00D5659A"/>
    <w:rsid w:val="00D5661D"/>
    <w:rsid w:val="00D56E4B"/>
    <w:rsid w:val="00D5743F"/>
    <w:rsid w:val="00D575D2"/>
    <w:rsid w:val="00D57BFA"/>
    <w:rsid w:val="00D57F44"/>
    <w:rsid w:val="00D60032"/>
    <w:rsid w:val="00D60625"/>
    <w:rsid w:val="00D60762"/>
    <w:rsid w:val="00D6126A"/>
    <w:rsid w:val="00D61A26"/>
    <w:rsid w:val="00D61BCE"/>
    <w:rsid w:val="00D61C4E"/>
    <w:rsid w:val="00D61D6F"/>
    <w:rsid w:val="00D61EC0"/>
    <w:rsid w:val="00D61F56"/>
    <w:rsid w:val="00D62284"/>
    <w:rsid w:val="00D6243F"/>
    <w:rsid w:val="00D6247F"/>
    <w:rsid w:val="00D62A61"/>
    <w:rsid w:val="00D631B3"/>
    <w:rsid w:val="00D6392D"/>
    <w:rsid w:val="00D63BC4"/>
    <w:rsid w:val="00D63BD7"/>
    <w:rsid w:val="00D63C41"/>
    <w:rsid w:val="00D63CE9"/>
    <w:rsid w:val="00D6444D"/>
    <w:rsid w:val="00D648E2"/>
    <w:rsid w:val="00D648FA"/>
    <w:rsid w:val="00D64D3C"/>
    <w:rsid w:val="00D64DEC"/>
    <w:rsid w:val="00D64EC5"/>
    <w:rsid w:val="00D65633"/>
    <w:rsid w:val="00D6599C"/>
    <w:rsid w:val="00D65A4A"/>
    <w:rsid w:val="00D65CDB"/>
    <w:rsid w:val="00D65E10"/>
    <w:rsid w:val="00D661A8"/>
    <w:rsid w:val="00D66AC8"/>
    <w:rsid w:val="00D66EC9"/>
    <w:rsid w:val="00D678EB"/>
    <w:rsid w:val="00D67A6B"/>
    <w:rsid w:val="00D67ADB"/>
    <w:rsid w:val="00D67E6C"/>
    <w:rsid w:val="00D7051B"/>
    <w:rsid w:val="00D705A6"/>
    <w:rsid w:val="00D7064B"/>
    <w:rsid w:val="00D706B1"/>
    <w:rsid w:val="00D70C7B"/>
    <w:rsid w:val="00D712CF"/>
    <w:rsid w:val="00D71D7F"/>
    <w:rsid w:val="00D7204E"/>
    <w:rsid w:val="00D72728"/>
    <w:rsid w:val="00D729A0"/>
    <w:rsid w:val="00D72EC1"/>
    <w:rsid w:val="00D73540"/>
    <w:rsid w:val="00D73AC8"/>
    <w:rsid w:val="00D74607"/>
    <w:rsid w:val="00D747DF"/>
    <w:rsid w:val="00D74C73"/>
    <w:rsid w:val="00D74CE0"/>
    <w:rsid w:val="00D74D4B"/>
    <w:rsid w:val="00D75166"/>
    <w:rsid w:val="00D75286"/>
    <w:rsid w:val="00D75E59"/>
    <w:rsid w:val="00D7618B"/>
    <w:rsid w:val="00D76833"/>
    <w:rsid w:val="00D76875"/>
    <w:rsid w:val="00D76FFB"/>
    <w:rsid w:val="00D77022"/>
    <w:rsid w:val="00D77469"/>
    <w:rsid w:val="00D777CC"/>
    <w:rsid w:val="00D80767"/>
    <w:rsid w:val="00D807ED"/>
    <w:rsid w:val="00D80969"/>
    <w:rsid w:val="00D80975"/>
    <w:rsid w:val="00D80E5A"/>
    <w:rsid w:val="00D80EAF"/>
    <w:rsid w:val="00D80EF0"/>
    <w:rsid w:val="00D81114"/>
    <w:rsid w:val="00D81282"/>
    <w:rsid w:val="00D81A38"/>
    <w:rsid w:val="00D81D2B"/>
    <w:rsid w:val="00D8255E"/>
    <w:rsid w:val="00D82D10"/>
    <w:rsid w:val="00D82DBA"/>
    <w:rsid w:val="00D82EA1"/>
    <w:rsid w:val="00D836E5"/>
    <w:rsid w:val="00D83CAC"/>
    <w:rsid w:val="00D840A0"/>
    <w:rsid w:val="00D8431A"/>
    <w:rsid w:val="00D843DD"/>
    <w:rsid w:val="00D8453C"/>
    <w:rsid w:val="00D848C9"/>
    <w:rsid w:val="00D84EF4"/>
    <w:rsid w:val="00D84F50"/>
    <w:rsid w:val="00D84FE8"/>
    <w:rsid w:val="00D850C0"/>
    <w:rsid w:val="00D85182"/>
    <w:rsid w:val="00D85ADA"/>
    <w:rsid w:val="00D85F8D"/>
    <w:rsid w:val="00D85FFB"/>
    <w:rsid w:val="00D86459"/>
    <w:rsid w:val="00D8648C"/>
    <w:rsid w:val="00D86785"/>
    <w:rsid w:val="00D8695B"/>
    <w:rsid w:val="00D86BA8"/>
    <w:rsid w:val="00D86C95"/>
    <w:rsid w:val="00D86FB3"/>
    <w:rsid w:val="00D8712C"/>
    <w:rsid w:val="00D87334"/>
    <w:rsid w:val="00D87535"/>
    <w:rsid w:val="00D87922"/>
    <w:rsid w:val="00D879CE"/>
    <w:rsid w:val="00D87B2C"/>
    <w:rsid w:val="00D87E7A"/>
    <w:rsid w:val="00D87FD8"/>
    <w:rsid w:val="00D905AA"/>
    <w:rsid w:val="00D90D5E"/>
    <w:rsid w:val="00D90DF7"/>
    <w:rsid w:val="00D90E10"/>
    <w:rsid w:val="00D90EDD"/>
    <w:rsid w:val="00D90EE5"/>
    <w:rsid w:val="00D910AA"/>
    <w:rsid w:val="00D91203"/>
    <w:rsid w:val="00D914CA"/>
    <w:rsid w:val="00D91745"/>
    <w:rsid w:val="00D9179C"/>
    <w:rsid w:val="00D91B1D"/>
    <w:rsid w:val="00D91C66"/>
    <w:rsid w:val="00D91DBD"/>
    <w:rsid w:val="00D91E31"/>
    <w:rsid w:val="00D92079"/>
    <w:rsid w:val="00D92A6F"/>
    <w:rsid w:val="00D92C5B"/>
    <w:rsid w:val="00D92CEF"/>
    <w:rsid w:val="00D92CF9"/>
    <w:rsid w:val="00D92D58"/>
    <w:rsid w:val="00D933F1"/>
    <w:rsid w:val="00D93969"/>
    <w:rsid w:val="00D939F2"/>
    <w:rsid w:val="00D93EEB"/>
    <w:rsid w:val="00D93F8F"/>
    <w:rsid w:val="00D944B8"/>
    <w:rsid w:val="00D94578"/>
    <w:rsid w:val="00D94890"/>
    <w:rsid w:val="00D949E4"/>
    <w:rsid w:val="00D952D9"/>
    <w:rsid w:val="00D953BB"/>
    <w:rsid w:val="00D95BA9"/>
    <w:rsid w:val="00D95DB4"/>
    <w:rsid w:val="00D95DF3"/>
    <w:rsid w:val="00D9601E"/>
    <w:rsid w:val="00D96102"/>
    <w:rsid w:val="00D9625C"/>
    <w:rsid w:val="00D963F6"/>
    <w:rsid w:val="00D967ED"/>
    <w:rsid w:val="00D96908"/>
    <w:rsid w:val="00D96B57"/>
    <w:rsid w:val="00D96B8A"/>
    <w:rsid w:val="00D976D5"/>
    <w:rsid w:val="00D97ACA"/>
    <w:rsid w:val="00D97ED6"/>
    <w:rsid w:val="00DA0860"/>
    <w:rsid w:val="00DA0DA5"/>
    <w:rsid w:val="00DA0FF7"/>
    <w:rsid w:val="00DA0FFB"/>
    <w:rsid w:val="00DA1791"/>
    <w:rsid w:val="00DA189B"/>
    <w:rsid w:val="00DA1B27"/>
    <w:rsid w:val="00DA1DE9"/>
    <w:rsid w:val="00DA2166"/>
    <w:rsid w:val="00DA216B"/>
    <w:rsid w:val="00DA286B"/>
    <w:rsid w:val="00DA2932"/>
    <w:rsid w:val="00DA2AF9"/>
    <w:rsid w:val="00DA2CF0"/>
    <w:rsid w:val="00DA340B"/>
    <w:rsid w:val="00DA375B"/>
    <w:rsid w:val="00DA3AEF"/>
    <w:rsid w:val="00DA3BB5"/>
    <w:rsid w:val="00DA3CB3"/>
    <w:rsid w:val="00DA3D6E"/>
    <w:rsid w:val="00DA45CB"/>
    <w:rsid w:val="00DA4646"/>
    <w:rsid w:val="00DA4ACC"/>
    <w:rsid w:val="00DA4B35"/>
    <w:rsid w:val="00DA5200"/>
    <w:rsid w:val="00DA52FA"/>
    <w:rsid w:val="00DA5698"/>
    <w:rsid w:val="00DA5A8F"/>
    <w:rsid w:val="00DA5E4E"/>
    <w:rsid w:val="00DA641D"/>
    <w:rsid w:val="00DA65CE"/>
    <w:rsid w:val="00DA6866"/>
    <w:rsid w:val="00DA70EC"/>
    <w:rsid w:val="00DA71FC"/>
    <w:rsid w:val="00DA7714"/>
    <w:rsid w:val="00DA7A8F"/>
    <w:rsid w:val="00DA7B92"/>
    <w:rsid w:val="00DB0891"/>
    <w:rsid w:val="00DB0960"/>
    <w:rsid w:val="00DB0CB9"/>
    <w:rsid w:val="00DB0CFF"/>
    <w:rsid w:val="00DB0D8D"/>
    <w:rsid w:val="00DB0E5B"/>
    <w:rsid w:val="00DB10AB"/>
    <w:rsid w:val="00DB1BD6"/>
    <w:rsid w:val="00DB1F18"/>
    <w:rsid w:val="00DB1FCC"/>
    <w:rsid w:val="00DB2433"/>
    <w:rsid w:val="00DB26DC"/>
    <w:rsid w:val="00DB2882"/>
    <w:rsid w:val="00DB28DF"/>
    <w:rsid w:val="00DB29B6"/>
    <w:rsid w:val="00DB2C61"/>
    <w:rsid w:val="00DB2DB0"/>
    <w:rsid w:val="00DB2F7A"/>
    <w:rsid w:val="00DB301E"/>
    <w:rsid w:val="00DB31A3"/>
    <w:rsid w:val="00DB3AC5"/>
    <w:rsid w:val="00DB3ECB"/>
    <w:rsid w:val="00DB3F66"/>
    <w:rsid w:val="00DB47E4"/>
    <w:rsid w:val="00DB4EE8"/>
    <w:rsid w:val="00DB5C21"/>
    <w:rsid w:val="00DB5C55"/>
    <w:rsid w:val="00DB6262"/>
    <w:rsid w:val="00DB63C9"/>
    <w:rsid w:val="00DB6A26"/>
    <w:rsid w:val="00DB7088"/>
    <w:rsid w:val="00DB7166"/>
    <w:rsid w:val="00DB7A75"/>
    <w:rsid w:val="00DB7DEE"/>
    <w:rsid w:val="00DC005E"/>
    <w:rsid w:val="00DC0536"/>
    <w:rsid w:val="00DC05EC"/>
    <w:rsid w:val="00DC0731"/>
    <w:rsid w:val="00DC110D"/>
    <w:rsid w:val="00DC16F0"/>
    <w:rsid w:val="00DC17CA"/>
    <w:rsid w:val="00DC186E"/>
    <w:rsid w:val="00DC1B18"/>
    <w:rsid w:val="00DC1BF1"/>
    <w:rsid w:val="00DC2471"/>
    <w:rsid w:val="00DC24A3"/>
    <w:rsid w:val="00DC3300"/>
    <w:rsid w:val="00DC330E"/>
    <w:rsid w:val="00DC34E6"/>
    <w:rsid w:val="00DC37BC"/>
    <w:rsid w:val="00DC3A91"/>
    <w:rsid w:val="00DC3ECC"/>
    <w:rsid w:val="00DC3F7E"/>
    <w:rsid w:val="00DC3FDB"/>
    <w:rsid w:val="00DC4FA8"/>
    <w:rsid w:val="00DC5079"/>
    <w:rsid w:val="00DC52EF"/>
    <w:rsid w:val="00DC5428"/>
    <w:rsid w:val="00DC585F"/>
    <w:rsid w:val="00DC5885"/>
    <w:rsid w:val="00DC597E"/>
    <w:rsid w:val="00DC5EB4"/>
    <w:rsid w:val="00DC5FCE"/>
    <w:rsid w:val="00DC6E2E"/>
    <w:rsid w:val="00DC70B4"/>
    <w:rsid w:val="00DC70DD"/>
    <w:rsid w:val="00DC73B4"/>
    <w:rsid w:val="00DC7631"/>
    <w:rsid w:val="00DC7916"/>
    <w:rsid w:val="00DC79E4"/>
    <w:rsid w:val="00DC7A92"/>
    <w:rsid w:val="00DC7CE3"/>
    <w:rsid w:val="00DC7D3B"/>
    <w:rsid w:val="00DD005E"/>
    <w:rsid w:val="00DD0A31"/>
    <w:rsid w:val="00DD10E6"/>
    <w:rsid w:val="00DD1375"/>
    <w:rsid w:val="00DD1B1D"/>
    <w:rsid w:val="00DD1BF4"/>
    <w:rsid w:val="00DD23BF"/>
    <w:rsid w:val="00DD24DE"/>
    <w:rsid w:val="00DD27D8"/>
    <w:rsid w:val="00DD2BC5"/>
    <w:rsid w:val="00DD390E"/>
    <w:rsid w:val="00DD4B62"/>
    <w:rsid w:val="00DD4CB7"/>
    <w:rsid w:val="00DD4EF6"/>
    <w:rsid w:val="00DD56FA"/>
    <w:rsid w:val="00DD61C7"/>
    <w:rsid w:val="00DD6338"/>
    <w:rsid w:val="00DD6768"/>
    <w:rsid w:val="00DD722F"/>
    <w:rsid w:val="00DD744C"/>
    <w:rsid w:val="00DD7671"/>
    <w:rsid w:val="00DD7DF3"/>
    <w:rsid w:val="00DD7F85"/>
    <w:rsid w:val="00DE033B"/>
    <w:rsid w:val="00DE05C6"/>
    <w:rsid w:val="00DE0785"/>
    <w:rsid w:val="00DE091C"/>
    <w:rsid w:val="00DE09AE"/>
    <w:rsid w:val="00DE0AF7"/>
    <w:rsid w:val="00DE0EAC"/>
    <w:rsid w:val="00DE1CAC"/>
    <w:rsid w:val="00DE20F8"/>
    <w:rsid w:val="00DE226D"/>
    <w:rsid w:val="00DE23CD"/>
    <w:rsid w:val="00DE28BF"/>
    <w:rsid w:val="00DE29A8"/>
    <w:rsid w:val="00DE2E14"/>
    <w:rsid w:val="00DE2FF0"/>
    <w:rsid w:val="00DE30B1"/>
    <w:rsid w:val="00DE3267"/>
    <w:rsid w:val="00DE35F0"/>
    <w:rsid w:val="00DE3901"/>
    <w:rsid w:val="00DE3B18"/>
    <w:rsid w:val="00DE42FE"/>
    <w:rsid w:val="00DE45CE"/>
    <w:rsid w:val="00DE5012"/>
    <w:rsid w:val="00DE507A"/>
    <w:rsid w:val="00DE552C"/>
    <w:rsid w:val="00DE611D"/>
    <w:rsid w:val="00DE69D9"/>
    <w:rsid w:val="00DE6A77"/>
    <w:rsid w:val="00DE6BF4"/>
    <w:rsid w:val="00DE6D26"/>
    <w:rsid w:val="00DE6ED2"/>
    <w:rsid w:val="00DE7004"/>
    <w:rsid w:val="00DE7044"/>
    <w:rsid w:val="00DE7354"/>
    <w:rsid w:val="00DF080D"/>
    <w:rsid w:val="00DF0825"/>
    <w:rsid w:val="00DF08A1"/>
    <w:rsid w:val="00DF0C08"/>
    <w:rsid w:val="00DF0CE7"/>
    <w:rsid w:val="00DF0DAA"/>
    <w:rsid w:val="00DF12D6"/>
    <w:rsid w:val="00DF1549"/>
    <w:rsid w:val="00DF1ABC"/>
    <w:rsid w:val="00DF1BB1"/>
    <w:rsid w:val="00DF1D1D"/>
    <w:rsid w:val="00DF1E06"/>
    <w:rsid w:val="00DF1EB2"/>
    <w:rsid w:val="00DF20EC"/>
    <w:rsid w:val="00DF2B2A"/>
    <w:rsid w:val="00DF2D6D"/>
    <w:rsid w:val="00DF2FF9"/>
    <w:rsid w:val="00DF3182"/>
    <w:rsid w:val="00DF489C"/>
    <w:rsid w:val="00DF4DBD"/>
    <w:rsid w:val="00DF51B8"/>
    <w:rsid w:val="00DF5639"/>
    <w:rsid w:val="00DF5761"/>
    <w:rsid w:val="00DF5875"/>
    <w:rsid w:val="00DF5C70"/>
    <w:rsid w:val="00DF609B"/>
    <w:rsid w:val="00DF61A3"/>
    <w:rsid w:val="00DF62AC"/>
    <w:rsid w:val="00DF6768"/>
    <w:rsid w:val="00DF6968"/>
    <w:rsid w:val="00DF6B7D"/>
    <w:rsid w:val="00DF6C6C"/>
    <w:rsid w:val="00DF6E57"/>
    <w:rsid w:val="00DF6EDE"/>
    <w:rsid w:val="00DF7051"/>
    <w:rsid w:val="00DF736D"/>
    <w:rsid w:val="00DF7841"/>
    <w:rsid w:val="00DF79DA"/>
    <w:rsid w:val="00DF7A03"/>
    <w:rsid w:val="00DF7B69"/>
    <w:rsid w:val="00E00263"/>
    <w:rsid w:val="00E00E93"/>
    <w:rsid w:val="00E01452"/>
    <w:rsid w:val="00E01652"/>
    <w:rsid w:val="00E0167F"/>
    <w:rsid w:val="00E01691"/>
    <w:rsid w:val="00E01846"/>
    <w:rsid w:val="00E01BC0"/>
    <w:rsid w:val="00E01F52"/>
    <w:rsid w:val="00E02D6D"/>
    <w:rsid w:val="00E030C9"/>
    <w:rsid w:val="00E03127"/>
    <w:rsid w:val="00E03872"/>
    <w:rsid w:val="00E03E7D"/>
    <w:rsid w:val="00E04663"/>
    <w:rsid w:val="00E04779"/>
    <w:rsid w:val="00E04942"/>
    <w:rsid w:val="00E05117"/>
    <w:rsid w:val="00E0525B"/>
    <w:rsid w:val="00E05385"/>
    <w:rsid w:val="00E054D4"/>
    <w:rsid w:val="00E05DF1"/>
    <w:rsid w:val="00E06A54"/>
    <w:rsid w:val="00E070ED"/>
    <w:rsid w:val="00E07363"/>
    <w:rsid w:val="00E07366"/>
    <w:rsid w:val="00E0741C"/>
    <w:rsid w:val="00E07999"/>
    <w:rsid w:val="00E07A89"/>
    <w:rsid w:val="00E07B88"/>
    <w:rsid w:val="00E07BF7"/>
    <w:rsid w:val="00E07CBE"/>
    <w:rsid w:val="00E07CC6"/>
    <w:rsid w:val="00E07D20"/>
    <w:rsid w:val="00E07EEA"/>
    <w:rsid w:val="00E07FFE"/>
    <w:rsid w:val="00E101C1"/>
    <w:rsid w:val="00E108CA"/>
    <w:rsid w:val="00E10F6E"/>
    <w:rsid w:val="00E10FD5"/>
    <w:rsid w:val="00E113D4"/>
    <w:rsid w:val="00E11F4C"/>
    <w:rsid w:val="00E11F60"/>
    <w:rsid w:val="00E12087"/>
    <w:rsid w:val="00E121C5"/>
    <w:rsid w:val="00E12369"/>
    <w:rsid w:val="00E1238F"/>
    <w:rsid w:val="00E12B94"/>
    <w:rsid w:val="00E12C97"/>
    <w:rsid w:val="00E13072"/>
    <w:rsid w:val="00E133E6"/>
    <w:rsid w:val="00E13805"/>
    <w:rsid w:val="00E13DC4"/>
    <w:rsid w:val="00E13DF2"/>
    <w:rsid w:val="00E145CC"/>
    <w:rsid w:val="00E14A82"/>
    <w:rsid w:val="00E14C36"/>
    <w:rsid w:val="00E1559B"/>
    <w:rsid w:val="00E15699"/>
    <w:rsid w:val="00E158E4"/>
    <w:rsid w:val="00E15CDA"/>
    <w:rsid w:val="00E15E22"/>
    <w:rsid w:val="00E15E31"/>
    <w:rsid w:val="00E162DF"/>
    <w:rsid w:val="00E16605"/>
    <w:rsid w:val="00E1696A"/>
    <w:rsid w:val="00E16BE2"/>
    <w:rsid w:val="00E16C6E"/>
    <w:rsid w:val="00E16EF5"/>
    <w:rsid w:val="00E171E5"/>
    <w:rsid w:val="00E17281"/>
    <w:rsid w:val="00E173D1"/>
    <w:rsid w:val="00E17707"/>
    <w:rsid w:val="00E17929"/>
    <w:rsid w:val="00E20041"/>
    <w:rsid w:val="00E200EB"/>
    <w:rsid w:val="00E20145"/>
    <w:rsid w:val="00E201B2"/>
    <w:rsid w:val="00E20436"/>
    <w:rsid w:val="00E2045F"/>
    <w:rsid w:val="00E206BB"/>
    <w:rsid w:val="00E207F9"/>
    <w:rsid w:val="00E20F2E"/>
    <w:rsid w:val="00E2105B"/>
    <w:rsid w:val="00E210DD"/>
    <w:rsid w:val="00E224B2"/>
    <w:rsid w:val="00E22613"/>
    <w:rsid w:val="00E22621"/>
    <w:rsid w:val="00E22ADE"/>
    <w:rsid w:val="00E22B2D"/>
    <w:rsid w:val="00E22C2C"/>
    <w:rsid w:val="00E232B2"/>
    <w:rsid w:val="00E2386D"/>
    <w:rsid w:val="00E23B07"/>
    <w:rsid w:val="00E23B52"/>
    <w:rsid w:val="00E23DFD"/>
    <w:rsid w:val="00E24270"/>
    <w:rsid w:val="00E24792"/>
    <w:rsid w:val="00E24DDB"/>
    <w:rsid w:val="00E25493"/>
    <w:rsid w:val="00E2549A"/>
    <w:rsid w:val="00E25671"/>
    <w:rsid w:val="00E257A8"/>
    <w:rsid w:val="00E25AAF"/>
    <w:rsid w:val="00E25F7C"/>
    <w:rsid w:val="00E26412"/>
    <w:rsid w:val="00E26B46"/>
    <w:rsid w:val="00E26B85"/>
    <w:rsid w:val="00E26BEC"/>
    <w:rsid w:val="00E26D6A"/>
    <w:rsid w:val="00E26FA6"/>
    <w:rsid w:val="00E27149"/>
    <w:rsid w:val="00E275A2"/>
    <w:rsid w:val="00E27A23"/>
    <w:rsid w:val="00E27AEA"/>
    <w:rsid w:val="00E304ED"/>
    <w:rsid w:val="00E3078D"/>
    <w:rsid w:val="00E308E4"/>
    <w:rsid w:val="00E309CE"/>
    <w:rsid w:val="00E30A0D"/>
    <w:rsid w:val="00E30B3F"/>
    <w:rsid w:val="00E30CCF"/>
    <w:rsid w:val="00E310AE"/>
    <w:rsid w:val="00E3122F"/>
    <w:rsid w:val="00E31659"/>
    <w:rsid w:val="00E319E1"/>
    <w:rsid w:val="00E31ED0"/>
    <w:rsid w:val="00E31F8A"/>
    <w:rsid w:val="00E323EB"/>
    <w:rsid w:val="00E327C6"/>
    <w:rsid w:val="00E328E5"/>
    <w:rsid w:val="00E32913"/>
    <w:rsid w:val="00E32C6E"/>
    <w:rsid w:val="00E32FE5"/>
    <w:rsid w:val="00E3376D"/>
    <w:rsid w:val="00E33A3E"/>
    <w:rsid w:val="00E33F4C"/>
    <w:rsid w:val="00E34680"/>
    <w:rsid w:val="00E34793"/>
    <w:rsid w:val="00E34A74"/>
    <w:rsid w:val="00E34BD7"/>
    <w:rsid w:val="00E34CA6"/>
    <w:rsid w:val="00E35003"/>
    <w:rsid w:val="00E356C5"/>
    <w:rsid w:val="00E35777"/>
    <w:rsid w:val="00E357BD"/>
    <w:rsid w:val="00E35A83"/>
    <w:rsid w:val="00E35E4A"/>
    <w:rsid w:val="00E36211"/>
    <w:rsid w:val="00E3649D"/>
    <w:rsid w:val="00E3698F"/>
    <w:rsid w:val="00E36A53"/>
    <w:rsid w:val="00E36D42"/>
    <w:rsid w:val="00E3729A"/>
    <w:rsid w:val="00E372B4"/>
    <w:rsid w:val="00E373E1"/>
    <w:rsid w:val="00E3773E"/>
    <w:rsid w:val="00E3797E"/>
    <w:rsid w:val="00E40371"/>
    <w:rsid w:val="00E40492"/>
    <w:rsid w:val="00E405E4"/>
    <w:rsid w:val="00E407A0"/>
    <w:rsid w:val="00E407BD"/>
    <w:rsid w:val="00E40D88"/>
    <w:rsid w:val="00E41281"/>
    <w:rsid w:val="00E41B1D"/>
    <w:rsid w:val="00E42495"/>
    <w:rsid w:val="00E42533"/>
    <w:rsid w:val="00E427A2"/>
    <w:rsid w:val="00E42A3F"/>
    <w:rsid w:val="00E42B62"/>
    <w:rsid w:val="00E434B2"/>
    <w:rsid w:val="00E436E1"/>
    <w:rsid w:val="00E43D6D"/>
    <w:rsid w:val="00E43E31"/>
    <w:rsid w:val="00E44297"/>
    <w:rsid w:val="00E442D6"/>
    <w:rsid w:val="00E44373"/>
    <w:rsid w:val="00E44408"/>
    <w:rsid w:val="00E44932"/>
    <w:rsid w:val="00E44AB0"/>
    <w:rsid w:val="00E44ADC"/>
    <w:rsid w:val="00E44DFB"/>
    <w:rsid w:val="00E44E71"/>
    <w:rsid w:val="00E44F8F"/>
    <w:rsid w:val="00E44FEF"/>
    <w:rsid w:val="00E45858"/>
    <w:rsid w:val="00E45BD6"/>
    <w:rsid w:val="00E45C77"/>
    <w:rsid w:val="00E45D81"/>
    <w:rsid w:val="00E45E08"/>
    <w:rsid w:val="00E4686C"/>
    <w:rsid w:val="00E468E9"/>
    <w:rsid w:val="00E46A36"/>
    <w:rsid w:val="00E46D46"/>
    <w:rsid w:val="00E47038"/>
    <w:rsid w:val="00E47141"/>
    <w:rsid w:val="00E47601"/>
    <w:rsid w:val="00E478F1"/>
    <w:rsid w:val="00E479D6"/>
    <w:rsid w:val="00E47BD7"/>
    <w:rsid w:val="00E502C3"/>
    <w:rsid w:val="00E5078D"/>
    <w:rsid w:val="00E51051"/>
    <w:rsid w:val="00E51238"/>
    <w:rsid w:val="00E51493"/>
    <w:rsid w:val="00E51629"/>
    <w:rsid w:val="00E51BC2"/>
    <w:rsid w:val="00E51BC6"/>
    <w:rsid w:val="00E51C29"/>
    <w:rsid w:val="00E525FD"/>
    <w:rsid w:val="00E52797"/>
    <w:rsid w:val="00E52823"/>
    <w:rsid w:val="00E529CB"/>
    <w:rsid w:val="00E52C54"/>
    <w:rsid w:val="00E52FCE"/>
    <w:rsid w:val="00E531E4"/>
    <w:rsid w:val="00E5335E"/>
    <w:rsid w:val="00E534CB"/>
    <w:rsid w:val="00E53658"/>
    <w:rsid w:val="00E54606"/>
    <w:rsid w:val="00E54BCD"/>
    <w:rsid w:val="00E54D75"/>
    <w:rsid w:val="00E5508E"/>
    <w:rsid w:val="00E558D6"/>
    <w:rsid w:val="00E55EC6"/>
    <w:rsid w:val="00E56199"/>
    <w:rsid w:val="00E56252"/>
    <w:rsid w:val="00E562AF"/>
    <w:rsid w:val="00E56749"/>
    <w:rsid w:val="00E56D75"/>
    <w:rsid w:val="00E57583"/>
    <w:rsid w:val="00E579CA"/>
    <w:rsid w:val="00E57B1B"/>
    <w:rsid w:val="00E57D3E"/>
    <w:rsid w:val="00E57DF8"/>
    <w:rsid w:val="00E60385"/>
    <w:rsid w:val="00E60984"/>
    <w:rsid w:val="00E60DE2"/>
    <w:rsid w:val="00E616E9"/>
    <w:rsid w:val="00E61E1D"/>
    <w:rsid w:val="00E62288"/>
    <w:rsid w:val="00E62643"/>
    <w:rsid w:val="00E6292F"/>
    <w:rsid w:val="00E62B99"/>
    <w:rsid w:val="00E62C9A"/>
    <w:rsid w:val="00E63044"/>
    <w:rsid w:val="00E63E47"/>
    <w:rsid w:val="00E64161"/>
    <w:rsid w:val="00E6417A"/>
    <w:rsid w:val="00E641EC"/>
    <w:rsid w:val="00E64603"/>
    <w:rsid w:val="00E64D9C"/>
    <w:rsid w:val="00E6508F"/>
    <w:rsid w:val="00E6524D"/>
    <w:rsid w:val="00E6527A"/>
    <w:rsid w:val="00E657A8"/>
    <w:rsid w:val="00E658FB"/>
    <w:rsid w:val="00E65B70"/>
    <w:rsid w:val="00E65C5C"/>
    <w:rsid w:val="00E66055"/>
    <w:rsid w:val="00E6644E"/>
    <w:rsid w:val="00E6673B"/>
    <w:rsid w:val="00E66D9A"/>
    <w:rsid w:val="00E66F78"/>
    <w:rsid w:val="00E66FAB"/>
    <w:rsid w:val="00E671A5"/>
    <w:rsid w:val="00E678ED"/>
    <w:rsid w:val="00E67930"/>
    <w:rsid w:val="00E67B88"/>
    <w:rsid w:val="00E7091E"/>
    <w:rsid w:val="00E709F5"/>
    <w:rsid w:val="00E70BB5"/>
    <w:rsid w:val="00E70C0C"/>
    <w:rsid w:val="00E70C3C"/>
    <w:rsid w:val="00E71224"/>
    <w:rsid w:val="00E71A9C"/>
    <w:rsid w:val="00E71AB5"/>
    <w:rsid w:val="00E71B73"/>
    <w:rsid w:val="00E71D3E"/>
    <w:rsid w:val="00E726AC"/>
    <w:rsid w:val="00E72773"/>
    <w:rsid w:val="00E72AB2"/>
    <w:rsid w:val="00E72BF2"/>
    <w:rsid w:val="00E72C95"/>
    <w:rsid w:val="00E72D42"/>
    <w:rsid w:val="00E72ED4"/>
    <w:rsid w:val="00E73BCC"/>
    <w:rsid w:val="00E73C93"/>
    <w:rsid w:val="00E73D71"/>
    <w:rsid w:val="00E73DFA"/>
    <w:rsid w:val="00E73E5C"/>
    <w:rsid w:val="00E74CF7"/>
    <w:rsid w:val="00E74D25"/>
    <w:rsid w:val="00E74E0C"/>
    <w:rsid w:val="00E74E87"/>
    <w:rsid w:val="00E751CE"/>
    <w:rsid w:val="00E75451"/>
    <w:rsid w:val="00E7552A"/>
    <w:rsid w:val="00E75B85"/>
    <w:rsid w:val="00E75BA5"/>
    <w:rsid w:val="00E75BD4"/>
    <w:rsid w:val="00E7600C"/>
    <w:rsid w:val="00E760BC"/>
    <w:rsid w:val="00E760CC"/>
    <w:rsid w:val="00E763E9"/>
    <w:rsid w:val="00E76444"/>
    <w:rsid w:val="00E7645F"/>
    <w:rsid w:val="00E7659C"/>
    <w:rsid w:val="00E76AD4"/>
    <w:rsid w:val="00E76B72"/>
    <w:rsid w:val="00E76D9D"/>
    <w:rsid w:val="00E76DE1"/>
    <w:rsid w:val="00E774ED"/>
    <w:rsid w:val="00E8068C"/>
    <w:rsid w:val="00E8082F"/>
    <w:rsid w:val="00E811C6"/>
    <w:rsid w:val="00E81F97"/>
    <w:rsid w:val="00E82637"/>
    <w:rsid w:val="00E82A93"/>
    <w:rsid w:val="00E82F1F"/>
    <w:rsid w:val="00E8353F"/>
    <w:rsid w:val="00E838A8"/>
    <w:rsid w:val="00E838BB"/>
    <w:rsid w:val="00E838C1"/>
    <w:rsid w:val="00E83918"/>
    <w:rsid w:val="00E83CB0"/>
    <w:rsid w:val="00E84557"/>
    <w:rsid w:val="00E848AE"/>
    <w:rsid w:val="00E849AC"/>
    <w:rsid w:val="00E85066"/>
    <w:rsid w:val="00E853EE"/>
    <w:rsid w:val="00E8553D"/>
    <w:rsid w:val="00E85559"/>
    <w:rsid w:val="00E8561A"/>
    <w:rsid w:val="00E85C21"/>
    <w:rsid w:val="00E85DA4"/>
    <w:rsid w:val="00E8603A"/>
    <w:rsid w:val="00E861B3"/>
    <w:rsid w:val="00E8630D"/>
    <w:rsid w:val="00E86315"/>
    <w:rsid w:val="00E86B29"/>
    <w:rsid w:val="00E86B74"/>
    <w:rsid w:val="00E86CDF"/>
    <w:rsid w:val="00E873BE"/>
    <w:rsid w:val="00E87609"/>
    <w:rsid w:val="00E87B87"/>
    <w:rsid w:val="00E87CD2"/>
    <w:rsid w:val="00E903A3"/>
    <w:rsid w:val="00E9062D"/>
    <w:rsid w:val="00E90686"/>
    <w:rsid w:val="00E90847"/>
    <w:rsid w:val="00E90A47"/>
    <w:rsid w:val="00E90E63"/>
    <w:rsid w:val="00E90F59"/>
    <w:rsid w:val="00E914AF"/>
    <w:rsid w:val="00E914B8"/>
    <w:rsid w:val="00E91831"/>
    <w:rsid w:val="00E91ABD"/>
    <w:rsid w:val="00E91FCF"/>
    <w:rsid w:val="00E92030"/>
    <w:rsid w:val="00E92CE5"/>
    <w:rsid w:val="00E92E93"/>
    <w:rsid w:val="00E92FAE"/>
    <w:rsid w:val="00E9304B"/>
    <w:rsid w:val="00E932FF"/>
    <w:rsid w:val="00E93442"/>
    <w:rsid w:val="00E9374C"/>
    <w:rsid w:val="00E93A69"/>
    <w:rsid w:val="00E94181"/>
    <w:rsid w:val="00E943D5"/>
    <w:rsid w:val="00E9467B"/>
    <w:rsid w:val="00E94D2B"/>
    <w:rsid w:val="00E9555C"/>
    <w:rsid w:val="00E95780"/>
    <w:rsid w:val="00E95883"/>
    <w:rsid w:val="00E959AE"/>
    <w:rsid w:val="00E959B4"/>
    <w:rsid w:val="00E96392"/>
    <w:rsid w:val="00E965BD"/>
    <w:rsid w:val="00E96A92"/>
    <w:rsid w:val="00E96E9D"/>
    <w:rsid w:val="00E9714B"/>
    <w:rsid w:val="00E971D5"/>
    <w:rsid w:val="00E97349"/>
    <w:rsid w:val="00E97657"/>
    <w:rsid w:val="00E976D2"/>
    <w:rsid w:val="00E97F51"/>
    <w:rsid w:val="00EA0753"/>
    <w:rsid w:val="00EA0842"/>
    <w:rsid w:val="00EA0887"/>
    <w:rsid w:val="00EA096A"/>
    <w:rsid w:val="00EA0E37"/>
    <w:rsid w:val="00EA1006"/>
    <w:rsid w:val="00EA158A"/>
    <w:rsid w:val="00EA1829"/>
    <w:rsid w:val="00EA1C8B"/>
    <w:rsid w:val="00EA1ED3"/>
    <w:rsid w:val="00EA25F0"/>
    <w:rsid w:val="00EA272C"/>
    <w:rsid w:val="00EA2754"/>
    <w:rsid w:val="00EA2DD2"/>
    <w:rsid w:val="00EA2F4C"/>
    <w:rsid w:val="00EA3568"/>
    <w:rsid w:val="00EA39F5"/>
    <w:rsid w:val="00EA3EE5"/>
    <w:rsid w:val="00EA3FC6"/>
    <w:rsid w:val="00EA3FE7"/>
    <w:rsid w:val="00EA4274"/>
    <w:rsid w:val="00EA4602"/>
    <w:rsid w:val="00EA498A"/>
    <w:rsid w:val="00EA4C69"/>
    <w:rsid w:val="00EA5133"/>
    <w:rsid w:val="00EA526D"/>
    <w:rsid w:val="00EA552B"/>
    <w:rsid w:val="00EA5558"/>
    <w:rsid w:val="00EA619C"/>
    <w:rsid w:val="00EA63EF"/>
    <w:rsid w:val="00EA67D7"/>
    <w:rsid w:val="00EA6920"/>
    <w:rsid w:val="00EA7289"/>
    <w:rsid w:val="00EA72F6"/>
    <w:rsid w:val="00EA74AD"/>
    <w:rsid w:val="00EA74C9"/>
    <w:rsid w:val="00EA7D06"/>
    <w:rsid w:val="00EA7DCE"/>
    <w:rsid w:val="00EB00A9"/>
    <w:rsid w:val="00EB0770"/>
    <w:rsid w:val="00EB0A92"/>
    <w:rsid w:val="00EB0E84"/>
    <w:rsid w:val="00EB130F"/>
    <w:rsid w:val="00EB16DA"/>
    <w:rsid w:val="00EB1779"/>
    <w:rsid w:val="00EB1E9E"/>
    <w:rsid w:val="00EB2082"/>
    <w:rsid w:val="00EB267D"/>
    <w:rsid w:val="00EB26FC"/>
    <w:rsid w:val="00EB28A1"/>
    <w:rsid w:val="00EB2CDA"/>
    <w:rsid w:val="00EB2E6B"/>
    <w:rsid w:val="00EB30B7"/>
    <w:rsid w:val="00EB30F4"/>
    <w:rsid w:val="00EB3309"/>
    <w:rsid w:val="00EB346F"/>
    <w:rsid w:val="00EB351C"/>
    <w:rsid w:val="00EB446C"/>
    <w:rsid w:val="00EB44D1"/>
    <w:rsid w:val="00EB4641"/>
    <w:rsid w:val="00EB477D"/>
    <w:rsid w:val="00EB50C6"/>
    <w:rsid w:val="00EB5443"/>
    <w:rsid w:val="00EB55A3"/>
    <w:rsid w:val="00EB573B"/>
    <w:rsid w:val="00EB57E1"/>
    <w:rsid w:val="00EB5B26"/>
    <w:rsid w:val="00EB5FF5"/>
    <w:rsid w:val="00EB6CEA"/>
    <w:rsid w:val="00EB70A4"/>
    <w:rsid w:val="00EB742A"/>
    <w:rsid w:val="00EB7B9D"/>
    <w:rsid w:val="00EC0C11"/>
    <w:rsid w:val="00EC0CE2"/>
    <w:rsid w:val="00EC0D92"/>
    <w:rsid w:val="00EC11DA"/>
    <w:rsid w:val="00EC164C"/>
    <w:rsid w:val="00EC1754"/>
    <w:rsid w:val="00EC196D"/>
    <w:rsid w:val="00EC1A64"/>
    <w:rsid w:val="00EC1D59"/>
    <w:rsid w:val="00EC1D82"/>
    <w:rsid w:val="00EC231D"/>
    <w:rsid w:val="00EC2409"/>
    <w:rsid w:val="00EC2D97"/>
    <w:rsid w:val="00EC31A5"/>
    <w:rsid w:val="00EC3C17"/>
    <w:rsid w:val="00EC4437"/>
    <w:rsid w:val="00EC527D"/>
    <w:rsid w:val="00EC5334"/>
    <w:rsid w:val="00EC5501"/>
    <w:rsid w:val="00EC580E"/>
    <w:rsid w:val="00EC5D5D"/>
    <w:rsid w:val="00EC5DFF"/>
    <w:rsid w:val="00EC6701"/>
    <w:rsid w:val="00EC73E9"/>
    <w:rsid w:val="00EC75E0"/>
    <w:rsid w:val="00EC7AB1"/>
    <w:rsid w:val="00ED0DD7"/>
    <w:rsid w:val="00ED0FEE"/>
    <w:rsid w:val="00ED100D"/>
    <w:rsid w:val="00ED17AB"/>
    <w:rsid w:val="00ED1888"/>
    <w:rsid w:val="00ED1F2E"/>
    <w:rsid w:val="00ED2158"/>
    <w:rsid w:val="00ED2589"/>
    <w:rsid w:val="00ED2ADC"/>
    <w:rsid w:val="00ED3186"/>
    <w:rsid w:val="00ED31E7"/>
    <w:rsid w:val="00ED3369"/>
    <w:rsid w:val="00ED38BB"/>
    <w:rsid w:val="00ED3EE9"/>
    <w:rsid w:val="00ED4749"/>
    <w:rsid w:val="00ED4EBB"/>
    <w:rsid w:val="00ED511D"/>
    <w:rsid w:val="00ED51AF"/>
    <w:rsid w:val="00ED583B"/>
    <w:rsid w:val="00ED6217"/>
    <w:rsid w:val="00ED6459"/>
    <w:rsid w:val="00ED64C9"/>
    <w:rsid w:val="00ED656E"/>
    <w:rsid w:val="00ED6658"/>
    <w:rsid w:val="00ED6675"/>
    <w:rsid w:val="00ED6B06"/>
    <w:rsid w:val="00ED708A"/>
    <w:rsid w:val="00ED7F54"/>
    <w:rsid w:val="00EE01ED"/>
    <w:rsid w:val="00EE023B"/>
    <w:rsid w:val="00EE055D"/>
    <w:rsid w:val="00EE0902"/>
    <w:rsid w:val="00EE0B16"/>
    <w:rsid w:val="00EE11F2"/>
    <w:rsid w:val="00EE1747"/>
    <w:rsid w:val="00EE1770"/>
    <w:rsid w:val="00EE1922"/>
    <w:rsid w:val="00EE1B77"/>
    <w:rsid w:val="00EE23F4"/>
    <w:rsid w:val="00EE2A65"/>
    <w:rsid w:val="00EE2E3C"/>
    <w:rsid w:val="00EE2FAC"/>
    <w:rsid w:val="00EE306F"/>
    <w:rsid w:val="00EE3602"/>
    <w:rsid w:val="00EE3E00"/>
    <w:rsid w:val="00EE45AE"/>
    <w:rsid w:val="00EE4E33"/>
    <w:rsid w:val="00EE5200"/>
    <w:rsid w:val="00EE55B5"/>
    <w:rsid w:val="00EE568F"/>
    <w:rsid w:val="00EE5D4D"/>
    <w:rsid w:val="00EE5E9F"/>
    <w:rsid w:val="00EE62AB"/>
    <w:rsid w:val="00EE63AC"/>
    <w:rsid w:val="00EE683F"/>
    <w:rsid w:val="00EE6A68"/>
    <w:rsid w:val="00EE6B4A"/>
    <w:rsid w:val="00EE6E5B"/>
    <w:rsid w:val="00EF0388"/>
    <w:rsid w:val="00EF0542"/>
    <w:rsid w:val="00EF0548"/>
    <w:rsid w:val="00EF075E"/>
    <w:rsid w:val="00EF0DDF"/>
    <w:rsid w:val="00EF0F6B"/>
    <w:rsid w:val="00EF11C6"/>
    <w:rsid w:val="00EF1588"/>
    <w:rsid w:val="00EF1A82"/>
    <w:rsid w:val="00EF216A"/>
    <w:rsid w:val="00EF218F"/>
    <w:rsid w:val="00EF260F"/>
    <w:rsid w:val="00EF2650"/>
    <w:rsid w:val="00EF2873"/>
    <w:rsid w:val="00EF295B"/>
    <w:rsid w:val="00EF2CB1"/>
    <w:rsid w:val="00EF3706"/>
    <w:rsid w:val="00EF3728"/>
    <w:rsid w:val="00EF3954"/>
    <w:rsid w:val="00EF3C42"/>
    <w:rsid w:val="00EF3F20"/>
    <w:rsid w:val="00EF4C82"/>
    <w:rsid w:val="00EF4C97"/>
    <w:rsid w:val="00EF51CC"/>
    <w:rsid w:val="00EF5618"/>
    <w:rsid w:val="00EF5F16"/>
    <w:rsid w:val="00EF61F8"/>
    <w:rsid w:val="00EF6288"/>
    <w:rsid w:val="00EF6752"/>
    <w:rsid w:val="00EF6B0D"/>
    <w:rsid w:val="00EF6D8E"/>
    <w:rsid w:val="00EF7085"/>
    <w:rsid w:val="00EF7625"/>
    <w:rsid w:val="00EF7A3A"/>
    <w:rsid w:val="00F0048E"/>
    <w:rsid w:val="00F00E6A"/>
    <w:rsid w:val="00F00EAB"/>
    <w:rsid w:val="00F0105A"/>
    <w:rsid w:val="00F0188E"/>
    <w:rsid w:val="00F01B19"/>
    <w:rsid w:val="00F01B92"/>
    <w:rsid w:val="00F01E9C"/>
    <w:rsid w:val="00F0206E"/>
    <w:rsid w:val="00F022C2"/>
    <w:rsid w:val="00F02666"/>
    <w:rsid w:val="00F02B99"/>
    <w:rsid w:val="00F02BA8"/>
    <w:rsid w:val="00F02C9B"/>
    <w:rsid w:val="00F02D65"/>
    <w:rsid w:val="00F03687"/>
    <w:rsid w:val="00F036FB"/>
    <w:rsid w:val="00F03B67"/>
    <w:rsid w:val="00F03D20"/>
    <w:rsid w:val="00F03D54"/>
    <w:rsid w:val="00F04620"/>
    <w:rsid w:val="00F0469A"/>
    <w:rsid w:val="00F0480B"/>
    <w:rsid w:val="00F04EC2"/>
    <w:rsid w:val="00F051CF"/>
    <w:rsid w:val="00F05829"/>
    <w:rsid w:val="00F060EC"/>
    <w:rsid w:val="00F066BF"/>
    <w:rsid w:val="00F06802"/>
    <w:rsid w:val="00F068DF"/>
    <w:rsid w:val="00F06A27"/>
    <w:rsid w:val="00F06DC8"/>
    <w:rsid w:val="00F0789F"/>
    <w:rsid w:val="00F0797D"/>
    <w:rsid w:val="00F07988"/>
    <w:rsid w:val="00F07A45"/>
    <w:rsid w:val="00F07E67"/>
    <w:rsid w:val="00F104FD"/>
    <w:rsid w:val="00F10772"/>
    <w:rsid w:val="00F108F5"/>
    <w:rsid w:val="00F109E6"/>
    <w:rsid w:val="00F109F7"/>
    <w:rsid w:val="00F11476"/>
    <w:rsid w:val="00F11684"/>
    <w:rsid w:val="00F11A57"/>
    <w:rsid w:val="00F1200A"/>
    <w:rsid w:val="00F12ABF"/>
    <w:rsid w:val="00F12E59"/>
    <w:rsid w:val="00F12F32"/>
    <w:rsid w:val="00F1301E"/>
    <w:rsid w:val="00F1303C"/>
    <w:rsid w:val="00F13058"/>
    <w:rsid w:val="00F133AF"/>
    <w:rsid w:val="00F1371B"/>
    <w:rsid w:val="00F13A18"/>
    <w:rsid w:val="00F13DCC"/>
    <w:rsid w:val="00F13DD6"/>
    <w:rsid w:val="00F14140"/>
    <w:rsid w:val="00F144F5"/>
    <w:rsid w:val="00F14A12"/>
    <w:rsid w:val="00F14F48"/>
    <w:rsid w:val="00F14FE5"/>
    <w:rsid w:val="00F1581A"/>
    <w:rsid w:val="00F15C14"/>
    <w:rsid w:val="00F16AF1"/>
    <w:rsid w:val="00F16F29"/>
    <w:rsid w:val="00F16FC9"/>
    <w:rsid w:val="00F17076"/>
    <w:rsid w:val="00F1722F"/>
    <w:rsid w:val="00F17653"/>
    <w:rsid w:val="00F178CA"/>
    <w:rsid w:val="00F17974"/>
    <w:rsid w:val="00F17CF5"/>
    <w:rsid w:val="00F20685"/>
    <w:rsid w:val="00F20849"/>
    <w:rsid w:val="00F21077"/>
    <w:rsid w:val="00F21BFC"/>
    <w:rsid w:val="00F21F36"/>
    <w:rsid w:val="00F21F92"/>
    <w:rsid w:val="00F225F7"/>
    <w:rsid w:val="00F228F7"/>
    <w:rsid w:val="00F22F82"/>
    <w:rsid w:val="00F23C6C"/>
    <w:rsid w:val="00F243DA"/>
    <w:rsid w:val="00F2440B"/>
    <w:rsid w:val="00F24540"/>
    <w:rsid w:val="00F24A4C"/>
    <w:rsid w:val="00F24BCD"/>
    <w:rsid w:val="00F24CEA"/>
    <w:rsid w:val="00F24D79"/>
    <w:rsid w:val="00F24FB8"/>
    <w:rsid w:val="00F251C7"/>
    <w:rsid w:val="00F25626"/>
    <w:rsid w:val="00F25ABE"/>
    <w:rsid w:val="00F25D51"/>
    <w:rsid w:val="00F25D62"/>
    <w:rsid w:val="00F25D7C"/>
    <w:rsid w:val="00F262D1"/>
    <w:rsid w:val="00F2637C"/>
    <w:rsid w:val="00F266C3"/>
    <w:rsid w:val="00F26C98"/>
    <w:rsid w:val="00F271B2"/>
    <w:rsid w:val="00F27800"/>
    <w:rsid w:val="00F27C15"/>
    <w:rsid w:val="00F27C16"/>
    <w:rsid w:val="00F27CD4"/>
    <w:rsid w:val="00F30153"/>
    <w:rsid w:val="00F30372"/>
    <w:rsid w:val="00F30A13"/>
    <w:rsid w:val="00F30ABA"/>
    <w:rsid w:val="00F30AC1"/>
    <w:rsid w:val="00F30E56"/>
    <w:rsid w:val="00F31196"/>
    <w:rsid w:val="00F312B3"/>
    <w:rsid w:val="00F3143C"/>
    <w:rsid w:val="00F314FD"/>
    <w:rsid w:val="00F3150A"/>
    <w:rsid w:val="00F3186C"/>
    <w:rsid w:val="00F31AFE"/>
    <w:rsid w:val="00F31DEF"/>
    <w:rsid w:val="00F31E6A"/>
    <w:rsid w:val="00F31F52"/>
    <w:rsid w:val="00F3213C"/>
    <w:rsid w:val="00F3215A"/>
    <w:rsid w:val="00F322F6"/>
    <w:rsid w:val="00F32493"/>
    <w:rsid w:val="00F32889"/>
    <w:rsid w:val="00F32FF6"/>
    <w:rsid w:val="00F33042"/>
    <w:rsid w:val="00F3307B"/>
    <w:rsid w:val="00F33671"/>
    <w:rsid w:val="00F33737"/>
    <w:rsid w:val="00F340D8"/>
    <w:rsid w:val="00F344AC"/>
    <w:rsid w:val="00F34A5B"/>
    <w:rsid w:val="00F3528F"/>
    <w:rsid w:val="00F35ED3"/>
    <w:rsid w:val="00F3600D"/>
    <w:rsid w:val="00F3618C"/>
    <w:rsid w:val="00F36287"/>
    <w:rsid w:val="00F3667D"/>
    <w:rsid w:val="00F36681"/>
    <w:rsid w:val="00F36990"/>
    <w:rsid w:val="00F36AA6"/>
    <w:rsid w:val="00F4009C"/>
    <w:rsid w:val="00F4012B"/>
    <w:rsid w:val="00F4019A"/>
    <w:rsid w:val="00F4025D"/>
    <w:rsid w:val="00F403AD"/>
    <w:rsid w:val="00F4083C"/>
    <w:rsid w:val="00F408C9"/>
    <w:rsid w:val="00F409B8"/>
    <w:rsid w:val="00F40D03"/>
    <w:rsid w:val="00F40DA6"/>
    <w:rsid w:val="00F40E20"/>
    <w:rsid w:val="00F40F0E"/>
    <w:rsid w:val="00F419CD"/>
    <w:rsid w:val="00F41F58"/>
    <w:rsid w:val="00F424D0"/>
    <w:rsid w:val="00F4283B"/>
    <w:rsid w:val="00F42D0C"/>
    <w:rsid w:val="00F42F32"/>
    <w:rsid w:val="00F43355"/>
    <w:rsid w:val="00F433EC"/>
    <w:rsid w:val="00F43760"/>
    <w:rsid w:val="00F437EC"/>
    <w:rsid w:val="00F43BEB"/>
    <w:rsid w:val="00F43C96"/>
    <w:rsid w:val="00F43D63"/>
    <w:rsid w:val="00F43EDE"/>
    <w:rsid w:val="00F44176"/>
    <w:rsid w:val="00F44461"/>
    <w:rsid w:val="00F445D5"/>
    <w:rsid w:val="00F446FF"/>
    <w:rsid w:val="00F44712"/>
    <w:rsid w:val="00F4472C"/>
    <w:rsid w:val="00F450B9"/>
    <w:rsid w:val="00F45174"/>
    <w:rsid w:val="00F45D6B"/>
    <w:rsid w:val="00F461D6"/>
    <w:rsid w:val="00F462A2"/>
    <w:rsid w:val="00F469D2"/>
    <w:rsid w:val="00F46C54"/>
    <w:rsid w:val="00F46C84"/>
    <w:rsid w:val="00F46CD5"/>
    <w:rsid w:val="00F47200"/>
    <w:rsid w:val="00F47242"/>
    <w:rsid w:val="00F4751D"/>
    <w:rsid w:val="00F477E1"/>
    <w:rsid w:val="00F50665"/>
    <w:rsid w:val="00F506BA"/>
    <w:rsid w:val="00F50951"/>
    <w:rsid w:val="00F50E22"/>
    <w:rsid w:val="00F50E65"/>
    <w:rsid w:val="00F51513"/>
    <w:rsid w:val="00F51817"/>
    <w:rsid w:val="00F51A82"/>
    <w:rsid w:val="00F52225"/>
    <w:rsid w:val="00F5237E"/>
    <w:rsid w:val="00F52535"/>
    <w:rsid w:val="00F52F20"/>
    <w:rsid w:val="00F5318B"/>
    <w:rsid w:val="00F531F3"/>
    <w:rsid w:val="00F53688"/>
    <w:rsid w:val="00F53800"/>
    <w:rsid w:val="00F53902"/>
    <w:rsid w:val="00F53D0F"/>
    <w:rsid w:val="00F53FDF"/>
    <w:rsid w:val="00F54794"/>
    <w:rsid w:val="00F54CA2"/>
    <w:rsid w:val="00F55535"/>
    <w:rsid w:val="00F55618"/>
    <w:rsid w:val="00F55D4A"/>
    <w:rsid w:val="00F56230"/>
    <w:rsid w:val="00F566C9"/>
    <w:rsid w:val="00F569E1"/>
    <w:rsid w:val="00F56AE6"/>
    <w:rsid w:val="00F56BA7"/>
    <w:rsid w:val="00F57302"/>
    <w:rsid w:val="00F576BA"/>
    <w:rsid w:val="00F57E45"/>
    <w:rsid w:val="00F60061"/>
    <w:rsid w:val="00F605B5"/>
    <w:rsid w:val="00F60611"/>
    <w:rsid w:val="00F606DC"/>
    <w:rsid w:val="00F607F7"/>
    <w:rsid w:val="00F60980"/>
    <w:rsid w:val="00F60AA5"/>
    <w:rsid w:val="00F60C69"/>
    <w:rsid w:val="00F60F05"/>
    <w:rsid w:val="00F6131C"/>
    <w:rsid w:val="00F61619"/>
    <w:rsid w:val="00F6215B"/>
    <w:rsid w:val="00F6218C"/>
    <w:rsid w:val="00F62818"/>
    <w:rsid w:val="00F632D6"/>
    <w:rsid w:val="00F63634"/>
    <w:rsid w:val="00F637B4"/>
    <w:rsid w:val="00F6462E"/>
    <w:rsid w:val="00F649F0"/>
    <w:rsid w:val="00F64CBE"/>
    <w:rsid w:val="00F6534A"/>
    <w:rsid w:val="00F6554F"/>
    <w:rsid w:val="00F6596E"/>
    <w:rsid w:val="00F65F1C"/>
    <w:rsid w:val="00F6602F"/>
    <w:rsid w:val="00F664B0"/>
    <w:rsid w:val="00F66636"/>
    <w:rsid w:val="00F70074"/>
    <w:rsid w:val="00F70517"/>
    <w:rsid w:val="00F70B28"/>
    <w:rsid w:val="00F7141D"/>
    <w:rsid w:val="00F714E4"/>
    <w:rsid w:val="00F71730"/>
    <w:rsid w:val="00F718D6"/>
    <w:rsid w:val="00F71907"/>
    <w:rsid w:val="00F71A8F"/>
    <w:rsid w:val="00F71CB8"/>
    <w:rsid w:val="00F728F4"/>
    <w:rsid w:val="00F72BD0"/>
    <w:rsid w:val="00F72C86"/>
    <w:rsid w:val="00F742FC"/>
    <w:rsid w:val="00F74494"/>
    <w:rsid w:val="00F74548"/>
    <w:rsid w:val="00F74A63"/>
    <w:rsid w:val="00F74F21"/>
    <w:rsid w:val="00F7565C"/>
    <w:rsid w:val="00F7569B"/>
    <w:rsid w:val="00F75804"/>
    <w:rsid w:val="00F75ECD"/>
    <w:rsid w:val="00F75F91"/>
    <w:rsid w:val="00F760B5"/>
    <w:rsid w:val="00F76494"/>
    <w:rsid w:val="00F76F7F"/>
    <w:rsid w:val="00F76FBF"/>
    <w:rsid w:val="00F77383"/>
    <w:rsid w:val="00F7747E"/>
    <w:rsid w:val="00F77559"/>
    <w:rsid w:val="00F77C34"/>
    <w:rsid w:val="00F80051"/>
    <w:rsid w:val="00F80667"/>
    <w:rsid w:val="00F80F9C"/>
    <w:rsid w:val="00F81E3D"/>
    <w:rsid w:val="00F81E94"/>
    <w:rsid w:val="00F82A40"/>
    <w:rsid w:val="00F82B79"/>
    <w:rsid w:val="00F82E75"/>
    <w:rsid w:val="00F82ED7"/>
    <w:rsid w:val="00F82F56"/>
    <w:rsid w:val="00F832B1"/>
    <w:rsid w:val="00F834A7"/>
    <w:rsid w:val="00F83B4E"/>
    <w:rsid w:val="00F846D0"/>
    <w:rsid w:val="00F84B63"/>
    <w:rsid w:val="00F84B7E"/>
    <w:rsid w:val="00F84B99"/>
    <w:rsid w:val="00F84C7B"/>
    <w:rsid w:val="00F84CC5"/>
    <w:rsid w:val="00F84E83"/>
    <w:rsid w:val="00F84FA0"/>
    <w:rsid w:val="00F85211"/>
    <w:rsid w:val="00F8528F"/>
    <w:rsid w:val="00F85791"/>
    <w:rsid w:val="00F8590C"/>
    <w:rsid w:val="00F860D4"/>
    <w:rsid w:val="00F86659"/>
    <w:rsid w:val="00F86A26"/>
    <w:rsid w:val="00F86DEA"/>
    <w:rsid w:val="00F86F51"/>
    <w:rsid w:val="00F87099"/>
    <w:rsid w:val="00F8724E"/>
    <w:rsid w:val="00F90144"/>
    <w:rsid w:val="00F902FA"/>
    <w:rsid w:val="00F90A6F"/>
    <w:rsid w:val="00F90ADA"/>
    <w:rsid w:val="00F90E75"/>
    <w:rsid w:val="00F9238E"/>
    <w:rsid w:val="00F92461"/>
    <w:rsid w:val="00F9268D"/>
    <w:rsid w:val="00F9281E"/>
    <w:rsid w:val="00F929CD"/>
    <w:rsid w:val="00F929E6"/>
    <w:rsid w:val="00F93091"/>
    <w:rsid w:val="00F930F6"/>
    <w:rsid w:val="00F9310D"/>
    <w:rsid w:val="00F9332C"/>
    <w:rsid w:val="00F94000"/>
    <w:rsid w:val="00F9448D"/>
    <w:rsid w:val="00F9450A"/>
    <w:rsid w:val="00F946F3"/>
    <w:rsid w:val="00F94EE3"/>
    <w:rsid w:val="00F9543D"/>
    <w:rsid w:val="00F95651"/>
    <w:rsid w:val="00F95C84"/>
    <w:rsid w:val="00F96119"/>
    <w:rsid w:val="00F96573"/>
    <w:rsid w:val="00F9663F"/>
    <w:rsid w:val="00F96CAD"/>
    <w:rsid w:val="00F970F5"/>
    <w:rsid w:val="00F9753D"/>
    <w:rsid w:val="00F975AB"/>
    <w:rsid w:val="00F97B35"/>
    <w:rsid w:val="00F97BC5"/>
    <w:rsid w:val="00F97EDF"/>
    <w:rsid w:val="00FA027D"/>
    <w:rsid w:val="00FA0310"/>
    <w:rsid w:val="00FA07D6"/>
    <w:rsid w:val="00FA0819"/>
    <w:rsid w:val="00FA0A2E"/>
    <w:rsid w:val="00FA146D"/>
    <w:rsid w:val="00FA1494"/>
    <w:rsid w:val="00FA149E"/>
    <w:rsid w:val="00FA154A"/>
    <w:rsid w:val="00FA1A7C"/>
    <w:rsid w:val="00FA1B03"/>
    <w:rsid w:val="00FA1F91"/>
    <w:rsid w:val="00FA2748"/>
    <w:rsid w:val="00FA2B72"/>
    <w:rsid w:val="00FA2F00"/>
    <w:rsid w:val="00FA3512"/>
    <w:rsid w:val="00FA35C0"/>
    <w:rsid w:val="00FA3728"/>
    <w:rsid w:val="00FA3994"/>
    <w:rsid w:val="00FA3DBA"/>
    <w:rsid w:val="00FA3FBF"/>
    <w:rsid w:val="00FA4236"/>
    <w:rsid w:val="00FA4545"/>
    <w:rsid w:val="00FA48B5"/>
    <w:rsid w:val="00FA48BD"/>
    <w:rsid w:val="00FA49CB"/>
    <w:rsid w:val="00FA4C0B"/>
    <w:rsid w:val="00FA4DA2"/>
    <w:rsid w:val="00FA4DD6"/>
    <w:rsid w:val="00FA5B37"/>
    <w:rsid w:val="00FA5D0F"/>
    <w:rsid w:val="00FA5F05"/>
    <w:rsid w:val="00FA6B64"/>
    <w:rsid w:val="00FA71F4"/>
    <w:rsid w:val="00FA7697"/>
    <w:rsid w:val="00FA76E5"/>
    <w:rsid w:val="00FB0065"/>
    <w:rsid w:val="00FB0117"/>
    <w:rsid w:val="00FB01BA"/>
    <w:rsid w:val="00FB0211"/>
    <w:rsid w:val="00FB031B"/>
    <w:rsid w:val="00FB069C"/>
    <w:rsid w:val="00FB0A10"/>
    <w:rsid w:val="00FB1278"/>
    <w:rsid w:val="00FB1F8A"/>
    <w:rsid w:val="00FB235E"/>
    <w:rsid w:val="00FB27BF"/>
    <w:rsid w:val="00FB324A"/>
    <w:rsid w:val="00FB3967"/>
    <w:rsid w:val="00FB397D"/>
    <w:rsid w:val="00FB3A57"/>
    <w:rsid w:val="00FB3B62"/>
    <w:rsid w:val="00FB3C5C"/>
    <w:rsid w:val="00FB4091"/>
    <w:rsid w:val="00FB462A"/>
    <w:rsid w:val="00FB4B1B"/>
    <w:rsid w:val="00FB4D65"/>
    <w:rsid w:val="00FB4DA4"/>
    <w:rsid w:val="00FB5224"/>
    <w:rsid w:val="00FB54F7"/>
    <w:rsid w:val="00FB5F19"/>
    <w:rsid w:val="00FB6366"/>
    <w:rsid w:val="00FB647F"/>
    <w:rsid w:val="00FB6541"/>
    <w:rsid w:val="00FB6614"/>
    <w:rsid w:val="00FB6E17"/>
    <w:rsid w:val="00FB6EBA"/>
    <w:rsid w:val="00FB710F"/>
    <w:rsid w:val="00FB7136"/>
    <w:rsid w:val="00FB7150"/>
    <w:rsid w:val="00FB7234"/>
    <w:rsid w:val="00FB7806"/>
    <w:rsid w:val="00FB792E"/>
    <w:rsid w:val="00FC0608"/>
    <w:rsid w:val="00FC062F"/>
    <w:rsid w:val="00FC0F59"/>
    <w:rsid w:val="00FC131B"/>
    <w:rsid w:val="00FC1770"/>
    <w:rsid w:val="00FC1DAB"/>
    <w:rsid w:val="00FC1EBC"/>
    <w:rsid w:val="00FC2326"/>
    <w:rsid w:val="00FC243C"/>
    <w:rsid w:val="00FC2C0D"/>
    <w:rsid w:val="00FC3241"/>
    <w:rsid w:val="00FC3937"/>
    <w:rsid w:val="00FC3ACE"/>
    <w:rsid w:val="00FC49AF"/>
    <w:rsid w:val="00FC4E80"/>
    <w:rsid w:val="00FC5F2B"/>
    <w:rsid w:val="00FC60FA"/>
    <w:rsid w:val="00FC610B"/>
    <w:rsid w:val="00FC6E06"/>
    <w:rsid w:val="00FD06FB"/>
    <w:rsid w:val="00FD099C"/>
    <w:rsid w:val="00FD0AA4"/>
    <w:rsid w:val="00FD0E29"/>
    <w:rsid w:val="00FD0E43"/>
    <w:rsid w:val="00FD0EEF"/>
    <w:rsid w:val="00FD138C"/>
    <w:rsid w:val="00FD1AAC"/>
    <w:rsid w:val="00FD1CB7"/>
    <w:rsid w:val="00FD1D82"/>
    <w:rsid w:val="00FD1EFF"/>
    <w:rsid w:val="00FD2100"/>
    <w:rsid w:val="00FD2514"/>
    <w:rsid w:val="00FD267A"/>
    <w:rsid w:val="00FD3369"/>
    <w:rsid w:val="00FD37F7"/>
    <w:rsid w:val="00FD3951"/>
    <w:rsid w:val="00FD3997"/>
    <w:rsid w:val="00FD3A52"/>
    <w:rsid w:val="00FD3C6E"/>
    <w:rsid w:val="00FD4020"/>
    <w:rsid w:val="00FD411F"/>
    <w:rsid w:val="00FD4212"/>
    <w:rsid w:val="00FD4304"/>
    <w:rsid w:val="00FD43C6"/>
    <w:rsid w:val="00FD4424"/>
    <w:rsid w:val="00FD4E37"/>
    <w:rsid w:val="00FD4F30"/>
    <w:rsid w:val="00FD5245"/>
    <w:rsid w:val="00FD5913"/>
    <w:rsid w:val="00FD5C4B"/>
    <w:rsid w:val="00FD67E3"/>
    <w:rsid w:val="00FD6A1B"/>
    <w:rsid w:val="00FD6A57"/>
    <w:rsid w:val="00FD6B8B"/>
    <w:rsid w:val="00FD6C2C"/>
    <w:rsid w:val="00FD70A0"/>
    <w:rsid w:val="00FD74A2"/>
    <w:rsid w:val="00FD75FA"/>
    <w:rsid w:val="00FD7653"/>
    <w:rsid w:val="00FD7684"/>
    <w:rsid w:val="00FD7B8E"/>
    <w:rsid w:val="00FD7E1A"/>
    <w:rsid w:val="00FD7F96"/>
    <w:rsid w:val="00FE05B6"/>
    <w:rsid w:val="00FE05FD"/>
    <w:rsid w:val="00FE0A75"/>
    <w:rsid w:val="00FE0B36"/>
    <w:rsid w:val="00FE0BEF"/>
    <w:rsid w:val="00FE17A0"/>
    <w:rsid w:val="00FE1CB7"/>
    <w:rsid w:val="00FE1FDC"/>
    <w:rsid w:val="00FE2102"/>
    <w:rsid w:val="00FE2A79"/>
    <w:rsid w:val="00FE2F31"/>
    <w:rsid w:val="00FE318B"/>
    <w:rsid w:val="00FE3785"/>
    <w:rsid w:val="00FE3A67"/>
    <w:rsid w:val="00FE4D04"/>
    <w:rsid w:val="00FE5A07"/>
    <w:rsid w:val="00FE5D3F"/>
    <w:rsid w:val="00FE5E26"/>
    <w:rsid w:val="00FE5E38"/>
    <w:rsid w:val="00FE604B"/>
    <w:rsid w:val="00FE63EC"/>
    <w:rsid w:val="00FE685E"/>
    <w:rsid w:val="00FE6E64"/>
    <w:rsid w:val="00FE6F92"/>
    <w:rsid w:val="00FE7319"/>
    <w:rsid w:val="00FE73E9"/>
    <w:rsid w:val="00FE745A"/>
    <w:rsid w:val="00FE7DBE"/>
    <w:rsid w:val="00FE7F99"/>
    <w:rsid w:val="00FF0409"/>
    <w:rsid w:val="00FF081E"/>
    <w:rsid w:val="00FF0821"/>
    <w:rsid w:val="00FF09AF"/>
    <w:rsid w:val="00FF0F3A"/>
    <w:rsid w:val="00FF11E6"/>
    <w:rsid w:val="00FF1559"/>
    <w:rsid w:val="00FF18F9"/>
    <w:rsid w:val="00FF1A4D"/>
    <w:rsid w:val="00FF1CC5"/>
    <w:rsid w:val="00FF1D0D"/>
    <w:rsid w:val="00FF1E45"/>
    <w:rsid w:val="00FF1F21"/>
    <w:rsid w:val="00FF35CB"/>
    <w:rsid w:val="00FF35E4"/>
    <w:rsid w:val="00FF3E8F"/>
    <w:rsid w:val="00FF420A"/>
    <w:rsid w:val="00FF4F0B"/>
    <w:rsid w:val="00FF4F22"/>
    <w:rsid w:val="00FF52F4"/>
    <w:rsid w:val="00FF5362"/>
    <w:rsid w:val="00FF597D"/>
    <w:rsid w:val="00FF5B05"/>
    <w:rsid w:val="00FF5D76"/>
    <w:rsid w:val="00FF5E60"/>
    <w:rsid w:val="00FF611A"/>
    <w:rsid w:val="00FF618B"/>
    <w:rsid w:val="00FF6373"/>
    <w:rsid w:val="00FF6926"/>
    <w:rsid w:val="00FF6981"/>
    <w:rsid w:val="00FF6998"/>
    <w:rsid w:val="00FF6EAD"/>
    <w:rsid w:val="00FF7363"/>
    <w:rsid w:val="00FF7562"/>
    <w:rsid w:val="00FF7BFE"/>
    <w:rsid w:val="00FF7C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table of figures"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semiHidden="0" w:uiPriority="99" w:unhideWhenUsed="0"/>
    <w:lsdException w:name="No Spacing" w:semiHidden="0" w:uiPriority="1"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Normal">
    <w:name w:val="Normal"/>
    <w:qFormat/>
    <w:rsid w:val="001203B5"/>
    <w:pPr>
      <w:spacing w:after="120" w:line="276" w:lineRule="auto"/>
      <w:jc w:val="both"/>
    </w:pPr>
    <w:rPr>
      <w:rFonts w:ascii="Calibri" w:hAnsi="Calibri"/>
      <w:lang w:eastAsia="en-US"/>
    </w:rPr>
  </w:style>
  <w:style w:type="paragraph" w:styleId="Heading1">
    <w:name w:val="heading 1"/>
    <w:basedOn w:val="Normal"/>
    <w:next w:val="Normal"/>
    <w:link w:val="Heading1Char"/>
    <w:uiPriority w:val="99"/>
    <w:qFormat/>
    <w:rsid w:val="000B4FB1"/>
    <w:pPr>
      <w:keepNext/>
      <w:keepLines/>
      <w:numPr>
        <w:numId w:val="23"/>
      </w:numPr>
      <w:tabs>
        <w:tab w:val="left" w:pos="567"/>
      </w:tabs>
      <w:spacing w:before="480" w:after="240"/>
      <w:outlineLvl w:val="0"/>
    </w:pPr>
    <w:rPr>
      <w:rFonts w:ascii="Cambria" w:hAnsi="Cambria"/>
      <w:b/>
      <w:bCs/>
      <w:caps/>
      <w:noProof/>
      <w:color w:val="002060"/>
      <w:sz w:val="28"/>
      <w:szCs w:val="28"/>
      <w:lang w:eastAsia="en-AU"/>
    </w:rPr>
  </w:style>
  <w:style w:type="paragraph" w:styleId="Heading2">
    <w:name w:val="heading 2"/>
    <w:basedOn w:val="Normal"/>
    <w:next w:val="Normal"/>
    <w:link w:val="Heading2Char"/>
    <w:uiPriority w:val="9"/>
    <w:qFormat/>
    <w:rsid w:val="00D60032"/>
    <w:pPr>
      <w:keepNext/>
      <w:keepLines/>
      <w:numPr>
        <w:ilvl w:val="1"/>
        <w:numId w:val="23"/>
      </w:numPr>
      <w:tabs>
        <w:tab w:val="left" w:pos="1418"/>
      </w:tabs>
      <w:spacing w:before="240"/>
      <w:outlineLvl w:val="1"/>
    </w:pPr>
    <w:rPr>
      <w:rFonts w:ascii="Cambria" w:hAnsi="Cambria"/>
      <w:bCs/>
      <w:noProof/>
      <w:color w:val="002060"/>
      <w:sz w:val="28"/>
      <w:szCs w:val="26"/>
      <w:lang w:eastAsia="en-AU"/>
    </w:rPr>
  </w:style>
  <w:style w:type="paragraph" w:styleId="Heading3">
    <w:name w:val="heading 3"/>
    <w:basedOn w:val="Normal"/>
    <w:next w:val="Normal"/>
    <w:link w:val="Heading3Char"/>
    <w:uiPriority w:val="9"/>
    <w:qFormat/>
    <w:rsid w:val="00DB4EE8"/>
    <w:pPr>
      <w:keepNext/>
      <w:keepLines/>
      <w:spacing w:before="240"/>
      <w:outlineLvl w:val="2"/>
    </w:pPr>
    <w:rPr>
      <w:rFonts w:asciiTheme="majorHAnsi" w:hAnsiTheme="majorHAnsi" w:cs="Calibri"/>
      <w:bCs/>
      <w:color w:val="002060"/>
    </w:rPr>
  </w:style>
  <w:style w:type="paragraph" w:styleId="Heading4">
    <w:name w:val="heading 4"/>
    <w:basedOn w:val="Normal"/>
    <w:next w:val="Normal"/>
    <w:link w:val="Heading4Char"/>
    <w:qFormat/>
    <w:rsid w:val="006429F9"/>
    <w:pPr>
      <w:keepNext/>
      <w:keepLines/>
      <w:spacing w:before="200"/>
      <w:outlineLvl w:val="3"/>
    </w:pPr>
    <w:rPr>
      <w:rFonts w:ascii="Cambria" w:hAnsi="Cambria"/>
      <w:bCs/>
      <w:i/>
      <w:iCs/>
      <w:color w:val="365F91" w:themeColor="accent1" w:themeShade="BF"/>
    </w:rPr>
  </w:style>
  <w:style w:type="paragraph" w:styleId="Heading5">
    <w:name w:val="heading 5"/>
    <w:basedOn w:val="Normal"/>
    <w:next w:val="Normal"/>
    <w:link w:val="Heading5Char"/>
    <w:qFormat/>
    <w:rsid w:val="009975FD"/>
    <w:pPr>
      <w:keepNext/>
      <w:keepLines/>
      <w:tabs>
        <w:tab w:val="left" w:pos="1106"/>
      </w:tabs>
      <w:spacing w:before="200" w:line="240" w:lineRule="auto"/>
      <w:outlineLvl w:val="4"/>
    </w:pPr>
    <w:rPr>
      <w:rFonts w:ascii="Cambria" w:hAnsi="Cambria"/>
      <w:color w:val="243F60"/>
    </w:rPr>
  </w:style>
  <w:style w:type="paragraph" w:styleId="Heading6">
    <w:name w:val="heading 6"/>
    <w:basedOn w:val="Normal"/>
    <w:next w:val="Normal"/>
    <w:link w:val="Heading6Char"/>
    <w:qFormat/>
    <w:rsid w:val="004A7040"/>
    <w:pPr>
      <w:keepNext/>
      <w:keepLines/>
      <w:spacing w:before="200"/>
      <w:outlineLvl w:val="5"/>
    </w:pPr>
    <w:rPr>
      <w:rFonts w:ascii="Cambria" w:hAnsi="Cambria"/>
      <w:i/>
      <w:iCs/>
      <w:color w:val="243F60"/>
    </w:rPr>
  </w:style>
  <w:style w:type="paragraph" w:styleId="Heading7">
    <w:name w:val="heading 7"/>
    <w:basedOn w:val="Normal"/>
    <w:next w:val="Normal"/>
    <w:link w:val="Heading7Char"/>
    <w:qFormat/>
    <w:rsid w:val="004A7040"/>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4A7040"/>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rsid w:val="004A7040"/>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B4FB1"/>
    <w:rPr>
      <w:rFonts w:ascii="Cambria" w:hAnsi="Cambria"/>
      <w:b/>
      <w:bCs/>
      <w:caps/>
      <w:noProof/>
      <w:color w:val="002060"/>
      <w:sz w:val="28"/>
      <w:szCs w:val="28"/>
    </w:rPr>
  </w:style>
  <w:style w:type="character" w:customStyle="1" w:styleId="Heading2Char">
    <w:name w:val="Heading 2 Char"/>
    <w:basedOn w:val="DefaultParagraphFont"/>
    <w:link w:val="Heading2"/>
    <w:uiPriority w:val="9"/>
    <w:rsid w:val="00D60032"/>
    <w:rPr>
      <w:rFonts w:ascii="Cambria" w:hAnsi="Cambria"/>
      <w:bCs/>
      <w:noProof/>
      <w:color w:val="002060"/>
      <w:sz w:val="28"/>
      <w:szCs w:val="26"/>
    </w:rPr>
  </w:style>
  <w:style w:type="character" w:customStyle="1" w:styleId="Heading3Char">
    <w:name w:val="Heading 3 Char"/>
    <w:basedOn w:val="DefaultParagraphFont"/>
    <w:link w:val="Heading3"/>
    <w:uiPriority w:val="9"/>
    <w:rsid w:val="00DB4EE8"/>
    <w:rPr>
      <w:rFonts w:asciiTheme="majorHAnsi" w:hAnsiTheme="majorHAnsi" w:cs="Calibri"/>
      <w:bCs/>
      <w:color w:val="002060"/>
      <w:lang w:eastAsia="en-US"/>
    </w:rPr>
  </w:style>
  <w:style w:type="character" w:customStyle="1" w:styleId="Heading4Char">
    <w:name w:val="Heading 4 Char"/>
    <w:basedOn w:val="DefaultParagraphFont"/>
    <w:link w:val="Heading4"/>
    <w:rsid w:val="006429F9"/>
    <w:rPr>
      <w:rFonts w:ascii="Cambria" w:hAnsi="Cambria"/>
      <w:bCs/>
      <w:i/>
      <w:iCs/>
      <w:color w:val="365F91" w:themeColor="accent1" w:themeShade="BF"/>
      <w:lang w:eastAsia="en-US"/>
    </w:rPr>
  </w:style>
  <w:style w:type="character" w:customStyle="1" w:styleId="Heading5Char">
    <w:name w:val="Heading 5 Char"/>
    <w:basedOn w:val="DefaultParagraphFont"/>
    <w:link w:val="Heading5"/>
    <w:rsid w:val="009975FD"/>
    <w:rPr>
      <w:rFonts w:ascii="Cambria" w:hAnsi="Cambria"/>
      <w:color w:val="243F60"/>
      <w:sz w:val="24"/>
      <w:szCs w:val="24"/>
      <w:lang w:eastAsia="en-US"/>
    </w:rPr>
  </w:style>
  <w:style w:type="character" w:customStyle="1" w:styleId="Heading6Char">
    <w:name w:val="Heading 6 Char"/>
    <w:basedOn w:val="DefaultParagraphFont"/>
    <w:link w:val="Heading6"/>
    <w:rsid w:val="004A7040"/>
    <w:rPr>
      <w:rFonts w:ascii="Cambria" w:hAnsi="Cambria"/>
      <w:i/>
      <w:iCs/>
      <w:color w:val="243F60"/>
      <w:sz w:val="24"/>
      <w:szCs w:val="24"/>
      <w:lang w:eastAsia="en-US"/>
    </w:rPr>
  </w:style>
  <w:style w:type="character" w:customStyle="1" w:styleId="Heading7Char">
    <w:name w:val="Heading 7 Char"/>
    <w:basedOn w:val="DefaultParagraphFont"/>
    <w:link w:val="Heading7"/>
    <w:rsid w:val="004A7040"/>
    <w:rPr>
      <w:rFonts w:ascii="Cambria" w:hAnsi="Cambria"/>
      <w:i/>
      <w:iCs/>
      <w:color w:val="404040"/>
      <w:sz w:val="24"/>
      <w:szCs w:val="24"/>
      <w:lang w:eastAsia="en-US"/>
    </w:rPr>
  </w:style>
  <w:style w:type="character" w:customStyle="1" w:styleId="Heading8Char">
    <w:name w:val="Heading 8 Char"/>
    <w:basedOn w:val="DefaultParagraphFont"/>
    <w:link w:val="Heading8"/>
    <w:rsid w:val="004A7040"/>
    <w:rPr>
      <w:rFonts w:ascii="Cambria" w:hAnsi="Cambria"/>
      <w:color w:val="404040"/>
      <w:lang w:eastAsia="en-US"/>
    </w:rPr>
  </w:style>
  <w:style w:type="character" w:customStyle="1" w:styleId="Heading9Char">
    <w:name w:val="Heading 9 Char"/>
    <w:basedOn w:val="DefaultParagraphFont"/>
    <w:link w:val="Heading9"/>
    <w:rsid w:val="004A7040"/>
    <w:rPr>
      <w:rFonts w:ascii="Cambria" w:hAnsi="Cambria"/>
      <w:i/>
      <w:iCs/>
      <w:color w:val="404040"/>
      <w:lang w:eastAsia="en-US"/>
    </w:rPr>
  </w:style>
  <w:style w:type="paragraph" w:customStyle="1" w:styleId="Default">
    <w:name w:val="Default"/>
    <w:link w:val="DefaultChar"/>
    <w:rsid w:val="00E62C9A"/>
    <w:pPr>
      <w:autoSpaceDE w:val="0"/>
      <w:autoSpaceDN w:val="0"/>
      <w:adjustRightInd w:val="0"/>
    </w:pPr>
    <w:rPr>
      <w:color w:val="000000"/>
    </w:rPr>
  </w:style>
  <w:style w:type="paragraph" w:customStyle="1" w:styleId="Style1">
    <w:name w:val="Style 1"/>
    <w:rsid w:val="006F6BC5"/>
    <w:pPr>
      <w:widowControl w:val="0"/>
      <w:autoSpaceDE w:val="0"/>
      <w:autoSpaceDN w:val="0"/>
      <w:adjustRightInd w:val="0"/>
    </w:pPr>
    <w:rPr>
      <w:lang w:val="en-US"/>
    </w:rPr>
  </w:style>
  <w:style w:type="paragraph" w:styleId="Caption">
    <w:name w:val="caption"/>
    <w:aliases w:val="Table and Figure name,Caption Char2 Char,Caption Char Char Char2,Caption Char1 Char Char Char1,Caption Char2 Char Char Char1 Char1,Caption Char Char1 Char Char Char1 Char1,Caption Char1 Char Char Char Char Char Char,Caption Char Char1"/>
    <w:basedOn w:val="Normal"/>
    <w:next w:val="Normal"/>
    <w:link w:val="CaptionChar"/>
    <w:qFormat/>
    <w:rsid w:val="001203B5"/>
    <w:pPr>
      <w:tabs>
        <w:tab w:val="left" w:pos="851"/>
      </w:tabs>
      <w:spacing w:before="240" w:after="160"/>
    </w:pPr>
    <w:rPr>
      <w:rFonts w:ascii="Cambria" w:hAnsi="Cambria"/>
      <w:bCs/>
      <w:color w:val="1F497D"/>
      <w:szCs w:val="18"/>
    </w:rPr>
  </w:style>
  <w:style w:type="paragraph" w:styleId="Title">
    <w:name w:val="Title"/>
    <w:basedOn w:val="Normal"/>
    <w:link w:val="TitleChar"/>
    <w:qFormat/>
    <w:rsid w:val="001203B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1203B5"/>
    <w:rPr>
      <w:rFonts w:ascii="Cambria" w:hAnsi="Cambria"/>
      <w:color w:val="17365D"/>
      <w:spacing w:val="5"/>
      <w:kern w:val="28"/>
      <w:sz w:val="52"/>
      <w:szCs w:val="52"/>
      <w:lang w:eastAsia="en-US"/>
    </w:rPr>
  </w:style>
  <w:style w:type="paragraph" w:styleId="Quote">
    <w:name w:val="Quote"/>
    <w:basedOn w:val="Normal"/>
    <w:link w:val="QuoteChar"/>
    <w:qFormat/>
    <w:rsid w:val="004A7040"/>
    <w:rPr>
      <w:i/>
      <w:iCs/>
      <w:color w:val="000000"/>
    </w:rPr>
  </w:style>
  <w:style w:type="character" w:customStyle="1" w:styleId="QuoteChar">
    <w:name w:val="Quote Char"/>
    <w:basedOn w:val="DefaultParagraphFont"/>
    <w:link w:val="Quote"/>
    <w:uiPriority w:val="29"/>
    <w:rsid w:val="004A7040"/>
    <w:rPr>
      <w:i/>
      <w:iCs/>
      <w:color w:val="000000"/>
      <w:sz w:val="24"/>
      <w:szCs w:val="24"/>
      <w:lang w:eastAsia="en-US"/>
    </w:rPr>
  </w:style>
  <w:style w:type="character" w:styleId="Hyperlink">
    <w:name w:val="Hyperlink"/>
    <w:basedOn w:val="DefaultParagraphFont"/>
    <w:uiPriority w:val="99"/>
    <w:rsid w:val="006F6BC5"/>
    <w:rPr>
      <w:color w:val="0000FF"/>
      <w:u w:val="single"/>
    </w:rPr>
  </w:style>
  <w:style w:type="paragraph" w:styleId="Header">
    <w:name w:val="header"/>
    <w:basedOn w:val="Normal"/>
    <w:link w:val="HeaderChar"/>
    <w:rsid w:val="006F6BC5"/>
    <w:pPr>
      <w:tabs>
        <w:tab w:val="center" w:pos="4153"/>
        <w:tab w:val="right" w:pos="8306"/>
      </w:tabs>
    </w:pPr>
    <w:rPr>
      <w:lang w:val="en-US"/>
    </w:rPr>
  </w:style>
  <w:style w:type="character" w:customStyle="1" w:styleId="HeaderChar">
    <w:name w:val="Header Char"/>
    <w:basedOn w:val="DefaultParagraphFont"/>
    <w:link w:val="Header"/>
    <w:rsid w:val="006F6BC5"/>
    <w:rPr>
      <w:sz w:val="24"/>
      <w:szCs w:val="24"/>
      <w:lang w:val="en-US" w:eastAsia="en-US"/>
    </w:rPr>
  </w:style>
  <w:style w:type="paragraph" w:styleId="TOC2">
    <w:name w:val="toc 2"/>
    <w:basedOn w:val="Normal"/>
    <w:next w:val="Normal"/>
    <w:autoRedefine/>
    <w:uiPriority w:val="39"/>
    <w:qFormat/>
    <w:rsid w:val="00CE6EAE"/>
    <w:pPr>
      <w:spacing w:after="0"/>
      <w:ind w:left="240"/>
      <w:jc w:val="left"/>
    </w:pPr>
    <w:rPr>
      <w:rFonts w:asciiTheme="minorHAnsi" w:hAnsiTheme="minorHAnsi"/>
      <w:smallCaps/>
      <w:sz w:val="20"/>
      <w:szCs w:val="20"/>
    </w:rPr>
  </w:style>
  <w:style w:type="paragraph" w:styleId="TOC1">
    <w:name w:val="toc 1"/>
    <w:basedOn w:val="Normal"/>
    <w:next w:val="Normal"/>
    <w:autoRedefine/>
    <w:uiPriority w:val="39"/>
    <w:qFormat/>
    <w:rsid w:val="00847A6D"/>
    <w:pPr>
      <w:tabs>
        <w:tab w:val="left" w:pos="709"/>
        <w:tab w:val="left" w:pos="1276"/>
        <w:tab w:val="right" w:leader="dot" w:pos="9040"/>
      </w:tabs>
      <w:spacing w:before="120"/>
      <w:ind w:left="1276" w:hanging="1134"/>
      <w:jc w:val="left"/>
    </w:pPr>
    <w:rPr>
      <w:rFonts w:asciiTheme="minorHAnsi" w:hAnsiTheme="minorHAnsi"/>
      <w:b/>
      <w:bCs/>
      <w:caps/>
      <w:sz w:val="20"/>
      <w:szCs w:val="20"/>
    </w:rPr>
  </w:style>
  <w:style w:type="paragraph" w:styleId="TOC3">
    <w:name w:val="toc 3"/>
    <w:basedOn w:val="Normal"/>
    <w:next w:val="Normal"/>
    <w:autoRedefine/>
    <w:uiPriority w:val="39"/>
    <w:qFormat/>
    <w:rsid w:val="00F403AD"/>
    <w:pPr>
      <w:spacing w:after="0"/>
      <w:ind w:left="480"/>
      <w:jc w:val="left"/>
    </w:pPr>
    <w:rPr>
      <w:rFonts w:asciiTheme="minorHAnsi" w:hAnsiTheme="minorHAnsi"/>
      <w:i/>
      <w:iCs/>
      <w:sz w:val="20"/>
      <w:szCs w:val="20"/>
    </w:rPr>
  </w:style>
  <w:style w:type="paragraph" w:styleId="Footer">
    <w:name w:val="footer"/>
    <w:basedOn w:val="Normal"/>
    <w:link w:val="FooterChar"/>
    <w:uiPriority w:val="99"/>
    <w:rsid w:val="000517FC"/>
    <w:pPr>
      <w:tabs>
        <w:tab w:val="center" w:pos="4513"/>
        <w:tab w:val="right" w:pos="9026"/>
      </w:tabs>
    </w:pPr>
  </w:style>
  <w:style w:type="character" w:customStyle="1" w:styleId="FooterChar">
    <w:name w:val="Footer Char"/>
    <w:basedOn w:val="DefaultParagraphFont"/>
    <w:link w:val="Footer"/>
    <w:uiPriority w:val="99"/>
    <w:rsid w:val="000517FC"/>
    <w:rPr>
      <w:sz w:val="24"/>
      <w:szCs w:val="24"/>
      <w:lang w:eastAsia="en-US"/>
    </w:rPr>
  </w:style>
  <w:style w:type="paragraph" w:styleId="BalloonText">
    <w:name w:val="Balloon Text"/>
    <w:basedOn w:val="Normal"/>
    <w:link w:val="BalloonTextChar"/>
    <w:uiPriority w:val="99"/>
    <w:rsid w:val="000517FC"/>
    <w:rPr>
      <w:rFonts w:ascii="Tahoma" w:hAnsi="Tahoma" w:cs="Tahoma"/>
      <w:sz w:val="16"/>
      <w:szCs w:val="16"/>
    </w:rPr>
  </w:style>
  <w:style w:type="character" w:customStyle="1" w:styleId="BalloonTextChar">
    <w:name w:val="Balloon Text Char"/>
    <w:basedOn w:val="DefaultParagraphFont"/>
    <w:link w:val="BalloonText"/>
    <w:uiPriority w:val="99"/>
    <w:rsid w:val="000517FC"/>
    <w:rPr>
      <w:rFonts w:ascii="Tahoma" w:hAnsi="Tahoma" w:cs="Tahoma"/>
      <w:sz w:val="16"/>
      <w:szCs w:val="16"/>
      <w:lang w:eastAsia="en-US"/>
    </w:rPr>
  </w:style>
  <w:style w:type="paragraph" w:styleId="NoSpacing">
    <w:name w:val="No Spacing"/>
    <w:link w:val="NoSpacingChar"/>
    <w:uiPriority w:val="1"/>
    <w:rsid w:val="000517FC"/>
    <w:rPr>
      <w:rFonts w:ascii="Calibri" w:hAnsi="Calibri"/>
      <w:sz w:val="22"/>
      <w:szCs w:val="22"/>
      <w:lang w:val="en-US" w:eastAsia="en-US"/>
    </w:rPr>
  </w:style>
  <w:style w:type="character" w:customStyle="1" w:styleId="NoSpacingChar">
    <w:name w:val="No Spacing Char"/>
    <w:basedOn w:val="DefaultParagraphFont"/>
    <w:link w:val="NoSpacing"/>
    <w:uiPriority w:val="1"/>
    <w:rsid w:val="000517FC"/>
    <w:rPr>
      <w:rFonts w:ascii="Calibri" w:hAnsi="Calibri"/>
      <w:sz w:val="22"/>
      <w:szCs w:val="22"/>
      <w:lang w:val="en-US" w:eastAsia="en-US" w:bidi="ar-SA"/>
    </w:rPr>
  </w:style>
  <w:style w:type="paragraph" w:styleId="FootnoteText">
    <w:name w:val="footnote text"/>
    <w:basedOn w:val="Normal"/>
    <w:link w:val="FootnoteTextChar"/>
    <w:uiPriority w:val="99"/>
    <w:rsid w:val="00F02B99"/>
    <w:rPr>
      <w:sz w:val="20"/>
      <w:szCs w:val="20"/>
    </w:rPr>
  </w:style>
  <w:style w:type="character" w:customStyle="1" w:styleId="FootnoteTextChar">
    <w:name w:val="Footnote Text Char"/>
    <w:basedOn w:val="DefaultParagraphFont"/>
    <w:link w:val="FootnoteText"/>
    <w:uiPriority w:val="99"/>
    <w:rsid w:val="00F02B99"/>
    <w:rPr>
      <w:lang w:eastAsia="en-US"/>
    </w:rPr>
  </w:style>
  <w:style w:type="character" w:styleId="FootnoteReference">
    <w:name w:val="footnote reference"/>
    <w:basedOn w:val="DefaultParagraphFont"/>
    <w:uiPriority w:val="99"/>
    <w:rsid w:val="00F02B99"/>
    <w:rPr>
      <w:vertAlign w:val="superscript"/>
    </w:rPr>
  </w:style>
  <w:style w:type="character" w:styleId="CommentReference">
    <w:name w:val="annotation reference"/>
    <w:basedOn w:val="DefaultParagraphFont"/>
    <w:uiPriority w:val="99"/>
    <w:rsid w:val="00487D0F"/>
    <w:rPr>
      <w:sz w:val="16"/>
      <w:szCs w:val="16"/>
    </w:rPr>
  </w:style>
  <w:style w:type="paragraph" w:styleId="CommentText">
    <w:name w:val="annotation text"/>
    <w:basedOn w:val="Normal"/>
    <w:link w:val="CommentTextChar"/>
    <w:rsid w:val="00487D0F"/>
    <w:rPr>
      <w:sz w:val="20"/>
      <w:szCs w:val="20"/>
    </w:rPr>
  </w:style>
  <w:style w:type="character" w:customStyle="1" w:styleId="CommentTextChar">
    <w:name w:val="Comment Text Char"/>
    <w:basedOn w:val="DefaultParagraphFont"/>
    <w:link w:val="CommentText"/>
    <w:rsid w:val="00487D0F"/>
    <w:rPr>
      <w:lang w:eastAsia="en-US"/>
    </w:rPr>
  </w:style>
  <w:style w:type="paragraph" w:styleId="CommentSubject">
    <w:name w:val="annotation subject"/>
    <w:basedOn w:val="CommentText"/>
    <w:next w:val="CommentText"/>
    <w:link w:val="CommentSubjectChar"/>
    <w:uiPriority w:val="99"/>
    <w:rsid w:val="00487D0F"/>
    <w:rPr>
      <w:b/>
      <w:bCs/>
    </w:rPr>
  </w:style>
  <w:style w:type="character" w:customStyle="1" w:styleId="CommentSubjectChar">
    <w:name w:val="Comment Subject Char"/>
    <w:basedOn w:val="CommentTextChar"/>
    <w:link w:val="CommentSubject"/>
    <w:uiPriority w:val="99"/>
    <w:rsid w:val="00487D0F"/>
    <w:rPr>
      <w:b/>
      <w:bCs/>
      <w:lang w:eastAsia="en-US"/>
    </w:rPr>
  </w:style>
  <w:style w:type="paragraph" w:styleId="BodyTextIndent">
    <w:name w:val="Body Text Indent"/>
    <w:basedOn w:val="Normal"/>
    <w:link w:val="BodyTextIndentChar"/>
    <w:rsid w:val="00487D0F"/>
    <w:pPr>
      <w:spacing w:after="240"/>
      <w:ind w:left="720"/>
    </w:pPr>
    <w:rPr>
      <w:rFonts w:ascii="Garamond" w:hAnsi="Garamond"/>
      <w:sz w:val="22"/>
      <w:szCs w:val="20"/>
      <w:lang w:bidi="en-US"/>
    </w:rPr>
  </w:style>
  <w:style w:type="character" w:customStyle="1" w:styleId="BodyTextIndentChar">
    <w:name w:val="Body Text Indent Char"/>
    <w:basedOn w:val="DefaultParagraphFont"/>
    <w:link w:val="BodyTextIndent"/>
    <w:rsid w:val="00487D0F"/>
    <w:rPr>
      <w:rFonts w:ascii="Garamond" w:eastAsia="Times New Roman" w:hAnsi="Garamond" w:cs="Times New Roman"/>
      <w:sz w:val="22"/>
      <w:lang w:eastAsia="en-US" w:bidi="en-US"/>
    </w:rPr>
  </w:style>
  <w:style w:type="paragraph" w:styleId="ListParagraph">
    <w:name w:val="List Paragraph"/>
    <w:basedOn w:val="Normal"/>
    <w:uiPriority w:val="34"/>
    <w:qFormat/>
    <w:rsid w:val="00DD722F"/>
    <w:pPr>
      <w:numPr>
        <w:numId w:val="24"/>
      </w:numPr>
      <w:autoSpaceDE w:val="0"/>
      <w:autoSpaceDN w:val="0"/>
      <w:adjustRightInd w:val="0"/>
      <w:spacing w:line="240" w:lineRule="auto"/>
    </w:pPr>
    <w:rPr>
      <w:rFonts w:eastAsia="Calibri"/>
      <w:szCs w:val="22"/>
    </w:rPr>
  </w:style>
  <w:style w:type="paragraph" w:customStyle="1" w:styleId="Heading20">
    <w:name w:val="Heading2"/>
    <w:basedOn w:val="Default"/>
    <w:rsid w:val="00007B8B"/>
    <w:pPr>
      <w:spacing w:after="120"/>
    </w:pPr>
    <w:rPr>
      <w:rFonts w:ascii="Cambria" w:hAnsi="Cambria"/>
      <w:color w:val="1F497D"/>
      <w:sz w:val="28"/>
      <w:szCs w:val="20"/>
    </w:rPr>
  </w:style>
  <w:style w:type="paragraph" w:styleId="NormalWeb">
    <w:name w:val="Normal (Web)"/>
    <w:basedOn w:val="Normal"/>
    <w:uiPriority w:val="99"/>
    <w:unhideWhenUsed/>
    <w:rsid w:val="007671A1"/>
    <w:pPr>
      <w:spacing w:before="100" w:beforeAutospacing="1" w:after="100" w:afterAutospacing="1"/>
    </w:pPr>
    <w:rPr>
      <w:lang w:eastAsia="en-AU"/>
    </w:rPr>
  </w:style>
  <w:style w:type="character" w:styleId="Strong">
    <w:name w:val="Strong"/>
    <w:basedOn w:val="DefaultParagraphFont"/>
    <w:uiPriority w:val="22"/>
    <w:qFormat/>
    <w:rsid w:val="00030304"/>
    <w:rPr>
      <w:b/>
      <w:bCs/>
    </w:rPr>
  </w:style>
  <w:style w:type="character" w:customStyle="1" w:styleId="highlight">
    <w:name w:val="highlight"/>
    <w:basedOn w:val="DefaultParagraphFont"/>
    <w:rsid w:val="00030304"/>
  </w:style>
  <w:style w:type="paragraph" w:styleId="PlainText">
    <w:name w:val="Plain Text"/>
    <w:basedOn w:val="Normal"/>
    <w:link w:val="PlainTextChar"/>
    <w:uiPriority w:val="99"/>
    <w:unhideWhenUsed/>
    <w:rsid w:val="00944106"/>
    <w:rPr>
      <w:rFonts w:ascii="Arial Narrow" w:eastAsia="Calibri" w:hAnsi="Arial Narrow"/>
      <w:szCs w:val="21"/>
    </w:rPr>
  </w:style>
  <w:style w:type="character" w:customStyle="1" w:styleId="PlainTextChar">
    <w:name w:val="Plain Text Char"/>
    <w:basedOn w:val="DefaultParagraphFont"/>
    <w:link w:val="PlainText"/>
    <w:uiPriority w:val="99"/>
    <w:rsid w:val="00944106"/>
    <w:rPr>
      <w:rFonts w:ascii="Arial Narrow" w:eastAsia="Calibri" w:hAnsi="Arial Narrow" w:cs="Times New Roman"/>
      <w:sz w:val="24"/>
      <w:szCs w:val="21"/>
      <w:lang w:eastAsia="en-US"/>
    </w:rPr>
  </w:style>
  <w:style w:type="character" w:customStyle="1" w:styleId="kword">
    <w:name w:val="k_word"/>
    <w:basedOn w:val="DefaultParagraphFont"/>
    <w:rsid w:val="000E0475"/>
  </w:style>
  <w:style w:type="character" w:customStyle="1" w:styleId="highlightedsearchterm">
    <w:name w:val="highlightedsearchterm"/>
    <w:basedOn w:val="DefaultParagraphFont"/>
    <w:rsid w:val="00220761"/>
  </w:style>
  <w:style w:type="table" w:styleId="TableGrid">
    <w:name w:val="Table Grid"/>
    <w:basedOn w:val="TableNormal"/>
    <w:uiPriority w:val="59"/>
    <w:rsid w:val="00832A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Text"/>
    <w:basedOn w:val="Normal"/>
    <w:link w:val="TableTextChar"/>
    <w:rsid w:val="00D85F8D"/>
    <w:pPr>
      <w:keepNext/>
      <w:spacing w:before="40" w:after="40"/>
    </w:pPr>
    <w:rPr>
      <w:rFonts w:ascii="Arial Narrow" w:hAnsi="Arial Narrow"/>
      <w:sz w:val="18"/>
      <w:szCs w:val="20"/>
      <w:lang w:eastAsia="en-AU"/>
    </w:rPr>
  </w:style>
  <w:style w:type="paragraph" w:customStyle="1" w:styleId="TableHeading">
    <w:name w:val="TableHeading"/>
    <w:basedOn w:val="TableText"/>
    <w:link w:val="TableHeadingChar"/>
    <w:qFormat/>
    <w:rsid w:val="0065669A"/>
    <w:pPr>
      <w:jc w:val="left"/>
    </w:pPr>
    <w:rPr>
      <w:b/>
      <w:sz w:val="20"/>
    </w:rPr>
  </w:style>
  <w:style w:type="paragraph" w:customStyle="1" w:styleId="TableName">
    <w:name w:val="TableName"/>
    <w:basedOn w:val="TableText"/>
    <w:link w:val="TableNameChar"/>
    <w:rsid w:val="00D85F8D"/>
    <w:pPr>
      <w:spacing w:before="120" w:after="120"/>
      <w:ind w:left="1800" w:hanging="1080"/>
    </w:pPr>
    <w:rPr>
      <w:b/>
      <w:sz w:val="20"/>
    </w:rPr>
  </w:style>
  <w:style w:type="character" w:customStyle="1" w:styleId="TableNameChar">
    <w:name w:val="TableName Char"/>
    <w:basedOn w:val="DefaultParagraphFont"/>
    <w:link w:val="TableName"/>
    <w:rsid w:val="00D85F8D"/>
    <w:rPr>
      <w:rFonts w:ascii="Arial Narrow" w:hAnsi="Arial Narrow"/>
      <w:b/>
    </w:rPr>
  </w:style>
  <w:style w:type="paragraph" w:customStyle="1" w:styleId="TableNotes">
    <w:name w:val="TableNotes"/>
    <w:basedOn w:val="TableText"/>
    <w:link w:val="TableNotesChar"/>
    <w:rsid w:val="00D85F8D"/>
    <w:pPr>
      <w:keepNext w:val="0"/>
      <w:keepLines/>
      <w:spacing w:before="0" w:after="360"/>
      <w:ind w:left="1440" w:hanging="720"/>
    </w:pPr>
    <w:rPr>
      <w:sz w:val="16"/>
    </w:rPr>
  </w:style>
  <w:style w:type="character" w:customStyle="1" w:styleId="TableNotesChar">
    <w:name w:val="TableNotes Char"/>
    <w:basedOn w:val="DefaultParagraphFont"/>
    <w:link w:val="TableNotes"/>
    <w:rsid w:val="00D85F8D"/>
    <w:rPr>
      <w:rFonts w:ascii="Arial Narrow" w:hAnsi="Arial Narrow"/>
      <w:sz w:val="16"/>
    </w:rPr>
  </w:style>
  <w:style w:type="paragraph" w:styleId="BodyText">
    <w:name w:val="Body Text"/>
    <w:basedOn w:val="Normal"/>
    <w:link w:val="BodyTextChar"/>
    <w:rsid w:val="00A70A35"/>
    <w:rPr>
      <w:rFonts w:ascii="Helv" w:hAnsi="Helv"/>
      <w:b/>
      <w:i/>
      <w:snapToGrid w:val="0"/>
      <w:color w:val="000000"/>
      <w:sz w:val="28"/>
      <w:szCs w:val="20"/>
    </w:rPr>
  </w:style>
  <w:style w:type="character" w:customStyle="1" w:styleId="BodyTextChar">
    <w:name w:val="Body Text Char"/>
    <w:basedOn w:val="DefaultParagraphFont"/>
    <w:link w:val="BodyText"/>
    <w:rsid w:val="00A70A35"/>
    <w:rPr>
      <w:rFonts w:ascii="Helv" w:hAnsi="Helv"/>
      <w:b/>
      <w:i/>
      <w:snapToGrid w:val="0"/>
      <w:color w:val="000000"/>
      <w:sz w:val="28"/>
      <w:lang w:eastAsia="en-US"/>
    </w:rPr>
  </w:style>
  <w:style w:type="paragraph" w:customStyle="1" w:styleId="Bullet">
    <w:name w:val="Bullet"/>
    <w:basedOn w:val="Normal"/>
    <w:qFormat/>
    <w:rsid w:val="00A70A35"/>
    <w:pPr>
      <w:numPr>
        <w:numId w:val="1"/>
      </w:numPr>
      <w:spacing w:after="240"/>
    </w:pPr>
    <w:rPr>
      <w:rFonts w:ascii="Garamond" w:hAnsi="Garamond"/>
      <w:szCs w:val="20"/>
      <w:lang w:eastAsia="en-AU"/>
    </w:rPr>
  </w:style>
  <w:style w:type="paragraph" w:styleId="Date">
    <w:name w:val="Date"/>
    <w:basedOn w:val="Normal"/>
    <w:next w:val="Normal"/>
    <w:link w:val="DateChar"/>
    <w:rsid w:val="00A70A35"/>
    <w:pPr>
      <w:spacing w:after="240"/>
      <w:ind w:left="720" w:right="113"/>
      <w:jc w:val="right"/>
    </w:pPr>
    <w:rPr>
      <w:rFonts w:ascii="Arial" w:hAnsi="Arial"/>
      <w:b/>
      <w:sz w:val="36"/>
      <w:szCs w:val="20"/>
      <w:lang w:eastAsia="en-AU"/>
    </w:rPr>
  </w:style>
  <w:style w:type="character" w:customStyle="1" w:styleId="DateChar">
    <w:name w:val="Date Char"/>
    <w:basedOn w:val="DefaultParagraphFont"/>
    <w:link w:val="Date"/>
    <w:rsid w:val="00A70A35"/>
    <w:rPr>
      <w:rFonts w:ascii="Arial" w:hAnsi="Arial"/>
      <w:b/>
      <w:sz w:val="36"/>
    </w:rPr>
  </w:style>
  <w:style w:type="paragraph" w:customStyle="1" w:styleId="Heading1a0">
    <w:name w:val="Heading 1a"/>
    <w:basedOn w:val="Heading1"/>
    <w:rsid w:val="00A70A35"/>
    <w:pPr>
      <w:keepLines w:val="0"/>
      <w:pageBreakBefore/>
      <w:pBdr>
        <w:bottom w:val="single" w:sz="4" w:space="1" w:color="auto"/>
      </w:pBdr>
      <w:spacing w:before="0" w:after="360"/>
      <w:ind w:left="720"/>
      <w:outlineLvl w:val="9"/>
    </w:pPr>
    <w:rPr>
      <w:rFonts w:ascii="Tahoma" w:hAnsi="Tahoma"/>
      <w:bCs w:val="0"/>
      <w:color w:val="auto"/>
      <w:sz w:val="40"/>
      <w:szCs w:val="20"/>
    </w:rPr>
  </w:style>
  <w:style w:type="paragraph" w:customStyle="1" w:styleId="Heading2a">
    <w:name w:val="Heading 2a"/>
    <w:basedOn w:val="Heading2"/>
    <w:rsid w:val="00BF5601"/>
    <w:pPr>
      <w:keepLines w:val="0"/>
      <w:spacing w:after="240"/>
      <w:outlineLvl w:val="9"/>
    </w:pPr>
    <w:rPr>
      <w:rFonts w:ascii="Tahoma" w:hAnsi="Tahoma"/>
      <w:bCs w:val="0"/>
      <w:color w:val="auto"/>
      <w:szCs w:val="20"/>
    </w:rPr>
  </w:style>
  <w:style w:type="paragraph" w:customStyle="1" w:styleId="Heading3a">
    <w:name w:val="Heading 3a"/>
    <w:basedOn w:val="Heading3"/>
    <w:rsid w:val="00BF5601"/>
    <w:pPr>
      <w:keepLines w:val="0"/>
      <w:spacing w:after="240"/>
      <w:outlineLvl w:val="9"/>
    </w:pPr>
    <w:rPr>
      <w:b/>
      <w:bCs w:val="0"/>
      <w:color w:val="auto"/>
      <w:szCs w:val="20"/>
      <w:lang w:eastAsia="en-AU"/>
    </w:rPr>
  </w:style>
  <w:style w:type="character" w:styleId="PageNumber">
    <w:name w:val="page number"/>
    <w:basedOn w:val="DefaultParagraphFont"/>
    <w:rsid w:val="00A70A35"/>
    <w:rPr>
      <w:rFonts w:ascii="Tahoma" w:hAnsi="Tahoma"/>
      <w:b/>
      <w:sz w:val="18"/>
    </w:rPr>
  </w:style>
  <w:style w:type="paragraph" w:customStyle="1" w:styleId="PublicationTitle">
    <w:name w:val="PublicationTitle"/>
    <w:basedOn w:val="Normal"/>
    <w:rsid w:val="00A70A35"/>
    <w:pPr>
      <w:spacing w:after="240" w:line="480" w:lineRule="exact"/>
      <w:ind w:right="113"/>
      <w:jc w:val="right"/>
    </w:pPr>
    <w:rPr>
      <w:rFonts w:ascii="Arial" w:hAnsi="Arial"/>
      <w:b/>
      <w:i/>
      <w:sz w:val="44"/>
      <w:szCs w:val="20"/>
      <w:lang w:eastAsia="en-AU"/>
    </w:rPr>
  </w:style>
  <w:style w:type="paragraph" w:customStyle="1" w:styleId="QuoteBullet">
    <w:name w:val="Quote Bullet"/>
    <w:basedOn w:val="Normal"/>
    <w:rsid w:val="00A70A35"/>
    <w:pPr>
      <w:numPr>
        <w:numId w:val="2"/>
      </w:numPr>
      <w:spacing w:after="240"/>
    </w:pPr>
    <w:rPr>
      <w:rFonts w:ascii="Garamond" w:hAnsi="Garamond"/>
      <w:szCs w:val="20"/>
      <w:lang w:eastAsia="en-AU"/>
    </w:rPr>
  </w:style>
  <w:style w:type="paragraph" w:customStyle="1" w:styleId="References">
    <w:name w:val="References"/>
    <w:basedOn w:val="Normal"/>
    <w:rsid w:val="00A70A35"/>
    <w:pPr>
      <w:keepLines/>
      <w:spacing w:after="240"/>
      <w:ind w:left="1440" w:hanging="720"/>
    </w:pPr>
    <w:rPr>
      <w:rFonts w:ascii="Garamond" w:hAnsi="Garamond"/>
      <w:szCs w:val="20"/>
      <w:lang w:eastAsia="en-AU"/>
    </w:rPr>
  </w:style>
  <w:style w:type="paragraph" w:customStyle="1" w:styleId="Sub-title">
    <w:name w:val="Sub-title"/>
    <w:basedOn w:val="Normal"/>
    <w:rsid w:val="00A70A35"/>
    <w:pPr>
      <w:spacing w:after="240"/>
      <w:ind w:right="113"/>
      <w:jc w:val="right"/>
    </w:pPr>
    <w:rPr>
      <w:rFonts w:ascii="Arial" w:hAnsi="Arial"/>
      <w:b/>
      <w:sz w:val="32"/>
      <w:szCs w:val="20"/>
      <w:lang w:eastAsia="en-AU"/>
    </w:rPr>
  </w:style>
  <w:style w:type="paragraph" w:styleId="TableofFigures">
    <w:name w:val="table of figures"/>
    <w:basedOn w:val="Normal"/>
    <w:next w:val="Normal"/>
    <w:uiPriority w:val="99"/>
    <w:rsid w:val="00742BC5"/>
    <w:pPr>
      <w:spacing w:after="0"/>
      <w:ind w:left="480" w:hanging="480"/>
      <w:jc w:val="left"/>
    </w:pPr>
    <w:rPr>
      <w:rFonts w:asciiTheme="minorHAnsi" w:hAnsiTheme="minorHAnsi"/>
      <w:smallCaps/>
      <w:sz w:val="20"/>
      <w:szCs w:val="20"/>
    </w:rPr>
  </w:style>
  <w:style w:type="paragraph" w:styleId="TOC4">
    <w:name w:val="toc 4"/>
    <w:basedOn w:val="Normal"/>
    <w:next w:val="Normal"/>
    <w:autoRedefine/>
    <w:uiPriority w:val="39"/>
    <w:rsid w:val="00A70A35"/>
    <w:pPr>
      <w:spacing w:after="0"/>
      <w:ind w:left="720"/>
      <w:jc w:val="left"/>
    </w:pPr>
    <w:rPr>
      <w:rFonts w:asciiTheme="minorHAnsi" w:hAnsiTheme="minorHAnsi"/>
      <w:sz w:val="18"/>
      <w:szCs w:val="18"/>
    </w:rPr>
  </w:style>
  <w:style w:type="paragraph" w:styleId="TOC5">
    <w:name w:val="toc 5"/>
    <w:basedOn w:val="Normal"/>
    <w:next w:val="Normal"/>
    <w:autoRedefine/>
    <w:uiPriority w:val="39"/>
    <w:rsid w:val="00A70A35"/>
    <w:pPr>
      <w:spacing w:after="0"/>
      <w:ind w:left="960"/>
      <w:jc w:val="left"/>
    </w:pPr>
    <w:rPr>
      <w:rFonts w:asciiTheme="minorHAnsi" w:hAnsiTheme="minorHAnsi"/>
      <w:sz w:val="18"/>
      <w:szCs w:val="18"/>
    </w:rPr>
  </w:style>
  <w:style w:type="paragraph" w:styleId="TOC6">
    <w:name w:val="toc 6"/>
    <w:basedOn w:val="Normal"/>
    <w:next w:val="Normal"/>
    <w:autoRedefine/>
    <w:uiPriority w:val="39"/>
    <w:rsid w:val="00A70A35"/>
    <w:pPr>
      <w:spacing w:after="0"/>
      <w:ind w:left="1200"/>
      <w:jc w:val="left"/>
    </w:pPr>
    <w:rPr>
      <w:rFonts w:asciiTheme="minorHAnsi" w:hAnsiTheme="minorHAnsi"/>
      <w:sz w:val="18"/>
      <w:szCs w:val="18"/>
    </w:rPr>
  </w:style>
  <w:style w:type="paragraph" w:styleId="TOC7">
    <w:name w:val="toc 7"/>
    <w:basedOn w:val="Normal"/>
    <w:next w:val="Normal"/>
    <w:autoRedefine/>
    <w:uiPriority w:val="39"/>
    <w:rsid w:val="00A70A35"/>
    <w:pPr>
      <w:spacing w:after="0"/>
      <w:ind w:left="1440"/>
      <w:jc w:val="left"/>
    </w:pPr>
    <w:rPr>
      <w:rFonts w:asciiTheme="minorHAnsi" w:hAnsiTheme="minorHAnsi"/>
      <w:sz w:val="18"/>
      <w:szCs w:val="18"/>
    </w:rPr>
  </w:style>
  <w:style w:type="paragraph" w:styleId="TOC8">
    <w:name w:val="toc 8"/>
    <w:basedOn w:val="Normal"/>
    <w:next w:val="Normal"/>
    <w:autoRedefine/>
    <w:uiPriority w:val="39"/>
    <w:rsid w:val="00A70A35"/>
    <w:pPr>
      <w:spacing w:after="0"/>
      <w:ind w:left="1680"/>
      <w:jc w:val="left"/>
    </w:pPr>
    <w:rPr>
      <w:rFonts w:asciiTheme="minorHAnsi" w:hAnsiTheme="minorHAnsi"/>
      <w:sz w:val="18"/>
      <w:szCs w:val="18"/>
    </w:rPr>
  </w:style>
  <w:style w:type="paragraph" w:styleId="TOC9">
    <w:name w:val="toc 9"/>
    <w:basedOn w:val="Normal"/>
    <w:next w:val="Normal"/>
    <w:autoRedefine/>
    <w:uiPriority w:val="39"/>
    <w:rsid w:val="00A70A35"/>
    <w:pPr>
      <w:spacing w:after="0"/>
      <w:ind w:left="1920"/>
      <w:jc w:val="left"/>
    </w:pPr>
    <w:rPr>
      <w:rFonts w:asciiTheme="minorHAnsi" w:hAnsiTheme="minorHAnsi"/>
      <w:sz w:val="18"/>
      <w:szCs w:val="18"/>
    </w:rPr>
  </w:style>
  <w:style w:type="paragraph" w:customStyle="1" w:styleId="TableText0">
    <w:name w:val="Table Text"/>
    <w:basedOn w:val="Normal"/>
    <w:link w:val="TableTextChar0"/>
    <w:qFormat/>
    <w:rsid w:val="0072492D"/>
    <w:pPr>
      <w:keepNext/>
      <w:spacing w:before="40" w:after="40"/>
      <w:jc w:val="left"/>
    </w:pPr>
    <w:rPr>
      <w:rFonts w:ascii="Arial Narrow" w:hAnsi="Arial Narrow"/>
      <w:sz w:val="20"/>
      <w:szCs w:val="20"/>
      <w:lang w:val="en-GB"/>
    </w:rPr>
  </w:style>
  <w:style w:type="paragraph" w:customStyle="1" w:styleId="TableHeading0">
    <w:name w:val="Table Heading"/>
    <w:basedOn w:val="TableText0"/>
    <w:next w:val="TableText0"/>
    <w:rsid w:val="00A70A35"/>
    <w:rPr>
      <w:b/>
    </w:rPr>
  </w:style>
  <w:style w:type="paragraph" w:customStyle="1" w:styleId="figureheading">
    <w:name w:val="figure heading"/>
    <w:basedOn w:val="Normal"/>
    <w:rsid w:val="00632FE1"/>
    <w:pPr>
      <w:keepNext/>
      <w:spacing w:before="120"/>
      <w:ind w:left="1077" w:hanging="1077"/>
    </w:pPr>
    <w:rPr>
      <w:rFonts w:asciiTheme="majorHAnsi" w:hAnsiTheme="majorHAnsi"/>
      <w:color w:val="365F91" w:themeColor="accent1" w:themeShade="BF"/>
      <w:szCs w:val="18"/>
    </w:rPr>
  </w:style>
  <w:style w:type="paragraph" w:customStyle="1" w:styleId="boxheading">
    <w:name w:val="box heading"/>
    <w:basedOn w:val="figureheading"/>
    <w:rsid w:val="008C7798"/>
    <w:pPr>
      <w:ind w:left="0" w:firstLine="11"/>
    </w:pPr>
    <w:rPr>
      <w:lang w:val="en-US"/>
    </w:rPr>
  </w:style>
  <w:style w:type="character" w:styleId="FollowedHyperlink">
    <w:name w:val="FollowedHyperlink"/>
    <w:basedOn w:val="DefaultParagraphFont"/>
    <w:rsid w:val="00A70A35"/>
    <w:rPr>
      <w:color w:val="008080"/>
      <w:u w:val="single"/>
    </w:rPr>
  </w:style>
  <w:style w:type="paragraph" w:customStyle="1" w:styleId="HTMLBody">
    <w:name w:val="HTML Body"/>
    <w:rsid w:val="00A70A35"/>
    <w:rPr>
      <w:rFonts w:ascii="Arial" w:hAnsi="Arial"/>
      <w:snapToGrid w:val="0"/>
      <w:lang w:val="en-US" w:eastAsia="en-US"/>
    </w:rPr>
  </w:style>
  <w:style w:type="paragraph" w:customStyle="1" w:styleId="TableIndent1">
    <w:name w:val="Table Indent 1"/>
    <w:basedOn w:val="Normal"/>
    <w:link w:val="TableIndent1Char"/>
    <w:rsid w:val="00A70A35"/>
    <w:pPr>
      <w:widowControl w:val="0"/>
      <w:tabs>
        <w:tab w:val="left" w:pos="284"/>
      </w:tabs>
      <w:spacing w:after="240"/>
      <w:ind w:left="284" w:hanging="284"/>
    </w:pPr>
    <w:rPr>
      <w:sz w:val="21"/>
      <w:szCs w:val="21"/>
    </w:rPr>
  </w:style>
  <w:style w:type="character" w:customStyle="1" w:styleId="TableIndent1Char">
    <w:name w:val="Table Indent 1 Char"/>
    <w:basedOn w:val="DefaultParagraphFont"/>
    <w:link w:val="TableIndent1"/>
    <w:rsid w:val="00A70A35"/>
    <w:rPr>
      <w:sz w:val="21"/>
      <w:szCs w:val="21"/>
      <w:lang w:eastAsia="en-US"/>
    </w:rPr>
  </w:style>
  <w:style w:type="paragraph" w:customStyle="1" w:styleId="TableIndent2">
    <w:name w:val="Table Indent 2"/>
    <w:basedOn w:val="TableIndent1"/>
    <w:link w:val="TableIndent2Char"/>
    <w:rsid w:val="00A70A35"/>
    <w:pPr>
      <w:tabs>
        <w:tab w:val="clear" w:pos="284"/>
        <w:tab w:val="left" w:pos="709"/>
      </w:tabs>
      <w:ind w:left="709" w:hanging="425"/>
    </w:pPr>
  </w:style>
  <w:style w:type="character" w:customStyle="1" w:styleId="TableIndent2Char">
    <w:name w:val="Table Indent 2 Char"/>
    <w:basedOn w:val="TableIndent1Char"/>
    <w:link w:val="TableIndent2"/>
    <w:rsid w:val="00A70A35"/>
    <w:rPr>
      <w:sz w:val="21"/>
      <w:szCs w:val="21"/>
      <w:lang w:eastAsia="en-US"/>
    </w:rPr>
  </w:style>
  <w:style w:type="character" w:customStyle="1" w:styleId="mainsubheader1">
    <w:name w:val="mainsubheader1"/>
    <w:basedOn w:val="DefaultParagraphFont"/>
    <w:rsid w:val="00A70A35"/>
    <w:rPr>
      <w:b/>
      <w:bCs/>
    </w:rPr>
  </w:style>
  <w:style w:type="paragraph" w:customStyle="1" w:styleId="Bullet12">
    <w:name w:val="Bullet+12"/>
    <w:basedOn w:val="Normal"/>
    <w:rsid w:val="00A70A35"/>
    <w:pPr>
      <w:numPr>
        <w:numId w:val="3"/>
      </w:numPr>
      <w:spacing w:after="240"/>
    </w:pPr>
    <w:rPr>
      <w:szCs w:val="20"/>
    </w:rPr>
  </w:style>
  <w:style w:type="paragraph" w:customStyle="1" w:styleId="Bullet6">
    <w:name w:val="Bullet+6"/>
    <w:basedOn w:val="Normal"/>
    <w:rsid w:val="00A70A35"/>
    <w:pPr>
      <w:numPr>
        <w:numId w:val="4"/>
      </w:numPr>
    </w:pPr>
    <w:rPr>
      <w:lang w:eastAsia="en-AU"/>
    </w:rPr>
  </w:style>
  <w:style w:type="paragraph" w:customStyle="1" w:styleId="AHTAaddresslines">
    <w:name w:val="AHTA address lines"/>
    <w:basedOn w:val="PlainText"/>
    <w:rsid w:val="00A70A35"/>
    <w:pPr>
      <w:spacing w:line="210" w:lineRule="exact"/>
    </w:pPr>
    <w:rPr>
      <w:rFonts w:eastAsia="Times"/>
      <w:i/>
      <w:color w:val="000080"/>
      <w:sz w:val="16"/>
      <w:szCs w:val="20"/>
    </w:rPr>
  </w:style>
  <w:style w:type="character" w:customStyle="1" w:styleId="regulartext">
    <w:name w:val="regulartext"/>
    <w:basedOn w:val="DefaultParagraphFont"/>
    <w:rsid w:val="00A70A35"/>
  </w:style>
  <w:style w:type="paragraph" w:customStyle="1" w:styleId="bodytext0">
    <w:name w:val="bodytext"/>
    <w:basedOn w:val="Normal"/>
    <w:rsid w:val="00A70A35"/>
    <w:pPr>
      <w:spacing w:before="100" w:beforeAutospacing="1" w:after="100" w:afterAutospacing="1"/>
    </w:pPr>
    <w:rPr>
      <w:lang w:eastAsia="en-AU"/>
    </w:rPr>
  </w:style>
  <w:style w:type="paragraph" w:styleId="DocumentMap">
    <w:name w:val="Document Map"/>
    <w:basedOn w:val="Normal"/>
    <w:link w:val="DocumentMapChar"/>
    <w:rsid w:val="00A70A3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A70A35"/>
    <w:rPr>
      <w:rFonts w:ascii="Tahoma" w:hAnsi="Tahoma" w:cs="Tahoma"/>
      <w:shd w:val="clear" w:color="auto" w:fill="000080"/>
      <w:lang w:eastAsia="en-US"/>
    </w:rPr>
  </w:style>
  <w:style w:type="paragraph" w:customStyle="1" w:styleId="Indent">
    <w:name w:val="Indent"/>
    <w:basedOn w:val="Normal"/>
    <w:rsid w:val="00A70A35"/>
    <w:pPr>
      <w:tabs>
        <w:tab w:val="left" w:pos="567"/>
      </w:tabs>
      <w:spacing w:after="240"/>
      <w:ind w:left="567" w:hanging="567"/>
    </w:pPr>
    <w:rPr>
      <w:szCs w:val="20"/>
      <w:lang w:eastAsia="en-AU"/>
    </w:rPr>
  </w:style>
  <w:style w:type="paragraph" w:styleId="Revision">
    <w:name w:val="Revision"/>
    <w:hidden/>
    <w:uiPriority w:val="99"/>
    <w:semiHidden/>
    <w:rsid w:val="00CB664B"/>
    <w:rPr>
      <w:noProof/>
      <w:lang w:eastAsia="en-US"/>
    </w:rPr>
  </w:style>
  <w:style w:type="paragraph" w:customStyle="1" w:styleId="FreeForm">
    <w:name w:val="Free Form"/>
    <w:rsid w:val="002009A7"/>
    <w:rPr>
      <w:rFonts w:eastAsia="ヒラギノ角ゴ Pro W3"/>
      <w:color w:val="000000"/>
    </w:rPr>
  </w:style>
  <w:style w:type="character" w:styleId="HTMLCite">
    <w:name w:val="HTML Cite"/>
    <w:basedOn w:val="DefaultParagraphFont"/>
    <w:uiPriority w:val="99"/>
    <w:unhideWhenUsed/>
    <w:rsid w:val="00D06519"/>
    <w:rPr>
      <w:i/>
      <w:iCs/>
    </w:rPr>
  </w:style>
  <w:style w:type="paragraph" w:customStyle="1" w:styleId="Ophthaltabletext">
    <w:name w:val="Ophthal table text"/>
    <w:basedOn w:val="Normal"/>
    <w:link w:val="OphthaltabletextChar"/>
    <w:rsid w:val="00EC73E9"/>
    <w:pPr>
      <w:spacing w:after="240"/>
      <w:ind w:right="-45"/>
    </w:pPr>
    <w:rPr>
      <w:rFonts w:ascii="Arial Narrow" w:hAnsi="Arial Narrow" w:cs="Courier New"/>
    </w:rPr>
  </w:style>
  <w:style w:type="character" w:customStyle="1" w:styleId="OphthaltabletextChar">
    <w:name w:val="Ophthal table text Char"/>
    <w:basedOn w:val="DefaultParagraphFont"/>
    <w:link w:val="Ophthaltabletext"/>
    <w:rsid w:val="00EC73E9"/>
    <w:rPr>
      <w:rFonts w:ascii="Arial Narrow" w:hAnsi="Arial Narrow" w:cs="Courier New"/>
      <w:sz w:val="24"/>
      <w:szCs w:val="24"/>
      <w:lang w:eastAsia="en-US"/>
    </w:rPr>
  </w:style>
  <w:style w:type="character" w:styleId="Emphasis">
    <w:name w:val="Emphasis"/>
    <w:basedOn w:val="DefaultParagraphFont"/>
    <w:uiPriority w:val="20"/>
    <w:qFormat/>
    <w:rsid w:val="001203B5"/>
    <w:rPr>
      <w:i/>
      <w:iCs/>
    </w:rPr>
  </w:style>
  <w:style w:type="character" w:customStyle="1" w:styleId="notranslate">
    <w:name w:val="notranslate"/>
    <w:basedOn w:val="DefaultParagraphFont"/>
    <w:rsid w:val="007D34DA"/>
  </w:style>
  <w:style w:type="character" w:customStyle="1" w:styleId="ff8">
    <w:name w:val="ff8"/>
    <w:basedOn w:val="DefaultParagraphFont"/>
    <w:rsid w:val="007D34DA"/>
  </w:style>
  <w:style w:type="character" w:customStyle="1" w:styleId="ib">
    <w:name w:val="ib"/>
    <w:basedOn w:val="DefaultParagraphFont"/>
    <w:rsid w:val="007D34DA"/>
  </w:style>
  <w:style w:type="paragraph" w:customStyle="1" w:styleId="Question">
    <w:name w:val="Question"/>
    <w:basedOn w:val="Default"/>
    <w:link w:val="QuestionChar"/>
    <w:rsid w:val="00FE63EC"/>
    <w:pPr>
      <w:numPr>
        <w:numId w:val="5"/>
      </w:numPr>
      <w:spacing w:after="120"/>
    </w:pPr>
    <w:rPr>
      <w:rFonts w:ascii="Calibri" w:hAnsi="Calibri"/>
      <w:b/>
    </w:rPr>
  </w:style>
  <w:style w:type="character" w:customStyle="1" w:styleId="nbapihighlight">
    <w:name w:val="nbapihighlight"/>
    <w:basedOn w:val="DefaultParagraphFont"/>
    <w:rsid w:val="0038787E"/>
  </w:style>
  <w:style w:type="character" w:customStyle="1" w:styleId="DefaultChar">
    <w:name w:val="Default Char"/>
    <w:basedOn w:val="DefaultParagraphFont"/>
    <w:link w:val="Default"/>
    <w:rsid w:val="00FE63EC"/>
    <w:rPr>
      <w:color w:val="000000"/>
      <w:sz w:val="24"/>
      <w:szCs w:val="24"/>
      <w:lang w:val="en-AU" w:eastAsia="en-AU" w:bidi="ar-SA"/>
    </w:rPr>
  </w:style>
  <w:style w:type="character" w:customStyle="1" w:styleId="QuestionChar">
    <w:name w:val="Question Char"/>
    <w:basedOn w:val="DefaultChar"/>
    <w:link w:val="Question"/>
    <w:rsid w:val="00FE63EC"/>
    <w:rPr>
      <w:rFonts w:ascii="Calibri" w:hAnsi="Calibri"/>
      <w:b/>
      <w:color w:val="000000"/>
      <w:sz w:val="24"/>
      <w:szCs w:val="24"/>
      <w:lang w:val="en-AU" w:eastAsia="en-AU" w:bidi="ar-SA"/>
    </w:rPr>
  </w:style>
  <w:style w:type="character" w:customStyle="1" w:styleId="TableTextChar">
    <w:name w:val="TableText Char"/>
    <w:basedOn w:val="DefaultParagraphFont"/>
    <w:link w:val="TableText"/>
    <w:rsid w:val="005F0E92"/>
    <w:rPr>
      <w:rFonts w:ascii="Arial Narrow" w:hAnsi="Arial Narrow"/>
      <w:sz w:val="18"/>
    </w:rPr>
  </w:style>
  <w:style w:type="character" w:customStyle="1" w:styleId="TableHeadingChar">
    <w:name w:val="TableHeading Char"/>
    <w:basedOn w:val="DefaultParagraphFont"/>
    <w:link w:val="TableHeading"/>
    <w:rsid w:val="0065669A"/>
    <w:rPr>
      <w:rFonts w:ascii="Arial Narrow" w:hAnsi="Arial Narrow"/>
      <w:b/>
      <w:sz w:val="20"/>
      <w:szCs w:val="20"/>
    </w:rPr>
  </w:style>
  <w:style w:type="character" w:customStyle="1" w:styleId="CaptionChar">
    <w:name w:val="Caption Char"/>
    <w:aliases w:val="Table and Figure name Char,Caption Char2 Char Char,Caption Char Char Char2 Char,Caption Char1 Char Char Char1 Char,Caption Char2 Char Char Char1 Char1 Char,Caption Char Char1 Char Char Char1 Char1 Char,Caption Char Char1 Char"/>
    <w:basedOn w:val="DefaultParagraphFont"/>
    <w:link w:val="Caption"/>
    <w:rsid w:val="001203B5"/>
    <w:rPr>
      <w:rFonts w:ascii="Cambria" w:hAnsi="Cambria"/>
      <w:bCs/>
      <w:color w:val="1F497D"/>
      <w:szCs w:val="18"/>
      <w:lang w:eastAsia="en-US"/>
    </w:rPr>
  </w:style>
  <w:style w:type="paragraph" w:customStyle="1" w:styleId="TableNote">
    <w:name w:val="Table Note"/>
    <w:basedOn w:val="Normal"/>
    <w:link w:val="TableNoteChar"/>
    <w:qFormat/>
    <w:rsid w:val="00792257"/>
    <w:pPr>
      <w:keepNext/>
      <w:spacing w:after="0" w:line="240" w:lineRule="auto"/>
      <w:ind w:left="131" w:hanging="131"/>
    </w:pPr>
    <w:rPr>
      <w:rFonts w:ascii="Arial Narrow" w:hAnsi="Arial Narrow"/>
      <w:sz w:val="18"/>
      <w:szCs w:val="18"/>
      <w:lang w:eastAsia="en-AU"/>
    </w:rPr>
  </w:style>
  <w:style w:type="character" w:customStyle="1" w:styleId="TableNoteChar">
    <w:name w:val="Table Note Char"/>
    <w:basedOn w:val="DefaultParagraphFont"/>
    <w:link w:val="TableNote"/>
    <w:rsid w:val="00792257"/>
    <w:rPr>
      <w:rFonts w:ascii="Arial Narrow" w:hAnsi="Arial Narrow"/>
      <w:sz w:val="18"/>
      <w:szCs w:val="18"/>
    </w:rPr>
  </w:style>
  <w:style w:type="paragraph" w:styleId="EndnoteText">
    <w:name w:val="endnote text"/>
    <w:basedOn w:val="Normal"/>
    <w:link w:val="EndnoteTextChar"/>
    <w:rsid w:val="003D5A6E"/>
    <w:pPr>
      <w:spacing w:after="0" w:line="240" w:lineRule="auto"/>
    </w:pPr>
    <w:rPr>
      <w:rFonts w:ascii="Times New Roman" w:hAnsi="Times New Roman"/>
      <w:sz w:val="20"/>
      <w:szCs w:val="20"/>
    </w:rPr>
  </w:style>
  <w:style w:type="character" w:customStyle="1" w:styleId="EndnoteTextChar">
    <w:name w:val="Endnote Text Char"/>
    <w:basedOn w:val="DefaultParagraphFont"/>
    <w:link w:val="EndnoteText"/>
    <w:rsid w:val="003D5A6E"/>
    <w:rPr>
      <w:lang w:eastAsia="en-US"/>
    </w:rPr>
  </w:style>
  <w:style w:type="paragraph" w:customStyle="1" w:styleId="Style11">
    <w:name w:val="Style1"/>
    <w:basedOn w:val="Normal"/>
    <w:rsid w:val="003D5A6E"/>
    <w:pPr>
      <w:tabs>
        <w:tab w:val="left" w:pos="720"/>
      </w:tabs>
      <w:spacing w:after="0" w:line="240" w:lineRule="auto"/>
    </w:pPr>
    <w:rPr>
      <w:rFonts w:ascii="Bookman Old Style" w:hAnsi="Bookman Old Style"/>
      <w:sz w:val="20"/>
      <w:szCs w:val="20"/>
      <w:lang w:val="en-US"/>
    </w:rPr>
  </w:style>
  <w:style w:type="paragraph" w:styleId="BodyText3">
    <w:name w:val="Body Text 3"/>
    <w:basedOn w:val="Normal"/>
    <w:link w:val="BodyText3Char"/>
    <w:rsid w:val="003D5A6E"/>
    <w:rPr>
      <w:sz w:val="16"/>
      <w:szCs w:val="16"/>
    </w:rPr>
  </w:style>
  <w:style w:type="character" w:customStyle="1" w:styleId="BodyText3Char">
    <w:name w:val="Body Text 3 Char"/>
    <w:basedOn w:val="DefaultParagraphFont"/>
    <w:link w:val="BodyText3"/>
    <w:rsid w:val="003D5A6E"/>
    <w:rPr>
      <w:rFonts w:ascii="Calibri" w:hAnsi="Calibri"/>
      <w:sz w:val="16"/>
      <w:szCs w:val="16"/>
      <w:lang w:eastAsia="en-US"/>
    </w:rPr>
  </w:style>
  <w:style w:type="character" w:customStyle="1" w:styleId="term">
    <w:name w:val="term"/>
    <w:basedOn w:val="DefaultParagraphFont"/>
    <w:rsid w:val="00597BA7"/>
  </w:style>
  <w:style w:type="numbering" w:customStyle="1" w:styleId="Style2">
    <w:name w:val="Style2"/>
    <w:uiPriority w:val="99"/>
    <w:rsid w:val="0058757C"/>
    <w:pPr>
      <w:numPr>
        <w:numId w:val="6"/>
      </w:numPr>
    </w:pPr>
  </w:style>
  <w:style w:type="numbering" w:customStyle="1" w:styleId="Style3">
    <w:name w:val="Style3"/>
    <w:uiPriority w:val="99"/>
    <w:rsid w:val="0058757C"/>
    <w:pPr>
      <w:numPr>
        <w:numId w:val="7"/>
      </w:numPr>
    </w:pPr>
  </w:style>
  <w:style w:type="numbering" w:customStyle="1" w:styleId="Style4">
    <w:name w:val="Style4"/>
    <w:uiPriority w:val="99"/>
    <w:rsid w:val="0001780E"/>
    <w:pPr>
      <w:numPr>
        <w:numId w:val="8"/>
      </w:numPr>
    </w:pPr>
  </w:style>
  <w:style w:type="numbering" w:customStyle="1" w:styleId="Style5">
    <w:name w:val="Style5"/>
    <w:rsid w:val="0001780E"/>
    <w:pPr>
      <w:numPr>
        <w:numId w:val="9"/>
      </w:numPr>
    </w:pPr>
  </w:style>
  <w:style w:type="paragraph" w:styleId="Subtitle">
    <w:name w:val="Subtitle"/>
    <w:basedOn w:val="Normal"/>
    <w:next w:val="Normal"/>
    <w:link w:val="SubtitleChar"/>
    <w:qFormat/>
    <w:rsid w:val="005417C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5417CD"/>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qFormat/>
    <w:rsid w:val="005417CD"/>
    <w:rPr>
      <w:i/>
      <w:iCs/>
      <w:color w:val="808080" w:themeColor="text1" w:themeTint="7F"/>
    </w:rPr>
  </w:style>
  <w:style w:type="paragraph" w:customStyle="1" w:styleId="Headings3">
    <w:name w:val="Headings 3"/>
    <w:basedOn w:val="Heading2"/>
    <w:link w:val="Headings3Char"/>
    <w:uiPriority w:val="99"/>
    <w:qFormat/>
    <w:rsid w:val="000C5433"/>
    <w:rPr>
      <w:rFonts w:asciiTheme="majorHAnsi" w:hAnsiTheme="majorHAnsi" w:cs="Calibri"/>
      <w:sz w:val="24"/>
      <w:szCs w:val="24"/>
    </w:rPr>
  </w:style>
  <w:style w:type="numbering" w:customStyle="1" w:styleId="Style6">
    <w:name w:val="Style6"/>
    <w:uiPriority w:val="99"/>
    <w:rsid w:val="006E5398"/>
    <w:pPr>
      <w:numPr>
        <w:numId w:val="10"/>
      </w:numPr>
    </w:pPr>
  </w:style>
  <w:style w:type="character" w:customStyle="1" w:styleId="Headings3Char">
    <w:name w:val="Headings 3 Char"/>
    <w:basedOn w:val="Heading2Char"/>
    <w:link w:val="Headings3"/>
    <w:uiPriority w:val="99"/>
    <w:rsid w:val="000C5433"/>
    <w:rPr>
      <w:rFonts w:asciiTheme="majorHAnsi" w:hAnsiTheme="majorHAnsi" w:cs="Calibri"/>
      <w:bCs/>
      <w:noProof/>
      <w:color w:val="002060"/>
      <w:sz w:val="28"/>
      <w:szCs w:val="26"/>
    </w:rPr>
  </w:style>
  <w:style w:type="numbering" w:customStyle="1" w:styleId="Style7">
    <w:name w:val="Style7"/>
    <w:uiPriority w:val="99"/>
    <w:rsid w:val="006E5398"/>
    <w:pPr>
      <w:numPr>
        <w:numId w:val="11"/>
      </w:numPr>
    </w:pPr>
  </w:style>
  <w:style w:type="numbering" w:customStyle="1" w:styleId="Style8">
    <w:name w:val="Style8"/>
    <w:uiPriority w:val="99"/>
    <w:rsid w:val="006E5398"/>
    <w:pPr>
      <w:numPr>
        <w:numId w:val="12"/>
      </w:numPr>
    </w:pPr>
  </w:style>
  <w:style w:type="paragraph" w:customStyle="1" w:styleId="Headings4">
    <w:name w:val="Headings 4"/>
    <w:basedOn w:val="Normal"/>
    <w:link w:val="Headings4Char"/>
    <w:qFormat/>
    <w:rsid w:val="00B931E5"/>
    <w:pPr>
      <w:keepNext/>
      <w:keepLines/>
      <w:spacing w:before="120"/>
      <w:outlineLvl w:val="1"/>
    </w:pPr>
    <w:rPr>
      <w:rFonts w:asciiTheme="majorHAnsi" w:hAnsiTheme="majorHAnsi" w:cstheme="minorHAnsi"/>
      <w:bCs/>
      <w:color w:val="002060"/>
    </w:rPr>
  </w:style>
  <w:style w:type="numbering" w:customStyle="1" w:styleId="Style9">
    <w:name w:val="Style9"/>
    <w:uiPriority w:val="99"/>
    <w:rsid w:val="005A4EAD"/>
    <w:pPr>
      <w:numPr>
        <w:numId w:val="13"/>
      </w:numPr>
    </w:pPr>
  </w:style>
  <w:style w:type="character" w:customStyle="1" w:styleId="Headings4Char">
    <w:name w:val="Headings 4 Char"/>
    <w:basedOn w:val="Headings3Char"/>
    <w:link w:val="Headings4"/>
    <w:rsid w:val="00B931E5"/>
    <w:rPr>
      <w:rFonts w:asciiTheme="majorHAnsi" w:hAnsiTheme="majorHAnsi" w:cstheme="minorHAnsi"/>
      <w:bCs/>
      <w:noProof/>
      <w:color w:val="002060"/>
      <w:sz w:val="28"/>
      <w:szCs w:val="26"/>
      <w:lang w:eastAsia="en-US"/>
    </w:rPr>
  </w:style>
  <w:style w:type="numbering" w:customStyle="1" w:styleId="Style10">
    <w:name w:val="Style10"/>
    <w:uiPriority w:val="99"/>
    <w:rsid w:val="005A4EAD"/>
    <w:pPr>
      <w:numPr>
        <w:numId w:val="14"/>
      </w:numPr>
    </w:pPr>
  </w:style>
  <w:style w:type="paragraph" w:customStyle="1" w:styleId="Tablenote0">
    <w:name w:val="Table note"/>
    <w:basedOn w:val="Normal"/>
    <w:link w:val="TablenoteChar0"/>
    <w:qFormat/>
    <w:rsid w:val="001203B5"/>
    <w:pPr>
      <w:autoSpaceDE w:val="0"/>
      <w:autoSpaceDN w:val="0"/>
      <w:adjustRightInd w:val="0"/>
      <w:spacing w:after="0" w:line="240" w:lineRule="auto"/>
      <w:contextualSpacing/>
    </w:pPr>
    <w:rPr>
      <w:rFonts w:ascii="Arial" w:hAnsi="Arial" w:cs="Arial"/>
      <w:color w:val="000000"/>
      <w:lang w:eastAsia="en-AU"/>
    </w:rPr>
  </w:style>
  <w:style w:type="character" w:customStyle="1" w:styleId="TablenoteChar0">
    <w:name w:val="Table note Char"/>
    <w:basedOn w:val="DefaultParagraphFont"/>
    <w:link w:val="Tablenote0"/>
    <w:rsid w:val="001203B5"/>
    <w:rPr>
      <w:rFonts w:ascii="Arial" w:hAnsi="Arial" w:cs="Arial"/>
      <w:color w:val="000000"/>
    </w:rPr>
  </w:style>
  <w:style w:type="character" w:customStyle="1" w:styleId="mw-headline">
    <w:name w:val="mw-headline"/>
    <w:basedOn w:val="DefaultParagraphFont"/>
    <w:rsid w:val="00697043"/>
  </w:style>
  <w:style w:type="character" w:customStyle="1" w:styleId="rubric">
    <w:name w:val="rubric"/>
    <w:basedOn w:val="DefaultParagraphFont"/>
    <w:rsid w:val="00697043"/>
  </w:style>
  <w:style w:type="character" w:customStyle="1" w:styleId="definition">
    <w:name w:val="definition"/>
    <w:basedOn w:val="DefaultParagraphFont"/>
    <w:rsid w:val="00697043"/>
  </w:style>
  <w:style w:type="character" w:customStyle="1" w:styleId="doctype">
    <w:name w:val="doctype"/>
    <w:basedOn w:val="DefaultParagraphFont"/>
    <w:rsid w:val="00697043"/>
  </w:style>
  <w:style w:type="character" w:customStyle="1" w:styleId="small">
    <w:name w:val="small"/>
    <w:basedOn w:val="DefaultParagraphFont"/>
    <w:rsid w:val="00697043"/>
  </w:style>
  <w:style w:type="character" w:customStyle="1" w:styleId="citation">
    <w:name w:val="citation"/>
    <w:basedOn w:val="DefaultParagraphFont"/>
    <w:rsid w:val="00697043"/>
  </w:style>
  <w:style w:type="character" w:styleId="PlaceholderText">
    <w:name w:val="Placeholder Text"/>
    <w:basedOn w:val="DefaultParagraphFont"/>
    <w:uiPriority w:val="99"/>
    <w:semiHidden/>
    <w:rsid w:val="00697043"/>
    <w:rPr>
      <w:color w:val="808080"/>
    </w:rPr>
  </w:style>
  <w:style w:type="character" w:customStyle="1" w:styleId="st">
    <w:name w:val="st"/>
    <w:basedOn w:val="DefaultParagraphFont"/>
    <w:rsid w:val="005334D6"/>
  </w:style>
  <w:style w:type="character" w:customStyle="1" w:styleId="wcm-region">
    <w:name w:val="wcm-region"/>
    <w:basedOn w:val="DefaultParagraphFont"/>
    <w:rsid w:val="0011636E"/>
  </w:style>
  <w:style w:type="numbering" w:customStyle="1" w:styleId="NoList1">
    <w:name w:val="No List1"/>
    <w:next w:val="NoList"/>
    <w:uiPriority w:val="99"/>
    <w:semiHidden/>
    <w:unhideWhenUsed/>
    <w:rsid w:val="001A0605"/>
  </w:style>
  <w:style w:type="paragraph" w:customStyle="1" w:styleId="kyds">
    <w:name w:val="kyds"/>
    <w:basedOn w:val="Normal"/>
    <w:rsid w:val="00413689"/>
    <w:pPr>
      <w:spacing w:before="100" w:beforeAutospacing="1" w:after="100" w:afterAutospacing="1" w:line="240" w:lineRule="auto"/>
    </w:pPr>
    <w:rPr>
      <w:rFonts w:ascii="Times New Roman" w:hAnsi="Times New Roman"/>
      <w:lang w:eastAsia="en-AU"/>
    </w:rPr>
  </w:style>
  <w:style w:type="table" w:customStyle="1" w:styleId="TableGrid1">
    <w:name w:val="Table Grid1"/>
    <w:basedOn w:val="TableNormal"/>
    <w:next w:val="TableGrid"/>
    <w:rsid w:val="005C7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C7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91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391F5B"/>
    <w:rPr>
      <w:rFonts w:ascii="Courier New" w:hAnsi="Courier New" w:cs="Courier New"/>
    </w:rPr>
  </w:style>
  <w:style w:type="character" w:customStyle="1" w:styleId="apple-converted-space">
    <w:name w:val="apple-converted-space"/>
    <w:rsid w:val="00391F5B"/>
  </w:style>
  <w:style w:type="character" w:customStyle="1" w:styleId="fn">
    <w:name w:val="fn"/>
    <w:basedOn w:val="DefaultParagraphFont"/>
    <w:rsid w:val="00F6215B"/>
  </w:style>
  <w:style w:type="character" w:customStyle="1" w:styleId="subtitle1">
    <w:name w:val="subtitle1"/>
    <w:basedOn w:val="DefaultParagraphFont"/>
    <w:rsid w:val="00F6215B"/>
  </w:style>
  <w:style w:type="character" w:customStyle="1" w:styleId="cit-auth">
    <w:name w:val="cit-auth"/>
    <w:basedOn w:val="DefaultParagraphFont"/>
    <w:rsid w:val="00993074"/>
  </w:style>
  <w:style w:type="character" w:customStyle="1" w:styleId="cit-name-surname">
    <w:name w:val="cit-name-surname"/>
    <w:basedOn w:val="DefaultParagraphFont"/>
    <w:rsid w:val="00993074"/>
  </w:style>
  <w:style w:type="character" w:customStyle="1" w:styleId="cit-name-given-names">
    <w:name w:val="cit-name-given-names"/>
    <w:basedOn w:val="DefaultParagraphFont"/>
    <w:rsid w:val="00993074"/>
  </w:style>
  <w:style w:type="character" w:customStyle="1" w:styleId="cit-source">
    <w:name w:val="cit-source"/>
    <w:basedOn w:val="DefaultParagraphFont"/>
    <w:rsid w:val="00993074"/>
  </w:style>
  <w:style w:type="character" w:customStyle="1" w:styleId="cit-publ-loc">
    <w:name w:val="cit-publ-loc"/>
    <w:basedOn w:val="DefaultParagraphFont"/>
    <w:rsid w:val="00993074"/>
  </w:style>
  <w:style w:type="character" w:customStyle="1" w:styleId="cit-publ-name">
    <w:name w:val="cit-publ-name"/>
    <w:basedOn w:val="DefaultParagraphFont"/>
    <w:rsid w:val="00993074"/>
  </w:style>
  <w:style w:type="character" w:customStyle="1" w:styleId="cit-pub-date">
    <w:name w:val="cit-pub-date"/>
    <w:basedOn w:val="DefaultParagraphFont"/>
    <w:rsid w:val="00993074"/>
  </w:style>
  <w:style w:type="paragraph" w:customStyle="1" w:styleId="PFNumLevel2">
    <w:name w:val="PF (Num) Level 2"/>
    <w:basedOn w:val="Normal"/>
    <w:rsid w:val="002476F0"/>
    <w:pPr>
      <w:numPr>
        <w:ilvl w:val="1"/>
        <w:numId w:val="16"/>
      </w:numPr>
      <w:tabs>
        <w:tab w:val="left" w:pos="2773"/>
        <w:tab w:val="left" w:pos="3697"/>
        <w:tab w:val="left" w:pos="4621"/>
        <w:tab w:val="left" w:pos="5545"/>
        <w:tab w:val="left" w:pos="6469"/>
        <w:tab w:val="left" w:pos="7394"/>
        <w:tab w:val="left" w:pos="8318"/>
        <w:tab w:val="right" w:pos="8930"/>
      </w:tabs>
      <w:spacing w:before="120"/>
    </w:pPr>
    <w:rPr>
      <w:rFonts w:ascii="Arial" w:hAnsi="Arial"/>
      <w:color w:val="000000"/>
      <w:sz w:val="21"/>
      <w:szCs w:val="20"/>
      <w:lang w:val="en-US" w:bidi="en-US"/>
    </w:rPr>
  </w:style>
  <w:style w:type="paragraph" w:customStyle="1" w:styleId="PFNumLevel3">
    <w:name w:val="PF (Num) Level 3"/>
    <w:basedOn w:val="Normal"/>
    <w:rsid w:val="002476F0"/>
    <w:pPr>
      <w:numPr>
        <w:ilvl w:val="2"/>
        <w:numId w:val="16"/>
      </w:numPr>
      <w:tabs>
        <w:tab w:val="left" w:pos="3697"/>
        <w:tab w:val="left" w:pos="4621"/>
        <w:tab w:val="left" w:pos="5545"/>
        <w:tab w:val="left" w:pos="6469"/>
        <w:tab w:val="left" w:pos="7394"/>
        <w:tab w:val="left" w:pos="8318"/>
        <w:tab w:val="right" w:pos="8930"/>
      </w:tabs>
      <w:spacing w:before="120"/>
    </w:pPr>
    <w:rPr>
      <w:rFonts w:ascii="Arial" w:hAnsi="Arial"/>
      <w:color w:val="000000"/>
      <w:sz w:val="21"/>
      <w:szCs w:val="20"/>
      <w:lang w:val="en-US" w:bidi="en-US"/>
    </w:rPr>
  </w:style>
  <w:style w:type="paragraph" w:customStyle="1" w:styleId="PFNumLevel4">
    <w:name w:val="PF (Num) Level 4"/>
    <w:basedOn w:val="Normal"/>
    <w:rsid w:val="002476F0"/>
    <w:pPr>
      <w:numPr>
        <w:ilvl w:val="3"/>
        <w:numId w:val="16"/>
      </w:numPr>
      <w:tabs>
        <w:tab w:val="left" w:pos="4621"/>
        <w:tab w:val="left" w:pos="5545"/>
        <w:tab w:val="left" w:pos="6469"/>
        <w:tab w:val="left" w:pos="7394"/>
        <w:tab w:val="left" w:pos="8318"/>
        <w:tab w:val="right" w:pos="8930"/>
      </w:tabs>
      <w:spacing w:before="120"/>
    </w:pPr>
    <w:rPr>
      <w:rFonts w:ascii="Arial" w:hAnsi="Arial"/>
      <w:color w:val="000000"/>
      <w:sz w:val="21"/>
      <w:szCs w:val="20"/>
      <w:lang w:val="en-US" w:bidi="en-US"/>
    </w:rPr>
  </w:style>
  <w:style w:type="paragraph" w:customStyle="1" w:styleId="PFNumLevel5">
    <w:name w:val="PF (Num) Level 5"/>
    <w:basedOn w:val="Normal"/>
    <w:rsid w:val="002476F0"/>
    <w:pPr>
      <w:numPr>
        <w:ilvl w:val="4"/>
        <w:numId w:val="16"/>
      </w:numPr>
      <w:tabs>
        <w:tab w:val="left" w:pos="2773"/>
        <w:tab w:val="left" w:pos="3697"/>
        <w:tab w:val="left" w:pos="4621"/>
        <w:tab w:val="left" w:pos="5545"/>
        <w:tab w:val="left" w:pos="6469"/>
        <w:tab w:val="left" w:pos="7394"/>
        <w:tab w:val="left" w:pos="8318"/>
        <w:tab w:val="right" w:pos="8930"/>
      </w:tabs>
      <w:spacing w:before="120"/>
    </w:pPr>
    <w:rPr>
      <w:rFonts w:ascii="Arial" w:hAnsi="Arial"/>
      <w:color w:val="000000"/>
      <w:sz w:val="21"/>
      <w:szCs w:val="20"/>
      <w:lang w:val="en-US" w:bidi="en-US"/>
    </w:rPr>
  </w:style>
  <w:style w:type="paragraph" w:customStyle="1" w:styleId="Heading1A">
    <w:name w:val="Heading 1A"/>
    <w:basedOn w:val="Heading1"/>
    <w:next w:val="Normal"/>
    <w:rsid w:val="002476F0"/>
    <w:pPr>
      <w:keepNext w:val="0"/>
      <w:keepLines w:val="0"/>
      <w:numPr>
        <w:numId w:val="16"/>
      </w:numPr>
      <w:tabs>
        <w:tab w:val="clear" w:pos="567"/>
        <w:tab w:val="clear" w:pos="1029"/>
        <w:tab w:val="num" w:pos="360"/>
        <w:tab w:val="num" w:pos="660"/>
        <w:tab w:val="left" w:pos="1848"/>
        <w:tab w:val="left" w:pos="2773"/>
        <w:tab w:val="left" w:pos="3697"/>
        <w:tab w:val="left" w:pos="4621"/>
        <w:tab w:val="left" w:pos="5545"/>
        <w:tab w:val="left" w:pos="6469"/>
        <w:tab w:val="left" w:pos="7394"/>
        <w:tab w:val="left" w:pos="8318"/>
        <w:tab w:val="right" w:pos="8930"/>
      </w:tabs>
      <w:spacing w:before="400" w:after="120"/>
      <w:ind w:left="0" w:firstLine="0"/>
      <w:jc w:val="left"/>
    </w:pPr>
    <w:rPr>
      <w:rFonts w:ascii="Arial" w:hAnsi="Arial"/>
      <w:b w:val="0"/>
      <w:caps w:val="0"/>
      <w:smallCaps/>
      <w:color w:val="000000"/>
      <w:spacing w:val="5"/>
      <w:kern w:val="28"/>
      <w:sz w:val="24"/>
      <w:szCs w:val="20"/>
      <w:lang w:val="en-US" w:bidi="en-US"/>
    </w:rPr>
  </w:style>
  <w:style w:type="paragraph" w:customStyle="1" w:styleId="PFNumLevel6">
    <w:name w:val="PF (Num) Level 6"/>
    <w:basedOn w:val="PFNumLevel4"/>
    <w:rsid w:val="002476F0"/>
    <w:pPr>
      <w:numPr>
        <w:ilvl w:val="5"/>
      </w:numPr>
    </w:pPr>
  </w:style>
  <w:style w:type="paragraph" w:styleId="BodyTextIndent2">
    <w:name w:val="Body Text Indent 2"/>
    <w:basedOn w:val="Normal"/>
    <w:link w:val="BodyTextIndent2Char"/>
    <w:rsid w:val="00C934C9"/>
    <w:pPr>
      <w:spacing w:line="480" w:lineRule="auto"/>
      <w:ind w:left="283"/>
    </w:pPr>
  </w:style>
  <w:style w:type="character" w:customStyle="1" w:styleId="BodyTextIndent2Char">
    <w:name w:val="Body Text Indent 2 Char"/>
    <w:basedOn w:val="DefaultParagraphFont"/>
    <w:link w:val="BodyTextIndent2"/>
    <w:rsid w:val="00C934C9"/>
    <w:rPr>
      <w:rFonts w:ascii="Calibri" w:hAnsi="Calibri"/>
      <w:lang w:eastAsia="en-US"/>
    </w:rPr>
  </w:style>
  <w:style w:type="paragraph" w:customStyle="1" w:styleId="AUBodyCopy-withSpaceAfter">
    <w:name w:val="AU Body Copy - with Space After"/>
    <w:basedOn w:val="Normal"/>
    <w:rsid w:val="00C934C9"/>
    <w:pPr>
      <w:overflowPunct w:val="0"/>
      <w:autoSpaceDE w:val="0"/>
      <w:autoSpaceDN w:val="0"/>
      <w:adjustRightInd w:val="0"/>
      <w:spacing w:line="260" w:lineRule="exact"/>
      <w:jc w:val="left"/>
      <w:textAlignment w:val="baseline"/>
    </w:pPr>
    <w:rPr>
      <w:rFonts w:ascii="Times New Roman" w:hAnsi="Times New Roman"/>
      <w:szCs w:val="20"/>
    </w:rPr>
  </w:style>
  <w:style w:type="paragraph" w:styleId="BodyText2">
    <w:name w:val="Body Text 2"/>
    <w:basedOn w:val="Normal"/>
    <w:link w:val="BodyText2Char"/>
    <w:rsid w:val="00C934C9"/>
    <w:pPr>
      <w:spacing w:line="480" w:lineRule="auto"/>
    </w:pPr>
  </w:style>
  <w:style w:type="character" w:customStyle="1" w:styleId="BodyText2Char">
    <w:name w:val="Body Text 2 Char"/>
    <w:basedOn w:val="DefaultParagraphFont"/>
    <w:link w:val="BodyText2"/>
    <w:rsid w:val="00C934C9"/>
    <w:rPr>
      <w:rFonts w:ascii="Calibri" w:hAnsi="Calibri"/>
      <w:lang w:eastAsia="en-US"/>
    </w:rPr>
  </w:style>
  <w:style w:type="paragraph" w:styleId="TOCHeading">
    <w:name w:val="TOC Heading"/>
    <w:basedOn w:val="Heading1"/>
    <w:next w:val="Normal"/>
    <w:uiPriority w:val="39"/>
    <w:unhideWhenUsed/>
    <w:qFormat/>
    <w:rsid w:val="00256A90"/>
    <w:pPr>
      <w:tabs>
        <w:tab w:val="clear" w:pos="567"/>
      </w:tabs>
      <w:spacing w:after="0"/>
      <w:jc w:val="left"/>
      <w:outlineLvl w:val="9"/>
    </w:pPr>
    <w:rPr>
      <w:rFonts w:asciiTheme="majorHAnsi" w:eastAsiaTheme="majorEastAsia" w:hAnsiTheme="majorHAnsi" w:cstheme="majorBidi"/>
      <w:caps w:val="0"/>
      <w:color w:val="365F91" w:themeColor="accent1" w:themeShade="BF"/>
      <w:lang w:val="en-US" w:eastAsia="ja-JP"/>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63BC3"/>
    <w:pPr>
      <w:keepLines/>
      <w:spacing w:after="160" w:line="240" w:lineRule="exact"/>
      <w:jc w:val="left"/>
    </w:pPr>
    <w:rPr>
      <w:rFonts w:ascii="Verdana" w:eastAsia="MS Mincho" w:hAnsi="Verdana" w:cs="Verdana"/>
      <w:sz w:val="20"/>
      <w:szCs w:val="20"/>
      <w:lang w:val="en-US"/>
    </w:rPr>
  </w:style>
  <w:style w:type="paragraph" w:customStyle="1" w:styleId="Table">
    <w:name w:val="Table"/>
    <w:basedOn w:val="Caption"/>
    <w:link w:val="TableChar"/>
    <w:qFormat/>
    <w:rsid w:val="00260845"/>
    <w:pPr>
      <w:spacing w:before="40" w:after="40" w:line="240" w:lineRule="auto"/>
    </w:pPr>
    <w:rPr>
      <w:rFonts w:ascii="Arial Narrow" w:hAnsi="Arial Narrow"/>
      <w:sz w:val="20"/>
      <w:szCs w:val="20"/>
    </w:rPr>
  </w:style>
  <w:style w:type="character" w:customStyle="1" w:styleId="TableChar">
    <w:name w:val="Table Char"/>
    <w:basedOn w:val="CaptionChar"/>
    <w:link w:val="Table"/>
    <w:rsid w:val="00260845"/>
    <w:rPr>
      <w:rFonts w:ascii="Arial Narrow" w:hAnsi="Arial Narrow"/>
      <w:bCs/>
      <w:color w:val="1F497D"/>
      <w:sz w:val="20"/>
      <w:szCs w:val="20"/>
      <w:lang w:eastAsia="en-US"/>
    </w:rPr>
  </w:style>
  <w:style w:type="character" w:customStyle="1" w:styleId="quality-sign">
    <w:name w:val="quality-sign"/>
    <w:basedOn w:val="DefaultParagraphFont"/>
    <w:rsid w:val="00B1239B"/>
  </w:style>
  <w:style w:type="character" w:customStyle="1" w:styleId="cell">
    <w:name w:val="cell"/>
    <w:basedOn w:val="DefaultParagraphFont"/>
    <w:rsid w:val="008F454C"/>
  </w:style>
  <w:style w:type="character" w:customStyle="1" w:styleId="block">
    <w:name w:val="block"/>
    <w:basedOn w:val="DefaultParagraphFont"/>
    <w:rsid w:val="008F454C"/>
  </w:style>
  <w:style w:type="character" w:customStyle="1" w:styleId="mb">
    <w:name w:val="mb"/>
    <w:basedOn w:val="DefaultParagraphFont"/>
    <w:rsid w:val="00523636"/>
  </w:style>
  <w:style w:type="character" w:customStyle="1" w:styleId="label">
    <w:name w:val="label"/>
    <w:basedOn w:val="DefaultParagraphFont"/>
    <w:rsid w:val="003E333B"/>
  </w:style>
  <w:style w:type="character" w:customStyle="1" w:styleId="quality-sign1">
    <w:name w:val="quality-sign1"/>
    <w:basedOn w:val="DefaultParagraphFont"/>
    <w:rsid w:val="003E333B"/>
    <w:rPr>
      <w:rFonts w:ascii="GRADE-quality" w:hAnsi="GRADE-quality" w:hint="default"/>
      <w:sz w:val="21"/>
      <w:szCs w:val="21"/>
    </w:rPr>
  </w:style>
  <w:style w:type="character" w:customStyle="1" w:styleId="underline1">
    <w:name w:val="underline1"/>
    <w:basedOn w:val="DefaultParagraphFont"/>
    <w:rsid w:val="003E333B"/>
    <w:rPr>
      <w:u w:val="single"/>
    </w:rPr>
  </w:style>
  <w:style w:type="character" w:customStyle="1" w:styleId="cell-value">
    <w:name w:val="cell-value"/>
    <w:basedOn w:val="DefaultParagraphFont"/>
    <w:rsid w:val="003E333B"/>
  </w:style>
  <w:style w:type="table" w:customStyle="1" w:styleId="TableGrid3">
    <w:name w:val="Table Grid3"/>
    <w:basedOn w:val="TableNormal"/>
    <w:next w:val="TableGrid"/>
    <w:rsid w:val="0004128C"/>
    <w:rPr>
      <w:rFonts w:eastAsiaTheme="minorHAns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4128C"/>
    <w:rPr>
      <w:rFonts w:eastAsiaTheme="minorHAns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04128C"/>
    <w:rPr>
      <w:rFonts w:eastAsiaTheme="minorHAns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heading0">
    <w:name w:val="Figure heading"/>
    <w:basedOn w:val="Caption"/>
    <w:link w:val="FigureheadingChar"/>
    <w:qFormat/>
    <w:rsid w:val="001D2216"/>
  </w:style>
  <w:style w:type="character" w:customStyle="1" w:styleId="FigureheadingChar">
    <w:name w:val="Figure heading Char"/>
    <w:basedOn w:val="CaptionChar"/>
    <w:link w:val="Figureheading0"/>
    <w:rsid w:val="001D2216"/>
    <w:rPr>
      <w:rFonts w:ascii="Cambria" w:hAnsi="Cambria"/>
      <w:bCs/>
      <w:color w:val="1F497D"/>
      <w:szCs w:val="18"/>
      <w:lang w:eastAsia="en-US"/>
    </w:rPr>
  </w:style>
  <w:style w:type="character" w:customStyle="1" w:styleId="TableTextChar0">
    <w:name w:val="Table Text Char"/>
    <w:link w:val="TableText0"/>
    <w:rsid w:val="0072492D"/>
    <w:rPr>
      <w:rFonts w:ascii="Arial Narrow" w:hAnsi="Arial Narrow"/>
      <w:sz w:val="20"/>
      <w:szCs w:val="20"/>
      <w:lang w:val="en-GB" w:eastAsia="en-US"/>
    </w:rPr>
  </w:style>
  <w:style w:type="numbering" w:customStyle="1" w:styleId="NoList2">
    <w:name w:val="No List2"/>
    <w:next w:val="NoList"/>
    <w:uiPriority w:val="99"/>
    <w:semiHidden/>
    <w:unhideWhenUsed/>
    <w:rsid w:val="00C84D55"/>
  </w:style>
  <w:style w:type="table" w:customStyle="1" w:styleId="TableGrid6">
    <w:name w:val="Table Grid6"/>
    <w:basedOn w:val="TableNormal"/>
    <w:next w:val="TableGrid"/>
    <w:uiPriority w:val="59"/>
    <w:rsid w:val="00C84D55"/>
    <w:pPr>
      <w:spacing w:before="40" w:after="40"/>
      <w:ind w:right="-57"/>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6">
    <w:name w:val="Pa16"/>
    <w:basedOn w:val="Default"/>
    <w:next w:val="Default"/>
    <w:uiPriority w:val="99"/>
    <w:rsid w:val="00C84D55"/>
    <w:pPr>
      <w:spacing w:line="161" w:lineRule="atLeast"/>
    </w:pPr>
    <w:rPr>
      <w:rFonts w:ascii="ITC Officina Sans Book" w:eastAsia="Calibri" w:hAnsi="ITC Officina Sans Book"/>
      <w:color w:val="auto"/>
      <w:lang w:eastAsia="en-US"/>
    </w:rPr>
  </w:style>
  <w:style w:type="paragraph" w:customStyle="1" w:styleId="Tabletext1">
    <w:name w:val="Table text"/>
    <w:basedOn w:val="Normal"/>
    <w:link w:val="TabletextChar1"/>
    <w:qFormat/>
    <w:rsid w:val="00CB7E5F"/>
    <w:pPr>
      <w:spacing w:before="40" w:after="40" w:line="240" w:lineRule="auto"/>
      <w:jc w:val="left"/>
    </w:pPr>
    <w:rPr>
      <w:rFonts w:ascii="Arial Narrow" w:hAnsi="Arial Narrow" w:cs="Tahoma"/>
      <w:sz w:val="20"/>
      <w:szCs w:val="20"/>
      <w:lang w:eastAsia="en-AU"/>
    </w:rPr>
  </w:style>
  <w:style w:type="character" w:customStyle="1" w:styleId="TabletextChar1">
    <w:name w:val="Table text Char"/>
    <w:link w:val="Tabletext1"/>
    <w:rsid w:val="00CB7E5F"/>
    <w:rPr>
      <w:rFonts w:ascii="Arial Narrow" w:hAnsi="Arial Narrow" w:cs="Tahoma"/>
      <w:sz w:val="20"/>
      <w:szCs w:val="20"/>
    </w:rPr>
  </w:style>
  <w:style w:type="paragraph" w:customStyle="1" w:styleId="TOC21">
    <w:name w:val="TOC 21"/>
    <w:basedOn w:val="Normal"/>
    <w:next w:val="Normal"/>
    <w:autoRedefine/>
    <w:uiPriority w:val="39"/>
    <w:qFormat/>
    <w:rsid w:val="001A6FF0"/>
    <w:pPr>
      <w:spacing w:after="0"/>
      <w:ind w:left="240"/>
      <w:jc w:val="left"/>
    </w:pPr>
    <w:rPr>
      <w:smallCaps/>
      <w:sz w:val="20"/>
      <w:szCs w:val="20"/>
    </w:rPr>
  </w:style>
  <w:style w:type="paragraph" w:customStyle="1" w:styleId="TOC11">
    <w:name w:val="TOC 11"/>
    <w:basedOn w:val="Normal"/>
    <w:next w:val="Normal"/>
    <w:autoRedefine/>
    <w:uiPriority w:val="39"/>
    <w:qFormat/>
    <w:rsid w:val="001A6FF0"/>
    <w:pPr>
      <w:tabs>
        <w:tab w:val="left" w:pos="709"/>
        <w:tab w:val="left" w:pos="1276"/>
        <w:tab w:val="right" w:leader="dot" w:pos="9040"/>
      </w:tabs>
      <w:spacing w:before="120"/>
      <w:ind w:left="1276" w:hanging="1134"/>
      <w:jc w:val="left"/>
    </w:pPr>
    <w:rPr>
      <w:b/>
      <w:bCs/>
      <w:caps/>
      <w:sz w:val="20"/>
      <w:szCs w:val="20"/>
    </w:rPr>
  </w:style>
  <w:style w:type="paragraph" w:customStyle="1" w:styleId="TOC31">
    <w:name w:val="TOC 31"/>
    <w:basedOn w:val="Normal"/>
    <w:next w:val="Normal"/>
    <w:autoRedefine/>
    <w:uiPriority w:val="39"/>
    <w:qFormat/>
    <w:rsid w:val="001A6FF0"/>
    <w:pPr>
      <w:spacing w:after="0"/>
      <w:ind w:left="480"/>
      <w:jc w:val="left"/>
    </w:pPr>
    <w:rPr>
      <w:i/>
      <w:iCs/>
      <w:sz w:val="20"/>
      <w:szCs w:val="20"/>
    </w:rPr>
  </w:style>
  <w:style w:type="paragraph" w:customStyle="1" w:styleId="TableofFigures1">
    <w:name w:val="Table of Figures1"/>
    <w:basedOn w:val="Normal"/>
    <w:next w:val="Normal"/>
    <w:uiPriority w:val="99"/>
    <w:rsid w:val="001A6FF0"/>
    <w:pPr>
      <w:spacing w:after="0"/>
      <w:ind w:left="480" w:hanging="480"/>
      <w:jc w:val="left"/>
    </w:pPr>
    <w:rPr>
      <w:smallCaps/>
      <w:sz w:val="20"/>
      <w:szCs w:val="20"/>
    </w:rPr>
  </w:style>
  <w:style w:type="paragraph" w:customStyle="1" w:styleId="TOC41">
    <w:name w:val="TOC 41"/>
    <w:basedOn w:val="Normal"/>
    <w:next w:val="Normal"/>
    <w:autoRedefine/>
    <w:uiPriority w:val="39"/>
    <w:rsid w:val="001A6FF0"/>
    <w:pPr>
      <w:spacing w:after="0"/>
      <w:ind w:left="720"/>
      <w:jc w:val="left"/>
    </w:pPr>
    <w:rPr>
      <w:sz w:val="18"/>
      <w:szCs w:val="18"/>
    </w:rPr>
  </w:style>
  <w:style w:type="paragraph" w:customStyle="1" w:styleId="TOC51">
    <w:name w:val="TOC 51"/>
    <w:basedOn w:val="Normal"/>
    <w:next w:val="Normal"/>
    <w:autoRedefine/>
    <w:uiPriority w:val="39"/>
    <w:rsid w:val="001A6FF0"/>
    <w:pPr>
      <w:spacing w:after="0"/>
      <w:ind w:left="960"/>
      <w:jc w:val="left"/>
    </w:pPr>
    <w:rPr>
      <w:sz w:val="18"/>
      <w:szCs w:val="18"/>
    </w:rPr>
  </w:style>
  <w:style w:type="paragraph" w:customStyle="1" w:styleId="TOC61">
    <w:name w:val="TOC 61"/>
    <w:basedOn w:val="Normal"/>
    <w:next w:val="Normal"/>
    <w:autoRedefine/>
    <w:uiPriority w:val="39"/>
    <w:rsid w:val="001A6FF0"/>
    <w:pPr>
      <w:spacing w:after="0"/>
      <w:ind w:left="1200"/>
      <w:jc w:val="left"/>
    </w:pPr>
    <w:rPr>
      <w:sz w:val="18"/>
      <w:szCs w:val="18"/>
    </w:rPr>
  </w:style>
  <w:style w:type="paragraph" w:customStyle="1" w:styleId="TOC71">
    <w:name w:val="TOC 71"/>
    <w:basedOn w:val="Normal"/>
    <w:next w:val="Normal"/>
    <w:autoRedefine/>
    <w:uiPriority w:val="39"/>
    <w:rsid w:val="001A6FF0"/>
    <w:pPr>
      <w:spacing w:after="0"/>
      <w:ind w:left="1440"/>
      <w:jc w:val="left"/>
    </w:pPr>
    <w:rPr>
      <w:sz w:val="18"/>
      <w:szCs w:val="18"/>
    </w:rPr>
  </w:style>
  <w:style w:type="paragraph" w:customStyle="1" w:styleId="TOC81">
    <w:name w:val="TOC 81"/>
    <w:basedOn w:val="Normal"/>
    <w:next w:val="Normal"/>
    <w:autoRedefine/>
    <w:uiPriority w:val="39"/>
    <w:rsid w:val="001A6FF0"/>
    <w:pPr>
      <w:spacing w:after="0"/>
      <w:ind w:left="1680"/>
      <w:jc w:val="left"/>
    </w:pPr>
    <w:rPr>
      <w:sz w:val="18"/>
      <w:szCs w:val="18"/>
    </w:rPr>
  </w:style>
  <w:style w:type="paragraph" w:customStyle="1" w:styleId="TOC91">
    <w:name w:val="TOC 91"/>
    <w:basedOn w:val="Normal"/>
    <w:next w:val="Normal"/>
    <w:autoRedefine/>
    <w:uiPriority w:val="39"/>
    <w:rsid w:val="001A6FF0"/>
    <w:pPr>
      <w:spacing w:after="0"/>
      <w:ind w:left="1920"/>
      <w:jc w:val="left"/>
    </w:pPr>
    <w:rPr>
      <w:sz w:val="18"/>
      <w:szCs w:val="18"/>
    </w:rPr>
  </w:style>
  <w:style w:type="paragraph" w:customStyle="1" w:styleId="Subtitle10">
    <w:name w:val="Subtitle1"/>
    <w:basedOn w:val="Normal"/>
    <w:next w:val="Normal"/>
    <w:rsid w:val="001A6FF0"/>
    <w:pPr>
      <w:numPr>
        <w:ilvl w:val="1"/>
      </w:numPr>
    </w:pPr>
    <w:rPr>
      <w:rFonts w:ascii="Cambria" w:hAnsi="Cambria"/>
      <w:i/>
      <w:iCs/>
      <w:color w:val="4F81BD"/>
      <w:spacing w:val="15"/>
    </w:rPr>
  </w:style>
  <w:style w:type="character" w:customStyle="1" w:styleId="SubtleEmphasis1">
    <w:name w:val="Subtle Emphasis1"/>
    <w:basedOn w:val="DefaultParagraphFont"/>
    <w:uiPriority w:val="19"/>
    <w:rsid w:val="001A6FF0"/>
    <w:rPr>
      <w:i/>
      <w:iCs/>
      <w:color w:val="808080"/>
    </w:rPr>
  </w:style>
  <w:style w:type="numbering" w:customStyle="1" w:styleId="NoList11">
    <w:name w:val="No List11"/>
    <w:next w:val="NoList"/>
    <w:uiPriority w:val="99"/>
    <w:semiHidden/>
    <w:unhideWhenUsed/>
    <w:rsid w:val="001A6FF0"/>
  </w:style>
  <w:style w:type="paragraph" w:customStyle="1" w:styleId="TOCHeading1">
    <w:name w:val="TOC Heading1"/>
    <w:basedOn w:val="Heading1"/>
    <w:next w:val="Normal"/>
    <w:uiPriority w:val="39"/>
    <w:unhideWhenUsed/>
    <w:qFormat/>
    <w:rsid w:val="001A6FF0"/>
    <w:pPr>
      <w:numPr>
        <w:numId w:val="0"/>
      </w:numPr>
      <w:tabs>
        <w:tab w:val="clear" w:pos="567"/>
      </w:tabs>
      <w:spacing w:after="0"/>
      <w:ind w:left="360" w:hanging="360"/>
      <w:jc w:val="left"/>
      <w:outlineLvl w:val="9"/>
    </w:pPr>
    <w:rPr>
      <w:caps w:val="0"/>
      <w:color w:val="365F91"/>
      <w:lang w:val="en-US" w:eastAsia="ja-JP"/>
    </w:rPr>
  </w:style>
  <w:style w:type="character" w:customStyle="1" w:styleId="SubtitleChar1">
    <w:name w:val="Subtitle Char1"/>
    <w:basedOn w:val="DefaultParagraphFont"/>
    <w:rsid w:val="001A6FF0"/>
    <w:rPr>
      <w:rFonts w:asciiTheme="majorHAnsi" w:eastAsiaTheme="majorEastAsia" w:hAnsiTheme="majorHAnsi" w:cstheme="majorBidi"/>
      <w:i/>
      <w:iCs/>
      <w:color w:val="4F81BD" w:themeColor="accent1"/>
      <w:spacing w:val="15"/>
      <w:sz w:val="24"/>
      <w:szCs w:val="24"/>
    </w:rPr>
  </w:style>
  <w:style w:type="paragraph" w:customStyle="1" w:styleId="EndNoteBibliographyTitle">
    <w:name w:val="EndNote Bibliography Title"/>
    <w:basedOn w:val="Normal"/>
    <w:link w:val="EndNoteBibliographyTitleChar"/>
    <w:rsid w:val="00B05798"/>
    <w:pPr>
      <w:spacing w:after="0"/>
      <w:jc w:val="center"/>
    </w:pPr>
    <w:rPr>
      <w:rFonts w:ascii="Times New Roman" w:hAnsi="Times New Roman"/>
      <w:noProof/>
      <w:lang w:val="en-US"/>
    </w:rPr>
  </w:style>
  <w:style w:type="character" w:customStyle="1" w:styleId="EndNoteBibliographyTitleChar">
    <w:name w:val="EndNote Bibliography Title Char"/>
    <w:basedOn w:val="DefaultParagraphFont"/>
    <w:link w:val="EndNoteBibliographyTitle"/>
    <w:rsid w:val="00B05798"/>
    <w:rPr>
      <w:noProof/>
      <w:lang w:val="en-US" w:eastAsia="en-US"/>
    </w:rPr>
  </w:style>
  <w:style w:type="paragraph" w:customStyle="1" w:styleId="EndNoteBibliography">
    <w:name w:val="EndNote Bibliography"/>
    <w:basedOn w:val="Normal"/>
    <w:link w:val="EndNoteBibliographyChar"/>
    <w:rsid w:val="00B05798"/>
    <w:pPr>
      <w:spacing w:line="240" w:lineRule="auto"/>
    </w:pPr>
    <w:rPr>
      <w:rFonts w:ascii="Times New Roman" w:hAnsi="Times New Roman"/>
      <w:noProof/>
      <w:lang w:val="en-US"/>
    </w:rPr>
  </w:style>
  <w:style w:type="character" w:customStyle="1" w:styleId="EndNoteBibliographyChar">
    <w:name w:val="EndNote Bibliography Char"/>
    <w:basedOn w:val="DefaultParagraphFont"/>
    <w:link w:val="EndNoteBibliography"/>
    <w:rsid w:val="00B05798"/>
    <w:rPr>
      <w:noProof/>
      <w:lang w:val="en-US" w:eastAsia="en-US"/>
    </w:rPr>
  </w:style>
  <w:style w:type="paragraph" w:customStyle="1" w:styleId="Subbullet">
    <w:name w:val="Subbullet"/>
    <w:basedOn w:val="Bullet"/>
    <w:qFormat/>
    <w:rsid w:val="007705CF"/>
    <w:pPr>
      <w:numPr>
        <w:numId w:val="83"/>
      </w:numPr>
      <w:shd w:val="clear" w:color="auto" w:fill="FFFFFF"/>
      <w:autoSpaceDE w:val="0"/>
      <w:autoSpaceDN w:val="0"/>
      <w:adjustRightInd w:val="0"/>
      <w:spacing w:after="90" w:line="240" w:lineRule="auto"/>
      <w:ind w:left="709" w:hanging="345"/>
      <w:jc w:val="left"/>
    </w:pPr>
    <w:rPr>
      <w:rFonts w:ascii="Calibri" w:eastAsia="Calibri" w:hAnsi="Calibri"/>
      <w:szCs w:val="22"/>
    </w:rPr>
  </w:style>
  <w:style w:type="paragraph" w:customStyle="1" w:styleId="Fundingsummary">
    <w:name w:val="Funding summary"/>
    <w:basedOn w:val="Normal"/>
    <w:qFormat/>
    <w:rsid w:val="007705CF"/>
    <w:pPr>
      <w:pBdr>
        <w:top w:val="single" w:sz="4" w:space="1" w:color="4F81BD" w:themeColor="accent1"/>
        <w:left w:val="single" w:sz="4" w:space="4" w:color="4F81BD" w:themeColor="accent1"/>
        <w:bottom w:val="single" w:sz="4" w:space="1" w:color="4F81BD" w:themeColor="accent1"/>
        <w:right w:val="single" w:sz="4" w:space="4" w:color="4F81BD" w:themeColor="accent1"/>
      </w:pBdr>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table of figures"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semiHidden="0" w:uiPriority="99" w:unhideWhenUsed="0"/>
    <w:lsdException w:name="No Spacing" w:semiHidden="0" w:uiPriority="1"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qFormat="1"/>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uiPriority="39" w:qFormat="1"/>
  </w:latentStyles>
  <w:style w:type="paragraph" w:default="1" w:styleId="Normal">
    <w:name w:val="Normal"/>
    <w:qFormat/>
    <w:rsid w:val="001203B5"/>
    <w:pPr>
      <w:spacing w:after="120" w:line="276" w:lineRule="auto"/>
      <w:jc w:val="both"/>
    </w:pPr>
    <w:rPr>
      <w:rFonts w:ascii="Calibri" w:hAnsi="Calibri"/>
      <w:lang w:eastAsia="en-US"/>
    </w:rPr>
  </w:style>
  <w:style w:type="paragraph" w:styleId="Heading1">
    <w:name w:val="heading 1"/>
    <w:basedOn w:val="Normal"/>
    <w:next w:val="Normal"/>
    <w:link w:val="Heading1Char"/>
    <w:uiPriority w:val="99"/>
    <w:qFormat/>
    <w:rsid w:val="000B4FB1"/>
    <w:pPr>
      <w:keepNext/>
      <w:keepLines/>
      <w:numPr>
        <w:numId w:val="23"/>
      </w:numPr>
      <w:tabs>
        <w:tab w:val="left" w:pos="567"/>
      </w:tabs>
      <w:spacing w:before="480" w:after="240"/>
      <w:outlineLvl w:val="0"/>
    </w:pPr>
    <w:rPr>
      <w:rFonts w:ascii="Cambria" w:hAnsi="Cambria"/>
      <w:b/>
      <w:bCs/>
      <w:caps/>
      <w:noProof/>
      <w:color w:val="002060"/>
      <w:sz w:val="28"/>
      <w:szCs w:val="28"/>
      <w:lang w:eastAsia="en-AU"/>
    </w:rPr>
  </w:style>
  <w:style w:type="paragraph" w:styleId="Heading2">
    <w:name w:val="heading 2"/>
    <w:basedOn w:val="Normal"/>
    <w:next w:val="Normal"/>
    <w:link w:val="Heading2Char"/>
    <w:uiPriority w:val="9"/>
    <w:qFormat/>
    <w:rsid w:val="00D60032"/>
    <w:pPr>
      <w:keepNext/>
      <w:keepLines/>
      <w:numPr>
        <w:ilvl w:val="1"/>
        <w:numId w:val="23"/>
      </w:numPr>
      <w:tabs>
        <w:tab w:val="left" w:pos="1418"/>
      </w:tabs>
      <w:spacing w:before="240"/>
      <w:outlineLvl w:val="1"/>
    </w:pPr>
    <w:rPr>
      <w:rFonts w:ascii="Cambria" w:hAnsi="Cambria"/>
      <w:bCs/>
      <w:noProof/>
      <w:color w:val="002060"/>
      <w:sz w:val="28"/>
      <w:szCs w:val="26"/>
      <w:lang w:eastAsia="en-AU"/>
    </w:rPr>
  </w:style>
  <w:style w:type="paragraph" w:styleId="Heading3">
    <w:name w:val="heading 3"/>
    <w:basedOn w:val="Normal"/>
    <w:next w:val="Normal"/>
    <w:link w:val="Heading3Char"/>
    <w:uiPriority w:val="9"/>
    <w:qFormat/>
    <w:rsid w:val="00DB4EE8"/>
    <w:pPr>
      <w:keepNext/>
      <w:keepLines/>
      <w:spacing w:before="240"/>
      <w:outlineLvl w:val="2"/>
    </w:pPr>
    <w:rPr>
      <w:rFonts w:asciiTheme="majorHAnsi" w:hAnsiTheme="majorHAnsi" w:cs="Calibri"/>
      <w:bCs/>
      <w:color w:val="002060"/>
    </w:rPr>
  </w:style>
  <w:style w:type="paragraph" w:styleId="Heading4">
    <w:name w:val="heading 4"/>
    <w:basedOn w:val="Normal"/>
    <w:next w:val="Normal"/>
    <w:link w:val="Heading4Char"/>
    <w:qFormat/>
    <w:rsid w:val="006429F9"/>
    <w:pPr>
      <w:keepNext/>
      <w:keepLines/>
      <w:spacing w:before="200"/>
      <w:outlineLvl w:val="3"/>
    </w:pPr>
    <w:rPr>
      <w:rFonts w:ascii="Cambria" w:hAnsi="Cambria"/>
      <w:bCs/>
      <w:i/>
      <w:iCs/>
      <w:color w:val="365F91" w:themeColor="accent1" w:themeShade="BF"/>
    </w:rPr>
  </w:style>
  <w:style w:type="paragraph" w:styleId="Heading5">
    <w:name w:val="heading 5"/>
    <w:basedOn w:val="Normal"/>
    <w:next w:val="Normal"/>
    <w:link w:val="Heading5Char"/>
    <w:qFormat/>
    <w:rsid w:val="009975FD"/>
    <w:pPr>
      <w:keepNext/>
      <w:keepLines/>
      <w:tabs>
        <w:tab w:val="left" w:pos="1106"/>
      </w:tabs>
      <w:spacing w:before="200" w:line="240" w:lineRule="auto"/>
      <w:outlineLvl w:val="4"/>
    </w:pPr>
    <w:rPr>
      <w:rFonts w:ascii="Cambria" w:hAnsi="Cambria"/>
      <w:color w:val="243F60"/>
    </w:rPr>
  </w:style>
  <w:style w:type="paragraph" w:styleId="Heading6">
    <w:name w:val="heading 6"/>
    <w:basedOn w:val="Normal"/>
    <w:next w:val="Normal"/>
    <w:link w:val="Heading6Char"/>
    <w:qFormat/>
    <w:rsid w:val="004A7040"/>
    <w:pPr>
      <w:keepNext/>
      <w:keepLines/>
      <w:spacing w:before="200"/>
      <w:outlineLvl w:val="5"/>
    </w:pPr>
    <w:rPr>
      <w:rFonts w:ascii="Cambria" w:hAnsi="Cambria"/>
      <w:i/>
      <w:iCs/>
      <w:color w:val="243F60"/>
    </w:rPr>
  </w:style>
  <w:style w:type="paragraph" w:styleId="Heading7">
    <w:name w:val="heading 7"/>
    <w:basedOn w:val="Normal"/>
    <w:next w:val="Normal"/>
    <w:link w:val="Heading7Char"/>
    <w:qFormat/>
    <w:rsid w:val="004A7040"/>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4A7040"/>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rsid w:val="004A7040"/>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B4FB1"/>
    <w:rPr>
      <w:rFonts w:ascii="Cambria" w:hAnsi="Cambria"/>
      <w:b/>
      <w:bCs/>
      <w:caps/>
      <w:noProof/>
      <w:color w:val="002060"/>
      <w:sz w:val="28"/>
      <w:szCs w:val="28"/>
    </w:rPr>
  </w:style>
  <w:style w:type="character" w:customStyle="1" w:styleId="Heading2Char">
    <w:name w:val="Heading 2 Char"/>
    <w:basedOn w:val="DefaultParagraphFont"/>
    <w:link w:val="Heading2"/>
    <w:uiPriority w:val="9"/>
    <w:rsid w:val="00D60032"/>
    <w:rPr>
      <w:rFonts w:ascii="Cambria" w:hAnsi="Cambria"/>
      <w:bCs/>
      <w:noProof/>
      <w:color w:val="002060"/>
      <w:sz w:val="28"/>
      <w:szCs w:val="26"/>
    </w:rPr>
  </w:style>
  <w:style w:type="character" w:customStyle="1" w:styleId="Heading3Char">
    <w:name w:val="Heading 3 Char"/>
    <w:basedOn w:val="DefaultParagraphFont"/>
    <w:link w:val="Heading3"/>
    <w:uiPriority w:val="9"/>
    <w:rsid w:val="00DB4EE8"/>
    <w:rPr>
      <w:rFonts w:asciiTheme="majorHAnsi" w:hAnsiTheme="majorHAnsi" w:cs="Calibri"/>
      <w:bCs/>
      <w:color w:val="002060"/>
      <w:lang w:eastAsia="en-US"/>
    </w:rPr>
  </w:style>
  <w:style w:type="character" w:customStyle="1" w:styleId="Heading4Char">
    <w:name w:val="Heading 4 Char"/>
    <w:basedOn w:val="DefaultParagraphFont"/>
    <w:link w:val="Heading4"/>
    <w:rsid w:val="006429F9"/>
    <w:rPr>
      <w:rFonts w:ascii="Cambria" w:hAnsi="Cambria"/>
      <w:bCs/>
      <w:i/>
      <w:iCs/>
      <w:color w:val="365F91" w:themeColor="accent1" w:themeShade="BF"/>
      <w:lang w:eastAsia="en-US"/>
    </w:rPr>
  </w:style>
  <w:style w:type="character" w:customStyle="1" w:styleId="Heading5Char">
    <w:name w:val="Heading 5 Char"/>
    <w:basedOn w:val="DefaultParagraphFont"/>
    <w:link w:val="Heading5"/>
    <w:rsid w:val="009975FD"/>
    <w:rPr>
      <w:rFonts w:ascii="Cambria" w:hAnsi="Cambria"/>
      <w:color w:val="243F60"/>
      <w:sz w:val="24"/>
      <w:szCs w:val="24"/>
      <w:lang w:eastAsia="en-US"/>
    </w:rPr>
  </w:style>
  <w:style w:type="character" w:customStyle="1" w:styleId="Heading6Char">
    <w:name w:val="Heading 6 Char"/>
    <w:basedOn w:val="DefaultParagraphFont"/>
    <w:link w:val="Heading6"/>
    <w:rsid w:val="004A7040"/>
    <w:rPr>
      <w:rFonts w:ascii="Cambria" w:hAnsi="Cambria"/>
      <w:i/>
      <w:iCs/>
      <w:color w:val="243F60"/>
      <w:sz w:val="24"/>
      <w:szCs w:val="24"/>
      <w:lang w:eastAsia="en-US"/>
    </w:rPr>
  </w:style>
  <w:style w:type="character" w:customStyle="1" w:styleId="Heading7Char">
    <w:name w:val="Heading 7 Char"/>
    <w:basedOn w:val="DefaultParagraphFont"/>
    <w:link w:val="Heading7"/>
    <w:rsid w:val="004A7040"/>
    <w:rPr>
      <w:rFonts w:ascii="Cambria" w:hAnsi="Cambria"/>
      <w:i/>
      <w:iCs/>
      <w:color w:val="404040"/>
      <w:sz w:val="24"/>
      <w:szCs w:val="24"/>
      <w:lang w:eastAsia="en-US"/>
    </w:rPr>
  </w:style>
  <w:style w:type="character" w:customStyle="1" w:styleId="Heading8Char">
    <w:name w:val="Heading 8 Char"/>
    <w:basedOn w:val="DefaultParagraphFont"/>
    <w:link w:val="Heading8"/>
    <w:rsid w:val="004A7040"/>
    <w:rPr>
      <w:rFonts w:ascii="Cambria" w:hAnsi="Cambria"/>
      <w:color w:val="404040"/>
      <w:lang w:eastAsia="en-US"/>
    </w:rPr>
  </w:style>
  <w:style w:type="character" w:customStyle="1" w:styleId="Heading9Char">
    <w:name w:val="Heading 9 Char"/>
    <w:basedOn w:val="DefaultParagraphFont"/>
    <w:link w:val="Heading9"/>
    <w:rsid w:val="004A7040"/>
    <w:rPr>
      <w:rFonts w:ascii="Cambria" w:hAnsi="Cambria"/>
      <w:i/>
      <w:iCs/>
      <w:color w:val="404040"/>
      <w:lang w:eastAsia="en-US"/>
    </w:rPr>
  </w:style>
  <w:style w:type="paragraph" w:customStyle="1" w:styleId="Default">
    <w:name w:val="Default"/>
    <w:link w:val="DefaultChar"/>
    <w:rsid w:val="00E62C9A"/>
    <w:pPr>
      <w:autoSpaceDE w:val="0"/>
      <w:autoSpaceDN w:val="0"/>
      <w:adjustRightInd w:val="0"/>
    </w:pPr>
    <w:rPr>
      <w:color w:val="000000"/>
    </w:rPr>
  </w:style>
  <w:style w:type="paragraph" w:customStyle="1" w:styleId="Style1">
    <w:name w:val="Style 1"/>
    <w:rsid w:val="006F6BC5"/>
    <w:pPr>
      <w:widowControl w:val="0"/>
      <w:autoSpaceDE w:val="0"/>
      <w:autoSpaceDN w:val="0"/>
      <w:adjustRightInd w:val="0"/>
    </w:pPr>
    <w:rPr>
      <w:lang w:val="en-US"/>
    </w:rPr>
  </w:style>
  <w:style w:type="paragraph" w:styleId="Caption">
    <w:name w:val="caption"/>
    <w:aliases w:val="Table and Figure name,Caption Char2 Char,Caption Char Char Char2,Caption Char1 Char Char Char1,Caption Char2 Char Char Char1 Char1,Caption Char Char1 Char Char Char1 Char1,Caption Char1 Char Char Char Char Char Char,Caption Char Char1"/>
    <w:basedOn w:val="Normal"/>
    <w:next w:val="Normal"/>
    <w:link w:val="CaptionChar"/>
    <w:qFormat/>
    <w:rsid w:val="001203B5"/>
    <w:pPr>
      <w:tabs>
        <w:tab w:val="left" w:pos="851"/>
      </w:tabs>
      <w:spacing w:before="240" w:after="160"/>
    </w:pPr>
    <w:rPr>
      <w:rFonts w:ascii="Cambria" w:hAnsi="Cambria"/>
      <w:bCs/>
      <w:color w:val="1F497D"/>
      <w:szCs w:val="18"/>
    </w:rPr>
  </w:style>
  <w:style w:type="paragraph" w:styleId="Title">
    <w:name w:val="Title"/>
    <w:basedOn w:val="Normal"/>
    <w:link w:val="TitleChar"/>
    <w:qFormat/>
    <w:rsid w:val="001203B5"/>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1203B5"/>
    <w:rPr>
      <w:rFonts w:ascii="Cambria" w:hAnsi="Cambria"/>
      <w:color w:val="17365D"/>
      <w:spacing w:val="5"/>
      <w:kern w:val="28"/>
      <w:sz w:val="52"/>
      <w:szCs w:val="52"/>
      <w:lang w:eastAsia="en-US"/>
    </w:rPr>
  </w:style>
  <w:style w:type="paragraph" w:styleId="Quote">
    <w:name w:val="Quote"/>
    <w:basedOn w:val="Normal"/>
    <w:link w:val="QuoteChar"/>
    <w:qFormat/>
    <w:rsid w:val="004A7040"/>
    <w:rPr>
      <w:i/>
      <w:iCs/>
      <w:color w:val="000000"/>
    </w:rPr>
  </w:style>
  <w:style w:type="character" w:customStyle="1" w:styleId="QuoteChar">
    <w:name w:val="Quote Char"/>
    <w:basedOn w:val="DefaultParagraphFont"/>
    <w:link w:val="Quote"/>
    <w:uiPriority w:val="29"/>
    <w:rsid w:val="004A7040"/>
    <w:rPr>
      <w:i/>
      <w:iCs/>
      <w:color w:val="000000"/>
      <w:sz w:val="24"/>
      <w:szCs w:val="24"/>
      <w:lang w:eastAsia="en-US"/>
    </w:rPr>
  </w:style>
  <w:style w:type="character" w:styleId="Hyperlink">
    <w:name w:val="Hyperlink"/>
    <w:basedOn w:val="DefaultParagraphFont"/>
    <w:uiPriority w:val="99"/>
    <w:rsid w:val="006F6BC5"/>
    <w:rPr>
      <w:color w:val="0000FF"/>
      <w:u w:val="single"/>
    </w:rPr>
  </w:style>
  <w:style w:type="paragraph" w:styleId="Header">
    <w:name w:val="header"/>
    <w:basedOn w:val="Normal"/>
    <w:link w:val="HeaderChar"/>
    <w:rsid w:val="006F6BC5"/>
    <w:pPr>
      <w:tabs>
        <w:tab w:val="center" w:pos="4153"/>
        <w:tab w:val="right" w:pos="8306"/>
      </w:tabs>
    </w:pPr>
    <w:rPr>
      <w:lang w:val="en-US"/>
    </w:rPr>
  </w:style>
  <w:style w:type="character" w:customStyle="1" w:styleId="HeaderChar">
    <w:name w:val="Header Char"/>
    <w:basedOn w:val="DefaultParagraphFont"/>
    <w:link w:val="Header"/>
    <w:rsid w:val="006F6BC5"/>
    <w:rPr>
      <w:sz w:val="24"/>
      <w:szCs w:val="24"/>
      <w:lang w:val="en-US" w:eastAsia="en-US"/>
    </w:rPr>
  </w:style>
  <w:style w:type="paragraph" w:styleId="TOC2">
    <w:name w:val="toc 2"/>
    <w:basedOn w:val="Normal"/>
    <w:next w:val="Normal"/>
    <w:autoRedefine/>
    <w:uiPriority w:val="39"/>
    <w:qFormat/>
    <w:rsid w:val="00CE6EAE"/>
    <w:pPr>
      <w:spacing w:after="0"/>
      <w:ind w:left="240"/>
      <w:jc w:val="left"/>
    </w:pPr>
    <w:rPr>
      <w:rFonts w:asciiTheme="minorHAnsi" w:hAnsiTheme="minorHAnsi"/>
      <w:smallCaps/>
      <w:sz w:val="20"/>
      <w:szCs w:val="20"/>
    </w:rPr>
  </w:style>
  <w:style w:type="paragraph" w:styleId="TOC1">
    <w:name w:val="toc 1"/>
    <w:basedOn w:val="Normal"/>
    <w:next w:val="Normal"/>
    <w:autoRedefine/>
    <w:uiPriority w:val="39"/>
    <w:qFormat/>
    <w:rsid w:val="00847A6D"/>
    <w:pPr>
      <w:tabs>
        <w:tab w:val="left" w:pos="709"/>
        <w:tab w:val="left" w:pos="1276"/>
        <w:tab w:val="right" w:leader="dot" w:pos="9040"/>
      </w:tabs>
      <w:spacing w:before="120"/>
      <w:ind w:left="1276" w:hanging="1134"/>
      <w:jc w:val="left"/>
    </w:pPr>
    <w:rPr>
      <w:rFonts w:asciiTheme="minorHAnsi" w:hAnsiTheme="minorHAnsi"/>
      <w:b/>
      <w:bCs/>
      <w:caps/>
      <w:sz w:val="20"/>
      <w:szCs w:val="20"/>
    </w:rPr>
  </w:style>
  <w:style w:type="paragraph" w:styleId="TOC3">
    <w:name w:val="toc 3"/>
    <w:basedOn w:val="Normal"/>
    <w:next w:val="Normal"/>
    <w:autoRedefine/>
    <w:uiPriority w:val="39"/>
    <w:qFormat/>
    <w:rsid w:val="00F403AD"/>
    <w:pPr>
      <w:spacing w:after="0"/>
      <w:ind w:left="480"/>
      <w:jc w:val="left"/>
    </w:pPr>
    <w:rPr>
      <w:rFonts w:asciiTheme="minorHAnsi" w:hAnsiTheme="minorHAnsi"/>
      <w:i/>
      <w:iCs/>
      <w:sz w:val="20"/>
      <w:szCs w:val="20"/>
    </w:rPr>
  </w:style>
  <w:style w:type="paragraph" w:styleId="Footer">
    <w:name w:val="footer"/>
    <w:basedOn w:val="Normal"/>
    <w:link w:val="FooterChar"/>
    <w:uiPriority w:val="99"/>
    <w:rsid w:val="000517FC"/>
    <w:pPr>
      <w:tabs>
        <w:tab w:val="center" w:pos="4513"/>
        <w:tab w:val="right" w:pos="9026"/>
      </w:tabs>
    </w:pPr>
  </w:style>
  <w:style w:type="character" w:customStyle="1" w:styleId="FooterChar">
    <w:name w:val="Footer Char"/>
    <w:basedOn w:val="DefaultParagraphFont"/>
    <w:link w:val="Footer"/>
    <w:uiPriority w:val="99"/>
    <w:rsid w:val="000517FC"/>
    <w:rPr>
      <w:sz w:val="24"/>
      <w:szCs w:val="24"/>
      <w:lang w:eastAsia="en-US"/>
    </w:rPr>
  </w:style>
  <w:style w:type="paragraph" w:styleId="BalloonText">
    <w:name w:val="Balloon Text"/>
    <w:basedOn w:val="Normal"/>
    <w:link w:val="BalloonTextChar"/>
    <w:uiPriority w:val="99"/>
    <w:rsid w:val="000517FC"/>
    <w:rPr>
      <w:rFonts w:ascii="Tahoma" w:hAnsi="Tahoma" w:cs="Tahoma"/>
      <w:sz w:val="16"/>
      <w:szCs w:val="16"/>
    </w:rPr>
  </w:style>
  <w:style w:type="character" w:customStyle="1" w:styleId="BalloonTextChar">
    <w:name w:val="Balloon Text Char"/>
    <w:basedOn w:val="DefaultParagraphFont"/>
    <w:link w:val="BalloonText"/>
    <w:uiPriority w:val="99"/>
    <w:rsid w:val="000517FC"/>
    <w:rPr>
      <w:rFonts w:ascii="Tahoma" w:hAnsi="Tahoma" w:cs="Tahoma"/>
      <w:sz w:val="16"/>
      <w:szCs w:val="16"/>
      <w:lang w:eastAsia="en-US"/>
    </w:rPr>
  </w:style>
  <w:style w:type="paragraph" w:styleId="NoSpacing">
    <w:name w:val="No Spacing"/>
    <w:link w:val="NoSpacingChar"/>
    <w:uiPriority w:val="1"/>
    <w:rsid w:val="000517FC"/>
    <w:rPr>
      <w:rFonts w:ascii="Calibri" w:hAnsi="Calibri"/>
      <w:sz w:val="22"/>
      <w:szCs w:val="22"/>
      <w:lang w:val="en-US" w:eastAsia="en-US"/>
    </w:rPr>
  </w:style>
  <w:style w:type="character" w:customStyle="1" w:styleId="NoSpacingChar">
    <w:name w:val="No Spacing Char"/>
    <w:basedOn w:val="DefaultParagraphFont"/>
    <w:link w:val="NoSpacing"/>
    <w:uiPriority w:val="1"/>
    <w:rsid w:val="000517FC"/>
    <w:rPr>
      <w:rFonts w:ascii="Calibri" w:hAnsi="Calibri"/>
      <w:sz w:val="22"/>
      <w:szCs w:val="22"/>
      <w:lang w:val="en-US" w:eastAsia="en-US" w:bidi="ar-SA"/>
    </w:rPr>
  </w:style>
  <w:style w:type="paragraph" w:styleId="FootnoteText">
    <w:name w:val="footnote text"/>
    <w:basedOn w:val="Normal"/>
    <w:link w:val="FootnoteTextChar"/>
    <w:uiPriority w:val="99"/>
    <w:rsid w:val="00F02B99"/>
    <w:rPr>
      <w:sz w:val="20"/>
      <w:szCs w:val="20"/>
    </w:rPr>
  </w:style>
  <w:style w:type="character" w:customStyle="1" w:styleId="FootnoteTextChar">
    <w:name w:val="Footnote Text Char"/>
    <w:basedOn w:val="DefaultParagraphFont"/>
    <w:link w:val="FootnoteText"/>
    <w:uiPriority w:val="99"/>
    <w:rsid w:val="00F02B99"/>
    <w:rPr>
      <w:lang w:eastAsia="en-US"/>
    </w:rPr>
  </w:style>
  <w:style w:type="character" w:styleId="FootnoteReference">
    <w:name w:val="footnote reference"/>
    <w:basedOn w:val="DefaultParagraphFont"/>
    <w:uiPriority w:val="99"/>
    <w:rsid w:val="00F02B99"/>
    <w:rPr>
      <w:vertAlign w:val="superscript"/>
    </w:rPr>
  </w:style>
  <w:style w:type="character" w:styleId="CommentReference">
    <w:name w:val="annotation reference"/>
    <w:basedOn w:val="DefaultParagraphFont"/>
    <w:uiPriority w:val="99"/>
    <w:rsid w:val="00487D0F"/>
    <w:rPr>
      <w:sz w:val="16"/>
      <w:szCs w:val="16"/>
    </w:rPr>
  </w:style>
  <w:style w:type="paragraph" w:styleId="CommentText">
    <w:name w:val="annotation text"/>
    <w:basedOn w:val="Normal"/>
    <w:link w:val="CommentTextChar"/>
    <w:rsid w:val="00487D0F"/>
    <w:rPr>
      <w:sz w:val="20"/>
      <w:szCs w:val="20"/>
    </w:rPr>
  </w:style>
  <w:style w:type="character" w:customStyle="1" w:styleId="CommentTextChar">
    <w:name w:val="Comment Text Char"/>
    <w:basedOn w:val="DefaultParagraphFont"/>
    <w:link w:val="CommentText"/>
    <w:rsid w:val="00487D0F"/>
    <w:rPr>
      <w:lang w:eastAsia="en-US"/>
    </w:rPr>
  </w:style>
  <w:style w:type="paragraph" w:styleId="CommentSubject">
    <w:name w:val="annotation subject"/>
    <w:basedOn w:val="CommentText"/>
    <w:next w:val="CommentText"/>
    <w:link w:val="CommentSubjectChar"/>
    <w:uiPriority w:val="99"/>
    <w:rsid w:val="00487D0F"/>
    <w:rPr>
      <w:b/>
      <w:bCs/>
    </w:rPr>
  </w:style>
  <w:style w:type="character" w:customStyle="1" w:styleId="CommentSubjectChar">
    <w:name w:val="Comment Subject Char"/>
    <w:basedOn w:val="CommentTextChar"/>
    <w:link w:val="CommentSubject"/>
    <w:uiPriority w:val="99"/>
    <w:rsid w:val="00487D0F"/>
    <w:rPr>
      <w:b/>
      <w:bCs/>
      <w:lang w:eastAsia="en-US"/>
    </w:rPr>
  </w:style>
  <w:style w:type="paragraph" w:styleId="BodyTextIndent">
    <w:name w:val="Body Text Indent"/>
    <w:basedOn w:val="Normal"/>
    <w:link w:val="BodyTextIndentChar"/>
    <w:rsid w:val="00487D0F"/>
    <w:pPr>
      <w:spacing w:after="240"/>
      <w:ind w:left="720"/>
    </w:pPr>
    <w:rPr>
      <w:rFonts w:ascii="Garamond" w:hAnsi="Garamond"/>
      <w:sz w:val="22"/>
      <w:szCs w:val="20"/>
      <w:lang w:bidi="en-US"/>
    </w:rPr>
  </w:style>
  <w:style w:type="character" w:customStyle="1" w:styleId="BodyTextIndentChar">
    <w:name w:val="Body Text Indent Char"/>
    <w:basedOn w:val="DefaultParagraphFont"/>
    <w:link w:val="BodyTextIndent"/>
    <w:rsid w:val="00487D0F"/>
    <w:rPr>
      <w:rFonts w:ascii="Garamond" w:eastAsia="Times New Roman" w:hAnsi="Garamond" w:cs="Times New Roman"/>
      <w:sz w:val="22"/>
      <w:lang w:eastAsia="en-US" w:bidi="en-US"/>
    </w:rPr>
  </w:style>
  <w:style w:type="paragraph" w:styleId="ListParagraph">
    <w:name w:val="List Paragraph"/>
    <w:basedOn w:val="Normal"/>
    <w:uiPriority w:val="34"/>
    <w:qFormat/>
    <w:rsid w:val="00DD722F"/>
    <w:pPr>
      <w:numPr>
        <w:numId w:val="24"/>
      </w:numPr>
      <w:autoSpaceDE w:val="0"/>
      <w:autoSpaceDN w:val="0"/>
      <w:adjustRightInd w:val="0"/>
      <w:spacing w:line="240" w:lineRule="auto"/>
    </w:pPr>
    <w:rPr>
      <w:rFonts w:eastAsia="Calibri"/>
      <w:szCs w:val="22"/>
    </w:rPr>
  </w:style>
  <w:style w:type="paragraph" w:customStyle="1" w:styleId="Heading20">
    <w:name w:val="Heading2"/>
    <w:basedOn w:val="Default"/>
    <w:rsid w:val="00007B8B"/>
    <w:pPr>
      <w:spacing w:after="120"/>
    </w:pPr>
    <w:rPr>
      <w:rFonts w:ascii="Cambria" w:hAnsi="Cambria"/>
      <w:color w:val="1F497D"/>
      <w:sz w:val="28"/>
      <w:szCs w:val="20"/>
    </w:rPr>
  </w:style>
  <w:style w:type="paragraph" w:styleId="NormalWeb">
    <w:name w:val="Normal (Web)"/>
    <w:basedOn w:val="Normal"/>
    <w:uiPriority w:val="99"/>
    <w:unhideWhenUsed/>
    <w:rsid w:val="007671A1"/>
    <w:pPr>
      <w:spacing w:before="100" w:beforeAutospacing="1" w:after="100" w:afterAutospacing="1"/>
    </w:pPr>
    <w:rPr>
      <w:lang w:eastAsia="en-AU"/>
    </w:rPr>
  </w:style>
  <w:style w:type="character" w:styleId="Strong">
    <w:name w:val="Strong"/>
    <w:basedOn w:val="DefaultParagraphFont"/>
    <w:uiPriority w:val="22"/>
    <w:qFormat/>
    <w:rsid w:val="00030304"/>
    <w:rPr>
      <w:b/>
      <w:bCs/>
    </w:rPr>
  </w:style>
  <w:style w:type="character" w:customStyle="1" w:styleId="highlight">
    <w:name w:val="highlight"/>
    <w:basedOn w:val="DefaultParagraphFont"/>
    <w:rsid w:val="00030304"/>
  </w:style>
  <w:style w:type="paragraph" w:styleId="PlainText">
    <w:name w:val="Plain Text"/>
    <w:basedOn w:val="Normal"/>
    <w:link w:val="PlainTextChar"/>
    <w:uiPriority w:val="99"/>
    <w:unhideWhenUsed/>
    <w:rsid w:val="00944106"/>
    <w:rPr>
      <w:rFonts w:ascii="Arial Narrow" w:eastAsia="Calibri" w:hAnsi="Arial Narrow"/>
      <w:szCs w:val="21"/>
    </w:rPr>
  </w:style>
  <w:style w:type="character" w:customStyle="1" w:styleId="PlainTextChar">
    <w:name w:val="Plain Text Char"/>
    <w:basedOn w:val="DefaultParagraphFont"/>
    <w:link w:val="PlainText"/>
    <w:uiPriority w:val="99"/>
    <w:rsid w:val="00944106"/>
    <w:rPr>
      <w:rFonts w:ascii="Arial Narrow" w:eastAsia="Calibri" w:hAnsi="Arial Narrow" w:cs="Times New Roman"/>
      <w:sz w:val="24"/>
      <w:szCs w:val="21"/>
      <w:lang w:eastAsia="en-US"/>
    </w:rPr>
  </w:style>
  <w:style w:type="character" w:customStyle="1" w:styleId="kword">
    <w:name w:val="k_word"/>
    <w:basedOn w:val="DefaultParagraphFont"/>
    <w:rsid w:val="000E0475"/>
  </w:style>
  <w:style w:type="character" w:customStyle="1" w:styleId="highlightedsearchterm">
    <w:name w:val="highlightedsearchterm"/>
    <w:basedOn w:val="DefaultParagraphFont"/>
    <w:rsid w:val="00220761"/>
  </w:style>
  <w:style w:type="table" w:styleId="TableGrid">
    <w:name w:val="Table Grid"/>
    <w:basedOn w:val="TableNormal"/>
    <w:uiPriority w:val="59"/>
    <w:rsid w:val="00832A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Text"/>
    <w:basedOn w:val="Normal"/>
    <w:link w:val="TableTextChar"/>
    <w:rsid w:val="00D85F8D"/>
    <w:pPr>
      <w:keepNext/>
      <w:spacing w:before="40" w:after="40"/>
    </w:pPr>
    <w:rPr>
      <w:rFonts w:ascii="Arial Narrow" w:hAnsi="Arial Narrow"/>
      <w:sz w:val="18"/>
      <w:szCs w:val="20"/>
      <w:lang w:eastAsia="en-AU"/>
    </w:rPr>
  </w:style>
  <w:style w:type="paragraph" w:customStyle="1" w:styleId="TableHeading">
    <w:name w:val="TableHeading"/>
    <w:basedOn w:val="TableText"/>
    <w:link w:val="TableHeadingChar"/>
    <w:qFormat/>
    <w:rsid w:val="0065669A"/>
    <w:pPr>
      <w:jc w:val="left"/>
    </w:pPr>
    <w:rPr>
      <w:b/>
      <w:sz w:val="20"/>
    </w:rPr>
  </w:style>
  <w:style w:type="paragraph" w:customStyle="1" w:styleId="TableName">
    <w:name w:val="TableName"/>
    <w:basedOn w:val="TableText"/>
    <w:link w:val="TableNameChar"/>
    <w:rsid w:val="00D85F8D"/>
    <w:pPr>
      <w:spacing w:before="120" w:after="120"/>
      <w:ind w:left="1800" w:hanging="1080"/>
    </w:pPr>
    <w:rPr>
      <w:b/>
      <w:sz w:val="20"/>
    </w:rPr>
  </w:style>
  <w:style w:type="character" w:customStyle="1" w:styleId="TableNameChar">
    <w:name w:val="TableName Char"/>
    <w:basedOn w:val="DefaultParagraphFont"/>
    <w:link w:val="TableName"/>
    <w:rsid w:val="00D85F8D"/>
    <w:rPr>
      <w:rFonts w:ascii="Arial Narrow" w:hAnsi="Arial Narrow"/>
      <w:b/>
    </w:rPr>
  </w:style>
  <w:style w:type="paragraph" w:customStyle="1" w:styleId="TableNotes">
    <w:name w:val="TableNotes"/>
    <w:basedOn w:val="TableText"/>
    <w:link w:val="TableNotesChar"/>
    <w:rsid w:val="00D85F8D"/>
    <w:pPr>
      <w:keepNext w:val="0"/>
      <w:keepLines/>
      <w:spacing w:before="0" w:after="360"/>
      <w:ind w:left="1440" w:hanging="720"/>
    </w:pPr>
    <w:rPr>
      <w:sz w:val="16"/>
    </w:rPr>
  </w:style>
  <w:style w:type="character" w:customStyle="1" w:styleId="TableNotesChar">
    <w:name w:val="TableNotes Char"/>
    <w:basedOn w:val="DefaultParagraphFont"/>
    <w:link w:val="TableNotes"/>
    <w:rsid w:val="00D85F8D"/>
    <w:rPr>
      <w:rFonts w:ascii="Arial Narrow" w:hAnsi="Arial Narrow"/>
      <w:sz w:val="16"/>
    </w:rPr>
  </w:style>
  <w:style w:type="paragraph" w:styleId="BodyText">
    <w:name w:val="Body Text"/>
    <w:basedOn w:val="Normal"/>
    <w:link w:val="BodyTextChar"/>
    <w:rsid w:val="00A70A35"/>
    <w:rPr>
      <w:rFonts w:ascii="Helv" w:hAnsi="Helv"/>
      <w:b/>
      <w:i/>
      <w:snapToGrid w:val="0"/>
      <w:color w:val="000000"/>
      <w:sz w:val="28"/>
      <w:szCs w:val="20"/>
    </w:rPr>
  </w:style>
  <w:style w:type="character" w:customStyle="1" w:styleId="BodyTextChar">
    <w:name w:val="Body Text Char"/>
    <w:basedOn w:val="DefaultParagraphFont"/>
    <w:link w:val="BodyText"/>
    <w:rsid w:val="00A70A35"/>
    <w:rPr>
      <w:rFonts w:ascii="Helv" w:hAnsi="Helv"/>
      <w:b/>
      <w:i/>
      <w:snapToGrid w:val="0"/>
      <w:color w:val="000000"/>
      <w:sz w:val="28"/>
      <w:lang w:eastAsia="en-US"/>
    </w:rPr>
  </w:style>
  <w:style w:type="paragraph" w:customStyle="1" w:styleId="Bullet">
    <w:name w:val="Bullet"/>
    <w:basedOn w:val="Normal"/>
    <w:qFormat/>
    <w:rsid w:val="00A70A35"/>
    <w:pPr>
      <w:numPr>
        <w:numId w:val="1"/>
      </w:numPr>
      <w:spacing w:after="240"/>
    </w:pPr>
    <w:rPr>
      <w:rFonts w:ascii="Garamond" w:hAnsi="Garamond"/>
      <w:szCs w:val="20"/>
      <w:lang w:eastAsia="en-AU"/>
    </w:rPr>
  </w:style>
  <w:style w:type="paragraph" w:styleId="Date">
    <w:name w:val="Date"/>
    <w:basedOn w:val="Normal"/>
    <w:next w:val="Normal"/>
    <w:link w:val="DateChar"/>
    <w:rsid w:val="00A70A35"/>
    <w:pPr>
      <w:spacing w:after="240"/>
      <w:ind w:left="720" w:right="113"/>
      <w:jc w:val="right"/>
    </w:pPr>
    <w:rPr>
      <w:rFonts w:ascii="Arial" w:hAnsi="Arial"/>
      <w:b/>
      <w:sz w:val="36"/>
      <w:szCs w:val="20"/>
      <w:lang w:eastAsia="en-AU"/>
    </w:rPr>
  </w:style>
  <w:style w:type="character" w:customStyle="1" w:styleId="DateChar">
    <w:name w:val="Date Char"/>
    <w:basedOn w:val="DefaultParagraphFont"/>
    <w:link w:val="Date"/>
    <w:rsid w:val="00A70A35"/>
    <w:rPr>
      <w:rFonts w:ascii="Arial" w:hAnsi="Arial"/>
      <w:b/>
      <w:sz w:val="36"/>
    </w:rPr>
  </w:style>
  <w:style w:type="paragraph" w:customStyle="1" w:styleId="Heading1a0">
    <w:name w:val="Heading 1a"/>
    <w:basedOn w:val="Heading1"/>
    <w:rsid w:val="00A70A35"/>
    <w:pPr>
      <w:keepLines w:val="0"/>
      <w:pageBreakBefore/>
      <w:pBdr>
        <w:bottom w:val="single" w:sz="4" w:space="1" w:color="auto"/>
      </w:pBdr>
      <w:spacing w:before="0" w:after="360"/>
      <w:ind w:left="720"/>
      <w:outlineLvl w:val="9"/>
    </w:pPr>
    <w:rPr>
      <w:rFonts w:ascii="Tahoma" w:hAnsi="Tahoma"/>
      <w:bCs w:val="0"/>
      <w:color w:val="auto"/>
      <w:sz w:val="40"/>
      <w:szCs w:val="20"/>
    </w:rPr>
  </w:style>
  <w:style w:type="paragraph" w:customStyle="1" w:styleId="Heading2a">
    <w:name w:val="Heading 2a"/>
    <w:basedOn w:val="Heading2"/>
    <w:rsid w:val="00BF5601"/>
    <w:pPr>
      <w:keepLines w:val="0"/>
      <w:spacing w:after="240"/>
      <w:outlineLvl w:val="9"/>
    </w:pPr>
    <w:rPr>
      <w:rFonts w:ascii="Tahoma" w:hAnsi="Tahoma"/>
      <w:bCs w:val="0"/>
      <w:color w:val="auto"/>
      <w:szCs w:val="20"/>
    </w:rPr>
  </w:style>
  <w:style w:type="paragraph" w:customStyle="1" w:styleId="Heading3a">
    <w:name w:val="Heading 3a"/>
    <w:basedOn w:val="Heading3"/>
    <w:rsid w:val="00BF5601"/>
    <w:pPr>
      <w:keepLines w:val="0"/>
      <w:spacing w:after="240"/>
      <w:outlineLvl w:val="9"/>
    </w:pPr>
    <w:rPr>
      <w:b/>
      <w:bCs w:val="0"/>
      <w:color w:val="auto"/>
      <w:szCs w:val="20"/>
      <w:lang w:eastAsia="en-AU"/>
    </w:rPr>
  </w:style>
  <w:style w:type="character" w:styleId="PageNumber">
    <w:name w:val="page number"/>
    <w:basedOn w:val="DefaultParagraphFont"/>
    <w:rsid w:val="00A70A35"/>
    <w:rPr>
      <w:rFonts w:ascii="Tahoma" w:hAnsi="Tahoma"/>
      <w:b/>
      <w:sz w:val="18"/>
    </w:rPr>
  </w:style>
  <w:style w:type="paragraph" w:customStyle="1" w:styleId="PublicationTitle">
    <w:name w:val="PublicationTitle"/>
    <w:basedOn w:val="Normal"/>
    <w:rsid w:val="00A70A35"/>
    <w:pPr>
      <w:spacing w:after="240" w:line="480" w:lineRule="exact"/>
      <w:ind w:right="113"/>
      <w:jc w:val="right"/>
    </w:pPr>
    <w:rPr>
      <w:rFonts w:ascii="Arial" w:hAnsi="Arial"/>
      <w:b/>
      <w:i/>
      <w:sz w:val="44"/>
      <w:szCs w:val="20"/>
      <w:lang w:eastAsia="en-AU"/>
    </w:rPr>
  </w:style>
  <w:style w:type="paragraph" w:customStyle="1" w:styleId="QuoteBullet">
    <w:name w:val="Quote Bullet"/>
    <w:basedOn w:val="Normal"/>
    <w:rsid w:val="00A70A35"/>
    <w:pPr>
      <w:numPr>
        <w:numId w:val="2"/>
      </w:numPr>
      <w:spacing w:after="240"/>
    </w:pPr>
    <w:rPr>
      <w:rFonts w:ascii="Garamond" w:hAnsi="Garamond"/>
      <w:szCs w:val="20"/>
      <w:lang w:eastAsia="en-AU"/>
    </w:rPr>
  </w:style>
  <w:style w:type="paragraph" w:customStyle="1" w:styleId="References">
    <w:name w:val="References"/>
    <w:basedOn w:val="Normal"/>
    <w:rsid w:val="00A70A35"/>
    <w:pPr>
      <w:keepLines/>
      <w:spacing w:after="240"/>
      <w:ind w:left="1440" w:hanging="720"/>
    </w:pPr>
    <w:rPr>
      <w:rFonts w:ascii="Garamond" w:hAnsi="Garamond"/>
      <w:szCs w:val="20"/>
      <w:lang w:eastAsia="en-AU"/>
    </w:rPr>
  </w:style>
  <w:style w:type="paragraph" w:customStyle="1" w:styleId="Sub-title">
    <w:name w:val="Sub-title"/>
    <w:basedOn w:val="Normal"/>
    <w:rsid w:val="00A70A35"/>
    <w:pPr>
      <w:spacing w:after="240"/>
      <w:ind w:right="113"/>
      <w:jc w:val="right"/>
    </w:pPr>
    <w:rPr>
      <w:rFonts w:ascii="Arial" w:hAnsi="Arial"/>
      <w:b/>
      <w:sz w:val="32"/>
      <w:szCs w:val="20"/>
      <w:lang w:eastAsia="en-AU"/>
    </w:rPr>
  </w:style>
  <w:style w:type="paragraph" w:styleId="TableofFigures">
    <w:name w:val="table of figures"/>
    <w:basedOn w:val="Normal"/>
    <w:next w:val="Normal"/>
    <w:uiPriority w:val="99"/>
    <w:rsid w:val="00742BC5"/>
    <w:pPr>
      <w:spacing w:after="0"/>
      <w:ind w:left="480" w:hanging="480"/>
      <w:jc w:val="left"/>
    </w:pPr>
    <w:rPr>
      <w:rFonts w:asciiTheme="minorHAnsi" w:hAnsiTheme="minorHAnsi"/>
      <w:smallCaps/>
      <w:sz w:val="20"/>
      <w:szCs w:val="20"/>
    </w:rPr>
  </w:style>
  <w:style w:type="paragraph" w:styleId="TOC4">
    <w:name w:val="toc 4"/>
    <w:basedOn w:val="Normal"/>
    <w:next w:val="Normal"/>
    <w:autoRedefine/>
    <w:uiPriority w:val="39"/>
    <w:rsid w:val="00A70A35"/>
    <w:pPr>
      <w:spacing w:after="0"/>
      <w:ind w:left="720"/>
      <w:jc w:val="left"/>
    </w:pPr>
    <w:rPr>
      <w:rFonts w:asciiTheme="minorHAnsi" w:hAnsiTheme="minorHAnsi"/>
      <w:sz w:val="18"/>
      <w:szCs w:val="18"/>
    </w:rPr>
  </w:style>
  <w:style w:type="paragraph" w:styleId="TOC5">
    <w:name w:val="toc 5"/>
    <w:basedOn w:val="Normal"/>
    <w:next w:val="Normal"/>
    <w:autoRedefine/>
    <w:uiPriority w:val="39"/>
    <w:rsid w:val="00A70A35"/>
    <w:pPr>
      <w:spacing w:after="0"/>
      <w:ind w:left="960"/>
      <w:jc w:val="left"/>
    </w:pPr>
    <w:rPr>
      <w:rFonts w:asciiTheme="minorHAnsi" w:hAnsiTheme="minorHAnsi"/>
      <w:sz w:val="18"/>
      <w:szCs w:val="18"/>
    </w:rPr>
  </w:style>
  <w:style w:type="paragraph" w:styleId="TOC6">
    <w:name w:val="toc 6"/>
    <w:basedOn w:val="Normal"/>
    <w:next w:val="Normal"/>
    <w:autoRedefine/>
    <w:uiPriority w:val="39"/>
    <w:rsid w:val="00A70A35"/>
    <w:pPr>
      <w:spacing w:after="0"/>
      <w:ind w:left="1200"/>
      <w:jc w:val="left"/>
    </w:pPr>
    <w:rPr>
      <w:rFonts w:asciiTheme="minorHAnsi" w:hAnsiTheme="minorHAnsi"/>
      <w:sz w:val="18"/>
      <w:szCs w:val="18"/>
    </w:rPr>
  </w:style>
  <w:style w:type="paragraph" w:styleId="TOC7">
    <w:name w:val="toc 7"/>
    <w:basedOn w:val="Normal"/>
    <w:next w:val="Normal"/>
    <w:autoRedefine/>
    <w:uiPriority w:val="39"/>
    <w:rsid w:val="00A70A35"/>
    <w:pPr>
      <w:spacing w:after="0"/>
      <w:ind w:left="1440"/>
      <w:jc w:val="left"/>
    </w:pPr>
    <w:rPr>
      <w:rFonts w:asciiTheme="minorHAnsi" w:hAnsiTheme="minorHAnsi"/>
      <w:sz w:val="18"/>
      <w:szCs w:val="18"/>
    </w:rPr>
  </w:style>
  <w:style w:type="paragraph" w:styleId="TOC8">
    <w:name w:val="toc 8"/>
    <w:basedOn w:val="Normal"/>
    <w:next w:val="Normal"/>
    <w:autoRedefine/>
    <w:uiPriority w:val="39"/>
    <w:rsid w:val="00A70A35"/>
    <w:pPr>
      <w:spacing w:after="0"/>
      <w:ind w:left="1680"/>
      <w:jc w:val="left"/>
    </w:pPr>
    <w:rPr>
      <w:rFonts w:asciiTheme="minorHAnsi" w:hAnsiTheme="minorHAnsi"/>
      <w:sz w:val="18"/>
      <w:szCs w:val="18"/>
    </w:rPr>
  </w:style>
  <w:style w:type="paragraph" w:styleId="TOC9">
    <w:name w:val="toc 9"/>
    <w:basedOn w:val="Normal"/>
    <w:next w:val="Normal"/>
    <w:autoRedefine/>
    <w:uiPriority w:val="39"/>
    <w:rsid w:val="00A70A35"/>
    <w:pPr>
      <w:spacing w:after="0"/>
      <w:ind w:left="1920"/>
      <w:jc w:val="left"/>
    </w:pPr>
    <w:rPr>
      <w:rFonts w:asciiTheme="minorHAnsi" w:hAnsiTheme="minorHAnsi"/>
      <w:sz w:val="18"/>
      <w:szCs w:val="18"/>
    </w:rPr>
  </w:style>
  <w:style w:type="paragraph" w:customStyle="1" w:styleId="TableText0">
    <w:name w:val="Table Text"/>
    <w:basedOn w:val="Normal"/>
    <w:link w:val="TableTextChar0"/>
    <w:qFormat/>
    <w:rsid w:val="0072492D"/>
    <w:pPr>
      <w:keepNext/>
      <w:spacing w:before="40" w:after="40"/>
      <w:jc w:val="left"/>
    </w:pPr>
    <w:rPr>
      <w:rFonts w:ascii="Arial Narrow" w:hAnsi="Arial Narrow"/>
      <w:sz w:val="20"/>
      <w:szCs w:val="20"/>
      <w:lang w:val="en-GB"/>
    </w:rPr>
  </w:style>
  <w:style w:type="paragraph" w:customStyle="1" w:styleId="TableHeading0">
    <w:name w:val="Table Heading"/>
    <w:basedOn w:val="TableText0"/>
    <w:next w:val="TableText0"/>
    <w:rsid w:val="00A70A35"/>
    <w:rPr>
      <w:b/>
    </w:rPr>
  </w:style>
  <w:style w:type="paragraph" w:customStyle="1" w:styleId="figureheading">
    <w:name w:val="figure heading"/>
    <w:basedOn w:val="Normal"/>
    <w:rsid w:val="00632FE1"/>
    <w:pPr>
      <w:keepNext/>
      <w:spacing w:before="120"/>
      <w:ind w:left="1077" w:hanging="1077"/>
    </w:pPr>
    <w:rPr>
      <w:rFonts w:asciiTheme="majorHAnsi" w:hAnsiTheme="majorHAnsi"/>
      <w:color w:val="365F91" w:themeColor="accent1" w:themeShade="BF"/>
      <w:szCs w:val="18"/>
    </w:rPr>
  </w:style>
  <w:style w:type="paragraph" w:customStyle="1" w:styleId="boxheading">
    <w:name w:val="box heading"/>
    <w:basedOn w:val="figureheading"/>
    <w:rsid w:val="008C7798"/>
    <w:pPr>
      <w:ind w:left="0" w:firstLine="11"/>
    </w:pPr>
    <w:rPr>
      <w:lang w:val="en-US"/>
    </w:rPr>
  </w:style>
  <w:style w:type="character" w:styleId="FollowedHyperlink">
    <w:name w:val="FollowedHyperlink"/>
    <w:basedOn w:val="DefaultParagraphFont"/>
    <w:rsid w:val="00A70A35"/>
    <w:rPr>
      <w:color w:val="008080"/>
      <w:u w:val="single"/>
    </w:rPr>
  </w:style>
  <w:style w:type="paragraph" w:customStyle="1" w:styleId="HTMLBody">
    <w:name w:val="HTML Body"/>
    <w:rsid w:val="00A70A35"/>
    <w:rPr>
      <w:rFonts w:ascii="Arial" w:hAnsi="Arial"/>
      <w:snapToGrid w:val="0"/>
      <w:lang w:val="en-US" w:eastAsia="en-US"/>
    </w:rPr>
  </w:style>
  <w:style w:type="paragraph" w:customStyle="1" w:styleId="TableIndent1">
    <w:name w:val="Table Indent 1"/>
    <w:basedOn w:val="Normal"/>
    <w:link w:val="TableIndent1Char"/>
    <w:rsid w:val="00A70A35"/>
    <w:pPr>
      <w:widowControl w:val="0"/>
      <w:tabs>
        <w:tab w:val="left" w:pos="284"/>
      </w:tabs>
      <w:spacing w:after="240"/>
      <w:ind w:left="284" w:hanging="284"/>
    </w:pPr>
    <w:rPr>
      <w:sz w:val="21"/>
      <w:szCs w:val="21"/>
    </w:rPr>
  </w:style>
  <w:style w:type="character" w:customStyle="1" w:styleId="TableIndent1Char">
    <w:name w:val="Table Indent 1 Char"/>
    <w:basedOn w:val="DefaultParagraphFont"/>
    <w:link w:val="TableIndent1"/>
    <w:rsid w:val="00A70A35"/>
    <w:rPr>
      <w:sz w:val="21"/>
      <w:szCs w:val="21"/>
      <w:lang w:eastAsia="en-US"/>
    </w:rPr>
  </w:style>
  <w:style w:type="paragraph" w:customStyle="1" w:styleId="TableIndent2">
    <w:name w:val="Table Indent 2"/>
    <w:basedOn w:val="TableIndent1"/>
    <w:link w:val="TableIndent2Char"/>
    <w:rsid w:val="00A70A35"/>
    <w:pPr>
      <w:tabs>
        <w:tab w:val="clear" w:pos="284"/>
        <w:tab w:val="left" w:pos="709"/>
      </w:tabs>
      <w:ind w:left="709" w:hanging="425"/>
    </w:pPr>
  </w:style>
  <w:style w:type="character" w:customStyle="1" w:styleId="TableIndent2Char">
    <w:name w:val="Table Indent 2 Char"/>
    <w:basedOn w:val="TableIndent1Char"/>
    <w:link w:val="TableIndent2"/>
    <w:rsid w:val="00A70A35"/>
    <w:rPr>
      <w:sz w:val="21"/>
      <w:szCs w:val="21"/>
      <w:lang w:eastAsia="en-US"/>
    </w:rPr>
  </w:style>
  <w:style w:type="character" w:customStyle="1" w:styleId="mainsubheader1">
    <w:name w:val="mainsubheader1"/>
    <w:basedOn w:val="DefaultParagraphFont"/>
    <w:rsid w:val="00A70A35"/>
    <w:rPr>
      <w:b/>
      <w:bCs/>
    </w:rPr>
  </w:style>
  <w:style w:type="paragraph" w:customStyle="1" w:styleId="Bullet12">
    <w:name w:val="Bullet+12"/>
    <w:basedOn w:val="Normal"/>
    <w:rsid w:val="00A70A35"/>
    <w:pPr>
      <w:numPr>
        <w:numId w:val="3"/>
      </w:numPr>
      <w:spacing w:after="240"/>
    </w:pPr>
    <w:rPr>
      <w:szCs w:val="20"/>
    </w:rPr>
  </w:style>
  <w:style w:type="paragraph" w:customStyle="1" w:styleId="Bullet6">
    <w:name w:val="Bullet+6"/>
    <w:basedOn w:val="Normal"/>
    <w:rsid w:val="00A70A35"/>
    <w:pPr>
      <w:numPr>
        <w:numId w:val="4"/>
      </w:numPr>
    </w:pPr>
    <w:rPr>
      <w:lang w:eastAsia="en-AU"/>
    </w:rPr>
  </w:style>
  <w:style w:type="paragraph" w:customStyle="1" w:styleId="AHTAaddresslines">
    <w:name w:val="AHTA address lines"/>
    <w:basedOn w:val="PlainText"/>
    <w:rsid w:val="00A70A35"/>
    <w:pPr>
      <w:spacing w:line="210" w:lineRule="exact"/>
    </w:pPr>
    <w:rPr>
      <w:rFonts w:eastAsia="Times"/>
      <w:i/>
      <w:color w:val="000080"/>
      <w:sz w:val="16"/>
      <w:szCs w:val="20"/>
    </w:rPr>
  </w:style>
  <w:style w:type="character" w:customStyle="1" w:styleId="regulartext">
    <w:name w:val="regulartext"/>
    <w:basedOn w:val="DefaultParagraphFont"/>
    <w:rsid w:val="00A70A35"/>
  </w:style>
  <w:style w:type="paragraph" w:customStyle="1" w:styleId="bodytext0">
    <w:name w:val="bodytext"/>
    <w:basedOn w:val="Normal"/>
    <w:rsid w:val="00A70A35"/>
    <w:pPr>
      <w:spacing w:before="100" w:beforeAutospacing="1" w:after="100" w:afterAutospacing="1"/>
    </w:pPr>
    <w:rPr>
      <w:lang w:eastAsia="en-AU"/>
    </w:rPr>
  </w:style>
  <w:style w:type="paragraph" w:styleId="DocumentMap">
    <w:name w:val="Document Map"/>
    <w:basedOn w:val="Normal"/>
    <w:link w:val="DocumentMapChar"/>
    <w:rsid w:val="00A70A3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A70A35"/>
    <w:rPr>
      <w:rFonts w:ascii="Tahoma" w:hAnsi="Tahoma" w:cs="Tahoma"/>
      <w:shd w:val="clear" w:color="auto" w:fill="000080"/>
      <w:lang w:eastAsia="en-US"/>
    </w:rPr>
  </w:style>
  <w:style w:type="paragraph" w:customStyle="1" w:styleId="Indent">
    <w:name w:val="Indent"/>
    <w:basedOn w:val="Normal"/>
    <w:rsid w:val="00A70A35"/>
    <w:pPr>
      <w:tabs>
        <w:tab w:val="left" w:pos="567"/>
      </w:tabs>
      <w:spacing w:after="240"/>
      <w:ind w:left="567" w:hanging="567"/>
    </w:pPr>
    <w:rPr>
      <w:szCs w:val="20"/>
      <w:lang w:eastAsia="en-AU"/>
    </w:rPr>
  </w:style>
  <w:style w:type="paragraph" w:styleId="Revision">
    <w:name w:val="Revision"/>
    <w:hidden/>
    <w:uiPriority w:val="99"/>
    <w:semiHidden/>
    <w:rsid w:val="00CB664B"/>
    <w:rPr>
      <w:noProof/>
      <w:lang w:eastAsia="en-US"/>
    </w:rPr>
  </w:style>
  <w:style w:type="paragraph" w:customStyle="1" w:styleId="FreeForm">
    <w:name w:val="Free Form"/>
    <w:rsid w:val="002009A7"/>
    <w:rPr>
      <w:rFonts w:eastAsia="ヒラギノ角ゴ Pro W3"/>
      <w:color w:val="000000"/>
    </w:rPr>
  </w:style>
  <w:style w:type="character" w:styleId="HTMLCite">
    <w:name w:val="HTML Cite"/>
    <w:basedOn w:val="DefaultParagraphFont"/>
    <w:uiPriority w:val="99"/>
    <w:unhideWhenUsed/>
    <w:rsid w:val="00D06519"/>
    <w:rPr>
      <w:i/>
      <w:iCs/>
    </w:rPr>
  </w:style>
  <w:style w:type="paragraph" w:customStyle="1" w:styleId="Ophthaltabletext">
    <w:name w:val="Ophthal table text"/>
    <w:basedOn w:val="Normal"/>
    <w:link w:val="OphthaltabletextChar"/>
    <w:rsid w:val="00EC73E9"/>
    <w:pPr>
      <w:spacing w:after="240"/>
      <w:ind w:right="-45"/>
    </w:pPr>
    <w:rPr>
      <w:rFonts w:ascii="Arial Narrow" w:hAnsi="Arial Narrow" w:cs="Courier New"/>
    </w:rPr>
  </w:style>
  <w:style w:type="character" w:customStyle="1" w:styleId="OphthaltabletextChar">
    <w:name w:val="Ophthal table text Char"/>
    <w:basedOn w:val="DefaultParagraphFont"/>
    <w:link w:val="Ophthaltabletext"/>
    <w:rsid w:val="00EC73E9"/>
    <w:rPr>
      <w:rFonts w:ascii="Arial Narrow" w:hAnsi="Arial Narrow" w:cs="Courier New"/>
      <w:sz w:val="24"/>
      <w:szCs w:val="24"/>
      <w:lang w:eastAsia="en-US"/>
    </w:rPr>
  </w:style>
  <w:style w:type="character" w:styleId="Emphasis">
    <w:name w:val="Emphasis"/>
    <w:basedOn w:val="DefaultParagraphFont"/>
    <w:uiPriority w:val="20"/>
    <w:qFormat/>
    <w:rsid w:val="001203B5"/>
    <w:rPr>
      <w:i/>
      <w:iCs/>
    </w:rPr>
  </w:style>
  <w:style w:type="character" w:customStyle="1" w:styleId="notranslate">
    <w:name w:val="notranslate"/>
    <w:basedOn w:val="DefaultParagraphFont"/>
    <w:rsid w:val="007D34DA"/>
  </w:style>
  <w:style w:type="character" w:customStyle="1" w:styleId="ff8">
    <w:name w:val="ff8"/>
    <w:basedOn w:val="DefaultParagraphFont"/>
    <w:rsid w:val="007D34DA"/>
  </w:style>
  <w:style w:type="character" w:customStyle="1" w:styleId="ib">
    <w:name w:val="ib"/>
    <w:basedOn w:val="DefaultParagraphFont"/>
    <w:rsid w:val="007D34DA"/>
  </w:style>
  <w:style w:type="paragraph" w:customStyle="1" w:styleId="Question">
    <w:name w:val="Question"/>
    <w:basedOn w:val="Default"/>
    <w:link w:val="QuestionChar"/>
    <w:rsid w:val="00FE63EC"/>
    <w:pPr>
      <w:numPr>
        <w:numId w:val="5"/>
      </w:numPr>
      <w:spacing w:after="120"/>
    </w:pPr>
    <w:rPr>
      <w:rFonts w:ascii="Calibri" w:hAnsi="Calibri"/>
      <w:b/>
    </w:rPr>
  </w:style>
  <w:style w:type="character" w:customStyle="1" w:styleId="nbapihighlight">
    <w:name w:val="nbapihighlight"/>
    <w:basedOn w:val="DefaultParagraphFont"/>
    <w:rsid w:val="0038787E"/>
  </w:style>
  <w:style w:type="character" w:customStyle="1" w:styleId="DefaultChar">
    <w:name w:val="Default Char"/>
    <w:basedOn w:val="DefaultParagraphFont"/>
    <w:link w:val="Default"/>
    <w:rsid w:val="00FE63EC"/>
    <w:rPr>
      <w:color w:val="000000"/>
      <w:sz w:val="24"/>
      <w:szCs w:val="24"/>
      <w:lang w:val="en-AU" w:eastAsia="en-AU" w:bidi="ar-SA"/>
    </w:rPr>
  </w:style>
  <w:style w:type="character" w:customStyle="1" w:styleId="QuestionChar">
    <w:name w:val="Question Char"/>
    <w:basedOn w:val="DefaultChar"/>
    <w:link w:val="Question"/>
    <w:rsid w:val="00FE63EC"/>
    <w:rPr>
      <w:rFonts w:ascii="Calibri" w:hAnsi="Calibri"/>
      <w:b/>
      <w:color w:val="000000"/>
      <w:sz w:val="24"/>
      <w:szCs w:val="24"/>
      <w:lang w:val="en-AU" w:eastAsia="en-AU" w:bidi="ar-SA"/>
    </w:rPr>
  </w:style>
  <w:style w:type="character" w:customStyle="1" w:styleId="TableTextChar">
    <w:name w:val="TableText Char"/>
    <w:basedOn w:val="DefaultParagraphFont"/>
    <w:link w:val="TableText"/>
    <w:rsid w:val="005F0E92"/>
    <w:rPr>
      <w:rFonts w:ascii="Arial Narrow" w:hAnsi="Arial Narrow"/>
      <w:sz w:val="18"/>
    </w:rPr>
  </w:style>
  <w:style w:type="character" w:customStyle="1" w:styleId="TableHeadingChar">
    <w:name w:val="TableHeading Char"/>
    <w:basedOn w:val="DefaultParagraphFont"/>
    <w:link w:val="TableHeading"/>
    <w:rsid w:val="0065669A"/>
    <w:rPr>
      <w:rFonts w:ascii="Arial Narrow" w:hAnsi="Arial Narrow"/>
      <w:b/>
      <w:sz w:val="20"/>
      <w:szCs w:val="20"/>
    </w:rPr>
  </w:style>
  <w:style w:type="character" w:customStyle="1" w:styleId="CaptionChar">
    <w:name w:val="Caption Char"/>
    <w:aliases w:val="Table and Figure name Char,Caption Char2 Char Char,Caption Char Char Char2 Char,Caption Char1 Char Char Char1 Char,Caption Char2 Char Char Char1 Char1 Char,Caption Char Char1 Char Char Char1 Char1 Char,Caption Char Char1 Char"/>
    <w:basedOn w:val="DefaultParagraphFont"/>
    <w:link w:val="Caption"/>
    <w:rsid w:val="001203B5"/>
    <w:rPr>
      <w:rFonts w:ascii="Cambria" w:hAnsi="Cambria"/>
      <w:bCs/>
      <w:color w:val="1F497D"/>
      <w:szCs w:val="18"/>
      <w:lang w:eastAsia="en-US"/>
    </w:rPr>
  </w:style>
  <w:style w:type="paragraph" w:customStyle="1" w:styleId="TableNote">
    <w:name w:val="Table Note"/>
    <w:basedOn w:val="Normal"/>
    <w:link w:val="TableNoteChar"/>
    <w:qFormat/>
    <w:rsid w:val="00792257"/>
    <w:pPr>
      <w:keepNext/>
      <w:spacing w:after="0" w:line="240" w:lineRule="auto"/>
      <w:ind w:left="131" w:hanging="131"/>
    </w:pPr>
    <w:rPr>
      <w:rFonts w:ascii="Arial Narrow" w:hAnsi="Arial Narrow"/>
      <w:sz w:val="18"/>
      <w:szCs w:val="18"/>
      <w:lang w:eastAsia="en-AU"/>
    </w:rPr>
  </w:style>
  <w:style w:type="character" w:customStyle="1" w:styleId="TableNoteChar">
    <w:name w:val="Table Note Char"/>
    <w:basedOn w:val="DefaultParagraphFont"/>
    <w:link w:val="TableNote"/>
    <w:rsid w:val="00792257"/>
    <w:rPr>
      <w:rFonts w:ascii="Arial Narrow" w:hAnsi="Arial Narrow"/>
      <w:sz w:val="18"/>
      <w:szCs w:val="18"/>
    </w:rPr>
  </w:style>
  <w:style w:type="paragraph" w:styleId="EndnoteText">
    <w:name w:val="endnote text"/>
    <w:basedOn w:val="Normal"/>
    <w:link w:val="EndnoteTextChar"/>
    <w:rsid w:val="003D5A6E"/>
    <w:pPr>
      <w:spacing w:after="0" w:line="240" w:lineRule="auto"/>
    </w:pPr>
    <w:rPr>
      <w:rFonts w:ascii="Times New Roman" w:hAnsi="Times New Roman"/>
      <w:sz w:val="20"/>
      <w:szCs w:val="20"/>
    </w:rPr>
  </w:style>
  <w:style w:type="character" w:customStyle="1" w:styleId="EndnoteTextChar">
    <w:name w:val="Endnote Text Char"/>
    <w:basedOn w:val="DefaultParagraphFont"/>
    <w:link w:val="EndnoteText"/>
    <w:rsid w:val="003D5A6E"/>
    <w:rPr>
      <w:lang w:eastAsia="en-US"/>
    </w:rPr>
  </w:style>
  <w:style w:type="paragraph" w:customStyle="1" w:styleId="Style11">
    <w:name w:val="Style1"/>
    <w:basedOn w:val="Normal"/>
    <w:rsid w:val="003D5A6E"/>
    <w:pPr>
      <w:tabs>
        <w:tab w:val="left" w:pos="720"/>
      </w:tabs>
      <w:spacing w:after="0" w:line="240" w:lineRule="auto"/>
    </w:pPr>
    <w:rPr>
      <w:rFonts w:ascii="Bookman Old Style" w:hAnsi="Bookman Old Style"/>
      <w:sz w:val="20"/>
      <w:szCs w:val="20"/>
      <w:lang w:val="en-US"/>
    </w:rPr>
  </w:style>
  <w:style w:type="paragraph" w:styleId="BodyText3">
    <w:name w:val="Body Text 3"/>
    <w:basedOn w:val="Normal"/>
    <w:link w:val="BodyText3Char"/>
    <w:rsid w:val="003D5A6E"/>
    <w:rPr>
      <w:sz w:val="16"/>
      <w:szCs w:val="16"/>
    </w:rPr>
  </w:style>
  <w:style w:type="character" w:customStyle="1" w:styleId="BodyText3Char">
    <w:name w:val="Body Text 3 Char"/>
    <w:basedOn w:val="DefaultParagraphFont"/>
    <w:link w:val="BodyText3"/>
    <w:rsid w:val="003D5A6E"/>
    <w:rPr>
      <w:rFonts w:ascii="Calibri" w:hAnsi="Calibri"/>
      <w:sz w:val="16"/>
      <w:szCs w:val="16"/>
      <w:lang w:eastAsia="en-US"/>
    </w:rPr>
  </w:style>
  <w:style w:type="character" w:customStyle="1" w:styleId="term">
    <w:name w:val="term"/>
    <w:basedOn w:val="DefaultParagraphFont"/>
    <w:rsid w:val="00597BA7"/>
  </w:style>
  <w:style w:type="numbering" w:customStyle="1" w:styleId="Style2">
    <w:name w:val="Style2"/>
    <w:uiPriority w:val="99"/>
    <w:rsid w:val="0058757C"/>
    <w:pPr>
      <w:numPr>
        <w:numId w:val="6"/>
      </w:numPr>
    </w:pPr>
  </w:style>
  <w:style w:type="numbering" w:customStyle="1" w:styleId="Style3">
    <w:name w:val="Style3"/>
    <w:uiPriority w:val="99"/>
    <w:rsid w:val="0058757C"/>
    <w:pPr>
      <w:numPr>
        <w:numId w:val="7"/>
      </w:numPr>
    </w:pPr>
  </w:style>
  <w:style w:type="numbering" w:customStyle="1" w:styleId="Style4">
    <w:name w:val="Style4"/>
    <w:uiPriority w:val="99"/>
    <w:rsid w:val="0001780E"/>
    <w:pPr>
      <w:numPr>
        <w:numId w:val="8"/>
      </w:numPr>
    </w:pPr>
  </w:style>
  <w:style w:type="numbering" w:customStyle="1" w:styleId="Style5">
    <w:name w:val="Style5"/>
    <w:rsid w:val="0001780E"/>
    <w:pPr>
      <w:numPr>
        <w:numId w:val="9"/>
      </w:numPr>
    </w:pPr>
  </w:style>
  <w:style w:type="paragraph" w:styleId="Subtitle">
    <w:name w:val="Subtitle"/>
    <w:basedOn w:val="Normal"/>
    <w:next w:val="Normal"/>
    <w:link w:val="SubtitleChar"/>
    <w:qFormat/>
    <w:rsid w:val="005417C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5417CD"/>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qFormat/>
    <w:rsid w:val="005417CD"/>
    <w:rPr>
      <w:i/>
      <w:iCs/>
      <w:color w:val="808080" w:themeColor="text1" w:themeTint="7F"/>
    </w:rPr>
  </w:style>
  <w:style w:type="paragraph" w:customStyle="1" w:styleId="Headings3">
    <w:name w:val="Headings 3"/>
    <w:basedOn w:val="Heading2"/>
    <w:link w:val="Headings3Char"/>
    <w:uiPriority w:val="99"/>
    <w:qFormat/>
    <w:rsid w:val="000C5433"/>
    <w:rPr>
      <w:rFonts w:asciiTheme="majorHAnsi" w:hAnsiTheme="majorHAnsi" w:cs="Calibri"/>
      <w:sz w:val="24"/>
      <w:szCs w:val="24"/>
    </w:rPr>
  </w:style>
  <w:style w:type="numbering" w:customStyle="1" w:styleId="Style6">
    <w:name w:val="Style6"/>
    <w:uiPriority w:val="99"/>
    <w:rsid w:val="006E5398"/>
    <w:pPr>
      <w:numPr>
        <w:numId w:val="10"/>
      </w:numPr>
    </w:pPr>
  </w:style>
  <w:style w:type="character" w:customStyle="1" w:styleId="Headings3Char">
    <w:name w:val="Headings 3 Char"/>
    <w:basedOn w:val="Heading2Char"/>
    <w:link w:val="Headings3"/>
    <w:uiPriority w:val="99"/>
    <w:rsid w:val="000C5433"/>
    <w:rPr>
      <w:rFonts w:asciiTheme="majorHAnsi" w:hAnsiTheme="majorHAnsi" w:cs="Calibri"/>
      <w:bCs/>
      <w:noProof/>
      <w:color w:val="002060"/>
      <w:sz w:val="28"/>
      <w:szCs w:val="26"/>
    </w:rPr>
  </w:style>
  <w:style w:type="numbering" w:customStyle="1" w:styleId="Style7">
    <w:name w:val="Style7"/>
    <w:uiPriority w:val="99"/>
    <w:rsid w:val="006E5398"/>
    <w:pPr>
      <w:numPr>
        <w:numId w:val="11"/>
      </w:numPr>
    </w:pPr>
  </w:style>
  <w:style w:type="numbering" w:customStyle="1" w:styleId="Style8">
    <w:name w:val="Style8"/>
    <w:uiPriority w:val="99"/>
    <w:rsid w:val="006E5398"/>
    <w:pPr>
      <w:numPr>
        <w:numId w:val="12"/>
      </w:numPr>
    </w:pPr>
  </w:style>
  <w:style w:type="paragraph" w:customStyle="1" w:styleId="Headings4">
    <w:name w:val="Headings 4"/>
    <w:basedOn w:val="Normal"/>
    <w:link w:val="Headings4Char"/>
    <w:qFormat/>
    <w:rsid w:val="00B931E5"/>
    <w:pPr>
      <w:keepNext/>
      <w:keepLines/>
      <w:spacing w:before="120"/>
      <w:outlineLvl w:val="1"/>
    </w:pPr>
    <w:rPr>
      <w:rFonts w:asciiTheme="majorHAnsi" w:hAnsiTheme="majorHAnsi" w:cstheme="minorHAnsi"/>
      <w:bCs/>
      <w:color w:val="002060"/>
    </w:rPr>
  </w:style>
  <w:style w:type="numbering" w:customStyle="1" w:styleId="Style9">
    <w:name w:val="Style9"/>
    <w:uiPriority w:val="99"/>
    <w:rsid w:val="005A4EAD"/>
    <w:pPr>
      <w:numPr>
        <w:numId w:val="13"/>
      </w:numPr>
    </w:pPr>
  </w:style>
  <w:style w:type="character" w:customStyle="1" w:styleId="Headings4Char">
    <w:name w:val="Headings 4 Char"/>
    <w:basedOn w:val="Headings3Char"/>
    <w:link w:val="Headings4"/>
    <w:rsid w:val="00B931E5"/>
    <w:rPr>
      <w:rFonts w:asciiTheme="majorHAnsi" w:hAnsiTheme="majorHAnsi" w:cstheme="minorHAnsi"/>
      <w:bCs/>
      <w:noProof/>
      <w:color w:val="002060"/>
      <w:sz w:val="28"/>
      <w:szCs w:val="26"/>
      <w:lang w:eastAsia="en-US"/>
    </w:rPr>
  </w:style>
  <w:style w:type="numbering" w:customStyle="1" w:styleId="Style10">
    <w:name w:val="Style10"/>
    <w:uiPriority w:val="99"/>
    <w:rsid w:val="005A4EAD"/>
    <w:pPr>
      <w:numPr>
        <w:numId w:val="14"/>
      </w:numPr>
    </w:pPr>
  </w:style>
  <w:style w:type="paragraph" w:customStyle="1" w:styleId="Tablenote0">
    <w:name w:val="Table note"/>
    <w:basedOn w:val="Normal"/>
    <w:link w:val="TablenoteChar0"/>
    <w:qFormat/>
    <w:rsid w:val="001203B5"/>
    <w:pPr>
      <w:autoSpaceDE w:val="0"/>
      <w:autoSpaceDN w:val="0"/>
      <w:adjustRightInd w:val="0"/>
      <w:spacing w:after="0" w:line="240" w:lineRule="auto"/>
      <w:contextualSpacing/>
    </w:pPr>
    <w:rPr>
      <w:rFonts w:ascii="Arial" w:hAnsi="Arial" w:cs="Arial"/>
      <w:color w:val="000000"/>
      <w:lang w:eastAsia="en-AU"/>
    </w:rPr>
  </w:style>
  <w:style w:type="character" w:customStyle="1" w:styleId="TablenoteChar0">
    <w:name w:val="Table note Char"/>
    <w:basedOn w:val="DefaultParagraphFont"/>
    <w:link w:val="Tablenote0"/>
    <w:rsid w:val="001203B5"/>
    <w:rPr>
      <w:rFonts w:ascii="Arial" w:hAnsi="Arial" w:cs="Arial"/>
      <w:color w:val="000000"/>
    </w:rPr>
  </w:style>
  <w:style w:type="character" w:customStyle="1" w:styleId="mw-headline">
    <w:name w:val="mw-headline"/>
    <w:basedOn w:val="DefaultParagraphFont"/>
    <w:rsid w:val="00697043"/>
  </w:style>
  <w:style w:type="character" w:customStyle="1" w:styleId="rubric">
    <w:name w:val="rubric"/>
    <w:basedOn w:val="DefaultParagraphFont"/>
    <w:rsid w:val="00697043"/>
  </w:style>
  <w:style w:type="character" w:customStyle="1" w:styleId="definition">
    <w:name w:val="definition"/>
    <w:basedOn w:val="DefaultParagraphFont"/>
    <w:rsid w:val="00697043"/>
  </w:style>
  <w:style w:type="character" w:customStyle="1" w:styleId="doctype">
    <w:name w:val="doctype"/>
    <w:basedOn w:val="DefaultParagraphFont"/>
    <w:rsid w:val="00697043"/>
  </w:style>
  <w:style w:type="character" w:customStyle="1" w:styleId="small">
    <w:name w:val="small"/>
    <w:basedOn w:val="DefaultParagraphFont"/>
    <w:rsid w:val="00697043"/>
  </w:style>
  <w:style w:type="character" w:customStyle="1" w:styleId="citation">
    <w:name w:val="citation"/>
    <w:basedOn w:val="DefaultParagraphFont"/>
    <w:rsid w:val="00697043"/>
  </w:style>
  <w:style w:type="character" w:styleId="PlaceholderText">
    <w:name w:val="Placeholder Text"/>
    <w:basedOn w:val="DefaultParagraphFont"/>
    <w:uiPriority w:val="99"/>
    <w:semiHidden/>
    <w:rsid w:val="00697043"/>
    <w:rPr>
      <w:color w:val="808080"/>
    </w:rPr>
  </w:style>
  <w:style w:type="character" w:customStyle="1" w:styleId="st">
    <w:name w:val="st"/>
    <w:basedOn w:val="DefaultParagraphFont"/>
    <w:rsid w:val="005334D6"/>
  </w:style>
  <w:style w:type="character" w:customStyle="1" w:styleId="wcm-region">
    <w:name w:val="wcm-region"/>
    <w:basedOn w:val="DefaultParagraphFont"/>
    <w:rsid w:val="0011636E"/>
  </w:style>
  <w:style w:type="numbering" w:customStyle="1" w:styleId="NoList1">
    <w:name w:val="No List1"/>
    <w:next w:val="NoList"/>
    <w:uiPriority w:val="99"/>
    <w:semiHidden/>
    <w:unhideWhenUsed/>
    <w:rsid w:val="001A0605"/>
  </w:style>
  <w:style w:type="paragraph" w:customStyle="1" w:styleId="kyds">
    <w:name w:val="kyds"/>
    <w:basedOn w:val="Normal"/>
    <w:rsid w:val="00413689"/>
    <w:pPr>
      <w:spacing w:before="100" w:beforeAutospacing="1" w:after="100" w:afterAutospacing="1" w:line="240" w:lineRule="auto"/>
    </w:pPr>
    <w:rPr>
      <w:rFonts w:ascii="Times New Roman" w:hAnsi="Times New Roman"/>
      <w:lang w:eastAsia="en-AU"/>
    </w:rPr>
  </w:style>
  <w:style w:type="table" w:customStyle="1" w:styleId="TableGrid1">
    <w:name w:val="Table Grid1"/>
    <w:basedOn w:val="TableNormal"/>
    <w:next w:val="TableGrid"/>
    <w:rsid w:val="005C7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C7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91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391F5B"/>
    <w:rPr>
      <w:rFonts w:ascii="Courier New" w:hAnsi="Courier New" w:cs="Courier New"/>
    </w:rPr>
  </w:style>
  <w:style w:type="character" w:customStyle="1" w:styleId="apple-converted-space">
    <w:name w:val="apple-converted-space"/>
    <w:rsid w:val="00391F5B"/>
  </w:style>
  <w:style w:type="character" w:customStyle="1" w:styleId="fn">
    <w:name w:val="fn"/>
    <w:basedOn w:val="DefaultParagraphFont"/>
    <w:rsid w:val="00F6215B"/>
  </w:style>
  <w:style w:type="character" w:customStyle="1" w:styleId="subtitle1">
    <w:name w:val="subtitle1"/>
    <w:basedOn w:val="DefaultParagraphFont"/>
    <w:rsid w:val="00F6215B"/>
  </w:style>
  <w:style w:type="character" w:customStyle="1" w:styleId="cit-auth">
    <w:name w:val="cit-auth"/>
    <w:basedOn w:val="DefaultParagraphFont"/>
    <w:rsid w:val="00993074"/>
  </w:style>
  <w:style w:type="character" w:customStyle="1" w:styleId="cit-name-surname">
    <w:name w:val="cit-name-surname"/>
    <w:basedOn w:val="DefaultParagraphFont"/>
    <w:rsid w:val="00993074"/>
  </w:style>
  <w:style w:type="character" w:customStyle="1" w:styleId="cit-name-given-names">
    <w:name w:val="cit-name-given-names"/>
    <w:basedOn w:val="DefaultParagraphFont"/>
    <w:rsid w:val="00993074"/>
  </w:style>
  <w:style w:type="character" w:customStyle="1" w:styleId="cit-source">
    <w:name w:val="cit-source"/>
    <w:basedOn w:val="DefaultParagraphFont"/>
    <w:rsid w:val="00993074"/>
  </w:style>
  <w:style w:type="character" w:customStyle="1" w:styleId="cit-publ-loc">
    <w:name w:val="cit-publ-loc"/>
    <w:basedOn w:val="DefaultParagraphFont"/>
    <w:rsid w:val="00993074"/>
  </w:style>
  <w:style w:type="character" w:customStyle="1" w:styleId="cit-publ-name">
    <w:name w:val="cit-publ-name"/>
    <w:basedOn w:val="DefaultParagraphFont"/>
    <w:rsid w:val="00993074"/>
  </w:style>
  <w:style w:type="character" w:customStyle="1" w:styleId="cit-pub-date">
    <w:name w:val="cit-pub-date"/>
    <w:basedOn w:val="DefaultParagraphFont"/>
    <w:rsid w:val="00993074"/>
  </w:style>
  <w:style w:type="paragraph" w:customStyle="1" w:styleId="PFNumLevel2">
    <w:name w:val="PF (Num) Level 2"/>
    <w:basedOn w:val="Normal"/>
    <w:rsid w:val="002476F0"/>
    <w:pPr>
      <w:numPr>
        <w:ilvl w:val="1"/>
        <w:numId w:val="16"/>
      </w:numPr>
      <w:tabs>
        <w:tab w:val="left" w:pos="2773"/>
        <w:tab w:val="left" w:pos="3697"/>
        <w:tab w:val="left" w:pos="4621"/>
        <w:tab w:val="left" w:pos="5545"/>
        <w:tab w:val="left" w:pos="6469"/>
        <w:tab w:val="left" w:pos="7394"/>
        <w:tab w:val="left" w:pos="8318"/>
        <w:tab w:val="right" w:pos="8930"/>
      </w:tabs>
      <w:spacing w:before="120"/>
    </w:pPr>
    <w:rPr>
      <w:rFonts w:ascii="Arial" w:hAnsi="Arial"/>
      <w:color w:val="000000"/>
      <w:sz w:val="21"/>
      <w:szCs w:val="20"/>
      <w:lang w:val="en-US" w:bidi="en-US"/>
    </w:rPr>
  </w:style>
  <w:style w:type="paragraph" w:customStyle="1" w:styleId="PFNumLevel3">
    <w:name w:val="PF (Num) Level 3"/>
    <w:basedOn w:val="Normal"/>
    <w:rsid w:val="002476F0"/>
    <w:pPr>
      <w:numPr>
        <w:ilvl w:val="2"/>
        <w:numId w:val="16"/>
      </w:numPr>
      <w:tabs>
        <w:tab w:val="left" w:pos="3697"/>
        <w:tab w:val="left" w:pos="4621"/>
        <w:tab w:val="left" w:pos="5545"/>
        <w:tab w:val="left" w:pos="6469"/>
        <w:tab w:val="left" w:pos="7394"/>
        <w:tab w:val="left" w:pos="8318"/>
        <w:tab w:val="right" w:pos="8930"/>
      </w:tabs>
      <w:spacing w:before="120"/>
    </w:pPr>
    <w:rPr>
      <w:rFonts w:ascii="Arial" w:hAnsi="Arial"/>
      <w:color w:val="000000"/>
      <w:sz w:val="21"/>
      <w:szCs w:val="20"/>
      <w:lang w:val="en-US" w:bidi="en-US"/>
    </w:rPr>
  </w:style>
  <w:style w:type="paragraph" w:customStyle="1" w:styleId="PFNumLevel4">
    <w:name w:val="PF (Num) Level 4"/>
    <w:basedOn w:val="Normal"/>
    <w:rsid w:val="002476F0"/>
    <w:pPr>
      <w:numPr>
        <w:ilvl w:val="3"/>
        <w:numId w:val="16"/>
      </w:numPr>
      <w:tabs>
        <w:tab w:val="left" w:pos="4621"/>
        <w:tab w:val="left" w:pos="5545"/>
        <w:tab w:val="left" w:pos="6469"/>
        <w:tab w:val="left" w:pos="7394"/>
        <w:tab w:val="left" w:pos="8318"/>
        <w:tab w:val="right" w:pos="8930"/>
      </w:tabs>
      <w:spacing w:before="120"/>
    </w:pPr>
    <w:rPr>
      <w:rFonts w:ascii="Arial" w:hAnsi="Arial"/>
      <w:color w:val="000000"/>
      <w:sz w:val="21"/>
      <w:szCs w:val="20"/>
      <w:lang w:val="en-US" w:bidi="en-US"/>
    </w:rPr>
  </w:style>
  <w:style w:type="paragraph" w:customStyle="1" w:styleId="PFNumLevel5">
    <w:name w:val="PF (Num) Level 5"/>
    <w:basedOn w:val="Normal"/>
    <w:rsid w:val="002476F0"/>
    <w:pPr>
      <w:numPr>
        <w:ilvl w:val="4"/>
        <w:numId w:val="16"/>
      </w:numPr>
      <w:tabs>
        <w:tab w:val="left" w:pos="2773"/>
        <w:tab w:val="left" w:pos="3697"/>
        <w:tab w:val="left" w:pos="4621"/>
        <w:tab w:val="left" w:pos="5545"/>
        <w:tab w:val="left" w:pos="6469"/>
        <w:tab w:val="left" w:pos="7394"/>
        <w:tab w:val="left" w:pos="8318"/>
        <w:tab w:val="right" w:pos="8930"/>
      </w:tabs>
      <w:spacing w:before="120"/>
    </w:pPr>
    <w:rPr>
      <w:rFonts w:ascii="Arial" w:hAnsi="Arial"/>
      <w:color w:val="000000"/>
      <w:sz w:val="21"/>
      <w:szCs w:val="20"/>
      <w:lang w:val="en-US" w:bidi="en-US"/>
    </w:rPr>
  </w:style>
  <w:style w:type="paragraph" w:customStyle="1" w:styleId="Heading1A">
    <w:name w:val="Heading 1A"/>
    <w:basedOn w:val="Heading1"/>
    <w:next w:val="Normal"/>
    <w:rsid w:val="002476F0"/>
    <w:pPr>
      <w:keepNext w:val="0"/>
      <w:keepLines w:val="0"/>
      <w:numPr>
        <w:numId w:val="16"/>
      </w:numPr>
      <w:tabs>
        <w:tab w:val="clear" w:pos="567"/>
        <w:tab w:val="clear" w:pos="1029"/>
        <w:tab w:val="num" w:pos="360"/>
        <w:tab w:val="num" w:pos="660"/>
        <w:tab w:val="left" w:pos="1848"/>
        <w:tab w:val="left" w:pos="2773"/>
        <w:tab w:val="left" w:pos="3697"/>
        <w:tab w:val="left" w:pos="4621"/>
        <w:tab w:val="left" w:pos="5545"/>
        <w:tab w:val="left" w:pos="6469"/>
        <w:tab w:val="left" w:pos="7394"/>
        <w:tab w:val="left" w:pos="8318"/>
        <w:tab w:val="right" w:pos="8930"/>
      </w:tabs>
      <w:spacing w:before="400" w:after="120"/>
      <w:ind w:left="0" w:firstLine="0"/>
      <w:jc w:val="left"/>
    </w:pPr>
    <w:rPr>
      <w:rFonts w:ascii="Arial" w:hAnsi="Arial"/>
      <w:b w:val="0"/>
      <w:caps w:val="0"/>
      <w:smallCaps/>
      <w:color w:val="000000"/>
      <w:spacing w:val="5"/>
      <w:kern w:val="28"/>
      <w:sz w:val="24"/>
      <w:szCs w:val="20"/>
      <w:lang w:val="en-US" w:bidi="en-US"/>
    </w:rPr>
  </w:style>
  <w:style w:type="paragraph" w:customStyle="1" w:styleId="PFNumLevel6">
    <w:name w:val="PF (Num) Level 6"/>
    <w:basedOn w:val="PFNumLevel4"/>
    <w:rsid w:val="002476F0"/>
    <w:pPr>
      <w:numPr>
        <w:ilvl w:val="5"/>
      </w:numPr>
    </w:pPr>
  </w:style>
  <w:style w:type="paragraph" w:styleId="BodyTextIndent2">
    <w:name w:val="Body Text Indent 2"/>
    <w:basedOn w:val="Normal"/>
    <w:link w:val="BodyTextIndent2Char"/>
    <w:rsid w:val="00C934C9"/>
    <w:pPr>
      <w:spacing w:line="480" w:lineRule="auto"/>
      <w:ind w:left="283"/>
    </w:pPr>
  </w:style>
  <w:style w:type="character" w:customStyle="1" w:styleId="BodyTextIndent2Char">
    <w:name w:val="Body Text Indent 2 Char"/>
    <w:basedOn w:val="DefaultParagraphFont"/>
    <w:link w:val="BodyTextIndent2"/>
    <w:rsid w:val="00C934C9"/>
    <w:rPr>
      <w:rFonts w:ascii="Calibri" w:hAnsi="Calibri"/>
      <w:lang w:eastAsia="en-US"/>
    </w:rPr>
  </w:style>
  <w:style w:type="paragraph" w:customStyle="1" w:styleId="AUBodyCopy-withSpaceAfter">
    <w:name w:val="AU Body Copy - with Space After"/>
    <w:basedOn w:val="Normal"/>
    <w:rsid w:val="00C934C9"/>
    <w:pPr>
      <w:overflowPunct w:val="0"/>
      <w:autoSpaceDE w:val="0"/>
      <w:autoSpaceDN w:val="0"/>
      <w:adjustRightInd w:val="0"/>
      <w:spacing w:line="260" w:lineRule="exact"/>
      <w:jc w:val="left"/>
      <w:textAlignment w:val="baseline"/>
    </w:pPr>
    <w:rPr>
      <w:rFonts w:ascii="Times New Roman" w:hAnsi="Times New Roman"/>
      <w:szCs w:val="20"/>
    </w:rPr>
  </w:style>
  <w:style w:type="paragraph" w:styleId="BodyText2">
    <w:name w:val="Body Text 2"/>
    <w:basedOn w:val="Normal"/>
    <w:link w:val="BodyText2Char"/>
    <w:rsid w:val="00C934C9"/>
    <w:pPr>
      <w:spacing w:line="480" w:lineRule="auto"/>
    </w:pPr>
  </w:style>
  <w:style w:type="character" w:customStyle="1" w:styleId="BodyText2Char">
    <w:name w:val="Body Text 2 Char"/>
    <w:basedOn w:val="DefaultParagraphFont"/>
    <w:link w:val="BodyText2"/>
    <w:rsid w:val="00C934C9"/>
    <w:rPr>
      <w:rFonts w:ascii="Calibri" w:hAnsi="Calibri"/>
      <w:lang w:eastAsia="en-US"/>
    </w:rPr>
  </w:style>
  <w:style w:type="paragraph" w:styleId="TOCHeading">
    <w:name w:val="TOC Heading"/>
    <w:basedOn w:val="Heading1"/>
    <w:next w:val="Normal"/>
    <w:uiPriority w:val="39"/>
    <w:unhideWhenUsed/>
    <w:qFormat/>
    <w:rsid w:val="00256A90"/>
    <w:pPr>
      <w:tabs>
        <w:tab w:val="clear" w:pos="567"/>
      </w:tabs>
      <w:spacing w:after="0"/>
      <w:jc w:val="left"/>
      <w:outlineLvl w:val="9"/>
    </w:pPr>
    <w:rPr>
      <w:rFonts w:asciiTheme="majorHAnsi" w:eastAsiaTheme="majorEastAsia" w:hAnsiTheme="majorHAnsi" w:cstheme="majorBidi"/>
      <w:caps w:val="0"/>
      <w:color w:val="365F91" w:themeColor="accent1" w:themeShade="BF"/>
      <w:lang w:val="en-US" w:eastAsia="ja-JP"/>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63BC3"/>
    <w:pPr>
      <w:keepLines/>
      <w:spacing w:after="160" w:line="240" w:lineRule="exact"/>
      <w:jc w:val="left"/>
    </w:pPr>
    <w:rPr>
      <w:rFonts w:ascii="Verdana" w:eastAsia="MS Mincho" w:hAnsi="Verdana" w:cs="Verdana"/>
      <w:sz w:val="20"/>
      <w:szCs w:val="20"/>
      <w:lang w:val="en-US"/>
    </w:rPr>
  </w:style>
  <w:style w:type="paragraph" w:customStyle="1" w:styleId="Table">
    <w:name w:val="Table"/>
    <w:basedOn w:val="Caption"/>
    <w:link w:val="TableChar"/>
    <w:qFormat/>
    <w:rsid w:val="00260845"/>
    <w:pPr>
      <w:spacing w:before="40" w:after="40" w:line="240" w:lineRule="auto"/>
    </w:pPr>
    <w:rPr>
      <w:rFonts w:ascii="Arial Narrow" w:hAnsi="Arial Narrow"/>
      <w:sz w:val="20"/>
      <w:szCs w:val="20"/>
    </w:rPr>
  </w:style>
  <w:style w:type="character" w:customStyle="1" w:styleId="TableChar">
    <w:name w:val="Table Char"/>
    <w:basedOn w:val="CaptionChar"/>
    <w:link w:val="Table"/>
    <w:rsid w:val="00260845"/>
    <w:rPr>
      <w:rFonts w:ascii="Arial Narrow" w:hAnsi="Arial Narrow"/>
      <w:bCs/>
      <w:color w:val="1F497D"/>
      <w:sz w:val="20"/>
      <w:szCs w:val="20"/>
      <w:lang w:eastAsia="en-US"/>
    </w:rPr>
  </w:style>
  <w:style w:type="character" w:customStyle="1" w:styleId="quality-sign">
    <w:name w:val="quality-sign"/>
    <w:basedOn w:val="DefaultParagraphFont"/>
    <w:rsid w:val="00B1239B"/>
  </w:style>
  <w:style w:type="character" w:customStyle="1" w:styleId="cell">
    <w:name w:val="cell"/>
    <w:basedOn w:val="DefaultParagraphFont"/>
    <w:rsid w:val="008F454C"/>
  </w:style>
  <w:style w:type="character" w:customStyle="1" w:styleId="block">
    <w:name w:val="block"/>
    <w:basedOn w:val="DefaultParagraphFont"/>
    <w:rsid w:val="008F454C"/>
  </w:style>
  <w:style w:type="character" w:customStyle="1" w:styleId="mb">
    <w:name w:val="mb"/>
    <w:basedOn w:val="DefaultParagraphFont"/>
    <w:rsid w:val="00523636"/>
  </w:style>
  <w:style w:type="character" w:customStyle="1" w:styleId="label">
    <w:name w:val="label"/>
    <w:basedOn w:val="DefaultParagraphFont"/>
    <w:rsid w:val="003E333B"/>
  </w:style>
  <w:style w:type="character" w:customStyle="1" w:styleId="quality-sign1">
    <w:name w:val="quality-sign1"/>
    <w:basedOn w:val="DefaultParagraphFont"/>
    <w:rsid w:val="003E333B"/>
    <w:rPr>
      <w:rFonts w:ascii="GRADE-quality" w:hAnsi="GRADE-quality" w:hint="default"/>
      <w:sz w:val="21"/>
      <w:szCs w:val="21"/>
    </w:rPr>
  </w:style>
  <w:style w:type="character" w:customStyle="1" w:styleId="underline1">
    <w:name w:val="underline1"/>
    <w:basedOn w:val="DefaultParagraphFont"/>
    <w:rsid w:val="003E333B"/>
    <w:rPr>
      <w:u w:val="single"/>
    </w:rPr>
  </w:style>
  <w:style w:type="character" w:customStyle="1" w:styleId="cell-value">
    <w:name w:val="cell-value"/>
    <w:basedOn w:val="DefaultParagraphFont"/>
    <w:rsid w:val="003E333B"/>
  </w:style>
  <w:style w:type="table" w:customStyle="1" w:styleId="TableGrid3">
    <w:name w:val="Table Grid3"/>
    <w:basedOn w:val="TableNormal"/>
    <w:next w:val="TableGrid"/>
    <w:rsid w:val="0004128C"/>
    <w:rPr>
      <w:rFonts w:eastAsiaTheme="minorHAns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4128C"/>
    <w:rPr>
      <w:rFonts w:eastAsiaTheme="minorHAns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04128C"/>
    <w:rPr>
      <w:rFonts w:eastAsiaTheme="minorHAns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heading0">
    <w:name w:val="Figure heading"/>
    <w:basedOn w:val="Caption"/>
    <w:link w:val="FigureheadingChar"/>
    <w:qFormat/>
    <w:rsid w:val="001D2216"/>
  </w:style>
  <w:style w:type="character" w:customStyle="1" w:styleId="FigureheadingChar">
    <w:name w:val="Figure heading Char"/>
    <w:basedOn w:val="CaptionChar"/>
    <w:link w:val="Figureheading0"/>
    <w:rsid w:val="001D2216"/>
    <w:rPr>
      <w:rFonts w:ascii="Cambria" w:hAnsi="Cambria"/>
      <w:bCs/>
      <w:color w:val="1F497D"/>
      <w:szCs w:val="18"/>
      <w:lang w:eastAsia="en-US"/>
    </w:rPr>
  </w:style>
  <w:style w:type="character" w:customStyle="1" w:styleId="TableTextChar0">
    <w:name w:val="Table Text Char"/>
    <w:link w:val="TableText0"/>
    <w:rsid w:val="0072492D"/>
    <w:rPr>
      <w:rFonts w:ascii="Arial Narrow" w:hAnsi="Arial Narrow"/>
      <w:sz w:val="20"/>
      <w:szCs w:val="20"/>
      <w:lang w:val="en-GB" w:eastAsia="en-US"/>
    </w:rPr>
  </w:style>
  <w:style w:type="numbering" w:customStyle="1" w:styleId="NoList2">
    <w:name w:val="No List2"/>
    <w:next w:val="NoList"/>
    <w:uiPriority w:val="99"/>
    <w:semiHidden/>
    <w:unhideWhenUsed/>
    <w:rsid w:val="00C84D55"/>
  </w:style>
  <w:style w:type="table" w:customStyle="1" w:styleId="TableGrid6">
    <w:name w:val="Table Grid6"/>
    <w:basedOn w:val="TableNormal"/>
    <w:next w:val="TableGrid"/>
    <w:uiPriority w:val="59"/>
    <w:rsid w:val="00C84D55"/>
    <w:pPr>
      <w:spacing w:before="40" w:after="40"/>
      <w:ind w:right="-57"/>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6">
    <w:name w:val="Pa16"/>
    <w:basedOn w:val="Default"/>
    <w:next w:val="Default"/>
    <w:uiPriority w:val="99"/>
    <w:rsid w:val="00C84D55"/>
    <w:pPr>
      <w:spacing w:line="161" w:lineRule="atLeast"/>
    </w:pPr>
    <w:rPr>
      <w:rFonts w:ascii="ITC Officina Sans Book" w:eastAsia="Calibri" w:hAnsi="ITC Officina Sans Book"/>
      <w:color w:val="auto"/>
      <w:lang w:eastAsia="en-US"/>
    </w:rPr>
  </w:style>
  <w:style w:type="paragraph" w:customStyle="1" w:styleId="Tabletext1">
    <w:name w:val="Table text"/>
    <w:basedOn w:val="Normal"/>
    <w:link w:val="TabletextChar1"/>
    <w:qFormat/>
    <w:rsid w:val="00CB7E5F"/>
    <w:pPr>
      <w:spacing w:before="40" w:after="40" w:line="240" w:lineRule="auto"/>
      <w:jc w:val="left"/>
    </w:pPr>
    <w:rPr>
      <w:rFonts w:ascii="Arial Narrow" w:hAnsi="Arial Narrow" w:cs="Tahoma"/>
      <w:sz w:val="20"/>
      <w:szCs w:val="20"/>
      <w:lang w:eastAsia="en-AU"/>
    </w:rPr>
  </w:style>
  <w:style w:type="character" w:customStyle="1" w:styleId="TabletextChar1">
    <w:name w:val="Table text Char"/>
    <w:link w:val="Tabletext1"/>
    <w:rsid w:val="00CB7E5F"/>
    <w:rPr>
      <w:rFonts w:ascii="Arial Narrow" w:hAnsi="Arial Narrow" w:cs="Tahoma"/>
      <w:sz w:val="20"/>
      <w:szCs w:val="20"/>
    </w:rPr>
  </w:style>
  <w:style w:type="paragraph" w:customStyle="1" w:styleId="TOC21">
    <w:name w:val="TOC 21"/>
    <w:basedOn w:val="Normal"/>
    <w:next w:val="Normal"/>
    <w:autoRedefine/>
    <w:uiPriority w:val="39"/>
    <w:qFormat/>
    <w:rsid w:val="001A6FF0"/>
    <w:pPr>
      <w:spacing w:after="0"/>
      <w:ind w:left="240"/>
      <w:jc w:val="left"/>
    </w:pPr>
    <w:rPr>
      <w:smallCaps/>
      <w:sz w:val="20"/>
      <w:szCs w:val="20"/>
    </w:rPr>
  </w:style>
  <w:style w:type="paragraph" w:customStyle="1" w:styleId="TOC11">
    <w:name w:val="TOC 11"/>
    <w:basedOn w:val="Normal"/>
    <w:next w:val="Normal"/>
    <w:autoRedefine/>
    <w:uiPriority w:val="39"/>
    <w:qFormat/>
    <w:rsid w:val="001A6FF0"/>
    <w:pPr>
      <w:tabs>
        <w:tab w:val="left" w:pos="709"/>
        <w:tab w:val="left" w:pos="1276"/>
        <w:tab w:val="right" w:leader="dot" w:pos="9040"/>
      </w:tabs>
      <w:spacing w:before="120"/>
      <w:ind w:left="1276" w:hanging="1134"/>
      <w:jc w:val="left"/>
    </w:pPr>
    <w:rPr>
      <w:b/>
      <w:bCs/>
      <w:caps/>
      <w:sz w:val="20"/>
      <w:szCs w:val="20"/>
    </w:rPr>
  </w:style>
  <w:style w:type="paragraph" w:customStyle="1" w:styleId="TOC31">
    <w:name w:val="TOC 31"/>
    <w:basedOn w:val="Normal"/>
    <w:next w:val="Normal"/>
    <w:autoRedefine/>
    <w:uiPriority w:val="39"/>
    <w:qFormat/>
    <w:rsid w:val="001A6FF0"/>
    <w:pPr>
      <w:spacing w:after="0"/>
      <w:ind w:left="480"/>
      <w:jc w:val="left"/>
    </w:pPr>
    <w:rPr>
      <w:i/>
      <w:iCs/>
      <w:sz w:val="20"/>
      <w:szCs w:val="20"/>
    </w:rPr>
  </w:style>
  <w:style w:type="paragraph" w:customStyle="1" w:styleId="TableofFigures1">
    <w:name w:val="Table of Figures1"/>
    <w:basedOn w:val="Normal"/>
    <w:next w:val="Normal"/>
    <w:uiPriority w:val="99"/>
    <w:rsid w:val="001A6FF0"/>
    <w:pPr>
      <w:spacing w:after="0"/>
      <w:ind w:left="480" w:hanging="480"/>
      <w:jc w:val="left"/>
    </w:pPr>
    <w:rPr>
      <w:smallCaps/>
      <w:sz w:val="20"/>
      <w:szCs w:val="20"/>
    </w:rPr>
  </w:style>
  <w:style w:type="paragraph" w:customStyle="1" w:styleId="TOC41">
    <w:name w:val="TOC 41"/>
    <w:basedOn w:val="Normal"/>
    <w:next w:val="Normal"/>
    <w:autoRedefine/>
    <w:uiPriority w:val="39"/>
    <w:rsid w:val="001A6FF0"/>
    <w:pPr>
      <w:spacing w:after="0"/>
      <w:ind w:left="720"/>
      <w:jc w:val="left"/>
    </w:pPr>
    <w:rPr>
      <w:sz w:val="18"/>
      <w:szCs w:val="18"/>
    </w:rPr>
  </w:style>
  <w:style w:type="paragraph" w:customStyle="1" w:styleId="TOC51">
    <w:name w:val="TOC 51"/>
    <w:basedOn w:val="Normal"/>
    <w:next w:val="Normal"/>
    <w:autoRedefine/>
    <w:uiPriority w:val="39"/>
    <w:rsid w:val="001A6FF0"/>
    <w:pPr>
      <w:spacing w:after="0"/>
      <w:ind w:left="960"/>
      <w:jc w:val="left"/>
    </w:pPr>
    <w:rPr>
      <w:sz w:val="18"/>
      <w:szCs w:val="18"/>
    </w:rPr>
  </w:style>
  <w:style w:type="paragraph" w:customStyle="1" w:styleId="TOC61">
    <w:name w:val="TOC 61"/>
    <w:basedOn w:val="Normal"/>
    <w:next w:val="Normal"/>
    <w:autoRedefine/>
    <w:uiPriority w:val="39"/>
    <w:rsid w:val="001A6FF0"/>
    <w:pPr>
      <w:spacing w:after="0"/>
      <w:ind w:left="1200"/>
      <w:jc w:val="left"/>
    </w:pPr>
    <w:rPr>
      <w:sz w:val="18"/>
      <w:szCs w:val="18"/>
    </w:rPr>
  </w:style>
  <w:style w:type="paragraph" w:customStyle="1" w:styleId="TOC71">
    <w:name w:val="TOC 71"/>
    <w:basedOn w:val="Normal"/>
    <w:next w:val="Normal"/>
    <w:autoRedefine/>
    <w:uiPriority w:val="39"/>
    <w:rsid w:val="001A6FF0"/>
    <w:pPr>
      <w:spacing w:after="0"/>
      <w:ind w:left="1440"/>
      <w:jc w:val="left"/>
    </w:pPr>
    <w:rPr>
      <w:sz w:val="18"/>
      <w:szCs w:val="18"/>
    </w:rPr>
  </w:style>
  <w:style w:type="paragraph" w:customStyle="1" w:styleId="TOC81">
    <w:name w:val="TOC 81"/>
    <w:basedOn w:val="Normal"/>
    <w:next w:val="Normal"/>
    <w:autoRedefine/>
    <w:uiPriority w:val="39"/>
    <w:rsid w:val="001A6FF0"/>
    <w:pPr>
      <w:spacing w:after="0"/>
      <w:ind w:left="1680"/>
      <w:jc w:val="left"/>
    </w:pPr>
    <w:rPr>
      <w:sz w:val="18"/>
      <w:szCs w:val="18"/>
    </w:rPr>
  </w:style>
  <w:style w:type="paragraph" w:customStyle="1" w:styleId="TOC91">
    <w:name w:val="TOC 91"/>
    <w:basedOn w:val="Normal"/>
    <w:next w:val="Normal"/>
    <w:autoRedefine/>
    <w:uiPriority w:val="39"/>
    <w:rsid w:val="001A6FF0"/>
    <w:pPr>
      <w:spacing w:after="0"/>
      <w:ind w:left="1920"/>
      <w:jc w:val="left"/>
    </w:pPr>
    <w:rPr>
      <w:sz w:val="18"/>
      <w:szCs w:val="18"/>
    </w:rPr>
  </w:style>
  <w:style w:type="paragraph" w:customStyle="1" w:styleId="Subtitle10">
    <w:name w:val="Subtitle1"/>
    <w:basedOn w:val="Normal"/>
    <w:next w:val="Normal"/>
    <w:rsid w:val="001A6FF0"/>
    <w:pPr>
      <w:numPr>
        <w:ilvl w:val="1"/>
      </w:numPr>
    </w:pPr>
    <w:rPr>
      <w:rFonts w:ascii="Cambria" w:hAnsi="Cambria"/>
      <w:i/>
      <w:iCs/>
      <w:color w:val="4F81BD"/>
      <w:spacing w:val="15"/>
    </w:rPr>
  </w:style>
  <w:style w:type="character" w:customStyle="1" w:styleId="SubtleEmphasis1">
    <w:name w:val="Subtle Emphasis1"/>
    <w:basedOn w:val="DefaultParagraphFont"/>
    <w:uiPriority w:val="19"/>
    <w:rsid w:val="001A6FF0"/>
    <w:rPr>
      <w:i/>
      <w:iCs/>
      <w:color w:val="808080"/>
    </w:rPr>
  </w:style>
  <w:style w:type="numbering" w:customStyle="1" w:styleId="NoList11">
    <w:name w:val="No List11"/>
    <w:next w:val="NoList"/>
    <w:uiPriority w:val="99"/>
    <w:semiHidden/>
    <w:unhideWhenUsed/>
    <w:rsid w:val="001A6FF0"/>
  </w:style>
  <w:style w:type="paragraph" w:customStyle="1" w:styleId="TOCHeading1">
    <w:name w:val="TOC Heading1"/>
    <w:basedOn w:val="Heading1"/>
    <w:next w:val="Normal"/>
    <w:uiPriority w:val="39"/>
    <w:unhideWhenUsed/>
    <w:qFormat/>
    <w:rsid w:val="001A6FF0"/>
    <w:pPr>
      <w:numPr>
        <w:numId w:val="0"/>
      </w:numPr>
      <w:tabs>
        <w:tab w:val="clear" w:pos="567"/>
      </w:tabs>
      <w:spacing w:after="0"/>
      <w:ind w:left="360" w:hanging="360"/>
      <w:jc w:val="left"/>
      <w:outlineLvl w:val="9"/>
    </w:pPr>
    <w:rPr>
      <w:caps w:val="0"/>
      <w:color w:val="365F91"/>
      <w:lang w:val="en-US" w:eastAsia="ja-JP"/>
    </w:rPr>
  </w:style>
  <w:style w:type="character" w:customStyle="1" w:styleId="SubtitleChar1">
    <w:name w:val="Subtitle Char1"/>
    <w:basedOn w:val="DefaultParagraphFont"/>
    <w:rsid w:val="001A6FF0"/>
    <w:rPr>
      <w:rFonts w:asciiTheme="majorHAnsi" w:eastAsiaTheme="majorEastAsia" w:hAnsiTheme="majorHAnsi" w:cstheme="majorBidi"/>
      <w:i/>
      <w:iCs/>
      <w:color w:val="4F81BD" w:themeColor="accent1"/>
      <w:spacing w:val="15"/>
      <w:sz w:val="24"/>
      <w:szCs w:val="24"/>
    </w:rPr>
  </w:style>
  <w:style w:type="paragraph" w:customStyle="1" w:styleId="EndNoteBibliographyTitle">
    <w:name w:val="EndNote Bibliography Title"/>
    <w:basedOn w:val="Normal"/>
    <w:link w:val="EndNoteBibliographyTitleChar"/>
    <w:rsid w:val="00B05798"/>
    <w:pPr>
      <w:spacing w:after="0"/>
      <w:jc w:val="center"/>
    </w:pPr>
    <w:rPr>
      <w:rFonts w:ascii="Times New Roman" w:hAnsi="Times New Roman"/>
      <w:noProof/>
      <w:lang w:val="en-US"/>
    </w:rPr>
  </w:style>
  <w:style w:type="character" w:customStyle="1" w:styleId="EndNoteBibliographyTitleChar">
    <w:name w:val="EndNote Bibliography Title Char"/>
    <w:basedOn w:val="DefaultParagraphFont"/>
    <w:link w:val="EndNoteBibliographyTitle"/>
    <w:rsid w:val="00B05798"/>
    <w:rPr>
      <w:noProof/>
      <w:lang w:val="en-US" w:eastAsia="en-US"/>
    </w:rPr>
  </w:style>
  <w:style w:type="paragraph" w:customStyle="1" w:styleId="EndNoteBibliography">
    <w:name w:val="EndNote Bibliography"/>
    <w:basedOn w:val="Normal"/>
    <w:link w:val="EndNoteBibliographyChar"/>
    <w:rsid w:val="00B05798"/>
    <w:pPr>
      <w:spacing w:line="240" w:lineRule="auto"/>
    </w:pPr>
    <w:rPr>
      <w:rFonts w:ascii="Times New Roman" w:hAnsi="Times New Roman"/>
      <w:noProof/>
      <w:lang w:val="en-US"/>
    </w:rPr>
  </w:style>
  <w:style w:type="character" w:customStyle="1" w:styleId="EndNoteBibliographyChar">
    <w:name w:val="EndNote Bibliography Char"/>
    <w:basedOn w:val="DefaultParagraphFont"/>
    <w:link w:val="EndNoteBibliography"/>
    <w:rsid w:val="00B05798"/>
    <w:rPr>
      <w:noProof/>
      <w:lang w:val="en-US" w:eastAsia="en-US"/>
    </w:rPr>
  </w:style>
  <w:style w:type="paragraph" w:customStyle="1" w:styleId="Subbullet">
    <w:name w:val="Subbullet"/>
    <w:basedOn w:val="Bullet"/>
    <w:qFormat/>
    <w:rsid w:val="007705CF"/>
    <w:pPr>
      <w:numPr>
        <w:numId w:val="83"/>
      </w:numPr>
      <w:shd w:val="clear" w:color="auto" w:fill="FFFFFF"/>
      <w:autoSpaceDE w:val="0"/>
      <w:autoSpaceDN w:val="0"/>
      <w:adjustRightInd w:val="0"/>
      <w:spacing w:after="90" w:line="240" w:lineRule="auto"/>
      <w:ind w:left="709" w:hanging="345"/>
      <w:jc w:val="left"/>
    </w:pPr>
    <w:rPr>
      <w:rFonts w:ascii="Calibri" w:eastAsia="Calibri" w:hAnsi="Calibri"/>
      <w:szCs w:val="22"/>
    </w:rPr>
  </w:style>
  <w:style w:type="paragraph" w:customStyle="1" w:styleId="Fundingsummary">
    <w:name w:val="Funding summary"/>
    <w:basedOn w:val="Normal"/>
    <w:qFormat/>
    <w:rsid w:val="007705CF"/>
    <w:pPr>
      <w:pBdr>
        <w:top w:val="single" w:sz="4" w:space="1" w:color="4F81BD" w:themeColor="accent1"/>
        <w:left w:val="single" w:sz="4" w:space="4" w:color="4F81BD" w:themeColor="accent1"/>
        <w:bottom w:val="single" w:sz="4" w:space="1" w:color="4F81BD" w:themeColor="accent1"/>
        <w:right w:val="single" w:sz="4" w:space="4" w:color="4F81BD" w:themeColor="accent1"/>
      </w:pBd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161">
      <w:bodyDiv w:val="1"/>
      <w:marLeft w:val="0"/>
      <w:marRight w:val="0"/>
      <w:marTop w:val="0"/>
      <w:marBottom w:val="0"/>
      <w:divBdr>
        <w:top w:val="none" w:sz="0" w:space="0" w:color="auto"/>
        <w:left w:val="none" w:sz="0" w:space="0" w:color="auto"/>
        <w:bottom w:val="none" w:sz="0" w:space="0" w:color="auto"/>
        <w:right w:val="none" w:sz="0" w:space="0" w:color="auto"/>
      </w:divBdr>
    </w:div>
    <w:div w:id="2753524">
      <w:bodyDiv w:val="1"/>
      <w:marLeft w:val="0"/>
      <w:marRight w:val="0"/>
      <w:marTop w:val="0"/>
      <w:marBottom w:val="0"/>
      <w:divBdr>
        <w:top w:val="none" w:sz="0" w:space="0" w:color="auto"/>
        <w:left w:val="none" w:sz="0" w:space="0" w:color="auto"/>
        <w:bottom w:val="none" w:sz="0" w:space="0" w:color="auto"/>
        <w:right w:val="none" w:sz="0" w:space="0" w:color="auto"/>
      </w:divBdr>
    </w:div>
    <w:div w:id="83645658">
      <w:bodyDiv w:val="1"/>
      <w:marLeft w:val="0"/>
      <w:marRight w:val="0"/>
      <w:marTop w:val="0"/>
      <w:marBottom w:val="0"/>
      <w:divBdr>
        <w:top w:val="none" w:sz="0" w:space="0" w:color="auto"/>
        <w:left w:val="none" w:sz="0" w:space="0" w:color="auto"/>
        <w:bottom w:val="none" w:sz="0" w:space="0" w:color="auto"/>
        <w:right w:val="none" w:sz="0" w:space="0" w:color="auto"/>
      </w:divBdr>
      <w:divsChild>
        <w:div w:id="1231575193">
          <w:marLeft w:val="0"/>
          <w:marRight w:val="0"/>
          <w:marTop w:val="0"/>
          <w:marBottom w:val="0"/>
          <w:divBdr>
            <w:top w:val="none" w:sz="0" w:space="0" w:color="auto"/>
            <w:left w:val="none" w:sz="0" w:space="0" w:color="auto"/>
            <w:bottom w:val="none" w:sz="0" w:space="0" w:color="auto"/>
            <w:right w:val="none" w:sz="0" w:space="0" w:color="auto"/>
          </w:divBdr>
          <w:divsChild>
            <w:div w:id="834879931">
              <w:marLeft w:val="0"/>
              <w:marRight w:val="0"/>
              <w:marTop w:val="0"/>
              <w:marBottom w:val="0"/>
              <w:divBdr>
                <w:top w:val="none" w:sz="0" w:space="0" w:color="auto"/>
                <w:left w:val="none" w:sz="0" w:space="0" w:color="auto"/>
                <w:bottom w:val="none" w:sz="0" w:space="0" w:color="auto"/>
                <w:right w:val="none" w:sz="0" w:space="0" w:color="auto"/>
              </w:divBdr>
              <w:divsChild>
                <w:div w:id="112554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23631">
      <w:bodyDiv w:val="1"/>
      <w:marLeft w:val="0"/>
      <w:marRight w:val="0"/>
      <w:marTop w:val="0"/>
      <w:marBottom w:val="0"/>
      <w:divBdr>
        <w:top w:val="none" w:sz="0" w:space="0" w:color="auto"/>
        <w:left w:val="none" w:sz="0" w:space="0" w:color="auto"/>
        <w:bottom w:val="none" w:sz="0" w:space="0" w:color="auto"/>
        <w:right w:val="none" w:sz="0" w:space="0" w:color="auto"/>
      </w:divBdr>
      <w:divsChild>
        <w:div w:id="158884850">
          <w:marLeft w:val="0"/>
          <w:marRight w:val="0"/>
          <w:marTop w:val="0"/>
          <w:marBottom w:val="0"/>
          <w:divBdr>
            <w:top w:val="none" w:sz="0" w:space="0" w:color="auto"/>
            <w:left w:val="none" w:sz="0" w:space="0" w:color="auto"/>
            <w:bottom w:val="none" w:sz="0" w:space="0" w:color="auto"/>
            <w:right w:val="none" w:sz="0" w:space="0" w:color="auto"/>
          </w:divBdr>
        </w:div>
        <w:div w:id="640040004">
          <w:marLeft w:val="0"/>
          <w:marRight w:val="0"/>
          <w:marTop w:val="0"/>
          <w:marBottom w:val="0"/>
          <w:divBdr>
            <w:top w:val="none" w:sz="0" w:space="0" w:color="auto"/>
            <w:left w:val="none" w:sz="0" w:space="0" w:color="auto"/>
            <w:bottom w:val="none" w:sz="0" w:space="0" w:color="auto"/>
            <w:right w:val="none" w:sz="0" w:space="0" w:color="auto"/>
          </w:divBdr>
        </w:div>
        <w:div w:id="1938907501">
          <w:marLeft w:val="0"/>
          <w:marRight w:val="0"/>
          <w:marTop w:val="0"/>
          <w:marBottom w:val="0"/>
          <w:divBdr>
            <w:top w:val="none" w:sz="0" w:space="0" w:color="auto"/>
            <w:left w:val="none" w:sz="0" w:space="0" w:color="auto"/>
            <w:bottom w:val="none" w:sz="0" w:space="0" w:color="auto"/>
            <w:right w:val="none" w:sz="0" w:space="0" w:color="auto"/>
          </w:divBdr>
        </w:div>
      </w:divsChild>
    </w:div>
    <w:div w:id="119617465">
      <w:bodyDiv w:val="1"/>
      <w:marLeft w:val="0"/>
      <w:marRight w:val="0"/>
      <w:marTop w:val="0"/>
      <w:marBottom w:val="0"/>
      <w:divBdr>
        <w:top w:val="none" w:sz="0" w:space="0" w:color="auto"/>
        <w:left w:val="none" w:sz="0" w:space="0" w:color="auto"/>
        <w:bottom w:val="none" w:sz="0" w:space="0" w:color="auto"/>
        <w:right w:val="none" w:sz="0" w:space="0" w:color="auto"/>
      </w:divBdr>
    </w:div>
    <w:div w:id="124979194">
      <w:bodyDiv w:val="1"/>
      <w:marLeft w:val="0"/>
      <w:marRight w:val="0"/>
      <w:marTop w:val="0"/>
      <w:marBottom w:val="0"/>
      <w:divBdr>
        <w:top w:val="none" w:sz="0" w:space="0" w:color="auto"/>
        <w:left w:val="none" w:sz="0" w:space="0" w:color="auto"/>
        <w:bottom w:val="none" w:sz="0" w:space="0" w:color="auto"/>
        <w:right w:val="none" w:sz="0" w:space="0" w:color="auto"/>
      </w:divBdr>
    </w:div>
    <w:div w:id="145516123">
      <w:bodyDiv w:val="1"/>
      <w:marLeft w:val="0"/>
      <w:marRight w:val="0"/>
      <w:marTop w:val="0"/>
      <w:marBottom w:val="0"/>
      <w:divBdr>
        <w:top w:val="none" w:sz="0" w:space="0" w:color="auto"/>
        <w:left w:val="none" w:sz="0" w:space="0" w:color="auto"/>
        <w:bottom w:val="none" w:sz="0" w:space="0" w:color="auto"/>
        <w:right w:val="none" w:sz="0" w:space="0" w:color="auto"/>
      </w:divBdr>
    </w:div>
    <w:div w:id="148522739">
      <w:bodyDiv w:val="1"/>
      <w:marLeft w:val="0"/>
      <w:marRight w:val="0"/>
      <w:marTop w:val="0"/>
      <w:marBottom w:val="0"/>
      <w:divBdr>
        <w:top w:val="none" w:sz="0" w:space="0" w:color="auto"/>
        <w:left w:val="none" w:sz="0" w:space="0" w:color="auto"/>
        <w:bottom w:val="none" w:sz="0" w:space="0" w:color="auto"/>
        <w:right w:val="none" w:sz="0" w:space="0" w:color="auto"/>
      </w:divBdr>
      <w:divsChild>
        <w:div w:id="177012753">
          <w:marLeft w:val="0"/>
          <w:marRight w:val="0"/>
          <w:marTop w:val="0"/>
          <w:marBottom w:val="0"/>
          <w:divBdr>
            <w:top w:val="none" w:sz="0" w:space="0" w:color="auto"/>
            <w:left w:val="none" w:sz="0" w:space="0" w:color="auto"/>
            <w:bottom w:val="none" w:sz="0" w:space="0" w:color="auto"/>
            <w:right w:val="none" w:sz="0" w:space="0" w:color="auto"/>
          </w:divBdr>
        </w:div>
        <w:div w:id="245267610">
          <w:marLeft w:val="0"/>
          <w:marRight w:val="0"/>
          <w:marTop w:val="0"/>
          <w:marBottom w:val="0"/>
          <w:divBdr>
            <w:top w:val="none" w:sz="0" w:space="0" w:color="auto"/>
            <w:left w:val="none" w:sz="0" w:space="0" w:color="auto"/>
            <w:bottom w:val="none" w:sz="0" w:space="0" w:color="auto"/>
            <w:right w:val="none" w:sz="0" w:space="0" w:color="auto"/>
          </w:divBdr>
        </w:div>
        <w:div w:id="1575894236">
          <w:marLeft w:val="0"/>
          <w:marRight w:val="0"/>
          <w:marTop w:val="0"/>
          <w:marBottom w:val="0"/>
          <w:divBdr>
            <w:top w:val="none" w:sz="0" w:space="0" w:color="auto"/>
            <w:left w:val="none" w:sz="0" w:space="0" w:color="auto"/>
            <w:bottom w:val="none" w:sz="0" w:space="0" w:color="auto"/>
            <w:right w:val="none" w:sz="0" w:space="0" w:color="auto"/>
          </w:divBdr>
        </w:div>
        <w:div w:id="1723209883">
          <w:marLeft w:val="0"/>
          <w:marRight w:val="0"/>
          <w:marTop w:val="0"/>
          <w:marBottom w:val="0"/>
          <w:divBdr>
            <w:top w:val="none" w:sz="0" w:space="0" w:color="auto"/>
            <w:left w:val="none" w:sz="0" w:space="0" w:color="auto"/>
            <w:bottom w:val="none" w:sz="0" w:space="0" w:color="auto"/>
            <w:right w:val="none" w:sz="0" w:space="0" w:color="auto"/>
          </w:divBdr>
        </w:div>
      </w:divsChild>
    </w:div>
    <w:div w:id="155418283">
      <w:bodyDiv w:val="1"/>
      <w:marLeft w:val="0"/>
      <w:marRight w:val="0"/>
      <w:marTop w:val="0"/>
      <w:marBottom w:val="0"/>
      <w:divBdr>
        <w:top w:val="none" w:sz="0" w:space="0" w:color="auto"/>
        <w:left w:val="none" w:sz="0" w:space="0" w:color="auto"/>
        <w:bottom w:val="none" w:sz="0" w:space="0" w:color="auto"/>
        <w:right w:val="none" w:sz="0" w:space="0" w:color="auto"/>
      </w:divBdr>
      <w:divsChild>
        <w:div w:id="1603223195">
          <w:marLeft w:val="0"/>
          <w:marRight w:val="0"/>
          <w:marTop w:val="0"/>
          <w:marBottom w:val="0"/>
          <w:divBdr>
            <w:top w:val="none" w:sz="0" w:space="0" w:color="auto"/>
            <w:left w:val="none" w:sz="0" w:space="0" w:color="auto"/>
            <w:bottom w:val="none" w:sz="0" w:space="0" w:color="auto"/>
            <w:right w:val="none" w:sz="0" w:space="0" w:color="auto"/>
          </w:divBdr>
        </w:div>
        <w:div w:id="1687976398">
          <w:marLeft w:val="0"/>
          <w:marRight w:val="0"/>
          <w:marTop w:val="0"/>
          <w:marBottom w:val="0"/>
          <w:divBdr>
            <w:top w:val="none" w:sz="0" w:space="0" w:color="auto"/>
            <w:left w:val="none" w:sz="0" w:space="0" w:color="auto"/>
            <w:bottom w:val="none" w:sz="0" w:space="0" w:color="auto"/>
            <w:right w:val="none" w:sz="0" w:space="0" w:color="auto"/>
          </w:divBdr>
        </w:div>
      </w:divsChild>
    </w:div>
    <w:div w:id="158498042">
      <w:bodyDiv w:val="1"/>
      <w:marLeft w:val="0"/>
      <w:marRight w:val="0"/>
      <w:marTop w:val="0"/>
      <w:marBottom w:val="0"/>
      <w:divBdr>
        <w:top w:val="none" w:sz="0" w:space="0" w:color="auto"/>
        <w:left w:val="none" w:sz="0" w:space="0" w:color="auto"/>
        <w:bottom w:val="none" w:sz="0" w:space="0" w:color="auto"/>
        <w:right w:val="none" w:sz="0" w:space="0" w:color="auto"/>
      </w:divBdr>
    </w:div>
    <w:div w:id="168640895">
      <w:bodyDiv w:val="1"/>
      <w:marLeft w:val="0"/>
      <w:marRight w:val="0"/>
      <w:marTop w:val="0"/>
      <w:marBottom w:val="0"/>
      <w:divBdr>
        <w:top w:val="none" w:sz="0" w:space="0" w:color="auto"/>
        <w:left w:val="none" w:sz="0" w:space="0" w:color="auto"/>
        <w:bottom w:val="none" w:sz="0" w:space="0" w:color="auto"/>
        <w:right w:val="none" w:sz="0" w:space="0" w:color="auto"/>
      </w:divBdr>
    </w:div>
    <w:div w:id="224335058">
      <w:bodyDiv w:val="1"/>
      <w:marLeft w:val="0"/>
      <w:marRight w:val="0"/>
      <w:marTop w:val="0"/>
      <w:marBottom w:val="0"/>
      <w:divBdr>
        <w:top w:val="none" w:sz="0" w:space="0" w:color="auto"/>
        <w:left w:val="none" w:sz="0" w:space="0" w:color="auto"/>
        <w:bottom w:val="none" w:sz="0" w:space="0" w:color="auto"/>
        <w:right w:val="none" w:sz="0" w:space="0" w:color="auto"/>
      </w:divBdr>
    </w:div>
    <w:div w:id="287205656">
      <w:bodyDiv w:val="1"/>
      <w:marLeft w:val="0"/>
      <w:marRight w:val="0"/>
      <w:marTop w:val="0"/>
      <w:marBottom w:val="0"/>
      <w:divBdr>
        <w:top w:val="none" w:sz="0" w:space="0" w:color="auto"/>
        <w:left w:val="none" w:sz="0" w:space="0" w:color="auto"/>
        <w:bottom w:val="none" w:sz="0" w:space="0" w:color="auto"/>
        <w:right w:val="none" w:sz="0" w:space="0" w:color="auto"/>
      </w:divBdr>
    </w:div>
    <w:div w:id="287666616">
      <w:bodyDiv w:val="1"/>
      <w:marLeft w:val="0"/>
      <w:marRight w:val="0"/>
      <w:marTop w:val="0"/>
      <w:marBottom w:val="0"/>
      <w:divBdr>
        <w:top w:val="none" w:sz="0" w:space="0" w:color="auto"/>
        <w:left w:val="none" w:sz="0" w:space="0" w:color="auto"/>
        <w:bottom w:val="none" w:sz="0" w:space="0" w:color="auto"/>
        <w:right w:val="none" w:sz="0" w:space="0" w:color="auto"/>
      </w:divBdr>
    </w:div>
    <w:div w:id="345326326">
      <w:bodyDiv w:val="1"/>
      <w:marLeft w:val="0"/>
      <w:marRight w:val="0"/>
      <w:marTop w:val="0"/>
      <w:marBottom w:val="0"/>
      <w:divBdr>
        <w:top w:val="none" w:sz="0" w:space="0" w:color="auto"/>
        <w:left w:val="none" w:sz="0" w:space="0" w:color="auto"/>
        <w:bottom w:val="none" w:sz="0" w:space="0" w:color="auto"/>
        <w:right w:val="none" w:sz="0" w:space="0" w:color="auto"/>
      </w:divBdr>
    </w:div>
    <w:div w:id="358356070">
      <w:bodyDiv w:val="1"/>
      <w:marLeft w:val="0"/>
      <w:marRight w:val="0"/>
      <w:marTop w:val="0"/>
      <w:marBottom w:val="0"/>
      <w:divBdr>
        <w:top w:val="none" w:sz="0" w:space="0" w:color="auto"/>
        <w:left w:val="none" w:sz="0" w:space="0" w:color="auto"/>
        <w:bottom w:val="none" w:sz="0" w:space="0" w:color="auto"/>
        <w:right w:val="none" w:sz="0" w:space="0" w:color="auto"/>
      </w:divBdr>
    </w:div>
    <w:div w:id="367950057">
      <w:bodyDiv w:val="1"/>
      <w:marLeft w:val="0"/>
      <w:marRight w:val="0"/>
      <w:marTop w:val="0"/>
      <w:marBottom w:val="0"/>
      <w:divBdr>
        <w:top w:val="none" w:sz="0" w:space="0" w:color="auto"/>
        <w:left w:val="none" w:sz="0" w:space="0" w:color="auto"/>
        <w:bottom w:val="none" w:sz="0" w:space="0" w:color="auto"/>
        <w:right w:val="none" w:sz="0" w:space="0" w:color="auto"/>
      </w:divBdr>
    </w:div>
    <w:div w:id="405881166">
      <w:bodyDiv w:val="1"/>
      <w:marLeft w:val="0"/>
      <w:marRight w:val="0"/>
      <w:marTop w:val="0"/>
      <w:marBottom w:val="0"/>
      <w:divBdr>
        <w:top w:val="none" w:sz="0" w:space="0" w:color="auto"/>
        <w:left w:val="none" w:sz="0" w:space="0" w:color="auto"/>
        <w:bottom w:val="none" w:sz="0" w:space="0" w:color="auto"/>
        <w:right w:val="none" w:sz="0" w:space="0" w:color="auto"/>
      </w:divBdr>
    </w:div>
    <w:div w:id="442844953">
      <w:bodyDiv w:val="1"/>
      <w:marLeft w:val="0"/>
      <w:marRight w:val="0"/>
      <w:marTop w:val="0"/>
      <w:marBottom w:val="0"/>
      <w:divBdr>
        <w:top w:val="none" w:sz="0" w:space="0" w:color="auto"/>
        <w:left w:val="none" w:sz="0" w:space="0" w:color="auto"/>
        <w:bottom w:val="none" w:sz="0" w:space="0" w:color="auto"/>
        <w:right w:val="none" w:sz="0" w:space="0" w:color="auto"/>
      </w:divBdr>
    </w:div>
    <w:div w:id="443382302">
      <w:bodyDiv w:val="1"/>
      <w:marLeft w:val="0"/>
      <w:marRight w:val="0"/>
      <w:marTop w:val="0"/>
      <w:marBottom w:val="0"/>
      <w:divBdr>
        <w:top w:val="none" w:sz="0" w:space="0" w:color="auto"/>
        <w:left w:val="none" w:sz="0" w:space="0" w:color="auto"/>
        <w:bottom w:val="none" w:sz="0" w:space="0" w:color="auto"/>
        <w:right w:val="none" w:sz="0" w:space="0" w:color="auto"/>
      </w:divBdr>
    </w:div>
    <w:div w:id="549655771">
      <w:bodyDiv w:val="1"/>
      <w:marLeft w:val="0"/>
      <w:marRight w:val="0"/>
      <w:marTop w:val="0"/>
      <w:marBottom w:val="0"/>
      <w:divBdr>
        <w:top w:val="none" w:sz="0" w:space="0" w:color="auto"/>
        <w:left w:val="none" w:sz="0" w:space="0" w:color="auto"/>
        <w:bottom w:val="none" w:sz="0" w:space="0" w:color="auto"/>
        <w:right w:val="none" w:sz="0" w:space="0" w:color="auto"/>
      </w:divBdr>
      <w:divsChild>
        <w:div w:id="1865091921">
          <w:marLeft w:val="0"/>
          <w:marRight w:val="0"/>
          <w:marTop w:val="0"/>
          <w:marBottom w:val="0"/>
          <w:divBdr>
            <w:top w:val="none" w:sz="0" w:space="0" w:color="auto"/>
            <w:left w:val="none" w:sz="0" w:space="0" w:color="auto"/>
            <w:bottom w:val="none" w:sz="0" w:space="0" w:color="auto"/>
            <w:right w:val="none" w:sz="0" w:space="0" w:color="auto"/>
          </w:divBdr>
        </w:div>
      </w:divsChild>
    </w:div>
    <w:div w:id="550968761">
      <w:bodyDiv w:val="1"/>
      <w:marLeft w:val="0"/>
      <w:marRight w:val="0"/>
      <w:marTop w:val="0"/>
      <w:marBottom w:val="0"/>
      <w:divBdr>
        <w:top w:val="none" w:sz="0" w:space="0" w:color="auto"/>
        <w:left w:val="none" w:sz="0" w:space="0" w:color="auto"/>
        <w:bottom w:val="none" w:sz="0" w:space="0" w:color="auto"/>
        <w:right w:val="none" w:sz="0" w:space="0" w:color="auto"/>
      </w:divBdr>
    </w:div>
    <w:div w:id="577059249">
      <w:bodyDiv w:val="1"/>
      <w:marLeft w:val="0"/>
      <w:marRight w:val="0"/>
      <w:marTop w:val="0"/>
      <w:marBottom w:val="0"/>
      <w:divBdr>
        <w:top w:val="none" w:sz="0" w:space="0" w:color="auto"/>
        <w:left w:val="none" w:sz="0" w:space="0" w:color="auto"/>
        <w:bottom w:val="none" w:sz="0" w:space="0" w:color="auto"/>
        <w:right w:val="none" w:sz="0" w:space="0" w:color="auto"/>
      </w:divBdr>
    </w:div>
    <w:div w:id="596600420">
      <w:bodyDiv w:val="1"/>
      <w:marLeft w:val="0"/>
      <w:marRight w:val="0"/>
      <w:marTop w:val="0"/>
      <w:marBottom w:val="0"/>
      <w:divBdr>
        <w:top w:val="none" w:sz="0" w:space="0" w:color="auto"/>
        <w:left w:val="none" w:sz="0" w:space="0" w:color="auto"/>
        <w:bottom w:val="none" w:sz="0" w:space="0" w:color="auto"/>
        <w:right w:val="none" w:sz="0" w:space="0" w:color="auto"/>
      </w:divBdr>
    </w:div>
    <w:div w:id="626163598">
      <w:bodyDiv w:val="1"/>
      <w:marLeft w:val="0"/>
      <w:marRight w:val="0"/>
      <w:marTop w:val="0"/>
      <w:marBottom w:val="0"/>
      <w:divBdr>
        <w:top w:val="none" w:sz="0" w:space="0" w:color="auto"/>
        <w:left w:val="none" w:sz="0" w:space="0" w:color="auto"/>
        <w:bottom w:val="none" w:sz="0" w:space="0" w:color="auto"/>
        <w:right w:val="none" w:sz="0" w:space="0" w:color="auto"/>
      </w:divBdr>
      <w:divsChild>
        <w:div w:id="148257570">
          <w:marLeft w:val="1166"/>
          <w:marRight w:val="0"/>
          <w:marTop w:val="29"/>
          <w:marBottom w:val="0"/>
          <w:divBdr>
            <w:top w:val="none" w:sz="0" w:space="0" w:color="auto"/>
            <w:left w:val="none" w:sz="0" w:space="0" w:color="auto"/>
            <w:bottom w:val="none" w:sz="0" w:space="0" w:color="auto"/>
            <w:right w:val="none" w:sz="0" w:space="0" w:color="auto"/>
          </w:divBdr>
        </w:div>
        <w:div w:id="188959970">
          <w:marLeft w:val="1166"/>
          <w:marRight w:val="0"/>
          <w:marTop w:val="29"/>
          <w:marBottom w:val="0"/>
          <w:divBdr>
            <w:top w:val="none" w:sz="0" w:space="0" w:color="auto"/>
            <w:left w:val="none" w:sz="0" w:space="0" w:color="auto"/>
            <w:bottom w:val="none" w:sz="0" w:space="0" w:color="auto"/>
            <w:right w:val="none" w:sz="0" w:space="0" w:color="auto"/>
          </w:divBdr>
        </w:div>
        <w:div w:id="1557664372">
          <w:marLeft w:val="1166"/>
          <w:marRight w:val="0"/>
          <w:marTop w:val="29"/>
          <w:marBottom w:val="0"/>
          <w:divBdr>
            <w:top w:val="none" w:sz="0" w:space="0" w:color="auto"/>
            <w:left w:val="none" w:sz="0" w:space="0" w:color="auto"/>
            <w:bottom w:val="none" w:sz="0" w:space="0" w:color="auto"/>
            <w:right w:val="none" w:sz="0" w:space="0" w:color="auto"/>
          </w:divBdr>
        </w:div>
      </w:divsChild>
    </w:div>
    <w:div w:id="629555677">
      <w:bodyDiv w:val="1"/>
      <w:marLeft w:val="0"/>
      <w:marRight w:val="0"/>
      <w:marTop w:val="0"/>
      <w:marBottom w:val="0"/>
      <w:divBdr>
        <w:top w:val="none" w:sz="0" w:space="0" w:color="auto"/>
        <w:left w:val="none" w:sz="0" w:space="0" w:color="auto"/>
        <w:bottom w:val="none" w:sz="0" w:space="0" w:color="auto"/>
        <w:right w:val="none" w:sz="0" w:space="0" w:color="auto"/>
      </w:divBdr>
      <w:divsChild>
        <w:div w:id="15933554">
          <w:marLeft w:val="0"/>
          <w:marRight w:val="0"/>
          <w:marTop w:val="0"/>
          <w:marBottom w:val="0"/>
          <w:divBdr>
            <w:top w:val="none" w:sz="0" w:space="0" w:color="auto"/>
            <w:left w:val="none" w:sz="0" w:space="0" w:color="auto"/>
            <w:bottom w:val="none" w:sz="0" w:space="0" w:color="auto"/>
            <w:right w:val="none" w:sz="0" w:space="0" w:color="auto"/>
          </w:divBdr>
        </w:div>
        <w:div w:id="905145674">
          <w:marLeft w:val="0"/>
          <w:marRight w:val="0"/>
          <w:marTop w:val="0"/>
          <w:marBottom w:val="0"/>
          <w:divBdr>
            <w:top w:val="none" w:sz="0" w:space="0" w:color="auto"/>
            <w:left w:val="none" w:sz="0" w:space="0" w:color="auto"/>
            <w:bottom w:val="none" w:sz="0" w:space="0" w:color="auto"/>
            <w:right w:val="none" w:sz="0" w:space="0" w:color="auto"/>
          </w:divBdr>
        </w:div>
        <w:div w:id="1340504948">
          <w:marLeft w:val="0"/>
          <w:marRight w:val="0"/>
          <w:marTop w:val="0"/>
          <w:marBottom w:val="0"/>
          <w:divBdr>
            <w:top w:val="none" w:sz="0" w:space="0" w:color="auto"/>
            <w:left w:val="none" w:sz="0" w:space="0" w:color="auto"/>
            <w:bottom w:val="none" w:sz="0" w:space="0" w:color="auto"/>
            <w:right w:val="none" w:sz="0" w:space="0" w:color="auto"/>
          </w:divBdr>
        </w:div>
        <w:div w:id="1546284921">
          <w:marLeft w:val="0"/>
          <w:marRight w:val="0"/>
          <w:marTop w:val="0"/>
          <w:marBottom w:val="0"/>
          <w:divBdr>
            <w:top w:val="none" w:sz="0" w:space="0" w:color="auto"/>
            <w:left w:val="none" w:sz="0" w:space="0" w:color="auto"/>
            <w:bottom w:val="none" w:sz="0" w:space="0" w:color="auto"/>
            <w:right w:val="none" w:sz="0" w:space="0" w:color="auto"/>
          </w:divBdr>
        </w:div>
      </w:divsChild>
    </w:div>
    <w:div w:id="632519239">
      <w:bodyDiv w:val="1"/>
      <w:marLeft w:val="0"/>
      <w:marRight w:val="0"/>
      <w:marTop w:val="0"/>
      <w:marBottom w:val="0"/>
      <w:divBdr>
        <w:top w:val="none" w:sz="0" w:space="0" w:color="auto"/>
        <w:left w:val="none" w:sz="0" w:space="0" w:color="auto"/>
        <w:bottom w:val="none" w:sz="0" w:space="0" w:color="auto"/>
        <w:right w:val="none" w:sz="0" w:space="0" w:color="auto"/>
      </w:divBdr>
      <w:divsChild>
        <w:div w:id="662661472">
          <w:marLeft w:val="0"/>
          <w:marRight w:val="0"/>
          <w:marTop w:val="0"/>
          <w:marBottom w:val="0"/>
          <w:divBdr>
            <w:top w:val="none" w:sz="0" w:space="0" w:color="auto"/>
            <w:left w:val="none" w:sz="0" w:space="0" w:color="auto"/>
            <w:bottom w:val="none" w:sz="0" w:space="0" w:color="auto"/>
            <w:right w:val="none" w:sz="0" w:space="0" w:color="auto"/>
          </w:divBdr>
        </w:div>
        <w:div w:id="675883694">
          <w:marLeft w:val="0"/>
          <w:marRight w:val="0"/>
          <w:marTop w:val="0"/>
          <w:marBottom w:val="0"/>
          <w:divBdr>
            <w:top w:val="none" w:sz="0" w:space="0" w:color="auto"/>
            <w:left w:val="none" w:sz="0" w:space="0" w:color="auto"/>
            <w:bottom w:val="none" w:sz="0" w:space="0" w:color="auto"/>
            <w:right w:val="none" w:sz="0" w:space="0" w:color="auto"/>
          </w:divBdr>
        </w:div>
        <w:div w:id="986009093">
          <w:marLeft w:val="0"/>
          <w:marRight w:val="0"/>
          <w:marTop w:val="0"/>
          <w:marBottom w:val="0"/>
          <w:divBdr>
            <w:top w:val="none" w:sz="0" w:space="0" w:color="auto"/>
            <w:left w:val="none" w:sz="0" w:space="0" w:color="auto"/>
            <w:bottom w:val="none" w:sz="0" w:space="0" w:color="auto"/>
            <w:right w:val="none" w:sz="0" w:space="0" w:color="auto"/>
          </w:divBdr>
        </w:div>
        <w:div w:id="1093471344">
          <w:marLeft w:val="0"/>
          <w:marRight w:val="0"/>
          <w:marTop w:val="0"/>
          <w:marBottom w:val="0"/>
          <w:divBdr>
            <w:top w:val="none" w:sz="0" w:space="0" w:color="auto"/>
            <w:left w:val="none" w:sz="0" w:space="0" w:color="auto"/>
            <w:bottom w:val="none" w:sz="0" w:space="0" w:color="auto"/>
            <w:right w:val="none" w:sz="0" w:space="0" w:color="auto"/>
          </w:divBdr>
        </w:div>
        <w:div w:id="1107120473">
          <w:marLeft w:val="0"/>
          <w:marRight w:val="0"/>
          <w:marTop w:val="0"/>
          <w:marBottom w:val="0"/>
          <w:divBdr>
            <w:top w:val="none" w:sz="0" w:space="0" w:color="auto"/>
            <w:left w:val="none" w:sz="0" w:space="0" w:color="auto"/>
            <w:bottom w:val="none" w:sz="0" w:space="0" w:color="auto"/>
            <w:right w:val="none" w:sz="0" w:space="0" w:color="auto"/>
          </w:divBdr>
        </w:div>
        <w:div w:id="1499809951">
          <w:marLeft w:val="0"/>
          <w:marRight w:val="0"/>
          <w:marTop w:val="0"/>
          <w:marBottom w:val="0"/>
          <w:divBdr>
            <w:top w:val="none" w:sz="0" w:space="0" w:color="auto"/>
            <w:left w:val="none" w:sz="0" w:space="0" w:color="auto"/>
            <w:bottom w:val="none" w:sz="0" w:space="0" w:color="auto"/>
            <w:right w:val="none" w:sz="0" w:space="0" w:color="auto"/>
          </w:divBdr>
        </w:div>
        <w:div w:id="1788349229">
          <w:marLeft w:val="0"/>
          <w:marRight w:val="0"/>
          <w:marTop w:val="0"/>
          <w:marBottom w:val="0"/>
          <w:divBdr>
            <w:top w:val="none" w:sz="0" w:space="0" w:color="auto"/>
            <w:left w:val="none" w:sz="0" w:space="0" w:color="auto"/>
            <w:bottom w:val="none" w:sz="0" w:space="0" w:color="auto"/>
            <w:right w:val="none" w:sz="0" w:space="0" w:color="auto"/>
          </w:divBdr>
        </w:div>
        <w:div w:id="1931038967">
          <w:marLeft w:val="0"/>
          <w:marRight w:val="0"/>
          <w:marTop w:val="0"/>
          <w:marBottom w:val="0"/>
          <w:divBdr>
            <w:top w:val="none" w:sz="0" w:space="0" w:color="auto"/>
            <w:left w:val="none" w:sz="0" w:space="0" w:color="auto"/>
            <w:bottom w:val="none" w:sz="0" w:space="0" w:color="auto"/>
            <w:right w:val="none" w:sz="0" w:space="0" w:color="auto"/>
          </w:divBdr>
        </w:div>
      </w:divsChild>
    </w:div>
    <w:div w:id="644437443">
      <w:bodyDiv w:val="1"/>
      <w:marLeft w:val="0"/>
      <w:marRight w:val="0"/>
      <w:marTop w:val="0"/>
      <w:marBottom w:val="0"/>
      <w:divBdr>
        <w:top w:val="none" w:sz="0" w:space="0" w:color="auto"/>
        <w:left w:val="none" w:sz="0" w:space="0" w:color="auto"/>
        <w:bottom w:val="none" w:sz="0" w:space="0" w:color="auto"/>
        <w:right w:val="none" w:sz="0" w:space="0" w:color="auto"/>
      </w:divBdr>
    </w:div>
    <w:div w:id="654380424">
      <w:bodyDiv w:val="1"/>
      <w:marLeft w:val="0"/>
      <w:marRight w:val="0"/>
      <w:marTop w:val="0"/>
      <w:marBottom w:val="0"/>
      <w:divBdr>
        <w:top w:val="none" w:sz="0" w:space="0" w:color="auto"/>
        <w:left w:val="none" w:sz="0" w:space="0" w:color="auto"/>
        <w:bottom w:val="none" w:sz="0" w:space="0" w:color="auto"/>
        <w:right w:val="none" w:sz="0" w:space="0" w:color="auto"/>
      </w:divBdr>
    </w:div>
    <w:div w:id="663515153">
      <w:bodyDiv w:val="1"/>
      <w:marLeft w:val="0"/>
      <w:marRight w:val="0"/>
      <w:marTop w:val="0"/>
      <w:marBottom w:val="0"/>
      <w:divBdr>
        <w:top w:val="none" w:sz="0" w:space="0" w:color="auto"/>
        <w:left w:val="none" w:sz="0" w:space="0" w:color="auto"/>
        <w:bottom w:val="none" w:sz="0" w:space="0" w:color="auto"/>
        <w:right w:val="none" w:sz="0" w:space="0" w:color="auto"/>
      </w:divBdr>
    </w:div>
    <w:div w:id="720442962">
      <w:bodyDiv w:val="1"/>
      <w:marLeft w:val="0"/>
      <w:marRight w:val="0"/>
      <w:marTop w:val="0"/>
      <w:marBottom w:val="0"/>
      <w:divBdr>
        <w:top w:val="none" w:sz="0" w:space="0" w:color="auto"/>
        <w:left w:val="none" w:sz="0" w:space="0" w:color="auto"/>
        <w:bottom w:val="none" w:sz="0" w:space="0" w:color="auto"/>
        <w:right w:val="none" w:sz="0" w:space="0" w:color="auto"/>
      </w:divBdr>
    </w:div>
    <w:div w:id="740909696">
      <w:bodyDiv w:val="1"/>
      <w:marLeft w:val="0"/>
      <w:marRight w:val="0"/>
      <w:marTop w:val="0"/>
      <w:marBottom w:val="0"/>
      <w:divBdr>
        <w:top w:val="none" w:sz="0" w:space="0" w:color="auto"/>
        <w:left w:val="none" w:sz="0" w:space="0" w:color="auto"/>
        <w:bottom w:val="none" w:sz="0" w:space="0" w:color="auto"/>
        <w:right w:val="none" w:sz="0" w:space="0" w:color="auto"/>
      </w:divBdr>
    </w:div>
    <w:div w:id="749616382">
      <w:bodyDiv w:val="1"/>
      <w:marLeft w:val="0"/>
      <w:marRight w:val="0"/>
      <w:marTop w:val="0"/>
      <w:marBottom w:val="0"/>
      <w:divBdr>
        <w:top w:val="none" w:sz="0" w:space="0" w:color="auto"/>
        <w:left w:val="none" w:sz="0" w:space="0" w:color="auto"/>
        <w:bottom w:val="none" w:sz="0" w:space="0" w:color="auto"/>
        <w:right w:val="none" w:sz="0" w:space="0" w:color="auto"/>
      </w:divBdr>
      <w:divsChild>
        <w:div w:id="456416570">
          <w:marLeft w:val="0"/>
          <w:marRight w:val="0"/>
          <w:marTop w:val="0"/>
          <w:marBottom w:val="0"/>
          <w:divBdr>
            <w:top w:val="none" w:sz="0" w:space="0" w:color="auto"/>
            <w:left w:val="none" w:sz="0" w:space="0" w:color="auto"/>
            <w:bottom w:val="none" w:sz="0" w:space="0" w:color="auto"/>
            <w:right w:val="none" w:sz="0" w:space="0" w:color="auto"/>
          </w:divBdr>
        </w:div>
        <w:div w:id="1122268472">
          <w:marLeft w:val="0"/>
          <w:marRight w:val="0"/>
          <w:marTop w:val="0"/>
          <w:marBottom w:val="0"/>
          <w:divBdr>
            <w:top w:val="none" w:sz="0" w:space="0" w:color="auto"/>
            <w:left w:val="none" w:sz="0" w:space="0" w:color="auto"/>
            <w:bottom w:val="none" w:sz="0" w:space="0" w:color="auto"/>
            <w:right w:val="none" w:sz="0" w:space="0" w:color="auto"/>
          </w:divBdr>
        </w:div>
        <w:div w:id="2133283516">
          <w:marLeft w:val="0"/>
          <w:marRight w:val="0"/>
          <w:marTop w:val="0"/>
          <w:marBottom w:val="0"/>
          <w:divBdr>
            <w:top w:val="none" w:sz="0" w:space="0" w:color="auto"/>
            <w:left w:val="none" w:sz="0" w:space="0" w:color="auto"/>
            <w:bottom w:val="none" w:sz="0" w:space="0" w:color="auto"/>
            <w:right w:val="none" w:sz="0" w:space="0" w:color="auto"/>
          </w:divBdr>
        </w:div>
      </w:divsChild>
    </w:div>
    <w:div w:id="799500159">
      <w:bodyDiv w:val="1"/>
      <w:marLeft w:val="0"/>
      <w:marRight w:val="0"/>
      <w:marTop w:val="0"/>
      <w:marBottom w:val="0"/>
      <w:divBdr>
        <w:top w:val="none" w:sz="0" w:space="0" w:color="auto"/>
        <w:left w:val="none" w:sz="0" w:space="0" w:color="auto"/>
        <w:bottom w:val="none" w:sz="0" w:space="0" w:color="auto"/>
        <w:right w:val="none" w:sz="0" w:space="0" w:color="auto"/>
      </w:divBdr>
    </w:div>
    <w:div w:id="822044252">
      <w:bodyDiv w:val="1"/>
      <w:marLeft w:val="0"/>
      <w:marRight w:val="0"/>
      <w:marTop w:val="0"/>
      <w:marBottom w:val="0"/>
      <w:divBdr>
        <w:top w:val="none" w:sz="0" w:space="0" w:color="auto"/>
        <w:left w:val="none" w:sz="0" w:space="0" w:color="auto"/>
        <w:bottom w:val="none" w:sz="0" w:space="0" w:color="auto"/>
        <w:right w:val="none" w:sz="0" w:space="0" w:color="auto"/>
      </w:divBdr>
    </w:div>
    <w:div w:id="824976668">
      <w:bodyDiv w:val="1"/>
      <w:marLeft w:val="0"/>
      <w:marRight w:val="0"/>
      <w:marTop w:val="0"/>
      <w:marBottom w:val="0"/>
      <w:divBdr>
        <w:top w:val="none" w:sz="0" w:space="0" w:color="auto"/>
        <w:left w:val="none" w:sz="0" w:space="0" w:color="auto"/>
        <w:bottom w:val="none" w:sz="0" w:space="0" w:color="auto"/>
        <w:right w:val="none" w:sz="0" w:space="0" w:color="auto"/>
      </w:divBdr>
    </w:div>
    <w:div w:id="828595486">
      <w:bodyDiv w:val="1"/>
      <w:marLeft w:val="0"/>
      <w:marRight w:val="0"/>
      <w:marTop w:val="0"/>
      <w:marBottom w:val="0"/>
      <w:divBdr>
        <w:top w:val="none" w:sz="0" w:space="0" w:color="auto"/>
        <w:left w:val="none" w:sz="0" w:space="0" w:color="auto"/>
        <w:bottom w:val="none" w:sz="0" w:space="0" w:color="auto"/>
        <w:right w:val="none" w:sz="0" w:space="0" w:color="auto"/>
      </w:divBdr>
    </w:div>
    <w:div w:id="850140375">
      <w:bodyDiv w:val="1"/>
      <w:marLeft w:val="0"/>
      <w:marRight w:val="0"/>
      <w:marTop w:val="0"/>
      <w:marBottom w:val="0"/>
      <w:divBdr>
        <w:top w:val="none" w:sz="0" w:space="0" w:color="auto"/>
        <w:left w:val="none" w:sz="0" w:space="0" w:color="auto"/>
        <w:bottom w:val="none" w:sz="0" w:space="0" w:color="auto"/>
        <w:right w:val="none" w:sz="0" w:space="0" w:color="auto"/>
      </w:divBdr>
      <w:divsChild>
        <w:div w:id="941500553">
          <w:marLeft w:val="0"/>
          <w:marRight w:val="0"/>
          <w:marTop w:val="0"/>
          <w:marBottom w:val="0"/>
          <w:divBdr>
            <w:top w:val="none" w:sz="0" w:space="0" w:color="auto"/>
            <w:left w:val="none" w:sz="0" w:space="0" w:color="auto"/>
            <w:bottom w:val="none" w:sz="0" w:space="0" w:color="auto"/>
            <w:right w:val="none" w:sz="0" w:space="0" w:color="auto"/>
          </w:divBdr>
        </w:div>
      </w:divsChild>
    </w:div>
    <w:div w:id="855852627">
      <w:bodyDiv w:val="1"/>
      <w:marLeft w:val="0"/>
      <w:marRight w:val="0"/>
      <w:marTop w:val="0"/>
      <w:marBottom w:val="0"/>
      <w:divBdr>
        <w:top w:val="none" w:sz="0" w:space="0" w:color="auto"/>
        <w:left w:val="none" w:sz="0" w:space="0" w:color="auto"/>
        <w:bottom w:val="none" w:sz="0" w:space="0" w:color="auto"/>
        <w:right w:val="none" w:sz="0" w:space="0" w:color="auto"/>
      </w:divBdr>
    </w:div>
    <w:div w:id="904024154">
      <w:bodyDiv w:val="1"/>
      <w:marLeft w:val="0"/>
      <w:marRight w:val="0"/>
      <w:marTop w:val="0"/>
      <w:marBottom w:val="0"/>
      <w:divBdr>
        <w:top w:val="none" w:sz="0" w:space="0" w:color="auto"/>
        <w:left w:val="none" w:sz="0" w:space="0" w:color="auto"/>
        <w:bottom w:val="none" w:sz="0" w:space="0" w:color="auto"/>
        <w:right w:val="none" w:sz="0" w:space="0" w:color="auto"/>
      </w:divBdr>
    </w:div>
    <w:div w:id="912004596">
      <w:bodyDiv w:val="1"/>
      <w:marLeft w:val="0"/>
      <w:marRight w:val="0"/>
      <w:marTop w:val="0"/>
      <w:marBottom w:val="0"/>
      <w:divBdr>
        <w:top w:val="none" w:sz="0" w:space="0" w:color="auto"/>
        <w:left w:val="none" w:sz="0" w:space="0" w:color="auto"/>
        <w:bottom w:val="none" w:sz="0" w:space="0" w:color="auto"/>
        <w:right w:val="none" w:sz="0" w:space="0" w:color="auto"/>
      </w:divBdr>
    </w:div>
    <w:div w:id="932739542">
      <w:bodyDiv w:val="1"/>
      <w:marLeft w:val="0"/>
      <w:marRight w:val="0"/>
      <w:marTop w:val="0"/>
      <w:marBottom w:val="0"/>
      <w:divBdr>
        <w:top w:val="none" w:sz="0" w:space="0" w:color="auto"/>
        <w:left w:val="none" w:sz="0" w:space="0" w:color="auto"/>
        <w:bottom w:val="none" w:sz="0" w:space="0" w:color="auto"/>
        <w:right w:val="none" w:sz="0" w:space="0" w:color="auto"/>
      </w:divBdr>
    </w:div>
    <w:div w:id="939262270">
      <w:bodyDiv w:val="1"/>
      <w:marLeft w:val="0"/>
      <w:marRight w:val="0"/>
      <w:marTop w:val="0"/>
      <w:marBottom w:val="0"/>
      <w:divBdr>
        <w:top w:val="none" w:sz="0" w:space="0" w:color="auto"/>
        <w:left w:val="none" w:sz="0" w:space="0" w:color="auto"/>
        <w:bottom w:val="none" w:sz="0" w:space="0" w:color="auto"/>
        <w:right w:val="none" w:sz="0" w:space="0" w:color="auto"/>
      </w:divBdr>
    </w:div>
    <w:div w:id="972753220">
      <w:bodyDiv w:val="1"/>
      <w:marLeft w:val="0"/>
      <w:marRight w:val="0"/>
      <w:marTop w:val="0"/>
      <w:marBottom w:val="0"/>
      <w:divBdr>
        <w:top w:val="none" w:sz="0" w:space="0" w:color="auto"/>
        <w:left w:val="none" w:sz="0" w:space="0" w:color="auto"/>
        <w:bottom w:val="none" w:sz="0" w:space="0" w:color="auto"/>
        <w:right w:val="none" w:sz="0" w:space="0" w:color="auto"/>
      </w:divBdr>
      <w:divsChild>
        <w:div w:id="31735681">
          <w:marLeft w:val="0"/>
          <w:marRight w:val="0"/>
          <w:marTop w:val="0"/>
          <w:marBottom w:val="0"/>
          <w:divBdr>
            <w:top w:val="none" w:sz="0" w:space="0" w:color="auto"/>
            <w:left w:val="none" w:sz="0" w:space="0" w:color="auto"/>
            <w:bottom w:val="none" w:sz="0" w:space="0" w:color="auto"/>
            <w:right w:val="none" w:sz="0" w:space="0" w:color="auto"/>
          </w:divBdr>
        </w:div>
        <w:div w:id="102000767">
          <w:marLeft w:val="0"/>
          <w:marRight w:val="0"/>
          <w:marTop w:val="0"/>
          <w:marBottom w:val="0"/>
          <w:divBdr>
            <w:top w:val="none" w:sz="0" w:space="0" w:color="auto"/>
            <w:left w:val="none" w:sz="0" w:space="0" w:color="auto"/>
            <w:bottom w:val="none" w:sz="0" w:space="0" w:color="auto"/>
            <w:right w:val="none" w:sz="0" w:space="0" w:color="auto"/>
          </w:divBdr>
        </w:div>
        <w:div w:id="132527784">
          <w:marLeft w:val="0"/>
          <w:marRight w:val="0"/>
          <w:marTop w:val="0"/>
          <w:marBottom w:val="0"/>
          <w:divBdr>
            <w:top w:val="none" w:sz="0" w:space="0" w:color="auto"/>
            <w:left w:val="none" w:sz="0" w:space="0" w:color="auto"/>
            <w:bottom w:val="none" w:sz="0" w:space="0" w:color="auto"/>
            <w:right w:val="none" w:sz="0" w:space="0" w:color="auto"/>
          </w:divBdr>
        </w:div>
        <w:div w:id="153187957">
          <w:marLeft w:val="0"/>
          <w:marRight w:val="0"/>
          <w:marTop w:val="0"/>
          <w:marBottom w:val="0"/>
          <w:divBdr>
            <w:top w:val="none" w:sz="0" w:space="0" w:color="auto"/>
            <w:left w:val="none" w:sz="0" w:space="0" w:color="auto"/>
            <w:bottom w:val="none" w:sz="0" w:space="0" w:color="auto"/>
            <w:right w:val="none" w:sz="0" w:space="0" w:color="auto"/>
          </w:divBdr>
        </w:div>
        <w:div w:id="242035522">
          <w:marLeft w:val="0"/>
          <w:marRight w:val="0"/>
          <w:marTop w:val="0"/>
          <w:marBottom w:val="0"/>
          <w:divBdr>
            <w:top w:val="none" w:sz="0" w:space="0" w:color="auto"/>
            <w:left w:val="none" w:sz="0" w:space="0" w:color="auto"/>
            <w:bottom w:val="none" w:sz="0" w:space="0" w:color="auto"/>
            <w:right w:val="none" w:sz="0" w:space="0" w:color="auto"/>
          </w:divBdr>
        </w:div>
        <w:div w:id="365298735">
          <w:marLeft w:val="0"/>
          <w:marRight w:val="0"/>
          <w:marTop w:val="0"/>
          <w:marBottom w:val="0"/>
          <w:divBdr>
            <w:top w:val="none" w:sz="0" w:space="0" w:color="auto"/>
            <w:left w:val="none" w:sz="0" w:space="0" w:color="auto"/>
            <w:bottom w:val="none" w:sz="0" w:space="0" w:color="auto"/>
            <w:right w:val="none" w:sz="0" w:space="0" w:color="auto"/>
          </w:divBdr>
        </w:div>
        <w:div w:id="425659550">
          <w:marLeft w:val="0"/>
          <w:marRight w:val="0"/>
          <w:marTop w:val="0"/>
          <w:marBottom w:val="0"/>
          <w:divBdr>
            <w:top w:val="none" w:sz="0" w:space="0" w:color="auto"/>
            <w:left w:val="none" w:sz="0" w:space="0" w:color="auto"/>
            <w:bottom w:val="none" w:sz="0" w:space="0" w:color="auto"/>
            <w:right w:val="none" w:sz="0" w:space="0" w:color="auto"/>
          </w:divBdr>
        </w:div>
        <w:div w:id="704215214">
          <w:marLeft w:val="0"/>
          <w:marRight w:val="0"/>
          <w:marTop w:val="0"/>
          <w:marBottom w:val="0"/>
          <w:divBdr>
            <w:top w:val="none" w:sz="0" w:space="0" w:color="auto"/>
            <w:left w:val="none" w:sz="0" w:space="0" w:color="auto"/>
            <w:bottom w:val="none" w:sz="0" w:space="0" w:color="auto"/>
            <w:right w:val="none" w:sz="0" w:space="0" w:color="auto"/>
          </w:divBdr>
        </w:div>
        <w:div w:id="1395474313">
          <w:marLeft w:val="0"/>
          <w:marRight w:val="0"/>
          <w:marTop w:val="0"/>
          <w:marBottom w:val="0"/>
          <w:divBdr>
            <w:top w:val="none" w:sz="0" w:space="0" w:color="auto"/>
            <w:left w:val="none" w:sz="0" w:space="0" w:color="auto"/>
            <w:bottom w:val="none" w:sz="0" w:space="0" w:color="auto"/>
            <w:right w:val="none" w:sz="0" w:space="0" w:color="auto"/>
          </w:divBdr>
        </w:div>
        <w:div w:id="1673992573">
          <w:marLeft w:val="0"/>
          <w:marRight w:val="0"/>
          <w:marTop w:val="0"/>
          <w:marBottom w:val="0"/>
          <w:divBdr>
            <w:top w:val="none" w:sz="0" w:space="0" w:color="auto"/>
            <w:left w:val="none" w:sz="0" w:space="0" w:color="auto"/>
            <w:bottom w:val="none" w:sz="0" w:space="0" w:color="auto"/>
            <w:right w:val="none" w:sz="0" w:space="0" w:color="auto"/>
          </w:divBdr>
        </w:div>
        <w:div w:id="1764185008">
          <w:marLeft w:val="0"/>
          <w:marRight w:val="0"/>
          <w:marTop w:val="0"/>
          <w:marBottom w:val="0"/>
          <w:divBdr>
            <w:top w:val="none" w:sz="0" w:space="0" w:color="auto"/>
            <w:left w:val="none" w:sz="0" w:space="0" w:color="auto"/>
            <w:bottom w:val="none" w:sz="0" w:space="0" w:color="auto"/>
            <w:right w:val="none" w:sz="0" w:space="0" w:color="auto"/>
          </w:divBdr>
        </w:div>
        <w:div w:id="1764643162">
          <w:marLeft w:val="0"/>
          <w:marRight w:val="0"/>
          <w:marTop w:val="0"/>
          <w:marBottom w:val="0"/>
          <w:divBdr>
            <w:top w:val="none" w:sz="0" w:space="0" w:color="auto"/>
            <w:left w:val="none" w:sz="0" w:space="0" w:color="auto"/>
            <w:bottom w:val="none" w:sz="0" w:space="0" w:color="auto"/>
            <w:right w:val="none" w:sz="0" w:space="0" w:color="auto"/>
          </w:divBdr>
        </w:div>
        <w:div w:id="1924223691">
          <w:marLeft w:val="0"/>
          <w:marRight w:val="0"/>
          <w:marTop w:val="0"/>
          <w:marBottom w:val="0"/>
          <w:divBdr>
            <w:top w:val="none" w:sz="0" w:space="0" w:color="auto"/>
            <w:left w:val="none" w:sz="0" w:space="0" w:color="auto"/>
            <w:bottom w:val="none" w:sz="0" w:space="0" w:color="auto"/>
            <w:right w:val="none" w:sz="0" w:space="0" w:color="auto"/>
          </w:divBdr>
        </w:div>
        <w:div w:id="2039160023">
          <w:marLeft w:val="0"/>
          <w:marRight w:val="0"/>
          <w:marTop w:val="0"/>
          <w:marBottom w:val="0"/>
          <w:divBdr>
            <w:top w:val="none" w:sz="0" w:space="0" w:color="auto"/>
            <w:left w:val="none" w:sz="0" w:space="0" w:color="auto"/>
            <w:bottom w:val="none" w:sz="0" w:space="0" w:color="auto"/>
            <w:right w:val="none" w:sz="0" w:space="0" w:color="auto"/>
          </w:divBdr>
        </w:div>
        <w:div w:id="2083331124">
          <w:marLeft w:val="0"/>
          <w:marRight w:val="0"/>
          <w:marTop w:val="0"/>
          <w:marBottom w:val="0"/>
          <w:divBdr>
            <w:top w:val="none" w:sz="0" w:space="0" w:color="auto"/>
            <w:left w:val="none" w:sz="0" w:space="0" w:color="auto"/>
            <w:bottom w:val="none" w:sz="0" w:space="0" w:color="auto"/>
            <w:right w:val="none" w:sz="0" w:space="0" w:color="auto"/>
          </w:divBdr>
        </w:div>
        <w:div w:id="2144810071">
          <w:marLeft w:val="0"/>
          <w:marRight w:val="0"/>
          <w:marTop w:val="0"/>
          <w:marBottom w:val="0"/>
          <w:divBdr>
            <w:top w:val="none" w:sz="0" w:space="0" w:color="auto"/>
            <w:left w:val="none" w:sz="0" w:space="0" w:color="auto"/>
            <w:bottom w:val="none" w:sz="0" w:space="0" w:color="auto"/>
            <w:right w:val="none" w:sz="0" w:space="0" w:color="auto"/>
          </w:divBdr>
        </w:div>
      </w:divsChild>
    </w:div>
    <w:div w:id="992024832">
      <w:bodyDiv w:val="1"/>
      <w:marLeft w:val="0"/>
      <w:marRight w:val="0"/>
      <w:marTop w:val="0"/>
      <w:marBottom w:val="0"/>
      <w:divBdr>
        <w:top w:val="none" w:sz="0" w:space="0" w:color="auto"/>
        <w:left w:val="none" w:sz="0" w:space="0" w:color="auto"/>
        <w:bottom w:val="none" w:sz="0" w:space="0" w:color="auto"/>
        <w:right w:val="none" w:sz="0" w:space="0" w:color="auto"/>
      </w:divBdr>
    </w:div>
    <w:div w:id="993919874">
      <w:bodyDiv w:val="1"/>
      <w:marLeft w:val="0"/>
      <w:marRight w:val="0"/>
      <w:marTop w:val="0"/>
      <w:marBottom w:val="0"/>
      <w:divBdr>
        <w:top w:val="none" w:sz="0" w:space="0" w:color="auto"/>
        <w:left w:val="none" w:sz="0" w:space="0" w:color="auto"/>
        <w:bottom w:val="none" w:sz="0" w:space="0" w:color="auto"/>
        <w:right w:val="none" w:sz="0" w:space="0" w:color="auto"/>
      </w:divBdr>
    </w:div>
    <w:div w:id="1019820877">
      <w:bodyDiv w:val="1"/>
      <w:marLeft w:val="0"/>
      <w:marRight w:val="0"/>
      <w:marTop w:val="0"/>
      <w:marBottom w:val="0"/>
      <w:divBdr>
        <w:top w:val="none" w:sz="0" w:space="0" w:color="auto"/>
        <w:left w:val="none" w:sz="0" w:space="0" w:color="auto"/>
        <w:bottom w:val="none" w:sz="0" w:space="0" w:color="auto"/>
        <w:right w:val="none" w:sz="0" w:space="0" w:color="auto"/>
      </w:divBdr>
    </w:div>
    <w:div w:id="1029648162">
      <w:bodyDiv w:val="1"/>
      <w:marLeft w:val="0"/>
      <w:marRight w:val="0"/>
      <w:marTop w:val="0"/>
      <w:marBottom w:val="0"/>
      <w:divBdr>
        <w:top w:val="none" w:sz="0" w:space="0" w:color="auto"/>
        <w:left w:val="none" w:sz="0" w:space="0" w:color="auto"/>
        <w:bottom w:val="none" w:sz="0" w:space="0" w:color="auto"/>
        <w:right w:val="none" w:sz="0" w:space="0" w:color="auto"/>
      </w:divBdr>
    </w:div>
    <w:div w:id="1091664764">
      <w:bodyDiv w:val="1"/>
      <w:marLeft w:val="0"/>
      <w:marRight w:val="0"/>
      <w:marTop w:val="0"/>
      <w:marBottom w:val="0"/>
      <w:divBdr>
        <w:top w:val="none" w:sz="0" w:space="0" w:color="auto"/>
        <w:left w:val="none" w:sz="0" w:space="0" w:color="auto"/>
        <w:bottom w:val="none" w:sz="0" w:space="0" w:color="auto"/>
        <w:right w:val="none" w:sz="0" w:space="0" w:color="auto"/>
      </w:divBdr>
      <w:divsChild>
        <w:div w:id="23213041">
          <w:marLeft w:val="0"/>
          <w:marRight w:val="0"/>
          <w:marTop w:val="0"/>
          <w:marBottom w:val="0"/>
          <w:divBdr>
            <w:top w:val="none" w:sz="0" w:space="0" w:color="auto"/>
            <w:left w:val="none" w:sz="0" w:space="0" w:color="auto"/>
            <w:bottom w:val="none" w:sz="0" w:space="0" w:color="auto"/>
            <w:right w:val="none" w:sz="0" w:space="0" w:color="auto"/>
          </w:divBdr>
        </w:div>
        <w:div w:id="444926566">
          <w:marLeft w:val="0"/>
          <w:marRight w:val="0"/>
          <w:marTop w:val="0"/>
          <w:marBottom w:val="0"/>
          <w:divBdr>
            <w:top w:val="none" w:sz="0" w:space="0" w:color="auto"/>
            <w:left w:val="none" w:sz="0" w:space="0" w:color="auto"/>
            <w:bottom w:val="none" w:sz="0" w:space="0" w:color="auto"/>
            <w:right w:val="none" w:sz="0" w:space="0" w:color="auto"/>
          </w:divBdr>
        </w:div>
      </w:divsChild>
    </w:div>
    <w:div w:id="1135223594">
      <w:bodyDiv w:val="1"/>
      <w:marLeft w:val="0"/>
      <w:marRight w:val="0"/>
      <w:marTop w:val="0"/>
      <w:marBottom w:val="0"/>
      <w:divBdr>
        <w:top w:val="none" w:sz="0" w:space="0" w:color="auto"/>
        <w:left w:val="none" w:sz="0" w:space="0" w:color="auto"/>
        <w:bottom w:val="none" w:sz="0" w:space="0" w:color="auto"/>
        <w:right w:val="none" w:sz="0" w:space="0" w:color="auto"/>
      </w:divBdr>
    </w:div>
    <w:div w:id="1146707234">
      <w:bodyDiv w:val="1"/>
      <w:marLeft w:val="0"/>
      <w:marRight w:val="0"/>
      <w:marTop w:val="0"/>
      <w:marBottom w:val="0"/>
      <w:divBdr>
        <w:top w:val="none" w:sz="0" w:space="0" w:color="auto"/>
        <w:left w:val="none" w:sz="0" w:space="0" w:color="auto"/>
        <w:bottom w:val="none" w:sz="0" w:space="0" w:color="auto"/>
        <w:right w:val="none" w:sz="0" w:space="0" w:color="auto"/>
      </w:divBdr>
    </w:div>
    <w:div w:id="1313755899">
      <w:bodyDiv w:val="1"/>
      <w:marLeft w:val="0"/>
      <w:marRight w:val="0"/>
      <w:marTop w:val="0"/>
      <w:marBottom w:val="0"/>
      <w:divBdr>
        <w:top w:val="none" w:sz="0" w:space="0" w:color="auto"/>
        <w:left w:val="none" w:sz="0" w:space="0" w:color="auto"/>
        <w:bottom w:val="none" w:sz="0" w:space="0" w:color="auto"/>
        <w:right w:val="none" w:sz="0" w:space="0" w:color="auto"/>
      </w:divBdr>
    </w:div>
    <w:div w:id="1321032988">
      <w:bodyDiv w:val="1"/>
      <w:marLeft w:val="0"/>
      <w:marRight w:val="0"/>
      <w:marTop w:val="0"/>
      <w:marBottom w:val="0"/>
      <w:divBdr>
        <w:top w:val="none" w:sz="0" w:space="0" w:color="auto"/>
        <w:left w:val="none" w:sz="0" w:space="0" w:color="auto"/>
        <w:bottom w:val="none" w:sz="0" w:space="0" w:color="auto"/>
        <w:right w:val="none" w:sz="0" w:space="0" w:color="auto"/>
      </w:divBdr>
    </w:div>
    <w:div w:id="1360156805">
      <w:bodyDiv w:val="1"/>
      <w:marLeft w:val="0"/>
      <w:marRight w:val="0"/>
      <w:marTop w:val="0"/>
      <w:marBottom w:val="0"/>
      <w:divBdr>
        <w:top w:val="none" w:sz="0" w:space="0" w:color="auto"/>
        <w:left w:val="none" w:sz="0" w:space="0" w:color="auto"/>
        <w:bottom w:val="none" w:sz="0" w:space="0" w:color="auto"/>
        <w:right w:val="none" w:sz="0" w:space="0" w:color="auto"/>
      </w:divBdr>
    </w:div>
    <w:div w:id="1375152985">
      <w:bodyDiv w:val="1"/>
      <w:marLeft w:val="0"/>
      <w:marRight w:val="0"/>
      <w:marTop w:val="0"/>
      <w:marBottom w:val="0"/>
      <w:divBdr>
        <w:top w:val="none" w:sz="0" w:space="0" w:color="auto"/>
        <w:left w:val="none" w:sz="0" w:space="0" w:color="auto"/>
        <w:bottom w:val="none" w:sz="0" w:space="0" w:color="auto"/>
        <w:right w:val="none" w:sz="0" w:space="0" w:color="auto"/>
      </w:divBdr>
      <w:divsChild>
        <w:div w:id="98648985">
          <w:marLeft w:val="0"/>
          <w:marRight w:val="0"/>
          <w:marTop w:val="0"/>
          <w:marBottom w:val="0"/>
          <w:divBdr>
            <w:top w:val="none" w:sz="0" w:space="0" w:color="auto"/>
            <w:left w:val="none" w:sz="0" w:space="0" w:color="auto"/>
            <w:bottom w:val="none" w:sz="0" w:space="0" w:color="auto"/>
            <w:right w:val="none" w:sz="0" w:space="0" w:color="auto"/>
          </w:divBdr>
        </w:div>
        <w:div w:id="1204827009">
          <w:marLeft w:val="0"/>
          <w:marRight w:val="0"/>
          <w:marTop w:val="0"/>
          <w:marBottom w:val="0"/>
          <w:divBdr>
            <w:top w:val="none" w:sz="0" w:space="0" w:color="auto"/>
            <w:left w:val="none" w:sz="0" w:space="0" w:color="auto"/>
            <w:bottom w:val="none" w:sz="0" w:space="0" w:color="auto"/>
            <w:right w:val="none" w:sz="0" w:space="0" w:color="auto"/>
          </w:divBdr>
        </w:div>
        <w:div w:id="1934243595">
          <w:marLeft w:val="0"/>
          <w:marRight w:val="0"/>
          <w:marTop w:val="0"/>
          <w:marBottom w:val="0"/>
          <w:divBdr>
            <w:top w:val="none" w:sz="0" w:space="0" w:color="auto"/>
            <w:left w:val="none" w:sz="0" w:space="0" w:color="auto"/>
            <w:bottom w:val="none" w:sz="0" w:space="0" w:color="auto"/>
            <w:right w:val="none" w:sz="0" w:space="0" w:color="auto"/>
          </w:divBdr>
        </w:div>
      </w:divsChild>
    </w:div>
    <w:div w:id="1426147055">
      <w:bodyDiv w:val="1"/>
      <w:marLeft w:val="0"/>
      <w:marRight w:val="0"/>
      <w:marTop w:val="0"/>
      <w:marBottom w:val="0"/>
      <w:divBdr>
        <w:top w:val="none" w:sz="0" w:space="0" w:color="auto"/>
        <w:left w:val="none" w:sz="0" w:space="0" w:color="auto"/>
        <w:bottom w:val="none" w:sz="0" w:space="0" w:color="auto"/>
        <w:right w:val="none" w:sz="0" w:space="0" w:color="auto"/>
      </w:divBdr>
    </w:div>
    <w:div w:id="1450512755">
      <w:bodyDiv w:val="1"/>
      <w:marLeft w:val="0"/>
      <w:marRight w:val="0"/>
      <w:marTop w:val="0"/>
      <w:marBottom w:val="0"/>
      <w:divBdr>
        <w:top w:val="none" w:sz="0" w:space="0" w:color="auto"/>
        <w:left w:val="none" w:sz="0" w:space="0" w:color="auto"/>
        <w:bottom w:val="none" w:sz="0" w:space="0" w:color="auto"/>
        <w:right w:val="none" w:sz="0" w:space="0" w:color="auto"/>
      </w:divBdr>
    </w:div>
    <w:div w:id="1455709163">
      <w:bodyDiv w:val="1"/>
      <w:marLeft w:val="0"/>
      <w:marRight w:val="0"/>
      <w:marTop w:val="0"/>
      <w:marBottom w:val="0"/>
      <w:divBdr>
        <w:top w:val="none" w:sz="0" w:space="0" w:color="auto"/>
        <w:left w:val="none" w:sz="0" w:space="0" w:color="auto"/>
        <w:bottom w:val="none" w:sz="0" w:space="0" w:color="auto"/>
        <w:right w:val="none" w:sz="0" w:space="0" w:color="auto"/>
      </w:divBdr>
    </w:div>
    <w:div w:id="1457985685">
      <w:bodyDiv w:val="1"/>
      <w:marLeft w:val="0"/>
      <w:marRight w:val="0"/>
      <w:marTop w:val="0"/>
      <w:marBottom w:val="0"/>
      <w:divBdr>
        <w:top w:val="none" w:sz="0" w:space="0" w:color="auto"/>
        <w:left w:val="none" w:sz="0" w:space="0" w:color="auto"/>
        <w:bottom w:val="none" w:sz="0" w:space="0" w:color="auto"/>
        <w:right w:val="none" w:sz="0" w:space="0" w:color="auto"/>
      </w:divBdr>
    </w:div>
    <w:div w:id="1463767066">
      <w:bodyDiv w:val="1"/>
      <w:marLeft w:val="0"/>
      <w:marRight w:val="0"/>
      <w:marTop w:val="0"/>
      <w:marBottom w:val="0"/>
      <w:divBdr>
        <w:top w:val="none" w:sz="0" w:space="0" w:color="auto"/>
        <w:left w:val="none" w:sz="0" w:space="0" w:color="auto"/>
        <w:bottom w:val="none" w:sz="0" w:space="0" w:color="auto"/>
        <w:right w:val="none" w:sz="0" w:space="0" w:color="auto"/>
      </w:divBdr>
    </w:div>
    <w:div w:id="1486969702">
      <w:bodyDiv w:val="1"/>
      <w:marLeft w:val="0"/>
      <w:marRight w:val="0"/>
      <w:marTop w:val="0"/>
      <w:marBottom w:val="0"/>
      <w:divBdr>
        <w:top w:val="none" w:sz="0" w:space="0" w:color="auto"/>
        <w:left w:val="none" w:sz="0" w:space="0" w:color="auto"/>
        <w:bottom w:val="none" w:sz="0" w:space="0" w:color="auto"/>
        <w:right w:val="none" w:sz="0" w:space="0" w:color="auto"/>
      </w:divBdr>
    </w:div>
    <w:div w:id="1514611241">
      <w:bodyDiv w:val="1"/>
      <w:marLeft w:val="0"/>
      <w:marRight w:val="0"/>
      <w:marTop w:val="0"/>
      <w:marBottom w:val="0"/>
      <w:divBdr>
        <w:top w:val="none" w:sz="0" w:space="0" w:color="auto"/>
        <w:left w:val="none" w:sz="0" w:space="0" w:color="auto"/>
        <w:bottom w:val="none" w:sz="0" w:space="0" w:color="auto"/>
        <w:right w:val="none" w:sz="0" w:space="0" w:color="auto"/>
      </w:divBdr>
    </w:div>
    <w:div w:id="1524515642">
      <w:bodyDiv w:val="1"/>
      <w:marLeft w:val="0"/>
      <w:marRight w:val="0"/>
      <w:marTop w:val="0"/>
      <w:marBottom w:val="0"/>
      <w:divBdr>
        <w:top w:val="none" w:sz="0" w:space="0" w:color="auto"/>
        <w:left w:val="none" w:sz="0" w:space="0" w:color="auto"/>
        <w:bottom w:val="none" w:sz="0" w:space="0" w:color="auto"/>
        <w:right w:val="none" w:sz="0" w:space="0" w:color="auto"/>
      </w:divBdr>
    </w:div>
    <w:div w:id="1625505396">
      <w:bodyDiv w:val="1"/>
      <w:marLeft w:val="0"/>
      <w:marRight w:val="0"/>
      <w:marTop w:val="0"/>
      <w:marBottom w:val="0"/>
      <w:divBdr>
        <w:top w:val="none" w:sz="0" w:space="0" w:color="auto"/>
        <w:left w:val="none" w:sz="0" w:space="0" w:color="auto"/>
        <w:bottom w:val="none" w:sz="0" w:space="0" w:color="auto"/>
        <w:right w:val="none" w:sz="0" w:space="0" w:color="auto"/>
      </w:divBdr>
    </w:div>
    <w:div w:id="1627420643">
      <w:bodyDiv w:val="1"/>
      <w:marLeft w:val="0"/>
      <w:marRight w:val="0"/>
      <w:marTop w:val="0"/>
      <w:marBottom w:val="0"/>
      <w:divBdr>
        <w:top w:val="none" w:sz="0" w:space="0" w:color="auto"/>
        <w:left w:val="none" w:sz="0" w:space="0" w:color="auto"/>
        <w:bottom w:val="none" w:sz="0" w:space="0" w:color="auto"/>
        <w:right w:val="none" w:sz="0" w:space="0" w:color="auto"/>
      </w:divBdr>
      <w:divsChild>
        <w:div w:id="23554431">
          <w:marLeft w:val="0"/>
          <w:marRight w:val="0"/>
          <w:marTop w:val="0"/>
          <w:marBottom w:val="0"/>
          <w:divBdr>
            <w:top w:val="none" w:sz="0" w:space="0" w:color="auto"/>
            <w:left w:val="none" w:sz="0" w:space="0" w:color="auto"/>
            <w:bottom w:val="none" w:sz="0" w:space="0" w:color="auto"/>
            <w:right w:val="none" w:sz="0" w:space="0" w:color="auto"/>
          </w:divBdr>
        </w:div>
        <w:div w:id="346635819">
          <w:marLeft w:val="0"/>
          <w:marRight w:val="0"/>
          <w:marTop w:val="0"/>
          <w:marBottom w:val="0"/>
          <w:divBdr>
            <w:top w:val="none" w:sz="0" w:space="0" w:color="auto"/>
            <w:left w:val="none" w:sz="0" w:space="0" w:color="auto"/>
            <w:bottom w:val="none" w:sz="0" w:space="0" w:color="auto"/>
            <w:right w:val="none" w:sz="0" w:space="0" w:color="auto"/>
          </w:divBdr>
        </w:div>
      </w:divsChild>
    </w:div>
    <w:div w:id="1662460781">
      <w:bodyDiv w:val="1"/>
      <w:marLeft w:val="0"/>
      <w:marRight w:val="0"/>
      <w:marTop w:val="0"/>
      <w:marBottom w:val="0"/>
      <w:divBdr>
        <w:top w:val="none" w:sz="0" w:space="0" w:color="auto"/>
        <w:left w:val="none" w:sz="0" w:space="0" w:color="auto"/>
        <w:bottom w:val="none" w:sz="0" w:space="0" w:color="auto"/>
        <w:right w:val="none" w:sz="0" w:space="0" w:color="auto"/>
      </w:divBdr>
    </w:div>
    <w:div w:id="1690182086">
      <w:bodyDiv w:val="1"/>
      <w:marLeft w:val="0"/>
      <w:marRight w:val="0"/>
      <w:marTop w:val="0"/>
      <w:marBottom w:val="0"/>
      <w:divBdr>
        <w:top w:val="none" w:sz="0" w:space="0" w:color="auto"/>
        <w:left w:val="none" w:sz="0" w:space="0" w:color="auto"/>
        <w:bottom w:val="none" w:sz="0" w:space="0" w:color="auto"/>
        <w:right w:val="none" w:sz="0" w:space="0" w:color="auto"/>
      </w:divBdr>
    </w:div>
    <w:div w:id="1691712581">
      <w:bodyDiv w:val="1"/>
      <w:marLeft w:val="0"/>
      <w:marRight w:val="0"/>
      <w:marTop w:val="0"/>
      <w:marBottom w:val="0"/>
      <w:divBdr>
        <w:top w:val="none" w:sz="0" w:space="0" w:color="auto"/>
        <w:left w:val="none" w:sz="0" w:space="0" w:color="auto"/>
        <w:bottom w:val="none" w:sz="0" w:space="0" w:color="auto"/>
        <w:right w:val="none" w:sz="0" w:space="0" w:color="auto"/>
      </w:divBdr>
    </w:div>
    <w:div w:id="1706326369">
      <w:bodyDiv w:val="1"/>
      <w:marLeft w:val="0"/>
      <w:marRight w:val="0"/>
      <w:marTop w:val="0"/>
      <w:marBottom w:val="0"/>
      <w:divBdr>
        <w:top w:val="none" w:sz="0" w:space="0" w:color="auto"/>
        <w:left w:val="none" w:sz="0" w:space="0" w:color="auto"/>
        <w:bottom w:val="none" w:sz="0" w:space="0" w:color="auto"/>
        <w:right w:val="none" w:sz="0" w:space="0" w:color="auto"/>
      </w:divBdr>
    </w:div>
    <w:div w:id="1719551775">
      <w:bodyDiv w:val="1"/>
      <w:marLeft w:val="0"/>
      <w:marRight w:val="0"/>
      <w:marTop w:val="0"/>
      <w:marBottom w:val="0"/>
      <w:divBdr>
        <w:top w:val="none" w:sz="0" w:space="0" w:color="auto"/>
        <w:left w:val="none" w:sz="0" w:space="0" w:color="auto"/>
        <w:bottom w:val="none" w:sz="0" w:space="0" w:color="auto"/>
        <w:right w:val="none" w:sz="0" w:space="0" w:color="auto"/>
      </w:divBdr>
    </w:div>
    <w:div w:id="1725106329">
      <w:bodyDiv w:val="1"/>
      <w:marLeft w:val="0"/>
      <w:marRight w:val="0"/>
      <w:marTop w:val="0"/>
      <w:marBottom w:val="0"/>
      <w:divBdr>
        <w:top w:val="none" w:sz="0" w:space="0" w:color="auto"/>
        <w:left w:val="none" w:sz="0" w:space="0" w:color="auto"/>
        <w:bottom w:val="none" w:sz="0" w:space="0" w:color="auto"/>
        <w:right w:val="none" w:sz="0" w:space="0" w:color="auto"/>
      </w:divBdr>
      <w:divsChild>
        <w:div w:id="35199420">
          <w:marLeft w:val="0"/>
          <w:marRight w:val="0"/>
          <w:marTop w:val="0"/>
          <w:marBottom w:val="0"/>
          <w:divBdr>
            <w:top w:val="none" w:sz="0" w:space="0" w:color="auto"/>
            <w:left w:val="none" w:sz="0" w:space="0" w:color="auto"/>
            <w:bottom w:val="none" w:sz="0" w:space="0" w:color="auto"/>
            <w:right w:val="none" w:sz="0" w:space="0" w:color="auto"/>
          </w:divBdr>
        </w:div>
        <w:div w:id="225382709">
          <w:marLeft w:val="0"/>
          <w:marRight w:val="0"/>
          <w:marTop w:val="0"/>
          <w:marBottom w:val="0"/>
          <w:divBdr>
            <w:top w:val="none" w:sz="0" w:space="0" w:color="auto"/>
            <w:left w:val="none" w:sz="0" w:space="0" w:color="auto"/>
            <w:bottom w:val="none" w:sz="0" w:space="0" w:color="auto"/>
            <w:right w:val="none" w:sz="0" w:space="0" w:color="auto"/>
          </w:divBdr>
        </w:div>
        <w:div w:id="395445227">
          <w:marLeft w:val="0"/>
          <w:marRight w:val="0"/>
          <w:marTop w:val="0"/>
          <w:marBottom w:val="0"/>
          <w:divBdr>
            <w:top w:val="none" w:sz="0" w:space="0" w:color="auto"/>
            <w:left w:val="none" w:sz="0" w:space="0" w:color="auto"/>
            <w:bottom w:val="none" w:sz="0" w:space="0" w:color="auto"/>
            <w:right w:val="none" w:sz="0" w:space="0" w:color="auto"/>
          </w:divBdr>
        </w:div>
        <w:div w:id="436365688">
          <w:marLeft w:val="0"/>
          <w:marRight w:val="0"/>
          <w:marTop w:val="0"/>
          <w:marBottom w:val="0"/>
          <w:divBdr>
            <w:top w:val="none" w:sz="0" w:space="0" w:color="auto"/>
            <w:left w:val="none" w:sz="0" w:space="0" w:color="auto"/>
            <w:bottom w:val="none" w:sz="0" w:space="0" w:color="auto"/>
            <w:right w:val="none" w:sz="0" w:space="0" w:color="auto"/>
          </w:divBdr>
        </w:div>
        <w:div w:id="473301935">
          <w:marLeft w:val="0"/>
          <w:marRight w:val="0"/>
          <w:marTop w:val="0"/>
          <w:marBottom w:val="0"/>
          <w:divBdr>
            <w:top w:val="none" w:sz="0" w:space="0" w:color="auto"/>
            <w:left w:val="none" w:sz="0" w:space="0" w:color="auto"/>
            <w:bottom w:val="none" w:sz="0" w:space="0" w:color="auto"/>
            <w:right w:val="none" w:sz="0" w:space="0" w:color="auto"/>
          </w:divBdr>
        </w:div>
        <w:div w:id="587620074">
          <w:marLeft w:val="0"/>
          <w:marRight w:val="0"/>
          <w:marTop w:val="0"/>
          <w:marBottom w:val="0"/>
          <w:divBdr>
            <w:top w:val="none" w:sz="0" w:space="0" w:color="auto"/>
            <w:left w:val="none" w:sz="0" w:space="0" w:color="auto"/>
            <w:bottom w:val="none" w:sz="0" w:space="0" w:color="auto"/>
            <w:right w:val="none" w:sz="0" w:space="0" w:color="auto"/>
          </w:divBdr>
        </w:div>
        <w:div w:id="641614581">
          <w:marLeft w:val="0"/>
          <w:marRight w:val="0"/>
          <w:marTop w:val="0"/>
          <w:marBottom w:val="0"/>
          <w:divBdr>
            <w:top w:val="none" w:sz="0" w:space="0" w:color="auto"/>
            <w:left w:val="none" w:sz="0" w:space="0" w:color="auto"/>
            <w:bottom w:val="none" w:sz="0" w:space="0" w:color="auto"/>
            <w:right w:val="none" w:sz="0" w:space="0" w:color="auto"/>
          </w:divBdr>
        </w:div>
        <w:div w:id="946959858">
          <w:marLeft w:val="0"/>
          <w:marRight w:val="0"/>
          <w:marTop w:val="0"/>
          <w:marBottom w:val="0"/>
          <w:divBdr>
            <w:top w:val="none" w:sz="0" w:space="0" w:color="auto"/>
            <w:left w:val="none" w:sz="0" w:space="0" w:color="auto"/>
            <w:bottom w:val="none" w:sz="0" w:space="0" w:color="auto"/>
            <w:right w:val="none" w:sz="0" w:space="0" w:color="auto"/>
          </w:divBdr>
        </w:div>
        <w:div w:id="966660021">
          <w:marLeft w:val="0"/>
          <w:marRight w:val="0"/>
          <w:marTop w:val="0"/>
          <w:marBottom w:val="0"/>
          <w:divBdr>
            <w:top w:val="none" w:sz="0" w:space="0" w:color="auto"/>
            <w:left w:val="none" w:sz="0" w:space="0" w:color="auto"/>
            <w:bottom w:val="none" w:sz="0" w:space="0" w:color="auto"/>
            <w:right w:val="none" w:sz="0" w:space="0" w:color="auto"/>
          </w:divBdr>
        </w:div>
        <w:div w:id="992753865">
          <w:marLeft w:val="0"/>
          <w:marRight w:val="0"/>
          <w:marTop w:val="0"/>
          <w:marBottom w:val="0"/>
          <w:divBdr>
            <w:top w:val="none" w:sz="0" w:space="0" w:color="auto"/>
            <w:left w:val="none" w:sz="0" w:space="0" w:color="auto"/>
            <w:bottom w:val="none" w:sz="0" w:space="0" w:color="auto"/>
            <w:right w:val="none" w:sz="0" w:space="0" w:color="auto"/>
          </w:divBdr>
        </w:div>
        <w:div w:id="1161853669">
          <w:marLeft w:val="0"/>
          <w:marRight w:val="0"/>
          <w:marTop w:val="0"/>
          <w:marBottom w:val="0"/>
          <w:divBdr>
            <w:top w:val="none" w:sz="0" w:space="0" w:color="auto"/>
            <w:left w:val="none" w:sz="0" w:space="0" w:color="auto"/>
            <w:bottom w:val="none" w:sz="0" w:space="0" w:color="auto"/>
            <w:right w:val="none" w:sz="0" w:space="0" w:color="auto"/>
          </w:divBdr>
        </w:div>
        <w:div w:id="1268544341">
          <w:marLeft w:val="0"/>
          <w:marRight w:val="0"/>
          <w:marTop w:val="0"/>
          <w:marBottom w:val="0"/>
          <w:divBdr>
            <w:top w:val="none" w:sz="0" w:space="0" w:color="auto"/>
            <w:left w:val="none" w:sz="0" w:space="0" w:color="auto"/>
            <w:bottom w:val="none" w:sz="0" w:space="0" w:color="auto"/>
            <w:right w:val="none" w:sz="0" w:space="0" w:color="auto"/>
          </w:divBdr>
        </w:div>
        <w:div w:id="1294293278">
          <w:marLeft w:val="0"/>
          <w:marRight w:val="0"/>
          <w:marTop w:val="0"/>
          <w:marBottom w:val="0"/>
          <w:divBdr>
            <w:top w:val="none" w:sz="0" w:space="0" w:color="auto"/>
            <w:left w:val="none" w:sz="0" w:space="0" w:color="auto"/>
            <w:bottom w:val="none" w:sz="0" w:space="0" w:color="auto"/>
            <w:right w:val="none" w:sz="0" w:space="0" w:color="auto"/>
          </w:divBdr>
        </w:div>
        <w:div w:id="1461805659">
          <w:marLeft w:val="0"/>
          <w:marRight w:val="0"/>
          <w:marTop w:val="0"/>
          <w:marBottom w:val="0"/>
          <w:divBdr>
            <w:top w:val="none" w:sz="0" w:space="0" w:color="auto"/>
            <w:left w:val="none" w:sz="0" w:space="0" w:color="auto"/>
            <w:bottom w:val="none" w:sz="0" w:space="0" w:color="auto"/>
            <w:right w:val="none" w:sz="0" w:space="0" w:color="auto"/>
          </w:divBdr>
        </w:div>
        <w:div w:id="1636595144">
          <w:marLeft w:val="0"/>
          <w:marRight w:val="0"/>
          <w:marTop w:val="0"/>
          <w:marBottom w:val="0"/>
          <w:divBdr>
            <w:top w:val="none" w:sz="0" w:space="0" w:color="auto"/>
            <w:left w:val="none" w:sz="0" w:space="0" w:color="auto"/>
            <w:bottom w:val="none" w:sz="0" w:space="0" w:color="auto"/>
            <w:right w:val="none" w:sz="0" w:space="0" w:color="auto"/>
          </w:divBdr>
        </w:div>
        <w:div w:id="1648241371">
          <w:marLeft w:val="0"/>
          <w:marRight w:val="0"/>
          <w:marTop w:val="0"/>
          <w:marBottom w:val="0"/>
          <w:divBdr>
            <w:top w:val="none" w:sz="0" w:space="0" w:color="auto"/>
            <w:left w:val="none" w:sz="0" w:space="0" w:color="auto"/>
            <w:bottom w:val="none" w:sz="0" w:space="0" w:color="auto"/>
            <w:right w:val="none" w:sz="0" w:space="0" w:color="auto"/>
          </w:divBdr>
        </w:div>
        <w:div w:id="1781224444">
          <w:marLeft w:val="0"/>
          <w:marRight w:val="0"/>
          <w:marTop w:val="0"/>
          <w:marBottom w:val="0"/>
          <w:divBdr>
            <w:top w:val="none" w:sz="0" w:space="0" w:color="auto"/>
            <w:left w:val="none" w:sz="0" w:space="0" w:color="auto"/>
            <w:bottom w:val="none" w:sz="0" w:space="0" w:color="auto"/>
            <w:right w:val="none" w:sz="0" w:space="0" w:color="auto"/>
          </w:divBdr>
        </w:div>
        <w:div w:id="1843352083">
          <w:marLeft w:val="0"/>
          <w:marRight w:val="0"/>
          <w:marTop w:val="0"/>
          <w:marBottom w:val="0"/>
          <w:divBdr>
            <w:top w:val="none" w:sz="0" w:space="0" w:color="auto"/>
            <w:left w:val="none" w:sz="0" w:space="0" w:color="auto"/>
            <w:bottom w:val="none" w:sz="0" w:space="0" w:color="auto"/>
            <w:right w:val="none" w:sz="0" w:space="0" w:color="auto"/>
          </w:divBdr>
        </w:div>
        <w:div w:id="1981224922">
          <w:marLeft w:val="0"/>
          <w:marRight w:val="0"/>
          <w:marTop w:val="0"/>
          <w:marBottom w:val="0"/>
          <w:divBdr>
            <w:top w:val="none" w:sz="0" w:space="0" w:color="auto"/>
            <w:left w:val="none" w:sz="0" w:space="0" w:color="auto"/>
            <w:bottom w:val="none" w:sz="0" w:space="0" w:color="auto"/>
            <w:right w:val="none" w:sz="0" w:space="0" w:color="auto"/>
          </w:divBdr>
        </w:div>
      </w:divsChild>
    </w:div>
    <w:div w:id="1729373946">
      <w:bodyDiv w:val="1"/>
      <w:marLeft w:val="0"/>
      <w:marRight w:val="0"/>
      <w:marTop w:val="0"/>
      <w:marBottom w:val="0"/>
      <w:divBdr>
        <w:top w:val="none" w:sz="0" w:space="0" w:color="auto"/>
        <w:left w:val="none" w:sz="0" w:space="0" w:color="auto"/>
        <w:bottom w:val="none" w:sz="0" w:space="0" w:color="auto"/>
        <w:right w:val="none" w:sz="0" w:space="0" w:color="auto"/>
      </w:divBdr>
      <w:divsChild>
        <w:div w:id="955137398">
          <w:marLeft w:val="0"/>
          <w:marRight w:val="0"/>
          <w:marTop w:val="0"/>
          <w:marBottom w:val="0"/>
          <w:divBdr>
            <w:top w:val="none" w:sz="0" w:space="0" w:color="auto"/>
            <w:left w:val="none" w:sz="0" w:space="0" w:color="auto"/>
            <w:bottom w:val="none" w:sz="0" w:space="0" w:color="auto"/>
            <w:right w:val="none" w:sz="0" w:space="0" w:color="auto"/>
          </w:divBdr>
        </w:div>
        <w:div w:id="1681619602">
          <w:marLeft w:val="0"/>
          <w:marRight w:val="0"/>
          <w:marTop w:val="0"/>
          <w:marBottom w:val="0"/>
          <w:divBdr>
            <w:top w:val="none" w:sz="0" w:space="0" w:color="auto"/>
            <w:left w:val="none" w:sz="0" w:space="0" w:color="auto"/>
            <w:bottom w:val="none" w:sz="0" w:space="0" w:color="auto"/>
            <w:right w:val="none" w:sz="0" w:space="0" w:color="auto"/>
          </w:divBdr>
        </w:div>
        <w:div w:id="1719931217">
          <w:marLeft w:val="0"/>
          <w:marRight w:val="0"/>
          <w:marTop w:val="0"/>
          <w:marBottom w:val="0"/>
          <w:divBdr>
            <w:top w:val="none" w:sz="0" w:space="0" w:color="auto"/>
            <w:left w:val="none" w:sz="0" w:space="0" w:color="auto"/>
            <w:bottom w:val="none" w:sz="0" w:space="0" w:color="auto"/>
            <w:right w:val="none" w:sz="0" w:space="0" w:color="auto"/>
          </w:divBdr>
        </w:div>
      </w:divsChild>
    </w:div>
    <w:div w:id="1734816886">
      <w:bodyDiv w:val="1"/>
      <w:marLeft w:val="0"/>
      <w:marRight w:val="0"/>
      <w:marTop w:val="0"/>
      <w:marBottom w:val="0"/>
      <w:divBdr>
        <w:top w:val="none" w:sz="0" w:space="0" w:color="auto"/>
        <w:left w:val="none" w:sz="0" w:space="0" w:color="auto"/>
        <w:bottom w:val="none" w:sz="0" w:space="0" w:color="auto"/>
        <w:right w:val="none" w:sz="0" w:space="0" w:color="auto"/>
      </w:divBdr>
    </w:div>
    <w:div w:id="1745569827">
      <w:bodyDiv w:val="1"/>
      <w:marLeft w:val="0"/>
      <w:marRight w:val="0"/>
      <w:marTop w:val="0"/>
      <w:marBottom w:val="0"/>
      <w:divBdr>
        <w:top w:val="none" w:sz="0" w:space="0" w:color="auto"/>
        <w:left w:val="none" w:sz="0" w:space="0" w:color="auto"/>
        <w:bottom w:val="none" w:sz="0" w:space="0" w:color="auto"/>
        <w:right w:val="none" w:sz="0" w:space="0" w:color="auto"/>
      </w:divBdr>
    </w:div>
    <w:div w:id="1749694405">
      <w:bodyDiv w:val="1"/>
      <w:marLeft w:val="0"/>
      <w:marRight w:val="0"/>
      <w:marTop w:val="0"/>
      <w:marBottom w:val="0"/>
      <w:divBdr>
        <w:top w:val="none" w:sz="0" w:space="0" w:color="auto"/>
        <w:left w:val="none" w:sz="0" w:space="0" w:color="auto"/>
        <w:bottom w:val="none" w:sz="0" w:space="0" w:color="auto"/>
        <w:right w:val="none" w:sz="0" w:space="0" w:color="auto"/>
      </w:divBdr>
    </w:div>
    <w:div w:id="1794712654">
      <w:bodyDiv w:val="1"/>
      <w:marLeft w:val="0"/>
      <w:marRight w:val="0"/>
      <w:marTop w:val="0"/>
      <w:marBottom w:val="0"/>
      <w:divBdr>
        <w:top w:val="none" w:sz="0" w:space="0" w:color="auto"/>
        <w:left w:val="none" w:sz="0" w:space="0" w:color="auto"/>
        <w:bottom w:val="none" w:sz="0" w:space="0" w:color="auto"/>
        <w:right w:val="none" w:sz="0" w:space="0" w:color="auto"/>
      </w:divBdr>
    </w:div>
    <w:div w:id="1873571956">
      <w:bodyDiv w:val="1"/>
      <w:marLeft w:val="0"/>
      <w:marRight w:val="0"/>
      <w:marTop w:val="0"/>
      <w:marBottom w:val="0"/>
      <w:divBdr>
        <w:top w:val="none" w:sz="0" w:space="0" w:color="auto"/>
        <w:left w:val="none" w:sz="0" w:space="0" w:color="auto"/>
        <w:bottom w:val="none" w:sz="0" w:space="0" w:color="auto"/>
        <w:right w:val="none" w:sz="0" w:space="0" w:color="auto"/>
      </w:divBdr>
    </w:div>
    <w:div w:id="1886988853">
      <w:bodyDiv w:val="1"/>
      <w:marLeft w:val="0"/>
      <w:marRight w:val="0"/>
      <w:marTop w:val="0"/>
      <w:marBottom w:val="0"/>
      <w:divBdr>
        <w:top w:val="none" w:sz="0" w:space="0" w:color="auto"/>
        <w:left w:val="none" w:sz="0" w:space="0" w:color="auto"/>
        <w:bottom w:val="none" w:sz="0" w:space="0" w:color="auto"/>
        <w:right w:val="none" w:sz="0" w:space="0" w:color="auto"/>
      </w:divBdr>
    </w:div>
    <w:div w:id="1906254651">
      <w:bodyDiv w:val="1"/>
      <w:marLeft w:val="0"/>
      <w:marRight w:val="0"/>
      <w:marTop w:val="0"/>
      <w:marBottom w:val="0"/>
      <w:divBdr>
        <w:top w:val="none" w:sz="0" w:space="0" w:color="auto"/>
        <w:left w:val="none" w:sz="0" w:space="0" w:color="auto"/>
        <w:bottom w:val="none" w:sz="0" w:space="0" w:color="auto"/>
        <w:right w:val="none" w:sz="0" w:space="0" w:color="auto"/>
      </w:divBdr>
    </w:div>
    <w:div w:id="1938173809">
      <w:bodyDiv w:val="1"/>
      <w:marLeft w:val="0"/>
      <w:marRight w:val="0"/>
      <w:marTop w:val="0"/>
      <w:marBottom w:val="0"/>
      <w:divBdr>
        <w:top w:val="none" w:sz="0" w:space="0" w:color="auto"/>
        <w:left w:val="none" w:sz="0" w:space="0" w:color="auto"/>
        <w:bottom w:val="none" w:sz="0" w:space="0" w:color="auto"/>
        <w:right w:val="none" w:sz="0" w:space="0" w:color="auto"/>
      </w:divBdr>
    </w:div>
    <w:div w:id="1940523305">
      <w:bodyDiv w:val="1"/>
      <w:marLeft w:val="0"/>
      <w:marRight w:val="0"/>
      <w:marTop w:val="0"/>
      <w:marBottom w:val="0"/>
      <w:divBdr>
        <w:top w:val="none" w:sz="0" w:space="0" w:color="auto"/>
        <w:left w:val="none" w:sz="0" w:space="0" w:color="auto"/>
        <w:bottom w:val="none" w:sz="0" w:space="0" w:color="auto"/>
        <w:right w:val="none" w:sz="0" w:space="0" w:color="auto"/>
      </w:divBdr>
    </w:div>
    <w:div w:id="1965496863">
      <w:bodyDiv w:val="1"/>
      <w:marLeft w:val="0"/>
      <w:marRight w:val="0"/>
      <w:marTop w:val="0"/>
      <w:marBottom w:val="0"/>
      <w:divBdr>
        <w:top w:val="none" w:sz="0" w:space="0" w:color="auto"/>
        <w:left w:val="none" w:sz="0" w:space="0" w:color="auto"/>
        <w:bottom w:val="none" w:sz="0" w:space="0" w:color="auto"/>
        <w:right w:val="none" w:sz="0" w:space="0" w:color="auto"/>
      </w:divBdr>
    </w:div>
    <w:div w:id="1967614550">
      <w:bodyDiv w:val="1"/>
      <w:marLeft w:val="0"/>
      <w:marRight w:val="0"/>
      <w:marTop w:val="0"/>
      <w:marBottom w:val="0"/>
      <w:divBdr>
        <w:top w:val="none" w:sz="0" w:space="0" w:color="auto"/>
        <w:left w:val="none" w:sz="0" w:space="0" w:color="auto"/>
        <w:bottom w:val="none" w:sz="0" w:space="0" w:color="auto"/>
        <w:right w:val="none" w:sz="0" w:space="0" w:color="auto"/>
      </w:divBdr>
    </w:div>
    <w:div w:id="1974630459">
      <w:bodyDiv w:val="1"/>
      <w:marLeft w:val="0"/>
      <w:marRight w:val="0"/>
      <w:marTop w:val="0"/>
      <w:marBottom w:val="0"/>
      <w:divBdr>
        <w:top w:val="none" w:sz="0" w:space="0" w:color="auto"/>
        <w:left w:val="none" w:sz="0" w:space="0" w:color="auto"/>
        <w:bottom w:val="none" w:sz="0" w:space="0" w:color="auto"/>
        <w:right w:val="none" w:sz="0" w:space="0" w:color="auto"/>
      </w:divBdr>
    </w:div>
    <w:div w:id="1981223526">
      <w:bodyDiv w:val="1"/>
      <w:marLeft w:val="0"/>
      <w:marRight w:val="0"/>
      <w:marTop w:val="0"/>
      <w:marBottom w:val="0"/>
      <w:divBdr>
        <w:top w:val="none" w:sz="0" w:space="0" w:color="auto"/>
        <w:left w:val="none" w:sz="0" w:space="0" w:color="auto"/>
        <w:bottom w:val="none" w:sz="0" w:space="0" w:color="auto"/>
        <w:right w:val="none" w:sz="0" w:space="0" w:color="auto"/>
      </w:divBdr>
    </w:div>
    <w:div w:id="2027712991">
      <w:bodyDiv w:val="1"/>
      <w:marLeft w:val="0"/>
      <w:marRight w:val="0"/>
      <w:marTop w:val="0"/>
      <w:marBottom w:val="0"/>
      <w:divBdr>
        <w:top w:val="none" w:sz="0" w:space="0" w:color="auto"/>
        <w:left w:val="none" w:sz="0" w:space="0" w:color="auto"/>
        <w:bottom w:val="none" w:sz="0" w:space="0" w:color="auto"/>
        <w:right w:val="none" w:sz="0" w:space="0" w:color="auto"/>
      </w:divBdr>
    </w:div>
    <w:div w:id="2038458732">
      <w:bodyDiv w:val="1"/>
      <w:marLeft w:val="0"/>
      <w:marRight w:val="0"/>
      <w:marTop w:val="0"/>
      <w:marBottom w:val="0"/>
      <w:divBdr>
        <w:top w:val="none" w:sz="0" w:space="0" w:color="auto"/>
        <w:left w:val="none" w:sz="0" w:space="0" w:color="auto"/>
        <w:bottom w:val="none" w:sz="0" w:space="0" w:color="auto"/>
        <w:right w:val="none" w:sz="0" w:space="0" w:color="auto"/>
      </w:divBdr>
    </w:div>
    <w:div w:id="2042052541">
      <w:bodyDiv w:val="1"/>
      <w:marLeft w:val="0"/>
      <w:marRight w:val="0"/>
      <w:marTop w:val="0"/>
      <w:marBottom w:val="0"/>
      <w:divBdr>
        <w:top w:val="none" w:sz="0" w:space="0" w:color="auto"/>
        <w:left w:val="none" w:sz="0" w:space="0" w:color="auto"/>
        <w:bottom w:val="none" w:sz="0" w:space="0" w:color="auto"/>
        <w:right w:val="none" w:sz="0" w:space="0" w:color="auto"/>
      </w:divBdr>
    </w:div>
    <w:div w:id="2062514650">
      <w:bodyDiv w:val="1"/>
      <w:marLeft w:val="0"/>
      <w:marRight w:val="0"/>
      <w:marTop w:val="0"/>
      <w:marBottom w:val="0"/>
      <w:divBdr>
        <w:top w:val="none" w:sz="0" w:space="0" w:color="auto"/>
        <w:left w:val="none" w:sz="0" w:space="0" w:color="auto"/>
        <w:bottom w:val="none" w:sz="0" w:space="0" w:color="auto"/>
        <w:right w:val="none" w:sz="0" w:space="0" w:color="auto"/>
      </w:divBdr>
    </w:div>
    <w:div w:id="2118864598">
      <w:bodyDiv w:val="1"/>
      <w:marLeft w:val="0"/>
      <w:marRight w:val="0"/>
      <w:marTop w:val="0"/>
      <w:marBottom w:val="0"/>
      <w:divBdr>
        <w:top w:val="none" w:sz="0" w:space="0" w:color="auto"/>
        <w:left w:val="none" w:sz="0" w:space="0" w:color="auto"/>
        <w:bottom w:val="none" w:sz="0" w:space="0" w:color="auto"/>
        <w:right w:val="none" w:sz="0" w:space="0" w:color="auto"/>
      </w:divBdr>
    </w:div>
    <w:div w:id="21379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image" Target="media/image4.emf"/><Relationship Id="rId34"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image" Target="media/image8.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image" Target="media/image11.tiff"/><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image" Target="media/image7.tif"/><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4.xml"/><Relationship Id="rId31" Type="http://schemas.openxmlformats.org/officeDocument/2006/relationships/image" Target="media/image10.ti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image" Target="media/image6.tif"/><Relationship Id="rId30" Type="http://schemas.openxmlformats.org/officeDocument/2006/relationships/image" Target="media/image9.tif"/><Relationship Id="rId35" Type="http://schemas.openxmlformats.org/officeDocument/2006/relationships/footer" Target="footer8.xml"/></Relationships>
</file>

<file path=word/_rels/footnotes.xml.rels><?xml version="1.0" encoding="UTF-8" standalone="yes"?>
<Relationships xmlns="http://schemas.openxmlformats.org/package/2006/relationships"><Relationship Id="rId3" Type="http://schemas.openxmlformats.org/officeDocument/2006/relationships/hyperlink" Target="http://www.health.gov.au/internet/main/publishing.nsf/Content/lsdp-criteria" TargetMode="External"/><Relationship Id="rId2" Type="http://schemas.openxmlformats.org/officeDocument/2006/relationships/hyperlink" Target="http://www.health.gov.au/lsdp" TargetMode="External"/><Relationship Id="rId1" Type="http://schemas.openxmlformats.org/officeDocument/2006/relationships/hyperlink" Target="http://www.pbs.gov.au/info/reviews/life-saving-drugs" TargetMode="External"/><Relationship Id="rId5" Type="http://schemas.openxmlformats.org/officeDocument/2006/relationships/hyperlink" Target="http://www.health.gov.au/internet/main/publishing.nsf/Content/lsdp-criteria" TargetMode="External"/><Relationship Id="rId4" Type="http://schemas.openxmlformats.org/officeDocument/2006/relationships/hyperlink" Target="http://nnlm.gov/training/pubmedfortrainers/Searching_for_Drug_Information.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F52D7-4AC5-4BE6-B567-89F964BE80CB}">
  <ds:schemaRefs>
    <ds:schemaRef ds:uri="http://schemas.openxmlformats.org/officeDocument/2006/bibliography"/>
  </ds:schemaRefs>
</ds:datastoreItem>
</file>

<file path=customXml/itemProps2.xml><?xml version="1.0" encoding="utf-8"?>
<ds:datastoreItem xmlns:ds="http://schemas.openxmlformats.org/officeDocument/2006/customXml" ds:itemID="{A6C6BEAF-D06B-4417-9BE1-7D7D9AFBF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509</Pages>
  <Words>175023</Words>
  <Characters>997637</Characters>
  <Application>Microsoft Office Word</Application>
  <DocSecurity>0</DocSecurity>
  <Lines>8313</Lines>
  <Paragraphs>2340</Paragraphs>
  <ScaleCrop>false</ScaleCrop>
  <HeadingPairs>
    <vt:vector size="2" baseType="variant">
      <vt:variant>
        <vt:lpstr>Title</vt:lpstr>
      </vt:variant>
      <vt:variant>
        <vt:i4>1</vt:i4>
      </vt:variant>
    </vt:vector>
  </HeadingPairs>
  <TitlesOfParts>
    <vt:vector size="1" baseType="lpstr">
      <vt:lpstr>Systematic review of life saving drugs program</vt:lpstr>
    </vt:vector>
  </TitlesOfParts>
  <Company>Toshiba</Company>
  <LinksUpToDate>false</LinksUpToDate>
  <CharactersWithSpaces>1170320</CharactersWithSpaces>
  <SharedDoc>false</SharedDoc>
  <HLinks>
    <vt:vector size="3282" baseType="variant">
      <vt:variant>
        <vt:i4>3932231</vt:i4>
      </vt:variant>
      <vt:variant>
        <vt:i4>3778</vt:i4>
      </vt:variant>
      <vt:variant>
        <vt:i4>0</vt:i4>
      </vt:variant>
      <vt:variant>
        <vt:i4>5</vt:i4>
      </vt:variant>
      <vt:variant>
        <vt:lpwstr>https://www.wind-watch.org/documents/visual-and-acoustic-impact-of-wind-turbine-farms-on-residents/</vt:lpwstr>
      </vt:variant>
      <vt:variant>
        <vt:lpwstr/>
      </vt:variant>
      <vt:variant>
        <vt:i4>3735658</vt:i4>
      </vt:variant>
      <vt:variant>
        <vt:i4>3775</vt:i4>
      </vt:variant>
      <vt:variant>
        <vt:i4>0</vt:i4>
      </vt:variant>
      <vt:variant>
        <vt:i4>5</vt:i4>
      </vt:variant>
      <vt:variant>
        <vt:lpwstr>http://www.independentaustralia.net/2012/environment/why-misinformation-works/</vt:lpwstr>
      </vt:variant>
      <vt:variant>
        <vt:lpwstr/>
      </vt:variant>
      <vt:variant>
        <vt:i4>3276822</vt:i4>
      </vt:variant>
      <vt:variant>
        <vt:i4>3763</vt:i4>
      </vt:variant>
      <vt:variant>
        <vt:i4>0</vt:i4>
      </vt:variant>
      <vt:variant>
        <vt:i4>5</vt:i4>
      </vt:variant>
      <vt:variant>
        <vt:lpwstr>http://theconversation.edu.au/wind-turbine-syndrome-a-classic-communicated-disease-8318</vt:lpwstr>
      </vt:variant>
      <vt:variant>
        <vt:lpwstr/>
      </vt:variant>
      <vt:variant>
        <vt:i4>6881320</vt:i4>
      </vt:variant>
      <vt:variant>
        <vt:i4>3760</vt:i4>
      </vt:variant>
      <vt:variant>
        <vt:i4>0</vt:i4>
      </vt:variant>
      <vt:variant>
        <vt:i4>5</vt:i4>
      </vt:variant>
      <vt:variant>
        <vt:lpwstr>http://www.energycentral.com/generationstorage/wind/articles/article_print.cfm?did=1934</vt:lpwstr>
      </vt:variant>
      <vt:variant>
        <vt:lpwstr/>
      </vt:variant>
      <vt:variant>
        <vt:i4>6684722</vt:i4>
      </vt:variant>
      <vt:variant>
        <vt:i4>3757</vt:i4>
      </vt:variant>
      <vt:variant>
        <vt:i4>0</vt:i4>
      </vt:variant>
      <vt:variant>
        <vt:i4>5</vt:i4>
      </vt:variant>
      <vt:variant>
        <vt:lpwstr>http://www.ep.liu.se/ecp/057/vol15/ecp057vol15.pdf</vt:lpwstr>
      </vt:variant>
      <vt:variant>
        <vt:lpwstr/>
      </vt:variant>
      <vt:variant>
        <vt:i4>1572946</vt:i4>
      </vt:variant>
      <vt:variant>
        <vt:i4>3754</vt:i4>
      </vt:variant>
      <vt:variant>
        <vt:i4>0</vt:i4>
      </vt:variant>
      <vt:variant>
        <vt:i4>5</vt:i4>
      </vt:variant>
      <vt:variant>
        <vt:lpwstr>http://www.ewea.org/fileadmin/ewea_documents/documents/publications/WETF/WETF.pdf</vt:lpwstr>
      </vt:variant>
      <vt:variant>
        <vt:lpwstr/>
      </vt:variant>
      <vt:variant>
        <vt:i4>4522064</vt:i4>
      </vt:variant>
      <vt:variant>
        <vt:i4>3751</vt:i4>
      </vt:variant>
      <vt:variant>
        <vt:i4>0</vt:i4>
      </vt:variant>
      <vt:variant>
        <vt:i4>5</vt:i4>
      </vt:variant>
      <vt:variant>
        <vt:lpwstr>http://www.ewea.org/fileadmin/ewea_documents/documents/publications/WETF/Facts_Volume_4.pdf</vt:lpwstr>
      </vt:variant>
      <vt:variant>
        <vt:lpwstr/>
      </vt:variant>
      <vt:variant>
        <vt:i4>1966129</vt:i4>
      </vt:variant>
      <vt:variant>
        <vt:i4>3748</vt:i4>
      </vt:variant>
      <vt:variant>
        <vt:i4>0</vt:i4>
      </vt:variant>
      <vt:variant>
        <vt:i4>5</vt:i4>
      </vt:variant>
      <vt:variant>
        <vt:lpwstr>http://dspace.mit.edu/handle/1721.1/44363</vt:lpwstr>
      </vt:variant>
      <vt:variant>
        <vt:lpwstr/>
      </vt:variant>
      <vt:variant>
        <vt:i4>6750310</vt:i4>
      </vt:variant>
      <vt:variant>
        <vt:i4>3745</vt:i4>
      </vt:variant>
      <vt:variant>
        <vt:i4>0</vt:i4>
      </vt:variant>
      <vt:variant>
        <vt:i4>5</vt:i4>
      </vt:variant>
      <vt:variant>
        <vt:lpwstr>http://www.wpi.edu/Pubs/E-project/Available/E-project-030112-003057/unrestricted/FinalIQPReport.pdf%3e</vt:lpwstr>
      </vt:variant>
      <vt:variant>
        <vt:lpwstr/>
      </vt:variant>
      <vt:variant>
        <vt:i4>2949165</vt:i4>
      </vt:variant>
      <vt:variant>
        <vt:i4>3721</vt:i4>
      </vt:variant>
      <vt:variant>
        <vt:i4>0</vt:i4>
      </vt:variant>
      <vt:variant>
        <vt:i4>5</vt:i4>
      </vt:variant>
      <vt:variant>
        <vt:lpwstr>http://www.energyaustralia.com.au/about-us/what-we-do/generation-assets/waterloo-wind-farm</vt:lpwstr>
      </vt:variant>
      <vt:variant>
        <vt:lpwstr/>
      </vt:variant>
      <vt:variant>
        <vt:i4>1114233</vt:i4>
      </vt:variant>
      <vt:variant>
        <vt:i4>3718</vt:i4>
      </vt:variant>
      <vt:variant>
        <vt:i4>0</vt:i4>
      </vt:variant>
      <vt:variant>
        <vt:i4>5</vt:i4>
      </vt:variant>
      <vt:variant>
        <vt:lpwstr>http://en.wikipedia.org/wiki/Wind_power_in_South_Australia</vt:lpwstr>
      </vt:variant>
      <vt:variant>
        <vt:lpwstr>Waterloo_Wind_Farm_.28111_MW.29</vt:lpwstr>
      </vt:variant>
      <vt:variant>
        <vt:i4>7864328</vt:i4>
      </vt:variant>
      <vt:variant>
        <vt:i4>3715</vt:i4>
      </vt:variant>
      <vt:variant>
        <vt:i4>0</vt:i4>
      </vt:variant>
      <vt:variant>
        <vt:i4>5</vt:i4>
      </vt:variant>
      <vt:variant>
        <vt:lpwstr>http://www.wind-watch.org/news/</vt:lpwstr>
      </vt:variant>
      <vt:variant>
        <vt:lpwstr/>
      </vt:variant>
      <vt:variant>
        <vt:i4>2818085</vt:i4>
      </vt:variant>
      <vt:variant>
        <vt:i4>3709</vt:i4>
      </vt:variant>
      <vt:variant>
        <vt:i4>0</vt:i4>
      </vt:variant>
      <vt:variant>
        <vt:i4>5</vt:i4>
      </vt:variant>
      <vt:variant>
        <vt:lpwstr>http://en.wikipedia.org/wiki/List_of_wind_farms_in_Canada</vt:lpwstr>
      </vt:variant>
      <vt:variant>
        <vt:lpwstr/>
      </vt:variant>
      <vt:variant>
        <vt:i4>1769578</vt:i4>
      </vt:variant>
      <vt:variant>
        <vt:i4>3697</vt:i4>
      </vt:variant>
      <vt:variant>
        <vt:i4>0</vt:i4>
      </vt:variant>
      <vt:variant>
        <vt:i4>5</vt:i4>
      </vt:variant>
      <vt:variant>
        <vt:lpwstr>http://www.epaw.org/documents/WFp-final-summary-1.pdf</vt:lpwstr>
      </vt:variant>
      <vt:variant>
        <vt:lpwstr/>
      </vt:variant>
      <vt:variant>
        <vt:i4>7929932</vt:i4>
      </vt:variant>
      <vt:variant>
        <vt:i4>3694</vt:i4>
      </vt:variant>
      <vt:variant>
        <vt:i4>0</vt:i4>
      </vt:variant>
      <vt:variant>
        <vt:i4>5</vt:i4>
      </vt:variant>
      <vt:variant>
        <vt:lpwstr>http://www.wind-watch.org/news/wp-content/uploads/2012/07/Waterloo-Wind-Farm-Survey-April-2012-Select-Committee.pdf</vt:lpwstr>
      </vt:variant>
      <vt:variant>
        <vt:lpwstr/>
      </vt:variant>
      <vt:variant>
        <vt:i4>4784189</vt:i4>
      </vt:variant>
      <vt:variant>
        <vt:i4>3690</vt:i4>
      </vt:variant>
      <vt:variant>
        <vt:i4>0</vt:i4>
      </vt:variant>
      <vt:variant>
        <vt:i4>5</vt:i4>
      </vt:variant>
      <vt:variant>
        <vt:lpwstr/>
      </vt:variant>
      <vt:variant>
        <vt:lpwstr>_ENREF_86</vt:lpwstr>
      </vt:variant>
      <vt:variant>
        <vt:i4>4784189</vt:i4>
      </vt:variant>
      <vt:variant>
        <vt:i4>3684</vt:i4>
      </vt:variant>
      <vt:variant>
        <vt:i4>0</vt:i4>
      </vt:variant>
      <vt:variant>
        <vt:i4>5</vt:i4>
      </vt:variant>
      <vt:variant>
        <vt:lpwstr/>
      </vt:variant>
      <vt:variant>
        <vt:lpwstr>_ENREF_86</vt:lpwstr>
      </vt:variant>
      <vt:variant>
        <vt:i4>4653107</vt:i4>
      </vt:variant>
      <vt:variant>
        <vt:i4>3678</vt:i4>
      </vt:variant>
      <vt:variant>
        <vt:i4>0</vt:i4>
      </vt:variant>
      <vt:variant>
        <vt:i4>5</vt:i4>
      </vt:variant>
      <vt:variant>
        <vt:lpwstr/>
      </vt:variant>
      <vt:variant>
        <vt:lpwstr>_ENREF_68</vt:lpwstr>
      </vt:variant>
      <vt:variant>
        <vt:i4>4653106</vt:i4>
      </vt:variant>
      <vt:variant>
        <vt:i4>3672</vt:i4>
      </vt:variant>
      <vt:variant>
        <vt:i4>0</vt:i4>
      </vt:variant>
      <vt:variant>
        <vt:i4>5</vt:i4>
      </vt:variant>
      <vt:variant>
        <vt:lpwstr/>
      </vt:variant>
      <vt:variant>
        <vt:lpwstr>_ENREF_69</vt:lpwstr>
      </vt:variant>
      <vt:variant>
        <vt:i4>4587578</vt:i4>
      </vt:variant>
      <vt:variant>
        <vt:i4>3666</vt:i4>
      </vt:variant>
      <vt:variant>
        <vt:i4>0</vt:i4>
      </vt:variant>
      <vt:variant>
        <vt:i4>5</vt:i4>
      </vt:variant>
      <vt:variant>
        <vt:lpwstr/>
      </vt:variant>
      <vt:variant>
        <vt:lpwstr>_ENREF_71</vt:lpwstr>
      </vt:variant>
      <vt:variant>
        <vt:i4>4653107</vt:i4>
      </vt:variant>
      <vt:variant>
        <vt:i4>3660</vt:i4>
      </vt:variant>
      <vt:variant>
        <vt:i4>0</vt:i4>
      </vt:variant>
      <vt:variant>
        <vt:i4>5</vt:i4>
      </vt:variant>
      <vt:variant>
        <vt:lpwstr/>
      </vt:variant>
      <vt:variant>
        <vt:lpwstr>_ENREF_68</vt:lpwstr>
      </vt:variant>
      <vt:variant>
        <vt:i4>4653106</vt:i4>
      </vt:variant>
      <vt:variant>
        <vt:i4>3654</vt:i4>
      </vt:variant>
      <vt:variant>
        <vt:i4>0</vt:i4>
      </vt:variant>
      <vt:variant>
        <vt:i4>5</vt:i4>
      </vt:variant>
      <vt:variant>
        <vt:lpwstr/>
      </vt:variant>
      <vt:variant>
        <vt:lpwstr>_ENREF_69</vt:lpwstr>
      </vt:variant>
      <vt:variant>
        <vt:i4>4587579</vt:i4>
      </vt:variant>
      <vt:variant>
        <vt:i4>3648</vt:i4>
      </vt:variant>
      <vt:variant>
        <vt:i4>0</vt:i4>
      </vt:variant>
      <vt:variant>
        <vt:i4>5</vt:i4>
      </vt:variant>
      <vt:variant>
        <vt:lpwstr/>
      </vt:variant>
      <vt:variant>
        <vt:lpwstr>_ENREF_70</vt:lpwstr>
      </vt:variant>
      <vt:variant>
        <vt:i4>4653118</vt:i4>
      </vt:variant>
      <vt:variant>
        <vt:i4>3642</vt:i4>
      </vt:variant>
      <vt:variant>
        <vt:i4>0</vt:i4>
      </vt:variant>
      <vt:variant>
        <vt:i4>5</vt:i4>
      </vt:variant>
      <vt:variant>
        <vt:lpwstr/>
      </vt:variant>
      <vt:variant>
        <vt:lpwstr>_ENREF_65</vt:lpwstr>
      </vt:variant>
      <vt:variant>
        <vt:i4>4653118</vt:i4>
      </vt:variant>
      <vt:variant>
        <vt:i4>3636</vt:i4>
      </vt:variant>
      <vt:variant>
        <vt:i4>0</vt:i4>
      </vt:variant>
      <vt:variant>
        <vt:i4>5</vt:i4>
      </vt:variant>
      <vt:variant>
        <vt:lpwstr/>
      </vt:variant>
      <vt:variant>
        <vt:lpwstr>_ENREF_65</vt:lpwstr>
      </vt:variant>
      <vt:variant>
        <vt:i4>4456499</vt:i4>
      </vt:variant>
      <vt:variant>
        <vt:i4>3630</vt:i4>
      </vt:variant>
      <vt:variant>
        <vt:i4>0</vt:i4>
      </vt:variant>
      <vt:variant>
        <vt:i4>5</vt:i4>
      </vt:variant>
      <vt:variant>
        <vt:lpwstr/>
      </vt:variant>
      <vt:variant>
        <vt:lpwstr>_ENREF_58</vt:lpwstr>
      </vt:variant>
      <vt:variant>
        <vt:i4>4456499</vt:i4>
      </vt:variant>
      <vt:variant>
        <vt:i4>3624</vt:i4>
      </vt:variant>
      <vt:variant>
        <vt:i4>0</vt:i4>
      </vt:variant>
      <vt:variant>
        <vt:i4>5</vt:i4>
      </vt:variant>
      <vt:variant>
        <vt:lpwstr/>
      </vt:variant>
      <vt:variant>
        <vt:lpwstr>_ENREF_58</vt:lpwstr>
      </vt:variant>
      <vt:variant>
        <vt:i4>4522044</vt:i4>
      </vt:variant>
      <vt:variant>
        <vt:i4>3618</vt:i4>
      </vt:variant>
      <vt:variant>
        <vt:i4>0</vt:i4>
      </vt:variant>
      <vt:variant>
        <vt:i4>5</vt:i4>
      </vt:variant>
      <vt:variant>
        <vt:lpwstr/>
      </vt:variant>
      <vt:variant>
        <vt:lpwstr>_ENREF_47</vt:lpwstr>
      </vt:variant>
      <vt:variant>
        <vt:i4>4522044</vt:i4>
      </vt:variant>
      <vt:variant>
        <vt:i4>3612</vt:i4>
      </vt:variant>
      <vt:variant>
        <vt:i4>0</vt:i4>
      </vt:variant>
      <vt:variant>
        <vt:i4>5</vt:i4>
      </vt:variant>
      <vt:variant>
        <vt:lpwstr/>
      </vt:variant>
      <vt:variant>
        <vt:lpwstr>_ENREF_47</vt:lpwstr>
      </vt:variant>
      <vt:variant>
        <vt:i4>4653107</vt:i4>
      </vt:variant>
      <vt:variant>
        <vt:i4>3606</vt:i4>
      </vt:variant>
      <vt:variant>
        <vt:i4>0</vt:i4>
      </vt:variant>
      <vt:variant>
        <vt:i4>5</vt:i4>
      </vt:variant>
      <vt:variant>
        <vt:lpwstr/>
      </vt:variant>
      <vt:variant>
        <vt:lpwstr>_ENREF_68</vt:lpwstr>
      </vt:variant>
      <vt:variant>
        <vt:i4>4587577</vt:i4>
      </vt:variant>
      <vt:variant>
        <vt:i4>3600</vt:i4>
      </vt:variant>
      <vt:variant>
        <vt:i4>0</vt:i4>
      </vt:variant>
      <vt:variant>
        <vt:i4>5</vt:i4>
      </vt:variant>
      <vt:variant>
        <vt:lpwstr/>
      </vt:variant>
      <vt:variant>
        <vt:lpwstr>_ENREF_72</vt:lpwstr>
      </vt:variant>
      <vt:variant>
        <vt:i4>4718648</vt:i4>
      </vt:variant>
      <vt:variant>
        <vt:i4>3594</vt:i4>
      </vt:variant>
      <vt:variant>
        <vt:i4>0</vt:i4>
      </vt:variant>
      <vt:variant>
        <vt:i4>5</vt:i4>
      </vt:variant>
      <vt:variant>
        <vt:lpwstr/>
      </vt:variant>
      <vt:variant>
        <vt:lpwstr>_ENREF_93</vt:lpwstr>
      </vt:variant>
      <vt:variant>
        <vt:i4>4784139</vt:i4>
      </vt:variant>
      <vt:variant>
        <vt:i4>3588</vt:i4>
      </vt:variant>
      <vt:variant>
        <vt:i4>0</vt:i4>
      </vt:variant>
      <vt:variant>
        <vt:i4>5</vt:i4>
      </vt:variant>
      <vt:variant>
        <vt:lpwstr/>
      </vt:variant>
      <vt:variant>
        <vt:lpwstr>_ENREF_8</vt:lpwstr>
      </vt:variant>
      <vt:variant>
        <vt:i4>131111</vt:i4>
      </vt:variant>
      <vt:variant>
        <vt:i4>3578</vt:i4>
      </vt:variant>
      <vt:variant>
        <vt:i4>0</vt:i4>
      </vt:variant>
      <vt:variant>
        <vt:i4>5</vt:i4>
      </vt:variant>
      <vt:variant>
        <vt:lpwstr>http://www.mednar.com</vt:lpwstr>
      </vt:variant>
      <vt:variant>
        <vt:lpwstr/>
      </vt:variant>
      <vt:variant>
        <vt:i4>2621548</vt:i4>
      </vt:variant>
      <vt:variant>
        <vt:i4>3575</vt:i4>
      </vt:variant>
      <vt:variant>
        <vt:i4>0</vt:i4>
      </vt:variant>
      <vt:variant>
        <vt:i4>5</vt:i4>
      </vt:variant>
      <vt:variant>
        <vt:lpwstr>http://www.opendoar.org/search.php</vt:lpwstr>
      </vt:variant>
      <vt:variant>
        <vt:lpwstr/>
      </vt:variant>
      <vt:variant>
        <vt:i4>5767244</vt:i4>
      </vt:variant>
      <vt:variant>
        <vt:i4>3572</vt:i4>
      </vt:variant>
      <vt:variant>
        <vt:i4>0</vt:i4>
      </vt:variant>
      <vt:variant>
        <vt:i4>5</vt:i4>
      </vt:variant>
      <vt:variant>
        <vt:lpwstr>http://www.worldcat.org/</vt:lpwstr>
      </vt:variant>
      <vt:variant>
        <vt:lpwstr/>
      </vt:variant>
      <vt:variant>
        <vt:i4>84</vt:i4>
      </vt:variant>
      <vt:variant>
        <vt:i4>3569</vt:i4>
      </vt:variant>
      <vt:variant>
        <vt:i4>0</vt:i4>
      </vt:variant>
      <vt:variant>
        <vt:i4>5</vt:i4>
      </vt:variant>
      <vt:variant>
        <vt:lpwstr>http://www.who.int/library/databases/en/</vt:lpwstr>
      </vt:variant>
      <vt:variant>
        <vt:lpwstr/>
      </vt:variant>
      <vt:variant>
        <vt:i4>5636167</vt:i4>
      </vt:variant>
      <vt:variant>
        <vt:i4>3562</vt:i4>
      </vt:variant>
      <vt:variant>
        <vt:i4>0</vt:i4>
      </vt:variant>
      <vt:variant>
        <vt:i4>5</vt:i4>
      </vt:variant>
      <vt:variant>
        <vt:lpwstr>http://www.windrush-energy.com/update Jul 24/Appendix D - Magnetic Field Survey/Magnetic Field Report.pdf%3e</vt:lpwstr>
      </vt:variant>
      <vt:variant>
        <vt:lpwstr/>
      </vt:variant>
      <vt:variant>
        <vt:i4>393302</vt:i4>
      </vt:variant>
      <vt:variant>
        <vt:i4>3559</vt:i4>
      </vt:variant>
      <vt:variant>
        <vt:i4>0</vt:i4>
      </vt:variant>
      <vt:variant>
        <vt:i4>5</vt:i4>
      </vt:variant>
      <vt:variant>
        <vt:lpwstr>http://www.who.int/peh-emf/about/WhatisEMF/en/index1.html%3e</vt:lpwstr>
      </vt:variant>
      <vt:variant>
        <vt:lpwstr/>
      </vt:variant>
      <vt:variant>
        <vt:i4>262230</vt:i4>
      </vt:variant>
      <vt:variant>
        <vt:i4>3556</vt:i4>
      </vt:variant>
      <vt:variant>
        <vt:i4>0</vt:i4>
      </vt:variant>
      <vt:variant>
        <vt:i4>5</vt:i4>
      </vt:variant>
      <vt:variant>
        <vt:lpwstr>http://www.who.int/peh-emf/about/WhatisEMF/en/index3.html%3e</vt:lpwstr>
      </vt:variant>
      <vt:variant>
        <vt:lpwstr/>
      </vt:variant>
      <vt:variant>
        <vt:i4>4980851</vt:i4>
      </vt:variant>
      <vt:variant>
        <vt:i4>3553</vt:i4>
      </vt:variant>
      <vt:variant>
        <vt:i4>0</vt:i4>
      </vt:variant>
      <vt:variant>
        <vt:i4>5</vt:i4>
      </vt:variant>
      <vt:variant>
        <vt:lpwstr>http://www.who.int/peh-emf/en/%3e</vt:lpwstr>
      </vt:variant>
      <vt:variant>
        <vt:lpwstr/>
      </vt:variant>
      <vt:variant>
        <vt:i4>6357000</vt:i4>
      </vt:variant>
      <vt:variant>
        <vt:i4>3550</vt:i4>
      </vt:variant>
      <vt:variant>
        <vt:i4>0</vt:i4>
      </vt:variant>
      <vt:variant>
        <vt:i4>5</vt:i4>
      </vt:variant>
      <vt:variant>
        <vt:lpwstr>http://www.euro.who.int/en/what-we-publish/abstracts/burden-of-disease-from-environmental-noise.-quantification-of-healthy-life-years-lost-in-europe%3e</vt:lpwstr>
      </vt:variant>
      <vt:variant>
        <vt:lpwstr/>
      </vt:variant>
      <vt:variant>
        <vt:i4>2490406</vt:i4>
      </vt:variant>
      <vt:variant>
        <vt:i4>3547</vt:i4>
      </vt:variant>
      <vt:variant>
        <vt:i4>0</vt:i4>
      </vt:variant>
      <vt:variant>
        <vt:i4>5</vt:i4>
      </vt:variant>
      <vt:variant>
        <vt:lpwstr>http://www.euro.who.int/__data/assets/pdf_file/0017/43316/E92845.pdf%3e</vt:lpwstr>
      </vt:variant>
      <vt:variant>
        <vt:lpwstr/>
      </vt:variant>
      <vt:variant>
        <vt:i4>5963865</vt:i4>
      </vt:variant>
      <vt:variant>
        <vt:i4>3544</vt:i4>
      </vt:variant>
      <vt:variant>
        <vt:i4>0</vt:i4>
      </vt:variant>
      <vt:variant>
        <vt:i4>5</vt:i4>
      </vt:variant>
      <vt:variant>
        <vt:lpwstr>http://www.epaw.org/documents/WFp-final-summary-1.pdf%3e</vt:lpwstr>
      </vt:variant>
      <vt:variant>
        <vt:lpwstr/>
      </vt:variant>
      <vt:variant>
        <vt:i4>7733338</vt:i4>
      </vt:variant>
      <vt:variant>
        <vt:i4>3541</vt:i4>
      </vt:variant>
      <vt:variant>
        <vt:i4>0</vt:i4>
      </vt:variant>
      <vt:variant>
        <vt:i4>5</vt:i4>
      </vt:variant>
      <vt:variant>
        <vt:lpwstr>http://www.maine.gov/dhhs/mecdc/environmental-health/documents/wind-turbine-wisconsin-assessment.pdf%3e</vt:lpwstr>
      </vt:variant>
      <vt:variant>
        <vt:lpwstr/>
      </vt:variant>
      <vt:variant>
        <vt:i4>4325460</vt:i4>
      </vt:variant>
      <vt:variant>
        <vt:i4>3538</vt:i4>
      </vt:variant>
      <vt:variant>
        <vt:i4>0</vt:i4>
      </vt:variant>
      <vt:variant>
        <vt:i4>5</vt:i4>
      </vt:variant>
      <vt:variant>
        <vt:lpwstr>http://www.ncceh.ca/en/practice_policy/ncceh_reviews/wind_turbines%3e</vt:lpwstr>
      </vt:variant>
      <vt:variant>
        <vt:lpwstr/>
      </vt:variant>
      <vt:variant>
        <vt:i4>3014714</vt:i4>
      </vt:variant>
      <vt:variant>
        <vt:i4>3535</vt:i4>
      </vt:variant>
      <vt:variant>
        <vt:i4>0</vt:i4>
      </vt:variant>
      <vt:variant>
        <vt:i4>5</vt:i4>
      </vt:variant>
      <vt:variant>
        <vt:lpwstr>http://www.ajdesigner.com/phpwindpower/wind_generator_power.php%3e</vt:lpwstr>
      </vt:variant>
      <vt:variant>
        <vt:lpwstr/>
      </vt:variant>
      <vt:variant>
        <vt:i4>524413</vt:i4>
      </vt:variant>
      <vt:variant>
        <vt:i4>3532</vt:i4>
      </vt:variant>
      <vt:variant>
        <vt:i4>0</vt:i4>
      </vt:variant>
      <vt:variant>
        <vt:i4>5</vt:i4>
      </vt:variant>
      <vt:variant>
        <vt:lpwstr>http://www.wind-watch.org/documents/visual-and-noise-effects-reported-by-residents-living-close-to-manawatu-wind-farms-preliminary-survey-results/%3e</vt:lpwstr>
      </vt:variant>
      <vt:variant>
        <vt:lpwstr/>
      </vt:variant>
      <vt:variant>
        <vt:i4>2752606</vt:i4>
      </vt:variant>
      <vt:variant>
        <vt:i4>3529</vt:i4>
      </vt:variant>
      <vt:variant>
        <vt:i4>0</vt:i4>
      </vt:variant>
      <vt:variant>
        <vt:i4>5</vt:i4>
      </vt:variant>
      <vt:variant>
        <vt:lpwstr>http://www.ninds.nih.gov/disorders/epilepsy/epilepsy.htm%3e</vt:lpwstr>
      </vt:variant>
      <vt:variant>
        <vt:lpwstr/>
      </vt:variant>
      <vt:variant>
        <vt:i4>5046376</vt:i4>
      </vt:variant>
      <vt:variant>
        <vt:i4>3526</vt:i4>
      </vt:variant>
      <vt:variant>
        <vt:i4>0</vt:i4>
      </vt:variant>
      <vt:variant>
        <vt:i4>5</vt:i4>
      </vt:variant>
      <vt:variant>
        <vt:lpwstr>http://www.niehs.nih.gov/health/topics/agents/emf/%3e</vt:lpwstr>
      </vt:variant>
      <vt:variant>
        <vt:lpwstr/>
      </vt:variant>
      <vt:variant>
        <vt:i4>2359370</vt:i4>
      </vt:variant>
      <vt:variant>
        <vt:i4>3523</vt:i4>
      </vt:variant>
      <vt:variant>
        <vt:i4>0</vt:i4>
      </vt:variant>
      <vt:variant>
        <vt:i4>5</vt:i4>
      </vt:variant>
      <vt:variant>
        <vt:lpwstr>http://www.nhmrc.gov.au/guidelines/consult/consultations/add_levels_grades_dev_guidelines2.htm%3e</vt:lpwstr>
      </vt:variant>
      <vt:variant>
        <vt:lpwstr/>
      </vt:variant>
      <vt:variant>
        <vt:i4>7929932</vt:i4>
      </vt:variant>
      <vt:variant>
        <vt:i4>3520</vt:i4>
      </vt:variant>
      <vt:variant>
        <vt:i4>0</vt:i4>
      </vt:variant>
      <vt:variant>
        <vt:i4>5</vt:i4>
      </vt:variant>
      <vt:variant>
        <vt:lpwstr>http://www.wind-watch.org/news/wp-content/uploads/2012/07/Waterloo-Wind-Farm-Survey-April-2012-Select-Committee.pdf</vt:lpwstr>
      </vt:variant>
      <vt:variant>
        <vt:lpwstr/>
      </vt:variant>
      <vt:variant>
        <vt:i4>2490376</vt:i4>
      </vt:variant>
      <vt:variant>
        <vt:i4>3517</vt:i4>
      </vt:variant>
      <vt:variant>
        <vt:i4>0</vt:i4>
      </vt:variant>
      <vt:variant>
        <vt:i4>5</vt:i4>
      </vt:variant>
      <vt:variant>
        <vt:lpwstr>http://www.oregon.gov/energy/Siting/docs/MWP/MWPHealthOverviewPowerPoint.pdf%3e</vt:lpwstr>
      </vt:variant>
      <vt:variant>
        <vt:lpwstr/>
      </vt:variant>
      <vt:variant>
        <vt:i4>65652</vt:i4>
      </vt:variant>
      <vt:variant>
        <vt:i4>3514</vt:i4>
      </vt:variant>
      <vt:variant>
        <vt:i4>0</vt:i4>
      </vt:variant>
      <vt:variant>
        <vt:i4>5</vt:i4>
      </vt:variant>
      <vt:variant>
        <vt:lpwstr>http://www.lanuv.nrw.de/veroeffentlichungen/materialien/mat63/mat63_web.pdf%3e</vt:lpwstr>
      </vt:variant>
      <vt:variant>
        <vt:lpwstr/>
      </vt:variant>
      <vt:variant>
        <vt:i4>458819</vt:i4>
      </vt:variant>
      <vt:variant>
        <vt:i4>3511</vt:i4>
      </vt:variant>
      <vt:variant>
        <vt:i4>0</vt:i4>
      </vt:variant>
      <vt:variant>
        <vt:i4>5</vt:i4>
      </vt:variant>
      <vt:variant>
        <vt:lpwstr>http://www.arpansa.gov.au/pubs/technicalreports/tr142.pdf%3e</vt:lpwstr>
      </vt:variant>
      <vt:variant>
        <vt:lpwstr/>
      </vt:variant>
      <vt:variant>
        <vt:i4>7143495</vt:i4>
      </vt:variant>
      <vt:variant>
        <vt:i4>3508</vt:i4>
      </vt:variant>
      <vt:variant>
        <vt:i4>0</vt:i4>
      </vt:variant>
      <vt:variant>
        <vt:i4>5</vt:i4>
      </vt:variant>
      <vt:variant>
        <vt:lpwstr>http://www.icnirp.org/PubEMF.htm%3e</vt:lpwstr>
      </vt:variant>
      <vt:variant>
        <vt:lpwstr/>
      </vt:variant>
      <vt:variant>
        <vt:i4>7143495</vt:i4>
      </vt:variant>
      <vt:variant>
        <vt:i4>3505</vt:i4>
      </vt:variant>
      <vt:variant>
        <vt:i4>0</vt:i4>
      </vt:variant>
      <vt:variant>
        <vt:i4>5</vt:i4>
      </vt:variant>
      <vt:variant>
        <vt:lpwstr>http://www.icnirp.org/PubEMF.htm%3e</vt:lpwstr>
      </vt:variant>
      <vt:variant>
        <vt:lpwstr/>
      </vt:variant>
      <vt:variant>
        <vt:i4>4194389</vt:i4>
      </vt:variant>
      <vt:variant>
        <vt:i4>3502</vt:i4>
      </vt:variant>
      <vt:variant>
        <vt:i4>0</vt:i4>
      </vt:variant>
      <vt:variant>
        <vt:i4>5</vt:i4>
      </vt:variant>
      <vt:variant>
        <vt:lpwstr>http://www.hpa.org.uk/Publications/Radiation/NPRBArchive/%3e</vt:lpwstr>
      </vt:variant>
      <vt:variant>
        <vt:lpwstr/>
      </vt:variant>
      <vt:variant>
        <vt:i4>1179699</vt:i4>
      </vt:variant>
      <vt:variant>
        <vt:i4>3499</vt:i4>
      </vt:variant>
      <vt:variant>
        <vt:i4>0</vt:i4>
      </vt:variant>
      <vt:variant>
        <vt:i4>5</vt:i4>
      </vt:variant>
      <vt:variant>
        <vt:lpwstr>http://www.hc-sc.gc.ca/ewh-semt/consult/_2013/wind_turbine-eoliennes/research_recherche-eng.php%3e</vt:lpwstr>
      </vt:variant>
      <vt:variant>
        <vt:lpwstr/>
      </vt:variant>
      <vt:variant>
        <vt:i4>1179698</vt:i4>
      </vt:variant>
      <vt:variant>
        <vt:i4>3496</vt:i4>
      </vt:variant>
      <vt:variant>
        <vt:i4>0</vt:i4>
      </vt:variant>
      <vt:variant>
        <vt:i4>5</vt:i4>
      </vt:variant>
      <vt:variant>
        <vt:lpwstr>http://www.hc-sc.gc.ca/ewh-semt/consult/_2012/wind_turbine-eoliennes/research_recherche-eng.php%3e</vt:lpwstr>
      </vt:variant>
      <vt:variant>
        <vt:lpwstr/>
      </vt:variant>
      <vt:variant>
        <vt:i4>7929858</vt:i4>
      </vt:variant>
      <vt:variant>
        <vt:i4>3493</vt:i4>
      </vt:variant>
      <vt:variant>
        <vt:i4>0</vt:i4>
      </vt:variant>
      <vt:variant>
        <vt:i4>5</vt:i4>
      </vt:variant>
      <vt:variant>
        <vt:lpwstr>http://media.beyondzeroemissions.org/wind_turbine_sound_FactSheet.pdf%3e</vt:lpwstr>
      </vt:variant>
      <vt:variant>
        <vt:lpwstr/>
      </vt:variant>
      <vt:variant>
        <vt:i4>1966136</vt:i4>
      </vt:variant>
      <vt:variant>
        <vt:i4>3490</vt:i4>
      </vt:variant>
      <vt:variant>
        <vt:i4>0</vt:i4>
      </vt:variant>
      <vt:variant>
        <vt:i4>5</vt:i4>
      </vt:variant>
      <vt:variant>
        <vt:lpwstr>http://www.epa.sa.gov.au/xstd_files/Noise/Report/infrasound.pdf%3e</vt:lpwstr>
      </vt:variant>
      <vt:variant>
        <vt:lpwstr/>
      </vt:variant>
      <vt:variant>
        <vt:i4>3866738</vt:i4>
      </vt:variant>
      <vt:variant>
        <vt:i4>3487</vt:i4>
      </vt:variant>
      <vt:variant>
        <vt:i4>0</vt:i4>
      </vt:variant>
      <vt:variant>
        <vt:i4>5</vt:i4>
      </vt:variant>
      <vt:variant>
        <vt:lpwstr>http://www.wind-energy-the-facts.org/en/part-4-industry--markets/industry--markets.html%3e</vt:lpwstr>
      </vt:variant>
      <vt:variant>
        <vt:lpwstr/>
      </vt:variant>
      <vt:variant>
        <vt:i4>4325433</vt:i4>
      </vt:variant>
      <vt:variant>
        <vt:i4>3481</vt:i4>
      </vt:variant>
      <vt:variant>
        <vt:i4>0</vt:i4>
      </vt:variant>
      <vt:variant>
        <vt:i4>5</vt:i4>
      </vt:variant>
      <vt:variant>
        <vt:lpwstr/>
      </vt:variant>
      <vt:variant>
        <vt:lpwstr>_ENREF_32</vt:lpwstr>
      </vt:variant>
      <vt:variant>
        <vt:i4>4325433</vt:i4>
      </vt:variant>
      <vt:variant>
        <vt:i4>3475</vt:i4>
      </vt:variant>
      <vt:variant>
        <vt:i4>0</vt:i4>
      </vt:variant>
      <vt:variant>
        <vt:i4>5</vt:i4>
      </vt:variant>
      <vt:variant>
        <vt:lpwstr/>
      </vt:variant>
      <vt:variant>
        <vt:lpwstr>_ENREF_32</vt:lpwstr>
      </vt:variant>
      <vt:variant>
        <vt:i4>4194354</vt:i4>
      </vt:variant>
      <vt:variant>
        <vt:i4>3463</vt:i4>
      </vt:variant>
      <vt:variant>
        <vt:i4>0</vt:i4>
      </vt:variant>
      <vt:variant>
        <vt:i4>5</vt:i4>
      </vt:variant>
      <vt:variant>
        <vt:lpwstr/>
      </vt:variant>
      <vt:variant>
        <vt:lpwstr>_ENREF_19</vt:lpwstr>
      </vt:variant>
      <vt:variant>
        <vt:i4>4325435</vt:i4>
      </vt:variant>
      <vt:variant>
        <vt:i4>3457</vt:i4>
      </vt:variant>
      <vt:variant>
        <vt:i4>0</vt:i4>
      </vt:variant>
      <vt:variant>
        <vt:i4>5</vt:i4>
      </vt:variant>
      <vt:variant>
        <vt:lpwstr/>
      </vt:variant>
      <vt:variant>
        <vt:lpwstr>_ENREF_30</vt:lpwstr>
      </vt:variant>
      <vt:variant>
        <vt:i4>4390962</vt:i4>
      </vt:variant>
      <vt:variant>
        <vt:i4>3454</vt:i4>
      </vt:variant>
      <vt:variant>
        <vt:i4>0</vt:i4>
      </vt:variant>
      <vt:variant>
        <vt:i4>5</vt:i4>
      </vt:variant>
      <vt:variant>
        <vt:lpwstr/>
      </vt:variant>
      <vt:variant>
        <vt:lpwstr>_ENREF_29</vt:lpwstr>
      </vt:variant>
      <vt:variant>
        <vt:i4>4325435</vt:i4>
      </vt:variant>
      <vt:variant>
        <vt:i4>3448</vt:i4>
      </vt:variant>
      <vt:variant>
        <vt:i4>0</vt:i4>
      </vt:variant>
      <vt:variant>
        <vt:i4>5</vt:i4>
      </vt:variant>
      <vt:variant>
        <vt:lpwstr/>
      </vt:variant>
      <vt:variant>
        <vt:lpwstr>_ENREF_30</vt:lpwstr>
      </vt:variant>
      <vt:variant>
        <vt:i4>4390962</vt:i4>
      </vt:variant>
      <vt:variant>
        <vt:i4>3445</vt:i4>
      </vt:variant>
      <vt:variant>
        <vt:i4>0</vt:i4>
      </vt:variant>
      <vt:variant>
        <vt:i4>5</vt:i4>
      </vt:variant>
      <vt:variant>
        <vt:lpwstr/>
      </vt:variant>
      <vt:variant>
        <vt:lpwstr>_ENREF_29</vt:lpwstr>
      </vt:variant>
      <vt:variant>
        <vt:i4>4390962</vt:i4>
      </vt:variant>
      <vt:variant>
        <vt:i4>3439</vt:i4>
      </vt:variant>
      <vt:variant>
        <vt:i4>0</vt:i4>
      </vt:variant>
      <vt:variant>
        <vt:i4>5</vt:i4>
      </vt:variant>
      <vt:variant>
        <vt:lpwstr/>
      </vt:variant>
      <vt:variant>
        <vt:lpwstr>_ENREF_29</vt:lpwstr>
      </vt:variant>
      <vt:variant>
        <vt:i4>4325433</vt:i4>
      </vt:variant>
      <vt:variant>
        <vt:i4>3433</vt:i4>
      </vt:variant>
      <vt:variant>
        <vt:i4>0</vt:i4>
      </vt:variant>
      <vt:variant>
        <vt:i4>5</vt:i4>
      </vt:variant>
      <vt:variant>
        <vt:lpwstr/>
      </vt:variant>
      <vt:variant>
        <vt:lpwstr>_ENREF_32</vt:lpwstr>
      </vt:variant>
      <vt:variant>
        <vt:i4>4325433</vt:i4>
      </vt:variant>
      <vt:variant>
        <vt:i4>3427</vt:i4>
      </vt:variant>
      <vt:variant>
        <vt:i4>0</vt:i4>
      </vt:variant>
      <vt:variant>
        <vt:i4>5</vt:i4>
      </vt:variant>
      <vt:variant>
        <vt:lpwstr/>
      </vt:variant>
      <vt:variant>
        <vt:lpwstr>_ENREF_32</vt:lpwstr>
      </vt:variant>
      <vt:variant>
        <vt:i4>4390968</vt:i4>
      </vt:variant>
      <vt:variant>
        <vt:i4>3415</vt:i4>
      </vt:variant>
      <vt:variant>
        <vt:i4>0</vt:i4>
      </vt:variant>
      <vt:variant>
        <vt:i4>5</vt:i4>
      </vt:variant>
      <vt:variant>
        <vt:lpwstr/>
      </vt:variant>
      <vt:variant>
        <vt:lpwstr>_ENREF_23</vt:lpwstr>
      </vt:variant>
      <vt:variant>
        <vt:i4>4390972</vt:i4>
      </vt:variant>
      <vt:variant>
        <vt:i4>3409</vt:i4>
      </vt:variant>
      <vt:variant>
        <vt:i4>0</vt:i4>
      </vt:variant>
      <vt:variant>
        <vt:i4>5</vt:i4>
      </vt:variant>
      <vt:variant>
        <vt:lpwstr/>
      </vt:variant>
      <vt:variant>
        <vt:lpwstr>_ENREF_27</vt:lpwstr>
      </vt:variant>
      <vt:variant>
        <vt:i4>4390968</vt:i4>
      </vt:variant>
      <vt:variant>
        <vt:i4>3403</vt:i4>
      </vt:variant>
      <vt:variant>
        <vt:i4>0</vt:i4>
      </vt:variant>
      <vt:variant>
        <vt:i4>5</vt:i4>
      </vt:variant>
      <vt:variant>
        <vt:lpwstr/>
      </vt:variant>
      <vt:variant>
        <vt:lpwstr>_ENREF_23</vt:lpwstr>
      </vt:variant>
      <vt:variant>
        <vt:i4>4653106</vt:i4>
      </vt:variant>
      <vt:variant>
        <vt:i4>3397</vt:i4>
      </vt:variant>
      <vt:variant>
        <vt:i4>0</vt:i4>
      </vt:variant>
      <vt:variant>
        <vt:i4>5</vt:i4>
      </vt:variant>
      <vt:variant>
        <vt:lpwstr/>
      </vt:variant>
      <vt:variant>
        <vt:lpwstr>_ENREF_69</vt:lpwstr>
      </vt:variant>
      <vt:variant>
        <vt:i4>4194313</vt:i4>
      </vt:variant>
      <vt:variant>
        <vt:i4>3389</vt:i4>
      </vt:variant>
      <vt:variant>
        <vt:i4>0</vt:i4>
      </vt:variant>
      <vt:variant>
        <vt:i4>5</vt:i4>
      </vt:variant>
      <vt:variant>
        <vt:lpwstr>http://www.wolfbane.com/icd/icd8.htm</vt:lpwstr>
      </vt:variant>
      <vt:variant>
        <vt:lpwstr/>
      </vt:variant>
      <vt:variant>
        <vt:i4>4194315</vt:i4>
      </vt:variant>
      <vt:variant>
        <vt:i4>3385</vt:i4>
      </vt:variant>
      <vt:variant>
        <vt:i4>0</vt:i4>
      </vt:variant>
      <vt:variant>
        <vt:i4>5</vt:i4>
      </vt:variant>
      <vt:variant>
        <vt:lpwstr/>
      </vt:variant>
      <vt:variant>
        <vt:lpwstr>_ENREF_1</vt:lpwstr>
      </vt:variant>
      <vt:variant>
        <vt:i4>4522042</vt:i4>
      </vt:variant>
      <vt:variant>
        <vt:i4>3379</vt:i4>
      </vt:variant>
      <vt:variant>
        <vt:i4>0</vt:i4>
      </vt:variant>
      <vt:variant>
        <vt:i4>5</vt:i4>
      </vt:variant>
      <vt:variant>
        <vt:lpwstr/>
      </vt:variant>
      <vt:variant>
        <vt:lpwstr>_ENREF_41</vt:lpwstr>
      </vt:variant>
      <vt:variant>
        <vt:i4>4522043</vt:i4>
      </vt:variant>
      <vt:variant>
        <vt:i4>3373</vt:i4>
      </vt:variant>
      <vt:variant>
        <vt:i4>0</vt:i4>
      </vt:variant>
      <vt:variant>
        <vt:i4>5</vt:i4>
      </vt:variant>
      <vt:variant>
        <vt:lpwstr/>
      </vt:variant>
      <vt:variant>
        <vt:lpwstr>_ENREF_40</vt:lpwstr>
      </vt:variant>
      <vt:variant>
        <vt:i4>4325426</vt:i4>
      </vt:variant>
      <vt:variant>
        <vt:i4>3367</vt:i4>
      </vt:variant>
      <vt:variant>
        <vt:i4>0</vt:i4>
      </vt:variant>
      <vt:variant>
        <vt:i4>5</vt:i4>
      </vt:variant>
      <vt:variant>
        <vt:lpwstr/>
      </vt:variant>
      <vt:variant>
        <vt:lpwstr>_ENREF_39</vt:lpwstr>
      </vt:variant>
      <vt:variant>
        <vt:i4>5242942</vt:i4>
      </vt:variant>
      <vt:variant>
        <vt:i4>3362</vt:i4>
      </vt:variant>
      <vt:variant>
        <vt:i4>0</vt:i4>
      </vt:variant>
      <vt:variant>
        <vt:i4>5</vt:i4>
      </vt:variant>
      <vt:variant>
        <vt:lpwstr>http://www.vivo.colostate.edu/hbooks/pathphys/endocrine/hypopit/acth.html</vt:lpwstr>
      </vt:variant>
      <vt:variant>
        <vt:lpwstr/>
      </vt:variant>
      <vt:variant>
        <vt:i4>5242942</vt:i4>
      </vt:variant>
      <vt:variant>
        <vt:i4>3359</vt:i4>
      </vt:variant>
      <vt:variant>
        <vt:i4>0</vt:i4>
      </vt:variant>
      <vt:variant>
        <vt:i4>5</vt:i4>
      </vt:variant>
      <vt:variant>
        <vt:lpwstr>http://www.vivo.colostate.edu/hbooks/pathphys/endocrine/hypopit/acth.html</vt:lpwstr>
      </vt:variant>
      <vt:variant>
        <vt:lpwstr/>
      </vt:variant>
      <vt:variant>
        <vt:i4>4390923</vt:i4>
      </vt:variant>
      <vt:variant>
        <vt:i4>3355</vt:i4>
      </vt:variant>
      <vt:variant>
        <vt:i4>0</vt:i4>
      </vt:variant>
      <vt:variant>
        <vt:i4>5</vt:i4>
      </vt:variant>
      <vt:variant>
        <vt:lpwstr/>
      </vt:variant>
      <vt:variant>
        <vt:lpwstr>_ENREF_2</vt:lpwstr>
      </vt:variant>
      <vt:variant>
        <vt:i4>7405626</vt:i4>
      </vt:variant>
      <vt:variant>
        <vt:i4>3346</vt:i4>
      </vt:variant>
      <vt:variant>
        <vt:i4>0</vt:i4>
      </vt:variant>
      <vt:variant>
        <vt:i4>5</vt:i4>
      </vt:variant>
      <vt:variant>
        <vt:lpwstr/>
      </vt:variant>
      <vt:variant>
        <vt:lpwstr>_ENREF_111</vt:lpwstr>
      </vt:variant>
      <vt:variant>
        <vt:i4>4522047</vt:i4>
      </vt:variant>
      <vt:variant>
        <vt:i4>3340</vt:i4>
      </vt:variant>
      <vt:variant>
        <vt:i4>0</vt:i4>
      </vt:variant>
      <vt:variant>
        <vt:i4>5</vt:i4>
      </vt:variant>
      <vt:variant>
        <vt:lpwstr/>
      </vt:variant>
      <vt:variant>
        <vt:lpwstr>_ENREF_44</vt:lpwstr>
      </vt:variant>
      <vt:variant>
        <vt:i4>4522047</vt:i4>
      </vt:variant>
      <vt:variant>
        <vt:i4>3332</vt:i4>
      </vt:variant>
      <vt:variant>
        <vt:i4>0</vt:i4>
      </vt:variant>
      <vt:variant>
        <vt:i4>5</vt:i4>
      </vt:variant>
      <vt:variant>
        <vt:lpwstr/>
      </vt:variant>
      <vt:variant>
        <vt:lpwstr>_ENREF_44</vt:lpwstr>
      </vt:variant>
      <vt:variant>
        <vt:i4>4194315</vt:i4>
      </vt:variant>
      <vt:variant>
        <vt:i4>3329</vt:i4>
      </vt:variant>
      <vt:variant>
        <vt:i4>0</vt:i4>
      </vt:variant>
      <vt:variant>
        <vt:i4>5</vt:i4>
      </vt:variant>
      <vt:variant>
        <vt:lpwstr/>
      </vt:variant>
      <vt:variant>
        <vt:lpwstr>_ENREF_1</vt:lpwstr>
      </vt:variant>
      <vt:variant>
        <vt:i4>4194315</vt:i4>
      </vt:variant>
      <vt:variant>
        <vt:i4>3321</vt:i4>
      </vt:variant>
      <vt:variant>
        <vt:i4>0</vt:i4>
      </vt:variant>
      <vt:variant>
        <vt:i4>5</vt:i4>
      </vt:variant>
      <vt:variant>
        <vt:lpwstr/>
      </vt:variant>
      <vt:variant>
        <vt:lpwstr>_ENREF_1</vt:lpwstr>
      </vt:variant>
      <vt:variant>
        <vt:i4>4522041</vt:i4>
      </vt:variant>
      <vt:variant>
        <vt:i4>3315</vt:i4>
      </vt:variant>
      <vt:variant>
        <vt:i4>0</vt:i4>
      </vt:variant>
      <vt:variant>
        <vt:i4>5</vt:i4>
      </vt:variant>
      <vt:variant>
        <vt:lpwstr/>
      </vt:variant>
      <vt:variant>
        <vt:lpwstr>_ENREF_42</vt:lpwstr>
      </vt:variant>
      <vt:variant>
        <vt:i4>4456459</vt:i4>
      </vt:variant>
      <vt:variant>
        <vt:i4>3306</vt:i4>
      </vt:variant>
      <vt:variant>
        <vt:i4>0</vt:i4>
      </vt:variant>
      <vt:variant>
        <vt:i4>5</vt:i4>
      </vt:variant>
      <vt:variant>
        <vt:lpwstr/>
      </vt:variant>
      <vt:variant>
        <vt:lpwstr>_ENREF_5</vt:lpwstr>
      </vt:variant>
      <vt:variant>
        <vt:i4>4522046</vt:i4>
      </vt:variant>
      <vt:variant>
        <vt:i4>3300</vt:i4>
      </vt:variant>
      <vt:variant>
        <vt:i4>0</vt:i4>
      </vt:variant>
      <vt:variant>
        <vt:i4>5</vt:i4>
      </vt:variant>
      <vt:variant>
        <vt:lpwstr/>
      </vt:variant>
      <vt:variant>
        <vt:lpwstr>_ENREF_45</vt:lpwstr>
      </vt:variant>
      <vt:variant>
        <vt:i4>4522046</vt:i4>
      </vt:variant>
      <vt:variant>
        <vt:i4>3294</vt:i4>
      </vt:variant>
      <vt:variant>
        <vt:i4>0</vt:i4>
      </vt:variant>
      <vt:variant>
        <vt:i4>5</vt:i4>
      </vt:variant>
      <vt:variant>
        <vt:lpwstr/>
      </vt:variant>
      <vt:variant>
        <vt:lpwstr>_ENREF_45</vt:lpwstr>
      </vt:variant>
      <vt:variant>
        <vt:i4>4522046</vt:i4>
      </vt:variant>
      <vt:variant>
        <vt:i4>3282</vt:i4>
      </vt:variant>
      <vt:variant>
        <vt:i4>0</vt:i4>
      </vt:variant>
      <vt:variant>
        <vt:i4>5</vt:i4>
      </vt:variant>
      <vt:variant>
        <vt:lpwstr/>
      </vt:variant>
      <vt:variant>
        <vt:lpwstr>_ENREF_45</vt:lpwstr>
      </vt:variant>
      <vt:variant>
        <vt:i4>7864379</vt:i4>
      </vt:variant>
      <vt:variant>
        <vt:i4>3276</vt:i4>
      </vt:variant>
      <vt:variant>
        <vt:i4>0</vt:i4>
      </vt:variant>
      <vt:variant>
        <vt:i4>5</vt:i4>
      </vt:variant>
      <vt:variant>
        <vt:lpwstr/>
      </vt:variant>
      <vt:variant>
        <vt:lpwstr>_ENREF_108</vt:lpwstr>
      </vt:variant>
      <vt:variant>
        <vt:i4>4325438</vt:i4>
      </vt:variant>
      <vt:variant>
        <vt:i4>3270</vt:i4>
      </vt:variant>
      <vt:variant>
        <vt:i4>0</vt:i4>
      </vt:variant>
      <vt:variant>
        <vt:i4>5</vt:i4>
      </vt:variant>
      <vt:variant>
        <vt:lpwstr/>
      </vt:variant>
      <vt:variant>
        <vt:lpwstr>_ENREF_35</vt:lpwstr>
      </vt:variant>
      <vt:variant>
        <vt:i4>4522040</vt:i4>
      </vt:variant>
      <vt:variant>
        <vt:i4>3264</vt:i4>
      </vt:variant>
      <vt:variant>
        <vt:i4>0</vt:i4>
      </vt:variant>
      <vt:variant>
        <vt:i4>5</vt:i4>
      </vt:variant>
      <vt:variant>
        <vt:lpwstr/>
      </vt:variant>
      <vt:variant>
        <vt:lpwstr>_ENREF_43</vt:lpwstr>
      </vt:variant>
      <vt:variant>
        <vt:i4>4522040</vt:i4>
      </vt:variant>
      <vt:variant>
        <vt:i4>3258</vt:i4>
      </vt:variant>
      <vt:variant>
        <vt:i4>0</vt:i4>
      </vt:variant>
      <vt:variant>
        <vt:i4>5</vt:i4>
      </vt:variant>
      <vt:variant>
        <vt:lpwstr/>
      </vt:variant>
      <vt:variant>
        <vt:lpwstr>_ENREF_43</vt:lpwstr>
      </vt:variant>
      <vt:variant>
        <vt:i4>4522040</vt:i4>
      </vt:variant>
      <vt:variant>
        <vt:i4>3246</vt:i4>
      </vt:variant>
      <vt:variant>
        <vt:i4>0</vt:i4>
      </vt:variant>
      <vt:variant>
        <vt:i4>5</vt:i4>
      </vt:variant>
      <vt:variant>
        <vt:lpwstr/>
      </vt:variant>
      <vt:variant>
        <vt:lpwstr>_ENREF_43</vt:lpwstr>
      </vt:variant>
      <vt:variant>
        <vt:i4>4522040</vt:i4>
      </vt:variant>
      <vt:variant>
        <vt:i4>3240</vt:i4>
      </vt:variant>
      <vt:variant>
        <vt:i4>0</vt:i4>
      </vt:variant>
      <vt:variant>
        <vt:i4>5</vt:i4>
      </vt:variant>
      <vt:variant>
        <vt:lpwstr/>
      </vt:variant>
      <vt:variant>
        <vt:lpwstr>_ENREF_43</vt:lpwstr>
      </vt:variant>
      <vt:variant>
        <vt:i4>4522040</vt:i4>
      </vt:variant>
      <vt:variant>
        <vt:i4>3231</vt:i4>
      </vt:variant>
      <vt:variant>
        <vt:i4>0</vt:i4>
      </vt:variant>
      <vt:variant>
        <vt:i4>5</vt:i4>
      </vt:variant>
      <vt:variant>
        <vt:lpwstr/>
      </vt:variant>
      <vt:variant>
        <vt:lpwstr>_ENREF_43</vt:lpwstr>
      </vt:variant>
      <vt:variant>
        <vt:i4>4522040</vt:i4>
      </vt:variant>
      <vt:variant>
        <vt:i4>3222</vt:i4>
      </vt:variant>
      <vt:variant>
        <vt:i4>0</vt:i4>
      </vt:variant>
      <vt:variant>
        <vt:i4>5</vt:i4>
      </vt:variant>
      <vt:variant>
        <vt:lpwstr/>
      </vt:variant>
      <vt:variant>
        <vt:lpwstr>_ENREF_43</vt:lpwstr>
      </vt:variant>
      <vt:variant>
        <vt:i4>4522047</vt:i4>
      </vt:variant>
      <vt:variant>
        <vt:i4>3216</vt:i4>
      </vt:variant>
      <vt:variant>
        <vt:i4>0</vt:i4>
      </vt:variant>
      <vt:variant>
        <vt:i4>5</vt:i4>
      </vt:variant>
      <vt:variant>
        <vt:lpwstr/>
      </vt:variant>
      <vt:variant>
        <vt:lpwstr>_ENREF_44</vt:lpwstr>
      </vt:variant>
      <vt:variant>
        <vt:i4>4194315</vt:i4>
      </vt:variant>
      <vt:variant>
        <vt:i4>3208</vt:i4>
      </vt:variant>
      <vt:variant>
        <vt:i4>0</vt:i4>
      </vt:variant>
      <vt:variant>
        <vt:i4>5</vt:i4>
      </vt:variant>
      <vt:variant>
        <vt:lpwstr/>
      </vt:variant>
      <vt:variant>
        <vt:lpwstr>_ENREF_1</vt:lpwstr>
      </vt:variant>
      <vt:variant>
        <vt:i4>4390923</vt:i4>
      </vt:variant>
      <vt:variant>
        <vt:i4>3202</vt:i4>
      </vt:variant>
      <vt:variant>
        <vt:i4>0</vt:i4>
      </vt:variant>
      <vt:variant>
        <vt:i4>5</vt:i4>
      </vt:variant>
      <vt:variant>
        <vt:lpwstr/>
      </vt:variant>
      <vt:variant>
        <vt:lpwstr>_ENREF_2</vt:lpwstr>
      </vt:variant>
      <vt:variant>
        <vt:i4>4522042</vt:i4>
      </vt:variant>
      <vt:variant>
        <vt:i4>3196</vt:i4>
      </vt:variant>
      <vt:variant>
        <vt:i4>0</vt:i4>
      </vt:variant>
      <vt:variant>
        <vt:i4>5</vt:i4>
      </vt:variant>
      <vt:variant>
        <vt:lpwstr/>
      </vt:variant>
      <vt:variant>
        <vt:lpwstr>_ENREF_41</vt:lpwstr>
      </vt:variant>
      <vt:variant>
        <vt:i4>4522043</vt:i4>
      </vt:variant>
      <vt:variant>
        <vt:i4>3193</vt:i4>
      </vt:variant>
      <vt:variant>
        <vt:i4>0</vt:i4>
      </vt:variant>
      <vt:variant>
        <vt:i4>5</vt:i4>
      </vt:variant>
      <vt:variant>
        <vt:lpwstr/>
      </vt:variant>
      <vt:variant>
        <vt:lpwstr>_ENREF_40</vt:lpwstr>
      </vt:variant>
      <vt:variant>
        <vt:i4>4325426</vt:i4>
      </vt:variant>
      <vt:variant>
        <vt:i4>3190</vt:i4>
      </vt:variant>
      <vt:variant>
        <vt:i4>0</vt:i4>
      </vt:variant>
      <vt:variant>
        <vt:i4>5</vt:i4>
      </vt:variant>
      <vt:variant>
        <vt:lpwstr/>
      </vt:variant>
      <vt:variant>
        <vt:lpwstr>_ENREF_39</vt:lpwstr>
      </vt:variant>
      <vt:variant>
        <vt:i4>7798843</vt:i4>
      </vt:variant>
      <vt:variant>
        <vt:i4>3179</vt:i4>
      </vt:variant>
      <vt:variant>
        <vt:i4>0</vt:i4>
      </vt:variant>
      <vt:variant>
        <vt:i4>5</vt:i4>
      </vt:variant>
      <vt:variant>
        <vt:lpwstr/>
      </vt:variant>
      <vt:variant>
        <vt:lpwstr>_ENREF_107</vt:lpwstr>
      </vt:variant>
      <vt:variant>
        <vt:i4>7798843</vt:i4>
      </vt:variant>
      <vt:variant>
        <vt:i4>3173</vt:i4>
      </vt:variant>
      <vt:variant>
        <vt:i4>0</vt:i4>
      </vt:variant>
      <vt:variant>
        <vt:i4>5</vt:i4>
      </vt:variant>
      <vt:variant>
        <vt:lpwstr/>
      </vt:variant>
      <vt:variant>
        <vt:lpwstr>_ENREF_107</vt:lpwstr>
      </vt:variant>
      <vt:variant>
        <vt:i4>7864379</vt:i4>
      </vt:variant>
      <vt:variant>
        <vt:i4>3164</vt:i4>
      </vt:variant>
      <vt:variant>
        <vt:i4>0</vt:i4>
      </vt:variant>
      <vt:variant>
        <vt:i4>5</vt:i4>
      </vt:variant>
      <vt:variant>
        <vt:lpwstr/>
      </vt:variant>
      <vt:variant>
        <vt:lpwstr>_ENREF_108</vt:lpwstr>
      </vt:variant>
      <vt:variant>
        <vt:i4>7405626</vt:i4>
      </vt:variant>
      <vt:variant>
        <vt:i4>3155</vt:i4>
      </vt:variant>
      <vt:variant>
        <vt:i4>0</vt:i4>
      </vt:variant>
      <vt:variant>
        <vt:i4>5</vt:i4>
      </vt:variant>
      <vt:variant>
        <vt:lpwstr/>
      </vt:variant>
      <vt:variant>
        <vt:lpwstr>_ENREF_111</vt:lpwstr>
      </vt:variant>
      <vt:variant>
        <vt:i4>4194315</vt:i4>
      </vt:variant>
      <vt:variant>
        <vt:i4>3149</vt:i4>
      </vt:variant>
      <vt:variant>
        <vt:i4>0</vt:i4>
      </vt:variant>
      <vt:variant>
        <vt:i4>5</vt:i4>
      </vt:variant>
      <vt:variant>
        <vt:lpwstr/>
      </vt:variant>
      <vt:variant>
        <vt:lpwstr>_ENREF_1</vt:lpwstr>
      </vt:variant>
      <vt:variant>
        <vt:i4>7405626</vt:i4>
      </vt:variant>
      <vt:variant>
        <vt:i4>3143</vt:i4>
      </vt:variant>
      <vt:variant>
        <vt:i4>0</vt:i4>
      </vt:variant>
      <vt:variant>
        <vt:i4>5</vt:i4>
      </vt:variant>
      <vt:variant>
        <vt:lpwstr/>
      </vt:variant>
      <vt:variant>
        <vt:lpwstr>_ENREF_111</vt:lpwstr>
      </vt:variant>
      <vt:variant>
        <vt:i4>7798843</vt:i4>
      </vt:variant>
      <vt:variant>
        <vt:i4>3137</vt:i4>
      </vt:variant>
      <vt:variant>
        <vt:i4>0</vt:i4>
      </vt:variant>
      <vt:variant>
        <vt:i4>5</vt:i4>
      </vt:variant>
      <vt:variant>
        <vt:lpwstr/>
      </vt:variant>
      <vt:variant>
        <vt:lpwstr>_ENREF_107</vt:lpwstr>
      </vt:variant>
      <vt:variant>
        <vt:i4>4653112</vt:i4>
      </vt:variant>
      <vt:variant>
        <vt:i4>3134</vt:i4>
      </vt:variant>
      <vt:variant>
        <vt:i4>0</vt:i4>
      </vt:variant>
      <vt:variant>
        <vt:i4>5</vt:i4>
      </vt:variant>
      <vt:variant>
        <vt:lpwstr/>
      </vt:variant>
      <vt:variant>
        <vt:lpwstr>_ENREF_63</vt:lpwstr>
      </vt:variant>
      <vt:variant>
        <vt:i4>4325432</vt:i4>
      </vt:variant>
      <vt:variant>
        <vt:i4>3131</vt:i4>
      </vt:variant>
      <vt:variant>
        <vt:i4>0</vt:i4>
      </vt:variant>
      <vt:variant>
        <vt:i4>5</vt:i4>
      </vt:variant>
      <vt:variant>
        <vt:lpwstr/>
      </vt:variant>
      <vt:variant>
        <vt:lpwstr>_ENREF_33</vt:lpwstr>
      </vt:variant>
      <vt:variant>
        <vt:i4>4325439</vt:i4>
      </vt:variant>
      <vt:variant>
        <vt:i4>3128</vt:i4>
      </vt:variant>
      <vt:variant>
        <vt:i4>0</vt:i4>
      </vt:variant>
      <vt:variant>
        <vt:i4>5</vt:i4>
      </vt:variant>
      <vt:variant>
        <vt:lpwstr/>
      </vt:variant>
      <vt:variant>
        <vt:lpwstr>_ENREF_34</vt:lpwstr>
      </vt:variant>
      <vt:variant>
        <vt:i4>4325432</vt:i4>
      </vt:variant>
      <vt:variant>
        <vt:i4>3125</vt:i4>
      </vt:variant>
      <vt:variant>
        <vt:i4>0</vt:i4>
      </vt:variant>
      <vt:variant>
        <vt:i4>5</vt:i4>
      </vt:variant>
      <vt:variant>
        <vt:lpwstr/>
      </vt:variant>
      <vt:variant>
        <vt:lpwstr>_ENREF_33</vt:lpwstr>
      </vt:variant>
      <vt:variant>
        <vt:i4>7798843</vt:i4>
      </vt:variant>
      <vt:variant>
        <vt:i4>3122</vt:i4>
      </vt:variant>
      <vt:variant>
        <vt:i4>0</vt:i4>
      </vt:variant>
      <vt:variant>
        <vt:i4>5</vt:i4>
      </vt:variant>
      <vt:variant>
        <vt:lpwstr/>
      </vt:variant>
      <vt:variant>
        <vt:lpwstr>_ENREF_107</vt:lpwstr>
      </vt:variant>
      <vt:variant>
        <vt:i4>7471163</vt:i4>
      </vt:variant>
      <vt:variant>
        <vt:i4>3114</vt:i4>
      </vt:variant>
      <vt:variant>
        <vt:i4>0</vt:i4>
      </vt:variant>
      <vt:variant>
        <vt:i4>5</vt:i4>
      </vt:variant>
      <vt:variant>
        <vt:lpwstr/>
      </vt:variant>
      <vt:variant>
        <vt:lpwstr>_ENREF_102</vt:lpwstr>
      </vt:variant>
      <vt:variant>
        <vt:i4>7602235</vt:i4>
      </vt:variant>
      <vt:variant>
        <vt:i4>3108</vt:i4>
      </vt:variant>
      <vt:variant>
        <vt:i4>0</vt:i4>
      </vt:variant>
      <vt:variant>
        <vt:i4>5</vt:i4>
      </vt:variant>
      <vt:variant>
        <vt:lpwstr/>
      </vt:variant>
      <vt:variant>
        <vt:lpwstr>_ENREF_104</vt:lpwstr>
      </vt:variant>
      <vt:variant>
        <vt:i4>7929915</vt:i4>
      </vt:variant>
      <vt:variant>
        <vt:i4>3102</vt:i4>
      </vt:variant>
      <vt:variant>
        <vt:i4>0</vt:i4>
      </vt:variant>
      <vt:variant>
        <vt:i4>5</vt:i4>
      </vt:variant>
      <vt:variant>
        <vt:lpwstr/>
      </vt:variant>
      <vt:variant>
        <vt:lpwstr>_ENREF_109</vt:lpwstr>
      </vt:variant>
      <vt:variant>
        <vt:i4>7929915</vt:i4>
      </vt:variant>
      <vt:variant>
        <vt:i4>3096</vt:i4>
      </vt:variant>
      <vt:variant>
        <vt:i4>0</vt:i4>
      </vt:variant>
      <vt:variant>
        <vt:i4>5</vt:i4>
      </vt:variant>
      <vt:variant>
        <vt:lpwstr/>
      </vt:variant>
      <vt:variant>
        <vt:lpwstr>_ENREF_109</vt:lpwstr>
      </vt:variant>
      <vt:variant>
        <vt:i4>4587570</vt:i4>
      </vt:variant>
      <vt:variant>
        <vt:i4>3090</vt:i4>
      </vt:variant>
      <vt:variant>
        <vt:i4>0</vt:i4>
      </vt:variant>
      <vt:variant>
        <vt:i4>5</vt:i4>
      </vt:variant>
      <vt:variant>
        <vt:lpwstr/>
      </vt:variant>
      <vt:variant>
        <vt:lpwstr>_ENREF_79</vt:lpwstr>
      </vt:variant>
      <vt:variant>
        <vt:i4>4194364</vt:i4>
      </vt:variant>
      <vt:variant>
        <vt:i4>3087</vt:i4>
      </vt:variant>
      <vt:variant>
        <vt:i4>0</vt:i4>
      </vt:variant>
      <vt:variant>
        <vt:i4>5</vt:i4>
      </vt:variant>
      <vt:variant>
        <vt:lpwstr/>
      </vt:variant>
      <vt:variant>
        <vt:lpwstr>_ENREF_17</vt:lpwstr>
      </vt:variant>
      <vt:variant>
        <vt:i4>4194315</vt:i4>
      </vt:variant>
      <vt:variant>
        <vt:i4>3084</vt:i4>
      </vt:variant>
      <vt:variant>
        <vt:i4>0</vt:i4>
      </vt:variant>
      <vt:variant>
        <vt:i4>5</vt:i4>
      </vt:variant>
      <vt:variant>
        <vt:lpwstr/>
      </vt:variant>
      <vt:variant>
        <vt:lpwstr>_ENREF_1</vt:lpwstr>
      </vt:variant>
      <vt:variant>
        <vt:i4>4194315</vt:i4>
      </vt:variant>
      <vt:variant>
        <vt:i4>3076</vt:i4>
      </vt:variant>
      <vt:variant>
        <vt:i4>0</vt:i4>
      </vt:variant>
      <vt:variant>
        <vt:i4>5</vt:i4>
      </vt:variant>
      <vt:variant>
        <vt:lpwstr/>
      </vt:variant>
      <vt:variant>
        <vt:lpwstr>_ENREF_1</vt:lpwstr>
      </vt:variant>
      <vt:variant>
        <vt:i4>4784188</vt:i4>
      </vt:variant>
      <vt:variant>
        <vt:i4>3070</vt:i4>
      </vt:variant>
      <vt:variant>
        <vt:i4>0</vt:i4>
      </vt:variant>
      <vt:variant>
        <vt:i4>5</vt:i4>
      </vt:variant>
      <vt:variant>
        <vt:lpwstr/>
      </vt:variant>
      <vt:variant>
        <vt:lpwstr>_ENREF_87</vt:lpwstr>
      </vt:variant>
      <vt:variant>
        <vt:i4>4587581</vt:i4>
      </vt:variant>
      <vt:variant>
        <vt:i4>3064</vt:i4>
      </vt:variant>
      <vt:variant>
        <vt:i4>0</vt:i4>
      </vt:variant>
      <vt:variant>
        <vt:i4>5</vt:i4>
      </vt:variant>
      <vt:variant>
        <vt:lpwstr/>
      </vt:variant>
      <vt:variant>
        <vt:lpwstr>_ENREF_76</vt:lpwstr>
      </vt:variant>
      <vt:variant>
        <vt:i4>4784188</vt:i4>
      </vt:variant>
      <vt:variant>
        <vt:i4>3055</vt:i4>
      </vt:variant>
      <vt:variant>
        <vt:i4>0</vt:i4>
      </vt:variant>
      <vt:variant>
        <vt:i4>5</vt:i4>
      </vt:variant>
      <vt:variant>
        <vt:lpwstr/>
      </vt:variant>
      <vt:variant>
        <vt:lpwstr>_ENREF_87</vt:lpwstr>
      </vt:variant>
      <vt:variant>
        <vt:i4>4587581</vt:i4>
      </vt:variant>
      <vt:variant>
        <vt:i4>3049</vt:i4>
      </vt:variant>
      <vt:variant>
        <vt:i4>0</vt:i4>
      </vt:variant>
      <vt:variant>
        <vt:i4>5</vt:i4>
      </vt:variant>
      <vt:variant>
        <vt:lpwstr/>
      </vt:variant>
      <vt:variant>
        <vt:lpwstr>_ENREF_76</vt:lpwstr>
      </vt:variant>
      <vt:variant>
        <vt:i4>4456499</vt:i4>
      </vt:variant>
      <vt:variant>
        <vt:i4>3040</vt:i4>
      </vt:variant>
      <vt:variant>
        <vt:i4>0</vt:i4>
      </vt:variant>
      <vt:variant>
        <vt:i4>5</vt:i4>
      </vt:variant>
      <vt:variant>
        <vt:lpwstr/>
      </vt:variant>
      <vt:variant>
        <vt:lpwstr>_ENREF_58</vt:lpwstr>
      </vt:variant>
      <vt:variant>
        <vt:i4>4456499</vt:i4>
      </vt:variant>
      <vt:variant>
        <vt:i4>3031</vt:i4>
      </vt:variant>
      <vt:variant>
        <vt:i4>0</vt:i4>
      </vt:variant>
      <vt:variant>
        <vt:i4>5</vt:i4>
      </vt:variant>
      <vt:variant>
        <vt:lpwstr/>
      </vt:variant>
      <vt:variant>
        <vt:lpwstr>_ENREF_58</vt:lpwstr>
      </vt:variant>
      <vt:variant>
        <vt:i4>4456499</vt:i4>
      </vt:variant>
      <vt:variant>
        <vt:i4>3019</vt:i4>
      </vt:variant>
      <vt:variant>
        <vt:i4>0</vt:i4>
      </vt:variant>
      <vt:variant>
        <vt:i4>5</vt:i4>
      </vt:variant>
      <vt:variant>
        <vt:lpwstr/>
      </vt:variant>
      <vt:variant>
        <vt:lpwstr>_ENREF_58</vt:lpwstr>
      </vt:variant>
      <vt:variant>
        <vt:i4>4456499</vt:i4>
      </vt:variant>
      <vt:variant>
        <vt:i4>3007</vt:i4>
      </vt:variant>
      <vt:variant>
        <vt:i4>0</vt:i4>
      </vt:variant>
      <vt:variant>
        <vt:i4>5</vt:i4>
      </vt:variant>
      <vt:variant>
        <vt:lpwstr/>
      </vt:variant>
      <vt:variant>
        <vt:lpwstr>_ENREF_58</vt:lpwstr>
      </vt:variant>
      <vt:variant>
        <vt:i4>4784179</vt:i4>
      </vt:variant>
      <vt:variant>
        <vt:i4>3001</vt:i4>
      </vt:variant>
      <vt:variant>
        <vt:i4>0</vt:i4>
      </vt:variant>
      <vt:variant>
        <vt:i4>5</vt:i4>
      </vt:variant>
      <vt:variant>
        <vt:lpwstr/>
      </vt:variant>
      <vt:variant>
        <vt:lpwstr>_ENREF_88</vt:lpwstr>
      </vt:variant>
      <vt:variant>
        <vt:i4>4390975</vt:i4>
      </vt:variant>
      <vt:variant>
        <vt:i4>2995</vt:i4>
      </vt:variant>
      <vt:variant>
        <vt:i4>0</vt:i4>
      </vt:variant>
      <vt:variant>
        <vt:i4>5</vt:i4>
      </vt:variant>
      <vt:variant>
        <vt:lpwstr/>
      </vt:variant>
      <vt:variant>
        <vt:lpwstr>_ENREF_24</vt:lpwstr>
      </vt:variant>
      <vt:variant>
        <vt:i4>7340090</vt:i4>
      </vt:variant>
      <vt:variant>
        <vt:i4>2989</vt:i4>
      </vt:variant>
      <vt:variant>
        <vt:i4>0</vt:i4>
      </vt:variant>
      <vt:variant>
        <vt:i4>5</vt:i4>
      </vt:variant>
      <vt:variant>
        <vt:lpwstr/>
      </vt:variant>
      <vt:variant>
        <vt:lpwstr>_ENREF_110</vt:lpwstr>
      </vt:variant>
      <vt:variant>
        <vt:i4>4718654</vt:i4>
      </vt:variant>
      <vt:variant>
        <vt:i4>2986</vt:i4>
      </vt:variant>
      <vt:variant>
        <vt:i4>0</vt:i4>
      </vt:variant>
      <vt:variant>
        <vt:i4>5</vt:i4>
      </vt:variant>
      <vt:variant>
        <vt:lpwstr/>
      </vt:variant>
      <vt:variant>
        <vt:lpwstr>_ENREF_95</vt:lpwstr>
      </vt:variant>
      <vt:variant>
        <vt:i4>4390975</vt:i4>
      </vt:variant>
      <vt:variant>
        <vt:i4>2983</vt:i4>
      </vt:variant>
      <vt:variant>
        <vt:i4>0</vt:i4>
      </vt:variant>
      <vt:variant>
        <vt:i4>5</vt:i4>
      </vt:variant>
      <vt:variant>
        <vt:lpwstr/>
      </vt:variant>
      <vt:variant>
        <vt:lpwstr>_ENREF_24</vt:lpwstr>
      </vt:variant>
      <vt:variant>
        <vt:i4>4456511</vt:i4>
      </vt:variant>
      <vt:variant>
        <vt:i4>2975</vt:i4>
      </vt:variant>
      <vt:variant>
        <vt:i4>0</vt:i4>
      </vt:variant>
      <vt:variant>
        <vt:i4>5</vt:i4>
      </vt:variant>
      <vt:variant>
        <vt:lpwstr/>
      </vt:variant>
      <vt:variant>
        <vt:lpwstr>_ENREF_54</vt:lpwstr>
      </vt:variant>
      <vt:variant>
        <vt:i4>7340090</vt:i4>
      </vt:variant>
      <vt:variant>
        <vt:i4>2969</vt:i4>
      </vt:variant>
      <vt:variant>
        <vt:i4>0</vt:i4>
      </vt:variant>
      <vt:variant>
        <vt:i4>5</vt:i4>
      </vt:variant>
      <vt:variant>
        <vt:lpwstr/>
      </vt:variant>
      <vt:variant>
        <vt:lpwstr>_ENREF_110</vt:lpwstr>
      </vt:variant>
      <vt:variant>
        <vt:i4>4653119</vt:i4>
      </vt:variant>
      <vt:variant>
        <vt:i4>2963</vt:i4>
      </vt:variant>
      <vt:variant>
        <vt:i4>0</vt:i4>
      </vt:variant>
      <vt:variant>
        <vt:i4>5</vt:i4>
      </vt:variant>
      <vt:variant>
        <vt:lpwstr/>
      </vt:variant>
      <vt:variant>
        <vt:lpwstr>_ENREF_64</vt:lpwstr>
      </vt:variant>
      <vt:variant>
        <vt:i4>4390969</vt:i4>
      </vt:variant>
      <vt:variant>
        <vt:i4>2957</vt:i4>
      </vt:variant>
      <vt:variant>
        <vt:i4>0</vt:i4>
      </vt:variant>
      <vt:variant>
        <vt:i4>5</vt:i4>
      </vt:variant>
      <vt:variant>
        <vt:lpwstr/>
      </vt:variant>
      <vt:variant>
        <vt:lpwstr>_ENREF_22</vt:lpwstr>
      </vt:variant>
      <vt:variant>
        <vt:i4>7340090</vt:i4>
      </vt:variant>
      <vt:variant>
        <vt:i4>2951</vt:i4>
      </vt:variant>
      <vt:variant>
        <vt:i4>0</vt:i4>
      </vt:variant>
      <vt:variant>
        <vt:i4>5</vt:i4>
      </vt:variant>
      <vt:variant>
        <vt:lpwstr/>
      </vt:variant>
      <vt:variant>
        <vt:lpwstr>_ENREF_110</vt:lpwstr>
      </vt:variant>
      <vt:variant>
        <vt:i4>4390975</vt:i4>
      </vt:variant>
      <vt:variant>
        <vt:i4>2945</vt:i4>
      </vt:variant>
      <vt:variant>
        <vt:i4>0</vt:i4>
      </vt:variant>
      <vt:variant>
        <vt:i4>5</vt:i4>
      </vt:variant>
      <vt:variant>
        <vt:lpwstr/>
      </vt:variant>
      <vt:variant>
        <vt:lpwstr>_ENREF_24</vt:lpwstr>
      </vt:variant>
      <vt:variant>
        <vt:i4>4718654</vt:i4>
      </vt:variant>
      <vt:variant>
        <vt:i4>2939</vt:i4>
      </vt:variant>
      <vt:variant>
        <vt:i4>0</vt:i4>
      </vt:variant>
      <vt:variant>
        <vt:i4>5</vt:i4>
      </vt:variant>
      <vt:variant>
        <vt:lpwstr/>
      </vt:variant>
      <vt:variant>
        <vt:lpwstr>_ENREF_95</vt:lpwstr>
      </vt:variant>
      <vt:variant>
        <vt:i4>4390975</vt:i4>
      </vt:variant>
      <vt:variant>
        <vt:i4>2936</vt:i4>
      </vt:variant>
      <vt:variant>
        <vt:i4>0</vt:i4>
      </vt:variant>
      <vt:variant>
        <vt:i4>5</vt:i4>
      </vt:variant>
      <vt:variant>
        <vt:lpwstr/>
      </vt:variant>
      <vt:variant>
        <vt:lpwstr>_ENREF_24</vt:lpwstr>
      </vt:variant>
      <vt:variant>
        <vt:i4>4194313</vt:i4>
      </vt:variant>
      <vt:variant>
        <vt:i4>2931</vt:i4>
      </vt:variant>
      <vt:variant>
        <vt:i4>0</vt:i4>
      </vt:variant>
      <vt:variant>
        <vt:i4>5</vt:i4>
      </vt:variant>
      <vt:variant>
        <vt:lpwstr>http://www.wolfbane.com/icd/icd8.htm</vt:lpwstr>
      </vt:variant>
      <vt:variant>
        <vt:lpwstr/>
      </vt:variant>
      <vt:variant>
        <vt:i4>4456508</vt:i4>
      </vt:variant>
      <vt:variant>
        <vt:i4>2927</vt:i4>
      </vt:variant>
      <vt:variant>
        <vt:i4>0</vt:i4>
      </vt:variant>
      <vt:variant>
        <vt:i4>5</vt:i4>
      </vt:variant>
      <vt:variant>
        <vt:lpwstr/>
      </vt:variant>
      <vt:variant>
        <vt:lpwstr>_ENREF_57</vt:lpwstr>
      </vt:variant>
      <vt:variant>
        <vt:i4>4325387</vt:i4>
      </vt:variant>
      <vt:variant>
        <vt:i4>2921</vt:i4>
      </vt:variant>
      <vt:variant>
        <vt:i4>0</vt:i4>
      </vt:variant>
      <vt:variant>
        <vt:i4>5</vt:i4>
      </vt:variant>
      <vt:variant>
        <vt:lpwstr/>
      </vt:variant>
      <vt:variant>
        <vt:lpwstr>_ENREF_3</vt:lpwstr>
      </vt:variant>
      <vt:variant>
        <vt:i4>4194361</vt:i4>
      </vt:variant>
      <vt:variant>
        <vt:i4>2915</vt:i4>
      </vt:variant>
      <vt:variant>
        <vt:i4>0</vt:i4>
      </vt:variant>
      <vt:variant>
        <vt:i4>5</vt:i4>
      </vt:variant>
      <vt:variant>
        <vt:lpwstr/>
      </vt:variant>
      <vt:variant>
        <vt:lpwstr>_ENREF_12</vt:lpwstr>
      </vt:variant>
      <vt:variant>
        <vt:i4>7340091</vt:i4>
      </vt:variant>
      <vt:variant>
        <vt:i4>2909</vt:i4>
      </vt:variant>
      <vt:variant>
        <vt:i4>0</vt:i4>
      </vt:variant>
      <vt:variant>
        <vt:i4>5</vt:i4>
      </vt:variant>
      <vt:variant>
        <vt:lpwstr/>
      </vt:variant>
      <vt:variant>
        <vt:lpwstr>_ENREF_100</vt:lpwstr>
      </vt:variant>
      <vt:variant>
        <vt:i4>7405627</vt:i4>
      </vt:variant>
      <vt:variant>
        <vt:i4>2903</vt:i4>
      </vt:variant>
      <vt:variant>
        <vt:i4>0</vt:i4>
      </vt:variant>
      <vt:variant>
        <vt:i4>5</vt:i4>
      </vt:variant>
      <vt:variant>
        <vt:lpwstr/>
      </vt:variant>
      <vt:variant>
        <vt:lpwstr>_ENREF_101</vt:lpwstr>
      </vt:variant>
      <vt:variant>
        <vt:i4>4784178</vt:i4>
      </vt:variant>
      <vt:variant>
        <vt:i4>2897</vt:i4>
      </vt:variant>
      <vt:variant>
        <vt:i4>0</vt:i4>
      </vt:variant>
      <vt:variant>
        <vt:i4>5</vt:i4>
      </vt:variant>
      <vt:variant>
        <vt:lpwstr/>
      </vt:variant>
      <vt:variant>
        <vt:lpwstr>_ENREF_89</vt:lpwstr>
      </vt:variant>
      <vt:variant>
        <vt:i4>4718652</vt:i4>
      </vt:variant>
      <vt:variant>
        <vt:i4>2891</vt:i4>
      </vt:variant>
      <vt:variant>
        <vt:i4>0</vt:i4>
      </vt:variant>
      <vt:variant>
        <vt:i4>5</vt:i4>
      </vt:variant>
      <vt:variant>
        <vt:lpwstr/>
      </vt:variant>
      <vt:variant>
        <vt:lpwstr>_ENREF_97</vt:lpwstr>
      </vt:variant>
      <vt:variant>
        <vt:i4>4390971</vt:i4>
      </vt:variant>
      <vt:variant>
        <vt:i4>2885</vt:i4>
      </vt:variant>
      <vt:variant>
        <vt:i4>0</vt:i4>
      </vt:variant>
      <vt:variant>
        <vt:i4>5</vt:i4>
      </vt:variant>
      <vt:variant>
        <vt:lpwstr/>
      </vt:variant>
      <vt:variant>
        <vt:lpwstr>_ENREF_20</vt:lpwstr>
      </vt:variant>
      <vt:variant>
        <vt:i4>4456508</vt:i4>
      </vt:variant>
      <vt:variant>
        <vt:i4>2873</vt:i4>
      </vt:variant>
      <vt:variant>
        <vt:i4>0</vt:i4>
      </vt:variant>
      <vt:variant>
        <vt:i4>5</vt:i4>
      </vt:variant>
      <vt:variant>
        <vt:lpwstr/>
      </vt:variant>
      <vt:variant>
        <vt:lpwstr>_ENREF_57</vt:lpwstr>
      </vt:variant>
      <vt:variant>
        <vt:i4>4325387</vt:i4>
      </vt:variant>
      <vt:variant>
        <vt:i4>2870</vt:i4>
      </vt:variant>
      <vt:variant>
        <vt:i4>0</vt:i4>
      </vt:variant>
      <vt:variant>
        <vt:i4>5</vt:i4>
      </vt:variant>
      <vt:variant>
        <vt:lpwstr/>
      </vt:variant>
      <vt:variant>
        <vt:lpwstr>_ENREF_3</vt:lpwstr>
      </vt:variant>
      <vt:variant>
        <vt:i4>7405627</vt:i4>
      </vt:variant>
      <vt:variant>
        <vt:i4>2864</vt:i4>
      </vt:variant>
      <vt:variant>
        <vt:i4>0</vt:i4>
      </vt:variant>
      <vt:variant>
        <vt:i4>5</vt:i4>
      </vt:variant>
      <vt:variant>
        <vt:lpwstr/>
      </vt:variant>
      <vt:variant>
        <vt:lpwstr>_ENREF_101</vt:lpwstr>
      </vt:variant>
      <vt:variant>
        <vt:i4>7340091</vt:i4>
      </vt:variant>
      <vt:variant>
        <vt:i4>2861</vt:i4>
      </vt:variant>
      <vt:variant>
        <vt:i4>0</vt:i4>
      </vt:variant>
      <vt:variant>
        <vt:i4>5</vt:i4>
      </vt:variant>
      <vt:variant>
        <vt:lpwstr/>
      </vt:variant>
      <vt:variant>
        <vt:lpwstr>_ENREF_100</vt:lpwstr>
      </vt:variant>
      <vt:variant>
        <vt:i4>4718652</vt:i4>
      </vt:variant>
      <vt:variant>
        <vt:i4>2858</vt:i4>
      </vt:variant>
      <vt:variant>
        <vt:i4>0</vt:i4>
      </vt:variant>
      <vt:variant>
        <vt:i4>5</vt:i4>
      </vt:variant>
      <vt:variant>
        <vt:lpwstr/>
      </vt:variant>
      <vt:variant>
        <vt:lpwstr>_ENREF_97</vt:lpwstr>
      </vt:variant>
      <vt:variant>
        <vt:i4>4784178</vt:i4>
      </vt:variant>
      <vt:variant>
        <vt:i4>2855</vt:i4>
      </vt:variant>
      <vt:variant>
        <vt:i4>0</vt:i4>
      </vt:variant>
      <vt:variant>
        <vt:i4>5</vt:i4>
      </vt:variant>
      <vt:variant>
        <vt:lpwstr/>
      </vt:variant>
      <vt:variant>
        <vt:lpwstr>_ENREF_89</vt:lpwstr>
      </vt:variant>
      <vt:variant>
        <vt:i4>4456508</vt:i4>
      </vt:variant>
      <vt:variant>
        <vt:i4>2852</vt:i4>
      </vt:variant>
      <vt:variant>
        <vt:i4>0</vt:i4>
      </vt:variant>
      <vt:variant>
        <vt:i4>5</vt:i4>
      </vt:variant>
      <vt:variant>
        <vt:lpwstr/>
      </vt:variant>
      <vt:variant>
        <vt:lpwstr>_ENREF_57</vt:lpwstr>
      </vt:variant>
      <vt:variant>
        <vt:i4>4390971</vt:i4>
      </vt:variant>
      <vt:variant>
        <vt:i4>2849</vt:i4>
      </vt:variant>
      <vt:variant>
        <vt:i4>0</vt:i4>
      </vt:variant>
      <vt:variant>
        <vt:i4>5</vt:i4>
      </vt:variant>
      <vt:variant>
        <vt:lpwstr/>
      </vt:variant>
      <vt:variant>
        <vt:lpwstr>_ENREF_20</vt:lpwstr>
      </vt:variant>
      <vt:variant>
        <vt:i4>4194361</vt:i4>
      </vt:variant>
      <vt:variant>
        <vt:i4>2846</vt:i4>
      </vt:variant>
      <vt:variant>
        <vt:i4>0</vt:i4>
      </vt:variant>
      <vt:variant>
        <vt:i4>5</vt:i4>
      </vt:variant>
      <vt:variant>
        <vt:lpwstr/>
      </vt:variant>
      <vt:variant>
        <vt:lpwstr>_ENREF_12</vt:lpwstr>
      </vt:variant>
      <vt:variant>
        <vt:i4>4325387</vt:i4>
      </vt:variant>
      <vt:variant>
        <vt:i4>2843</vt:i4>
      </vt:variant>
      <vt:variant>
        <vt:i4>0</vt:i4>
      </vt:variant>
      <vt:variant>
        <vt:i4>5</vt:i4>
      </vt:variant>
      <vt:variant>
        <vt:lpwstr/>
      </vt:variant>
      <vt:variant>
        <vt:lpwstr>_ENREF_3</vt:lpwstr>
      </vt:variant>
      <vt:variant>
        <vt:i4>4784187</vt:i4>
      </vt:variant>
      <vt:variant>
        <vt:i4>2826</vt:i4>
      </vt:variant>
      <vt:variant>
        <vt:i4>0</vt:i4>
      </vt:variant>
      <vt:variant>
        <vt:i4>5</vt:i4>
      </vt:variant>
      <vt:variant>
        <vt:lpwstr/>
      </vt:variant>
      <vt:variant>
        <vt:lpwstr>_ENREF_80</vt:lpwstr>
      </vt:variant>
      <vt:variant>
        <vt:i4>4587576</vt:i4>
      </vt:variant>
      <vt:variant>
        <vt:i4>2823</vt:i4>
      </vt:variant>
      <vt:variant>
        <vt:i4>0</vt:i4>
      </vt:variant>
      <vt:variant>
        <vt:i4>5</vt:i4>
      </vt:variant>
      <vt:variant>
        <vt:lpwstr/>
      </vt:variant>
      <vt:variant>
        <vt:lpwstr>_ENREF_73</vt:lpwstr>
      </vt:variant>
      <vt:variant>
        <vt:i4>7667771</vt:i4>
      </vt:variant>
      <vt:variant>
        <vt:i4>2815</vt:i4>
      </vt:variant>
      <vt:variant>
        <vt:i4>0</vt:i4>
      </vt:variant>
      <vt:variant>
        <vt:i4>5</vt:i4>
      </vt:variant>
      <vt:variant>
        <vt:lpwstr/>
      </vt:variant>
      <vt:variant>
        <vt:lpwstr>_ENREF_105</vt:lpwstr>
      </vt:variant>
      <vt:variant>
        <vt:i4>7667771</vt:i4>
      </vt:variant>
      <vt:variant>
        <vt:i4>2809</vt:i4>
      </vt:variant>
      <vt:variant>
        <vt:i4>0</vt:i4>
      </vt:variant>
      <vt:variant>
        <vt:i4>5</vt:i4>
      </vt:variant>
      <vt:variant>
        <vt:lpwstr/>
      </vt:variant>
      <vt:variant>
        <vt:lpwstr>_ENREF_105</vt:lpwstr>
      </vt:variant>
      <vt:variant>
        <vt:i4>7667771</vt:i4>
      </vt:variant>
      <vt:variant>
        <vt:i4>2800</vt:i4>
      </vt:variant>
      <vt:variant>
        <vt:i4>0</vt:i4>
      </vt:variant>
      <vt:variant>
        <vt:i4>5</vt:i4>
      </vt:variant>
      <vt:variant>
        <vt:lpwstr/>
      </vt:variant>
      <vt:variant>
        <vt:lpwstr>_ENREF_105</vt:lpwstr>
      </vt:variant>
      <vt:variant>
        <vt:i4>7667771</vt:i4>
      </vt:variant>
      <vt:variant>
        <vt:i4>2791</vt:i4>
      </vt:variant>
      <vt:variant>
        <vt:i4>0</vt:i4>
      </vt:variant>
      <vt:variant>
        <vt:i4>5</vt:i4>
      </vt:variant>
      <vt:variant>
        <vt:lpwstr/>
      </vt:variant>
      <vt:variant>
        <vt:lpwstr>_ENREF_105</vt:lpwstr>
      </vt:variant>
      <vt:variant>
        <vt:i4>7733307</vt:i4>
      </vt:variant>
      <vt:variant>
        <vt:i4>2785</vt:i4>
      </vt:variant>
      <vt:variant>
        <vt:i4>0</vt:i4>
      </vt:variant>
      <vt:variant>
        <vt:i4>5</vt:i4>
      </vt:variant>
      <vt:variant>
        <vt:lpwstr/>
      </vt:variant>
      <vt:variant>
        <vt:lpwstr>_ENREF_106</vt:lpwstr>
      </vt:variant>
      <vt:variant>
        <vt:i4>7733307</vt:i4>
      </vt:variant>
      <vt:variant>
        <vt:i4>2779</vt:i4>
      </vt:variant>
      <vt:variant>
        <vt:i4>0</vt:i4>
      </vt:variant>
      <vt:variant>
        <vt:i4>5</vt:i4>
      </vt:variant>
      <vt:variant>
        <vt:lpwstr/>
      </vt:variant>
      <vt:variant>
        <vt:lpwstr>_ENREF_106</vt:lpwstr>
      </vt:variant>
      <vt:variant>
        <vt:i4>7733307</vt:i4>
      </vt:variant>
      <vt:variant>
        <vt:i4>2773</vt:i4>
      </vt:variant>
      <vt:variant>
        <vt:i4>0</vt:i4>
      </vt:variant>
      <vt:variant>
        <vt:i4>5</vt:i4>
      </vt:variant>
      <vt:variant>
        <vt:lpwstr/>
      </vt:variant>
      <vt:variant>
        <vt:lpwstr>_ENREF_106</vt:lpwstr>
      </vt:variant>
      <vt:variant>
        <vt:i4>7733307</vt:i4>
      </vt:variant>
      <vt:variant>
        <vt:i4>2767</vt:i4>
      </vt:variant>
      <vt:variant>
        <vt:i4>0</vt:i4>
      </vt:variant>
      <vt:variant>
        <vt:i4>5</vt:i4>
      </vt:variant>
      <vt:variant>
        <vt:lpwstr/>
      </vt:variant>
      <vt:variant>
        <vt:lpwstr>_ENREF_106</vt:lpwstr>
      </vt:variant>
      <vt:variant>
        <vt:i4>4784189</vt:i4>
      </vt:variant>
      <vt:variant>
        <vt:i4>2761</vt:i4>
      </vt:variant>
      <vt:variant>
        <vt:i4>0</vt:i4>
      </vt:variant>
      <vt:variant>
        <vt:i4>5</vt:i4>
      </vt:variant>
      <vt:variant>
        <vt:lpwstr/>
      </vt:variant>
      <vt:variant>
        <vt:lpwstr>_ENREF_86</vt:lpwstr>
      </vt:variant>
      <vt:variant>
        <vt:i4>4587578</vt:i4>
      </vt:variant>
      <vt:variant>
        <vt:i4>2758</vt:i4>
      </vt:variant>
      <vt:variant>
        <vt:i4>0</vt:i4>
      </vt:variant>
      <vt:variant>
        <vt:i4>5</vt:i4>
      </vt:variant>
      <vt:variant>
        <vt:lpwstr/>
      </vt:variant>
      <vt:variant>
        <vt:lpwstr>_ENREF_71</vt:lpwstr>
      </vt:variant>
      <vt:variant>
        <vt:i4>4587579</vt:i4>
      </vt:variant>
      <vt:variant>
        <vt:i4>2755</vt:i4>
      </vt:variant>
      <vt:variant>
        <vt:i4>0</vt:i4>
      </vt:variant>
      <vt:variant>
        <vt:i4>5</vt:i4>
      </vt:variant>
      <vt:variant>
        <vt:lpwstr/>
      </vt:variant>
      <vt:variant>
        <vt:lpwstr>_ENREF_70</vt:lpwstr>
      </vt:variant>
      <vt:variant>
        <vt:i4>4653118</vt:i4>
      </vt:variant>
      <vt:variant>
        <vt:i4>2752</vt:i4>
      </vt:variant>
      <vt:variant>
        <vt:i4>0</vt:i4>
      </vt:variant>
      <vt:variant>
        <vt:i4>5</vt:i4>
      </vt:variant>
      <vt:variant>
        <vt:lpwstr/>
      </vt:variant>
      <vt:variant>
        <vt:lpwstr>_ENREF_65</vt:lpwstr>
      </vt:variant>
      <vt:variant>
        <vt:i4>4784139</vt:i4>
      </vt:variant>
      <vt:variant>
        <vt:i4>2749</vt:i4>
      </vt:variant>
      <vt:variant>
        <vt:i4>0</vt:i4>
      </vt:variant>
      <vt:variant>
        <vt:i4>5</vt:i4>
      </vt:variant>
      <vt:variant>
        <vt:lpwstr/>
      </vt:variant>
      <vt:variant>
        <vt:lpwstr>_ENREF_8</vt:lpwstr>
      </vt:variant>
      <vt:variant>
        <vt:i4>4653107</vt:i4>
      </vt:variant>
      <vt:variant>
        <vt:i4>2729</vt:i4>
      </vt:variant>
      <vt:variant>
        <vt:i4>0</vt:i4>
      </vt:variant>
      <vt:variant>
        <vt:i4>5</vt:i4>
      </vt:variant>
      <vt:variant>
        <vt:lpwstr/>
      </vt:variant>
      <vt:variant>
        <vt:lpwstr>_ENREF_68</vt:lpwstr>
      </vt:variant>
      <vt:variant>
        <vt:i4>4653107</vt:i4>
      </vt:variant>
      <vt:variant>
        <vt:i4>2720</vt:i4>
      </vt:variant>
      <vt:variant>
        <vt:i4>0</vt:i4>
      </vt:variant>
      <vt:variant>
        <vt:i4>5</vt:i4>
      </vt:variant>
      <vt:variant>
        <vt:lpwstr/>
      </vt:variant>
      <vt:variant>
        <vt:lpwstr>_ENREF_68</vt:lpwstr>
      </vt:variant>
      <vt:variant>
        <vt:i4>4587577</vt:i4>
      </vt:variant>
      <vt:variant>
        <vt:i4>2693</vt:i4>
      </vt:variant>
      <vt:variant>
        <vt:i4>0</vt:i4>
      </vt:variant>
      <vt:variant>
        <vt:i4>5</vt:i4>
      </vt:variant>
      <vt:variant>
        <vt:lpwstr/>
      </vt:variant>
      <vt:variant>
        <vt:lpwstr>_ENREF_72</vt:lpwstr>
      </vt:variant>
      <vt:variant>
        <vt:i4>4718648</vt:i4>
      </vt:variant>
      <vt:variant>
        <vt:i4>2687</vt:i4>
      </vt:variant>
      <vt:variant>
        <vt:i4>0</vt:i4>
      </vt:variant>
      <vt:variant>
        <vt:i4>5</vt:i4>
      </vt:variant>
      <vt:variant>
        <vt:lpwstr/>
      </vt:variant>
      <vt:variant>
        <vt:lpwstr>_ENREF_93</vt:lpwstr>
      </vt:variant>
      <vt:variant>
        <vt:i4>4587578</vt:i4>
      </vt:variant>
      <vt:variant>
        <vt:i4>2681</vt:i4>
      </vt:variant>
      <vt:variant>
        <vt:i4>0</vt:i4>
      </vt:variant>
      <vt:variant>
        <vt:i4>5</vt:i4>
      </vt:variant>
      <vt:variant>
        <vt:lpwstr/>
      </vt:variant>
      <vt:variant>
        <vt:lpwstr>_ENREF_71</vt:lpwstr>
      </vt:variant>
      <vt:variant>
        <vt:i4>4587579</vt:i4>
      </vt:variant>
      <vt:variant>
        <vt:i4>2675</vt:i4>
      </vt:variant>
      <vt:variant>
        <vt:i4>0</vt:i4>
      </vt:variant>
      <vt:variant>
        <vt:i4>5</vt:i4>
      </vt:variant>
      <vt:variant>
        <vt:lpwstr/>
      </vt:variant>
      <vt:variant>
        <vt:lpwstr>_ENREF_70</vt:lpwstr>
      </vt:variant>
      <vt:variant>
        <vt:i4>4587578</vt:i4>
      </vt:variant>
      <vt:variant>
        <vt:i4>2666</vt:i4>
      </vt:variant>
      <vt:variant>
        <vt:i4>0</vt:i4>
      </vt:variant>
      <vt:variant>
        <vt:i4>5</vt:i4>
      </vt:variant>
      <vt:variant>
        <vt:lpwstr/>
      </vt:variant>
      <vt:variant>
        <vt:lpwstr>_ENREF_71</vt:lpwstr>
      </vt:variant>
      <vt:variant>
        <vt:i4>4718648</vt:i4>
      </vt:variant>
      <vt:variant>
        <vt:i4>2654</vt:i4>
      </vt:variant>
      <vt:variant>
        <vt:i4>0</vt:i4>
      </vt:variant>
      <vt:variant>
        <vt:i4>5</vt:i4>
      </vt:variant>
      <vt:variant>
        <vt:lpwstr/>
      </vt:variant>
      <vt:variant>
        <vt:lpwstr>_ENREF_93</vt:lpwstr>
      </vt:variant>
      <vt:variant>
        <vt:i4>4587577</vt:i4>
      </vt:variant>
      <vt:variant>
        <vt:i4>2648</vt:i4>
      </vt:variant>
      <vt:variant>
        <vt:i4>0</vt:i4>
      </vt:variant>
      <vt:variant>
        <vt:i4>5</vt:i4>
      </vt:variant>
      <vt:variant>
        <vt:lpwstr/>
      </vt:variant>
      <vt:variant>
        <vt:lpwstr>_ENREF_72</vt:lpwstr>
      </vt:variant>
      <vt:variant>
        <vt:i4>4587578</vt:i4>
      </vt:variant>
      <vt:variant>
        <vt:i4>2642</vt:i4>
      </vt:variant>
      <vt:variant>
        <vt:i4>0</vt:i4>
      </vt:variant>
      <vt:variant>
        <vt:i4>5</vt:i4>
      </vt:variant>
      <vt:variant>
        <vt:lpwstr/>
      </vt:variant>
      <vt:variant>
        <vt:lpwstr>_ENREF_71</vt:lpwstr>
      </vt:variant>
      <vt:variant>
        <vt:i4>4718648</vt:i4>
      </vt:variant>
      <vt:variant>
        <vt:i4>2630</vt:i4>
      </vt:variant>
      <vt:variant>
        <vt:i4>0</vt:i4>
      </vt:variant>
      <vt:variant>
        <vt:i4>5</vt:i4>
      </vt:variant>
      <vt:variant>
        <vt:lpwstr/>
      </vt:variant>
      <vt:variant>
        <vt:lpwstr>_ENREF_93</vt:lpwstr>
      </vt:variant>
      <vt:variant>
        <vt:i4>4784189</vt:i4>
      </vt:variant>
      <vt:variant>
        <vt:i4>2618</vt:i4>
      </vt:variant>
      <vt:variant>
        <vt:i4>0</vt:i4>
      </vt:variant>
      <vt:variant>
        <vt:i4>5</vt:i4>
      </vt:variant>
      <vt:variant>
        <vt:lpwstr/>
      </vt:variant>
      <vt:variant>
        <vt:lpwstr>_ENREF_86</vt:lpwstr>
      </vt:variant>
      <vt:variant>
        <vt:i4>4784139</vt:i4>
      </vt:variant>
      <vt:variant>
        <vt:i4>2609</vt:i4>
      </vt:variant>
      <vt:variant>
        <vt:i4>0</vt:i4>
      </vt:variant>
      <vt:variant>
        <vt:i4>5</vt:i4>
      </vt:variant>
      <vt:variant>
        <vt:lpwstr/>
      </vt:variant>
      <vt:variant>
        <vt:lpwstr>_ENREF_8</vt:lpwstr>
      </vt:variant>
      <vt:variant>
        <vt:i4>4587578</vt:i4>
      </vt:variant>
      <vt:variant>
        <vt:i4>2601</vt:i4>
      </vt:variant>
      <vt:variant>
        <vt:i4>0</vt:i4>
      </vt:variant>
      <vt:variant>
        <vt:i4>5</vt:i4>
      </vt:variant>
      <vt:variant>
        <vt:lpwstr/>
      </vt:variant>
      <vt:variant>
        <vt:lpwstr>_ENREF_71</vt:lpwstr>
      </vt:variant>
      <vt:variant>
        <vt:i4>4587579</vt:i4>
      </vt:variant>
      <vt:variant>
        <vt:i4>2595</vt:i4>
      </vt:variant>
      <vt:variant>
        <vt:i4>0</vt:i4>
      </vt:variant>
      <vt:variant>
        <vt:i4>5</vt:i4>
      </vt:variant>
      <vt:variant>
        <vt:lpwstr/>
      </vt:variant>
      <vt:variant>
        <vt:lpwstr>_ENREF_70</vt:lpwstr>
      </vt:variant>
      <vt:variant>
        <vt:i4>4456499</vt:i4>
      </vt:variant>
      <vt:variant>
        <vt:i4>2586</vt:i4>
      </vt:variant>
      <vt:variant>
        <vt:i4>0</vt:i4>
      </vt:variant>
      <vt:variant>
        <vt:i4>5</vt:i4>
      </vt:variant>
      <vt:variant>
        <vt:lpwstr/>
      </vt:variant>
      <vt:variant>
        <vt:lpwstr>_ENREF_58</vt:lpwstr>
      </vt:variant>
      <vt:variant>
        <vt:i4>4587577</vt:i4>
      </vt:variant>
      <vt:variant>
        <vt:i4>2577</vt:i4>
      </vt:variant>
      <vt:variant>
        <vt:i4>0</vt:i4>
      </vt:variant>
      <vt:variant>
        <vt:i4>5</vt:i4>
      </vt:variant>
      <vt:variant>
        <vt:lpwstr/>
      </vt:variant>
      <vt:variant>
        <vt:lpwstr>_ENREF_72</vt:lpwstr>
      </vt:variant>
      <vt:variant>
        <vt:i4>4653107</vt:i4>
      </vt:variant>
      <vt:variant>
        <vt:i4>2565</vt:i4>
      </vt:variant>
      <vt:variant>
        <vt:i4>0</vt:i4>
      </vt:variant>
      <vt:variant>
        <vt:i4>5</vt:i4>
      </vt:variant>
      <vt:variant>
        <vt:lpwstr/>
      </vt:variant>
      <vt:variant>
        <vt:lpwstr>_ENREF_68</vt:lpwstr>
      </vt:variant>
      <vt:variant>
        <vt:i4>4587578</vt:i4>
      </vt:variant>
      <vt:variant>
        <vt:i4>2553</vt:i4>
      </vt:variant>
      <vt:variant>
        <vt:i4>0</vt:i4>
      </vt:variant>
      <vt:variant>
        <vt:i4>5</vt:i4>
      </vt:variant>
      <vt:variant>
        <vt:lpwstr/>
      </vt:variant>
      <vt:variant>
        <vt:lpwstr>_ENREF_71</vt:lpwstr>
      </vt:variant>
      <vt:variant>
        <vt:i4>4653107</vt:i4>
      </vt:variant>
      <vt:variant>
        <vt:i4>2544</vt:i4>
      </vt:variant>
      <vt:variant>
        <vt:i4>0</vt:i4>
      </vt:variant>
      <vt:variant>
        <vt:i4>5</vt:i4>
      </vt:variant>
      <vt:variant>
        <vt:lpwstr/>
      </vt:variant>
      <vt:variant>
        <vt:lpwstr>_ENREF_68</vt:lpwstr>
      </vt:variant>
      <vt:variant>
        <vt:i4>4653107</vt:i4>
      </vt:variant>
      <vt:variant>
        <vt:i4>2538</vt:i4>
      </vt:variant>
      <vt:variant>
        <vt:i4>0</vt:i4>
      </vt:variant>
      <vt:variant>
        <vt:i4>5</vt:i4>
      </vt:variant>
      <vt:variant>
        <vt:lpwstr/>
      </vt:variant>
      <vt:variant>
        <vt:lpwstr>_ENREF_68</vt:lpwstr>
      </vt:variant>
      <vt:variant>
        <vt:i4>4522035</vt:i4>
      </vt:variant>
      <vt:variant>
        <vt:i4>2532</vt:i4>
      </vt:variant>
      <vt:variant>
        <vt:i4>0</vt:i4>
      </vt:variant>
      <vt:variant>
        <vt:i4>5</vt:i4>
      </vt:variant>
      <vt:variant>
        <vt:lpwstr/>
      </vt:variant>
      <vt:variant>
        <vt:lpwstr>_ENREF_48</vt:lpwstr>
      </vt:variant>
      <vt:variant>
        <vt:i4>4653118</vt:i4>
      </vt:variant>
      <vt:variant>
        <vt:i4>2526</vt:i4>
      </vt:variant>
      <vt:variant>
        <vt:i4>0</vt:i4>
      </vt:variant>
      <vt:variant>
        <vt:i4>5</vt:i4>
      </vt:variant>
      <vt:variant>
        <vt:lpwstr/>
      </vt:variant>
      <vt:variant>
        <vt:lpwstr>_ENREF_65</vt:lpwstr>
      </vt:variant>
      <vt:variant>
        <vt:i4>4456499</vt:i4>
      </vt:variant>
      <vt:variant>
        <vt:i4>2520</vt:i4>
      </vt:variant>
      <vt:variant>
        <vt:i4>0</vt:i4>
      </vt:variant>
      <vt:variant>
        <vt:i4>5</vt:i4>
      </vt:variant>
      <vt:variant>
        <vt:lpwstr/>
      </vt:variant>
      <vt:variant>
        <vt:lpwstr>_ENREF_58</vt:lpwstr>
      </vt:variant>
      <vt:variant>
        <vt:i4>4522044</vt:i4>
      </vt:variant>
      <vt:variant>
        <vt:i4>2514</vt:i4>
      </vt:variant>
      <vt:variant>
        <vt:i4>0</vt:i4>
      </vt:variant>
      <vt:variant>
        <vt:i4>5</vt:i4>
      </vt:variant>
      <vt:variant>
        <vt:lpwstr/>
      </vt:variant>
      <vt:variant>
        <vt:lpwstr>_ENREF_47</vt:lpwstr>
      </vt:variant>
      <vt:variant>
        <vt:i4>4784189</vt:i4>
      </vt:variant>
      <vt:variant>
        <vt:i4>2508</vt:i4>
      </vt:variant>
      <vt:variant>
        <vt:i4>0</vt:i4>
      </vt:variant>
      <vt:variant>
        <vt:i4>5</vt:i4>
      </vt:variant>
      <vt:variant>
        <vt:lpwstr/>
      </vt:variant>
      <vt:variant>
        <vt:lpwstr>_ENREF_86</vt:lpwstr>
      </vt:variant>
      <vt:variant>
        <vt:i4>4194362</vt:i4>
      </vt:variant>
      <vt:variant>
        <vt:i4>2496</vt:i4>
      </vt:variant>
      <vt:variant>
        <vt:i4>0</vt:i4>
      </vt:variant>
      <vt:variant>
        <vt:i4>5</vt:i4>
      </vt:variant>
      <vt:variant>
        <vt:lpwstr/>
      </vt:variant>
      <vt:variant>
        <vt:lpwstr>_ENREF_11</vt:lpwstr>
      </vt:variant>
      <vt:variant>
        <vt:i4>4718648</vt:i4>
      </vt:variant>
      <vt:variant>
        <vt:i4>2487</vt:i4>
      </vt:variant>
      <vt:variant>
        <vt:i4>0</vt:i4>
      </vt:variant>
      <vt:variant>
        <vt:i4>5</vt:i4>
      </vt:variant>
      <vt:variant>
        <vt:lpwstr/>
      </vt:variant>
      <vt:variant>
        <vt:lpwstr>_ENREF_93</vt:lpwstr>
      </vt:variant>
      <vt:variant>
        <vt:i4>4718648</vt:i4>
      </vt:variant>
      <vt:variant>
        <vt:i4>2475</vt:i4>
      </vt:variant>
      <vt:variant>
        <vt:i4>0</vt:i4>
      </vt:variant>
      <vt:variant>
        <vt:i4>5</vt:i4>
      </vt:variant>
      <vt:variant>
        <vt:lpwstr/>
      </vt:variant>
      <vt:variant>
        <vt:lpwstr>_ENREF_93</vt:lpwstr>
      </vt:variant>
      <vt:variant>
        <vt:i4>4653107</vt:i4>
      </vt:variant>
      <vt:variant>
        <vt:i4>2469</vt:i4>
      </vt:variant>
      <vt:variant>
        <vt:i4>0</vt:i4>
      </vt:variant>
      <vt:variant>
        <vt:i4>5</vt:i4>
      </vt:variant>
      <vt:variant>
        <vt:lpwstr/>
      </vt:variant>
      <vt:variant>
        <vt:lpwstr>_ENREF_68</vt:lpwstr>
      </vt:variant>
      <vt:variant>
        <vt:i4>4653107</vt:i4>
      </vt:variant>
      <vt:variant>
        <vt:i4>2457</vt:i4>
      </vt:variant>
      <vt:variant>
        <vt:i4>0</vt:i4>
      </vt:variant>
      <vt:variant>
        <vt:i4>5</vt:i4>
      </vt:variant>
      <vt:variant>
        <vt:lpwstr/>
      </vt:variant>
      <vt:variant>
        <vt:lpwstr>_ENREF_68</vt:lpwstr>
      </vt:variant>
      <vt:variant>
        <vt:i4>4653107</vt:i4>
      </vt:variant>
      <vt:variant>
        <vt:i4>2448</vt:i4>
      </vt:variant>
      <vt:variant>
        <vt:i4>0</vt:i4>
      </vt:variant>
      <vt:variant>
        <vt:i4>5</vt:i4>
      </vt:variant>
      <vt:variant>
        <vt:lpwstr/>
      </vt:variant>
      <vt:variant>
        <vt:lpwstr>_ENREF_68</vt:lpwstr>
      </vt:variant>
      <vt:variant>
        <vt:i4>4653118</vt:i4>
      </vt:variant>
      <vt:variant>
        <vt:i4>2442</vt:i4>
      </vt:variant>
      <vt:variant>
        <vt:i4>0</vt:i4>
      </vt:variant>
      <vt:variant>
        <vt:i4>5</vt:i4>
      </vt:variant>
      <vt:variant>
        <vt:lpwstr/>
      </vt:variant>
      <vt:variant>
        <vt:lpwstr>_ENREF_65</vt:lpwstr>
      </vt:variant>
      <vt:variant>
        <vt:i4>4522044</vt:i4>
      </vt:variant>
      <vt:variant>
        <vt:i4>2436</vt:i4>
      </vt:variant>
      <vt:variant>
        <vt:i4>0</vt:i4>
      </vt:variant>
      <vt:variant>
        <vt:i4>5</vt:i4>
      </vt:variant>
      <vt:variant>
        <vt:lpwstr/>
      </vt:variant>
      <vt:variant>
        <vt:lpwstr>_ENREF_47</vt:lpwstr>
      </vt:variant>
      <vt:variant>
        <vt:i4>4784189</vt:i4>
      </vt:variant>
      <vt:variant>
        <vt:i4>2430</vt:i4>
      </vt:variant>
      <vt:variant>
        <vt:i4>0</vt:i4>
      </vt:variant>
      <vt:variant>
        <vt:i4>5</vt:i4>
      </vt:variant>
      <vt:variant>
        <vt:lpwstr/>
      </vt:variant>
      <vt:variant>
        <vt:lpwstr>_ENREF_86</vt:lpwstr>
      </vt:variant>
      <vt:variant>
        <vt:i4>4522044</vt:i4>
      </vt:variant>
      <vt:variant>
        <vt:i4>2421</vt:i4>
      </vt:variant>
      <vt:variant>
        <vt:i4>0</vt:i4>
      </vt:variant>
      <vt:variant>
        <vt:i4>5</vt:i4>
      </vt:variant>
      <vt:variant>
        <vt:lpwstr/>
      </vt:variant>
      <vt:variant>
        <vt:lpwstr>_ENREF_47</vt:lpwstr>
      </vt:variant>
      <vt:variant>
        <vt:i4>4522044</vt:i4>
      </vt:variant>
      <vt:variant>
        <vt:i4>2412</vt:i4>
      </vt:variant>
      <vt:variant>
        <vt:i4>0</vt:i4>
      </vt:variant>
      <vt:variant>
        <vt:i4>5</vt:i4>
      </vt:variant>
      <vt:variant>
        <vt:lpwstr/>
      </vt:variant>
      <vt:variant>
        <vt:lpwstr>_ENREF_47</vt:lpwstr>
      </vt:variant>
      <vt:variant>
        <vt:i4>4784189</vt:i4>
      </vt:variant>
      <vt:variant>
        <vt:i4>2409</vt:i4>
      </vt:variant>
      <vt:variant>
        <vt:i4>0</vt:i4>
      </vt:variant>
      <vt:variant>
        <vt:i4>5</vt:i4>
      </vt:variant>
      <vt:variant>
        <vt:lpwstr/>
      </vt:variant>
      <vt:variant>
        <vt:lpwstr>_ENREF_86</vt:lpwstr>
      </vt:variant>
      <vt:variant>
        <vt:i4>4653118</vt:i4>
      </vt:variant>
      <vt:variant>
        <vt:i4>2406</vt:i4>
      </vt:variant>
      <vt:variant>
        <vt:i4>0</vt:i4>
      </vt:variant>
      <vt:variant>
        <vt:i4>5</vt:i4>
      </vt:variant>
      <vt:variant>
        <vt:lpwstr/>
      </vt:variant>
      <vt:variant>
        <vt:lpwstr>_ENREF_65</vt:lpwstr>
      </vt:variant>
      <vt:variant>
        <vt:i4>4784189</vt:i4>
      </vt:variant>
      <vt:variant>
        <vt:i4>2403</vt:i4>
      </vt:variant>
      <vt:variant>
        <vt:i4>0</vt:i4>
      </vt:variant>
      <vt:variant>
        <vt:i4>5</vt:i4>
      </vt:variant>
      <vt:variant>
        <vt:lpwstr/>
      </vt:variant>
      <vt:variant>
        <vt:lpwstr>_ENREF_86</vt:lpwstr>
      </vt:variant>
      <vt:variant>
        <vt:i4>4522044</vt:i4>
      </vt:variant>
      <vt:variant>
        <vt:i4>2400</vt:i4>
      </vt:variant>
      <vt:variant>
        <vt:i4>0</vt:i4>
      </vt:variant>
      <vt:variant>
        <vt:i4>5</vt:i4>
      </vt:variant>
      <vt:variant>
        <vt:lpwstr/>
      </vt:variant>
      <vt:variant>
        <vt:lpwstr>_ENREF_47</vt:lpwstr>
      </vt:variant>
      <vt:variant>
        <vt:i4>4653118</vt:i4>
      </vt:variant>
      <vt:variant>
        <vt:i4>2392</vt:i4>
      </vt:variant>
      <vt:variant>
        <vt:i4>0</vt:i4>
      </vt:variant>
      <vt:variant>
        <vt:i4>5</vt:i4>
      </vt:variant>
      <vt:variant>
        <vt:lpwstr/>
      </vt:variant>
      <vt:variant>
        <vt:lpwstr>_ENREF_65</vt:lpwstr>
      </vt:variant>
      <vt:variant>
        <vt:i4>4522044</vt:i4>
      </vt:variant>
      <vt:variant>
        <vt:i4>2386</vt:i4>
      </vt:variant>
      <vt:variant>
        <vt:i4>0</vt:i4>
      </vt:variant>
      <vt:variant>
        <vt:i4>5</vt:i4>
      </vt:variant>
      <vt:variant>
        <vt:lpwstr/>
      </vt:variant>
      <vt:variant>
        <vt:lpwstr>_ENREF_47</vt:lpwstr>
      </vt:variant>
      <vt:variant>
        <vt:i4>4718648</vt:i4>
      </vt:variant>
      <vt:variant>
        <vt:i4>2374</vt:i4>
      </vt:variant>
      <vt:variant>
        <vt:i4>0</vt:i4>
      </vt:variant>
      <vt:variant>
        <vt:i4>5</vt:i4>
      </vt:variant>
      <vt:variant>
        <vt:lpwstr/>
      </vt:variant>
      <vt:variant>
        <vt:lpwstr>_ENREF_93</vt:lpwstr>
      </vt:variant>
      <vt:variant>
        <vt:i4>4653107</vt:i4>
      </vt:variant>
      <vt:variant>
        <vt:i4>2365</vt:i4>
      </vt:variant>
      <vt:variant>
        <vt:i4>0</vt:i4>
      </vt:variant>
      <vt:variant>
        <vt:i4>5</vt:i4>
      </vt:variant>
      <vt:variant>
        <vt:lpwstr/>
      </vt:variant>
      <vt:variant>
        <vt:lpwstr>_ENREF_68</vt:lpwstr>
      </vt:variant>
      <vt:variant>
        <vt:i4>4653118</vt:i4>
      </vt:variant>
      <vt:variant>
        <vt:i4>2347</vt:i4>
      </vt:variant>
      <vt:variant>
        <vt:i4>0</vt:i4>
      </vt:variant>
      <vt:variant>
        <vt:i4>5</vt:i4>
      </vt:variant>
      <vt:variant>
        <vt:lpwstr/>
      </vt:variant>
      <vt:variant>
        <vt:lpwstr>_ENREF_65</vt:lpwstr>
      </vt:variant>
      <vt:variant>
        <vt:i4>4522044</vt:i4>
      </vt:variant>
      <vt:variant>
        <vt:i4>2341</vt:i4>
      </vt:variant>
      <vt:variant>
        <vt:i4>0</vt:i4>
      </vt:variant>
      <vt:variant>
        <vt:i4>5</vt:i4>
      </vt:variant>
      <vt:variant>
        <vt:lpwstr/>
      </vt:variant>
      <vt:variant>
        <vt:lpwstr>_ENREF_47</vt:lpwstr>
      </vt:variant>
      <vt:variant>
        <vt:i4>4653118</vt:i4>
      </vt:variant>
      <vt:variant>
        <vt:i4>2338</vt:i4>
      </vt:variant>
      <vt:variant>
        <vt:i4>0</vt:i4>
      </vt:variant>
      <vt:variant>
        <vt:i4>5</vt:i4>
      </vt:variant>
      <vt:variant>
        <vt:lpwstr/>
      </vt:variant>
      <vt:variant>
        <vt:lpwstr>_ENREF_65</vt:lpwstr>
      </vt:variant>
      <vt:variant>
        <vt:i4>4522044</vt:i4>
      </vt:variant>
      <vt:variant>
        <vt:i4>2335</vt:i4>
      </vt:variant>
      <vt:variant>
        <vt:i4>0</vt:i4>
      </vt:variant>
      <vt:variant>
        <vt:i4>5</vt:i4>
      </vt:variant>
      <vt:variant>
        <vt:lpwstr/>
      </vt:variant>
      <vt:variant>
        <vt:lpwstr>_ENREF_47</vt:lpwstr>
      </vt:variant>
      <vt:variant>
        <vt:i4>4718648</vt:i4>
      </vt:variant>
      <vt:variant>
        <vt:i4>2324</vt:i4>
      </vt:variant>
      <vt:variant>
        <vt:i4>0</vt:i4>
      </vt:variant>
      <vt:variant>
        <vt:i4>5</vt:i4>
      </vt:variant>
      <vt:variant>
        <vt:lpwstr/>
      </vt:variant>
      <vt:variant>
        <vt:lpwstr>_ENREF_93</vt:lpwstr>
      </vt:variant>
      <vt:variant>
        <vt:i4>4653118</vt:i4>
      </vt:variant>
      <vt:variant>
        <vt:i4>2312</vt:i4>
      </vt:variant>
      <vt:variant>
        <vt:i4>0</vt:i4>
      </vt:variant>
      <vt:variant>
        <vt:i4>5</vt:i4>
      </vt:variant>
      <vt:variant>
        <vt:lpwstr/>
      </vt:variant>
      <vt:variant>
        <vt:lpwstr>_ENREF_65</vt:lpwstr>
      </vt:variant>
      <vt:variant>
        <vt:i4>4522044</vt:i4>
      </vt:variant>
      <vt:variant>
        <vt:i4>2306</vt:i4>
      </vt:variant>
      <vt:variant>
        <vt:i4>0</vt:i4>
      </vt:variant>
      <vt:variant>
        <vt:i4>5</vt:i4>
      </vt:variant>
      <vt:variant>
        <vt:lpwstr/>
      </vt:variant>
      <vt:variant>
        <vt:lpwstr>_ENREF_47</vt:lpwstr>
      </vt:variant>
      <vt:variant>
        <vt:i4>4784189</vt:i4>
      </vt:variant>
      <vt:variant>
        <vt:i4>2300</vt:i4>
      </vt:variant>
      <vt:variant>
        <vt:i4>0</vt:i4>
      </vt:variant>
      <vt:variant>
        <vt:i4>5</vt:i4>
      </vt:variant>
      <vt:variant>
        <vt:lpwstr/>
      </vt:variant>
      <vt:variant>
        <vt:lpwstr>_ENREF_86</vt:lpwstr>
      </vt:variant>
      <vt:variant>
        <vt:i4>4653107</vt:i4>
      </vt:variant>
      <vt:variant>
        <vt:i4>2288</vt:i4>
      </vt:variant>
      <vt:variant>
        <vt:i4>0</vt:i4>
      </vt:variant>
      <vt:variant>
        <vt:i4>5</vt:i4>
      </vt:variant>
      <vt:variant>
        <vt:lpwstr/>
      </vt:variant>
      <vt:variant>
        <vt:lpwstr>_ENREF_68</vt:lpwstr>
      </vt:variant>
      <vt:variant>
        <vt:i4>4587578</vt:i4>
      </vt:variant>
      <vt:variant>
        <vt:i4>2273</vt:i4>
      </vt:variant>
      <vt:variant>
        <vt:i4>0</vt:i4>
      </vt:variant>
      <vt:variant>
        <vt:i4>5</vt:i4>
      </vt:variant>
      <vt:variant>
        <vt:lpwstr/>
      </vt:variant>
      <vt:variant>
        <vt:lpwstr>_ENREF_71</vt:lpwstr>
      </vt:variant>
      <vt:variant>
        <vt:i4>4587579</vt:i4>
      </vt:variant>
      <vt:variant>
        <vt:i4>2267</vt:i4>
      </vt:variant>
      <vt:variant>
        <vt:i4>0</vt:i4>
      </vt:variant>
      <vt:variant>
        <vt:i4>5</vt:i4>
      </vt:variant>
      <vt:variant>
        <vt:lpwstr/>
      </vt:variant>
      <vt:variant>
        <vt:lpwstr>_ENREF_70</vt:lpwstr>
      </vt:variant>
      <vt:variant>
        <vt:i4>4718648</vt:i4>
      </vt:variant>
      <vt:variant>
        <vt:i4>2258</vt:i4>
      </vt:variant>
      <vt:variant>
        <vt:i4>0</vt:i4>
      </vt:variant>
      <vt:variant>
        <vt:i4>5</vt:i4>
      </vt:variant>
      <vt:variant>
        <vt:lpwstr/>
      </vt:variant>
      <vt:variant>
        <vt:lpwstr>_ENREF_93</vt:lpwstr>
      </vt:variant>
      <vt:variant>
        <vt:i4>4522044</vt:i4>
      </vt:variant>
      <vt:variant>
        <vt:i4>2246</vt:i4>
      </vt:variant>
      <vt:variant>
        <vt:i4>0</vt:i4>
      </vt:variant>
      <vt:variant>
        <vt:i4>5</vt:i4>
      </vt:variant>
      <vt:variant>
        <vt:lpwstr/>
      </vt:variant>
      <vt:variant>
        <vt:lpwstr>_ENREF_47</vt:lpwstr>
      </vt:variant>
      <vt:variant>
        <vt:i4>4784189</vt:i4>
      </vt:variant>
      <vt:variant>
        <vt:i4>2243</vt:i4>
      </vt:variant>
      <vt:variant>
        <vt:i4>0</vt:i4>
      </vt:variant>
      <vt:variant>
        <vt:i4>5</vt:i4>
      </vt:variant>
      <vt:variant>
        <vt:lpwstr/>
      </vt:variant>
      <vt:variant>
        <vt:lpwstr>_ENREF_86</vt:lpwstr>
      </vt:variant>
      <vt:variant>
        <vt:i4>4653118</vt:i4>
      </vt:variant>
      <vt:variant>
        <vt:i4>2240</vt:i4>
      </vt:variant>
      <vt:variant>
        <vt:i4>0</vt:i4>
      </vt:variant>
      <vt:variant>
        <vt:i4>5</vt:i4>
      </vt:variant>
      <vt:variant>
        <vt:lpwstr/>
      </vt:variant>
      <vt:variant>
        <vt:lpwstr>_ENREF_65</vt:lpwstr>
      </vt:variant>
      <vt:variant>
        <vt:i4>4784189</vt:i4>
      </vt:variant>
      <vt:variant>
        <vt:i4>2237</vt:i4>
      </vt:variant>
      <vt:variant>
        <vt:i4>0</vt:i4>
      </vt:variant>
      <vt:variant>
        <vt:i4>5</vt:i4>
      </vt:variant>
      <vt:variant>
        <vt:lpwstr/>
      </vt:variant>
      <vt:variant>
        <vt:lpwstr>_ENREF_86</vt:lpwstr>
      </vt:variant>
      <vt:variant>
        <vt:i4>4522044</vt:i4>
      </vt:variant>
      <vt:variant>
        <vt:i4>2234</vt:i4>
      </vt:variant>
      <vt:variant>
        <vt:i4>0</vt:i4>
      </vt:variant>
      <vt:variant>
        <vt:i4>5</vt:i4>
      </vt:variant>
      <vt:variant>
        <vt:lpwstr/>
      </vt:variant>
      <vt:variant>
        <vt:lpwstr>_ENREF_47</vt:lpwstr>
      </vt:variant>
      <vt:variant>
        <vt:i4>4653107</vt:i4>
      </vt:variant>
      <vt:variant>
        <vt:i4>2226</vt:i4>
      </vt:variant>
      <vt:variant>
        <vt:i4>0</vt:i4>
      </vt:variant>
      <vt:variant>
        <vt:i4>5</vt:i4>
      </vt:variant>
      <vt:variant>
        <vt:lpwstr/>
      </vt:variant>
      <vt:variant>
        <vt:lpwstr>_ENREF_68</vt:lpwstr>
      </vt:variant>
      <vt:variant>
        <vt:i4>4587578</vt:i4>
      </vt:variant>
      <vt:variant>
        <vt:i4>2217</vt:i4>
      </vt:variant>
      <vt:variant>
        <vt:i4>0</vt:i4>
      </vt:variant>
      <vt:variant>
        <vt:i4>5</vt:i4>
      </vt:variant>
      <vt:variant>
        <vt:lpwstr/>
      </vt:variant>
      <vt:variant>
        <vt:lpwstr>_ENREF_71</vt:lpwstr>
      </vt:variant>
      <vt:variant>
        <vt:i4>4587579</vt:i4>
      </vt:variant>
      <vt:variant>
        <vt:i4>2214</vt:i4>
      </vt:variant>
      <vt:variant>
        <vt:i4>0</vt:i4>
      </vt:variant>
      <vt:variant>
        <vt:i4>5</vt:i4>
      </vt:variant>
      <vt:variant>
        <vt:lpwstr/>
      </vt:variant>
      <vt:variant>
        <vt:lpwstr>_ENREF_70</vt:lpwstr>
      </vt:variant>
      <vt:variant>
        <vt:i4>4587577</vt:i4>
      </vt:variant>
      <vt:variant>
        <vt:i4>2211</vt:i4>
      </vt:variant>
      <vt:variant>
        <vt:i4>0</vt:i4>
      </vt:variant>
      <vt:variant>
        <vt:i4>5</vt:i4>
      </vt:variant>
      <vt:variant>
        <vt:lpwstr/>
      </vt:variant>
      <vt:variant>
        <vt:lpwstr>_ENREF_72</vt:lpwstr>
      </vt:variant>
      <vt:variant>
        <vt:i4>4653106</vt:i4>
      </vt:variant>
      <vt:variant>
        <vt:i4>2208</vt:i4>
      </vt:variant>
      <vt:variant>
        <vt:i4>0</vt:i4>
      </vt:variant>
      <vt:variant>
        <vt:i4>5</vt:i4>
      </vt:variant>
      <vt:variant>
        <vt:lpwstr/>
      </vt:variant>
      <vt:variant>
        <vt:lpwstr>_ENREF_69</vt:lpwstr>
      </vt:variant>
      <vt:variant>
        <vt:i4>4653107</vt:i4>
      </vt:variant>
      <vt:variant>
        <vt:i4>2205</vt:i4>
      </vt:variant>
      <vt:variant>
        <vt:i4>0</vt:i4>
      </vt:variant>
      <vt:variant>
        <vt:i4>5</vt:i4>
      </vt:variant>
      <vt:variant>
        <vt:lpwstr/>
      </vt:variant>
      <vt:variant>
        <vt:lpwstr>_ENREF_68</vt:lpwstr>
      </vt:variant>
      <vt:variant>
        <vt:i4>4784139</vt:i4>
      </vt:variant>
      <vt:variant>
        <vt:i4>2202</vt:i4>
      </vt:variant>
      <vt:variant>
        <vt:i4>0</vt:i4>
      </vt:variant>
      <vt:variant>
        <vt:i4>5</vt:i4>
      </vt:variant>
      <vt:variant>
        <vt:lpwstr/>
      </vt:variant>
      <vt:variant>
        <vt:lpwstr>_ENREF_8</vt:lpwstr>
      </vt:variant>
      <vt:variant>
        <vt:i4>4194364</vt:i4>
      </vt:variant>
      <vt:variant>
        <vt:i4>2191</vt:i4>
      </vt:variant>
      <vt:variant>
        <vt:i4>0</vt:i4>
      </vt:variant>
      <vt:variant>
        <vt:i4>5</vt:i4>
      </vt:variant>
      <vt:variant>
        <vt:lpwstr/>
      </vt:variant>
      <vt:variant>
        <vt:lpwstr>_ENREF_17</vt:lpwstr>
      </vt:variant>
      <vt:variant>
        <vt:i4>4194364</vt:i4>
      </vt:variant>
      <vt:variant>
        <vt:i4>2185</vt:i4>
      </vt:variant>
      <vt:variant>
        <vt:i4>0</vt:i4>
      </vt:variant>
      <vt:variant>
        <vt:i4>5</vt:i4>
      </vt:variant>
      <vt:variant>
        <vt:lpwstr/>
      </vt:variant>
      <vt:variant>
        <vt:lpwstr>_ENREF_17</vt:lpwstr>
      </vt:variant>
      <vt:variant>
        <vt:i4>4194354</vt:i4>
      </vt:variant>
      <vt:variant>
        <vt:i4>2165</vt:i4>
      </vt:variant>
      <vt:variant>
        <vt:i4>0</vt:i4>
      </vt:variant>
      <vt:variant>
        <vt:i4>5</vt:i4>
      </vt:variant>
      <vt:variant>
        <vt:lpwstr/>
      </vt:variant>
      <vt:variant>
        <vt:lpwstr>_ENREF_19</vt:lpwstr>
      </vt:variant>
      <vt:variant>
        <vt:i4>4456504</vt:i4>
      </vt:variant>
      <vt:variant>
        <vt:i4>2159</vt:i4>
      </vt:variant>
      <vt:variant>
        <vt:i4>0</vt:i4>
      </vt:variant>
      <vt:variant>
        <vt:i4>5</vt:i4>
      </vt:variant>
      <vt:variant>
        <vt:lpwstr/>
      </vt:variant>
      <vt:variant>
        <vt:lpwstr>_ENREF_53</vt:lpwstr>
      </vt:variant>
      <vt:variant>
        <vt:i4>4718648</vt:i4>
      </vt:variant>
      <vt:variant>
        <vt:i4>2153</vt:i4>
      </vt:variant>
      <vt:variant>
        <vt:i4>0</vt:i4>
      </vt:variant>
      <vt:variant>
        <vt:i4>5</vt:i4>
      </vt:variant>
      <vt:variant>
        <vt:lpwstr/>
      </vt:variant>
      <vt:variant>
        <vt:lpwstr>_ENREF_93</vt:lpwstr>
      </vt:variant>
      <vt:variant>
        <vt:i4>4325427</vt:i4>
      </vt:variant>
      <vt:variant>
        <vt:i4>2147</vt:i4>
      </vt:variant>
      <vt:variant>
        <vt:i4>0</vt:i4>
      </vt:variant>
      <vt:variant>
        <vt:i4>5</vt:i4>
      </vt:variant>
      <vt:variant>
        <vt:lpwstr/>
      </vt:variant>
      <vt:variant>
        <vt:lpwstr>_ENREF_38</vt:lpwstr>
      </vt:variant>
      <vt:variant>
        <vt:i4>4325427</vt:i4>
      </vt:variant>
      <vt:variant>
        <vt:i4>2141</vt:i4>
      </vt:variant>
      <vt:variant>
        <vt:i4>0</vt:i4>
      </vt:variant>
      <vt:variant>
        <vt:i4>5</vt:i4>
      </vt:variant>
      <vt:variant>
        <vt:lpwstr/>
      </vt:variant>
      <vt:variant>
        <vt:lpwstr>_ENREF_38</vt:lpwstr>
      </vt:variant>
      <vt:variant>
        <vt:i4>4325427</vt:i4>
      </vt:variant>
      <vt:variant>
        <vt:i4>2129</vt:i4>
      </vt:variant>
      <vt:variant>
        <vt:i4>0</vt:i4>
      </vt:variant>
      <vt:variant>
        <vt:i4>5</vt:i4>
      </vt:variant>
      <vt:variant>
        <vt:lpwstr/>
      </vt:variant>
      <vt:variant>
        <vt:lpwstr>_ENREF_38</vt:lpwstr>
      </vt:variant>
      <vt:variant>
        <vt:i4>4194366</vt:i4>
      </vt:variant>
      <vt:variant>
        <vt:i4>2123</vt:i4>
      </vt:variant>
      <vt:variant>
        <vt:i4>0</vt:i4>
      </vt:variant>
      <vt:variant>
        <vt:i4>5</vt:i4>
      </vt:variant>
      <vt:variant>
        <vt:lpwstr/>
      </vt:variant>
      <vt:variant>
        <vt:lpwstr>_ENREF_15</vt:lpwstr>
      </vt:variant>
      <vt:variant>
        <vt:i4>4784185</vt:i4>
      </vt:variant>
      <vt:variant>
        <vt:i4>2117</vt:i4>
      </vt:variant>
      <vt:variant>
        <vt:i4>0</vt:i4>
      </vt:variant>
      <vt:variant>
        <vt:i4>5</vt:i4>
      </vt:variant>
      <vt:variant>
        <vt:lpwstr/>
      </vt:variant>
      <vt:variant>
        <vt:lpwstr>_ENREF_82</vt:lpwstr>
      </vt:variant>
      <vt:variant>
        <vt:i4>4784185</vt:i4>
      </vt:variant>
      <vt:variant>
        <vt:i4>2111</vt:i4>
      </vt:variant>
      <vt:variant>
        <vt:i4>0</vt:i4>
      </vt:variant>
      <vt:variant>
        <vt:i4>5</vt:i4>
      </vt:variant>
      <vt:variant>
        <vt:lpwstr/>
      </vt:variant>
      <vt:variant>
        <vt:lpwstr>_ENREF_82</vt:lpwstr>
      </vt:variant>
      <vt:variant>
        <vt:i4>4784185</vt:i4>
      </vt:variant>
      <vt:variant>
        <vt:i4>2105</vt:i4>
      </vt:variant>
      <vt:variant>
        <vt:i4>0</vt:i4>
      </vt:variant>
      <vt:variant>
        <vt:i4>5</vt:i4>
      </vt:variant>
      <vt:variant>
        <vt:lpwstr/>
      </vt:variant>
      <vt:variant>
        <vt:lpwstr>_ENREF_82</vt:lpwstr>
      </vt:variant>
      <vt:variant>
        <vt:i4>4194366</vt:i4>
      </vt:variant>
      <vt:variant>
        <vt:i4>2102</vt:i4>
      </vt:variant>
      <vt:variant>
        <vt:i4>0</vt:i4>
      </vt:variant>
      <vt:variant>
        <vt:i4>5</vt:i4>
      </vt:variant>
      <vt:variant>
        <vt:lpwstr/>
      </vt:variant>
      <vt:variant>
        <vt:lpwstr>_ENREF_15</vt:lpwstr>
      </vt:variant>
      <vt:variant>
        <vt:i4>4718603</vt:i4>
      </vt:variant>
      <vt:variant>
        <vt:i4>2099</vt:i4>
      </vt:variant>
      <vt:variant>
        <vt:i4>0</vt:i4>
      </vt:variant>
      <vt:variant>
        <vt:i4>5</vt:i4>
      </vt:variant>
      <vt:variant>
        <vt:lpwstr/>
      </vt:variant>
      <vt:variant>
        <vt:lpwstr>_ENREF_9</vt:lpwstr>
      </vt:variant>
      <vt:variant>
        <vt:i4>4718650</vt:i4>
      </vt:variant>
      <vt:variant>
        <vt:i4>2091</vt:i4>
      </vt:variant>
      <vt:variant>
        <vt:i4>0</vt:i4>
      </vt:variant>
      <vt:variant>
        <vt:i4>5</vt:i4>
      </vt:variant>
      <vt:variant>
        <vt:lpwstr/>
      </vt:variant>
      <vt:variant>
        <vt:lpwstr>_ENREF_91</vt:lpwstr>
      </vt:variant>
      <vt:variant>
        <vt:i4>4718643</vt:i4>
      </vt:variant>
      <vt:variant>
        <vt:i4>2085</vt:i4>
      </vt:variant>
      <vt:variant>
        <vt:i4>0</vt:i4>
      </vt:variant>
      <vt:variant>
        <vt:i4>5</vt:i4>
      </vt:variant>
      <vt:variant>
        <vt:lpwstr/>
      </vt:variant>
      <vt:variant>
        <vt:lpwstr>_ENREF_98</vt:lpwstr>
      </vt:variant>
      <vt:variant>
        <vt:i4>4194366</vt:i4>
      </vt:variant>
      <vt:variant>
        <vt:i4>2082</vt:i4>
      </vt:variant>
      <vt:variant>
        <vt:i4>0</vt:i4>
      </vt:variant>
      <vt:variant>
        <vt:i4>5</vt:i4>
      </vt:variant>
      <vt:variant>
        <vt:lpwstr/>
      </vt:variant>
      <vt:variant>
        <vt:lpwstr>_ENREF_15</vt:lpwstr>
      </vt:variant>
      <vt:variant>
        <vt:i4>4718643</vt:i4>
      </vt:variant>
      <vt:variant>
        <vt:i4>2076</vt:i4>
      </vt:variant>
      <vt:variant>
        <vt:i4>0</vt:i4>
      </vt:variant>
      <vt:variant>
        <vt:i4>5</vt:i4>
      </vt:variant>
      <vt:variant>
        <vt:lpwstr/>
      </vt:variant>
      <vt:variant>
        <vt:lpwstr>_ENREF_98</vt:lpwstr>
      </vt:variant>
      <vt:variant>
        <vt:i4>4194366</vt:i4>
      </vt:variant>
      <vt:variant>
        <vt:i4>2073</vt:i4>
      </vt:variant>
      <vt:variant>
        <vt:i4>0</vt:i4>
      </vt:variant>
      <vt:variant>
        <vt:i4>5</vt:i4>
      </vt:variant>
      <vt:variant>
        <vt:lpwstr/>
      </vt:variant>
      <vt:variant>
        <vt:lpwstr>_ENREF_15</vt:lpwstr>
      </vt:variant>
      <vt:variant>
        <vt:i4>4718649</vt:i4>
      </vt:variant>
      <vt:variant>
        <vt:i4>2061</vt:i4>
      </vt:variant>
      <vt:variant>
        <vt:i4>0</vt:i4>
      </vt:variant>
      <vt:variant>
        <vt:i4>5</vt:i4>
      </vt:variant>
      <vt:variant>
        <vt:lpwstr/>
      </vt:variant>
      <vt:variant>
        <vt:lpwstr>_ENREF_92</vt:lpwstr>
      </vt:variant>
      <vt:variant>
        <vt:i4>4784187</vt:i4>
      </vt:variant>
      <vt:variant>
        <vt:i4>2055</vt:i4>
      </vt:variant>
      <vt:variant>
        <vt:i4>0</vt:i4>
      </vt:variant>
      <vt:variant>
        <vt:i4>5</vt:i4>
      </vt:variant>
      <vt:variant>
        <vt:lpwstr/>
      </vt:variant>
      <vt:variant>
        <vt:lpwstr>_ENREF_80</vt:lpwstr>
      </vt:variant>
      <vt:variant>
        <vt:i4>4390974</vt:i4>
      </vt:variant>
      <vt:variant>
        <vt:i4>2052</vt:i4>
      </vt:variant>
      <vt:variant>
        <vt:i4>0</vt:i4>
      </vt:variant>
      <vt:variant>
        <vt:i4>5</vt:i4>
      </vt:variant>
      <vt:variant>
        <vt:lpwstr/>
      </vt:variant>
      <vt:variant>
        <vt:lpwstr>_ENREF_25</vt:lpwstr>
      </vt:variant>
      <vt:variant>
        <vt:i4>4718649</vt:i4>
      </vt:variant>
      <vt:variant>
        <vt:i4>2046</vt:i4>
      </vt:variant>
      <vt:variant>
        <vt:i4>0</vt:i4>
      </vt:variant>
      <vt:variant>
        <vt:i4>5</vt:i4>
      </vt:variant>
      <vt:variant>
        <vt:lpwstr/>
      </vt:variant>
      <vt:variant>
        <vt:lpwstr>_ENREF_92</vt:lpwstr>
      </vt:variant>
      <vt:variant>
        <vt:i4>4587578</vt:i4>
      </vt:variant>
      <vt:variant>
        <vt:i4>2043</vt:i4>
      </vt:variant>
      <vt:variant>
        <vt:i4>0</vt:i4>
      </vt:variant>
      <vt:variant>
        <vt:i4>5</vt:i4>
      </vt:variant>
      <vt:variant>
        <vt:lpwstr/>
      </vt:variant>
      <vt:variant>
        <vt:lpwstr>_ENREF_71</vt:lpwstr>
      </vt:variant>
      <vt:variant>
        <vt:i4>4587579</vt:i4>
      </vt:variant>
      <vt:variant>
        <vt:i4>2040</vt:i4>
      </vt:variant>
      <vt:variant>
        <vt:i4>0</vt:i4>
      </vt:variant>
      <vt:variant>
        <vt:i4>5</vt:i4>
      </vt:variant>
      <vt:variant>
        <vt:lpwstr/>
      </vt:variant>
      <vt:variant>
        <vt:lpwstr>_ENREF_70</vt:lpwstr>
      </vt:variant>
      <vt:variant>
        <vt:i4>4194366</vt:i4>
      </vt:variant>
      <vt:variant>
        <vt:i4>2032</vt:i4>
      </vt:variant>
      <vt:variant>
        <vt:i4>0</vt:i4>
      </vt:variant>
      <vt:variant>
        <vt:i4>5</vt:i4>
      </vt:variant>
      <vt:variant>
        <vt:lpwstr/>
      </vt:variant>
      <vt:variant>
        <vt:lpwstr>_ENREF_15</vt:lpwstr>
      </vt:variant>
      <vt:variant>
        <vt:i4>4784185</vt:i4>
      </vt:variant>
      <vt:variant>
        <vt:i4>2026</vt:i4>
      </vt:variant>
      <vt:variant>
        <vt:i4>0</vt:i4>
      </vt:variant>
      <vt:variant>
        <vt:i4>5</vt:i4>
      </vt:variant>
      <vt:variant>
        <vt:lpwstr/>
      </vt:variant>
      <vt:variant>
        <vt:lpwstr>_ENREF_82</vt:lpwstr>
      </vt:variant>
      <vt:variant>
        <vt:i4>4194366</vt:i4>
      </vt:variant>
      <vt:variant>
        <vt:i4>2020</vt:i4>
      </vt:variant>
      <vt:variant>
        <vt:i4>0</vt:i4>
      </vt:variant>
      <vt:variant>
        <vt:i4>5</vt:i4>
      </vt:variant>
      <vt:variant>
        <vt:lpwstr/>
      </vt:variant>
      <vt:variant>
        <vt:lpwstr>_ENREF_15</vt:lpwstr>
      </vt:variant>
      <vt:variant>
        <vt:i4>4784187</vt:i4>
      </vt:variant>
      <vt:variant>
        <vt:i4>2014</vt:i4>
      </vt:variant>
      <vt:variant>
        <vt:i4>0</vt:i4>
      </vt:variant>
      <vt:variant>
        <vt:i4>5</vt:i4>
      </vt:variant>
      <vt:variant>
        <vt:lpwstr/>
      </vt:variant>
      <vt:variant>
        <vt:lpwstr>_ENREF_80</vt:lpwstr>
      </vt:variant>
      <vt:variant>
        <vt:i4>4194366</vt:i4>
      </vt:variant>
      <vt:variant>
        <vt:i4>2011</vt:i4>
      </vt:variant>
      <vt:variant>
        <vt:i4>0</vt:i4>
      </vt:variant>
      <vt:variant>
        <vt:i4>5</vt:i4>
      </vt:variant>
      <vt:variant>
        <vt:lpwstr/>
      </vt:variant>
      <vt:variant>
        <vt:lpwstr>_ENREF_15</vt:lpwstr>
      </vt:variant>
      <vt:variant>
        <vt:i4>4194355</vt:i4>
      </vt:variant>
      <vt:variant>
        <vt:i4>2002</vt:i4>
      </vt:variant>
      <vt:variant>
        <vt:i4>0</vt:i4>
      </vt:variant>
      <vt:variant>
        <vt:i4>5</vt:i4>
      </vt:variant>
      <vt:variant>
        <vt:lpwstr/>
      </vt:variant>
      <vt:variant>
        <vt:lpwstr>_ENREF_18</vt:lpwstr>
      </vt:variant>
      <vt:variant>
        <vt:i4>4784190</vt:i4>
      </vt:variant>
      <vt:variant>
        <vt:i4>1996</vt:i4>
      </vt:variant>
      <vt:variant>
        <vt:i4>0</vt:i4>
      </vt:variant>
      <vt:variant>
        <vt:i4>5</vt:i4>
      </vt:variant>
      <vt:variant>
        <vt:lpwstr/>
      </vt:variant>
      <vt:variant>
        <vt:lpwstr>_ENREF_85</vt:lpwstr>
      </vt:variant>
      <vt:variant>
        <vt:i4>4718655</vt:i4>
      </vt:variant>
      <vt:variant>
        <vt:i4>1990</vt:i4>
      </vt:variant>
      <vt:variant>
        <vt:i4>0</vt:i4>
      </vt:variant>
      <vt:variant>
        <vt:i4>5</vt:i4>
      </vt:variant>
      <vt:variant>
        <vt:lpwstr/>
      </vt:variant>
      <vt:variant>
        <vt:lpwstr>_ENREF_94</vt:lpwstr>
      </vt:variant>
      <vt:variant>
        <vt:i4>4587580</vt:i4>
      </vt:variant>
      <vt:variant>
        <vt:i4>1987</vt:i4>
      </vt:variant>
      <vt:variant>
        <vt:i4>0</vt:i4>
      </vt:variant>
      <vt:variant>
        <vt:i4>5</vt:i4>
      </vt:variant>
      <vt:variant>
        <vt:lpwstr/>
      </vt:variant>
      <vt:variant>
        <vt:lpwstr>_ENREF_77</vt:lpwstr>
      </vt:variant>
      <vt:variant>
        <vt:i4>4587531</vt:i4>
      </vt:variant>
      <vt:variant>
        <vt:i4>1981</vt:i4>
      </vt:variant>
      <vt:variant>
        <vt:i4>0</vt:i4>
      </vt:variant>
      <vt:variant>
        <vt:i4>5</vt:i4>
      </vt:variant>
      <vt:variant>
        <vt:lpwstr/>
      </vt:variant>
      <vt:variant>
        <vt:lpwstr>_ENREF_7</vt:lpwstr>
      </vt:variant>
      <vt:variant>
        <vt:i4>4521995</vt:i4>
      </vt:variant>
      <vt:variant>
        <vt:i4>1975</vt:i4>
      </vt:variant>
      <vt:variant>
        <vt:i4>0</vt:i4>
      </vt:variant>
      <vt:variant>
        <vt:i4>5</vt:i4>
      </vt:variant>
      <vt:variant>
        <vt:lpwstr/>
      </vt:variant>
      <vt:variant>
        <vt:lpwstr>_ENREF_4</vt:lpwstr>
      </vt:variant>
      <vt:variant>
        <vt:i4>4784191</vt:i4>
      </vt:variant>
      <vt:variant>
        <vt:i4>1969</vt:i4>
      </vt:variant>
      <vt:variant>
        <vt:i4>0</vt:i4>
      </vt:variant>
      <vt:variant>
        <vt:i4>5</vt:i4>
      </vt:variant>
      <vt:variant>
        <vt:lpwstr/>
      </vt:variant>
      <vt:variant>
        <vt:lpwstr>_ENREF_84</vt:lpwstr>
      </vt:variant>
      <vt:variant>
        <vt:i4>4456505</vt:i4>
      </vt:variant>
      <vt:variant>
        <vt:i4>1963</vt:i4>
      </vt:variant>
      <vt:variant>
        <vt:i4>0</vt:i4>
      </vt:variant>
      <vt:variant>
        <vt:i4>5</vt:i4>
      </vt:variant>
      <vt:variant>
        <vt:lpwstr/>
      </vt:variant>
      <vt:variant>
        <vt:lpwstr>_ENREF_52</vt:lpwstr>
      </vt:variant>
      <vt:variant>
        <vt:i4>4718642</vt:i4>
      </vt:variant>
      <vt:variant>
        <vt:i4>1957</vt:i4>
      </vt:variant>
      <vt:variant>
        <vt:i4>0</vt:i4>
      </vt:variant>
      <vt:variant>
        <vt:i4>5</vt:i4>
      </vt:variant>
      <vt:variant>
        <vt:lpwstr/>
      </vt:variant>
      <vt:variant>
        <vt:lpwstr>_ENREF_99</vt:lpwstr>
      </vt:variant>
      <vt:variant>
        <vt:i4>4653116</vt:i4>
      </vt:variant>
      <vt:variant>
        <vt:i4>1954</vt:i4>
      </vt:variant>
      <vt:variant>
        <vt:i4>0</vt:i4>
      </vt:variant>
      <vt:variant>
        <vt:i4>5</vt:i4>
      </vt:variant>
      <vt:variant>
        <vt:lpwstr/>
      </vt:variant>
      <vt:variant>
        <vt:lpwstr>_ENREF_67</vt:lpwstr>
      </vt:variant>
      <vt:variant>
        <vt:i4>4587576</vt:i4>
      </vt:variant>
      <vt:variant>
        <vt:i4>1948</vt:i4>
      </vt:variant>
      <vt:variant>
        <vt:i4>0</vt:i4>
      </vt:variant>
      <vt:variant>
        <vt:i4>5</vt:i4>
      </vt:variant>
      <vt:variant>
        <vt:lpwstr/>
      </vt:variant>
      <vt:variant>
        <vt:lpwstr>_ENREF_73</vt:lpwstr>
      </vt:variant>
      <vt:variant>
        <vt:i4>4325436</vt:i4>
      </vt:variant>
      <vt:variant>
        <vt:i4>1942</vt:i4>
      </vt:variant>
      <vt:variant>
        <vt:i4>0</vt:i4>
      </vt:variant>
      <vt:variant>
        <vt:i4>5</vt:i4>
      </vt:variant>
      <vt:variant>
        <vt:lpwstr/>
      </vt:variant>
      <vt:variant>
        <vt:lpwstr>_ENREF_37</vt:lpwstr>
      </vt:variant>
      <vt:variant>
        <vt:i4>4718653</vt:i4>
      </vt:variant>
      <vt:variant>
        <vt:i4>1928</vt:i4>
      </vt:variant>
      <vt:variant>
        <vt:i4>0</vt:i4>
      </vt:variant>
      <vt:variant>
        <vt:i4>5</vt:i4>
      </vt:variant>
      <vt:variant>
        <vt:lpwstr/>
      </vt:variant>
      <vt:variant>
        <vt:lpwstr>_ENREF_96</vt:lpwstr>
      </vt:variant>
      <vt:variant>
        <vt:i4>4325436</vt:i4>
      </vt:variant>
      <vt:variant>
        <vt:i4>1920</vt:i4>
      </vt:variant>
      <vt:variant>
        <vt:i4>0</vt:i4>
      </vt:variant>
      <vt:variant>
        <vt:i4>5</vt:i4>
      </vt:variant>
      <vt:variant>
        <vt:lpwstr/>
      </vt:variant>
      <vt:variant>
        <vt:lpwstr>_ENREF_37</vt:lpwstr>
      </vt:variant>
      <vt:variant>
        <vt:i4>4325436</vt:i4>
      </vt:variant>
      <vt:variant>
        <vt:i4>1906</vt:i4>
      </vt:variant>
      <vt:variant>
        <vt:i4>0</vt:i4>
      </vt:variant>
      <vt:variant>
        <vt:i4>5</vt:i4>
      </vt:variant>
      <vt:variant>
        <vt:lpwstr/>
      </vt:variant>
      <vt:variant>
        <vt:lpwstr>_ENREF_37</vt:lpwstr>
      </vt:variant>
      <vt:variant>
        <vt:i4>4784185</vt:i4>
      </vt:variant>
      <vt:variant>
        <vt:i4>1900</vt:i4>
      </vt:variant>
      <vt:variant>
        <vt:i4>0</vt:i4>
      </vt:variant>
      <vt:variant>
        <vt:i4>5</vt:i4>
      </vt:variant>
      <vt:variant>
        <vt:lpwstr/>
      </vt:variant>
      <vt:variant>
        <vt:lpwstr>_ENREF_82</vt:lpwstr>
      </vt:variant>
      <vt:variant>
        <vt:i4>4784187</vt:i4>
      </vt:variant>
      <vt:variant>
        <vt:i4>1894</vt:i4>
      </vt:variant>
      <vt:variant>
        <vt:i4>0</vt:i4>
      </vt:variant>
      <vt:variant>
        <vt:i4>5</vt:i4>
      </vt:variant>
      <vt:variant>
        <vt:lpwstr/>
      </vt:variant>
      <vt:variant>
        <vt:lpwstr>_ENREF_80</vt:lpwstr>
      </vt:variant>
      <vt:variant>
        <vt:i4>4653116</vt:i4>
      </vt:variant>
      <vt:variant>
        <vt:i4>1888</vt:i4>
      </vt:variant>
      <vt:variant>
        <vt:i4>0</vt:i4>
      </vt:variant>
      <vt:variant>
        <vt:i4>5</vt:i4>
      </vt:variant>
      <vt:variant>
        <vt:lpwstr/>
      </vt:variant>
      <vt:variant>
        <vt:lpwstr>_ENREF_67</vt:lpwstr>
      </vt:variant>
      <vt:variant>
        <vt:i4>4522034</vt:i4>
      </vt:variant>
      <vt:variant>
        <vt:i4>1885</vt:i4>
      </vt:variant>
      <vt:variant>
        <vt:i4>0</vt:i4>
      </vt:variant>
      <vt:variant>
        <vt:i4>5</vt:i4>
      </vt:variant>
      <vt:variant>
        <vt:lpwstr/>
      </vt:variant>
      <vt:variant>
        <vt:lpwstr>_ENREF_49</vt:lpwstr>
      </vt:variant>
      <vt:variant>
        <vt:i4>4718650</vt:i4>
      </vt:variant>
      <vt:variant>
        <vt:i4>1879</vt:i4>
      </vt:variant>
      <vt:variant>
        <vt:i4>0</vt:i4>
      </vt:variant>
      <vt:variant>
        <vt:i4>5</vt:i4>
      </vt:variant>
      <vt:variant>
        <vt:lpwstr/>
      </vt:variant>
      <vt:variant>
        <vt:lpwstr>_ENREF_91</vt:lpwstr>
      </vt:variant>
      <vt:variant>
        <vt:i4>4390963</vt:i4>
      </vt:variant>
      <vt:variant>
        <vt:i4>1876</vt:i4>
      </vt:variant>
      <vt:variant>
        <vt:i4>0</vt:i4>
      </vt:variant>
      <vt:variant>
        <vt:i4>5</vt:i4>
      </vt:variant>
      <vt:variant>
        <vt:lpwstr/>
      </vt:variant>
      <vt:variant>
        <vt:lpwstr>_ENREF_28</vt:lpwstr>
      </vt:variant>
      <vt:variant>
        <vt:i4>4784187</vt:i4>
      </vt:variant>
      <vt:variant>
        <vt:i4>1870</vt:i4>
      </vt:variant>
      <vt:variant>
        <vt:i4>0</vt:i4>
      </vt:variant>
      <vt:variant>
        <vt:i4>5</vt:i4>
      </vt:variant>
      <vt:variant>
        <vt:lpwstr/>
      </vt:variant>
      <vt:variant>
        <vt:lpwstr>_ENREF_80</vt:lpwstr>
      </vt:variant>
      <vt:variant>
        <vt:i4>4194363</vt:i4>
      </vt:variant>
      <vt:variant>
        <vt:i4>1864</vt:i4>
      </vt:variant>
      <vt:variant>
        <vt:i4>0</vt:i4>
      </vt:variant>
      <vt:variant>
        <vt:i4>5</vt:i4>
      </vt:variant>
      <vt:variant>
        <vt:lpwstr/>
      </vt:variant>
      <vt:variant>
        <vt:lpwstr>_ENREF_10</vt:lpwstr>
      </vt:variant>
      <vt:variant>
        <vt:i4>4653107</vt:i4>
      </vt:variant>
      <vt:variant>
        <vt:i4>1858</vt:i4>
      </vt:variant>
      <vt:variant>
        <vt:i4>0</vt:i4>
      </vt:variant>
      <vt:variant>
        <vt:i4>5</vt:i4>
      </vt:variant>
      <vt:variant>
        <vt:lpwstr/>
      </vt:variant>
      <vt:variant>
        <vt:lpwstr>_ENREF_68</vt:lpwstr>
      </vt:variant>
      <vt:variant>
        <vt:i4>4653106</vt:i4>
      </vt:variant>
      <vt:variant>
        <vt:i4>1852</vt:i4>
      </vt:variant>
      <vt:variant>
        <vt:i4>0</vt:i4>
      </vt:variant>
      <vt:variant>
        <vt:i4>5</vt:i4>
      </vt:variant>
      <vt:variant>
        <vt:lpwstr/>
      </vt:variant>
      <vt:variant>
        <vt:lpwstr>_ENREF_69</vt:lpwstr>
      </vt:variant>
      <vt:variant>
        <vt:i4>4653107</vt:i4>
      </vt:variant>
      <vt:variant>
        <vt:i4>1846</vt:i4>
      </vt:variant>
      <vt:variant>
        <vt:i4>0</vt:i4>
      </vt:variant>
      <vt:variant>
        <vt:i4>5</vt:i4>
      </vt:variant>
      <vt:variant>
        <vt:lpwstr/>
      </vt:variant>
      <vt:variant>
        <vt:lpwstr>_ENREF_68</vt:lpwstr>
      </vt:variant>
      <vt:variant>
        <vt:i4>4653106</vt:i4>
      </vt:variant>
      <vt:variant>
        <vt:i4>1840</vt:i4>
      </vt:variant>
      <vt:variant>
        <vt:i4>0</vt:i4>
      </vt:variant>
      <vt:variant>
        <vt:i4>5</vt:i4>
      </vt:variant>
      <vt:variant>
        <vt:lpwstr/>
      </vt:variant>
      <vt:variant>
        <vt:lpwstr>_ENREF_69</vt:lpwstr>
      </vt:variant>
      <vt:variant>
        <vt:i4>4653107</vt:i4>
      </vt:variant>
      <vt:variant>
        <vt:i4>1834</vt:i4>
      </vt:variant>
      <vt:variant>
        <vt:i4>0</vt:i4>
      </vt:variant>
      <vt:variant>
        <vt:i4>5</vt:i4>
      </vt:variant>
      <vt:variant>
        <vt:lpwstr/>
      </vt:variant>
      <vt:variant>
        <vt:lpwstr>_ENREF_68</vt:lpwstr>
      </vt:variant>
      <vt:variant>
        <vt:i4>4587577</vt:i4>
      </vt:variant>
      <vt:variant>
        <vt:i4>1828</vt:i4>
      </vt:variant>
      <vt:variant>
        <vt:i4>0</vt:i4>
      </vt:variant>
      <vt:variant>
        <vt:i4>5</vt:i4>
      </vt:variant>
      <vt:variant>
        <vt:lpwstr/>
      </vt:variant>
      <vt:variant>
        <vt:lpwstr>_ENREF_72</vt:lpwstr>
      </vt:variant>
      <vt:variant>
        <vt:i4>4718648</vt:i4>
      </vt:variant>
      <vt:variant>
        <vt:i4>1822</vt:i4>
      </vt:variant>
      <vt:variant>
        <vt:i4>0</vt:i4>
      </vt:variant>
      <vt:variant>
        <vt:i4>5</vt:i4>
      </vt:variant>
      <vt:variant>
        <vt:lpwstr/>
      </vt:variant>
      <vt:variant>
        <vt:lpwstr>_ENREF_93</vt:lpwstr>
      </vt:variant>
      <vt:variant>
        <vt:i4>4784189</vt:i4>
      </vt:variant>
      <vt:variant>
        <vt:i4>1816</vt:i4>
      </vt:variant>
      <vt:variant>
        <vt:i4>0</vt:i4>
      </vt:variant>
      <vt:variant>
        <vt:i4>5</vt:i4>
      </vt:variant>
      <vt:variant>
        <vt:lpwstr/>
      </vt:variant>
      <vt:variant>
        <vt:lpwstr>_ENREF_86</vt:lpwstr>
      </vt:variant>
      <vt:variant>
        <vt:i4>4587578</vt:i4>
      </vt:variant>
      <vt:variant>
        <vt:i4>1810</vt:i4>
      </vt:variant>
      <vt:variant>
        <vt:i4>0</vt:i4>
      </vt:variant>
      <vt:variant>
        <vt:i4>5</vt:i4>
      </vt:variant>
      <vt:variant>
        <vt:lpwstr/>
      </vt:variant>
      <vt:variant>
        <vt:lpwstr>_ENREF_71</vt:lpwstr>
      </vt:variant>
      <vt:variant>
        <vt:i4>4587579</vt:i4>
      </vt:variant>
      <vt:variant>
        <vt:i4>1804</vt:i4>
      </vt:variant>
      <vt:variant>
        <vt:i4>0</vt:i4>
      </vt:variant>
      <vt:variant>
        <vt:i4>5</vt:i4>
      </vt:variant>
      <vt:variant>
        <vt:lpwstr/>
      </vt:variant>
      <vt:variant>
        <vt:lpwstr>_ENREF_70</vt:lpwstr>
      </vt:variant>
      <vt:variant>
        <vt:i4>4653118</vt:i4>
      </vt:variant>
      <vt:variant>
        <vt:i4>1798</vt:i4>
      </vt:variant>
      <vt:variant>
        <vt:i4>0</vt:i4>
      </vt:variant>
      <vt:variant>
        <vt:i4>5</vt:i4>
      </vt:variant>
      <vt:variant>
        <vt:lpwstr/>
      </vt:variant>
      <vt:variant>
        <vt:lpwstr>_ENREF_65</vt:lpwstr>
      </vt:variant>
      <vt:variant>
        <vt:i4>4456499</vt:i4>
      </vt:variant>
      <vt:variant>
        <vt:i4>1792</vt:i4>
      </vt:variant>
      <vt:variant>
        <vt:i4>0</vt:i4>
      </vt:variant>
      <vt:variant>
        <vt:i4>5</vt:i4>
      </vt:variant>
      <vt:variant>
        <vt:lpwstr/>
      </vt:variant>
      <vt:variant>
        <vt:lpwstr>_ENREF_58</vt:lpwstr>
      </vt:variant>
      <vt:variant>
        <vt:i4>4522044</vt:i4>
      </vt:variant>
      <vt:variant>
        <vt:i4>1786</vt:i4>
      </vt:variant>
      <vt:variant>
        <vt:i4>0</vt:i4>
      </vt:variant>
      <vt:variant>
        <vt:i4>5</vt:i4>
      </vt:variant>
      <vt:variant>
        <vt:lpwstr/>
      </vt:variant>
      <vt:variant>
        <vt:lpwstr>_ENREF_47</vt:lpwstr>
      </vt:variant>
      <vt:variant>
        <vt:i4>4784139</vt:i4>
      </vt:variant>
      <vt:variant>
        <vt:i4>1780</vt:i4>
      </vt:variant>
      <vt:variant>
        <vt:i4>0</vt:i4>
      </vt:variant>
      <vt:variant>
        <vt:i4>5</vt:i4>
      </vt:variant>
      <vt:variant>
        <vt:lpwstr/>
      </vt:variant>
      <vt:variant>
        <vt:lpwstr>_ENREF_8</vt:lpwstr>
      </vt:variant>
      <vt:variant>
        <vt:i4>4784189</vt:i4>
      </vt:variant>
      <vt:variant>
        <vt:i4>1769</vt:i4>
      </vt:variant>
      <vt:variant>
        <vt:i4>0</vt:i4>
      </vt:variant>
      <vt:variant>
        <vt:i4>5</vt:i4>
      </vt:variant>
      <vt:variant>
        <vt:lpwstr/>
      </vt:variant>
      <vt:variant>
        <vt:lpwstr>_ENREF_86</vt:lpwstr>
      </vt:variant>
      <vt:variant>
        <vt:i4>4784189</vt:i4>
      </vt:variant>
      <vt:variant>
        <vt:i4>1763</vt:i4>
      </vt:variant>
      <vt:variant>
        <vt:i4>0</vt:i4>
      </vt:variant>
      <vt:variant>
        <vt:i4>5</vt:i4>
      </vt:variant>
      <vt:variant>
        <vt:lpwstr/>
      </vt:variant>
      <vt:variant>
        <vt:lpwstr>_ENREF_86</vt:lpwstr>
      </vt:variant>
      <vt:variant>
        <vt:i4>4653107</vt:i4>
      </vt:variant>
      <vt:variant>
        <vt:i4>1757</vt:i4>
      </vt:variant>
      <vt:variant>
        <vt:i4>0</vt:i4>
      </vt:variant>
      <vt:variant>
        <vt:i4>5</vt:i4>
      </vt:variant>
      <vt:variant>
        <vt:lpwstr/>
      </vt:variant>
      <vt:variant>
        <vt:lpwstr>_ENREF_68</vt:lpwstr>
      </vt:variant>
      <vt:variant>
        <vt:i4>4653106</vt:i4>
      </vt:variant>
      <vt:variant>
        <vt:i4>1751</vt:i4>
      </vt:variant>
      <vt:variant>
        <vt:i4>0</vt:i4>
      </vt:variant>
      <vt:variant>
        <vt:i4>5</vt:i4>
      </vt:variant>
      <vt:variant>
        <vt:lpwstr/>
      </vt:variant>
      <vt:variant>
        <vt:lpwstr>_ENREF_69</vt:lpwstr>
      </vt:variant>
      <vt:variant>
        <vt:i4>4587578</vt:i4>
      </vt:variant>
      <vt:variant>
        <vt:i4>1745</vt:i4>
      </vt:variant>
      <vt:variant>
        <vt:i4>0</vt:i4>
      </vt:variant>
      <vt:variant>
        <vt:i4>5</vt:i4>
      </vt:variant>
      <vt:variant>
        <vt:lpwstr/>
      </vt:variant>
      <vt:variant>
        <vt:lpwstr>_ENREF_71</vt:lpwstr>
      </vt:variant>
      <vt:variant>
        <vt:i4>4653107</vt:i4>
      </vt:variant>
      <vt:variant>
        <vt:i4>1739</vt:i4>
      </vt:variant>
      <vt:variant>
        <vt:i4>0</vt:i4>
      </vt:variant>
      <vt:variant>
        <vt:i4>5</vt:i4>
      </vt:variant>
      <vt:variant>
        <vt:lpwstr/>
      </vt:variant>
      <vt:variant>
        <vt:lpwstr>_ENREF_68</vt:lpwstr>
      </vt:variant>
      <vt:variant>
        <vt:i4>4653106</vt:i4>
      </vt:variant>
      <vt:variant>
        <vt:i4>1733</vt:i4>
      </vt:variant>
      <vt:variant>
        <vt:i4>0</vt:i4>
      </vt:variant>
      <vt:variant>
        <vt:i4>5</vt:i4>
      </vt:variant>
      <vt:variant>
        <vt:lpwstr/>
      </vt:variant>
      <vt:variant>
        <vt:lpwstr>_ENREF_69</vt:lpwstr>
      </vt:variant>
      <vt:variant>
        <vt:i4>4587579</vt:i4>
      </vt:variant>
      <vt:variant>
        <vt:i4>1727</vt:i4>
      </vt:variant>
      <vt:variant>
        <vt:i4>0</vt:i4>
      </vt:variant>
      <vt:variant>
        <vt:i4>5</vt:i4>
      </vt:variant>
      <vt:variant>
        <vt:lpwstr/>
      </vt:variant>
      <vt:variant>
        <vt:lpwstr>_ENREF_70</vt:lpwstr>
      </vt:variant>
      <vt:variant>
        <vt:i4>4653118</vt:i4>
      </vt:variant>
      <vt:variant>
        <vt:i4>1721</vt:i4>
      </vt:variant>
      <vt:variant>
        <vt:i4>0</vt:i4>
      </vt:variant>
      <vt:variant>
        <vt:i4>5</vt:i4>
      </vt:variant>
      <vt:variant>
        <vt:lpwstr/>
      </vt:variant>
      <vt:variant>
        <vt:lpwstr>_ENREF_65</vt:lpwstr>
      </vt:variant>
      <vt:variant>
        <vt:i4>4653118</vt:i4>
      </vt:variant>
      <vt:variant>
        <vt:i4>1715</vt:i4>
      </vt:variant>
      <vt:variant>
        <vt:i4>0</vt:i4>
      </vt:variant>
      <vt:variant>
        <vt:i4>5</vt:i4>
      </vt:variant>
      <vt:variant>
        <vt:lpwstr/>
      </vt:variant>
      <vt:variant>
        <vt:lpwstr>_ENREF_65</vt:lpwstr>
      </vt:variant>
      <vt:variant>
        <vt:i4>4456499</vt:i4>
      </vt:variant>
      <vt:variant>
        <vt:i4>1709</vt:i4>
      </vt:variant>
      <vt:variant>
        <vt:i4>0</vt:i4>
      </vt:variant>
      <vt:variant>
        <vt:i4>5</vt:i4>
      </vt:variant>
      <vt:variant>
        <vt:lpwstr/>
      </vt:variant>
      <vt:variant>
        <vt:lpwstr>_ENREF_58</vt:lpwstr>
      </vt:variant>
      <vt:variant>
        <vt:i4>4456499</vt:i4>
      </vt:variant>
      <vt:variant>
        <vt:i4>1703</vt:i4>
      </vt:variant>
      <vt:variant>
        <vt:i4>0</vt:i4>
      </vt:variant>
      <vt:variant>
        <vt:i4>5</vt:i4>
      </vt:variant>
      <vt:variant>
        <vt:lpwstr/>
      </vt:variant>
      <vt:variant>
        <vt:lpwstr>_ENREF_58</vt:lpwstr>
      </vt:variant>
      <vt:variant>
        <vt:i4>4522044</vt:i4>
      </vt:variant>
      <vt:variant>
        <vt:i4>1697</vt:i4>
      </vt:variant>
      <vt:variant>
        <vt:i4>0</vt:i4>
      </vt:variant>
      <vt:variant>
        <vt:i4>5</vt:i4>
      </vt:variant>
      <vt:variant>
        <vt:lpwstr/>
      </vt:variant>
      <vt:variant>
        <vt:lpwstr>_ENREF_47</vt:lpwstr>
      </vt:variant>
      <vt:variant>
        <vt:i4>4522044</vt:i4>
      </vt:variant>
      <vt:variant>
        <vt:i4>1691</vt:i4>
      </vt:variant>
      <vt:variant>
        <vt:i4>0</vt:i4>
      </vt:variant>
      <vt:variant>
        <vt:i4>5</vt:i4>
      </vt:variant>
      <vt:variant>
        <vt:lpwstr/>
      </vt:variant>
      <vt:variant>
        <vt:lpwstr>_ENREF_47</vt:lpwstr>
      </vt:variant>
      <vt:variant>
        <vt:i4>4653107</vt:i4>
      </vt:variant>
      <vt:variant>
        <vt:i4>1685</vt:i4>
      </vt:variant>
      <vt:variant>
        <vt:i4>0</vt:i4>
      </vt:variant>
      <vt:variant>
        <vt:i4>5</vt:i4>
      </vt:variant>
      <vt:variant>
        <vt:lpwstr/>
      </vt:variant>
      <vt:variant>
        <vt:lpwstr>_ENREF_68</vt:lpwstr>
      </vt:variant>
      <vt:variant>
        <vt:i4>4587577</vt:i4>
      </vt:variant>
      <vt:variant>
        <vt:i4>1679</vt:i4>
      </vt:variant>
      <vt:variant>
        <vt:i4>0</vt:i4>
      </vt:variant>
      <vt:variant>
        <vt:i4>5</vt:i4>
      </vt:variant>
      <vt:variant>
        <vt:lpwstr/>
      </vt:variant>
      <vt:variant>
        <vt:lpwstr>_ENREF_72</vt:lpwstr>
      </vt:variant>
      <vt:variant>
        <vt:i4>4718648</vt:i4>
      </vt:variant>
      <vt:variant>
        <vt:i4>1673</vt:i4>
      </vt:variant>
      <vt:variant>
        <vt:i4>0</vt:i4>
      </vt:variant>
      <vt:variant>
        <vt:i4>5</vt:i4>
      </vt:variant>
      <vt:variant>
        <vt:lpwstr/>
      </vt:variant>
      <vt:variant>
        <vt:lpwstr>_ENREF_93</vt:lpwstr>
      </vt:variant>
      <vt:variant>
        <vt:i4>4784139</vt:i4>
      </vt:variant>
      <vt:variant>
        <vt:i4>1667</vt:i4>
      </vt:variant>
      <vt:variant>
        <vt:i4>0</vt:i4>
      </vt:variant>
      <vt:variant>
        <vt:i4>5</vt:i4>
      </vt:variant>
      <vt:variant>
        <vt:lpwstr/>
      </vt:variant>
      <vt:variant>
        <vt:lpwstr>_ENREF_8</vt:lpwstr>
      </vt:variant>
      <vt:variant>
        <vt:i4>4718648</vt:i4>
      </vt:variant>
      <vt:variant>
        <vt:i4>1630</vt:i4>
      </vt:variant>
      <vt:variant>
        <vt:i4>0</vt:i4>
      </vt:variant>
      <vt:variant>
        <vt:i4>5</vt:i4>
      </vt:variant>
      <vt:variant>
        <vt:lpwstr/>
      </vt:variant>
      <vt:variant>
        <vt:lpwstr>_ENREF_93</vt:lpwstr>
      </vt:variant>
      <vt:variant>
        <vt:i4>4653118</vt:i4>
      </vt:variant>
      <vt:variant>
        <vt:i4>1624</vt:i4>
      </vt:variant>
      <vt:variant>
        <vt:i4>0</vt:i4>
      </vt:variant>
      <vt:variant>
        <vt:i4>5</vt:i4>
      </vt:variant>
      <vt:variant>
        <vt:lpwstr/>
      </vt:variant>
      <vt:variant>
        <vt:lpwstr>_ENREF_65</vt:lpwstr>
      </vt:variant>
      <vt:variant>
        <vt:i4>4456499</vt:i4>
      </vt:variant>
      <vt:variant>
        <vt:i4>1621</vt:i4>
      </vt:variant>
      <vt:variant>
        <vt:i4>0</vt:i4>
      </vt:variant>
      <vt:variant>
        <vt:i4>5</vt:i4>
      </vt:variant>
      <vt:variant>
        <vt:lpwstr/>
      </vt:variant>
      <vt:variant>
        <vt:lpwstr>_ENREF_58</vt:lpwstr>
      </vt:variant>
      <vt:variant>
        <vt:i4>4522044</vt:i4>
      </vt:variant>
      <vt:variant>
        <vt:i4>1618</vt:i4>
      </vt:variant>
      <vt:variant>
        <vt:i4>0</vt:i4>
      </vt:variant>
      <vt:variant>
        <vt:i4>5</vt:i4>
      </vt:variant>
      <vt:variant>
        <vt:lpwstr/>
      </vt:variant>
      <vt:variant>
        <vt:lpwstr>_ENREF_47</vt:lpwstr>
      </vt:variant>
      <vt:variant>
        <vt:i4>4653118</vt:i4>
      </vt:variant>
      <vt:variant>
        <vt:i4>1615</vt:i4>
      </vt:variant>
      <vt:variant>
        <vt:i4>0</vt:i4>
      </vt:variant>
      <vt:variant>
        <vt:i4>5</vt:i4>
      </vt:variant>
      <vt:variant>
        <vt:lpwstr/>
      </vt:variant>
      <vt:variant>
        <vt:lpwstr>_ENREF_65</vt:lpwstr>
      </vt:variant>
      <vt:variant>
        <vt:i4>4718648</vt:i4>
      </vt:variant>
      <vt:variant>
        <vt:i4>1604</vt:i4>
      </vt:variant>
      <vt:variant>
        <vt:i4>0</vt:i4>
      </vt:variant>
      <vt:variant>
        <vt:i4>5</vt:i4>
      </vt:variant>
      <vt:variant>
        <vt:lpwstr/>
      </vt:variant>
      <vt:variant>
        <vt:lpwstr>_ENREF_93</vt:lpwstr>
      </vt:variant>
      <vt:variant>
        <vt:i4>4653118</vt:i4>
      </vt:variant>
      <vt:variant>
        <vt:i4>1598</vt:i4>
      </vt:variant>
      <vt:variant>
        <vt:i4>0</vt:i4>
      </vt:variant>
      <vt:variant>
        <vt:i4>5</vt:i4>
      </vt:variant>
      <vt:variant>
        <vt:lpwstr/>
      </vt:variant>
      <vt:variant>
        <vt:lpwstr>_ENREF_65</vt:lpwstr>
      </vt:variant>
      <vt:variant>
        <vt:i4>4587582</vt:i4>
      </vt:variant>
      <vt:variant>
        <vt:i4>1592</vt:i4>
      </vt:variant>
      <vt:variant>
        <vt:i4>0</vt:i4>
      </vt:variant>
      <vt:variant>
        <vt:i4>5</vt:i4>
      </vt:variant>
      <vt:variant>
        <vt:lpwstr/>
      </vt:variant>
      <vt:variant>
        <vt:lpwstr>_ENREF_75</vt:lpwstr>
      </vt:variant>
      <vt:variant>
        <vt:i4>4653118</vt:i4>
      </vt:variant>
      <vt:variant>
        <vt:i4>1586</vt:i4>
      </vt:variant>
      <vt:variant>
        <vt:i4>0</vt:i4>
      </vt:variant>
      <vt:variant>
        <vt:i4>5</vt:i4>
      </vt:variant>
      <vt:variant>
        <vt:lpwstr/>
      </vt:variant>
      <vt:variant>
        <vt:lpwstr>_ENREF_65</vt:lpwstr>
      </vt:variant>
      <vt:variant>
        <vt:i4>4653117</vt:i4>
      </vt:variant>
      <vt:variant>
        <vt:i4>1580</vt:i4>
      </vt:variant>
      <vt:variant>
        <vt:i4>0</vt:i4>
      </vt:variant>
      <vt:variant>
        <vt:i4>5</vt:i4>
      </vt:variant>
      <vt:variant>
        <vt:lpwstr/>
      </vt:variant>
      <vt:variant>
        <vt:lpwstr>_ENREF_66</vt:lpwstr>
      </vt:variant>
      <vt:variant>
        <vt:i4>4784189</vt:i4>
      </vt:variant>
      <vt:variant>
        <vt:i4>1574</vt:i4>
      </vt:variant>
      <vt:variant>
        <vt:i4>0</vt:i4>
      </vt:variant>
      <vt:variant>
        <vt:i4>5</vt:i4>
      </vt:variant>
      <vt:variant>
        <vt:lpwstr/>
      </vt:variant>
      <vt:variant>
        <vt:lpwstr>_ENREF_86</vt:lpwstr>
      </vt:variant>
      <vt:variant>
        <vt:i4>4587578</vt:i4>
      </vt:variant>
      <vt:variant>
        <vt:i4>1571</vt:i4>
      </vt:variant>
      <vt:variant>
        <vt:i4>0</vt:i4>
      </vt:variant>
      <vt:variant>
        <vt:i4>5</vt:i4>
      </vt:variant>
      <vt:variant>
        <vt:lpwstr/>
      </vt:variant>
      <vt:variant>
        <vt:lpwstr>_ENREF_71</vt:lpwstr>
      </vt:variant>
      <vt:variant>
        <vt:i4>4587579</vt:i4>
      </vt:variant>
      <vt:variant>
        <vt:i4>1568</vt:i4>
      </vt:variant>
      <vt:variant>
        <vt:i4>0</vt:i4>
      </vt:variant>
      <vt:variant>
        <vt:i4>5</vt:i4>
      </vt:variant>
      <vt:variant>
        <vt:lpwstr/>
      </vt:variant>
      <vt:variant>
        <vt:lpwstr>_ENREF_70</vt:lpwstr>
      </vt:variant>
      <vt:variant>
        <vt:i4>4587577</vt:i4>
      </vt:variant>
      <vt:variant>
        <vt:i4>1565</vt:i4>
      </vt:variant>
      <vt:variant>
        <vt:i4>0</vt:i4>
      </vt:variant>
      <vt:variant>
        <vt:i4>5</vt:i4>
      </vt:variant>
      <vt:variant>
        <vt:lpwstr/>
      </vt:variant>
      <vt:variant>
        <vt:lpwstr>_ENREF_72</vt:lpwstr>
      </vt:variant>
      <vt:variant>
        <vt:i4>4653106</vt:i4>
      </vt:variant>
      <vt:variant>
        <vt:i4>1562</vt:i4>
      </vt:variant>
      <vt:variant>
        <vt:i4>0</vt:i4>
      </vt:variant>
      <vt:variant>
        <vt:i4>5</vt:i4>
      </vt:variant>
      <vt:variant>
        <vt:lpwstr/>
      </vt:variant>
      <vt:variant>
        <vt:lpwstr>_ENREF_69</vt:lpwstr>
      </vt:variant>
      <vt:variant>
        <vt:i4>4653107</vt:i4>
      </vt:variant>
      <vt:variant>
        <vt:i4>1559</vt:i4>
      </vt:variant>
      <vt:variant>
        <vt:i4>0</vt:i4>
      </vt:variant>
      <vt:variant>
        <vt:i4>5</vt:i4>
      </vt:variant>
      <vt:variant>
        <vt:lpwstr/>
      </vt:variant>
      <vt:variant>
        <vt:lpwstr>_ENREF_68</vt:lpwstr>
      </vt:variant>
      <vt:variant>
        <vt:i4>4784139</vt:i4>
      </vt:variant>
      <vt:variant>
        <vt:i4>1556</vt:i4>
      </vt:variant>
      <vt:variant>
        <vt:i4>0</vt:i4>
      </vt:variant>
      <vt:variant>
        <vt:i4>5</vt:i4>
      </vt:variant>
      <vt:variant>
        <vt:lpwstr/>
      </vt:variant>
      <vt:variant>
        <vt:lpwstr>_ENREF_8</vt:lpwstr>
      </vt:variant>
      <vt:variant>
        <vt:i4>4325433</vt:i4>
      </vt:variant>
      <vt:variant>
        <vt:i4>1537</vt:i4>
      </vt:variant>
      <vt:variant>
        <vt:i4>0</vt:i4>
      </vt:variant>
      <vt:variant>
        <vt:i4>5</vt:i4>
      </vt:variant>
      <vt:variant>
        <vt:lpwstr/>
      </vt:variant>
      <vt:variant>
        <vt:lpwstr>_ENREF_32</vt:lpwstr>
      </vt:variant>
      <vt:variant>
        <vt:i4>4325433</vt:i4>
      </vt:variant>
      <vt:variant>
        <vt:i4>1531</vt:i4>
      </vt:variant>
      <vt:variant>
        <vt:i4>0</vt:i4>
      </vt:variant>
      <vt:variant>
        <vt:i4>5</vt:i4>
      </vt:variant>
      <vt:variant>
        <vt:lpwstr/>
      </vt:variant>
      <vt:variant>
        <vt:lpwstr>_ENREF_32</vt:lpwstr>
      </vt:variant>
      <vt:variant>
        <vt:i4>4325433</vt:i4>
      </vt:variant>
      <vt:variant>
        <vt:i4>1519</vt:i4>
      </vt:variant>
      <vt:variant>
        <vt:i4>0</vt:i4>
      </vt:variant>
      <vt:variant>
        <vt:i4>5</vt:i4>
      </vt:variant>
      <vt:variant>
        <vt:lpwstr/>
      </vt:variant>
      <vt:variant>
        <vt:lpwstr>_ENREF_32</vt:lpwstr>
      </vt:variant>
      <vt:variant>
        <vt:i4>4653113</vt:i4>
      </vt:variant>
      <vt:variant>
        <vt:i4>1507</vt:i4>
      </vt:variant>
      <vt:variant>
        <vt:i4>0</vt:i4>
      </vt:variant>
      <vt:variant>
        <vt:i4>5</vt:i4>
      </vt:variant>
      <vt:variant>
        <vt:lpwstr/>
      </vt:variant>
      <vt:variant>
        <vt:lpwstr>_ENREF_62</vt:lpwstr>
      </vt:variant>
      <vt:variant>
        <vt:i4>4325434</vt:i4>
      </vt:variant>
      <vt:variant>
        <vt:i4>1504</vt:i4>
      </vt:variant>
      <vt:variant>
        <vt:i4>0</vt:i4>
      </vt:variant>
      <vt:variant>
        <vt:i4>5</vt:i4>
      </vt:variant>
      <vt:variant>
        <vt:lpwstr/>
      </vt:variant>
      <vt:variant>
        <vt:lpwstr>_ENREF_31</vt:lpwstr>
      </vt:variant>
      <vt:variant>
        <vt:i4>4653114</vt:i4>
      </vt:variant>
      <vt:variant>
        <vt:i4>1490</vt:i4>
      </vt:variant>
      <vt:variant>
        <vt:i4>0</vt:i4>
      </vt:variant>
      <vt:variant>
        <vt:i4>5</vt:i4>
      </vt:variant>
      <vt:variant>
        <vt:lpwstr/>
      </vt:variant>
      <vt:variant>
        <vt:lpwstr>_ENREF_61</vt:lpwstr>
      </vt:variant>
      <vt:variant>
        <vt:i4>4194360</vt:i4>
      </vt:variant>
      <vt:variant>
        <vt:i4>1484</vt:i4>
      </vt:variant>
      <vt:variant>
        <vt:i4>0</vt:i4>
      </vt:variant>
      <vt:variant>
        <vt:i4>5</vt:i4>
      </vt:variant>
      <vt:variant>
        <vt:lpwstr/>
      </vt:variant>
      <vt:variant>
        <vt:lpwstr>_ENREF_13</vt:lpwstr>
      </vt:variant>
      <vt:variant>
        <vt:i4>4653113</vt:i4>
      </vt:variant>
      <vt:variant>
        <vt:i4>1478</vt:i4>
      </vt:variant>
      <vt:variant>
        <vt:i4>0</vt:i4>
      </vt:variant>
      <vt:variant>
        <vt:i4>5</vt:i4>
      </vt:variant>
      <vt:variant>
        <vt:lpwstr/>
      </vt:variant>
      <vt:variant>
        <vt:lpwstr>_ENREF_62</vt:lpwstr>
      </vt:variant>
      <vt:variant>
        <vt:i4>4456510</vt:i4>
      </vt:variant>
      <vt:variant>
        <vt:i4>1475</vt:i4>
      </vt:variant>
      <vt:variant>
        <vt:i4>0</vt:i4>
      </vt:variant>
      <vt:variant>
        <vt:i4>5</vt:i4>
      </vt:variant>
      <vt:variant>
        <vt:lpwstr/>
      </vt:variant>
      <vt:variant>
        <vt:lpwstr>_ENREF_55</vt:lpwstr>
      </vt:variant>
      <vt:variant>
        <vt:i4>4653114</vt:i4>
      </vt:variant>
      <vt:variant>
        <vt:i4>1469</vt:i4>
      </vt:variant>
      <vt:variant>
        <vt:i4>0</vt:i4>
      </vt:variant>
      <vt:variant>
        <vt:i4>5</vt:i4>
      </vt:variant>
      <vt:variant>
        <vt:lpwstr/>
      </vt:variant>
      <vt:variant>
        <vt:lpwstr>_ENREF_61</vt:lpwstr>
      </vt:variant>
      <vt:variant>
        <vt:i4>4653113</vt:i4>
      </vt:variant>
      <vt:variant>
        <vt:i4>1460</vt:i4>
      </vt:variant>
      <vt:variant>
        <vt:i4>0</vt:i4>
      </vt:variant>
      <vt:variant>
        <vt:i4>5</vt:i4>
      </vt:variant>
      <vt:variant>
        <vt:lpwstr/>
      </vt:variant>
      <vt:variant>
        <vt:lpwstr>_ENREF_62</vt:lpwstr>
      </vt:variant>
      <vt:variant>
        <vt:i4>4456510</vt:i4>
      </vt:variant>
      <vt:variant>
        <vt:i4>1457</vt:i4>
      </vt:variant>
      <vt:variant>
        <vt:i4>0</vt:i4>
      </vt:variant>
      <vt:variant>
        <vt:i4>5</vt:i4>
      </vt:variant>
      <vt:variant>
        <vt:lpwstr/>
      </vt:variant>
      <vt:variant>
        <vt:lpwstr>_ENREF_55</vt:lpwstr>
      </vt:variant>
      <vt:variant>
        <vt:i4>4325437</vt:i4>
      </vt:variant>
      <vt:variant>
        <vt:i4>1448</vt:i4>
      </vt:variant>
      <vt:variant>
        <vt:i4>0</vt:i4>
      </vt:variant>
      <vt:variant>
        <vt:i4>5</vt:i4>
      </vt:variant>
      <vt:variant>
        <vt:lpwstr/>
      </vt:variant>
      <vt:variant>
        <vt:lpwstr>_ENREF_36</vt:lpwstr>
      </vt:variant>
      <vt:variant>
        <vt:i4>4194365</vt:i4>
      </vt:variant>
      <vt:variant>
        <vt:i4>1442</vt:i4>
      </vt:variant>
      <vt:variant>
        <vt:i4>0</vt:i4>
      </vt:variant>
      <vt:variant>
        <vt:i4>5</vt:i4>
      </vt:variant>
      <vt:variant>
        <vt:lpwstr/>
      </vt:variant>
      <vt:variant>
        <vt:lpwstr>_ENREF_16</vt:lpwstr>
      </vt:variant>
      <vt:variant>
        <vt:i4>4194365</vt:i4>
      </vt:variant>
      <vt:variant>
        <vt:i4>1436</vt:i4>
      </vt:variant>
      <vt:variant>
        <vt:i4>0</vt:i4>
      </vt:variant>
      <vt:variant>
        <vt:i4>5</vt:i4>
      </vt:variant>
      <vt:variant>
        <vt:lpwstr/>
      </vt:variant>
      <vt:variant>
        <vt:lpwstr>_ENREF_16</vt:lpwstr>
      </vt:variant>
      <vt:variant>
        <vt:i4>4456507</vt:i4>
      </vt:variant>
      <vt:variant>
        <vt:i4>1424</vt:i4>
      </vt:variant>
      <vt:variant>
        <vt:i4>0</vt:i4>
      </vt:variant>
      <vt:variant>
        <vt:i4>5</vt:i4>
      </vt:variant>
      <vt:variant>
        <vt:lpwstr/>
      </vt:variant>
      <vt:variant>
        <vt:lpwstr>_ENREF_50</vt:lpwstr>
      </vt:variant>
      <vt:variant>
        <vt:i4>4325433</vt:i4>
      </vt:variant>
      <vt:variant>
        <vt:i4>1405</vt:i4>
      </vt:variant>
      <vt:variant>
        <vt:i4>0</vt:i4>
      </vt:variant>
      <vt:variant>
        <vt:i4>5</vt:i4>
      </vt:variant>
      <vt:variant>
        <vt:lpwstr/>
      </vt:variant>
      <vt:variant>
        <vt:lpwstr>_ENREF_32</vt:lpwstr>
      </vt:variant>
      <vt:variant>
        <vt:i4>4587583</vt:i4>
      </vt:variant>
      <vt:variant>
        <vt:i4>1399</vt:i4>
      </vt:variant>
      <vt:variant>
        <vt:i4>0</vt:i4>
      </vt:variant>
      <vt:variant>
        <vt:i4>5</vt:i4>
      </vt:variant>
      <vt:variant>
        <vt:lpwstr/>
      </vt:variant>
      <vt:variant>
        <vt:lpwstr>_ENREF_74</vt:lpwstr>
      </vt:variant>
      <vt:variant>
        <vt:i4>4456510</vt:i4>
      </vt:variant>
      <vt:variant>
        <vt:i4>1356</vt:i4>
      </vt:variant>
      <vt:variant>
        <vt:i4>0</vt:i4>
      </vt:variant>
      <vt:variant>
        <vt:i4>5</vt:i4>
      </vt:variant>
      <vt:variant>
        <vt:lpwstr/>
      </vt:variant>
      <vt:variant>
        <vt:lpwstr>_ENREF_55</vt:lpwstr>
      </vt:variant>
      <vt:variant>
        <vt:i4>4522045</vt:i4>
      </vt:variant>
      <vt:variant>
        <vt:i4>1350</vt:i4>
      </vt:variant>
      <vt:variant>
        <vt:i4>0</vt:i4>
      </vt:variant>
      <vt:variant>
        <vt:i4>5</vt:i4>
      </vt:variant>
      <vt:variant>
        <vt:lpwstr/>
      </vt:variant>
      <vt:variant>
        <vt:lpwstr>_ENREF_46</vt:lpwstr>
      </vt:variant>
      <vt:variant>
        <vt:i4>4390963</vt:i4>
      </vt:variant>
      <vt:variant>
        <vt:i4>1347</vt:i4>
      </vt:variant>
      <vt:variant>
        <vt:i4>0</vt:i4>
      </vt:variant>
      <vt:variant>
        <vt:i4>5</vt:i4>
      </vt:variant>
      <vt:variant>
        <vt:lpwstr/>
      </vt:variant>
      <vt:variant>
        <vt:lpwstr>_ENREF_28</vt:lpwstr>
      </vt:variant>
      <vt:variant>
        <vt:i4>4390975</vt:i4>
      </vt:variant>
      <vt:variant>
        <vt:i4>1344</vt:i4>
      </vt:variant>
      <vt:variant>
        <vt:i4>0</vt:i4>
      </vt:variant>
      <vt:variant>
        <vt:i4>5</vt:i4>
      </vt:variant>
      <vt:variant>
        <vt:lpwstr/>
      </vt:variant>
      <vt:variant>
        <vt:lpwstr>_ENREF_24</vt:lpwstr>
      </vt:variant>
      <vt:variant>
        <vt:i4>4390970</vt:i4>
      </vt:variant>
      <vt:variant>
        <vt:i4>1341</vt:i4>
      </vt:variant>
      <vt:variant>
        <vt:i4>0</vt:i4>
      </vt:variant>
      <vt:variant>
        <vt:i4>5</vt:i4>
      </vt:variant>
      <vt:variant>
        <vt:lpwstr/>
      </vt:variant>
      <vt:variant>
        <vt:lpwstr>_ENREF_21</vt:lpwstr>
      </vt:variant>
      <vt:variant>
        <vt:i4>4194366</vt:i4>
      </vt:variant>
      <vt:variant>
        <vt:i4>1338</vt:i4>
      </vt:variant>
      <vt:variant>
        <vt:i4>0</vt:i4>
      </vt:variant>
      <vt:variant>
        <vt:i4>5</vt:i4>
      </vt:variant>
      <vt:variant>
        <vt:lpwstr/>
      </vt:variant>
      <vt:variant>
        <vt:lpwstr>_ENREF_15</vt:lpwstr>
      </vt:variant>
      <vt:variant>
        <vt:i4>4194366</vt:i4>
      </vt:variant>
      <vt:variant>
        <vt:i4>1330</vt:i4>
      </vt:variant>
      <vt:variant>
        <vt:i4>0</vt:i4>
      </vt:variant>
      <vt:variant>
        <vt:i4>5</vt:i4>
      </vt:variant>
      <vt:variant>
        <vt:lpwstr/>
      </vt:variant>
      <vt:variant>
        <vt:lpwstr>_ENREF_15</vt:lpwstr>
      </vt:variant>
      <vt:variant>
        <vt:i4>4390970</vt:i4>
      </vt:variant>
      <vt:variant>
        <vt:i4>1324</vt:i4>
      </vt:variant>
      <vt:variant>
        <vt:i4>0</vt:i4>
      </vt:variant>
      <vt:variant>
        <vt:i4>5</vt:i4>
      </vt:variant>
      <vt:variant>
        <vt:lpwstr/>
      </vt:variant>
      <vt:variant>
        <vt:lpwstr>_ENREF_21</vt:lpwstr>
      </vt:variant>
      <vt:variant>
        <vt:i4>4194366</vt:i4>
      </vt:variant>
      <vt:variant>
        <vt:i4>1318</vt:i4>
      </vt:variant>
      <vt:variant>
        <vt:i4>0</vt:i4>
      </vt:variant>
      <vt:variant>
        <vt:i4>5</vt:i4>
      </vt:variant>
      <vt:variant>
        <vt:lpwstr/>
      </vt:variant>
      <vt:variant>
        <vt:lpwstr>_ENREF_15</vt:lpwstr>
      </vt:variant>
      <vt:variant>
        <vt:i4>4587571</vt:i4>
      </vt:variant>
      <vt:variant>
        <vt:i4>1312</vt:i4>
      </vt:variant>
      <vt:variant>
        <vt:i4>0</vt:i4>
      </vt:variant>
      <vt:variant>
        <vt:i4>5</vt:i4>
      </vt:variant>
      <vt:variant>
        <vt:lpwstr/>
      </vt:variant>
      <vt:variant>
        <vt:lpwstr>_ENREF_78</vt:lpwstr>
      </vt:variant>
      <vt:variant>
        <vt:i4>4390973</vt:i4>
      </vt:variant>
      <vt:variant>
        <vt:i4>1306</vt:i4>
      </vt:variant>
      <vt:variant>
        <vt:i4>0</vt:i4>
      </vt:variant>
      <vt:variant>
        <vt:i4>5</vt:i4>
      </vt:variant>
      <vt:variant>
        <vt:lpwstr/>
      </vt:variant>
      <vt:variant>
        <vt:lpwstr>_ENREF_26</vt:lpwstr>
      </vt:variant>
      <vt:variant>
        <vt:i4>4522045</vt:i4>
      </vt:variant>
      <vt:variant>
        <vt:i4>1294</vt:i4>
      </vt:variant>
      <vt:variant>
        <vt:i4>0</vt:i4>
      </vt:variant>
      <vt:variant>
        <vt:i4>5</vt:i4>
      </vt:variant>
      <vt:variant>
        <vt:lpwstr/>
      </vt:variant>
      <vt:variant>
        <vt:lpwstr>_ENREF_46</vt:lpwstr>
      </vt:variant>
      <vt:variant>
        <vt:i4>4325427</vt:i4>
      </vt:variant>
      <vt:variant>
        <vt:i4>1291</vt:i4>
      </vt:variant>
      <vt:variant>
        <vt:i4>0</vt:i4>
      </vt:variant>
      <vt:variant>
        <vt:i4>5</vt:i4>
      </vt:variant>
      <vt:variant>
        <vt:lpwstr/>
      </vt:variant>
      <vt:variant>
        <vt:lpwstr>_ENREF_38</vt:lpwstr>
      </vt:variant>
      <vt:variant>
        <vt:i4>4194366</vt:i4>
      </vt:variant>
      <vt:variant>
        <vt:i4>1288</vt:i4>
      </vt:variant>
      <vt:variant>
        <vt:i4>0</vt:i4>
      </vt:variant>
      <vt:variant>
        <vt:i4>5</vt:i4>
      </vt:variant>
      <vt:variant>
        <vt:lpwstr/>
      </vt:variant>
      <vt:variant>
        <vt:lpwstr>_ENREF_15</vt:lpwstr>
      </vt:variant>
      <vt:variant>
        <vt:i4>4718651</vt:i4>
      </vt:variant>
      <vt:variant>
        <vt:i4>1280</vt:i4>
      </vt:variant>
      <vt:variant>
        <vt:i4>0</vt:i4>
      </vt:variant>
      <vt:variant>
        <vt:i4>5</vt:i4>
      </vt:variant>
      <vt:variant>
        <vt:lpwstr/>
      </vt:variant>
      <vt:variant>
        <vt:lpwstr>_ENREF_90</vt:lpwstr>
      </vt:variant>
      <vt:variant>
        <vt:i4>4653067</vt:i4>
      </vt:variant>
      <vt:variant>
        <vt:i4>1266</vt:i4>
      </vt:variant>
      <vt:variant>
        <vt:i4>0</vt:i4>
      </vt:variant>
      <vt:variant>
        <vt:i4>5</vt:i4>
      </vt:variant>
      <vt:variant>
        <vt:lpwstr/>
      </vt:variant>
      <vt:variant>
        <vt:lpwstr>_ENREF_6</vt:lpwstr>
      </vt:variant>
      <vt:variant>
        <vt:i4>4653115</vt:i4>
      </vt:variant>
      <vt:variant>
        <vt:i4>1260</vt:i4>
      </vt:variant>
      <vt:variant>
        <vt:i4>0</vt:i4>
      </vt:variant>
      <vt:variant>
        <vt:i4>5</vt:i4>
      </vt:variant>
      <vt:variant>
        <vt:lpwstr/>
      </vt:variant>
      <vt:variant>
        <vt:lpwstr>_ENREF_60</vt:lpwstr>
      </vt:variant>
      <vt:variant>
        <vt:i4>4653115</vt:i4>
      </vt:variant>
      <vt:variant>
        <vt:i4>1254</vt:i4>
      </vt:variant>
      <vt:variant>
        <vt:i4>0</vt:i4>
      </vt:variant>
      <vt:variant>
        <vt:i4>5</vt:i4>
      </vt:variant>
      <vt:variant>
        <vt:lpwstr/>
      </vt:variant>
      <vt:variant>
        <vt:lpwstr>_ENREF_60</vt:lpwstr>
      </vt:variant>
      <vt:variant>
        <vt:i4>7012411</vt:i4>
      </vt:variant>
      <vt:variant>
        <vt:i4>1249</vt:i4>
      </vt:variant>
      <vt:variant>
        <vt:i4>0</vt:i4>
      </vt:variant>
      <vt:variant>
        <vt:i4>5</vt:i4>
      </vt:variant>
      <vt:variant>
        <vt:lpwstr>http://www.abc.net.au/news</vt:lpwstr>
      </vt:variant>
      <vt:variant>
        <vt:lpwstr/>
      </vt:variant>
      <vt:variant>
        <vt:i4>3080233</vt:i4>
      </vt:variant>
      <vt:variant>
        <vt:i4>1246</vt:i4>
      </vt:variant>
      <vt:variant>
        <vt:i4>0</vt:i4>
      </vt:variant>
      <vt:variant>
        <vt:i4>5</vt:i4>
      </vt:variant>
      <vt:variant>
        <vt:lpwstr>http://www.acoustic-glossary.co.uk/frequency-weighting.htm</vt:lpwstr>
      </vt:variant>
      <vt:variant>
        <vt:lpwstr/>
      </vt:variant>
      <vt:variant>
        <vt:i4>1310754</vt:i4>
      </vt:variant>
      <vt:variant>
        <vt:i4>1243</vt:i4>
      </vt:variant>
      <vt:variant>
        <vt:i4>0</vt:i4>
      </vt:variant>
      <vt:variant>
        <vt:i4>5</vt:i4>
      </vt:variant>
      <vt:variant>
        <vt:lpwstr>http://en.wikipedia.org/wiki/Odds</vt:lpwstr>
      </vt:variant>
      <vt:variant>
        <vt:lpwstr/>
      </vt:variant>
      <vt:variant>
        <vt:i4>983147</vt:i4>
      </vt:variant>
      <vt:variant>
        <vt:i4>1237</vt:i4>
      </vt:variant>
      <vt:variant>
        <vt:i4>0</vt:i4>
      </vt:variant>
      <vt:variant>
        <vt:i4>5</vt:i4>
      </vt:variant>
      <vt:variant>
        <vt:lpwstr>http://en.wikipedia.org/wiki/Hearing_%28sense%29</vt:lpwstr>
      </vt:variant>
      <vt:variant>
        <vt:lpwstr/>
      </vt:variant>
      <vt:variant>
        <vt:i4>4718655</vt:i4>
      </vt:variant>
      <vt:variant>
        <vt:i4>1234</vt:i4>
      </vt:variant>
      <vt:variant>
        <vt:i4>0</vt:i4>
      </vt:variant>
      <vt:variant>
        <vt:i4>5</vt:i4>
      </vt:variant>
      <vt:variant>
        <vt:lpwstr>http://en.wikipedia.org/wiki/Pure_tone</vt:lpwstr>
      </vt:variant>
      <vt:variant>
        <vt:lpwstr/>
      </vt:variant>
      <vt:variant>
        <vt:i4>721003</vt:i4>
      </vt:variant>
      <vt:variant>
        <vt:i4>1231</vt:i4>
      </vt:variant>
      <vt:variant>
        <vt:i4>0</vt:i4>
      </vt:variant>
      <vt:variant>
        <vt:i4>5</vt:i4>
      </vt:variant>
      <vt:variant>
        <vt:lpwstr>http://en.wikipedia.org/wiki/Sound_level</vt:lpwstr>
      </vt:variant>
      <vt:variant>
        <vt:lpwstr/>
      </vt:variant>
      <vt:variant>
        <vt:i4>7405626</vt:i4>
      </vt:variant>
      <vt:variant>
        <vt:i4>1221</vt:i4>
      </vt:variant>
      <vt:variant>
        <vt:i4>0</vt:i4>
      </vt:variant>
      <vt:variant>
        <vt:i4>5</vt:i4>
      </vt:variant>
      <vt:variant>
        <vt:lpwstr/>
      </vt:variant>
      <vt:variant>
        <vt:lpwstr>_ENREF_111</vt:lpwstr>
      </vt:variant>
      <vt:variant>
        <vt:i4>7864379</vt:i4>
      </vt:variant>
      <vt:variant>
        <vt:i4>1215</vt:i4>
      </vt:variant>
      <vt:variant>
        <vt:i4>0</vt:i4>
      </vt:variant>
      <vt:variant>
        <vt:i4>5</vt:i4>
      </vt:variant>
      <vt:variant>
        <vt:lpwstr/>
      </vt:variant>
      <vt:variant>
        <vt:lpwstr>_ENREF_108</vt:lpwstr>
      </vt:variant>
      <vt:variant>
        <vt:i4>4194315</vt:i4>
      </vt:variant>
      <vt:variant>
        <vt:i4>1209</vt:i4>
      </vt:variant>
      <vt:variant>
        <vt:i4>0</vt:i4>
      </vt:variant>
      <vt:variant>
        <vt:i4>5</vt:i4>
      </vt:variant>
      <vt:variant>
        <vt:lpwstr/>
      </vt:variant>
      <vt:variant>
        <vt:lpwstr>_ENREF_1</vt:lpwstr>
      </vt:variant>
      <vt:variant>
        <vt:i4>7471163</vt:i4>
      </vt:variant>
      <vt:variant>
        <vt:i4>1203</vt:i4>
      </vt:variant>
      <vt:variant>
        <vt:i4>0</vt:i4>
      </vt:variant>
      <vt:variant>
        <vt:i4>5</vt:i4>
      </vt:variant>
      <vt:variant>
        <vt:lpwstr/>
      </vt:variant>
      <vt:variant>
        <vt:lpwstr>_ENREF_102</vt:lpwstr>
      </vt:variant>
      <vt:variant>
        <vt:i4>7602235</vt:i4>
      </vt:variant>
      <vt:variant>
        <vt:i4>1197</vt:i4>
      </vt:variant>
      <vt:variant>
        <vt:i4>0</vt:i4>
      </vt:variant>
      <vt:variant>
        <vt:i4>5</vt:i4>
      </vt:variant>
      <vt:variant>
        <vt:lpwstr/>
      </vt:variant>
      <vt:variant>
        <vt:lpwstr>_ENREF_104</vt:lpwstr>
      </vt:variant>
      <vt:variant>
        <vt:i4>4456508</vt:i4>
      </vt:variant>
      <vt:variant>
        <vt:i4>1188</vt:i4>
      </vt:variant>
      <vt:variant>
        <vt:i4>0</vt:i4>
      </vt:variant>
      <vt:variant>
        <vt:i4>5</vt:i4>
      </vt:variant>
      <vt:variant>
        <vt:lpwstr/>
      </vt:variant>
      <vt:variant>
        <vt:lpwstr>_ENREF_57</vt:lpwstr>
      </vt:variant>
      <vt:variant>
        <vt:i4>4325387</vt:i4>
      </vt:variant>
      <vt:variant>
        <vt:i4>1185</vt:i4>
      </vt:variant>
      <vt:variant>
        <vt:i4>0</vt:i4>
      </vt:variant>
      <vt:variant>
        <vt:i4>5</vt:i4>
      </vt:variant>
      <vt:variant>
        <vt:lpwstr/>
      </vt:variant>
      <vt:variant>
        <vt:lpwstr>_ENREF_3</vt:lpwstr>
      </vt:variant>
      <vt:variant>
        <vt:i4>4653113</vt:i4>
      </vt:variant>
      <vt:variant>
        <vt:i4>1165</vt:i4>
      </vt:variant>
      <vt:variant>
        <vt:i4>0</vt:i4>
      </vt:variant>
      <vt:variant>
        <vt:i4>5</vt:i4>
      </vt:variant>
      <vt:variant>
        <vt:lpwstr/>
      </vt:variant>
      <vt:variant>
        <vt:lpwstr>_ENREF_62</vt:lpwstr>
      </vt:variant>
      <vt:variant>
        <vt:i4>4325434</vt:i4>
      </vt:variant>
      <vt:variant>
        <vt:i4>1162</vt:i4>
      </vt:variant>
      <vt:variant>
        <vt:i4>0</vt:i4>
      </vt:variant>
      <vt:variant>
        <vt:i4>5</vt:i4>
      </vt:variant>
      <vt:variant>
        <vt:lpwstr/>
      </vt:variant>
      <vt:variant>
        <vt:lpwstr>_ENREF_31</vt:lpwstr>
      </vt:variant>
      <vt:variant>
        <vt:i4>4325433</vt:i4>
      </vt:variant>
      <vt:variant>
        <vt:i4>1154</vt:i4>
      </vt:variant>
      <vt:variant>
        <vt:i4>0</vt:i4>
      </vt:variant>
      <vt:variant>
        <vt:i4>5</vt:i4>
      </vt:variant>
      <vt:variant>
        <vt:lpwstr/>
      </vt:variant>
      <vt:variant>
        <vt:lpwstr>_ENREF_32</vt:lpwstr>
      </vt:variant>
      <vt:variant>
        <vt:i4>4325433</vt:i4>
      </vt:variant>
      <vt:variant>
        <vt:i4>1148</vt:i4>
      </vt:variant>
      <vt:variant>
        <vt:i4>0</vt:i4>
      </vt:variant>
      <vt:variant>
        <vt:i4>5</vt:i4>
      </vt:variant>
      <vt:variant>
        <vt:lpwstr/>
      </vt:variant>
      <vt:variant>
        <vt:lpwstr>_ENREF_32</vt:lpwstr>
      </vt:variant>
      <vt:variant>
        <vt:i4>1179649</vt:i4>
      </vt:variant>
      <vt:variant>
        <vt:i4>1128</vt:i4>
      </vt:variant>
      <vt:variant>
        <vt:i4>0</vt:i4>
      </vt:variant>
      <vt:variant>
        <vt:i4>5</vt:i4>
      </vt:variant>
      <vt:variant>
        <vt:lpwstr/>
      </vt:variant>
      <vt:variant>
        <vt:lpwstr>_Toc358277459</vt:lpwstr>
      </vt:variant>
      <vt:variant>
        <vt:i4>1179660</vt:i4>
      </vt:variant>
      <vt:variant>
        <vt:i4>1122</vt:i4>
      </vt:variant>
      <vt:variant>
        <vt:i4>0</vt:i4>
      </vt:variant>
      <vt:variant>
        <vt:i4>5</vt:i4>
      </vt:variant>
      <vt:variant>
        <vt:lpwstr/>
      </vt:variant>
      <vt:variant>
        <vt:lpwstr>_Toc358277454</vt:lpwstr>
      </vt:variant>
      <vt:variant>
        <vt:i4>327773</vt:i4>
      </vt:variant>
      <vt:variant>
        <vt:i4>1116</vt:i4>
      </vt:variant>
      <vt:variant>
        <vt:i4>0</vt:i4>
      </vt:variant>
      <vt:variant>
        <vt:i4>5</vt:i4>
      </vt:variant>
      <vt:variant>
        <vt:lpwstr/>
      </vt:variant>
      <vt:variant>
        <vt:lpwstr>_Toc362275867Toc358277423</vt:lpwstr>
      </vt:variant>
      <vt:variant>
        <vt:i4>327770</vt:i4>
      </vt:variant>
      <vt:variant>
        <vt:i4>1110</vt:i4>
      </vt:variant>
      <vt:variant>
        <vt:i4>0</vt:i4>
      </vt:variant>
      <vt:variant>
        <vt:i4>5</vt:i4>
      </vt:variant>
      <vt:variant>
        <vt:lpwstr/>
      </vt:variant>
      <vt:variant>
        <vt:lpwstr>_Toc362275862Toc358277421</vt:lpwstr>
      </vt:variant>
      <vt:variant>
        <vt:i4>65624</vt:i4>
      </vt:variant>
      <vt:variant>
        <vt:i4>1104</vt:i4>
      </vt:variant>
      <vt:variant>
        <vt:i4>0</vt:i4>
      </vt:variant>
      <vt:variant>
        <vt:i4>5</vt:i4>
      </vt:variant>
      <vt:variant>
        <vt:lpwstr/>
      </vt:variant>
      <vt:variant>
        <vt:lpwstr>_Toc362275832Toc358277433</vt:lpwstr>
      </vt:variant>
      <vt:variant>
        <vt:i4>80</vt:i4>
      </vt:variant>
      <vt:variant>
        <vt:i4>1098</vt:i4>
      </vt:variant>
      <vt:variant>
        <vt:i4>0</vt:i4>
      </vt:variant>
      <vt:variant>
        <vt:i4>5</vt:i4>
      </vt:variant>
      <vt:variant>
        <vt:lpwstr/>
      </vt:variant>
      <vt:variant>
        <vt:lpwstr>_Toc362275830Toc358277429</vt:lpwstr>
      </vt:variant>
      <vt:variant>
        <vt:i4>458835</vt:i4>
      </vt:variant>
      <vt:variant>
        <vt:i4>1077</vt:i4>
      </vt:variant>
      <vt:variant>
        <vt:i4>0</vt:i4>
      </vt:variant>
      <vt:variant>
        <vt:i4>5</vt:i4>
      </vt:variant>
      <vt:variant>
        <vt:lpwstr/>
      </vt:variant>
      <vt:variant>
        <vt:lpwstr>_Toc362275842Toc358277428</vt:lpwstr>
      </vt:variant>
      <vt:variant>
        <vt:i4>85</vt:i4>
      </vt:variant>
      <vt:variant>
        <vt:i4>1071</vt:i4>
      </vt:variant>
      <vt:variant>
        <vt:i4>0</vt:i4>
      </vt:variant>
      <vt:variant>
        <vt:i4>5</vt:i4>
      </vt:variant>
      <vt:variant>
        <vt:lpwstr/>
      </vt:variant>
      <vt:variant>
        <vt:lpwstr>_Toc362275839Toc358277425</vt:lpwstr>
      </vt:variant>
      <vt:variant>
        <vt:i4>196697</vt:i4>
      </vt:variant>
      <vt:variant>
        <vt:i4>1065</vt:i4>
      </vt:variant>
      <vt:variant>
        <vt:i4>0</vt:i4>
      </vt:variant>
      <vt:variant>
        <vt:i4>5</vt:i4>
      </vt:variant>
      <vt:variant>
        <vt:lpwstr/>
      </vt:variant>
      <vt:variant>
        <vt:lpwstr>_Toc362275838Toc358277418</vt:lpwstr>
      </vt:variant>
      <vt:variant>
        <vt:i4>196698</vt:i4>
      </vt:variant>
      <vt:variant>
        <vt:i4>1059</vt:i4>
      </vt:variant>
      <vt:variant>
        <vt:i4>0</vt:i4>
      </vt:variant>
      <vt:variant>
        <vt:i4>5</vt:i4>
      </vt:variant>
      <vt:variant>
        <vt:lpwstr/>
      </vt:variant>
      <vt:variant>
        <vt:lpwstr>_Toc362275834Toc358277417</vt:lpwstr>
      </vt:variant>
      <vt:variant>
        <vt:i4>87</vt:i4>
      </vt:variant>
      <vt:variant>
        <vt:i4>1034</vt:i4>
      </vt:variant>
      <vt:variant>
        <vt:i4>0</vt:i4>
      </vt:variant>
      <vt:variant>
        <vt:i4>5</vt:i4>
      </vt:variant>
      <vt:variant>
        <vt:lpwstr/>
      </vt:variant>
      <vt:variant>
        <vt:lpwstr>_Toc362275876Toc358277468</vt:lpwstr>
      </vt:variant>
      <vt:variant>
        <vt:i4>91</vt:i4>
      </vt:variant>
      <vt:variant>
        <vt:i4>1028</vt:i4>
      </vt:variant>
      <vt:variant>
        <vt:i4>0</vt:i4>
      </vt:variant>
      <vt:variant>
        <vt:i4>5</vt:i4>
      </vt:variant>
      <vt:variant>
        <vt:lpwstr/>
      </vt:variant>
      <vt:variant>
        <vt:lpwstr>_Toc362275875Toc358277467</vt:lpwstr>
      </vt:variant>
      <vt:variant>
        <vt:i4>91</vt:i4>
      </vt:variant>
      <vt:variant>
        <vt:i4>1022</vt:i4>
      </vt:variant>
      <vt:variant>
        <vt:i4>0</vt:i4>
      </vt:variant>
      <vt:variant>
        <vt:i4>5</vt:i4>
      </vt:variant>
      <vt:variant>
        <vt:lpwstr/>
      </vt:variant>
      <vt:variant>
        <vt:lpwstr>_Toc362275874Toc358277466</vt:lpwstr>
      </vt:variant>
      <vt:variant>
        <vt:i4>95</vt:i4>
      </vt:variant>
      <vt:variant>
        <vt:i4>1016</vt:i4>
      </vt:variant>
      <vt:variant>
        <vt:i4>0</vt:i4>
      </vt:variant>
      <vt:variant>
        <vt:i4>5</vt:i4>
      </vt:variant>
      <vt:variant>
        <vt:lpwstr/>
      </vt:variant>
      <vt:variant>
        <vt:lpwstr>_Toc362275873Toc358277465</vt:lpwstr>
      </vt:variant>
      <vt:variant>
        <vt:i4>95</vt:i4>
      </vt:variant>
      <vt:variant>
        <vt:i4>1010</vt:i4>
      </vt:variant>
      <vt:variant>
        <vt:i4>0</vt:i4>
      </vt:variant>
      <vt:variant>
        <vt:i4>5</vt:i4>
      </vt:variant>
      <vt:variant>
        <vt:lpwstr/>
      </vt:variant>
      <vt:variant>
        <vt:lpwstr>_Toc362275872Toc358277464</vt:lpwstr>
      </vt:variant>
      <vt:variant>
        <vt:i4>91</vt:i4>
      </vt:variant>
      <vt:variant>
        <vt:i4>1004</vt:i4>
      </vt:variant>
      <vt:variant>
        <vt:i4>0</vt:i4>
      </vt:variant>
      <vt:variant>
        <vt:i4>5</vt:i4>
      </vt:variant>
      <vt:variant>
        <vt:lpwstr/>
      </vt:variant>
      <vt:variant>
        <vt:lpwstr>_Toc362275871Toc358277463</vt:lpwstr>
      </vt:variant>
      <vt:variant>
        <vt:i4>91</vt:i4>
      </vt:variant>
      <vt:variant>
        <vt:i4>998</vt:i4>
      </vt:variant>
      <vt:variant>
        <vt:i4>0</vt:i4>
      </vt:variant>
      <vt:variant>
        <vt:i4>5</vt:i4>
      </vt:variant>
      <vt:variant>
        <vt:lpwstr/>
      </vt:variant>
      <vt:variant>
        <vt:lpwstr>_Toc362275870Toc358277462</vt:lpwstr>
      </vt:variant>
      <vt:variant>
        <vt:i4>65617</vt:i4>
      </vt:variant>
      <vt:variant>
        <vt:i4>992</vt:i4>
      </vt:variant>
      <vt:variant>
        <vt:i4>0</vt:i4>
      </vt:variant>
      <vt:variant>
        <vt:i4>5</vt:i4>
      </vt:variant>
      <vt:variant>
        <vt:lpwstr/>
      </vt:variant>
      <vt:variant>
        <vt:lpwstr>_Toc362275869Toc358277461</vt:lpwstr>
      </vt:variant>
      <vt:variant>
        <vt:i4>65617</vt:i4>
      </vt:variant>
      <vt:variant>
        <vt:i4>986</vt:i4>
      </vt:variant>
      <vt:variant>
        <vt:i4>0</vt:i4>
      </vt:variant>
      <vt:variant>
        <vt:i4>5</vt:i4>
      </vt:variant>
      <vt:variant>
        <vt:lpwstr/>
      </vt:variant>
      <vt:variant>
        <vt:lpwstr>_Toc362275868Toc358277460</vt:lpwstr>
      </vt:variant>
      <vt:variant>
        <vt:i4>131159</vt:i4>
      </vt:variant>
      <vt:variant>
        <vt:i4>980</vt:i4>
      </vt:variant>
      <vt:variant>
        <vt:i4>0</vt:i4>
      </vt:variant>
      <vt:variant>
        <vt:i4>5</vt:i4>
      </vt:variant>
      <vt:variant>
        <vt:lpwstr/>
      </vt:variant>
      <vt:variant>
        <vt:lpwstr>_Toc362275866Toc358277458</vt:lpwstr>
      </vt:variant>
      <vt:variant>
        <vt:i4>131163</vt:i4>
      </vt:variant>
      <vt:variant>
        <vt:i4>974</vt:i4>
      </vt:variant>
      <vt:variant>
        <vt:i4>0</vt:i4>
      </vt:variant>
      <vt:variant>
        <vt:i4>5</vt:i4>
      </vt:variant>
      <vt:variant>
        <vt:lpwstr/>
      </vt:variant>
      <vt:variant>
        <vt:lpwstr>_Toc362275865Toc358277457</vt:lpwstr>
      </vt:variant>
      <vt:variant>
        <vt:i4>131163</vt:i4>
      </vt:variant>
      <vt:variant>
        <vt:i4>968</vt:i4>
      </vt:variant>
      <vt:variant>
        <vt:i4>0</vt:i4>
      </vt:variant>
      <vt:variant>
        <vt:i4>5</vt:i4>
      </vt:variant>
      <vt:variant>
        <vt:lpwstr/>
      </vt:variant>
      <vt:variant>
        <vt:lpwstr>_Toc362275864Toc358277456</vt:lpwstr>
      </vt:variant>
      <vt:variant>
        <vt:i4>131167</vt:i4>
      </vt:variant>
      <vt:variant>
        <vt:i4>962</vt:i4>
      </vt:variant>
      <vt:variant>
        <vt:i4>0</vt:i4>
      </vt:variant>
      <vt:variant>
        <vt:i4>5</vt:i4>
      </vt:variant>
      <vt:variant>
        <vt:lpwstr/>
      </vt:variant>
      <vt:variant>
        <vt:lpwstr>_Toc362275863Toc358277455</vt:lpwstr>
      </vt:variant>
      <vt:variant>
        <vt:i4>131163</vt:i4>
      </vt:variant>
      <vt:variant>
        <vt:i4>956</vt:i4>
      </vt:variant>
      <vt:variant>
        <vt:i4>0</vt:i4>
      </vt:variant>
      <vt:variant>
        <vt:i4>5</vt:i4>
      </vt:variant>
      <vt:variant>
        <vt:lpwstr/>
      </vt:variant>
      <vt:variant>
        <vt:lpwstr>_Toc362275861Toc358277453</vt:lpwstr>
      </vt:variant>
      <vt:variant>
        <vt:i4>131163</vt:i4>
      </vt:variant>
      <vt:variant>
        <vt:i4>950</vt:i4>
      </vt:variant>
      <vt:variant>
        <vt:i4>0</vt:i4>
      </vt:variant>
      <vt:variant>
        <vt:i4>5</vt:i4>
      </vt:variant>
      <vt:variant>
        <vt:lpwstr/>
      </vt:variant>
      <vt:variant>
        <vt:lpwstr>_Toc362275860Toc358277452</vt:lpwstr>
      </vt:variant>
      <vt:variant>
        <vt:i4>65617</vt:i4>
      </vt:variant>
      <vt:variant>
        <vt:i4>944</vt:i4>
      </vt:variant>
      <vt:variant>
        <vt:i4>0</vt:i4>
      </vt:variant>
      <vt:variant>
        <vt:i4>5</vt:i4>
      </vt:variant>
      <vt:variant>
        <vt:lpwstr/>
      </vt:variant>
      <vt:variant>
        <vt:lpwstr>_Toc362275859Toc358277451</vt:lpwstr>
      </vt:variant>
      <vt:variant>
        <vt:i4>65617</vt:i4>
      </vt:variant>
      <vt:variant>
        <vt:i4>938</vt:i4>
      </vt:variant>
      <vt:variant>
        <vt:i4>0</vt:i4>
      </vt:variant>
      <vt:variant>
        <vt:i4>5</vt:i4>
      </vt:variant>
      <vt:variant>
        <vt:lpwstr/>
      </vt:variant>
      <vt:variant>
        <vt:lpwstr>_Toc362275858Toc358277450</vt:lpwstr>
      </vt:variant>
      <vt:variant>
        <vt:i4>87</vt:i4>
      </vt:variant>
      <vt:variant>
        <vt:i4>932</vt:i4>
      </vt:variant>
      <vt:variant>
        <vt:i4>0</vt:i4>
      </vt:variant>
      <vt:variant>
        <vt:i4>5</vt:i4>
      </vt:variant>
      <vt:variant>
        <vt:lpwstr/>
      </vt:variant>
      <vt:variant>
        <vt:lpwstr>_Toc362275857Toc358277449</vt:lpwstr>
      </vt:variant>
      <vt:variant>
        <vt:i4>87</vt:i4>
      </vt:variant>
      <vt:variant>
        <vt:i4>926</vt:i4>
      </vt:variant>
      <vt:variant>
        <vt:i4>0</vt:i4>
      </vt:variant>
      <vt:variant>
        <vt:i4>5</vt:i4>
      </vt:variant>
      <vt:variant>
        <vt:lpwstr/>
      </vt:variant>
      <vt:variant>
        <vt:lpwstr>_Toc362275856Toc358277448</vt:lpwstr>
      </vt:variant>
      <vt:variant>
        <vt:i4>91</vt:i4>
      </vt:variant>
      <vt:variant>
        <vt:i4>920</vt:i4>
      </vt:variant>
      <vt:variant>
        <vt:i4>0</vt:i4>
      </vt:variant>
      <vt:variant>
        <vt:i4>5</vt:i4>
      </vt:variant>
      <vt:variant>
        <vt:lpwstr/>
      </vt:variant>
      <vt:variant>
        <vt:lpwstr>_Toc362275855Toc358277447</vt:lpwstr>
      </vt:variant>
      <vt:variant>
        <vt:i4>91</vt:i4>
      </vt:variant>
      <vt:variant>
        <vt:i4>914</vt:i4>
      </vt:variant>
      <vt:variant>
        <vt:i4>0</vt:i4>
      </vt:variant>
      <vt:variant>
        <vt:i4>5</vt:i4>
      </vt:variant>
      <vt:variant>
        <vt:lpwstr/>
      </vt:variant>
      <vt:variant>
        <vt:lpwstr>_Toc362275854Toc358277446</vt:lpwstr>
      </vt:variant>
      <vt:variant>
        <vt:i4>95</vt:i4>
      </vt:variant>
      <vt:variant>
        <vt:i4>908</vt:i4>
      </vt:variant>
      <vt:variant>
        <vt:i4>0</vt:i4>
      </vt:variant>
      <vt:variant>
        <vt:i4>5</vt:i4>
      </vt:variant>
      <vt:variant>
        <vt:lpwstr/>
      </vt:variant>
      <vt:variant>
        <vt:lpwstr>_Toc362275853Toc358277445</vt:lpwstr>
      </vt:variant>
      <vt:variant>
        <vt:i4>95</vt:i4>
      </vt:variant>
      <vt:variant>
        <vt:i4>902</vt:i4>
      </vt:variant>
      <vt:variant>
        <vt:i4>0</vt:i4>
      </vt:variant>
      <vt:variant>
        <vt:i4>5</vt:i4>
      </vt:variant>
      <vt:variant>
        <vt:lpwstr/>
      </vt:variant>
      <vt:variant>
        <vt:lpwstr>_Toc362275852Toc358277444</vt:lpwstr>
      </vt:variant>
      <vt:variant>
        <vt:i4>91</vt:i4>
      </vt:variant>
      <vt:variant>
        <vt:i4>896</vt:i4>
      </vt:variant>
      <vt:variant>
        <vt:i4>0</vt:i4>
      </vt:variant>
      <vt:variant>
        <vt:i4>5</vt:i4>
      </vt:variant>
      <vt:variant>
        <vt:lpwstr/>
      </vt:variant>
      <vt:variant>
        <vt:lpwstr>_Toc362275851Toc358277443</vt:lpwstr>
      </vt:variant>
      <vt:variant>
        <vt:i4>91</vt:i4>
      </vt:variant>
      <vt:variant>
        <vt:i4>890</vt:i4>
      </vt:variant>
      <vt:variant>
        <vt:i4>0</vt:i4>
      </vt:variant>
      <vt:variant>
        <vt:i4>5</vt:i4>
      </vt:variant>
      <vt:variant>
        <vt:lpwstr/>
      </vt:variant>
      <vt:variant>
        <vt:lpwstr>_Toc362275850Toc358277442</vt:lpwstr>
      </vt:variant>
      <vt:variant>
        <vt:i4>65617</vt:i4>
      </vt:variant>
      <vt:variant>
        <vt:i4>884</vt:i4>
      </vt:variant>
      <vt:variant>
        <vt:i4>0</vt:i4>
      </vt:variant>
      <vt:variant>
        <vt:i4>5</vt:i4>
      </vt:variant>
      <vt:variant>
        <vt:lpwstr/>
      </vt:variant>
      <vt:variant>
        <vt:lpwstr>_Toc362275849Toc358277441</vt:lpwstr>
      </vt:variant>
      <vt:variant>
        <vt:i4>65617</vt:i4>
      </vt:variant>
      <vt:variant>
        <vt:i4>878</vt:i4>
      </vt:variant>
      <vt:variant>
        <vt:i4>0</vt:i4>
      </vt:variant>
      <vt:variant>
        <vt:i4>5</vt:i4>
      </vt:variant>
      <vt:variant>
        <vt:lpwstr/>
      </vt:variant>
      <vt:variant>
        <vt:lpwstr>_Toc362275848Toc358277440</vt:lpwstr>
      </vt:variant>
      <vt:variant>
        <vt:i4>393303</vt:i4>
      </vt:variant>
      <vt:variant>
        <vt:i4>872</vt:i4>
      </vt:variant>
      <vt:variant>
        <vt:i4>0</vt:i4>
      </vt:variant>
      <vt:variant>
        <vt:i4>5</vt:i4>
      </vt:variant>
      <vt:variant>
        <vt:lpwstr/>
      </vt:variant>
      <vt:variant>
        <vt:lpwstr>_Toc362275847Toc358277439</vt:lpwstr>
      </vt:variant>
      <vt:variant>
        <vt:i4>393303</vt:i4>
      </vt:variant>
      <vt:variant>
        <vt:i4>866</vt:i4>
      </vt:variant>
      <vt:variant>
        <vt:i4>0</vt:i4>
      </vt:variant>
      <vt:variant>
        <vt:i4>5</vt:i4>
      </vt:variant>
      <vt:variant>
        <vt:lpwstr/>
      </vt:variant>
      <vt:variant>
        <vt:lpwstr>_Toc362275846Toc358277438</vt:lpwstr>
      </vt:variant>
      <vt:variant>
        <vt:i4>393307</vt:i4>
      </vt:variant>
      <vt:variant>
        <vt:i4>860</vt:i4>
      </vt:variant>
      <vt:variant>
        <vt:i4>0</vt:i4>
      </vt:variant>
      <vt:variant>
        <vt:i4>5</vt:i4>
      </vt:variant>
      <vt:variant>
        <vt:lpwstr/>
      </vt:variant>
      <vt:variant>
        <vt:lpwstr>_Toc362275845Toc358277437</vt:lpwstr>
      </vt:variant>
      <vt:variant>
        <vt:i4>393307</vt:i4>
      </vt:variant>
      <vt:variant>
        <vt:i4>854</vt:i4>
      </vt:variant>
      <vt:variant>
        <vt:i4>0</vt:i4>
      </vt:variant>
      <vt:variant>
        <vt:i4>5</vt:i4>
      </vt:variant>
      <vt:variant>
        <vt:lpwstr/>
      </vt:variant>
      <vt:variant>
        <vt:lpwstr>_Toc362275844Toc358277436</vt:lpwstr>
      </vt:variant>
      <vt:variant>
        <vt:i4>393311</vt:i4>
      </vt:variant>
      <vt:variant>
        <vt:i4>848</vt:i4>
      </vt:variant>
      <vt:variant>
        <vt:i4>0</vt:i4>
      </vt:variant>
      <vt:variant>
        <vt:i4>5</vt:i4>
      </vt:variant>
      <vt:variant>
        <vt:lpwstr/>
      </vt:variant>
      <vt:variant>
        <vt:lpwstr>_Toc362275843Toc358277435</vt:lpwstr>
      </vt:variant>
      <vt:variant>
        <vt:i4>393308</vt:i4>
      </vt:variant>
      <vt:variant>
        <vt:i4>842</vt:i4>
      </vt:variant>
      <vt:variant>
        <vt:i4>0</vt:i4>
      </vt:variant>
      <vt:variant>
        <vt:i4>5</vt:i4>
      </vt:variant>
      <vt:variant>
        <vt:lpwstr/>
      </vt:variant>
      <vt:variant>
        <vt:lpwstr>_Toc362275841Toc358277434</vt:lpwstr>
      </vt:variant>
      <vt:variant>
        <vt:i4>393307</vt:i4>
      </vt:variant>
      <vt:variant>
        <vt:i4>836</vt:i4>
      </vt:variant>
      <vt:variant>
        <vt:i4>0</vt:i4>
      </vt:variant>
      <vt:variant>
        <vt:i4>5</vt:i4>
      </vt:variant>
      <vt:variant>
        <vt:lpwstr/>
      </vt:variant>
      <vt:variant>
        <vt:lpwstr>_Toc362275840Toc358277432</vt:lpwstr>
      </vt:variant>
      <vt:variant>
        <vt:i4>65631</vt:i4>
      </vt:variant>
      <vt:variant>
        <vt:i4>830</vt:i4>
      </vt:variant>
      <vt:variant>
        <vt:i4>0</vt:i4>
      </vt:variant>
      <vt:variant>
        <vt:i4>5</vt:i4>
      </vt:variant>
      <vt:variant>
        <vt:lpwstr/>
      </vt:variant>
      <vt:variant>
        <vt:lpwstr>_Toc362275837Toc358277431</vt:lpwstr>
      </vt:variant>
      <vt:variant>
        <vt:i4>65631</vt:i4>
      </vt:variant>
      <vt:variant>
        <vt:i4>824</vt:i4>
      </vt:variant>
      <vt:variant>
        <vt:i4>0</vt:i4>
      </vt:variant>
      <vt:variant>
        <vt:i4>5</vt:i4>
      </vt:variant>
      <vt:variant>
        <vt:lpwstr/>
      </vt:variant>
      <vt:variant>
        <vt:lpwstr>_Toc362275836Toc358277430</vt:lpwstr>
      </vt:variant>
      <vt:variant>
        <vt:i4>93</vt:i4>
      </vt:variant>
      <vt:variant>
        <vt:i4>818</vt:i4>
      </vt:variant>
      <vt:variant>
        <vt:i4>0</vt:i4>
      </vt:variant>
      <vt:variant>
        <vt:i4>5</vt:i4>
      </vt:variant>
      <vt:variant>
        <vt:lpwstr/>
      </vt:variant>
      <vt:variant>
        <vt:lpwstr>_Toc362275833Toc358277427</vt:lpwstr>
      </vt:variant>
      <vt:variant>
        <vt:i4>92</vt:i4>
      </vt:variant>
      <vt:variant>
        <vt:i4>812</vt:i4>
      </vt:variant>
      <vt:variant>
        <vt:i4>0</vt:i4>
      </vt:variant>
      <vt:variant>
        <vt:i4>5</vt:i4>
      </vt:variant>
      <vt:variant>
        <vt:lpwstr/>
      </vt:variant>
      <vt:variant>
        <vt:lpwstr>_Toc362275831Toc358277424</vt:lpwstr>
      </vt:variant>
      <vt:variant>
        <vt:i4>65618</vt:i4>
      </vt:variant>
      <vt:variant>
        <vt:i4>806</vt:i4>
      </vt:variant>
      <vt:variant>
        <vt:i4>0</vt:i4>
      </vt:variant>
      <vt:variant>
        <vt:i4>5</vt:i4>
      </vt:variant>
      <vt:variant>
        <vt:lpwstr/>
      </vt:variant>
      <vt:variant>
        <vt:lpwstr>_Toc362275829Toc358277422</vt:lpwstr>
      </vt:variant>
      <vt:variant>
        <vt:i4>65617</vt:i4>
      </vt:variant>
      <vt:variant>
        <vt:i4>800</vt:i4>
      </vt:variant>
      <vt:variant>
        <vt:i4>0</vt:i4>
      </vt:variant>
      <vt:variant>
        <vt:i4>5</vt:i4>
      </vt:variant>
      <vt:variant>
        <vt:lpwstr/>
      </vt:variant>
      <vt:variant>
        <vt:lpwstr>_Toc362275828Toc358277420</vt:lpwstr>
      </vt:variant>
      <vt:variant>
        <vt:i4>131159</vt:i4>
      </vt:variant>
      <vt:variant>
        <vt:i4>794</vt:i4>
      </vt:variant>
      <vt:variant>
        <vt:i4>0</vt:i4>
      </vt:variant>
      <vt:variant>
        <vt:i4>5</vt:i4>
      </vt:variant>
      <vt:variant>
        <vt:lpwstr/>
      </vt:variant>
      <vt:variant>
        <vt:lpwstr>_Toc362275827Toc358277419</vt:lpwstr>
      </vt:variant>
      <vt:variant>
        <vt:i4>131161</vt:i4>
      </vt:variant>
      <vt:variant>
        <vt:i4>788</vt:i4>
      </vt:variant>
      <vt:variant>
        <vt:i4>0</vt:i4>
      </vt:variant>
      <vt:variant>
        <vt:i4>5</vt:i4>
      </vt:variant>
      <vt:variant>
        <vt:lpwstr/>
      </vt:variant>
      <vt:variant>
        <vt:lpwstr>_Toc362275826Toc358277416</vt:lpwstr>
      </vt:variant>
      <vt:variant>
        <vt:i4>131161</vt:i4>
      </vt:variant>
      <vt:variant>
        <vt:i4>782</vt:i4>
      </vt:variant>
      <vt:variant>
        <vt:i4>0</vt:i4>
      </vt:variant>
      <vt:variant>
        <vt:i4>5</vt:i4>
      </vt:variant>
      <vt:variant>
        <vt:lpwstr/>
      </vt:variant>
      <vt:variant>
        <vt:lpwstr>_Toc362275825Toc358277415</vt:lpwstr>
      </vt:variant>
      <vt:variant>
        <vt:i4>1048580</vt:i4>
      </vt:variant>
      <vt:variant>
        <vt:i4>641</vt:i4>
      </vt:variant>
      <vt:variant>
        <vt:i4>0</vt:i4>
      </vt:variant>
      <vt:variant>
        <vt:i4>5</vt:i4>
      </vt:variant>
      <vt:variant>
        <vt:lpwstr/>
      </vt:variant>
      <vt:variant>
        <vt:lpwstr>_Toc358277870</vt:lpwstr>
      </vt:variant>
      <vt:variant>
        <vt:i4>1114125</vt:i4>
      </vt:variant>
      <vt:variant>
        <vt:i4>635</vt:i4>
      </vt:variant>
      <vt:variant>
        <vt:i4>0</vt:i4>
      </vt:variant>
      <vt:variant>
        <vt:i4>5</vt:i4>
      </vt:variant>
      <vt:variant>
        <vt:lpwstr/>
      </vt:variant>
      <vt:variant>
        <vt:lpwstr>_Toc358277869</vt:lpwstr>
      </vt:variant>
      <vt:variant>
        <vt:i4>458840</vt:i4>
      </vt:variant>
      <vt:variant>
        <vt:i4>629</vt:i4>
      </vt:variant>
      <vt:variant>
        <vt:i4>0</vt:i4>
      </vt:variant>
      <vt:variant>
        <vt:i4>5</vt:i4>
      </vt:variant>
      <vt:variant>
        <vt:lpwstr/>
      </vt:variant>
      <vt:variant>
        <vt:lpwstr>_Toc362275508Toc358277868</vt:lpwstr>
      </vt:variant>
      <vt:variant>
        <vt:i4>458840</vt:i4>
      </vt:variant>
      <vt:variant>
        <vt:i4>623</vt:i4>
      </vt:variant>
      <vt:variant>
        <vt:i4>0</vt:i4>
      </vt:variant>
      <vt:variant>
        <vt:i4>5</vt:i4>
      </vt:variant>
      <vt:variant>
        <vt:lpwstr/>
      </vt:variant>
      <vt:variant>
        <vt:lpwstr>_Toc362275507Toc358277867</vt:lpwstr>
      </vt:variant>
      <vt:variant>
        <vt:i4>458840</vt:i4>
      </vt:variant>
      <vt:variant>
        <vt:i4>617</vt:i4>
      </vt:variant>
      <vt:variant>
        <vt:i4>0</vt:i4>
      </vt:variant>
      <vt:variant>
        <vt:i4>5</vt:i4>
      </vt:variant>
      <vt:variant>
        <vt:lpwstr/>
      </vt:variant>
      <vt:variant>
        <vt:lpwstr>_Toc362275506Toc358277866</vt:lpwstr>
      </vt:variant>
      <vt:variant>
        <vt:i4>458840</vt:i4>
      </vt:variant>
      <vt:variant>
        <vt:i4>611</vt:i4>
      </vt:variant>
      <vt:variant>
        <vt:i4>0</vt:i4>
      </vt:variant>
      <vt:variant>
        <vt:i4>5</vt:i4>
      </vt:variant>
      <vt:variant>
        <vt:lpwstr/>
      </vt:variant>
      <vt:variant>
        <vt:lpwstr>_Toc362275505Toc358277865</vt:lpwstr>
      </vt:variant>
      <vt:variant>
        <vt:i4>458840</vt:i4>
      </vt:variant>
      <vt:variant>
        <vt:i4>605</vt:i4>
      </vt:variant>
      <vt:variant>
        <vt:i4>0</vt:i4>
      </vt:variant>
      <vt:variant>
        <vt:i4>5</vt:i4>
      </vt:variant>
      <vt:variant>
        <vt:lpwstr/>
      </vt:variant>
      <vt:variant>
        <vt:lpwstr>_Toc362275504Toc358277864</vt:lpwstr>
      </vt:variant>
      <vt:variant>
        <vt:i4>458840</vt:i4>
      </vt:variant>
      <vt:variant>
        <vt:i4>599</vt:i4>
      </vt:variant>
      <vt:variant>
        <vt:i4>0</vt:i4>
      </vt:variant>
      <vt:variant>
        <vt:i4>5</vt:i4>
      </vt:variant>
      <vt:variant>
        <vt:lpwstr/>
      </vt:variant>
      <vt:variant>
        <vt:lpwstr>_Toc362275503Toc358277863</vt:lpwstr>
      </vt:variant>
      <vt:variant>
        <vt:i4>458840</vt:i4>
      </vt:variant>
      <vt:variant>
        <vt:i4>593</vt:i4>
      </vt:variant>
      <vt:variant>
        <vt:i4>0</vt:i4>
      </vt:variant>
      <vt:variant>
        <vt:i4>5</vt:i4>
      </vt:variant>
      <vt:variant>
        <vt:lpwstr/>
      </vt:variant>
      <vt:variant>
        <vt:lpwstr>_Toc362275502Toc358277862</vt:lpwstr>
      </vt:variant>
      <vt:variant>
        <vt:i4>458840</vt:i4>
      </vt:variant>
      <vt:variant>
        <vt:i4>587</vt:i4>
      </vt:variant>
      <vt:variant>
        <vt:i4>0</vt:i4>
      </vt:variant>
      <vt:variant>
        <vt:i4>5</vt:i4>
      </vt:variant>
      <vt:variant>
        <vt:lpwstr/>
      </vt:variant>
      <vt:variant>
        <vt:lpwstr>_Toc362275501Toc358277861</vt:lpwstr>
      </vt:variant>
      <vt:variant>
        <vt:i4>458840</vt:i4>
      </vt:variant>
      <vt:variant>
        <vt:i4>581</vt:i4>
      </vt:variant>
      <vt:variant>
        <vt:i4>0</vt:i4>
      </vt:variant>
      <vt:variant>
        <vt:i4>5</vt:i4>
      </vt:variant>
      <vt:variant>
        <vt:lpwstr/>
      </vt:variant>
      <vt:variant>
        <vt:lpwstr>_Toc362275500Toc358277860</vt:lpwstr>
      </vt:variant>
      <vt:variant>
        <vt:i4>852057</vt:i4>
      </vt:variant>
      <vt:variant>
        <vt:i4>575</vt:i4>
      </vt:variant>
      <vt:variant>
        <vt:i4>0</vt:i4>
      </vt:variant>
      <vt:variant>
        <vt:i4>5</vt:i4>
      </vt:variant>
      <vt:variant>
        <vt:lpwstr/>
      </vt:variant>
      <vt:variant>
        <vt:lpwstr>_Toc362275499Toc358277859</vt:lpwstr>
      </vt:variant>
      <vt:variant>
        <vt:i4>852057</vt:i4>
      </vt:variant>
      <vt:variant>
        <vt:i4>569</vt:i4>
      </vt:variant>
      <vt:variant>
        <vt:i4>0</vt:i4>
      </vt:variant>
      <vt:variant>
        <vt:i4>5</vt:i4>
      </vt:variant>
      <vt:variant>
        <vt:lpwstr/>
      </vt:variant>
      <vt:variant>
        <vt:lpwstr>_Toc362275498Toc358277858</vt:lpwstr>
      </vt:variant>
      <vt:variant>
        <vt:i4>852057</vt:i4>
      </vt:variant>
      <vt:variant>
        <vt:i4>563</vt:i4>
      </vt:variant>
      <vt:variant>
        <vt:i4>0</vt:i4>
      </vt:variant>
      <vt:variant>
        <vt:i4>5</vt:i4>
      </vt:variant>
      <vt:variant>
        <vt:lpwstr/>
      </vt:variant>
      <vt:variant>
        <vt:lpwstr>_Toc362275497Toc358277857</vt:lpwstr>
      </vt:variant>
      <vt:variant>
        <vt:i4>852057</vt:i4>
      </vt:variant>
      <vt:variant>
        <vt:i4>557</vt:i4>
      </vt:variant>
      <vt:variant>
        <vt:i4>0</vt:i4>
      </vt:variant>
      <vt:variant>
        <vt:i4>5</vt:i4>
      </vt:variant>
      <vt:variant>
        <vt:lpwstr/>
      </vt:variant>
      <vt:variant>
        <vt:lpwstr>_Toc362275496Toc358277856</vt:lpwstr>
      </vt:variant>
      <vt:variant>
        <vt:i4>852057</vt:i4>
      </vt:variant>
      <vt:variant>
        <vt:i4>551</vt:i4>
      </vt:variant>
      <vt:variant>
        <vt:i4>0</vt:i4>
      </vt:variant>
      <vt:variant>
        <vt:i4>5</vt:i4>
      </vt:variant>
      <vt:variant>
        <vt:lpwstr/>
      </vt:variant>
      <vt:variant>
        <vt:lpwstr>_Toc362275495Toc358277855</vt:lpwstr>
      </vt:variant>
      <vt:variant>
        <vt:i4>852057</vt:i4>
      </vt:variant>
      <vt:variant>
        <vt:i4>545</vt:i4>
      </vt:variant>
      <vt:variant>
        <vt:i4>0</vt:i4>
      </vt:variant>
      <vt:variant>
        <vt:i4>5</vt:i4>
      </vt:variant>
      <vt:variant>
        <vt:lpwstr/>
      </vt:variant>
      <vt:variant>
        <vt:lpwstr>_Toc362275494Toc358277854</vt:lpwstr>
      </vt:variant>
      <vt:variant>
        <vt:i4>852057</vt:i4>
      </vt:variant>
      <vt:variant>
        <vt:i4>539</vt:i4>
      </vt:variant>
      <vt:variant>
        <vt:i4>0</vt:i4>
      </vt:variant>
      <vt:variant>
        <vt:i4>5</vt:i4>
      </vt:variant>
      <vt:variant>
        <vt:lpwstr/>
      </vt:variant>
      <vt:variant>
        <vt:lpwstr>_Toc362275493Toc358277853</vt:lpwstr>
      </vt:variant>
      <vt:variant>
        <vt:i4>852057</vt:i4>
      </vt:variant>
      <vt:variant>
        <vt:i4>533</vt:i4>
      </vt:variant>
      <vt:variant>
        <vt:i4>0</vt:i4>
      </vt:variant>
      <vt:variant>
        <vt:i4>5</vt:i4>
      </vt:variant>
      <vt:variant>
        <vt:lpwstr/>
      </vt:variant>
      <vt:variant>
        <vt:lpwstr>_Toc362275492Toc358277852</vt:lpwstr>
      </vt:variant>
      <vt:variant>
        <vt:i4>852057</vt:i4>
      </vt:variant>
      <vt:variant>
        <vt:i4>527</vt:i4>
      </vt:variant>
      <vt:variant>
        <vt:i4>0</vt:i4>
      </vt:variant>
      <vt:variant>
        <vt:i4>5</vt:i4>
      </vt:variant>
      <vt:variant>
        <vt:lpwstr/>
      </vt:variant>
      <vt:variant>
        <vt:lpwstr>_Toc362275491Toc358277851</vt:lpwstr>
      </vt:variant>
      <vt:variant>
        <vt:i4>852057</vt:i4>
      </vt:variant>
      <vt:variant>
        <vt:i4>521</vt:i4>
      </vt:variant>
      <vt:variant>
        <vt:i4>0</vt:i4>
      </vt:variant>
      <vt:variant>
        <vt:i4>5</vt:i4>
      </vt:variant>
      <vt:variant>
        <vt:lpwstr/>
      </vt:variant>
      <vt:variant>
        <vt:lpwstr>_Toc362275490Toc358277850</vt:lpwstr>
      </vt:variant>
      <vt:variant>
        <vt:i4>852057</vt:i4>
      </vt:variant>
      <vt:variant>
        <vt:i4>515</vt:i4>
      </vt:variant>
      <vt:variant>
        <vt:i4>0</vt:i4>
      </vt:variant>
      <vt:variant>
        <vt:i4>5</vt:i4>
      </vt:variant>
      <vt:variant>
        <vt:lpwstr/>
      </vt:variant>
      <vt:variant>
        <vt:lpwstr>_Toc362275489Toc358277849</vt:lpwstr>
      </vt:variant>
      <vt:variant>
        <vt:i4>852057</vt:i4>
      </vt:variant>
      <vt:variant>
        <vt:i4>509</vt:i4>
      </vt:variant>
      <vt:variant>
        <vt:i4>0</vt:i4>
      </vt:variant>
      <vt:variant>
        <vt:i4>5</vt:i4>
      </vt:variant>
      <vt:variant>
        <vt:lpwstr/>
      </vt:variant>
      <vt:variant>
        <vt:lpwstr>_Toc362275488Toc358277848</vt:lpwstr>
      </vt:variant>
      <vt:variant>
        <vt:i4>852057</vt:i4>
      </vt:variant>
      <vt:variant>
        <vt:i4>503</vt:i4>
      </vt:variant>
      <vt:variant>
        <vt:i4>0</vt:i4>
      </vt:variant>
      <vt:variant>
        <vt:i4>5</vt:i4>
      </vt:variant>
      <vt:variant>
        <vt:lpwstr/>
      </vt:variant>
      <vt:variant>
        <vt:lpwstr>_Toc362275487Toc358277847</vt:lpwstr>
      </vt:variant>
      <vt:variant>
        <vt:i4>852057</vt:i4>
      </vt:variant>
      <vt:variant>
        <vt:i4>497</vt:i4>
      </vt:variant>
      <vt:variant>
        <vt:i4>0</vt:i4>
      </vt:variant>
      <vt:variant>
        <vt:i4>5</vt:i4>
      </vt:variant>
      <vt:variant>
        <vt:lpwstr/>
      </vt:variant>
      <vt:variant>
        <vt:lpwstr>_Toc362275486Toc358277846</vt:lpwstr>
      </vt:variant>
      <vt:variant>
        <vt:i4>852057</vt:i4>
      </vt:variant>
      <vt:variant>
        <vt:i4>491</vt:i4>
      </vt:variant>
      <vt:variant>
        <vt:i4>0</vt:i4>
      </vt:variant>
      <vt:variant>
        <vt:i4>5</vt:i4>
      </vt:variant>
      <vt:variant>
        <vt:lpwstr/>
      </vt:variant>
      <vt:variant>
        <vt:lpwstr>_Toc362275485Toc358277845</vt:lpwstr>
      </vt:variant>
      <vt:variant>
        <vt:i4>852057</vt:i4>
      </vt:variant>
      <vt:variant>
        <vt:i4>485</vt:i4>
      </vt:variant>
      <vt:variant>
        <vt:i4>0</vt:i4>
      </vt:variant>
      <vt:variant>
        <vt:i4>5</vt:i4>
      </vt:variant>
      <vt:variant>
        <vt:lpwstr/>
      </vt:variant>
      <vt:variant>
        <vt:lpwstr>_Toc362275484Toc358277844</vt:lpwstr>
      </vt:variant>
      <vt:variant>
        <vt:i4>852057</vt:i4>
      </vt:variant>
      <vt:variant>
        <vt:i4>479</vt:i4>
      </vt:variant>
      <vt:variant>
        <vt:i4>0</vt:i4>
      </vt:variant>
      <vt:variant>
        <vt:i4>5</vt:i4>
      </vt:variant>
      <vt:variant>
        <vt:lpwstr/>
      </vt:variant>
      <vt:variant>
        <vt:lpwstr>_Toc362275483Toc358277843</vt:lpwstr>
      </vt:variant>
      <vt:variant>
        <vt:i4>852057</vt:i4>
      </vt:variant>
      <vt:variant>
        <vt:i4>473</vt:i4>
      </vt:variant>
      <vt:variant>
        <vt:i4>0</vt:i4>
      </vt:variant>
      <vt:variant>
        <vt:i4>5</vt:i4>
      </vt:variant>
      <vt:variant>
        <vt:lpwstr/>
      </vt:variant>
      <vt:variant>
        <vt:lpwstr>_Toc362275482Toc358277842</vt:lpwstr>
      </vt:variant>
      <vt:variant>
        <vt:i4>852057</vt:i4>
      </vt:variant>
      <vt:variant>
        <vt:i4>467</vt:i4>
      </vt:variant>
      <vt:variant>
        <vt:i4>0</vt:i4>
      </vt:variant>
      <vt:variant>
        <vt:i4>5</vt:i4>
      </vt:variant>
      <vt:variant>
        <vt:lpwstr/>
      </vt:variant>
      <vt:variant>
        <vt:lpwstr>_Toc362275481Toc358277841</vt:lpwstr>
      </vt:variant>
      <vt:variant>
        <vt:i4>852057</vt:i4>
      </vt:variant>
      <vt:variant>
        <vt:i4>461</vt:i4>
      </vt:variant>
      <vt:variant>
        <vt:i4>0</vt:i4>
      </vt:variant>
      <vt:variant>
        <vt:i4>5</vt:i4>
      </vt:variant>
      <vt:variant>
        <vt:lpwstr/>
      </vt:variant>
      <vt:variant>
        <vt:lpwstr>_Toc362275480Toc358277840</vt:lpwstr>
      </vt:variant>
      <vt:variant>
        <vt:i4>327769</vt:i4>
      </vt:variant>
      <vt:variant>
        <vt:i4>455</vt:i4>
      </vt:variant>
      <vt:variant>
        <vt:i4>0</vt:i4>
      </vt:variant>
      <vt:variant>
        <vt:i4>5</vt:i4>
      </vt:variant>
      <vt:variant>
        <vt:lpwstr/>
      </vt:variant>
      <vt:variant>
        <vt:lpwstr>_Toc362275479Toc358277839</vt:lpwstr>
      </vt:variant>
      <vt:variant>
        <vt:i4>327769</vt:i4>
      </vt:variant>
      <vt:variant>
        <vt:i4>449</vt:i4>
      </vt:variant>
      <vt:variant>
        <vt:i4>0</vt:i4>
      </vt:variant>
      <vt:variant>
        <vt:i4>5</vt:i4>
      </vt:variant>
      <vt:variant>
        <vt:lpwstr/>
      </vt:variant>
      <vt:variant>
        <vt:lpwstr>_Toc362275478Toc358277838</vt:lpwstr>
      </vt:variant>
      <vt:variant>
        <vt:i4>327769</vt:i4>
      </vt:variant>
      <vt:variant>
        <vt:i4>443</vt:i4>
      </vt:variant>
      <vt:variant>
        <vt:i4>0</vt:i4>
      </vt:variant>
      <vt:variant>
        <vt:i4>5</vt:i4>
      </vt:variant>
      <vt:variant>
        <vt:lpwstr/>
      </vt:variant>
      <vt:variant>
        <vt:lpwstr>_Toc362275477Toc358277837</vt:lpwstr>
      </vt:variant>
      <vt:variant>
        <vt:i4>327769</vt:i4>
      </vt:variant>
      <vt:variant>
        <vt:i4>437</vt:i4>
      </vt:variant>
      <vt:variant>
        <vt:i4>0</vt:i4>
      </vt:variant>
      <vt:variant>
        <vt:i4>5</vt:i4>
      </vt:variant>
      <vt:variant>
        <vt:lpwstr/>
      </vt:variant>
      <vt:variant>
        <vt:lpwstr>_Toc362275476Toc358277836</vt:lpwstr>
      </vt:variant>
      <vt:variant>
        <vt:i4>327769</vt:i4>
      </vt:variant>
      <vt:variant>
        <vt:i4>431</vt:i4>
      </vt:variant>
      <vt:variant>
        <vt:i4>0</vt:i4>
      </vt:variant>
      <vt:variant>
        <vt:i4>5</vt:i4>
      </vt:variant>
      <vt:variant>
        <vt:lpwstr/>
      </vt:variant>
      <vt:variant>
        <vt:lpwstr>_Toc362275475Toc358277835</vt:lpwstr>
      </vt:variant>
      <vt:variant>
        <vt:i4>327769</vt:i4>
      </vt:variant>
      <vt:variant>
        <vt:i4>425</vt:i4>
      </vt:variant>
      <vt:variant>
        <vt:i4>0</vt:i4>
      </vt:variant>
      <vt:variant>
        <vt:i4>5</vt:i4>
      </vt:variant>
      <vt:variant>
        <vt:lpwstr/>
      </vt:variant>
      <vt:variant>
        <vt:lpwstr>_Toc362275474Toc358277834</vt:lpwstr>
      </vt:variant>
      <vt:variant>
        <vt:i4>327769</vt:i4>
      </vt:variant>
      <vt:variant>
        <vt:i4>419</vt:i4>
      </vt:variant>
      <vt:variant>
        <vt:i4>0</vt:i4>
      </vt:variant>
      <vt:variant>
        <vt:i4>5</vt:i4>
      </vt:variant>
      <vt:variant>
        <vt:lpwstr/>
      </vt:variant>
      <vt:variant>
        <vt:lpwstr>_Toc362275473Toc358277833</vt:lpwstr>
      </vt:variant>
      <vt:variant>
        <vt:i4>327769</vt:i4>
      </vt:variant>
      <vt:variant>
        <vt:i4>413</vt:i4>
      </vt:variant>
      <vt:variant>
        <vt:i4>0</vt:i4>
      </vt:variant>
      <vt:variant>
        <vt:i4>5</vt:i4>
      </vt:variant>
      <vt:variant>
        <vt:lpwstr/>
      </vt:variant>
      <vt:variant>
        <vt:lpwstr>_Toc362275472Toc358277832</vt:lpwstr>
      </vt:variant>
      <vt:variant>
        <vt:i4>327769</vt:i4>
      </vt:variant>
      <vt:variant>
        <vt:i4>407</vt:i4>
      </vt:variant>
      <vt:variant>
        <vt:i4>0</vt:i4>
      </vt:variant>
      <vt:variant>
        <vt:i4>5</vt:i4>
      </vt:variant>
      <vt:variant>
        <vt:lpwstr/>
      </vt:variant>
      <vt:variant>
        <vt:lpwstr>_Toc362275471Toc358277831</vt:lpwstr>
      </vt:variant>
      <vt:variant>
        <vt:i4>327769</vt:i4>
      </vt:variant>
      <vt:variant>
        <vt:i4>401</vt:i4>
      </vt:variant>
      <vt:variant>
        <vt:i4>0</vt:i4>
      </vt:variant>
      <vt:variant>
        <vt:i4>5</vt:i4>
      </vt:variant>
      <vt:variant>
        <vt:lpwstr/>
      </vt:variant>
      <vt:variant>
        <vt:lpwstr>_Toc362275470Toc358277830</vt:lpwstr>
      </vt:variant>
      <vt:variant>
        <vt:i4>327769</vt:i4>
      </vt:variant>
      <vt:variant>
        <vt:i4>395</vt:i4>
      </vt:variant>
      <vt:variant>
        <vt:i4>0</vt:i4>
      </vt:variant>
      <vt:variant>
        <vt:i4>5</vt:i4>
      </vt:variant>
      <vt:variant>
        <vt:lpwstr/>
      </vt:variant>
      <vt:variant>
        <vt:lpwstr>_Toc362275469Toc358277829</vt:lpwstr>
      </vt:variant>
      <vt:variant>
        <vt:i4>327769</vt:i4>
      </vt:variant>
      <vt:variant>
        <vt:i4>389</vt:i4>
      </vt:variant>
      <vt:variant>
        <vt:i4>0</vt:i4>
      </vt:variant>
      <vt:variant>
        <vt:i4>5</vt:i4>
      </vt:variant>
      <vt:variant>
        <vt:lpwstr/>
      </vt:variant>
      <vt:variant>
        <vt:lpwstr>_Toc362275468Toc358277828</vt:lpwstr>
      </vt:variant>
      <vt:variant>
        <vt:i4>327769</vt:i4>
      </vt:variant>
      <vt:variant>
        <vt:i4>383</vt:i4>
      </vt:variant>
      <vt:variant>
        <vt:i4>0</vt:i4>
      </vt:variant>
      <vt:variant>
        <vt:i4>5</vt:i4>
      </vt:variant>
      <vt:variant>
        <vt:lpwstr/>
      </vt:variant>
      <vt:variant>
        <vt:lpwstr>_Toc362275467Toc358277827</vt:lpwstr>
      </vt:variant>
      <vt:variant>
        <vt:i4>327769</vt:i4>
      </vt:variant>
      <vt:variant>
        <vt:i4>377</vt:i4>
      </vt:variant>
      <vt:variant>
        <vt:i4>0</vt:i4>
      </vt:variant>
      <vt:variant>
        <vt:i4>5</vt:i4>
      </vt:variant>
      <vt:variant>
        <vt:lpwstr/>
      </vt:variant>
      <vt:variant>
        <vt:lpwstr>_Toc362275466Toc358277826</vt:lpwstr>
      </vt:variant>
      <vt:variant>
        <vt:i4>327769</vt:i4>
      </vt:variant>
      <vt:variant>
        <vt:i4>371</vt:i4>
      </vt:variant>
      <vt:variant>
        <vt:i4>0</vt:i4>
      </vt:variant>
      <vt:variant>
        <vt:i4>5</vt:i4>
      </vt:variant>
      <vt:variant>
        <vt:lpwstr/>
      </vt:variant>
      <vt:variant>
        <vt:lpwstr>_Toc362275465Toc358277825</vt:lpwstr>
      </vt:variant>
      <vt:variant>
        <vt:i4>327769</vt:i4>
      </vt:variant>
      <vt:variant>
        <vt:i4>365</vt:i4>
      </vt:variant>
      <vt:variant>
        <vt:i4>0</vt:i4>
      </vt:variant>
      <vt:variant>
        <vt:i4>5</vt:i4>
      </vt:variant>
      <vt:variant>
        <vt:lpwstr/>
      </vt:variant>
      <vt:variant>
        <vt:lpwstr>_Toc362275464Toc358277824</vt:lpwstr>
      </vt:variant>
      <vt:variant>
        <vt:i4>327768</vt:i4>
      </vt:variant>
      <vt:variant>
        <vt:i4>359</vt:i4>
      </vt:variant>
      <vt:variant>
        <vt:i4>0</vt:i4>
      </vt:variant>
      <vt:variant>
        <vt:i4>5</vt:i4>
      </vt:variant>
      <vt:variant>
        <vt:lpwstr/>
      </vt:variant>
      <vt:variant>
        <vt:lpwstr>_Toc362275462Toc358277823</vt:lpwstr>
      </vt:variant>
      <vt:variant>
        <vt:i4>327770</vt:i4>
      </vt:variant>
      <vt:variant>
        <vt:i4>353</vt:i4>
      </vt:variant>
      <vt:variant>
        <vt:i4>0</vt:i4>
      </vt:variant>
      <vt:variant>
        <vt:i4>5</vt:i4>
      </vt:variant>
      <vt:variant>
        <vt:lpwstr/>
      </vt:variant>
      <vt:variant>
        <vt:lpwstr>_Toc362275461Toc358277822</vt:lpwstr>
      </vt:variant>
      <vt:variant>
        <vt:i4>327768</vt:i4>
      </vt:variant>
      <vt:variant>
        <vt:i4>347</vt:i4>
      </vt:variant>
      <vt:variant>
        <vt:i4>0</vt:i4>
      </vt:variant>
      <vt:variant>
        <vt:i4>5</vt:i4>
      </vt:variant>
      <vt:variant>
        <vt:lpwstr/>
      </vt:variant>
      <vt:variant>
        <vt:lpwstr>_Toc362275460Toc358277821</vt:lpwstr>
      </vt:variant>
      <vt:variant>
        <vt:i4>393296</vt:i4>
      </vt:variant>
      <vt:variant>
        <vt:i4>341</vt:i4>
      </vt:variant>
      <vt:variant>
        <vt:i4>0</vt:i4>
      </vt:variant>
      <vt:variant>
        <vt:i4>5</vt:i4>
      </vt:variant>
      <vt:variant>
        <vt:lpwstr/>
      </vt:variant>
      <vt:variant>
        <vt:lpwstr>_Toc362275459Toc358277820</vt:lpwstr>
      </vt:variant>
      <vt:variant>
        <vt:i4>327768</vt:i4>
      </vt:variant>
      <vt:variant>
        <vt:i4>335</vt:i4>
      </vt:variant>
      <vt:variant>
        <vt:i4>0</vt:i4>
      </vt:variant>
      <vt:variant>
        <vt:i4>5</vt:i4>
      </vt:variant>
      <vt:variant>
        <vt:lpwstr/>
      </vt:variant>
      <vt:variant>
        <vt:lpwstr>_Toc362275458Toc358277819</vt:lpwstr>
      </vt:variant>
      <vt:variant>
        <vt:i4>327766</vt:i4>
      </vt:variant>
      <vt:variant>
        <vt:i4>329</vt:i4>
      </vt:variant>
      <vt:variant>
        <vt:i4>0</vt:i4>
      </vt:variant>
      <vt:variant>
        <vt:i4>5</vt:i4>
      </vt:variant>
      <vt:variant>
        <vt:lpwstr/>
      </vt:variant>
      <vt:variant>
        <vt:lpwstr>_Toc362275457Toc358277818</vt:lpwstr>
      </vt:variant>
      <vt:variant>
        <vt:i4>327768</vt:i4>
      </vt:variant>
      <vt:variant>
        <vt:i4>323</vt:i4>
      </vt:variant>
      <vt:variant>
        <vt:i4>0</vt:i4>
      </vt:variant>
      <vt:variant>
        <vt:i4>5</vt:i4>
      </vt:variant>
      <vt:variant>
        <vt:lpwstr/>
      </vt:variant>
      <vt:variant>
        <vt:lpwstr>_Toc362275456Toc358277817</vt:lpwstr>
      </vt:variant>
      <vt:variant>
        <vt:i4>327770</vt:i4>
      </vt:variant>
      <vt:variant>
        <vt:i4>317</vt:i4>
      </vt:variant>
      <vt:variant>
        <vt:i4>0</vt:i4>
      </vt:variant>
      <vt:variant>
        <vt:i4>5</vt:i4>
      </vt:variant>
      <vt:variant>
        <vt:lpwstr/>
      </vt:variant>
      <vt:variant>
        <vt:lpwstr>_Toc362275455Toc358277816</vt:lpwstr>
      </vt:variant>
      <vt:variant>
        <vt:i4>327769</vt:i4>
      </vt:variant>
      <vt:variant>
        <vt:i4>311</vt:i4>
      </vt:variant>
      <vt:variant>
        <vt:i4>0</vt:i4>
      </vt:variant>
      <vt:variant>
        <vt:i4>5</vt:i4>
      </vt:variant>
      <vt:variant>
        <vt:lpwstr/>
      </vt:variant>
      <vt:variant>
        <vt:lpwstr>_Toc362275454Toc358277814</vt:lpwstr>
      </vt:variant>
      <vt:variant>
        <vt:i4>327769</vt:i4>
      </vt:variant>
      <vt:variant>
        <vt:i4>305</vt:i4>
      </vt:variant>
      <vt:variant>
        <vt:i4>0</vt:i4>
      </vt:variant>
      <vt:variant>
        <vt:i4>5</vt:i4>
      </vt:variant>
      <vt:variant>
        <vt:lpwstr/>
      </vt:variant>
      <vt:variant>
        <vt:lpwstr>_Toc362275453Toc358277813</vt:lpwstr>
      </vt:variant>
      <vt:variant>
        <vt:i4>327769</vt:i4>
      </vt:variant>
      <vt:variant>
        <vt:i4>299</vt:i4>
      </vt:variant>
      <vt:variant>
        <vt:i4>0</vt:i4>
      </vt:variant>
      <vt:variant>
        <vt:i4>5</vt:i4>
      </vt:variant>
      <vt:variant>
        <vt:lpwstr/>
      </vt:variant>
      <vt:variant>
        <vt:lpwstr>_Toc362275452Toc358277812</vt:lpwstr>
      </vt:variant>
      <vt:variant>
        <vt:i4>327769</vt:i4>
      </vt:variant>
      <vt:variant>
        <vt:i4>293</vt:i4>
      </vt:variant>
      <vt:variant>
        <vt:i4>0</vt:i4>
      </vt:variant>
      <vt:variant>
        <vt:i4>5</vt:i4>
      </vt:variant>
      <vt:variant>
        <vt:lpwstr/>
      </vt:variant>
      <vt:variant>
        <vt:lpwstr>_Toc362275451Toc358277811</vt:lpwstr>
      </vt:variant>
      <vt:variant>
        <vt:i4>327769</vt:i4>
      </vt:variant>
      <vt:variant>
        <vt:i4>287</vt:i4>
      </vt:variant>
      <vt:variant>
        <vt:i4>0</vt:i4>
      </vt:variant>
      <vt:variant>
        <vt:i4>5</vt:i4>
      </vt:variant>
      <vt:variant>
        <vt:lpwstr/>
      </vt:variant>
      <vt:variant>
        <vt:lpwstr>_Toc362275450Toc358277810</vt:lpwstr>
      </vt:variant>
      <vt:variant>
        <vt:i4>327769</vt:i4>
      </vt:variant>
      <vt:variant>
        <vt:i4>281</vt:i4>
      </vt:variant>
      <vt:variant>
        <vt:i4>0</vt:i4>
      </vt:variant>
      <vt:variant>
        <vt:i4>5</vt:i4>
      </vt:variant>
      <vt:variant>
        <vt:lpwstr/>
      </vt:variant>
      <vt:variant>
        <vt:lpwstr>_Toc362275449Toc358277809</vt:lpwstr>
      </vt:variant>
      <vt:variant>
        <vt:i4>327769</vt:i4>
      </vt:variant>
      <vt:variant>
        <vt:i4>275</vt:i4>
      </vt:variant>
      <vt:variant>
        <vt:i4>0</vt:i4>
      </vt:variant>
      <vt:variant>
        <vt:i4>5</vt:i4>
      </vt:variant>
      <vt:variant>
        <vt:lpwstr/>
      </vt:variant>
      <vt:variant>
        <vt:lpwstr>_Toc362275448Toc358277808</vt:lpwstr>
      </vt:variant>
      <vt:variant>
        <vt:i4>327769</vt:i4>
      </vt:variant>
      <vt:variant>
        <vt:i4>269</vt:i4>
      </vt:variant>
      <vt:variant>
        <vt:i4>0</vt:i4>
      </vt:variant>
      <vt:variant>
        <vt:i4>5</vt:i4>
      </vt:variant>
      <vt:variant>
        <vt:lpwstr/>
      </vt:variant>
      <vt:variant>
        <vt:lpwstr>_Toc362275447Toc358277807</vt:lpwstr>
      </vt:variant>
      <vt:variant>
        <vt:i4>327769</vt:i4>
      </vt:variant>
      <vt:variant>
        <vt:i4>263</vt:i4>
      </vt:variant>
      <vt:variant>
        <vt:i4>0</vt:i4>
      </vt:variant>
      <vt:variant>
        <vt:i4>5</vt:i4>
      </vt:variant>
      <vt:variant>
        <vt:lpwstr/>
      </vt:variant>
      <vt:variant>
        <vt:lpwstr>_Toc362275446Toc358277806</vt:lpwstr>
      </vt:variant>
      <vt:variant>
        <vt:i4>327769</vt:i4>
      </vt:variant>
      <vt:variant>
        <vt:i4>257</vt:i4>
      </vt:variant>
      <vt:variant>
        <vt:i4>0</vt:i4>
      </vt:variant>
      <vt:variant>
        <vt:i4>5</vt:i4>
      </vt:variant>
      <vt:variant>
        <vt:lpwstr/>
      </vt:variant>
      <vt:variant>
        <vt:lpwstr>_Toc362275445Toc358277805</vt:lpwstr>
      </vt:variant>
      <vt:variant>
        <vt:i4>327775</vt:i4>
      </vt:variant>
      <vt:variant>
        <vt:i4>251</vt:i4>
      </vt:variant>
      <vt:variant>
        <vt:i4>0</vt:i4>
      </vt:variant>
      <vt:variant>
        <vt:i4>5</vt:i4>
      </vt:variant>
      <vt:variant>
        <vt:lpwstr/>
      </vt:variant>
      <vt:variant>
        <vt:lpwstr>_Toc362275444Toc358277802</vt:lpwstr>
      </vt:variant>
      <vt:variant>
        <vt:i4>327769</vt:i4>
      </vt:variant>
      <vt:variant>
        <vt:i4>245</vt:i4>
      </vt:variant>
      <vt:variant>
        <vt:i4>0</vt:i4>
      </vt:variant>
      <vt:variant>
        <vt:i4>5</vt:i4>
      </vt:variant>
      <vt:variant>
        <vt:lpwstr/>
      </vt:variant>
      <vt:variant>
        <vt:lpwstr>_Toc362275441Toc358277801</vt:lpwstr>
      </vt:variant>
      <vt:variant>
        <vt:i4>786526</vt:i4>
      </vt:variant>
      <vt:variant>
        <vt:i4>239</vt:i4>
      </vt:variant>
      <vt:variant>
        <vt:i4>0</vt:i4>
      </vt:variant>
      <vt:variant>
        <vt:i4>5</vt:i4>
      </vt:variant>
      <vt:variant>
        <vt:lpwstr/>
      </vt:variant>
      <vt:variant>
        <vt:lpwstr>_Toc362275440Toc358277798</vt:lpwstr>
      </vt:variant>
      <vt:variant>
        <vt:i4>720984</vt:i4>
      </vt:variant>
      <vt:variant>
        <vt:i4>233</vt:i4>
      </vt:variant>
      <vt:variant>
        <vt:i4>0</vt:i4>
      </vt:variant>
      <vt:variant>
        <vt:i4>5</vt:i4>
      </vt:variant>
      <vt:variant>
        <vt:lpwstr/>
      </vt:variant>
      <vt:variant>
        <vt:lpwstr>_Toc362275439Toc358277797</vt:lpwstr>
      </vt:variant>
      <vt:variant>
        <vt:i4>720984</vt:i4>
      </vt:variant>
      <vt:variant>
        <vt:i4>227</vt:i4>
      </vt:variant>
      <vt:variant>
        <vt:i4>0</vt:i4>
      </vt:variant>
      <vt:variant>
        <vt:i4>5</vt:i4>
      </vt:variant>
      <vt:variant>
        <vt:lpwstr/>
      </vt:variant>
      <vt:variant>
        <vt:lpwstr>_Toc362275438Toc358277796</vt:lpwstr>
      </vt:variant>
      <vt:variant>
        <vt:i4>720976</vt:i4>
      </vt:variant>
      <vt:variant>
        <vt:i4>221</vt:i4>
      </vt:variant>
      <vt:variant>
        <vt:i4>0</vt:i4>
      </vt:variant>
      <vt:variant>
        <vt:i4>5</vt:i4>
      </vt:variant>
      <vt:variant>
        <vt:lpwstr/>
      </vt:variant>
      <vt:variant>
        <vt:lpwstr>_Toc362275435Toc358277793</vt:lpwstr>
      </vt:variant>
      <vt:variant>
        <vt:i4>720981</vt:i4>
      </vt:variant>
      <vt:variant>
        <vt:i4>215</vt:i4>
      </vt:variant>
      <vt:variant>
        <vt:i4>0</vt:i4>
      </vt:variant>
      <vt:variant>
        <vt:i4>5</vt:i4>
      </vt:variant>
      <vt:variant>
        <vt:lpwstr/>
      </vt:variant>
      <vt:variant>
        <vt:lpwstr>_Toc362275426Toc358277785</vt:lpwstr>
      </vt:variant>
      <vt:variant>
        <vt:i4>4325438</vt:i4>
      </vt:variant>
      <vt:variant>
        <vt:i4>72</vt:i4>
      </vt:variant>
      <vt:variant>
        <vt:i4>0</vt:i4>
      </vt:variant>
      <vt:variant>
        <vt:i4>5</vt:i4>
      </vt:variant>
      <vt:variant>
        <vt:lpwstr/>
      </vt:variant>
      <vt:variant>
        <vt:lpwstr>_ENREF_35</vt:lpwstr>
      </vt:variant>
      <vt:variant>
        <vt:i4>4718653</vt:i4>
      </vt:variant>
      <vt:variant>
        <vt:i4>66</vt:i4>
      </vt:variant>
      <vt:variant>
        <vt:i4>0</vt:i4>
      </vt:variant>
      <vt:variant>
        <vt:i4>5</vt:i4>
      </vt:variant>
      <vt:variant>
        <vt:lpwstr/>
      </vt:variant>
      <vt:variant>
        <vt:lpwstr>_ENREF_96</vt:lpwstr>
      </vt:variant>
      <vt:variant>
        <vt:i4>2818118</vt:i4>
      </vt:variant>
      <vt:variant>
        <vt:i4>59</vt:i4>
      </vt:variant>
      <vt:variant>
        <vt:i4>0</vt:i4>
      </vt:variant>
      <vt:variant>
        <vt:i4>5</vt:i4>
      </vt:variant>
      <vt:variant>
        <vt:lpwstr>http://www.windpoweringamerica.gov/filter_detail.asp?itemid=2967</vt:lpwstr>
      </vt:variant>
      <vt:variant>
        <vt:lpwstr/>
      </vt:variant>
      <vt:variant>
        <vt:i4>7733307</vt:i4>
      </vt:variant>
      <vt:variant>
        <vt:i4>55</vt:i4>
      </vt:variant>
      <vt:variant>
        <vt:i4>0</vt:i4>
      </vt:variant>
      <vt:variant>
        <vt:i4>5</vt:i4>
      </vt:variant>
      <vt:variant>
        <vt:lpwstr/>
      </vt:variant>
      <vt:variant>
        <vt:lpwstr>_ENREF_106</vt:lpwstr>
      </vt:variant>
      <vt:variant>
        <vt:i4>4194367</vt:i4>
      </vt:variant>
      <vt:variant>
        <vt:i4>49</vt:i4>
      </vt:variant>
      <vt:variant>
        <vt:i4>0</vt:i4>
      </vt:variant>
      <vt:variant>
        <vt:i4>5</vt:i4>
      </vt:variant>
      <vt:variant>
        <vt:lpwstr/>
      </vt:variant>
      <vt:variant>
        <vt:lpwstr>_ENREF_14</vt:lpwstr>
      </vt:variant>
      <vt:variant>
        <vt:i4>7536699</vt:i4>
      </vt:variant>
      <vt:variant>
        <vt:i4>43</vt:i4>
      </vt:variant>
      <vt:variant>
        <vt:i4>0</vt:i4>
      </vt:variant>
      <vt:variant>
        <vt:i4>5</vt:i4>
      </vt:variant>
      <vt:variant>
        <vt:lpwstr/>
      </vt:variant>
      <vt:variant>
        <vt:lpwstr>_ENREF_103</vt:lpwstr>
      </vt:variant>
      <vt:variant>
        <vt:i4>7733307</vt:i4>
      </vt:variant>
      <vt:variant>
        <vt:i4>37</vt:i4>
      </vt:variant>
      <vt:variant>
        <vt:i4>0</vt:i4>
      </vt:variant>
      <vt:variant>
        <vt:i4>5</vt:i4>
      </vt:variant>
      <vt:variant>
        <vt:lpwstr/>
      </vt:variant>
      <vt:variant>
        <vt:lpwstr>_ENREF_106</vt:lpwstr>
      </vt:variant>
      <vt:variant>
        <vt:i4>4325436</vt:i4>
      </vt:variant>
      <vt:variant>
        <vt:i4>31</vt:i4>
      </vt:variant>
      <vt:variant>
        <vt:i4>0</vt:i4>
      </vt:variant>
      <vt:variant>
        <vt:i4>5</vt:i4>
      </vt:variant>
      <vt:variant>
        <vt:lpwstr/>
      </vt:variant>
      <vt:variant>
        <vt:lpwstr>_ENREF_37</vt:lpwstr>
      </vt:variant>
      <vt:variant>
        <vt:i4>7078005</vt:i4>
      </vt:variant>
      <vt:variant>
        <vt:i4>26</vt:i4>
      </vt:variant>
      <vt:variant>
        <vt:i4>0</vt:i4>
      </vt:variant>
      <vt:variant>
        <vt:i4>5</vt:i4>
      </vt:variant>
      <vt:variant>
        <vt:lpwstr>http://www.sengpielaudio.com/calculator-soundlevel.htm</vt:lpwstr>
      </vt:variant>
      <vt:variant>
        <vt:lpwstr/>
      </vt:variant>
      <vt:variant>
        <vt:i4>6881402</vt:i4>
      </vt:variant>
      <vt:variant>
        <vt:i4>23</vt:i4>
      </vt:variant>
      <vt:variant>
        <vt:i4>0</vt:i4>
      </vt:variant>
      <vt:variant>
        <vt:i4>5</vt:i4>
      </vt:variant>
      <vt:variant>
        <vt:lpwstr>http://en.wikipedia.org/wiki/Sound_pressure</vt:lpwstr>
      </vt:variant>
      <vt:variant>
        <vt:lpwstr/>
      </vt:variant>
      <vt:variant>
        <vt:i4>4325436</vt:i4>
      </vt:variant>
      <vt:variant>
        <vt:i4>19</vt:i4>
      </vt:variant>
      <vt:variant>
        <vt:i4>0</vt:i4>
      </vt:variant>
      <vt:variant>
        <vt:i4>5</vt:i4>
      </vt:variant>
      <vt:variant>
        <vt:lpwstr/>
      </vt:variant>
      <vt:variant>
        <vt:lpwstr>_ENREF_37</vt:lpwstr>
      </vt:variant>
      <vt:variant>
        <vt:i4>4718653</vt:i4>
      </vt:variant>
      <vt:variant>
        <vt:i4>13</vt:i4>
      </vt:variant>
      <vt:variant>
        <vt:i4>0</vt:i4>
      </vt:variant>
      <vt:variant>
        <vt:i4>5</vt:i4>
      </vt:variant>
      <vt:variant>
        <vt:lpwstr/>
      </vt:variant>
      <vt:variant>
        <vt:lpwstr>_ENREF_96</vt:lpwstr>
      </vt:variant>
      <vt:variant>
        <vt:i4>3473468</vt:i4>
      </vt:variant>
      <vt:variant>
        <vt:i4>6</vt:i4>
      </vt:variant>
      <vt:variant>
        <vt:i4>0</vt:i4>
      </vt:variant>
      <vt:variant>
        <vt:i4>5</vt:i4>
      </vt:variant>
      <vt:variant>
        <vt:lpwstr>http://www.nhmrc.gov.au/media/events/2011/wind-farms-and-human-health-scientific-forum-7-june-2011</vt:lpwstr>
      </vt:variant>
      <vt:variant>
        <vt:lpwstr/>
      </vt:variant>
      <vt:variant>
        <vt:i4>4325437</vt:i4>
      </vt:variant>
      <vt:variant>
        <vt:i4>2</vt:i4>
      </vt:variant>
      <vt:variant>
        <vt:i4>0</vt:i4>
      </vt:variant>
      <vt:variant>
        <vt:i4>5</vt:i4>
      </vt:variant>
      <vt:variant>
        <vt:lpwstr/>
      </vt:variant>
      <vt:variant>
        <vt:lpwstr>_ENREF_36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Systematic review of life saving drugs program</dc:title>
  <dc:creator>Ong Maria</dc:creator>
  <cp:lastModifiedBy>Ong Maria</cp:lastModifiedBy>
  <cp:revision>2</cp:revision>
  <cp:lastPrinted>2015-03-26T03:50:00Z</cp:lastPrinted>
  <dcterms:created xsi:type="dcterms:W3CDTF">2015-04-08T23:25:00Z</dcterms:created>
  <dcterms:modified xsi:type="dcterms:W3CDTF">2015-04-09T00:01:00Z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_DocHome">
    <vt:i4>-1963620244</vt:i4>
  </property>
  <property fmtid="{D5CDD505-2E9C-101B-9397-08002B2CF9AE}" pid="4" name="_NewReviewCycle">
    <vt:lpwstr/>
  </property>
  <property fmtid="{D5CDD505-2E9C-101B-9397-08002B2CF9AE}" pid="5" name="DraftType">
    <vt:lpwstr/>
  </property>
  <property fmtid="{D5CDD505-2E9C-101B-9397-08002B2CF9AE}" pid="6" name="WPLUSServerName">
    <vt:lpwstr/>
  </property>
  <property fmtid="{D5CDD505-2E9C-101B-9397-08002B2CF9AE}" pid="7" name="WPLUSDataBaseName">
    <vt:lpwstr/>
  </property>
  <property fmtid="{D5CDD505-2E9C-101B-9397-08002B2CF9AE}" pid="8" name="WPLUSDocumentUNID">
    <vt:lpwstr/>
  </property>
  <property fmtid="{D5CDD505-2E9C-101B-9397-08002B2CF9AE}" pid="9" name="NeverSavedToNT">
    <vt:lpwstr/>
  </property>
</Properties>
</file>